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版本号：N510114202500039020260126002</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迁建医院信息化建设服务项目第三方软件测评服务采购项目(二次)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N5101142025000390</w:t>
      </w:r>
    </w:p>
    <w:p>
      <w:pPr>
        <w:pStyle w:val="null3"/>
        <w:jc w:val="left"/>
        <w:outlineLvl w:val="2"/>
      </w:pPr>
      <w:r>
        <w:rPr>
          <w:rFonts w:ascii="仿宋_GB2312" w:hAnsi="仿宋_GB2312" w:cs="仿宋_GB2312" w:eastAsia="仿宋_GB2312"/>
          <w:sz w:val="28"/>
          <w:b/>
        </w:rPr>
        <w:t>成都市新都区第二人民医院</w:t>
      </w:r>
    </w:p>
    <w:p>
      <w:pPr>
        <w:pStyle w:val="null3"/>
        <w:jc w:val="center"/>
        <w:outlineLvl w:val="2"/>
      </w:pPr>
      <w:r>
        <w:rPr>
          <w:rFonts w:ascii="仿宋_GB2312" w:hAnsi="仿宋_GB2312" w:cs="仿宋_GB2312" w:eastAsia="仿宋_GB2312"/>
          <w:sz w:val="28"/>
          <w:b/>
        </w:rPr>
        <w:t>四川标源招标代理有限公司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四川标源招标代理有限公司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成都市新都区第二人民医院</w:t>
      </w:r>
      <w:r>
        <w:rPr>
          <w:rFonts w:ascii="仿宋_GB2312" w:hAnsi="仿宋_GB2312" w:cs="仿宋_GB2312" w:eastAsia="仿宋_GB2312"/>
        </w:rPr>
        <w:t xml:space="preserve"> 委托，拟对 </w:t>
      </w:r>
      <w:r>
        <w:rPr>
          <w:rFonts w:ascii="仿宋_GB2312" w:hAnsi="仿宋_GB2312" w:cs="仿宋_GB2312" w:eastAsia="仿宋_GB2312"/>
        </w:rPr>
        <w:t>迁建医院信息化建设服务项目第三方软件测评服务采购项目(二次)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成都市新都区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N5101142025000390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迁建医院信息化建设服务项目第三方软件测评服务采购项目(二次)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为满足《成都市新都区第二人民医院迁建医院信息化建设服务项目》终验要求，掌握信息系统的安全状况、排查系统功能隐患和薄弱环节、明确信息系统建设整改需求，同时发现存在的隐患、查找信息系统运行使用过程中存在的不足并及时改进，保证信息系统安全、稳定的运行，全面提升信息系统整体稳定性，成都市新都区第二人民医院拟委托供应商对迁建医院信息化建设项目开展软件测评服务。本次政府采购项目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备省级及以上监督管理部门颁发的检验检测机构资质认定证书（CMA）（描述：投标人具备省级及以上监督管理部门颁发的检验检测机构资质认定证书（CMA）：提供有效证书复印件并加盖投标人电子章）</w:t>
      </w:r>
    </w:p>
    <w:p>
      <w:pPr>
        <w:pStyle w:val="null3"/>
        <w:jc w:val="left"/>
      </w:pPr>
      <w:r>
        <w:rPr>
          <w:rFonts w:ascii="仿宋_GB2312" w:hAnsi="仿宋_GB2312" w:cs="仿宋_GB2312" w:eastAsia="仿宋_GB2312"/>
        </w:rPr>
        <w:t>2、本项目不接受联合体投标（描述：本项目不接受联合体投标：非联合体投标即可，无须提供其他证明材料）</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成都市新都区第二人民医院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四川省成都市新都区新繁街道繁锦路99号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610501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028-67357886</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四川标源招标代理有限公司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四川省成都市金牛区兴盛西路2号6栋B座13楼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田女士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028-87791929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以中标金额作为计费基数，按照《招标代理服务费收费标准管理暂行办法》（计价格〔2002〕1980号）计算基准价下浮20%执行。计算后代理服务费用不足5000元的，按5000元收取，中标金额10万元以下的，按照4000元收取。中标人应在中标后一次性向代理机构支付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成都市新都区第二人民医院</w:t>
      </w:r>
      <w:r>
        <w:rPr>
          <w:rFonts w:ascii="仿宋_GB2312" w:hAnsi="仿宋_GB2312" w:cs="仿宋_GB2312" w:eastAsia="仿宋_GB2312"/>
        </w:rPr>
        <w:t xml:space="preserve"> 和 </w:t>
      </w:r>
      <w:r>
        <w:rPr>
          <w:rFonts w:ascii="仿宋_GB2312" w:hAnsi="仿宋_GB2312" w:cs="仿宋_GB2312" w:eastAsia="仿宋_GB2312"/>
        </w:rPr>
        <w:t>四川标源招标代理有限公司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成都市新都区第二人民医院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四川标源招标代理有限公司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中标人履约完成且向采购人提出验收申请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因系统填写格式受限，履约验收时间以如下表述为准：中标人履约完成且向采购人提出验收申请后10日内采购人组织开展验收工作，一次性验收合同金额的100%。</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按照招标文件的项目技术服务要求、中标人的投标文件应答以及合同约定进行验收。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按照招标文件的商务要求、中标人的投标文件应答以及合同约定进行验收。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按法律法规规定、招标文件的技术服务及商务要求、中标人的投标文件应答以及合同约定标准进行验收。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其他未尽事宜按照《财政部关于进一步加强政府采购需求和履约验收管理的指导意见》（财库〔2016〕205号）进行。</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成都市新都区第二人民医院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四川标源招标代理有限公司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四川标源招标代理有限公司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联系人：黄先生</w:t>
      </w:r>
    </w:p>
    <w:p>
      <w:pPr>
        <w:pStyle w:val="null3"/>
        <w:jc w:val="left"/>
      </w:pPr>
      <w:r>
        <w:rPr>
          <w:rFonts w:ascii="仿宋_GB2312" w:hAnsi="仿宋_GB2312" w:cs="仿宋_GB2312" w:eastAsia="仿宋_GB2312"/>
        </w:rPr>
        <w:t>联系电话：028-67357886</w:t>
      </w:r>
    </w:p>
    <w:p>
      <w:pPr>
        <w:pStyle w:val="null3"/>
        <w:jc w:val="left"/>
      </w:pPr>
      <w:r>
        <w:rPr>
          <w:rFonts w:ascii="仿宋_GB2312" w:hAnsi="仿宋_GB2312" w:cs="仿宋_GB2312" w:eastAsia="仿宋_GB2312"/>
        </w:rPr>
        <w:t>地址：四川省成都市新都区新繁街道繁锦路99号</w:t>
      </w:r>
    </w:p>
    <w:p>
      <w:pPr>
        <w:pStyle w:val="null3"/>
        <w:jc w:val="left"/>
      </w:pPr>
      <w:r>
        <w:rPr>
          <w:rFonts w:ascii="仿宋_GB2312" w:hAnsi="仿宋_GB2312" w:cs="仿宋_GB2312" w:eastAsia="仿宋_GB2312"/>
        </w:rPr>
        <w:t>邮编：610501</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联系人：田女士</w:t>
      </w:r>
    </w:p>
    <w:p>
      <w:pPr>
        <w:pStyle w:val="null3"/>
        <w:jc w:val="left"/>
      </w:pPr>
      <w:r>
        <w:rPr>
          <w:rFonts w:ascii="仿宋_GB2312" w:hAnsi="仿宋_GB2312" w:cs="仿宋_GB2312" w:eastAsia="仿宋_GB2312"/>
        </w:rPr>
        <w:t>联系电话：028-87791929</w:t>
      </w:r>
    </w:p>
    <w:p>
      <w:pPr>
        <w:pStyle w:val="null3"/>
        <w:jc w:val="left"/>
      </w:pPr>
      <w:r>
        <w:rPr>
          <w:rFonts w:ascii="仿宋_GB2312" w:hAnsi="仿宋_GB2312" w:cs="仿宋_GB2312" w:eastAsia="仿宋_GB2312"/>
        </w:rPr>
        <w:t>地址：四川省成都市金牛区兴盛西路2号6栋B座13楼</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300,000.00</w:t>
      </w:r>
    </w:p>
    <w:p>
      <w:pPr>
        <w:pStyle w:val="null3"/>
        <w:jc w:val="left"/>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C16060000 测试评估认证服务</w:t>
            </w:r>
          </w:p>
        </w:tc>
        <w:tc>
          <w:tcPr>
            <w:tcW w:type="dxa" w:w="821"/>
          </w:tcPr>
          <w:p>
            <w:pPr>
              <w:pStyle w:val="null3"/>
              <w:jc w:val="left"/>
            </w:pPr>
            <w:r>
              <w:rPr>
                <w:rFonts w:ascii="仿宋_GB2312" w:hAnsi="仿宋_GB2312" w:cs="仿宋_GB2312" w:eastAsia="仿宋_GB2312"/>
              </w:rPr>
              <w:t>迁建医院信息化建设服务项目第三方软件测评服务采购项目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300,000.00</w:t>
            </w:r>
          </w:p>
        </w:tc>
        <w:tc>
          <w:tcPr>
            <w:tcW w:type="dxa" w:w="821"/>
          </w:tcPr>
          <w:p>
            <w:pPr>
              <w:pStyle w:val="null3"/>
              <w:jc w:val="left"/>
            </w:pPr>
            <w:r>
              <w:rPr>
                <w:rFonts w:ascii="仿宋_GB2312" w:hAnsi="仿宋_GB2312" w:cs="仿宋_GB2312" w:eastAsia="仿宋_GB2312"/>
              </w:rPr>
              <w:t>软件和信息技术服务业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迁建医院信息化建设服务项目第三方软件测评服务采购项目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300,000.00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报价包括人工费、管理费、物资投入费、风险费、利润、税金等完成本项目服务所需的全部费用，采购人无需另行支付其他费用。</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标的名称：迁建医院信息化建设服务项目第三方软件测评服务采购项目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项目目的</w:t>
            </w:r>
          </w:p>
        </w:tc>
        <w:tc>
          <w:tcPr>
            <w:tcW w:type="dxa" w:w="5814"/>
          </w:tcPr>
          <w:p>
            <w:pPr>
              <w:pStyle w:val="null3"/>
              <w:ind w:firstLine="472"/>
              <w:jc w:val="both"/>
            </w:pPr>
            <w:r>
              <w:rPr>
                <w:rFonts w:ascii="仿宋_GB2312" w:hAnsi="仿宋_GB2312" w:cs="仿宋_GB2312" w:eastAsia="仿宋_GB2312"/>
                <w:sz w:val="24"/>
              </w:rPr>
              <w:t>1、协助采购人保障项目应用软件部分建设的统一性、集中性、一体化、实用性、兼容性要求。</w:t>
            </w:r>
          </w:p>
          <w:p>
            <w:pPr>
              <w:pStyle w:val="null3"/>
              <w:ind w:firstLine="472"/>
              <w:jc w:val="both"/>
            </w:pPr>
            <w:r>
              <w:rPr>
                <w:rFonts w:ascii="仿宋_GB2312" w:hAnsi="仿宋_GB2312" w:cs="仿宋_GB2312" w:eastAsia="仿宋_GB2312"/>
                <w:sz w:val="24"/>
              </w:rPr>
              <w:t>2、敦促各承建方更加重视项目质量管控，采取更多有效的质量保障措施。</w:t>
            </w:r>
          </w:p>
          <w:p>
            <w:pPr>
              <w:pStyle w:val="null3"/>
              <w:ind w:firstLine="472"/>
              <w:jc w:val="both"/>
            </w:pPr>
            <w:r>
              <w:rPr>
                <w:rFonts w:ascii="仿宋_GB2312" w:hAnsi="仿宋_GB2312" w:cs="仿宋_GB2312" w:eastAsia="仿宋_GB2312"/>
                <w:sz w:val="24"/>
              </w:rPr>
              <w:t>3、通过全面、深入的测试，准确地发现应用软件部分潜在问题（含缺陷、安全隐患），全面提升系统（特别是应用系统）的质量。独立、客观、准确地反映应用软件部分的情况，为项目后期使用、升级或改造提供参考依据。</w:t>
            </w:r>
          </w:p>
          <w:p>
            <w:pPr>
              <w:pStyle w:val="null3"/>
              <w:ind w:firstLine="472"/>
              <w:jc w:val="both"/>
            </w:pPr>
            <w:r>
              <w:rPr>
                <w:rFonts w:ascii="仿宋_GB2312" w:hAnsi="仿宋_GB2312" w:cs="仿宋_GB2312" w:eastAsia="仿宋_GB2312"/>
                <w:sz w:val="24"/>
              </w:rPr>
              <w:t>4、促进和提升应用软件部分质量，降低项目建设风险。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成果要求</w:t>
            </w:r>
          </w:p>
        </w:tc>
        <w:tc>
          <w:tcPr>
            <w:tcW w:type="dxa" w:w="5814"/>
          </w:tcPr>
          <w:p>
            <w:pPr>
              <w:pStyle w:val="null3"/>
              <w:spacing w:before="30"/>
              <w:ind w:firstLine="464"/>
              <w:jc w:val="left"/>
            </w:pPr>
            <w:r>
              <w:rPr>
                <w:rFonts w:ascii="仿宋_GB2312" w:hAnsi="仿宋_GB2312" w:cs="仿宋_GB2312" w:eastAsia="仿宋_GB2312"/>
                <w:sz w:val="24"/>
              </w:rPr>
              <w:t>1、</w:t>
            </w:r>
            <w:r>
              <w:rPr>
                <w:rFonts w:ascii="仿宋_GB2312" w:hAnsi="仿宋_GB2312" w:cs="仿宋_GB2312" w:eastAsia="仿宋_GB2312"/>
                <w:sz w:val="24"/>
              </w:rPr>
              <w:t>编制并向采购人提供</w:t>
            </w:r>
            <w:r>
              <w:rPr>
                <w:rFonts w:ascii="仿宋_GB2312" w:hAnsi="仿宋_GB2312" w:cs="仿宋_GB2312" w:eastAsia="仿宋_GB2312"/>
                <w:sz w:val="24"/>
              </w:rPr>
              <w:t>项目测试用例及记录</w:t>
            </w:r>
            <w:r>
              <w:rPr>
                <w:rFonts w:ascii="仿宋_GB2312" w:hAnsi="仿宋_GB2312" w:cs="仿宋_GB2312" w:eastAsia="仿宋_GB2312"/>
                <w:sz w:val="24"/>
              </w:rPr>
              <w:t>，</w:t>
            </w:r>
            <w:r>
              <w:rPr>
                <w:rFonts w:ascii="仿宋_GB2312" w:hAnsi="仿宋_GB2312" w:cs="仿宋_GB2312" w:eastAsia="仿宋_GB2312"/>
                <w:sz w:val="24"/>
              </w:rPr>
              <w:t>包括电子版</w:t>
            </w:r>
            <w:r>
              <w:rPr>
                <w:rFonts w:ascii="仿宋_GB2312" w:hAnsi="仿宋_GB2312" w:cs="仿宋_GB2312" w:eastAsia="仿宋_GB2312"/>
                <w:sz w:val="24"/>
              </w:rPr>
              <w:t>1套和纸质版</w:t>
            </w:r>
            <w:r>
              <w:rPr>
                <w:rFonts w:ascii="仿宋_GB2312" w:hAnsi="仿宋_GB2312" w:cs="仿宋_GB2312" w:eastAsia="仿宋_GB2312"/>
                <w:sz w:val="24"/>
              </w:rPr>
              <w:t>2</w:t>
            </w:r>
            <w:r>
              <w:rPr>
                <w:rFonts w:ascii="仿宋_GB2312" w:hAnsi="仿宋_GB2312" w:cs="仿宋_GB2312" w:eastAsia="仿宋_GB2312"/>
                <w:sz w:val="24"/>
              </w:rPr>
              <w:t>份，电子版以</w:t>
            </w:r>
            <w:r>
              <w:rPr>
                <w:rFonts w:ascii="仿宋_GB2312" w:hAnsi="仿宋_GB2312" w:cs="仿宋_GB2312" w:eastAsia="仿宋_GB2312"/>
                <w:sz w:val="24"/>
              </w:rPr>
              <w:t>WORD或PDF格式提交，电子版与纸质版的内容应保持一致。</w:t>
            </w:r>
          </w:p>
          <w:p>
            <w:pPr>
              <w:pStyle w:val="null3"/>
              <w:spacing w:before="30"/>
              <w:ind w:firstLine="468"/>
              <w:jc w:val="left"/>
            </w:pPr>
            <w:r>
              <w:rPr>
                <w:rFonts w:ascii="仿宋_GB2312" w:hAnsi="仿宋_GB2312" w:cs="仿宋_GB2312" w:eastAsia="仿宋_GB2312"/>
                <w:sz w:val="24"/>
              </w:rPr>
              <w:t>2、编制</w:t>
            </w:r>
            <w:r>
              <w:rPr>
                <w:rFonts w:ascii="仿宋_GB2312" w:hAnsi="仿宋_GB2312" w:cs="仿宋_GB2312" w:eastAsia="仿宋_GB2312"/>
                <w:sz w:val="24"/>
              </w:rPr>
              <w:t>并向采购人提供</w:t>
            </w:r>
            <w:r>
              <w:rPr>
                <w:rFonts w:ascii="仿宋_GB2312" w:hAnsi="仿宋_GB2312" w:cs="仿宋_GB2312" w:eastAsia="仿宋_GB2312"/>
                <w:sz w:val="24"/>
              </w:rPr>
              <w:t>项目</w:t>
            </w:r>
            <w:r>
              <w:rPr>
                <w:rFonts w:ascii="仿宋_GB2312" w:hAnsi="仿宋_GB2312" w:cs="仿宋_GB2312" w:eastAsia="仿宋_GB2312"/>
                <w:sz w:val="24"/>
              </w:rPr>
              <w:t>测评报告</w:t>
            </w:r>
            <w:r>
              <w:rPr>
                <w:rFonts w:ascii="仿宋_GB2312" w:hAnsi="仿宋_GB2312" w:cs="仿宋_GB2312" w:eastAsia="仿宋_GB2312"/>
                <w:sz w:val="24"/>
              </w:rPr>
              <w:t>，包括电子版</w:t>
            </w:r>
            <w:r>
              <w:rPr>
                <w:rFonts w:ascii="仿宋_GB2312" w:hAnsi="仿宋_GB2312" w:cs="仿宋_GB2312" w:eastAsia="仿宋_GB2312"/>
                <w:sz w:val="24"/>
              </w:rPr>
              <w:t>各</w:t>
            </w:r>
            <w:r>
              <w:rPr>
                <w:rFonts w:ascii="仿宋_GB2312" w:hAnsi="仿宋_GB2312" w:cs="仿宋_GB2312" w:eastAsia="仿宋_GB2312"/>
                <w:sz w:val="24"/>
              </w:rPr>
              <w:t>1套和纸质版</w:t>
            </w:r>
            <w:r>
              <w:rPr>
                <w:rFonts w:ascii="仿宋_GB2312" w:hAnsi="仿宋_GB2312" w:cs="仿宋_GB2312" w:eastAsia="仿宋_GB2312"/>
                <w:sz w:val="24"/>
              </w:rPr>
              <w:t>各</w:t>
            </w:r>
            <w:r>
              <w:rPr>
                <w:rFonts w:ascii="仿宋_GB2312" w:hAnsi="仿宋_GB2312" w:cs="仿宋_GB2312" w:eastAsia="仿宋_GB2312"/>
                <w:sz w:val="24"/>
              </w:rPr>
              <w:t>2</w:t>
            </w:r>
            <w:r>
              <w:rPr>
                <w:rFonts w:ascii="仿宋_GB2312" w:hAnsi="仿宋_GB2312" w:cs="仿宋_GB2312" w:eastAsia="仿宋_GB2312"/>
                <w:sz w:val="24"/>
              </w:rPr>
              <w:t>份，电</w:t>
            </w:r>
            <w:r>
              <w:rPr>
                <w:rFonts w:ascii="仿宋_GB2312" w:hAnsi="仿宋_GB2312" w:cs="仿宋_GB2312" w:eastAsia="仿宋_GB2312"/>
                <w:sz w:val="24"/>
              </w:rPr>
              <w:t>子版以</w:t>
            </w:r>
            <w:r>
              <w:rPr>
                <w:rFonts w:ascii="仿宋_GB2312" w:hAnsi="仿宋_GB2312" w:cs="仿宋_GB2312" w:eastAsia="仿宋_GB2312"/>
                <w:sz w:val="24"/>
              </w:rPr>
              <w:t>WORD或PDF格式提交，电子版与纸质版的内容应保持一致。</w:t>
            </w:r>
          </w:p>
          <w:p>
            <w:pPr>
              <w:pStyle w:val="null3"/>
              <w:spacing w:before="30"/>
              <w:ind w:firstLine="468"/>
              <w:jc w:val="left"/>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投标人出具的检测</w:t>
            </w:r>
            <w:r>
              <w:rPr>
                <w:rFonts w:ascii="仿宋_GB2312" w:hAnsi="仿宋_GB2312" w:cs="仿宋_GB2312" w:eastAsia="仿宋_GB2312"/>
                <w:sz w:val="24"/>
              </w:rPr>
              <w:t>成果报告应为</w:t>
            </w:r>
            <w:r>
              <w:rPr>
                <w:rFonts w:ascii="仿宋_GB2312" w:hAnsi="仿宋_GB2312" w:cs="仿宋_GB2312" w:eastAsia="仿宋_GB2312"/>
                <w:sz w:val="24"/>
              </w:rPr>
              <w:t>合法有效</w:t>
            </w:r>
            <w:r>
              <w:rPr>
                <w:rFonts w:ascii="仿宋_GB2312" w:hAnsi="仿宋_GB2312" w:cs="仿宋_GB2312" w:eastAsia="仿宋_GB2312"/>
                <w:sz w:val="24"/>
              </w:rPr>
              <w:t>的检测报告</w:t>
            </w:r>
            <w:r>
              <w:rPr>
                <w:rFonts w:ascii="仿宋_GB2312" w:hAnsi="仿宋_GB2312" w:cs="仿宋_GB2312" w:eastAsia="仿宋_GB2312"/>
                <w:sz w:val="24"/>
              </w:rPr>
              <w:t>。</w:t>
            </w:r>
            <w:r>
              <w:rPr>
                <w:rFonts w:ascii="仿宋_GB2312" w:hAnsi="仿宋_GB2312" w:cs="仿宋_GB2312" w:eastAsia="仿宋_GB2312"/>
                <w:sz w:val="24"/>
              </w:rPr>
              <w:t>投标人应</w:t>
            </w:r>
            <w:r>
              <w:rPr>
                <w:rFonts w:ascii="仿宋_GB2312" w:hAnsi="仿宋_GB2312" w:cs="仿宋_GB2312" w:eastAsia="仿宋_GB2312"/>
                <w:sz w:val="24"/>
              </w:rPr>
              <w:t>对</w:t>
            </w:r>
            <w:r>
              <w:rPr>
                <w:rFonts w:ascii="仿宋_GB2312" w:hAnsi="仿宋_GB2312" w:cs="仿宋_GB2312" w:eastAsia="仿宋_GB2312"/>
                <w:sz w:val="24"/>
              </w:rPr>
              <w:t>提供的成果资料</w:t>
            </w:r>
            <w:r>
              <w:rPr>
                <w:rFonts w:ascii="仿宋_GB2312" w:hAnsi="仿宋_GB2312" w:cs="仿宋_GB2312" w:eastAsia="仿宋_GB2312"/>
                <w:sz w:val="24"/>
              </w:rPr>
              <w:t>的</w:t>
            </w:r>
            <w:r>
              <w:rPr>
                <w:rFonts w:ascii="仿宋_GB2312" w:hAnsi="仿宋_GB2312" w:cs="仿宋_GB2312" w:eastAsia="仿宋_GB2312"/>
                <w:sz w:val="24"/>
              </w:rPr>
              <w:t>有效性</w:t>
            </w:r>
            <w:r>
              <w:rPr>
                <w:rFonts w:ascii="仿宋_GB2312" w:hAnsi="仿宋_GB2312" w:cs="仿宋_GB2312" w:eastAsia="仿宋_GB2312"/>
                <w:sz w:val="24"/>
              </w:rPr>
              <w:t>、</w:t>
            </w:r>
            <w:r>
              <w:rPr>
                <w:rFonts w:ascii="仿宋_GB2312" w:hAnsi="仿宋_GB2312" w:cs="仿宋_GB2312" w:eastAsia="仿宋_GB2312"/>
                <w:sz w:val="24"/>
              </w:rPr>
              <w:t>真实性及合规性</w:t>
            </w:r>
            <w:r>
              <w:rPr>
                <w:rFonts w:ascii="仿宋_GB2312" w:hAnsi="仿宋_GB2312" w:cs="仿宋_GB2312" w:eastAsia="仿宋_GB2312"/>
                <w:sz w:val="24"/>
              </w:rPr>
              <w:t>负责</w:t>
            </w:r>
            <w:r>
              <w:rPr>
                <w:rFonts w:ascii="仿宋_GB2312" w:hAnsi="仿宋_GB2312" w:cs="仿宋_GB2312" w:eastAsia="仿宋_GB2312"/>
                <w:sz w:val="24"/>
              </w:rPr>
              <w:t>。</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服务团队要求</w:t>
            </w:r>
          </w:p>
        </w:tc>
        <w:tc>
          <w:tcPr>
            <w:tcW w:type="dxa" w:w="5814"/>
          </w:tcPr>
          <w:p>
            <w:pPr>
              <w:pStyle w:val="null3"/>
              <w:ind w:firstLine="468"/>
              <w:jc w:val="both"/>
            </w:pPr>
            <w:r>
              <w:rPr>
                <w:rFonts w:ascii="仿宋_GB2312" w:hAnsi="仿宋_GB2312" w:cs="仿宋_GB2312" w:eastAsia="仿宋_GB2312"/>
                <w:sz w:val="24"/>
              </w:rPr>
              <w:t>1、投标人为本项目配备保障项目顺利实施的并具有完成项目相关技术能力的项目服务团队，团队人员人数不少于5人，履约过程中，投标人所配备的项目团队人员的安全由投标人自行负责并承担全部责任。</w:t>
            </w:r>
          </w:p>
          <w:p>
            <w:pPr>
              <w:pStyle w:val="null3"/>
              <w:ind w:firstLine="472"/>
              <w:jc w:val="both"/>
            </w:pPr>
            <w:r>
              <w:rPr>
                <w:rFonts w:ascii="仿宋_GB2312" w:hAnsi="仿宋_GB2312" w:cs="仿宋_GB2312" w:eastAsia="仿宋_GB2312"/>
                <w:sz w:val="24"/>
              </w:rPr>
              <w:t>2</w:t>
            </w:r>
            <w:r>
              <w:rPr>
                <w:rFonts w:ascii="仿宋_GB2312" w:hAnsi="仿宋_GB2312" w:cs="仿宋_GB2312" w:eastAsia="仿宋_GB2312"/>
                <w:sz w:val="24"/>
              </w:rPr>
              <w:t>、投标人应对项目团队人员进行管理，保障项目团队人员严格遵守工作纪律、履行工作职责，人员不得在工作中徇私舞弊、玩忽职守，应确保服务工作的客观公正。</w:t>
            </w:r>
          </w:p>
          <w:p>
            <w:pPr>
              <w:pStyle w:val="null3"/>
              <w:ind w:firstLine="472"/>
              <w:jc w:val="both"/>
            </w:pPr>
            <w:r>
              <w:rPr>
                <w:rFonts w:ascii="仿宋_GB2312" w:hAnsi="仿宋_GB2312" w:cs="仿宋_GB2312" w:eastAsia="仿宋_GB2312"/>
                <w:sz w:val="24"/>
              </w:rPr>
              <w:t>3</w:t>
            </w:r>
            <w:r>
              <w:rPr>
                <w:rFonts w:ascii="仿宋_GB2312" w:hAnsi="仿宋_GB2312" w:cs="仿宋_GB2312" w:eastAsia="仿宋_GB2312"/>
                <w:sz w:val="24"/>
              </w:rPr>
              <w:t>、投标人配备本项目服务的相关工作人员在</w:t>
            </w:r>
            <w:r>
              <w:rPr>
                <w:rFonts w:ascii="仿宋_GB2312" w:hAnsi="仿宋_GB2312" w:cs="仿宋_GB2312" w:eastAsia="仿宋_GB2312"/>
                <w:sz w:val="24"/>
              </w:rPr>
              <w:t>履约</w:t>
            </w:r>
            <w:r>
              <w:rPr>
                <w:rFonts w:ascii="仿宋_GB2312" w:hAnsi="仿宋_GB2312" w:cs="仿宋_GB2312" w:eastAsia="仿宋_GB2312"/>
                <w:sz w:val="24"/>
              </w:rPr>
              <w:t>期间需遵守</w:t>
            </w:r>
            <w:r>
              <w:rPr>
                <w:rFonts w:ascii="仿宋_GB2312" w:hAnsi="仿宋_GB2312" w:cs="仿宋_GB2312" w:eastAsia="仿宋_GB2312"/>
                <w:sz w:val="24"/>
              </w:rPr>
              <w:t>采购人</w:t>
            </w:r>
            <w:r>
              <w:rPr>
                <w:rFonts w:ascii="仿宋_GB2312" w:hAnsi="仿宋_GB2312" w:cs="仿宋_GB2312" w:eastAsia="仿宋_GB2312"/>
                <w:sz w:val="24"/>
              </w:rPr>
              <w:t>相关管理规定，禁止利用</w:t>
            </w:r>
            <w:r>
              <w:rPr>
                <w:rFonts w:ascii="仿宋_GB2312" w:hAnsi="仿宋_GB2312" w:cs="仿宋_GB2312" w:eastAsia="仿宋_GB2312"/>
                <w:sz w:val="24"/>
              </w:rPr>
              <w:t>项目</w:t>
            </w:r>
            <w:r>
              <w:rPr>
                <w:rFonts w:ascii="仿宋_GB2312" w:hAnsi="仿宋_GB2312" w:cs="仿宋_GB2312" w:eastAsia="仿宋_GB2312"/>
                <w:sz w:val="24"/>
              </w:rPr>
              <w:t>工作从事危害</w:t>
            </w:r>
            <w:r>
              <w:rPr>
                <w:rFonts w:ascii="仿宋_GB2312" w:hAnsi="仿宋_GB2312" w:cs="仿宋_GB2312" w:eastAsia="仿宋_GB2312"/>
                <w:sz w:val="24"/>
              </w:rPr>
              <w:t>采购人</w:t>
            </w:r>
            <w:r>
              <w:rPr>
                <w:rFonts w:ascii="仿宋_GB2312" w:hAnsi="仿宋_GB2312" w:cs="仿宋_GB2312" w:eastAsia="仿宋_GB2312"/>
                <w:sz w:val="24"/>
              </w:rPr>
              <w:t>利益、安全的活动。</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服务内容及要求</w:t>
            </w:r>
          </w:p>
        </w:tc>
        <w:tc>
          <w:tcPr>
            <w:tcW w:type="dxa" w:w="5814"/>
          </w:tcPr>
          <w:p>
            <w:pPr>
              <w:pStyle w:val="null3"/>
              <w:ind w:firstLine="472"/>
              <w:jc w:val="both"/>
            </w:pPr>
            <w:r>
              <w:rPr>
                <w:rFonts w:ascii="仿宋_GB2312" w:hAnsi="仿宋_GB2312" w:cs="仿宋_GB2312" w:eastAsia="仿宋_GB2312"/>
                <w:sz w:val="24"/>
              </w:rPr>
              <w:t>1、服务对象：成都市新都区第二人民医院迁建医院信息化建设服务项目涉及的全部软件系统，软件系统清单详见附件。</w:t>
            </w:r>
          </w:p>
          <w:p>
            <w:pPr>
              <w:pStyle w:val="null3"/>
              <w:ind w:firstLine="472"/>
              <w:jc w:val="both"/>
            </w:pPr>
            <w:r>
              <w:rPr>
                <w:rFonts w:ascii="仿宋_GB2312" w:hAnsi="仿宋_GB2312" w:cs="仿宋_GB2312" w:eastAsia="仿宋_GB2312"/>
                <w:sz w:val="24"/>
              </w:rPr>
              <w:t>2、负责开展功能测试工作：在系统正式运行环境中，采用手工验证的方式，对系统中的主要及关键功能点进行测试，检测在当前硬件、软件环境下，系统各功能点的正确性和可用性，验证各项主要功能是否满足招标需求和用户使用的要求。</w:t>
            </w:r>
          </w:p>
          <w:p>
            <w:pPr>
              <w:pStyle w:val="null3"/>
              <w:ind w:firstLine="472"/>
              <w:jc w:val="both"/>
            </w:pPr>
            <w:r>
              <w:rPr>
                <w:rFonts w:ascii="仿宋_GB2312" w:hAnsi="仿宋_GB2312" w:cs="仿宋_GB2312" w:eastAsia="仿宋_GB2312"/>
                <w:sz w:val="24"/>
              </w:rPr>
              <w:t>3、负责开展性能（效率）测试工作：采用自动化测试工具通过编写测试用例，模拟综合业务情况下用户并发性操作系统时，系统性能是否达到要求。</w:t>
            </w:r>
          </w:p>
          <w:p>
            <w:pPr>
              <w:pStyle w:val="null3"/>
              <w:ind w:firstLine="472"/>
              <w:jc w:val="both"/>
            </w:pPr>
            <w:r>
              <w:rPr>
                <w:rFonts w:ascii="仿宋_GB2312" w:hAnsi="仿宋_GB2312" w:cs="仿宋_GB2312" w:eastAsia="仿宋_GB2312"/>
                <w:sz w:val="24"/>
              </w:rPr>
              <w:t>4、负责开展可靠性测试工作：至少从成熟性、容错性、易恢复性三个方面进行可靠性测试。</w:t>
            </w:r>
          </w:p>
          <w:p>
            <w:pPr>
              <w:pStyle w:val="null3"/>
              <w:ind w:firstLine="472"/>
              <w:jc w:val="both"/>
            </w:pPr>
            <w:r>
              <w:rPr>
                <w:rFonts w:ascii="仿宋_GB2312" w:hAnsi="仿宋_GB2312" w:cs="仿宋_GB2312" w:eastAsia="仿宋_GB2312"/>
                <w:sz w:val="24"/>
              </w:rPr>
              <w:t>5、负责开展易用性测试工作：考察评定软件的易学易用性，对各个功能是否易于完成、软件界面是否友好进行测试，易用性测试应包括以下三个方面：易理解性、易学性、易操作性。</w:t>
            </w:r>
          </w:p>
          <w:p>
            <w:pPr>
              <w:pStyle w:val="null3"/>
              <w:ind w:firstLine="472"/>
              <w:jc w:val="both"/>
            </w:pPr>
            <w:r>
              <w:rPr>
                <w:rFonts w:ascii="仿宋_GB2312" w:hAnsi="仿宋_GB2312" w:cs="仿宋_GB2312" w:eastAsia="仿宋_GB2312"/>
                <w:sz w:val="24"/>
              </w:rPr>
              <w:t>6、负责开展可移植性测试工作：检测软件产品从一种环境迁移到另外一种环境的能力。可移植性测试应包括以下四个方面：适应性、易安装性、共存性、易替换性。</w:t>
            </w:r>
          </w:p>
          <w:p>
            <w:pPr>
              <w:pStyle w:val="null3"/>
              <w:ind w:firstLine="472"/>
              <w:jc w:val="both"/>
            </w:pPr>
            <w:r>
              <w:rPr>
                <w:rFonts w:ascii="仿宋_GB2312" w:hAnsi="仿宋_GB2312" w:cs="仿宋_GB2312" w:eastAsia="仿宋_GB2312"/>
                <w:sz w:val="24"/>
              </w:rPr>
              <w:t>7、负责维护性测试工作：检测软件开发工作是否严格按照软件工程的要求、是否遵循特定的软件标准或规范进行开发。保证软件的文档和源程序易于理解和修改，可维护性测试应包括以下四个方面：易分析性、易改变性、稳定性、易测试性。</w:t>
            </w:r>
          </w:p>
          <w:p>
            <w:pPr>
              <w:pStyle w:val="null3"/>
              <w:ind w:firstLine="472"/>
              <w:jc w:val="both"/>
            </w:pPr>
            <w:r>
              <w:rPr>
                <w:rFonts w:ascii="仿宋_GB2312" w:hAnsi="仿宋_GB2312" w:cs="仿宋_GB2312" w:eastAsia="仿宋_GB2312"/>
                <w:sz w:val="24"/>
              </w:rPr>
              <w:t>8、负责产品说明测试工作：参照需求说明，检查产品功能说明书描述的产品将要实现的功能是否已经完整、准确、一致、是否合理的描述了产品的功能，并确保这些功能是可测试的。</w:t>
            </w:r>
          </w:p>
          <w:p>
            <w:pPr>
              <w:pStyle w:val="null3"/>
              <w:ind w:firstLine="472"/>
              <w:jc w:val="both"/>
            </w:pPr>
            <w:r>
              <w:rPr>
                <w:rFonts w:ascii="仿宋_GB2312" w:hAnsi="仿宋_GB2312" w:cs="仿宋_GB2312" w:eastAsia="仿宋_GB2312"/>
                <w:sz w:val="24"/>
              </w:rPr>
              <w:t>9、负责文档集测试工作：按照系统文档的内容执行系统操作，验证文档的正确性、完整性和一致性，检测文档内容是否覆盖了系统的所有功能，检测文档描述内容与系统实际是否保持一致，检查文档内容是否条理清晰、结构合理、容易理解，检查文档内容语言表述和表现形式是否符合规范。文档集测试主要包括以下五个方面：完整性、正确性、一致性、易理解性、易浏览性。</w:t>
            </w:r>
          </w:p>
          <w:p>
            <w:pPr>
              <w:pStyle w:val="null3"/>
              <w:ind w:firstLine="472"/>
              <w:jc w:val="both"/>
            </w:pPr>
            <w:r>
              <w:rPr>
                <w:rFonts w:ascii="仿宋_GB2312" w:hAnsi="仿宋_GB2312" w:cs="仿宋_GB2312" w:eastAsia="仿宋_GB2312"/>
                <w:sz w:val="24"/>
              </w:rPr>
              <w:t>10、投标人应对本次测评的软件系统进行梳理，了解软件系统的主要业务应用、系统架构情况。对本项目所涉及软件系统进行现场测试，提出存在的缺陷并给出整改意见，待建设项目中标人整改后进行回归测试。</w:t>
            </w:r>
          </w:p>
          <w:p>
            <w:pPr>
              <w:pStyle w:val="null3"/>
              <w:ind w:firstLine="472"/>
              <w:jc w:val="both"/>
            </w:pPr>
            <w:r>
              <w:rPr>
                <w:rFonts w:ascii="仿宋_GB2312" w:hAnsi="仿宋_GB2312" w:cs="仿宋_GB2312" w:eastAsia="仿宋_GB2312"/>
                <w:sz w:val="24"/>
              </w:rPr>
              <w:t>11、投标人应至少依据GB/T 25000.51-2016 《系统与软件工程 系统与软件质量要求和评价（SQuaRE） 第51部分：就绪可用软件产品（RUSP）的质量要求和测试细则》、GB/T 25000.10-2016 《系统与软件工程 系统与软件质量要求和评价（SQuaRE） 第10部分：系统与软件质量模型》、GB/T 25000.45-2018 《系统与软件工程 系统与软件质量要求和评价（SQuaRE） 第45部分：易恢复性的评价模块》相关要求，同时依据被测评项目的招标文件、合同约定内容（详见四川政府采购网，可搜索项目编号N5101142023000023查看）开展本项目的测试评价工作。</w:t>
            </w:r>
          </w:p>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、项目实施过程中，被测软件系统可能面临业务中断、数据丢失的安全风险，投标人应就可能存在的风险进行识别并提醒采购人进行数据备份。</w:t>
            </w:r>
          </w:p>
          <w:p>
            <w:pPr>
              <w:pStyle w:val="null3"/>
              <w:ind w:firstLine="472"/>
              <w:jc w:val="both"/>
            </w:pPr>
            <w:r>
              <w:rPr>
                <w:rFonts w:ascii="仿宋_GB2312" w:hAnsi="仿宋_GB2312" w:cs="仿宋_GB2312" w:eastAsia="仿宋_GB2312"/>
                <w:sz w:val="24"/>
              </w:rPr>
              <w:t>1</w:t>
            </w:r>
            <w:r>
              <w:rPr>
                <w:rFonts w:ascii="仿宋_GB2312" w:hAnsi="仿宋_GB2312" w:cs="仿宋_GB2312" w:eastAsia="仿宋_GB2312"/>
                <w:sz w:val="24"/>
              </w:rPr>
              <w:t>3</w:t>
            </w:r>
            <w:r>
              <w:rPr>
                <w:rFonts w:ascii="仿宋_GB2312" w:hAnsi="仿宋_GB2312" w:cs="仿宋_GB2312" w:eastAsia="仿宋_GB2312"/>
                <w:sz w:val="24"/>
              </w:rPr>
              <w:t>、投标人及其配备的服务人员应当依据标准</w:t>
            </w:r>
            <w:r>
              <w:rPr>
                <w:rFonts w:ascii="仿宋_GB2312" w:hAnsi="仿宋_GB2312" w:cs="仿宋_GB2312" w:eastAsia="仿宋_GB2312"/>
                <w:sz w:val="24"/>
              </w:rPr>
              <w:t>规定</w:t>
            </w:r>
            <w:r>
              <w:rPr>
                <w:rFonts w:ascii="仿宋_GB2312" w:hAnsi="仿宋_GB2312" w:cs="仿宋_GB2312" w:eastAsia="仿宋_GB2312"/>
                <w:sz w:val="24"/>
              </w:rPr>
              <w:t>提供客观、公平、公正的服务，相关服务人员应注意测试记录和证据的接收、处理、存储和销毁，保护数据在测试期间免遭改变或遗失。</w:t>
            </w:r>
          </w:p>
          <w:p>
            <w:pPr>
              <w:pStyle w:val="null3"/>
              <w:ind w:firstLine="480"/>
              <w:jc w:val="both"/>
            </w:pPr>
            <w:r>
              <w:rPr>
                <w:rFonts w:ascii="仿宋_GB2312" w:hAnsi="仿宋_GB2312" w:cs="仿宋_GB2312" w:eastAsia="仿宋_GB2312"/>
                <w:sz w:val="24"/>
              </w:rPr>
              <w:t>1</w:t>
            </w:r>
            <w:r>
              <w:rPr>
                <w:rFonts w:ascii="仿宋_GB2312" w:hAnsi="仿宋_GB2312" w:cs="仿宋_GB2312" w:eastAsia="仿宋_GB2312"/>
                <w:sz w:val="24"/>
              </w:rPr>
              <w:t>4</w:t>
            </w:r>
            <w:r>
              <w:rPr>
                <w:rFonts w:ascii="仿宋_GB2312" w:hAnsi="仿宋_GB2312" w:cs="仿宋_GB2312" w:eastAsia="仿宋_GB2312"/>
                <w:sz w:val="24"/>
              </w:rPr>
              <w:t>、投标人对在服务过程中从采购人处获取的数据和向采购人借阅的文档资料应严格保密，应在工作结束后</w:t>
            </w:r>
            <w:r>
              <w:rPr>
                <w:rFonts w:ascii="仿宋_GB2312" w:hAnsi="仿宋_GB2312" w:cs="仿宋_GB2312" w:eastAsia="仿宋_GB2312"/>
                <w:sz w:val="24"/>
              </w:rPr>
              <w:t>5日内全部归还给采购人，未经采购人允许，不得擅自复制、保留。未经授权不得将项目中获取的信息及资料泄露给任何单位或个人，不得利用此数据进行任何侵害采购人的行为，否则采购人有权追究投标人的责任。投标人应当做好人员的保密管理工作，对配备的服务人员进行保密教育。</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项目整体方案</w:t>
            </w:r>
          </w:p>
        </w:tc>
        <w:tc>
          <w:tcPr>
            <w:tcW w:type="dxa" w:w="5814"/>
          </w:tcPr>
          <w:p>
            <w:pPr>
              <w:pStyle w:val="null3"/>
              <w:jc w:val="both"/>
            </w:pPr>
            <w:r>
              <w:rPr>
                <w:rFonts w:ascii="仿宋_GB2312" w:hAnsi="仿宋_GB2312" w:cs="仿宋_GB2312" w:eastAsia="仿宋_GB2312"/>
                <w:sz w:val="21"/>
              </w:rPr>
              <w:t xml:space="preserve">  投标人在投标文件中针对本项目提供项目整体方案，项目整体方案包括测评流程、测评技术方法、测评成果质量保障措施、进度计划及保障措施、项目信息保密管理措施、项目风险防范及处理措施、团队人员职责划分及团队人员管理措施。测评流程：投标人需对完成本项目测评工作的全流程安排进行说明；测评技术方法：投标人需对其开展测评工作采用的技术标准进行说明并提出达到标准的技术方法。</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合同签订后30天内完成测评工作并向采购人提交成果。（注：期限时间不含系统需整改的时间）</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成都市新都区第二人民医院院内采购人指定地点。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（1）验收标准：按法律法规规定、招标文件的技术服务及商务要求、中标人的投标文件应答以及合同约定标准进行验收。 （2）验收办法：按照《财政部关于进一步加强政府采购需求和履约验收管理的指导意见》（财库〔2016〕205号）、《政府采购需求管理办法》(财库〔2021〕22号)等相关规定的要求进行验收。验收由采购人组织，中标人配合进行，中标人履约完成且向采购人提出验收申请后10日内采购人组织开展验收工作，一次性验收合同金额的100%。</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1、合同签订完成且中标人向采购人提供等额有效发票后，达到付款条件起14日内，支付合同总金额的40.00%</w:t>
            </w:r>
          </w:p>
          <w:p>
            <w:pPr>
              <w:pStyle w:val="null3"/>
              <w:jc w:val="left"/>
            </w:pPr>
            <w:r>
              <w:rPr>
                <w:rFonts w:ascii="仿宋_GB2312" w:hAnsi="仿宋_GB2312" w:cs="仿宋_GB2312" w:eastAsia="仿宋_GB2312"/>
              </w:rPr>
              <w:t>2、项目全部工作履约完成经采购人验收合格，中标人向采购人提供等额有效发票后，达到付款条件起14日内，支付合同总金额的60.00%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一、违约责任： 1、如由于乙方自身原因，未能在合同约定时间内完成项目、提交成果资料，每逾期一日，乙方应向甲方支付合同金额0.5%的违约金。乙方支付违约金后，仍应按照合同规定继续履行合同，逾期天数达到30日的，甲方有权解除合同，乙方除退还甲方已支付款项外，还须按照合同金额的20%支付违约金。 2、乙方未对在服务过程从甲方处获取的数据和向甲方借阅的文档资料进行严格保密，出现擅自复制、保留或出现泄露给其他单位或个人的情形，甲方有权要求乙方承担合同金额20%的违约金，给甲方造成损失的，如违约金不足以弥补损失的，由乙方补足。 3、因乙方自身原因导致甲方信息灭失或造成甲方被测软件系统无法运行或发生争议、纠纷（且争议、纠纷经确定属乙方责任的），每发生一次，乙方应向甲方支付合同金额5%的违约金，给甲方造成损失且违约金不足以弥补甲方损失的，由乙方补足。 4、除以上明确规定情形外，在合同约定范围内乙方出现未按照合同约定提供服务的其他行为，每出现一次，甲方有权要求乙方支付合同金额0.5%的违约金。 5、合同期内，针对乙方未按照合同约定提供服务的行为，甲方有权下达整改通知书并要求乙方限期整改。乙方拒不整改或整改期满后依旧不符合合同规定要求，甲方有权解除终止合同，乙方除退还甲方已支付款项外，乙方还应向甲方支付合同金额20%的违约金。 6、因甲方原因造成支付逾期的，经乙方提出要求后甲方应当支付逾期利息，利息计算时的利率为合同订立时1年期贷款市场报价利率，计算基数为应付但逾期未支付的款项（因乙方原因造成的延期支付除外）。 7、如因乙方及其服务人员在履行职务过程中的的疏忽、失职、过错等故意或者过失原因给甲方造成损失或侵害，包括但不限于甲方本身的财产损失、由此而导致的甲方对任何第三方的法律责任，乙方对此均应承担全部的赔偿责任。 二、解决合同纠纷的方式： 在执行合同中发生的或与合同有关的争端，双方应通过友好协商解决，协商不成的，应向甲方所在地人民法院提起诉讼。 （注：甲方指采购人、乙方指中标人）</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（因系统填写格式受限，本招标文件3.3.2.商务要求中付款进度安排以下述商务要求中付款进度安排的要求为准） 一、商务要求： ★1、付款进度安排：（1）预付款：合同签订完成且中标人向采购人提供等额有效发票后10个工作日内，采购人支付合同金额的40%作为预付款。（2）项目全部工作履约完成经采购人验收合格，中标人向采购人提供等额有效发票后10个工作日内，采购人支付合同金额的60%。 ★二、投标人须在投标文件中按规定格式提供《技术、服务条款偏离表》《商务条款偏离表》。 三、投标人自2022年1月1日（含）以来具有类似项目业绩（类似项目业绩指包含软件测评工作内容的业绩）的承接经验，本项按照评标细则中业绩评分项规定进行评分。 ★四、投标报价要求：根据《关于推动解决政府采购异常低价问题的通知》（财库〔2026〕2号）的要求，政府采购评审中出现下列情形之一的，评审委员会应当启动异常低价投标（响应）审查程序： 1.投标（响应）报价低于全部通过符合性审查供应商投标（响应）报价平均值50%的，即投标（响应）报价＜全部通过符合性审查供应商投标（响应）报价平均值×50%； 2.投标（响应）报价低于通过符合性审查的次低报价供应商投标（响应）报价50%的，即投标（响应）报价＜通过符合性审查的次低报价供应商投标（响应）报价×50%； 3.投标（响应）报价低于采购项目最高限价45%的，即投标（响应）报价＜采购项目最高限价×45%； 4.评审委员会基于专业判断，认为供应商报价过低，有可能影响产品质量或者不能诚信履约的其他情形。 相关法律法规对供应商报价有规定的，从其规定。 评审委员会启动异常低价投标（响应）审查后，属于前述第1项至第4项情形的，应当要求相关供应商通过交易系统在合理的时间内对投标（响应）价格作出解释，提供项目具体成本测算等与报价合理性相关的书面说明及必要的证明材料，包括但不限于原材料成本、人工成本、制造费用等，给予相关供应商的合理时间不少于30分钟。其中，属于第3项情形，供应商已随投标（响应）文件一并提交相关书面说明及必要的证明材料的，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注释：招标文件第三章技术、服务及其他要求中未明确要求提供承诺或其他证明材料的实质性要求，如投标人未自行提供承诺函或声明函明确进行声明或承诺的，均以偏离表中应答情况作为评标依据，偏离表中未出现负偏离则视为满足要求。第三章技术、服务及其他要求中已明确要求提供承诺以外的其他证明材料的实质性要求应按明确要求提供其他证明材料进行佐证。对于招标文件中其他未明确要求提供证明材料的实质性要求，如投标人未自行明确进行声明或承诺的，以投标人在《投标（响应）函》中“我单位完全接受和理解本项目采购文件规定的实质性要求”进行承诺即视为已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本项目专门面向中小企业采购。提供《中小企业声明函》，残疾人福利性单位提供《残疾人福利性单位声明函》，监狱企业提供由省级以上监狱管理局、戒毒管理局（含新疆生产建设兵团）出具的属于监狱企业的证明文件。中小企业声明函中的标的名称和所属行业须按照招标文件中明确的标的名称和所属行业填写，否则《中小企业声明函》按照无效处理。</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投标人具备省级及以上监督管理部门颁发的检验检测机构资质认定证书（CMA）</w:t>
            </w:r>
          </w:p>
        </w:tc>
        <w:tc>
          <w:tcPr>
            <w:tcW w:type="dxa" w:w="3322"/>
          </w:tcPr>
          <w:p>
            <w:pPr>
              <w:pStyle w:val="null3"/>
              <w:jc w:val="left"/>
            </w:pPr>
            <w:r>
              <w:rPr>
                <w:rFonts w:ascii="仿宋_GB2312" w:hAnsi="仿宋_GB2312" w:cs="仿宋_GB2312" w:eastAsia="仿宋_GB2312"/>
              </w:rPr>
              <w:t>投标人具备省级及以上监督管理部门颁发的检验检测机构资质认定证书（CMA）：提供有效证书复印件并加盖投标人电子章</w:t>
            </w:r>
          </w:p>
        </w:tc>
        <w:tc>
          <w:tcPr>
            <w:tcW w:type="dxa" w:w="1661"/>
          </w:tcPr>
          <w:p>
            <w:pPr>
              <w:pStyle w:val="null3"/>
              <w:jc w:val="left"/>
            </w:pPr>
            <w:r>
              <w:rPr>
                <w:rFonts w:ascii="仿宋_GB2312" w:hAnsi="仿宋_GB2312" w:cs="仿宋_GB2312" w:eastAsia="仿宋_GB2312"/>
              </w:rPr>
              <w:t>投标人提交的其他资格性证明材料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本项目不接受联合体投标</w:t>
            </w:r>
          </w:p>
        </w:tc>
        <w:tc>
          <w:tcPr>
            <w:tcW w:type="dxa" w:w="3322"/>
          </w:tcPr>
          <w:p>
            <w:pPr>
              <w:pStyle w:val="null3"/>
              <w:jc w:val="left"/>
            </w:pPr>
            <w:r>
              <w:rPr>
                <w:rFonts w:ascii="仿宋_GB2312" w:hAnsi="仿宋_GB2312" w:cs="仿宋_GB2312" w:eastAsia="仿宋_GB2312"/>
              </w:rPr>
              <w:t>本项目不接受联合体投标：非联合体投标即可，无须提供其他证明材料</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投标文件组成符合招标文件的规定要求，不影响评标委员会评判（实质性要求）</w:t>
            </w:r>
          </w:p>
        </w:tc>
        <w:tc>
          <w:tcPr>
            <w:tcW w:type="dxa" w:w="3322"/>
          </w:tcPr>
          <w:p>
            <w:pPr>
              <w:pStyle w:val="null3"/>
              <w:jc w:val="left"/>
            </w:pPr>
            <w:r>
              <w:rPr>
                <w:rFonts w:ascii="仿宋_GB2312" w:hAnsi="仿宋_GB2312" w:cs="仿宋_GB2312" w:eastAsia="仿宋_GB2312"/>
              </w:rPr>
              <w:t>投标文件组成明显不符合招标文件的规定要求，影响评标委员会评判的，按无效投标处理。</w:t>
            </w:r>
          </w:p>
        </w:tc>
        <w:tc>
          <w:tcPr>
            <w:tcW w:type="dxa" w:w="1661"/>
          </w:tcPr>
          <w:p>
            <w:pPr>
              <w:pStyle w:val="null3"/>
              <w:jc w:val="left"/>
            </w:pPr>
            <w:r>
              <w:rPr>
                <w:rFonts w:ascii="仿宋_GB2312" w:hAnsi="仿宋_GB2312" w:cs="仿宋_GB2312" w:eastAsia="仿宋_GB2312"/>
              </w:rPr>
              <w:t>技术、服务条款偏离表,投标文件封面,报价表,投标（响应）函,商务条款偏离表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投标文件的格式、语言、计量单位、报价货币、知识产权、投标有效期等符合招标文件的规定，不影响评标委员会评判（实质性要求）</w:t>
            </w:r>
          </w:p>
        </w:tc>
        <w:tc>
          <w:tcPr>
            <w:tcW w:type="dxa" w:w="3322"/>
          </w:tcPr>
          <w:p>
            <w:pPr>
              <w:pStyle w:val="null3"/>
              <w:jc w:val="left"/>
            </w:pPr>
            <w:r>
              <w:rPr>
                <w:rFonts w:ascii="仿宋_GB2312" w:hAnsi="仿宋_GB2312" w:cs="仿宋_GB2312" w:eastAsia="仿宋_GB2312"/>
              </w:rPr>
              <w:t>投标文件的格式、语言、计量单位、报价货币、知识产权、投标有效期等不符合招标文件的规定，影响评标委员会评判的，按无效投标处理。</w:t>
            </w:r>
          </w:p>
        </w:tc>
        <w:tc>
          <w:tcPr>
            <w:tcW w:type="dxa" w:w="1661"/>
          </w:tcPr>
          <w:p>
            <w:pPr>
              <w:pStyle w:val="null3"/>
              <w:jc w:val="left"/>
            </w:pPr>
            <w:r>
              <w:rPr>
                <w:rFonts w:ascii="仿宋_GB2312" w:hAnsi="仿宋_GB2312" w:cs="仿宋_GB2312" w:eastAsia="仿宋_GB2312"/>
              </w:rPr>
              <w:t>技术、服务条款偏离表,投标文件封面,报价表,投标（响应）函,商务条款偏离表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投标报价符合招标文件规定的限价或其他报价规定（实质性要求）</w:t>
            </w:r>
          </w:p>
        </w:tc>
        <w:tc>
          <w:tcPr>
            <w:tcW w:type="dxa" w:w="3322"/>
          </w:tcPr>
          <w:p>
            <w:pPr>
              <w:pStyle w:val="null3"/>
              <w:jc w:val="left"/>
            </w:pPr>
            <w:r>
              <w:rPr>
                <w:rFonts w:ascii="仿宋_GB2312" w:hAnsi="仿宋_GB2312" w:cs="仿宋_GB2312" w:eastAsia="仿宋_GB2312"/>
              </w:rPr>
              <w:t>投标报价不符合招标文件规定的限价或其他报价规定的，按无效投标处理。</w:t>
            </w:r>
          </w:p>
        </w:tc>
        <w:tc>
          <w:tcPr>
            <w:tcW w:type="dxa" w:w="1661"/>
          </w:tcPr>
          <w:p>
            <w:pPr>
              <w:pStyle w:val="null3"/>
              <w:jc w:val="left"/>
            </w:pPr>
            <w:r>
              <w:rPr>
                <w:rFonts w:ascii="仿宋_GB2312" w:hAnsi="仿宋_GB2312" w:cs="仿宋_GB2312" w:eastAsia="仿宋_GB2312"/>
              </w:rPr>
              <w:t>报价表</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商务、技术、服务应答内容完全响应招标文件的实质性要求（实质性要求）</w:t>
            </w:r>
          </w:p>
        </w:tc>
        <w:tc>
          <w:tcPr>
            <w:tcW w:type="dxa" w:w="3322"/>
          </w:tcPr>
          <w:p>
            <w:pPr>
              <w:pStyle w:val="null3"/>
              <w:jc w:val="left"/>
            </w:pPr>
            <w:r>
              <w:rPr>
                <w:rFonts w:ascii="仿宋_GB2312" w:hAnsi="仿宋_GB2312" w:cs="仿宋_GB2312" w:eastAsia="仿宋_GB2312"/>
              </w:rPr>
              <w:t>商务、技术、服务应答内容没有完全响应招标文件的实质性要求的，按无效投标处理。</w:t>
            </w:r>
          </w:p>
        </w:tc>
        <w:tc>
          <w:tcPr>
            <w:tcW w:type="dxa" w:w="1661"/>
          </w:tcPr>
          <w:p>
            <w:pPr>
              <w:pStyle w:val="null3"/>
              <w:jc w:val="left"/>
            </w:pPr>
            <w:r>
              <w:rPr>
                <w:rFonts w:ascii="仿宋_GB2312" w:hAnsi="仿宋_GB2312" w:cs="仿宋_GB2312" w:eastAsia="仿宋_GB2312"/>
              </w:rPr>
              <w:t>技术、服务条款偏离表,投标人提交的其他证明材料,商务条款偏离表</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完全响应招标文件的其他实质性要求或不属于招标文件中投标无效情形（实质性要求）</w:t>
            </w:r>
          </w:p>
        </w:tc>
        <w:tc>
          <w:tcPr>
            <w:tcW w:type="dxa" w:w="3322"/>
          </w:tcPr>
          <w:p>
            <w:pPr>
              <w:pStyle w:val="null3"/>
              <w:jc w:val="left"/>
            </w:pPr>
            <w:r>
              <w:rPr>
                <w:rFonts w:ascii="仿宋_GB2312" w:hAnsi="仿宋_GB2312" w:cs="仿宋_GB2312" w:eastAsia="仿宋_GB2312"/>
              </w:rPr>
              <w:t>没有完全响应招标文件的其他实质性要求或属于招标文件中投标无效情形的，按无效投标处理。</w:t>
            </w:r>
          </w:p>
        </w:tc>
        <w:tc>
          <w:tcPr>
            <w:tcW w:type="dxa" w:w="1661"/>
          </w:tcPr>
          <w:p>
            <w:pPr>
              <w:pStyle w:val="null3"/>
              <w:jc w:val="left"/>
            </w:pPr>
            <w:r>
              <w:rPr>
                <w:rFonts w:ascii="仿宋_GB2312" w:hAnsi="仿宋_GB2312" w:cs="仿宋_GB2312" w:eastAsia="仿宋_GB2312"/>
              </w:rPr>
              <w:t>技术、服务条款偏离表,投标人提交的其他证明材料,投标文件封面,报价表,投标（响应）函,商务条款偏离表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项目整体方案</w:t>
            </w:r>
          </w:p>
        </w:tc>
        <w:tc>
          <w:tcPr>
            <w:tcW w:type="dxa" w:w="2575"/>
          </w:tcPr>
          <w:p>
            <w:pPr>
              <w:pStyle w:val="null3"/>
              <w:jc w:val="left"/>
            </w:pPr>
            <w:r>
              <w:rPr>
                <w:rFonts w:ascii="仿宋_GB2312" w:hAnsi="仿宋_GB2312" w:cs="仿宋_GB2312" w:eastAsia="仿宋_GB2312"/>
              </w:rPr>
              <w:t>投标人编制的项目整体方案包括①测评流程、②测评技术方法、③测评成果质量保障措施、④进度计划及保障措施、⑤项目信息保密管理措施、⑥项目风险防范及处理措施、⑦团队人员职责划分及团队人员管理措施。以上七项内容每单项内容无缺项、无缺陷得6分，共42分；每有一项内容缺项扣6分；每项内容每有一处缺陷扣3分（缺陷指存在规范或标准错误、地点区域错误、项目名称错误、仅有框架或标题、出现与本项目无关的内容、不符合采购需求、方案内容存在矛盾、方案内容仅复制粘贴照搬项目需求以上任意一种情况），单项内容分值扣完为止。</w:t>
            </w:r>
          </w:p>
        </w:tc>
        <w:tc>
          <w:tcPr>
            <w:tcW w:type="dxa" w:w="831"/>
          </w:tcPr>
          <w:p>
            <w:pPr>
              <w:pStyle w:val="null3"/>
              <w:jc w:val="center"/>
            </w:pPr>
            <w:r>
              <w:rPr>
                <w:rFonts w:ascii="仿宋_GB2312" w:hAnsi="仿宋_GB2312" w:cs="仿宋_GB2312" w:eastAsia="仿宋_GB2312"/>
              </w:rPr>
              <w:t>42.0000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项目整体方案</w:t>
            </w:r>
          </w:p>
        </w:tc>
      </w:tr>
      <w:tr>
        <w:tc>
          <w:tcPr>
            <w:tcW w:type="dxa" w:w="831"/>
            <w:vMerge/>
          </w:tcPr>
          <w:p/>
        </w:tc>
        <w:tc>
          <w:tcPr>
            <w:tcW w:type="dxa" w:w="1661"/>
          </w:tcPr>
          <w:p>
            <w:pPr>
              <w:pStyle w:val="null3"/>
              <w:jc w:val="left"/>
            </w:pPr>
            <w:r>
              <w:rPr>
                <w:rFonts w:ascii="仿宋_GB2312" w:hAnsi="仿宋_GB2312" w:cs="仿宋_GB2312" w:eastAsia="仿宋_GB2312"/>
              </w:rPr>
              <w:t>类似项目业绩</w:t>
            </w:r>
          </w:p>
        </w:tc>
        <w:tc>
          <w:tcPr>
            <w:tcW w:type="dxa" w:w="2575"/>
          </w:tcPr>
          <w:p>
            <w:pPr>
              <w:pStyle w:val="null3"/>
              <w:jc w:val="left"/>
            </w:pPr>
            <w:r>
              <w:rPr>
                <w:rFonts w:ascii="仿宋_GB2312" w:hAnsi="仿宋_GB2312" w:cs="仿宋_GB2312" w:eastAsia="仿宋_GB2312"/>
              </w:rPr>
              <w:t>投标人自2022年1月1日（含）以来，每有一个类似项目业绩（类似项目业绩指包含软件测评工作内容的业绩）得2.6分，最多得13分。 （注：提供合同复印件并加盖投标人电子章。业绩时间认定以合同签订时间为准）</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投标人提交的其他证明材料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项目团队配置</w:t>
            </w:r>
          </w:p>
        </w:tc>
        <w:tc>
          <w:tcPr>
            <w:tcW w:type="dxa" w:w="2575"/>
          </w:tcPr>
          <w:p>
            <w:pPr>
              <w:pStyle w:val="null3"/>
              <w:jc w:val="left"/>
            </w:pPr>
            <w:r>
              <w:rPr>
                <w:rFonts w:ascii="仿宋_GB2312" w:hAnsi="仿宋_GB2312" w:cs="仿宋_GB2312" w:eastAsia="仿宋_GB2312"/>
              </w:rPr>
              <w:t>一、投标人为本项目配备的服务团队人员中： 1、每有一人具有信息系统项目管理师证书得3分，最多得3分； 2、每有一人具有注册信息安全专业人员证书（CISP）得3分，最多得3分； 3、每有一人具有软件评测师证书得3分，最多得3分。 4、每有一人具有个人信息保护合规审计师认证证书（PIPCA）得3分，最多得3分； 5、每有一人具有数据安全评估师（DSA）证书得3分，最多得3分； 注：提供人员有效证书复印件，同一人员不重复计分。 二、配备的服务团队人员中每有一人具有软件测评服务工作经历的得4分，最多得20分。 注：投标人针对人员工作经历提供声明函并盖章，格式自拟，声明函内容至少能体现出配备的服务团队人员中具体有多少名人员具有软件测评服务工作经历。未提供不得分。</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投标人提交的其他证明材料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满足招标文件要求且报价最低的投标人的价格为评标基准价，其价格分为满分。其他投标人的价格分统一按照下列公式计算：投标报价得分=(评标基准价/投标报价)×本项分值。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详见附件：技术、服务条款偏离表</w:t>
      </w:r>
    </w:p>
    <w:p>
      <w:pPr>
        <w:pStyle w:val="null3"/>
        <w:ind w:firstLine="960"/>
        <w:jc w:val="left"/>
      </w:pPr>
      <w:r>
        <w:rPr>
          <w:rFonts w:ascii="仿宋_GB2312" w:hAnsi="仿宋_GB2312" w:cs="仿宋_GB2312" w:eastAsia="仿宋_GB2312"/>
        </w:rPr>
        <w:t>详见附件：商务条款偏离表</w:t>
      </w:r>
    </w:p>
    <w:p>
      <w:pPr>
        <w:pStyle w:val="null3"/>
        <w:ind w:firstLine="960"/>
        <w:jc w:val="left"/>
      </w:pPr>
      <w:r>
        <w:rPr>
          <w:rFonts w:ascii="仿宋_GB2312" w:hAnsi="仿宋_GB2312" w:cs="仿宋_GB2312" w:eastAsia="仿宋_GB2312"/>
        </w:rPr>
        <w:t>详见附件：投标人提交的其他证明材料</w:t>
      </w:r>
    </w:p>
    <w:p>
      <w:pPr>
        <w:pStyle w:val="null3"/>
        <w:ind w:firstLine="960"/>
        <w:jc w:val="left"/>
      </w:pPr>
      <w:r>
        <w:rPr>
          <w:rFonts w:ascii="仿宋_GB2312" w:hAnsi="仿宋_GB2312" w:cs="仿宋_GB2312" w:eastAsia="仿宋_GB2312"/>
        </w:rPr>
        <w:t>详见附件：投标人提交的其他资格性证明材料</w:t>
      </w:r>
    </w:p>
    <w:p>
      <w:pPr>
        <w:pStyle w:val="null3"/>
        <w:ind w:firstLine="960"/>
        <w:jc w:val="left"/>
      </w:pPr>
      <w:r>
        <w:rPr>
          <w:rFonts w:ascii="仿宋_GB2312" w:hAnsi="仿宋_GB2312" w:cs="仿宋_GB2312" w:eastAsia="仿宋_GB2312"/>
        </w:rPr>
        <w:t>详见附件：项目整体方案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详见附件：拟签订政府采购合同文本.docx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