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8350C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江西水利职业学院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湖东校区匠心楼一层架空层</w:t>
      </w:r>
    </w:p>
    <w:p w14:paraId="3A966A80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快递点改造项目招标方案</w:t>
      </w:r>
    </w:p>
    <w:p w14:paraId="1D949DEB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906184F">
      <w:pPr>
        <w:numPr>
          <w:ilvl w:val="0"/>
          <w:numId w:val="1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基本信息</w:t>
      </w:r>
    </w:p>
    <w:p w14:paraId="528B4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1、项目名称：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江西水利职业学院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湖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东校区匠心楼一层架空层快递点改造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服务项目。</w:t>
      </w:r>
    </w:p>
    <w:p w14:paraId="7915E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2、项目地址：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江西水利职业学院赣江新区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校区位于赣江新区永修组团湖东新区永丰垦殖场付垄大队、南山大队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九江市永修县辖区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）。</w:t>
      </w:r>
    </w:p>
    <w:p w14:paraId="1ABD4766">
      <w:pPr>
        <w:numPr>
          <w:ilvl w:val="0"/>
          <w:numId w:val="1"/>
        </w:numPr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预算控制金额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(元)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99888.02元。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此次服务项目采用竞价方式，最高限定总价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99888.02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投标人须提供详细报价清单，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报价应包含完成本工程所需人工、材料、设备、运输、管理、税费、保险及保修等一切费用。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报价不得超过预算控制价。</w:t>
      </w:r>
    </w:p>
    <w:p w14:paraId="7975FC97">
      <w:pPr>
        <w:numPr>
          <w:ilvl w:val="0"/>
          <w:numId w:val="1"/>
        </w:numPr>
        <w:ind w:left="0" w:leftChars="0" w:firstLine="643" w:firstLineChars="20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服务内容及要求</w:t>
      </w:r>
    </w:p>
    <w:p w14:paraId="586C2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中标人须负责完成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匠心楼一层架空层改造为快递点的全部施工工程，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并确保在2026年1月31日前交付使用，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包括但不限于：</w:t>
      </w:r>
      <w:bookmarkStart w:id="0" w:name="_GoBack"/>
      <w:bookmarkEnd w:id="0"/>
    </w:p>
    <w:p w14:paraId="4C97E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1、墙体</w:t>
      </w: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eastAsia="zh-CN"/>
        </w:rPr>
        <w:t>材质及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要求</w:t>
      </w:r>
    </w:p>
    <w:p w14:paraId="45A2D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采用轻质隔墙板或砌块外墙，外墙颜色及材质同建筑外立面，墙高4米。</w:t>
      </w:r>
    </w:p>
    <w:p w14:paraId="723D5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2、大门与窗户数量及进出口</w:t>
      </w:r>
    </w:p>
    <w:p w14:paraId="6A26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（1）北侧：北侧分别开设两樘玻璃门，尺寸为1.8M*2.1M，及相应坡道（约2平方米）。在北侧中间位置开设一扇窗户，便于通风和观察内部情况。</w:t>
      </w:r>
    </w:p>
    <w:p w14:paraId="3E2F9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（2）西侧：西侧消防楼梯附近设尺寸为1.8M*2.1M门，及相应坡道（约2平方米），满足卸货需求。</w:t>
      </w:r>
    </w:p>
    <w:p w14:paraId="09AD9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3、电气设施配置</w:t>
      </w:r>
    </w:p>
    <w:p w14:paraId="3377A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（1）插电板设置：在四面墙上均匀分布插电板，每面至少设置3个左右，确保快递点内各区域用电方便。选用防水、防尘型插电板，配备过载保护功能，确保用电安全。</w:t>
      </w:r>
    </w:p>
    <w:p w14:paraId="2F326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（2）照明系统：内部安装LED节能灯，亮度适中，分布均匀，确保夜间操作视线清晰。</w:t>
      </w:r>
    </w:p>
    <w:p w14:paraId="43395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（3）网线端口：在内部墙面合理位置设置至少2-3个网线端口，便于快递点内电脑、摄像头、入货出货设备等设备联网。</w:t>
      </w:r>
    </w:p>
    <w:p w14:paraId="679B7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4、消防设施</w:t>
      </w:r>
    </w:p>
    <w:p w14:paraId="733B4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按规范设置相关消防设备设施。</w:t>
      </w:r>
    </w:p>
    <w:p w14:paraId="6B065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5、其他相关配套工程</w:t>
      </w:r>
    </w:p>
    <w:p w14:paraId="427C6F08">
      <w:pPr>
        <w:numPr>
          <w:ilvl w:val="0"/>
          <w:numId w:val="1"/>
        </w:numPr>
        <w:ind w:left="0" w:leftChars="0" w:firstLine="643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投标人资格要求</w:t>
      </w:r>
    </w:p>
    <w:p w14:paraId="51F238E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具备独立法人资格，持有有效的营业执照，经营范围包含建筑装饰、装修或其他相关业务；</w:t>
      </w:r>
    </w:p>
    <w:p w14:paraId="3576E3E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具备建筑装饰装修工程或相关施工资质；</w:t>
      </w:r>
    </w:p>
    <w:p w14:paraId="27F564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近三年内完成过类似改造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、改建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项目，具备良好的施工经验与信誉；</w:t>
      </w:r>
    </w:p>
    <w:p w14:paraId="48D715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具备完善的施工组织能力和安全生产管理制度；</w:t>
      </w:r>
    </w:p>
    <w:p w14:paraId="589807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本项目不接受联合体投标。</w:t>
      </w:r>
    </w:p>
    <w:p w14:paraId="3EBE29D9">
      <w:pPr>
        <w:numPr>
          <w:ilvl w:val="0"/>
          <w:numId w:val="0"/>
        </w:numPr>
        <w:ind w:leftChars="200" w:firstLine="321" w:firstLineChars="100"/>
        <w:jc w:val="left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技术要求</w:t>
      </w:r>
    </w:p>
    <w:p w14:paraId="717D6D4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所有材料需符合国家相关标准，并提供合格证明；</w:t>
      </w:r>
    </w:p>
    <w:p w14:paraId="0D4E2D5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施工过程中不得影响建筑主体结构安全；</w:t>
      </w:r>
    </w:p>
    <w:p w14:paraId="2FE4286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电气设施需符合校园用电安全规范；</w:t>
      </w:r>
    </w:p>
    <w:p w14:paraId="0917356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施工期间应采取有效措施降低噪音、粉尘等对校园环境的影响；</w:t>
      </w:r>
    </w:p>
    <w:p w14:paraId="650ADFD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工程竣工验收需符合相关行业标准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并获得学校认可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39C2D5F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6、提供安全、合规、可行的施工图纸。</w:t>
      </w:r>
    </w:p>
    <w:p w14:paraId="6D422016">
      <w:pPr>
        <w:ind w:left="638" w:leftChars="304" w:firstLine="0" w:firstLineChars="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投标文件要求</w:t>
      </w:r>
      <w:r>
        <w:rPr>
          <w:rFonts w:hint="default"/>
        </w:rPr>
        <w:br w:type="textWrapping"/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投标人须提交以下材料（加盖公章）：</w:t>
      </w:r>
    </w:p>
    <w:p w14:paraId="446F749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法定代表人身份证明；</w:t>
      </w:r>
    </w:p>
    <w:p w14:paraId="79916B9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企业营业执照及相关资质证书复印件；</w:t>
      </w:r>
    </w:p>
    <w:p w14:paraId="62043A7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类似项目业绩证明；</w:t>
      </w:r>
    </w:p>
    <w:p w14:paraId="1E9287C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详细施工方案与工期安排；</w:t>
      </w:r>
    </w:p>
    <w:p w14:paraId="729420A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工程量清单与报价表；</w:t>
      </w:r>
    </w:p>
    <w:p w14:paraId="36942BA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6、</w:t>
      </w:r>
      <w:r>
        <w:rPr>
          <w:rFonts w:hint="default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安全生产承诺书。</w:t>
      </w:r>
    </w:p>
    <w:p w14:paraId="1FC4E068">
      <w:pPr>
        <w:ind w:firstLine="643" w:firstLineChars="200"/>
        <w:rPr>
          <w:rFonts w:hint="eastAsia" w:ascii="仿宋_GB2312" w:hAnsi="仿宋_GB2312" w:eastAsia="仿宋_GB2312" w:cs="仿宋_GB2312"/>
          <w:b/>
          <w:bCs/>
          <w:snapToGrid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sz w:val="32"/>
          <w:szCs w:val="32"/>
          <w:highlight w:val="none"/>
          <w:lang w:val="en-US" w:eastAsia="zh-CN"/>
        </w:rPr>
        <w:t>七、投标须知</w:t>
      </w:r>
    </w:p>
    <w:p w14:paraId="6FB00E4C">
      <w:pPr>
        <w:ind w:firstLine="640" w:firstLineChars="200"/>
        <w:rPr>
          <w:rFonts w:hint="default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/>
          <w:bCs/>
          <w:snapToGrid w:val="0"/>
          <w:sz w:val="32"/>
          <w:szCs w:val="32"/>
          <w:highlight w:val="none"/>
          <w:lang w:val="en-US" w:eastAsia="zh-CN"/>
        </w:rPr>
        <w:t>合同总价</w:t>
      </w:r>
      <w:r>
        <w:rPr>
          <w:rFonts w:hint="default" w:ascii="仿宋_GB2312" w:hAnsi="仿宋_GB2312" w:eastAsia="仿宋_GB2312" w:cs="仿宋_GB2312"/>
          <w:b/>
          <w:bCs/>
          <w:snapToGrid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本项目采用固定总价包干合同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（包含税金）</w:t>
      </w:r>
      <w:r>
        <w:rPr>
          <w:rFonts w:hint="default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。除招标人提出的超出原约定范围的工作外，合同总价不因任何原因调整。</w:t>
      </w:r>
    </w:p>
    <w:p w14:paraId="02232108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b/>
          <w:bCs/>
          <w:snapToGrid w:val="0"/>
          <w:sz w:val="32"/>
          <w:szCs w:val="32"/>
          <w:highlight w:val="none"/>
          <w:lang w:val="en-US" w:eastAsia="zh-CN"/>
        </w:rPr>
        <w:t>支付方式：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合同正式签订生效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后，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项目全部完工，经验收合格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交付使用，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并提交完整竣工资料后，支付至合同总价的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1097F11"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支付流程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中标人在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完工验收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后7个工作日内，向招标人提出书面付款申请，并开具相应金额的合法有效增值税专用发票。招标人在收到发票及齐全的证明文件后，在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个工作日内完成支付审核及款项支付。</w:t>
      </w:r>
    </w:p>
    <w:p w14:paraId="0274FC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履约保证金：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中标单位收到中标通知书后三个工作日内，缴纳中标服务金额的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%作为履约保证金，由中标单位的公司账户转入甲方的指定账户。履约保证金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应在履约期满后（工程竣工验收合格满一年），十五个工作日内无息退还。</w:t>
      </w:r>
    </w:p>
    <w:p w14:paraId="64F6B60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、其他说明</w:t>
      </w:r>
    </w:p>
    <w:p w14:paraId="2B3BEEB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投标人须自行踏勘现场，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全面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了解施工条件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，报价视为已考虑所有风险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0649ED9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招标单位保留对招标文件解释及调整的权利；</w:t>
      </w:r>
    </w:p>
    <w:p w14:paraId="4BE83EE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未尽事宜按《中华人民共和国招标投标法》执行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210BBE5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成交供应商不得将项目转包或违法分包。</w:t>
      </w:r>
    </w:p>
    <w:p w14:paraId="5D765E9C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李富德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；联系电话：15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570146156</w:t>
      </w:r>
    </w:p>
    <w:p w14:paraId="70BA7503">
      <w:pPr>
        <w:jc w:val="both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附件1： A3匠心楼架空层工程量估算清单</w:t>
      </w:r>
    </w:p>
    <w:p w14:paraId="34D93F2A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drawing>
          <wp:inline distT="0" distB="0" distL="114300" distR="114300">
            <wp:extent cx="5268595" cy="5001260"/>
            <wp:effectExtent l="0" t="0" r="8255" b="8890"/>
            <wp:docPr id="1" name="图片 1" descr="f22a3a2e-1a51-4ddc-98f0-3a1f26a24b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2a3a2e-1a51-4ddc-98f0-3a1f26a24b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00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5AE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附件2：A3匠心楼架空层平面图</w:t>
      </w:r>
    </w:p>
    <w:p w14:paraId="7A0C2784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drawing>
          <wp:inline distT="0" distB="0" distL="114300" distR="114300">
            <wp:extent cx="5683250" cy="2693670"/>
            <wp:effectExtent l="0" t="0" r="12700" b="11430"/>
            <wp:docPr id="2" name="图片 2" descr="A3匠心楼架空层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匠心楼架空层平面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B30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textAlignment w:val="auto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附件3：</w:t>
      </w:r>
      <w:r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  <w:t>安全生产承诺书</w:t>
      </w:r>
    </w:p>
    <w:p w14:paraId="142F95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安全生产承诺书</w:t>
      </w:r>
    </w:p>
    <w:p w14:paraId="1C8B2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为切实保障快递点在装修改造期间的安全生产，确保人员、设施及快件安全，防范各类安全事故发生，本单位在实施本次快递点改造工程期间，郑重承诺如下：</w:t>
      </w:r>
    </w:p>
    <w:p w14:paraId="39808EFE"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严格遵守法律法规</w:t>
      </w:r>
    </w:p>
    <w:p w14:paraId="5FD62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严格遵守《中华人民共和国安全生产法》、《消防法》、《建设工程安全生产管理条例》等国家及地方有关安全生产的法律、法规、标准及规范，依法履行安全生产主体责任。</w:t>
      </w:r>
    </w:p>
    <w:p w14:paraId="3204CCC8"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健全安全管理体系</w:t>
      </w:r>
    </w:p>
    <w:p w14:paraId="22B81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明确改造项目安全负责人，全面负责施工现场的安全管理、协调与监督工作。</w:t>
      </w:r>
    </w:p>
    <w:p w14:paraId="6433F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制定并落实各项安全生产规章制度、操作规程及施工现场安全管理规定。</w:t>
      </w:r>
    </w:p>
    <w:p w14:paraId="13521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对进场施工人员进行安全教育和安全技术交底，确保其了解作业风险及防范措施。</w:t>
      </w:r>
    </w:p>
    <w:p w14:paraId="38CC9B8E"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三、强化施工现场安全管理</w:t>
      </w:r>
    </w:p>
    <w:p w14:paraId="098A7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施工区域实施封闭或隔离管理，设置明显的安全警示标识，与非施工区域有效分隔，确保客户及员工安全。</w:t>
      </w:r>
    </w:p>
    <w:p w14:paraId="72856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严格管理动火、用电、高空作业等危险作业，按规定办理审批手续，配备专人监护及必要的消防器材。</w:t>
      </w:r>
    </w:p>
    <w:p w14:paraId="265EA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规范堆放施工材料与设备，保持消防通道、安全出口畅通，不得占用、堵塞。</w:t>
      </w:r>
    </w:p>
    <w:p w14:paraId="37C05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妥善保管及存放快件，设立临时安全保管区域，采取防盗、防火、防潮等措施，确保快件安全。</w:t>
      </w:r>
    </w:p>
    <w:p w14:paraId="21B16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加强临时用电管理，由专业电工操作，线路敷设规范，禁止私拉乱接。</w:t>
      </w:r>
    </w:p>
    <w:p w14:paraId="786E2567"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</w:rPr>
        <w:t>保障消防与应急安全</w:t>
      </w:r>
    </w:p>
    <w:p w14:paraId="39B18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确保施工现场消防设施完好有效，临时消防器材配备充足、位置合理。</w:t>
      </w:r>
    </w:p>
    <w:p w14:paraId="770D2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制定针对改造期间的火灾、触电、坍塌、物体打击等事故的现场应急处置方案，并组织相关人员进行必要的应急演练。</w:t>
      </w:r>
    </w:p>
    <w:p w14:paraId="174C7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保持与属地消防、安监等部门的沟通，发生险情立即报告并有效处置。</w:t>
      </w:r>
    </w:p>
    <w:p w14:paraId="1FBDF6F8"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</w:rPr>
        <w:t>五、落实施工人员管理</w:t>
      </w:r>
    </w:p>
    <w:p w14:paraId="42B5F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督促施工单位为施工人员配备符合标准的劳动防护用品，并监督其正确使用。</w:t>
      </w:r>
    </w:p>
    <w:p w14:paraId="143BD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严禁施工人员酒后上岗、疲劳作业或违反安全操作规程的行为。</w:t>
      </w:r>
    </w:p>
    <w:p w14:paraId="221B3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对特种作业人员（如电工、焊工等）进行资质审查，确保持证上岗。</w:t>
      </w:r>
    </w:p>
    <w:p w14:paraId="110496AF"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</w:rPr>
        <w:t>六、加强环境与职业健康管理</w:t>
      </w:r>
    </w:p>
    <w:p w14:paraId="160A9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控制施工噪音、粉尘、废弃物，减少对周边环境和人员的影响。</w:t>
      </w:r>
    </w:p>
    <w:p w14:paraId="2B000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改善作业条件，保障施工人员职业健康，预防职业病发生。</w:t>
      </w:r>
    </w:p>
    <w:p w14:paraId="0714916E">
      <w:pPr>
        <w:ind w:left="638" w:leftChars="304" w:firstLine="0" w:firstLineChars="0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</w:rPr>
        <w:t>七、自觉接受监督检查</w:t>
      </w:r>
    </w:p>
    <w:p w14:paraId="4E6641EA"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积极配合邮政管理、应急管理、消防、住建等相关部门及上级公司的安全监督检查，对检查发现的问题和隐患立即整改，确保整改到位。</w:t>
      </w:r>
    </w:p>
    <w:p w14:paraId="34FE9A6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</w:rPr>
        <w:t>责任承担</w:t>
      </w:r>
    </w:p>
    <w:p w14:paraId="5060D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如因本单位在改造期间安全管理不到位、措施不落实而导致发生安全生产责任事故，本单位愿意承担相应的法律责任及产生的一切后果。</w:t>
      </w:r>
    </w:p>
    <w:p w14:paraId="265D7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本承诺书自签订之日起生效，至快递点改造项目全部完工、验收合格并恢复正常运营之日止。</w:t>
      </w:r>
    </w:p>
    <w:p w14:paraId="21364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56CD4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0805E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        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承诺单位（盖章）：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法定代表人/负责人（签字）：</w:t>
      </w:r>
    </w:p>
    <w:p w14:paraId="2AF47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             2025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日</w:t>
      </w:r>
    </w:p>
    <w:p w14:paraId="39036029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819FEF0-8B2B-4EDA-BFFA-9D9DD2C4DB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9E55359-80B3-4900-ACFC-3CE068F5450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67B3C2F-210D-4D10-B5F4-54697C2995C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41B29"/>
    <w:multiLevelType w:val="singleLevel"/>
    <w:tmpl w:val="AA641B29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BB931316"/>
    <w:multiLevelType w:val="singleLevel"/>
    <w:tmpl w:val="BB93131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BD28D09"/>
    <w:multiLevelType w:val="singleLevel"/>
    <w:tmpl w:val="0BD28D0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47956"/>
    <w:rsid w:val="025378BE"/>
    <w:rsid w:val="02CB7F49"/>
    <w:rsid w:val="04706A7B"/>
    <w:rsid w:val="0D400093"/>
    <w:rsid w:val="1534372C"/>
    <w:rsid w:val="16407F5C"/>
    <w:rsid w:val="1AAB4490"/>
    <w:rsid w:val="1CF25944"/>
    <w:rsid w:val="1F8871BB"/>
    <w:rsid w:val="231C0584"/>
    <w:rsid w:val="29997D43"/>
    <w:rsid w:val="2BAE49E6"/>
    <w:rsid w:val="2EC3114D"/>
    <w:rsid w:val="3F8663DE"/>
    <w:rsid w:val="496038EF"/>
    <w:rsid w:val="4C7F427E"/>
    <w:rsid w:val="4CCF550D"/>
    <w:rsid w:val="4E3A178C"/>
    <w:rsid w:val="507E05EE"/>
    <w:rsid w:val="50F47956"/>
    <w:rsid w:val="561F1AFC"/>
    <w:rsid w:val="5D6F2B20"/>
    <w:rsid w:val="5E4E69CD"/>
    <w:rsid w:val="6BE27791"/>
    <w:rsid w:val="6E525925"/>
    <w:rsid w:val="7169749E"/>
    <w:rsid w:val="7A8512DC"/>
    <w:rsid w:val="7EA8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2518</Words>
  <Characters>2578</Characters>
  <Lines>0</Lines>
  <Paragraphs>0</Paragraphs>
  <TotalTime>61</TotalTime>
  <ScaleCrop>false</ScaleCrop>
  <LinksUpToDate>false</LinksUpToDate>
  <CharactersWithSpaces>2638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2025-12-10T06:22:00Z</dcterms:created>
  <dc:creator>李富德</dc:creator>
  <cp:lastModifiedBy>胡松</cp:lastModifiedBy>
  <cp:lastPrinted>2025-12-17T03:08:00Z</cp:lastPrinted>
  <dcterms:modified xsi:type="dcterms:W3CDTF">2026-01-05T01:15:45Z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751032CABDD64B9AB232E675F4DC7F9A_13</vt:lpwstr>
  </property>
  <property fmtid="{D5CDD505-2E9C-101B-9397-08002B2CF9AE}" pid="4" name="KSOTemplateDocerSaveRecord">
    <vt:lpwstr>eyJoZGlkIjoiNDNmMDdhZWQzM2MzOWEyMWExYTllYTZlYmY3OTI3MzgiLCJ1c2VySWQiOiIxNTU3MjQ1MTEzIn0=</vt:lpwstr>
  </property>
</Properties>
</file>