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sz w:val="32"/>
          <w:szCs w:val="24"/>
          <w:highlight w:val="none"/>
          <w:lang w:eastAsia="zh-CN"/>
        </w:rPr>
      </w:pPr>
      <w:r>
        <w:rPr>
          <w:rFonts w:hint="eastAsia" w:ascii="宋体" w:hAnsi="宋体" w:eastAsia="宋体" w:cs="宋体"/>
          <w:b/>
          <w:sz w:val="32"/>
          <w:szCs w:val="24"/>
          <w:highlight w:val="none"/>
        </w:rPr>
        <w:t>采购项目编号：</w:t>
      </w:r>
      <w:r>
        <w:rPr>
          <w:rFonts w:hint="eastAsia" w:ascii="宋体" w:hAnsi="宋体" w:eastAsia="宋体" w:cs="宋体"/>
          <w:b/>
          <w:sz w:val="32"/>
          <w:szCs w:val="24"/>
          <w:highlight w:val="none"/>
          <w:lang w:eastAsia="zh-CN"/>
        </w:rPr>
        <w:t>FXZB-202302-005</w:t>
      </w:r>
    </w:p>
    <w:p>
      <w:pPr>
        <w:spacing w:line="360" w:lineRule="auto"/>
        <w:rPr>
          <w:rFonts w:hint="eastAsia" w:ascii="宋体" w:hAnsi="宋体" w:eastAsia="宋体" w:cs="宋体"/>
          <w:b/>
          <w:sz w:val="32"/>
          <w:szCs w:val="24"/>
          <w:highlight w:val="none"/>
          <w:lang w:eastAsia="zh-CN"/>
        </w:rPr>
      </w:pPr>
      <w:r>
        <w:rPr>
          <w:rFonts w:hint="eastAsia" w:ascii="宋体" w:hAnsi="宋体" w:eastAsia="宋体" w:cs="宋体"/>
          <w:b/>
          <w:sz w:val="32"/>
          <w:szCs w:val="24"/>
          <w:highlight w:val="none"/>
          <w:lang w:eastAsia="zh-CN"/>
        </w:rPr>
        <w:t>采购项目名称：大气污染数据统计调查和分析服务</w:t>
      </w:r>
    </w:p>
    <w:p>
      <w:pPr>
        <w:spacing w:line="360" w:lineRule="auto"/>
        <w:rPr>
          <w:rFonts w:hint="eastAsia" w:ascii="宋体" w:hAnsi="宋体" w:eastAsia="宋体" w:cs="宋体"/>
          <w:b/>
          <w:sz w:val="32"/>
          <w:szCs w:val="24"/>
          <w:highlight w:val="none"/>
          <w:lang w:eastAsia="zh-CN"/>
        </w:rPr>
      </w:pPr>
      <w:r>
        <w:rPr>
          <w:rFonts w:hint="eastAsia" w:ascii="宋体" w:hAnsi="宋体" w:eastAsia="宋体" w:cs="宋体"/>
          <w:b/>
          <w:sz w:val="32"/>
          <w:szCs w:val="24"/>
          <w:highlight w:val="none"/>
        </w:rPr>
        <w:t>采购人名称：</w:t>
      </w:r>
      <w:r>
        <w:rPr>
          <w:rFonts w:hint="eastAsia" w:ascii="宋体" w:hAnsi="宋体" w:eastAsia="宋体" w:cs="宋体"/>
          <w:b/>
          <w:sz w:val="32"/>
          <w:szCs w:val="24"/>
          <w:highlight w:val="none"/>
          <w:lang w:eastAsia="zh-CN"/>
        </w:rPr>
        <w:t>唐山市生态环境局丰南区分局</w:t>
      </w:r>
    </w:p>
    <w:p>
      <w:pPr>
        <w:tabs>
          <w:tab w:val="left" w:pos="5985"/>
        </w:tabs>
        <w:jc w:val="left"/>
        <w:rPr>
          <w:rFonts w:hint="eastAsia" w:ascii="宋体" w:hAnsi="宋体" w:eastAsia="宋体" w:cs="宋体"/>
          <w:b/>
          <w:snapToGrid w:val="0"/>
          <w:sz w:val="32"/>
          <w:szCs w:val="32"/>
          <w:highlight w:val="none"/>
        </w:rPr>
      </w:pPr>
      <w:r>
        <w:rPr>
          <w:rFonts w:hint="eastAsia" w:ascii="宋体" w:hAnsi="宋体" w:eastAsia="宋体" w:cs="宋体"/>
          <w:b/>
          <w:snapToGrid w:val="0"/>
          <w:sz w:val="32"/>
          <w:szCs w:val="32"/>
          <w:highlight w:val="none"/>
        </w:rPr>
        <w:tab/>
      </w:r>
    </w:p>
    <w:p>
      <w:pPr>
        <w:jc w:val="left"/>
        <w:rPr>
          <w:rFonts w:hint="eastAsia" w:ascii="宋体" w:hAnsi="宋体" w:eastAsia="宋体" w:cs="宋体"/>
          <w:b/>
          <w:snapToGrid w:val="0"/>
          <w:sz w:val="32"/>
          <w:szCs w:val="32"/>
          <w:highlight w:val="none"/>
        </w:rPr>
      </w:pPr>
    </w:p>
    <w:p>
      <w:pPr>
        <w:jc w:val="left"/>
        <w:rPr>
          <w:rFonts w:hint="eastAsia" w:ascii="宋体" w:hAnsi="宋体" w:eastAsia="宋体" w:cs="宋体"/>
          <w:b/>
          <w:snapToGrid w:val="0"/>
          <w:sz w:val="32"/>
          <w:szCs w:val="32"/>
          <w:highlight w:val="none"/>
        </w:rPr>
      </w:pPr>
    </w:p>
    <w:p>
      <w:pPr>
        <w:jc w:val="center"/>
        <w:rPr>
          <w:rFonts w:hint="eastAsia" w:ascii="宋体" w:hAnsi="宋体" w:eastAsia="宋体" w:cs="宋体"/>
          <w:b/>
          <w:snapToGrid w:val="0"/>
          <w:sz w:val="84"/>
          <w:highlight w:val="none"/>
        </w:rPr>
      </w:pPr>
      <w:r>
        <w:rPr>
          <w:rFonts w:hint="eastAsia" w:ascii="宋体" w:hAnsi="宋体" w:eastAsia="宋体" w:cs="宋体"/>
          <w:b/>
          <w:snapToGrid w:val="0"/>
          <w:sz w:val="84"/>
          <w:highlight w:val="none"/>
        </w:rPr>
        <w:t>招 标 文 件</w:t>
      </w:r>
    </w:p>
    <w:p>
      <w:pPr>
        <w:rPr>
          <w:rFonts w:hint="eastAsia" w:ascii="宋体" w:hAnsi="宋体" w:eastAsia="宋体" w:cs="宋体"/>
          <w:b/>
          <w:snapToGrid w:val="0"/>
          <w:sz w:val="44"/>
          <w:highlight w:val="none"/>
        </w:rPr>
      </w:pPr>
    </w:p>
    <w:p>
      <w:pPr>
        <w:rPr>
          <w:rFonts w:hint="eastAsia" w:ascii="宋体" w:hAnsi="宋体" w:eastAsia="宋体" w:cs="宋体"/>
          <w:b/>
          <w:snapToGrid w:val="0"/>
          <w:sz w:val="44"/>
          <w:highlight w:val="none"/>
        </w:rPr>
      </w:pPr>
    </w:p>
    <w:p>
      <w:pPr>
        <w:rPr>
          <w:rFonts w:hint="eastAsia" w:ascii="宋体" w:hAnsi="宋体" w:eastAsia="宋体" w:cs="宋体"/>
          <w:b/>
          <w:snapToGrid w:val="0"/>
          <w:sz w:val="44"/>
          <w:highlight w:val="none"/>
        </w:rPr>
      </w:pPr>
    </w:p>
    <w:p>
      <w:pPr>
        <w:rPr>
          <w:rFonts w:hint="eastAsia" w:ascii="宋体" w:hAnsi="宋体" w:eastAsia="宋体" w:cs="宋体"/>
          <w:b/>
          <w:snapToGrid w:val="0"/>
          <w:sz w:val="44"/>
          <w:highlight w:val="none"/>
        </w:rPr>
      </w:pPr>
    </w:p>
    <w:p>
      <w:pPr>
        <w:spacing w:line="360" w:lineRule="auto"/>
        <w:ind w:firstLine="1789" w:firstLineChars="495"/>
        <w:rPr>
          <w:rFonts w:hint="eastAsia" w:ascii="宋体" w:hAnsi="宋体" w:eastAsia="宋体" w:cs="宋体"/>
          <w:b/>
          <w:snapToGrid w:val="0"/>
          <w:sz w:val="36"/>
          <w:szCs w:val="36"/>
          <w:highlight w:val="none"/>
        </w:rPr>
      </w:pPr>
      <w:r>
        <w:rPr>
          <w:rFonts w:hint="eastAsia" w:ascii="宋体" w:hAnsi="宋体" w:eastAsia="宋体" w:cs="宋体"/>
          <w:b/>
          <w:snapToGrid w:val="0"/>
          <w:sz w:val="36"/>
          <w:szCs w:val="36"/>
          <w:highlight w:val="none"/>
          <w:lang w:val="zh-CN"/>
        </w:rPr>
        <w:t>采购代理机构</w:t>
      </w:r>
      <w:r>
        <w:rPr>
          <w:rFonts w:hint="eastAsia" w:ascii="宋体" w:hAnsi="宋体" w:eastAsia="宋体" w:cs="宋体"/>
          <w:b/>
          <w:snapToGrid w:val="0"/>
          <w:sz w:val="36"/>
          <w:szCs w:val="36"/>
          <w:highlight w:val="none"/>
        </w:rPr>
        <w:t>：河北丰信工程咨询有限公司</w:t>
      </w:r>
    </w:p>
    <w:p>
      <w:pPr>
        <w:pStyle w:val="13"/>
        <w:tabs>
          <w:tab w:val="left" w:pos="3420"/>
        </w:tabs>
        <w:spacing w:line="360" w:lineRule="auto"/>
        <w:jc w:val="center"/>
        <w:rPr>
          <w:rFonts w:hint="eastAsia" w:ascii="宋体" w:hAnsi="宋体" w:eastAsia="宋体" w:cs="宋体"/>
          <w:b/>
          <w:snapToGrid w:val="0"/>
          <w:sz w:val="36"/>
          <w:highlight w:val="none"/>
        </w:rPr>
      </w:pPr>
      <w:r>
        <w:rPr>
          <w:rFonts w:hint="eastAsia" w:ascii="宋体" w:hAnsi="宋体" w:eastAsia="宋体" w:cs="宋体"/>
          <w:b/>
          <w:snapToGrid w:val="0"/>
          <w:sz w:val="36"/>
          <w:highlight w:val="none"/>
        </w:rPr>
        <w:t>二〇二</w:t>
      </w:r>
      <w:r>
        <w:rPr>
          <w:rFonts w:hint="eastAsia" w:ascii="宋体" w:hAnsi="宋体" w:eastAsia="宋体" w:cs="宋体"/>
          <w:b/>
          <w:snapToGrid w:val="0"/>
          <w:sz w:val="36"/>
          <w:highlight w:val="none"/>
          <w:lang w:val="en-US" w:eastAsia="zh-CN"/>
        </w:rPr>
        <w:t>三</w:t>
      </w:r>
      <w:r>
        <w:rPr>
          <w:rFonts w:hint="eastAsia" w:ascii="宋体" w:hAnsi="宋体" w:eastAsia="宋体" w:cs="宋体"/>
          <w:b/>
          <w:snapToGrid w:val="0"/>
          <w:sz w:val="36"/>
          <w:highlight w:val="none"/>
        </w:rPr>
        <w:t>年</w:t>
      </w:r>
      <w:r>
        <w:rPr>
          <w:rFonts w:hint="eastAsia" w:ascii="宋体" w:hAnsi="宋体" w:eastAsia="宋体" w:cs="宋体"/>
          <w:b/>
          <w:snapToGrid w:val="0"/>
          <w:sz w:val="36"/>
          <w:highlight w:val="none"/>
          <w:lang w:val="en-US" w:eastAsia="zh-CN"/>
        </w:rPr>
        <w:t>三</w:t>
      </w:r>
      <w:r>
        <w:rPr>
          <w:rFonts w:hint="eastAsia" w:ascii="宋体" w:hAnsi="宋体" w:eastAsia="宋体" w:cs="宋体"/>
          <w:b/>
          <w:snapToGrid w:val="0"/>
          <w:sz w:val="36"/>
          <w:highlight w:val="none"/>
        </w:rPr>
        <w:t>月</w:t>
      </w:r>
    </w:p>
    <w:p>
      <w:pPr>
        <w:snapToGrid w:val="0"/>
        <w:spacing w:line="360" w:lineRule="auto"/>
        <w:jc w:val="center"/>
        <w:rPr>
          <w:rFonts w:hint="eastAsia" w:ascii="宋体" w:hAnsi="宋体" w:eastAsia="宋体" w:cs="宋体"/>
          <w:b/>
          <w:sz w:val="48"/>
          <w:szCs w:val="48"/>
          <w:highlight w:val="none"/>
        </w:rPr>
        <w:sectPr>
          <w:headerReference r:id="rId4" w:type="first"/>
          <w:footerReference r:id="rId5" w:type="default"/>
          <w:headerReference r:id="rId3" w:type="even"/>
          <w:pgSz w:w="11907" w:h="16840"/>
          <w:pgMar w:top="1134" w:right="1140" w:bottom="1134" w:left="1247" w:header="0" w:footer="1063" w:gutter="0"/>
          <w:cols w:space="720" w:num="1"/>
          <w:docGrid w:type="lines" w:linePitch="539" w:charSpace="0"/>
        </w:sectPr>
      </w:pPr>
    </w:p>
    <w:p>
      <w:pPr>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声  明</w:t>
      </w:r>
    </w:p>
    <w:p>
      <w:pPr>
        <w:snapToGrid w:val="0"/>
        <w:spacing w:line="360" w:lineRule="auto"/>
        <w:ind w:firstLine="900"/>
        <w:rPr>
          <w:rFonts w:hint="eastAsia" w:ascii="宋体" w:hAnsi="宋体" w:eastAsia="宋体" w:cs="宋体"/>
          <w:b/>
          <w:sz w:val="36"/>
          <w:szCs w:val="36"/>
          <w:highlight w:val="none"/>
        </w:rPr>
      </w:pPr>
      <w:r>
        <w:rPr>
          <w:rFonts w:hint="eastAsia" w:ascii="宋体" w:hAnsi="宋体" w:eastAsia="宋体" w:cs="宋体"/>
          <w:b/>
          <w:sz w:val="36"/>
          <w:szCs w:val="36"/>
          <w:highlight w:val="none"/>
        </w:rPr>
        <w:t>为了保证招投标活动的公开、公平、公正，特此郑重声明：本招标文件及有关附件作为招投标工作依据，对招投标各方及参与人均具有约束力，</w:t>
      </w:r>
      <w:r>
        <w:rPr>
          <w:rFonts w:hint="eastAsia" w:ascii="宋体" w:hAnsi="宋体" w:eastAsia="宋体" w:cs="宋体"/>
          <w:b/>
          <w:sz w:val="36"/>
          <w:szCs w:val="36"/>
          <w:highlight w:val="none"/>
          <w:lang w:eastAsia="zh-CN"/>
        </w:rPr>
        <w:t>供应商</w:t>
      </w:r>
      <w:r>
        <w:rPr>
          <w:rFonts w:hint="eastAsia" w:ascii="宋体" w:hAnsi="宋体" w:eastAsia="宋体" w:cs="宋体"/>
          <w:b/>
          <w:sz w:val="36"/>
          <w:szCs w:val="36"/>
          <w:highlight w:val="none"/>
        </w:rPr>
        <w:t>编制投标文件及实施投标行为必须按照本文件的约定进行,由于对招标文件的误解而造成的废标或其他情况,后果自负。</w:t>
      </w:r>
    </w:p>
    <w:p>
      <w:pPr>
        <w:rPr>
          <w:rFonts w:hint="eastAsia" w:ascii="宋体" w:hAnsi="宋体" w:eastAsia="宋体" w:cs="宋体"/>
          <w:b/>
          <w:sz w:val="44"/>
          <w:highlight w:val="none"/>
        </w:rPr>
      </w:pPr>
    </w:p>
    <w:p>
      <w:pPr>
        <w:spacing w:afterLines="50" w:line="360" w:lineRule="auto"/>
        <w:jc w:val="center"/>
        <w:rPr>
          <w:rFonts w:hint="eastAsia" w:ascii="宋体" w:hAnsi="宋体" w:eastAsia="宋体" w:cs="宋体"/>
          <w:b/>
          <w:sz w:val="44"/>
          <w:szCs w:val="44"/>
          <w:highlight w:val="none"/>
        </w:rPr>
      </w:pPr>
      <w:r>
        <w:rPr>
          <w:rFonts w:hint="eastAsia" w:ascii="宋体" w:hAnsi="宋体" w:eastAsia="宋体" w:cs="宋体"/>
          <w:b/>
          <w:sz w:val="52"/>
          <w:szCs w:val="52"/>
          <w:highlight w:val="none"/>
        </w:rPr>
        <w:br w:type="page"/>
      </w:r>
      <w:r>
        <w:rPr>
          <w:rFonts w:hint="eastAsia" w:ascii="宋体" w:hAnsi="宋体" w:eastAsia="宋体" w:cs="宋体"/>
          <w:b/>
          <w:sz w:val="44"/>
          <w:szCs w:val="44"/>
          <w:highlight w:val="none"/>
        </w:rPr>
        <w:t>目  录</w:t>
      </w:r>
    </w:p>
    <w:p>
      <w:pPr>
        <w:pStyle w:val="18"/>
        <w:tabs>
          <w:tab w:val="right" w:leader="dot" w:pos="9510"/>
        </w:tabs>
        <w:rPr>
          <w:rFonts w:hint="eastAsia" w:ascii="宋体" w:hAnsi="宋体" w:eastAsia="宋体" w:cs="宋体"/>
          <w:kern w:val="2"/>
          <w:sz w:val="21"/>
          <w:szCs w:val="22"/>
          <w:highlight w:val="none"/>
        </w:rPr>
      </w:pPr>
      <w:r>
        <w:rPr>
          <w:rFonts w:hint="eastAsia" w:ascii="宋体" w:hAnsi="宋体" w:eastAsia="宋体" w:cs="宋体"/>
          <w:b/>
          <w:highlight w:val="none"/>
        </w:rPr>
        <w:fldChar w:fldCharType="begin"/>
      </w:r>
      <w:r>
        <w:rPr>
          <w:rFonts w:hint="eastAsia" w:ascii="宋体" w:hAnsi="宋体" w:eastAsia="宋体" w:cs="宋体"/>
          <w:b/>
          <w:highlight w:val="none"/>
        </w:rPr>
        <w:instrText xml:space="preserve"> TOC \o "1-1" \h \z \u </w:instrText>
      </w:r>
      <w:r>
        <w:rPr>
          <w:rFonts w:hint="eastAsia" w:ascii="宋体" w:hAnsi="宋体" w:eastAsia="宋体" w:cs="宋体"/>
          <w:b/>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"_Toc11938053" </w:instrText>
      </w:r>
      <w:r>
        <w:rPr>
          <w:rFonts w:hint="eastAsia" w:ascii="宋体" w:hAnsi="宋体" w:eastAsia="宋体" w:cs="宋体"/>
          <w:highlight w:val="none"/>
        </w:rPr>
        <w:fldChar w:fldCharType="separate"/>
      </w:r>
      <w:r>
        <w:rPr>
          <w:rStyle w:val="28"/>
          <w:rFonts w:hint="eastAsia" w:ascii="宋体" w:hAnsi="宋体" w:eastAsia="宋体" w:cs="宋体"/>
          <w:b/>
          <w:color w:val="auto"/>
          <w:highlight w:val="none"/>
        </w:rPr>
        <w:t>第一部分  招标公告</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highlight w:val="none"/>
        </w:rPr>
        <w:fldChar w:fldCharType="end"/>
      </w:r>
    </w:p>
    <w:p>
      <w:pPr>
        <w:pStyle w:val="18"/>
        <w:tabs>
          <w:tab w:val="right" w:leader="dot" w:pos="9510"/>
        </w:tabs>
        <w:rPr>
          <w:rFonts w:hint="eastAsia" w:ascii="宋体" w:hAnsi="宋体" w:eastAsia="宋体" w:cs="宋体"/>
          <w:kern w:val="2"/>
          <w:sz w:val="21"/>
          <w:szCs w:val="2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"_Toc11938054" </w:instrText>
      </w:r>
      <w:r>
        <w:rPr>
          <w:rFonts w:hint="eastAsia" w:ascii="宋体" w:hAnsi="宋体" w:eastAsia="宋体" w:cs="宋体"/>
          <w:highlight w:val="none"/>
        </w:rPr>
        <w:fldChar w:fldCharType="separate"/>
      </w:r>
      <w:r>
        <w:rPr>
          <w:rStyle w:val="28"/>
          <w:rFonts w:hint="eastAsia" w:ascii="宋体" w:hAnsi="宋体" w:eastAsia="宋体" w:cs="宋体"/>
          <w:b/>
          <w:color w:val="auto"/>
          <w:highlight w:val="none"/>
        </w:rPr>
        <w:t>第二部分  采购项目的相关要求</w:t>
      </w:r>
      <w:r>
        <w:rPr>
          <w:rFonts w:hint="eastAsia" w:ascii="宋体" w:hAnsi="宋体" w:eastAsia="宋体" w:cs="宋体"/>
          <w:highlight w:val="none"/>
        </w:rPr>
        <w:tab/>
      </w:r>
      <w:r>
        <w:rPr>
          <w:rFonts w:hint="eastAsia" w:ascii="宋体" w:hAnsi="宋体" w:eastAsia="宋体" w:cs="宋体"/>
          <w:highlight w:val="none"/>
          <w:lang w:val="en-US" w:eastAsia="zh-CN"/>
        </w:rPr>
        <w:t>6</w:t>
      </w:r>
      <w:r>
        <w:rPr>
          <w:rFonts w:hint="eastAsia" w:ascii="宋体" w:hAnsi="宋体" w:eastAsia="宋体" w:cs="宋体"/>
          <w:highlight w:val="none"/>
        </w:rPr>
        <w:fldChar w:fldCharType="end"/>
      </w:r>
    </w:p>
    <w:p>
      <w:pPr>
        <w:pStyle w:val="18"/>
        <w:tabs>
          <w:tab w:val="right" w:leader="dot" w:pos="9510"/>
        </w:tabs>
        <w:rPr>
          <w:rFonts w:hint="eastAsia" w:ascii="宋体" w:hAnsi="宋体" w:eastAsia="宋体" w:cs="宋体"/>
          <w:kern w:val="2"/>
          <w:sz w:val="21"/>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"_Toc11938055" </w:instrText>
      </w:r>
      <w:r>
        <w:rPr>
          <w:rFonts w:hint="eastAsia" w:ascii="宋体" w:hAnsi="宋体" w:eastAsia="宋体" w:cs="宋体"/>
          <w:highlight w:val="none"/>
        </w:rPr>
        <w:fldChar w:fldCharType="separate"/>
      </w:r>
      <w:r>
        <w:rPr>
          <w:rStyle w:val="28"/>
          <w:rFonts w:hint="eastAsia" w:ascii="宋体" w:hAnsi="宋体" w:eastAsia="宋体" w:cs="宋体"/>
          <w:b/>
          <w:color w:val="auto"/>
          <w:highlight w:val="none"/>
        </w:rPr>
        <w:t xml:space="preserve">第三部分  </w:t>
      </w:r>
      <w:r>
        <w:rPr>
          <w:rStyle w:val="28"/>
          <w:rFonts w:hint="eastAsia" w:ascii="宋体" w:hAnsi="宋体" w:eastAsia="宋体" w:cs="宋体"/>
          <w:b/>
          <w:color w:val="auto"/>
          <w:highlight w:val="none"/>
          <w:lang w:eastAsia="zh-CN"/>
        </w:rPr>
        <w:t>供应商</w:t>
      </w:r>
      <w:r>
        <w:rPr>
          <w:rStyle w:val="28"/>
          <w:rFonts w:hint="eastAsia" w:ascii="宋体" w:hAnsi="宋体" w:eastAsia="宋体" w:cs="宋体"/>
          <w:b/>
          <w:color w:val="auto"/>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end"/>
      </w:r>
      <w:r>
        <w:rPr>
          <w:rFonts w:hint="eastAsia" w:ascii="宋体" w:hAnsi="宋体" w:eastAsia="宋体" w:cs="宋体"/>
          <w:highlight w:val="none"/>
          <w:lang w:val="en-US" w:eastAsia="zh-CN"/>
        </w:rPr>
        <w:t>16</w:t>
      </w:r>
    </w:p>
    <w:p>
      <w:pPr>
        <w:pStyle w:val="18"/>
        <w:tabs>
          <w:tab w:val="right" w:leader="dot" w:pos="9510"/>
        </w:tabs>
        <w:rPr>
          <w:rFonts w:hint="eastAsia" w:ascii="宋体" w:hAnsi="宋体" w:eastAsia="宋体" w:cs="宋体"/>
          <w:kern w:val="2"/>
          <w:sz w:val="21"/>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"_Toc11938056" </w:instrText>
      </w:r>
      <w:r>
        <w:rPr>
          <w:rFonts w:hint="eastAsia" w:ascii="宋体" w:hAnsi="宋体" w:eastAsia="宋体" w:cs="宋体"/>
          <w:highlight w:val="none"/>
        </w:rPr>
        <w:fldChar w:fldCharType="separate"/>
      </w:r>
      <w:r>
        <w:rPr>
          <w:rStyle w:val="28"/>
          <w:rFonts w:hint="eastAsia" w:ascii="宋体" w:hAnsi="宋体" w:eastAsia="宋体" w:cs="宋体"/>
          <w:b/>
          <w:color w:val="auto"/>
          <w:highlight w:val="none"/>
        </w:rPr>
        <w:t>第四部分　政府采购合同</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highlight w:val="none"/>
        </w:rPr>
        <w:fldChar w:fldCharType="end"/>
      </w:r>
      <w:r>
        <w:rPr>
          <w:rFonts w:hint="eastAsia" w:ascii="宋体" w:hAnsi="宋体" w:eastAsia="宋体" w:cs="宋体"/>
          <w:highlight w:val="none"/>
          <w:lang w:val="en-US" w:eastAsia="zh-CN"/>
        </w:rPr>
        <w:t>1</w:t>
      </w:r>
    </w:p>
    <w:p>
      <w:pPr>
        <w:pStyle w:val="18"/>
        <w:tabs>
          <w:tab w:val="right" w:leader="dot" w:pos="9510"/>
        </w:tabs>
        <w:rPr>
          <w:rFonts w:hint="eastAsia" w:ascii="宋体" w:hAnsi="宋体" w:eastAsia="宋体" w:cs="宋体"/>
          <w:kern w:val="2"/>
          <w:sz w:val="21"/>
          <w:szCs w:val="2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"_Toc11938057" </w:instrText>
      </w:r>
      <w:r>
        <w:rPr>
          <w:rFonts w:hint="eastAsia" w:ascii="宋体" w:hAnsi="宋体" w:eastAsia="宋体" w:cs="宋体"/>
          <w:highlight w:val="none"/>
        </w:rPr>
        <w:fldChar w:fldCharType="separate"/>
      </w:r>
      <w:r>
        <w:rPr>
          <w:rStyle w:val="28"/>
          <w:rFonts w:hint="eastAsia" w:ascii="宋体" w:hAnsi="宋体" w:eastAsia="宋体" w:cs="宋体"/>
          <w:b/>
          <w:color w:val="auto"/>
          <w:highlight w:val="none"/>
        </w:rPr>
        <w:t>第五部分　投标文件格式</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highlight w:val="none"/>
        </w:rPr>
        <w:fldChar w:fldCharType="end"/>
      </w:r>
      <w:r>
        <w:rPr>
          <w:rFonts w:hint="eastAsia" w:ascii="宋体" w:hAnsi="宋体" w:eastAsia="宋体" w:cs="宋体"/>
          <w:highlight w:val="none"/>
          <w:lang w:val="en-US" w:eastAsia="zh-CN"/>
        </w:rPr>
        <w:t>5</w:t>
      </w:r>
    </w:p>
    <w:p>
      <w:pPr>
        <w:adjustRightInd w:val="0"/>
        <w:snapToGrid w:val="0"/>
        <w:spacing w:line="360" w:lineRule="auto"/>
        <w:ind w:firstLine="559" w:firstLineChars="199"/>
        <w:rPr>
          <w:rFonts w:hint="eastAsia" w:ascii="宋体" w:hAnsi="宋体" w:eastAsia="宋体" w:cs="宋体"/>
          <w:b/>
          <w:bCs/>
          <w:sz w:val="24"/>
          <w:highlight w:val="none"/>
        </w:rPr>
      </w:pPr>
      <w:r>
        <w:rPr>
          <w:rFonts w:hint="eastAsia" w:ascii="宋体" w:hAnsi="宋体" w:eastAsia="宋体" w:cs="宋体"/>
          <w:b/>
          <w:highlight w:val="none"/>
        </w:rPr>
        <w:fldChar w:fldCharType="end"/>
      </w:r>
    </w:p>
    <w:p>
      <w:pPr>
        <w:jc w:val="center"/>
        <w:rPr>
          <w:rFonts w:hint="eastAsia" w:ascii="宋体" w:hAnsi="宋体" w:eastAsia="宋体" w:cs="宋体"/>
          <w:b/>
          <w:sz w:val="36"/>
          <w:highlight w:val="none"/>
        </w:rPr>
      </w:pPr>
      <w:r>
        <w:rPr>
          <w:rFonts w:hint="eastAsia" w:ascii="宋体" w:hAnsi="宋体" w:eastAsia="宋体" w:cs="宋体"/>
          <w:highlight w:val="none"/>
        </w:rPr>
        <w:br w:type="page"/>
      </w:r>
      <w:bookmarkStart w:id="0" w:name="_Toc11938053"/>
      <w:r>
        <w:rPr>
          <w:rFonts w:hint="eastAsia" w:ascii="宋体" w:hAnsi="宋体" w:eastAsia="宋体" w:cs="宋体"/>
          <w:b/>
          <w:sz w:val="44"/>
          <w:highlight w:val="none"/>
        </w:rPr>
        <w:t xml:space="preserve">第一部分  </w:t>
      </w:r>
      <w:bookmarkEnd w:id="0"/>
      <w:r>
        <w:rPr>
          <w:rFonts w:hint="eastAsia" w:ascii="宋体" w:hAnsi="宋体" w:eastAsia="宋体" w:cs="宋体"/>
          <w:b/>
          <w:sz w:val="44"/>
          <w:highlight w:val="none"/>
        </w:rPr>
        <w:t>招标公告</w:t>
      </w:r>
    </w:p>
    <w:p>
      <w:pPr>
        <w:pageBreakBefore w:val="0"/>
        <w:pBdr>
          <w:top w:val="single" w:color="auto" w:sz="4" w:space="1"/>
          <w:left w:val="single" w:color="auto" w:sz="4" w:space="4"/>
          <w:bottom w:val="single" w:color="auto" w:sz="4" w:space="1"/>
          <w:right w:val="single" w:color="auto" w:sz="4" w:space="4"/>
        </w:pBdr>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1" w:name="_Toc11938054"/>
      <w:r>
        <w:rPr>
          <w:rFonts w:hint="eastAsia" w:ascii="宋体" w:hAnsi="宋体" w:eastAsia="宋体" w:cs="宋体"/>
          <w:color w:val="auto"/>
          <w:sz w:val="24"/>
          <w:szCs w:val="24"/>
          <w:highlight w:val="none"/>
          <w:u w:val="single"/>
          <w:lang w:eastAsia="zh-CN"/>
        </w:rPr>
        <w:t>大气污染数据统计调查和分析服务</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河北省公共资源交易服务平台</w:t>
      </w:r>
      <w:r>
        <w:rPr>
          <w:rFonts w:hint="eastAsia" w:ascii="宋体" w:hAnsi="宋体" w:eastAsia="宋体" w:cs="宋体"/>
          <w:color w:val="auto"/>
          <w:sz w:val="24"/>
          <w:szCs w:val="24"/>
          <w:highlight w:val="none"/>
          <w:u w:val="none"/>
        </w:rPr>
        <w:t>自行下载</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2023</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18</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北京时间）前提交投标文件</w:t>
      </w:r>
      <w:r>
        <w:rPr>
          <w:rFonts w:hint="eastAsia" w:ascii="宋体" w:hAnsi="宋体" w:eastAsia="宋体" w:cs="宋体"/>
          <w:color w:val="auto"/>
          <w:sz w:val="24"/>
          <w:szCs w:val="24"/>
          <w:highlight w:val="none"/>
        </w:rPr>
        <w:t>。</w:t>
      </w:r>
    </w:p>
    <w:p>
      <w:pPr>
        <w:pStyle w:val="3"/>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color w:val="auto"/>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bookmarkStart w:id="41" w:name="_GoBack"/>
      <w:r>
        <w:rPr>
          <w:rFonts w:hint="eastAsia" w:ascii="宋体" w:hAnsi="宋体" w:eastAsia="宋体" w:cs="宋体"/>
          <w:color w:val="auto"/>
          <w:sz w:val="24"/>
          <w:szCs w:val="24"/>
          <w:highlight w:val="none"/>
          <w:lang w:eastAsia="zh-CN"/>
        </w:rPr>
        <w:t>FXZB-202302-005</w:t>
      </w:r>
      <w:bookmarkEnd w:id="41"/>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大气污染数据统计调查和分析服务</w:t>
      </w:r>
      <w:r>
        <w:rPr>
          <w:rFonts w:hint="eastAsia" w:ascii="宋体" w:hAnsi="宋体" w:eastAsia="宋体" w:cs="宋体"/>
          <w:color w:val="auto"/>
          <w:sz w:val="24"/>
          <w:szCs w:val="24"/>
          <w:highlight w:val="none"/>
        </w:rPr>
        <w:t>；</w:t>
      </w:r>
    </w:p>
    <w:bookmarkEnd w:id="6"/>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3492600</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叁佰肆拾玖万贰仟陆佰</w:t>
      </w:r>
      <w:r>
        <w:rPr>
          <w:rFonts w:hint="eastAsia" w:ascii="宋体" w:hAnsi="宋体" w:eastAsia="宋体" w:cs="宋体"/>
          <w:color w:val="auto"/>
          <w:sz w:val="24"/>
          <w:szCs w:val="24"/>
          <w:highlight w:val="none"/>
        </w:rPr>
        <w:t>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3492600</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lang w:val="en-US" w:eastAsia="zh-CN"/>
        </w:rPr>
        <w:t>叁佰肆拾玖万贰仟陆佰</w:t>
      </w:r>
      <w:r>
        <w:rPr>
          <w:rFonts w:hint="eastAsia" w:ascii="宋体" w:hAnsi="宋体" w:eastAsia="宋体" w:cs="宋体"/>
          <w:color w:val="auto"/>
          <w:sz w:val="24"/>
          <w:szCs w:val="24"/>
          <w:highlight w:val="none"/>
        </w:rPr>
        <w:t>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唐山市生态环境局丰南区分局购买大气污染数据统计调查和分析服务，通过</w:t>
      </w:r>
      <w:r>
        <w:rPr>
          <w:rFonts w:hint="eastAsia" w:ascii="宋体" w:hAnsi="宋体" w:eastAsia="宋体" w:cs="宋体"/>
          <w:color w:val="auto"/>
          <w:sz w:val="24"/>
          <w:szCs w:val="24"/>
          <w:highlight w:val="none"/>
          <w:lang w:val="en-US" w:eastAsia="zh-CN"/>
        </w:rPr>
        <w:t>采购人提供的</w:t>
      </w:r>
      <w:r>
        <w:rPr>
          <w:rFonts w:hint="eastAsia" w:ascii="宋体" w:hAnsi="宋体" w:eastAsia="宋体" w:cs="宋体"/>
          <w:color w:val="auto"/>
          <w:sz w:val="24"/>
          <w:szCs w:val="24"/>
          <w:highlight w:val="none"/>
          <w:lang w:eastAsia="zh-CN"/>
        </w:rPr>
        <w:t>空气质量</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相关数据，分析污染成因、传播过程及演化规律，提供污染源解析和科学减排评估，实现污染过程“消峰减频”，提出合理治理建议，快速控制污染物扩散、聚积态势，推动大气污染防治工作向高效、精准型转变，确保完成空气质量目标任务，有效促进空气质量持续改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合同履行期限：自合同签订生效之日起12个月；</w:t>
      </w:r>
    </w:p>
    <w:p>
      <w:pPr>
        <w:pStyle w:val="3"/>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7" w:name="_Toc35393791"/>
      <w:bookmarkStart w:id="8" w:name="_Toc35393622"/>
      <w:bookmarkStart w:id="9" w:name="_Toc28359080"/>
      <w:bookmarkStart w:id="10" w:name="_Toc28359003"/>
      <w:r>
        <w:rPr>
          <w:rFonts w:hint="eastAsia" w:ascii="宋体" w:hAnsi="宋体" w:eastAsia="宋体" w:cs="宋体"/>
          <w:color w:val="auto"/>
          <w:sz w:val="24"/>
          <w:szCs w:val="24"/>
          <w:highlight w:val="none"/>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bookmarkStart w:id="11" w:name="_Toc28359081"/>
      <w:bookmarkStart w:id="12" w:name="_Toc28359004"/>
      <w:r>
        <w:rPr>
          <w:rFonts w:hint="eastAsia" w:ascii="宋体" w:hAnsi="宋体" w:eastAsia="宋体" w:cs="宋体"/>
          <w:color w:val="auto"/>
          <w:sz w:val="24"/>
          <w:szCs w:val="24"/>
          <w:highlight w:val="none"/>
          <w:lang w:val="en-US" w:eastAsia="zh-CN"/>
        </w:rPr>
        <w:t>2.落实政府采购政策需满足的资格要求：该项目专门面向小型、微型企业采购；</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未被列入国家信息中心“信用中国”失信被执行人、税收违法黑名单、政府采购严重违法失信名单，“中国政府采购网”政府采购严重违法失信行为记录名单；（2）与采购人存在利害关系可能影响采购公正性的法人、其他组织或者个人，不得参加此项目投标。单位负责人为同一人或者存在控股、管理关系的不同单位，不得同时参加本项目投标；为采购项目提供整体设计、规范编制或者项目管理、监理、检测等服务的供应商，不得同时参加本项目投标；（3）供应商参加政府采购活动前三年内，在经营活动中没有重大违法记录；（4）本次招标不接受联合体投标。</w:t>
      </w:r>
      <w:bookmarkStart w:id="13" w:name="_Toc35393792"/>
      <w:bookmarkStart w:id="14" w:name="_Toc35393623"/>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1"/>
      <w:bookmarkEnd w:id="12"/>
      <w:bookmarkEnd w:id="13"/>
      <w:bookmarkEnd w:id="14"/>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w:t>
      </w:r>
      <w:r>
        <w:rPr>
          <w:rFonts w:hint="eastAsia"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日至</w:t>
      </w:r>
      <w:r>
        <w:rPr>
          <w:rFonts w:hint="eastAsia" w:ascii="宋体" w:hAnsi="宋体" w:eastAsia="宋体" w:cs="宋体"/>
          <w:bCs/>
          <w:color w:val="auto"/>
          <w:sz w:val="24"/>
          <w:szCs w:val="24"/>
          <w:highlight w:val="none"/>
          <w:u w:val="single"/>
          <w:lang w:eastAsia="zh-CN"/>
        </w:rPr>
        <w:t>2023</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 xml:space="preserve">日，每天上午 </w:t>
      </w:r>
      <w:r>
        <w:rPr>
          <w:rFonts w:hint="eastAsia"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w:t>
      </w:r>
      <w:r>
        <w:rPr>
          <w:rFonts w:hint="eastAsia"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至下午 17:</w:t>
      </w:r>
      <w:r>
        <w:rPr>
          <w:rFonts w:hint="eastAsia"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（北京时间，法定节假日除外）</w:t>
      </w:r>
    </w:p>
    <w:p>
      <w:pPr>
        <w:pageBreakBefore w:val="0"/>
        <w:widowControl/>
        <w:kinsoku/>
        <w:wordWrap/>
        <w:overflowPunct/>
        <w:bidi w:val="0"/>
        <w:spacing w:beforeAutospacing="0" w:afterAutospacing="0" w:line="240" w:lineRule="auto"/>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应在“河北省公共资源交易服务平台”网站自行下载招标文件及相关资料，并及时查看有无澄清和修改。</w:t>
      </w:r>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方式：其它</w:t>
      </w:r>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w:t>
      </w:r>
    </w:p>
    <w:p>
      <w:pPr>
        <w:pStyle w:val="3"/>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color w:val="auto"/>
          <w:sz w:val="24"/>
          <w:szCs w:val="24"/>
          <w:highlight w:val="none"/>
        </w:rPr>
        <w:t>四、投标文件提交</w:t>
      </w:r>
    </w:p>
    <w:p>
      <w:pPr>
        <w:pStyle w:val="3"/>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投标文件递交截止时间：</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p>
    <w:p>
      <w:pPr>
        <w:pStyle w:val="3"/>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2.开标时间：</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w:t>
      </w:r>
    </w:p>
    <w:p>
      <w:pPr>
        <w:pStyle w:val="3"/>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3.地点：唐山市</w:t>
      </w:r>
      <w:r>
        <w:rPr>
          <w:rFonts w:hint="eastAsia" w:ascii="宋体" w:hAnsi="宋体" w:eastAsia="宋体" w:cs="宋体"/>
          <w:color w:val="auto"/>
          <w:sz w:val="24"/>
          <w:szCs w:val="24"/>
          <w:highlight w:val="none"/>
          <w:lang w:val="en-US" w:eastAsia="zh-CN"/>
        </w:rPr>
        <w:t>丰南区</w:t>
      </w:r>
      <w:r>
        <w:rPr>
          <w:rFonts w:hint="eastAsia" w:ascii="宋体" w:hAnsi="宋体" w:eastAsia="宋体" w:cs="宋体"/>
          <w:color w:val="auto"/>
          <w:sz w:val="24"/>
          <w:szCs w:val="24"/>
          <w:highlight w:val="none"/>
        </w:rPr>
        <w:t>公共资源交易中心</w:t>
      </w:r>
      <w:r>
        <w:rPr>
          <w:rFonts w:hint="eastAsia" w:ascii="宋体" w:hAnsi="宋体" w:eastAsia="宋体" w:cs="宋体"/>
          <w:color w:val="auto"/>
          <w:sz w:val="24"/>
          <w:szCs w:val="24"/>
          <w:highlight w:val="none"/>
          <w:lang w:val="en-US" w:eastAsia="zh-CN"/>
        </w:rPr>
        <w:t>第二开标室</w:t>
      </w:r>
      <w:r>
        <w:rPr>
          <w:rFonts w:hint="eastAsia" w:ascii="宋体" w:hAnsi="宋体" w:eastAsia="宋体" w:cs="宋体"/>
          <w:color w:val="auto"/>
          <w:sz w:val="24"/>
          <w:szCs w:val="24"/>
          <w:highlight w:val="none"/>
        </w:rPr>
        <w:t>（本项目采用全流程电子采购，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登录唐山不见面开标大厅，远程解密电子投标文件，不需到开标现场）</w:t>
      </w:r>
    </w:p>
    <w:p>
      <w:pPr>
        <w:pStyle w:val="3"/>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4.投标文件递交方式：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应在河北省公共资源交易服务平台递交电子投标文件。在线递交电子投标文件前，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应当使用投标客户端及CA为投标文件加密。未按规定时间和方式提交电子投标文件，因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的原因导致电子投标文件不能打开的，采购人不予受理。逾期上传的或者未上传到指定地点的投标文件，采购人不予受理。</w:t>
      </w:r>
    </w:p>
    <w:p>
      <w:pPr>
        <w:pStyle w:val="3"/>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5.解密时间：</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lang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原因造成投标文件未解密的，视为撤销其投标文件）</w:t>
      </w:r>
    </w:p>
    <w:bookmarkEnd w:id="15"/>
    <w:bookmarkEnd w:id="16"/>
    <w:bookmarkEnd w:id="17"/>
    <w:bookmarkEnd w:id="18"/>
    <w:p>
      <w:pPr>
        <w:pStyle w:val="3"/>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19" w:name="_Toc28359007"/>
      <w:bookmarkStart w:id="20" w:name="_Toc35393794"/>
      <w:bookmarkStart w:id="21" w:name="_Toc35393625"/>
      <w:bookmarkStart w:id="22" w:name="_Toc28359084"/>
      <w:r>
        <w:rPr>
          <w:rFonts w:hint="eastAsia" w:ascii="宋体" w:hAnsi="宋体" w:eastAsia="宋体" w:cs="宋体"/>
          <w:color w:val="auto"/>
          <w:sz w:val="24"/>
          <w:szCs w:val="24"/>
          <w:highlight w:val="none"/>
        </w:rPr>
        <w:t>五、公告期限</w:t>
      </w:r>
      <w:bookmarkEnd w:id="19"/>
      <w:bookmarkEnd w:id="20"/>
      <w:bookmarkEnd w:id="21"/>
      <w:bookmarkEnd w:id="22"/>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3"/>
        <w:pageBreakBefore w:val="0"/>
        <w:numPr>
          <w:ilvl w:val="0"/>
          <w:numId w:val="3"/>
        </w:numPr>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bookmarkStart w:id="23" w:name="_Toc35393795"/>
      <w:bookmarkStart w:id="24" w:name="_Toc35393626"/>
      <w:r>
        <w:rPr>
          <w:rFonts w:hint="eastAsia" w:ascii="宋体" w:hAnsi="宋体" w:eastAsia="宋体" w:cs="宋体"/>
          <w:color w:val="auto"/>
          <w:sz w:val="24"/>
          <w:szCs w:val="24"/>
          <w:highlight w:val="none"/>
        </w:rPr>
        <w:t>其他补充事宜</w:t>
      </w:r>
      <w:bookmarkEnd w:id="23"/>
      <w:bookmarkEnd w:id="24"/>
    </w:p>
    <w:p>
      <w:pPr>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1.本公告发布媒体：中国河北政府采购网、河北省公共资源交易服务平台。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2.服务标准：符合采购人要求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3.项目实施地点：丰南区生态环保指挥中心（正苑大街12号电视台二楼）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textAlignment w:val="auto"/>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4.评标方法：综合评分法</w:t>
      </w:r>
    </w:p>
    <w:p>
      <w:pPr>
        <w:pStyle w:val="3"/>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zh-CN"/>
        </w:rPr>
      </w:pPr>
      <w:bookmarkStart w:id="25" w:name="_Toc28359085"/>
      <w:bookmarkStart w:id="26" w:name="_Toc35393627"/>
      <w:bookmarkStart w:id="27" w:name="_Toc28359008"/>
      <w:bookmarkStart w:id="28" w:name="_Toc3539379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供应商需先在河北省公共资源交易服务平台</w:t>
      </w:r>
      <w:r>
        <w:rPr>
          <w:rFonts w:hint="eastAsia" w:ascii="宋体" w:hAnsi="宋体" w:eastAsia="宋体" w:cs="宋体"/>
          <w:color w:val="auto"/>
          <w:sz w:val="24"/>
          <w:szCs w:val="24"/>
          <w:highlight w:val="none"/>
        </w:rPr>
        <w:t>（http://www.hebpr.cn/）</w:t>
      </w:r>
      <w:r>
        <w:rPr>
          <w:rFonts w:hint="eastAsia" w:ascii="宋体" w:hAnsi="宋体" w:eastAsia="宋体" w:cs="宋体"/>
          <w:color w:val="auto"/>
          <w:sz w:val="24"/>
          <w:szCs w:val="24"/>
          <w:highlight w:val="none"/>
          <w:lang w:val="zh-CN"/>
        </w:rPr>
        <w:t>进行注册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如已完成注册的无需再次注册。因供应商自身的原因未能在有效时间内完成注册，将会导致报名不成功，其后果由供应商单位自负。</w:t>
      </w:r>
    </w:p>
    <w:p>
      <w:pPr>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6.已在河北省公共资源交易服务平台市场主体库通过资格确认（注册登记）并办理其中任意一家 CA 证书（包括河北 CA、山西 CA、北京 CA、联通 CA、CQCCA、CFCA）的供应商可直接登录唐山市电子交易系统下载文件。CA 认证服务热线：河北 CA：400-707-3355；北京 CA：400-994-3319；山西吉大 CA：400-653-0200；联通 CA：0311-85691619，CQCCA：400-800-5123，CFCA：400-880-9888。</w:t>
      </w:r>
    </w:p>
    <w:p>
      <w:pPr>
        <w:pStyle w:val="3"/>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七、对本次招标提出询问，请按以下方式联系。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bookmarkStart w:id="29" w:name="_Toc28359009"/>
      <w:bookmarkStart w:id="30" w:name="_Toc28359086"/>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唐山市生态环境局丰南区分局</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唐山市丰南区青年路195号</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 xml:space="preserve"> 周恩慧 13831553690</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9"/>
      <w:bookmarkEnd w:id="30"/>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bookmarkStart w:id="31" w:name="_Toc28359010"/>
      <w:bookmarkStart w:id="32" w:name="_Toc28359087"/>
      <w:r>
        <w:rPr>
          <w:rFonts w:hint="eastAsia" w:ascii="宋体" w:hAnsi="宋体" w:eastAsia="宋体" w:cs="宋体"/>
          <w:color w:val="auto"/>
          <w:sz w:val="24"/>
          <w:szCs w:val="24"/>
          <w:highlight w:val="none"/>
        </w:rPr>
        <w:t xml:space="preserve">名称：河北丰信工程咨询有限公司 </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地址：丰南区建设路西侧146号</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李家祥</w:t>
      </w:r>
      <w:r>
        <w:rPr>
          <w:rFonts w:hint="eastAsia" w:ascii="宋体" w:hAnsi="宋体" w:eastAsia="宋体" w:cs="宋体"/>
          <w:color w:val="auto"/>
          <w:sz w:val="24"/>
          <w:szCs w:val="24"/>
          <w:highlight w:val="none"/>
        </w:rPr>
        <w:t xml:space="preserve"> 0315-8531</w:t>
      </w:r>
      <w:r>
        <w:rPr>
          <w:rFonts w:hint="eastAsia" w:ascii="宋体" w:hAnsi="宋体" w:eastAsia="宋体" w:cs="宋体"/>
          <w:color w:val="auto"/>
          <w:sz w:val="24"/>
          <w:szCs w:val="24"/>
          <w:highlight w:val="none"/>
          <w:lang w:val="en-US" w:eastAsia="zh-CN"/>
        </w:rPr>
        <w:t>639</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3.项目联系方式</w:t>
      </w:r>
      <w:bookmarkEnd w:id="31"/>
      <w:bookmarkEnd w:id="32"/>
    </w:p>
    <w:p>
      <w:pPr>
        <w:pStyle w:val="12"/>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李家祥</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话：0315-8531</w:t>
      </w:r>
      <w:r>
        <w:rPr>
          <w:rFonts w:hint="eastAsia" w:ascii="宋体" w:hAnsi="宋体" w:eastAsia="宋体" w:cs="宋体"/>
          <w:color w:val="auto"/>
          <w:sz w:val="24"/>
          <w:szCs w:val="24"/>
          <w:highlight w:val="none"/>
          <w:lang w:val="en-US" w:eastAsia="zh-CN"/>
        </w:rPr>
        <w:t>639</w:t>
      </w:r>
    </w:p>
    <w:p>
      <w:pPr>
        <w:pStyle w:val="10"/>
        <w:rPr>
          <w:rFonts w:hint="eastAsia" w:ascii="宋体" w:hAnsi="宋体" w:eastAsia="宋体" w:cs="宋体"/>
          <w:highlight w:val="none"/>
          <w:lang w:eastAsia="zh-CN"/>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adjustRightInd w:val="0"/>
        <w:snapToGrid w:val="0"/>
        <w:spacing w:line="360" w:lineRule="auto"/>
        <w:ind w:firstLine="883" w:firstLineChars="200"/>
        <w:jc w:val="center"/>
        <w:rPr>
          <w:rFonts w:hint="eastAsia" w:ascii="宋体" w:hAnsi="宋体" w:eastAsia="宋体" w:cs="宋体"/>
          <w:b/>
          <w:sz w:val="44"/>
          <w:highlight w:val="none"/>
        </w:rPr>
      </w:pPr>
    </w:p>
    <w:p>
      <w:pPr>
        <w:adjustRightInd w:val="0"/>
        <w:snapToGrid w:val="0"/>
        <w:spacing w:line="360" w:lineRule="auto"/>
        <w:ind w:firstLine="883" w:firstLineChars="200"/>
        <w:jc w:val="center"/>
        <w:rPr>
          <w:rFonts w:hint="eastAsia" w:ascii="宋体" w:hAnsi="宋体" w:eastAsia="宋体" w:cs="宋体"/>
          <w:b/>
          <w:sz w:val="44"/>
          <w:highlight w:val="none"/>
        </w:rPr>
      </w:pPr>
    </w:p>
    <w:p>
      <w:pPr>
        <w:rPr>
          <w:rFonts w:hint="eastAsia" w:ascii="宋体" w:hAnsi="宋体" w:eastAsia="宋体" w:cs="宋体"/>
          <w:highlight w:val="none"/>
        </w:rPr>
      </w:pPr>
    </w:p>
    <w:p>
      <w:pPr>
        <w:adjustRightInd w:val="0"/>
        <w:snapToGrid w:val="0"/>
        <w:spacing w:line="360" w:lineRule="auto"/>
        <w:ind w:firstLine="883" w:firstLineChars="200"/>
        <w:jc w:val="center"/>
        <w:rPr>
          <w:rFonts w:hint="eastAsia" w:ascii="宋体" w:hAnsi="宋体" w:eastAsia="宋体" w:cs="宋体"/>
          <w:b/>
          <w:sz w:val="44"/>
          <w:szCs w:val="44"/>
          <w:highlight w:val="none"/>
        </w:rPr>
      </w:pPr>
      <w:r>
        <w:rPr>
          <w:rFonts w:hint="eastAsia" w:ascii="宋体" w:hAnsi="宋体" w:eastAsia="宋体" w:cs="宋体"/>
          <w:b/>
          <w:sz w:val="44"/>
          <w:highlight w:val="none"/>
        </w:rPr>
        <w:t>第二部分  采购项目的相关要求</w:t>
      </w:r>
      <w:bookmarkEnd w:id="1"/>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一、项目说明</w:t>
      </w:r>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大气污染数据统计调查和分析服务</w:t>
      </w:r>
    </w:p>
    <w:p>
      <w:pPr>
        <w:pageBreakBefore w:val="0"/>
        <w:kinsoku/>
        <w:wordWrap/>
        <w:overflowPunct/>
        <w:bidi w:val="0"/>
        <w:spacing w:beforeAutospacing="0" w:afterAutospacing="0" w:line="240" w:lineRule="auto"/>
        <w:ind w:left="0" w:leftChars="0" w:right="0" w:righ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r>
        <w:rPr>
          <w:rFonts w:hint="eastAsia" w:ascii="宋体" w:hAnsi="宋体" w:eastAsia="宋体" w:cs="宋体"/>
          <w:color w:val="auto"/>
          <w:kern w:val="2"/>
          <w:sz w:val="24"/>
          <w:szCs w:val="24"/>
          <w:highlight w:val="none"/>
          <w:lang w:val="en-US" w:eastAsia="zh-CN" w:bidi="ar-SA"/>
        </w:rPr>
        <w:t>丰南区生态环保指挥中心（正苑大街12号电视台二楼）</w:t>
      </w:r>
      <w:r>
        <w:rPr>
          <w:rFonts w:hint="eastAsia" w:ascii="宋体" w:hAnsi="宋体" w:eastAsia="宋体" w:cs="宋体"/>
          <w:color w:val="auto"/>
          <w:sz w:val="24"/>
          <w:highlight w:val="none"/>
        </w:rPr>
        <w:t>。</w:t>
      </w: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二、政府采购预算为（人民币）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3492600</w:t>
      </w:r>
      <w:r>
        <w:rPr>
          <w:rFonts w:hint="eastAsia" w:ascii="宋体" w:hAnsi="宋体" w:eastAsia="宋体" w:cs="宋体"/>
          <w:color w:val="auto"/>
          <w:sz w:val="24"/>
          <w:highlight w:val="none"/>
        </w:rPr>
        <w:t>元（投标文件中报价高于此预算的为无效投标文件）</w:t>
      </w:r>
    </w:p>
    <w:p>
      <w:pPr>
        <w:tabs>
          <w:tab w:val="left" w:pos="966"/>
          <w:tab w:val="left" w:pos="1127"/>
          <w:tab w:val="left" w:pos="1610"/>
          <w:tab w:val="left" w:pos="1771"/>
        </w:tabs>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三、服务内容：</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当前，大气污染防治形势严峻，上级常态化考核、问责、问效，我区迫切需要依托环保大数据，实时掌握污染物分布浓度，精准溯源污染成因，科学制定有效管控措施。为此，在参照市大气办及其他县市区经验的基础上，我区拟购买大气污染数据统计调查和分析服务，通过空气质量相关数据，分析污染成因、传播过程及演化规律，提供污染源解析和科学减排评估，实现污染过程“消峰减频”，提出合理治理建议，快速控制污染物扩散、聚积态势，推动大气污染防治工作向高效、精准型转变，确保完成空气质量目标任务，有效促进空气质量持续改善。 </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合同履行期限</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自合同签订生效之日起12个月</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（三）项目服务内容</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目标分解，动态调控</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合同生效后10日内，结合往年空气质量变化规律及气象条件、污染源排放变化规律等，将</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年度目标（污染物浓度年均值）分解到全年12个月，根据省、市下达的管控目标同</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共同制定区域逐月动态控制目标，并随时根据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需要适时细化调整动态目标。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研判分析及管控建议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eastAsia="zh-CN"/>
        </w:rPr>
        <w:t>组建技术组，根据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需求，不定期在区生态环保指挥中心组织大气污染分析例会，对全区大气污染情况进行分析，对前一日数据排名情况、污染物成因、巡查发现问题、管控措施落实情况进行分析总结。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pacing w:val="-6"/>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pacing w:val="-6"/>
          <w:sz w:val="24"/>
          <w:szCs w:val="24"/>
          <w:highlight w:val="none"/>
          <w:lang w:eastAsia="zh-CN"/>
        </w:rPr>
        <w:t>依照当日气象预报，对未来48小时大气污染情况进行预测</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）根据气象预报对未来24小时发布全区管控指令。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）对涉及管控区域内的主要大气污染行业如：钢铁、焦化、铸造、石灰窑等，根据企业实际情况除每日综合指令外，点对点发布实时管控指令。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）参与唐山环保指挥中心会商，根据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需求提供丰南区的数据分析专报。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（6）合同生效一个月内，通过在线数据监测和现场巡查等多种有效途径绘制丰南区污染地图，并详细列出主要道路、重点建筑工地钢铁企业、焦化企业、铸造企业、垃圾焚烧、餐饮油烟等各类污染源位置。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FF000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）根据各类污染源的位置、主要排放的污染物、污染贡献率、天气影响等各方面因素，制定空气质量专项监测方案，提出切实可行的管控建议。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现场巡查、实时调度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 xml:space="preserve">组建团队：提供不少于15人的服务团队其中包含1名项目负责人（环境相关专业本科及以上学历，具备工程师及以上职称）、2名专业数据技术分析师（具备本科及以上环境相关专业学历），其余员12名（要求具有大专及以上学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）团队成员根据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需求，每日在区生态环保指挥中心安排工作人员，对管控区域实施24小时不间断监控，负责数据监控与分析、问题的交办与汇总、管控指令的发布与记录，做好本职工作的同时配合好政府工作。</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lang w:val="en-US" w:eastAsia="zh-CN"/>
        </w:rPr>
        <w:t>本项目所需设备由中标供应商负责提供：无人机、便携式PM检测仪（须满足检测参数：PM2.5:测量范围 0-1000μg/m3；精度±10%；分辨率 1μg/m3； PM10:测量范围 0-1000μg/m3；精度±10%；分辨率 1μg/m3）、便携式空气质量检测仪（须满足检测参数：CO：测量范围 0-50ppm；分辨率：1ppm； SO2:测量范围 0-2000ppb；分辨率：1ppb； NO2:测量范围 0-2000ppb；分辨率：1ppb； O3:测量范围 0-2000ppb；分辨率：1ppb）、测温仪、强光手电等必要设备。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）对我区国省控站点周边科学划定重点监控区域，对全区区域内各监点位异常数值及时分析处理，1小时内形成反馈报区生态环保指挥中心。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lang w:eastAsia="zh-CN"/>
        </w:rPr>
        <w:t>重污染过程预警、管控建议及分析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eastAsia="zh-CN"/>
        </w:rPr>
        <w:t>对气象情况实时分析和研判，提前预测不利气象条件，对可能出现的重污染过程的级别、范围、时间进行提前预警，为重污染管控提供充足的应对时间；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）提供重污染天气期间的数据分析报告，分析成因并与区生态分局、大气办等部门进行交流，制定重污染天气管控方案。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eastAsia="zh-CN"/>
        </w:rPr>
        <w:t>定期参加大气污染防治攻坚研判会议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定期参加大气污染防治攻坚研判会议，汇报最新的数据分析研判报告，分析空气质量特征、大气污染形势及污染治理中存在的问题。提出城市污染治理建议、年度城市污染变化趋势分析、制定有效行动计划。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eastAsia="zh-CN"/>
        </w:rPr>
        <w:t>管控效果评估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eastAsia="zh-CN"/>
        </w:rPr>
        <w:t>利用区域内各种监测数据，以国家/地方考核数据为重点分析对象，从空气质量综合指数达标情况、综合指数改善率、优良天数、各项污染指标变化及达标情况、区域空气质量排名情况等多个维度，对</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空气质量改善效果进行综合评价。</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（四）服务标准要求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符合采购人要求。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（五）具体服务要求</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(1)人员要求</w:t>
      </w:r>
    </w:p>
    <w:tbl>
      <w:tblPr>
        <w:tblStyle w:val="24"/>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866"/>
        <w:gridCol w:w="1613"/>
        <w:gridCol w:w="4432"/>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序号</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岗位</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数量（人）</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要求</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项目负责人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环境相关专业本科及以上学历，具备工程师及以上职称</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专业数据技术分析师</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具备本科及以上环境相关专业学历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系统平台监控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具备专科学历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巡查</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具备专科学历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5</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数据分析</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具备专科学历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研判与管控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具备专科学历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合计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15</w:t>
            </w:r>
          </w:p>
        </w:tc>
        <w:tc>
          <w:tcPr>
            <w:tcW w:w="4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center"/>
              <w:textAlignment w:val="auto"/>
              <w:rPr>
                <w:rFonts w:hint="eastAsia" w:ascii="宋体" w:hAnsi="宋体" w:eastAsia="宋体" w:cs="宋体"/>
                <w:b w:val="0"/>
                <w:bCs w:val="0"/>
                <w:sz w:val="24"/>
                <w:szCs w:val="24"/>
                <w:highlight w:val="no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备注：1、要求每日最少保证日间5人、夜间3人，在区生态环保指挥中心值守，确保24小时不间断，由中标供应商结合实际进行排班，每月底将值班安排表报环保指挥中心，如有人员变动，及时沟通。</w:t>
      </w:r>
      <w:r>
        <w:rPr>
          <w:rFonts w:hint="eastAsia" w:ascii="宋体" w:hAnsi="宋体" w:eastAsia="宋体" w:cs="宋体"/>
          <w:b w:val="0"/>
          <w:bCs w:val="0"/>
          <w:sz w:val="24"/>
          <w:szCs w:val="24"/>
          <w:highlight w:val="none"/>
          <w:lang w:val="en-US" w:eastAsia="zh-CN"/>
        </w:rPr>
        <w:br w:type="textWrapping"/>
      </w:r>
      <w:r>
        <w:rPr>
          <w:rFonts w:hint="eastAsia" w:ascii="宋体" w:hAnsi="宋体" w:eastAsia="宋体" w:cs="宋体"/>
          <w:b w:val="0"/>
          <w:bCs w:val="0"/>
          <w:sz w:val="24"/>
          <w:szCs w:val="24"/>
          <w:highlight w:val="none"/>
          <w:lang w:val="en-US" w:eastAsia="zh-CN"/>
        </w:rPr>
        <w:t xml:space="preserve">    2、区生态环保指挥中心提供办公场地，电脑、打印机和办公耗材等办公用品由中标供应商承担。</w:t>
      </w:r>
      <w:r>
        <w:rPr>
          <w:rFonts w:hint="eastAsia" w:ascii="宋体" w:hAnsi="宋体" w:eastAsia="宋体" w:cs="宋体"/>
          <w:b w:val="0"/>
          <w:bCs w:val="0"/>
          <w:sz w:val="24"/>
          <w:szCs w:val="24"/>
          <w:highlight w:val="none"/>
          <w:lang w:val="en-US" w:eastAsia="zh-CN"/>
        </w:rPr>
        <w:br w:type="textWrapping"/>
      </w:r>
      <w:r>
        <w:rPr>
          <w:rFonts w:hint="eastAsia" w:ascii="宋体" w:hAnsi="宋体" w:eastAsia="宋体" w:cs="宋体"/>
          <w:b w:val="0"/>
          <w:bCs w:val="0"/>
          <w:sz w:val="24"/>
          <w:szCs w:val="24"/>
          <w:highlight w:val="none"/>
          <w:lang w:val="en-US" w:eastAsia="zh-CN"/>
        </w:rPr>
        <w:t xml:space="preserve">    3、办公人员住宿问题由中标供应商自行解决，就餐问题由区生态环保指挥中心协调区政府解决。 </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(2)本项目所需设备由中标供应商负责提供：无人机、便携式PM检测仪（须满足检测参数：PM2.5:测量范围 0-1000μg/m3；精度±10%；分辨率 1μg/m3； PM10:测量范围 0-1000μg/m3；精度±10%；分辨率 1μg/m3）、便携式空气质量检测仪（须满足检测参数：CO：测量范围 0-50ppm；分辨率：1ppm； SO2:测量范围 0-2000ppb；分辨率：1ppb； NO2:测量范围 0-2000ppb；分辨率：1ppb； O3:测量范围 0-2000ppb；分辨率：1ppb）、测温仪、强光手电等必要设备。</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(3)服务方所提供的运营人员需满足项目运行所需人数要求；依据项目需求到项目指定地点进行技术服务，按量保质完成项目方各类服务要求，确保高效完成项目工作。</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(4)服务方运营服务项目期间，须保存原始数据、数据分析等文件，每月底将数据分析、整体工作报告、相关工作记录和档案（含纸质版和电子版）无偿提供给采购人以便更高效、有序的开展项目服务。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sz w:val="24"/>
          <w:szCs w:val="24"/>
          <w:highlight w:val="none"/>
          <w:lang w:val="en-US" w:eastAsia="zh-CN"/>
        </w:rPr>
        <w:t>项目考核要求</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为规范服务</w:t>
      </w:r>
      <w:r>
        <w:rPr>
          <w:rFonts w:hint="eastAsia" w:ascii="宋体" w:hAnsi="宋体" w:eastAsia="宋体" w:cs="宋体"/>
          <w:b w:val="0"/>
          <w:bCs w:val="0"/>
          <w:sz w:val="24"/>
          <w:szCs w:val="24"/>
          <w:highlight w:val="none"/>
          <w:lang w:val="en-US" w:eastAsia="zh-CN"/>
        </w:rPr>
        <w:t>中标供应商</w:t>
      </w:r>
      <w:r>
        <w:rPr>
          <w:rFonts w:hint="eastAsia" w:ascii="宋体" w:hAnsi="宋体" w:eastAsia="宋体" w:cs="宋体"/>
          <w:sz w:val="24"/>
          <w:szCs w:val="24"/>
          <w:highlight w:val="none"/>
          <w:lang w:val="en-US" w:eastAsia="zh-CN"/>
        </w:rPr>
        <w:t>管理，提高人员工作能力和服务水平，有效促进空气质量持续改善，实行奖惩制，具体考核内容如下：</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一、人员要求</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中标供应商</w:t>
      </w:r>
      <w:r>
        <w:rPr>
          <w:rFonts w:hint="eastAsia" w:ascii="宋体" w:hAnsi="宋体" w:eastAsia="宋体" w:cs="宋体"/>
          <w:sz w:val="24"/>
          <w:szCs w:val="24"/>
          <w:highlight w:val="none"/>
          <w:lang w:val="en-US" w:eastAsia="zh-CN"/>
        </w:rPr>
        <w:t>必须满足人员数量要求：保证整体至少15人，白天不少于5人、夜间不少于3人。人员分工明确，各司其责，人员不到位扣1分。</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二、纪律要求</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（一）各岗位人员遵守工作纪律，不得做与工作无关的事情，每发现一人次违反工作纪律行为扣1分。</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（二）严格遵守保密纪律，不得将工作内容私自外传，不得将工作内容（尤其是涉密工作）网传，发现一次扣2分，造成影响的将追究个人及所属单位相应责任。</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三、工作质效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（一）</w:t>
      </w:r>
      <w:r>
        <w:rPr>
          <w:rFonts w:hint="eastAsia" w:ascii="宋体" w:hAnsi="宋体" w:eastAsia="宋体" w:cs="宋体"/>
          <w:b w:val="0"/>
          <w:bCs w:val="0"/>
          <w:sz w:val="24"/>
          <w:szCs w:val="24"/>
          <w:highlight w:val="none"/>
          <w:lang w:val="en-US" w:eastAsia="zh-CN"/>
        </w:rPr>
        <w:t>按要求编写领导调度信息及管控指令</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未达到要求时，每次扣1分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pacing w:val="-6"/>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b w:val="0"/>
          <w:bCs w:val="0"/>
          <w:spacing w:val="-6"/>
          <w:sz w:val="24"/>
          <w:szCs w:val="24"/>
          <w:highlight w:val="none"/>
          <w:lang w:eastAsia="zh-CN"/>
        </w:rPr>
        <w:t>依照当日气象预报，对未来48小时大气污染情况进行预测。</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pacing w:val="-6"/>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（三）</w:t>
      </w:r>
      <w:r>
        <w:rPr>
          <w:rFonts w:hint="eastAsia" w:ascii="宋体" w:hAnsi="宋体" w:eastAsia="宋体" w:cs="宋体"/>
          <w:b w:val="0"/>
          <w:bCs w:val="0"/>
          <w:sz w:val="24"/>
          <w:szCs w:val="24"/>
          <w:highlight w:val="none"/>
          <w:lang w:eastAsia="zh-CN"/>
        </w:rPr>
        <w:t>根据气象预报对未来24小时发布全区管控指令。</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b w:val="0"/>
          <w:bCs w:val="0"/>
          <w:sz w:val="24"/>
          <w:szCs w:val="24"/>
          <w:highlight w:val="none"/>
          <w:lang w:val="en-US" w:eastAsia="zh-CN"/>
        </w:rPr>
        <w:t>准时</w:t>
      </w:r>
      <w:r>
        <w:rPr>
          <w:rFonts w:hint="eastAsia" w:ascii="宋体" w:hAnsi="宋体" w:eastAsia="宋体" w:cs="宋体"/>
          <w:b w:val="0"/>
          <w:bCs w:val="0"/>
          <w:sz w:val="24"/>
          <w:szCs w:val="24"/>
          <w:highlight w:val="none"/>
          <w:lang w:eastAsia="zh-CN"/>
        </w:rPr>
        <w:t>参与唐山</w:t>
      </w:r>
      <w:r>
        <w:rPr>
          <w:rFonts w:hint="eastAsia" w:ascii="宋体" w:hAnsi="宋体" w:eastAsia="宋体" w:cs="宋体"/>
          <w:b w:val="0"/>
          <w:bCs w:val="0"/>
          <w:sz w:val="24"/>
          <w:szCs w:val="24"/>
          <w:highlight w:val="none"/>
          <w:lang w:val="en-US" w:eastAsia="zh-CN"/>
        </w:rPr>
        <w:t>市和丰南区大气污染调度会议</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丰南区大气污染会商会议上，</w:t>
      </w:r>
      <w:r>
        <w:rPr>
          <w:rFonts w:hint="eastAsia" w:ascii="宋体" w:hAnsi="宋体" w:eastAsia="宋体" w:cs="宋体"/>
          <w:b w:val="0"/>
          <w:bCs w:val="0"/>
          <w:sz w:val="24"/>
          <w:szCs w:val="24"/>
          <w:highlight w:val="none"/>
          <w:lang w:eastAsia="zh-CN"/>
        </w:rPr>
        <w:t>根据需求提供</w:t>
      </w:r>
      <w:r>
        <w:rPr>
          <w:rFonts w:hint="eastAsia" w:ascii="宋体" w:hAnsi="宋体" w:eastAsia="宋体" w:cs="宋体"/>
          <w:b w:val="0"/>
          <w:bCs w:val="0"/>
          <w:sz w:val="24"/>
          <w:szCs w:val="24"/>
          <w:highlight w:val="none"/>
          <w:lang w:val="en-US" w:eastAsia="zh-CN"/>
        </w:rPr>
        <w:t>近期空气质量数据分析及管控建议，以PPT形式讲解。</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（五）</w:t>
      </w:r>
      <w:r>
        <w:rPr>
          <w:rFonts w:hint="eastAsia" w:ascii="宋体" w:hAnsi="宋体" w:eastAsia="宋体" w:cs="宋体"/>
          <w:b w:val="0"/>
          <w:bCs w:val="0"/>
          <w:sz w:val="24"/>
          <w:szCs w:val="24"/>
          <w:highlight w:val="none"/>
          <w:lang w:val="en-US" w:eastAsia="zh-CN"/>
        </w:rPr>
        <w:t>每月底起草</w:t>
      </w:r>
      <w:r>
        <w:rPr>
          <w:rFonts w:hint="eastAsia" w:ascii="宋体" w:hAnsi="宋体" w:eastAsia="宋体" w:cs="宋体"/>
          <w:b w:val="0"/>
          <w:bCs w:val="0"/>
          <w:sz w:val="24"/>
          <w:szCs w:val="24"/>
          <w:highlight w:val="none"/>
          <w:lang w:eastAsia="zh-CN"/>
        </w:rPr>
        <w:t>丰南区</w:t>
      </w:r>
      <w:r>
        <w:rPr>
          <w:rFonts w:hint="eastAsia" w:ascii="宋体" w:hAnsi="宋体" w:eastAsia="宋体" w:cs="宋体"/>
          <w:b w:val="0"/>
          <w:bCs w:val="0"/>
          <w:sz w:val="24"/>
          <w:szCs w:val="24"/>
          <w:highlight w:val="none"/>
          <w:lang w:val="en-US" w:eastAsia="zh-CN"/>
        </w:rPr>
        <w:t>空气质量</w:t>
      </w:r>
      <w:r>
        <w:rPr>
          <w:rFonts w:hint="eastAsia" w:ascii="宋体" w:hAnsi="宋体" w:eastAsia="宋体" w:cs="宋体"/>
          <w:b w:val="0"/>
          <w:bCs w:val="0"/>
          <w:sz w:val="24"/>
          <w:szCs w:val="24"/>
          <w:highlight w:val="none"/>
          <w:lang w:eastAsia="zh-CN"/>
        </w:rPr>
        <w:t>专报，</w:t>
      </w:r>
      <w:r>
        <w:rPr>
          <w:rFonts w:hint="eastAsia" w:ascii="宋体" w:hAnsi="宋体" w:eastAsia="宋体" w:cs="宋体"/>
          <w:b w:val="0"/>
          <w:bCs w:val="0"/>
          <w:sz w:val="24"/>
          <w:szCs w:val="24"/>
          <w:highlight w:val="none"/>
          <w:lang w:val="en-US" w:eastAsia="zh-CN"/>
        </w:rPr>
        <w:t>经指挥中心领导审核后呈报区委、区政府。</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（六）</w:t>
      </w:r>
      <w:r>
        <w:rPr>
          <w:rFonts w:hint="eastAsia" w:ascii="宋体" w:hAnsi="宋体" w:eastAsia="宋体" w:cs="宋体"/>
          <w:b w:val="0"/>
          <w:bCs w:val="0"/>
          <w:sz w:val="24"/>
          <w:szCs w:val="24"/>
          <w:highlight w:val="none"/>
          <w:lang w:val="en-US" w:eastAsia="zh-CN"/>
        </w:rPr>
        <w:t>安排专人紧盯系统平台，做好问题记录和值班登记，保证平台异常数据无遗漏。</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（七）</w:t>
      </w:r>
      <w:r>
        <w:rPr>
          <w:rFonts w:hint="eastAsia" w:ascii="宋体" w:hAnsi="宋体" w:eastAsia="宋体" w:cs="宋体"/>
          <w:b w:val="0"/>
          <w:bCs w:val="0"/>
          <w:sz w:val="24"/>
          <w:szCs w:val="24"/>
          <w:highlight w:val="none"/>
          <w:lang w:eastAsia="zh-CN"/>
        </w:rPr>
        <w:t>绘制丰南区污染</w:t>
      </w:r>
      <w:r>
        <w:rPr>
          <w:rFonts w:hint="eastAsia" w:ascii="宋体" w:hAnsi="宋体" w:eastAsia="宋体" w:cs="宋体"/>
          <w:b w:val="0"/>
          <w:bCs w:val="0"/>
          <w:sz w:val="24"/>
          <w:szCs w:val="24"/>
          <w:highlight w:val="none"/>
          <w:lang w:val="en-US" w:eastAsia="zh-CN"/>
        </w:rPr>
        <w:t>源</w:t>
      </w:r>
      <w:r>
        <w:rPr>
          <w:rFonts w:hint="eastAsia" w:ascii="宋体" w:hAnsi="宋体" w:eastAsia="宋体" w:cs="宋体"/>
          <w:b w:val="0"/>
          <w:bCs w:val="0"/>
          <w:sz w:val="24"/>
          <w:szCs w:val="24"/>
          <w:highlight w:val="none"/>
          <w:lang w:eastAsia="zh-CN"/>
        </w:rPr>
        <w:t>地图，详细列出主要道路、重点建筑工地、钢铁企业、焦化企业、铸造企业、垃圾焚烧、餐饮油烟等各类污染源位置。</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val="en-US" w:eastAsia="zh-CN"/>
        </w:rPr>
        <w:t>，规定时间内还未完成扣2分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（八）</w:t>
      </w:r>
      <w:r>
        <w:rPr>
          <w:rFonts w:hint="eastAsia" w:ascii="宋体" w:hAnsi="宋体" w:eastAsia="宋体" w:cs="宋体"/>
          <w:b w:val="0"/>
          <w:bCs w:val="0"/>
          <w:sz w:val="24"/>
          <w:szCs w:val="24"/>
          <w:highlight w:val="none"/>
          <w:lang w:eastAsia="zh-CN"/>
        </w:rPr>
        <w:t>根据各类污染源的位置、主要排放的污染物、污染贡献率、天气影响等各方面因素，制定空气质量专项监测方案，提出切实可行的管控建议，对发布的各项管控措施落实情况进行实时督导监管及效果评价，</w:t>
      </w:r>
      <w:r>
        <w:rPr>
          <w:rFonts w:hint="eastAsia" w:ascii="宋体" w:hAnsi="宋体" w:eastAsia="宋体" w:cs="宋体"/>
          <w:b w:val="0"/>
          <w:bCs w:val="0"/>
          <w:sz w:val="24"/>
          <w:szCs w:val="24"/>
          <w:highlight w:val="none"/>
          <w:lang w:val="en-US" w:eastAsia="zh-CN"/>
        </w:rPr>
        <w:t>整理记录存档。</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（九）</w:t>
      </w:r>
      <w:r>
        <w:rPr>
          <w:rFonts w:hint="eastAsia" w:ascii="宋体" w:hAnsi="宋体" w:eastAsia="宋体" w:cs="宋体"/>
          <w:b w:val="0"/>
          <w:bCs w:val="0"/>
          <w:sz w:val="24"/>
          <w:szCs w:val="24"/>
          <w:highlight w:val="none"/>
          <w:lang w:eastAsia="zh-CN"/>
        </w:rPr>
        <w:t>对气象情况实时分析和研判，提前预测不利气象条件，对可能出现的重污染过程的级别、范围、时间进行提前预警，为重污染管控提供充足的应对时间。</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（十）</w:t>
      </w:r>
      <w:r>
        <w:rPr>
          <w:rFonts w:hint="eastAsia" w:ascii="宋体" w:hAnsi="宋体" w:eastAsia="宋体" w:cs="宋体"/>
          <w:b w:val="0"/>
          <w:bCs w:val="0"/>
          <w:sz w:val="24"/>
          <w:szCs w:val="24"/>
          <w:highlight w:val="none"/>
          <w:lang w:eastAsia="zh-CN"/>
        </w:rPr>
        <w:t>重污染天气期间，</w:t>
      </w:r>
      <w:r>
        <w:rPr>
          <w:rFonts w:hint="eastAsia" w:ascii="宋体" w:hAnsi="宋体" w:eastAsia="宋体" w:cs="宋体"/>
          <w:b w:val="0"/>
          <w:bCs w:val="0"/>
          <w:sz w:val="24"/>
          <w:szCs w:val="24"/>
          <w:highlight w:val="none"/>
          <w:lang w:val="en-US" w:eastAsia="zh-CN"/>
        </w:rPr>
        <w:t>与</w:t>
      </w:r>
      <w:r>
        <w:rPr>
          <w:rFonts w:hint="eastAsia" w:ascii="宋体" w:hAnsi="宋体" w:eastAsia="宋体" w:cs="宋体"/>
          <w:b w:val="0"/>
          <w:bCs w:val="0"/>
          <w:sz w:val="24"/>
          <w:szCs w:val="24"/>
          <w:highlight w:val="none"/>
          <w:lang w:eastAsia="zh-CN"/>
        </w:rPr>
        <w:t>生态分局、</w:t>
      </w:r>
      <w:r>
        <w:rPr>
          <w:rFonts w:hint="eastAsia" w:ascii="宋体" w:hAnsi="宋体" w:eastAsia="宋体" w:cs="宋体"/>
          <w:b w:val="0"/>
          <w:bCs w:val="0"/>
          <w:sz w:val="24"/>
          <w:szCs w:val="24"/>
          <w:highlight w:val="none"/>
          <w:lang w:val="en-US" w:eastAsia="zh-CN"/>
        </w:rPr>
        <w:t>指挥中心、住建局、交通局</w:t>
      </w:r>
      <w:r>
        <w:rPr>
          <w:rFonts w:hint="eastAsia" w:ascii="宋体" w:hAnsi="宋体" w:eastAsia="宋体" w:cs="宋体"/>
          <w:b w:val="0"/>
          <w:bCs w:val="0"/>
          <w:sz w:val="24"/>
          <w:szCs w:val="24"/>
          <w:highlight w:val="none"/>
          <w:lang w:eastAsia="zh-CN"/>
        </w:rPr>
        <w:t>等部门进行交流，制定</w:t>
      </w:r>
      <w:r>
        <w:rPr>
          <w:rFonts w:hint="eastAsia" w:ascii="宋体" w:hAnsi="宋体" w:eastAsia="宋体" w:cs="宋体"/>
          <w:b w:val="0"/>
          <w:bCs w:val="0"/>
          <w:sz w:val="24"/>
          <w:szCs w:val="24"/>
          <w:highlight w:val="none"/>
          <w:lang w:val="en-US" w:eastAsia="zh-CN"/>
        </w:rPr>
        <w:t>丰南区</w:t>
      </w:r>
      <w:r>
        <w:rPr>
          <w:rFonts w:hint="eastAsia" w:ascii="宋体" w:hAnsi="宋体" w:eastAsia="宋体" w:cs="宋体"/>
          <w:b w:val="0"/>
          <w:bCs w:val="0"/>
          <w:sz w:val="24"/>
          <w:szCs w:val="24"/>
          <w:highlight w:val="none"/>
          <w:lang w:eastAsia="zh-CN"/>
        </w:rPr>
        <w:t>重污染天气管控方案，</w:t>
      </w:r>
      <w:r>
        <w:rPr>
          <w:rFonts w:hint="eastAsia" w:ascii="宋体" w:hAnsi="宋体" w:eastAsia="宋体" w:cs="宋体"/>
          <w:b w:val="0"/>
          <w:bCs w:val="0"/>
          <w:sz w:val="24"/>
          <w:szCs w:val="24"/>
          <w:highlight w:val="none"/>
          <w:lang w:val="en-US" w:eastAsia="zh-CN"/>
        </w:rPr>
        <w:t>督导管控落实，并整理记录存档。</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十一</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按要求开展污染源排查巡查工作。</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（十二）完成区政府、生态环境分局、指挥中心领导交办的临时性指令任务</w:t>
      </w:r>
      <w:bookmarkStart w:id="33" w:name="_Toc500065282"/>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pacing w:val="-6"/>
          <w:sz w:val="24"/>
          <w:szCs w:val="24"/>
          <w:highlight w:val="none"/>
          <w:lang w:val="en-US" w:eastAsia="zh-CN"/>
        </w:rPr>
        <w:t>未达到要求</w:t>
      </w:r>
      <w:r>
        <w:rPr>
          <w:rFonts w:hint="eastAsia" w:ascii="宋体" w:hAnsi="宋体" w:eastAsia="宋体" w:cs="宋体"/>
          <w:b w:val="0"/>
          <w:bCs w:val="0"/>
          <w:sz w:val="24"/>
          <w:szCs w:val="24"/>
          <w:highlight w:val="none"/>
          <w:lang w:val="en-US" w:eastAsia="zh-CN"/>
        </w:rPr>
        <w:t>时，每次</w:t>
      </w:r>
      <w:r>
        <w:rPr>
          <w:rFonts w:hint="eastAsia" w:ascii="宋体" w:hAnsi="宋体" w:eastAsia="宋体" w:cs="宋体"/>
          <w:b w:val="0"/>
          <w:bCs w:val="0"/>
          <w:spacing w:val="-6"/>
          <w:sz w:val="24"/>
          <w:szCs w:val="24"/>
          <w:highlight w:val="none"/>
          <w:lang w:val="en-US" w:eastAsia="zh-CN"/>
        </w:rPr>
        <w:t>扣1分</w:t>
      </w:r>
      <w:r>
        <w:rPr>
          <w:rFonts w:hint="eastAsia" w:ascii="宋体" w:hAnsi="宋体" w:eastAsia="宋体" w:cs="宋体"/>
          <w:b w:val="0"/>
          <w:bCs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（十三）每月底将整体工作形成报告（含纸质版和电子版），报指挥中心存档。未达到要求时，每次扣1分</w:t>
      </w:r>
      <w:r>
        <w:rPr>
          <w:rFonts w:hint="eastAsia" w:ascii="宋体" w:hAnsi="宋体" w:eastAsia="宋体" w:cs="宋体"/>
          <w:b w:val="0"/>
          <w:bCs w:val="0"/>
          <w:sz w:val="24"/>
          <w:szCs w:val="24"/>
          <w:highlight w:val="none"/>
          <w:lang w:eastAsia="zh-CN"/>
        </w:rPr>
        <w:t>；</w:t>
      </w:r>
    </w:p>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四、加分项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（一）中标供应商工作得到区领导肯定提出表扬的酌情加分：工作群内表扬的加1分、口头表扬的加2分、领导批示表扬的加5分；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（二）以上工作质效中完成较好，受到区政府及环保部门肯定及表扬的，每次加一分。</w:t>
      </w:r>
    </w:p>
    <w:bookmarkEnd w:id="33"/>
    <w:p>
      <w:pPr>
        <w:pStyle w:val="57"/>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五、考核实施及结果应用</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以月为单位进行统计，满分100分。</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90分以上为合格；</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80-89分为基本合格，指挥中心对项目负责人进行约谈，并扣罚当月款项2万元，同时，</w:t>
      </w:r>
      <w:r>
        <w:rPr>
          <w:rFonts w:hint="default" w:ascii="Times New Roman" w:hAnsi="Times New Roman" w:eastAsia="宋体" w:cs="Times New Roman"/>
          <w:b w:val="0"/>
          <w:bCs w:val="0"/>
          <w:sz w:val="24"/>
          <w:szCs w:val="24"/>
          <w:highlight w:val="none"/>
          <w:lang w:val="en-US" w:eastAsia="zh-CN"/>
        </w:rPr>
        <w:t>中标</w:t>
      </w:r>
      <w:r>
        <w:rPr>
          <w:rFonts w:hint="default" w:ascii="Times New Roman" w:hAnsi="Times New Roman" w:cs="Times New Roman"/>
          <w:b w:val="0"/>
          <w:bCs w:val="0"/>
          <w:sz w:val="24"/>
          <w:szCs w:val="24"/>
          <w:highlight w:val="none"/>
          <w:lang w:val="en-US" w:eastAsia="zh-CN"/>
        </w:rPr>
        <w:t>供应商</w:t>
      </w:r>
      <w:r>
        <w:rPr>
          <w:rFonts w:hint="default" w:ascii="Times New Roman" w:hAnsi="Times New Roman" w:eastAsia="宋体" w:cs="Times New Roman"/>
          <w:b w:val="0"/>
          <w:bCs w:val="0"/>
          <w:kern w:val="2"/>
          <w:sz w:val="24"/>
          <w:szCs w:val="24"/>
          <w:highlight w:val="none"/>
          <w:lang w:val="en-US" w:eastAsia="zh-CN" w:bidi="ar-SA"/>
        </w:rPr>
        <w:t>提交书面整改报告；</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79分及以下为不合格，中心对</w:t>
      </w:r>
      <w:r>
        <w:rPr>
          <w:rFonts w:hint="default" w:ascii="Times New Roman" w:hAnsi="Times New Roman" w:eastAsia="宋体" w:cs="Times New Roman"/>
          <w:b w:val="0"/>
          <w:bCs w:val="0"/>
          <w:sz w:val="24"/>
          <w:szCs w:val="24"/>
          <w:highlight w:val="none"/>
          <w:lang w:val="en-US" w:eastAsia="zh-CN"/>
        </w:rPr>
        <w:t>中标</w:t>
      </w:r>
      <w:r>
        <w:rPr>
          <w:rFonts w:hint="default" w:ascii="Times New Roman" w:hAnsi="Times New Roman" w:cs="Times New Roman"/>
          <w:b w:val="0"/>
          <w:bCs w:val="0"/>
          <w:sz w:val="24"/>
          <w:szCs w:val="24"/>
          <w:highlight w:val="none"/>
          <w:lang w:val="en-US" w:eastAsia="zh-CN"/>
        </w:rPr>
        <w:t>供应商</w:t>
      </w:r>
      <w:r>
        <w:rPr>
          <w:rFonts w:hint="default" w:ascii="Times New Roman" w:hAnsi="Times New Roman" w:eastAsia="宋体" w:cs="Times New Roman"/>
          <w:b w:val="0"/>
          <w:bCs w:val="0"/>
          <w:kern w:val="2"/>
          <w:sz w:val="24"/>
          <w:szCs w:val="24"/>
          <w:highlight w:val="none"/>
          <w:lang w:val="en-US" w:eastAsia="zh-CN" w:bidi="ar-SA"/>
        </w:rPr>
        <w:t>主要负责人进行约谈，并扣罚当月款项</w:t>
      </w:r>
      <w:r>
        <w:rPr>
          <w:rFonts w:hint="eastAsia" w:ascii="Times New Roman" w:hAnsi="Times New Roman" w:cs="Times New Roman"/>
          <w:b w:val="0"/>
          <w:bCs w:val="0"/>
          <w:kern w:val="2"/>
          <w:sz w:val="24"/>
          <w:szCs w:val="24"/>
          <w:highlight w:val="none"/>
          <w:lang w:val="en-US" w:eastAsia="zh-CN" w:bidi="ar-SA"/>
        </w:rPr>
        <w:t>5</w:t>
      </w:r>
      <w:r>
        <w:rPr>
          <w:rFonts w:hint="default" w:ascii="Times New Roman" w:hAnsi="Times New Roman" w:eastAsia="宋体" w:cs="Times New Roman"/>
          <w:b w:val="0"/>
          <w:bCs w:val="0"/>
          <w:kern w:val="2"/>
          <w:sz w:val="24"/>
          <w:szCs w:val="24"/>
          <w:highlight w:val="none"/>
          <w:lang w:val="en-US" w:eastAsia="zh-CN" w:bidi="ar-SA"/>
        </w:rPr>
        <w:t>万元；</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连续</w:t>
      </w:r>
      <w:r>
        <w:rPr>
          <w:rFonts w:hint="default" w:ascii="Times New Roman" w:hAnsi="Times New Roman" w:cs="Times New Roman"/>
          <w:b w:val="0"/>
          <w:bCs w:val="0"/>
          <w:kern w:val="2"/>
          <w:sz w:val="24"/>
          <w:szCs w:val="24"/>
          <w:highlight w:val="none"/>
          <w:lang w:val="en-US" w:eastAsia="zh-CN" w:bidi="ar-SA"/>
        </w:rPr>
        <w:t>三</w:t>
      </w:r>
      <w:r>
        <w:rPr>
          <w:rFonts w:hint="default" w:ascii="Times New Roman" w:hAnsi="Times New Roman" w:eastAsia="宋体" w:cs="Times New Roman"/>
          <w:b w:val="0"/>
          <w:bCs w:val="0"/>
          <w:kern w:val="2"/>
          <w:sz w:val="24"/>
          <w:szCs w:val="24"/>
          <w:highlight w:val="none"/>
          <w:lang w:val="en-US" w:eastAsia="zh-CN" w:bidi="ar-SA"/>
        </w:rPr>
        <w:t>个月不合格的，</w:t>
      </w:r>
      <w:r>
        <w:rPr>
          <w:rFonts w:hint="default" w:ascii="Times New Roman" w:hAnsi="Times New Roman" w:eastAsia="宋体" w:cs="Times New Roman"/>
          <w:b w:val="0"/>
          <w:bCs w:val="0"/>
          <w:sz w:val="24"/>
          <w:szCs w:val="24"/>
          <w:highlight w:val="none"/>
          <w:lang w:val="en-US" w:eastAsia="zh-CN"/>
        </w:rPr>
        <w:t>中标</w:t>
      </w:r>
      <w:r>
        <w:rPr>
          <w:rFonts w:hint="default" w:ascii="Times New Roman" w:hAnsi="Times New Roman" w:cs="Times New Roman"/>
          <w:b w:val="0"/>
          <w:bCs w:val="0"/>
          <w:sz w:val="24"/>
          <w:szCs w:val="24"/>
          <w:highlight w:val="none"/>
          <w:lang w:val="en-US" w:eastAsia="zh-CN"/>
        </w:rPr>
        <w:t>供应商</w:t>
      </w:r>
      <w:r>
        <w:rPr>
          <w:rFonts w:hint="default" w:ascii="Times New Roman" w:hAnsi="Times New Roman" w:eastAsia="宋体" w:cs="Times New Roman"/>
          <w:b w:val="0"/>
          <w:bCs w:val="0"/>
          <w:kern w:val="2"/>
          <w:sz w:val="24"/>
          <w:szCs w:val="24"/>
          <w:highlight w:val="none"/>
          <w:lang w:val="en-US" w:eastAsia="zh-CN" w:bidi="ar-SA"/>
        </w:rPr>
        <w:t>暂停工作；</w:t>
      </w:r>
    </w:p>
    <w:p>
      <w:pPr>
        <w:pStyle w:val="57"/>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left"/>
        <w:textAlignment w:val="auto"/>
        <w:rPr>
          <w:rFonts w:hint="default" w:ascii="Times New Roman" w:hAnsi="Times New Roman" w:eastAsia="方正仿宋简体" w:cs="Times New Roman"/>
          <w:b w:val="0"/>
          <w:bCs w:val="0"/>
          <w:kern w:val="2"/>
          <w:sz w:val="32"/>
          <w:szCs w:val="32"/>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如因</w:t>
      </w:r>
      <w:r>
        <w:rPr>
          <w:rFonts w:hint="default" w:ascii="Times New Roman" w:hAnsi="Times New Roman" w:eastAsia="宋体" w:cs="Times New Roman"/>
          <w:b w:val="0"/>
          <w:bCs w:val="0"/>
          <w:sz w:val="24"/>
          <w:szCs w:val="24"/>
          <w:highlight w:val="none"/>
          <w:lang w:val="en-US" w:eastAsia="zh-CN"/>
        </w:rPr>
        <w:t>中标</w:t>
      </w:r>
      <w:r>
        <w:rPr>
          <w:rFonts w:hint="default" w:ascii="Times New Roman" w:hAnsi="Times New Roman" w:cs="Times New Roman"/>
          <w:b w:val="0"/>
          <w:bCs w:val="0"/>
          <w:sz w:val="24"/>
          <w:szCs w:val="24"/>
          <w:highlight w:val="none"/>
          <w:lang w:val="en-US" w:eastAsia="zh-CN"/>
        </w:rPr>
        <w:t>供应商</w:t>
      </w:r>
      <w:r>
        <w:rPr>
          <w:rFonts w:hint="default" w:ascii="Times New Roman" w:hAnsi="Times New Roman" w:eastAsia="宋体" w:cs="Times New Roman"/>
          <w:b w:val="0"/>
          <w:bCs w:val="0"/>
          <w:kern w:val="2"/>
          <w:sz w:val="24"/>
          <w:szCs w:val="24"/>
          <w:highlight w:val="none"/>
          <w:lang w:val="en-US" w:eastAsia="zh-CN" w:bidi="ar-SA"/>
        </w:rPr>
        <w:t>工作失误对全区环保工作造成不良影响的，被区主要领导点名通报批评的，实行一票否决，直接约谈公司主要负责人，并扣减服务费用</w:t>
      </w:r>
      <w:r>
        <w:rPr>
          <w:rFonts w:hint="eastAsia" w:ascii="Times New Roman" w:hAnsi="Times New Roman" w:cs="Times New Roman"/>
          <w:b w:val="0"/>
          <w:bCs w:val="0"/>
          <w:kern w:val="2"/>
          <w:sz w:val="24"/>
          <w:szCs w:val="24"/>
          <w:highlight w:val="none"/>
          <w:lang w:val="en-US" w:eastAsia="zh-CN" w:bidi="ar-SA"/>
        </w:rPr>
        <w:t>5</w:t>
      </w:r>
      <w:r>
        <w:rPr>
          <w:rFonts w:hint="default" w:ascii="Times New Roman" w:hAnsi="Times New Roman" w:eastAsia="宋体" w:cs="Times New Roman"/>
          <w:b w:val="0"/>
          <w:bCs w:val="0"/>
          <w:kern w:val="2"/>
          <w:sz w:val="24"/>
          <w:szCs w:val="24"/>
          <w:highlight w:val="none"/>
          <w:lang w:val="en-US" w:eastAsia="zh-CN" w:bidi="ar-SA"/>
        </w:rPr>
        <w:t>万元；情况严重的直接终止合同。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（七）结算方式</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outlineLvl w:val="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每月初依据生态环境分局和环保指挥中心考核结果支付服务费用，由成交供应商开具发票，采购人按月支付。</w:t>
      </w: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附件一                          资格审查内容</w:t>
      </w:r>
    </w:p>
    <w:p>
      <w:pPr>
        <w:adjustRightInd w:val="0"/>
        <w:snapToGrid w:val="0"/>
        <w:spacing w:line="360" w:lineRule="auto"/>
        <w:ind w:firstLine="479" w:firstLineChars="199"/>
        <w:rPr>
          <w:rFonts w:hint="eastAsia" w:ascii="宋体" w:hAnsi="宋体" w:eastAsia="宋体" w:cs="宋体"/>
          <w:b/>
          <w:bCs/>
          <w:sz w:val="24"/>
          <w:highlight w:val="none"/>
        </w:rPr>
      </w:pPr>
      <w:r>
        <w:rPr>
          <w:rFonts w:hint="eastAsia" w:ascii="宋体" w:hAnsi="宋体" w:eastAsia="宋体" w:cs="宋体"/>
          <w:b/>
          <w:bCs/>
          <w:sz w:val="24"/>
          <w:highlight w:val="none"/>
        </w:rPr>
        <w:t>本次采用资格后审</w:t>
      </w:r>
    </w:p>
    <w:p>
      <w:pPr>
        <w:adjustRightInd w:val="0"/>
        <w:snapToGrid w:val="0"/>
        <w:spacing w:line="360" w:lineRule="auto"/>
        <w:ind w:firstLine="477" w:firstLineChars="199"/>
        <w:rPr>
          <w:rFonts w:hint="eastAsia" w:ascii="宋体" w:hAnsi="宋体" w:eastAsia="宋体" w:cs="宋体"/>
          <w:b/>
          <w:bCs/>
          <w:sz w:val="44"/>
          <w:szCs w:val="4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参加</w:t>
      </w:r>
      <w:r>
        <w:rPr>
          <w:rFonts w:hint="eastAsia" w:ascii="宋体" w:hAnsi="宋体" w:eastAsia="宋体" w:cs="宋体"/>
          <w:snapToGrid w:val="0"/>
          <w:sz w:val="24"/>
          <w:highlight w:val="none"/>
        </w:rPr>
        <w:t>本次投标</w:t>
      </w:r>
      <w:r>
        <w:rPr>
          <w:rFonts w:hint="eastAsia" w:ascii="宋体" w:hAnsi="宋体" w:eastAsia="宋体" w:cs="宋体"/>
          <w:sz w:val="24"/>
          <w:highlight w:val="none"/>
        </w:rPr>
        <w:t>必须在“投标文件”中提交下列资格审查的材料，采购人负责进行审查。</w:t>
      </w:r>
    </w:p>
    <w:tbl>
      <w:tblPr>
        <w:tblStyle w:val="24"/>
        <w:tblpPr w:leftFromText="180" w:rightFromText="180" w:vertAnchor="text" w:horzAnchor="page" w:tblpX="1349" w:tblpY="64"/>
        <w:tblOverlap w:val="never"/>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29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审核内容</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法人或者其他组织的营业执照等证明文件，自然人的身份证明。</w:t>
            </w:r>
          </w:p>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具有健全的财务会计制度、依法缴纳税收和依法缴纳社会保障资金良好记录的承诺函</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具备履行合同所必需的设备和专业技术能力的证明材料（提供“企业概况”内容）。</w:t>
            </w:r>
          </w:p>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供应商未被列入国家信息中心“信用中国”失信被执行人、税收违法黑名单、政府采购严重违法失信名单，“中国政府采购网”政府采购严重违法失信行为记录名单。</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采购代理机构开标现场查询为准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近三年内， 在经营活动中没有重大违法记录的声明函</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文件中自行申明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290"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中小企业声明函</w:t>
            </w:r>
          </w:p>
        </w:tc>
        <w:tc>
          <w:tcPr>
            <w:tcW w:w="1733"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841" w:type="dxa"/>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90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9864"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采购人签字：</w:t>
            </w:r>
          </w:p>
        </w:tc>
      </w:tr>
    </w:tbl>
    <w:p>
      <w:pPr>
        <w:tabs>
          <w:tab w:val="left" w:pos="966"/>
          <w:tab w:val="left" w:pos="1127"/>
          <w:tab w:val="left" w:pos="1610"/>
          <w:tab w:val="left" w:pos="1771"/>
        </w:tabs>
        <w:adjustRightInd w:val="0"/>
        <w:snapToGrid w:val="0"/>
        <w:spacing w:line="360" w:lineRule="auto"/>
        <w:ind w:firstLine="480"/>
        <w:rPr>
          <w:rFonts w:hint="eastAsia" w:ascii="宋体" w:hAnsi="宋体" w:eastAsia="宋体" w:cs="宋体"/>
          <w:b/>
          <w:bCs/>
          <w:sz w:val="24"/>
          <w:szCs w:val="24"/>
          <w:highlight w:val="none"/>
        </w:rPr>
      </w:pPr>
      <w:r>
        <w:rPr>
          <w:rFonts w:hint="eastAsia" w:ascii="宋体" w:hAnsi="宋体" w:eastAsia="宋体" w:cs="宋体"/>
          <w:b/>
          <w:bCs/>
          <w:sz w:val="44"/>
          <w:szCs w:val="44"/>
          <w:highlight w:val="none"/>
        </w:rPr>
        <w:br w:type="page"/>
      </w:r>
      <w:r>
        <w:rPr>
          <w:rFonts w:hint="eastAsia" w:ascii="宋体" w:hAnsi="宋体" w:eastAsia="宋体" w:cs="宋体"/>
          <w:b/>
          <w:bCs/>
          <w:sz w:val="24"/>
          <w:szCs w:val="24"/>
          <w:highlight w:val="none"/>
        </w:rPr>
        <w:t>附件二                        符合性检查内容</w:t>
      </w:r>
    </w:p>
    <w:p>
      <w:pPr>
        <w:tabs>
          <w:tab w:val="left" w:pos="966"/>
          <w:tab w:val="left" w:pos="1127"/>
          <w:tab w:val="left" w:pos="1610"/>
          <w:tab w:val="left" w:pos="1771"/>
        </w:tabs>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评标委员会对投标文件的有效性、完整性和响应程度进行审查包括但不限于以下内容。</w:t>
      </w:r>
    </w:p>
    <w:tbl>
      <w:tblPr>
        <w:tblStyle w:val="25"/>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750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3" w:type="dxa"/>
          </w:tcPr>
          <w:p>
            <w:pPr>
              <w:snapToGrid w:val="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7505" w:type="dxa"/>
          </w:tcPr>
          <w:p>
            <w:pPr>
              <w:snapToGrid w:val="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内容</w:t>
            </w:r>
          </w:p>
        </w:tc>
        <w:tc>
          <w:tcPr>
            <w:tcW w:w="985" w:type="dxa"/>
          </w:tcPr>
          <w:p>
            <w:pPr>
              <w:snapToGrid w:val="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1</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承诺函及报价、分项报价（若有的话）</w:t>
            </w:r>
          </w:p>
        </w:tc>
        <w:tc>
          <w:tcPr>
            <w:tcW w:w="985" w:type="dxa"/>
          </w:tcPr>
          <w:p>
            <w:pPr>
              <w:snapToGrid w:val="0"/>
              <w:jc w:val="left"/>
              <w:rPr>
                <w:rFonts w:hint="eastAsia" w:ascii="宋体" w:hAnsi="宋体" w:eastAsia="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2</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法定代表人（负责人）证明（如为授权委托人，还须提供授权委托书）、投标文件的章印、签署</w:t>
            </w:r>
          </w:p>
        </w:tc>
        <w:tc>
          <w:tcPr>
            <w:tcW w:w="985" w:type="dxa"/>
          </w:tcPr>
          <w:p>
            <w:pPr>
              <w:snapToGrid w:val="0"/>
              <w:jc w:val="left"/>
              <w:rPr>
                <w:rFonts w:hint="eastAsia" w:ascii="宋体" w:hAnsi="宋体" w:eastAsia="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3</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服务标准承诺及合同履行期限</w:t>
            </w:r>
          </w:p>
        </w:tc>
        <w:tc>
          <w:tcPr>
            <w:tcW w:w="985" w:type="dxa"/>
          </w:tcPr>
          <w:p>
            <w:pPr>
              <w:snapToGrid w:val="0"/>
              <w:jc w:val="left"/>
              <w:rPr>
                <w:rFonts w:hint="eastAsia" w:ascii="宋体" w:hAnsi="宋体" w:eastAsia="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4</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关键内容字迹清晰可辨</w:t>
            </w:r>
          </w:p>
        </w:tc>
        <w:tc>
          <w:tcPr>
            <w:tcW w:w="985" w:type="dxa"/>
          </w:tcPr>
          <w:p>
            <w:pPr>
              <w:snapToGrid w:val="0"/>
              <w:jc w:val="left"/>
              <w:rPr>
                <w:rFonts w:hint="eastAsia" w:ascii="宋体" w:hAnsi="宋体" w:eastAsia="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5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5</w:t>
            </w:r>
          </w:p>
        </w:tc>
        <w:tc>
          <w:tcPr>
            <w:tcW w:w="75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lang w:val="en-US" w:eastAsia="zh-CN"/>
              </w:rPr>
              <w:t>投标文件的其他方面与招标文件无重大差异或保留的内容</w:t>
            </w:r>
          </w:p>
        </w:tc>
        <w:tc>
          <w:tcPr>
            <w:tcW w:w="985" w:type="dxa"/>
          </w:tcPr>
          <w:p>
            <w:pPr>
              <w:snapToGrid w:val="0"/>
              <w:ind w:right="-129" w:rightChars="-46"/>
              <w:jc w:val="left"/>
              <w:rPr>
                <w:rFonts w:hint="eastAsia" w:ascii="宋体" w:hAnsi="宋体" w:eastAsia="宋体" w:cs="宋体"/>
                <w:kern w:val="2"/>
                <w:sz w:val="24"/>
                <w:szCs w:val="24"/>
                <w:highlight w:val="none"/>
              </w:rPr>
            </w:pPr>
          </w:p>
        </w:tc>
      </w:tr>
    </w:tbl>
    <w:p>
      <w:pPr>
        <w:ind w:firstLine="482" w:firstLineChars="200"/>
        <w:rPr>
          <w:rFonts w:hint="eastAsia" w:ascii="宋体" w:hAnsi="宋体" w:eastAsia="宋体" w:cs="宋体"/>
          <w:sz w:val="24"/>
          <w:highlight w:val="none"/>
        </w:rPr>
      </w:pPr>
      <w:r>
        <w:rPr>
          <w:rFonts w:hint="eastAsia" w:ascii="宋体" w:hAnsi="宋体" w:eastAsia="宋体" w:cs="宋体"/>
          <w:b/>
          <w:bCs/>
          <w:sz w:val="24"/>
          <w:szCs w:val="24"/>
          <w:highlight w:val="none"/>
        </w:rPr>
        <w:br w:type="page"/>
      </w:r>
    </w:p>
    <w:p>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 xml:space="preserve">                         相关规定</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1.该项目专门面向小型、微型企业采购</w:t>
      </w:r>
      <w:r>
        <w:rPr>
          <w:rFonts w:hint="eastAsia" w:ascii="宋体" w:hAnsi="宋体" w:eastAsia="宋体" w:cs="宋体"/>
          <w:sz w:val="24"/>
          <w:highlight w:val="none"/>
          <w:lang w:eastAsia="zh-CN"/>
        </w:rPr>
        <w:t>，</w:t>
      </w:r>
      <w:r>
        <w:rPr>
          <w:rFonts w:hint="eastAsia" w:ascii="宋体" w:hAnsi="宋体" w:eastAsia="宋体" w:cs="宋体"/>
          <w:color w:val="auto"/>
          <w:kern w:val="0"/>
          <w:sz w:val="24"/>
          <w:highlight w:val="none"/>
          <w:lang w:val="en-US" w:eastAsia="zh-CN"/>
        </w:rPr>
        <w:t>企业划分标准所属行业：</w:t>
      </w:r>
      <w:r>
        <w:rPr>
          <w:rFonts w:hint="eastAsia" w:ascii="宋体" w:hAnsi="宋体" w:eastAsia="宋体" w:cs="宋体"/>
          <w:sz w:val="24"/>
          <w:szCs w:val="24"/>
          <w:highlight w:val="none"/>
          <w:lang w:val="en-US" w:eastAsia="zh-CN"/>
        </w:rPr>
        <w:t>其他未列明行业。</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，不得参加同一合同项下的政府采购活动。</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3.本项目不接受联合体参与（注：联合体是指两个以上的自然人、法人或者其他组织可以组成一个联合体，以一个</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的身份共同参加政府采购。以联合体形式进行政府采购的，参加联合体的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均应当具备采购法第二十二条规定的条件，并应当向采购人提交联合协议，载明联合体各方承担的工作和义务。联合体各方应当共同与采购人签订采购合同，就采购合同约定的事项对采购人承担连带责任。以联合体形式参加政府采购的，联合体各方不得再单独参加或者与其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另外组成联合体参加同一合同项下的政府采购活动）。联合体投标的应当由联合体代表下载招标文件。</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4.参加投标时</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未被列入国家信息中心“信用中国”失信被执行人、税收违法黑名单、政府采购严重违法失信名单，“中国政府采购网”政府采购严重违法失信行为记录名单。</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5.为采购项目提供整体设计、规范编制或者项目管理、监理、检测等服务的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，不得参加本采购项目。</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为采购人、采购代理机构在确定采购需求、编制招标文件过程中提供咨询论证，其提供的咨询论证意见成为招标文件中规定的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资格条件、技术服务商务要求、评审因素和标准、政府采购合同等实质性内容条款的，视同为采购项目提供规范编制。</w:t>
      </w:r>
    </w:p>
    <w:p>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br w:type="page"/>
      </w:r>
    </w:p>
    <w:p>
      <w:pPr>
        <w:adjustRightInd w:val="0"/>
        <w:snapToGrid w:val="0"/>
        <w:spacing w:line="360" w:lineRule="auto"/>
        <w:ind w:firstLine="482" w:firstLineChars="200"/>
        <w:rPr>
          <w:rFonts w:hint="eastAsia" w:ascii="宋体" w:hAnsi="宋体" w:eastAsia="宋体" w:cs="宋体"/>
          <w:b/>
          <w:snapToGrid w:val="0"/>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 xml:space="preserve">   </w:t>
      </w:r>
      <w:r>
        <w:rPr>
          <w:rFonts w:hint="eastAsia" w:ascii="宋体" w:hAnsi="宋体" w:eastAsia="宋体" w:cs="宋体"/>
          <w:sz w:val="24"/>
          <w:highlight w:val="none"/>
        </w:rPr>
        <w:t xml:space="preserve">                       </w:t>
      </w:r>
      <w:r>
        <w:rPr>
          <w:rFonts w:hint="eastAsia" w:ascii="宋体" w:hAnsi="宋体" w:eastAsia="宋体" w:cs="宋体"/>
          <w:b/>
          <w:snapToGrid w:val="0"/>
          <w:sz w:val="24"/>
          <w:highlight w:val="none"/>
        </w:rPr>
        <w:t>有关名词解释</w:t>
      </w:r>
    </w:p>
    <w:p>
      <w:pPr>
        <w:adjustRightInd w:val="0"/>
        <w:snapToGrid w:val="0"/>
        <w:spacing w:line="360" w:lineRule="auto"/>
        <w:ind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1.“采购人”系是指依法进行政府采购的国家机关、事业单位、团体组织。本次招标采购人详见</w:t>
      </w:r>
      <w:r>
        <w:rPr>
          <w:rFonts w:hint="eastAsia" w:ascii="宋体" w:hAnsi="宋体" w:eastAsia="宋体" w:cs="宋体"/>
          <w:snapToGrid w:val="0"/>
          <w:sz w:val="24"/>
          <w:highlight w:val="none"/>
          <w:lang w:val="en-US" w:eastAsia="zh-CN"/>
        </w:rPr>
        <w:t>招标公告</w:t>
      </w:r>
      <w:r>
        <w:rPr>
          <w:rFonts w:hint="eastAsia" w:ascii="宋体" w:hAnsi="宋体" w:eastAsia="宋体" w:cs="宋体"/>
          <w:snapToGrid w:val="0"/>
          <w:sz w:val="24"/>
          <w:highlight w:val="none"/>
        </w:rPr>
        <w:t>。</w:t>
      </w:r>
    </w:p>
    <w:p>
      <w:pPr>
        <w:adjustRightInd w:val="0"/>
        <w:snapToGrid w:val="0"/>
        <w:spacing w:line="360" w:lineRule="auto"/>
        <w:ind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”是指响应招标、参加投标竞争的法人、其他组织或者自然人。</w:t>
      </w:r>
    </w:p>
    <w:p>
      <w:pPr>
        <w:adjustRightInd w:val="0"/>
        <w:snapToGrid w:val="0"/>
        <w:spacing w:line="360" w:lineRule="auto"/>
        <w:ind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3.“集中采购机构”是河北丰信工程咨询有限公司。</w:t>
      </w:r>
    </w:p>
    <w:p>
      <w:pPr>
        <w:adjustRightInd w:val="0"/>
        <w:snapToGrid w:val="0"/>
        <w:spacing w:line="360" w:lineRule="auto"/>
        <w:ind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4.“投标</w:t>
      </w:r>
      <w:r>
        <w:rPr>
          <w:rFonts w:hint="eastAsia" w:ascii="宋体" w:hAnsi="宋体" w:eastAsia="宋体" w:cs="宋体"/>
          <w:sz w:val="24"/>
          <w:highlight w:val="none"/>
        </w:rPr>
        <w:t>文件</w:t>
      </w:r>
      <w:r>
        <w:rPr>
          <w:rFonts w:hint="eastAsia" w:ascii="宋体" w:hAnsi="宋体" w:eastAsia="宋体" w:cs="宋体"/>
          <w:snapToGrid w:val="0"/>
          <w:sz w:val="24"/>
          <w:highlight w:val="none"/>
        </w:rPr>
        <w:t>” 系指</w:t>
      </w:r>
      <w:r>
        <w:rPr>
          <w:rFonts w:hint="eastAsia" w:ascii="宋体" w:hAnsi="宋体" w:eastAsia="宋体" w:cs="宋体"/>
          <w:sz w:val="24"/>
          <w:highlight w:val="none"/>
        </w:rPr>
        <w:t>对招标文件提出的要求和条件作出实质性响应而编制的文件</w:t>
      </w:r>
      <w:r>
        <w:rPr>
          <w:rFonts w:hint="eastAsia" w:ascii="宋体" w:hAnsi="宋体" w:eastAsia="宋体" w:cs="宋体"/>
          <w:snapToGrid w:val="0"/>
          <w:sz w:val="24"/>
          <w:highlight w:val="none"/>
        </w:rPr>
        <w:t>。</w:t>
      </w:r>
    </w:p>
    <w:p>
      <w:pPr>
        <w:adjustRightInd w:val="0"/>
        <w:snapToGrid w:val="0"/>
        <w:spacing w:line="360" w:lineRule="auto"/>
        <w:ind w:firstLine="475" w:firstLineChars="198"/>
        <w:rPr>
          <w:rFonts w:hint="eastAsia" w:ascii="宋体" w:hAnsi="宋体" w:eastAsia="宋体" w:cs="宋体"/>
          <w:snapToGrid w:val="0"/>
          <w:sz w:val="24"/>
          <w:highlight w:val="none"/>
        </w:rPr>
      </w:pPr>
      <w:r>
        <w:rPr>
          <w:rFonts w:hint="eastAsia" w:ascii="宋体" w:hAnsi="宋体" w:eastAsia="宋体" w:cs="宋体"/>
          <w:snapToGrid w:val="0"/>
          <w:sz w:val="24"/>
          <w:highlight w:val="none"/>
        </w:rPr>
        <w:t>5.“评标委员会” 系由采购人代表和有关专家等组成的确定（预）</w:t>
      </w:r>
      <w:r>
        <w:rPr>
          <w:rFonts w:hint="eastAsia" w:ascii="宋体" w:hAnsi="宋体" w:eastAsia="宋体" w:cs="宋体"/>
          <w:snapToGrid w:val="0"/>
          <w:sz w:val="24"/>
          <w:highlight w:val="none"/>
          <w:lang w:eastAsia="zh-CN"/>
        </w:rPr>
        <w:t>中标供应商</w:t>
      </w:r>
      <w:r>
        <w:rPr>
          <w:rFonts w:hint="eastAsia" w:ascii="宋体" w:hAnsi="宋体" w:eastAsia="宋体" w:cs="宋体"/>
          <w:snapToGrid w:val="0"/>
          <w:sz w:val="24"/>
          <w:highlight w:val="none"/>
        </w:rPr>
        <w:t>的组织。</w:t>
      </w:r>
    </w:p>
    <w:p>
      <w:pPr>
        <w:adjustRightInd w:val="0"/>
        <w:snapToGrid w:val="0"/>
        <w:spacing w:line="360" w:lineRule="auto"/>
        <w:ind w:firstLine="475" w:firstLineChars="198"/>
        <w:rPr>
          <w:rFonts w:hint="eastAsia" w:ascii="宋体" w:hAnsi="宋体" w:eastAsia="宋体" w:cs="宋体"/>
          <w:snapToGrid w:val="0"/>
          <w:sz w:val="24"/>
          <w:highlight w:val="none"/>
        </w:rPr>
      </w:pPr>
      <w:r>
        <w:rPr>
          <w:rFonts w:hint="eastAsia" w:ascii="宋体" w:hAnsi="宋体" w:eastAsia="宋体" w:cs="宋体"/>
          <w:snapToGrid w:val="0"/>
          <w:sz w:val="24"/>
          <w:highlight w:val="none"/>
        </w:rPr>
        <w:t>6.“包”系指招标文件中“采购项目技术、服务、安全要求”中按A、B、C┅┅序号界定的可单独响应的项目。如项目分包，</w:t>
      </w:r>
      <w:r>
        <w:rPr>
          <w:rFonts w:hint="eastAsia" w:ascii="宋体" w:hAnsi="宋体" w:eastAsia="宋体" w:cs="宋体"/>
          <w:snapToGrid w:val="0"/>
          <w:sz w:val="24"/>
          <w:highlight w:val="none"/>
          <w:lang w:eastAsia="zh-CN"/>
        </w:rPr>
        <w:t>供应商</w:t>
      </w:r>
      <w:r>
        <w:rPr>
          <w:rFonts w:hint="eastAsia" w:ascii="宋体" w:hAnsi="宋体" w:eastAsia="宋体" w:cs="宋体"/>
          <w:snapToGrid w:val="0"/>
          <w:sz w:val="24"/>
          <w:highlight w:val="none"/>
        </w:rPr>
        <w:t>必须以包为单位，制作投标文件，分别密封单独上传。</w:t>
      </w:r>
    </w:p>
    <w:p>
      <w:pPr>
        <w:tabs>
          <w:tab w:val="left" w:pos="540"/>
        </w:tabs>
        <w:adjustRightInd w:val="0"/>
        <w:snapToGrid w:val="0"/>
        <w:spacing w:line="360" w:lineRule="auto"/>
        <w:ind w:firstLine="480" w:firstLineChars="200"/>
        <w:rPr>
          <w:rFonts w:hint="eastAsia" w:ascii="宋体" w:hAnsi="宋体" w:eastAsia="宋体" w:cs="宋体"/>
          <w:sz w:val="24"/>
          <w:highlight w:val="none"/>
          <w:lang w:val="en-GB"/>
        </w:rPr>
      </w:pPr>
      <w:r>
        <w:rPr>
          <w:rFonts w:hint="eastAsia" w:ascii="宋体" w:hAnsi="宋体" w:eastAsia="宋体" w:cs="宋体"/>
          <w:snapToGrid w:val="0"/>
          <w:sz w:val="24"/>
          <w:highlight w:val="none"/>
        </w:rPr>
        <w:t>7.“进口产品”是指通过中国海关报关验放进入中国境内的产品。</w:t>
      </w:r>
    </w:p>
    <w:p>
      <w:pPr>
        <w:adjustRightInd w:val="0"/>
        <w:snapToGrid w:val="0"/>
        <w:spacing w:line="360" w:lineRule="auto"/>
        <w:ind w:firstLine="475" w:firstLineChars="198"/>
        <w:rPr>
          <w:rFonts w:hint="eastAsia" w:ascii="宋体" w:hAnsi="宋体" w:eastAsia="宋体" w:cs="宋体"/>
          <w:snapToGrid w:val="0"/>
          <w:sz w:val="24"/>
          <w:highlight w:val="none"/>
          <w:lang w:val="en-GB"/>
        </w:rPr>
      </w:pPr>
      <w:r>
        <w:rPr>
          <w:rFonts w:hint="eastAsia" w:ascii="宋体" w:hAnsi="宋体" w:eastAsia="宋体" w:cs="宋体"/>
          <w:snapToGrid w:val="0"/>
          <w:sz w:val="24"/>
          <w:highlight w:val="none"/>
        </w:rPr>
        <w:t>8.“</w:t>
      </w:r>
      <w:r>
        <w:rPr>
          <w:rFonts w:hint="eastAsia" w:ascii="宋体" w:hAnsi="宋体" w:eastAsia="宋体" w:cs="宋体"/>
          <w:snapToGrid w:val="0"/>
          <w:sz w:val="24"/>
          <w:highlight w:val="none"/>
          <w:lang w:val="en-GB"/>
        </w:rPr>
        <w:t>实质性响应</w:t>
      </w:r>
      <w:r>
        <w:rPr>
          <w:rFonts w:hint="eastAsia" w:ascii="宋体" w:hAnsi="宋体" w:eastAsia="宋体" w:cs="宋体"/>
          <w:snapToGrid w:val="0"/>
          <w:sz w:val="24"/>
          <w:highlight w:val="none"/>
        </w:rPr>
        <w:t>”</w:t>
      </w:r>
      <w:r>
        <w:rPr>
          <w:rFonts w:hint="eastAsia" w:ascii="宋体" w:hAnsi="宋体" w:eastAsia="宋体" w:cs="宋体"/>
          <w:snapToGrid w:val="0"/>
          <w:sz w:val="24"/>
          <w:highlight w:val="none"/>
          <w:lang w:val="en-GB"/>
        </w:rPr>
        <w:t>是指投标文件的有效性、完整性和对采购文件的响应程度等方面及“★”号条款为实质性条款。</w:t>
      </w:r>
    </w:p>
    <w:p>
      <w:pPr>
        <w:adjustRightInd w:val="0"/>
        <w:snapToGrid w:val="0"/>
        <w:spacing w:line="360" w:lineRule="auto"/>
        <w:ind w:firstLine="475" w:firstLineChars="198"/>
        <w:rPr>
          <w:rFonts w:hint="eastAsia" w:ascii="宋体" w:hAnsi="宋体" w:eastAsia="宋体" w:cs="宋体"/>
          <w:snapToGrid w:val="0"/>
          <w:sz w:val="24"/>
          <w:highlight w:val="none"/>
          <w:lang w:val="en-GB"/>
        </w:rPr>
      </w:pPr>
      <w:r>
        <w:rPr>
          <w:rFonts w:hint="eastAsia" w:ascii="宋体" w:hAnsi="宋体" w:eastAsia="宋体" w:cs="宋体"/>
          <w:snapToGrid w:val="0"/>
          <w:sz w:val="24"/>
          <w:highlight w:val="none"/>
          <w:lang w:val="en-GB"/>
        </w:rPr>
        <w:t>9</w:t>
      </w:r>
      <w:r>
        <w:rPr>
          <w:rFonts w:hint="eastAsia" w:ascii="宋体" w:hAnsi="宋体" w:eastAsia="宋体" w:cs="宋体"/>
          <w:snapToGrid w:val="0"/>
          <w:sz w:val="24"/>
          <w:highlight w:val="none"/>
        </w:rPr>
        <w:t>.“</w:t>
      </w:r>
      <w:r>
        <w:rPr>
          <w:rFonts w:hint="eastAsia" w:ascii="宋体" w:hAnsi="宋体" w:eastAsia="宋体" w:cs="宋体"/>
          <w:snapToGrid w:val="0"/>
          <w:sz w:val="24"/>
          <w:highlight w:val="none"/>
          <w:lang w:val="en-GB"/>
        </w:rPr>
        <w:t>电子签名和电子签章</w:t>
      </w:r>
      <w:r>
        <w:rPr>
          <w:rFonts w:hint="eastAsia" w:ascii="宋体" w:hAnsi="宋体" w:eastAsia="宋体" w:cs="宋体"/>
          <w:snapToGrid w:val="0"/>
          <w:sz w:val="24"/>
          <w:highlight w:val="none"/>
        </w:rPr>
        <w:t>”</w:t>
      </w:r>
      <w:r>
        <w:rPr>
          <w:rFonts w:hint="eastAsia" w:ascii="宋体" w:hAnsi="宋体" w:eastAsia="宋体" w:cs="宋体"/>
          <w:snapToGrid w:val="0"/>
          <w:sz w:val="24"/>
          <w:highlight w:val="none"/>
          <w:lang w:val="en-GB"/>
        </w:rPr>
        <w:t>是指依法设立的电子认证服务机构签发的电子签名认证证书和电子签章，</w:t>
      </w:r>
      <w:r>
        <w:rPr>
          <w:rFonts w:hint="eastAsia" w:ascii="宋体" w:hAnsi="宋体" w:eastAsia="宋体" w:cs="宋体"/>
          <w:snapToGrid w:val="0"/>
          <w:sz w:val="24"/>
          <w:highlight w:val="none"/>
          <w:lang w:val="en-GB" w:eastAsia="zh-CN"/>
        </w:rPr>
        <w:t>供应商</w:t>
      </w:r>
      <w:r>
        <w:rPr>
          <w:rFonts w:hint="eastAsia" w:ascii="宋体" w:hAnsi="宋体" w:eastAsia="宋体" w:cs="宋体"/>
          <w:snapToGrid w:val="0"/>
          <w:sz w:val="24"/>
          <w:highlight w:val="none"/>
          <w:lang w:val="en-GB"/>
        </w:rPr>
        <w:t>应当到上述服务机构设立的办理点办理。电子签名及电子签章与手写签名或者盖章具有同等的法律效力。</w:t>
      </w:r>
    </w:p>
    <w:p>
      <w:pPr>
        <w:adjustRightInd w:val="0"/>
        <w:snapToGrid w:val="0"/>
        <w:spacing w:line="360" w:lineRule="auto"/>
        <w:ind w:firstLine="475" w:firstLineChars="198"/>
        <w:rPr>
          <w:rFonts w:hint="eastAsia" w:ascii="宋体" w:hAnsi="宋体" w:eastAsia="宋体" w:cs="宋体"/>
          <w:snapToGrid w:val="0"/>
          <w:kern w:val="2"/>
          <w:sz w:val="24"/>
          <w:szCs w:val="24"/>
          <w:highlight w:val="none"/>
          <w:lang w:val="en-GB"/>
        </w:rPr>
      </w:pPr>
      <w:r>
        <w:rPr>
          <w:rFonts w:hint="eastAsia" w:ascii="宋体" w:hAnsi="宋体" w:eastAsia="宋体" w:cs="宋体"/>
          <w:snapToGrid w:val="0"/>
          <w:sz w:val="24"/>
          <w:highlight w:val="none"/>
        </w:rPr>
        <w:t>10.</w:t>
      </w:r>
      <w:r>
        <w:rPr>
          <w:rFonts w:hint="eastAsia" w:ascii="宋体" w:hAnsi="宋体" w:eastAsia="宋体" w:cs="宋体"/>
          <w:snapToGrid w:val="0"/>
          <w:kern w:val="2"/>
          <w:sz w:val="24"/>
          <w:szCs w:val="24"/>
          <w:highlight w:val="none"/>
          <w:lang w:val="en-GB"/>
        </w:rPr>
        <w:t>日期、天数、时间：未有特别说明时，均为公历日（天）及北京时间。</w:t>
      </w:r>
    </w:p>
    <w:p>
      <w:pPr>
        <w:jc w:val="center"/>
        <w:outlineLvl w:val="0"/>
        <w:rPr>
          <w:rFonts w:hint="eastAsia" w:ascii="宋体" w:hAnsi="宋体" w:eastAsia="宋体" w:cs="宋体"/>
          <w:b/>
          <w:highlight w:val="none"/>
        </w:rPr>
      </w:pPr>
      <w:r>
        <w:rPr>
          <w:rFonts w:hint="eastAsia" w:ascii="宋体" w:hAnsi="宋体" w:eastAsia="宋体" w:cs="宋体"/>
          <w:b/>
          <w:sz w:val="24"/>
          <w:szCs w:val="24"/>
          <w:highlight w:val="none"/>
        </w:rPr>
        <w:br w:type="page"/>
      </w:r>
      <w:r>
        <w:rPr>
          <w:rFonts w:hint="eastAsia" w:ascii="宋体" w:hAnsi="宋体" w:eastAsia="宋体" w:cs="宋体"/>
          <w:b/>
          <w:highlight w:val="none"/>
        </w:rPr>
        <w:t>打  分  表</w:t>
      </w:r>
    </w:p>
    <w:tbl>
      <w:tblPr>
        <w:tblStyle w:val="24"/>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56"/>
        <w:gridCol w:w="720"/>
        <w:gridCol w:w="1200"/>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439"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32"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62"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c>
          <w:tcPr>
            <w:tcW w:w="604"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2960"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439" w:type="pct"/>
            <w:noWrap w:val="0"/>
            <w:vAlign w:val="center"/>
          </w:tcPr>
          <w:p>
            <w:pPr>
              <w:pStyle w:val="11"/>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2" w:type="pct"/>
            <w:noWrap w:val="0"/>
            <w:vAlign w:val="center"/>
          </w:tcPr>
          <w:p>
            <w:pPr>
              <w:keepNext w:val="0"/>
              <w:keepLines w:val="0"/>
              <w:pageBreakBefore w:val="0"/>
              <w:kinsoku/>
              <w:wordWrap/>
              <w:overflowPunct/>
              <w:topLine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投标报价</w:t>
            </w:r>
          </w:p>
        </w:tc>
        <w:tc>
          <w:tcPr>
            <w:tcW w:w="362" w:type="pct"/>
            <w:noWrap w:val="0"/>
            <w:vAlign w:val="center"/>
          </w:tcPr>
          <w:p>
            <w:pPr>
              <w:pStyle w:val="6"/>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F1</w:t>
            </w:r>
          </w:p>
        </w:tc>
        <w:tc>
          <w:tcPr>
            <w:tcW w:w="604" w:type="pct"/>
            <w:noWrap w:val="0"/>
            <w:vAlign w:val="center"/>
          </w:tcPr>
          <w:p>
            <w:pPr>
              <w:pStyle w:val="6"/>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A1=10%</w:t>
            </w:r>
          </w:p>
        </w:tc>
        <w:tc>
          <w:tcPr>
            <w:tcW w:w="2960" w:type="pct"/>
            <w:noWrap w:val="0"/>
            <w:vAlign w:val="center"/>
          </w:tcPr>
          <w:p>
            <w:pPr>
              <w:pStyle w:val="6"/>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价格分采用低价优先法计算，即满足招标文件要求且投标价格最低的投标报价为评标基准价，其价格分为标准分10</w:t>
            </w:r>
            <w:r>
              <w:rPr>
                <w:rFonts w:hint="eastAsia" w:ascii="宋体" w:hAnsi="宋体" w:eastAsia="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分。其他</w:t>
            </w: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的价格分统一按照下列公式计算：投标报价得分=（评标基准价/投标报价）×价格权值×100；无效投标报价不参与评标基准价的计算。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000" w:type="pct"/>
            <w:gridSpan w:val="5"/>
            <w:noWrap w:val="0"/>
            <w:vAlign w:val="center"/>
          </w:tcPr>
          <w:p>
            <w:pPr>
              <w:pStyle w:val="6"/>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                                   </w:t>
            </w:r>
            <w:r>
              <w:rPr>
                <w:rFonts w:hint="eastAsia" w:ascii="宋体" w:hAnsi="宋体" w:eastAsia="宋体" w:cs="宋体"/>
                <w:b/>
                <w:bCs/>
                <w:color w:val="auto"/>
                <w:kern w:val="2"/>
                <w:sz w:val="24"/>
                <w:szCs w:val="24"/>
                <w:highlight w:val="none"/>
                <w:lang w:val="en-US" w:eastAsia="zh-CN"/>
              </w:rPr>
              <w:t xml:space="preserve">  </w:t>
            </w:r>
            <w:r>
              <w:rPr>
                <w:rFonts w:hint="eastAsia" w:ascii="宋体" w:hAnsi="宋体" w:eastAsia="宋体" w:cs="宋体"/>
                <w:b/>
                <w:bCs/>
                <w:color w:val="auto"/>
                <w:kern w:val="2"/>
                <w:sz w:val="24"/>
                <w:szCs w:val="24"/>
                <w:highlight w:val="none"/>
              </w:rPr>
              <w:t>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632"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同类项目</w:t>
            </w:r>
          </w:p>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362"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F</w:t>
            </w:r>
            <w:r>
              <w:rPr>
                <w:rFonts w:hint="eastAsia" w:ascii="宋体" w:hAnsi="宋体" w:eastAsia="宋体" w:cs="宋体"/>
                <w:color w:val="auto"/>
                <w:kern w:val="2"/>
                <w:sz w:val="24"/>
                <w:szCs w:val="24"/>
                <w:highlight w:val="none"/>
                <w:lang w:val="en-US" w:eastAsia="zh-CN"/>
              </w:rPr>
              <w:t>2</w:t>
            </w:r>
          </w:p>
        </w:tc>
        <w:tc>
          <w:tcPr>
            <w:tcW w:w="604"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960"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供应商每提供一项合同签订日期在2020年1月1日至今的大气污染防治相关业绩计50分，满分100分（提供业绩合同原件扫描件）。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39"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32"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企业实力</w:t>
            </w:r>
          </w:p>
        </w:tc>
        <w:tc>
          <w:tcPr>
            <w:tcW w:w="362"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3</w:t>
            </w:r>
          </w:p>
        </w:tc>
        <w:tc>
          <w:tcPr>
            <w:tcW w:w="604"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2960" w:type="pct"/>
            <w:noWrap w:val="0"/>
            <w:vAlign w:val="center"/>
          </w:tcPr>
          <w:p>
            <w:pPr>
              <w:pStyle w:val="6"/>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供应商具备质量管理体系认证证书、职业健康管理体系认证证书、环境管理体系认证证书且在有效期内的</w:t>
            </w:r>
            <w:r>
              <w:rPr>
                <w:rFonts w:hint="eastAsia" w:ascii="宋体" w:hAnsi="宋体" w:eastAsia="宋体" w:cs="宋体"/>
                <w:color w:val="000000"/>
                <w:sz w:val="24"/>
                <w:szCs w:val="24"/>
                <w:highlight w:val="none"/>
                <w:lang w:val="en-US" w:eastAsia="zh-CN"/>
              </w:rPr>
              <w:t>得100</w:t>
            </w:r>
            <w:r>
              <w:rPr>
                <w:rFonts w:hint="eastAsia" w:ascii="宋体" w:hAnsi="宋体" w:eastAsia="宋体" w:cs="宋体"/>
                <w:color w:val="auto"/>
                <w:sz w:val="24"/>
                <w:szCs w:val="24"/>
                <w:highlight w:val="none"/>
                <w:lang w:val="en-US" w:eastAsia="zh-CN"/>
              </w:rPr>
              <w:t>分。（提供证书原件扫描件、未提供或提供不全的不得分）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000" w:type="pct"/>
            <w:gridSpan w:val="5"/>
            <w:noWrap w:val="0"/>
            <w:vAlign w:val="center"/>
          </w:tcPr>
          <w:p>
            <w:pPr>
              <w:pStyle w:val="6"/>
              <w:keepNext w:val="0"/>
              <w:keepLines w:val="0"/>
              <w:pageBreakBefore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32" w:type="pct"/>
            <w:noWrap w:val="0"/>
            <w:vAlign w:val="center"/>
          </w:tcPr>
          <w:p>
            <w:pPr>
              <w:keepNext w:val="0"/>
              <w:keepLines w:val="0"/>
              <w:pageBreakBefore w:val="0"/>
              <w:kinsoku/>
              <w:wordWrap/>
              <w:overflowPunct/>
              <w:autoSpaceDE/>
              <w:autoSpaceDN/>
              <w:bidi w:val="0"/>
              <w:snapToGrid/>
              <w:spacing w:line="5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目标分解、动态调控方案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F4</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A4=10%</w:t>
            </w:r>
          </w:p>
        </w:tc>
        <w:tc>
          <w:tcPr>
            <w:tcW w:w="2960" w:type="pct"/>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目标分解充分，动态调控方案详实周密，具有极强操作性，得 80.01-100.00</w:t>
            </w:r>
            <w:r>
              <w:rPr>
                <w:rFonts w:hint="eastAsia" w:ascii="宋体" w:hAnsi="宋体" w:eastAsia="宋体" w:cs="宋体"/>
                <w:b w:val="0"/>
                <w:color w:val="000000"/>
                <w:spacing w:val="0"/>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目标分解到位，动态调控科学方案合理，可操作性强，得 65.01-80.00</w:t>
            </w:r>
            <w:r>
              <w:rPr>
                <w:rFonts w:hint="eastAsia" w:ascii="宋体" w:hAnsi="宋体" w:eastAsia="宋体" w:cs="宋体"/>
                <w:b w:val="0"/>
                <w:color w:val="000000"/>
                <w:spacing w:val="0"/>
                <w:kern w:val="0"/>
                <w:sz w:val="24"/>
                <w:szCs w:val="24"/>
                <w:highlight w:val="none"/>
                <w:lang w:val="en-US" w:eastAsia="zh-CN" w:bidi="ar-SA"/>
              </w:rPr>
              <w:t>分</w:t>
            </w:r>
            <w:r>
              <w:rPr>
                <w:rFonts w:hint="eastAsia" w:ascii="宋体" w:hAnsi="宋体" w:eastAsia="宋体" w:cs="宋体"/>
                <w:b w:val="0"/>
                <w:color w:val="000000"/>
                <w:kern w:val="0"/>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目标分解较合理，动态调控方案较合理，可操作性较强，得 50.01-65.00</w:t>
            </w:r>
            <w:r>
              <w:rPr>
                <w:rFonts w:hint="eastAsia" w:ascii="宋体" w:hAnsi="宋体" w:eastAsia="宋体" w:cs="宋体"/>
                <w:b w:val="0"/>
                <w:color w:val="000000"/>
                <w:spacing w:val="0"/>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目标分解一般，动态调方案控一般，可操作性一般得 35.01-50.00</w:t>
            </w:r>
            <w:r>
              <w:rPr>
                <w:rFonts w:hint="eastAsia" w:ascii="宋体" w:hAnsi="宋体" w:eastAsia="宋体" w:cs="宋体"/>
                <w:b w:val="0"/>
                <w:color w:val="000000"/>
                <w:spacing w:val="0"/>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目标分解较差，动态调控方案较差，可操作性较差，仅满足采购人要求得 20.00-35.00</w:t>
            </w:r>
            <w:r>
              <w:rPr>
                <w:rFonts w:hint="eastAsia" w:ascii="宋体" w:hAnsi="宋体" w:eastAsia="宋体" w:cs="宋体"/>
                <w:b w:val="0"/>
                <w:color w:val="000000"/>
                <w:spacing w:val="0"/>
                <w:kern w:val="0"/>
                <w:sz w:val="24"/>
                <w:szCs w:val="24"/>
                <w:highlight w:val="none"/>
                <w:lang w:val="en-US" w:eastAsia="zh-CN" w:bidi="ar-SA"/>
              </w:rPr>
              <w:t>分</w:t>
            </w:r>
            <w:r>
              <w:rPr>
                <w:rFonts w:hint="eastAsia" w:ascii="宋体" w:hAnsi="宋体" w:eastAsia="宋体" w:cs="宋体"/>
                <w:b w:val="0"/>
                <w:color w:val="000000"/>
                <w:kern w:val="0"/>
                <w:sz w:val="24"/>
                <w:szCs w:val="24"/>
                <w:highlight w:val="none"/>
                <w:lang w:val="en-US" w:eastAsia="zh-CN" w:bidi="ar-SA"/>
              </w:rPr>
              <w:t xml:space="preserve">  </w:t>
            </w:r>
          </w:p>
          <w:p>
            <w:pPr>
              <w:pStyle w:val="2"/>
              <w:keepNext/>
              <w:keepLines/>
              <w:pageBreakBefore w:val="0"/>
              <w:widowControl w:val="0"/>
              <w:kinsoku/>
              <w:wordWrap/>
              <w:overflowPunct/>
              <w:topLinePunct w:val="0"/>
              <w:autoSpaceDE/>
              <w:autoSpaceDN/>
              <w:bidi w:val="0"/>
              <w:adjustRightInd/>
              <w:snapToGrid/>
              <w:spacing w:before="0" w:after="0" w:line="500" w:lineRule="exact"/>
              <w:ind w:firstLine="0"/>
              <w:textAlignment w:val="auto"/>
              <w:rPr>
                <w:rFonts w:hint="eastAsia" w:ascii="宋体" w:hAnsi="宋体" w:eastAsia="宋体" w:cs="宋体"/>
                <w:b w:val="0"/>
                <w:color w:val="000000"/>
                <w:kern w:val="0"/>
                <w:sz w:val="24"/>
                <w:szCs w:val="24"/>
                <w:highlight w:val="none"/>
                <w:lang w:val="en-US" w:eastAsia="zh-CN" w:bidi="ar-SA"/>
              </w:rPr>
            </w:pPr>
            <w:r>
              <w:rPr>
                <w:rFonts w:hint="eastAsia" w:ascii="宋体" w:hAnsi="宋体" w:eastAsia="宋体" w:cs="宋体"/>
                <w:b w:val="0"/>
                <w:color w:val="000000"/>
                <w:kern w:val="0"/>
                <w:sz w:val="24"/>
                <w:szCs w:val="24"/>
                <w:highlight w:val="none"/>
                <w:lang w:val="en-US" w:eastAsia="zh-CN" w:bidi="ar-SA"/>
              </w:rPr>
              <w:t>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研判分析及管控建议方案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F5</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A5=20%</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研判分析数据全面详细，管控建议方案详实周密得80.01-100.00分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研判分析数据详细，管控建议方案科学合理，得 65.01-80.00分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研判分析数据较详细，管控建议方案较合理，得 50.01-65.00分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研判分析数据一般，管控建议方案一般，得 35.01-50.00分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研判分析数据较差，管控建议方案较差，仅满足采购人要求得20.00-35.00分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现场巡查、实时调度方案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F6</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A6=10%</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现场巡查及调度方案详实周密，得80.01-100.00分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现场巡查及调度方案科学合理，得65.01-80.00分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现场巡查及调度方案较合理，得50.01-65.00分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现场巡查及调度方案一般，得35.01-50.00分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现场巡查及调度方案较差，仅满足采购人要求得20.00-35.00分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重污染过程预警、管控建议及分析方案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F7</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A7=15%</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重污染过程预警、管控建议及分析全面详细，得70.01-100.00分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重污染过程预警、管控建议及分析合理，得65.01-80.00分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重污染过程预警、管控建议及分析较合理，得50.01-65.00分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重污染过程预警、管控建议及分析一般，得35.01-50.00分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重污染过程预警、管控建议及分析较差，仅满足采购人要求得20.00-35.00分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大气污染防治建议方案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F8</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A8=10%</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治理建议及行动计划高效可行，得80.01-100.00分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治理建议及行动计划科学合理，得65.01-80.00分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治理建议及行动计划较合理，得50.01-65.00分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治理建议及行动计划一般，得35.01-50.00分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治理建议及行动计划较差，仅满足采购人要求得20.00-35.00分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管控效果综合评价方案</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F9</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A9=5%</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管控评价方案详实周密，得80.01-100.00分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管控评价方案科学合理，得65.01-80.00分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管控评价方案较合理，得50.01-65.00 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管控评价方案一般，得35.01-50.00分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管控评价方案较差，仅满足采购人要求得20.00-35.00分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439"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63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服务质量保证承诺</w:t>
            </w:r>
          </w:p>
        </w:tc>
        <w:tc>
          <w:tcPr>
            <w:tcW w:w="362"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F10</w:t>
            </w:r>
          </w:p>
        </w:tc>
        <w:tc>
          <w:tcPr>
            <w:tcW w:w="604"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A10=10%</w:t>
            </w:r>
          </w:p>
        </w:tc>
        <w:tc>
          <w:tcPr>
            <w:tcW w:w="2960" w:type="pct"/>
            <w:noWrap w:val="0"/>
            <w:vAlign w:val="center"/>
          </w:tcPr>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供应商向采购人提供服务质量保证承诺，内容详细具体、</w:t>
            </w:r>
            <w:r>
              <w:rPr>
                <w:rFonts w:hint="eastAsia" w:ascii="宋体" w:hAnsi="宋体" w:eastAsia="宋体" w:cs="宋体"/>
                <w:b w:val="0"/>
                <w:color w:val="000000"/>
                <w:kern w:val="0"/>
                <w:sz w:val="24"/>
                <w:szCs w:val="24"/>
                <w:highlight w:val="none"/>
                <w:lang w:val="en-US" w:eastAsia="zh-CN" w:bidi="ar-SA"/>
              </w:rPr>
              <w:t>具有极强操作性</w:t>
            </w:r>
            <w:r>
              <w:rPr>
                <w:rFonts w:hint="eastAsia" w:ascii="宋体" w:hAnsi="宋体" w:eastAsia="宋体" w:cs="宋体"/>
                <w:b w:val="0"/>
                <w:color w:val="000000"/>
                <w:spacing w:val="0"/>
                <w:kern w:val="0"/>
                <w:sz w:val="24"/>
                <w:szCs w:val="24"/>
                <w:highlight w:val="none"/>
                <w:lang w:val="en-US" w:eastAsia="zh-CN" w:bidi="ar-SA"/>
              </w:rPr>
              <w:t xml:space="preserve">得80.01-100.00 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供应商向采购人提供服务质量保证承诺，内容科学合理、可操作性强、得65.01-80.00 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供应商向采购人提供的各项服务承诺，服务内容较合理、可操作性较强的得50.01-65.00分。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供应商向采购人提供的各项服务承诺，服务内容一般、可操作性一般得35.01-50.00分。 </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供应商向采购人提供服务质量保证承诺，服务内容仅满足采购人要求、可操作较差、得20.00-35.00分</w:t>
            </w:r>
          </w:p>
          <w:p>
            <w:pPr>
              <w:pStyle w:val="11"/>
              <w:keepNext w:val="0"/>
              <w:keepLines w:val="0"/>
              <w:pageBreakBefore w:val="0"/>
              <w:widowControl w:val="0"/>
              <w:kinsoku/>
              <w:wordWrap/>
              <w:overflowPunct/>
              <w:autoSpaceDE/>
              <w:autoSpaceDN/>
              <w:bidi w:val="0"/>
              <w:snapToGrid/>
              <w:spacing w:beforeAutospacing="0" w:afterAutospacing="0" w:line="540" w:lineRule="exact"/>
              <w:ind w:left="0" w:leftChars="0" w:right="0" w:rightChars="0" w:firstLine="0" w:firstLineChars="0"/>
              <w:jc w:val="left"/>
              <w:rPr>
                <w:rFonts w:hint="eastAsia" w:ascii="宋体" w:hAnsi="宋体" w:eastAsia="宋体" w:cs="宋体"/>
                <w:b w:val="0"/>
                <w:color w:val="000000"/>
                <w:spacing w:val="0"/>
                <w:kern w:val="0"/>
                <w:sz w:val="24"/>
                <w:szCs w:val="24"/>
                <w:highlight w:val="none"/>
                <w:lang w:val="en-US" w:eastAsia="zh-CN" w:bidi="ar-SA"/>
              </w:rPr>
            </w:pPr>
            <w:r>
              <w:rPr>
                <w:rFonts w:hint="eastAsia" w:ascii="宋体" w:hAnsi="宋体" w:eastAsia="宋体" w:cs="宋体"/>
                <w:b w:val="0"/>
                <w:color w:val="000000"/>
                <w:spacing w:val="0"/>
                <w:kern w:val="0"/>
                <w:sz w:val="24"/>
                <w:szCs w:val="24"/>
                <w:highlight w:val="none"/>
                <w:lang w:val="en-US" w:eastAsia="zh-CN" w:bidi="ar-SA"/>
              </w:rPr>
              <w:t xml:space="preserve">。未提供此项得0分 </w:t>
            </w:r>
          </w:p>
        </w:tc>
      </w:tr>
    </w:tbl>
    <w:p>
      <w:pPr>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评标时，评标委员会各成员应当独立对每个</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的投标文件进行评价，并汇总每个</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的得分。</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评标总得分＝F1×A1＋F2×A2＋……＋Fn×An</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F1、F2……Fn分别为各项评审因素的得分。</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A1、A2、……An 分别为各项评审因素所占的权重(A1＋A2＋……＋An＝1)。</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评标过程中，不得去掉报价中的最高报价和最低报价。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因落实政府采购政策进行价格调整的，以调整后的价格计算评标基准价和投标报价。</w:t>
      </w:r>
    </w:p>
    <w:p>
      <w:pPr>
        <w:ind w:firstLine="480" w:firstLineChars="200"/>
        <w:outlineLvl w:val="0"/>
        <w:rPr>
          <w:rFonts w:hint="eastAsia" w:ascii="宋体" w:hAnsi="宋体" w:eastAsia="宋体" w:cs="宋体"/>
          <w:b/>
          <w:sz w:val="44"/>
          <w:highlight w:val="none"/>
        </w:rPr>
      </w:pPr>
      <w:r>
        <w:rPr>
          <w:rFonts w:hint="eastAsia" w:ascii="宋体" w:hAnsi="宋体" w:eastAsia="宋体" w:cs="宋体"/>
          <w:color w:val="000000" w:themeColor="text1"/>
          <w:sz w:val="24"/>
          <w:szCs w:val="24"/>
          <w:highlight w:val="none"/>
          <w14:textFill>
            <w14:solidFill>
              <w14:schemeClr w14:val="tx1"/>
            </w14:solidFill>
          </w14:textFill>
        </w:rPr>
        <w:t>评委打分时</w:t>
      </w:r>
      <w:r>
        <w:rPr>
          <w:rFonts w:hint="eastAsia" w:ascii="宋体" w:hAnsi="宋体" w:eastAsia="宋体" w:cs="宋体"/>
          <w:color w:val="000000" w:themeColor="text1"/>
          <w:sz w:val="24"/>
          <w:highlight w:val="none"/>
          <w14:textFill>
            <w14:solidFill>
              <w14:schemeClr w14:val="tx1"/>
            </w14:solidFill>
          </w14:textFill>
        </w:rPr>
        <w:t>小数点后保留二位小数。</w:t>
      </w:r>
      <w:r>
        <w:rPr>
          <w:rFonts w:hint="eastAsia" w:ascii="宋体" w:hAnsi="宋体" w:eastAsia="宋体" w:cs="宋体"/>
          <w:b/>
          <w:color w:val="000000" w:themeColor="text1"/>
          <w:sz w:val="44"/>
          <w:highlight w:val="none"/>
          <w14:textFill>
            <w14:solidFill>
              <w14:schemeClr w14:val="tx1"/>
            </w14:solidFill>
          </w14:textFill>
        </w:rPr>
        <w:br w:type="page"/>
      </w:r>
    </w:p>
    <w:p>
      <w:pPr>
        <w:jc w:val="center"/>
        <w:outlineLvl w:val="0"/>
        <w:rPr>
          <w:rFonts w:hint="eastAsia" w:ascii="宋体" w:hAnsi="宋体" w:eastAsia="宋体" w:cs="宋体"/>
          <w:b/>
          <w:sz w:val="44"/>
          <w:highlight w:val="none"/>
        </w:rPr>
      </w:pPr>
      <w:bookmarkStart w:id="34" w:name="_Toc11938055"/>
      <w:r>
        <w:rPr>
          <w:rFonts w:hint="eastAsia" w:ascii="宋体" w:hAnsi="宋体" w:eastAsia="宋体" w:cs="宋体"/>
          <w:b/>
          <w:sz w:val="44"/>
          <w:highlight w:val="none"/>
        </w:rPr>
        <w:t>第三部分  供应商须知</w:t>
      </w:r>
      <w:bookmarkEnd w:id="34"/>
    </w:p>
    <w:p>
      <w:pPr>
        <w:jc w:val="center"/>
        <w:outlineLvl w:val="1"/>
        <w:rPr>
          <w:rFonts w:hint="eastAsia" w:ascii="宋体" w:hAnsi="宋体" w:eastAsia="宋体" w:cs="宋体"/>
          <w:b/>
          <w:highlight w:val="none"/>
        </w:rPr>
      </w:pPr>
      <w:r>
        <w:rPr>
          <w:rFonts w:hint="eastAsia" w:ascii="宋体" w:hAnsi="宋体" w:eastAsia="宋体" w:cs="宋体"/>
          <w:b/>
          <w:highlight w:val="none"/>
        </w:rPr>
        <w:t>一、招标文件说明</w:t>
      </w:r>
    </w:p>
    <w:p>
      <w:pPr>
        <w:widowControl/>
        <w:snapToGrid w:val="0"/>
        <w:spacing w:line="360" w:lineRule="auto"/>
        <w:ind w:firstLine="480"/>
        <w:rPr>
          <w:rFonts w:hint="eastAsia" w:ascii="宋体" w:hAnsi="宋体" w:eastAsia="宋体" w:cs="宋体"/>
          <w:b/>
          <w:sz w:val="24"/>
          <w:highlight w:val="none"/>
        </w:rPr>
      </w:pPr>
      <w:r>
        <w:rPr>
          <w:rFonts w:hint="eastAsia" w:ascii="宋体" w:hAnsi="宋体" w:eastAsia="宋体" w:cs="宋体"/>
          <w:b/>
          <w:sz w:val="24"/>
          <w:highlight w:val="none"/>
        </w:rPr>
        <w:t>（一）重要提示</w:t>
      </w: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应当按照招标文件的要求编制投标文件。投标文件应当对招标文件提出的要求和条件作出明确响应。</w:t>
      </w:r>
    </w:p>
    <w:p>
      <w:pPr>
        <w:ind w:firstLine="477" w:firstLineChars="198"/>
        <w:rPr>
          <w:rFonts w:hint="eastAsia" w:ascii="宋体" w:hAnsi="宋体" w:eastAsia="宋体" w:cs="宋体"/>
          <w:b/>
          <w:sz w:val="24"/>
          <w:highlight w:val="none"/>
        </w:rPr>
      </w:pP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必须认真阅读本招标文件，充分理解招标项目的全部内容，并根据招标文件要求，提供符合采购人需求并和实际情况一致的、具有可操作性的详细的解决方案。</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没有按照招标文件要求提交全部资料，或者投标文件中没有对招标文件的要求在各方面都作出实质性响应是</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的风险，可能导致其投标文件被拒绝。</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（二）招标文件构成</w:t>
      </w:r>
    </w:p>
    <w:p>
      <w:pPr>
        <w:ind w:firstLine="480" w:firstLineChars="200"/>
        <w:rPr>
          <w:rFonts w:hint="eastAsia" w:ascii="宋体" w:hAnsi="宋体" w:eastAsia="宋体" w:cs="宋体"/>
          <w:bCs/>
          <w:sz w:val="24"/>
          <w:highlight w:val="none"/>
          <w:lang w:val="en-US" w:eastAsia="zh-CN"/>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TOC \o "1-1" \h \z \u </w:instrText>
      </w:r>
      <w:r>
        <w:rPr>
          <w:rFonts w:hint="eastAsia" w:ascii="宋体" w:hAnsi="宋体" w:eastAsia="宋体" w:cs="宋体"/>
          <w:sz w:val="24"/>
          <w:highlight w:val="none"/>
        </w:rPr>
        <w:fldChar w:fldCharType="separate"/>
      </w:r>
      <w:r>
        <w:rPr>
          <w:rFonts w:hint="eastAsia" w:ascii="宋体" w:hAnsi="宋体" w:eastAsia="宋体" w:cs="宋体"/>
          <w:bCs/>
          <w:sz w:val="24"/>
          <w:highlight w:val="none"/>
        </w:rPr>
        <w:t xml:space="preserve">第一部分  </w:t>
      </w:r>
      <w:r>
        <w:rPr>
          <w:rFonts w:hint="eastAsia" w:ascii="宋体" w:hAnsi="宋体" w:eastAsia="宋体" w:cs="宋体"/>
          <w:bCs/>
          <w:sz w:val="24"/>
          <w:highlight w:val="none"/>
          <w:lang w:val="en-US" w:eastAsia="zh-CN"/>
        </w:rPr>
        <w:t>招标公告</w:t>
      </w:r>
    </w:p>
    <w:p>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第二部分  采购项目的相关要求</w:t>
      </w:r>
    </w:p>
    <w:p>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第三部分  </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须知</w:t>
      </w:r>
    </w:p>
    <w:p>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第四部分　政府采购合同</w:t>
      </w:r>
    </w:p>
    <w:p>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第五部分　投标文件格式</w:t>
      </w:r>
    </w:p>
    <w:p>
      <w:pPr>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fldChar w:fldCharType="end"/>
      </w:r>
      <w:r>
        <w:rPr>
          <w:rFonts w:hint="eastAsia" w:ascii="宋体" w:hAnsi="宋体" w:eastAsia="宋体" w:cs="宋体"/>
          <w:b/>
          <w:bCs/>
          <w:sz w:val="24"/>
          <w:highlight w:val="none"/>
        </w:rPr>
        <w:t xml:space="preserve">（三）招标文件的澄清和修改  </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采购人或者采购代理机构可以对已发出的招标文件、资格预审文件、投标邀请书进行必要的澄清或者修改，但不得改变采购标的和资格条件。澄清或者修改应当在中国河北政府采购网、河北省公共资源交易服务平台发布澄清公告。澄清或者修改的内容为招标文件、资格预审文件、投标邀请书的组成部分。</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自行网上下载。</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2.澄清或者修改的内容可能影响投标文件编制的，采购人或者采购代理机构应当在投标截止时间至少15日前，在中国河北政府采购网、河北省公共资源交易服务平台上发布更正公告。</w:t>
      </w:r>
      <w:r>
        <w:rPr>
          <w:rFonts w:hint="eastAsia" w:ascii="宋体" w:hAnsi="宋体" w:eastAsia="宋体" w:cs="宋体"/>
          <w:sz w:val="24"/>
          <w:highlight w:val="none"/>
          <w:lang w:val="en-US" w:eastAsia="zh-CN"/>
        </w:rPr>
        <w:t>影响投标文件编制的</w:t>
      </w:r>
      <w:r>
        <w:rPr>
          <w:rFonts w:hint="eastAsia" w:ascii="宋体" w:hAnsi="宋体" w:eastAsia="宋体" w:cs="宋体"/>
          <w:sz w:val="24"/>
          <w:highlight w:val="none"/>
        </w:rPr>
        <w:t>不足15日的，采购人或者采购代理机构应当顺延提交投标文件的截止时间。</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澄清或者修改的内容可能影响资格预审申请文件编制的，采购人或者采购代理机构应当在提交资格预审申请文件截止时间至少3日前，在中国河北政府采购网、河北省公共资源交易服务平台上发布更正公告通知所有获取资格预审文件的潜在</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。不足3日的，采购人或者采购代理机构应当顺延提交资格预审申请文件的截止时间。</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4.对与本项目有关的通知（含有关通知、更正公告、变更公告等），采购代理机构将在中国河北政府采购网、河北省公共资源交易服务平台上以发布公告的形式发出。</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自行网上下载，未收到有关通知，采购代理机构不承担任何责任，有关的招标活动可以继续有效地进行。</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（四）现场考察或答疑会</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现场考察或答疑会不进行统一组织</w:t>
      </w:r>
    </w:p>
    <w:p>
      <w:pPr>
        <w:ind w:firstLine="482" w:firstLineChars="200"/>
        <w:rPr>
          <w:rFonts w:hint="eastAsia" w:ascii="宋体" w:hAnsi="宋体" w:eastAsia="宋体" w:cs="宋体"/>
          <w:b/>
          <w:highlight w:val="none"/>
        </w:rPr>
      </w:pPr>
      <w:r>
        <w:rPr>
          <w:rFonts w:hint="eastAsia" w:ascii="宋体" w:hAnsi="宋体" w:eastAsia="宋体" w:cs="宋体"/>
          <w:b/>
          <w:bCs/>
          <w:sz w:val="24"/>
          <w:szCs w:val="24"/>
          <w:highlight w:val="none"/>
        </w:rPr>
        <w:t>（五）</w:t>
      </w:r>
      <w:r>
        <w:rPr>
          <w:rFonts w:hint="eastAsia" w:ascii="宋体" w:hAnsi="宋体" w:eastAsia="宋体" w:cs="宋体"/>
          <w:b/>
          <w:sz w:val="24"/>
          <w:highlight w:val="none"/>
        </w:rPr>
        <w:t>资金来源</w:t>
      </w:r>
    </w:p>
    <w:p>
      <w:pPr>
        <w:ind w:firstLine="480" w:firstLineChars="200"/>
        <w:rPr>
          <w:rFonts w:hint="eastAsia" w:ascii="宋体" w:hAnsi="宋体" w:eastAsia="宋体" w:cs="宋体"/>
          <w:b/>
          <w:highlight w:val="none"/>
        </w:rPr>
      </w:pPr>
      <w:r>
        <w:rPr>
          <w:rFonts w:hint="eastAsia" w:ascii="宋体" w:hAnsi="宋体" w:eastAsia="宋体" w:cs="宋体"/>
          <w:sz w:val="24"/>
          <w:highlight w:val="none"/>
        </w:rPr>
        <w:t>本招标文件中所述的采购人政府采购项目资金、采购方式已经相关部门批准。</w:t>
      </w:r>
    </w:p>
    <w:p>
      <w:pPr>
        <w:ind w:firstLine="482" w:firstLineChars="200"/>
        <w:rPr>
          <w:rFonts w:hint="eastAsia" w:ascii="宋体" w:hAnsi="宋体" w:eastAsia="宋体" w:cs="宋体"/>
          <w:b/>
          <w:sz w:val="24"/>
          <w:highlight w:val="none"/>
        </w:rPr>
      </w:pPr>
      <w:r>
        <w:rPr>
          <w:rFonts w:hint="eastAsia" w:ascii="宋体" w:hAnsi="宋体" w:eastAsia="宋体" w:cs="宋体"/>
          <w:b/>
          <w:bCs/>
          <w:sz w:val="24"/>
          <w:highlight w:val="none"/>
        </w:rPr>
        <w:t>（六）中标服务费及</w:t>
      </w:r>
      <w:r>
        <w:rPr>
          <w:rFonts w:hint="eastAsia" w:ascii="宋体" w:hAnsi="宋体" w:eastAsia="宋体" w:cs="宋体"/>
          <w:b/>
          <w:sz w:val="24"/>
          <w:highlight w:val="none"/>
        </w:rPr>
        <w:t>投标费用</w:t>
      </w:r>
    </w:p>
    <w:p>
      <w:pPr>
        <w:ind w:firstLine="480" w:firstLineChars="200"/>
        <w:rPr>
          <w:rFonts w:hint="eastAsia" w:ascii="宋体" w:hAnsi="宋体" w:eastAsia="宋体" w:cs="宋体"/>
          <w:b/>
          <w:sz w:val="24"/>
          <w:highlight w:val="none"/>
        </w:rPr>
      </w:pPr>
      <w:r>
        <w:rPr>
          <w:rFonts w:hint="eastAsia" w:ascii="宋体" w:hAnsi="宋体" w:eastAsia="宋体" w:cs="宋体"/>
          <w:bCs/>
          <w:sz w:val="24"/>
          <w:szCs w:val="24"/>
          <w:highlight w:val="none"/>
        </w:rPr>
        <w:t>代理服务费：本次</w:t>
      </w:r>
      <w:r>
        <w:rPr>
          <w:rFonts w:hint="eastAsia" w:ascii="宋体" w:hAnsi="宋体" w:eastAsia="宋体" w:cs="宋体"/>
          <w:bCs/>
          <w:sz w:val="24"/>
          <w:szCs w:val="24"/>
          <w:highlight w:val="none"/>
          <w:lang w:eastAsia="zh-CN"/>
        </w:rPr>
        <w:t>招</w:t>
      </w:r>
      <w:r>
        <w:rPr>
          <w:rFonts w:hint="eastAsia" w:ascii="宋体" w:hAnsi="宋体" w:eastAsia="宋体" w:cs="宋体"/>
          <w:bCs/>
          <w:sz w:val="24"/>
          <w:szCs w:val="24"/>
          <w:highlight w:val="none"/>
          <w:lang w:val="en-US" w:eastAsia="zh-CN"/>
        </w:rPr>
        <w:t>标</w:t>
      </w:r>
      <w:r>
        <w:rPr>
          <w:rFonts w:hint="eastAsia" w:ascii="宋体" w:hAnsi="宋体" w:eastAsia="宋体" w:cs="宋体"/>
          <w:bCs/>
          <w:sz w:val="24"/>
          <w:szCs w:val="24"/>
          <w:highlight w:val="none"/>
        </w:rPr>
        <w:t>的服务费</w:t>
      </w:r>
      <w:r>
        <w:rPr>
          <w:rFonts w:hint="eastAsia" w:ascii="宋体" w:hAnsi="宋体" w:eastAsia="宋体" w:cs="宋体"/>
          <w:bCs/>
          <w:sz w:val="24"/>
          <w:szCs w:val="24"/>
          <w:highlight w:val="none"/>
          <w:lang w:val="en-US" w:eastAsia="zh-CN"/>
        </w:rPr>
        <w:t>由中标供应商</w:t>
      </w:r>
      <w:r>
        <w:rPr>
          <w:rFonts w:hint="eastAsia" w:ascii="宋体" w:hAnsi="宋体" w:eastAsia="宋体" w:cs="宋体"/>
          <w:bCs/>
          <w:sz w:val="24"/>
          <w:szCs w:val="24"/>
          <w:highlight w:val="none"/>
        </w:rPr>
        <w:t>支付，</w:t>
      </w:r>
      <w:r>
        <w:rPr>
          <w:rFonts w:hint="eastAsia" w:ascii="宋体" w:hAnsi="宋体" w:eastAsia="宋体" w:cs="宋体"/>
          <w:bCs/>
          <w:sz w:val="24"/>
          <w:szCs w:val="24"/>
          <w:highlight w:val="none"/>
          <w:lang w:val="en-US" w:eastAsia="zh-CN"/>
        </w:rPr>
        <w:t>中标供应商</w:t>
      </w:r>
      <w:r>
        <w:rPr>
          <w:rFonts w:hint="eastAsia" w:ascii="宋体" w:hAnsi="宋体" w:eastAsia="宋体" w:cs="宋体"/>
          <w:bCs/>
          <w:sz w:val="24"/>
          <w:szCs w:val="24"/>
          <w:highlight w:val="none"/>
        </w:rPr>
        <w:t>在领取</w:t>
      </w:r>
      <w:r>
        <w:rPr>
          <w:rFonts w:hint="eastAsia" w:ascii="宋体" w:hAnsi="宋体" w:eastAsia="宋体" w:cs="宋体"/>
          <w:bCs/>
          <w:sz w:val="24"/>
          <w:szCs w:val="24"/>
          <w:highlight w:val="none"/>
          <w:lang w:val="en-US" w:eastAsia="zh-CN"/>
        </w:rPr>
        <w:t>中标</w:t>
      </w:r>
      <w:r>
        <w:rPr>
          <w:rFonts w:hint="eastAsia" w:ascii="宋体" w:hAnsi="宋体" w:eastAsia="宋体" w:cs="宋体"/>
          <w:bCs/>
          <w:sz w:val="24"/>
          <w:szCs w:val="24"/>
          <w:highlight w:val="none"/>
        </w:rPr>
        <w:t>通知书时支付采购代理服务费40000元（肆万元整），</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将此报价考虑到</w:t>
      </w:r>
      <w:r>
        <w:rPr>
          <w:rFonts w:hint="eastAsia" w:ascii="宋体" w:hAnsi="宋体" w:eastAsia="宋体" w:cs="宋体"/>
          <w:bCs/>
          <w:sz w:val="24"/>
          <w:szCs w:val="24"/>
          <w:highlight w:val="none"/>
          <w:lang w:val="en-US" w:eastAsia="zh-CN"/>
        </w:rPr>
        <w:t>投</w:t>
      </w:r>
      <w:r>
        <w:rPr>
          <w:rFonts w:hint="eastAsia" w:ascii="宋体" w:hAnsi="宋体" w:eastAsia="宋体" w:cs="宋体"/>
          <w:bCs/>
          <w:sz w:val="24"/>
          <w:szCs w:val="24"/>
          <w:highlight w:val="none"/>
          <w:lang w:eastAsia="zh-CN"/>
        </w:rPr>
        <w:t>标</w:t>
      </w:r>
      <w:r>
        <w:rPr>
          <w:rFonts w:hint="eastAsia" w:ascii="宋体" w:hAnsi="宋体" w:eastAsia="宋体" w:cs="宋体"/>
          <w:bCs/>
          <w:sz w:val="24"/>
          <w:szCs w:val="24"/>
          <w:highlight w:val="none"/>
        </w:rPr>
        <w:t>总价中，不再单独列项。</w:t>
      </w:r>
    </w:p>
    <w:p>
      <w:pPr>
        <w:ind w:firstLine="482" w:firstLineChars="200"/>
        <w:rPr>
          <w:rFonts w:hint="eastAsia" w:ascii="宋体" w:hAnsi="宋体" w:eastAsia="宋体" w:cs="宋体"/>
          <w:b/>
          <w:sz w:val="24"/>
          <w:highlight w:val="none"/>
        </w:rPr>
      </w:pPr>
      <w:r>
        <w:rPr>
          <w:rFonts w:hint="eastAsia" w:ascii="宋体" w:hAnsi="宋体" w:eastAsia="宋体" w:cs="宋体"/>
          <w:b/>
          <w:bCs/>
          <w:sz w:val="24"/>
          <w:szCs w:val="24"/>
          <w:highlight w:val="none"/>
        </w:rPr>
        <w:t>（七）</w:t>
      </w:r>
      <w:r>
        <w:rPr>
          <w:rFonts w:hint="eastAsia" w:ascii="宋体" w:hAnsi="宋体" w:eastAsia="宋体" w:cs="宋体"/>
          <w:b/>
          <w:sz w:val="24"/>
          <w:szCs w:val="24"/>
          <w:highlight w:val="none"/>
        </w:rPr>
        <w:t>招标文件的解释</w:t>
      </w:r>
    </w:p>
    <w:p>
      <w:pPr>
        <w:ind w:firstLine="480" w:firstLineChars="200"/>
        <w:rPr>
          <w:rFonts w:hint="eastAsia" w:ascii="宋体" w:hAnsi="宋体" w:eastAsia="宋体" w:cs="宋体"/>
          <w:b/>
          <w:sz w:val="24"/>
          <w:highlight w:val="none"/>
        </w:rPr>
      </w:pPr>
      <w:r>
        <w:rPr>
          <w:rFonts w:hint="eastAsia" w:ascii="宋体" w:hAnsi="宋体" w:eastAsia="宋体" w:cs="宋体"/>
          <w:snapToGrid w:val="0"/>
          <w:sz w:val="24"/>
          <w:highlight w:val="none"/>
        </w:rPr>
        <w:t>本文件涉及采购程序内容由河北丰信工程咨询有限公司负责解释。涉及商务、技术服务条款及合同内容由采购人负责解释。</w:t>
      </w:r>
    </w:p>
    <w:p>
      <w:pPr>
        <w:jc w:val="center"/>
        <w:outlineLvl w:val="1"/>
        <w:rPr>
          <w:rFonts w:hint="eastAsia" w:ascii="宋体" w:hAnsi="宋体" w:eastAsia="宋体" w:cs="宋体"/>
          <w:b/>
          <w:sz w:val="24"/>
          <w:szCs w:val="24"/>
          <w:highlight w:val="none"/>
        </w:rPr>
      </w:pPr>
      <w:r>
        <w:rPr>
          <w:rFonts w:hint="eastAsia" w:ascii="宋体" w:hAnsi="宋体" w:eastAsia="宋体" w:cs="宋体"/>
          <w:b/>
          <w:highlight w:val="none"/>
        </w:rPr>
        <w:t>二、</w:t>
      </w:r>
      <w:r>
        <w:rPr>
          <w:rFonts w:hint="eastAsia" w:ascii="宋体" w:hAnsi="宋体" w:eastAsia="宋体" w:cs="宋体"/>
          <w:b/>
          <w:highlight w:val="none"/>
          <w:lang w:eastAsia="zh-CN"/>
        </w:rPr>
        <w:t>供应商</w:t>
      </w:r>
      <w:r>
        <w:rPr>
          <w:rFonts w:hint="eastAsia" w:ascii="宋体" w:hAnsi="宋体" w:eastAsia="宋体" w:cs="宋体"/>
          <w:b/>
          <w:highlight w:val="none"/>
        </w:rPr>
        <w:t>资格</w:t>
      </w:r>
    </w:p>
    <w:p>
      <w:pPr>
        <w:ind w:firstLine="472" w:firstLineChars="196"/>
        <w:jc w:val="left"/>
        <w:rPr>
          <w:rFonts w:hint="eastAsia" w:ascii="宋体" w:hAnsi="宋体" w:eastAsia="宋体" w:cs="宋体"/>
          <w:sz w:val="24"/>
          <w:highlight w:val="none"/>
        </w:rPr>
      </w:pPr>
      <w:r>
        <w:rPr>
          <w:rFonts w:hint="eastAsia" w:ascii="宋体" w:hAnsi="宋体" w:eastAsia="宋体" w:cs="宋体"/>
          <w:b/>
          <w:sz w:val="24"/>
          <w:szCs w:val="24"/>
          <w:highlight w:val="none"/>
        </w:rPr>
        <w:t>（一）</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参加政府采购活动应当具备政府采购法第二十二条规定，并提交以下材料</w:t>
      </w:r>
    </w:p>
    <w:p>
      <w:pPr>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1.法人或者其他组织的营业执照等证明文件，自然人的身份证明。</w:t>
      </w:r>
    </w:p>
    <w:p>
      <w:pPr>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2.财务状况报告，依法缴纳税收和社会保障资金的相关材料。</w:t>
      </w:r>
    </w:p>
    <w:p>
      <w:pPr>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3.具备履行合同所必需的设备和专业技术能力的证明材料。</w:t>
      </w:r>
    </w:p>
    <w:p>
      <w:pPr>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4.参加政府采购活动前3年内在经营活动中没有重大违法记录的书面声明。</w:t>
      </w:r>
    </w:p>
    <w:p>
      <w:pPr>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5.具备法律、行政法规规定的其他条件的证明材料。</w:t>
      </w:r>
    </w:p>
    <w:p>
      <w:pPr>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采购项目有特殊要求的，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还应当提供其符合特殊要求的证明材料或者情况说明。</w:t>
      </w:r>
    </w:p>
    <w:p>
      <w:pPr>
        <w:ind w:firstLine="472" w:firstLineChars="196"/>
        <w:jc w:val="left"/>
        <w:rPr>
          <w:rFonts w:hint="eastAsia" w:ascii="宋体" w:hAnsi="宋体" w:eastAsia="宋体" w:cs="宋体"/>
          <w:b/>
          <w:sz w:val="24"/>
          <w:highlight w:val="none"/>
        </w:rPr>
      </w:pPr>
      <w:r>
        <w:rPr>
          <w:rFonts w:hint="eastAsia" w:ascii="宋体" w:hAnsi="宋体" w:eastAsia="宋体" w:cs="宋体"/>
          <w:b/>
          <w:sz w:val="24"/>
          <w:highlight w:val="none"/>
        </w:rPr>
        <w:t>（二）</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资格确认</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应具有招标文件规定的相应资格条件方能参与招投标活动，否则其投标行为视为无效。</w:t>
      </w:r>
    </w:p>
    <w:p>
      <w:pPr>
        <w:jc w:val="center"/>
        <w:outlineLvl w:val="1"/>
        <w:rPr>
          <w:rFonts w:hint="eastAsia" w:ascii="宋体" w:hAnsi="宋体" w:eastAsia="宋体" w:cs="宋体"/>
          <w:b/>
          <w:highlight w:val="none"/>
        </w:rPr>
      </w:pPr>
      <w:r>
        <w:rPr>
          <w:rFonts w:hint="eastAsia" w:ascii="宋体" w:hAnsi="宋体" w:eastAsia="宋体" w:cs="宋体"/>
          <w:b/>
          <w:highlight w:val="none"/>
        </w:rPr>
        <w:t>三、投标文件的编制</w:t>
      </w:r>
    </w:p>
    <w:p>
      <w:pPr>
        <w:ind w:firstLine="482" w:firstLineChars="200"/>
        <w:rPr>
          <w:rFonts w:hint="eastAsia" w:ascii="宋体" w:hAnsi="宋体" w:eastAsia="宋体" w:cs="宋体"/>
          <w:b/>
          <w:sz w:val="24"/>
          <w:highlight w:val="none"/>
        </w:rPr>
      </w:pPr>
      <w:r>
        <w:rPr>
          <w:rFonts w:hint="eastAsia" w:ascii="宋体" w:hAnsi="宋体" w:eastAsia="宋体" w:cs="宋体"/>
          <w:b/>
          <w:bCs/>
          <w:sz w:val="24"/>
          <w:szCs w:val="24"/>
          <w:highlight w:val="none"/>
        </w:rPr>
        <w:t>（一）</w:t>
      </w:r>
      <w:r>
        <w:rPr>
          <w:rFonts w:hint="eastAsia" w:ascii="宋体" w:hAnsi="宋体" w:eastAsia="宋体" w:cs="宋体"/>
          <w:b/>
          <w:sz w:val="24"/>
          <w:highlight w:val="none"/>
        </w:rPr>
        <w:t>投标的语言及计量单位</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1.投标文件以及</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所有与采购人及采购代理机构就投标来往的函电均使用中文。</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提供的外文资料应附有相应的中文译本，外文资料与中文译本不一致之处，以中文译本为准。</w:t>
      </w:r>
    </w:p>
    <w:p>
      <w:pPr>
        <w:pStyle w:val="52"/>
        <w:snapToGrid w:val="0"/>
        <w:spacing w:line="360" w:lineRule="auto"/>
        <w:ind w:firstLine="496" w:firstLineChars="207"/>
        <w:rPr>
          <w:rFonts w:hint="eastAsia" w:ascii="宋体" w:hAnsi="宋体" w:eastAsia="宋体" w:cs="宋体"/>
          <w:spacing w:val="10"/>
          <w:sz w:val="24"/>
          <w:szCs w:val="24"/>
          <w:highlight w:val="none"/>
        </w:rPr>
      </w:pPr>
      <w:r>
        <w:rPr>
          <w:rFonts w:hint="eastAsia" w:ascii="宋体" w:hAnsi="宋体" w:eastAsia="宋体" w:cs="宋体"/>
          <w:sz w:val="24"/>
          <w:highlight w:val="none"/>
        </w:rPr>
        <w:t>2.</w:t>
      </w:r>
      <w:r>
        <w:rPr>
          <w:rFonts w:hint="eastAsia" w:ascii="宋体" w:hAnsi="宋体" w:eastAsia="宋体" w:cs="宋体"/>
          <w:spacing w:val="10"/>
          <w:sz w:val="24"/>
          <w:szCs w:val="24"/>
          <w:highlight w:val="none"/>
        </w:rPr>
        <w:t>投标文件所使用的计量单位，必须使用国家法定计量单位。</w:t>
      </w:r>
    </w:p>
    <w:p>
      <w:pPr>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（二）投标文件的真实性</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应保证所提供的全部资料的真实性，并使其投标文件对应招标文件的要求做出实质性响应。</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（三）投标文件构成、式样和编写</w:t>
      </w:r>
    </w:p>
    <w:p>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应按本招标文件第五部分要求的投标文件格式和内容编写投标文件，并对其提交的投标文件的真实性、有效性、合法性承担法律责任。其所投相关参数必须是确定的，</w:t>
      </w:r>
      <w:r>
        <w:rPr>
          <w:rFonts w:hint="eastAsia" w:ascii="宋体" w:hAnsi="宋体" w:eastAsia="宋体" w:cs="宋体"/>
          <w:b/>
          <w:sz w:val="24"/>
          <w:szCs w:val="24"/>
          <w:highlight w:val="none"/>
        </w:rPr>
        <w:t>否则为无效投标。</w:t>
      </w:r>
    </w:p>
    <w:p>
      <w:pPr>
        <w:widowControl/>
        <w:spacing w:line="400" w:lineRule="atLeas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的投标文件必须使用中文编写。投标文件中可能涉及到的外文资料必须附有相应的中文译本，外文资料与中文译本不一致之处，以中文译本为准。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供应商</w:t>
      </w:r>
      <w:r>
        <w:rPr>
          <w:rFonts w:hint="eastAsia" w:ascii="宋体" w:hAnsi="宋体" w:eastAsia="宋体" w:cs="宋体"/>
          <w:bCs/>
          <w:color w:val="auto"/>
          <w:sz w:val="24"/>
          <w:highlight w:val="none"/>
          <w:lang w:val="en-US" w:eastAsia="zh-CN"/>
        </w:rPr>
        <w:t>将已下载的.TSZF格式招标文件导入河北省公共资源交易服务平台提供的响应文件制作工具（可在平台官网的【办事指南】-【下载中心】下载）进行投标文件的制作，制作完成后将加密的电子响应文件上传至河北省公共资源交易服务平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应使用编制工具编制投标文件。并使用数字证书（CA）对投标文件进行加密、签名。电子交易系统不接受潜在的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未按规定使用数字证书（CA）加密、签名的投标文件。潜在的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在递交投标文件截止时间前可以对投标文件进行补充、修改或者撤销。</w:t>
      </w:r>
      <w:r>
        <w:rPr>
          <w:rFonts w:hint="eastAsia" w:ascii="宋体" w:hAnsi="宋体" w:eastAsia="宋体" w:cs="宋体"/>
          <w:sz w:val="24"/>
          <w:highlight w:val="none"/>
        </w:rPr>
        <w:t>具体操作请参照河北省公共资源交易服务平台“办事指南”。</w:t>
      </w:r>
    </w:p>
    <w:p>
      <w:pPr>
        <w:numPr>
          <w:ilvl w:val="0"/>
          <w:numId w:val="4"/>
        </w:num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投标文件格式所要求包含的全部资料应全部制作在投标文件内，严格按照本项目招标文件所有格式如实填写（不涉及的内容除外），不应存在漏项或缺项，否则将存在投标文件被拒绝的风险。</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4.投标文件以外的任何资料采购人和采购机构将拒收。</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编辑电子投标文件时，根据文件要求用CA证书进行签章制作。最后一步生成电子投标文件时，只能用本单位的企业CA证书加密。并且设置密码，以便采取补救措施。</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（四）投标报价说明</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开标时，投标文件中开标一览表内容与投标文件中明细表内容不一致的，以开标一览表为准。</w:t>
      </w:r>
    </w:p>
    <w:p>
      <w:pPr>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  </w:t>
      </w:r>
    </w:p>
    <w:p>
      <w:pPr>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报价为总价报价，</w:t>
      </w:r>
      <w:r>
        <w:rPr>
          <w:rFonts w:hint="eastAsia" w:ascii="宋体" w:hAnsi="宋体" w:eastAsia="宋体" w:cs="宋体"/>
          <w:sz w:val="24"/>
          <w:highlight w:val="none"/>
          <w:lang w:val="zh-CN"/>
        </w:rPr>
        <w:t>报价必须为人民币。供应商总价中不得包含招标文件要求以外的内容，否则，在评审时不予核减。响应总价中也不得缺漏招标文件所要求的内容，否则，被视为包含响应报价中。</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（五）投标有效期</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投标有效期从提交投标文件的截止之日起60天(日历天)。投标文件中承诺的投标有效期应当不少于招标文件中载明的投标有效期。否则为不实质性投标，为无效投标。</w:t>
      </w:r>
    </w:p>
    <w:p>
      <w:pPr>
        <w:ind w:right="-1801" w:firstLine="480"/>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（六）投标保证金</w:t>
      </w:r>
    </w:p>
    <w:p>
      <w:pPr>
        <w:ind w:left="2" w:firstLine="480" w:firstLineChars="200"/>
        <w:rPr>
          <w:rFonts w:hint="eastAsia" w:ascii="宋体" w:hAnsi="宋体" w:eastAsia="宋体" w:cs="宋体"/>
          <w:highlight w:val="none"/>
        </w:rPr>
      </w:pPr>
      <w:r>
        <w:rPr>
          <w:rFonts w:hint="eastAsia" w:ascii="宋体" w:hAnsi="宋体" w:eastAsia="宋体" w:cs="宋体"/>
          <w:bCs/>
          <w:sz w:val="24"/>
          <w:szCs w:val="24"/>
          <w:highlight w:val="none"/>
        </w:rPr>
        <w:t>保证金金额：0元，本项目无需缴纳投标保证金</w:t>
      </w:r>
    </w:p>
    <w:p>
      <w:pPr>
        <w:jc w:val="center"/>
        <w:outlineLvl w:val="1"/>
        <w:rPr>
          <w:rFonts w:hint="eastAsia" w:ascii="宋体" w:hAnsi="宋体" w:eastAsia="宋体" w:cs="宋体"/>
          <w:b/>
          <w:bCs/>
          <w:sz w:val="24"/>
          <w:szCs w:val="24"/>
          <w:highlight w:val="none"/>
        </w:rPr>
      </w:pPr>
      <w:r>
        <w:rPr>
          <w:rFonts w:hint="eastAsia" w:ascii="宋体" w:hAnsi="宋体" w:eastAsia="宋体" w:cs="宋体"/>
          <w:b/>
          <w:highlight w:val="none"/>
        </w:rPr>
        <w:t>四、投标文件的递交</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（一）电子投标文件的递交</w:t>
      </w:r>
    </w:p>
    <w:p>
      <w:pPr>
        <w:widowControl/>
        <w:spacing w:line="400" w:lineRule="atLeast"/>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电子投标文件递交：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应在投标截止时间前在</w:t>
      </w:r>
      <w:r>
        <w:rPr>
          <w:rFonts w:hint="eastAsia" w:ascii="宋体" w:hAnsi="宋体" w:eastAsia="宋体" w:cs="宋体"/>
          <w:sz w:val="24"/>
          <w:highlight w:val="none"/>
          <w:lang w:eastAsia="zh-CN"/>
        </w:rPr>
        <w:t>河北省公共资源交易服务平台</w:t>
      </w:r>
      <w:r>
        <w:rPr>
          <w:rFonts w:hint="eastAsia" w:ascii="宋体" w:hAnsi="宋体" w:eastAsia="宋体" w:cs="宋体"/>
          <w:sz w:val="24"/>
          <w:highlight w:val="none"/>
        </w:rPr>
        <w:t>递交电子投标文件。在线递交电子投标文件前，</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应当使用投标客户端及CA为投标文件加密。未按规定时间和方式提交电子文件，因</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的原因导致电子投标文件不能打开的，采购代理机构不予受理。</w:t>
      </w:r>
    </w:p>
    <w:p>
      <w:pPr>
        <w:widowControl/>
        <w:spacing w:line="400" w:lineRule="atLeast"/>
        <w:ind w:firstLine="420"/>
        <w:rPr>
          <w:rFonts w:hint="eastAsia" w:ascii="宋体" w:hAnsi="宋体" w:eastAsia="宋体" w:cs="宋体"/>
          <w:sz w:val="24"/>
          <w:highlight w:val="none"/>
        </w:rPr>
      </w:pPr>
      <w:r>
        <w:rPr>
          <w:rFonts w:hint="eastAsia" w:ascii="宋体" w:hAnsi="宋体" w:eastAsia="宋体" w:cs="宋体"/>
          <w:sz w:val="24"/>
          <w:highlight w:val="none"/>
        </w:rPr>
        <w:t>2.逾期上传的或者未上传到指定地点的投标文件，采购代理机构不予受理。</w:t>
      </w:r>
    </w:p>
    <w:p>
      <w:pPr>
        <w:widowControl/>
        <w:spacing w:line="400" w:lineRule="atLeast"/>
        <w:ind w:firstLine="420"/>
        <w:rPr>
          <w:rFonts w:hint="eastAsia" w:ascii="宋体" w:hAnsi="宋体" w:eastAsia="宋体" w:cs="宋体"/>
          <w:sz w:val="24"/>
          <w:highlight w:val="none"/>
        </w:rPr>
      </w:pPr>
      <w:r>
        <w:rPr>
          <w:rFonts w:hint="eastAsia" w:ascii="宋体" w:hAnsi="宋体" w:eastAsia="宋体" w:cs="宋体"/>
          <w:sz w:val="24"/>
          <w:highlight w:val="none"/>
        </w:rPr>
        <w:t xml:space="preserve">3. </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投标文件解密时间规定为30分钟，</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需使用CA锁在规定时间内自行完成解密，解密结束后对开标记录进行确认，因</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原因造成投标文件未在规定时间解密的，视为无效投标文件。</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4.采购代理机构对因不可抗力事件造成的投标文件的损坏、丢失的，不承担责任。</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在交易系统上传电子投标文件的同时，应保证投标文件中不含病毒或者其他恶意程序。</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6.下列情形视为投标文件未递交：</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6.1.至递交投标文件截止时，投标文件未完整上传并保存的。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6.2.投标文件损坏或格式不正确的。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6.3.未使用最新发布的招标文件制作投标文件的。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6.4.如因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丢失、损坏 CA 数字证书等自身原因造成投标文件不能在规定时间内成功解密的，因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原因造成投标文件无法导入或无法完整导入电子开标系统的。其后果由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（二）有下列情形之一的，导致系统无法正常运行，或者无法保证招投标过程的公平、公正和信息安全时，经政府采购（或公共资源）管理部门批准，应暂停或终止电子化政府采购活动： </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1.因互联网中断、停电、病毒入侵、不可抗力等非可控因素，导致交易系统不能正常运行的。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2.服务器等硬件设备发生故障无法访问网站或无法使用交易系统的。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3.交易系统软件或数据库出现错误，不能进行正常操作的。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4.交易系统出现安全漏洞导致泄密的。</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5.有关法律、法规规定的其他情形。</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若出现上述情形而又不能及时解决的，经政府采购（或公共资源）管理部门批准，采取以下处理办法：</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1.宣布项目暂停，并通知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，待交易系统或网络故障排除后，重新恢复暂停的项目。</w:t>
      </w:r>
    </w:p>
    <w:p>
      <w:pPr>
        <w:ind w:right="-2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2.宣布终止该项目在网上政府采购系统中的运行程序，并通知采购人重新组织招标。</w:t>
      </w:r>
    </w:p>
    <w:p>
      <w:pPr>
        <w:jc w:val="center"/>
        <w:outlineLvl w:val="1"/>
        <w:rPr>
          <w:rFonts w:hint="eastAsia" w:ascii="宋体" w:hAnsi="宋体" w:eastAsia="宋体" w:cs="宋体"/>
          <w:b/>
          <w:highlight w:val="none"/>
        </w:rPr>
      </w:pPr>
      <w:r>
        <w:rPr>
          <w:rFonts w:hint="eastAsia" w:ascii="宋体" w:hAnsi="宋体" w:eastAsia="宋体" w:cs="宋体"/>
          <w:b/>
          <w:highlight w:val="none"/>
        </w:rPr>
        <w:t>五、开标与评标</w:t>
      </w:r>
    </w:p>
    <w:p>
      <w:pPr>
        <w:ind w:right="-1"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（一）开标时间、地点</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采购代理机构按“</w:t>
      </w:r>
      <w:r>
        <w:rPr>
          <w:rFonts w:hint="eastAsia" w:ascii="宋体" w:hAnsi="宋体" w:eastAsia="宋体" w:cs="宋体"/>
          <w:b/>
          <w:bCs/>
          <w:sz w:val="24"/>
          <w:szCs w:val="24"/>
          <w:highlight w:val="none"/>
          <w:lang w:eastAsia="zh-CN"/>
        </w:rPr>
        <w:t>招标公告</w:t>
      </w:r>
      <w:r>
        <w:rPr>
          <w:rFonts w:hint="eastAsia" w:ascii="宋体" w:hAnsi="宋体" w:eastAsia="宋体" w:cs="宋体"/>
          <w:b/>
          <w:bCs/>
          <w:sz w:val="24"/>
          <w:szCs w:val="24"/>
          <w:highlight w:val="none"/>
        </w:rPr>
        <w:t>”中规定的时间和地点，组织公开开标大会，</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线上开标，无需到达开标现场。</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（二）开标</w:t>
      </w:r>
    </w:p>
    <w:p>
      <w:pPr>
        <w:widowControl/>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需在开标时间以</w:t>
      </w:r>
      <w:r>
        <w:rPr>
          <w:rFonts w:hint="eastAsia" w:ascii="宋体" w:hAnsi="宋体" w:eastAsia="宋体" w:cs="宋体"/>
          <w:sz w:val="24"/>
          <w:highlight w:val="none"/>
          <w:lang w:val="en-US" w:eastAsia="zh-CN"/>
        </w:rPr>
        <w:t>前</w:t>
      </w:r>
      <w:r>
        <w:rPr>
          <w:rFonts w:hint="eastAsia" w:ascii="宋体" w:hAnsi="宋体" w:eastAsia="宋体" w:cs="宋体"/>
          <w:sz w:val="24"/>
          <w:highlight w:val="none"/>
        </w:rPr>
        <w:t>，登录</w:t>
      </w:r>
      <w:r>
        <w:rPr>
          <w:rFonts w:hint="eastAsia" w:ascii="宋体" w:hAnsi="宋体" w:eastAsia="宋体" w:cs="宋体"/>
          <w:sz w:val="24"/>
          <w:highlight w:val="none"/>
          <w:lang w:val="en-US" w:eastAsia="zh-CN"/>
        </w:rPr>
        <w:t>唐山市不见面开标大厅</w:t>
      </w:r>
      <w:r>
        <w:rPr>
          <w:rFonts w:hint="eastAsia" w:ascii="宋体" w:hAnsi="宋体" w:eastAsia="宋体" w:cs="宋体"/>
          <w:sz w:val="24"/>
          <w:highlight w:val="none"/>
        </w:rPr>
        <w:t>，解密截止时间以前使用CA完成对其递交的电子投标文件的电子解密。</w:t>
      </w:r>
    </w:p>
    <w:p>
      <w:pPr>
        <w:widowControl/>
        <w:ind w:firstLine="420"/>
        <w:jc w:val="left"/>
        <w:rPr>
          <w:rFonts w:hint="eastAsia" w:ascii="宋体" w:hAnsi="宋体" w:eastAsia="宋体" w:cs="宋体"/>
          <w:sz w:val="24"/>
          <w:highlight w:val="none"/>
        </w:rPr>
      </w:pPr>
      <w:r>
        <w:rPr>
          <w:rFonts w:hint="eastAsia" w:ascii="宋体" w:hAnsi="宋体" w:eastAsia="宋体" w:cs="宋体"/>
          <w:sz w:val="24"/>
          <w:highlight w:val="none"/>
        </w:rPr>
        <w:t>开标程序：</w:t>
      </w:r>
    </w:p>
    <w:p>
      <w:pPr>
        <w:widowControl/>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需在解密截止时间之前进入唐山市不见面开标大厅”，解密截止时间以前使用CA完成对其递交的电子投标文件的电子解密；</w:t>
      </w:r>
    </w:p>
    <w:p>
      <w:pPr>
        <w:widowControl/>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招标代理机构人员对</w:t>
      </w:r>
      <w:r>
        <w:rPr>
          <w:rFonts w:hint="eastAsia" w:ascii="宋体" w:hAnsi="宋体" w:eastAsia="宋体" w:cs="宋体"/>
          <w:sz w:val="24"/>
          <w:highlight w:val="none"/>
        </w:rPr>
        <w:t>电子投标文件</w:t>
      </w:r>
      <w:r>
        <w:rPr>
          <w:rFonts w:hint="eastAsia" w:ascii="宋体" w:hAnsi="宋体" w:eastAsia="宋体" w:cs="宋体"/>
          <w:sz w:val="24"/>
          <w:highlight w:val="none"/>
          <w:lang w:val="en-US" w:eastAsia="zh-CN"/>
        </w:rPr>
        <w:t>进行二次解密</w:t>
      </w:r>
      <w:r>
        <w:rPr>
          <w:rFonts w:hint="eastAsia" w:ascii="宋体" w:hAnsi="宋体" w:eastAsia="宋体" w:cs="宋体"/>
          <w:sz w:val="24"/>
          <w:highlight w:val="none"/>
        </w:rPr>
        <w:t>；</w:t>
      </w:r>
    </w:p>
    <w:p>
      <w:pPr>
        <w:widowControl/>
        <w:ind w:firstLine="240" w:firstLineChars="100"/>
        <w:jc w:val="left"/>
        <w:rPr>
          <w:rFonts w:hint="eastAsia" w:ascii="宋体" w:hAnsi="宋体" w:eastAsia="宋体" w:cs="宋体"/>
          <w:sz w:val="24"/>
          <w:highlight w:val="none"/>
        </w:rPr>
      </w:pPr>
      <w:r>
        <w:rPr>
          <w:rFonts w:hint="eastAsia" w:ascii="宋体" w:hAnsi="宋体" w:eastAsia="宋体" w:cs="宋体"/>
          <w:sz w:val="24"/>
          <w:highlight w:val="none"/>
        </w:rPr>
        <w:t>（3）开标会议结束。</w:t>
      </w:r>
      <w:r>
        <w:rPr>
          <w:rFonts w:hint="eastAsia" w:ascii="宋体" w:hAnsi="宋体" w:eastAsia="宋体" w:cs="宋体"/>
          <w:sz w:val="24"/>
          <w:szCs w:val="24"/>
          <w:highlight w:val="none"/>
        </w:rPr>
        <w:t xml:space="preserve"> </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2.开标应当在招标文件确定的提交投标文件截止时间的同一时间公开进行。采购人或者采购代理机构应当对开标、评标现场活动进行全程录音录像。录音录像应当清晰可辨，音像资料作为采购文件一并存档。</w:t>
      </w:r>
    </w:p>
    <w:p>
      <w:pPr>
        <w:widowControl/>
        <w:ind w:firstLine="240" w:firstLineChars="100"/>
        <w:jc w:val="left"/>
        <w:rPr>
          <w:rFonts w:hint="eastAsia" w:ascii="宋体" w:hAnsi="宋体" w:eastAsia="宋体" w:cs="宋体"/>
          <w:sz w:val="24"/>
          <w:highlight w:val="none"/>
        </w:rPr>
      </w:pPr>
      <w:r>
        <w:rPr>
          <w:rFonts w:hint="eastAsia" w:ascii="宋体" w:hAnsi="宋体" w:eastAsia="宋体" w:cs="宋体"/>
          <w:sz w:val="24"/>
          <w:szCs w:val="24"/>
          <w:highlight w:val="none"/>
        </w:rPr>
        <w:t>3．</w:t>
      </w:r>
      <w:r>
        <w:rPr>
          <w:rFonts w:hint="eastAsia" w:ascii="宋体" w:hAnsi="宋体" w:eastAsia="宋体" w:cs="宋体"/>
          <w:sz w:val="24"/>
          <w:highlight w:val="none"/>
        </w:rPr>
        <w:t>因</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自身原因造成电子投标文件不能在规定时间内解密且采取补救措施仍无法正常开启的，则视其投标文件为无效投标文件。</w:t>
      </w:r>
    </w:p>
    <w:p>
      <w:pPr>
        <w:widowControl/>
        <w:jc w:val="left"/>
        <w:rPr>
          <w:rFonts w:hint="eastAsia" w:ascii="宋体" w:hAnsi="宋体" w:eastAsia="宋体" w:cs="宋体"/>
          <w:sz w:val="24"/>
          <w:highlight w:val="none"/>
        </w:rPr>
      </w:pPr>
      <w:r>
        <w:rPr>
          <w:rFonts w:hint="eastAsia" w:ascii="宋体" w:hAnsi="宋体" w:eastAsia="宋体" w:cs="宋体"/>
          <w:sz w:val="24"/>
          <w:highlight w:val="none"/>
        </w:rPr>
        <w:t>补救措施：</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无法使用CA数字证书解密投标文件时，可以通过</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代理启用“密码解密”功能，启用后，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可通过之前设置的密码解密投标文件。</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不足3家的，不得开标。</w:t>
      </w:r>
    </w:p>
    <w:p>
      <w:pPr>
        <w:ind w:right="-1"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（三）评标委员会</w:t>
      </w:r>
    </w:p>
    <w:p>
      <w:pPr>
        <w:ind w:right="-1801" w:firstLine="57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1.组成</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评标委员会由采购人代表和评审专家组成，成员人数应为5人，其中评审专家不得少于成员总数的三分之二。</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评审专家对本单位的采购项目只能作为采购人代表参与评标，财政部第87号令第四十八条第二款规定情形除外。采购代理机构工作人员不得参加由本机构代理的政府采购项目的评标。</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评标委员会成员名单在评标结果公告前应当保密。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采购人代表需要出具授权函授权参加评标。</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2.评标委员会负责具体评标事务，并独立履行下列职责</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2.1审查、评价投标文件是否符合招标文件的商务、技术等实质性要求。</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对投标文件有关事项作出澄清或者说明。</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2.3对投标文件进行比较和评价。</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2.4确定中标候选人名单，以及根据采购人委托直接确定</w:t>
      </w:r>
      <w:r>
        <w:rPr>
          <w:rFonts w:hint="eastAsia" w:ascii="宋体" w:hAnsi="宋体" w:eastAsia="宋体" w:cs="宋体"/>
          <w:bCs/>
          <w:sz w:val="24"/>
          <w:szCs w:val="24"/>
          <w:highlight w:val="none"/>
          <w:lang w:val="en-US" w:eastAsia="zh-CN"/>
        </w:rPr>
        <w:t>中标供应商</w:t>
      </w:r>
      <w:r>
        <w:rPr>
          <w:rFonts w:hint="eastAsia" w:ascii="宋体" w:hAnsi="宋体" w:eastAsia="宋体" w:cs="宋体"/>
          <w:sz w:val="24"/>
          <w:szCs w:val="24"/>
          <w:highlight w:val="none"/>
        </w:rPr>
        <w:t>。</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2.5向采购人、采购代理机构或者有关部门报告评标中发现的违法行为。</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3、专家回避及相关情况处理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评标中因评标委员会成员缺席、回避或者健康等特殊原因导致评标委员会组成不符合财政部第87号令规定的，采购人或者政府采购代理机构应当依法补足后继续评标。被更换的评标委员会成员所作出的评标意见无效。</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3.2无法及时补足评标委员会成员的，采购人或者采购代理机构应当停止评标活动，封存所有投标文件和开标、评标资料，依法重新组建评标委员会进行评标。原评标委员会所作出的评标意见无效。</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3.3采购人或者采购代理机构应当将变更、重新组建评标委员会的情况予以记录，并随采购文件一并存档。</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（四）评审组织工作</w:t>
      </w:r>
    </w:p>
    <w:p>
      <w:pPr>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采购人或者采购代理机构负责组织评标工作，并履行下列职责：</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1.核对评审专家身份和采购人代表授权函，对评审专家在政府采购活动中的职责履行情况予以记录，并及时将有关违法违规行为向财政部门报告。</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2.宣布评标纪律。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3.公布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名单，告知评审专家应当回避的情形。</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4.组织评标委员会推选评标组长，采购人代表不得担任组长。</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5.在评标期间采取必要的通讯管理措施，保证评标活动不受外界干扰。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6.根据评标委员会的要求介绍政府采购相关政策法规、招标文件。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7.维护评标秩序，监督评标委员会依照招标文件规定的评标程序、方法和标准进行独立评审，及时制止和纠正采购人代表、评审专家的倾向性言论或者违法违规行为。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8.核对评标结果，有财政部第87号令第六十四条规定情形的，要求评标委员会复核或者书面说明理由，评标委员会拒绝的，应予记录并向本级财政部门报告。</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9.评审工作完成后，按照规定向评审专家支付劳务报酬和异地评审差旅费，不得向评审专家以外的其他人员支付评审劳务报酬。</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10.处理与评标有关的其他事项。</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采购人可以在评标前说明项目背景和采购需求，说明内容不得含有歧视性、倾向性意见，不得超出招标文件所述范围。说明应当提交书面材料，并随采购文件一并存档。</w:t>
      </w:r>
    </w:p>
    <w:p>
      <w:pPr>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（五）评标委员会及其成员不得有下列行为：</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1.确定参与评标至评标结束前私自接触</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提出的与投标文件不一致的澄清或者说明，财政部第87号令第五十一条规定的情形除外。</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5.在评标过程中擅离职守，影响评标程序正常进行的。</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6.记录、复制或者带走任何评标资料。</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7.其他不遵守评标纪律的行为。</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评标委员会成员有前款第一至五项行为之一的，其评审意见无效，并不得获取评审劳务报酬和报销异地评审差旅费。</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（六）评标</w:t>
      </w:r>
      <w:r>
        <w:rPr>
          <w:rFonts w:hint="eastAsia" w:ascii="宋体" w:hAnsi="宋体" w:eastAsia="宋体" w:cs="宋体"/>
          <w:b/>
          <w:sz w:val="24"/>
          <w:szCs w:val="24"/>
          <w:highlight w:val="none"/>
        </w:rPr>
        <w:t>工作</w:t>
      </w:r>
      <w:r>
        <w:rPr>
          <w:rFonts w:hint="eastAsia" w:ascii="宋体" w:hAnsi="宋体" w:eastAsia="宋体" w:cs="宋体"/>
          <w:b/>
          <w:bCs/>
          <w:sz w:val="24"/>
          <w:szCs w:val="24"/>
          <w:highlight w:val="none"/>
        </w:rPr>
        <w:t>程序及说明</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公开招标采购项目开标结束后，采购人应当依法对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的资格进行审查。</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不足3家的，不得评标。</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评标委员会应当对符合资格的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的投标文件进行符合性审查，以确定其是否满足招标文件的实质性要求。</w:t>
      </w:r>
    </w:p>
    <w:p>
      <w:pPr>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评标委员会</w:t>
      </w:r>
      <w:r>
        <w:rPr>
          <w:rFonts w:hint="eastAsia" w:ascii="宋体" w:hAnsi="宋体" w:eastAsia="宋体" w:cs="宋体"/>
          <w:sz w:val="24"/>
          <w:szCs w:val="24"/>
          <w:highlight w:val="none"/>
          <w:lang w:val="en-GB"/>
        </w:rPr>
        <w:t>仅依赖于</w:t>
      </w:r>
      <w:r>
        <w:rPr>
          <w:rFonts w:hint="eastAsia" w:ascii="宋体" w:hAnsi="宋体" w:eastAsia="宋体" w:cs="宋体"/>
          <w:sz w:val="24"/>
          <w:szCs w:val="24"/>
          <w:highlight w:val="none"/>
          <w:lang w:val="en-GB" w:eastAsia="zh-CN"/>
        </w:rPr>
        <w:t>供应商</w:t>
      </w:r>
      <w:r>
        <w:rPr>
          <w:rFonts w:hint="eastAsia" w:ascii="宋体" w:hAnsi="宋体" w:eastAsia="宋体" w:cs="宋体"/>
          <w:sz w:val="24"/>
          <w:szCs w:val="24"/>
          <w:highlight w:val="none"/>
          <w:lang w:val="en-GB"/>
        </w:rPr>
        <w:t>最基本的商业诚信和所递交投标文件的真实表述，不额外主动寻求外部证据，不受与本项目无直接关联的外部信息、传言而影响自身的专业判断。</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对于投标文件中含义不明确、同类问题表述不一致或者有明显文字和计算错误的内容，评标委员会应当通过</w:t>
      </w:r>
      <w:r>
        <w:rPr>
          <w:rFonts w:hint="eastAsia" w:ascii="宋体" w:hAnsi="宋体" w:eastAsia="宋体" w:cs="宋体"/>
          <w:sz w:val="24"/>
          <w:szCs w:val="24"/>
          <w:highlight w:val="none"/>
          <w:lang w:eastAsia="zh-CN"/>
        </w:rPr>
        <w:t>河北省公共资源交易服务平台</w:t>
      </w:r>
      <w:r>
        <w:rPr>
          <w:rFonts w:hint="eastAsia" w:ascii="宋体" w:hAnsi="宋体" w:eastAsia="宋体" w:cs="宋体"/>
          <w:sz w:val="24"/>
          <w:szCs w:val="24"/>
          <w:highlight w:val="none"/>
        </w:rPr>
        <w:t>澄清端口形式要求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作出必要的澄清、说明或者补正。</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在开标、评标期间应全程关注</w:t>
      </w:r>
      <w:r>
        <w:rPr>
          <w:rFonts w:hint="eastAsia" w:ascii="宋体" w:hAnsi="宋体" w:eastAsia="宋体" w:cs="宋体"/>
          <w:sz w:val="24"/>
          <w:szCs w:val="24"/>
          <w:highlight w:val="none"/>
          <w:lang w:eastAsia="zh-CN"/>
        </w:rPr>
        <w:t>河北省公共资源交易服务平台</w:t>
      </w:r>
      <w:r>
        <w:rPr>
          <w:rFonts w:hint="eastAsia" w:ascii="宋体" w:hAnsi="宋体" w:eastAsia="宋体" w:cs="宋体"/>
          <w:sz w:val="24"/>
          <w:szCs w:val="24"/>
          <w:highlight w:val="none"/>
        </w:rPr>
        <w:t>，及时回复评标委员会在线提问，并在评标委员会规定时间内予以正确回应。规定时间内未做出相应正确回应，视为认同评审结果。</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w:t>
      </w:r>
      <w:r>
        <w:rPr>
          <w:rFonts w:hint="eastAsia" w:ascii="宋体" w:hAnsi="宋体" w:eastAsia="宋体" w:cs="宋体"/>
          <w:sz w:val="24"/>
          <w:szCs w:val="24"/>
          <w:highlight w:val="none"/>
          <w:lang w:val="en-US" w:eastAsia="zh-CN"/>
        </w:rPr>
        <w:t>以平台规定的形式提出</w:t>
      </w:r>
      <w:r>
        <w:rPr>
          <w:rFonts w:hint="eastAsia" w:ascii="宋体" w:hAnsi="宋体" w:eastAsia="宋体" w:cs="宋体"/>
          <w:sz w:val="24"/>
          <w:szCs w:val="24"/>
          <w:highlight w:val="none"/>
        </w:rPr>
        <w:t>，并加盖电子签章。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的澄清、说明或者补正不得超出投标文件的范围或者改变投标文件的实质性内容。</w:t>
      </w:r>
    </w:p>
    <w:p>
      <w:pPr>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评标委员会应当按照招标文件中规定的评标方法和标准，对符合性审查合格的投标文件进行商务和技术评估，综合比较与评价。</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评标委员会认为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的报价明显低于其他通过符合性审查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的报价，有可能影响产品质量或者不能诚信履约的，应当要求其在评标合理的时间内通过</w:t>
      </w:r>
      <w:r>
        <w:rPr>
          <w:rFonts w:hint="eastAsia" w:ascii="宋体" w:hAnsi="宋体" w:eastAsia="宋体" w:cs="宋体"/>
          <w:sz w:val="24"/>
          <w:szCs w:val="24"/>
          <w:highlight w:val="none"/>
          <w:lang w:eastAsia="zh-CN"/>
        </w:rPr>
        <w:t>河北省公共资源交易服务平台</w:t>
      </w:r>
      <w:r>
        <w:rPr>
          <w:rFonts w:hint="eastAsia" w:ascii="宋体" w:hAnsi="宋体" w:eastAsia="宋体" w:cs="宋体"/>
          <w:sz w:val="24"/>
          <w:szCs w:val="24"/>
          <w:highlight w:val="none"/>
        </w:rPr>
        <w:t>说明。必要时提交相关证明材料。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不能证明其报价合理性的，评标委员会应当将其作为无效投标处理。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评标结果汇总完成后，除下列情形外，任何人不得修改评标结果：</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A分值汇总计算错误的。</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B分项评分超出评分标准范围的。</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C评标委员会成员对客观评审因素评分不一致的。</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D经评标委员会认定评分畸高、畸低的。</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对本条第一款（分值汇总计算错误的）情形提出质疑的，采购人或者采购代理机构可以组织原评标委员会进行重新评审，重新评审改变评标结果的，应当书面报告本级财政部门。</w:t>
      </w:r>
    </w:p>
    <w:p>
      <w:pPr>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本次招标采用综合评分法。</w:t>
      </w:r>
      <w:r>
        <w:rPr>
          <w:rFonts w:hint="eastAsia" w:ascii="宋体" w:hAnsi="宋体" w:eastAsia="宋体" w:cs="宋体"/>
          <w:sz w:val="24"/>
          <w:szCs w:val="24"/>
          <w:highlight w:val="none"/>
        </w:rPr>
        <w:t>是指投标文件满足招标文件全部实质性要求，且按照评审因素的量化指标评审得分最高的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为中标候选人的评标方法。</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为排名第一的中标候选人。</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(七)评标委员会根据全体评标成员签字的原始评标记录和评标结果编写评标报告。评标报告应当包括以下内容</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1.招标公告刊登的媒体名称、开标日期和地点。</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名单和评标委员会成员名单。</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3.评标方法和标准。</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4.开标记录和评标情况及说明，包括无效</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名单及原因。</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5.评标结果，确定的中标候选人名单或者经采购人委托直接确定的中标供应商。</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6.其他需要说明的情况，包括评标过程中</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根据评标委员会要求进行的澄清、说明或者补正，评标委员会成员的更换等。</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(八)报价修正</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投标文件报价出现前后不一致的，除招标文件另有规定外，按照下列规定修正：</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1.投标文件中开标一览表（报价表）内容与投标文件中相应内容不一致的，以开标一览表（报价表）为准。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5.同时出现两种以上不一致的，按照前款规定的顺序修正。修正后的报价按照财政部第87号令第五十一条第二款的规定经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确认后产生约束力，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不确认的，其投标无效。</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（九）废标及无效投标</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1.在招标采购中，出现下列情形之一的，应予废标：</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1.1符合专业条件的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或者对招标文件作实质响应的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不足三家的。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1.2出现影响采购公正的违法、违规行为的。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的报价均超过了采购预算，采购人不能支付的。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1.4因重大变故，采购任务取消的。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废标后，采购人应当将废标理由通知所有</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存在下列情况之一的，投标无效:</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2.1投标文件未按招标文件要求签署、盖章的。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2.2不具备招标文件中规定的资格要求的。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2.3报价超过招标文件中规定的预算金额或者最高限价的。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2.4投标文件含有采购人不能接受的附加条件的;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2.5法律、法规和招标文件规定的其他无效情形。</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（十）重新组织采购及保密</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2.评标委员会或者其成员存在下列情形导致评标结果无效的，采购人、采购代理机构可以重新组建评标委员会进行评标，并书面报告本级财政部门，但采购合同已经履行的除外：</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2.1评标委员会组成不符合财政部第87号令规定的。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2.2有财政部第87号令第六十二条第一至五项情形的。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2.3评标委员会及其成员独立评标受到非法干预的。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2.4有政府采购法实施条例第七十五条规定的违法行为的。</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有违法违规行为的原评标委员会成员不得参加重新组建的评标委员会。</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3.采购人、采购代理机构应当采取必要措施，保证评标在严格保密的情况下进行。除采购人代表、评标现场组织人员外，采购人的其他工作人员以及与评标工作无关的人员不得进入评标现场。</w:t>
      </w:r>
    </w:p>
    <w:p>
      <w:pPr>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有关人员对评标情况以及在评标过程中获悉的国家秘密、商业秘密负有保密责任。</w:t>
      </w:r>
    </w:p>
    <w:p>
      <w:pPr>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（十一）询问、质疑答复</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对政府采购活动事项有疑问的，可以通过</w:t>
      </w:r>
      <w:r>
        <w:rPr>
          <w:rFonts w:hint="eastAsia" w:ascii="宋体" w:hAnsi="宋体" w:eastAsia="宋体" w:cs="宋体"/>
          <w:sz w:val="24"/>
          <w:szCs w:val="24"/>
          <w:highlight w:val="none"/>
          <w:lang w:eastAsia="zh-CN"/>
        </w:rPr>
        <w:t>河北省公共资源交易服务平台</w:t>
      </w:r>
      <w:r>
        <w:rPr>
          <w:rFonts w:hint="eastAsia" w:ascii="宋体" w:hAnsi="宋体" w:eastAsia="宋体" w:cs="宋体"/>
          <w:sz w:val="24"/>
          <w:szCs w:val="24"/>
          <w:highlight w:val="none"/>
        </w:rPr>
        <w:t>向采购人提出询问，采购人应当及时作出答复，但答复的内容不得涉及商业秘密。</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采购人或者采购代理机构应当在3个工作日内对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依法提出的询问作出答复。</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2.提出质疑的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应当是参与所质疑项目采购活动的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在法定质疑期内一次性提出针对同一采购环节的质疑。</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采购人负责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质疑的答复。采购代理机构在授权范围内做出答复。</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质疑时，按中华人民共和国财政部令第94号《政府采购质疑和投诉办法》文件执行。</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3.政府采购法第五十二条规定的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应知其权益受到损害之日，是指：</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①对可以质疑的采购文件提出质疑的，为收到采购文件之日或者采购文件公告期限届满之日。</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②对采购过程提出质疑的，为各采购程序环节结束之日。</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③对中标结果提出质疑的，为中标结果公告期限届满之日。</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（十二）电子评标的应急措施</w:t>
      </w:r>
    </w:p>
    <w:p>
      <w:pPr>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1.开标结束后，因交易系统出现故障无法评标时，经政府采购（或公共资源）管理部门确认后，暂停评标活动，等待故障排除后继续评标。如故障无法排除，由交易中心报政府采购（或公共资源）管理部门作出处理。</w:t>
      </w:r>
    </w:p>
    <w:p>
      <w:pPr>
        <w:ind w:firstLine="480" w:firstLineChars="200"/>
        <w:rPr>
          <w:rFonts w:hint="eastAsia" w:ascii="宋体" w:hAnsi="宋体" w:eastAsia="宋体" w:cs="宋体"/>
          <w:b/>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GB"/>
        </w:rPr>
        <w:t>采取应急措施时，必须对原有资料及信息作出妥善保密处理。</w:t>
      </w:r>
    </w:p>
    <w:p>
      <w:pPr>
        <w:jc w:val="center"/>
        <w:outlineLvl w:val="1"/>
        <w:rPr>
          <w:rFonts w:hint="eastAsia" w:ascii="宋体" w:hAnsi="宋体" w:eastAsia="宋体" w:cs="宋体"/>
          <w:b/>
          <w:highlight w:val="none"/>
        </w:rPr>
      </w:pPr>
      <w:r>
        <w:rPr>
          <w:rFonts w:hint="eastAsia" w:ascii="宋体" w:hAnsi="宋体" w:eastAsia="宋体" w:cs="宋体"/>
          <w:b/>
          <w:highlight w:val="none"/>
        </w:rPr>
        <w:t>六、中标和合同</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（一）中标</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1.采购代理机构应当在评标结束后2个工作日内将评标报告送采购人。</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采购人应当自收到评标报告之日起５个工作日内，在评标报告确定的中标候选人名单中按顺序确定</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。中标候选人并列的，由采购人或者采购人委托评标委员会按照招标文件规定的方式确定</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。招标文件未规定的，采取随机抽取的方式确定。</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2.采购人在收到评标报告5个工作日内未按评标报告推荐的中标候选人顺序确定</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，又不能说明合法理由的，视同按评标报告推荐的顺序确定排名第一的中标候选人为</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3.采购人和采购代理机构完成评审专家履职评价完成后，采购人或者采购代理机构应当自</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确定之日起2个工作日内，在省级以上财政部门指定的媒体上公告中标结果，招标文件应当随中标结果同时公告。</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中标结果公告内容应当包括采购人及其委托的采购代理机构的名称、地址、联系方式，项目名称和项目编号，</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名称、地址和中标金额，主要中标标的的名称、规格型号、数量、单价、服务要求，中标公告期限以及评审专家名单。</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中标公告期限为1个工作日。</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在公告中标结果的同时，采购人或者采购代理机构应当向</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发出中标通知书。对未通过资格审查的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，应当告知其未通过的原因。采用综合评分法评审的，还应当告知未</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本人的评审得分与排序。</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中标通知书发出后，采购人不得违法改变中标结果，</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无正当理由不得放弃中标。</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（二）合同</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采购人应当自中标通知书发出之日起30日内，按照招标文件和</w:t>
      </w:r>
      <w:r>
        <w:rPr>
          <w:rFonts w:hint="eastAsia" w:ascii="宋体" w:hAnsi="宋体" w:eastAsia="宋体" w:cs="宋体"/>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投标文件的规定，与</w:t>
      </w:r>
      <w:r>
        <w:rPr>
          <w:rFonts w:hint="eastAsia" w:ascii="宋体" w:hAnsi="宋体" w:eastAsia="宋体" w:cs="宋体"/>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签订书面合同。签合同的同时中标</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需向</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color w:val="000000" w:themeColor="text1"/>
          <w:sz w:val="24"/>
          <w:szCs w:val="24"/>
          <w:highlight w:val="none"/>
          <w14:textFill>
            <w14:solidFill>
              <w14:schemeClr w14:val="tx1"/>
            </w14:solidFill>
          </w14:textFill>
        </w:rPr>
        <w:t>提供人员备案等相关资料，若不能按时提供的人员备案等相关材料的，采购人有权取消其中标资格，顺延第二中标候选人为</w:t>
      </w:r>
      <w:r>
        <w:rPr>
          <w:rFonts w:hint="eastAsia" w:ascii="宋体" w:hAnsi="宋体" w:eastAsia="宋体" w:cs="宋体"/>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，以此类推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所签订的合同不得对招标文件确定的事项和</w:t>
      </w:r>
      <w:r>
        <w:rPr>
          <w:rFonts w:hint="eastAsia" w:ascii="宋体" w:hAnsi="宋体" w:eastAsia="宋体" w:cs="宋体"/>
          <w:color w:val="000000" w:themeColor="text1"/>
          <w:sz w:val="24"/>
          <w:szCs w:val="24"/>
          <w:highlight w:val="none"/>
          <w:lang w:eastAsia="zh-CN"/>
          <w14:textFill>
            <w14:solidFill>
              <w14:schemeClr w14:val="tx1"/>
            </w14:solidFill>
          </w14:textFill>
        </w:rPr>
        <w:t>中标供应商</w:t>
      </w:r>
      <w:r>
        <w:rPr>
          <w:rFonts w:hint="eastAsia" w:ascii="宋体" w:hAnsi="宋体" w:eastAsia="宋体" w:cs="宋体"/>
          <w:color w:val="000000" w:themeColor="text1"/>
          <w:sz w:val="24"/>
          <w:szCs w:val="24"/>
          <w:highlight w:val="none"/>
          <w14:textFill>
            <w14:solidFill>
              <w14:schemeClr w14:val="tx1"/>
            </w14:solidFill>
          </w14:textFill>
        </w:rPr>
        <w:t>投标文件作实质性修改。</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采购人应当自政府采购合同签订之日起 2 个工作日内，将政府采购合同在省级以上人民政府财政部门指定的媒体上公告，但政府采购合同中涉及国家秘密、商业秘密的内容除外。政府采购项目的采购合同自签订之日起7个工作日内，采购人应当将合同副本报同级政府采购监督管理部门和有关部门备案。</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采购人不得向</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提出任何不合理的要求作为签订合同的条件。</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政府采购合同应当包括采购人与</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的名称和住所、标的、数量、质量、价款或者报酬、履行期限及地点和方式、验收要求、违约责任、解决争议的方法等内容。</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合同备案时合同签字盖章完整，多页合同加盖骑缝章。备案合同承接主体与中标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名称一致。合同金额与中标金额一致。合同内容与政府采购计划备案表、政府采购进口产品审核表、招标文件及中标结果一致。</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采购人与</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应当根据合同的约定依法履行合同义务。</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政府采购合同的履行、违约责任和解决争议的方法等适用《中华人民共和国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采购人应当及时对采购项目进行验收。采购人可以邀请参加本项目的其他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或者第三方机构参与验收。参与验收的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或者第三方机构的意见作为验收书的参考资料一并存档。</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采购人应当加强对</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的履约管理，并按照采购合同约定，及时向</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支付采购资金。对于</w:t>
      </w:r>
      <w:r>
        <w:rPr>
          <w:rFonts w:hint="eastAsia" w:ascii="宋体" w:hAnsi="宋体" w:eastAsia="宋体" w:cs="宋体"/>
          <w:sz w:val="24"/>
          <w:szCs w:val="24"/>
          <w:highlight w:val="none"/>
          <w:lang w:eastAsia="zh-CN"/>
        </w:rPr>
        <w:t>中标供应商</w:t>
      </w:r>
      <w:r>
        <w:rPr>
          <w:rFonts w:hint="eastAsia" w:ascii="宋体" w:hAnsi="宋体" w:eastAsia="宋体" w:cs="宋体"/>
          <w:sz w:val="24"/>
          <w:szCs w:val="24"/>
          <w:highlight w:val="none"/>
        </w:rPr>
        <w:t>违反采购合同约定的行为，采购人应当及时处理，依法追究其违约责任。</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采购人、采购代理机构应当建立真实完整的招标采购档案，妥善保存每项采购活动的采购文件。</w:t>
      </w:r>
    </w:p>
    <w:p>
      <w:pPr>
        <w:numPr>
          <w:ilvl w:val="0"/>
          <w:numId w:val="5"/>
        </w:numPr>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终止、分包、串标规定</w:t>
      </w:r>
    </w:p>
    <w:p>
      <w:pPr>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（一）终止招标</w:t>
      </w:r>
    </w:p>
    <w:p>
      <w:pPr>
        <w:ind w:firstLine="480" w:firstLineChars="200"/>
        <w:jc w:val="left"/>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采购人、采购代理机构在发布招标公告、资格预审公告或者发出投标邀请书后，除因重大变故采购任务取消情况外，不得擅自终止招标活动。</w:t>
      </w:r>
    </w:p>
    <w:p>
      <w:pPr>
        <w:ind w:firstLine="562"/>
        <w:jc w:val="left"/>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终止招标的，采购人或者采购代理机构应当及时在原公告发布媒体上发布终止公告，以书面形式通知已经获取招标文件、资格预审文件或者被邀请的潜在</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，并将项目实施情况和采购任务取消原因报告本级财政部门。</w:t>
      </w:r>
    </w:p>
    <w:p>
      <w:pPr>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（二）分包规定</w:t>
      </w:r>
    </w:p>
    <w:p>
      <w:pPr>
        <w:ind w:right="1"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不允许分包</w:t>
      </w:r>
    </w:p>
    <w:p>
      <w:pPr>
        <w:ind w:right="1"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（三）串标</w:t>
      </w:r>
    </w:p>
    <w:p>
      <w:pPr>
        <w:ind w:right="1"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应当遵循公平竞争的原则，不得恶意串通，不得妨碍其他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的竞争行为，不得损害采购人或者其他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的合法权益。在评标过程中发现</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有上述情形的，评标委员会应当认定其投标无效，并书面报告本级财政部门。</w:t>
      </w:r>
    </w:p>
    <w:p>
      <w:pPr>
        <w:ind w:right="1"/>
        <w:rPr>
          <w:rFonts w:hint="eastAsia" w:ascii="宋体" w:hAnsi="宋体" w:eastAsia="宋体" w:cs="宋体"/>
          <w:bCs/>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1.有下列情形之一的，属于恶意串通，对</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依照政府采购法第七十七条第一款的规定追究法律责任，对采购人、采购代理机构及其工作人员依照政府采购法第七十二条的规定追究法律责任：</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1.1</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直接或者间接从采购人或者采购代理机构处获得其他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的相关情况并修改其投标文件。</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1.2</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按照采购人或者采购代理机构的授意撤换、修改投标文件。</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1.3</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之间协商报价、技术方案等投标文件的实质性内容。</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1.4属于同一集团、协会、商会等组织成员的</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按照该组织要求协同参加政府采购活动。</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1.5</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之间事先约定由某一特定</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中标。</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1.6</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之间商定部分</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放弃参加政府采购活动或者放弃中标。</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1.7</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与采购人或者采购代理机构之间、</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相互之间，为谋求特定</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中标或者排斥其他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的其他串通行为。</w:t>
      </w:r>
      <w:r>
        <w:rPr>
          <w:rFonts w:hint="eastAsia" w:ascii="宋体" w:hAnsi="宋体" w:eastAsia="宋体" w:cs="宋体"/>
          <w:bCs/>
          <w:sz w:val="24"/>
          <w:szCs w:val="24"/>
          <w:highlight w:val="none"/>
        </w:rPr>
        <w:br w:type="textWrapping"/>
      </w:r>
      <w:r>
        <w:rPr>
          <w:rFonts w:hint="eastAsia" w:ascii="宋体" w:hAnsi="宋体" w:eastAsia="宋体" w:cs="宋体"/>
          <w:bCs/>
          <w:sz w:val="24"/>
          <w:szCs w:val="24"/>
          <w:highlight w:val="none"/>
        </w:rPr>
        <w:t xml:space="preserve">    2.有下列情形之一的，视为</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串通投标，其投标无效：</w:t>
      </w:r>
    </w:p>
    <w:p>
      <w:pPr>
        <w:ind w:right="1"/>
        <w:rPr>
          <w:rFonts w:hint="eastAsia" w:ascii="宋体" w:hAnsi="宋体" w:eastAsia="宋体" w:cs="宋体"/>
          <w:bCs/>
          <w:sz w:val="24"/>
          <w:szCs w:val="24"/>
          <w:highlight w:val="none"/>
        </w:rPr>
      </w:pPr>
      <w:r>
        <w:rPr>
          <w:rFonts w:hint="eastAsia" w:ascii="宋体" w:hAnsi="宋体" w:eastAsia="宋体" w:cs="宋体"/>
          <w:bCs/>
          <w:sz w:val="24"/>
          <w:szCs w:val="24"/>
          <w:highlight w:val="none"/>
        </w:rPr>
        <w:t>　　2.1不同</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的投标文件由同一单位或者个人编制。</w:t>
      </w:r>
    </w:p>
    <w:p>
      <w:pPr>
        <w:ind w:right="1"/>
        <w:rPr>
          <w:rFonts w:hint="eastAsia" w:ascii="宋体" w:hAnsi="宋体" w:eastAsia="宋体" w:cs="宋体"/>
          <w:bCs/>
          <w:sz w:val="24"/>
          <w:szCs w:val="24"/>
          <w:highlight w:val="none"/>
        </w:rPr>
      </w:pPr>
      <w:r>
        <w:rPr>
          <w:rFonts w:hint="eastAsia" w:ascii="宋体" w:hAnsi="宋体" w:eastAsia="宋体" w:cs="宋体"/>
          <w:bCs/>
          <w:sz w:val="24"/>
          <w:szCs w:val="24"/>
          <w:highlight w:val="none"/>
        </w:rPr>
        <w:t>　　2.2不同</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委托同一单位或者个人办理投标事宜。</w:t>
      </w:r>
    </w:p>
    <w:p>
      <w:pPr>
        <w:ind w:right="1"/>
        <w:rPr>
          <w:rFonts w:hint="eastAsia" w:ascii="宋体" w:hAnsi="宋体" w:eastAsia="宋体" w:cs="宋体"/>
          <w:bCs/>
          <w:sz w:val="24"/>
          <w:szCs w:val="24"/>
          <w:highlight w:val="none"/>
        </w:rPr>
      </w:pPr>
      <w:r>
        <w:rPr>
          <w:rFonts w:hint="eastAsia" w:ascii="宋体" w:hAnsi="宋体" w:eastAsia="宋体" w:cs="宋体"/>
          <w:bCs/>
          <w:sz w:val="24"/>
          <w:szCs w:val="24"/>
          <w:highlight w:val="none"/>
        </w:rPr>
        <w:t>　　2.3不同</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的投标文件载明的项目管理成员或者联系人员为同一人。</w:t>
      </w:r>
    </w:p>
    <w:p>
      <w:pPr>
        <w:ind w:right="1"/>
        <w:rPr>
          <w:rFonts w:hint="eastAsia" w:ascii="宋体" w:hAnsi="宋体" w:eastAsia="宋体" w:cs="宋体"/>
          <w:bCs/>
          <w:sz w:val="24"/>
          <w:szCs w:val="24"/>
          <w:highlight w:val="none"/>
        </w:rPr>
      </w:pPr>
      <w:r>
        <w:rPr>
          <w:rFonts w:hint="eastAsia" w:ascii="宋体" w:hAnsi="宋体" w:eastAsia="宋体" w:cs="宋体"/>
          <w:bCs/>
          <w:sz w:val="24"/>
          <w:szCs w:val="24"/>
          <w:highlight w:val="none"/>
        </w:rPr>
        <w:t>　　2.4不同</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的投标文件异常一致或者投标报价呈规律性差异。</w:t>
      </w:r>
    </w:p>
    <w:p>
      <w:pPr>
        <w:ind w:right="1"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应当遵循公平竞争的原则，不得恶意串通，不得妨碍其他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的竞争行为，不得损害采购人或者其他</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的合法权益。</w:t>
      </w:r>
    </w:p>
    <w:p>
      <w:pPr>
        <w:ind w:right="1"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在评标过程中发现</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有上述情形的，评标委员会应当认定其投标无效，并书面报告本级财政部门。</w:t>
      </w:r>
    </w:p>
    <w:p>
      <w:pPr>
        <w:rPr>
          <w:rFonts w:hint="eastAsia" w:ascii="宋体" w:hAnsi="宋体" w:eastAsia="宋体" w:cs="宋体"/>
          <w:b/>
          <w:highlight w:val="none"/>
        </w:rPr>
      </w:pPr>
      <w:r>
        <w:rPr>
          <w:rFonts w:hint="eastAsia" w:ascii="宋体" w:hAnsi="宋体" w:eastAsia="宋体" w:cs="宋体"/>
          <w:b/>
          <w:sz w:val="44"/>
          <w:highlight w:val="none"/>
        </w:rPr>
        <w:br w:type="page"/>
      </w:r>
    </w:p>
    <w:p>
      <w:pPr>
        <w:jc w:val="center"/>
        <w:outlineLvl w:val="0"/>
        <w:rPr>
          <w:rFonts w:hint="eastAsia" w:ascii="宋体" w:hAnsi="宋体" w:eastAsia="宋体" w:cs="宋体"/>
          <w:b/>
          <w:sz w:val="44"/>
          <w:highlight w:val="none"/>
        </w:rPr>
      </w:pPr>
      <w:bookmarkStart w:id="35" w:name="_Toc11938056"/>
      <w:bookmarkStart w:id="36" w:name="_Toc18962"/>
      <w:r>
        <w:rPr>
          <w:rFonts w:hint="eastAsia" w:ascii="宋体" w:hAnsi="宋体" w:eastAsia="宋体" w:cs="宋体"/>
          <w:b/>
          <w:sz w:val="44"/>
          <w:highlight w:val="none"/>
        </w:rPr>
        <w:t>第四部分　政府采购合同</w:t>
      </w:r>
      <w:bookmarkEnd w:id="35"/>
      <w:bookmarkEnd w:id="36"/>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392"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2"/>
          <w:kern w:val="0"/>
          <w:position w:val="27"/>
          <w:sz w:val="24"/>
          <w:szCs w:val="24"/>
          <w:highlight w:val="none"/>
        </w:rPr>
        <w:t>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00" w:firstLineChars="20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0"/>
          <w:kern w:val="0"/>
          <w:sz w:val="24"/>
          <w:szCs w:val="24"/>
          <w:highlight w:val="none"/>
        </w:rPr>
        <w:t>乙方：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根据甲方委托</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u w:val="single" w:color="auto"/>
          <w:lang w:val="en-US" w:eastAsia="zh-CN"/>
        </w:rPr>
        <w:t>河北丰信工程咨询有限公司</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实施的河北省政府采购</w:t>
      </w:r>
      <w:r>
        <w:rPr>
          <w:rFonts w:hint="eastAsia" w:ascii="宋体" w:hAnsi="宋体" w:eastAsia="宋体" w:cs="宋体"/>
          <w:snapToGrid w:val="0"/>
          <w:color w:val="auto"/>
          <w:spacing w:val="0"/>
          <w:w w:val="100"/>
          <w:kern w:val="0"/>
          <w:position w:val="0"/>
          <w:sz w:val="24"/>
          <w:szCs w:val="24"/>
          <w:highlight w:val="none"/>
          <w:u w:val="single" w:color="auto"/>
        </w:rPr>
        <w:t>大气污染数据统计调查和分析服务</w:t>
      </w:r>
      <w:r>
        <w:rPr>
          <w:rFonts w:hint="eastAsia" w:ascii="宋体" w:hAnsi="宋体" w:eastAsia="宋体" w:cs="宋体"/>
          <w:snapToGrid w:val="0"/>
          <w:color w:val="auto"/>
          <w:spacing w:val="0"/>
          <w:w w:val="100"/>
          <w:kern w:val="0"/>
          <w:position w:val="0"/>
          <w:sz w:val="24"/>
          <w:szCs w:val="24"/>
          <w:highlight w:val="none"/>
        </w:rPr>
        <w:t>项目的采购结果， 按照《中华人民共和国政府采购法》、《中华人民共和国民法典》和河北省人民政府办公厅《政府购买服务管理办法》（财政部令第102号）之规定，经甲乙双方协商，本着平等互利和诚实信用的原则，双方一致同意，签订本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第一条  购买服务的内容及期限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第二条 1、甲方以</w:t>
      </w:r>
      <w:r>
        <w:rPr>
          <w:rFonts w:hint="eastAsia" w:ascii="宋体" w:hAnsi="宋体" w:eastAsia="宋体" w:cs="宋体"/>
          <w:snapToGrid w:val="0"/>
          <w:color w:val="auto"/>
          <w:spacing w:val="0"/>
          <w:w w:val="100"/>
          <w:kern w:val="0"/>
          <w:position w:val="0"/>
          <w:sz w:val="24"/>
          <w:szCs w:val="24"/>
          <w:highlight w:val="none"/>
          <w:lang w:val="en-US" w:eastAsia="zh-CN"/>
        </w:rPr>
        <w:t>公开招标</w:t>
      </w:r>
      <w:r>
        <w:rPr>
          <w:rFonts w:hint="eastAsia" w:ascii="宋体" w:hAnsi="宋体" w:eastAsia="宋体" w:cs="宋体"/>
          <w:snapToGrid w:val="0"/>
          <w:color w:val="auto"/>
          <w:spacing w:val="0"/>
          <w:w w:val="100"/>
          <w:kern w:val="0"/>
          <w:position w:val="0"/>
          <w:sz w:val="24"/>
          <w:szCs w:val="24"/>
          <w:highlight w:val="none"/>
        </w:rPr>
        <w:t>（政府采购方式）采购乙方提供的以下服务：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lang w:eastAsia="zh-CN"/>
        </w:rPr>
      </w:pP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lang w:val="en-US" w:eastAsia="zh-CN"/>
        </w:rPr>
        <w:t>1</w:t>
      </w:r>
      <w:r>
        <w:rPr>
          <w:rFonts w:hint="eastAsia" w:ascii="宋体" w:hAnsi="宋体" w:eastAsia="宋体" w:cs="宋体"/>
          <w:snapToGrid w:val="0"/>
          <w:color w:val="auto"/>
          <w:spacing w:val="0"/>
          <w:w w:val="100"/>
          <w:kern w:val="0"/>
          <w:position w:val="0"/>
          <w:sz w:val="24"/>
          <w:szCs w:val="24"/>
          <w:highlight w:val="none"/>
          <w:lang w:eastAsia="zh-CN"/>
        </w:rPr>
        <w:t>）目标分解，动态调控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lang w:eastAsia="zh-CN"/>
        </w:rPr>
      </w:pPr>
      <w:r>
        <w:rPr>
          <w:rFonts w:hint="eastAsia" w:ascii="宋体" w:hAnsi="宋体" w:eastAsia="宋体" w:cs="宋体"/>
          <w:snapToGrid w:val="0"/>
          <w:color w:val="auto"/>
          <w:spacing w:val="0"/>
          <w:w w:val="100"/>
          <w:kern w:val="0"/>
          <w:position w:val="0"/>
          <w:sz w:val="24"/>
          <w:szCs w:val="24"/>
          <w:highlight w:val="none"/>
          <w:lang w:eastAsia="zh-CN"/>
        </w:rPr>
        <w:t>合同生效后10日内，结合往年空气质量变化规律及气象条件、污染源排放变化规律等，将</w:t>
      </w:r>
      <w:r>
        <w:rPr>
          <w:rFonts w:hint="eastAsia" w:ascii="宋体" w:hAnsi="宋体" w:eastAsia="宋体" w:cs="宋体"/>
          <w:snapToGrid w:val="0"/>
          <w:color w:val="auto"/>
          <w:spacing w:val="0"/>
          <w:w w:val="100"/>
          <w:kern w:val="0"/>
          <w:position w:val="0"/>
          <w:sz w:val="24"/>
          <w:szCs w:val="24"/>
          <w:highlight w:val="none"/>
          <w:lang w:val="en-US" w:eastAsia="zh-CN"/>
        </w:rPr>
        <w:t>采购人</w:t>
      </w:r>
      <w:r>
        <w:rPr>
          <w:rFonts w:hint="eastAsia" w:ascii="宋体" w:hAnsi="宋体" w:eastAsia="宋体" w:cs="宋体"/>
          <w:snapToGrid w:val="0"/>
          <w:color w:val="auto"/>
          <w:spacing w:val="0"/>
          <w:w w:val="100"/>
          <w:kern w:val="0"/>
          <w:position w:val="0"/>
          <w:sz w:val="24"/>
          <w:szCs w:val="24"/>
          <w:highlight w:val="none"/>
          <w:lang w:eastAsia="zh-CN"/>
        </w:rPr>
        <w:t>年度目标（污染物浓度年均值）分解到全年12个月，根据省、市下达的管控目标同</w:t>
      </w:r>
      <w:r>
        <w:rPr>
          <w:rFonts w:hint="eastAsia" w:ascii="宋体" w:hAnsi="宋体" w:eastAsia="宋体" w:cs="宋体"/>
          <w:snapToGrid w:val="0"/>
          <w:color w:val="auto"/>
          <w:spacing w:val="0"/>
          <w:w w:val="100"/>
          <w:kern w:val="0"/>
          <w:position w:val="0"/>
          <w:sz w:val="24"/>
          <w:szCs w:val="24"/>
          <w:highlight w:val="none"/>
          <w:lang w:val="en-US" w:eastAsia="zh-CN"/>
        </w:rPr>
        <w:t>采购人</w:t>
      </w:r>
      <w:r>
        <w:rPr>
          <w:rFonts w:hint="eastAsia" w:ascii="宋体" w:hAnsi="宋体" w:eastAsia="宋体" w:cs="宋体"/>
          <w:snapToGrid w:val="0"/>
          <w:color w:val="auto"/>
          <w:spacing w:val="0"/>
          <w:w w:val="100"/>
          <w:kern w:val="0"/>
          <w:position w:val="0"/>
          <w:sz w:val="24"/>
          <w:szCs w:val="24"/>
          <w:highlight w:val="none"/>
          <w:lang w:eastAsia="zh-CN"/>
        </w:rPr>
        <w:t>共同制定区域逐月动态控制目标，并随时根据</w:t>
      </w:r>
      <w:r>
        <w:rPr>
          <w:rFonts w:hint="eastAsia" w:ascii="宋体" w:hAnsi="宋体" w:eastAsia="宋体" w:cs="宋体"/>
          <w:snapToGrid w:val="0"/>
          <w:color w:val="auto"/>
          <w:spacing w:val="0"/>
          <w:w w:val="100"/>
          <w:kern w:val="0"/>
          <w:position w:val="0"/>
          <w:sz w:val="24"/>
          <w:szCs w:val="24"/>
          <w:highlight w:val="none"/>
          <w:lang w:val="en-US" w:eastAsia="zh-CN"/>
        </w:rPr>
        <w:t>采购人</w:t>
      </w:r>
      <w:r>
        <w:rPr>
          <w:rFonts w:hint="eastAsia" w:ascii="宋体" w:hAnsi="宋体" w:eastAsia="宋体" w:cs="宋体"/>
          <w:snapToGrid w:val="0"/>
          <w:color w:val="auto"/>
          <w:spacing w:val="0"/>
          <w:w w:val="100"/>
          <w:kern w:val="0"/>
          <w:position w:val="0"/>
          <w:sz w:val="24"/>
          <w:szCs w:val="24"/>
          <w:highlight w:val="none"/>
          <w:lang w:eastAsia="zh-CN"/>
        </w:rPr>
        <w:t>需要适时细化调整动态目标。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lang w:eastAsia="zh-CN"/>
        </w:rPr>
      </w:pPr>
      <w:r>
        <w:rPr>
          <w:rFonts w:hint="eastAsia" w:ascii="宋体" w:hAnsi="宋体" w:eastAsia="宋体" w:cs="宋体"/>
          <w:snapToGrid w:val="0"/>
          <w:color w:val="auto"/>
          <w:spacing w:val="0"/>
          <w:w w:val="100"/>
          <w:kern w:val="0"/>
          <w:position w:val="0"/>
          <w:sz w:val="24"/>
          <w:szCs w:val="24"/>
          <w:highlight w:val="none"/>
          <w:lang w:val="en-US" w:eastAsia="zh-CN"/>
        </w:rPr>
        <w:t>（2）</w:t>
      </w:r>
      <w:r>
        <w:rPr>
          <w:rFonts w:hint="eastAsia" w:ascii="宋体" w:hAnsi="宋体" w:eastAsia="宋体" w:cs="宋体"/>
          <w:snapToGrid w:val="0"/>
          <w:color w:val="auto"/>
          <w:spacing w:val="0"/>
          <w:w w:val="100"/>
          <w:kern w:val="0"/>
          <w:position w:val="0"/>
          <w:sz w:val="24"/>
          <w:szCs w:val="24"/>
          <w:highlight w:val="none"/>
          <w:lang w:eastAsia="zh-CN"/>
        </w:rPr>
        <w:t>研判分析及管控建议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1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①</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供应商</w:t>
      </w:r>
      <w:r>
        <w:rPr>
          <w:rFonts w:hint="eastAsia" w:ascii="宋体" w:hAnsi="宋体" w:eastAsia="宋体" w:cs="宋体"/>
          <w:b w:val="0"/>
          <w:bCs w:val="0"/>
          <w:sz w:val="24"/>
          <w:szCs w:val="24"/>
          <w:highlight w:val="none"/>
          <w:lang w:eastAsia="zh-CN"/>
        </w:rPr>
        <w:t>组建技术组，根据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需求，不定期在区生态环保指挥中心组织大气污染分析例会，对全区大气污染情况进行分析，对前一日数据排名情况、污染物成因、巡查发现问题、管控措施落实情况进行分析总结</w:t>
      </w:r>
      <w:r>
        <w:rPr>
          <w:rFonts w:hint="eastAsia" w:ascii="宋体" w:hAnsi="宋体" w:eastAsia="宋体" w:cs="宋体"/>
          <w:snapToGrid w:val="0"/>
          <w:color w:val="auto"/>
          <w:spacing w:val="0"/>
          <w:w w:val="100"/>
          <w:kern w:val="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pacing w:val="-6"/>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2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②</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pacing w:val="-6"/>
          <w:sz w:val="24"/>
          <w:szCs w:val="24"/>
          <w:highlight w:val="none"/>
          <w:lang w:eastAsia="zh-CN"/>
        </w:rPr>
        <w:t>依照当日气象预报，对未来48小时大气污染情况进行预测</w:t>
      </w:r>
      <w:r>
        <w:rPr>
          <w:rFonts w:hint="eastAsia" w:ascii="宋体" w:hAnsi="宋体" w:eastAsia="宋体" w:cs="宋体"/>
          <w:snapToGrid w:val="0"/>
          <w:color w:val="auto"/>
          <w:spacing w:val="0"/>
          <w:w w:val="100"/>
          <w:kern w:val="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3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③</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根据气象预报对未来24小时发布全区管控指令</w:t>
      </w:r>
      <w:r>
        <w:rPr>
          <w:rFonts w:hint="eastAsia" w:ascii="宋体" w:hAnsi="宋体" w:eastAsia="宋体" w:cs="宋体"/>
          <w:snapToGrid w:val="0"/>
          <w:color w:val="auto"/>
          <w:spacing w:val="0"/>
          <w:w w:val="100"/>
          <w:kern w:val="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4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④</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对涉及管控区域内的主要大气污染行业如：钢铁、焦化、铸造、石灰窑等，根据企业实际情况除每日综合指令外，点对点发布实时管控指令</w:t>
      </w:r>
      <w:r>
        <w:rPr>
          <w:rFonts w:hint="eastAsia" w:ascii="宋体" w:hAnsi="宋体" w:eastAsia="宋体" w:cs="宋体"/>
          <w:snapToGrid w:val="0"/>
          <w:color w:val="auto"/>
          <w:spacing w:val="0"/>
          <w:w w:val="100"/>
          <w:kern w:val="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5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⑤</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参与唐山环保指挥中心会商，根据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需求提供丰南区的数据分析专报</w:t>
      </w:r>
      <w:r>
        <w:rPr>
          <w:rFonts w:hint="eastAsia" w:ascii="宋体" w:hAnsi="宋体" w:eastAsia="宋体" w:cs="宋体"/>
          <w:snapToGrid w:val="0"/>
          <w:color w:val="auto"/>
          <w:spacing w:val="0"/>
          <w:w w:val="100"/>
          <w:kern w:val="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 6 \* GB3 \* MERGEFORMAT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highlight w:val="none"/>
        </w:rPr>
        <w:t>⑥</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lang w:val="en-US" w:eastAsia="zh-CN"/>
        </w:rPr>
        <w:t xml:space="preserve"> 合同生效一个月内，通过在线数据监测和现场巡查等多种有效途径绘制丰南区污染地图，并详细列出主要道路、重点建筑工地钢铁企业、焦化企业、铸造企业、垃圾焚烧、餐饮油烟等各类污染源位置。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color w:val="FF000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7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⑦</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根据各类污染源的位置、主要排放的污染物、污染贡献率、天气影响等各方面因素，制定空气质量专项监测方案，提出切实可行的管控建议。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现场巡查、实时调度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1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①</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组建团队：提供不少于15人的服务团队其中包含1名项目负责人（环境相关专业本科及以上学历，具备工程师及以上职称）、2名专业数据技术分析师（具备本科及以上环境相关专业学历），其余员12名（要求具有大专及以上学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2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②</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团队成员根据</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需求，每日在区生态环保指挥中心安排工作人员，对管控区域实施24小时不间断监控，负责数据监控与分析、问题的交办与汇总、管控指令的发布与记录，做好本职工作的同时配合好政府工作。</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3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③</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lang w:val="en-US" w:eastAsia="zh-CN"/>
        </w:rPr>
        <w:t>本项目所需设备由中标供应商负责提供：无人机、便携式PM检测仪（须满足检测参数：PM2.5:测量范围 0-1000μg/m3；精度±10%；分辨率 1μg/m3； PM10:测量范围 0-1000μg/m3；精度±10%；分辨率 1μg/m3）、便携式空气质量检测仪（须满足检测参数：CO：测量范围 0-50ppm；分辨率：1ppm； SO2:测量范围 0-2000ppb；分辨率：1ppb； NO2:测量范围 0-2000ppb；分辨率：1ppb； O3:测量范围 0-2000ppb；分辨率：1ppb）、测温仪、强光手电等必要设备。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4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④</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对我区国省控站点周边科学划定重点监控区域，对全区区域内各监点位异常数值及时分析处理，1小时内形成反馈报区生态环保指挥中心。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重污染过程预警、管控建议及分析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1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①</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供应商</w:t>
      </w:r>
      <w:r>
        <w:rPr>
          <w:rFonts w:hint="eastAsia" w:ascii="宋体" w:hAnsi="宋体" w:eastAsia="宋体" w:cs="宋体"/>
          <w:b w:val="0"/>
          <w:bCs w:val="0"/>
          <w:sz w:val="24"/>
          <w:szCs w:val="24"/>
          <w:highlight w:val="none"/>
          <w:lang w:eastAsia="zh-CN"/>
        </w:rPr>
        <w:t>对气象情况实时分析和研判，提前预测不利气象条件，对可能出现的重污染过程的级别、范围、时间进行提前预警，为重污染管控提供充足的应对时间；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 2 \* GB3 \* MERGEFORMAT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highlight w:val="none"/>
        </w:rPr>
        <w:t>②</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eastAsia="zh-CN"/>
        </w:rPr>
        <w:t>提供重污染天气期间的数据分析报告，分析成因并与区生态分局、大气办等部门进行交流，制定重污染天气管控方案。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定期参加大气污染防治攻坚研判会议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定期参加大气污染防治攻坚研判会议，汇报最新的数据分析研判报告，分析空气质量特征、大气污染形势及污染治理中存在的问题。提出城市污染治理建议、年度城市污染变化趋势分析、制定有效行动计划。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管控效果评估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eastAsia="zh-CN"/>
        </w:rPr>
        <w:t>利用区域内各种监测数据，以国家/地方考核数据为重点分析对象，从空气质量综合指数达标情况、综合指数改善率、优良天数、各项污染指标变化及达标情况、区域空气质量排名情况等多个维度，对</w:t>
      </w:r>
      <w:r>
        <w:rPr>
          <w:rFonts w:hint="eastAsia" w:ascii="宋体" w:hAnsi="宋体" w:eastAsia="宋体" w:cs="宋体"/>
          <w:b w:val="0"/>
          <w:bCs w:val="0"/>
          <w:sz w:val="24"/>
          <w:szCs w:val="24"/>
          <w:highlight w:val="none"/>
          <w:lang w:val="en-US" w:eastAsia="zh-CN"/>
        </w:rPr>
        <w:t>采购人</w:t>
      </w:r>
      <w:r>
        <w:rPr>
          <w:rFonts w:hint="eastAsia" w:ascii="宋体" w:hAnsi="宋体" w:eastAsia="宋体" w:cs="宋体"/>
          <w:b w:val="0"/>
          <w:bCs w:val="0"/>
          <w:sz w:val="24"/>
          <w:szCs w:val="24"/>
          <w:highlight w:val="none"/>
          <w:lang w:eastAsia="zh-CN"/>
        </w:rPr>
        <w:t>空气质量改善效果进行综合评价。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2、本合同项目下的服务期限为：自合同签订生效之日起12个月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3、服务地点：丰南区生态环保指挥中心（正苑大街12号电视台二楼）。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第二条  合同金额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本合同服务费总金额为人民币（大写）： _____ 元（￥____元）。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第三条  服务质量标准为：符合采购人要求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第四条  验收方及验收标准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第五条  服务受益方评价标准及方法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第六条  双方权利和义务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2、乙方的权利和义务：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第七条  付款方式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lang w:val="en-US" w:eastAsia="zh-CN"/>
        </w:rPr>
      </w:pPr>
      <w:r>
        <w:rPr>
          <w:rFonts w:hint="eastAsia" w:ascii="宋体" w:hAnsi="宋体" w:eastAsia="宋体" w:cs="宋体"/>
          <w:snapToGrid w:val="0"/>
          <w:color w:val="auto"/>
          <w:spacing w:val="0"/>
          <w:w w:val="100"/>
          <w:kern w:val="0"/>
          <w:position w:val="0"/>
          <w:sz w:val="24"/>
          <w:szCs w:val="24"/>
          <w:highlight w:val="none"/>
        </w:rPr>
        <w:t>第八条  违约</w:t>
      </w:r>
      <w:r>
        <w:rPr>
          <w:rFonts w:hint="eastAsia" w:ascii="宋体" w:hAnsi="宋体" w:eastAsia="宋体" w:cs="宋体"/>
          <w:snapToGrid w:val="0"/>
          <w:color w:val="auto"/>
          <w:spacing w:val="0"/>
          <w:w w:val="100"/>
          <w:kern w:val="0"/>
          <w:position w:val="0"/>
          <w:sz w:val="24"/>
          <w:szCs w:val="24"/>
          <w:highlight w:val="none"/>
          <w:lang w:val="en-US" w:eastAsia="zh-CN"/>
        </w:rPr>
        <w:t>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1、乙方提供的服务不符合招标文件、</w:t>
      </w:r>
      <w:r>
        <w:rPr>
          <w:rFonts w:hint="eastAsia" w:ascii="宋体" w:hAnsi="宋体" w:eastAsia="宋体" w:cs="宋体"/>
          <w:snapToGrid w:val="0"/>
          <w:color w:val="auto"/>
          <w:spacing w:val="0"/>
          <w:w w:val="100"/>
          <w:kern w:val="0"/>
          <w:position w:val="0"/>
          <w:sz w:val="24"/>
          <w:szCs w:val="24"/>
          <w:highlight w:val="none"/>
          <w:lang w:eastAsia="zh-CN"/>
        </w:rPr>
        <w:t>投标文件</w:t>
      </w:r>
      <w:r>
        <w:rPr>
          <w:rFonts w:hint="eastAsia" w:ascii="宋体" w:hAnsi="宋体" w:eastAsia="宋体" w:cs="宋体"/>
          <w:snapToGrid w:val="0"/>
          <w:color w:val="auto"/>
          <w:spacing w:val="0"/>
          <w:w w:val="100"/>
          <w:kern w:val="0"/>
          <w:position w:val="0"/>
          <w:sz w:val="24"/>
          <w:szCs w:val="24"/>
          <w:highlight w:val="none"/>
        </w:rPr>
        <w:t>或本合同规定的，甲方有权 拒收，并且乙方须向甲方支付本合同总价__%的违约金。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2、乙方未能按本合同规定的服务时间提供服务，从逾期之日起每日按本合 同总价__%的数额向甲方支付违约金；逾期半个月以上的，甲方有权终止合同， 由此造成的甲方经济损失由乙方承担。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zh-CN"/>
        </w:rPr>
        <w:t>3</w:t>
      </w:r>
      <w:r>
        <w:rPr>
          <w:rFonts w:hint="eastAsia" w:ascii="宋体" w:hAnsi="宋体" w:eastAsia="宋体" w:cs="宋体"/>
          <w:snapToGrid w:val="0"/>
          <w:color w:val="auto"/>
          <w:spacing w:val="0"/>
          <w:w w:val="100"/>
          <w:kern w:val="0"/>
          <w:position w:val="0"/>
          <w:sz w:val="24"/>
          <w:szCs w:val="24"/>
          <w:highlight w:val="none"/>
        </w:rPr>
        <w:t>、甲方无正当理由拒绝接受服务，到期拒付服务款项的，甲方向乙方偿付本合同总价的_%的违约金。甲方逾期付款，则每日按逾期金额的__%向乙方偿付违约金。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lang w:val="en-US" w:eastAsia="zh-CN"/>
        </w:rPr>
        <w:t>4</w:t>
      </w:r>
      <w:r>
        <w:rPr>
          <w:rFonts w:hint="eastAsia" w:ascii="宋体" w:hAnsi="宋体" w:eastAsia="宋体" w:cs="宋体"/>
          <w:snapToGrid w:val="0"/>
          <w:color w:val="auto"/>
          <w:spacing w:val="0"/>
          <w:w w:val="100"/>
          <w:kern w:val="0"/>
          <w:position w:val="0"/>
          <w:sz w:val="24"/>
          <w:szCs w:val="24"/>
          <w:highlight w:val="none"/>
        </w:rPr>
        <w:t>、其它违约责任按《中华人民共和国民法典》处理。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第九条  知识产权归属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第十条  保密条款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乙方对甲方提供的资料负有保密义务，未经甲方同意，不得向项目无关单位</w:t>
      </w:r>
      <w:r>
        <w:rPr>
          <w:rFonts w:hint="eastAsia" w:ascii="宋体" w:hAnsi="宋体" w:eastAsia="宋体" w:cs="宋体"/>
          <w:snapToGrid w:val="0"/>
          <w:color w:val="auto"/>
          <w:spacing w:val="0"/>
          <w:w w:val="100"/>
          <w:kern w:val="0"/>
          <w:position w:val="0"/>
          <w:sz w:val="24"/>
          <w:szCs w:val="24"/>
          <w:highlight w:val="none"/>
          <w:lang w:eastAsia="zh-CN"/>
        </w:rPr>
        <w:t>、</w:t>
      </w:r>
      <w:r>
        <w:rPr>
          <w:rFonts w:hint="eastAsia" w:ascii="宋体" w:hAnsi="宋体" w:eastAsia="宋体" w:cs="宋体"/>
          <w:snapToGrid w:val="0"/>
          <w:color w:val="auto"/>
          <w:spacing w:val="0"/>
          <w:w w:val="100"/>
          <w:kern w:val="0"/>
          <w:position w:val="0"/>
          <w:sz w:val="24"/>
          <w:szCs w:val="24"/>
          <w:highlight w:val="none"/>
        </w:rPr>
        <w:t>和个人提供有关资料。如发生以上情况，甲方有权索赔。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第十一条  争议的解决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本合同执行过程中发生的任何争议，如双方不能通过友好协商解决，由合同 签订地法院处理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第十二条  不可抗力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第十三条  合同的终止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1、合同期满，双方未续签的；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2、乙方服务能力丧失，致使服务无法正常进行的；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第十四条  税费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此项目发生的与本合同执行有关的一切税费均由乙方负担。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第十五条  其它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1、本合同所有附件及招标文件均为合同的有效组成部分，与本合同具有同等法律效力。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2、在执行本合同的过程中，所有经双方签署确认的文件（包括会议纪要、补充协议、往来信函）即成为本合同的有效组成部分。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3、如一方地址、电话、传真号码有变更，应在变更当日内书面通知对方，否则应承担相应责任。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第十六条  补充条款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1、谅解与备忘条款：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2、双方不可撤销的责任与义务：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3、双方约定以下补充条款：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第十七条  合同生效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1、本合同订立时间：</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年</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月</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 xml:space="preserve">2、本合同订立地点： </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3、本合同在甲乙双方法人代表或其授权代表签字盖章后生效。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4、本合同一式</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份，双方各执</w:t>
      </w:r>
      <w:r>
        <w:rPr>
          <w:rFonts w:hint="eastAsia" w:ascii="宋体" w:hAnsi="宋体" w:eastAsia="宋体" w:cs="宋体"/>
          <w:snapToGrid w:val="0"/>
          <w:color w:val="auto"/>
          <w:spacing w:val="0"/>
          <w:w w:val="100"/>
          <w:kern w:val="0"/>
          <w:position w:val="0"/>
          <w:sz w:val="24"/>
          <w:szCs w:val="24"/>
          <w:highlight w:val="none"/>
          <w:u w:val="single" w:color="auto"/>
        </w:rPr>
        <w:t xml:space="preserve">     </w:t>
      </w:r>
      <w:r>
        <w:rPr>
          <w:rFonts w:hint="eastAsia" w:ascii="宋体" w:hAnsi="宋体" w:eastAsia="宋体" w:cs="宋体"/>
          <w:snapToGrid w:val="0"/>
          <w:color w:val="auto"/>
          <w:spacing w:val="0"/>
          <w:w w:val="100"/>
          <w:kern w:val="0"/>
          <w:position w:val="0"/>
          <w:sz w:val="24"/>
          <w:szCs w:val="24"/>
          <w:highlight w:val="none"/>
        </w:rPr>
        <w:t>份。</w:t>
      </w:r>
    </w:p>
    <w:p>
      <w:pPr>
        <w:keepNext w:val="0"/>
        <w:keepLines w:val="0"/>
        <w:pageBreakBefore w:val="0"/>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甲方（全称）：公章                     乙方（全称）：公章</w:t>
      </w:r>
    </w:p>
    <w:p>
      <w:pPr>
        <w:keepNext w:val="0"/>
        <w:keepLines w:val="0"/>
        <w:pageBreakBefore w:val="0"/>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法定代表人（负责人）或授权委托人：    法定代表人（负责人）或授权委托人：</w:t>
      </w:r>
    </w:p>
    <w:p>
      <w:pPr>
        <w:keepNext w:val="0"/>
        <w:keepLines w:val="0"/>
        <w:pageBreakBefore w:val="0"/>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ordWrap/>
        <w:overflowPunct/>
        <w:topLinePunct w:val="0"/>
        <w:bidi w:val="0"/>
        <w:spacing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jc w:val="center"/>
        <w:outlineLvl w:val="0"/>
        <w:rPr>
          <w:rFonts w:hint="eastAsia" w:ascii="宋体" w:hAnsi="宋体" w:eastAsia="宋体" w:cs="宋体"/>
          <w:b/>
          <w:kern w:val="2"/>
          <w:sz w:val="44"/>
          <w:szCs w:val="44"/>
          <w:highlight w:val="none"/>
        </w:rPr>
      </w:pPr>
      <w:bookmarkStart w:id="37" w:name="_Toc11938057"/>
      <w:r>
        <w:rPr>
          <w:rFonts w:hint="eastAsia" w:ascii="宋体" w:hAnsi="宋体" w:eastAsia="宋体" w:cs="宋体"/>
          <w:b/>
          <w:sz w:val="44"/>
          <w:highlight w:val="none"/>
        </w:rPr>
        <w:t>第五部分　投标文件格式</w:t>
      </w:r>
      <w:bookmarkEnd w:id="37"/>
    </w:p>
    <w:p>
      <w:pPr>
        <w:tabs>
          <w:tab w:val="left" w:pos="897"/>
          <w:tab w:val="left" w:pos="1080"/>
          <w:tab w:val="left" w:pos="1350"/>
        </w:tabs>
        <w:spacing w:before="100" w:beforeAutospacing="1" w:after="100" w:afterAutospacing="1"/>
        <w:ind w:firstLine="596" w:firstLineChars="198"/>
        <w:rPr>
          <w:rFonts w:hint="eastAsia" w:ascii="宋体" w:hAnsi="宋体" w:eastAsia="宋体" w:cs="宋体"/>
          <w:b/>
          <w:kern w:val="2"/>
          <w:sz w:val="30"/>
          <w:szCs w:val="30"/>
          <w:highlight w:val="none"/>
        </w:rPr>
      </w:pPr>
      <w:r>
        <w:rPr>
          <w:rFonts w:hint="eastAsia" w:ascii="宋体" w:hAnsi="宋体" w:eastAsia="宋体" w:cs="宋体"/>
          <w:b/>
          <w:kern w:val="2"/>
          <w:sz w:val="30"/>
          <w:szCs w:val="30"/>
          <w:highlight w:val="none"/>
        </w:rPr>
        <w:t>（</w:t>
      </w:r>
      <w:r>
        <w:rPr>
          <w:rFonts w:hint="eastAsia" w:ascii="宋体" w:hAnsi="宋体" w:eastAsia="宋体" w:cs="宋体"/>
          <w:b/>
          <w:kern w:val="2"/>
          <w:sz w:val="30"/>
          <w:szCs w:val="30"/>
          <w:highlight w:val="none"/>
          <w:lang w:eastAsia="zh-CN"/>
        </w:rPr>
        <w:t>供应商</w:t>
      </w:r>
      <w:r>
        <w:rPr>
          <w:rFonts w:hint="eastAsia" w:ascii="宋体" w:hAnsi="宋体" w:eastAsia="宋体" w:cs="宋体"/>
          <w:b/>
          <w:kern w:val="2"/>
          <w:sz w:val="30"/>
          <w:szCs w:val="30"/>
          <w:highlight w:val="none"/>
        </w:rPr>
        <w:t>按照以下内容及格式制作投标文件，并对其提交的投标文件的真实性、有效性、合法性承担法律责任。）</w:t>
      </w:r>
    </w:p>
    <w:p>
      <w:pPr>
        <w:widowControl/>
        <w:jc w:val="left"/>
        <w:rPr>
          <w:rFonts w:hint="eastAsia" w:ascii="宋体" w:hAnsi="宋体" w:eastAsia="宋体" w:cs="宋体"/>
          <w:b/>
          <w:bCs/>
          <w:sz w:val="36"/>
          <w:szCs w:val="36"/>
          <w:highlight w:val="none"/>
        </w:rPr>
      </w:pPr>
      <w:r>
        <w:rPr>
          <w:rFonts w:hint="eastAsia" w:ascii="宋体" w:hAnsi="宋体" w:eastAsia="宋体" w:cs="宋体"/>
          <w:b/>
          <w:bCs/>
          <w:sz w:val="24"/>
          <w:szCs w:val="24"/>
          <w:highlight w:val="none"/>
        </w:rPr>
        <w:br w:type="page"/>
      </w:r>
    </w:p>
    <w:p>
      <w:pPr>
        <w:pStyle w:val="3"/>
        <w:rPr>
          <w:rFonts w:hint="eastAsia" w:ascii="宋体" w:hAnsi="宋体" w:eastAsia="宋体" w:cs="宋体"/>
          <w:bCs/>
          <w:sz w:val="32"/>
          <w:szCs w:val="32"/>
          <w:highlight w:val="none"/>
        </w:rPr>
      </w:pPr>
      <w:r>
        <w:rPr>
          <w:rFonts w:hint="eastAsia" w:ascii="宋体" w:hAnsi="宋体" w:eastAsia="宋体" w:cs="宋体"/>
          <w:bCs/>
          <w:sz w:val="32"/>
          <w:szCs w:val="32"/>
          <w:highlight w:val="none"/>
        </w:rPr>
        <w:t>封面格式</w:t>
      </w:r>
    </w:p>
    <w:p>
      <w:pPr>
        <w:widowControl/>
        <w:spacing w:line="360" w:lineRule="auto"/>
        <w:rPr>
          <w:rFonts w:hint="eastAsia" w:ascii="宋体" w:hAnsi="宋体" w:eastAsia="宋体" w:cs="宋体"/>
          <w:b/>
          <w:bCs/>
          <w:sz w:val="72"/>
          <w:szCs w:val="72"/>
          <w:highlight w:val="none"/>
        </w:rPr>
      </w:pPr>
      <w:r>
        <w:rPr>
          <w:rFonts w:hint="eastAsia" w:ascii="宋体" w:hAnsi="宋体" w:eastAsia="宋体" w:cs="宋体"/>
          <w:b/>
          <w:sz w:val="36"/>
          <w:highlight w:val="none"/>
        </w:rPr>
        <w:t xml:space="preserve">采购项目编号：                 </w:t>
      </w:r>
      <w:r>
        <w:rPr>
          <w:rFonts w:hint="eastAsia" w:ascii="宋体" w:hAnsi="宋体" w:eastAsia="宋体" w:cs="宋体"/>
          <w:b/>
          <w:bCs/>
          <w:sz w:val="32"/>
          <w:szCs w:val="32"/>
          <w:highlight w:val="none"/>
        </w:rPr>
        <w:t xml:space="preserve"> </w:t>
      </w:r>
      <w:r>
        <w:rPr>
          <w:rFonts w:hint="eastAsia" w:ascii="宋体" w:hAnsi="宋体" w:eastAsia="宋体" w:cs="宋体"/>
          <w:b/>
          <w:bCs/>
          <w:sz w:val="36"/>
          <w:szCs w:val="36"/>
          <w:highlight w:val="none"/>
        </w:rPr>
        <w:t xml:space="preserve">          </w:t>
      </w:r>
    </w:p>
    <w:p>
      <w:pPr>
        <w:widowControl/>
        <w:spacing w:line="520" w:lineRule="atLeast"/>
        <w:rPr>
          <w:rFonts w:hint="eastAsia" w:ascii="宋体" w:hAnsi="宋体" w:eastAsia="宋体" w:cs="宋体"/>
          <w:b/>
          <w:sz w:val="36"/>
          <w:highlight w:val="none"/>
        </w:rPr>
      </w:pPr>
      <w:r>
        <w:rPr>
          <w:rFonts w:hint="eastAsia" w:ascii="宋体" w:hAnsi="宋体" w:eastAsia="宋体" w:cs="宋体"/>
          <w:b/>
          <w:sz w:val="36"/>
          <w:highlight w:val="none"/>
        </w:rPr>
        <w:t>采购项目名称：</w:t>
      </w:r>
    </w:p>
    <w:p>
      <w:pPr>
        <w:rPr>
          <w:rFonts w:hint="eastAsia" w:ascii="宋体" w:hAnsi="宋体" w:eastAsia="宋体" w:cs="宋体"/>
          <w:sz w:val="32"/>
          <w:szCs w:val="32"/>
          <w:highlight w:val="none"/>
        </w:rPr>
      </w:pPr>
    </w:p>
    <w:p>
      <w:pPr>
        <w:widowControl/>
        <w:spacing w:line="520" w:lineRule="atLeast"/>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投 标 文 件</w:t>
      </w:r>
    </w:p>
    <w:p>
      <w:pPr>
        <w:widowControl/>
        <w:spacing w:line="520" w:lineRule="atLeast"/>
        <w:rPr>
          <w:rFonts w:hint="eastAsia" w:ascii="宋体" w:hAnsi="宋体" w:eastAsia="宋体" w:cs="宋体"/>
          <w:sz w:val="24"/>
          <w:szCs w:val="24"/>
          <w:highlight w:val="none"/>
        </w:rPr>
      </w:pPr>
    </w:p>
    <w:p>
      <w:pPr>
        <w:widowControl/>
        <w:spacing w:line="52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widowControl/>
        <w:spacing w:line="52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56"/>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widowControl/>
        <w:spacing w:line="520" w:lineRule="atLeast"/>
        <w:rPr>
          <w:rFonts w:hint="eastAsia" w:ascii="宋体" w:hAnsi="宋体" w:eastAsia="宋体" w:cs="宋体"/>
          <w:sz w:val="24"/>
          <w:szCs w:val="24"/>
          <w:highlight w:val="none"/>
        </w:rPr>
      </w:pPr>
    </w:p>
    <w:p>
      <w:pPr>
        <w:widowControl/>
        <w:spacing w:line="520" w:lineRule="atLeast"/>
        <w:rPr>
          <w:rFonts w:hint="eastAsia" w:ascii="宋体" w:hAnsi="宋体" w:eastAsia="宋体" w:cs="宋体"/>
          <w:sz w:val="36"/>
          <w:szCs w:val="36"/>
          <w:highlight w:val="none"/>
        </w:rPr>
      </w:pPr>
    </w:p>
    <w:p>
      <w:pPr>
        <w:widowControl/>
        <w:spacing w:line="360" w:lineRule="auto"/>
        <w:ind w:firstLine="1807" w:firstLineChars="500"/>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lang w:eastAsia="zh-CN"/>
        </w:rPr>
        <w:t>供应商</w:t>
      </w:r>
      <w:r>
        <w:rPr>
          <w:rFonts w:hint="eastAsia" w:ascii="宋体" w:hAnsi="宋体" w:eastAsia="宋体" w:cs="宋体"/>
          <w:b/>
          <w:sz w:val="36"/>
          <w:szCs w:val="36"/>
          <w:highlight w:val="none"/>
        </w:rPr>
        <w:t>（全称）：</w:t>
      </w:r>
      <w:r>
        <w:rPr>
          <w:rFonts w:hint="eastAsia" w:ascii="宋体" w:hAnsi="宋体" w:eastAsia="宋体" w:cs="宋体"/>
          <w:b/>
          <w:sz w:val="36"/>
          <w:szCs w:val="36"/>
          <w:highlight w:val="none"/>
          <w:u w:val="single"/>
          <w:lang w:val="en-US" w:eastAsia="zh-CN"/>
        </w:rPr>
        <w:t xml:space="preserve">       </w:t>
      </w:r>
      <w:r>
        <w:rPr>
          <w:rFonts w:hint="eastAsia" w:ascii="宋体" w:hAnsi="宋体" w:eastAsia="宋体" w:cs="宋体"/>
          <w:b/>
          <w:sz w:val="36"/>
          <w:szCs w:val="36"/>
          <w:highlight w:val="none"/>
        </w:rPr>
        <w:t>（盖章）</w:t>
      </w:r>
    </w:p>
    <w:p>
      <w:pPr>
        <w:widowControl/>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法定代表人（负责人）或授权委托人：</w:t>
      </w:r>
      <w:r>
        <w:rPr>
          <w:rFonts w:hint="eastAsia" w:ascii="宋体" w:hAnsi="宋体" w:eastAsia="宋体" w:cs="宋体"/>
          <w:b/>
          <w:sz w:val="36"/>
          <w:szCs w:val="36"/>
          <w:highlight w:val="none"/>
          <w:u w:val="single"/>
          <w:lang w:val="en-US" w:eastAsia="zh-CN"/>
        </w:rPr>
        <w:t xml:space="preserve">       </w:t>
      </w:r>
      <w:r>
        <w:rPr>
          <w:rFonts w:hint="eastAsia" w:ascii="宋体" w:hAnsi="宋体" w:eastAsia="宋体" w:cs="宋体"/>
          <w:b/>
          <w:sz w:val="36"/>
          <w:szCs w:val="36"/>
          <w:highlight w:val="none"/>
        </w:rPr>
        <w:t>（盖章或签字）</w:t>
      </w:r>
    </w:p>
    <w:p>
      <w:pPr>
        <w:widowControl/>
        <w:spacing w:line="360" w:lineRule="auto"/>
        <w:ind w:firstLine="2168" w:firstLineChars="600"/>
        <w:jc w:val="left"/>
        <w:rPr>
          <w:rFonts w:hint="eastAsia" w:ascii="宋体" w:hAnsi="宋体" w:eastAsia="宋体" w:cs="宋体"/>
          <w:b/>
          <w:sz w:val="36"/>
          <w:szCs w:val="36"/>
          <w:highlight w:val="none"/>
        </w:rPr>
      </w:pPr>
      <w:r>
        <w:rPr>
          <w:rFonts w:hint="eastAsia" w:ascii="宋体" w:hAnsi="宋体" w:eastAsia="宋体" w:cs="宋体"/>
          <w:b/>
          <w:sz w:val="36"/>
          <w:szCs w:val="36"/>
          <w:highlight w:val="none"/>
          <w:u w:val="single"/>
        </w:rPr>
        <w:t xml:space="preserve">        </w:t>
      </w:r>
      <w:r>
        <w:rPr>
          <w:rFonts w:hint="eastAsia" w:ascii="宋体" w:hAnsi="宋体" w:eastAsia="宋体" w:cs="宋体"/>
          <w:b/>
          <w:sz w:val="36"/>
          <w:szCs w:val="36"/>
          <w:highlight w:val="none"/>
        </w:rPr>
        <w:t>年</w:t>
      </w:r>
      <w:r>
        <w:rPr>
          <w:rFonts w:hint="eastAsia" w:ascii="宋体" w:hAnsi="宋体" w:eastAsia="宋体" w:cs="宋体"/>
          <w:b/>
          <w:sz w:val="36"/>
          <w:szCs w:val="36"/>
          <w:highlight w:val="none"/>
          <w:u w:val="single"/>
        </w:rPr>
        <w:t xml:space="preserve">        </w:t>
      </w:r>
      <w:r>
        <w:rPr>
          <w:rFonts w:hint="eastAsia" w:ascii="宋体" w:hAnsi="宋体" w:eastAsia="宋体" w:cs="宋体"/>
          <w:b/>
          <w:sz w:val="36"/>
          <w:szCs w:val="36"/>
          <w:highlight w:val="none"/>
        </w:rPr>
        <w:t>月</w:t>
      </w:r>
      <w:r>
        <w:rPr>
          <w:rFonts w:hint="eastAsia" w:ascii="宋体" w:hAnsi="宋体" w:eastAsia="宋体" w:cs="宋体"/>
          <w:b/>
          <w:sz w:val="36"/>
          <w:szCs w:val="36"/>
          <w:highlight w:val="none"/>
          <w:u w:val="single"/>
        </w:rPr>
        <w:t xml:space="preserve">        </w:t>
      </w:r>
      <w:r>
        <w:rPr>
          <w:rFonts w:hint="eastAsia" w:ascii="宋体" w:hAnsi="宋体" w:eastAsia="宋体" w:cs="宋体"/>
          <w:b/>
          <w:sz w:val="36"/>
          <w:szCs w:val="36"/>
          <w:highlight w:val="none"/>
        </w:rPr>
        <w:t>日</w:t>
      </w:r>
    </w:p>
    <w:p>
      <w:pPr>
        <w:widowControl/>
        <w:jc w:val="left"/>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br w:type="page"/>
      </w:r>
    </w:p>
    <w:p>
      <w:pPr>
        <w:widowControl/>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1.承诺函</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2.法人或者其他组织的营业执照等证明文件，自然人的身份证明</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3.财务状况报告、依法缴纳税收和社会保障资金的相关材料</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4.履行合同所必需的设备和专业技术能力的证明材料</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5.具备法律、行政法规规定的其他条件的证明材料</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6.无重大违法记录的声明</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7.法定代表人（负责人）证明（如为授权委托人，还须提供授权委托书）</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8.同类项目经验案例</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9.报价一览表</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10.主要人员情况汇总表</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11.服务方案</w:t>
      </w:r>
    </w:p>
    <w:p>
      <w:pPr>
        <w:pStyle w:val="42"/>
        <w:snapToGrid w:val="0"/>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12.</w:t>
      </w:r>
      <w:r>
        <w:rPr>
          <w:rFonts w:hint="eastAsia" w:ascii="宋体" w:hAnsi="宋体" w:eastAsia="宋体" w:cs="宋体"/>
          <w:color w:val="auto"/>
          <w:sz w:val="24"/>
          <w:szCs w:val="24"/>
          <w:highlight w:val="none"/>
        </w:rPr>
        <w:t>服务承诺</w:t>
      </w:r>
    </w:p>
    <w:p>
      <w:pPr>
        <w:pStyle w:val="42"/>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认为有必要提供的其他资料（若有的话需要提供否则不用提供）。</w:t>
      </w:r>
    </w:p>
    <w:p>
      <w:pPr>
        <w:pStyle w:val="42"/>
        <w:snapToGrid w:val="0"/>
        <w:spacing w:line="360" w:lineRule="auto"/>
        <w:ind w:firstLine="480" w:firstLineChars="200"/>
        <w:rPr>
          <w:rFonts w:hint="eastAsia" w:ascii="宋体" w:hAnsi="宋体" w:eastAsia="宋体" w:cs="宋体"/>
          <w:bCs/>
          <w:sz w:val="24"/>
          <w:szCs w:val="24"/>
          <w:highlight w:val="none"/>
        </w:rPr>
      </w:pPr>
    </w:p>
    <w:p>
      <w:pPr>
        <w:pStyle w:val="42"/>
        <w:snapToGrid w:val="0"/>
        <w:spacing w:line="360" w:lineRule="auto"/>
        <w:ind w:firstLine="480" w:firstLineChars="200"/>
        <w:rPr>
          <w:rFonts w:hint="eastAsia" w:ascii="宋体" w:hAnsi="宋体" w:eastAsia="宋体" w:cs="宋体"/>
          <w:bCs/>
          <w:sz w:val="24"/>
          <w:szCs w:val="24"/>
          <w:highlight w:val="none"/>
        </w:rPr>
      </w:pPr>
    </w:p>
    <w:p>
      <w:pPr>
        <w:widowControl/>
        <w:jc w:val="left"/>
        <w:rPr>
          <w:rFonts w:hint="eastAsia" w:ascii="宋体" w:hAnsi="宋体" w:eastAsia="宋体" w:cs="宋体"/>
          <w:b/>
          <w:bCs/>
          <w:highlight w:val="none"/>
        </w:rPr>
      </w:pPr>
      <w:r>
        <w:rPr>
          <w:rFonts w:hint="eastAsia" w:ascii="宋体" w:hAnsi="宋体" w:eastAsia="宋体" w:cs="宋体"/>
          <w:b/>
          <w:bCs/>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一、承诺函</w:t>
      </w:r>
    </w:p>
    <w:p>
      <w:pPr>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河北丰信工程咨询有限公司：</w:t>
      </w:r>
    </w:p>
    <w:p>
      <w:pPr>
        <w:tabs>
          <w:tab w:val="left" w:pos="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供应商</w:t>
      </w:r>
      <w:r>
        <w:rPr>
          <w:rFonts w:hint="eastAsia" w:ascii="宋体" w:hAnsi="宋体" w:eastAsia="宋体" w:cs="宋体"/>
          <w:sz w:val="24"/>
          <w:szCs w:val="24"/>
          <w:highlight w:val="none"/>
          <w:u w:val="single"/>
        </w:rPr>
        <w:t>全称）</w:t>
      </w:r>
      <w:r>
        <w:rPr>
          <w:rFonts w:hint="eastAsia" w:ascii="宋体" w:hAnsi="宋体" w:eastAsia="宋体" w:cs="宋体"/>
          <w:sz w:val="24"/>
          <w:highlight w:val="none"/>
        </w:rPr>
        <w:t>已详细阅读了贵方关于</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采购项目</w:t>
      </w:r>
      <w:r>
        <w:rPr>
          <w:rFonts w:hint="eastAsia" w:ascii="宋体" w:hAnsi="宋体" w:eastAsia="宋体" w:cs="宋体"/>
          <w:sz w:val="24"/>
          <w:highlight w:val="none"/>
          <w:u w:val="single"/>
        </w:rPr>
        <w:t>（项目编号：）</w:t>
      </w:r>
      <w:r>
        <w:rPr>
          <w:rFonts w:hint="eastAsia" w:ascii="宋体" w:hAnsi="宋体" w:eastAsia="宋体" w:cs="宋体"/>
          <w:sz w:val="24"/>
          <w:highlight w:val="none"/>
        </w:rPr>
        <w:t>招标文件的全部内容，决定接受此招标文件的全部要求并</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（姓名）（职务）</w:t>
      </w:r>
      <w:r>
        <w:rPr>
          <w:rFonts w:hint="eastAsia" w:ascii="宋体" w:hAnsi="宋体" w:eastAsia="宋体" w:cs="宋体"/>
          <w:sz w:val="24"/>
          <w:szCs w:val="24"/>
          <w:highlight w:val="none"/>
        </w:rPr>
        <w:t>为我方的全权代表参加本次的招标活动并投标。</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据此我方郑重声明以下诸点并对之负法律责任：</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我方已详细阅读了招标文件的全部内容并同意其规定，包括修改文件（如有的话）以及全部参考资料和有关附件，我方接受招标文件的全部要求，对此项目进行全部响应。</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2.我们完全同意放弃对招标文件有不明及误解的权利。如果由于我方对招标文件规定的任何误解和忽略而导致中标后发生的任何风险，其责任由我方自负。</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.我方承诺在合同签订生效</w:t>
      </w:r>
      <w:r>
        <w:rPr>
          <w:rFonts w:hint="eastAsia" w:ascii="宋体" w:hAnsi="宋体" w:eastAsia="宋体" w:cs="宋体"/>
          <w:sz w:val="24"/>
          <w:highlight w:val="none"/>
          <w:lang w:val="en-US" w:eastAsia="zh-CN"/>
        </w:rPr>
        <w:t>之日起</w:t>
      </w:r>
      <w:r>
        <w:rPr>
          <w:rFonts w:hint="eastAsia" w:ascii="宋体" w:hAnsi="宋体" w:eastAsia="宋体" w:cs="宋体"/>
          <w:sz w:val="24"/>
          <w:highlight w:val="none"/>
        </w:rPr>
        <w:t>服务期限为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个月。</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.如果贵方接受我方投标文件，我方将按招标文件的规定与贵方签订合同并全面履行合同责任和义务。</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.我方的投标文件投标有效期从提交投标文件的截止之日起算有效期为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天（日历天）。在该期限届满之前，本投标文件对我方始终有约束力。</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.我方承诺所提供的任何资料都是真实可靠的,若中标后提供的原件与投标文件中的扫描件不一致，我方承担一切法律后果。</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.我方承诺严格遵守政府采购法等相关法律法规，廉洁自律，在本项目中无围标串标，愿意接受相关部门的监督，如有问题接受相应行政处罚和失信惩戒。</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.与我方有关的一切正式往来通讯请寄：</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地址：              </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电话：           </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其它联系方法：      </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bCs/>
          <w:sz w:val="24"/>
          <w:szCs w:val="24"/>
          <w:highlight w:val="none"/>
        </w:rPr>
        <w:t>（负责人）</w:t>
      </w:r>
      <w:r>
        <w:rPr>
          <w:rFonts w:hint="eastAsia" w:ascii="宋体" w:hAnsi="宋体" w:eastAsia="宋体" w:cs="宋体"/>
          <w:sz w:val="24"/>
          <w:highlight w:val="none"/>
        </w:rPr>
        <w:t>（或授权委托人）：(</w:t>
      </w:r>
      <w:r>
        <w:rPr>
          <w:rFonts w:hint="eastAsia" w:ascii="宋体" w:hAnsi="宋体" w:eastAsia="宋体" w:cs="宋体"/>
          <w:sz w:val="24"/>
          <w:highlight w:val="none"/>
          <w:lang w:val="en-US" w:eastAsia="zh-CN"/>
        </w:rPr>
        <w:t>盖章或签字</w:t>
      </w:r>
      <w:r>
        <w:rPr>
          <w:rFonts w:hint="eastAsia" w:ascii="宋体" w:hAnsi="宋体" w:eastAsia="宋体" w:cs="宋体"/>
          <w:sz w:val="24"/>
          <w:highlight w:val="none"/>
        </w:rPr>
        <w:t xml:space="preserve">)                 </w:t>
      </w:r>
    </w:p>
    <w:p>
      <w:pPr>
        <w:snapToGrid w:val="0"/>
        <w:spacing w:line="360" w:lineRule="auto"/>
        <w:jc w:val="center"/>
        <w:rPr>
          <w:rFonts w:hint="eastAsia" w:ascii="宋体" w:hAnsi="宋体" w:eastAsia="宋体" w:cs="宋体"/>
          <w:sz w:val="24"/>
          <w:highlight w:val="none"/>
        </w:rPr>
      </w:pPr>
    </w:p>
    <w:p>
      <w:pPr>
        <w:snapToGrid w:val="0"/>
        <w:spacing w:line="360" w:lineRule="auto"/>
        <w:jc w:val="center"/>
        <w:rPr>
          <w:rFonts w:hint="eastAsia" w:ascii="宋体" w:hAnsi="宋体" w:eastAsia="宋体" w:cs="宋体"/>
          <w:sz w:val="24"/>
          <w:highlight w:val="none"/>
        </w:rPr>
      </w:pPr>
    </w:p>
    <w:p>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（全称）: （</w:t>
      </w:r>
      <w:r>
        <w:rPr>
          <w:rFonts w:hint="eastAsia" w:ascii="宋体" w:hAnsi="宋体" w:eastAsia="宋体" w:cs="宋体"/>
          <w:sz w:val="24"/>
          <w:highlight w:val="none"/>
          <w:lang w:val="en-US" w:eastAsia="zh-CN"/>
        </w:rPr>
        <w:t>盖章</w:t>
      </w:r>
      <w:r>
        <w:rPr>
          <w:rFonts w:hint="eastAsia" w:ascii="宋体" w:hAnsi="宋体" w:eastAsia="宋体" w:cs="宋体"/>
          <w:sz w:val="24"/>
          <w:highlight w:val="none"/>
        </w:rPr>
        <w:t xml:space="preserve">） </w:t>
      </w:r>
    </w:p>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highlight w:val="none"/>
        </w:rPr>
        <w:t>年  月  日</w:t>
      </w:r>
    </w:p>
    <w:p>
      <w:pPr>
        <w:widowControl/>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pStyle w:val="3"/>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二、法人或者其他组织的营业执照等证明文件，自然人的身份证明</w:t>
      </w:r>
    </w:p>
    <w:p>
      <w:pPr>
        <w:widowControl/>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人包括企业法人、机关法人、事业单位法人和社会团体法人。其他组织主要包括合伙企业、非企业专业服务机构、个体工商户、农村承包经营户。自然人是指《中华人民共和国民法总则》（以下简称《民法总则》）规定的具有完全民事行为能力、能够承担民事责任和义务的公民。并加盖电子签章。</w:t>
      </w:r>
    </w:p>
    <w:p>
      <w:pPr>
        <w:widowControl/>
        <w:adjustRightInd w:val="0"/>
        <w:snapToGrid w:val="0"/>
        <w:spacing w:line="360" w:lineRule="auto"/>
        <w:ind w:firstLine="321" w:firstLineChars="100"/>
        <w:outlineLvl w:val="1"/>
        <w:rPr>
          <w:rFonts w:hint="eastAsia" w:ascii="宋体" w:hAnsi="宋体" w:eastAsia="宋体" w:cs="宋体"/>
          <w:b/>
          <w:sz w:val="24"/>
          <w:highlight w:val="none"/>
        </w:rPr>
      </w:pPr>
      <w:r>
        <w:rPr>
          <w:rFonts w:hint="eastAsia" w:ascii="宋体" w:hAnsi="宋体" w:eastAsia="宋体" w:cs="宋体"/>
          <w:b/>
          <w:sz w:val="32"/>
          <w:szCs w:val="32"/>
          <w:highlight w:val="none"/>
        </w:rPr>
        <w:t>三、财务状况报告、依法缴纳税收和社会保障资金的相关材料</w:t>
      </w:r>
    </w:p>
    <w:p>
      <w:pPr>
        <w:spacing w:before="215"/>
        <w:ind w:left="292" w:right="133"/>
        <w:jc w:val="center"/>
        <w:rPr>
          <w:rFonts w:hint="eastAsia" w:ascii="宋体" w:hAnsi="宋体" w:eastAsia="宋体" w:cs="宋体"/>
          <w:b/>
          <w:sz w:val="32"/>
          <w:highlight w:val="none"/>
        </w:rPr>
      </w:pPr>
      <w:r>
        <w:rPr>
          <w:rFonts w:hint="eastAsia" w:ascii="宋体" w:hAnsi="宋体" w:eastAsia="宋体" w:cs="宋体"/>
          <w:b/>
          <w:sz w:val="32"/>
          <w:highlight w:val="none"/>
        </w:rPr>
        <w:t>承诺函</w:t>
      </w:r>
      <w:r>
        <w:rPr>
          <w:rFonts w:hint="eastAsia" w:ascii="宋体" w:hAnsi="宋体" w:eastAsia="宋体" w:cs="宋体"/>
          <w:b/>
          <w:w w:val="98"/>
          <w:sz w:val="32"/>
          <w:highlight w:val="none"/>
        </w:rPr>
        <w:t xml:space="preserve"> </w:t>
      </w:r>
    </w:p>
    <w:p>
      <w:pPr>
        <w:pStyle w:val="9"/>
        <w:spacing w:before="1"/>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(采购人)     </w:t>
      </w:r>
      <w:r>
        <w:rPr>
          <w:rFonts w:hint="eastAsia" w:ascii="宋体" w:hAnsi="宋体" w:eastAsia="宋体" w:cs="宋体"/>
          <w:sz w:val="24"/>
          <w:szCs w:val="24"/>
          <w:highlight w:val="non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sz w:val="24"/>
          <w:szCs w:val="24"/>
          <w:highlight w:val="none"/>
        </w:rPr>
      </w:pPr>
    </w:p>
    <w:p>
      <w:pPr>
        <w:pStyle w:val="9"/>
        <w:keepNext w:val="0"/>
        <w:keepLines w:val="0"/>
        <w:pageBreakBefore w:val="0"/>
        <w:widowControl w:val="0"/>
        <w:tabs>
          <w:tab w:val="left" w:pos="2668"/>
        </w:tabs>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我公司</w:t>
      </w:r>
      <w:r>
        <w:rPr>
          <w:rFonts w:hint="eastAsia" w:ascii="宋体" w:hAnsi="宋体" w:eastAsia="宋体" w:cs="宋体"/>
          <w:spacing w:val="0"/>
          <w:sz w:val="24"/>
          <w:szCs w:val="24"/>
          <w:highlight w:val="none"/>
          <w:u w:val="single"/>
        </w:rPr>
        <w:t xml:space="preserve"> </w:t>
      </w:r>
      <w:r>
        <w:rPr>
          <w:rFonts w:hint="eastAsia" w:ascii="宋体" w:hAnsi="宋体" w:eastAsia="宋体" w:cs="宋体"/>
          <w:spacing w:val="0"/>
          <w:sz w:val="24"/>
          <w:szCs w:val="24"/>
          <w:highlight w:val="none"/>
          <w:u w:val="single"/>
        </w:rPr>
        <w:tab/>
      </w:r>
      <w:r>
        <w:rPr>
          <w:rFonts w:hint="eastAsia" w:ascii="宋体" w:hAnsi="宋体" w:eastAsia="宋体" w:cs="宋体"/>
          <w:spacing w:val="0"/>
          <w:sz w:val="24"/>
          <w:szCs w:val="24"/>
          <w:highlight w:val="none"/>
          <w:u w:val="single"/>
        </w:rPr>
        <w:t>（供应商全称）</w:t>
      </w:r>
      <w:r>
        <w:rPr>
          <w:rFonts w:hint="eastAsia" w:ascii="宋体" w:hAnsi="宋体" w:eastAsia="宋体" w:cs="宋体"/>
          <w:spacing w:val="0"/>
          <w:sz w:val="24"/>
          <w:szCs w:val="24"/>
          <w:highlight w:val="none"/>
        </w:rPr>
        <w:t>承诺参加本次</w:t>
      </w:r>
      <w:r>
        <w:rPr>
          <w:rFonts w:hint="eastAsia" w:ascii="宋体" w:hAnsi="宋体" w:eastAsia="宋体" w:cs="宋体"/>
          <w:sz w:val="24"/>
          <w:highlight w:val="none"/>
        </w:rPr>
        <w:t>采购活动</w:t>
      </w:r>
      <w:r>
        <w:rPr>
          <w:rFonts w:hint="eastAsia" w:ascii="宋体" w:hAnsi="宋体" w:eastAsia="宋体" w:cs="宋体"/>
          <w:spacing w:val="0"/>
          <w:sz w:val="24"/>
          <w:szCs w:val="24"/>
          <w:highlight w:val="none"/>
        </w:rPr>
        <w:t>时具有健全的财务会计制度、依法缴纳税收（或为依法免税的供应商）和依法缴纳社会保障资金良好记录（或为依法无需缴纳社会保障资金的供应商）。</w:t>
      </w:r>
    </w:p>
    <w:p>
      <w:pPr>
        <w:pStyle w:val="9"/>
        <w:ind w:left="0"/>
        <w:rPr>
          <w:rFonts w:hint="eastAsia" w:ascii="宋体" w:hAnsi="宋体" w:eastAsia="宋体" w:cs="宋体"/>
          <w:sz w:val="24"/>
          <w:szCs w:val="24"/>
          <w:highlight w:val="none"/>
        </w:rPr>
      </w:pPr>
    </w:p>
    <w:p>
      <w:pPr>
        <w:pStyle w:val="9"/>
        <w:spacing w:before="6"/>
        <w:ind w:left="0"/>
        <w:rPr>
          <w:rFonts w:hint="eastAsia" w:ascii="宋体" w:hAnsi="宋体" w:eastAsia="宋体" w:cs="宋体"/>
          <w:sz w:val="24"/>
          <w:szCs w:val="24"/>
          <w:highlight w:val="none"/>
        </w:rPr>
      </w:pPr>
    </w:p>
    <w:p>
      <w:pPr>
        <w:pStyle w:val="9"/>
        <w:keepNext w:val="0"/>
        <w:keepLines w:val="0"/>
        <w:pageBreakBefore w:val="0"/>
        <w:kinsoku/>
        <w:wordWrap/>
        <w:overflowPunct/>
        <w:topLinePunct w:val="0"/>
        <w:autoSpaceDE/>
        <w:autoSpaceDN/>
        <w:bidi w:val="0"/>
        <w:adjustRightInd/>
        <w:spacing w:after="0" w:line="360" w:lineRule="auto"/>
        <w:ind w:lef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（供应商全称加盖</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rPr>
        <w:t xml:space="preserve">章） </w:t>
      </w:r>
    </w:p>
    <w:p>
      <w:pPr>
        <w:pStyle w:val="9"/>
        <w:keepNext w:val="0"/>
        <w:keepLines w:val="0"/>
        <w:pageBreakBefore w:val="0"/>
        <w:kinsoku/>
        <w:wordWrap/>
        <w:overflowPunct/>
        <w:topLinePunct w:val="0"/>
        <w:autoSpaceDE/>
        <w:autoSpaceDN/>
        <w:bidi w:val="0"/>
        <w:adjustRightInd/>
        <w:spacing w:after="0" w:line="360" w:lineRule="auto"/>
        <w:ind w:left="0" w:firstLine="480" w:firstLineChars="200"/>
        <w:jc w:val="right"/>
        <w:textAlignment w:val="auto"/>
        <w:rPr>
          <w:rFonts w:hint="eastAsia" w:ascii="宋体" w:hAnsi="宋体" w:eastAsia="宋体" w:cs="宋体"/>
          <w:sz w:val="24"/>
          <w:szCs w:val="24"/>
          <w:highlight w:val="none"/>
        </w:rPr>
      </w:pPr>
    </w:p>
    <w:p>
      <w:pPr>
        <w:pStyle w:val="9"/>
        <w:keepNext w:val="0"/>
        <w:keepLines w:val="0"/>
        <w:pageBreakBefore w:val="0"/>
        <w:tabs>
          <w:tab w:val="left" w:pos="7247"/>
        </w:tabs>
        <w:kinsoku/>
        <w:wordWrap/>
        <w:overflowPunct/>
        <w:topLinePunct w:val="0"/>
        <w:autoSpaceDE/>
        <w:autoSpaceDN/>
        <w:bidi w:val="0"/>
        <w:adjustRightInd/>
        <w:spacing w:after="0" w:line="360" w:lineRule="auto"/>
        <w:ind w:left="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w:t>
      </w:r>
      <w:r>
        <w:rPr>
          <w:rFonts w:hint="eastAsia" w:ascii="宋体" w:hAnsi="宋体" w:eastAsia="宋体" w:cs="宋体"/>
          <w:sz w:val="24"/>
          <w:szCs w:val="24"/>
          <w:highlight w:val="none"/>
          <w:lang w:val="en-US" w:eastAsia="zh-CN"/>
        </w:rPr>
        <w:t>字</w:t>
      </w:r>
      <w:r>
        <w:rPr>
          <w:rFonts w:hint="eastAsia" w:ascii="宋体" w:hAnsi="宋体" w:eastAsia="宋体" w:cs="宋体"/>
          <w:sz w:val="24"/>
          <w:szCs w:val="24"/>
          <w:highlight w:val="none"/>
        </w:rPr>
        <w:t>）</w:t>
      </w:r>
    </w:p>
    <w:p>
      <w:pPr>
        <w:pStyle w:val="9"/>
        <w:keepNext w:val="0"/>
        <w:keepLines w:val="0"/>
        <w:pageBreakBefore w:val="0"/>
        <w:kinsoku/>
        <w:wordWrap/>
        <w:overflowPunct/>
        <w:topLinePunct w:val="0"/>
        <w:autoSpaceDE/>
        <w:autoSpaceDN/>
        <w:bidi w:val="0"/>
        <w:adjustRightInd/>
        <w:spacing w:after="0" w:line="360" w:lineRule="auto"/>
        <w:ind w:left="0" w:firstLine="480" w:firstLineChars="200"/>
        <w:jc w:val="right"/>
        <w:textAlignment w:val="auto"/>
        <w:rPr>
          <w:rFonts w:hint="eastAsia" w:ascii="宋体" w:hAnsi="宋体" w:eastAsia="宋体" w:cs="宋体"/>
          <w:sz w:val="24"/>
          <w:szCs w:val="24"/>
          <w:highlight w:val="none"/>
        </w:rPr>
      </w:pPr>
    </w:p>
    <w:p>
      <w:pPr>
        <w:jc w:val="right"/>
        <w:rPr>
          <w:rFonts w:hint="eastAsia" w:ascii="宋体" w:hAnsi="宋体" w:eastAsia="宋体" w:cs="宋体"/>
          <w:sz w:val="24"/>
          <w:highlight w:val="none"/>
        </w:rPr>
      </w:pPr>
      <w:r>
        <w:rPr>
          <w:rFonts w:hint="eastAsia" w:ascii="宋体" w:hAnsi="宋体" w:eastAsia="宋体" w:cs="宋体"/>
          <w:sz w:val="24"/>
          <w:szCs w:val="24"/>
          <w:highlight w:val="none"/>
        </w:rPr>
        <w:t>时间：      年</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月   日</w:t>
      </w:r>
      <w:r>
        <w:rPr>
          <w:rFonts w:hint="eastAsia" w:ascii="宋体" w:hAnsi="宋体" w:eastAsia="宋体" w:cs="宋体"/>
          <w:sz w:val="24"/>
          <w:highlight w:val="none"/>
        </w:rPr>
        <w:br w:type="page"/>
      </w:r>
    </w:p>
    <w:p>
      <w:pPr>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四、履行合同所必需的设备和专业技术能力的证明材料</w:t>
      </w:r>
    </w:p>
    <w:p>
      <w:pPr>
        <w:jc w:val="center"/>
        <w:rPr>
          <w:rFonts w:hint="eastAsia" w:ascii="宋体" w:hAnsi="宋体" w:eastAsia="宋体" w:cs="宋体"/>
          <w:sz w:val="24"/>
          <w:highlight w:val="none"/>
        </w:rPr>
      </w:pPr>
      <w:r>
        <w:rPr>
          <w:rFonts w:hint="eastAsia" w:ascii="宋体" w:hAnsi="宋体" w:eastAsia="宋体" w:cs="宋体"/>
          <w:sz w:val="24"/>
          <w:highlight w:val="none"/>
        </w:rPr>
        <w:t>主要是指</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履行合同的设备和专业技术人员等。按照下列</w:t>
      </w:r>
      <w:r>
        <w:rPr>
          <w:rFonts w:hint="eastAsia" w:ascii="宋体" w:hAnsi="宋体" w:eastAsia="宋体" w:cs="宋体"/>
          <w:b/>
          <w:bCs/>
          <w:sz w:val="24"/>
          <w:highlight w:val="none"/>
        </w:rPr>
        <w:t>企业概况</w:t>
      </w:r>
      <w:r>
        <w:rPr>
          <w:rFonts w:hint="eastAsia" w:ascii="宋体" w:hAnsi="宋体" w:eastAsia="宋体" w:cs="宋体"/>
          <w:sz w:val="24"/>
          <w:highlight w:val="none"/>
        </w:rPr>
        <w:t>内容进行填写:</w:t>
      </w:r>
    </w:p>
    <w:p>
      <w:pPr>
        <w:jc w:val="center"/>
        <w:rPr>
          <w:rFonts w:hint="eastAsia" w:ascii="宋体" w:hAnsi="宋体" w:eastAsia="宋体" w:cs="宋体"/>
          <w:sz w:val="24"/>
          <w:highlight w:val="none"/>
        </w:rPr>
      </w:pPr>
      <w:r>
        <w:rPr>
          <w:rFonts w:hint="eastAsia" w:ascii="宋体" w:hAnsi="宋体" w:eastAsia="宋体" w:cs="宋体"/>
          <w:b/>
          <w:bCs/>
          <w:sz w:val="24"/>
          <w:highlight w:val="none"/>
        </w:rPr>
        <w:t>企业概况</w:t>
      </w:r>
    </w:p>
    <w:tbl>
      <w:tblPr>
        <w:tblStyle w:val="2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198"/>
        <w:gridCol w:w="1452"/>
        <w:gridCol w:w="1920"/>
        <w:gridCol w:w="86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715"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p>
        </w:tc>
        <w:tc>
          <w:tcPr>
            <w:tcW w:w="7313" w:type="dxa"/>
            <w:gridSpan w:val="5"/>
            <w:vAlign w:val="center"/>
          </w:tcPr>
          <w:p>
            <w:pPr>
              <w:rPr>
                <w:rFonts w:hint="eastAsia" w:ascii="宋体" w:hAnsi="宋体" w:eastAsia="宋体" w:cs="宋体"/>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（全称）: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15" w:type="dxa"/>
            <w:vMerge w:val="restart"/>
            <w:vAlign w:val="center"/>
          </w:tcPr>
          <w:p>
            <w:pPr>
              <w:jc w:val="center"/>
              <w:rPr>
                <w:rFonts w:hint="eastAsia" w:ascii="宋体" w:hAnsi="宋体" w:eastAsia="宋体" w:cs="宋体"/>
                <w:highlight w:val="none"/>
              </w:rPr>
            </w:pPr>
            <w:r>
              <w:rPr>
                <w:rFonts w:hint="eastAsia" w:ascii="宋体" w:hAnsi="宋体" w:eastAsia="宋体" w:cs="宋体"/>
                <w:sz w:val="24"/>
                <w:highlight w:val="none"/>
              </w:rPr>
              <w:t>联系方式</w:t>
            </w:r>
          </w:p>
        </w:tc>
        <w:tc>
          <w:tcPr>
            <w:tcW w:w="119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联系人</w:t>
            </w:r>
          </w:p>
        </w:tc>
        <w:tc>
          <w:tcPr>
            <w:tcW w:w="1452" w:type="dxa"/>
            <w:vAlign w:val="center"/>
          </w:tcPr>
          <w:p>
            <w:pPr>
              <w:jc w:val="center"/>
              <w:rPr>
                <w:rFonts w:hint="eastAsia" w:ascii="宋体" w:hAnsi="宋体" w:eastAsia="宋体" w:cs="宋体"/>
                <w:highlight w:val="none"/>
              </w:rPr>
            </w:pPr>
          </w:p>
        </w:tc>
        <w:tc>
          <w:tcPr>
            <w:tcW w:w="1920"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联系电话</w:t>
            </w:r>
          </w:p>
        </w:tc>
        <w:tc>
          <w:tcPr>
            <w:tcW w:w="2743" w:type="dxa"/>
            <w:gridSpan w:val="2"/>
            <w:vAlign w:val="center"/>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15" w:type="dxa"/>
            <w:vMerge w:val="continue"/>
            <w:vAlign w:val="center"/>
          </w:tcPr>
          <w:p>
            <w:pPr>
              <w:jc w:val="center"/>
              <w:rPr>
                <w:rFonts w:hint="eastAsia" w:ascii="宋体" w:hAnsi="宋体" w:eastAsia="宋体" w:cs="宋体"/>
                <w:highlight w:val="none"/>
              </w:rPr>
            </w:pPr>
          </w:p>
        </w:tc>
        <w:tc>
          <w:tcPr>
            <w:tcW w:w="119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传 真</w:t>
            </w:r>
          </w:p>
        </w:tc>
        <w:tc>
          <w:tcPr>
            <w:tcW w:w="1452" w:type="dxa"/>
            <w:vAlign w:val="center"/>
          </w:tcPr>
          <w:p>
            <w:pPr>
              <w:jc w:val="center"/>
              <w:rPr>
                <w:rFonts w:hint="eastAsia" w:ascii="宋体" w:hAnsi="宋体" w:eastAsia="宋体" w:cs="宋体"/>
                <w:highlight w:val="none"/>
              </w:rPr>
            </w:pPr>
          </w:p>
        </w:tc>
        <w:tc>
          <w:tcPr>
            <w:tcW w:w="1920"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邮政编码</w:t>
            </w:r>
          </w:p>
        </w:tc>
        <w:tc>
          <w:tcPr>
            <w:tcW w:w="2743" w:type="dxa"/>
            <w:gridSpan w:val="2"/>
            <w:vAlign w:val="center"/>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15"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法定代表人（负责人）</w:t>
            </w:r>
          </w:p>
        </w:tc>
        <w:tc>
          <w:tcPr>
            <w:tcW w:w="1198"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姓名</w:t>
            </w:r>
          </w:p>
        </w:tc>
        <w:tc>
          <w:tcPr>
            <w:tcW w:w="3372" w:type="dxa"/>
            <w:gridSpan w:val="2"/>
            <w:vAlign w:val="center"/>
          </w:tcPr>
          <w:p>
            <w:pPr>
              <w:jc w:val="center"/>
              <w:rPr>
                <w:rFonts w:hint="eastAsia" w:ascii="宋体" w:hAnsi="宋体" w:eastAsia="宋体" w:cs="宋体"/>
                <w:sz w:val="24"/>
                <w:highlight w:val="none"/>
              </w:rPr>
            </w:pPr>
          </w:p>
        </w:tc>
        <w:tc>
          <w:tcPr>
            <w:tcW w:w="864"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1879" w:type="dxa"/>
            <w:vAlign w:val="center"/>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15"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开户银行</w:t>
            </w:r>
          </w:p>
        </w:tc>
        <w:tc>
          <w:tcPr>
            <w:tcW w:w="2650" w:type="dxa"/>
            <w:gridSpan w:val="2"/>
          </w:tcPr>
          <w:p>
            <w:pPr>
              <w:jc w:val="center"/>
              <w:rPr>
                <w:rFonts w:hint="eastAsia" w:ascii="宋体" w:hAnsi="宋体" w:eastAsia="宋体" w:cs="宋体"/>
                <w:sz w:val="24"/>
                <w:highlight w:val="none"/>
              </w:rPr>
            </w:pPr>
          </w:p>
        </w:tc>
        <w:tc>
          <w:tcPr>
            <w:tcW w:w="1920"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开户银行账号</w:t>
            </w:r>
          </w:p>
        </w:tc>
        <w:tc>
          <w:tcPr>
            <w:tcW w:w="2743" w:type="dxa"/>
            <w:gridSpan w:val="2"/>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15"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员工总人数</w:t>
            </w:r>
          </w:p>
        </w:tc>
        <w:tc>
          <w:tcPr>
            <w:tcW w:w="7313" w:type="dxa"/>
            <w:gridSpan w:val="5"/>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15" w:type="dxa"/>
            <w:vMerge w:val="restart"/>
            <w:vAlign w:val="center"/>
          </w:tcPr>
          <w:p>
            <w:pPr>
              <w:jc w:val="center"/>
              <w:rPr>
                <w:rFonts w:hint="eastAsia" w:ascii="宋体" w:hAnsi="宋体" w:eastAsia="宋体" w:cs="宋体"/>
                <w:highlight w:val="none"/>
              </w:rPr>
            </w:pPr>
            <w:r>
              <w:rPr>
                <w:rFonts w:hint="eastAsia" w:ascii="宋体" w:hAnsi="宋体" w:eastAsia="宋体" w:cs="宋体"/>
                <w:sz w:val="24"/>
                <w:highlight w:val="none"/>
              </w:rPr>
              <w:t>其中技术人员</w:t>
            </w:r>
          </w:p>
        </w:tc>
        <w:tc>
          <w:tcPr>
            <w:tcW w:w="2650" w:type="dxa"/>
            <w:gridSpan w:val="2"/>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高级职称人员</w:t>
            </w:r>
          </w:p>
        </w:tc>
        <w:tc>
          <w:tcPr>
            <w:tcW w:w="4663" w:type="dxa"/>
            <w:gridSpan w:val="3"/>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715" w:type="dxa"/>
            <w:vMerge w:val="continue"/>
            <w:vAlign w:val="center"/>
          </w:tcPr>
          <w:p>
            <w:pPr>
              <w:jc w:val="center"/>
              <w:rPr>
                <w:rFonts w:hint="eastAsia" w:ascii="宋体" w:hAnsi="宋体" w:eastAsia="宋体" w:cs="宋体"/>
                <w:sz w:val="24"/>
                <w:highlight w:val="none"/>
              </w:rPr>
            </w:pPr>
          </w:p>
        </w:tc>
        <w:tc>
          <w:tcPr>
            <w:tcW w:w="2650" w:type="dxa"/>
            <w:gridSpan w:val="2"/>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中级职称人员</w:t>
            </w:r>
          </w:p>
        </w:tc>
        <w:tc>
          <w:tcPr>
            <w:tcW w:w="4663" w:type="dxa"/>
            <w:gridSpan w:val="3"/>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715" w:type="dxa"/>
            <w:vMerge w:val="continue"/>
            <w:vAlign w:val="center"/>
          </w:tcPr>
          <w:p>
            <w:pPr>
              <w:jc w:val="center"/>
              <w:rPr>
                <w:rFonts w:hint="eastAsia" w:ascii="宋体" w:hAnsi="宋体" w:eastAsia="宋体" w:cs="宋体"/>
                <w:highlight w:val="none"/>
              </w:rPr>
            </w:pPr>
          </w:p>
        </w:tc>
        <w:tc>
          <w:tcPr>
            <w:tcW w:w="2650" w:type="dxa"/>
            <w:gridSpan w:val="2"/>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初级职称人员</w:t>
            </w:r>
          </w:p>
        </w:tc>
        <w:tc>
          <w:tcPr>
            <w:tcW w:w="4663" w:type="dxa"/>
            <w:gridSpan w:val="3"/>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15" w:type="dxa"/>
            <w:vMerge w:val="continue"/>
            <w:vAlign w:val="center"/>
          </w:tcPr>
          <w:p>
            <w:pPr>
              <w:jc w:val="center"/>
              <w:rPr>
                <w:rFonts w:hint="eastAsia" w:ascii="宋体" w:hAnsi="宋体" w:eastAsia="宋体" w:cs="宋体"/>
                <w:sz w:val="24"/>
                <w:highlight w:val="none"/>
              </w:rPr>
            </w:pPr>
          </w:p>
        </w:tc>
        <w:tc>
          <w:tcPr>
            <w:tcW w:w="2650" w:type="dxa"/>
            <w:gridSpan w:val="2"/>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技工</w:t>
            </w:r>
          </w:p>
        </w:tc>
        <w:tc>
          <w:tcPr>
            <w:tcW w:w="4663" w:type="dxa"/>
            <w:gridSpan w:val="3"/>
          </w:tcPr>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715"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经营范围</w:t>
            </w:r>
          </w:p>
        </w:tc>
        <w:tc>
          <w:tcPr>
            <w:tcW w:w="7313" w:type="dxa"/>
            <w:gridSpan w:val="5"/>
          </w:tcPr>
          <w:p>
            <w:pPr>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715" w:type="dxa"/>
            <w:vAlign w:val="center"/>
          </w:tcPr>
          <w:p>
            <w:pPr>
              <w:jc w:val="center"/>
              <w:rPr>
                <w:rFonts w:hint="eastAsia" w:ascii="宋体" w:hAnsi="宋体" w:eastAsia="宋体" w:cs="宋体"/>
                <w:highlight w:val="none"/>
              </w:rPr>
            </w:pPr>
            <w:r>
              <w:rPr>
                <w:rFonts w:hint="eastAsia" w:ascii="宋体" w:hAnsi="宋体" w:eastAsia="宋体" w:cs="宋体"/>
                <w:sz w:val="24"/>
                <w:highlight w:val="none"/>
              </w:rPr>
              <w:t>主要设备</w:t>
            </w:r>
          </w:p>
        </w:tc>
        <w:tc>
          <w:tcPr>
            <w:tcW w:w="7313" w:type="dxa"/>
            <w:gridSpan w:val="5"/>
          </w:tcPr>
          <w:p>
            <w:pPr>
              <w:jc w:val="center"/>
              <w:rPr>
                <w:rFonts w:hint="eastAsia" w:ascii="宋体" w:hAnsi="宋体" w:eastAsia="宋体" w:cs="宋体"/>
                <w:highlight w:val="none"/>
              </w:rPr>
            </w:pPr>
          </w:p>
          <w:p>
            <w:pPr>
              <w:jc w:val="center"/>
              <w:rPr>
                <w:rFonts w:hint="eastAsia" w:ascii="宋体" w:hAnsi="宋体" w:eastAsia="宋体" w:cs="宋体"/>
                <w:highlight w:val="none"/>
              </w:rPr>
            </w:pPr>
          </w:p>
        </w:tc>
      </w:tr>
    </w:tbl>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五、具备法律、行政法规规定的其他条件的证明材料（若有的话）</w:t>
      </w:r>
    </w:p>
    <w:p>
      <w:pPr>
        <w:widowControl/>
        <w:snapToGrid w:val="0"/>
        <w:spacing w:line="360" w:lineRule="auto"/>
        <w:ind w:right="1"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主要是指：国家或行业部门有专门的法律或行政法规规定，参加采购活动必须取得国家有关主管部门的行政许可或资质及开户许可证或加盖公章的基本账户开户银行的证明材料等采购项目要求的内容。</w:t>
      </w:r>
      <w:r>
        <w:rPr>
          <w:rFonts w:hint="eastAsia" w:ascii="宋体" w:hAnsi="宋体" w:eastAsia="宋体" w:cs="宋体"/>
          <w:sz w:val="24"/>
          <w:highlight w:val="none"/>
          <w:lang w:eastAsia="zh-CN"/>
        </w:rPr>
        <w:t>供应商</w:t>
      </w:r>
      <w:r>
        <w:rPr>
          <w:rFonts w:hint="eastAsia" w:ascii="宋体" w:hAnsi="宋体" w:eastAsia="宋体" w:cs="宋体"/>
          <w:sz w:val="24"/>
          <w:highlight w:val="none"/>
          <w:u w:val="single"/>
        </w:rPr>
        <w:t>根据采购项目情况进行填写。若本次采购不需要提供则不需要填写。</w:t>
      </w:r>
    </w:p>
    <w:p>
      <w:pPr>
        <w:jc w:val="left"/>
        <w:rPr>
          <w:rFonts w:hint="eastAsia" w:ascii="宋体" w:hAnsi="宋体" w:eastAsia="宋体" w:cs="宋体"/>
          <w:sz w:val="24"/>
          <w:highlight w:val="none"/>
        </w:rPr>
      </w:pPr>
    </w:p>
    <w:p>
      <w:pPr>
        <w:jc w:val="left"/>
        <w:rPr>
          <w:rFonts w:hint="eastAsia" w:ascii="宋体" w:hAnsi="宋体" w:eastAsia="宋体" w:cs="宋体"/>
          <w:sz w:val="24"/>
          <w:highlight w:val="none"/>
        </w:rPr>
      </w:pPr>
    </w:p>
    <w:p>
      <w:pPr>
        <w:widowControl/>
        <w:spacing w:beforeLines="50" w:afterLines="50" w:line="360" w:lineRule="auto"/>
        <w:jc w:val="center"/>
        <w:outlineLvl w:val="1"/>
        <w:rPr>
          <w:rFonts w:hint="eastAsia" w:ascii="宋体" w:hAnsi="宋体" w:eastAsia="宋体" w:cs="宋体"/>
          <w:b/>
          <w:highlight w:val="none"/>
        </w:rPr>
      </w:pPr>
      <w:r>
        <w:rPr>
          <w:rFonts w:hint="eastAsia" w:ascii="宋体" w:hAnsi="宋体" w:eastAsia="宋体" w:cs="宋体"/>
          <w:sz w:val="24"/>
          <w:highlight w:val="none"/>
        </w:rPr>
        <w:br w:type="page"/>
      </w:r>
      <w:r>
        <w:rPr>
          <w:rFonts w:hint="eastAsia" w:ascii="宋体" w:hAnsi="宋体" w:eastAsia="宋体" w:cs="宋体"/>
          <w:b/>
          <w:bCs/>
          <w:sz w:val="32"/>
          <w:szCs w:val="32"/>
          <w:highlight w:val="none"/>
        </w:rPr>
        <w:t>六、无重大违法记录的声明</w:t>
      </w:r>
    </w:p>
    <w:p>
      <w:pPr>
        <w:adjustRightInd w:val="0"/>
        <w:snapToGrid w:val="0"/>
        <w:spacing w:after="100" w:afterAutospacing="1" w:line="360" w:lineRule="auto"/>
        <w:rPr>
          <w:rFonts w:hint="eastAsia" w:ascii="宋体" w:hAnsi="宋体" w:eastAsia="宋体" w:cs="宋体"/>
          <w:bCs/>
          <w:sz w:val="24"/>
          <w:highlight w:val="none"/>
        </w:rPr>
      </w:pPr>
      <w:r>
        <w:rPr>
          <w:rFonts w:hint="eastAsia" w:ascii="宋体" w:hAnsi="宋体" w:eastAsia="宋体" w:cs="宋体"/>
          <w:bCs/>
          <w:sz w:val="24"/>
          <w:highlight w:val="none"/>
        </w:rPr>
        <w:t>河北丰信工程咨询有限公司：</w:t>
      </w:r>
    </w:p>
    <w:p>
      <w:pPr>
        <w:adjustRightInd w:val="0"/>
        <w:snapToGrid w:val="0"/>
        <w:spacing w:after="100" w:afterAutospacing="1"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我</w:t>
      </w:r>
      <w:r>
        <w:rPr>
          <w:rFonts w:hint="eastAsia" w:ascii="宋体" w:hAnsi="宋体" w:eastAsia="宋体" w:cs="宋体"/>
          <w:bCs/>
          <w:sz w:val="24"/>
          <w:highlight w:val="none"/>
          <w:u w:val="single"/>
        </w:rPr>
        <w:t xml:space="preserve">       （公司全称）     </w:t>
      </w:r>
      <w:r>
        <w:rPr>
          <w:rFonts w:hint="eastAsia" w:ascii="宋体" w:hAnsi="宋体" w:eastAsia="宋体" w:cs="宋体"/>
          <w:bCs/>
          <w:sz w:val="24"/>
          <w:highlight w:val="none"/>
        </w:rPr>
        <w:t>，在参加本次政府采购活动前三年内，在经营活动中没有重大违法、违纪记录。</w:t>
      </w:r>
    </w:p>
    <w:p>
      <w:pPr>
        <w:tabs>
          <w:tab w:val="center" w:pos="4936"/>
        </w:tabs>
        <w:adjustRightInd w:val="0"/>
        <w:snapToGrid w:val="0"/>
        <w:spacing w:after="100" w:afterAutospacing="1" w:line="360" w:lineRule="auto"/>
        <w:ind w:firstLine="352" w:firstLineChars="147"/>
        <w:rPr>
          <w:rFonts w:hint="eastAsia" w:ascii="宋体" w:hAnsi="宋体" w:eastAsia="宋体" w:cs="宋体"/>
          <w:bCs/>
          <w:sz w:val="24"/>
          <w:highlight w:val="none"/>
        </w:rPr>
      </w:pPr>
      <w:r>
        <w:rPr>
          <w:rFonts w:hint="eastAsia" w:ascii="宋体" w:hAnsi="宋体" w:eastAsia="宋体" w:cs="宋体"/>
          <w:bCs/>
          <w:sz w:val="24"/>
          <w:highlight w:val="none"/>
        </w:rPr>
        <w:t>特此郑重声明！</w:t>
      </w:r>
      <w:r>
        <w:rPr>
          <w:rFonts w:hint="eastAsia" w:ascii="宋体" w:hAnsi="宋体" w:eastAsia="宋体" w:cs="宋体"/>
          <w:bCs/>
          <w:sz w:val="24"/>
          <w:highlight w:val="none"/>
        </w:rPr>
        <w:tab/>
      </w:r>
    </w:p>
    <w:p>
      <w:pPr>
        <w:adjustRightInd w:val="0"/>
        <w:snapToGrid w:val="0"/>
        <w:spacing w:after="100" w:afterAutospacing="1" w:line="360" w:lineRule="auto"/>
        <w:rPr>
          <w:rFonts w:hint="eastAsia" w:ascii="宋体" w:hAnsi="宋体" w:eastAsia="宋体" w:cs="宋体"/>
          <w:bCs/>
          <w:sz w:val="24"/>
          <w:highlight w:val="none"/>
        </w:rPr>
      </w:pPr>
      <w:r>
        <w:rPr>
          <w:rFonts w:hint="eastAsia" w:ascii="宋体" w:hAnsi="宋体" w:eastAsia="宋体" w:cs="宋体"/>
          <w:bCs/>
          <w:sz w:val="24"/>
          <w:highlight w:val="none"/>
        </w:rPr>
        <w:t>法定代表人（负责人）：</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w:t>
      </w:r>
      <w:r>
        <w:rPr>
          <w:rFonts w:hint="eastAsia" w:ascii="宋体" w:hAnsi="宋体" w:eastAsia="宋体" w:cs="宋体"/>
          <w:sz w:val="24"/>
          <w:highlight w:val="none"/>
        </w:rPr>
        <w:t>盖章或签字</w:t>
      </w:r>
      <w:r>
        <w:rPr>
          <w:rFonts w:hint="eastAsia" w:ascii="宋体" w:hAnsi="宋体" w:eastAsia="宋体" w:cs="宋体"/>
          <w:bCs/>
          <w:sz w:val="24"/>
          <w:highlight w:val="none"/>
        </w:rPr>
        <w:t xml:space="preserve">）                          </w:t>
      </w:r>
    </w:p>
    <w:p>
      <w:pPr>
        <w:adjustRightInd w:val="0"/>
        <w:snapToGrid w:val="0"/>
        <w:spacing w:after="100" w:afterAutospacing="1"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（全称）：</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w:t>
      </w:r>
      <w:r>
        <w:rPr>
          <w:rFonts w:hint="eastAsia" w:ascii="宋体" w:hAnsi="宋体" w:eastAsia="宋体" w:cs="宋体"/>
          <w:sz w:val="24"/>
          <w:highlight w:val="none"/>
        </w:rPr>
        <w:t>盖章</w:t>
      </w:r>
      <w:r>
        <w:rPr>
          <w:rFonts w:hint="eastAsia" w:ascii="宋体" w:hAnsi="宋体" w:eastAsia="宋体" w:cs="宋体"/>
          <w:bCs/>
          <w:sz w:val="24"/>
          <w:highlight w:val="none"/>
        </w:rPr>
        <w:t>）</w:t>
      </w:r>
    </w:p>
    <w:p>
      <w:pPr>
        <w:adjustRightInd w:val="0"/>
        <w:snapToGrid w:val="0"/>
        <w:spacing w:after="100" w:afterAutospacing="1" w:line="360" w:lineRule="auto"/>
        <w:ind w:right="840"/>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年  月  日</w:t>
      </w:r>
    </w:p>
    <w:p>
      <w:pPr>
        <w:widowControl/>
        <w:spacing w:beforeLines="50" w:afterLines="50" w:line="360" w:lineRule="auto"/>
        <w:jc w:val="center"/>
        <w:outlineLvl w:val="1"/>
        <w:rPr>
          <w:rFonts w:hint="eastAsia" w:ascii="宋体" w:hAnsi="宋体" w:eastAsia="宋体" w:cs="宋体"/>
          <w:highlight w:val="none"/>
        </w:rPr>
      </w:pPr>
    </w:p>
    <w:p>
      <w:pPr>
        <w:widowControl/>
        <w:ind w:firstLine="480" w:firstLineChars="200"/>
        <w:jc w:val="left"/>
        <w:outlineLvl w:val="1"/>
        <w:rPr>
          <w:rFonts w:hint="eastAsia" w:ascii="宋体" w:hAnsi="宋体" w:eastAsia="宋体" w:cs="宋体"/>
          <w:kern w:val="2"/>
          <w:sz w:val="24"/>
          <w:szCs w:val="24"/>
          <w:highlight w:val="none"/>
        </w:rPr>
      </w:pPr>
      <w:r>
        <w:rPr>
          <w:rFonts w:hint="eastAsia" w:ascii="宋体" w:hAnsi="宋体" w:eastAsia="宋体" w:cs="宋体"/>
          <w:sz w:val="24"/>
          <w:szCs w:val="24"/>
          <w:highlight w:val="none"/>
        </w:rPr>
        <w:t>备注：</w:t>
      </w:r>
      <w:r>
        <w:rPr>
          <w:rFonts w:hint="eastAsia" w:ascii="宋体" w:hAnsi="宋体" w:eastAsia="宋体" w:cs="宋体"/>
          <w:kern w:val="2"/>
          <w:sz w:val="24"/>
          <w:szCs w:val="24"/>
          <w:highlight w:val="none"/>
        </w:rPr>
        <w:t>重大违法记录，是指</w:t>
      </w:r>
      <w:r>
        <w:rPr>
          <w:rFonts w:hint="eastAsia" w:ascii="宋体" w:hAnsi="宋体" w:eastAsia="宋体" w:cs="宋体"/>
          <w:kern w:val="2"/>
          <w:sz w:val="24"/>
          <w:szCs w:val="24"/>
          <w:highlight w:val="none"/>
          <w:lang w:eastAsia="zh-CN"/>
        </w:rPr>
        <w:t>供应商</w:t>
      </w:r>
      <w:r>
        <w:rPr>
          <w:rFonts w:hint="eastAsia" w:ascii="宋体" w:hAnsi="宋体" w:eastAsia="宋体" w:cs="宋体"/>
          <w:kern w:val="2"/>
          <w:sz w:val="24"/>
          <w:szCs w:val="24"/>
          <w:highlight w:val="none"/>
        </w:rPr>
        <w:t>因违法经营受到刑事处罚或者责令停产停业、吊销许可证或者执照、较大数额罚款等行政处罚。</w:t>
      </w:r>
      <w:r>
        <w:rPr>
          <w:rFonts w:hint="eastAsia" w:ascii="宋体" w:hAnsi="宋体" w:eastAsia="宋体" w:cs="宋体"/>
          <w:kern w:val="2"/>
          <w:sz w:val="24"/>
          <w:szCs w:val="24"/>
          <w:highlight w:val="none"/>
          <w:lang w:eastAsia="zh-CN"/>
        </w:rPr>
        <w:t>供应商</w:t>
      </w:r>
      <w:r>
        <w:rPr>
          <w:rFonts w:hint="eastAsia" w:ascii="宋体" w:hAnsi="宋体" w:eastAsia="宋体" w:cs="宋体"/>
          <w:kern w:val="2"/>
          <w:sz w:val="24"/>
          <w:szCs w:val="24"/>
          <w:highlight w:val="none"/>
        </w:rPr>
        <w:t>在参加政府采购活动前3年内因违法经营被禁止在一定期限内参加政府采购活动，期限届满的，可以参加政府采购活动。</w:t>
      </w:r>
    </w:p>
    <w:p>
      <w:pPr>
        <w:widowControl/>
        <w:spacing w:beforeLines="50" w:afterLines="50" w:line="360" w:lineRule="auto"/>
        <w:jc w:val="center"/>
        <w:outlineLvl w:val="1"/>
        <w:rPr>
          <w:rFonts w:hint="eastAsia" w:ascii="宋体" w:hAnsi="宋体" w:eastAsia="宋体" w:cs="宋体"/>
          <w:kern w:val="2"/>
          <w:sz w:val="24"/>
          <w:szCs w:val="24"/>
          <w:highlight w:val="none"/>
        </w:rPr>
      </w:pPr>
      <w:r>
        <w:rPr>
          <w:rFonts w:hint="eastAsia" w:ascii="宋体" w:hAnsi="宋体" w:eastAsia="宋体" w:cs="宋体"/>
          <w:highlight w:val="none"/>
        </w:rPr>
        <w:br w:type="page"/>
      </w:r>
      <w:r>
        <w:rPr>
          <w:rFonts w:hint="eastAsia" w:ascii="宋体" w:hAnsi="宋体" w:eastAsia="宋体" w:cs="宋体"/>
          <w:b/>
          <w:bCs/>
          <w:sz w:val="32"/>
          <w:szCs w:val="32"/>
          <w:highlight w:val="none"/>
        </w:rPr>
        <w:t>七、法定代表人（负责人）证明</w:t>
      </w:r>
    </w:p>
    <w:p>
      <w:pPr>
        <w:widowControl/>
        <w:ind w:firstLine="480" w:firstLineChars="200"/>
        <w:jc w:val="left"/>
        <w:outlineLvl w:val="1"/>
        <w:rPr>
          <w:rFonts w:hint="eastAsia" w:ascii="宋体" w:hAnsi="宋体" w:eastAsia="宋体" w:cs="宋体"/>
          <w:kern w:val="2"/>
          <w:sz w:val="24"/>
          <w:szCs w:val="24"/>
          <w:highlight w:val="none"/>
        </w:rPr>
      </w:pPr>
    </w:p>
    <w:p>
      <w:pPr>
        <w:widowControl/>
        <w:ind w:firstLine="480" w:firstLineChars="200"/>
        <w:jc w:val="left"/>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姓名</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性别</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，在我公司(或者企业、</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"https://baike.so.com/doc/775244-820210.html" \t "https://baike.so.com/doc/_blank" </w:instrText>
      </w:r>
      <w:r>
        <w:rPr>
          <w:rFonts w:hint="eastAsia" w:ascii="宋体" w:hAnsi="宋体" w:eastAsia="宋体" w:cs="宋体"/>
          <w:highlight w:val="none"/>
        </w:rPr>
        <w:fldChar w:fldCharType="separate"/>
      </w:r>
      <w:r>
        <w:rPr>
          <w:rFonts w:hint="eastAsia" w:ascii="宋体" w:hAnsi="宋体" w:eastAsia="宋体" w:cs="宋体"/>
          <w:kern w:val="2"/>
          <w:sz w:val="24"/>
          <w:szCs w:val="24"/>
          <w:highlight w:val="none"/>
        </w:rPr>
        <w:t>单位</w:t>
      </w:r>
      <w:r>
        <w:rPr>
          <w:rFonts w:hint="eastAsia" w:ascii="宋体" w:hAnsi="宋体" w:eastAsia="宋体" w:cs="宋体"/>
          <w:kern w:val="2"/>
          <w:sz w:val="24"/>
          <w:szCs w:val="24"/>
          <w:highlight w:val="none"/>
        </w:rPr>
        <w:fldChar w:fldCharType="end"/>
      </w:r>
      <w:r>
        <w:rPr>
          <w:rFonts w:hint="eastAsia" w:ascii="宋体" w:hAnsi="宋体" w:eastAsia="宋体" w:cs="宋体"/>
          <w:kern w:val="2"/>
          <w:sz w:val="24"/>
          <w:szCs w:val="24"/>
          <w:highlight w:val="none"/>
        </w:rPr>
        <w:t>)任</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职务，系我公司(或者企业、单位)的法定代表人（负责人）。特此证明。</w:t>
      </w:r>
    </w:p>
    <w:p>
      <w:pPr>
        <w:widowControl/>
        <w:ind w:firstLine="480" w:firstLineChars="200"/>
        <w:jc w:val="left"/>
        <w:outlineLvl w:val="1"/>
        <w:rPr>
          <w:rFonts w:hint="eastAsia" w:ascii="宋体" w:hAnsi="宋体" w:eastAsia="宋体" w:cs="宋体"/>
          <w:kern w:val="2"/>
          <w:sz w:val="24"/>
          <w:szCs w:val="24"/>
          <w:highlight w:val="none"/>
        </w:rPr>
      </w:pPr>
    </w:p>
    <w:p>
      <w:pPr>
        <w:widowControl/>
        <w:ind w:firstLine="480" w:firstLineChars="200"/>
        <w:jc w:val="left"/>
        <w:outlineLvl w:val="1"/>
        <w:rPr>
          <w:rFonts w:hint="eastAsia" w:ascii="宋体" w:hAnsi="宋体" w:eastAsia="宋体" w:cs="宋体"/>
          <w:kern w:val="2"/>
          <w:sz w:val="24"/>
          <w:szCs w:val="24"/>
          <w:highlight w:val="none"/>
        </w:rPr>
      </w:pPr>
    </w:p>
    <w:p>
      <w:pPr>
        <w:widowControl/>
        <w:ind w:right="480" w:firstLine="480" w:firstLineChars="200"/>
        <w:jc w:val="right"/>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单位全称：</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rPr>
        <w:t>（</w:t>
      </w:r>
      <w:r>
        <w:rPr>
          <w:rFonts w:hint="eastAsia" w:ascii="宋体" w:hAnsi="宋体" w:eastAsia="宋体" w:cs="宋体"/>
          <w:sz w:val="24"/>
          <w:highlight w:val="none"/>
        </w:rPr>
        <w:t>盖章</w:t>
      </w:r>
      <w:r>
        <w:rPr>
          <w:rFonts w:hint="eastAsia" w:ascii="宋体" w:hAnsi="宋体" w:eastAsia="宋体" w:cs="宋体"/>
          <w:kern w:val="2"/>
          <w:sz w:val="24"/>
          <w:szCs w:val="24"/>
          <w:highlight w:val="none"/>
        </w:rPr>
        <w:t>）</w:t>
      </w:r>
    </w:p>
    <w:p>
      <w:pPr>
        <w:widowControl/>
        <w:ind w:right="480" w:firstLine="480" w:firstLineChars="200"/>
        <w:jc w:val="right"/>
        <w:outlineLvl w:val="1"/>
        <w:rPr>
          <w:rFonts w:hint="eastAsia" w:ascii="宋体" w:hAnsi="宋体" w:eastAsia="宋体" w:cs="宋体"/>
          <w:kern w:val="2"/>
          <w:sz w:val="24"/>
          <w:szCs w:val="24"/>
          <w:highlight w:val="none"/>
        </w:rPr>
      </w:pPr>
    </w:p>
    <w:p>
      <w:pPr>
        <w:widowControl/>
        <w:ind w:right="480" w:firstLine="480" w:firstLineChars="200"/>
        <w:jc w:val="right"/>
        <w:outlineLvl w:val="1"/>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  月  日</w:t>
      </w:r>
    </w:p>
    <w:tbl>
      <w:tblPr>
        <w:tblStyle w:val="24"/>
        <w:tblpPr w:leftFromText="180" w:rightFromText="180" w:vertAnchor="text" w:horzAnchor="page" w:tblpX="3182" w:tblpY="695"/>
        <w:tblW w:w="4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58" w:type="dxa"/>
          </w:tcPr>
          <w:p>
            <w:pPr>
              <w:spacing w:before="100" w:beforeAutospacing="1" w:after="100" w:afterAutospacing="1"/>
              <w:rPr>
                <w:rFonts w:hint="eastAsia" w:ascii="宋体" w:hAnsi="宋体" w:eastAsia="宋体" w:cs="宋体"/>
                <w:sz w:val="24"/>
                <w:highlight w:val="none"/>
              </w:rPr>
            </w:pPr>
            <w:r>
              <w:rPr>
                <w:rFonts w:hint="eastAsia" w:ascii="宋体" w:hAnsi="宋体" w:eastAsia="宋体" w:cs="宋体"/>
                <w:sz w:val="24"/>
                <w:highlight w:val="none"/>
              </w:rPr>
              <w:t>法定代表人（负责人）身份证原件扫描件（双面）</w:t>
            </w:r>
          </w:p>
        </w:tc>
      </w:tr>
    </w:tbl>
    <w:p>
      <w:pPr>
        <w:widowControl/>
        <w:spacing w:beforeLines="50" w:afterLines="50" w:line="360" w:lineRule="auto"/>
        <w:jc w:val="left"/>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widowControl/>
        <w:spacing w:beforeLines="50" w:afterLines="50" w:line="360" w:lineRule="auto"/>
        <w:jc w:val="center"/>
        <w:outlineLvl w:val="1"/>
        <w:rPr>
          <w:rFonts w:hint="eastAsia" w:ascii="宋体" w:hAnsi="宋体" w:eastAsia="宋体" w:cs="宋体"/>
          <w:b/>
          <w:highlight w:val="none"/>
        </w:rPr>
      </w:pPr>
      <w:r>
        <w:rPr>
          <w:rFonts w:hint="eastAsia" w:ascii="宋体" w:hAnsi="宋体" w:eastAsia="宋体" w:cs="宋体"/>
          <w:b/>
          <w:bCs/>
          <w:sz w:val="32"/>
          <w:szCs w:val="32"/>
          <w:highlight w:val="none"/>
        </w:rPr>
        <w:t>授权委托书</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河北丰信工程咨询有限公司：</w:t>
      </w:r>
    </w:p>
    <w:p>
      <w:pPr>
        <w:tabs>
          <w:tab w:val="left" w:pos="8280"/>
        </w:tabs>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 兹委托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参加贵单位组织的项目编号为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项目的采购活动，全权代表我单位处理投标的有关事宜。</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附全权代表情况：</w:t>
      </w:r>
    </w:p>
    <w:p>
      <w:pPr>
        <w:tabs>
          <w:tab w:val="left" w:pos="8280"/>
        </w:tabs>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pPr>
        <w:tabs>
          <w:tab w:val="left" w:pos="8280"/>
        </w:tabs>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详细通讯地址： </w:t>
      </w:r>
      <w:r>
        <w:rPr>
          <w:rFonts w:hint="eastAsia" w:ascii="宋体" w:hAnsi="宋体" w:eastAsia="宋体" w:cs="宋体"/>
          <w:sz w:val="24"/>
          <w:highlight w:val="none"/>
          <w:u w:val="single"/>
        </w:rPr>
        <w:t xml:space="preserve">                                       </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tabs>
          <w:tab w:val="left" w:pos="82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pPr>
        <w:tabs>
          <w:tab w:val="left" w:pos="8280"/>
        </w:tabs>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（全称）:（盖章）            法定代表人（负责人）：（盖章或签字）</w:t>
      </w:r>
    </w:p>
    <w:p>
      <w:pPr>
        <w:tabs>
          <w:tab w:val="left" w:pos="8280"/>
        </w:tabs>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 xml:space="preserve">                     </w:t>
      </w:r>
    </w:p>
    <w:p>
      <w:pPr>
        <w:tabs>
          <w:tab w:val="left" w:pos="8280"/>
        </w:tabs>
        <w:ind w:firstLine="3120" w:firstLineChars="1300"/>
        <w:jc w:val="center"/>
        <w:rPr>
          <w:rFonts w:hint="eastAsia" w:ascii="宋体" w:hAnsi="宋体" w:eastAsia="宋体" w:cs="宋体"/>
          <w:highlight w:val="none"/>
        </w:rPr>
      </w:pPr>
      <w:r>
        <w:rPr>
          <w:rFonts w:hint="eastAsia" w:ascii="宋体" w:hAnsi="宋体" w:eastAsia="宋体" w:cs="宋体"/>
          <w:sz w:val="24"/>
          <w:highlight w:val="none"/>
        </w:rPr>
        <w:t>年   月    日</w:t>
      </w:r>
    </w:p>
    <w:p>
      <w:pPr>
        <w:jc w:val="center"/>
        <w:rPr>
          <w:rFonts w:hint="eastAsia" w:ascii="宋体" w:hAnsi="宋体" w:eastAsia="宋体" w:cs="宋体"/>
          <w:highlight w:val="none"/>
        </w:rPr>
      </w:pPr>
    </w:p>
    <w:p>
      <w:pPr>
        <w:rPr>
          <w:rFonts w:hint="eastAsia" w:ascii="宋体" w:hAnsi="宋体" w:eastAsia="宋体" w:cs="宋体"/>
          <w:vanish/>
          <w:highlight w:val="none"/>
        </w:rPr>
      </w:pPr>
    </w:p>
    <w:tbl>
      <w:tblPr>
        <w:tblStyle w:val="24"/>
        <w:tblpPr w:leftFromText="180" w:rightFromText="180" w:vertAnchor="text" w:horzAnchor="page" w:tblpX="2966" w:tblpY="462"/>
        <w:tblW w:w="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4258" w:type="dxa"/>
          </w:tcPr>
          <w:p>
            <w:pPr>
              <w:spacing w:before="100" w:beforeAutospacing="1" w:after="100" w:afterAutospacing="1"/>
              <w:rPr>
                <w:rFonts w:hint="eastAsia" w:ascii="宋体" w:hAnsi="宋体" w:eastAsia="宋体" w:cs="宋体"/>
                <w:sz w:val="24"/>
                <w:highlight w:val="none"/>
              </w:rPr>
            </w:pPr>
            <w:r>
              <w:rPr>
                <w:rFonts w:hint="eastAsia" w:ascii="宋体" w:hAnsi="宋体" w:eastAsia="宋体" w:cs="宋体"/>
                <w:sz w:val="24"/>
                <w:highlight w:val="none"/>
              </w:rPr>
              <w:t>授权委托人身份证原件扫描件（双面）</w:t>
            </w:r>
          </w:p>
          <w:p>
            <w:pPr>
              <w:spacing w:before="100" w:beforeAutospacing="1" w:after="100" w:afterAutospacing="1"/>
              <w:rPr>
                <w:rFonts w:hint="eastAsia" w:ascii="宋体" w:hAnsi="宋体" w:eastAsia="宋体" w:cs="宋体"/>
                <w:sz w:val="24"/>
                <w:highlight w:val="none"/>
              </w:rPr>
            </w:pPr>
          </w:p>
        </w:tc>
      </w:tr>
    </w:tbl>
    <w:p>
      <w:pPr>
        <w:spacing w:before="100" w:beforeAutospacing="1" w:after="100" w:afterAutospacing="1"/>
        <w:ind w:left="236" w:hanging="236" w:hangingChars="98"/>
        <w:jc w:val="center"/>
        <w:rPr>
          <w:rFonts w:hint="eastAsia" w:ascii="宋体" w:hAnsi="宋体" w:eastAsia="宋体" w:cs="宋体"/>
          <w:b/>
          <w:sz w:val="24"/>
          <w:highlight w:val="none"/>
        </w:rPr>
      </w:pPr>
    </w:p>
    <w:p>
      <w:pPr>
        <w:spacing w:before="100" w:beforeAutospacing="1" w:after="100" w:afterAutospacing="1"/>
        <w:ind w:left="236" w:hanging="236" w:hangingChars="98"/>
        <w:jc w:val="center"/>
        <w:rPr>
          <w:rFonts w:hint="eastAsia" w:ascii="宋体" w:hAnsi="宋体" w:eastAsia="宋体" w:cs="宋体"/>
          <w:b/>
          <w:sz w:val="24"/>
          <w:highlight w:val="none"/>
        </w:rPr>
      </w:pPr>
    </w:p>
    <w:p>
      <w:pPr>
        <w:widowControl/>
        <w:spacing w:beforeLines="50" w:afterLines="50" w:line="360" w:lineRule="auto"/>
        <w:jc w:val="left"/>
        <w:outlineLvl w:val="1"/>
        <w:rPr>
          <w:rFonts w:hint="eastAsia" w:ascii="宋体" w:hAnsi="宋体" w:eastAsia="宋体" w:cs="宋体"/>
          <w:b/>
          <w:bCs/>
          <w:sz w:val="32"/>
          <w:szCs w:val="32"/>
          <w:highlight w:val="none"/>
        </w:rPr>
      </w:pPr>
    </w:p>
    <w:p>
      <w:pPr>
        <w:widowControl/>
        <w:spacing w:beforeLines="50" w:afterLines="50"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八、同类项目经验案例</w:t>
      </w:r>
    </w:p>
    <w:p>
      <w:pPr>
        <w:spacing w:line="360" w:lineRule="auto"/>
        <w:ind w:right="1" w:firstLine="240" w:firstLineChars="100"/>
        <w:rPr>
          <w:rFonts w:hint="eastAsia" w:ascii="宋体" w:hAnsi="宋体" w:eastAsia="宋体" w:cs="宋体"/>
          <w:bCs/>
          <w:sz w:val="32"/>
          <w:szCs w:val="32"/>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（盖章）</w:t>
      </w:r>
    </w:p>
    <w:tbl>
      <w:tblPr>
        <w:tblStyle w:val="24"/>
        <w:tblW w:w="9187" w:type="dxa"/>
        <w:jc w:val="center"/>
        <w:tblLayout w:type="fixed"/>
        <w:tblCellMar>
          <w:top w:w="0" w:type="dxa"/>
          <w:left w:w="0" w:type="dxa"/>
          <w:bottom w:w="0" w:type="dxa"/>
          <w:right w:w="0" w:type="dxa"/>
        </w:tblCellMar>
      </w:tblPr>
      <w:tblGrid>
        <w:gridCol w:w="1056"/>
        <w:gridCol w:w="1586"/>
        <w:gridCol w:w="1392"/>
        <w:gridCol w:w="1524"/>
        <w:gridCol w:w="1315"/>
        <w:gridCol w:w="1464"/>
        <w:gridCol w:w="850"/>
      </w:tblGrid>
      <w:tr>
        <w:tblPrEx>
          <w:tblCellMar>
            <w:top w:w="0" w:type="dxa"/>
            <w:left w:w="0" w:type="dxa"/>
            <w:bottom w:w="0" w:type="dxa"/>
            <w:right w:w="0" w:type="dxa"/>
          </w:tblCellMar>
        </w:tblPrEx>
        <w:trPr>
          <w:cantSplit/>
          <w:trHeight w:val="1519" w:hRule="exact"/>
          <w:jc w:val="center"/>
        </w:trPr>
        <w:tc>
          <w:tcPr>
            <w:tcW w:w="1056"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586"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合同名称</w:t>
            </w:r>
          </w:p>
        </w:tc>
        <w:tc>
          <w:tcPr>
            <w:tcW w:w="1392"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采购单位</w:t>
            </w:r>
          </w:p>
        </w:tc>
        <w:tc>
          <w:tcPr>
            <w:tcW w:w="1524"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签署日期</w:t>
            </w:r>
          </w:p>
        </w:tc>
        <w:tc>
          <w:tcPr>
            <w:tcW w:w="1315"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合同金额</w:t>
            </w:r>
          </w:p>
        </w:tc>
        <w:tc>
          <w:tcPr>
            <w:tcW w:w="1464" w:type="dxa"/>
            <w:tcBorders>
              <w:top w:val="single" w:color="000008" w:sz="4" w:space="0"/>
              <w:left w:val="single" w:color="000008" w:sz="4" w:space="0"/>
              <w:bottom w:val="single" w:color="000008" w:sz="4" w:space="0"/>
              <w:right w:val="single" w:color="000008" w:sz="4" w:space="0"/>
            </w:tcBorders>
          </w:tcPr>
          <w:p>
            <w:pPr>
              <w:pStyle w:val="40"/>
              <w:spacing w:before="20" w:line="330" w:lineRule="auto"/>
              <w:ind w:right="124"/>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采购方联系人及电话</w:t>
            </w:r>
          </w:p>
        </w:tc>
        <w:tc>
          <w:tcPr>
            <w:tcW w:w="850" w:type="dxa"/>
            <w:tcBorders>
              <w:top w:val="single" w:color="000008" w:sz="4" w:space="0"/>
              <w:left w:val="single" w:color="000008" w:sz="4" w:space="0"/>
              <w:bottom w:val="single" w:color="000008" w:sz="4" w:space="0"/>
              <w:right w:val="single" w:color="000008" w:sz="4" w:space="0"/>
            </w:tcBorders>
          </w:tcPr>
          <w:p>
            <w:pPr>
              <w:pStyle w:val="40"/>
              <w:spacing w:before="4" w:line="300" w:lineRule="exact"/>
              <w:ind w:left="560"/>
              <w:jc w:val="center"/>
              <w:rPr>
                <w:rFonts w:hint="eastAsia" w:ascii="宋体" w:hAnsi="宋体" w:eastAsia="宋体" w:cs="宋体"/>
                <w:bCs/>
                <w:sz w:val="24"/>
                <w:szCs w:val="24"/>
                <w:highlight w:val="none"/>
              </w:rPr>
            </w:pPr>
          </w:p>
          <w:p>
            <w:pPr>
              <w:pStyle w:val="4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CellMar>
            <w:top w:w="0" w:type="dxa"/>
            <w:left w:w="0" w:type="dxa"/>
            <w:bottom w:w="0" w:type="dxa"/>
            <w:right w:w="0" w:type="dxa"/>
          </w:tblCellMar>
        </w:tblPrEx>
        <w:trPr>
          <w:trHeight w:val="1134" w:hRule="exact"/>
          <w:jc w:val="center"/>
        </w:trPr>
        <w:tc>
          <w:tcPr>
            <w:tcW w:w="1056" w:type="dxa"/>
            <w:tcBorders>
              <w:top w:val="single" w:color="000008" w:sz="4" w:space="0"/>
              <w:left w:val="single" w:color="000008" w:sz="4" w:space="0"/>
              <w:bottom w:val="single" w:color="000008" w:sz="4" w:space="0"/>
              <w:right w:val="single" w:color="000008" w:sz="4" w:space="0"/>
            </w:tcBorders>
          </w:tcPr>
          <w:p>
            <w:pPr>
              <w:pStyle w:val="40"/>
              <w:spacing w:before="11" w:line="240" w:lineRule="exact"/>
              <w:ind w:left="560"/>
              <w:jc w:val="center"/>
              <w:rPr>
                <w:rFonts w:hint="eastAsia" w:ascii="宋体" w:hAnsi="宋体" w:eastAsia="宋体" w:cs="宋体"/>
                <w:sz w:val="24"/>
                <w:szCs w:val="24"/>
                <w:highlight w:val="none"/>
              </w:rPr>
            </w:pPr>
          </w:p>
          <w:p>
            <w:pPr>
              <w:pStyle w:val="40"/>
              <w:ind w:left="560" w:right="443"/>
              <w:jc w:val="center"/>
              <w:rPr>
                <w:rFonts w:hint="eastAsia" w:ascii="宋体" w:hAnsi="宋体" w:eastAsia="宋体" w:cs="宋体"/>
                <w:sz w:val="24"/>
                <w:szCs w:val="24"/>
                <w:highlight w:val="none"/>
              </w:rPr>
            </w:pPr>
          </w:p>
        </w:tc>
        <w:tc>
          <w:tcPr>
            <w:tcW w:w="158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92"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2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15"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46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850"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r>
      <w:tr>
        <w:tblPrEx>
          <w:tblCellMar>
            <w:top w:w="0" w:type="dxa"/>
            <w:left w:w="0" w:type="dxa"/>
            <w:bottom w:w="0" w:type="dxa"/>
            <w:right w:w="0" w:type="dxa"/>
          </w:tblCellMar>
        </w:tblPrEx>
        <w:trPr>
          <w:trHeight w:val="1134" w:hRule="exact"/>
          <w:jc w:val="center"/>
        </w:trPr>
        <w:tc>
          <w:tcPr>
            <w:tcW w:w="1056" w:type="dxa"/>
            <w:tcBorders>
              <w:top w:val="single" w:color="000008" w:sz="4" w:space="0"/>
              <w:left w:val="single" w:color="000008" w:sz="4" w:space="0"/>
              <w:bottom w:val="single" w:color="000008" w:sz="4" w:space="0"/>
              <w:right w:val="single" w:color="000008" w:sz="4" w:space="0"/>
            </w:tcBorders>
          </w:tcPr>
          <w:p>
            <w:pPr>
              <w:pStyle w:val="40"/>
              <w:spacing w:before="13" w:line="260" w:lineRule="exact"/>
              <w:ind w:left="560"/>
              <w:jc w:val="center"/>
              <w:rPr>
                <w:rFonts w:hint="eastAsia" w:ascii="宋体" w:hAnsi="宋体" w:eastAsia="宋体" w:cs="宋体"/>
                <w:sz w:val="26"/>
                <w:szCs w:val="26"/>
                <w:highlight w:val="none"/>
              </w:rPr>
            </w:pPr>
          </w:p>
          <w:p>
            <w:pPr>
              <w:pStyle w:val="40"/>
              <w:ind w:left="560" w:right="443"/>
              <w:jc w:val="center"/>
              <w:rPr>
                <w:rFonts w:hint="eastAsia" w:ascii="宋体" w:hAnsi="宋体" w:eastAsia="宋体" w:cs="宋体"/>
                <w:sz w:val="24"/>
                <w:szCs w:val="24"/>
                <w:highlight w:val="none"/>
              </w:rPr>
            </w:pPr>
          </w:p>
        </w:tc>
        <w:tc>
          <w:tcPr>
            <w:tcW w:w="158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92"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2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15"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46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850"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r>
      <w:tr>
        <w:tblPrEx>
          <w:tblCellMar>
            <w:top w:w="0" w:type="dxa"/>
            <w:left w:w="0" w:type="dxa"/>
            <w:bottom w:w="0" w:type="dxa"/>
            <w:right w:w="0" w:type="dxa"/>
          </w:tblCellMar>
        </w:tblPrEx>
        <w:trPr>
          <w:trHeight w:val="1134" w:hRule="exact"/>
          <w:jc w:val="center"/>
        </w:trPr>
        <w:tc>
          <w:tcPr>
            <w:tcW w:w="1056" w:type="dxa"/>
            <w:tcBorders>
              <w:top w:val="single" w:color="000008" w:sz="4" w:space="0"/>
              <w:left w:val="single" w:color="000008" w:sz="4" w:space="0"/>
              <w:bottom w:val="single" w:color="000008" w:sz="4" w:space="0"/>
              <w:right w:val="single" w:color="000008" w:sz="4" w:space="0"/>
            </w:tcBorders>
          </w:tcPr>
          <w:p>
            <w:pPr>
              <w:pStyle w:val="40"/>
              <w:spacing w:before="15" w:line="260" w:lineRule="exact"/>
              <w:ind w:left="560"/>
              <w:jc w:val="center"/>
              <w:rPr>
                <w:rFonts w:hint="eastAsia" w:ascii="宋体" w:hAnsi="宋体" w:eastAsia="宋体" w:cs="宋体"/>
                <w:sz w:val="26"/>
                <w:szCs w:val="26"/>
                <w:highlight w:val="none"/>
              </w:rPr>
            </w:pPr>
          </w:p>
          <w:p>
            <w:pPr>
              <w:pStyle w:val="40"/>
              <w:ind w:left="560" w:right="443"/>
              <w:jc w:val="center"/>
              <w:rPr>
                <w:rFonts w:hint="eastAsia" w:ascii="宋体" w:hAnsi="宋体" w:eastAsia="宋体" w:cs="宋体"/>
                <w:sz w:val="24"/>
                <w:szCs w:val="24"/>
                <w:highlight w:val="none"/>
              </w:rPr>
            </w:pPr>
          </w:p>
        </w:tc>
        <w:tc>
          <w:tcPr>
            <w:tcW w:w="158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92"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2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15"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46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850"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r>
      <w:tr>
        <w:tblPrEx>
          <w:tblCellMar>
            <w:top w:w="0" w:type="dxa"/>
            <w:left w:w="0" w:type="dxa"/>
            <w:bottom w:w="0" w:type="dxa"/>
            <w:right w:w="0" w:type="dxa"/>
          </w:tblCellMar>
        </w:tblPrEx>
        <w:trPr>
          <w:trHeight w:val="1134" w:hRule="exact"/>
          <w:jc w:val="center"/>
        </w:trPr>
        <w:tc>
          <w:tcPr>
            <w:tcW w:w="105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8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92"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2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15"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46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850"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r>
      <w:tr>
        <w:tblPrEx>
          <w:tblCellMar>
            <w:top w:w="0" w:type="dxa"/>
            <w:left w:w="0" w:type="dxa"/>
            <w:bottom w:w="0" w:type="dxa"/>
            <w:right w:w="0" w:type="dxa"/>
          </w:tblCellMar>
        </w:tblPrEx>
        <w:trPr>
          <w:trHeight w:val="1134" w:hRule="exact"/>
          <w:jc w:val="center"/>
        </w:trPr>
        <w:tc>
          <w:tcPr>
            <w:tcW w:w="105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86"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92"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52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315"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1464"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c>
          <w:tcPr>
            <w:tcW w:w="850" w:type="dxa"/>
            <w:tcBorders>
              <w:top w:val="single" w:color="000008" w:sz="4" w:space="0"/>
              <w:left w:val="single" w:color="000008" w:sz="4" w:space="0"/>
              <w:bottom w:val="single" w:color="000008" w:sz="4" w:space="0"/>
              <w:right w:val="single" w:color="000008" w:sz="4" w:space="0"/>
            </w:tcBorders>
          </w:tcPr>
          <w:p>
            <w:pPr>
              <w:jc w:val="center"/>
              <w:rPr>
                <w:rFonts w:hint="eastAsia" w:ascii="宋体" w:hAnsi="宋体" w:eastAsia="宋体" w:cs="宋体"/>
                <w:highlight w:val="none"/>
              </w:rPr>
            </w:pPr>
          </w:p>
        </w:tc>
      </w:tr>
    </w:tbl>
    <w:p>
      <w:pPr>
        <w:pStyle w:val="9"/>
        <w:tabs>
          <w:tab w:val="left" w:pos="5037"/>
          <w:tab w:val="left" w:pos="5877"/>
          <w:tab w:val="left" w:pos="8222"/>
        </w:tabs>
        <w:adjustRightInd w:val="0"/>
        <w:snapToGrid w:val="0"/>
        <w:spacing w:after="0"/>
        <w:ind w:firstLine="944" w:firstLineChars="400"/>
        <w:rPr>
          <w:rFonts w:hint="eastAsia" w:ascii="宋体" w:hAnsi="宋体" w:eastAsia="宋体" w:cs="宋体"/>
          <w:spacing w:val="-2"/>
          <w:sz w:val="24"/>
          <w:szCs w:val="24"/>
          <w:highlight w:val="none"/>
        </w:rPr>
      </w:pPr>
    </w:p>
    <w:p>
      <w:pPr>
        <w:pStyle w:val="9"/>
        <w:tabs>
          <w:tab w:val="left" w:pos="5037"/>
          <w:tab w:val="left" w:pos="5877"/>
          <w:tab w:val="left" w:pos="8222"/>
        </w:tabs>
        <w:adjustRightInd w:val="0"/>
        <w:snapToGrid w:val="0"/>
        <w:spacing w:after="0"/>
        <w:ind w:firstLine="944" w:firstLineChars="4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法定代表人</w:t>
      </w:r>
      <w:r>
        <w:rPr>
          <w:rFonts w:hint="eastAsia" w:ascii="宋体" w:hAnsi="宋体" w:eastAsia="宋体" w:cs="宋体"/>
          <w:bCs/>
          <w:sz w:val="24"/>
          <w:szCs w:val="24"/>
          <w:highlight w:val="none"/>
        </w:rPr>
        <w:t>（负责人）</w:t>
      </w:r>
      <w:r>
        <w:rPr>
          <w:rFonts w:hint="eastAsia" w:ascii="宋体" w:hAnsi="宋体" w:eastAsia="宋体" w:cs="宋体"/>
          <w:sz w:val="24"/>
          <w:highlight w:val="none"/>
        </w:rPr>
        <w:t>（或授权委托人）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highlight w:val="none"/>
          <w:u w:val="single"/>
        </w:rPr>
        <w:t>盖章或签字</w:t>
      </w:r>
      <w:r>
        <w:rPr>
          <w:rFonts w:hint="eastAsia" w:ascii="宋体" w:hAnsi="宋体" w:eastAsia="宋体" w:cs="宋体"/>
          <w:sz w:val="24"/>
          <w:highlight w:val="none"/>
          <w:u w:val="single"/>
          <w:lang w:eastAsia="zh-CN"/>
        </w:rPr>
        <w:t>）</w:t>
      </w:r>
      <w:r>
        <w:rPr>
          <w:rFonts w:hint="eastAsia" w:ascii="宋体" w:hAnsi="宋体" w:eastAsia="宋体" w:cs="宋体"/>
          <w:sz w:val="24"/>
          <w:szCs w:val="24"/>
          <w:highlight w:val="none"/>
        </w:rPr>
        <w:t xml:space="preserve"> </w:t>
      </w:r>
    </w:p>
    <w:p>
      <w:pPr>
        <w:pStyle w:val="9"/>
        <w:tabs>
          <w:tab w:val="left" w:pos="5037"/>
          <w:tab w:val="left" w:pos="5877"/>
          <w:tab w:val="left" w:pos="8222"/>
        </w:tabs>
        <w:adjustRightInd w:val="0"/>
        <w:snapToGrid w:val="0"/>
        <w:spacing w:after="0"/>
        <w:ind w:firstLine="480"/>
        <w:rPr>
          <w:rFonts w:hint="eastAsia" w:ascii="宋体" w:hAnsi="宋体" w:eastAsia="宋体" w:cs="宋体"/>
          <w:sz w:val="24"/>
          <w:szCs w:val="24"/>
          <w:highlight w:val="none"/>
        </w:rPr>
      </w:pPr>
    </w:p>
    <w:p>
      <w:pPr>
        <w:pStyle w:val="9"/>
        <w:tabs>
          <w:tab w:val="left" w:pos="5037"/>
          <w:tab w:val="left" w:pos="5877"/>
          <w:tab w:val="left" w:pos="8222"/>
        </w:tabs>
        <w:snapToGrid w:val="0"/>
        <w:spacing w:after="0" w:line="360" w:lineRule="auto"/>
        <w:ind w:left="178" w:right="4"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注：1.以合同签订时间为准，附有完整合同原件扫描件。</w:t>
      </w:r>
    </w:p>
    <w:p>
      <w:pPr>
        <w:pStyle w:val="9"/>
        <w:tabs>
          <w:tab w:val="left" w:pos="5037"/>
          <w:tab w:val="left" w:pos="5877"/>
          <w:tab w:val="left" w:pos="8222"/>
        </w:tabs>
        <w:adjustRightInd w:val="0"/>
        <w:snapToGrid w:val="0"/>
        <w:spacing w:after="0" w:line="360"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2.未提供不作无效投标文件处理。</w:t>
      </w:r>
    </w:p>
    <w:p>
      <w:pPr>
        <w:widowControl/>
        <w:spacing w:beforeLines="50" w:afterLines="50" w:line="360" w:lineRule="auto"/>
        <w:jc w:val="center"/>
        <w:outlineLvl w:val="1"/>
        <w:rPr>
          <w:rFonts w:hint="eastAsia" w:ascii="宋体" w:hAnsi="宋体" w:eastAsia="宋体" w:cs="宋体"/>
          <w:highlight w:val="none"/>
        </w:rPr>
      </w:pPr>
      <w:r>
        <w:rPr>
          <w:rFonts w:hint="eastAsia" w:ascii="宋体" w:hAnsi="宋体" w:eastAsia="宋体" w:cs="宋体"/>
          <w:b/>
          <w:highlight w:val="none"/>
        </w:rPr>
        <w:br w:type="page"/>
      </w:r>
      <w:r>
        <w:rPr>
          <w:rFonts w:hint="eastAsia" w:ascii="宋体" w:hAnsi="宋体" w:eastAsia="宋体" w:cs="宋体"/>
          <w:b/>
          <w:bCs/>
          <w:sz w:val="32"/>
          <w:szCs w:val="32"/>
          <w:highlight w:val="none"/>
        </w:rPr>
        <w:t>九、报价一览表</w:t>
      </w:r>
    </w:p>
    <w:p>
      <w:pPr>
        <w:widowControl/>
        <w:adjustRightInd w:val="0"/>
        <w:snapToGrid w:val="0"/>
        <w:spacing w:beforeLines="50" w:afterLines="50" w:line="360" w:lineRule="auto"/>
        <w:ind w:firstLine="240" w:firstLineChars="100"/>
        <w:rPr>
          <w:rFonts w:hint="eastAsia" w:ascii="宋体" w:hAnsi="宋体" w:eastAsia="宋体" w:cs="宋体"/>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（盖章）</w:t>
      </w:r>
    </w:p>
    <w:p>
      <w:pPr>
        <w:adjustRightInd w:val="0"/>
        <w:snapToGrid w:val="0"/>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金额单位：元（人民币）</w:t>
      </w:r>
    </w:p>
    <w:tbl>
      <w:tblPr>
        <w:tblStyle w:val="24"/>
        <w:tblpPr w:leftFromText="180" w:rightFromText="180" w:vertAnchor="text" w:horzAnchor="margin" w:tblpXSpec="center" w:tblpY="99"/>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5555"/>
        <w:gridCol w:w="30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828" w:type="dxa"/>
            <w:tcBorders>
              <w:top w:val="single" w:color="auto" w:sz="4" w:space="0"/>
              <w:bottom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5555" w:type="dxa"/>
            <w:tcBorders>
              <w:righ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名    称</w:t>
            </w:r>
          </w:p>
        </w:tc>
        <w:tc>
          <w:tcPr>
            <w:tcW w:w="3085" w:type="dxa"/>
            <w:tcBorders>
              <w:left w:val="single" w:color="auto" w:sz="4"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报价（小写）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4" w:hRule="atLeast"/>
          <w:jc w:val="center"/>
        </w:trPr>
        <w:tc>
          <w:tcPr>
            <w:tcW w:w="828" w:type="dxa"/>
            <w:tcBorders>
              <w:top w:val="single" w:color="auto" w:sz="4" w:space="0"/>
            </w:tcBorders>
          </w:tcPr>
          <w:p>
            <w:pPr>
              <w:rPr>
                <w:rFonts w:hint="eastAsia" w:ascii="宋体" w:hAnsi="宋体" w:eastAsia="宋体" w:cs="宋体"/>
                <w:sz w:val="24"/>
                <w:highlight w:val="none"/>
              </w:rPr>
            </w:pPr>
          </w:p>
          <w:p>
            <w:pPr>
              <w:rPr>
                <w:rFonts w:hint="eastAsia" w:ascii="宋体" w:hAnsi="宋体" w:eastAsia="宋体" w:cs="宋体"/>
                <w:sz w:val="24"/>
                <w:highlight w:val="none"/>
              </w:rPr>
            </w:pPr>
          </w:p>
        </w:tc>
        <w:tc>
          <w:tcPr>
            <w:tcW w:w="5555" w:type="dxa"/>
            <w:tcBorders>
              <w:right w:val="single" w:color="auto" w:sz="4" w:space="0"/>
            </w:tcBorders>
          </w:tcPr>
          <w:p>
            <w:pPr>
              <w:rPr>
                <w:rFonts w:hint="eastAsia" w:ascii="宋体" w:hAnsi="宋体" w:eastAsia="宋体" w:cs="宋体"/>
                <w:sz w:val="24"/>
                <w:highlight w:val="none"/>
              </w:rPr>
            </w:pPr>
          </w:p>
        </w:tc>
        <w:tc>
          <w:tcPr>
            <w:tcW w:w="3085" w:type="dxa"/>
            <w:tcBorders>
              <w:left w:val="single" w:color="auto" w:sz="4" w:space="0"/>
            </w:tcBorders>
          </w:tcPr>
          <w:p>
            <w:pPr>
              <w:rPr>
                <w:rFonts w:hint="eastAsia" w:ascii="宋体" w:hAnsi="宋体" w:eastAsia="宋体" w:cs="宋体"/>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9468" w:type="dxa"/>
            <w:gridSpan w:val="3"/>
            <w:tcBorders>
              <w:right w:val="single" w:color="auto" w:sz="4" w:space="0"/>
            </w:tcBorders>
            <w:vAlign w:val="center"/>
          </w:tcPr>
          <w:p>
            <w:pPr>
              <w:rPr>
                <w:rFonts w:hint="eastAsia" w:ascii="宋体" w:hAnsi="宋体" w:eastAsia="宋体" w:cs="宋体"/>
                <w:sz w:val="24"/>
                <w:highlight w:val="none"/>
              </w:rPr>
            </w:pPr>
            <w:r>
              <w:rPr>
                <w:rFonts w:hint="eastAsia" w:ascii="宋体" w:hAnsi="宋体" w:eastAsia="宋体" w:cs="宋体"/>
                <w:sz w:val="24"/>
                <w:highlight w:val="none"/>
              </w:rPr>
              <w:t>总价：（大写）</w:t>
            </w:r>
          </w:p>
        </w:tc>
      </w:tr>
    </w:tbl>
    <w:p>
      <w:pPr>
        <w:rPr>
          <w:rFonts w:hint="eastAsia" w:ascii="宋体" w:hAnsi="宋体" w:eastAsia="宋体" w:cs="宋体"/>
          <w:sz w:val="24"/>
          <w:highlight w:val="none"/>
        </w:rPr>
      </w:pPr>
    </w:p>
    <w:p>
      <w:pPr>
        <w:ind w:firstLine="240" w:firstLineChars="100"/>
        <w:rPr>
          <w:rFonts w:hint="eastAsia" w:ascii="宋体" w:hAnsi="宋体" w:eastAsia="宋体" w:cs="宋体"/>
          <w:spacing w:val="-2"/>
          <w:sz w:val="24"/>
          <w:highlight w:val="none"/>
        </w:rPr>
      </w:pPr>
      <w:r>
        <w:rPr>
          <w:rFonts w:hint="eastAsia" w:ascii="宋体" w:hAnsi="宋体" w:eastAsia="宋体" w:cs="宋体"/>
          <w:sz w:val="24"/>
          <w:highlight w:val="none"/>
        </w:rPr>
        <w:t>法</w:t>
      </w:r>
      <w:r>
        <w:rPr>
          <w:rFonts w:hint="eastAsia" w:ascii="宋体" w:hAnsi="宋体" w:eastAsia="宋体" w:cs="宋体"/>
          <w:spacing w:val="-2"/>
          <w:sz w:val="24"/>
          <w:highlight w:val="none"/>
        </w:rPr>
        <w:t>定代表人</w:t>
      </w:r>
      <w:r>
        <w:rPr>
          <w:rFonts w:hint="eastAsia" w:ascii="宋体" w:hAnsi="宋体" w:eastAsia="宋体" w:cs="宋体"/>
          <w:bCs/>
          <w:sz w:val="24"/>
          <w:highlight w:val="none"/>
        </w:rPr>
        <w:t>（负责人）</w:t>
      </w:r>
      <w:r>
        <w:rPr>
          <w:rFonts w:hint="eastAsia" w:ascii="宋体" w:hAnsi="宋体" w:eastAsia="宋体" w:cs="宋体"/>
          <w:sz w:val="24"/>
          <w:highlight w:val="none"/>
        </w:rPr>
        <w:t>（或授权委托人）：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highlight w:val="none"/>
          <w:u w:val="single"/>
        </w:rPr>
        <w:t>盖章或签字</w:t>
      </w:r>
      <w:r>
        <w:rPr>
          <w:rFonts w:hint="eastAsia" w:ascii="宋体" w:hAnsi="宋体" w:eastAsia="宋体" w:cs="宋体"/>
          <w:sz w:val="24"/>
          <w:highlight w:val="none"/>
          <w:u w:val="single"/>
          <w:lang w:eastAsia="zh-CN"/>
        </w:rPr>
        <w:t>）</w:t>
      </w:r>
      <w:r>
        <w:rPr>
          <w:rFonts w:hint="eastAsia" w:ascii="宋体" w:hAnsi="宋体" w:eastAsia="宋体" w:cs="宋体"/>
          <w:spacing w:val="-2"/>
          <w:sz w:val="24"/>
          <w:highlight w:val="none"/>
        </w:rPr>
        <w:t xml:space="preserve">      </w:t>
      </w:r>
    </w:p>
    <w:p>
      <w:pPr>
        <w:ind w:firstLine="354" w:firstLineChars="150"/>
        <w:rPr>
          <w:rFonts w:hint="eastAsia" w:ascii="宋体" w:hAnsi="宋体" w:eastAsia="宋体" w:cs="宋体"/>
          <w:spacing w:val="-2"/>
          <w:sz w:val="24"/>
          <w:highlight w:val="none"/>
        </w:rPr>
      </w:pPr>
    </w:p>
    <w:p>
      <w:pPr>
        <w:spacing w:before="100" w:beforeAutospacing="1" w:after="100" w:afterAutospacing="1" w:line="360" w:lineRule="auto"/>
        <w:rPr>
          <w:rFonts w:hint="eastAsia" w:ascii="宋体" w:hAnsi="宋体" w:eastAsia="宋体" w:cs="宋体"/>
          <w:b/>
          <w:sz w:val="24"/>
          <w:highlight w:val="none"/>
        </w:rPr>
      </w:pPr>
    </w:p>
    <w:p>
      <w:pP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br w:type="page"/>
      </w:r>
    </w:p>
    <w:p>
      <w:p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十、主要人员情况汇总表</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盖章</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tbl>
      <w:tblPr>
        <w:tblStyle w:val="24"/>
        <w:tblW w:w="0" w:type="auto"/>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257"/>
        <w:gridCol w:w="916"/>
        <w:gridCol w:w="859"/>
        <w:gridCol w:w="860"/>
        <w:gridCol w:w="1381"/>
        <w:gridCol w:w="1283"/>
        <w:gridCol w:w="20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4" w:hRule="atLeast"/>
          <w:jc w:val="center"/>
        </w:trPr>
        <w:tc>
          <w:tcPr>
            <w:tcW w:w="2257" w:type="dxa"/>
            <w:tcBorders>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916" w:type="dxa"/>
            <w:tcBorders>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9" w:type="dxa"/>
            <w:tcBorders>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860" w:type="dxa"/>
            <w:tcBorders>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381" w:type="dxa"/>
            <w:tcBorders>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283" w:type="dxa"/>
            <w:tcBorders>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学历</w:t>
            </w:r>
          </w:p>
        </w:tc>
        <w:tc>
          <w:tcPr>
            <w:tcW w:w="2016" w:type="dxa"/>
            <w:tcBorders>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5" w:hRule="atLeast"/>
          <w:jc w:val="center"/>
        </w:trPr>
        <w:tc>
          <w:tcPr>
            <w:tcW w:w="2257" w:type="dxa"/>
            <w:tcBorders>
              <w:top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5" w:hRule="atLeast"/>
          <w:jc w:val="center"/>
        </w:trPr>
        <w:tc>
          <w:tcPr>
            <w:tcW w:w="2257" w:type="dxa"/>
            <w:tcBorders>
              <w:top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5" w:hRule="atLeast"/>
          <w:jc w:val="center"/>
        </w:trPr>
        <w:tc>
          <w:tcPr>
            <w:tcW w:w="2257" w:type="dxa"/>
            <w:tcBorders>
              <w:top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5" w:hRule="atLeast"/>
          <w:jc w:val="center"/>
        </w:trPr>
        <w:tc>
          <w:tcPr>
            <w:tcW w:w="2257" w:type="dxa"/>
            <w:tcBorders>
              <w:top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4" w:hRule="atLeast"/>
          <w:jc w:val="center"/>
        </w:trPr>
        <w:tc>
          <w:tcPr>
            <w:tcW w:w="2257" w:type="dxa"/>
            <w:tcBorders>
              <w:top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bottom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4" w:hRule="atLeast"/>
          <w:jc w:val="center"/>
        </w:trPr>
        <w:tc>
          <w:tcPr>
            <w:tcW w:w="2257" w:type="dxa"/>
            <w:tcBorders>
              <w:top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16" w:type="dxa"/>
            <w:tcBorders>
              <w:top w:val="single" w:color="000000" w:sz="4" w:space="0"/>
              <w:left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59" w:type="dxa"/>
            <w:tcBorders>
              <w:top w:val="single" w:color="000000" w:sz="4" w:space="0"/>
              <w:left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60" w:type="dxa"/>
            <w:tcBorders>
              <w:top w:val="single" w:color="000000" w:sz="4" w:space="0"/>
              <w:left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381" w:type="dxa"/>
            <w:tcBorders>
              <w:top w:val="single" w:color="000000" w:sz="4" w:space="0"/>
              <w:left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283" w:type="dxa"/>
            <w:tcBorders>
              <w:top w:val="single" w:color="000000" w:sz="4" w:space="0"/>
              <w:left w:val="single" w:color="000000" w:sz="4"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2016" w:type="dxa"/>
            <w:tcBorders>
              <w:top w:val="single" w:color="000000" w:sz="4" w:space="0"/>
              <w:lef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bl>
    <w:p>
      <w:pPr>
        <w:pStyle w:val="23"/>
        <w:pageBreakBefore w:val="0"/>
        <w:overflowPunct/>
        <w:topLinePunct w:val="0"/>
        <w:bidi w:val="0"/>
        <w:spacing w:line="360" w:lineRule="auto"/>
        <w:ind w:left="0" w:leftChars="0" w:right="0" w:firstLine="0" w:firstLineChars="0"/>
        <w:rPr>
          <w:rFonts w:hint="eastAsia" w:ascii="宋体" w:hAnsi="宋体" w:eastAsia="宋体" w:cs="宋体"/>
          <w:color w:val="auto"/>
          <w:sz w:val="24"/>
          <w:szCs w:val="24"/>
          <w:highlight w:val="none"/>
          <w:lang w:val="en-US" w:eastAsia="zh-CN"/>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3534" w:firstLineChars="1100"/>
        <w:rPr>
          <w:rFonts w:hint="eastAsia" w:ascii="宋体" w:hAnsi="宋体" w:eastAsia="宋体" w:cs="宋体"/>
          <w:b/>
          <w:color w:val="auto"/>
          <w:kern w:val="1"/>
          <w:sz w:val="32"/>
          <w:szCs w:val="32"/>
          <w:highlight w:val="none"/>
          <w:lang w:val="en-US" w:eastAsia="zh-CN" w:bidi="ar-SA"/>
        </w:rPr>
      </w:pPr>
    </w:p>
    <w:p>
      <w:pPr>
        <w:pageBreakBefore w:val="0"/>
        <w:overflowPunct/>
        <w:topLinePunct w:val="0"/>
        <w:bidi w:val="0"/>
        <w:spacing w:line="360" w:lineRule="auto"/>
        <w:ind w:left="0" w:leftChars="0" w:right="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拟投入本项目的</w:t>
      </w:r>
      <w:r>
        <w:rPr>
          <w:rFonts w:hint="eastAsia" w:ascii="宋体" w:hAnsi="宋体" w:eastAsia="宋体" w:cs="宋体"/>
          <w:b/>
          <w:color w:val="auto"/>
          <w:sz w:val="32"/>
          <w:highlight w:val="none"/>
          <w:lang w:eastAsia="zh-CN"/>
        </w:rPr>
        <w:t>人员</w:t>
      </w:r>
      <w:r>
        <w:rPr>
          <w:rFonts w:hint="eastAsia" w:ascii="宋体" w:hAnsi="宋体" w:eastAsia="宋体" w:cs="宋体"/>
          <w:b/>
          <w:color w:val="auto"/>
          <w:sz w:val="32"/>
          <w:highlight w:val="none"/>
        </w:rPr>
        <w:t>情况</w:t>
      </w:r>
    </w:p>
    <w:tbl>
      <w:tblPr>
        <w:tblStyle w:val="24"/>
        <w:tblW w:w="9973"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973"/>
        <w:gridCol w:w="1205"/>
        <w:gridCol w:w="899"/>
        <w:gridCol w:w="1301"/>
        <w:gridCol w:w="1097"/>
        <w:gridCol w:w="1157"/>
        <w:gridCol w:w="949"/>
        <w:gridCol w:w="1392"/>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73" w:hRule="atLeast"/>
          <w:jc w:val="center"/>
        </w:trPr>
        <w:tc>
          <w:tcPr>
            <w:tcW w:w="1973" w:type="dxa"/>
            <w:tcBorders>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205" w:type="dxa"/>
            <w:tcBorders>
              <w:left w:val="single" w:color="000000" w:sz="4"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99" w:type="dxa"/>
            <w:tcBorders>
              <w:left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01" w:type="dxa"/>
            <w:tcBorders>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097" w:type="dxa"/>
            <w:tcBorders>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157" w:type="dxa"/>
            <w:tcBorders>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49" w:type="dxa"/>
            <w:tcBorders>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学历</w:t>
            </w:r>
          </w:p>
        </w:tc>
        <w:tc>
          <w:tcPr>
            <w:tcW w:w="1392" w:type="dxa"/>
            <w:tcBorders>
              <w:left w:val="single" w:color="000000" w:sz="4" w:space="0"/>
              <w:bottom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55" w:hRule="atLeast"/>
          <w:jc w:val="center"/>
        </w:trPr>
        <w:tc>
          <w:tcPr>
            <w:tcW w:w="1973" w:type="dxa"/>
            <w:tcBorders>
              <w:top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05" w:type="dxa"/>
            <w:tcBorders>
              <w:top w:val="single" w:color="000000" w:sz="6" w:space="0"/>
              <w:left w:val="single" w:color="000000" w:sz="4"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899" w:type="dxa"/>
            <w:tcBorders>
              <w:top w:val="single" w:color="000000" w:sz="6" w:space="0"/>
              <w:left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301" w:type="dxa"/>
            <w:tcBorders>
              <w:top w:val="single" w:color="000000" w:sz="6" w:space="0"/>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1097" w:type="dxa"/>
            <w:tcBorders>
              <w:top w:val="single" w:color="000000" w:sz="6" w:space="0"/>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所学专业</w:t>
            </w:r>
          </w:p>
        </w:tc>
        <w:tc>
          <w:tcPr>
            <w:tcW w:w="1157" w:type="dxa"/>
            <w:tcBorders>
              <w:top w:val="single" w:color="000000" w:sz="6" w:space="0"/>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c>
          <w:tcPr>
            <w:tcW w:w="949" w:type="dxa"/>
            <w:tcBorders>
              <w:top w:val="single" w:color="000000" w:sz="6" w:space="0"/>
              <w:left w:val="single" w:color="000000" w:sz="4"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1392" w:type="dxa"/>
            <w:tcBorders>
              <w:top w:val="single" w:color="000000" w:sz="6" w:space="0"/>
              <w:left w:val="single" w:color="000000" w:sz="4" w:space="0"/>
              <w:bottom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jc w:val="center"/>
        </w:trPr>
        <w:tc>
          <w:tcPr>
            <w:tcW w:w="1973" w:type="dxa"/>
            <w:tcBorders>
              <w:top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8000" w:type="dxa"/>
            <w:gridSpan w:val="7"/>
            <w:tcBorders>
              <w:top w:val="single" w:color="000000" w:sz="6" w:space="0"/>
              <w:left w:val="single" w:color="000000" w:sz="4" w:space="0"/>
              <w:bottom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52" w:hRule="atLeast"/>
          <w:jc w:val="center"/>
        </w:trPr>
        <w:tc>
          <w:tcPr>
            <w:tcW w:w="1973" w:type="dxa"/>
            <w:tcBorders>
              <w:top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8000" w:type="dxa"/>
            <w:gridSpan w:val="7"/>
            <w:tcBorders>
              <w:top w:val="single" w:color="000000" w:sz="6" w:space="0"/>
              <w:left w:val="single" w:color="000000" w:sz="4" w:space="0"/>
              <w:bottom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34" w:hRule="atLeast"/>
          <w:jc w:val="center"/>
        </w:trPr>
        <w:tc>
          <w:tcPr>
            <w:tcW w:w="1973" w:type="dxa"/>
            <w:tcBorders>
              <w:top w:val="single" w:color="000000" w:sz="6" w:space="0"/>
              <w:bottom w:val="single" w:color="000000" w:sz="6" w:space="0"/>
              <w:right w:val="single" w:color="000000" w:sz="4"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拟在本项目任职</w:t>
            </w:r>
          </w:p>
        </w:tc>
        <w:tc>
          <w:tcPr>
            <w:tcW w:w="8000" w:type="dxa"/>
            <w:gridSpan w:val="7"/>
            <w:tcBorders>
              <w:top w:val="single" w:color="000000" w:sz="6" w:space="0"/>
              <w:left w:val="single" w:color="000000" w:sz="4" w:space="0"/>
              <w:bottom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12" w:hRule="atLeast"/>
          <w:jc w:val="center"/>
        </w:trPr>
        <w:tc>
          <w:tcPr>
            <w:tcW w:w="4077" w:type="dxa"/>
            <w:gridSpan w:val="3"/>
            <w:tcBorders>
              <w:top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曾参加与本项目类似的工作业绩情况、担任的主要工作</w:t>
            </w:r>
          </w:p>
        </w:tc>
        <w:tc>
          <w:tcPr>
            <w:tcW w:w="5896" w:type="dxa"/>
            <w:gridSpan w:val="5"/>
            <w:tcBorders>
              <w:top w:val="single" w:color="000000" w:sz="6" w:space="0"/>
              <w:lef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val="0"/>
              <w:snapToGrid/>
              <w:spacing w:line="360" w:lineRule="auto"/>
              <w:ind w:left="0" w:leftChars="0" w:right="0"/>
              <w:jc w:val="center"/>
              <w:textAlignment w:val="baseline"/>
              <w:rPr>
                <w:rFonts w:hint="eastAsia" w:ascii="宋体" w:hAnsi="宋体" w:eastAsia="宋体" w:cs="宋体"/>
                <w:color w:val="auto"/>
                <w:sz w:val="24"/>
                <w:szCs w:val="24"/>
                <w:highlight w:val="none"/>
              </w:rPr>
            </w:pPr>
          </w:p>
        </w:tc>
      </w:tr>
    </w:tbl>
    <w:p>
      <w:pPr>
        <w:pStyle w:val="9"/>
        <w:pageBreakBefore w:val="0"/>
        <w:overflowPunct/>
        <w:topLinePunct w:val="0"/>
        <w:bidi w:val="0"/>
        <w:spacing w:after="0" w:line="360" w:lineRule="auto"/>
        <w:ind w:left="0" w:leftChars="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注：1.投标单位拟派人员应填写本表，每位人员填写一张；</w:t>
      </w:r>
    </w:p>
    <w:p>
      <w:pPr>
        <w:ind w:left="482" w:hanging="360" w:hangingChars="150"/>
        <w:rPr>
          <w:rFonts w:hint="eastAsia" w:ascii="宋体" w:hAnsi="宋体" w:eastAsia="宋体" w:cs="宋体"/>
          <w:b/>
          <w:color w:val="FF0000"/>
          <w:sz w:val="32"/>
          <w:szCs w:val="32"/>
          <w:highlight w:val="none"/>
        </w:rPr>
      </w:pPr>
      <w:r>
        <w:rPr>
          <w:rFonts w:hint="eastAsia" w:ascii="宋体" w:hAnsi="宋体" w:eastAsia="宋体" w:cs="宋体"/>
          <w:color w:val="auto"/>
          <w:sz w:val="24"/>
          <w:szCs w:val="24"/>
          <w:highlight w:val="none"/>
          <w:lang w:val="en-US" w:eastAsia="zh-CN" w:bidi="ar-SA"/>
        </w:rPr>
        <w:t>2.本表后附拟派人员的毕业证和身份证、职称证（如有）的原件扫描件；</w:t>
      </w:r>
      <w:r>
        <w:rPr>
          <w:rFonts w:hint="eastAsia" w:ascii="宋体" w:hAnsi="宋体" w:eastAsia="宋体" w:cs="宋体"/>
          <w:b/>
          <w:color w:val="FF0000"/>
          <w:sz w:val="32"/>
          <w:szCs w:val="32"/>
          <w:highlight w:val="none"/>
        </w:rPr>
        <w:br w:type="page"/>
      </w:r>
    </w:p>
    <w:p>
      <w:pPr>
        <w:numPr>
          <w:ilvl w:val="0"/>
          <w:numId w:val="6"/>
        </w:numPr>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服务方案</w:t>
      </w:r>
    </w:p>
    <w:p>
      <w:pPr>
        <w:pStyle w:val="9"/>
        <w:widowControl w:val="0"/>
        <w:numPr>
          <w:ilvl w:val="0"/>
          <w:numId w:val="0"/>
        </w:numPr>
        <w:spacing w:after="12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包含但不限于以下方案：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目标分解、动态调控方案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研判分析及管控建议方案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现场巡查、实时调度方案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重污染过程预警、管控建议及分析方案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大气污染防治建议方案</w:t>
      </w:r>
    </w:p>
    <w:p>
      <w:pPr>
        <w:pStyle w:val="9"/>
        <w:widowControl w:val="0"/>
        <w:numPr>
          <w:ilvl w:val="0"/>
          <w:numId w:val="0"/>
        </w:numPr>
        <w:spacing w:after="120"/>
        <w:jc w:val="both"/>
        <w:rPr>
          <w:rFonts w:hint="eastAsia" w:ascii="宋体" w:hAnsi="宋体" w:eastAsia="宋体" w:cs="宋体"/>
          <w:highlight w:val="none"/>
        </w:rPr>
      </w:pPr>
      <w:r>
        <w:rPr>
          <w:rFonts w:hint="eastAsia" w:ascii="宋体" w:hAnsi="宋体" w:eastAsia="宋体" w:cs="宋体"/>
          <w:highlight w:val="none"/>
        </w:rPr>
        <w:t>管控效果综合评价方案</w:t>
      </w: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42"/>
        <w:snapToGrid w:val="0"/>
        <w:spacing w:line="360" w:lineRule="auto"/>
        <w:ind w:firstLine="643" w:firstLineChars="200"/>
        <w:jc w:val="center"/>
        <w:rPr>
          <w:rFonts w:hint="eastAsia" w:ascii="宋体" w:hAnsi="宋体" w:eastAsia="宋体" w:cs="宋体"/>
          <w:b/>
          <w:bCs/>
          <w:sz w:val="32"/>
          <w:szCs w:val="32"/>
          <w:highlight w:val="none"/>
          <w:lang w:val="en-US" w:eastAsia="zh-CN" w:bidi="ar-SA"/>
        </w:rPr>
      </w:pPr>
      <w:r>
        <w:rPr>
          <w:rFonts w:hint="eastAsia" w:ascii="宋体" w:hAnsi="宋体" w:eastAsia="宋体" w:cs="宋体"/>
          <w:b/>
          <w:bCs/>
          <w:sz w:val="32"/>
          <w:szCs w:val="32"/>
          <w:highlight w:val="none"/>
          <w:lang w:val="en-US" w:eastAsia="zh-CN" w:bidi="ar-SA"/>
        </w:rPr>
        <w:t>十二、服务承诺</w:t>
      </w: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pStyle w:val="10"/>
        <w:rPr>
          <w:rFonts w:hint="eastAsia" w:ascii="宋体" w:hAnsi="宋体" w:eastAsia="宋体" w:cs="宋体"/>
          <w:highlight w:val="none"/>
        </w:rPr>
      </w:pPr>
    </w:p>
    <w:p>
      <w:pPr>
        <w:numPr>
          <w:ilvl w:val="0"/>
          <w:numId w:val="0"/>
        </w:num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32"/>
          <w:szCs w:val="32"/>
          <w:highlight w:val="none"/>
          <w:lang w:eastAsia="zh-CN"/>
        </w:rPr>
        <w:t>十三、供应商</w:t>
      </w:r>
      <w:r>
        <w:rPr>
          <w:rFonts w:hint="eastAsia" w:ascii="宋体" w:hAnsi="宋体" w:eastAsia="宋体" w:cs="宋体"/>
          <w:b/>
          <w:bCs/>
          <w:sz w:val="32"/>
          <w:szCs w:val="32"/>
          <w:highlight w:val="none"/>
        </w:rPr>
        <w:t>认为有必要提供的其他资料</w:t>
      </w:r>
    </w:p>
    <w:p>
      <w:pPr>
        <w:widowControl/>
        <w:snapToGrid w:val="0"/>
        <w:spacing w:line="360" w:lineRule="auto"/>
        <w:ind w:right="1"/>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1.对采购人要求和需要采购人及相关部门配合的工作的。</w:t>
      </w:r>
    </w:p>
    <w:p>
      <w:pPr>
        <w:widowControl/>
        <w:snapToGrid w:val="0"/>
        <w:spacing w:line="360" w:lineRule="auto"/>
        <w:ind w:right="1"/>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eastAsia="zh-CN"/>
        </w:rPr>
        <w:t>供应商</w:t>
      </w:r>
      <w:r>
        <w:rPr>
          <w:rFonts w:hint="eastAsia" w:ascii="宋体" w:hAnsi="宋体" w:eastAsia="宋体" w:cs="宋体"/>
          <w:spacing w:val="8"/>
          <w:sz w:val="24"/>
          <w:szCs w:val="24"/>
          <w:highlight w:val="none"/>
        </w:rPr>
        <w:t>认为有必要提供的其他资料。</w:t>
      </w:r>
    </w:p>
    <w:p>
      <w:pPr>
        <w:widowControl/>
        <w:snapToGrid w:val="0"/>
        <w:spacing w:line="360" w:lineRule="auto"/>
        <w:ind w:firstLine="321" w:firstLineChars="100"/>
        <w:outlineLvl w:val="1"/>
        <w:rPr>
          <w:rFonts w:hint="eastAsia" w:ascii="宋体" w:hAnsi="宋体" w:eastAsia="宋体" w:cs="宋体"/>
          <w:sz w:val="24"/>
          <w:highlight w:val="none"/>
        </w:rPr>
      </w:pPr>
      <w:r>
        <w:rPr>
          <w:rFonts w:hint="eastAsia" w:ascii="宋体" w:hAnsi="宋体" w:eastAsia="宋体" w:cs="宋体"/>
          <w:b/>
          <w:sz w:val="32"/>
          <w:szCs w:val="32"/>
          <w:highlight w:val="none"/>
        </w:rPr>
        <w:br w:type="page"/>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2"/>
          <w:szCs w:val="36"/>
          <w:highlight w:val="none"/>
        </w:rPr>
        <w:t>中小企业声明函（服务）</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 （联合体）参加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 况如下：</w:t>
      </w:r>
    </w:p>
    <w:p>
      <w:pPr>
        <w:keepNext w:val="0"/>
        <w:keepLines w:val="0"/>
        <w:pageBreakBefore w:val="0"/>
        <w:numPr>
          <w:ilvl w:val="0"/>
          <w:numId w:val="7"/>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 xml:space="preserve">； </w:t>
      </w:r>
    </w:p>
    <w:p>
      <w:pPr>
        <w:keepNext w:val="0"/>
        <w:keepLines w:val="0"/>
        <w:pageBreakBefore w:val="0"/>
        <w:numPr>
          <w:ilvl w:val="0"/>
          <w:numId w:val="7"/>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从业人员、营业收入、资产总额填报上一年度数据，无上一年度数据的新成立企业可不填报。</w:t>
      </w:r>
    </w:p>
    <w:p>
      <w:pPr>
        <w:pageBreakBefore w:val="0"/>
        <w:kinsoku/>
        <w:wordWrap/>
        <w:overflowPunct/>
        <w:bidi w:val="0"/>
        <w:adjustRightInd w:val="0"/>
        <w:snapToGrid w:val="0"/>
        <w:spacing w:beforeAutospacing="0" w:afterAutospacing="0" w:line="240" w:lineRule="auto"/>
        <w:ind w:left="0" w:leftChars="0" w:right="0" w:rightChars="0" w:firstLine="0" w:firstLineChars="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 w:name="OLE_LINK14"/>
      <w:bookmarkStart w:id="39" w:name="OLE_LINK13"/>
      <w:r>
        <w:rPr>
          <w:rFonts w:hint="eastAsia" w:ascii="宋体" w:hAnsi="宋体" w:eastAsia="宋体" w:cs="宋体"/>
          <w:color w:val="auto"/>
          <w:sz w:val="28"/>
          <w:szCs w:val="28"/>
          <w:highlight w:val="none"/>
          <w:lang w:val="en-US" w:eastAsia="zh-CN" w:bidi="ar-SA"/>
        </w:rPr>
        <w:t xml:space="preserve"> </w:t>
      </w:r>
      <w:r>
        <w:rPr>
          <w:rFonts w:hint="eastAsia" w:ascii="宋体" w:hAnsi="宋体" w:eastAsia="宋体" w:cs="宋体"/>
          <w:bCs/>
          <w:color w:val="auto"/>
          <w:sz w:val="32"/>
          <w:szCs w:val="32"/>
          <w:highlight w:val="none"/>
        </w:rPr>
        <w:t xml:space="preserve"> </w:t>
      </w:r>
      <w:r>
        <w:rPr>
          <w:rFonts w:hint="eastAsia" w:ascii="宋体" w:hAnsi="宋体" w:eastAsia="宋体" w:cs="宋体"/>
          <w:b/>
          <w:color w:val="auto"/>
          <w:sz w:val="32"/>
          <w:szCs w:val="32"/>
          <w:highlight w:val="none"/>
        </w:rPr>
        <w:t xml:space="preserve">     </w:t>
      </w:r>
    </w:p>
    <w:p>
      <w:pPr>
        <w:pageBreakBefore w:val="0"/>
        <w:kinsoku/>
        <w:wordWrap/>
        <w:overflowPunct/>
        <w:bidi w:val="0"/>
        <w:adjustRightInd w:val="0"/>
        <w:snapToGrid w:val="0"/>
        <w:spacing w:beforeAutospacing="0" w:afterAutospacing="0" w:line="240" w:lineRule="auto"/>
        <w:ind w:left="0" w:leftChars="0" w:right="0" w:rightChars="0" w:firstLine="0" w:firstLineChars="0"/>
        <w:rPr>
          <w:rFonts w:hint="eastAsia" w:ascii="宋体" w:hAnsi="宋体" w:eastAsia="宋体" w:cs="宋体"/>
          <w:b/>
          <w:color w:val="auto"/>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残疾人福利性单位声明函</w:t>
      </w: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color w:val="auto"/>
          <w:highlight w:val="none"/>
        </w:rPr>
      </w:pPr>
    </w:p>
    <w:bookmarkEnd w:id="38"/>
    <w:bookmarkEnd w:id="39"/>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单位名称：（电子签章）</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bookmarkStart w:id="40" w:name="_Toc10910"/>
    </w:p>
    <w:bookmarkEnd w:id="40"/>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说明：若是残疾人福利性单位则需提供上述“残疾人福利性单位声明函”，若不是残疾人福利性单位则不需要提供。</w:t>
      </w:r>
    </w:p>
    <w:p>
      <w:pPr>
        <w:pStyle w:val="23"/>
        <w:keepNext w:val="0"/>
        <w:keepLines w:val="0"/>
        <w:pageBreakBefore w:val="0"/>
        <w:kinsoku/>
        <w:wordWrap/>
        <w:overflowPunct/>
        <w:topLinePunct w:val="0"/>
        <w:autoSpaceDE/>
        <w:autoSpaceDN/>
        <w:bidi w:val="0"/>
        <w:spacing w:before="0" w:beforeAutospacing="0" w:after="0" w:afterAutospacing="0" w:line="360" w:lineRule="auto"/>
        <w:ind w:left="0" w:leftChars="0" w:right="0" w:rightChars="0" w:firstLine="480" w:firstLineChars="200"/>
        <w:textAlignment w:val="auto"/>
        <w:rPr>
          <w:rFonts w:hint="eastAsia" w:ascii="宋体" w:hAnsi="宋体" w:eastAsia="宋体" w:cs="宋体"/>
          <w:snapToGrid w:val="0"/>
          <w:color w:val="auto"/>
          <w:sz w:val="24"/>
          <w:szCs w:val="24"/>
          <w:highlight w:val="none"/>
        </w:rPr>
      </w:pP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snapToGrid w:val="0"/>
          <w:color w:val="auto"/>
          <w:highlight w:val="none"/>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snapToGrid w:val="0"/>
          <w:color w:val="auto"/>
          <w:highlight w:val="none"/>
        </w:rPr>
      </w:pP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snapToGrid w:val="0"/>
          <w:color w:val="auto"/>
          <w:sz w:val="28"/>
          <w:szCs w:val="28"/>
          <w:highlight w:val="none"/>
        </w:rPr>
      </w:pP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snapToGrid w:val="0"/>
          <w:color w:val="auto"/>
          <w:highlight w:val="none"/>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snapToGrid w:val="0"/>
          <w:color w:val="auto"/>
          <w:highlight w:val="none"/>
        </w:rPr>
      </w:pP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snapToGrid w:val="0"/>
          <w:color w:val="auto"/>
          <w:sz w:val="28"/>
          <w:szCs w:val="28"/>
          <w:highlight w:val="none"/>
        </w:rPr>
      </w:pP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snapToGrid w:val="0"/>
          <w:color w:val="auto"/>
          <w:highlight w:val="none"/>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snapToGrid w:val="0"/>
          <w:color w:val="auto"/>
          <w:highlight w:val="none"/>
        </w:rPr>
      </w:pPr>
    </w:p>
    <w:p>
      <w:pPr>
        <w:pageBreakBefore w:val="0"/>
        <w:kinsoku/>
        <w:wordWrap/>
        <w:overflowPunct/>
        <w:bidi w:val="0"/>
        <w:adjustRightInd w:val="0"/>
        <w:snapToGrid w:val="0"/>
        <w:spacing w:beforeAutospacing="0" w:afterAutospacing="0" w:line="240" w:lineRule="auto"/>
        <w:ind w:left="0" w:leftChars="0" w:right="0" w:rightChars="0" w:firstLine="0" w:firstLineChars="0"/>
        <w:rPr>
          <w:rFonts w:hint="eastAsia" w:ascii="宋体" w:hAnsi="宋体" w:eastAsia="宋体" w:cs="宋体"/>
          <w:b/>
          <w:color w:val="auto"/>
          <w:sz w:val="32"/>
          <w:szCs w:val="32"/>
          <w:highlight w:val="none"/>
        </w:rPr>
      </w:pPr>
    </w:p>
    <w:p>
      <w:pPr>
        <w:pageBreakBefore w:val="0"/>
        <w:kinsoku/>
        <w:wordWrap/>
        <w:overflowPunct/>
        <w:bidi w:val="0"/>
        <w:adjustRightInd w:val="0"/>
        <w:snapToGrid w:val="0"/>
        <w:spacing w:beforeAutospacing="0" w:afterAutospacing="0" w:line="240" w:lineRule="auto"/>
        <w:ind w:left="0" w:leftChars="0" w:right="0" w:rightChars="0" w:firstLine="0" w:firstLineChars="0"/>
        <w:rPr>
          <w:rFonts w:hint="eastAsia" w:ascii="宋体" w:hAnsi="宋体" w:eastAsia="宋体" w:cs="宋体"/>
          <w:b/>
          <w:bCs/>
          <w:color w:val="auto"/>
          <w:sz w:val="24"/>
          <w:szCs w:val="24"/>
          <w:highlight w:val="none"/>
          <w:lang w:val="en-US" w:eastAsia="zh-CN" w:bidi="ar-SA"/>
        </w:rPr>
      </w:pPr>
    </w:p>
    <w:p>
      <w:pPr>
        <w:pageBreakBefore w:val="0"/>
        <w:kinsoku/>
        <w:wordWrap/>
        <w:overflowPunct/>
        <w:bidi w:val="0"/>
        <w:adjustRightInd w:val="0"/>
        <w:snapToGrid w:val="0"/>
        <w:spacing w:beforeAutospacing="0" w:afterAutospacing="0" w:line="240" w:lineRule="auto"/>
        <w:ind w:left="0" w:leftChars="0" w:right="0" w:rightChars="0" w:firstLine="0" w:firstLineChars="0"/>
        <w:rPr>
          <w:rFonts w:hint="eastAsia" w:ascii="宋体" w:hAnsi="宋体" w:eastAsia="宋体" w:cs="宋体"/>
          <w:b/>
          <w:bCs/>
          <w:color w:val="auto"/>
          <w:sz w:val="24"/>
          <w:szCs w:val="24"/>
          <w:highlight w:val="none"/>
          <w:lang w:val="en-US" w:eastAsia="zh-CN" w:bidi="ar-SA"/>
        </w:rPr>
      </w:pPr>
    </w:p>
    <w:p>
      <w:pPr>
        <w:pageBreakBefore w:val="0"/>
        <w:widowControl/>
        <w:kinsoku/>
        <w:wordWrap/>
        <w:overflowPunct/>
        <w:bidi w:val="0"/>
        <w:spacing w:beforeAutospacing="0" w:afterAutospacing="0" w:line="240" w:lineRule="auto"/>
        <w:ind w:left="0" w:leftChars="0" w:right="0" w:rightChars="0" w:firstLine="0" w:firstLineChars="0"/>
        <w:jc w:val="left"/>
        <w:rPr>
          <w:rFonts w:hint="eastAsia" w:ascii="宋体" w:hAnsi="宋体" w:eastAsia="宋体" w:cs="宋体"/>
          <w:b/>
          <w:bCs/>
          <w:color w:val="auto"/>
          <w:highlight w:val="none"/>
          <w:lang w:bidi="ar"/>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b/>
          <w:bCs/>
          <w:color w:val="auto"/>
          <w:sz w:val="32"/>
          <w:szCs w:val="36"/>
          <w:highlight w:val="none"/>
        </w:rPr>
      </w:pPr>
      <w:r>
        <w:rPr>
          <w:rFonts w:hint="eastAsia" w:ascii="宋体" w:hAnsi="宋体" w:eastAsia="宋体" w:cs="宋体"/>
          <w:b/>
          <w:bCs/>
          <w:color w:val="auto"/>
          <w:sz w:val="32"/>
          <w:szCs w:val="36"/>
          <w:highlight w:val="none"/>
        </w:rPr>
        <w:t xml:space="preserve">监狱企业证明文件 </w:t>
      </w:r>
    </w:p>
    <w:p>
      <w:pPr>
        <w:pageBreakBefore w:val="0"/>
        <w:widowControl/>
        <w:kinsoku/>
        <w:wordWrap/>
        <w:overflowPunct/>
        <w:bidi w:val="0"/>
        <w:spacing w:beforeAutospacing="0" w:afterAutospacing="0" w:line="240" w:lineRule="auto"/>
        <w:ind w:left="0" w:leftChars="0" w:right="0" w:rightChars="0" w:firstLine="0" w:firstLineChars="0"/>
        <w:jc w:val="left"/>
        <w:rPr>
          <w:rFonts w:hint="eastAsia" w:ascii="宋体" w:hAnsi="宋体" w:eastAsia="宋体" w:cs="宋体"/>
          <w:color w:val="auto"/>
          <w:sz w:val="21"/>
          <w:szCs w:val="21"/>
          <w:highlight w:val="none"/>
          <w:lang w:bidi="ar"/>
        </w:rPr>
      </w:pPr>
    </w:p>
    <w:p>
      <w:pPr>
        <w:pageBreakBefore w:val="0"/>
        <w:widowControl/>
        <w:kinsoku/>
        <w:wordWrap/>
        <w:overflowPunct/>
        <w:bidi w:val="0"/>
        <w:spacing w:beforeAutospacing="0" w:afterAutospacing="0" w:line="240" w:lineRule="auto"/>
        <w:ind w:left="0" w:leftChars="0" w:right="0" w:rightChars="0" w:firstLine="0" w:firstLineChars="0"/>
        <w:jc w:val="left"/>
        <w:rPr>
          <w:rFonts w:hint="eastAsia" w:ascii="宋体" w:hAnsi="宋体" w:eastAsia="宋体" w:cs="宋体"/>
          <w:color w:val="auto"/>
          <w:sz w:val="21"/>
          <w:szCs w:val="21"/>
          <w:highlight w:val="none"/>
          <w:lang w:bidi="ar"/>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color w:val="auto"/>
          <w:sz w:val="21"/>
          <w:szCs w:val="21"/>
          <w:highlight w:val="none"/>
          <w:lang w:bidi="ar"/>
        </w:rPr>
      </w:pP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lang w:bidi="ar"/>
        </w:rPr>
      </w:pP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1"/>
          <w:szCs w:val="21"/>
          <w:highlight w:val="none"/>
          <w:lang w:bidi="ar"/>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color w:val="auto"/>
          <w:sz w:val="21"/>
          <w:szCs w:val="21"/>
          <w:highlight w:val="none"/>
          <w:lang w:bidi="ar"/>
        </w:rPr>
      </w:pP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lang w:bidi="ar"/>
        </w:rPr>
      </w:pPr>
    </w:p>
    <w:p>
      <w:pPr>
        <w:pageBreakBefore w:val="0"/>
        <w:kinsoku/>
        <w:wordWrap/>
        <w:overflowPunct/>
        <w:bidi w:val="0"/>
        <w:spacing w:beforeAutospacing="0" w:afterAutospacing="0" w:line="240" w:lineRule="auto"/>
        <w:ind w:left="0" w:leftChars="0" w:right="0" w:rightChars="0" w:firstLine="0" w:firstLineChars="0"/>
        <w:rPr>
          <w:rFonts w:hint="eastAsia" w:ascii="宋体" w:hAnsi="宋体" w:eastAsia="宋体" w:cs="宋体"/>
          <w:color w:val="auto"/>
          <w:sz w:val="21"/>
          <w:szCs w:val="21"/>
          <w:highlight w:val="none"/>
          <w:lang w:bidi="ar"/>
        </w:rPr>
      </w:pPr>
    </w:p>
    <w:p>
      <w:pPr>
        <w:pStyle w:val="9"/>
        <w:pageBreakBefore w:val="0"/>
        <w:kinsoku/>
        <w:wordWrap/>
        <w:overflowPunct/>
        <w:bidi w:val="0"/>
        <w:spacing w:beforeAutospacing="0" w:after="0" w:afterAutospacing="0" w:line="240" w:lineRule="auto"/>
        <w:ind w:left="0" w:leftChars="0" w:right="0" w:rightChars="0" w:firstLine="0" w:firstLineChars="0"/>
        <w:rPr>
          <w:rFonts w:hint="eastAsia" w:ascii="宋体" w:hAnsi="宋体" w:eastAsia="宋体" w:cs="宋体"/>
          <w:color w:val="auto"/>
          <w:sz w:val="21"/>
          <w:szCs w:val="21"/>
          <w:highlight w:val="none"/>
          <w:lang w:bidi="ar"/>
        </w:rPr>
      </w:pP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rPr>
      </w:pPr>
    </w:p>
    <w:p>
      <w:pPr>
        <w:pageBreakBefore w:val="0"/>
        <w:widowControl/>
        <w:kinsoku/>
        <w:wordWrap/>
        <w:overflowPunct/>
        <w:bidi w:val="0"/>
        <w:spacing w:beforeAutospacing="0" w:afterAutospacing="0" w:line="240" w:lineRule="auto"/>
        <w:ind w:left="0" w:leftChars="0" w:right="0" w:rightChars="0" w:firstLine="0" w:firstLineChars="0"/>
        <w:jc w:val="left"/>
        <w:rPr>
          <w:rFonts w:hint="eastAsia" w:ascii="宋体" w:hAnsi="宋体" w:eastAsia="宋体" w:cs="宋体"/>
          <w:color w:val="auto"/>
          <w:sz w:val="21"/>
          <w:szCs w:val="21"/>
          <w:highlight w:val="none"/>
          <w:lang w:bidi="ar"/>
        </w:rPr>
      </w:pPr>
    </w:p>
    <w:p>
      <w:pPr>
        <w:pageBreakBefore w:val="0"/>
        <w:widowControl/>
        <w:kinsoku/>
        <w:wordWrap/>
        <w:overflowPunct/>
        <w:bidi w:val="0"/>
        <w:spacing w:beforeAutospacing="0" w:afterAutospacing="0" w:line="240" w:lineRule="auto"/>
        <w:ind w:left="0" w:leftChars="0" w:right="0" w:rightChars="0" w:firstLine="0" w:firstLineChars="0"/>
        <w:jc w:val="left"/>
        <w:rPr>
          <w:rFonts w:hint="eastAsia" w:ascii="宋体" w:hAnsi="宋体" w:eastAsia="宋体" w:cs="宋体"/>
          <w:color w:val="auto"/>
          <w:sz w:val="21"/>
          <w:szCs w:val="21"/>
          <w:highlight w:val="none"/>
          <w:lang w:bidi="ar"/>
        </w:rPr>
      </w:pPr>
    </w:p>
    <w:p>
      <w:pPr>
        <w:keepNext w:val="0"/>
        <w:keepLines w:val="0"/>
        <w:pageBreakBefore w:val="0"/>
        <w:widowControl/>
        <w:kinsoku/>
        <w:wordWrap/>
        <w:overflowPunct/>
        <w:topLinePunct w:val="0"/>
        <w:autoSpaceDE/>
        <w:autoSpaceDN/>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说明：若是监狱企业则需提供上述省级以上监狱管理局、戒毒管理局（含新疆生产建设兵团）出具的属于监狱企业的证明文件，若不是则不需要提供。</w:t>
      </w:r>
    </w:p>
    <w:p>
      <w:pPr>
        <w:pStyle w:val="23"/>
        <w:pageBreakBefore w:val="0"/>
        <w:kinsoku/>
        <w:wordWrap/>
        <w:overflowPunct/>
        <w:bidi w:val="0"/>
        <w:spacing w:before="0" w:beforeAutospacing="0" w:after="0" w:afterAutospacing="0" w:line="240" w:lineRule="auto"/>
        <w:ind w:left="0" w:leftChars="0" w:right="0" w:rightChars="0" w:firstLine="0" w:firstLineChars="0"/>
        <w:rPr>
          <w:rFonts w:hint="eastAsia" w:ascii="宋体" w:hAnsi="宋体" w:eastAsia="宋体" w:cs="宋体"/>
          <w:color w:val="auto"/>
          <w:highlight w:val="none"/>
        </w:rPr>
      </w:pPr>
    </w:p>
    <w:p>
      <w:pPr>
        <w:widowControl/>
        <w:adjustRightInd w:val="0"/>
        <w:snapToGrid w:val="0"/>
        <w:spacing w:line="360" w:lineRule="auto"/>
        <w:ind w:firstLine="560" w:firstLineChars="200"/>
        <w:outlineLvl w:val="1"/>
        <w:rPr>
          <w:rFonts w:hint="eastAsia" w:ascii="宋体" w:hAnsi="宋体" w:eastAsia="宋体" w:cs="宋体"/>
          <w:snapToGrid w:val="0"/>
          <w:highlight w:val="none"/>
        </w:rPr>
      </w:pPr>
    </w:p>
    <w:p>
      <w:pPr>
        <w:adjustRightInd w:val="0"/>
        <w:snapToGrid w:val="0"/>
        <w:spacing w:line="360" w:lineRule="auto"/>
        <w:jc w:val="both"/>
        <w:rPr>
          <w:rFonts w:hint="eastAsia" w:ascii="宋体" w:hAnsi="宋体" w:eastAsia="宋体" w:cs="宋体"/>
          <w:sz w:val="24"/>
          <w:highlight w:val="none"/>
        </w:rPr>
      </w:pPr>
    </w:p>
    <w:sectPr>
      <w:footerReference r:id="rId6" w:type="default"/>
      <w:pgSz w:w="11907" w:h="16840"/>
      <w:pgMar w:top="1134" w:right="1140" w:bottom="1134" w:left="1247" w:header="0" w:footer="1063" w:gutter="0"/>
      <w:pgNumType w:start="1"/>
      <w:cols w:space="720" w:num="1"/>
      <w:docGrid w:type="lines" w:linePitch="5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Fonts w:ascii="楷体_GB2312" w:eastAsia="楷体_GB2312"/>
        <w:spacing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ascii="楷体_GB2312" w:eastAsia="楷体_GB2312"/>
        <w:spacing w:val="20"/>
      </w:rPr>
    </w:pPr>
    <w:r>
      <w:rPr>
        <w:rFonts w:ascii="楷体_GB2312" w:eastAsia="楷体_GB2312"/>
        <w:spacing w:val="20"/>
        <w:szCs w:val="21"/>
      </w:rPr>
      <w:t xml:space="preserve">- </w:t>
    </w:r>
    <w:r>
      <w:rPr>
        <w:rFonts w:ascii="楷体_GB2312" w:eastAsia="楷体_GB2312"/>
        <w:spacing w:val="20"/>
        <w:szCs w:val="21"/>
      </w:rPr>
      <w:fldChar w:fldCharType="begin"/>
    </w:r>
    <w:r>
      <w:rPr>
        <w:rFonts w:ascii="楷体_GB2312" w:eastAsia="楷体_GB2312"/>
        <w:spacing w:val="20"/>
        <w:szCs w:val="21"/>
      </w:rPr>
      <w:instrText xml:space="preserve"> PAGE </w:instrText>
    </w:r>
    <w:r>
      <w:rPr>
        <w:rFonts w:ascii="楷体_GB2312" w:eastAsia="楷体_GB2312"/>
        <w:spacing w:val="20"/>
        <w:szCs w:val="21"/>
      </w:rPr>
      <w:fldChar w:fldCharType="separate"/>
    </w:r>
    <w:r>
      <w:rPr>
        <w:rFonts w:ascii="楷体_GB2312" w:eastAsia="楷体_GB2312"/>
        <w:spacing w:val="20"/>
        <w:szCs w:val="21"/>
      </w:rPr>
      <w:t>12</w:t>
    </w:r>
    <w:r>
      <w:rPr>
        <w:rFonts w:ascii="楷体_GB2312" w:eastAsia="楷体_GB2312"/>
        <w:spacing w:val="20"/>
        <w:szCs w:val="21"/>
      </w:rPr>
      <w:fldChar w:fldCharType="end"/>
    </w:r>
    <w:r>
      <w:rPr>
        <w:rFonts w:ascii="楷体_GB2312" w:eastAsia="楷体_GB2312"/>
        <w:spacing w:val="2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32510016" o:spid="_x0000_s4098" o:spt="136" type="#_x0000_t136" style="position:absolute;left:0pt;height:67.1pt;width:603.95pt;mso-position-horizontal:center;mso-position-horizontal-relative:margin;mso-position-vertical:center;mso-position-vertical-relative:margin;rotation:20643840f;z-index:-251656192;mso-width-relative:page;mso-height-relative:page;" fillcolor="#A5A5A5" filled="t" stroked="f" coordsize="21600,21600" o:allowincell="f">
          <v:path/>
          <v:fill on="t" focussize="0,0"/>
          <v:stroke on="f"/>
          <v:imagedata o:title=""/>
          <o:lock v:ext="edit"/>
          <v:textpath on="t" fitshape="t" fitpath="t" trim="f" xscale="f" string="唐山市政府采购中心"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32510015" o:spid="_x0000_s4097" o:spt="136" type="#_x0000_t136" style="position:absolute;left:0pt;height:67.1pt;width:603.95pt;mso-position-horizontal:center;mso-position-horizontal-relative:margin;mso-position-vertical:center;mso-position-vertical-relative:margin;rotation:20643840f;z-index:-251657216;mso-width-relative:page;mso-height-relative:page;" fillcolor="#A5A5A5" filled="t" stroked="f" coordsize="21600,21600" o:allowincell="f">
          <v:path/>
          <v:fill on="t" focussize="0,0"/>
          <v:stroke on="f"/>
          <v:imagedata o:title=""/>
          <o:lock v:ext="edit"/>
          <v:textpath on="t" fitshape="t" fitpath="t" trim="f" xscale="f" string="唐山市政府采购中心"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7F5B3"/>
    <w:multiLevelType w:val="singleLevel"/>
    <w:tmpl w:val="92E7F5B3"/>
    <w:lvl w:ilvl="0" w:tentative="0">
      <w:start w:val="1"/>
      <w:numFmt w:val="decimal"/>
      <w:suff w:val="space"/>
      <w:lvlText w:val="%1."/>
      <w:lvlJc w:val="left"/>
      <w:pPr>
        <w:ind w:left="600" w:firstLine="0"/>
      </w:pPr>
    </w:lvl>
  </w:abstractNum>
  <w:abstractNum w:abstractNumId="1">
    <w:nsid w:val="F46AE45B"/>
    <w:multiLevelType w:val="singleLevel"/>
    <w:tmpl w:val="F46AE45B"/>
    <w:lvl w:ilvl="0" w:tentative="0">
      <w:start w:val="11"/>
      <w:numFmt w:val="chineseCounting"/>
      <w:suff w:val="nothing"/>
      <w:lvlText w:val="%1、"/>
      <w:lvlJc w:val="left"/>
      <w:rPr>
        <w:rFonts w:hint="eastAsia"/>
      </w:rPr>
    </w:lvl>
  </w:abstractNum>
  <w:abstractNum w:abstractNumId="2">
    <w:nsid w:val="23D73284"/>
    <w:multiLevelType w:val="singleLevel"/>
    <w:tmpl w:val="23D73284"/>
    <w:lvl w:ilvl="0" w:tentative="0">
      <w:start w:val="3"/>
      <w:numFmt w:val="decimal"/>
      <w:lvlText w:val="%1."/>
      <w:lvlJc w:val="left"/>
      <w:pPr>
        <w:tabs>
          <w:tab w:val="left" w:pos="312"/>
        </w:tabs>
      </w:pPr>
    </w:lvl>
  </w:abstractNum>
  <w:abstractNum w:abstractNumId="3">
    <w:nsid w:val="32B330D0"/>
    <w:multiLevelType w:val="multilevel"/>
    <w:tmpl w:val="32B330D0"/>
    <w:lvl w:ilvl="0" w:tentative="0">
      <w:start w:val="1"/>
      <w:numFmt w:val="decimal"/>
      <w:pStyle w:val="54"/>
      <w:lvlText w:val="%1、"/>
      <w:lvlJc w:val="left"/>
      <w:pPr>
        <w:tabs>
          <w:tab w:val="left" w:pos="840"/>
        </w:tabs>
        <w:ind w:left="840" w:hanging="420"/>
      </w:pPr>
      <w:rPr>
        <w:rFonts w:hint="eastAsi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9A913DC"/>
    <w:multiLevelType w:val="singleLevel"/>
    <w:tmpl w:val="59A913DC"/>
    <w:lvl w:ilvl="0" w:tentative="0">
      <w:start w:val="7"/>
      <w:numFmt w:val="chineseCounting"/>
      <w:suff w:val="nothing"/>
      <w:lvlText w:val="%1、"/>
      <w:lvlJc w:val="left"/>
    </w:lvl>
  </w:abstractNum>
  <w:abstractNum w:abstractNumId="5">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6">
    <w:nsid w:val="67D63D21"/>
    <w:multiLevelType w:val="singleLevel"/>
    <w:tmpl w:val="67D63D21"/>
    <w:lvl w:ilvl="0" w:tentative="0">
      <w:start w:val="6"/>
      <w:numFmt w:val="chineseCounting"/>
      <w:suff w:val="nothing"/>
      <w:lvlText w:val="%1、"/>
      <w:lvlJc w:val="left"/>
      <w:rPr>
        <w:rFonts w:hint="eastAsia"/>
      </w:r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jIxMTQ5YTFiNzczZjhkZmRlY2JhNzZiNDBhNmMifQ=="/>
  </w:docVars>
  <w:rsids>
    <w:rsidRoot w:val="00172A27"/>
    <w:rsid w:val="00000800"/>
    <w:rsid w:val="0000448C"/>
    <w:rsid w:val="00024043"/>
    <w:rsid w:val="0003635E"/>
    <w:rsid w:val="0003648B"/>
    <w:rsid w:val="00045321"/>
    <w:rsid w:val="00055748"/>
    <w:rsid w:val="00056F22"/>
    <w:rsid w:val="000602BC"/>
    <w:rsid w:val="000608F5"/>
    <w:rsid w:val="000644BB"/>
    <w:rsid w:val="000828E9"/>
    <w:rsid w:val="000923D0"/>
    <w:rsid w:val="000944F1"/>
    <w:rsid w:val="000B3103"/>
    <w:rsid w:val="000C1933"/>
    <w:rsid w:val="000D2146"/>
    <w:rsid w:val="000E133B"/>
    <w:rsid w:val="00101D3F"/>
    <w:rsid w:val="00122A47"/>
    <w:rsid w:val="001264D0"/>
    <w:rsid w:val="00140688"/>
    <w:rsid w:val="00141174"/>
    <w:rsid w:val="001419A1"/>
    <w:rsid w:val="00143AB8"/>
    <w:rsid w:val="00160D0D"/>
    <w:rsid w:val="00163768"/>
    <w:rsid w:val="00164A01"/>
    <w:rsid w:val="0017742B"/>
    <w:rsid w:val="001840F5"/>
    <w:rsid w:val="00190DF2"/>
    <w:rsid w:val="001C7BF3"/>
    <w:rsid w:val="001D0EEF"/>
    <w:rsid w:val="001D2E3B"/>
    <w:rsid w:val="001D33F6"/>
    <w:rsid w:val="001E213A"/>
    <w:rsid w:val="001E6236"/>
    <w:rsid w:val="0020765C"/>
    <w:rsid w:val="002136A7"/>
    <w:rsid w:val="002173B4"/>
    <w:rsid w:val="00225E89"/>
    <w:rsid w:val="00243AE4"/>
    <w:rsid w:val="00247998"/>
    <w:rsid w:val="0025687E"/>
    <w:rsid w:val="002654B6"/>
    <w:rsid w:val="00265843"/>
    <w:rsid w:val="00267532"/>
    <w:rsid w:val="00270346"/>
    <w:rsid w:val="00284D2E"/>
    <w:rsid w:val="002D3CD0"/>
    <w:rsid w:val="002E4F33"/>
    <w:rsid w:val="002F2175"/>
    <w:rsid w:val="0030180D"/>
    <w:rsid w:val="00317505"/>
    <w:rsid w:val="00322FE0"/>
    <w:rsid w:val="00344509"/>
    <w:rsid w:val="00345DEA"/>
    <w:rsid w:val="0034741E"/>
    <w:rsid w:val="00355E3A"/>
    <w:rsid w:val="00357AD4"/>
    <w:rsid w:val="00367654"/>
    <w:rsid w:val="003740A3"/>
    <w:rsid w:val="00390459"/>
    <w:rsid w:val="00390ECF"/>
    <w:rsid w:val="00392CE2"/>
    <w:rsid w:val="003B5F4E"/>
    <w:rsid w:val="003B7D6B"/>
    <w:rsid w:val="003C0AA4"/>
    <w:rsid w:val="003C69E2"/>
    <w:rsid w:val="003C7B82"/>
    <w:rsid w:val="003D6A75"/>
    <w:rsid w:val="003E5200"/>
    <w:rsid w:val="003F5F51"/>
    <w:rsid w:val="003F6EF2"/>
    <w:rsid w:val="00406B4F"/>
    <w:rsid w:val="004205C4"/>
    <w:rsid w:val="00421307"/>
    <w:rsid w:val="00435C83"/>
    <w:rsid w:val="00440860"/>
    <w:rsid w:val="00443B15"/>
    <w:rsid w:val="0044439C"/>
    <w:rsid w:val="00452280"/>
    <w:rsid w:val="00467CFA"/>
    <w:rsid w:val="0048219D"/>
    <w:rsid w:val="00494F7F"/>
    <w:rsid w:val="004A6A4F"/>
    <w:rsid w:val="004B0975"/>
    <w:rsid w:val="004B1AC8"/>
    <w:rsid w:val="004D026A"/>
    <w:rsid w:val="004D51A0"/>
    <w:rsid w:val="004E63E2"/>
    <w:rsid w:val="004F4E94"/>
    <w:rsid w:val="00522296"/>
    <w:rsid w:val="005273A1"/>
    <w:rsid w:val="005344FD"/>
    <w:rsid w:val="0053531E"/>
    <w:rsid w:val="00535AF1"/>
    <w:rsid w:val="005377EF"/>
    <w:rsid w:val="00537ED8"/>
    <w:rsid w:val="005509A9"/>
    <w:rsid w:val="00555173"/>
    <w:rsid w:val="005602AF"/>
    <w:rsid w:val="0056518B"/>
    <w:rsid w:val="00574A36"/>
    <w:rsid w:val="00581C21"/>
    <w:rsid w:val="00582C35"/>
    <w:rsid w:val="00590220"/>
    <w:rsid w:val="00591DEC"/>
    <w:rsid w:val="005945B0"/>
    <w:rsid w:val="005A03CD"/>
    <w:rsid w:val="005A4D4C"/>
    <w:rsid w:val="005A66C9"/>
    <w:rsid w:val="005A7C65"/>
    <w:rsid w:val="005B08DB"/>
    <w:rsid w:val="005B3128"/>
    <w:rsid w:val="005C10B5"/>
    <w:rsid w:val="005C4403"/>
    <w:rsid w:val="005D477F"/>
    <w:rsid w:val="005D6674"/>
    <w:rsid w:val="005E01AD"/>
    <w:rsid w:val="005E2FB6"/>
    <w:rsid w:val="005E78C7"/>
    <w:rsid w:val="005F4736"/>
    <w:rsid w:val="005F4D14"/>
    <w:rsid w:val="005F52D8"/>
    <w:rsid w:val="005F5FDD"/>
    <w:rsid w:val="006011A9"/>
    <w:rsid w:val="00601F8E"/>
    <w:rsid w:val="00602696"/>
    <w:rsid w:val="00603A22"/>
    <w:rsid w:val="0060402B"/>
    <w:rsid w:val="00604FEF"/>
    <w:rsid w:val="00605DE3"/>
    <w:rsid w:val="006064BE"/>
    <w:rsid w:val="006120AF"/>
    <w:rsid w:val="00621AEC"/>
    <w:rsid w:val="00627546"/>
    <w:rsid w:val="00637A4F"/>
    <w:rsid w:val="006418D4"/>
    <w:rsid w:val="00646D64"/>
    <w:rsid w:val="006504D2"/>
    <w:rsid w:val="00666E19"/>
    <w:rsid w:val="006772B0"/>
    <w:rsid w:val="00677D27"/>
    <w:rsid w:val="006801D1"/>
    <w:rsid w:val="006850D8"/>
    <w:rsid w:val="006975A5"/>
    <w:rsid w:val="006A7DF8"/>
    <w:rsid w:val="006B0F9E"/>
    <w:rsid w:val="006B679B"/>
    <w:rsid w:val="006C3E3A"/>
    <w:rsid w:val="006D0E5B"/>
    <w:rsid w:val="006E119E"/>
    <w:rsid w:val="006E5F9B"/>
    <w:rsid w:val="006F1FC6"/>
    <w:rsid w:val="006F25B5"/>
    <w:rsid w:val="00702174"/>
    <w:rsid w:val="00702429"/>
    <w:rsid w:val="00702703"/>
    <w:rsid w:val="00715C39"/>
    <w:rsid w:val="007325F7"/>
    <w:rsid w:val="00733A03"/>
    <w:rsid w:val="0074132C"/>
    <w:rsid w:val="0074214B"/>
    <w:rsid w:val="00745EB0"/>
    <w:rsid w:val="007627E2"/>
    <w:rsid w:val="0077152A"/>
    <w:rsid w:val="00775E3F"/>
    <w:rsid w:val="00784EAA"/>
    <w:rsid w:val="00790B89"/>
    <w:rsid w:val="00791849"/>
    <w:rsid w:val="007A1CC7"/>
    <w:rsid w:val="007B3DB6"/>
    <w:rsid w:val="007B469E"/>
    <w:rsid w:val="007C0C37"/>
    <w:rsid w:val="007C3D8A"/>
    <w:rsid w:val="007D6D69"/>
    <w:rsid w:val="007E6F2F"/>
    <w:rsid w:val="00823C87"/>
    <w:rsid w:val="00840ACB"/>
    <w:rsid w:val="008600D8"/>
    <w:rsid w:val="008827F9"/>
    <w:rsid w:val="00882B13"/>
    <w:rsid w:val="0089681B"/>
    <w:rsid w:val="008A2847"/>
    <w:rsid w:val="008A5A88"/>
    <w:rsid w:val="008A5D52"/>
    <w:rsid w:val="008A7E00"/>
    <w:rsid w:val="008B0CB3"/>
    <w:rsid w:val="008B2EA3"/>
    <w:rsid w:val="008B5AEA"/>
    <w:rsid w:val="008C3C69"/>
    <w:rsid w:val="008D63C8"/>
    <w:rsid w:val="008E51BC"/>
    <w:rsid w:val="008F4B29"/>
    <w:rsid w:val="008F7CF2"/>
    <w:rsid w:val="00904DBA"/>
    <w:rsid w:val="00916C8F"/>
    <w:rsid w:val="00924201"/>
    <w:rsid w:val="009251C8"/>
    <w:rsid w:val="00927E55"/>
    <w:rsid w:val="009336CF"/>
    <w:rsid w:val="00937DFC"/>
    <w:rsid w:val="009456B9"/>
    <w:rsid w:val="00953845"/>
    <w:rsid w:val="009567A2"/>
    <w:rsid w:val="00961182"/>
    <w:rsid w:val="00966185"/>
    <w:rsid w:val="009675AF"/>
    <w:rsid w:val="00970C87"/>
    <w:rsid w:val="0097512C"/>
    <w:rsid w:val="00994991"/>
    <w:rsid w:val="009A0C33"/>
    <w:rsid w:val="009B10DE"/>
    <w:rsid w:val="009D2850"/>
    <w:rsid w:val="009D2C71"/>
    <w:rsid w:val="009D79A3"/>
    <w:rsid w:val="009F09CE"/>
    <w:rsid w:val="00A11FAE"/>
    <w:rsid w:val="00A17B15"/>
    <w:rsid w:val="00A20918"/>
    <w:rsid w:val="00A242EB"/>
    <w:rsid w:val="00A347BB"/>
    <w:rsid w:val="00A35FEF"/>
    <w:rsid w:val="00A42A2B"/>
    <w:rsid w:val="00A44FF2"/>
    <w:rsid w:val="00A47273"/>
    <w:rsid w:val="00A511DB"/>
    <w:rsid w:val="00A60B79"/>
    <w:rsid w:val="00A7547A"/>
    <w:rsid w:val="00A77E45"/>
    <w:rsid w:val="00A85191"/>
    <w:rsid w:val="00A856B0"/>
    <w:rsid w:val="00A93FEA"/>
    <w:rsid w:val="00A941B7"/>
    <w:rsid w:val="00AA587D"/>
    <w:rsid w:val="00AA687A"/>
    <w:rsid w:val="00AB76FA"/>
    <w:rsid w:val="00AC03AB"/>
    <w:rsid w:val="00AC5A0C"/>
    <w:rsid w:val="00AC7373"/>
    <w:rsid w:val="00AC7E00"/>
    <w:rsid w:val="00AD12F8"/>
    <w:rsid w:val="00AD1A17"/>
    <w:rsid w:val="00AE3F8B"/>
    <w:rsid w:val="00AE5AF2"/>
    <w:rsid w:val="00AF6800"/>
    <w:rsid w:val="00B07238"/>
    <w:rsid w:val="00B10F90"/>
    <w:rsid w:val="00B113D0"/>
    <w:rsid w:val="00B14D67"/>
    <w:rsid w:val="00B22950"/>
    <w:rsid w:val="00B37CDF"/>
    <w:rsid w:val="00B5433F"/>
    <w:rsid w:val="00B54E24"/>
    <w:rsid w:val="00B6395A"/>
    <w:rsid w:val="00B70227"/>
    <w:rsid w:val="00B7654C"/>
    <w:rsid w:val="00B77895"/>
    <w:rsid w:val="00B82DFF"/>
    <w:rsid w:val="00B86A22"/>
    <w:rsid w:val="00B90CC0"/>
    <w:rsid w:val="00B93B31"/>
    <w:rsid w:val="00BA370B"/>
    <w:rsid w:val="00BC0955"/>
    <w:rsid w:val="00BC2DBF"/>
    <w:rsid w:val="00BC3F42"/>
    <w:rsid w:val="00BC61D8"/>
    <w:rsid w:val="00BD3722"/>
    <w:rsid w:val="00BE3591"/>
    <w:rsid w:val="00BF2101"/>
    <w:rsid w:val="00BF4A3F"/>
    <w:rsid w:val="00C01ED5"/>
    <w:rsid w:val="00C05FBF"/>
    <w:rsid w:val="00C23DA1"/>
    <w:rsid w:val="00C3519F"/>
    <w:rsid w:val="00C412D0"/>
    <w:rsid w:val="00C46B44"/>
    <w:rsid w:val="00C4703F"/>
    <w:rsid w:val="00C53B65"/>
    <w:rsid w:val="00C55D60"/>
    <w:rsid w:val="00C57286"/>
    <w:rsid w:val="00C72C17"/>
    <w:rsid w:val="00C73C0C"/>
    <w:rsid w:val="00C74CF6"/>
    <w:rsid w:val="00C86E0D"/>
    <w:rsid w:val="00C873DB"/>
    <w:rsid w:val="00C87CEC"/>
    <w:rsid w:val="00CA1FD2"/>
    <w:rsid w:val="00CA49BB"/>
    <w:rsid w:val="00CB2952"/>
    <w:rsid w:val="00CB4ECE"/>
    <w:rsid w:val="00CB74EF"/>
    <w:rsid w:val="00CC530B"/>
    <w:rsid w:val="00CE0742"/>
    <w:rsid w:val="00CE176D"/>
    <w:rsid w:val="00CE1DA0"/>
    <w:rsid w:val="00CE451E"/>
    <w:rsid w:val="00D13FC8"/>
    <w:rsid w:val="00D2210C"/>
    <w:rsid w:val="00D369D5"/>
    <w:rsid w:val="00D420A9"/>
    <w:rsid w:val="00D45038"/>
    <w:rsid w:val="00D45DAA"/>
    <w:rsid w:val="00D4689F"/>
    <w:rsid w:val="00D552F8"/>
    <w:rsid w:val="00D61CB5"/>
    <w:rsid w:val="00D658A3"/>
    <w:rsid w:val="00D71D0B"/>
    <w:rsid w:val="00D77944"/>
    <w:rsid w:val="00D80E1D"/>
    <w:rsid w:val="00D82791"/>
    <w:rsid w:val="00D90D10"/>
    <w:rsid w:val="00DA228C"/>
    <w:rsid w:val="00DB0E47"/>
    <w:rsid w:val="00DB5539"/>
    <w:rsid w:val="00DC01E1"/>
    <w:rsid w:val="00DC1245"/>
    <w:rsid w:val="00DD47B4"/>
    <w:rsid w:val="00DD5FFD"/>
    <w:rsid w:val="00DD7C4F"/>
    <w:rsid w:val="00DE1583"/>
    <w:rsid w:val="00DE76AA"/>
    <w:rsid w:val="00E01916"/>
    <w:rsid w:val="00E030EA"/>
    <w:rsid w:val="00E040F5"/>
    <w:rsid w:val="00E04502"/>
    <w:rsid w:val="00E16124"/>
    <w:rsid w:val="00E2670D"/>
    <w:rsid w:val="00E32EEA"/>
    <w:rsid w:val="00E3791E"/>
    <w:rsid w:val="00E6056F"/>
    <w:rsid w:val="00E61012"/>
    <w:rsid w:val="00E71AD2"/>
    <w:rsid w:val="00E75C6A"/>
    <w:rsid w:val="00E801AD"/>
    <w:rsid w:val="00E8227B"/>
    <w:rsid w:val="00E8390B"/>
    <w:rsid w:val="00E95DDB"/>
    <w:rsid w:val="00E96037"/>
    <w:rsid w:val="00E96A66"/>
    <w:rsid w:val="00EA67D7"/>
    <w:rsid w:val="00EB47D5"/>
    <w:rsid w:val="00EC520D"/>
    <w:rsid w:val="00ED493F"/>
    <w:rsid w:val="00EE22C7"/>
    <w:rsid w:val="00EE487C"/>
    <w:rsid w:val="00EE5344"/>
    <w:rsid w:val="00F01305"/>
    <w:rsid w:val="00F06040"/>
    <w:rsid w:val="00F35199"/>
    <w:rsid w:val="00F40CF1"/>
    <w:rsid w:val="00F50ACC"/>
    <w:rsid w:val="00F57223"/>
    <w:rsid w:val="00F746A1"/>
    <w:rsid w:val="00F75A2C"/>
    <w:rsid w:val="00F84651"/>
    <w:rsid w:val="00F95760"/>
    <w:rsid w:val="00FA1E0D"/>
    <w:rsid w:val="00FB51BE"/>
    <w:rsid w:val="00FC77F5"/>
    <w:rsid w:val="00FD0675"/>
    <w:rsid w:val="00FD0E02"/>
    <w:rsid w:val="00FE3781"/>
    <w:rsid w:val="013F5D49"/>
    <w:rsid w:val="01504263"/>
    <w:rsid w:val="01612A68"/>
    <w:rsid w:val="016228B2"/>
    <w:rsid w:val="017F3F22"/>
    <w:rsid w:val="018F7CAD"/>
    <w:rsid w:val="019474EB"/>
    <w:rsid w:val="01B03854"/>
    <w:rsid w:val="01B754A5"/>
    <w:rsid w:val="01E6246D"/>
    <w:rsid w:val="021C7A42"/>
    <w:rsid w:val="02250717"/>
    <w:rsid w:val="022F188A"/>
    <w:rsid w:val="026B1406"/>
    <w:rsid w:val="02916990"/>
    <w:rsid w:val="02AB14E6"/>
    <w:rsid w:val="02B70F9C"/>
    <w:rsid w:val="02BB1262"/>
    <w:rsid w:val="02E71889"/>
    <w:rsid w:val="02EF240C"/>
    <w:rsid w:val="032271AB"/>
    <w:rsid w:val="03595F92"/>
    <w:rsid w:val="036122C5"/>
    <w:rsid w:val="036E6F2A"/>
    <w:rsid w:val="039C5AEC"/>
    <w:rsid w:val="039D76D0"/>
    <w:rsid w:val="039F1EDC"/>
    <w:rsid w:val="03B1419A"/>
    <w:rsid w:val="03BC57F1"/>
    <w:rsid w:val="03BC6591"/>
    <w:rsid w:val="03D115D0"/>
    <w:rsid w:val="03DA2473"/>
    <w:rsid w:val="03F92FEB"/>
    <w:rsid w:val="040622D1"/>
    <w:rsid w:val="04093FDD"/>
    <w:rsid w:val="04113E1A"/>
    <w:rsid w:val="04213037"/>
    <w:rsid w:val="04423632"/>
    <w:rsid w:val="045209DA"/>
    <w:rsid w:val="04536D09"/>
    <w:rsid w:val="045401D0"/>
    <w:rsid w:val="04913949"/>
    <w:rsid w:val="04D70631"/>
    <w:rsid w:val="04D95F8F"/>
    <w:rsid w:val="04DA07AC"/>
    <w:rsid w:val="04EC280E"/>
    <w:rsid w:val="04F77EF2"/>
    <w:rsid w:val="05026A88"/>
    <w:rsid w:val="050434CC"/>
    <w:rsid w:val="053D4852"/>
    <w:rsid w:val="056C0DF8"/>
    <w:rsid w:val="05772E66"/>
    <w:rsid w:val="05A442E9"/>
    <w:rsid w:val="05BD1691"/>
    <w:rsid w:val="05F3475B"/>
    <w:rsid w:val="06153B97"/>
    <w:rsid w:val="0616660A"/>
    <w:rsid w:val="06306CE0"/>
    <w:rsid w:val="06362A98"/>
    <w:rsid w:val="06487E07"/>
    <w:rsid w:val="06B25720"/>
    <w:rsid w:val="06C3712B"/>
    <w:rsid w:val="06CB3D5D"/>
    <w:rsid w:val="06DF4877"/>
    <w:rsid w:val="06F147B4"/>
    <w:rsid w:val="06F63D57"/>
    <w:rsid w:val="06FF13A8"/>
    <w:rsid w:val="071746D0"/>
    <w:rsid w:val="0725460F"/>
    <w:rsid w:val="072552D4"/>
    <w:rsid w:val="07402FDA"/>
    <w:rsid w:val="0741147A"/>
    <w:rsid w:val="076E1C18"/>
    <w:rsid w:val="07800600"/>
    <w:rsid w:val="07C10502"/>
    <w:rsid w:val="07C27FA7"/>
    <w:rsid w:val="07D775BE"/>
    <w:rsid w:val="080D3087"/>
    <w:rsid w:val="080F0406"/>
    <w:rsid w:val="08187FFC"/>
    <w:rsid w:val="084F0991"/>
    <w:rsid w:val="086B070F"/>
    <w:rsid w:val="086F3E0F"/>
    <w:rsid w:val="08737F99"/>
    <w:rsid w:val="087A5DF3"/>
    <w:rsid w:val="08902867"/>
    <w:rsid w:val="0895702F"/>
    <w:rsid w:val="08C62B4B"/>
    <w:rsid w:val="091C7257"/>
    <w:rsid w:val="09984E81"/>
    <w:rsid w:val="09997AB4"/>
    <w:rsid w:val="099C4563"/>
    <w:rsid w:val="09AD4987"/>
    <w:rsid w:val="09C54AFC"/>
    <w:rsid w:val="09E95996"/>
    <w:rsid w:val="0A102ABF"/>
    <w:rsid w:val="0A1948F4"/>
    <w:rsid w:val="0A464F96"/>
    <w:rsid w:val="0A6919B8"/>
    <w:rsid w:val="0A79440C"/>
    <w:rsid w:val="0A9035E1"/>
    <w:rsid w:val="0A981879"/>
    <w:rsid w:val="0AAE18A3"/>
    <w:rsid w:val="0AAE34EA"/>
    <w:rsid w:val="0AC32C22"/>
    <w:rsid w:val="0B021242"/>
    <w:rsid w:val="0B471A5C"/>
    <w:rsid w:val="0B761D9A"/>
    <w:rsid w:val="0B7E4831"/>
    <w:rsid w:val="0BA2357B"/>
    <w:rsid w:val="0BDC4DE8"/>
    <w:rsid w:val="0BE63F9C"/>
    <w:rsid w:val="0BF0155A"/>
    <w:rsid w:val="0C186BB9"/>
    <w:rsid w:val="0C1B50E3"/>
    <w:rsid w:val="0C4C1734"/>
    <w:rsid w:val="0C540B77"/>
    <w:rsid w:val="0C8B0BEF"/>
    <w:rsid w:val="0CAE66E8"/>
    <w:rsid w:val="0CB24901"/>
    <w:rsid w:val="0CEF3E19"/>
    <w:rsid w:val="0D162CDB"/>
    <w:rsid w:val="0D393E5B"/>
    <w:rsid w:val="0D504E4D"/>
    <w:rsid w:val="0D574A9E"/>
    <w:rsid w:val="0D620136"/>
    <w:rsid w:val="0D670BA6"/>
    <w:rsid w:val="0D857457"/>
    <w:rsid w:val="0D950010"/>
    <w:rsid w:val="0D9E34C5"/>
    <w:rsid w:val="0DB45E4F"/>
    <w:rsid w:val="0DB45ECB"/>
    <w:rsid w:val="0DD64C1F"/>
    <w:rsid w:val="0DEC43FC"/>
    <w:rsid w:val="0DF01199"/>
    <w:rsid w:val="0E5D7743"/>
    <w:rsid w:val="0E6240E1"/>
    <w:rsid w:val="0E650912"/>
    <w:rsid w:val="0E6B63FB"/>
    <w:rsid w:val="0E7D6670"/>
    <w:rsid w:val="0E842357"/>
    <w:rsid w:val="0E9C1DD7"/>
    <w:rsid w:val="0EAA1B17"/>
    <w:rsid w:val="0EAD37BC"/>
    <w:rsid w:val="0EC26B8E"/>
    <w:rsid w:val="0EC45252"/>
    <w:rsid w:val="0ECA125B"/>
    <w:rsid w:val="0ECC55C2"/>
    <w:rsid w:val="0EDC6242"/>
    <w:rsid w:val="0EE05B72"/>
    <w:rsid w:val="0EEE570B"/>
    <w:rsid w:val="0EFA3859"/>
    <w:rsid w:val="0F1347A3"/>
    <w:rsid w:val="0F1C0C3D"/>
    <w:rsid w:val="0F5B027F"/>
    <w:rsid w:val="0F6B6766"/>
    <w:rsid w:val="0F7664F8"/>
    <w:rsid w:val="0F7A65BB"/>
    <w:rsid w:val="0F7D66F2"/>
    <w:rsid w:val="0F96488D"/>
    <w:rsid w:val="0F9A163F"/>
    <w:rsid w:val="0FA80279"/>
    <w:rsid w:val="0FA8675C"/>
    <w:rsid w:val="0FAB0179"/>
    <w:rsid w:val="0FB75FE3"/>
    <w:rsid w:val="0FB92D9D"/>
    <w:rsid w:val="0FC262FD"/>
    <w:rsid w:val="0FD03580"/>
    <w:rsid w:val="0FE446EA"/>
    <w:rsid w:val="0FE44E75"/>
    <w:rsid w:val="0FE57003"/>
    <w:rsid w:val="101D4217"/>
    <w:rsid w:val="101F2CF4"/>
    <w:rsid w:val="103E0B2B"/>
    <w:rsid w:val="10487131"/>
    <w:rsid w:val="10662EC7"/>
    <w:rsid w:val="106D183C"/>
    <w:rsid w:val="10700F5B"/>
    <w:rsid w:val="107E2849"/>
    <w:rsid w:val="107F3A95"/>
    <w:rsid w:val="108118E4"/>
    <w:rsid w:val="108A3475"/>
    <w:rsid w:val="1092520D"/>
    <w:rsid w:val="109C5508"/>
    <w:rsid w:val="10AC7ACF"/>
    <w:rsid w:val="10B92143"/>
    <w:rsid w:val="10C84657"/>
    <w:rsid w:val="10FA6E45"/>
    <w:rsid w:val="11021448"/>
    <w:rsid w:val="11094522"/>
    <w:rsid w:val="111668A2"/>
    <w:rsid w:val="11221E9A"/>
    <w:rsid w:val="11254B32"/>
    <w:rsid w:val="112C7159"/>
    <w:rsid w:val="1141405F"/>
    <w:rsid w:val="115164FE"/>
    <w:rsid w:val="11675D90"/>
    <w:rsid w:val="117B5502"/>
    <w:rsid w:val="117F7E0F"/>
    <w:rsid w:val="11953C81"/>
    <w:rsid w:val="119618C2"/>
    <w:rsid w:val="119B0F85"/>
    <w:rsid w:val="11C30C82"/>
    <w:rsid w:val="11D07CE9"/>
    <w:rsid w:val="11E060B0"/>
    <w:rsid w:val="11E22DEC"/>
    <w:rsid w:val="11F046BF"/>
    <w:rsid w:val="12055791"/>
    <w:rsid w:val="120914E1"/>
    <w:rsid w:val="120B73CD"/>
    <w:rsid w:val="122B203B"/>
    <w:rsid w:val="12623B5D"/>
    <w:rsid w:val="126E4691"/>
    <w:rsid w:val="128D38E7"/>
    <w:rsid w:val="12B07ED1"/>
    <w:rsid w:val="12B24E6B"/>
    <w:rsid w:val="12C13D3B"/>
    <w:rsid w:val="12F575DF"/>
    <w:rsid w:val="12F74757"/>
    <w:rsid w:val="130021CB"/>
    <w:rsid w:val="131274AC"/>
    <w:rsid w:val="131E4942"/>
    <w:rsid w:val="13296A51"/>
    <w:rsid w:val="13535576"/>
    <w:rsid w:val="136A219E"/>
    <w:rsid w:val="13782968"/>
    <w:rsid w:val="138966AA"/>
    <w:rsid w:val="13B14D56"/>
    <w:rsid w:val="13D677F7"/>
    <w:rsid w:val="13FA2AE4"/>
    <w:rsid w:val="13FB4BB9"/>
    <w:rsid w:val="140B3451"/>
    <w:rsid w:val="140B36DB"/>
    <w:rsid w:val="141C7C8C"/>
    <w:rsid w:val="142667AE"/>
    <w:rsid w:val="142A2695"/>
    <w:rsid w:val="142B0F8F"/>
    <w:rsid w:val="142C44E8"/>
    <w:rsid w:val="1499379A"/>
    <w:rsid w:val="14C267F0"/>
    <w:rsid w:val="14DC0EDE"/>
    <w:rsid w:val="15141830"/>
    <w:rsid w:val="151C49FB"/>
    <w:rsid w:val="15471426"/>
    <w:rsid w:val="155C03A5"/>
    <w:rsid w:val="155F0C5B"/>
    <w:rsid w:val="15613667"/>
    <w:rsid w:val="15685963"/>
    <w:rsid w:val="1579145B"/>
    <w:rsid w:val="157A4D4D"/>
    <w:rsid w:val="159C6342"/>
    <w:rsid w:val="15AA4F79"/>
    <w:rsid w:val="15C5509F"/>
    <w:rsid w:val="15D41D1F"/>
    <w:rsid w:val="15D538B7"/>
    <w:rsid w:val="15D81EA0"/>
    <w:rsid w:val="15F774AF"/>
    <w:rsid w:val="160F3257"/>
    <w:rsid w:val="163F3320"/>
    <w:rsid w:val="16647F86"/>
    <w:rsid w:val="166D06E2"/>
    <w:rsid w:val="167068CC"/>
    <w:rsid w:val="168613F0"/>
    <w:rsid w:val="169766F5"/>
    <w:rsid w:val="16A06B4B"/>
    <w:rsid w:val="16A276A5"/>
    <w:rsid w:val="16D25A83"/>
    <w:rsid w:val="16E37C6E"/>
    <w:rsid w:val="16E74AFD"/>
    <w:rsid w:val="17242745"/>
    <w:rsid w:val="172D7141"/>
    <w:rsid w:val="173D096A"/>
    <w:rsid w:val="17550855"/>
    <w:rsid w:val="176A306A"/>
    <w:rsid w:val="17A351F8"/>
    <w:rsid w:val="17AA632C"/>
    <w:rsid w:val="17C75D3A"/>
    <w:rsid w:val="17F677A7"/>
    <w:rsid w:val="18104A2F"/>
    <w:rsid w:val="181B4A63"/>
    <w:rsid w:val="18276859"/>
    <w:rsid w:val="18294703"/>
    <w:rsid w:val="18365267"/>
    <w:rsid w:val="183750ED"/>
    <w:rsid w:val="18413F2E"/>
    <w:rsid w:val="187F6930"/>
    <w:rsid w:val="188C37D1"/>
    <w:rsid w:val="189414CA"/>
    <w:rsid w:val="18A23F9E"/>
    <w:rsid w:val="18B11608"/>
    <w:rsid w:val="18CA49A5"/>
    <w:rsid w:val="18D601A3"/>
    <w:rsid w:val="18D624CA"/>
    <w:rsid w:val="18D90A11"/>
    <w:rsid w:val="18DA42F9"/>
    <w:rsid w:val="18E77319"/>
    <w:rsid w:val="19031481"/>
    <w:rsid w:val="190B1013"/>
    <w:rsid w:val="190E47D1"/>
    <w:rsid w:val="19165BC8"/>
    <w:rsid w:val="191E05B7"/>
    <w:rsid w:val="19280074"/>
    <w:rsid w:val="19314CFB"/>
    <w:rsid w:val="19320101"/>
    <w:rsid w:val="196E57F5"/>
    <w:rsid w:val="19705AC5"/>
    <w:rsid w:val="1977474D"/>
    <w:rsid w:val="19B926D7"/>
    <w:rsid w:val="19C34A81"/>
    <w:rsid w:val="19C41EAD"/>
    <w:rsid w:val="19E0282E"/>
    <w:rsid w:val="19F853E5"/>
    <w:rsid w:val="1A110DBA"/>
    <w:rsid w:val="1A167CAC"/>
    <w:rsid w:val="1A1D5ABB"/>
    <w:rsid w:val="1A25129A"/>
    <w:rsid w:val="1A2E4354"/>
    <w:rsid w:val="1A2E6717"/>
    <w:rsid w:val="1A5F2960"/>
    <w:rsid w:val="1A7746A4"/>
    <w:rsid w:val="1A823DB2"/>
    <w:rsid w:val="1A8A460D"/>
    <w:rsid w:val="1A8D0C05"/>
    <w:rsid w:val="1A9F7CBD"/>
    <w:rsid w:val="1AA115DC"/>
    <w:rsid w:val="1AA41928"/>
    <w:rsid w:val="1AB23E19"/>
    <w:rsid w:val="1AC35BEB"/>
    <w:rsid w:val="1AC93278"/>
    <w:rsid w:val="1AE31F45"/>
    <w:rsid w:val="1AEC64C1"/>
    <w:rsid w:val="1B2F5049"/>
    <w:rsid w:val="1B3828C7"/>
    <w:rsid w:val="1B3D3828"/>
    <w:rsid w:val="1B5E125A"/>
    <w:rsid w:val="1B656509"/>
    <w:rsid w:val="1B852B14"/>
    <w:rsid w:val="1B861F8D"/>
    <w:rsid w:val="1BD3490D"/>
    <w:rsid w:val="1BF93131"/>
    <w:rsid w:val="1C00053C"/>
    <w:rsid w:val="1C1635D1"/>
    <w:rsid w:val="1C4E2552"/>
    <w:rsid w:val="1C523F37"/>
    <w:rsid w:val="1C58744D"/>
    <w:rsid w:val="1C7557AD"/>
    <w:rsid w:val="1C8779D8"/>
    <w:rsid w:val="1C940AFD"/>
    <w:rsid w:val="1C9D73EB"/>
    <w:rsid w:val="1CA234C9"/>
    <w:rsid w:val="1CA90136"/>
    <w:rsid w:val="1CBA25E0"/>
    <w:rsid w:val="1CBF4089"/>
    <w:rsid w:val="1CC12861"/>
    <w:rsid w:val="1CCC1922"/>
    <w:rsid w:val="1CCE6D78"/>
    <w:rsid w:val="1CD03A60"/>
    <w:rsid w:val="1CE42033"/>
    <w:rsid w:val="1D0745EB"/>
    <w:rsid w:val="1D2B333C"/>
    <w:rsid w:val="1D305651"/>
    <w:rsid w:val="1D3B03DD"/>
    <w:rsid w:val="1D3C620B"/>
    <w:rsid w:val="1D462386"/>
    <w:rsid w:val="1D661201"/>
    <w:rsid w:val="1D796980"/>
    <w:rsid w:val="1D871674"/>
    <w:rsid w:val="1D945ED8"/>
    <w:rsid w:val="1D9B353C"/>
    <w:rsid w:val="1DB54BD4"/>
    <w:rsid w:val="1DBD26C4"/>
    <w:rsid w:val="1DDC6B31"/>
    <w:rsid w:val="1DDF6D33"/>
    <w:rsid w:val="1DF66EB4"/>
    <w:rsid w:val="1E00242E"/>
    <w:rsid w:val="1E536190"/>
    <w:rsid w:val="1E730BAF"/>
    <w:rsid w:val="1E80403F"/>
    <w:rsid w:val="1EEB095D"/>
    <w:rsid w:val="1EFB1CCB"/>
    <w:rsid w:val="1F035A69"/>
    <w:rsid w:val="1F037EE6"/>
    <w:rsid w:val="1F366FD8"/>
    <w:rsid w:val="1F7D7F96"/>
    <w:rsid w:val="1F852FFC"/>
    <w:rsid w:val="1F8B7715"/>
    <w:rsid w:val="1FA43956"/>
    <w:rsid w:val="1FB21609"/>
    <w:rsid w:val="1FFE61E5"/>
    <w:rsid w:val="200D198D"/>
    <w:rsid w:val="201C0430"/>
    <w:rsid w:val="202B1222"/>
    <w:rsid w:val="20880663"/>
    <w:rsid w:val="20C172C8"/>
    <w:rsid w:val="20CB2FEE"/>
    <w:rsid w:val="20D52ED2"/>
    <w:rsid w:val="20D82194"/>
    <w:rsid w:val="20F37071"/>
    <w:rsid w:val="213C6A88"/>
    <w:rsid w:val="21411601"/>
    <w:rsid w:val="216E2D58"/>
    <w:rsid w:val="21764F96"/>
    <w:rsid w:val="217813B6"/>
    <w:rsid w:val="218578EA"/>
    <w:rsid w:val="21BA5B1D"/>
    <w:rsid w:val="22146E29"/>
    <w:rsid w:val="221F7906"/>
    <w:rsid w:val="2221338A"/>
    <w:rsid w:val="22331D7D"/>
    <w:rsid w:val="223C2DFD"/>
    <w:rsid w:val="225E5640"/>
    <w:rsid w:val="226A5E18"/>
    <w:rsid w:val="22754BF6"/>
    <w:rsid w:val="228E355C"/>
    <w:rsid w:val="229171D9"/>
    <w:rsid w:val="22B8145E"/>
    <w:rsid w:val="22BA4CF8"/>
    <w:rsid w:val="22C57430"/>
    <w:rsid w:val="22CF0223"/>
    <w:rsid w:val="22D244F8"/>
    <w:rsid w:val="22F82C89"/>
    <w:rsid w:val="23141589"/>
    <w:rsid w:val="23152DCF"/>
    <w:rsid w:val="23181C34"/>
    <w:rsid w:val="23217229"/>
    <w:rsid w:val="2322033D"/>
    <w:rsid w:val="23247350"/>
    <w:rsid w:val="232D645E"/>
    <w:rsid w:val="23631C11"/>
    <w:rsid w:val="23761AEA"/>
    <w:rsid w:val="23836905"/>
    <w:rsid w:val="238A3F59"/>
    <w:rsid w:val="239C1FAD"/>
    <w:rsid w:val="23C268E5"/>
    <w:rsid w:val="23DA4E49"/>
    <w:rsid w:val="23E10D23"/>
    <w:rsid w:val="23E854DD"/>
    <w:rsid w:val="23E85838"/>
    <w:rsid w:val="241F5CF0"/>
    <w:rsid w:val="24261A45"/>
    <w:rsid w:val="242E7482"/>
    <w:rsid w:val="244B06CB"/>
    <w:rsid w:val="24694623"/>
    <w:rsid w:val="24740341"/>
    <w:rsid w:val="247570BD"/>
    <w:rsid w:val="247F159C"/>
    <w:rsid w:val="248135F6"/>
    <w:rsid w:val="2484370E"/>
    <w:rsid w:val="2495132F"/>
    <w:rsid w:val="2497526B"/>
    <w:rsid w:val="24A66456"/>
    <w:rsid w:val="24F34667"/>
    <w:rsid w:val="24FF30C7"/>
    <w:rsid w:val="25005022"/>
    <w:rsid w:val="25340E54"/>
    <w:rsid w:val="25373BDA"/>
    <w:rsid w:val="25822E14"/>
    <w:rsid w:val="2594336F"/>
    <w:rsid w:val="259A13C8"/>
    <w:rsid w:val="25A26DE3"/>
    <w:rsid w:val="25A742BD"/>
    <w:rsid w:val="25B36D7E"/>
    <w:rsid w:val="25C86EB0"/>
    <w:rsid w:val="25EF7E3A"/>
    <w:rsid w:val="26064EB7"/>
    <w:rsid w:val="26401018"/>
    <w:rsid w:val="26793CE8"/>
    <w:rsid w:val="268C4AD7"/>
    <w:rsid w:val="26946679"/>
    <w:rsid w:val="26B25319"/>
    <w:rsid w:val="26C9701F"/>
    <w:rsid w:val="26EC762A"/>
    <w:rsid w:val="26FC1071"/>
    <w:rsid w:val="272E6B65"/>
    <w:rsid w:val="275E2B58"/>
    <w:rsid w:val="27791F69"/>
    <w:rsid w:val="27AA0F85"/>
    <w:rsid w:val="27CA0A97"/>
    <w:rsid w:val="27CB484B"/>
    <w:rsid w:val="27CC6527"/>
    <w:rsid w:val="27FE011F"/>
    <w:rsid w:val="28043E39"/>
    <w:rsid w:val="28411BF0"/>
    <w:rsid w:val="28675EF4"/>
    <w:rsid w:val="286F68AB"/>
    <w:rsid w:val="28700F1B"/>
    <w:rsid w:val="28765780"/>
    <w:rsid w:val="28A05444"/>
    <w:rsid w:val="28A25C4B"/>
    <w:rsid w:val="28A32E89"/>
    <w:rsid w:val="28BF392C"/>
    <w:rsid w:val="28DB21B9"/>
    <w:rsid w:val="28F13154"/>
    <w:rsid w:val="28F14944"/>
    <w:rsid w:val="2903066C"/>
    <w:rsid w:val="290E29D5"/>
    <w:rsid w:val="2922400C"/>
    <w:rsid w:val="295753AF"/>
    <w:rsid w:val="29781C0C"/>
    <w:rsid w:val="2979341D"/>
    <w:rsid w:val="29815450"/>
    <w:rsid w:val="298E11CD"/>
    <w:rsid w:val="29972D50"/>
    <w:rsid w:val="29B015EB"/>
    <w:rsid w:val="29BE7D60"/>
    <w:rsid w:val="29D425BC"/>
    <w:rsid w:val="29E326D8"/>
    <w:rsid w:val="29F30795"/>
    <w:rsid w:val="29FC089C"/>
    <w:rsid w:val="2A0C54D6"/>
    <w:rsid w:val="2A2752CF"/>
    <w:rsid w:val="2A311798"/>
    <w:rsid w:val="2A4E4D44"/>
    <w:rsid w:val="2A89735C"/>
    <w:rsid w:val="2AD6051E"/>
    <w:rsid w:val="2AE46CF2"/>
    <w:rsid w:val="2B146AAB"/>
    <w:rsid w:val="2B2B3E06"/>
    <w:rsid w:val="2B380C1F"/>
    <w:rsid w:val="2B667C7D"/>
    <w:rsid w:val="2B760F5A"/>
    <w:rsid w:val="2B8B589E"/>
    <w:rsid w:val="2B932E82"/>
    <w:rsid w:val="2B9A4993"/>
    <w:rsid w:val="2BB57D95"/>
    <w:rsid w:val="2BB93190"/>
    <w:rsid w:val="2BCD5B5D"/>
    <w:rsid w:val="2BEB08CB"/>
    <w:rsid w:val="2BF46ADF"/>
    <w:rsid w:val="2BFC5E87"/>
    <w:rsid w:val="2C0F0BCB"/>
    <w:rsid w:val="2C27448C"/>
    <w:rsid w:val="2C3A7C86"/>
    <w:rsid w:val="2C576533"/>
    <w:rsid w:val="2C7313A4"/>
    <w:rsid w:val="2C770676"/>
    <w:rsid w:val="2C827B27"/>
    <w:rsid w:val="2C8566F1"/>
    <w:rsid w:val="2CBA3240"/>
    <w:rsid w:val="2CBA5334"/>
    <w:rsid w:val="2CBD64F3"/>
    <w:rsid w:val="2CC70F13"/>
    <w:rsid w:val="2CC8485C"/>
    <w:rsid w:val="2CDB77B7"/>
    <w:rsid w:val="2CFD2099"/>
    <w:rsid w:val="2D0675E0"/>
    <w:rsid w:val="2D162B32"/>
    <w:rsid w:val="2D336071"/>
    <w:rsid w:val="2D3762B5"/>
    <w:rsid w:val="2D62159E"/>
    <w:rsid w:val="2D7D51C4"/>
    <w:rsid w:val="2D9E2EF2"/>
    <w:rsid w:val="2DAB45BF"/>
    <w:rsid w:val="2DCA263D"/>
    <w:rsid w:val="2DD87FA7"/>
    <w:rsid w:val="2DEF06E0"/>
    <w:rsid w:val="2DF61665"/>
    <w:rsid w:val="2E1B5531"/>
    <w:rsid w:val="2E2B6FA3"/>
    <w:rsid w:val="2E49012F"/>
    <w:rsid w:val="2E49279C"/>
    <w:rsid w:val="2E4A43B4"/>
    <w:rsid w:val="2E5C3775"/>
    <w:rsid w:val="2E7B7DF8"/>
    <w:rsid w:val="2E922360"/>
    <w:rsid w:val="2EAF017F"/>
    <w:rsid w:val="2EC357AB"/>
    <w:rsid w:val="2EF96E80"/>
    <w:rsid w:val="2F020DCE"/>
    <w:rsid w:val="2F033718"/>
    <w:rsid w:val="2F30522E"/>
    <w:rsid w:val="2F394965"/>
    <w:rsid w:val="2F3C2668"/>
    <w:rsid w:val="2F651F9C"/>
    <w:rsid w:val="2F755424"/>
    <w:rsid w:val="2F7F1A5F"/>
    <w:rsid w:val="2F9E2B42"/>
    <w:rsid w:val="2FA61B75"/>
    <w:rsid w:val="2FC75830"/>
    <w:rsid w:val="2FCD6C92"/>
    <w:rsid w:val="2FCD6D5F"/>
    <w:rsid w:val="2FE3707D"/>
    <w:rsid w:val="2FE57096"/>
    <w:rsid w:val="2FF262AE"/>
    <w:rsid w:val="2FF85055"/>
    <w:rsid w:val="301D2147"/>
    <w:rsid w:val="30245BBE"/>
    <w:rsid w:val="30311AA4"/>
    <w:rsid w:val="303C5C22"/>
    <w:rsid w:val="30446243"/>
    <w:rsid w:val="30735F5C"/>
    <w:rsid w:val="30791999"/>
    <w:rsid w:val="307B70D5"/>
    <w:rsid w:val="30866945"/>
    <w:rsid w:val="3099252E"/>
    <w:rsid w:val="309A4701"/>
    <w:rsid w:val="309F2F32"/>
    <w:rsid w:val="30D3411F"/>
    <w:rsid w:val="30D7561F"/>
    <w:rsid w:val="30DE088F"/>
    <w:rsid w:val="30E65DCB"/>
    <w:rsid w:val="30F80D10"/>
    <w:rsid w:val="310D2AA9"/>
    <w:rsid w:val="315F4043"/>
    <w:rsid w:val="319D2115"/>
    <w:rsid w:val="31A02011"/>
    <w:rsid w:val="31AB4FAF"/>
    <w:rsid w:val="31B84E94"/>
    <w:rsid w:val="31C17A07"/>
    <w:rsid w:val="31C4630A"/>
    <w:rsid w:val="31D930EE"/>
    <w:rsid w:val="31E51709"/>
    <w:rsid w:val="31F473DB"/>
    <w:rsid w:val="320F41FB"/>
    <w:rsid w:val="3216203F"/>
    <w:rsid w:val="322E1810"/>
    <w:rsid w:val="32513DC9"/>
    <w:rsid w:val="32544DF3"/>
    <w:rsid w:val="32546546"/>
    <w:rsid w:val="32656231"/>
    <w:rsid w:val="3266777B"/>
    <w:rsid w:val="326E1955"/>
    <w:rsid w:val="327872F7"/>
    <w:rsid w:val="328222A0"/>
    <w:rsid w:val="328E2441"/>
    <w:rsid w:val="32F42118"/>
    <w:rsid w:val="33073CC1"/>
    <w:rsid w:val="33106925"/>
    <w:rsid w:val="33116E5F"/>
    <w:rsid w:val="332A2FA4"/>
    <w:rsid w:val="33300D18"/>
    <w:rsid w:val="33317C5A"/>
    <w:rsid w:val="337012A5"/>
    <w:rsid w:val="337E2988"/>
    <w:rsid w:val="338508CD"/>
    <w:rsid w:val="33AA0911"/>
    <w:rsid w:val="33AC6756"/>
    <w:rsid w:val="33AF4031"/>
    <w:rsid w:val="33B81C6F"/>
    <w:rsid w:val="33BB6998"/>
    <w:rsid w:val="33BE18CF"/>
    <w:rsid w:val="33CD08E3"/>
    <w:rsid w:val="33DD014C"/>
    <w:rsid w:val="33ED5FAB"/>
    <w:rsid w:val="33F976AD"/>
    <w:rsid w:val="340B1D43"/>
    <w:rsid w:val="340C0954"/>
    <w:rsid w:val="34106C0D"/>
    <w:rsid w:val="34110D12"/>
    <w:rsid w:val="34213413"/>
    <w:rsid w:val="342913FB"/>
    <w:rsid w:val="343B60CA"/>
    <w:rsid w:val="343C42D0"/>
    <w:rsid w:val="344E320A"/>
    <w:rsid w:val="34705B59"/>
    <w:rsid w:val="34A773D6"/>
    <w:rsid w:val="34AE30F3"/>
    <w:rsid w:val="34C312FE"/>
    <w:rsid w:val="34C95EB6"/>
    <w:rsid w:val="34FD2055"/>
    <w:rsid w:val="35435B3D"/>
    <w:rsid w:val="3548198D"/>
    <w:rsid w:val="35562C51"/>
    <w:rsid w:val="35633BF4"/>
    <w:rsid w:val="35644BCE"/>
    <w:rsid w:val="35794C58"/>
    <w:rsid w:val="359D0D1F"/>
    <w:rsid w:val="35AF44CC"/>
    <w:rsid w:val="35F05727"/>
    <w:rsid w:val="35FC0E19"/>
    <w:rsid w:val="365F1B3C"/>
    <w:rsid w:val="36621CB0"/>
    <w:rsid w:val="366449DE"/>
    <w:rsid w:val="366D62DC"/>
    <w:rsid w:val="368D08E5"/>
    <w:rsid w:val="36D17044"/>
    <w:rsid w:val="36D23AA7"/>
    <w:rsid w:val="36DD40E6"/>
    <w:rsid w:val="36E776E3"/>
    <w:rsid w:val="36EC54CC"/>
    <w:rsid w:val="36F905CC"/>
    <w:rsid w:val="37227F55"/>
    <w:rsid w:val="375323EC"/>
    <w:rsid w:val="377A4362"/>
    <w:rsid w:val="37A0038B"/>
    <w:rsid w:val="37A8699C"/>
    <w:rsid w:val="37B522EF"/>
    <w:rsid w:val="37BA3091"/>
    <w:rsid w:val="37DE3BB2"/>
    <w:rsid w:val="38013F57"/>
    <w:rsid w:val="380700AF"/>
    <w:rsid w:val="38071384"/>
    <w:rsid w:val="38215804"/>
    <w:rsid w:val="38262CC5"/>
    <w:rsid w:val="3847347F"/>
    <w:rsid w:val="385C386B"/>
    <w:rsid w:val="387A1154"/>
    <w:rsid w:val="387F5A49"/>
    <w:rsid w:val="3885452D"/>
    <w:rsid w:val="38BB56B7"/>
    <w:rsid w:val="38C66B2C"/>
    <w:rsid w:val="38F22E3A"/>
    <w:rsid w:val="390A1155"/>
    <w:rsid w:val="39347D91"/>
    <w:rsid w:val="393C6E25"/>
    <w:rsid w:val="393E4A6F"/>
    <w:rsid w:val="393F4F42"/>
    <w:rsid w:val="39464AE6"/>
    <w:rsid w:val="394C7A08"/>
    <w:rsid w:val="39556474"/>
    <w:rsid w:val="39574AF9"/>
    <w:rsid w:val="3973088B"/>
    <w:rsid w:val="39845571"/>
    <w:rsid w:val="399B223D"/>
    <w:rsid w:val="39C41269"/>
    <w:rsid w:val="39FF0030"/>
    <w:rsid w:val="3A1A18F0"/>
    <w:rsid w:val="3A3455B9"/>
    <w:rsid w:val="3A5A2DE8"/>
    <w:rsid w:val="3A604756"/>
    <w:rsid w:val="3A6B0FE7"/>
    <w:rsid w:val="3A6C00F0"/>
    <w:rsid w:val="3A6D6050"/>
    <w:rsid w:val="3A702BB4"/>
    <w:rsid w:val="3A7D4F0B"/>
    <w:rsid w:val="3A8D6CCD"/>
    <w:rsid w:val="3AC44617"/>
    <w:rsid w:val="3AC705C5"/>
    <w:rsid w:val="3ACE36D1"/>
    <w:rsid w:val="3AD555B3"/>
    <w:rsid w:val="3AD63D99"/>
    <w:rsid w:val="3AED5FDE"/>
    <w:rsid w:val="3AF46F0E"/>
    <w:rsid w:val="3AFD352A"/>
    <w:rsid w:val="3B074049"/>
    <w:rsid w:val="3B082A90"/>
    <w:rsid w:val="3B087AF5"/>
    <w:rsid w:val="3B3734CC"/>
    <w:rsid w:val="3B426053"/>
    <w:rsid w:val="3B4266A9"/>
    <w:rsid w:val="3B701A97"/>
    <w:rsid w:val="3B7E25A5"/>
    <w:rsid w:val="3B880333"/>
    <w:rsid w:val="3B971E11"/>
    <w:rsid w:val="3B985511"/>
    <w:rsid w:val="3B9F5763"/>
    <w:rsid w:val="3BC17A8E"/>
    <w:rsid w:val="3BC57587"/>
    <w:rsid w:val="3BDE6EFF"/>
    <w:rsid w:val="3BF31881"/>
    <w:rsid w:val="3C456211"/>
    <w:rsid w:val="3C5A0611"/>
    <w:rsid w:val="3C5D76DC"/>
    <w:rsid w:val="3C6A2C95"/>
    <w:rsid w:val="3C89345E"/>
    <w:rsid w:val="3C947C97"/>
    <w:rsid w:val="3CA43BAF"/>
    <w:rsid w:val="3CB3291D"/>
    <w:rsid w:val="3CCA5E36"/>
    <w:rsid w:val="3CCB6AEE"/>
    <w:rsid w:val="3D040713"/>
    <w:rsid w:val="3D2E4D63"/>
    <w:rsid w:val="3D5A5467"/>
    <w:rsid w:val="3D5A64C0"/>
    <w:rsid w:val="3D600384"/>
    <w:rsid w:val="3D763C25"/>
    <w:rsid w:val="3D7C4F7E"/>
    <w:rsid w:val="3D942F91"/>
    <w:rsid w:val="3DA81E41"/>
    <w:rsid w:val="3DC2393C"/>
    <w:rsid w:val="3DFD2C4B"/>
    <w:rsid w:val="3E245DAD"/>
    <w:rsid w:val="3E5F1F5F"/>
    <w:rsid w:val="3E5F7594"/>
    <w:rsid w:val="3E711756"/>
    <w:rsid w:val="3E7C2831"/>
    <w:rsid w:val="3E7E54B0"/>
    <w:rsid w:val="3E8F6AAF"/>
    <w:rsid w:val="3E965231"/>
    <w:rsid w:val="3EAB0261"/>
    <w:rsid w:val="3EAF34E8"/>
    <w:rsid w:val="3EB424DE"/>
    <w:rsid w:val="3EC5458F"/>
    <w:rsid w:val="3ED86E70"/>
    <w:rsid w:val="3F2D41DC"/>
    <w:rsid w:val="3F5634D1"/>
    <w:rsid w:val="3F994AD2"/>
    <w:rsid w:val="3FD84382"/>
    <w:rsid w:val="3FE75325"/>
    <w:rsid w:val="3FF73122"/>
    <w:rsid w:val="400517F4"/>
    <w:rsid w:val="40054EE0"/>
    <w:rsid w:val="40080EE2"/>
    <w:rsid w:val="401408E4"/>
    <w:rsid w:val="4039126C"/>
    <w:rsid w:val="404C327F"/>
    <w:rsid w:val="407A4EF2"/>
    <w:rsid w:val="40A435AC"/>
    <w:rsid w:val="40AF7E65"/>
    <w:rsid w:val="40BE1C72"/>
    <w:rsid w:val="40D52263"/>
    <w:rsid w:val="40DF2F48"/>
    <w:rsid w:val="40E94DBF"/>
    <w:rsid w:val="40F43CBD"/>
    <w:rsid w:val="41241A15"/>
    <w:rsid w:val="413B18CF"/>
    <w:rsid w:val="413D1109"/>
    <w:rsid w:val="413F7349"/>
    <w:rsid w:val="4144503C"/>
    <w:rsid w:val="41451A89"/>
    <w:rsid w:val="41457752"/>
    <w:rsid w:val="41461307"/>
    <w:rsid w:val="415B42FF"/>
    <w:rsid w:val="415C2C5D"/>
    <w:rsid w:val="41727E57"/>
    <w:rsid w:val="417D5A6C"/>
    <w:rsid w:val="418C64DD"/>
    <w:rsid w:val="419D1867"/>
    <w:rsid w:val="41AC2F69"/>
    <w:rsid w:val="41BE1136"/>
    <w:rsid w:val="41DA3D73"/>
    <w:rsid w:val="41E06971"/>
    <w:rsid w:val="42232E5F"/>
    <w:rsid w:val="424667AD"/>
    <w:rsid w:val="426E0F6F"/>
    <w:rsid w:val="42706353"/>
    <w:rsid w:val="429F213B"/>
    <w:rsid w:val="42D42FEC"/>
    <w:rsid w:val="42EB2C01"/>
    <w:rsid w:val="42FA2C82"/>
    <w:rsid w:val="43057A0C"/>
    <w:rsid w:val="43060B90"/>
    <w:rsid w:val="43183EA4"/>
    <w:rsid w:val="43340678"/>
    <w:rsid w:val="433869BB"/>
    <w:rsid w:val="436644B3"/>
    <w:rsid w:val="43737202"/>
    <w:rsid w:val="437C043D"/>
    <w:rsid w:val="437C157E"/>
    <w:rsid w:val="438D2144"/>
    <w:rsid w:val="43932A78"/>
    <w:rsid w:val="43965F39"/>
    <w:rsid w:val="43A000EB"/>
    <w:rsid w:val="43A4489F"/>
    <w:rsid w:val="43A92CCA"/>
    <w:rsid w:val="43B620E5"/>
    <w:rsid w:val="44340C27"/>
    <w:rsid w:val="44367446"/>
    <w:rsid w:val="443E0DA3"/>
    <w:rsid w:val="44490C32"/>
    <w:rsid w:val="44783BFC"/>
    <w:rsid w:val="44846E70"/>
    <w:rsid w:val="4494285A"/>
    <w:rsid w:val="44A2061F"/>
    <w:rsid w:val="44A50FD6"/>
    <w:rsid w:val="44BA18B8"/>
    <w:rsid w:val="44DE2306"/>
    <w:rsid w:val="44E9495E"/>
    <w:rsid w:val="450E6215"/>
    <w:rsid w:val="453673AB"/>
    <w:rsid w:val="45476D91"/>
    <w:rsid w:val="455C1FBA"/>
    <w:rsid w:val="45751692"/>
    <w:rsid w:val="457B019E"/>
    <w:rsid w:val="458723FA"/>
    <w:rsid w:val="458A211C"/>
    <w:rsid w:val="45A45D2F"/>
    <w:rsid w:val="45A805DB"/>
    <w:rsid w:val="45C9070A"/>
    <w:rsid w:val="45C90725"/>
    <w:rsid w:val="45E33650"/>
    <w:rsid w:val="45E529DD"/>
    <w:rsid w:val="45E829D5"/>
    <w:rsid w:val="45F47C33"/>
    <w:rsid w:val="4602163D"/>
    <w:rsid w:val="46094DE4"/>
    <w:rsid w:val="461A4A5C"/>
    <w:rsid w:val="46212D15"/>
    <w:rsid w:val="463459C8"/>
    <w:rsid w:val="46563BE5"/>
    <w:rsid w:val="4673345F"/>
    <w:rsid w:val="467C613A"/>
    <w:rsid w:val="469A324A"/>
    <w:rsid w:val="46AA5F95"/>
    <w:rsid w:val="46B7417A"/>
    <w:rsid w:val="46D52188"/>
    <w:rsid w:val="46E52128"/>
    <w:rsid w:val="46F90994"/>
    <w:rsid w:val="47091BF8"/>
    <w:rsid w:val="47172F43"/>
    <w:rsid w:val="4725141C"/>
    <w:rsid w:val="474303C9"/>
    <w:rsid w:val="477C6935"/>
    <w:rsid w:val="479632D7"/>
    <w:rsid w:val="479D0938"/>
    <w:rsid w:val="479D2C7F"/>
    <w:rsid w:val="47A965A7"/>
    <w:rsid w:val="47B37D5A"/>
    <w:rsid w:val="47C33B71"/>
    <w:rsid w:val="47C76465"/>
    <w:rsid w:val="47C94006"/>
    <w:rsid w:val="47EB6A34"/>
    <w:rsid w:val="47ED6AB4"/>
    <w:rsid w:val="48004F59"/>
    <w:rsid w:val="48107975"/>
    <w:rsid w:val="481E5462"/>
    <w:rsid w:val="4842387D"/>
    <w:rsid w:val="48445045"/>
    <w:rsid w:val="48526BA4"/>
    <w:rsid w:val="48561696"/>
    <w:rsid w:val="487A6677"/>
    <w:rsid w:val="48943CFA"/>
    <w:rsid w:val="48A26FE4"/>
    <w:rsid w:val="48AC24CE"/>
    <w:rsid w:val="490070B7"/>
    <w:rsid w:val="491528C0"/>
    <w:rsid w:val="49415558"/>
    <w:rsid w:val="4954135D"/>
    <w:rsid w:val="49555CAB"/>
    <w:rsid w:val="495D6F7C"/>
    <w:rsid w:val="496E7DCB"/>
    <w:rsid w:val="49724248"/>
    <w:rsid w:val="49A46464"/>
    <w:rsid w:val="49AA1A97"/>
    <w:rsid w:val="49AB42EE"/>
    <w:rsid w:val="4A196553"/>
    <w:rsid w:val="4A3B0B66"/>
    <w:rsid w:val="4A3C1350"/>
    <w:rsid w:val="4A496732"/>
    <w:rsid w:val="4A8465FF"/>
    <w:rsid w:val="4A936356"/>
    <w:rsid w:val="4A936C2B"/>
    <w:rsid w:val="4AC931B6"/>
    <w:rsid w:val="4AD01EAC"/>
    <w:rsid w:val="4ADF4254"/>
    <w:rsid w:val="4AE22DF4"/>
    <w:rsid w:val="4AFB3CFA"/>
    <w:rsid w:val="4B2619AB"/>
    <w:rsid w:val="4B4543C8"/>
    <w:rsid w:val="4B4616A3"/>
    <w:rsid w:val="4B5C6373"/>
    <w:rsid w:val="4B6C723E"/>
    <w:rsid w:val="4B6C7B1C"/>
    <w:rsid w:val="4B730723"/>
    <w:rsid w:val="4B8631F7"/>
    <w:rsid w:val="4BAB14A5"/>
    <w:rsid w:val="4BC22D70"/>
    <w:rsid w:val="4BC85FA5"/>
    <w:rsid w:val="4BD11048"/>
    <w:rsid w:val="4BF90CB5"/>
    <w:rsid w:val="4C1360BC"/>
    <w:rsid w:val="4C3E71A1"/>
    <w:rsid w:val="4C6C52E1"/>
    <w:rsid w:val="4C6E7D2B"/>
    <w:rsid w:val="4CAE4FD7"/>
    <w:rsid w:val="4CB850A8"/>
    <w:rsid w:val="4CCE652E"/>
    <w:rsid w:val="4D131204"/>
    <w:rsid w:val="4D2C13D4"/>
    <w:rsid w:val="4D4002A6"/>
    <w:rsid w:val="4D427C52"/>
    <w:rsid w:val="4D485929"/>
    <w:rsid w:val="4D57161F"/>
    <w:rsid w:val="4D667FB9"/>
    <w:rsid w:val="4D680050"/>
    <w:rsid w:val="4D7A3D76"/>
    <w:rsid w:val="4D8966F7"/>
    <w:rsid w:val="4D952C6E"/>
    <w:rsid w:val="4DAF182A"/>
    <w:rsid w:val="4DB30376"/>
    <w:rsid w:val="4DEC345B"/>
    <w:rsid w:val="4DEC3EA8"/>
    <w:rsid w:val="4DFE4672"/>
    <w:rsid w:val="4E123D08"/>
    <w:rsid w:val="4E26300D"/>
    <w:rsid w:val="4E320F46"/>
    <w:rsid w:val="4E3E43EF"/>
    <w:rsid w:val="4E425C81"/>
    <w:rsid w:val="4E4B32B9"/>
    <w:rsid w:val="4E557E86"/>
    <w:rsid w:val="4E71512E"/>
    <w:rsid w:val="4E7A7460"/>
    <w:rsid w:val="4E7F6AC4"/>
    <w:rsid w:val="4E904C1C"/>
    <w:rsid w:val="4E986CF9"/>
    <w:rsid w:val="4E9A4C01"/>
    <w:rsid w:val="4E9F3C18"/>
    <w:rsid w:val="4EC35A2C"/>
    <w:rsid w:val="4EDD225E"/>
    <w:rsid w:val="4EE0529D"/>
    <w:rsid w:val="4EE63A3F"/>
    <w:rsid w:val="4F025DB1"/>
    <w:rsid w:val="4F05559B"/>
    <w:rsid w:val="4F1061D5"/>
    <w:rsid w:val="4F1063C7"/>
    <w:rsid w:val="4F1206D8"/>
    <w:rsid w:val="4F315931"/>
    <w:rsid w:val="4F4A1CE1"/>
    <w:rsid w:val="4FD90886"/>
    <w:rsid w:val="4FE85DE5"/>
    <w:rsid w:val="50185BA7"/>
    <w:rsid w:val="502A297A"/>
    <w:rsid w:val="50485150"/>
    <w:rsid w:val="5055692F"/>
    <w:rsid w:val="5062630C"/>
    <w:rsid w:val="50C03B86"/>
    <w:rsid w:val="50C6351C"/>
    <w:rsid w:val="50CA02B0"/>
    <w:rsid w:val="50CF296E"/>
    <w:rsid w:val="50E14DCE"/>
    <w:rsid w:val="513F53E4"/>
    <w:rsid w:val="514047A3"/>
    <w:rsid w:val="5145449A"/>
    <w:rsid w:val="51634BE8"/>
    <w:rsid w:val="51735095"/>
    <w:rsid w:val="51803EF2"/>
    <w:rsid w:val="518D5B30"/>
    <w:rsid w:val="51945942"/>
    <w:rsid w:val="51A607C1"/>
    <w:rsid w:val="51A73D21"/>
    <w:rsid w:val="51B0217C"/>
    <w:rsid w:val="51BB1FDF"/>
    <w:rsid w:val="51C162F8"/>
    <w:rsid w:val="51C84375"/>
    <w:rsid w:val="51D8119B"/>
    <w:rsid w:val="51E31298"/>
    <w:rsid w:val="521663EE"/>
    <w:rsid w:val="5222251A"/>
    <w:rsid w:val="522B04AA"/>
    <w:rsid w:val="522E5550"/>
    <w:rsid w:val="52541235"/>
    <w:rsid w:val="526D6984"/>
    <w:rsid w:val="5275162A"/>
    <w:rsid w:val="529A0CBF"/>
    <w:rsid w:val="52A87A52"/>
    <w:rsid w:val="53223D77"/>
    <w:rsid w:val="532A591B"/>
    <w:rsid w:val="53517DFC"/>
    <w:rsid w:val="535F23F7"/>
    <w:rsid w:val="53715389"/>
    <w:rsid w:val="537A34C1"/>
    <w:rsid w:val="539D0545"/>
    <w:rsid w:val="53C24395"/>
    <w:rsid w:val="53EE5979"/>
    <w:rsid w:val="53F87FB9"/>
    <w:rsid w:val="53FB21E3"/>
    <w:rsid w:val="540C16FF"/>
    <w:rsid w:val="543171B3"/>
    <w:rsid w:val="54475359"/>
    <w:rsid w:val="544E5668"/>
    <w:rsid w:val="54553F95"/>
    <w:rsid w:val="5456693F"/>
    <w:rsid w:val="545B21E0"/>
    <w:rsid w:val="547B021B"/>
    <w:rsid w:val="54846FC0"/>
    <w:rsid w:val="54A23982"/>
    <w:rsid w:val="54AC5FDF"/>
    <w:rsid w:val="54B20761"/>
    <w:rsid w:val="54B8461D"/>
    <w:rsid w:val="54D441A6"/>
    <w:rsid w:val="54EB7E1E"/>
    <w:rsid w:val="54EE1C7D"/>
    <w:rsid w:val="54F441D3"/>
    <w:rsid w:val="5510411D"/>
    <w:rsid w:val="55313238"/>
    <w:rsid w:val="55377FD3"/>
    <w:rsid w:val="55510D2F"/>
    <w:rsid w:val="55561C8A"/>
    <w:rsid w:val="555A620D"/>
    <w:rsid w:val="5565026B"/>
    <w:rsid w:val="55657DEE"/>
    <w:rsid w:val="55775F30"/>
    <w:rsid w:val="55902360"/>
    <w:rsid w:val="55AA04EA"/>
    <w:rsid w:val="55AD1537"/>
    <w:rsid w:val="55C769E9"/>
    <w:rsid w:val="55DF049E"/>
    <w:rsid w:val="55EC6A54"/>
    <w:rsid w:val="55F7601B"/>
    <w:rsid w:val="561E062D"/>
    <w:rsid w:val="562949BB"/>
    <w:rsid w:val="56533E14"/>
    <w:rsid w:val="56650DE5"/>
    <w:rsid w:val="56652FF7"/>
    <w:rsid w:val="566604D8"/>
    <w:rsid w:val="567C2E30"/>
    <w:rsid w:val="569532B9"/>
    <w:rsid w:val="56A17C74"/>
    <w:rsid w:val="56BE1520"/>
    <w:rsid w:val="56C777C3"/>
    <w:rsid w:val="56CC7047"/>
    <w:rsid w:val="56E16EBA"/>
    <w:rsid w:val="56E56AC2"/>
    <w:rsid w:val="56ED0F10"/>
    <w:rsid w:val="56F12112"/>
    <w:rsid w:val="5717073A"/>
    <w:rsid w:val="57201711"/>
    <w:rsid w:val="572A0E58"/>
    <w:rsid w:val="57387D1C"/>
    <w:rsid w:val="573F30E0"/>
    <w:rsid w:val="575E5546"/>
    <w:rsid w:val="575F31D1"/>
    <w:rsid w:val="57A03D92"/>
    <w:rsid w:val="57B74790"/>
    <w:rsid w:val="57BC5E1D"/>
    <w:rsid w:val="57C75100"/>
    <w:rsid w:val="57D346A9"/>
    <w:rsid w:val="57E351FD"/>
    <w:rsid w:val="57E833CE"/>
    <w:rsid w:val="58040C29"/>
    <w:rsid w:val="582E41E3"/>
    <w:rsid w:val="583E0333"/>
    <w:rsid w:val="584219EB"/>
    <w:rsid w:val="58553492"/>
    <w:rsid w:val="58632EF9"/>
    <w:rsid w:val="58637192"/>
    <w:rsid w:val="586502FC"/>
    <w:rsid w:val="587A3BFB"/>
    <w:rsid w:val="58A55E06"/>
    <w:rsid w:val="58AC1CC3"/>
    <w:rsid w:val="58D64CB5"/>
    <w:rsid w:val="58DE32AF"/>
    <w:rsid w:val="58E8720D"/>
    <w:rsid w:val="59084919"/>
    <w:rsid w:val="590C4DF9"/>
    <w:rsid w:val="590F425A"/>
    <w:rsid w:val="59103E8D"/>
    <w:rsid w:val="591756D4"/>
    <w:rsid w:val="591F0851"/>
    <w:rsid w:val="5961437C"/>
    <w:rsid w:val="597022C6"/>
    <w:rsid w:val="597504C6"/>
    <w:rsid w:val="5996169B"/>
    <w:rsid w:val="599F5F6F"/>
    <w:rsid w:val="59A77D88"/>
    <w:rsid w:val="59B90957"/>
    <w:rsid w:val="59E917A2"/>
    <w:rsid w:val="59EA39CB"/>
    <w:rsid w:val="59F6172A"/>
    <w:rsid w:val="5A58257F"/>
    <w:rsid w:val="5A594C6F"/>
    <w:rsid w:val="5A604B93"/>
    <w:rsid w:val="5A7A7769"/>
    <w:rsid w:val="5A9B3732"/>
    <w:rsid w:val="5ABD2D4C"/>
    <w:rsid w:val="5AD10F6A"/>
    <w:rsid w:val="5AF44CEE"/>
    <w:rsid w:val="5B086919"/>
    <w:rsid w:val="5B0C76E9"/>
    <w:rsid w:val="5B105C41"/>
    <w:rsid w:val="5B1D69AB"/>
    <w:rsid w:val="5B35537C"/>
    <w:rsid w:val="5B4B10FD"/>
    <w:rsid w:val="5B596C60"/>
    <w:rsid w:val="5BB83770"/>
    <w:rsid w:val="5BCE6E6A"/>
    <w:rsid w:val="5BD06FEE"/>
    <w:rsid w:val="5BF847FA"/>
    <w:rsid w:val="5C105CAE"/>
    <w:rsid w:val="5C1514D3"/>
    <w:rsid w:val="5C254E9B"/>
    <w:rsid w:val="5C8A1B25"/>
    <w:rsid w:val="5C970CB3"/>
    <w:rsid w:val="5C9F3973"/>
    <w:rsid w:val="5CA7442C"/>
    <w:rsid w:val="5CCE4009"/>
    <w:rsid w:val="5CDB23B3"/>
    <w:rsid w:val="5CE01F90"/>
    <w:rsid w:val="5CEE3793"/>
    <w:rsid w:val="5CF068AE"/>
    <w:rsid w:val="5D231F47"/>
    <w:rsid w:val="5D484593"/>
    <w:rsid w:val="5D4A3F04"/>
    <w:rsid w:val="5D5030EA"/>
    <w:rsid w:val="5D5A39BC"/>
    <w:rsid w:val="5D695AF9"/>
    <w:rsid w:val="5D6A71A1"/>
    <w:rsid w:val="5D78045A"/>
    <w:rsid w:val="5D7813CA"/>
    <w:rsid w:val="5D81147C"/>
    <w:rsid w:val="5DAE77C0"/>
    <w:rsid w:val="5DB65C93"/>
    <w:rsid w:val="5DCC355C"/>
    <w:rsid w:val="5DEB2B5F"/>
    <w:rsid w:val="5DF413A5"/>
    <w:rsid w:val="5E056DF0"/>
    <w:rsid w:val="5E0D40AF"/>
    <w:rsid w:val="5E2B63FE"/>
    <w:rsid w:val="5E2C5C78"/>
    <w:rsid w:val="5E380F9F"/>
    <w:rsid w:val="5E4D6EEF"/>
    <w:rsid w:val="5E6B2F6D"/>
    <w:rsid w:val="5E7C7CA5"/>
    <w:rsid w:val="5E9B6B7F"/>
    <w:rsid w:val="5E9E2AB3"/>
    <w:rsid w:val="5EAB7509"/>
    <w:rsid w:val="5EB11DD1"/>
    <w:rsid w:val="5EE26982"/>
    <w:rsid w:val="5EE3594F"/>
    <w:rsid w:val="5EE9486C"/>
    <w:rsid w:val="5EF01114"/>
    <w:rsid w:val="5EF021E6"/>
    <w:rsid w:val="5F196439"/>
    <w:rsid w:val="5F2951F8"/>
    <w:rsid w:val="5F426AF0"/>
    <w:rsid w:val="5F6114C2"/>
    <w:rsid w:val="5F612541"/>
    <w:rsid w:val="5F7A1A5F"/>
    <w:rsid w:val="5F867855"/>
    <w:rsid w:val="5F8A06B0"/>
    <w:rsid w:val="5F8C4E39"/>
    <w:rsid w:val="5F996FAC"/>
    <w:rsid w:val="5F9B2539"/>
    <w:rsid w:val="5FA94AE8"/>
    <w:rsid w:val="5FB955CF"/>
    <w:rsid w:val="5FC05A92"/>
    <w:rsid w:val="5FD3327E"/>
    <w:rsid w:val="5FD52C44"/>
    <w:rsid w:val="60054461"/>
    <w:rsid w:val="6028391F"/>
    <w:rsid w:val="60397FE5"/>
    <w:rsid w:val="603D08B2"/>
    <w:rsid w:val="604C5E14"/>
    <w:rsid w:val="606E5E32"/>
    <w:rsid w:val="60930B84"/>
    <w:rsid w:val="60B171BE"/>
    <w:rsid w:val="60DB6E06"/>
    <w:rsid w:val="610105C9"/>
    <w:rsid w:val="61042127"/>
    <w:rsid w:val="611B03A6"/>
    <w:rsid w:val="61206740"/>
    <w:rsid w:val="612E7BC6"/>
    <w:rsid w:val="613173C9"/>
    <w:rsid w:val="613A2FD5"/>
    <w:rsid w:val="616D699C"/>
    <w:rsid w:val="616E4114"/>
    <w:rsid w:val="61B03FD8"/>
    <w:rsid w:val="61C72AB1"/>
    <w:rsid w:val="61D241D3"/>
    <w:rsid w:val="61E551F6"/>
    <w:rsid w:val="61FB1F00"/>
    <w:rsid w:val="62111674"/>
    <w:rsid w:val="621717F9"/>
    <w:rsid w:val="62212C59"/>
    <w:rsid w:val="623A61AD"/>
    <w:rsid w:val="62656E34"/>
    <w:rsid w:val="62693285"/>
    <w:rsid w:val="62A84041"/>
    <w:rsid w:val="62C074CB"/>
    <w:rsid w:val="62D36331"/>
    <w:rsid w:val="62D73138"/>
    <w:rsid w:val="62E7273D"/>
    <w:rsid w:val="62F7055E"/>
    <w:rsid w:val="62FA26DC"/>
    <w:rsid w:val="62FD33C6"/>
    <w:rsid w:val="63093840"/>
    <w:rsid w:val="630D371E"/>
    <w:rsid w:val="63211853"/>
    <w:rsid w:val="63360B0A"/>
    <w:rsid w:val="63397856"/>
    <w:rsid w:val="63491CF1"/>
    <w:rsid w:val="63974DF0"/>
    <w:rsid w:val="63A46966"/>
    <w:rsid w:val="63BE1D87"/>
    <w:rsid w:val="63DC1335"/>
    <w:rsid w:val="63E049F0"/>
    <w:rsid w:val="63E372C3"/>
    <w:rsid w:val="63EC2994"/>
    <w:rsid w:val="63F20CC1"/>
    <w:rsid w:val="64140916"/>
    <w:rsid w:val="641A3493"/>
    <w:rsid w:val="642D0C26"/>
    <w:rsid w:val="648829DD"/>
    <w:rsid w:val="64B101FB"/>
    <w:rsid w:val="64B87E6F"/>
    <w:rsid w:val="64D542AF"/>
    <w:rsid w:val="64DB2216"/>
    <w:rsid w:val="64EA171E"/>
    <w:rsid w:val="64EB45B9"/>
    <w:rsid w:val="64EC4BD0"/>
    <w:rsid w:val="64F75632"/>
    <w:rsid w:val="651B7599"/>
    <w:rsid w:val="651C0A6B"/>
    <w:rsid w:val="651D7E51"/>
    <w:rsid w:val="65475A74"/>
    <w:rsid w:val="65481B6B"/>
    <w:rsid w:val="65563A24"/>
    <w:rsid w:val="656070E2"/>
    <w:rsid w:val="6563274D"/>
    <w:rsid w:val="656633F0"/>
    <w:rsid w:val="656F437D"/>
    <w:rsid w:val="65A2400D"/>
    <w:rsid w:val="65BE0D54"/>
    <w:rsid w:val="65C5473B"/>
    <w:rsid w:val="65DC1EAD"/>
    <w:rsid w:val="65DD4D66"/>
    <w:rsid w:val="66105177"/>
    <w:rsid w:val="662409DC"/>
    <w:rsid w:val="66333033"/>
    <w:rsid w:val="66405EF4"/>
    <w:rsid w:val="66586D18"/>
    <w:rsid w:val="666E2C01"/>
    <w:rsid w:val="66794C01"/>
    <w:rsid w:val="66821887"/>
    <w:rsid w:val="66901E93"/>
    <w:rsid w:val="66A65734"/>
    <w:rsid w:val="66B47E4C"/>
    <w:rsid w:val="66C37445"/>
    <w:rsid w:val="66E22A96"/>
    <w:rsid w:val="66E4341A"/>
    <w:rsid w:val="66EF7A4E"/>
    <w:rsid w:val="66F23C2F"/>
    <w:rsid w:val="66FB2103"/>
    <w:rsid w:val="67044E9B"/>
    <w:rsid w:val="670818DF"/>
    <w:rsid w:val="670C2472"/>
    <w:rsid w:val="6756741F"/>
    <w:rsid w:val="675F3EFC"/>
    <w:rsid w:val="67714425"/>
    <w:rsid w:val="677B0395"/>
    <w:rsid w:val="67945916"/>
    <w:rsid w:val="67976185"/>
    <w:rsid w:val="67CA4687"/>
    <w:rsid w:val="67D06862"/>
    <w:rsid w:val="67D30B17"/>
    <w:rsid w:val="67D46DB0"/>
    <w:rsid w:val="67F947A8"/>
    <w:rsid w:val="67FE1E3C"/>
    <w:rsid w:val="68272975"/>
    <w:rsid w:val="68535533"/>
    <w:rsid w:val="68712AF9"/>
    <w:rsid w:val="688D662A"/>
    <w:rsid w:val="68C52F61"/>
    <w:rsid w:val="68CF29C6"/>
    <w:rsid w:val="68FC7AD7"/>
    <w:rsid w:val="690F3FE1"/>
    <w:rsid w:val="694C4ACC"/>
    <w:rsid w:val="696971AE"/>
    <w:rsid w:val="69713056"/>
    <w:rsid w:val="69752DD8"/>
    <w:rsid w:val="697F1EB7"/>
    <w:rsid w:val="69BD42F0"/>
    <w:rsid w:val="69EF2E62"/>
    <w:rsid w:val="69EF5000"/>
    <w:rsid w:val="6A041B2B"/>
    <w:rsid w:val="6A0D2AB1"/>
    <w:rsid w:val="6A3377A3"/>
    <w:rsid w:val="6A3604BF"/>
    <w:rsid w:val="6A3A6EF5"/>
    <w:rsid w:val="6A3D31D1"/>
    <w:rsid w:val="6A6743FA"/>
    <w:rsid w:val="6A6A2CA8"/>
    <w:rsid w:val="6A8043F3"/>
    <w:rsid w:val="6AC4649E"/>
    <w:rsid w:val="6AC523DC"/>
    <w:rsid w:val="6ACF4C04"/>
    <w:rsid w:val="6AF14BF6"/>
    <w:rsid w:val="6B096A9A"/>
    <w:rsid w:val="6B203DB8"/>
    <w:rsid w:val="6B351602"/>
    <w:rsid w:val="6B394544"/>
    <w:rsid w:val="6B564F62"/>
    <w:rsid w:val="6B7729E9"/>
    <w:rsid w:val="6B890BB9"/>
    <w:rsid w:val="6B9F297B"/>
    <w:rsid w:val="6BD36EE0"/>
    <w:rsid w:val="6C2D221B"/>
    <w:rsid w:val="6C417846"/>
    <w:rsid w:val="6C4A7BE2"/>
    <w:rsid w:val="6C566FDE"/>
    <w:rsid w:val="6C60083C"/>
    <w:rsid w:val="6C66153F"/>
    <w:rsid w:val="6C7641A4"/>
    <w:rsid w:val="6C7D1473"/>
    <w:rsid w:val="6C8135C9"/>
    <w:rsid w:val="6CA67CA6"/>
    <w:rsid w:val="6CA72B5B"/>
    <w:rsid w:val="6CBA78B3"/>
    <w:rsid w:val="6CDB32C2"/>
    <w:rsid w:val="6CE7487A"/>
    <w:rsid w:val="6CEA5BB1"/>
    <w:rsid w:val="6CED4BFE"/>
    <w:rsid w:val="6D042E2A"/>
    <w:rsid w:val="6D2E578C"/>
    <w:rsid w:val="6D4D70F3"/>
    <w:rsid w:val="6D5815D7"/>
    <w:rsid w:val="6D813981"/>
    <w:rsid w:val="6D9235B2"/>
    <w:rsid w:val="6D923C00"/>
    <w:rsid w:val="6DC330B2"/>
    <w:rsid w:val="6DC77E36"/>
    <w:rsid w:val="6DF53519"/>
    <w:rsid w:val="6DF87A61"/>
    <w:rsid w:val="6E1764CB"/>
    <w:rsid w:val="6E184234"/>
    <w:rsid w:val="6E1E0E92"/>
    <w:rsid w:val="6E303269"/>
    <w:rsid w:val="6E4E1EA8"/>
    <w:rsid w:val="6E6C23EF"/>
    <w:rsid w:val="6E8249FF"/>
    <w:rsid w:val="6EB5202E"/>
    <w:rsid w:val="6EC87DA5"/>
    <w:rsid w:val="6EEA7A4C"/>
    <w:rsid w:val="6EF66D19"/>
    <w:rsid w:val="6F0C3D82"/>
    <w:rsid w:val="6F2335D1"/>
    <w:rsid w:val="6F3B140E"/>
    <w:rsid w:val="6F3D4DCE"/>
    <w:rsid w:val="6F421BC2"/>
    <w:rsid w:val="6F5363D5"/>
    <w:rsid w:val="6F6437EC"/>
    <w:rsid w:val="6F6665CF"/>
    <w:rsid w:val="6F6D7FA3"/>
    <w:rsid w:val="6F7845D7"/>
    <w:rsid w:val="6F7C3950"/>
    <w:rsid w:val="6F7C789B"/>
    <w:rsid w:val="6F844244"/>
    <w:rsid w:val="6F8C79C5"/>
    <w:rsid w:val="6F9156C9"/>
    <w:rsid w:val="6FC203F0"/>
    <w:rsid w:val="6FCD1C85"/>
    <w:rsid w:val="6FD45169"/>
    <w:rsid w:val="6FD77AB5"/>
    <w:rsid w:val="6FE53A14"/>
    <w:rsid w:val="70084AA3"/>
    <w:rsid w:val="703A0751"/>
    <w:rsid w:val="70402150"/>
    <w:rsid w:val="70701266"/>
    <w:rsid w:val="70883FD6"/>
    <w:rsid w:val="70951F56"/>
    <w:rsid w:val="70A565DD"/>
    <w:rsid w:val="70B922C3"/>
    <w:rsid w:val="70CD4E02"/>
    <w:rsid w:val="70F742CB"/>
    <w:rsid w:val="710211DF"/>
    <w:rsid w:val="71044166"/>
    <w:rsid w:val="71367464"/>
    <w:rsid w:val="71451B28"/>
    <w:rsid w:val="71493885"/>
    <w:rsid w:val="715038F7"/>
    <w:rsid w:val="715F052E"/>
    <w:rsid w:val="716512F8"/>
    <w:rsid w:val="71BB412E"/>
    <w:rsid w:val="71F42E2C"/>
    <w:rsid w:val="71FB0D93"/>
    <w:rsid w:val="71FD0EC8"/>
    <w:rsid w:val="722B312E"/>
    <w:rsid w:val="72403179"/>
    <w:rsid w:val="725867AD"/>
    <w:rsid w:val="725A13E7"/>
    <w:rsid w:val="72632088"/>
    <w:rsid w:val="726D30C3"/>
    <w:rsid w:val="728968F7"/>
    <w:rsid w:val="728D78CD"/>
    <w:rsid w:val="729D208D"/>
    <w:rsid w:val="72B174CA"/>
    <w:rsid w:val="72B917FF"/>
    <w:rsid w:val="72D23587"/>
    <w:rsid w:val="731E717F"/>
    <w:rsid w:val="733C40DE"/>
    <w:rsid w:val="7342601E"/>
    <w:rsid w:val="73553E03"/>
    <w:rsid w:val="73574163"/>
    <w:rsid w:val="735B133A"/>
    <w:rsid w:val="736742A1"/>
    <w:rsid w:val="73827E74"/>
    <w:rsid w:val="73C4722D"/>
    <w:rsid w:val="73D4140C"/>
    <w:rsid w:val="73F93B22"/>
    <w:rsid w:val="741677CA"/>
    <w:rsid w:val="741763A8"/>
    <w:rsid w:val="743A3665"/>
    <w:rsid w:val="746351A4"/>
    <w:rsid w:val="74671F42"/>
    <w:rsid w:val="746A1DAF"/>
    <w:rsid w:val="7473730C"/>
    <w:rsid w:val="7474374F"/>
    <w:rsid w:val="747A5361"/>
    <w:rsid w:val="74862D21"/>
    <w:rsid w:val="74920F5C"/>
    <w:rsid w:val="74D13FF5"/>
    <w:rsid w:val="74DD03A1"/>
    <w:rsid w:val="74DE0D95"/>
    <w:rsid w:val="750558AD"/>
    <w:rsid w:val="75171B38"/>
    <w:rsid w:val="7522545A"/>
    <w:rsid w:val="7541315B"/>
    <w:rsid w:val="75511631"/>
    <w:rsid w:val="757966E6"/>
    <w:rsid w:val="757A6F3C"/>
    <w:rsid w:val="758655BF"/>
    <w:rsid w:val="75D05C57"/>
    <w:rsid w:val="760443DE"/>
    <w:rsid w:val="760E779D"/>
    <w:rsid w:val="761D2B0B"/>
    <w:rsid w:val="76410EE5"/>
    <w:rsid w:val="76B256E9"/>
    <w:rsid w:val="76C711B2"/>
    <w:rsid w:val="76D81A3B"/>
    <w:rsid w:val="76DD6F5D"/>
    <w:rsid w:val="77024A58"/>
    <w:rsid w:val="77115EC9"/>
    <w:rsid w:val="77146CCD"/>
    <w:rsid w:val="772A5383"/>
    <w:rsid w:val="77373D9F"/>
    <w:rsid w:val="775B085E"/>
    <w:rsid w:val="77694E8E"/>
    <w:rsid w:val="776D7A50"/>
    <w:rsid w:val="77776BC6"/>
    <w:rsid w:val="77871BE8"/>
    <w:rsid w:val="77C807D0"/>
    <w:rsid w:val="77DE4583"/>
    <w:rsid w:val="78081904"/>
    <w:rsid w:val="78250216"/>
    <w:rsid w:val="784020DA"/>
    <w:rsid w:val="7872004B"/>
    <w:rsid w:val="78753769"/>
    <w:rsid w:val="787A594B"/>
    <w:rsid w:val="789948FC"/>
    <w:rsid w:val="78AC49E9"/>
    <w:rsid w:val="78C54573"/>
    <w:rsid w:val="78D07F64"/>
    <w:rsid w:val="78D3749D"/>
    <w:rsid w:val="78ED6078"/>
    <w:rsid w:val="7934752A"/>
    <w:rsid w:val="79384439"/>
    <w:rsid w:val="793E3633"/>
    <w:rsid w:val="79477358"/>
    <w:rsid w:val="7952745D"/>
    <w:rsid w:val="795F3DD0"/>
    <w:rsid w:val="796F22FB"/>
    <w:rsid w:val="79834FA6"/>
    <w:rsid w:val="798D70A8"/>
    <w:rsid w:val="79936014"/>
    <w:rsid w:val="79B41D10"/>
    <w:rsid w:val="79B5192B"/>
    <w:rsid w:val="79C64B3C"/>
    <w:rsid w:val="79FA76DB"/>
    <w:rsid w:val="7A2A0522"/>
    <w:rsid w:val="7A2F61EB"/>
    <w:rsid w:val="7A312E38"/>
    <w:rsid w:val="7A365682"/>
    <w:rsid w:val="7A521C17"/>
    <w:rsid w:val="7A585CAC"/>
    <w:rsid w:val="7A606A28"/>
    <w:rsid w:val="7A670426"/>
    <w:rsid w:val="7A7256BF"/>
    <w:rsid w:val="7A7C0296"/>
    <w:rsid w:val="7A8628F1"/>
    <w:rsid w:val="7A8E6451"/>
    <w:rsid w:val="7A9F1745"/>
    <w:rsid w:val="7AAC763E"/>
    <w:rsid w:val="7AB02516"/>
    <w:rsid w:val="7B0A29CB"/>
    <w:rsid w:val="7B3D56AA"/>
    <w:rsid w:val="7B3E4056"/>
    <w:rsid w:val="7B481D15"/>
    <w:rsid w:val="7B5C6355"/>
    <w:rsid w:val="7B657FE2"/>
    <w:rsid w:val="7B7372FB"/>
    <w:rsid w:val="7B795F49"/>
    <w:rsid w:val="7BF506F0"/>
    <w:rsid w:val="7BFB3193"/>
    <w:rsid w:val="7C061972"/>
    <w:rsid w:val="7C1D1F76"/>
    <w:rsid w:val="7C1F11AA"/>
    <w:rsid w:val="7C3032E7"/>
    <w:rsid w:val="7C702698"/>
    <w:rsid w:val="7C7B18FE"/>
    <w:rsid w:val="7C912374"/>
    <w:rsid w:val="7C9D49A2"/>
    <w:rsid w:val="7CAE2840"/>
    <w:rsid w:val="7CB52264"/>
    <w:rsid w:val="7CBB58F8"/>
    <w:rsid w:val="7CCC0699"/>
    <w:rsid w:val="7CD579CE"/>
    <w:rsid w:val="7CD635D5"/>
    <w:rsid w:val="7CD771A4"/>
    <w:rsid w:val="7CE2193D"/>
    <w:rsid w:val="7D0D2B89"/>
    <w:rsid w:val="7D133C85"/>
    <w:rsid w:val="7D193C94"/>
    <w:rsid w:val="7D1F4BF5"/>
    <w:rsid w:val="7D247DD2"/>
    <w:rsid w:val="7D4C63BC"/>
    <w:rsid w:val="7D586A6A"/>
    <w:rsid w:val="7D6029CF"/>
    <w:rsid w:val="7D6E247E"/>
    <w:rsid w:val="7D7A07B0"/>
    <w:rsid w:val="7D7D4E5A"/>
    <w:rsid w:val="7D8A1680"/>
    <w:rsid w:val="7DA6392E"/>
    <w:rsid w:val="7DB6764E"/>
    <w:rsid w:val="7DBD148E"/>
    <w:rsid w:val="7DBE2FCE"/>
    <w:rsid w:val="7DD5541F"/>
    <w:rsid w:val="7DE006A4"/>
    <w:rsid w:val="7DE2062B"/>
    <w:rsid w:val="7DFD425D"/>
    <w:rsid w:val="7DFE2547"/>
    <w:rsid w:val="7E442BB1"/>
    <w:rsid w:val="7E6B02CE"/>
    <w:rsid w:val="7E7538B7"/>
    <w:rsid w:val="7E82779D"/>
    <w:rsid w:val="7EB42447"/>
    <w:rsid w:val="7ED10715"/>
    <w:rsid w:val="7ED83C6A"/>
    <w:rsid w:val="7EDD49E1"/>
    <w:rsid w:val="7EF32BCE"/>
    <w:rsid w:val="7F1E63F8"/>
    <w:rsid w:val="7F1E7360"/>
    <w:rsid w:val="7F230EC4"/>
    <w:rsid w:val="7F276124"/>
    <w:rsid w:val="7F344833"/>
    <w:rsid w:val="7F37466E"/>
    <w:rsid w:val="7F506460"/>
    <w:rsid w:val="7F6929FF"/>
    <w:rsid w:val="7F70446C"/>
    <w:rsid w:val="7F7542E2"/>
    <w:rsid w:val="7F8C4476"/>
    <w:rsid w:val="7F982C64"/>
    <w:rsid w:val="7FBE0A40"/>
    <w:rsid w:val="7FC9591B"/>
    <w:rsid w:val="7FD22A69"/>
    <w:rsid w:val="7FE12BF2"/>
    <w:rsid w:val="7FF3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8"/>
      <w:szCs w:val="28"/>
      <w:lang w:val="en-US" w:eastAsia="zh-CN" w:bidi="ar-SA"/>
    </w:rPr>
  </w:style>
  <w:style w:type="paragraph" w:styleId="2">
    <w:name w:val="heading 1"/>
    <w:basedOn w:val="1"/>
    <w:next w:val="1"/>
    <w:link w:val="31"/>
    <w:qFormat/>
    <w:uiPriority w:val="0"/>
    <w:pPr>
      <w:keepNext/>
      <w:keepLines/>
      <w:spacing w:before="340" w:after="330" w:line="578" w:lineRule="auto"/>
      <w:ind w:firstLine="525"/>
      <w:outlineLvl w:val="0"/>
    </w:pPr>
    <w:rPr>
      <w:rFonts w:ascii="Times New Roman" w:hAnsi="Times New Roman"/>
      <w:b/>
      <w:kern w:val="44"/>
      <w:szCs w:val="20"/>
    </w:rPr>
  </w:style>
  <w:style w:type="paragraph" w:styleId="3">
    <w:name w:val="heading 2"/>
    <w:basedOn w:val="1"/>
    <w:next w:val="1"/>
    <w:link w:val="32"/>
    <w:qFormat/>
    <w:uiPriority w:val="0"/>
    <w:pPr>
      <w:keepNext/>
      <w:outlineLvl w:val="1"/>
    </w:pPr>
    <w:rPr>
      <w:rFonts w:ascii="Times New Roman" w:hAnsi="Times New Roman"/>
      <w:kern w:val="2"/>
      <w:szCs w:val="20"/>
    </w:rPr>
  </w:style>
  <w:style w:type="paragraph" w:styleId="4">
    <w:name w:val="heading 3"/>
    <w:basedOn w:val="1"/>
    <w:next w:val="1"/>
    <w:link w:val="33"/>
    <w:qFormat/>
    <w:uiPriority w:val="0"/>
    <w:pPr>
      <w:keepNext/>
      <w:keepLines/>
      <w:spacing w:before="260" w:after="260" w:line="416" w:lineRule="auto"/>
      <w:outlineLvl w:val="2"/>
    </w:pPr>
    <w:rPr>
      <w:rFonts w:ascii="Times New Roman" w:hAnsi="Times New Roman"/>
      <w:b/>
      <w:kern w:val="2"/>
      <w:sz w:val="32"/>
      <w:szCs w:val="20"/>
    </w:rPr>
  </w:style>
  <w:style w:type="paragraph" w:styleId="5">
    <w:name w:val="heading 4"/>
    <w:basedOn w:val="1"/>
    <w:next w:val="1"/>
    <w:unhideWhenUsed/>
    <w:qFormat/>
    <w:uiPriority w:val="9"/>
    <w:pPr>
      <w:keepNext/>
      <w:keepLines/>
      <w:numPr>
        <w:ilvl w:val="3"/>
        <w:numId w:val="1"/>
      </w:numPr>
      <w:spacing w:before="280" w:after="290" w:line="376" w:lineRule="atLeast"/>
      <w:outlineLvl w:val="3"/>
    </w:pPr>
    <w:rPr>
      <w:rFonts w:ascii="Arial" w:hAnsi="Arial" w:eastAsia="黑体"/>
      <w:b/>
      <w:b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textAlignment w:val="baseline"/>
    </w:pPr>
    <w:rPr>
      <w:rFonts w:ascii="Times New Roman" w:hAnsi="Times New Roman"/>
    </w:rPr>
  </w:style>
  <w:style w:type="paragraph" w:styleId="7">
    <w:name w:val="toa heading"/>
    <w:basedOn w:val="1"/>
    <w:next w:val="1"/>
    <w:semiHidden/>
    <w:qFormat/>
    <w:uiPriority w:val="0"/>
    <w:pPr>
      <w:spacing w:before="120"/>
    </w:pPr>
    <w:rPr>
      <w:rFonts w:ascii="Arial" w:hAnsi="Arial" w:cs="Arial"/>
      <w:kern w:val="2"/>
      <w:sz w:val="24"/>
      <w:szCs w:val="24"/>
    </w:rPr>
  </w:style>
  <w:style w:type="paragraph" w:styleId="8">
    <w:name w:val="annotation text"/>
    <w:basedOn w:val="1"/>
    <w:link w:val="34"/>
    <w:semiHidden/>
    <w:qFormat/>
    <w:uiPriority w:val="0"/>
    <w:pPr>
      <w:adjustRightInd w:val="0"/>
      <w:spacing w:line="312" w:lineRule="atLeast"/>
      <w:jc w:val="left"/>
    </w:pPr>
    <w:rPr>
      <w:rFonts w:asciiTheme="minorHAnsi" w:hAnsiTheme="minorHAnsi" w:cstheme="minorBidi"/>
      <w:kern w:val="2"/>
      <w:szCs w:val="22"/>
    </w:rPr>
  </w:style>
  <w:style w:type="paragraph" w:styleId="9">
    <w:name w:val="Body Text"/>
    <w:basedOn w:val="1"/>
    <w:next w:val="10"/>
    <w:link w:val="46"/>
    <w:qFormat/>
    <w:uiPriority w:val="0"/>
    <w:pPr>
      <w:spacing w:after="120"/>
    </w:pPr>
  </w:style>
  <w:style w:type="paragraph" w:styleId="10">
    <w:name w:val="Body Text 2"/>
    <w:basedOn w:val="1"/>
    <w:unhideWhenUsed/>
    <w:qFormat/>
    <w:uiPriority w:val="99"/>
    <w:rPr>
      <w:rFonts w:hint="eastAsia"/>
    </w:rPr>
  </w:style>
  <w:style w:type="paragraph" w:styleId="11">
    <w:name w:val="Body Text Indent"/>
    <w:basedOn w:val="1"/>
    <w:next w:val="1"/>
    <w:semiHidden/>
    <w:qFormat/>
    <w:uiPriority w:val="99"/>
    <w:pPr>
      <w:spacing w:line="500" w:lineRule="exact"/>
      <w:ind w:firstLine="420"/>
    </w:pPr>
    <w:rPr>
      <w:rFonts w:ascii="楷体_GB2312" w:eastAsia="楷体_GB2312" w:cs="楷体_GB2312"/>
      <w:spacing w:val="8"/>
      <w:sz w:val="24"/>
      <w:szCs w:val="24"/>
    </w:rPr>
  </w:style>
  <w:style w:type="paragraph" w:styleId="12">
    <w:name w:val="Plain Text"/>
    <w:basedOn w:val="1"/>
    <w:link w:val="38"/>
    <w:unhideWhenUsed/>
    <w:qFormat/>
    <w:uiPriority w:val="0"/>
    <w:rPr>
      <w:rFonts w:hAnsi="Courier New"/>
      <w:kern w:val="2"/>
      <w:sz w:val="21"/>
      <w:szCs w:val="20"/>
    </w:rPr>
  </w:style>
  <w:style w:type="paragraph" w:styleId="13">
    <w:name w:val="Date"/>
    <w:basedOn w:val="1"/>
    <w:next w:val="1"/>
    <w:link w:val="37"/>
    <w:qFormat/>
    <w:uiPriority w:val="0"/>
    <w:pPr>
      <w:adjustRightInd w:val="0"/>
      <w:spacing w:line="312" w:lineRule="atLeast"/>
      <w:jc w:val="right"/>
    </w:pPr>
    <w:rPr>
      <w:rFonts w:ascii="Times New Roman" w:hAnsi="Times New Roman"/>
      <w:szCs w:val="20"/>
    </w:rPr>
  </w:style>
  <w:style w:type="paragraph" w:styleId="14">
    <w:name w:val="Body Text Indent 2"/>
    <w:basedOn w:val="1"/>
    <w:link w:val="45"/>
    <w:qFormat/>
    <w:uiPriority w:val="0"/>
    <w:pPr>
      <w:adjustRightInd w:val="0"/>
      <w:spacing w:line="312" w:lineRule="atLeast"/>
      <w:ind w:firstLine="644" w:firstLineChars="200"/>
    </w:pPr>
    <w:rPr>
      <w:rFonts w:ascii="Times New Roman" w:hAnsi="Times New Roman"/>
    </w:rPr>
  </w:style>
  <w:style w:type="paragraph" w:styleId="15">
    <w:name w:val="Balloon Text"/>
    <w:basedOn w:val="1"/>
    <w:link w:val="48"/>
    <w:unhideWhenUsed/>
    <w:qFormat/>
    <w:uiPriority w:val="99"/>
    <w:rPr>
      <w:sz w:val="18"/>
      <w:szCs w:val="18"/>
    </w:rPr>
  </w:style>
  <w:style w:type="paragraph" w:styleId="16">
    <w:name w:val="footer"/>
    <w:basedOn w:val="1"/>
    <w:link w:val="44"/>
    <w:qFormat/>
    <w:uiPriority w:val="99"/>
    <w:pPr>
      <w:tabs>
        <w:tab w:val="center" w:pos="4153"/>
        <w:tab w:val="right" w:pos="8306"/>
      </w:tabs>
      <w:snapToGrid w:val="0"/>
      <w:jc w:val="left"/>
    </w:pPr>
    <w:rPr>
      <w:sz w:val="18"/>
      <w:szCs w:val="18"/>
    </w:rPr>
  </w:style>
  <w:style w:type="paragraph" w:styleId="17">
    <w:name w:val="header"/>
    <w:basedOn w:val="1"/>
    <w:next w:val="9"/>
    <w:link w:val="4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Body Text Indent 3"/>
    <w:basedOn w:val="1"/>
    <w:link w:val="36"/>
    <w:qFormat/>
    <w:uiPriority w:val="0"/>
    <w:pPr>
      <w:spacing w:after="120"/>
      <w:ind w:left="420" w:leftChars="200"/>
    </w:pPr>
    <w:rPr>
      <w:sz w:val="16"/>
      <w:szCs w:val="16"/>
    </w:rPr>
  </w:style>
  <w:style w:type="paragraph" w:styleId="20">
    <w:name w:val="toc 2"/>
    <w:basedOn w:val="1"/>
    <w:next w:val="1"/>
    <w:qFormat/>
    <w:uiPriority w:val="0"/>
    <w:pPr>
      <w:tabs>
        <w:tab w:val="right" w:leader="dot" w:pos="8460"/>
      </w:tabs>
      <w:spacing w:line="360" w:lineRule="auto"/>
      <w:ind w:left="420" w:leftChars="200" w:right="200" w:rightChars="200"/>
    </w:pPr>
    <w:rPr>
      <w:rFonts w:ascii="Arial" w:hAnsi="Arial"/>
      <w:b/>
      <w:sz w:val="24"/>
    </w:rPr>
  </w:style>
  <w:style w:type="paragraph" w:styleId="21">
    <w:name w:val="Normal (Web)"/>
    <w:basedOn w:val="1"/>
    <w:unhideWhenUsed/>
    <w:qFormat/>
    <w:uiPriority w:val="99"/>
    <w:pPr>
      <w:spacing w:before="100" w:beforeAutospacing="1" w:after="100" w:afterAutospacing="1"/>
      <w:jc w:val="left"/>
    </w:pPr>
    <w:rPr>
      <w:sz w:val="24"/>
    </w:rPr>
  </w:style>
  <w:style w:type="paragraph" w:styleId="22">
    <w:name w:val="annotation subject"/>
    <w:basedOn w:val="8"/>
    <w:next w:val="8"/>
    <w:link w:val="51"/>
    <w:unhideWhenUsed/>
    <w:qFormat/>
    <w:uiPriority w:val="99"/>
    <w:pPr>
      <w:adjustRightInd/>
      <w:spacing w:line="240" w:lineRule="auto"/>
    </w:pPr>
    <w:rPr>
      <w:rFonts w:ascii="宋体" w:hAnsi="宋体" w:cs="Times New Roman"/>
      <w:b/>
      <w:bCs/>
      <w:kern w:val="0"/>
      <w:szCs w:val="28"/>
    </w:rPr>
  </w:style>
  <w:style w:type="paragraph" w:styleId="23">
    <w:name w:val="Body Text First Indent 2"/>
    <w:basedOn w:val="11"/>
    <w:next w:val="1"/>
    <w:semiHidden/>
    <w:qFormat/>
    <w:uiPriority w:val="99"/>
    <w:pPr>
      <w:spacing w:before="50" w:after="120" w:line="240" w:lineRule="auto"/>
      <w:ind w:left="420" w:leftChars="200" w:firstLine="200" w:firstLineChars="200"/>
    </w:pPr>
    <w:rPr>
      <w:rFonts w:ascii="Times New Roman" w:eastAsia="宋体" w:cs="Times New Roman"/>
      <w:spacing w:val="0"/>
      <w:sz w:val="21"/>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unhideWhenUsed/>
    <w:qFormat/>
    <w:uiPriority w:val="99"/>
    <w:rPr>
      <w:sz w:val="21"/>
      <w:szCs w:val="21"/>
    </w:rPr>
  </w:style>
  <w:style w:type="paragraph" w:customStyle="1" w:styleId="30">
    <w:name w:val="Default"/>
    <w:qFormat/>
    <w:uiPriority w:val="0"/>
    <w:pPr>
      <w:widowControl w:val="0"/>
      <w:autoSpaceDE w:val="0"/>
      <w:autoSpaceDN w:val="0"/>
      <w:adjustRightInd w:val="0"/>
      <w:jc w:val="center"/>
    </w:pPr>
    <w:rPr>
      <w:rFonts w:ascii="宋体" w:hAnsi="Times New Roman" w:eastAsia="宋体" w:cs="宋体"/>
      <w:color w:val="000000"/>
      <w:sz w:val="24"/>
      <w:szCs w:val="24"/>
      <w:lang w:val="en-US" w:eastAsia="zh-CN" w:bidi="ar-SA"/>
    </w:rPr>
  </w:style>
  <w:style w:type="character" w:customStyle="1" w:styleId="31">
    <w:name w:val="标题 1 Char"/>
    <w:basedOn w:val="26"/>
    <w:link w:val="2"/>
    <w:qFormat/>
    <w:uiPriority w:val="0"/>
    <w:rPr>
      <w:rFonts w:ascii="Times New Roman" w:hAnsi="Times New Roman" w:eastAsia="宋体" w:cs="Times New Roman"/>
      <w:b/>
      <w:kern w:val="44"/>
      <w:sz w:val="28"/>
      <w:szCs w:val="20"/>
    </w:rPr>
  </w:style>
  <w:style w:type="character" w:customStyle="1" w:styleId="32">
    <w:name w:val="标题 2 Char"/>
    <w:basedOn w:val="26"/>
    <w:link w:val="3"/>
    <w:qFormat/>
    <w:uiPriority w:val="0"/>
    <w:rPr>
      <w:rFonts w:ascii="Times New Roman" w:hAnsi="Times New Roman" w:eastAsia="宋体" w:cs="Times New Roman"/>
      <w:sz w:val="28"/>
      <w:szCs w:val="20"/>
    </w:rPr>
  </w:style>
  <w:style w:type="character" w:customStyle="1" w:styleId="33">
    <w:name w:val="标题 3 Char"/>
    <w:basedOn w:val="26"/>
    <w:link w:val="4"/>
    <w:qFormat/>
    <w:uiPriority w:val="0"/>
    <w:rPr>
      <w:rFonts w:ascii="Times New Roman" w:hAnsi="Times New Roman" w:eastAsia="宋体" w:cs="Times New Roman"/>
      <w:b/>
      <w:sz w:val="32"/>
      <w:szCs w:val="20"/>
    </w:rPr>
  </w:style>
  <w:style w:type="character" w:customStyle="1" w:styleId="34">
    <w:name w:val="批注文字 Char"/>
    <w:link w:val="8"/>
    <w:semiHidden/>
    <w:qFormat/>
    <w:uiPriority w:val="0"/>
    <w:rPr>
      <w:rFonts w:eastAsia="宋体"/>
      <w:sz w:val="28"/>
    </w:rPr>
  </w:style>
  <w:style w:type="character" w:customStyle="1" w:styleId="35">
    <w:name w:val="article_content1"/>
    <w:qFormat/>
    <w:uiPriority w:val="0"/>
    <w:rPr>
      <w:sz w:val="21"/>
      <w:szCs w:val="21"/>
    </w:rPr>
  </w:style>
  <w:style w:type="character" w:customStyle="1" w:styleId="36">
    <w:name w:val="正文文本缩进 3 Char"/>
    <w:basedOn w:val="26"/>
    <w:link w:val="19"/>
    <w:qFormat/>
    <w:uiPriority w:val="0"/>
    <w:rPr>
      <w:rFonts w:ascii="宋体" w:hAnsi="宋体" w:eastAsia="宋体" w:cs="Times New Roman"/>
      <w:kern w:val="0"/>
      <w:sz w:val="16"/>
      <w:szCs w:val="16"/>
    </w:rPr>
  </w:style>
  <w:style w:type="character" w:customStyle="1" w:styleId="37">
    <w:name w:val="日期 Char"/>
    <w:basedOn w:val="26"/>
    <w:link w:val="13"/>
    <w:qFormat/>
    <w:uiPriority w:val="0"/>
    <w:rPr>
      <w:rFonts w:ascii="Times New Roman" w:hAnsi="Times New Roman" w:eastAsia="宋体" w:cs="Times New Roman"/>
      <w:kern w:val="0"/>
      <w:sz w:val="28"/>
      <w:szCs w:val="20"/>
    </w:rPr>
  </w:style>
  <w:style w:type="character" w:customStyle="1" w:styleId="38">
    <w:name w:val="纯文本 Char"/>
    <w:basedOn w:val="26"/>
    <w:link w:val="12"/>
    <w:qFormat/>
    <w:uiPriority w:val="0"/>
    <w:rPr>
      <w:rFonts w:ascii="宋体" w:hAnsi="Courier New" w:eastAsia="宋体" w:cs="Times New Roman"/>
      <w:szCs w:val="20"/>
    </w:rPr>
  </w:style>
  <w:style w:type="character" w:customStyle="1" w:styleId="39">
    <w:name w:val="批注文字 Char1"/>
    <w:basedOn w:val="26"/>
    <w:semiHidden/>
    <w:qFormat/>
    <w:uiPriority w:val="99"/>
    <w:rPr>
      <w:rFonts w:ascii="宋体" w:hAnsi="宋体" w:eastAsia="宋体" w:cs="Times New Roman"/>
      <w:kern w:val="0"/>
      <w:sz w:val="28"/>
      <w:szCs w:val="28"/>
    </w:rPr>
  </w:style>
  <w:style w:type="paragraph" w:customStyle="1" w:styleId="40">
    <w:name w:val="Table Paragraph"/>
    <w:basedOn w:val="1"/>
    <w:qFormat/>
    <w:uiPriority w:val="0"/>
    <w:pPr>
      <w:adjustRightInd w:val="0"/>
      <w:spacing w:line="312" w:lineRule="atLeast"/>
      <w:textAlignment w:val="baseline"/>
    </w:pPr>
    <w:rPr>
      <w:rFonts w:ascii="Times New Roman" w:hAnsi="Times New Roman"/>
    </w:rPr>
  </w:style>
  <w:style w:type="paragraph" w:customStyle="1" w:styleId="41">
    <w:name w:val="Char"/>
    <w:basedOn w:val="1"/>
    <w:qFormat/>
    <w:uiPriority w:val="0"/>
    <w:rPr>
      <w:rFonts w:ascii="Times New Roman" w:hAnsi="Times New Roman"/>
      <w:kern w:val="2"/>
      <w:sz w:val="21"/>
      <w:szCs w:val="20"/>
    </w:rPr>
  </w:style>
  <w:style w:type="paragraph" w:customStyle="1" w:styleId="42">
    <w:name w:val="p0"/>
    <w:basedOn w:val="1"/>
    <w:qFormat/>
    <w:uiPriority w:val="0"/>
    <w:pPr>
      <w:widowControl/>
      <w:adjustRightInd w:val="0"/>
      <w:spacing w:line="312" w:lineRule="atLeast"/>
      <w:textAlignment w:val="baseline"/>
    </w:pPr>
    <w:rPr>
      <w:rFonts w:ascii="Times New Roman" w:hAnsi="Times New Roman" w:cs="宋体"/>
    </w:rPr>
  </w:style>
  <w:style w:type="character" w:customStyle="1" w:styleId="43">
    <w:name w:val="页眉 Char"/>
    <w:basedOn w:val="26"/>
    <w:link w:val="17"/>
    <w:qFormat/>
    <w:uiPriority w:val="0"/>
    <w:rPr>
      <w:rFonts w:ascii="宋体" w:hAnsi="宋体" w:eastAsia="宋体" w:cs="Times New Roman"/>
      <w:kern w:val="0"/>
      <w:sz w:val="18"/>
      <w:szCs w:val="18"/>
    </w:rPr>
  </w:style>
  <w:style w:type="character" w:customStyle="1" w:styleId="44">
    <w:name w:val="页脚 Char"/>
    <w:basedOn w:val="26"/>
    <w:link w:val="16"/>
    <w:qFormat/>
    <w:uiPriority w:val="99"/>
    <w:rPr>
      <w:rFonts w:ascii="宋体" w:hAnsi="宋体" w:eastAsia="宋体" w:cs="Times New Roman"/>
      <w:kern w:val="0"/>
      <w:sz w:val="18"/>
      <w:szCs w:val="18"/>
    </w:rPr>
  </w:style>
  <w:style w:type="character" w:customStyle="1" w:styleId="45">
    <w:name w:val="正文文本缩进 2 Char"/>
    <w:basedOn w:val="26"/>
    <w:link w:val="14"/>
    <w:qFormat/>
    <w:uiPriority w:val="0"/>
    <w:rPr>
      <w:rFonts w:ascii="Times New Roman" w:hAnsi="Times New Roman" w:eastAsia="宋体" w:cs="Times New Roman"/>
      <w:kern w:val="0"/>
      <w:sz w:val="28"/>
      <w:szCs w:val="28"/>
    </w:rPr>
  </w:style>
  <w:style w:type="character" w:customStyle="1" w:styleId="46">
    <w:name w:val="正文文本 Char"/>
    <w:basedOn w:val="26"/>
    <w:link w:val="9"/>
    <w:qFormat/>
    <w:uiPriority w:val="0"/>
    <w:rPr>
      <w:rFonts w:ascii="宋体" w:hAnsi="宋体" w:eastAsia="宋体" w:cs="Times New Roman"/>
      <w:kern w:val="0"/>
      <w:sz w:val="28"/>
      <w:szCs w:val="28"/>
    </w:rPr>
  </w:style>
  <w:style w:type="paragraph" w:customStyle="1" w:styleId="47">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character" w:customStyle="1" w:styleId="48">
    <w:name w:val="批注框文本 Char"/>
    <w:basedOn w:val="26"/>
    <w:link w:val="15"/>
    <w:semiHidden/>
    <w:qFormat/>
    <w:uiPriority w:val="99"/>
    <w:rPr>
      <w:rFonts w:ascii="宋体" w:hAnsi="宋体" w:eastAsia="宋体" w:cs="Times New Roman"/>
      <w:kern w:val="0"/>
      <w:sz w:val="18"/>
      <w:szCs w:val="18"/>
    </w:rPr>
  </w:style>
  <w:style w:type="paragraph" w:customStyle="1" w:styleId="49">
    <w:name w:val="reader-word-layer"/>
    <w:basedOn w:val="1"/>
    <w:qFormat/>
    <w:uiPriority w:val="0"/>
    <w:pPr>
      <w:widowControl/>
      <w:spacing w:before="100" w:beforeAutospacing="1" w:after="100" w:afterAutospacing="1"/>
      <w:jc w:val="left"/>
    </w:pPr>
    <w:rPr>
      <w:rFonts w:cs="宋体"/>
      <w:sz w:val="24"/>
      <w:szCs w:val="24"/>
    </w:rPr>
  </w:style>
  <w:style w:type="paragraph" w:customStyle="1" w:styleId="50">
    <w:name w:val="列出段落1"/>
    <w:basedOn w:val="1"/>
    <w:qFormat/>
    <w:uiPriority w:val="34"/>
    <w:pPr>
      <w:ind w:firstLine="420" w:firstLineChars="200"/>
    </w:pPr>
  </w:style>
  <w:style w:type="character" w:customStyle="1" w:styleId="51">
    <w:name w:val="批注主题 Char"/>
    <w:basedOn w:val="34"/>
    <w:link w:val="22"/>
    <w:semiHidden/>
    <w:qFormat/>
    <w:uiPriority w:val="99"/>
    <w:rPr>
      <w:rFonts w:ascii="宋体" w:hAnsi="宋体" w:eastAsia="宋体" w:cs="Times New Roman"/>
      <w:b/>
      <w:bCs/>
      <w:kern w:val="0"/>
      <w:sz w:val="28"/>
      <w:szCs w:val="28"/>
    </w:rPr>
  </w:style>
  <w:style w:type="paragraph" w:customStyle="1" w:styleId="52">
    <w:name w:val="样式1"/>
    <w:basedOn w:val="1"/>
    <w:qFormat/>
    <w:uiPriority w:val="0"/>
    <w:rPr>
      <w:sz w:val="21"/>
      <w:szCs w:val="21"/>
    </w:rPr>
  </w:style>
  <w:style w:type="paragraph" w:customStyle="1" w:styleId="53">
    <w:name w:val="样式 标题 4 + 段前: 5 磅 段后: 5 磅 行距: 单倍行距"/>
    <w:basedOn w:val="5"/>
    <w:qFormat/>
    <w:uiPriority w:val="0"/>
    <w:pPr>
      <w:numPr>
        <w:ilvl w:val="0"/>
        <w:numId w:val="0"/>
      </w:numPr>
      <w:tabs>
        <w:tab w:val="left" w:pos="2100"/>
      </w:tabs>
      <w:spacing w:before="100" w:after="100" w:line="240" w:lineRule="auto"/>
      <w:ind w:left="2100" w:hanging="420"/>
    </w:pPr>
    <w:rPr>
      <w:rFonts w:cs="宋体"/>
      <w:szCs w:val="20"/>
    </w:rPr>
  </w:style>
  <w:style w:type="paragraph" w:customStyle="1" w:styleId="54">
    <w:name w:val="样式 标题 2 + 宋体 五号 非加粗 黑色"/>
    <w:basedOn w:val="3"/>
    <w:qFormat/>
    <w:uiPriority w:val="0"/>
    <w:pPr>
      <w:numPr>
        <w:ilvl w:val="0"/>
        <w:numId w:val="2"/>
      </w:numPr>
    </w:pPr>
    <w:rPr>
      <w:rFonts w:ascii="宋体" w:hAnsi="宋体"/>
      <w:color w:val="000000"/>
      <w:sz w:val="21"/>
    </w:rPr>
  </w:style>
  <w:style w:type="paragraph" w:customStyle="1" w:styleId="55">
    <w:name w:val="样式 标题 3h3H3sect1.2.3 + 五号 段前: 6 磅 段后: 6 磅 行距: 单倍行距"/>
    <w:basedOn w:val="4"/>
    <w:qFormat/>
    <w:uiPriority w:val="0"/>
    <w:pPr>
      <w:tabs>
        <w:tab w:val="left" w:pos="1680"/>
      </w:tabs>
      <w:spacing w:before="120" w:after="120" w:line="240" w:lineRule="auto"/>
      <w:ind w:left="1680" w:hanging="420"/>
    </w:pPr>
    <w:rPr>
      <w:rFonts w:cs="宋体"/>
      <w:sz w:val="21"/>
    </w:rPr>
  </w:style>
  <w:style w:type="paragraph" w:customStyle="1" w:styleId="56">
    <w:name w:val="正文1"/>
    <w:qFormat/>
    <w:uiPriority w:val="0"/>
    <w:pPr>
      <w:widowControl w:val="0"/>
      <w:jc w:val="both"/>
    </w:pPr>
    <w:rPr>
      <w:rFonts w:ascii="Calibri" w:hAnsi="Calibri" w:eastAsia="宋体" w:cs="Times New Roman"/>
      <w:lang w:val="en-US" w:eastAsia="zh-CN" w:bidi="ar-SA"/>
    </w:rPr>
  </w:style>
  <w:style w:type="paragraph" w:styleId="57">
    <w:name w:val="List Paragraph"/>
    <w:basedOn w:val="1"/>
    <w:unhideWhenUsed/>
    <w:qFormat/>
    <w:uiPriority w:val="99"/>
    <w:pPr>
      <w:ind w:firstLine="420" w:firstLineChars="200"/>
    </w:pPr>
  </w:style>
  <w:style w:type="paragraph" w:styleId="58">
    <w:name w:val="No Spacing"/>
    <w:qFormat/>
    <w:uiPriority w:val="1"/>
    <w:pPr>
      <w:widowControl w:val="0"/>
      <w:jc w:val="both"/>
    </w:pPr>
    <w:rPr>
      <w:rFonts w:ascii="Calibri" w:hAnsi="Calibri" w:eastAsia="宋体" w:cs="Times New Roman"/>
      <w:kern w:val="2"/>
      <w:sz w:val="21"/>
      <w:lang w:val="en-US" w:eastAsia="zh-CN" w:bidi="ar-SA"/>
    </w:rPr>
  </w:style>
  <w:style w:type="table" w:customStyle="1" w:styleId="59">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6D7A3-D657-4BB3-A0C9-91A80AD6C0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24947</Words>
  <Characters>26258</Characters>
  <Lines>264</Lines>
  <Paragraphs>74</Paragraphs>
  <TotalTime>24</TotalTime>
  <ScaleCrop>false</ScaleCrop>
  <LinksUpToDate>false</LinksUpToDate>
  <CharactersWithSpaces>27624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2016-12-05T08:48:00Z</dcterms:created>
  <dc:creator>admin</dc:creator>
  <cp:lastModifiedBy>  佳欣</cp:lastModifiedBy>
  <cp:lastPrinted>2021-02-09T01:14:00Z</cp:lastPrinted>
  <dcterms:modified xsi:type="dcterms:W3CDTF">2023-04-14T06:50:47Z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3C0DD49568E64E52AEEF5DD90368E02D</vt:lpwstr>
  </property>
</Properties>
</file>