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67100">
      <w:pPr>
        <w:widowControl/>
        <w:spacing w:line="500" w:lineRule="exact"/>
        <w:jc w:val="center"/>
        <w:rPr>
          <w:rFonts w:ascii="宋体"/>
          <w:b w:val="0"/>
          <w:bCs w:val="0"/>
          <w:color w:val="000000" w:themeColor="text1"/>
          <w:kern w:val="0"/>
          <w:sz w:val="44"/>
          <w:szCs w:val="44"/>
          <w:highlight w:val="none"/>
          <w14:textFill>
            <w14:solidFill>
              <w14:schemeClr w14:val="tx1"/>
            </w14:solidFill>
          </w14:textFill>
        </w:rPr>
      </w:pPr>
      <w:r>
        <w:rPr>
          <w:rFonts w:hint="eastAsia" w:ascii="宋体" w:hAnsi="宋体" w:cs="宋体"/>
          <w:b w:val="0"/>
          <w:bCs w:val="0"/>
          <w:color w:val="000000" w:themeColor="text1"/>
          <w:kern w:val="0"/>
          <w:sz w:val="44"/>
          <w:szCs w:val="44"/>
          <w:highlight w:val="none"/>
          <w14:textFill>
            <w14:solidFill>
              <w14:schemeClr w14:val="tx1"/>
            </w14:solidFill>
          </w14:textFill>
        </w:rPr>
        <w:t>厦门三圈电池有限公司</w:t>
      </w:r>
    </w:p>
    <w:p w14:paraId="43E4332E">
      <w:pPr>
        <w:spacing w:line="500" w:lineRule="exact"/>
        <w:jc w:val="center"/>
        <w:rPr>
          <w:rFonts w:hint="eastAsia" w:ascii="宋体" w:hAnsi="宋体" w:cs="宋体"/>
          <w:b w:val="0"/>
          <w:bCs w:val="0"/>
          <w:color w:val="000000" w:themeColor="text1"/>
          <w:kern w:val="0"/>
          <w:sz w:val="44"/>
          <w:szCs w:val="44"/>
          <w:highlight w:val="none"/>
          <w:lang w:val="en-US" w:eastAsia="zh-CN"/>
          <w14:textFill>
            <w14:solidFill>
              <w14:schemeClr w14:val="tx1"/>
            </w14:solidFill>
          </w14:textFill>
        </w:rPr>
      </w:pPr>
      <w:r>
        <w:rPr>
          <w:rFonts w:hint="eastAsia" w:ascii="宋体" w:hAnsi="宋体" w:cs="宋体"/>
          <w:b w:val="0"/>
          <w:bCs w:val="0"/>
          <w:color w:val="000000" w:themeColor="text1"/>
          <w:kern w:val="0"/>
          <w:sz w:val="44"/>
          <w:szCs w:val="44"/>
          <w:highlight w:val="none"/>
          <w:lang w:val="en-US" w:eastAsia="zh-CN"/>
          <w14:textFill>
            <w14:solidFill>
              <w14:schemeClr w14:val="tx1"/>
            </w14:solidFill>
          </w14:textFill>
        </w:rPr>
        <w:t>2026年度</w:t>
      </w:r>
      <w:r>
        <w:rPr>
          <w:rFonts w:hint="eastAsia" w:ascii="宋体" w:hAnsi="宋体" w:cs="宋体"/>
          <w:b w:val="0"/>
          <w:bCs w:val="0"/>
          <w:color w:val="000000" w:themeColor="text1"/>
          <w:kern w:val="0"/>
          <w:sz w:val="44"/>
          <w:szCs w:val="44"/>
          <w:highlight w:val="none"/>
          <w14:textFill>
            <w14:solidFill>
              <w14:schemeClr w14:val="tx1"/>
            </w14:solidFill>
          </w14:textFill>
        </w:rPr>
        <w:t>招标代理</w:t>
      </w:r>
      <w:r>
        <w:rPr>
          <w:rFonts w:hint="eastAsia" w:ascii="宋体" w:hAnsi="宋体" w:cs="宋体"/>
          <w:b w:val="0"/>
          <w:bCs w:val="0"/>
          <w:color w:val="000000" w:themeColor="text1"/>
          <w:kern w:val="0"/>
          <w:sz w:val="44"/>
          <w:szCs w:val="44"/>
          <w:highlight w:val="none"/>
          <w:lang w:val="en-US" w:eastAsia="zh-CN"/>
          <w14:textFill>
            <w14:solidFill>
              <w14:schemeClr w14:val="tx1"/>
            </w14:solidFill>
          </w14:textFill>
        </w:rPr>
        <w:t>服务项目</w:t>
      </w:r>
    </w:p>
    <w:p w14:paraId="22EDD013">
      <w:pPr>
        <w:spacing w:line="500" w:lineRule="exact"/>
        <w:jc w:val="center"/>
        <w:rPr>
          <w:rFonts w:hint="default" w:ascii="宋体" w:hAnsi="宋体" w:eastAsia="宋体" w:cs="宋体"/>
          <w:b w:val="0"/>
          <w:bCs w:val="0"/>
          <w:color w:val="000000" w:themeColor="text1"/>
          <w:kern w:val="0"/>
          <w:sz w:val="44"/>
          <w:szCs w:val="44"/>
          <w:highlight w:val="none"/>
          <w:lang w:val="en-US" w:eastAsia="zh-CN"/>
          <w14:textFill>
            <w14:solidFill>
              <w14:schemeClr w14:val="tx1"/>
            </w14:solidFill>
          </w14:textFill>
        </w:rPr>
      </w:pPr>
      <w:r>
        <w:rPr>
          <w:rFonts w:hint="eastAsia" w:ascii="宋体" w:hAnsi="宋体" w:cs="宋体"/>
          <w:b w:val="0"/>
          <w:bCs w:val="0"/>
          <w:color w:val="000000" w:themeColor="text1"/>
          <w:kern w:val="0"/>
          <w:sz w:val="44"/>
          <w:szCs w:val="44"/>
          <w:highlight w:val="none"/>
          <w:lang w:val="en-US" w:eastAsia="zh-CN"/>
          <w14:textFill>
            <w14:solidFill>
              <w14:schemeClr w14:val="tx1"/>
            </w14:solidFill>
          </w14:textFill>
        </w:rPr>
        <w:t>公开招标公告</w:t>
      </w:r>
    </w:p>
    <w:p w14:paraId="1ADC65BD">
      <w:pPr>
        <w:spacing w:line="500" w:lineRule="exact"/>
        <w:ind w:firstLine="640" w:firstLineChars="200"/>
        <w:rPr>
          <w:rFonts w:ascii="宋体" w:hAnsi="宋体" w:cs="宋体"/>
          <w:color w:val="000000" w:themeColor="text1"/>
          <w:sz w:val="32"/>
          <w:szCs w:val="32"/>
          <w:highlight w:val="none"/>
          <w14:textFill>
            <w14:solidFill>
              <w14:schemeClr w14:val="tx1"/>
            </w14:solidFill>
          </w14:textFill>
        </w:rPr>
      </w:pPr>
    </w:p>
    <w:p w14:paraId="3337BC7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14:textFill>
            <w14:solidFill>
              <w14:schemeClr w14:val="tx1"/>
            </w14:solidFill>
          </w14:textFill>
        </w:rPr>
        <w:t>我司拟选择一家2026年度招标代理机构，现进行</w:t>
      </w:r>
      <w:r>
        <w:rPr>
          <w:rFonts w:hint="eastAsia" w:ascii="仿宋" w:hAnsi="仿宋" w:eastAsia="仿宋" w:cs="宋体"/>
          <w:color w:val="000000" w:themeColor="text1"/>
          <w:sz w:val="32"/>
          <w:szCs w:val="32"/>
          <w:highlight w:val="none"/>
          <w:lang w:val="en-US" w:eastAsia="zh-CN"/>
          <w14:textFill>
            <w14:solidFill>
              <w14:schemeClr w14:val="tx1"/>
            </w14:solidFill>
          </w14:textFill>
        </w:rPr>
        <w:t>公开</w:t>
      </w:r>
      <w:r>
        <w:rPr>
          <w:rFonts w:hint="eastAsia" w:ascii="仿宋" w:hAnsi="仿宋" w:eastAsia="仿宋" w:cs="宋体"/>
          <w:color w:val="000000" w:themeColor="text1"/>
          <w:sz w:val="32"/>
          <w:szCs w:val="32"/>
          <w:highlight w:val="none"/>
          <w14:textFill>
            <w14:solidFill>
              <w14:schemeClr w14:val="tx1"/>
            </w14:solidFill>
          </w14:textFill>
        </w:rPr>
        <w:t>招标，欢迎具备资质的单位报名投标。</w:t>
      </w:r>
    </w:p>
    <w:p w14:paraId="2B124875">
      <w:pPr>
        <w:spacing w:line="500" w:lineRule="exact"/>
        <w:ind w:firstLine="640" w:firstLineChars="200"/>
        <w:rPr>
          <w:rFonts w:ascii="黑体" w:hAnsi="黑体" w:eastAsia="黑体"/>
          <w:bCs/>
          <w:color w:val="000000" w:themeColor="text1"/>
          <w:sz w:val="32"/>
          <w:szCs w:val="32"/>
          <w:highlight w:val="none"/>
          <w14:textFill>
            <w14:solidFill>
              <w14:schemeClr w14:val="tx1"/>
            </w14:solidFill>
          </w14:textFill>
        </w:rPr>
      </w:pPr>
      <w:r>
        <w:rPr>
          <w:rFonts w:hint="eastAsia" w:ascii="黑体" w:hAnsi="黑体" w:eastAsia="黑体" w:cs="宋体"/>
          <w:bCs/>
          <w:color w:val="000000" w:themeColor="text1"/>
          <w:sz w:val="32"/>
          <w:szCs w:val="32"/>
          <w:highlight w:val="none"/>
          <w14:textFill>
            <w14:solidFill>
              <w14:schemeClr w14:val="tx1"/>
            </w14:solidFill>
          </w14:textFill>
        </w:rPr>
        <w:t>一</w:t>
      </w:r>
      <w:r>
        <w:rPr>
          <w:rFonts w:hint="eastAsia" w:ascii="黑体" w:hAnsi="黑体" w:eastAsia="黑体" w:cs="宋体"/>
          <w:bCs/>
          <w:color w:val="000000" w:themeColor="text1"/>
          <w:sz w:val="32"/>
          <w:szCs w:val="32"/>
          <w:highlight w:val="none"/>
          <w:lang w:eastAsia="zh-CN"/>
          <w14:textFill>
            <w14:solidFill>
              <w14:schemeClr w14:val="tx1"/>
            </w14:solidFill>
          </w14:textFill>
        </w:rPr>
        <w:t>、</w:t>
      </w:r>
      <w:r>
        <w:rPr>
          <w:rFonts w:hint="eastAsia" w:ascii="黑体" w:hAnsi="黑体" w:eastAsia="黑体" w:cs="宋体"/>
          <w:bCs/>
          <w:color w:val="000000" w:themeColor="text1"/>
          <w:sz w:val="32"/>
          <w:szCs w:val="32"/>
          <w:highlight w:val="none"/>
          <w14:textFill>
            <w14:solidFill>
              <w14:schemeClr w14:val="tx1"/>
            </w14:solidFill>
          </w14:textFill>
        </w:rPr>
        <w:t>投标资格</w:t>
      </w:r>
    </w:p>
    <w:p w14:paraId="410E865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s="宋体"/>
          <w:color w:val="000000" w:themeColor="text1"/>
          <w:sz w:val="32"/>
          <w:szCs w:val="32"/>
          <w:highlight w:val="none"/>
          <w14:textFill>
            <w14:solidFill>
              <w14:schemeClr w14:val="tx1"/>
            </w14:solidFill>
          </w14:textFill>
        </w:rPr>
        <w:t>1</w:t>
      </w:r>
      <w:r>
        <w:rPr>
          <w:rFonts w:hint="eastAsia" w:ascii="仿宋" w:hAnsi="仿宋" w:eastAsia="仿宋" w:cs="宋体"/>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参加报名的投标单位必须具备独立法人资格和相应的经营范围</w:t>
      </w:r>
      <w:r>
        <w:rPr>
          <w:rFonts w:hint="eastAsia" w:ascii="仿宋" w:hAnsi="仿宋" w:eastAsia="仿宋"/>
          <w:color w:val="000000" w:themeColor="text1"/>
          <w:sz w:val="32"/>
          <w:szCs w:val="32"/>
          <w:highlight w:val="none"/>
          <w14:textFill>
            <w14:solidFill>
              <w14:schemeClr w14:val="tx1"/>
            </w14:solidFill>
          </w14:textFill>
        </w:rPr>
        <w:t>。</w:t>
      </w:r>
    </w:p>
    <w:p w14:paraId="39C10253">
      <w:pPr>
        <w:spacing w:line="500" w:lineRule="exact"/>
        <w:ind w:firstLine="640" w:firstLineChars="200"/>
        <w:rPr>
          <w:rFonts w:ascii="仿宋" w:hAnsi="仿宋" w:eastAsia="仿宋" w:cs="宋体"/>
          <w:color w:val="000000" w:themeColor="text1"/>
          <w:sz w:val="32"/>
          <w:szCs w:val="32"/>
          <w:highlight w:val="none"/>
          <w14:textFill>
            <w14:solidFill>
              <w14:schemeClr w14:val="tx1"/>
            </w14:solidFill>
          </w14:textFill>
        </w:rPr>
      </w:pPr>
      <w:r>
        <w:rPr>
          <w:rFonts w:ascii="仿宋" w:hAnsi="仿宋" w:eastAsia="仿宋" w:cs="宋体"/>
          <w:color w:val="000000" w:themeColor="text1"/>
          <w:sz w:val="32"/>
          <w:szCs w:val="32"/>
          <w:highlight w:val="none"/>
          <w14:textFill>
            <w14:solidFill>
              <w14:schemeClr w14:val="tx1"/>
            </w14:solidFill>
          </w14:textFill>
        </w:rPr>
        <w:t>2</w:t>
      </w:r>
      <w:r>
        <w:rPr>
          <w:rFonts w:hint="eastAsia" w:ascii="仿宋" w:hAnsi="仿宋" w:eastAsia="仿宋" w:cs="宋体"/>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两个（含两个）以上单位的法定代表人为同一人的或存在控制或参股等关联关系的企业，只允许一个单位参加投标</w:t>
      </w:r>
      <w:r>
        <w:rPr>
          <w:rFonts w:hint="eastAsia" w:ascii="仿宋" w:hAnsi="仿宋" w:eastAsia="仿宋" w:cs="宋体"/>
          <w:color w:val="000000" w:themeColor="text1"/>
          <w:sz w:val="32"/>
          <w:szCs w:val="32"/>
          <w:highlight w:val="none"/>
          <w14:textFill>
            <w14:solidFill>
              <w14:schemeClr w14:val="tx1"/>
            </w14:solidFill>
          </w14:textFill>
        </w:rPr>
        <w:t>。</w:t>
      </w:r>
    </w:p>
    <w:p w14:paraId="37C0E3AF">
      <w:pPr>
        <w:spacing w:line="500" w:lineRule="exact"/>
        <w:ind w:firstLine="640" w:firstLineChars="200"/>
        <w:rPr>
          <w:rFonts w:hint="eastAsia" w:ascii="仿宋" w:hAnsi="仿宋" w:eastAsia="仿宋" w:cs="宋体"/>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lang w:val="en-US" w:eastAsia="zh-CN"/>
          <w14:textFill>
            <w14:solidFill>
              <w14:schemeClr w14:val="tx1"/>
            </w14:solidFill>
          </w14:textFill>
        </w:rPr>
        <w:t>3、</w:t>
      </w:r>
      <w:r>
        <w:rPr>
          <w:rFonts w:hint="eastAsia" w:ascii="仿宋" w:hAnsi="仿宋" w:eastAsia="仿宋" w:cs="宋体"/>
          <w:color w:val="000000" w:themeColor="text1"/>
          <w:sz w:val="32"/>
          <w:szCs w:val="32"/>
          <w:highlight w:val="none"/>
          <w14:textFill>
            <w14:solidFill>
              <w14:schemeClr w14:val="tx1"/>
            </w14:solidFill>
          </w14:textFill>
        </w:rPr>
        <w:t>场地要求：在厦门市行政区域内设有办公及开评标场所（办公区、开评标专区、咨询服务区、档案资料区等）的政府采购专业代理机构。办公场所简洁明快，功能齐全,并提供相关佐证材料</w:t>
      </w:r>
      <w:r>
        <w:rPr>
          <w:rFonts w:hint="eastAsia" w:ascii="仿宋" w:hAnsi="仿宋" w:eastAsia="仿宋" w:cs="宋体"/>
          <w:color w:val="000000" w:themeColor="text1"/>
          <w:sz w:val="32"/>
          <w:szCs w:val="32"/>
          <w:highlight w:val="none"/>
          <w:lang w:eastAsia="zh-CN"/>
          <w14:textFill>
            <w14:solidFill>
              <w14:schemeClr w14:val="tx1"/>
            </w14:solidFill>
          </w14:textFill>
        </w:rPr>
        <w:t>（</w:t>
      </w:r>
      <w:r>
        <w:rPr>
          <w:rFonts w:hint="eastAsia" w:ascii="仿宋" w:hAnsi="仿宋" w:eastAsia="仿宋" w:cs="宋体"/>
          <w:color w:val="000000" w:themeColor="text1"/>
          <w:sz w:val="32"/>
          <w:szCs w:val="32"/>
          <w:highlight w:val="none"/>
          <w:lang w:val="en-US" w:eastAsia="zh-CN"/>
          <w14:textFill>
            <w14:solidFill>
              <w14:schemeClr w14:val="tx1"/>
            </w14:solidFill>
          </w14:textFill>
        </w:rPr>
        <w:t>需提供相应证明文件</w:t>
      </w:r>
      <w:r>
        <w:rPr>
          <w:rFonts w:hint="eastAsia" w:ascii="仿宋" w:hAnsi="仿宋" w:eastAsia="仿宋" w:cs="宋体"/>
          <w:color w:val="000000" w:themeColor="text1"/>
          <w:sz w:val="32"/>
          <w:szCs w:val="32"/>
          <w:highlight w:val="none"/>
          <w:lang w:eastAsia="zh-CN"/>
          <w14:textFill>
            <w14:solidFill>
              <w14:schemeClr w14:val="tx1"/>
            </w14:solidFill>
          </w14:textFill>
        </w:rPr>
        <w:t>）</w:t>
      </w:r>
      <w:r>
        <w:rPr>
          <w:rFonts w:hint="eastAsia" w:ascii="仿宋" w:hAnsi="仿宋" w:eastAsia="仿宋" w:cs="宋体"/>
          <w:color w:val="000000" w:themeColor="text1"/>
          <w:sz w:val="32"/>
          <w:szCs w:val="32"/>
          <w:highlight w:val="none"/>
          <w14:textFill>
            <w14:solidFill>
              <w14:schemeClr w14:val="tx1"/>
            </w14:solidFill>
          </w14:textFill>
        </w:rPr>
        <w:t>。</w:t>
      </w:r>
    </w:p>
    <w:p w14:paraId="250E7CE4">
      <w:pPr>
        <w:spacing w:line="500" w:lineRule="exact"/>
        <w:ind w:firstLine="640" w:firstLineChars="200"/>
        <w:rPr>
          <w:rFonts w:hint="eastAsia" w:ascii="仿宋" w:hAnsi="仿宋" w:eastAsia="仿宋" w:cs="宋体"/>
          <w:color w:val="000000" w:themeColor="text1"/>
          <w:sz w:val="32"/>
          <w:szCs w:val="32"/>
          <w:highlight w:val="none"/>
          <w:lang w:val="en-US" w:eastAsia="zh-CN"/>
          <w14:textFill>
            <w14:solidFill>
              <w14:schemeClr w14:val="tx1"/>
            </w14:solidFill>
          </w14:textFill>
        </w:rPr>
      </w:pPr>
      <w:r>
        <w:rPr>
          <w:rFonts w:hint="eastAsia" w:ascii="仿宋" w:hAnsi="仿宋" w:eastAsia="仿宋" w:cs="宋体"/>
          <w:color w:val="000000" w:themeColor="text1"/>
          <w:sz w:val="32"/>
          <w:szCs w:val="32"/>
          <w:highlight w:val="none"/>
          <w:lang w:val="en-US" w:eastAsia="zh-CN"/>
          <w14:textFill>
            <w14:solidFill>
              <w14:schemeClr w14:val="tx1"/>
            </w14:solidFill>
          </w14:textFill>
        </w:rPr>
        <w:t>4、在福建省政府采购网、福建省政府采购网厦门分网、中国政府采购网、福建省工程领域招投标在线监管平台、厦门市公共资源交易平台上有备案证明</w:t>
      </w:r>
      <w:r>
        <w:rPr>
          <w:rFonts w:hint="eastAsia" w:ascii="仿宋" w:hAnsi="仿宋" w:eastAsia="仿宋" w:cs="宋体"/>
          <w:color w:val="000000" w:themeColor="text1"/>
          <w:sz w:val="32"/>
          <w:szCs w:val="32"/>
          <w:highlight w:val="none"/>
          <w:lang w:eastAsia="zh-CN"/>
          <w14:textFill>
            <w14:solidFill>
              <w14:schemeClr w14:val="tx1"/>
            </w14:solidFill>
          </w14:textFill>
        </w:rPr>
        <w:t>（</w:t>
      </w:r>
      <w:r>
        <w:rPr>
          <w:rFonts w:hint="eastAsia" w:ascii="仿宋" w:hAnsi="仿宋" w:eastAsia="仿宋" w:cs="宋体"/>
          <w:color w:val="000000" w:themeColor="text1"/>
          <w:sz w:val="32"/>
          <w:szCs w:val="32"/>
          <w:highlight w:val="none"/>
          <w:lang w:val="en-US" w:eastAsia="zh-CN"/>
          <w14:textFill>
            <w14:solidFill>
              <w14:schemeClr w14:val="tx1"/>
            </w14:solidFill>
          </w14:textFill>
        </w:rPr>
        <w:t>需提供相应证明文件</w:t>
      </w:r>
      <w:r>
        <w:rPr>
          <w:rFonts w:hint="eastAsia" w:ascii="仿宋" w:hAnsi="仿宋" w:eastAsia="仿宋" w:cs="宋体"/>
          <w:color w:val="000000" w:themeColor="text1"/>
          <w:sz w:val="32"/>
          <w:szCs w:val="32"/>
          <w:highlight w:val="none"/>
          <w:lang w:eastAsia="zh-CN"/>
          <w14:textFill>
            <w14:solidFill>
              <w14:schemeClr w14:val="tx1"/>
            </w14:solidFill>
          </w14:textFill>
        </w:rPr>
        <w:t>）</w:t>
      </w:r>
      <w:r>
        <w:rPr>
          <w:rFonts w:hint="eastAsia" w:ascii="仿宋" w:hAnsi="仿宋" w:eastAsia="仿宋" w:cs="宋体"/>
          <w:color w:val="000000" w:themeColor="text1"/>
          <w:sz w:val="32"/>
          <w:szCs w:val="32"/>
          <w:highlight w:val="none"/>
          <w:lang w:val="en-US" w:eastAsia="zh-CN"/>
          <w14:textFill>
            <w14:solidFill>
              <w14:schemeClr w14:val="tx1"/>
            </w14:solidFill>
          </w14:textFill>
        </w:rPr>
        <w:t>。</w:t>
      </w:r>
    </w:p>
    <w:p w14:paraId="4D0F7713">
      <w:pPr>
        <w:spacing w:line="50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宋体"/>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投标人在https://www.creditchina.gov.cn/（信用中国网）未被列入重大税收违法案件当事人名单，查询时间为邀请招标之日至响应文件递交的截止时间</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1C1E8978">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投标人在http://zxgk.court.gov.cn/shixin/（中国执行信息公开网）未被列入失信被执行人，查询时间为邀请招标之日至响应文件递交的截止时间。</w:t>
      </w:r>
    </w:p>
    <w:p w14:paraId="2D1A2D7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7、</w:t>
      </w:r>
      <w:r>
        <w:rPr>
          <w:rFonts w:hint="eastAsia" w:ascii="仿宋" w:hAnsi="仿宋" w:eastAsia="仿宋" w:cs="宋体"/>
          <w:color w:val="000000" w:themeColor="text1"/>
          <w:sz w:val="32"/>
          <w:szCs w:val="32"/>
          <w:highlight w:val="none"/>
          <w14:textFill>
            <w14:solidFill>
              <w14:schemeClr w14:val="tx1"/>
            </w14:solidFill>
          </w14:textFill>
        </w:rPr>
        <w:t>其他资质证明文件。</w:t>
      </w:r>
    </w:p>
    <w:p w14:paraId="07F622EB">
      <w:pPr>
        <w:spacing w:line="500" w:lineRule="exact"/>
        <w:ind w:firstLine="640" w:firstLineChars="200"/>
        <w:rPr>
          <w:rFonts w:ascii="黑体" w:hAnsi="黑体" w:eastAsia="黑体" w:cs="宋体"/>
          <w:bCs/>
          <w:color w:val="000000" w:themeColor="text1"/>
          <w:sz w:val="32"/>
          <w:szCs w:val="32"/>
          <w:highlight w:val="none"/>
          <w14:textFill>
            <w14:solidFill>
              <w14:schemeClr w14:val="tx1"/>
            </w14:solidFill>
          </w14:textFill>
        </w:rPr>
      </w:pPr>
      <w:r>
        <w:rPr>
          <w:rFonts w:hint="eastAsia" w:ascii="黑体" w:hAnsi="黑体" w:eastAsia="黑体" w:cs="宋体"/>
          <w:bCs/>
          <w:color w:val="000000" w:themeColor="text1"/>
          <w:sz w:val="32"/>
          <w:szCs w:val="32"/>
          <w:highlight w:val="none"/>
          <w:lang w:val="en-US" w:eastAsia="zh-CN"/>
          <w14:textFill>
            <w14:solidFill>
              <w14:schemeClr w14:val="tx1"/>
            </w14:solidFill>
          </w14:textFill>
        </w:rPr>
        <w:t>二、</w:t>
      </w:r>
      <w:r>
        <w:rPr>
          <w:rFonts w:hint="eastAsia" w:ascii="黑体" w:hAnsi="黑体" w:eastAsia="黑体" w:cs="宋体"/>
          <w:bCs/>
          <w:color w:val="000000" w:themeColor="text1"/>
          <w:sz w:val="32"/>
          <w:szCs w:val="32"/>
          <w:highlight w:val="none"/>
          <w14:textFill>
            <w14:solidFill>
              <w14:schemeClr w14:val="tx1"/>
            </w14:solidFill>
          </w14:textFill>
        </w:rPr>
        <w:t>投标控制价及保证金</w:t>
      </w:r>
    </w:p>
    <w:p w14:paraId="760662D7">
      <w:pPr>
        <w:spacing w:line="500" w:lineRule="exact"/>
        <w:ind w:firstLine="640" w:firstLineChars="200"/>
        <w:rPr>
          <w:rFonts w:hint="eastAsia" w:ascii="仿宋" w:hAnsi="仿宋" w:eastAsia="仿宋" w:cs="宋体"/>
          <w:color w:val="000000" w:themeColor="text1"/>
          <w:sz w:val="32"/>
          <w:szCs w:val="32"/>
          <w:highlight w:val="none"/>
          <w14:textFill>
            <w14:solidFill>
              <w14:schemeClr w14:val="tx1"/>
            </w14:solidFill>
          </w14:textFill>
        </w:rPr>
      </w:pPr>
      <w:r>
        <w:rPr>
          <w:rFonts w:ascii="仿宋" w:hAnsi="仿宋" w:eastAsia="仿宋" w:cs="宋体"/>
          <w:color w:val="000000" w:themeColor="text1"/>
          <w:sz w:val="32"/>
          <w:szCs w:val="32"/>
          <w:highlight w:val="none"/>
          <w14:textFill>
            <w14:solidFill>
              <w14:schemeClr w14:val="tx1"/>
            </w14:solidFill>
          </w14:textFill>
        </w:rPr>
        <w:t>1</w:t>
      </w:r>
      <w:r>
        <w:rPr>
          <w:rFonts w:hint="eastAsia" w:ascii="仿宋" w:hAnsi="仿宋" w:eastAsia="仿宋" w:cs="宋体"/>
          <w:color w:val="000000" w:themeColor="text1"/>
          <w:sz w:val="32"/>
          <w:szCs w:val="32"/>
          <w:highlight w:val="none"/>
          <w:lang w:eastAsia="zh-CN"/>
          <w14:textFill>
            <w14:solidFill>
              <w14:schemeClr w14:val="tx1"/>
            </w14:solidFill>
          </w14:textFill>
        </w:rPr>
        <w:t>、</w:t>
      </w:r>
      <w:r>
        <w:rPr>
          <w:rFonts w:ascii="仿宋" w:hAnsi="仿宋" w:eastAsia="仿宋" w:cs="宋体"/>
          <w:color w:val="000000" w:themeColor="text1"/>
          <w:sz w:val="32"/>
          <w:szCs w:val="32"/>
          <w:highlight w:val="none"/>
          <w14:textFill>
            <w14:solidFill>
              <w14:schemeClr w14:val="tx1"/>
            </w14:solidFill>
          </w14:textFill>
        </w:rPr>
        <w:t>投标控制价：该</w:t>
      </w:r>
      <w:r>
        <w:rPr>
          <w:rFonts w:hint="eastAsia" w:ascii="仿宋" w:hAnsi="仿宋" w:eastAsia="仿宋" w:cs="宋体"/>
          <w:color w:val="000000" w:themeColor="text1"/>
          <w:sz w:val="32"/>
          <w:szCs w:val="32"/>
          <w:highlight w:val="none"/>
          <w14:textFill>
            <w14:solidFill>
              <w14:schemeClr w14:val="tx1"/>
            </w14:solidFill>
          </w14:textFill>
        </w:rPr>
        <w:t>项目报价</w:t>
      </w:r>
      <w:r>
        <w:rPr>
          <w:rFonts w:hint="eastAsia" w:ascii="仿宋" w:hAnsi="仿宋" w:eastAsia="仿宋" w:cs="宋体"/>
          <w:color w:val="000000" w:themeColor="text1"/>
          <w:sz w:val="32"/>
          <w:szCs w:val="32"/>
          <w:highlight w:val="none"/>
          <w14:textFill>
            <w14:solidFill>
              <w14:schemeClr w14:val="tx1"/>
            </w14:solidFill>
          </w14:textFill>
        </w:rPr>
        <w:t>以《厦门市建设工程造价管理协会关于发布厦门市建设工程造价咨询和招标代理服务行业收费参考标准的通知》（厦建价协(2020)05号）规定的收费标准</w:t>
      </w:r>
      <w:r>
        <w:rPr>
          <w:rFonts w:hint="eastAsia" w:ascii="仿宋" w:hAnsi="仿宋" w:eastAsia="仿宋" w:cs="宋体"/>
          <w:color w:val="000000" w:themeColor="text1"/>
          <w:sz w:val="32"/>
          <w:szCs w:val="32"/>
          <w:highlight w:val="none"/>
          <w:lang w:eastAsia="zh-CN"/>
          <w14:textFill>
            <w14:solidFill>
              <w14:schemeClr w14:val="tx1"/>
            </w14:solidFill>
          </w14:textFill>
        </w:rPr>
        <w:t>（</w:t>
      </w:r>
      <w:r>
        <w:rPr>
          <w:rFonts w:hint="eastAsia" w:ascii="仿宋" w:hAnsi="仿宋" w:eastAsia="仿宋" w:cs="宋体"/>
          <w:color w:val="000000" w:themeColor="text1"/>
          <w:sz w:val="32"/>
          <w:szCs w:val="32"/>
          <w:highlight w:val="none"/>
          <w:lang w:val="en-US" w:eastAsia="zh-CN"/>
          <w14:textFill>
            <w14:solidFill>
              <w14:schemeClr w14:val="tx1"/>
            </w14:solidFill>
          </w14:textFill>
        </w:rPr>
        <w:t>详见下表</w:t>
      </w:r>
      <w:r>
        <w:rPr>
          <w:rFonts w:hint="eastAsia" w:ascii="仿宋" w:hAnsi="仿宋" w:eastAsia="仿宋" w:cs="宋体"/>
          <w:color w:val="000000" w:themeColor="text1"/>
          <w:sz w:val="32"/>
          <w:szCs w:val="32"/>
          <w:highlight w:val="none"/>
          <w:lang w:eastAsia="zh-CN"/>
          <w14:textFill>
            <w14:solidFill>
              <w14:schemeClr w14:val="tx1"/>
            </w14:solidFill>
          </w14:textFill>
        </w:rPr>
        <w:t>）</w:t>
      </w:r>
      <w:r>
        <w:rPr>
          <w:rFonts w:hint="eastAsia" w:ascii="仿宋" w:hAnsi="仿宋" w:eastAsia="仿宋" w:cs="宋体"/>
          <w:color w:val="000000" w:themeColor="text1"/>
          <w:sz w:val="32"/>
          <w:szCs w:val="32"/>
          <w:highlight w:val="none"/>
          <w14:textFill>
            <w14:solidFill>
              <w14:schemeClr w14:val="tx1"/>
            </w14:solidFill>
          </w14:textFill>
        </w:rPr>
        <w:t>为最高限价，</w:t>
      </w:r>
      <w:r>
        <w:rPr>
          <w:rFonts w:hint="eastAsia" w:ascii="仿宋" w:hAnsi="仿宋" w:eastAsia="仿宋" w:cs="宋体"/>
          <w:color w:val="000000" w:themeColor="text1"/>
          <w:sz w:val="32"/>
          <w:szCs w:val="32"/>
          <w:highlight w:val="none"/>
          <w:lang w:val="en-US" w:eastAsia="zh-CN"/>
          <w14:textFill>
            <w14:solidFill>
              <w14:schemeClr w14:val="tx1"/>
            </w14:solidFill>
          </w14:textFill>
        </w:rPr>
        <w:t>控制价为含税价，</w:t>
      </w:r>
      <w:r>
        <w:rPr>
          <w:rFonts w:hint="eastAsia" w:ascii="仿宋" w:hAnsi="仿宋" w:eastAsia="仿宋" w:cs="宋体"/>
          <w:color w:val="000000" w:themeColor="text1"/>
          <w:sz w:val="32"/>
          <w:szCs w:val="32"/>
          <w:highlight w:val="none"/>
          <w14:textFill>
            <w14:solidFill>
              <w14:schemeClr w14:val="tx1"/>
            </w14:solidFill>
          </w14:textFill>
        </w:rPr>
        <w:t>投标人高于该控制价的报价视为无效报价。</w:t>
      </w:r>
    </w:p>
    <w:p w14:paraId="519306C7">
      <w:pPr>
        <w:widowControl/>
        <w:shd w:val="clear" w:color="auto" w:fill="FFFFFF"/>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招标代理服务收费标准</w:t>
      </w:r>
      <w:r>
        <w:rPr>
          <w:rFonts w:ascii="宋体" w:hAnsi="宋体"/>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费率</w:t>
      </w:r>
      <w:r>
        <w:rPr>
          <w:rFonts w:ascii="宋体" w:hAnsi="宋体"/>
          <w:b/>
          <w:bCs/>
          <w:color w:val="000000" w:themeColor="text1"/>
          <w:sz w:val="24"/>
          <w:highlight w:val="none"/>
          <w14:textFill>
            <w14:solidFill>
              <w14:schemeClr w14:val="tx1"/>
            </w14:solidFill>
          </w14:textFill>
        </w:rPr>
        <w:t>)</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49"/>
        <w:gridCol w:w="1717"/>
        <w:gridCol w:w="1720"/>
        <w:gridCol w:w="1747"/>
      </w:tblGrid>
      <w:tr w14:paraId="3CD2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jc w:val="center"/>
        </w:trPr>
        <w:tc>
          <w:tcPr>
            <w:tcW w:w="1890" w:type="pct"/>
            <w:tcBorders>
              <w:top w:val="single" w:color="auto" w:sz="12" w:space="0"/>
              <w:left w:val="single" w:color="auto" w:sz="12" w:space="0"/>
              <w:tl2br w:val="single" w:color="auto" w:sz="4" w:space="0"/>
            </w:tcBorders>
            <w:vAlign w:val="center"/>
            <mc:AlternateContent>
              <mc:Choice Requires="wpsCustomData">
                <wpsCustomData:diagonals>
                  <wpsCustomData:diagonal from="30000" to="15000">
                    <wpsCustomData:border w:val="single" w:color="auto" w:sz="12" w:space="0"/>
                  </wpsCustomData:diagonal>
                  <wpsCustomData:diagonal from="30000" to="10000">
                    <wpsCustomData:border w:val="single" w:color="auto" w:sz="12" w:space="0"/>
                  </wpsCustomData:diagonal>
                </wpsCustomData:diagonals>
              </mc:Choice>
            </mc:AlternateContent>
          </w:tcPr>
          <w:p w14:paraId="4CFB62D3">
            <w:pPr>
              <w:widowControl/>
              <w:jc w:val="center"/>
              <w:rPr>
                <w:rFonts w:ascii="宋体" w:hAnsi="宋体" w:cs="宋体"/>
                <w:b/>
                <w:bCs/>
                <w:color w:val="000000" w:themeColor="text1"/>
                <w:sz w:val="22"/>
                <w:highlight w:val="none"/>
                <w14:textFill>
                  <w14:solidFill>
                    <w14:schemeClr w14:val="tx1"/>
                  </w14:solidFill>
                </w14:textFill>
              </w:rPr>
            </w:pPr>
          </w:p>
          <w:p w14:paraId="414A9813">
            <w:pPr>
              <w:widowControl/>
              <w:jc w:val="center"/>
              <w:rPr>
                <w:rFonts w:ascii="宋体" w:hAnsi="宋体" w:cs="宋体"/>
                <w:b/>
                <w:bCs/>
                <w:color w:val="000000" w:themeColor="text1"/>
                <w:sz w:val="22"/>
                <w:highlight w:val="none"/>
                <w14:textFill>
                  <w14:solidFill>
                    <w14:schemeClr w14:val="tx1"/>
                  </w14:solidFill>
                </w14:textFill>
              </w:rPr>
            </w:pPr>
          </w:p>
          <w:p w14:paraId="68194A87">
            <w:pPr>
              <w:widowControl/>
              <w:ind w:firstLine="325" w:firstLineChars="147"/>
              <w:rPr>
                <w:rFonts w:hint="eastAsia" w:ascii="宋体" w:hAnsi="宋体" w:cs="宋体"/>
                <w:b/>
                <w:bCs/>
                <w:color w:val="000000" w:themeColor="text1"/>
                <w:sz w:val="22"/>
                <w:highlight w:val="none"/>
                <w14:textFill>
                  <w14:solidFill>
                    <w14:schemeClr w14:val="tx1"/>
                  </w14:solidFill>
                </w14:textFill>
              </w:rPr>
            </w:pPr>
          </w:p>
          <w:p w14:paraId="396418DC">
            <w:pPr>
              <w:widowControl/>
              <w:ind w:firstLine="325" w:firstLineChars="147"/>
              <w:rPr>
                <w:rFonts w:ascii="宋体" w:hAnsi="宋体" w:cs="宋体"/>
                <w:b/>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中标金额</w:t>
            </w:r>
          </w:p>
          <w:p w14:paraId="464911A2">
            <w:pPr>
              <w:widowControl/>
              <w:snapToGrid w:val="0"/>
              <w:spacing w:line="240" w:lineRule="auto"/>
              <w:ind w:firstLine="325" w:firstLineChars="147"/>
              <mc:AlternateContent>
                <mc:Choice Requires="wpsCustomData">
                  <wpsCustomData:diagonalParaType/>
                </mc:Choice>
              </mc:AlternateContent>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（万元）</w:t>
            </w:r>
          </w:p>
          <w:p w14:paraId="705CC92A">
            <w:pPr>
              <w:widowControl/>
              <w:jc w:val="center"/>
              <w:rPr>
                <w:rFonts w:hint="eastAsia" w:ascii="宋体" w:hAnsi="宋体" w:cs="宋体"/>
                <w:b/>
                <w:bCs/>
                <w:color w:val="000000" w:themeColor="text1"/>
                <w:sz w:val="22"/>
                <w:highlight w:val="none"/>
                <w14:textFill>
                  <w14:solidFill>
                    <w14:schemeClr w14:val="tx1"/>
                  </w14:solidFill>
                </w14:textFill>
              </w:rPr>
            </w:pPr>
          </w:p>
          <w:p w14:paraId="15D1D748">
            <w:pPr>
              <w:widowControl/>
              <w:jc w:val="center"/>
              <mc:AlternateContent>
                <mc:Choice Requires="wpsCustomData">
                  <wpsCustomData:diagonalParaType/>
                </mc:Choice>
              </mc:AlternateContent>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费率</w:t>
            </w:r>
          </w:p>
          <w:p w14:paraId="743AB031">
            <w:pPr>
              <w:widowControl/>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服务类型</w:t>
            </w:r>
          </w:p>
        </w:tc>
        <w:tc>
          <w:tcPr>
            <w:tcW w:w="1030" w:type="pct"/>
            <w:tcBorders>
              <w:top w:val="single" w:color="auto" w:sz="12" w:space="0"/>
            </w:tcBorders>
            <w:vAlign w:val="center"/>
          </w:tcPr>
          <w:p w14:paraId="4DD9D01A">
            <w:pPr>
              <w:widowControl/>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货物招标</w:t>
            </w:r>
          </w:p>
        </w:tc>
        <w:tc>
          <w:tcPr>
            <w:tcW w:w="1032" w:type="pct"/>
            <w:tcBorders>
              <w:top w:val="single" w:color="auto" w:sz="12" w:space="0"/>
            </w:tcBorders>
            <w:vAlign w:val="center"/>
          </w:tcPr>
          <w:p w14:paraId="3A1903F0">
            <w:pPr>
              <w:widowControl/>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服务招标</w:t>
            </w:r>
          </w:p>
        </w:tc>
        <w:tc>
          <w:tcPr>
            <w:tcW w:w="1047" w:type="pct"/>
            <w:tcBorders>
              <w:top w:val="single" w:color="auto" w:sz="12" w:space="0"/>
              <w:right w:val="single" w:color="auto" w:sz="12" w:space="0"/>
            </w:tcBorders>
            <w:vAlign w:val="center"/>
          </w:tcPr>
          <w:p w14:paraId="03CDB870">
            <w:pPr>
              <w:widowControl/>
              <w:jc w:val="center"/>
              <w:rPr>
                <w:rFonts w:ascii="宋体" w:hAnsi="宋体" w:cs="宋体"/>
                <w:b/>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工程招标</w:t>
            </w:r>
          </w:p>
        </w:tc>
      </w:tr>
      <w:tr w14:paraId="540E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3149" w:type="dxa"/>
            <w:tcBorders>
              <w:left w:val="single" w:color="auto" w:sz="12" w:space="0"/>
            </w:tcBorders>
            <w:vAlign w:val="center"/>
          </w:tcPr>
          <w:p w14:paraId="2CFF5309">
            <w:pPr>
              <w:widowControl/>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100以下(含100)</w:t>
            </w:r>
          </w:p>
        </w:tc>
        <w:tc>
          <w:tcPr>
            <w:tcW w:w="1030" w:type="pct"/>
            <w:vAlign w:val="center"/>
          </w:tcPr>
          <w:p w14:paraId="4583FC47">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1.50%</w:t>
            </w:r>
          </w:p>
        </w:tc>
        <w:tc>
          <w:tcPr>
            <w:tcW w:w="1032" w:type="pct"/>
            <w:vAlign w:val="center"/>
          </w:tcPr>
          <w:p w14:paraId="466E4018">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1.50%</w:t>
            </w:r>
          </w:p>
        </w:tc>
        <w:tc>
          <w:tcPr>
            <w:tcW w:w="1047" w:type="pct"/>
            <w:tcBorders>
              <w:right w:val="single" w:color="auto" w:sz="12" w:space="0"/>
            </w:tcBorders>
            <w:vAlign w:val="center"/>
          </w:tcPr>
          <w:p w14:paraId="74B2937E">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1.00%</w:t>
            </w:r>
          </w:p>
        </w:tc>
      </w:tr>
      <w:tr w14:paraId="47E4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3149" w:type="dxa"/>
            <w:tcBorders>
              <w:left w:val="single" w:color="auto" w:sz="12" w:space="0"/>
            </w:tcBorders>
            <w:vAlign w:val="center"/>
          </w:tcPr>
          <w:p w14:paraId="1B2E4CE5">
            <w:pPr>
              <w:widowControl/>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100</w:t>
            </w:r>
            <w:r>
              <w:rPr>
                <w:rFonts w:hint="eastAsia" w:ascii="宋体" w:hAnsi="宋体"/>
                <w:color w:val="000000" w:themeColor="text1"/>
                <w:sz w:val="22"/>
                <w:highlight w:val="none"/>
                <w:lang w:val="en-US" w:eastAsia="zh-CN"/>
                <w14:textFill>
                  <w14:solidFill>
                    <w14:schemeClr w14:val="tx1"/>
                  </w14:solidFill>
                </w14:textFill>
              </w:rPr>
              <w:t>-</w:t>
            </w:r>
            <w:r>
              <w:rPr>
                <w:rFonts w:hint="eastAsia" w:ascii="宋体" w:hAnsi="宋体"/>
                <w:color w:val="000000" w:themeColor="text1"/>
                <w:sz w:val="22"/>
                <w:highlight w:val="none"/>
                <w14:textFill>
                  <w14:solidFill>
                    <w14:schemeClr w14:val="tx1"/>
                  </w14:solidFill>
                </w14:textFill>
              </w:rPr>
              <w:t>500(含500)</w:t>
            </w:r>
          </w:p>
        </w:tc>
        <w:tc>
          <w:tcPr>
            <w:tcW w:w="1030" w:type="pct"/>
            <w:vAlign w:val="center"/>
          </w:tcPr>
          <w:p w14:paraId="79D611B6">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1.10%</w:t>
            </w:r>
          </w:p>
        </w:tc>
        <w:tc>
          <w:tcPr>
            <w:tcW w:w="1032" w:type="pct"/>
            <w:vAlign w:val="center"/>
          </w:tcPr>
          <w:p w14:paraId="5B61B8D9">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0.80%</w:t>
            </w:r>
          </w:p>
        </w:tc>
        <w:tc>
          <w:tcPr>
            <w:tcW w:w="1047" w:type="pct"/>
            <w:tcBorders>
              <w:right w:val="single" w:color="auto" w:sz="12" w:space="0"/>
            </w:tcBorders>
            <w:vAlign w:val="center"/>
          </w:tcPr>
          <w:p w14:paraId="3CC81B21">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0.70%</w:t>
            </w:r>
          </w:p>
        </w:tc>
      </w:tr>
      <w:tr w14:paraId="6E24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9" w:type="dxa"/>
            <w:tcBorders>
              <w:left w:val="single" w:color="auto" w:sz="12" w:space="0"/>
            </w:tcBorders>
            <w:vAlign w:val="center"/>
          </w:tcPr>
          <w:p w14:paraId="474ECDF3">
            <w:pPr>
              <w:widowControl/>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500</w:t>
            </w:r>
            <w:r>
              <w:rPr>
                <w:rFonts w:hint="eastAsia" w:ascii="宋体" w:hAnsi="宋体"/>
                <w:color w:val="000000" w:themeColor="text1"/>
                <w:sz w:val="22"/>
                <w:highlight w:val="none"/>
                <w:lang w:val="en-US" w:eastAsia="zh-CN"/>
                <w14:textFill>
                  <w14:solidFill>
                    <w14:schemeClr w14:val="tx1"/>
                  </w14:solidFill>
                </w14:textFill>
              </w:rPr>
              <w:t>-</w:t>
            </w:r>
            <w:r>
              <w:rPr>
                <w:rFonts w:hint="eastAsia" w:ascii="宋体" w:hAnsi="宋体"/>
                <w:color w:val="000000" w:themeColor="text1"/>
                <w:sz w:val="22"/>
                <w:highlight w:val="none"/>
                <w14:textFill>
                  <w14:solidFill>
                    <w14:schemeClr w14:val="tx1"/>
                  </w14:solidFill>
                </w14:textFill>
              </w:rPr>
              <w:t>1000(含1000)</w:t>
            </w:r>
          </w:p>
        </w:tc>
        <w:tc>
          <w:tcPr>
            <w:tcW w:w="1030" w:type="pct"/>
            <w:vAlign w:val="center"/>
          </w:tcPr>
          <w:p w14:paraId="388A7971">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0.80%</w:t>
            </w:r>
          </w:p>
        </w:tc>
        <w:tc>
          <w:tcPr>
            <w:tcW w:w="1032" w:type="pct"/>
            <w:vAlign w:val="center"/>
          </w:tcPr>
          <w:p w14:paraId="07EB78D6">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0.45%</w:t>
            </w:r>
          </w:p>
        </w:tc>
        <w:tc>
          <w:tcPr>
            <w:tcW w:w="1047" w:type="pct"/>
            <w:tcBorders>
              <w:right w:val="single" w:color="auto" w:sz="12" w:space="0"/>
            </w:tcBorders>
            <w:vAlign w:val="center"/>
          </w:tcPr>
          <w:p w14:paraId="445ACE0B">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0.44%</w:t>
            </w:r>
          </w:p>
        </w:tc>
      </w:tr>
      <w:tr w14:paraId="131D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3149" w:type="dxa"/>
            <w:tcBorders>
              <w:left w:val="single" w:color="auto" w:sz="12" w:space="0"/>
            </w:tcBorders>
            <w:vAlign w:val="center"/>
          </w:tcPr>
          <w:p w14:paraId="6655CEFD">
            <w:pPr>
              <w:widowControl/>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1000</w:t>
            </w:r>
            <w:r>
              <w:rPr>
                <w:rFonts w:hint="eastAsia" w:ascii="宋体" w:hAnsi="宋体"/>
                <w:color w:val="000000" w:themeColor="text1"/>
                <w:sz w:val="22"/>
                <w:highlight w:val="none"/>
                <w:lang w:val="en-US" w:eastAsia="zh-CN"/>
                <w14:textFill>
                  <w14:solidFill>
                    <w14:schemeClr w14:val="tx1"/>
                  </w14:solidFill>
                </w14:textFill>
              </w:rPr>
              <w:t>-</w:t>
            </w:r>
            <w:r>
              <w:rPr>
                <w:rFonts w:hint="eastAsia" w:ascii="宋体" w:hAnsi="宋体"/>
                <w:color w:val="000000" w:themeColor="text1"/>
                <w:sz w:val="22"/>
                <w:highlight w:val="none"/>
                <w14:textFill>
                  <w14:solidFill>
                    <w14:schemeClr w14:val="tx1"/>
                  </w14:solidFill>
                </w14:textFill>
              </w:rPr>
              <w:t>5000(含5000)</w:t>
            </w:r>
          </w:p>
        </w:tc>
        <w:tc>
          <w:tcPr>
            <w:tcW w:w="1030" w:type="pct"/>
            <w:vAlign w:val="center"/>
          </w:tcPr>
          <w:p w14:paraId="16389DD8">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0.50%</w:t>
            </w:r>
          </w:p>
        </w:tc>
        <w:tc>
          <w:tcPr>
            <w:tcW w:w="1032" w:type="pct"/>
            <w:vAlign w:val="center"/>
          </w:tcPr>
          <w:p w14:paraId="114EA68C">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0.25%</w:t>
            </w:r>
          </w:p>
        </w:tc>
        <w:tc>
          <w:tcPr>
            <w:tcW w:w="1047" w:type="pct"/>
            <w:tcBorders>
              <w:right w:val="single" w:color="auto" w:sz="12" w:space="0"/>
            </w:tcBorders>
            <w:vAlign w:val="center"/>
          </w:tcPr>
          <w:p w14:paraId="09E8A9CC">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0.25%</w:t>
            </w:r>
          </w:p>
        </w:tc>
      </w:tr>
      <w:tr w14:paraId="7E02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3149" w:type="dxa"/>
            <w:tcBorders>
              <w:left w:val="single" w:color="auto" w:sz="12" w:space="0"/>
            </w:tcBorders>
            <w:vAlign w:val="center"/>
          </w:tcPr>
          <w:p w14:paraId="0755D64B">
            <w:pPr>
              <w:widowControl/>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5000</w:t>
            </w:r>
            <w:r>
              <w:rPr>
                <w:rFonts w:hint="eastAsia" w:ascii="宋体" w:hAnsi="宋体"/>
                <w:color w:val="000000" w:themeColor="text1"/>
                <w:sz w:val="22"/>
                <w:highlight w:val="none"/>
                <w:lang w:val="en-US" w:eastAsia="zh-CN"/>
                <w14:textFill>
                  <w14:solidFill>
                    <w14:schemeClr w14:val="tx1"/>
                  </w14:solidFill>
                </w14:textFill>
              </w:rPr>
              <w:t>-</w:t>
            </w:r>
            <w:r>
              <w:rPr>
                <w:rFonts w:hint="eastAsia" w:ascii="宋体" w:hAnsi="宋体"/>
                <w:color w:val="000000" w:themeColor="text1"/>
                <w:sz w:val="22"/>
                <w:highlight w:val="none"/>
                <w14:textFill>
                  <w14:solidFill>
                    <w14:schemeClr w14:val="tx1"/>
                  </w14:solidFill>
                </w14:textFill>
              </w:rPr>
              <w:t>10000(含10000)</w:t>
            </w:r>
          </w:p>
        </w:tc>
        <w:tc>
          <w:tcPr>
            <w:tcW w:w="1030" w:type="pct"/>
            <w:vAlign w:val="center"/>
          </w:tcPr>
          <w:p w14:paraId="17344AFA">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0.25%</w:t>
            </w:r>
          </w:p>
        </w:tc>
        <w:tc>
          <w:tcPr>
            <w:tcW w:w="1032" w:type="pct"/>
            <w:vAlign w:val="center"/>
          </w:tcPr>
          <w:p w14:paraId="193B648C">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0.10%</w:t>
            </w:r>
          </w:p>
        </w:tc>
        <w:tc>
          <w:tcPr>
            <w:tcW w:w="1047" w:type="pct"/>
            <w:tcBorders>
              <w:right w:val="single" w:color="auto" w:sz="12" w:space="0"/>
            </w:tcBorders>
            <w:vAlign w:val="center"/>
          </w:tcPr>
          <w:p w14:paraId="27341286">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0.10%</w:t>
            </w:r>
          </w:p>
        </w:tc>
      </w:tr>
      <w:tr w14:paraId="23B2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3149" w:type="dxa"/>
            <w:tcBorders>
              <w:left w:val="single" w:color="auto" w:sz="12" w:space="0"/>
            </w:tcBorders>
            <w:vAlign w:val="center"/>
          </w:tcPr>
          <w:p w14:paraId="4F9C2F1D">
            <w:pPr>
              <w:widowControl/>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10000</w:t>
            </w:r>
            <w:r>
              <w:rPr>
                <w:rFonts w:hint="eastAsia" w:ascii="宋体" w:hAnsi="宋体"/>
                <w:color w:val="000000" w:themeColor="text1"/>
                <w:sz w:val="22"/>
                <w:highlight w:val="none"/>
                <w:lang w:val="en-US" w:eastAsia="zh-CN"/>
                <w14:textFill>
                  <w14:solidFill>
                    <w14:schemeClr w14:val="tx1"/>
                  </w14:solidFill>
                </w14:textFill>
              </w:rPr>
              <w:t>-</w:t>
            </w:r>
            <w:r>
              <w:rPr>
                <w:rFonts w:hint="eastAsia" w:ascii="宋体" w:hAnsi="宋体"/>
                <w:color w:val="000000" w:themeColor="text1"/>
                <w:sz w:val="22"/>
                <w:highlight w:val="none"/>
                <w14:textFill>
                  <w14:solidFill>
                    <w14:schemeClr w14:val="tx1"/>
                  </w14:solidFill>
                </w14:textFill>
              </w:rPr>
              <w:t>30000(含30000)</w:t>
            </w:r>
          </w:p>
        </w:tc>
        <w:tc>
          <w:tcPr>
            <w:tcW w:w="1030" w:type="pct"/>
            <w:vAlign w:val="center"/>
          </w:tcPr>
          <w:p w14:paraId="1E473007">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0.05%</w:t>
            </w:r>
          </w:p>
        </w:tc>
        <w:tc>
          <w:tcPr>
            <w:tcW w:w="1032" w:type="pct"/>
            <w:vAlign w:val="center"/>
          </w:tcPr>
          <w:p w14:paraId="4A68F4D2">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0.05%</w:t>
            </w:r>
          </w:p>
        </w:tc>
        <w:tc>
          <w:tcPr>
            <w:tcW w:w="1047" w:type="pct"/>
            <w:tcBorders>
              <w:right w:val="single" w:color="auto" w:sz="12" w:space="0"/>
            </w:tcBorders>
            <w:vAlign w:val="center"/>
          </w:tcPr>
          <w:p w14:paraId="0DF9C991">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0.02%</w:t>
            </w:r>
          </w:p>
        </w:tc>
      </w:tr>
      <w:tr w14:paraId="6147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1890" w:type="pct"/>
            <w:tcBorders>
              <w:left w:val="single" w:color="auto" w:sz="12" w:space="0"/>
            </w:tcBorders>
            <w:vAlign w:val="center"/>
          </w:tcPr>
          <w:p w14:paraId="69318A2D">
            <w:pPr>
              <w:widowControl/>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30000</w:t>
            </w:r>
            <w:r>
              <w:rPr>
                <w:rFonts w:hint="eastAsia" w:ascii="宋体" w:hAnsi="宋体"/>
                <w:color w:val="000000" w:themeColor="text1"/>
                <w:sz w:val="22"/>
                <w:highlight w:val="none"/>
                <w:lang w:val="en-US" w:eastAsia="zh-CN"/>
                <w14:textFill>
                  <w14:solidFill>
                    <w14:schemeClr w14:val="tx1"/>
                  </w14:solidFill>
                </w14:textFill>
              </w:rPr>
              <w:t>-</w:t>
            </w:r>
            <w:r>
              <w:rPr>
                <w:rFonts w:hint="eastAsia" w:ascii="宋体" w:hAnsi="宋体"/>
                <w:color w:val="000000" w:themeColor="text1"/>
                <w:sz w:val="22"/>
                <w:highlight w:val="none"/>
                <w14:textFill>
                  <w14:solidFill>
                    <w14:schemeClr w14:val="tx1"/>
                  </w14:solidFill>
                </w14:textFill>
              </w:rPr>
              <w:t>50000(含50000)</w:t>
            </w:r>
          </w:p>
        </w:tc>
        <w:tc>
          <w:tcPr>
            <w:tcW w:w="1030" w:type="pct"/>
            <w:vAlign w:val="center"/>
          </w:tcPr>
          <w:p w14:paraId="1ACE814C">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0.05%</w:t>
            </w:r>
          </w:p>
        </w:tc>
        <w:tc>
          <w:tcPr>
            <w:tcW w:w="1032" w:type="pct"/>
            <w:vAlign w:val="center"/>
          </w:tcPr>
          <w:p w14:paraId="1926A606">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0.05%</w:t>
            </w:r>
          </w:p>
        </w:tc>
        <w:tc>
          <w:tcPr>
            <w:tcW w:w="1047" w:type="pct"/>
            <w:tcBorders>
              <w:right w:val="single" w:color="auto" w:sz="12" w:space="0"/>
            </w:tcBorders>
            <w:vAlign w:val="center"/>
          </w:tcPr>
          <w:p w14:paraId="48826A8A">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0.02%</w:t>
            </w:r>
          </w:p>
        </w:tc>
      </w:tr>
      <w:tr w14:paraId="061E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1890" w:type="pct"/>
            <w:tcBorders>
              <w:left w:val="single" w:color="auto" w:sz="12" w:space="0"/>
            </w:tcBorders>
            <w:vAlign w:val="center"/>
          </w:tcPr>
          <w:p w14:paraId="744ABCD9">
            <w:pPr>
              <w:widowControl/>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50000</w:t>
            </w:r>
            <w:r>
              <w:rPr>
                <w:rFonts w:hint="eastAsia" w:ascii="宋体" w:hAnsi="宋体"/>
                <w:color w:val="000000" w:themeColor="text1"/>
                <w:sz w:val="22"/>
                <w:highlight w:val="none"/>
                <w:lang w:val="en-US" w:eastAsia="zh-CN"/>
                <w14:textFill>
                  <w14:solidFill>
                    <w14:schemeClr w14:val="tx1"/>
                  </w14:solidFill>
                </w14:textFill>
              </w:rPr>
              <w:t>-</w:t>
            </w:r>
            <w:r>
              <w:rPr>
                <w:rFonts w:hint="eastAsia" w:ascii="宋体" w:hAnsi="宋体"/>
                <w:color w:val="000000" w:themeColor="text1"/>
                <w:sz w:val="22"/>
                <w:highlight w:val="none"/>
                <w14:textFill>
                  <w14:solidFill>
                    <w14:schemeClr w14:val="tx1"/>
                  </w14:solidFill>
                </w14:textFill>
              </w:rPr>
              <w:t>100000(含100000)</w:t>
            </w:r>
          </w:p>
        </w:tc>
        <w:tc>
          <w:tcPr>
            <w:tcW w:w="1030" w:type="pct"/>
            <w:vAlign w:val="center"/>
          </w:tcPr>
          <w:p w14:paraId="4922CC39">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0.05%</w:t>
            </w:r>
          </w:p>
        </w:tc>
        <w:tc>
          <w:tcPr>
            <w:tcW w:w="1032" w:type="pct"/>
            <w:vAlign w:val="center"/>
          </w:tcPr>
          <w:p w14:paraId="24199B76">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0.05%</w:t>
            </w:r>
          </w:p>
        </w:tc>
        <w:tc>
          <w:tcPr>
            <w:tcW w:w="1047" w:type="pct"/>
            <w:tcBorders>
              <w:right w:val="single" w:color="auto" w:sz="12" w:space="0"/>
            </w:tcBorders>
            <w:vAlign w:val="center"/>
          </w:tcPr>
          <w:p w14:paraId="44BC3B90">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0.01%</w:t>
            </w:r>
          </w:p>
        </w:tc>
      </w:tr>
      <w:tr w14:paraId="0630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1890" w:type="pct"/>
            <w:tcBorders>
              <w:left w:val="single" w:color="auto" w:sz="12" w:space="0"/>
            </w:tcBorders>
            <w:vAlign w:val="center"/>
          </w:tcPr>
          <w:p w14:paraId="04FB037F">
            <w:pPr>
              <w:widowControl/>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100000以上</w:t>
            </w:r>
          </w:p>
        </w:tc>
        <w:tc>
          <w:tcPr>
            <w:tcW w:w="1030" w:type="pct"/>
            <w:vAlign w:val="center"/>
          </w:tcPr>
          <w:p w14:paraId="1E79BF43">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0.01%</w:t>
            </w:r>
          </w:p>
        </w:tc>
        <w:tc>
          <w:tcPr>
            <w:tcW w:w="1032" w:type="pct"/>
            <w:vAlign w:val="center"/>
          </w:tcPr>
          <w:p w14:paraId="4754B4F3">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0.01%</w:t>
            </w:r>
          </w:p>
        </w:tc>
        <w:tc>
          <w:tcPr>
            <w:tcW w:w="1047" w:type="pct"/>
            <w:tcBorders>
              <w:right w:val="single" w:color="auto" w:sz="12" w:space="0"/>
            </w:tcBorders>
            <w:vAlign w:val="center"/>
          </w:tcPr>
          <w:p w14:paraId="1B815273">
            <w:pPr>
              <w:widowControl/>
              <w:jc w:val="center"/>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0.01%</w:t>
            </w:r>
          </w:p>
        </w:tc>
      </w:tr>
      <w:tr w14:paraId="09C2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5000" w:type="pct"/>
            <w:gridSpan w:val="4"/>
            <w:tcBorders>
              <w:left w:val="single" w:color="auto" w:sz="12" w:space="0"/>
              <w:bottom w:val="single" w:color="auto" w:sz="12" w:space="0"/>
              <w:right w:val="single" w:color="auto" w:sz="12" w:space="0"/>
            </w:tcBorders>
            <w:vAlign w:val="center"/>
          </w:tcPr>
          <w:p w14:paraId="06CD4461">
            <w:pPr>
              <w:adjustRightInd w:val="0"/>
              <w:snapToGrid w:val="0"/>
              <w:spacing w:line="276"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11EFD68C">
            <w:pPr>
              <w:adjustRightInd w:val="0"/>
              <w:snapToGrid w:val="0"/>
              <w:spacing w:line="276"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1）按本表费率计算的收费为招标代理服务全过程的收费基准价格。</w:t>
            </w:r>
          </w:p>
          <w:p w14:paraId="4A7839EA">
            <w:pPr>
              <w:adjustRightInd w:val="0"/>
              <w:snapToGrid w:val="0"/>
              <w:spacing w:line="276"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以上服务费</w:t>
            </w:r>
            <w:r>
              <w:rPr>
                <w:rFonts w:hint="eastAsia" w:ascii="宋体" w:hAnsi="宋体" w:cs="宋体"/>
                <w:color w:val="000000" w:themeColor="text1"/>
                <w:sz w:val="24"/>
                <w:highlight w:val="none"/>
                <w14:textFill>
                  <w14:solidFill>
                    <w14:schemeClr w14:val="tx1"/>
                  </w14:solidFill>
                </w14:textFill>
              </w:rPr>
              <w:t>包括交易服务费、场地费、开标期间相关的茶水费、午餐或晚餐费、专家咨询费、电子辅助评标费</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线上开标差旅费、专家评审费</w:t>
            </w:r>
            <w:r>
              <w:rPr>
                <w:rFonts w:hint="eastAsia" w:ascii="宋体" w:hAnsi="宋体" w:cs="宋体"/>
                <w:color w:val="000000" w:themeColor="text1"/>
                <w:sz w:val="24"/>
                <w:highlight w:val="none"/>
                <w14:textFill>
                  <w14:solidFill>
                    <w14:schemeClr w14:val="tx1"/>
                  </w14:solidFill>
                </w14:textFill>
              </w:rPr>
              <w:t>等会务费用、公证费、招标文件的复印及装订费等招标过程当中的所有费用</w:t>
            </w:r>
            <w:r>
              <w:rPr>
                <w:rFonts w:hint="eastAsia" w:ascii="宋体" w:hAnsi="宋体" w:cs="宋体"/>
                <w:color w:val="000000" w:themeColor="text1"/>
                <w:sz w:val="24"/>
                <w:highlight w:val="none"/>
                <w:lang w:eastAsia="zh-CN"/>
                <w14:textFill>
                  <w14:solidFill>
                    <w14:schemeClr w14:val="tx1"/>
                  </w14:solidFill>
                </w14:textFill>
              </w:rPr>
              <w:t>。</w:t>
            </w:r>
          </w:p>
          <w:p w14:paraId="11F79CD9">
            <w:pPr>
              <w:adjustRightInd w:val="0"/>
              <w:snapToGrid w:val="0"/>
              <w:spacing w:line="276"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招标代理服务收费按差额定率累进法计算。例如：某工程招标代理业务中标金额为6000万元，计算招标代理服务费额如下：</w:t>
            </w:r>
          </w:p>
          <w:p w14:paraId="61037221">
            <w:pPr>
              <w:adjustRightInd w:val="0"/>
              <w:snapToGrid w:val="0"/>
              <w:spacing w:line="276"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100万元×1.0％＝1万元</w:t>
            </w:r>
          </w:p>
          <w:p w14:paraId="20DFF6C8">
            <w:pPr>
              <w:adjustRightInd w:val="0"/>
              <w:snapToGrid w:val="0"/>
              <w:spacing w:line="276"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（500－100）万元×0.7％＝2.8万元</w:t>
            </w:r>
          </w:p>
          <w:p w14:paraId="36FA86D5">
            <w:pPr>
              <w:adjustRightInd w:val="0"/>
              <w:snapToGrid w:val="0"/>
              <w:spacing w:line="276"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（1000－500）万元×0.55％＝2.75万元</w:t>
            </w:r>
          </w:p>
          <w:p w14:paraId="1081EB3C">
            <w:pPr>
              <w:adjustRightInd w:val="0"/>
              <w:snapToGrid w:val="0"/>
              <w:spacing w:line="276"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（5000－1000）万元×0.35％＝14万元</w:t>
            </w:r>
          </w:p>
          <w:p w14:paraId="3AF11B1F">
            <w:pPr>
              <w:adjustRightInd w:val="0"/>
              <w:snapToGrid w:val="0"/>
              <w:spacing w:line="276"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（6000－5000）万元×0.2％＝2万元</w:t>
            </w:r>
          </w:p>
          <w:p w14:paraId="73200E2F">
            <w:pPr>
              <w:widowControl/>
              <w:jc w:val="both"/>
              <w:rPr>
                <w:rFonts w:ascii="宋体" w:hAnsi="宋体"/>
                <w:color w:val="000000" w:themeColor="text1"/>
                <w:sz w:val="2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合计收费＝1＋2.8＋2.75＋14＋2＝22.55(万元)</w:t>
            </w:r>
          </w:p>
        </w:tc>
      </w:tr>
    </w:tbl>
    <w:p w14:paraId="58876DD9">
      <w:pPr>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14:textFill>
            <w14:solidFill>
              <w14:schemeClr w14:val="tx1"/>
            </w14:solidFill>
          </w14:textFill>
        </w:rPr>
        <w:t>2</w:t>
      </w:r>
      <w:r>
        <w:rPr>
          <w:rFonts w:hint="eastAsia" w:ascii="仿宋" w:hAnsi="仿宋" w:eastAsia="仿宋" w:cs="宋体"/>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投标保证金形式：银行转账，</w:t>
      </w:r>
      <w:r>
        <w:rPr>
          <w:rFonts w:hint="eastAsia" w:ascii="仿宋" w:hAnsi="仿宋" w:eastAsia="仿宋" w:cs="宋体"/>
          <w:color w:val="000000" w:themeColor="text1"/>
          <w:sz w:val="32"/>
          <w:szCs w:val="32"/>
          <w:highlight w:val="none"/>
          <w14:textFill>
            <w14:solidFill>
              <w14:schemeClr w14:val="tx1"/>
            </w14:solidFill>
          </w14:textFill>
        </w:rPr>
        <w:t>按“2026年度招标代理服务项目+[投标单位名称]+投标保证金”格式进行备注</w:t>
      </w:r>
      <w:r>
        <w:rPr>
          <w:rFonts w:hint="eastAsia" w:ascii="仿宋" w:hAnsi="仿宋" w:eastAsia="仿宋" w:cs="仿宋"/>
          <w:color w:val="000000" w:themeColor="text1"/>
          <w:sz w:val="32"/>
          <w:szCs w:val="32"/>
          <w:highlight w:val="none"/>
          <w14:textFill>
            <w14:solidFill>
              <w14:schemeClr w14:val="tx1"/>
            </w14:solidFill>
          </w14:textFill>
        </w:rPr>
        <w:t>。</w:t>
      </w:r>
    </w:p>
    <w:p w14:paraId="6FE30142">
      <w:pPr>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、投标保证金金额：人民币：</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000元（大写：</w:t>
      </w:r>
      <w:r>
        <w:rPr>
          <w:rFonts w:hint="eastAsia" w:ascii="仿宋" w:hAnsi="仿宋" w:eastAsia="仿宋" w:cs="仿宋"/>
          <w:color w:val="000000" w:themeColor="text1"/>
          <w:sz w:val="32"/>
          <w:szCs w:val="32"/>
          <w:highlight w:val="none"/>
          <w:lang w:val="en-US" w:eastAsia="zh-CN"/>
          <w14:textFill>
            <w14:solidFill>
              <w14:schemeClr w14:val="tx1"/>
            </w14:solidFill>
          </w14:textFill>
        </w:rPr>
        <w:t>伍</w:t>
      </w:r>
      <w:r>
        <w:rPr>
          <w:rFonts w:hint="eastAsia" w:ascii="仿宋" w:hAnsi="仿宋" w:eastAsia="仿宋" w:cs="仿宋"/>
          <w:color w:val="000000" w:themeColor="text1"/>
          <w:sz w:val="32"/>
          <w:szCs w:val="32"/>
          <w:highlight w:val="none"/>
          <w14:textFill>
            <w14:solidFill>
              <w14:schemeClr w14:val="tx1"/>
            </w14:solidFill>
          </w14:textFill>
        </w:rPr>
        <w:t>仟元整）。</w:t>
      </w:r>
    </w:p>
    <w:p w14:paraId="4AEA1097">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、未中标单位于中标结果公示期满5个工作日内全额退还至投标单位原汇出账户（不计利息）；中标单位投标保证金转为履约保证金，待全部项目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期限届满且期内无任何违约情形的，于</w:t>
      </w:r>
      <w:r>
        <w:rPr>
          <w:rFonts w:hint="eastAsia" w:ascii="仿宋" w:hAnsi="仿宋" w:eastAsia="仿宋" w:cs="仿宋"/>
          <w:color w:val="000000" w:themeColor="text1"/>
          <w:sz w:val="32"/>
          <w:szCs w:val="32"/>
          <w:highlight w:val="none"/>
          <w14:textFill>
            <w14:solidFill>
              <w14:schemeClr w14:val="tx1"/>
            </w14:solidFill>
          </w14:textFill>
        </w:rPr>
        <w:t>5个工作日内全额退还至投标单位原汇出账户（不计利息）。</w:t>
      </w:r>
    </w:p>
    <w:p w14:paraId="3E2518F8">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5、账户名：厦门三圈电池有限公司</w:t>
      </w:r>
    </w:p>
    <w:p w14:paraId="4AC1D5FD">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开户银行：中国建设银行股份有限公司厦门市分行营业部</w:t>
      </w:r>
    </w:p>
    <w:p w14:paraId="7D250A68">
      <w:pPr>
        <w:spacing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账号：35101535001050014213</w:t>
      </w:r>
    </w:p>
    <w:p w14:paraId="7A2D69AE">
      <w:pPr>
        <w:spacing w:line="500" w:lineRule="exact"/>
        <w:ind w:firstLine="640" w:firstLineChars="200"/>
        <w:rPr>
          <w:rFonts w:ascii="黑体" w:hAnsi="黑体" w:eastAsia="黑体" w:cs="宋体"/>
          <w:bCs/>
          <w:color w:val="000000" w:themeColor="text1"/>
          <w:sz w:val="32"/>
          <w:szCs w:val="32"/>
          <w:highlight w:val="none"/>
          <w14:textFill>
            <w14:solidFill>
              <w14:schemeClr w14:val="tx1"/>
            </w14:solidFill>
          </w14:textFill>
        </w:rPr>
      </w:pPr>
      <w:r>
        <w:rPr>
          <w:rFonts w:hint="eastAsia" w:ascii="黑体" w:hAnsi="黑体" w:eastAsia="黑体" w:cs="宋体"/>
          <w:bCs/>
          <w:color w:val="000000" w:themeColor="text1"/>
          <w:sz w:val="32"/>
          <w:szCs w:val="32"/>
          <w:highlight w:val="none"/>
          <w:lang w:val="en-US" w:eastAsia="zh-CN"/>
          <w14:textFill>
            <w14:solidFill>
              <w14:schemeClr w14:val="tx1"/>
            </w14:solidFill>
          </w14:textFill>
        </w:rPr>
        <w:t>三、</w:t>
      </w:r>
      <w:r>
        <w:rPr>
          <w:rFonts w:hint="eastAsia" w:ascii="黑体" w:hAnsi="黑体" w:eastAsia="黑体" w:cs="宋体"/>
          <w:bCs/>
          <w:color w:val="000000" w:themeColor="text1"/>
          <w:sz w:val="32"/>
          <w:szCs w:val="32"/>
          <w:highlight w:val="none"/>
          <w:lang w:val="en-US" w:eastAsia="zh-CN"/>
          <w14:textFill>
            <w14:solidFill>
              <w14:schemeClr w14:val="tx1"/>
            </w14:solidFill>
          </w14:textFill>
        </w:rPr>
        <w:t>招标期限及</w:t>
      </w:r>
      <w:r>
        <w:rPr>
          <w:rFonts w:ascii="黑体" w:hAnsi="黑体" w:eastAsia="黑体" w:cs="宋体"/>
          <w:bCs/>
          <w:color w:val="000000" w:themeColor="text1"/>
          <w:sz w:val="32"/>
          <w:szCs w:val="32"/>
          <w:highlight w:val="none"/>
          <w14:textFill>
            <w14:solidFill>
              <w14:schemeClr w14:val="tx1"/>
            </w14:solidFill>
          </w14:textFill>
        </w:rPr>
        <w:t>项目内容</w:t>
      </w:r>
    </w:p>
    <w:p w14:paraId="6F772CEF">
      <w:pPr>
        <w:spacing w:line="500" w:lineRule="exact"/>
        <w:ind w:firstLine="640" w:firstLineChars="200"/>
        <w:rPr>
          <w:rFonts w:hint="eastAsia" w:ascii="仿宋" w:hAnsi="仿宋" w:eastAsia="仿宋" w:cs="宋体"/>
          <w:color w:val="000000" w:themeColor="text1"/>
          <w:sz w:val="32"/>
          <w:szCs w:val="32"/>
          <w:highlight w:val="none"/>
          <w:u w:val="none"/>
          <w:lang w:eastAsia="zh-CN"/>
          <w14:textFill>
            <w14:solidFill>
              <w14:schemeClr w14:val="tx1"/>
            </w14:solidFill>
          </w14:textFill>
        </w:rPr>
      </w:pPr>
      <w:r>
        <w:rPr>
          <w:rFonts w:hint="eastAsia" w:ascii="仿宋" w:hAnsi="仿宋" w:eastAsia="仿宋" w:cs="宋体"/>
          <w:bCs/>
          <w:color w:val="000000" w:themeColor="text1"/>
          <w:sz w:val="32"/>
          <w:szCs w:val="32"/>
          <w:highlight w:val="none"/>
          <w14:textFill>
            <w14:solidFill>
              <w14:schemeClr w14:val="tx1"/>
            </w14:solidFill>
          </w14:textFill>
        </w:rPr>
        <w:t>1</w:t>
      </w:r>
      <w:r>
        <w:rPr>
          <w:rFonts w:hint="eastAsia" w:ascii="仿宋" w:hAnsi="仿宋" w:eastAsia="仿宋" w:cs="宋体"/>
          <w:bCs/>
          <w:color w:val="000000" w:themeColor="text1"/>
          <w:sz w:val="32"/>
          <w:szCs w:val="32"/>
          <w:highlight w:val="none"/>
          <w:lang w:eastAsia="zh-CN"/>
          <w14:textFill>
            <w14:solidFill>
              <w14:schemeClr w14:val="tx1"/>
            </w14:solidFill>
          </w14:textFill>
        </w:rPr>
        <w:t>、</w:t>
      </w:r>
      <w:r>
        <w:rPr>
          <w:rFonts w:hint="eastAsia" w:ascii="仿宋" w:hAnsi="仿宋" w:eastAsia="仿宋" w:cs="宋体"/>
          <w:bCs/>
          <w:color w:val="000000" w:themeColor="text1"/>
          <w:sz w:val="32"/>
          <w:szCs w:val="32"/>
          <w:highlight w:val="none"/>
          <w:u w:val="none"/>
          <w:lang w:val="en-US" w:eastAsia="zh-CN"/>
          <w14:textFill>
            <w14:solidFill>
              <w14:schemeClr w14:val="tx1"/>
            </w14:solidFill>
          </w14:textFill>
        </w:rPr>
        <w:t>招标期限：</w:t>
      </w:r>
      <w:r>
        <w:rPr>
          <w:rFonts w:ascii="仿宋" w:hAnsi="仿宋" w:eastAsia="仿宋" w:cs="宋体"/>
          <w:color w:val="000000" w:themeColor="text1"/>
          <w:sz w:val="32"/>
          <w:szCs w:val="32"/>
          <w:highlight w:val="none"/>
          <w:u w:val="none"/>
          <w14:textFill>
            <w14:solidFill>
              <w14:schemeClr w14:val="tx1"/>
            </w14:solidFill>
          </w14:textFill>
        </w:rPr>
        <w:t>202</w:t>
      </w:r>
      <w:r>
        <w:rPr>
          <w:rFonts w:hint="eastAsia" w:ascii="仿宋" w:hAnsi="仿宋" w:eastAsia="仿宋" w:cs="宋体"/>
          <w:color w:val="000000" w:themeColor="text1"/>
          <w:sz w:val="32"/>
          <w:szCs w:val="32"/>
          <w:highlight w:val="none"/>
          <w:u w:val="none"/>
          <w:lang w:val="en-US" w:eastAsia="zh-CN"/>
          <w14:textFill>
            <w14:solidFill>
              <w14:schemeClr w14:val="tx1"/>
            </w14:solidFill>
          </w14:textFill>
        </w:rPr>
        <w:t>6</w:t>
      </w:r>
      <w:r>
        <w:rPr>
          <w:rFonts w:hint="eastAsia" w:ascii="仿宋" w:hAnsi="仿宋" w:eastAsia="仿宋" w:cs="宋体"/>
          <w:color w:val="000000" w:themeColor="text1"/>
          <w:sz w:val="32"/>
          <w:szCs w:val="32"/>
          <w:highlight w:val="none"/>
          <w:u w:val="none"/>
          <w14:textFill>
            <w14:solidFill>
              <w14:schemeClr w14:val="tx1"/>
            </w14:solidFill>
          </w14:textFill>
        </w:rPr>
        <w:t>年</w:t>
      </w:r>
      <w:r>
        <w:rPr>
          <w:rFonts w:hint="eastAsia" w:ascii="仿宋" w:hAnsi="仿宋" w:eastAsia="仿宋" w:cs="宋体"/>
          <w:color w:val="000000" w:themeColor="text1"/>
          <w:sz w:val="32"/>
          <w:szCs w:val="32"/>
          <w:highlight w:val="none"/>
          <w:u w:val="none"/>
          <w:lang w:val="en-US" w:eastAsia="zh-CN"/>
          <w14:textFill>
            <w14:solidFill>
              <w14:schemeClr w14:val="tx1"/>
            </w14:solidFill>
          </w14:textFill>
        </w:rPr>
        <w:t>3</w:t>
      </w:r>
      <w:r>
        <w:rPr>
          <w:rFonts w:hint="eastAsia" w:ascii="仿宋" w:hAnsi="仿宋" w:eastAsia="仿宋" w:cs="宋体"/>
          <w:color w:val="000000" w:themeColor="text1"/>
          <w:sz w:val="32"/>
          <w:szCs w:val="32"/>
          <w:highlight w:val="none"/>
          <w:u w:val="none"/>
          <w14:textFill>
            <w14:solidFill>
              <w14:schemeClr w14:val="tx1"/>
            </w14:solidFill>
          </w14:textFill>
        </w:rPr>
        <w:t>月</w:t>
      </w:r>
      <w:r>
        <w:rPr>
          <w:rFonts w:hint="eastAsia" w:ascii="仿宋" w:hAnsi="仿宋" w:eastAsia="仿宋" w:cs="宋体"/>
          <w:color w:val="000000" w:themeColor="text1"/>
          <w:sz w:val="32"/>
          <w:szCs w:val="32"/>
          <w:highlight w:val="none"/>
          <w:u w:val="none"/>
          <w:lang w:val="en-US" w:eastAsia="zh-CN"/>
          <w14:textFill>
            <w14:solidFill>
              <w14:schemeClr w14:val="tx1"/>
            </w14:solidFill>
          </w14:textFill>
        </w:rPr>
        <w:t>3</w:t>
      </w:r>
      <w:r>
        <w:rPr>
          <w:rFonts w:hint="eastAsia" w:ascii="仿宋" w:hAnsi="仿宋" w:eastAsia="仿宋" w:cs="宋体"/>
          <w:color w:val="000000" w:themeColor="text1"/>
          <w:sz w:val="32"/>
          <w:szCs w:val="32"/>
          <w:highlight w:val="none"/>
          <w:u w:val="none"/>
          <w14:textFill>
            <w14:solidFill>
              <w14:schemeClr w14:val="tx1"/>
            </w14:solidFill>
          </w14:textFill>
        </w:rPr>
        <w:t>日上午</w:t>
      </w:r>
      <w:r>
        <w:rPr>
          <w:rFonts w:ascii="仿宋" w:hAnsi="仿宋" w:eastAsia="仿宋" w:cs="宋体"/>
          <w:color w:val="000000" w:themeColor="text1"/>
          <w:sz w:val="32"/>
          <w:szCs w:val="32"/>
          <w:highlight w:val="none"/>
          <w:u w:val="none"/>
          <w14:textFill>
            <w14:solidFill>
              <w14:schemeClr w14:val="tx1"/>
            </w14:solidFill>
          </w14:textFill>
        </w:rPr>
        <w:t>9</w:t>
      </w:r>
      <w:r>
        <w:rPr>
          <w:rFonts w:hint="eastAsia" w:ascii="仿宋" w:hAnsi="仿宋" w:eastAsia="仿宋" w:cs="宋体"/>
          <w:color w:val="000000" w:themeColor="text1"/>
          <w:sz w:val="32"/>
          <w:szCs w:val="32"/>
          <w:highlight w:val="none"/>
          <w:u w:val="none"/>
          <w14:textFill>
            <w14:solidFill>
              <w14:schemeClr w14:val="tx1"/>
            </w14:solidFill>
          </w14:textFill>
        </w:rPr>
        <w:t>点至</w:t>
      </w:r>
      <w:r>
        <w:rPr>
          <w:rFonts w:hint="eastAsia" w:ascii="仿宋" w:hAnsi="仿宋" w:eastAsia="仿宋" w:cs="宋体"/>
          <w:color w:val="000000" w:themeColor="text1"/>
          <w:sz w:val="32"/>
          <w:szCs w:val="32"/>
          <w:highlight w:val="none"/>
          <w:u w:val="none"/>
          <w:lang w:val="en-US" w:eastAsia="zh-CN"/>
          <w14:textFill>
            <w14:solidFill>
              <w14:schemeClr w14:val="tx1"/>
            </w14:solidFill>
          </w14:textFill>
        </w:rPr>
        <w:t>3</w:t>
      </w:r>
      <w:r>
        <w:rPr>
          <w:rFonts w:hint="eastAsia" w:ascii="仿宋" w:hAnsi="仿宋" w:eastAsia="仿宋" w:cs="宋体"/>
          <w:color w:val="000000" w:themeColor="text1"/>
          <w:sz w:val="32"/>
          <w:szCs w:val="32"/>
          <w:highlight w:val="none"/>
          <w:u w:val="none"/>
          <w14:textFill>
            <w14:solidFill>
              <w14:schemeClr w14:val="tx1"/>
            </w14:solidFill>
          </w14:textFill>
        </w:rPr>
        <w:t>月</w:t>
      </w:r>
      <w:r>
        <w:rPr>
          <w:rFonts w:hint="eastAsia" w:ascii="仿宋" w:hAnsi="仿宋" w:eastAsia="仿宋" w:cs="宋体"/>
          <w:color w:val="000000" w:themeColor="text1"/>
          <w:sz w:val="32"/>
          <w:szCs w:val="32"/>
          <w:highlight w:val="none"/>
          <w:u w:val="none"/>
          <w:lang w:val="en-US" w:eastAsia="zh-CN"/>
          <w14:textFill>
            <w14:solidFill>
              <w14:schemeClr w14:val="tx1"/>
            </w14:solidFill>
          </w14:textFill>
        </w:rPr>
        <w:t>9</w:t>
      </w:r>
      <w:r>
        <w:rPr>
          <w:rFonts w:hint="eastAsia" w:ascii="仿宋" w:hAnsi="仿宋" w:eastAsia="仿宋" w:cs="宋体"/>
          <w:color w:val="000000" w:themeColor="text1"/>
          <w:sz w:val="32"/>
          <w:szCs w:val="32"/>
          <w:highlight w:val="none"/>
          <w:u w:val="none"/>
          <w14:textFill>
            <w14:solidFill>
              <w14:schemeClr w14:val="tx1"/>
            </w14:solidFill>
          </w14:textFill>
        </w:rPr>
        <w:t>日下午17点</w:t>
      </w:r>
      <w:r>
        <w:rPr>
          <w:rFonts w:hint="eastAsia" w:ascii="仿宋" w:hAnsi="仿宋" w:eastAsia="仿宋" w:cs="宋体"/>
          <w:color w:val="000000" w:themeColor="text1"/>
          <w:sz w:val="32"/>
          <w:szCs w:val="32"/>
          <w:highlight w:val="none"/>
          <w:u w:val="none"/>
          <w:lang w:eastAsia="zh-CN"/>
          <w14:textFill>
            <w14:solidFill>
              <w14:schemeClr w14:val="tx1"/>
            </w14:solidFill>
          </w14:textFill>
        </w:rPr>
        <w:t>。</w:t>
      </w:r>
    </w:p>
    <w:p w14:paraId="4A3DE11B">
      <w:pPr>
        <w:spacing w:line="500" w:lineRule="exact"/>
        <w:ind w:firstLine="640" w:firstLineChars="200"/>
        <w:rPr>
          <w:rFonts w:ascii="仿宋" w:hAnsi="仿宋" w:eastAsia="仿宋" w:cs="宋体"/>
          <w:bCs/>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u w:val="none"/>
          <w:lang w:val="en-US" w:eastAsia="zh-CN"/>
          <w14:textFill>
            <w14:solidFill>
              <w14:schemeClr w14:val="tx1"/>
            </w14:solidFill>
          </w14:textFill>
        </w:rPr>
        <w:t>2、</w:t>
      </w:r>
      <w:r>
        <w:rPr>
          <w:rFonts w:hint="eastAsia" w:ascii="仿宋" w:hAnsi="仿宋" w:eastAsia="仿宋" w:cs="宋体"/>
          <w:bCs/>
          <w:color w:val="000000" w:themeColor="text1"/>
          <w:sz w:val="32"/>
          <w:szCs w:val="32"/>
          <w:highlight w:val="none"/>
          <w14:textFill>
            <w14:solidFill>
              <w14:schemeClr w14:val="tx1"/>
            </w14:solidFill>
          </w14:textFill>
        </w:rPr>
        <w:t>项目内容：招标代理机构的遴选项目。</w:t>
      </w:r>
    </w:p>
    <w:p w14:paraId="6C850627">
      <w:pPr>
        <w:spacing w:line="500" w:lineRule="exact"/>
        <w:ind w:firstLine="640" w:firstLineChars="200"/>
        <w:rPr>
          <w:rFonts w:ascii="仿宋" w:hAnsi="仿宋" w:eastAsia="仿宋" w:cs="宋体"/>
          <w:bCs/>
          <w:color w:val="000000" w:themeColor="text1"/>
          <w:sz w:val="32"/>
          <w:szCs w:val="32"/>
          <w:highlight w:val="none"/>
          <w14:textFill>
            <w14:solidFill>
              <w14:schemeClr w14:val="tx1"/>
            </w14:solidFill>
          </w14:textFill>
        </w:rPr>
      </w:pPr>
      <w:r>
        <w:rPr>
          <w:rFonts w:hint="eastAsia" w:ascii="仿宋" w:hAnsi="仿宋" w:eastAsia="仿宋" w:cs="宋体"/>
          <w:bCs/>
          <w:color w:val="000000" w:themeColor="text1"/>
          <w:sz w:val="32"/>
          <w:szCs w:val="32"/>
          <w:highlight w:val="none"/>
          <w:lang w:val="en-US" w:eastAsia="zh-CN"/>
          <w14:textFill>
            <w14:solidFill>
              <w14:schemeClr w14:val="tx1"/>
            </w14:solidFill>
          </w14:textFill>
        </w:rPr>
        <w:t>3、</w:t>
      </w:r>
      <w:r>
        <w:rPr>
          <w:rFonts w:hint="eastAsia" w:ascii="仿宋" w:hAnsi="仿宋" w:eastAsia="仿宋" w:cs="宋体"/>
          <w:bCs/>
          <w:color w:val="000000" w:themeColor="text1"/>
          <w:sz w:val="32"/>
          <w:szCs w:val="32"/>
          <w:highlight w:val="none"/>
          <w14:textFill>
            <w14:solidFill>
              <w14:schemeClr w14:val="tx1"/>
            </w14:solidFill>
          </w14:textFill>
        </w:rPr>
        <w:t>项目</w:t>
      </w:r>
      <w:r>
        <w:rPr>
          <w:rFonts w:hint="eastAsia" w:ascii="仿宋" w:hAnsi="仿宋" w:eastAsia="仿宋" w:cs="宋体"/>
          <w:bCs/>
          <w:color w:val="000000" w:themeColor="text1"/>
          <w:sz w:val="32"/>
          <w:szCs w:val="32"/>
          <w:highlight w:val="none"/>
          <w:lang w:val="en-US" w:eastAsia="zh-CN"/>
          <w14:textFill>
            <w14:solidFill>
              <w14:schemeClr w14:val="tx1"/>
            </w14:solidFill>
          </w14:textFill>
        </w:rPr>
        <w:t>期限</w:t>
      </w:r>
      <w:r>
        <w:rPr>
          <w:rFonts w:hint="eastAsia" w:ascii="仿宋" w:hAnsi="仿宋" w:eastAsia="仿宋" w:cs="宋体"/>
          <w:bCs/>
          <w:color w:val="000000" w:themeColor="text1"/>
          <w:sz w:val="32"/>
          <w:szCs w:val="32"/>
          <w:highlight w:val="none"/>
          <w14:textFill>
            <w14:solidFill>
              <w14:schemeClr w14:val="tx1"/>
            </w14:solidFill>
          </w14:textFill>
        </w:rPr>
        <w:t>：</w:t>
      </w:r>
      <w:r>
        <w:rPr>
          <w:rFonts w:hint="eastAsia" w:ascii="仿宋" w:hAnsi="仿宋" w:eastAsia="仿宋" w:cs="宋体"/>
          <w:bCs/>
          <w:color w:val="000000" w:themeColor="text1"/>
          <w:sz w:val="32"/>
          <w:szCs w:val="32"/>
          <w:highlight w:val="none"/>
          <w:lang w:val="en-US" w:eastAsia="zh-CN"/>
          <w14:textFill>
            <w14:solidFill>
              <w14:schemeClr w14:val="tx1"/>
            </w14:solidFill>
          </w14:textFill>
        </w:rPr>
        <w:t>1</w:t>
      </w:r>
      <w:r>
        <w:rPr>
          <w:rFonts w:hint="eastAsia" w:ascii="仿宋" w:hAnsi="仿宋" w:eastAsia="仿宋" w:cs="宋体"/>
          <w:bCs/>
          <w:color w:val="000000" w:themeColor="text1"/>
          <w:sz w:val="32"/>
          <w:szCs w:val="32"/>
          <w:highlight w:val="none"/>
          <w14:textFill>
            <w14:solidFill>
              <w14:schemeClr w14:val="tx1"/>
            </w14:solidFill>
          </w14:textFill>
        </w:rPr>
        <w:t>年（</w:t>
      </w:r>
      <w:r>
        <w:rPr>
          <w:rFonts w:hint="eastAsia" w:ascii="仿宋" w:hAnsi="仿宋" w:eastAsia="仿宋" w:cs="宋体"/>
          <w:bCs/>
          <w:color w:val="000000" w:themeColor="text1"/>
          <w:sz w:val="32"/>
          <w:szCs w:val="32"/>
          <w:highlight w:val="none"/>
          <w:lang w:val="en-US" w:eastAsia="zh-CN"/>
          <w14:textFill>
            <w14:solidFill>
              <w14:schemeClr w14:val="tx1"/>
            </w14:solidFill>
          </w14:textFill>
        </w:rPr>
        <w:t>2026年，</w:t>
      </w:r>
      <w:r>
        <w:rPr>
          <w:rFonts w:hint="eastAsia" w:ascii="仿宋" w:hAnsi="仿宋" w:eastAsia="仿宋" w:cs="宋体"/>
          <w:bCs/>
          <w:color w:val="000000" w:themeColor="text1"/>
          <w:sz w:val="32"/>
          <w:szCs w:val="32"/>
          <w:highlight w:val="none"/>
          <w14:textFill>
            <w14:solidFill>
              <w14:schemeClr w14:val="tx1"/>
            </w14:solidFill>
          </w14:textFill>
        </w:rPr>
        <w:t>自合同签约之日起生效</w:t>
      </w:r>
      <w:r>
        <w:rPr>
          <w:rFonts w:hint="eastAsia" w:ascii="仿宋" w:hAnsi="仿宋" w:eastAsia="仿宋" w:cs="宋体"/>
          <w:bCs/>
          <w:color w:val="000000" w:themeColor="text1"/>
          <w:sz w:val="32"/>
          <w:szCs w:val="32"/>
          <w:highlight w:val="none"/>
          <w:lang w:eastAsia="zh-CN"/>
          <w14:textFill>
            <w14:solidFill>
              <w14:schemeClr w14:val="tx1"/>
            </w14:solidFill>
          </w14:textFill>
        </w:rPr>
        <w:t>，</w:t>
      </w:r>
      <w:r>
        <w:rPr>
          <w:rFonts w:hint="eastAsia" w:ascii="仿宋" w:hAnsi="仿宋" w:eastAsia="仿宋" w:cs="宋体"/>
          <w:bCs/>
          <w:color w:val="000000" w:themeColor="text1"/>
          <w:sz w:val="32"/>
          <w:szCs w:val="32"/>
          <w:highlight w:val="none"/>
          <w:lang w:val="en-US" w:eastAsia="zh-CN"/>
          <w14:textFill>
            <w14:solidFill>
              <w14:schemeClr w14:val="tx1"/>
            </w14:solidFill>
          </w14:textFill>
        </w:rPr>
        <w:t>如合同期限内配合度良好，无任何违约情况，则顺延一年</w:t>
      </w:r>
      <w:r>
        <w:rPr>
          <w:rFonts w:hint="eastAsia" w:ascii="仿宋" w:hAnsi="仿宋" w:eastAsia="仿宋" w:cs="宋体"/>
          <w:bCs/>
          <w:color w:val="000000" w:themeColor="text1"/>
          <w:sz w:val="32"/>
          <w:szCs w:val="32"/>
          <w:highlight w:val="none"/>
          <w14:textFill>
            <w14:solidFill>
              <w14:schemeClr w14:val="tx1"/>
            </w14:solidFill>
          </w14:textFill>
        </w:rPr>
        <w:t>）。</w:t>
      </w:r>
    </w:p>
    <w:p w14:paraId="2A72D005">
      <w:pPr>
        <w:spacing w:line="500" w:lineRule="exact"/>
        <w:ind w:firstLine="640" w:firstLineChars="200"/>
        <w:rPr>
          <w:rFonts w:hint="eastAsia" w:ascii="仿宋" w:hAnsi="仿宋" w:eastAsia="仿宋" w:cs="宋体"/>
          <w:bCs/>
          <w:color w:val="000000" w:themeColor="text1"/>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sz w:val="32"/>
          <w:szCs w:val="32"/>
          <w:highlight w:val="none"/>
          <w:lang w:val="en-US" w:eastAsia="zh-CN"/>
          <w14:textFill>
            <w14:solidFill>
              <w14:schemeClr w14:val="tx1"/>
            </w14:solidFill>
          </w14:textFill>
        </w:rPr>
        <w:t>4、服务要求：</w:t>
      </w:r>
    </w:p>
    <w:p w14:paraId="31D7987A">
      <w:pPr>
        <w:spacing w:line="500" w:lineRule="exact"/>
        <w:ind w:firstLine="640" w:firstLineChars="200"/>
        <w:rPr>
          <w:rFonts w:hint="default" w:ascii="仿宋" w:hAnsi="仿宋" w:eastAsia="仿宋" w:cs="宋体"/>
          <w:bCs/>
          <w:color w:val="000000" w:themeColor="text1"/>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sz w:val="32"/>
          <w:szCs w:val="32"/>
          <w:highlight w:val="none"/>
          <w:lang w:val="en-US" w:eastAsia="zh-CN"/>
          <w14:textFill>
            <w14:solidFill>
              <w14:schemeClr w14:val="tx1"/>
            </w14:solidFill>
          </w14:textFill>
        </w:rPr>
        <w:t>（1）</w:t>
      </w:r>
      <w:r>
        <w:rPr>
          <w:rFonts w:hint="default" w:ascii="仿宋" w:hAnsi="仿宋" w:eastAsia="仿宋" w:cs="宋体"/>
          <w:bCs/>
          <w:color w:val="000000" w:themeColor="text1"/>
          <w:sz w:val="32"/>
          <w:szCs w:val="32"/>
          <w:highlight w:val="none"/>
          <w:lang w:val="en-US" w:eastAsia="zh-CN"/>
          <w14:textFill>
            <w14:solidFill>
              <w14:schemeClr w14:val="tx1"/>
            </w14:solidFill>
          </w14:textFill>
        </w:rPr>
        <w:t>代理机构提供的服务应符合相关法律法规，以及国家、福建省、厦门市财政等主管部门出台的文件规定要求。</w:t>
      </w:r>
    </w:p>
    <w:p w14:paraId="1E34B49E">
      <w:pPr>
        <w:spacing w:line="500" w:lineRule="exact"/>
        <w:ind w:firstLine="640" w:firstLineChars="200"/>
        <w:rPr>
          <w:rFonts w:hint="default" w:ascii="仿宋" w:hAnsi="仿宋" w:eastAsia="仿宋" w:cs="宋体"/>
          <w:bCs/>
          <w:color w:val="000000" w:themeColor="text1"/>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sz w:val="32"/>
          <w:szCs w:val="32"/>
          <w:highlight w:val="none"/>
          <w:lang w:val="en-US" w:eastAsia="zh-CN"/>
          <w14:textFill>
            <w14:solidFill>
              <w14:schemeClr w14:val="tx1"/>
            </w14:solidFill>
          </w14:textFill>
        </w:rPr>
        <w:t>（2）</w:t>
      </w:r>
      <w:r>
        <w:rPr>
          <w:rFonts w:hint="default" w:ascii="仿宋" w:hAnsi="仿宋" w:eastAsia="仿宋" w:cs="宋体"/>
          <w:bCs/>
          <w:color w:val="000000" w:themeColor="text1"/>
          <w:sz w:val="32"/>
          <w:szCs w:val="32"/>
          <w:highlight w:val="none"/>
          <w:lang w:val="en-US" w:eastAsia="zh-CN"/>
          <w14:textFill>
            <w14:solidFill>
              <w14:schemeClr w14:val="tx1"/>
            </w14:solidFill>
          </w14:textFill>
        </w:rPr>
        <w:t>代理机构提供的服务还应符合我司的内部管理规定，以及我司提出的要求。我司提出的要求如有违法违规的，代理机构应及时向我司提出，避免我司受到处罚。</w:t>
      </w:r>
    </w:p>
    <w:p w14:paraId="6B145582">
      <w:pPr>
        <w:spacing w:line="500" w:lineRule="exact"/>
        <w:ind w:firstLine="640" w:firstLineChars="200"/>
        <w:rPr>
          <w:rFonts w:hint="eastAsia" w:ascii="仿宋" w:hAnsi="仿宋" w:eastAsia="仿宋" w:cs="宋体"/>
          <w:bCs/>
          <w:color w:val="000000" w:themeColor="text1"/>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sz w:val="32"/>
          <w:szCs w:val="32"/>
          <w:highlight w:val="none"/>
          <w:lang w:val="en-US" w:eastAsia="zh-CN"/>
          <w14:textFill>
            <w14:solidFill>
              <w14:schemeClr w14:val="tx1"/>
            </w14:solidFill>
          </w14:textFill>
        </w:rPr>
        <w:t>（3）代理机构应根据经我司批准确定的采购方式，依法组织采购工作，并指定专人负责具体实施采购活动。代理机构应指派固定的服务人员与我司对接，如服务人员无法满足我公司要求的，应按我司要求予以更换。</w:t>
      </w:r>
    </w:p>
    <w:p w14:paraId="1B440A66">
      <w:pPr>
        <w:spacing w:line="500" w:lineRule="exact"/>
        <w:ind w:firstLine="640" w:firstLineChars="200"/>
        <w:rPr>
          <w:rFonts w:hint="eastAsia" w:ascii="仿宋" w:hAnsi="仿宋" w:eastAsia="仿宋" w:cs="宋体"/>
          <w:bCs/>
          <w:color w:val="000000" w:themeColor="text1"/>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sz w:val="32"/>
          <w:szCs w:val="32"/>
          <w:highlight w:val="none"/>
          <w:lang w:val="en-US" w:eastAsia="zh-CN"/>
          <w14:textFill>
            <w14:solidFill>
              <w14:schemeClr w14:val="tx1"/>
            </w14:solidFill>
          </w14:textFill>
        </w:rPr>
        <w:t>（4）代理机构应根据我司的采购需求，负责起草、编制本项目的采购文件及相关材料，及时与我司进行沟通，在5日内完成采购文件编制并送我司确认。</w:t>
      </w:r>
    </w:p>
    <w:p w14:paraId="6778A917">
      <w:pPr>
        <w:spacing w:line="500" w:lineRule="exact"/>
        <w:ind w:firstLine="640" w:firstLineChars="200"/>
        <w:rPr>
          <w:rFonts w:hint="default" w:ascii="仿宋" w:hAnsi="仿宋" w:eastAsia="仿宋" w:cs="宋体"/>
          <w:bCs/>
          <w:color w:val="000000" w:themeColor="text1"/>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sz w:val="32"/>
          <w:szCs w:val="32"/>
          <w:highlight w:val="none"/>
          <w:lang w:val="en-US" w:eastAsia="zh-CN"/>
          <w14:textFill>
            <w14:solidFill>
              <w14:schemeClr w14:val="tx1"/>
            </w14:solidFill>
          </w14:textFill>
        </w:rPr>
        <w:t>（5）</w:t>
      </w:r>
      <w:r>
        <w:rPr>
          <w:rFonts w:hint="default" w:ascii="仿宋" w:hAnsi="仿宋" w:eastAsia="仿宋" w:cs="宋体"/>
          <w:bCs/>
          <w:color w:val="000000" w:themeColor="text1"/>
          <w:sz w:val="32"/>
          <w:szCs w:val="32"/>
          <w:highlight w:val="none"/>
          <w:lang w:val="en-US" w:eastAsia="zh-CN"/>
          <w14:textFill>
            <w14:solidFill>
              <w14:schemeClr w14:val="tx1"/>
            </w14:solidFill>
          </w14:textFill>
        </w:rPr>
        <w:t>我司有权对代理机构的服务质量、服务成果进行考核评价，代理机构服务无法达到我司要求的，我司有权终止合同，取消其代理资格。</w:t>
      </w:r>
    </w:p>
    <w:p w14:paraId="055BF3A2">
      <w:pPr>
        <w:spacing w:line="500" w:lineRule="exact"/>
        <w:ind w:firstLine="640" w:firstLineChars="200"/>
        <w:rPr>
          <w:rFonts w:hint="eastAsia" w:ascii="仿宋" w:hAnsi="仿宋" w:eastAsia="仿宋" w:cs="宋体"/>
          <w:bCs/>
          <w:color w:val="000000" w:themeColor="text1"/>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sz w:val="32"/>
          <w:szCs w:val="32"/>
          <w:highlight w:val="none"/>
          <w:lang w:val="en-US" w:eastAsia="zh-CN"/>
          <w14:textFill>
            <w14:solidFill>
              <w14:schemeClr w14:val="tx1"/>
            </w14:solidFill>
          </w14:textFill>
        </w:rPr>
        <w:t>（6）代理机构应根据我司委托按规定发布采购信息公告及相关采购信息，我司有额外的信息发布要求的，代理机构须免费提供信息发布服务。</w:t>
      </w:r>
    </w:p>
    <w:p w14:paraId="78E9EEC9">
      <w:pPr>
        <w:spacing w:line="500" w:lineRule="exact"/>
        <w:ind w:firstLine="640" w:firstLineChars="200"/>
        <w:rPr>
          <w:rFonts w:hint="eastAsia" w:ascii="仿宋" w:hAnsi="仿宋" w:eastAsia="仿宋" w:cs="宋体"/>
          <w:bCs/>
          <w:color w:val="000000" w:themeColor="text1"/>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sz w:val="32"/>
          <w:szCs w:val="32"/>
          <w:highlight w:val="none"/>
          <w:lang w:val="en-US" w:eastAsia="zh-CN"/>
          <w14:textFill>
            <w14:solidFill>
              <w14:schemeClr w14:val="tx1"/>
            </w14:solidFill>
          </w14:textFill>
        </w:rPr>
        <w:t>（7）代理机构须保证在提供服务的过程中不受到知识产权或版权的纠纷。否则，由此产生的责任完全由代理机构承担，与我司无关。</w:t>
      </w:r>
    </w:p>
    <w:p w14:paraId="694431C0">
      <w:pPr>
        <w:spacing w:line="500" w:lineRule="exact"/>
        <w:ind w:firstLine="640" w:firstLineChars="200"/>
        <w:rPr>
          <w:rFonts w:hint="eastAsia" w:ascii="仿宋" w:hAnsi="仿宋" w:eastAsia="仿宋" w:cs="宋体"/>
          <w:bCs/>
          <w:color w:val="000000" w:themeColor="text1"/>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sz w:val="32"/>
          <w:szCs w:val="32"/>
          <w:highlight w:val="none"/>
          <w:lang w:val="en-US" w:eastAsia="zh-CN"/>
          <w14:textFill>
            <w14:solidFill>
              <w14:schemeClr w14:val="tx1"/>
            </w14:solidFill>
          </w14:textFill>
        </w:rPr>
        <w:t>（8）代理机构在提供服务的过程中，应对我司提供的相关资料履行保密义务。</w:t>
      </w:r>
    </w:p>
    <w:p w14:paraId="4A1E7820">
      <w:pPr>
        <w:spacing w:line="500" w:lineRule="exact"/>
        <w:ind w:firstLine="640" w:firstLineChars="200"/>
        <w:rPr>
          <w:rFonts w:hint="eastAsia" w:ascii="仿宋" w:hAnsi="仿宋" w:eastAsia="仿宋" w:cs="宋体"/>
          <w:bCs/>
          <w:color w:val="000000" w:themeColor="text1"/>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sz w:val="32"/>
          <w:szCs w:val="32"/>
          <w:highlight w:val="none"/>
          <w:lang w:val="en-US" w:eastAsia="zh-CN"/>
          <w14:textFill>
            <w14:solidFill>
              <w14:schemeClr w14:val="tx1"/>
            </w14:solidFill>
          </w14:textFill>
        </w:rPr>
        <w:t>（9）</w:t>
      </w:r>
      <w:r>
        <w:rPr>
          <w:rFonts w:hint="default" w:ascii="仿宋" w:hAnsi="仿宋" w:eastAsia="仿宋" w:cs="宋体"/>
          <w:bCs/>
          <w:color w:val="000000" w:themeColor="text1"/>
          <w:sz w:val="32"/>
          <w:szCs w:val="32"/>
          <w:highlight w:val="none"/>
          <w:lang w:val="en-US" w:eastAsia="zh-CN"/>
          <w14:textFill>
            <w14:solidFill>
              <w14:schemeClr w14:val="tx1"/>
            </w14:solidFill>
          </w14:textFill>
        </w:rPr>
        <w:t>代理机构应在我司有需要时向我司讲解在执行本项目中涉及到的相关法律、法规、规章。</w:t>
      </w:r>
    </w:p>
    <w:p w14:paraId="241BF0A9">
      <w:pPr>
        <w:spacing w:line="500" w:lineRule="exact"/>
        <w:ind w:firstLine="640" w:firstLineChars="200"/>
        <w:rPr>
          <w:rFonts w:hint="default" w:ascii="仿宋" w:hAnsi="仿宋" w:eastAsia="仿宋" w:cs="宋体"/>
          <w:bCs/>
          <w:color w:val="000000" w:themeColor="text1"/>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sz w:val="32"/>
          <w:szCs w:val="32"/>
          <w:highlight w:val="none"/>
          <w:lang w:val="en-US" w:eastAsia="zh-CN"/>
          <w14:textFill>
            <w14:solidFill>
              <w14:schemeClr w14:val="tx1"/>
            </w14:solidFill>
          </w14:textFill>
        </w:rPr>
        <w:t>（10）代理机构应对其在项目期内的招标代理行为负责，确保各项操作符合相关法律法规及国家、福建省、厦门市的财政等规定，并承担由此产生的相应责任。</w:t>
      </w:r>
    </w:p>
    <w:p w14:paraId="2E095E76">
      <w:pPr>
        <w:spacing w:line="500" w:lineRule="exact"/>
        <w:ind w:firstLine="640" w:firstLineChars="200"/>
        <w:rPr>
          <w:rFonts w:hint="eastAsia" w:ascii="仿宋" w:hAnsi="仿宋" w:eastAsia="仿宋" w:cs="宋体"/>
          <w:bCs/>
          <w:color w:val="000000" w:themeColor="text1"/>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sz w:val="32"/>
          <w:szCs w:val="32"/>
          <w:highlight w:val="none"/>
          <w:lang w:val="en-US" w:eastAsia="zh-CN"/>
          <w14:textFill>
            <w14:solidFill>
              <w14:schemeClr w14:val="tx1"/>
            </w14:solidFill>
          </w14:textFill>
        </w:rPr>
        <w:t>5、招标人有权从业务能力（招标文件质量、流程效率、问题处置能力等）、服务质量（沟通协调、咨询响应、现场服务规范等）、廉洁自律（有无串通投标、收受贿赂、泄密等行为等）等方面对中标人进行评价。评价采用量化评分，结果作为后续合作的依据，中标人有权暂停或取消不合格的招标代理机构合作资格。</w:t>
      </w:r>
    </w:p>
    <w:p w14:paraId="4766748B">
      <w:pPr>
        <w:spacing w:line="500" w:lineRule="exact"/>
        <w:ind w:firstLine="640" w:firstLineChars="200"/>
        <w:rPr>
          <w:rFonts w:hint="default" w:ascii="仿宋" w:hAnsi="仿宋" w:eastAsia="仿宋" w:cs="宋体"/>
          <w:bCs/>
          <w:color w:val="000000" w:themeColor="text1"/>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sz w:val="32"/>
          <w:szCs w:val="32"/>
          <w:highlight w:val="none"/>
          <w:lang w:val="en-US" w:eastAsia="zh-CN"/>
          <w14:textFill>
            <w14:solidFill>
              <w14:schemeClr w14:val="tx1"/>
            </w14:solidFill>
          </w14:textFill>
        </w:rPr>
        <w:t>6、代理机构需承诺自2021年以来，未被本项目服务行政区域内主管部门（财政局、建设局、商务局、市场监督管理局、公安局等，包括但不限于上述部门）通报批评（包含发现存在问题、做出处理意见、负面评价等）；代理机构须对此作出书面承诺。注：代理机构作出虚假承诺，若中标，则取消中标资格及列入我司代理机构黑名单及进行社会公示。（本条要求代理机构要提供承诺函）。</w:t>
      </w:r>
    </w:p>
    <w:p w14:paraId="699A58FC">
      <w:pPr>
        <w:spacing w:line="500" w:lineRule="exact"/>
        <w:ind w:firstLine="640" w:firstLineChars="200"/>
        <w:rPr>
          <w:rFonts w:ascii="黑体" w:hAnsi="黑体" w:eastAsia="黑体" w:cs="宋体"/>
          <w:bCs/>
          <w:color w:val="000000" w:themeColor="text1"/>
          <w:sz w:val="32"/>
          <w:szCs w:val="32"/>
          <w:highlight w:val="none"/>
          <w14:textFill>
            <w14:solidFill>
              <w14:schemeClr w14:val="tx1"/>
            </w14:solidFill>
          </w14:textFill>
        </w:rPr>
      </w:pPr>
      <w:r>
        <w:rPr>
          <w:rFonts w:hint="eastAsia" w:ascii="黑体" w:hAnsi="黑体" w:eastAsia="黑体" w:cs="宋体"/>
          <w:bCs/>
          <w:color w:val="000000" w:themeColor="text1"/>
          <w:sz w:val="32"/>
          <w:szCs w:val="32"/>
          <w:highlight w:val="none"/>
          <w:lang w:val="en-US" w:eastAsia="zh-CN"/>
          <w14:textFill>
            <w14:solidFill>
              <w14:schemeClr w14:val="tx1"/>
            </w14:solidFill>
          </w14:textFill>
        </w:rPr>
        <w:t>四</w:t>
      </w:r>
      <w:r>
        <w:rPr>
          <w:rFonts w:hint="eastAsia" w:ascii="黑体" w:hAnsi="黑体" w:eastAsia="黑体" w:cs="宋体"/>
          <w:bCs/>
          <w:color w:val="000000" w:themeColor="text1"/>
          <w:sz w:val="32"/>
          <w:szCs w:val="32"/>
          <w:highlight w:val="none"/>
          <w:lang w:eastAsia="zh-CN"/>
          <w14:textFill>
            <w14:solidFill>
              <w14:schemeClr w14:val="tx1"/>
            </w14:solidFill>
          </w14:textFill>
        </w:rPr>
        <w:t>、</w:t>
      </w:r>
      <w:r>
        <w:rPr>
          <w:rFonts w:hint="eastAsia" w:ascii="黑体" w:hAnsi="黑体" w:eastAsia="黑体" w:cs="宋体"/>
          <w:bCs/>
          <w:color w:val="000000" w:themeColor="text1"/>
          <w:sz w:val="32"/>
          <w:szCs w:val="32"/>
          <w:highlight w:val="none"/>
          <w14:textFill>
            <w14:solidFill>
              <w14:schemeClr w14:val="tx1"/>
            </w14:solidFill>
          </w14:textFill>
        </w:rPr>
        <w:t>投标报价</w:t>
      </w:r>
    </w:p>
    <w:p w14:paraId="34FA475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lang w:val="en-US" w:eastAsia="zh-CN"/>
          <w14:textFill>
            <w14:solidFill>
              <w14:schemeClr w14:val="tx1"/>
            </w14:solidFill>
          </w14:textFill>
        </w:rPr>
        <w:t>1</w:t>
      </w:r>
      <w:r>
        <w:rPr>
          <w:rFonts w:hint="eastAsia" w:ascii="仿宋" w:hAnsi="仿宋" w:eastAsia="仿宋" w:cs="宋体"/>
          <w:color w:val="000000" w:themeColor="text1"/>
          <w:sz w:val="32"/>
          <w:szCs w:val="32"/>
          <w:highlight w:val="none"/>
          <w:lang w:eastAsia="zh-CN"/>
          <w14:textFill>
            <w14:solidFill>
              <w14:schemeClr w14:val="tx1"/>
            </w14:solidFill>
          </w14:textFill>
        </w:rPr>
        <w:t>、</w:t>
      </w:r>
      <w:r>
        <w:rPr>
          <w:rFonts w:hint="eastAsia" w:ascii="仿宋" w:hAnsi="仿宋" w:eastAsia="仿宋" w:cs="宋体"/>
          <w:color w:val="000000" w:themeColor="text1"/>
          <w:sz w:val="32"/>
          <w:szCs w:val="32"/>
          <w:highlight w:val="none"/>
          <w14:textFill>
            <w14:solidFill>
              <w14:schemeClr w14:val="tx1"/>
            </w14:solidFill>
          </w14:textFill>
        </w:rPr>
        <w:t>投标人按市场行情如实填写报价，不得有串通报价，欺诈及恶意报价等行为，违规者取消此次投标资格。且</w:t>
      </w:r>
      <w:r>
        <w:rPr>
          <w:rFonts w:ascii="仿宋" w:hAnsi="仿宋" w:eastAsia="仿宋" w:cs="宋体"/>
          <w:color w:val="000000" w:themeColor="text1"/>
          <w:sz w:val="32"/>
          <w:szCs w:val="32"/>
          <w:highlight w:val="none"/>
          <w14:textFill>
            <w14:solidFill>
              <w14:schemeClr w14:val="tx1"/>
            </w14:solidFill>
          </w14:textFill>
        </w:rPr>
        <w:t>5</w:t>
      </w:r>
      <w:r>
        <w:rPr>
          <w:rFonts w:hint="eastAsia" w:ascii="仿宋" w:hAnsi="仿宋" w:eastAsia="仿宋" w:cs="宋体"/>
          <w:color w:val="000000" w:themeColor="text1"/>
          <w:sz w:val="32"/>
          <w:szCs w:val="32"/>
          <w:highlight w:val="none"/>
          <w14:textFill>
            <w14:solidFill>
              <w14:schemeClr w14:val="tx1"/>
            </w14:solidFill>
          </w14:textFill>
        </w:rPr>
        <w:t>年内不得参与本公司</w:t>
      </w:r>
      <w:r>
        <w:rPr>
          <w:rFonts w:hint="eastAsia" w:ascii="仿宋" w:hAnsi="仿宋" w:eastAsia="仿宋" w:cs="宋体"/>
          <w:color w:val="000000" w:themeColor="text1"/>
          <w:kern w:val="0"/>
          <w:sz w:val="32"/>
          <w:szCs w:val="32"/>
          <w:highlight w:val="none"/>
          <w14:textFill>
            <w14:solidFill>
              <w14:schemeClr w14:val="tx1"/>
            </w14:solidFill>
          </w14:textFill>
        </w:rPr>
        <w:t>招标</w:t>
      </w:r>
      <w:r>
        <w:rPr>
          <w:rFonts w:hint="eastAsia" w:ascii="仿宋" w:hAnsi="仿宋" w:eastAsia="仿宋" w:cs="宋体"/>
          <w:color w:val="000000" w:themeColor="text1"/>
          <w:sz w:val="32"/>
          <w:szCs w:val="32"/>
          <w:highlight w:val="none"/>
          <w14:textFill>
            <w14:solidFill>
              <w14:schemeClr w14:val="tx1"/>
            </w14:solidFill>
          </w14:textFill>
        </w:rPr>
        <w:t>竞标。</w:t>
      </w:r>
    </w:p>
    <w:p w14:paraId="32053B73">
      <w:pPr>
        <w:spacing w:line="500" w:lineRule="exact"/>
        <w:ind w:firstLine="640" w:firstLineChars="200"/>
        <w:rPr>
          <w:rFonts w:ascii="仿宋" w:hAnsi="仿宋" w:eastAsia="仿宋" w:cs="宋体"/>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lang w:val="en-US" w:eastAsia="zh-CN"/>
          <w14:textFill>
            <w14:solidFill>
              <w14:schemeClr w14:val="tx1"/>
            </w14:solidFill>
          </w14:textFill>
        </w:rPr>
        <w:t>2</w:t>
      </w:r>
      <w:r>
        <w:rPr>
          <w:rFonts w:hint="eastAsia" w:ascii="仿宋" w:hAnsi="仿宋" w:eastAsia="仿宋" w:cs="宋体"/>
          <w:color w:val="000000" w:themeColor="text1"/>
          <w:sz w:val="32"/>
          <w:szCs w:val="32"/>
          <w:highlight w:val="none"/>
          <w:lang w:eastAsia="zh-CN"/>
          <w14:textFill>
            <w14:solidFill>
              <w14:schemeClr w14:val="tx1"/>
            </w14:solidFill>
          </w14:textFill>
        </w:rPr>
        <w:t>、</w:t>
      </w:r>
      <w:r>
        <w:rPr>
          <w:rFonts w:hint="eastAsia" w:ascii="仿宋" w:hAnsi="仿宋" w:eastAsia="仿宋" w:cs="宋体"/>
          <w:color w:val="000000" w:themeColor="text1"/>
          <w:sz w:val="32"/>
          <w:szCs w:val="32"/>
          <w:highlight w:val="none"/>
          <w14:textFill>
            <w14:solidFill>
              <w14:schemeClr w14:val="tx1"/>
            </w14:solidFill>
          </w14:textFill>
        </w:rPr>
        <w:t>投标人按其实际所能提供的税率进行报价。</w:t>
      </w:r>
    </w:p>
    <w:p w14:paraId="22EE2AE8">
      <w:pPr>
        <w:spacing w:line="500" w:lineRule="exact"/>
        <w:ind w:firstLine="64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32"/>
          <w:szCs w:val="32"/>
          <w:highlight w:val="none"/>
          <w:lang w:val="en-US" w:eastAsia="zh-CN"/>
          <w14:textFill>
            <w14:solidFill>
              <w14:schemeClr w14:val="tx1"/>
            </w14:solidFill>
          </w14:textFill>
        </w:rPr>
        <w:t>3</w:t>
      </w:r>
      <w:r>
        <w:rPr>
          <w:rFonts w:hint="eastAsia" w:ascii="仿宋" w:hAnsi="仿宋" w:eastAsia="仿宋" w:cs="宋体"/>
          <w:color w:val="000000" w:themeColor="text1"/>
          <w:sz w:val="32"/>
          <w:szCs w:val="32"/>
          <w:highlight w:val="none"/>
          <w:lang w:eastAsia="zh-CN"/>
          <w14:textFill>
            <w14:solidFill>
              <w14:schemeClr w14:val="tx1"/>
            </w14:solidFill>
          </w14:textFill>
        </w:rPr>
        <w:t>、</w:t>
      </w:r>
      <w:r>
        <w:rPr>
          <w:rFonts w:hint="eastAsia" w:ascii="仿宋" w:hAnsi="仿宋" w:eastAsia="仿宋" w:cs="宋体"/>
          <w:color w:val="000000" w:themeColor="text1"/>
          <w:sz w:val="32"/>
          <w:szCs w:val="32"/>
          <w:highlight w:val="none"/>
          <w14:textFill>
            <w14:solidFill>
              <w14:schemeClr w14:val="tx1"/>
            </w14:solidFill>
          </w14:textFill>
        </w:rPr>
        <w:t>报价方式：按招标人提供的报价单格式填报，</w:t>
      </w:r>
      <w:r>
        <w:rPr>
          <w:rFonts w:hint="eastAsia" w:ascii="仿宋" w:hAnsi="仿宋" w:eastAsia="仿宋" w:cs="宋体"/>
          <w:color w:val="000000" w:themeColor="text1"/>
          <w:sz w:val="32"/>
          <w:szCs w:val="32"/>
          <w:highlight w:val="none"/>
          <w:lang w:val="en-US" w:eastAsia="zh-CN"/>
          <w14:textFill>
            <w14:solidFill>
              <w14:schemeClr w14:val="tx1"/>
            </w14:solidFill>
          </w14:textFill>
        </w:rPr>
        <w:t>按折扣报价，</w:t>
      </w:r>
      <w:r>
        <w:rPr>
          <w:rFonts w:hint="eastAsia" w:ascii="仿宋" w:hAnsi="仿宋" w:eastAsia="仿宋" w:cs="宋体"/>
          <w:color w:val="000000" w:themeColor="text1"/>
          <w:sz w:val="32"/>
          <w:szCs w:val="32"/>
          <w:highlight w:val="none"/>
          <w14:textFill>
            <w14:solidFill>
              <w14:schemeClr w14:val="tx1"/>
            </w14:solidFill>
          </w14:textFill>
        </w:rPr>
        <w:t>盖章密封后送至或快递至厦门三圈电池有限公司办公室</w:t>
      </w:r>
      <w:r>
        <w:rPr>
          <w:rFonts w:hint="eastAsia" w:ascii="仿宋" w:hAnsi="仿宋" w:eastAsia="仿宋"/>
          <w:color w:val="000000" w:themeColor="text1"/>
          <w:sz w:val="32"/>
          <w:szCs w:val="32"/>
          <w:highlight w:val="none"/>
          <w14:textFill>
            <w14:solidFill>
              <w14:schemeClr w14:val="tx1"/>
            </w14:solidFill>
          </w14:textFill>
        </w:rPr>
        <w:t>严</w:t>
      </w:r>
      <w:r>
        <w:rPr>
          <w:rFonts w:hint="eastAsia" w:ascii="仿宋" w:hAnsi="仿宋" w:eastAsia="仿宋"/>
          <w:color w:val="000000" w:themeColor="text1"/>
          <w:sz w:val="32"/>
          <w:szCs w:val="32"/>
          <w:highlight w:val="none"/>
          <w:lang w:val="en-US" w:eastAsia="zh-CN"/>
          <w14:textFill>
            <w14:solidFill>
              <w14:schemeClr w14:val="tx1"/>
            </w14:solidFill>
          </w14:textFill>
        </w:rPr>
        <w:t>女士</w:t>
      </w:r>
      <w:r>
        <w:rPr>
          <w:rFonts w:hint="eastAsia" w:ascii="仿宋" w:hAnsi="仿宋" w:eastAsia="仿宋"/>
          <w:color w:val="000000" w:themeColor="text1"/>
          <w:sz w:val="32"/>
          <w:szCs w:val="32"/>
          <w:highlight w:val="none"/>
          <w14:textFill>
            <w14:solidFill>
              <w14:schemeClr w14:val="tx1"/>
            </w14:solidFill>
          </w14:textFill>
        </w:rPr>
        <w:t>，联系电话：</w:t>
      </w:r>
      <w:r>
        <w:rPr>
          <w:rFonts w:ascii="仿宋" w:hAnsi="仿宋" w:eastAsia="仿宋"/>
          <w:color w:val="000000" w:themeColor="text1"/>
          <w:sz w:val="32"/>
          <w:szCs w:val="32"/>
          <w:highlight w:val="none"/>
          <w14:textFill>
            <w14:solidFill>
              <w14:schemeClr w14:val="tx1"/>
            </w14:solidFill>
          </w14:textFill>
        </w:rPr>
        <w:t>15205962511</w:t>
      </w:r>
      <w:r>
        <w:rPr>
          <w:rFonts w:hint="eastAsia" w:ascii="仿宋" w:hAnsi="仿宋" w:eastAsia="仿宋"/>
          <w:color w:val="000000" w:themeColor="text1"/>
          <w:sz w:val="32"/>
          <w:szCs w:val="32"/>
          <w:highlight w:val="none"/>
          <w14:textFill>
            <w14:solidFill>
              <w14:schemeClr w14:val="tx1"/>
            </w14:solidFill>
          </w14:textFill>
        </w:rPr>
        <w:t>。</w:t>
      </w:r>
    </w:p>
    <w:p w14:paraId="571EC3A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lang w:val="en-US" w:eastAsia="zh-CN"/>
          <w14:textFill>
            <w14:solidFill>
              <w14:schemeClr w14:val="tx1"/>
            </w14:solidFill>
          </w14:textFill>
        </w:rPr>
        <w:t>4</w:t>
      </w:r>
      <w:r>
        <w:rPr>
          <w:rFonts w:hint="eastAsia" w:ascii="仿宋" w:hAnsi="仿宋" w:eastAsia="仿宋" w:cs="宋体"/>
          <w:color w:val="000000" w:themeColor="text1"/>
          <w:sz w:val="32"/>
          <w:szCs w:val="32"/>
          <w:highlight w:val="none"/>
          <w:lang w:eastAsia="zh-CN"/>
          <w14:textFill>
            <w14:solidFill>
              <w14:schemeClr w14:val="tx1"/>
            </w14:solidFill>
          </w14:textFill>
        </w:rPr>
        <w:t>、</w:t>
      </w:r>
      <w:r>
        <w:rPr>
          <w:rFonts w:hint="eastAsia" w:ascii="仿宋" w:hAnsi="仿宋" w:eastAsia="仿宋" w:cs="宋体"/>
          <w:color w:val="000000" w:themeColor="text1"/>
          <w:sz w:val="32"/>
          <w:szCs w:val="32"/>
          <w:highlight w:val="none"/>
          <w14:textFill>
            <w14:solidFill>
              <w14:schemeClr w14:val="tx1"/>
            </w14:solidFill>
          </w14:textFill>
        </w:rPr>
        <w:t>接收投标书截止时间：</w:t>
      </w:r>
      <w:r>
        <w:rPr>
          <w:rFonts w:ascii="仿宋" w:hAnsi="仿宋" w:eastAsia="仿宋" w:cs="宋体"/>
          <w:color w:val="000000" w:themeColor="text1"/>
          <w:sz w:val="32"/>
          <w:szCs w:val="32"/>
          <w:highlight w:val="none"/>
          <w14:textFill>
            <w14:solidFill>
              <w14:schemeClr w14:val="tx1"/>
            </w14:solidFill>
          </w14:textFill>
        </w:rPr>
        <w:t>202</w:t>
      </w:r>
      <w:r>
        <w:rPr>
          <w:rFonts w:hint="eastAsia" w:ascii="仿宋" w:hAnsi="仿宋" w:eastAsia="仿宋" w:cs="宋体"/>
          <w:color w:val="000000" w:themeColor="text1"/>
          <w:sz w:val="32"/>
          <w:szCs w:val="32"/>
          <w:highlight w:val="none"/>
          <w:lang w:val="en-US" w:eastAsia="zh-CN"/>
          <w14:textFill>
            <w14:solidFill>
              <w14:schemeClr w14:val="tx1"/>
            </w14:solidFill>
          </w14:textFill>
        </w:rPr>
        <w:t>6</w:t>
      </w:r>
      <w:r>
        <w:rPr>
          <w:rFonts w:hint="eastAsia" w:ascii="仿宋" w:hAnsi="仿宋" w:eastAsia="仿宋" w:cs="宋体"/>
          <w:color w:val="000000" w:themeColor="text1"/>
          <w:sz w:val="32"/>
          <w:szCs w:val="32"/>
          <w:highlight w:val="none"/>
          <w14:textFill>
            <w14:solidFill>
              <w14:schemeClr w14:val="tx1"/>
            </w14:solidFill>
          </w14:textFill>
        </w:rPr>
        <w:t>年</w:t>
      </w:r>
      <w:r>
        <w:rPr>
          <w:rFonts w:hint="eastAsia" w:ascii="仿宋" w:hAnsi="仿宋" w:eastAsia="仿宋" w:cs="宋体"/>
          <w:color w:val="000000" w:themeColor="text1"/>
          <w:sz w:val="32"/>
          <w:szCs w:val="32"/>
          <w:highlight w:val="none"/>
          <w:u w:val="single"/>
          <w14:textFill>
            <w14:solidFill>
              <w14:schemeClr w14:val="tx1"/>
            </w14:solidFill>
          </w14:textFill>
        </w:rPr>
        <w:t>0</w:t>
      </w:r>
      <w:r>
        <w:rPr>
          <w:rFonts w:hint="eastAsia" w:ascii="仿宋" w:hAnsi="仿宋" w:eastAsia="仿宋" w:cs="宋体"/>
          <w:color w:val="000000" w:themeColor="text1"/>
          <w:sz w:val="32"/>
          <w:szCs w:val="32"/>
          <w:highlight w:val="none"/>
          <w:u w:val="single"/>
          <w:lang w:val="en-US" w:eastAsia="zh-CN"/>
          <w14:textFill>
            <w14:solidFill>
              <w14:schemeClr w14:val="tx1"/>
            </w14:solidFill>
          </w14:textFill>
        </w:rPr>
        <w:t>3</w:t>
      </w:r>
      <w:r>
        <w:rPr>
          <w:rFonts w:hint="eastAsia" w:ascii="仿宋" w:hAnsi="仿宋" w:eastAsia="仿宋" w:cs="宋体"/>
          <w:color w:val="000000" w:themeColor="text1"/>
          <w:sz w:val="32"/>
          <w:szCs w:val="32"/>
          <w:highlight w:val="none"/>
          <w14:textFill>
            <w14:solidFill>
              <w14:schemeClr w14:val="tx1"/>
            </w14:solidFill>
          </w14:textFill>
        </w:rPr>
        <w:t>月</w:t>
      </w:r>
      <w:r>
        <w:rPr>
          <w:rFonts w:hint="eastAsia" w:ascii="仿宋" w:hAnsi="仿宋" w:eastAsia="仿宋" w:cs="宋体"/>
          <w:color w:val="000000" w:themeColor="text1"/>
          <w:sz w:val="32"/>
          <w:szCs w:val="32"/>
          <w:highlight w:val="none"/>
          <w:u w:val="single"/>
          <w:lang w:val="en-US" w:eastAsia="zh-CN"/>
          <w14:textFill>
            <w14:solidFill>
              <w14:schemeClr w14:val="tx1"/>
            </w14:solidFill>
          </w14:textFill>
        </w:rPr>
        <w:t>09</w:t>
      </w:r>
      <w:r>
        <w:rPr>
          <w:rFonts w:hint="eastAsia" w:ascii="仿宋" w:hAnsi="仿宋" w:eastAsia="仿宋" w:cs="宋体"/>
          <w:color w:val="000000" w:themeColor="text1"/>
          <w:sz w:val="32"/>
          <w:szCs w:val="32"/>
          <w:highlight w:val="none"/>
          <w14:textFill>
            <w14:solidFill>
              <w14:schemeClr w14:val="tx1"/>
            </w14:solidFill>
          </w14:textFill>
        </w:rPr>
        <w:t>日下午</w:t>
      </w:r>
      <w:r>
        <w:rPr>
          <w:rFonts w:ascii="仿宋" w:hAnsi="仿宋" w:eastAsia="仿宋" w:cs="宋体"/>
          <w:color w:val="000000" w:themeColor="text1"/>
          <w:sz w:val="32"/>
          <w:szCs w:val="32"/>
          <w:highlight w:val="none"/>
          <w14:textFill>
            <w14:solidFill>
              <w14:schemeClr w14:val="tx1"/>
            </w14:solidFill>
          </w14:textFill>
        </w:rPr>
        <w:t>1</w:t>
      </w:r>
      <w:r>
        <w:rPr>
          <w:rFonts w:hint="eastAsia" w:ascii="仿宋" w:hAnsi="仿宋" w:eastAsia="仿宋" w:cs="宋体"/>
          <w:color w:val="000000" w:themeColor="text1"/>
          <w:sz w:val="32"/>
          <w:szCs w:val="32"/>
          <w:highlight w:val="none"/>
          <w14:textFill>
            <w14:solidFill>
              <w14:schemeClr w14:val="tx1"/>
            </w14:solidFill>
          </w14:textFill>
        </w:rPr>
        <w:t>7：</w:t>
      </w:r>
      <w:r>
        <w:rPr>
          <w:rFonts w:ascii="仿宋" w:hAnsi="仿宋" w:eastAsia="仿宋" w:cs="宋体"/>
          <w:color w:val="000000" w:themeColor="text1"/>
          <w:sz w:val="32"/>
          <w:szCs w:val="32"/>
          <w:highlight w:val="none"/>
          <w14:textFill>
            <w14:solidFill>
              <w14:schemeClr w14:val="tx1"/>
            </w14:solidFill>
          </w14:textFill>
        </w:rPr>
        <w:t>00</w:t>
      </w:r>
      <w:r>
        <w:rPr>
          <w:rFonts w:hint="eastAsia" w:ascii="仿宋" w:hAnsi="仿宋" w:eastAsia="仿宋" w:cs="宋体"/>
          <w:color w:val="000000" w:themeColor="text1"/>
          <w:sz w:val="32"/>
          <w:szCs w:val="32"/>
          <w:highlight w:val="none"/>
          <w14:textFill>
            <w14:solidFill>
              <w14:schemeClr w14:val="tx1"/>
            </w14:solidFill>
          </w14:textFill>
        </w:rPr>
        <w:t>，过期视为自动放弃报价。</w:t>
      </w:r>
    </w:p>
    <w:p w14:paraId="6B886605">
      <w:pPr>
        <w:spacing w:line="500" w:lineRule="exact"/>
        <w:ind w:firstLine="640" w:firstLineChars="200"/>
        <w:rPr>
          <w:rFonts w:ascii="黑体" w:hAnsi="黑体" w:eastAsia="黑体" w:cs="宋体"/>
          <w:bCs/>
          <w:color w:val="000000" w:themeColor="text1"/>
          <w:sz w:val="32"/>
          <w:szCs w:val="32"/>
          <w:highlight w:val="none"/>
          <w14:textFill>
            <w14:solidFill>
              <w14:schemeClr w14:val="tx1"/>
            </w14:solidFill>
          </w14:textFill>
        </w:rPr>
      </w:pPr>
      <w:r>
        <w:rPr>
          <w:rFonts w:hint="eastAsia" w:ascii="黑体" w:hAnsi="黑体" w:eastAsia="黑体" w:cs="宋体"/>
          <w:bCs/>
          <w:color w:val="000000" w:themeColor="text1"/>
          <w:sz w:val="32"/>
          <w:szCs w:val="32"/>
          <w:highlight w:val="none"/>
          <w:lang w:val="en-US" w:eastAsia="zh-CN"/>
          <w14:textFill>
            <w14:solidFill>
              <w14:schemeClr w14:val="tx1"/>
            </w14:solidFill>
          </w14:textFill>
        </w:rPr>
        <w:t>五</w:t>
      </w:r>
      <w:r>
        <w:rPr>
          <w:rFonts w:hint="eastAsia" w:ascii="黑体" w:hAnsi="黑体" w:eastAsia="黑体" w:cs="宋体"/>
          <w:bCs/>
          <w:color w:val="000000" w:themeColor="text1"/>
          <w:sz w:val="32"/>
          <w:szCs w:val="32"/>
          <w:highlight w:val="none"/>
          <w:lang w:eastAsia="zh-CN"/>
          <w14:textFill>
            <w14:solidFill>
              <w14:schemeClr w14:val="tx1"/>
            </w14:solidFill>
          </w14:textFill>
        </w:rPr>
        <w:t>、</w:t>
      </w:r>
      <w:r>
        <w:rPr>
          <w:rFonts w:hint="eastAsia" w:ascii="黑体" w:hAnsi="黑体" w:eastAsia="黑体" w:cs="宋体"/>
          <w:bCs/>
          <w:color w:val="000000" w:themeColor="text1"/>
          <w:sz w:val="32"/>
          <w:szCs w:val="32"/>
          <w:highlight w:val="none"/>
          <w14:textFill>
            <w14:solidFill>
              <w14:schemeClr w14:val="tx1"/>
            </w14:solidFill>
          </w14:textFill>
        </w:rPr>
        <w:t>投标人递交的资料应包括：（均需加盖公章，</w:t>
      </w:r>
      <w:r>
        <w:rPr>
          <w:rFonts w:hint="eastAsia" w:ascii="黑体" w:hAnsi="黑体" w:eastAsia="黑体" w:cs="宋体"/>
          <w:bCs/>
          <w:color w:val="000000" w:themeColor="text1"/>
          <w:sz w:val="32"/>
          <w:szCs w:val="32"/>
          <w:highlight w:val="none"/>
          <w:lang w:val="en-US" w:eastAsia="zh-CN"/>
          <w14:textFill>
            <w14:solidFill>
              <w14:schemeClr w14:val="tx1"/>
            </w14:solidFill>
          </w14:textFill>
        </w:rPr>
        <w:t>纸质版投标文件</w:t>
      </w:r>
      <w:r>
        <w:rPr>
          <w:rFonts w:hint="eastAsia" w:ascii="黑体" w:hAnsi="黑体" w:eastAsia="黑体" w:cs="宋体"/>
          <w:bCs/>
          <w:color w:val="000000" w:themeColor="text1"/>
          <w:sz w:val="32"/>
          <w:szCs w:val="32"/>
          <w:highlight w:val="none"/>
          <w14:textFill>
            <w14:solidFill>
              <w14:schemeClr w14:val="tx1"/>
            </w14:solidFill>
          </w14:textFill>
        </w:rPr>
        <w:t>一式两份</w:t>
      </w:r>
      <w:r>
        <w:rPr>
          <w:rFonts w:hint="eastAsia" w:ascii="黑体" w:hAnsi="黑体" w:eastAsia="黑体" w:cs="宋体"/>
          <w:bCs/>
          <w:color w:val="000000" w:themeColor="text1"/>
          <w:sz w:val="32"/>
          <w:szCs w:val="32"/>
          <w:highlight w:val="none"/>
          <w:lang w:eastAsia="zh-CN"/>
          <w14:textFill>
            <w14:solidFill>
              <w14:schemeClr w14:val="tx1"/>
            </w14:solidFill>
          </w14:textFill>
        </w:rPr>
        <w:t>，</w:t>
      </w:r>
      <w:r>
        <w:rPr>
          <w:rFonts w:hint="eastAsia" w:ascii="黑体" w:hAnsi="黑体" w:eastAsia="黑体" w:cs="宋体"/>
          <w:bCs/>
          <w:color w:val="000000" w:themeColor="text1"/>
          <w:sz w:val="32"/>
          <w:szCs w:val="32"/>
          <w:highlight w:val="none"/>
          <w:lang w:val="en-US" w:eastAsia="zh-CN"/>
          <w14:textFill>
            <w14:solidFill>
              <w14:schemeClr w14:val="tx1"/>
            </w14:solidFill>
          </w14:textFill>
        </w:rPr>
        <w:t>电子版扫描件拷入U盘一并递交</w:t>
      </w:r>
      <w:r>
        <w:rPr>
          <w:rFonts w:hint="eastAsia" w:ascii="黑体" w:hAnsi="黑体" w:eastAsia="黑体" w:cs="宋体"/>
          <w:bCs/>
          <w:color w:val="000000" w:themeColor="text1"/>
          <w:sz w:val="32"/>
          <w:szCs w:val="32"/>
          <w:highlight w:val="none"/>
          <w14:textFill>
            <w14:solidFill>
              <w14:schemeClr w14:val="tx1"/>
            </w14:solidFill>
          </w14:textFill>
        </w:rPr>
        <w:t>）</w:t>
      </w:r>
    </w:p>
    <w:p w14:paraId="70131B4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投标报价单（附件1）；</w:t>
      </w:r>
    </w:p>
    <w:p w14:paraId="37E8769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投标人工商营业执照复印件；</w:t>
      </w:r>
    </w:p>
    <w:p w14:paraId="7647FD4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法定代表人及授权代理人身份证复印件、授权委托书原件；</w:t>
      </w:r>
    </w:p>
    <w:p w14:paraId="13BFAF80">
      <w:pPr>
        <w:spacing w:line="500" w:lineRule="exact"/>
        <w:ind w:firstLine="640" w:firstLineChars="200"/>
        <w:rPr>
          <w:rFonts w:hint="eastAsia" w:ascii="仿宋" w:hAnsi="仿宋" w:eastAsia="仿宋" w:cs="宋体"/>
          <w:color w:val="000000" w:themeColor="text1"/>
          <w:sz w:val="32"/>
          <w:szCs w:val="32"/>
          <w:highlight w:val="none"/>
          <w:lang w:val="en-US" w:eastAsia="zh-CN"/>
          <w14:textFill>
            <w14:solidFill>
              <w14:schemeClr w14:val="tx1"/>
            </w14:solidFill>
          </w14:textFill>
        </w:rPr>
      </w:pPr>
      <w:r>
        <w:rPr>
          <w:rFonts w:hint="eastAsia" w:ascii="仿宋" w:hAnsi="仿宋" w:eastAsia="仿宋" w:cs="宋体"/>
          <w:color w:val="000000" w:themeColor="text1"/>
          <w:sz w:val="32"/>
          <w:szCs w:val="32"/>
          <w:highlight w:val="none"/>
          <w:lang w:val="en-US" w:eastAsia="zh-CN"/>
          <w14:textFill>
            <w14:solidFill>
              <w14:schemeClr w14:val="tx1"/>
            </w14:solidFill>
          </w14:textFill>
        </w:rPr>
        <w:t>4</w:t>
      </w:r>
      <w:r>
        <w:rPr>
          <w:rFonts w:hint="eastAsia" w:ascii="仿宋" w:hAnsi="仿宋" w:eastAsia="仿宋" w:cs="宋体"/>
          <w:color w:val="000000" w:themeColor="text1"/>
          <w:sz w:val="32"/>
          <w:szCs w:val="32"/>
          <w:highlight w:val="none"/>
          <w:lang w:eastAsia="zh-CN"/>
          <w14:textFill>
            <w14:solidFill>
              <w14:schemeClr w14:val="tx1"/>
            </w14:solidFill>
          </w14:textFill>
        </w:rPr>
        <w:t>、</w:t>
      </w:r>
      <w:r>
        <w:rPr>
          <w:rFonts w:hint="eastAsia" w:ascii="仿宋" w:hAnsi="仿宋" w:eastAsia="仿宋" w:cs="宋体"/>
          <w:color w:val="000000" w:themeColor="text1"/>
          <w:sz w:val="32"/>
          <w:szCs w:val="32"/>
          <w:highlight w:val="none"/>
          <w:lang w:val="en-US" w:eastAsia="zh-CN"/>
          <w14:textFill>
            <w14:solidFill>
              <w14:schemeClr w14:val="tx1"/>
            </w14:solidFill>
          </w14:textFill>
        </w:rPr>
        <w:t>场地证明文件；</w:t>
      </w:r>
    </w:p>
    <w:p w14:paraId="143FDA41">
      <w:pPr>
        <w:spacing w:line="500" w:lineRule="exact"/>
        <w:ind w:firstLine="640" w:firstLineChars="200"/>
        <w:rPr>
          <w:rFonts w:hint="eastAsia" w:ascii="仿宋" w:hAnsi="仿宋" w:eastAsia="仿宋" w:cs="宋体"/>
          <w:color w:val="000000" w:themeColor="text1"/>
          <w:sz w:val="32"/>
          <w:szCs w:val="32"/>
          <w:highlight w:val="none"/>
          <w:lang w:val="en-US" w:eastAsia="zh-CN"/>
          <w14:textFill>
            <w14:solidFill>
              <w14:schemeClr w14:val="tx1"/>
            </w14:solidFill>
          </w14:textFill>
        </w:rPr>
      </w:pPr>
      <w:r>
        <w:rPr>
          <w:rFonts w:hint="eastAsia" w:ascii="仿宋" w:hAnsi="仿宋" w:eastAsia="仿宋" w:cs="宋体"/>
          <w:color w:val="000000" w:themeColor="text1"/>
          <w:sz w:val="32"/>
          <w:szCs w:val="32"/>
          <w:highlight w:val="none"/>
          <w:lang w:val="en-US" w:eastAsia="zh-CN"/>
          <w14:textFill>
            <w14:solidFill>
              <w14:schemeClr w14:val="tx1"/>
            </w14:solidFill>
          </w14:textFill>
        </w:rPr>
        <w:t>5、在福建省政府采购网、福建省政府采购网厦门分网、中国政府采购网、福建省工程领域招投标在线监管平台、厦门市公共资源交易平台上的有效备案证明（须提供截图）；</w:t>
      </w:r>
    </w:p>
    <w:p w14:paraId="5950C040">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6、</w:t>
      </w:r>
      <w:r>
        <w:rPr>
          <w:rFonts w:hint="eastAsia" w:ascii="仿宋" w:hAnsi="仿宋" w:eastAsia="仿宋"/>
          <w:color w:val="000000" w:themeColor="text1"/>
          <w:sz w:val="32"/>
          <w:szCs w:val="32"/>
          <w:highlight w:val="none"/>
          <w14:textFill>
            <w14:solidFill>
              <w14:schemeClr w14:val="tx1"/>
            </w14:solidFill>
          </w14:textFill>
        </w:rPr>
        <w:t>投标承诺书（附件</w:t>
      </w:r>
      <w:r>
        <w:rPr>
          <w:rFonts w:hint="eastAsia" w:ascii="仿宋" w:hAnsi="仿宋" w:eastAsia="仿宋"/>
          <w:color w:val="000000" w:themeColor="text1"/>
          <w:sz w:val="32"/>
          <w:szCs w:val="32"/>
          <w:highlight w:val="none"/>
          <w:lang w:val="en-US" w:eastAsia="zh-CN"/>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w:t>
      </w:r>
    </w:p>
    <w:p w14:paraId="3D7547D4">
      <w:pPr>
        <w:spacing w:line="500" w:lineRule="exact"/>
        <w:ind w:firstLine="640" w:firstLineChars="200"/>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7、</w:t>
      </w:r>
      <w:r>
        <w:rPr>
          <w:rFonts w:hint="eastAsia" w:ascii="仿宋" w:hAnsi="仿宋" w:eastAsia="仿宋"/>
          <w:color w:val="000000" w:themeColor="text1"/>
          <w:sz w:val="32"/>
          <w:szCs w:val="32"/>
          <w:highlight w:val="none"/>
          <w14:textFill>
            <w14:solidFill>
              <w14:schemeClr w14:val="tx1"/>
            </w14:solidFill>
          </w14:textFill>
        </w:rPr>
        <w:t>投标保证金缴交凭证</w:t>
      </w:r>
      <w:r>
        <w:rPr>
          <w:rFonts w:hint="eastAsia" w:ascii="仿宋" w:hAnsi="仿宋" w:eastAsia="仿宋"/>
          <w:color w:val="000000" w:themeColor="text1"/>
          <w:sz w:val="32"/>
          <w:szCs w:val="32"/>
          <w:highlight w:val="none"/>
          <w:lang w:eastAsia="zh-CN"/>
          <w14:textFill>
            <w14:solidFill>
              <w14:schemeClr w14:val="tx1"/>
            </w14:solidFill>
          </w14:textFill>
        </w:rPr>
        <w:t>；</w:t>
      </w:r>
    </w:p>
    <w:p w14:paraId="537049F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8、</w:t>
      </w:r>
      <w:r>
        <w:rPr>
          <w:rFonts w:hint="eastAsia" w:ascii="仿宋" w:hAnsi="仿宋" w:eastAsia="仿宋"/>
          <w:color w:val="000000" w:themeColor="text1"/>
          <w:sz w:val="32"/>
          <w:szCs w:val="32"/>
          <w:highlight w:val="none"/>
          <w14:textFill>
            <w14:solidFill>
              <w14:schemeClr w14:val="tx1"/>
            </w14:solidFill>
          </w14:textFill>
        </w:rPr>
        <w:t>其他投标证明文件。</w:t>
      </w:r>
    </w:p>
    <w:p w14:paraId="457D63F4">
      <w:pPr>
        <w:spacing w:line="500" w:lineRule="exact"/>
        <w:ind w:firstLine="640" w:firstLineChars="200"/>
        <w:rPr>
          <w:rFonts w:ascii="黑体" w:hAnsi="黑体" w:eastAsia="黑体" w:cs="宋体"/>
          <w:bCs/>
          <w:color w:val="000000" w:themeColor="text1"/>
          <w:sz w:val="32"/>
          <w:szCs w:val="32"/>
          <w:highlight w:val="none"/>
          <w14:textFill>
            <w14:solidFill>
              <w14:schemeClr w14:val="tx1"/>
            </w14:solidFill>
          </w14:textFill>
        </w:rPr>
      </w:pPr>
      <w:r>
        <w:rPr>
          <w:rFonts w:hint="eastAsia" w:ascii="黑体" w:hAnsi="黑体" w:eastAsia="黑体" w:cs="宋体"/>
          <w:bCs/>
          <w:color w:val="000000" w:themeColor="text1"/>
          <w:sz w:val="32"/>
          <w:szCs w:val="32"/>
          <w:highlight w:val="none"/>
          <w:lang w:val="en-US" w:eastAsia="zh-CN"/>
          <w14:textFill>
            <w14:solidFill>
              <w14:schemeClr w14:val="tx1"/>
            </w14:solidFill>
          </w14:textFill>
        </w:rPr>
        <w:t>六、</w:t>
      </w:r>
      <w:r>
        <w:rPr>
          <w:rFonts w:hint="eastAsia" w:ascii="黑体" w:hAnsi="黑体" w:eastAsia="黑体" w:cs="宋体"/>
          <w:bCs/>
          <w:color w:val="000000" w:themeColor="text1"/>
          <w:sz w:val="32"/>
          <w:szCs w:val="32"/>
          <w:highlight w:val="none"/>
          <w14:textFill>
            <w14:solidFill>
              <w14:schemeClr w14:val="tx1"/>
            </w14:solidFill>
          </w14:textFill>
        </w:rPr>
        <w:t>开标时间及地点</w:t>
      </w:r>
    </w:p>
    <w:p w14:paraId="541EC08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s="宋体"/>
          <w:color w:val="000000" w:themeColor="text1"/>
          <w:sz w:val="32"/>
          <w:szCs w:val="32"/>
          <w:highlight w:val="none"/>
          <w14:textFill>
            <w14:solidFill>
              <w14:schemeClr w14:val="tx1"/>
            </w14:solidFill>
          </w14:textFill>
        </w:rPr>
        <w:t>1.</w:t>
      </w:r>
      <w:r>
        <w:rPr>
          <w:rFonts w:hint="eastAsia" w:ascii="仿宋" w:hAnsi="仿宋" w:eastAsia="仿宋" w:cs="宋体"/>
          <w:color w:val="000000" w:themeColor="text1"/>
          <w:sz w:val="32"/>
          <w:szCs w:val="32"/>
          <w:highlight w:val="none"/>
          <w14:textFill>
            <w14:solidFill>
              <w14:schemeClr w14:val="tx1"/>
            </w14:solidFill>
          </w14:textFill>
        </w:rPr>
        <w:t>开标时间：预计于</w:t>
      </w:r>
      <w:r>
        <w:rPr>
          <w:rFonts w:ascii="仿宋" w:hAnsi="仿宋" w:eastAsia="仿宋" w:cs="宋体"/>
          <w:color w:val="000000" w:themeColor="text1"/>
          <w:sz w:val="32"/>
          <w:szCs w:val="32"/>
          <w:highlight w:val="none"/>
          <w14:textFill>
            <w14:solidFill>
              <w14:schemeClr w14:val="tx1"/>
            </w14:solidFill>
          </w14:textFill>
        </w:rPr>
        <w:t>202</w:t>
      </w:r>
      <w:r>
        <w:rPr>
          <w:rFonts w:hint="eastAsia" w:ascii="仿宋" w:hAnsi="仿宋" w:eastAsia="仿宋" w:cs="宋体"/>
          <w:color w:val="000000" w:themeColor="text1"/>
          <w:sz w:val="32"/>
          <w:szCs w:val="32"/>
          <w:highlight w:val="none"/>
          <w:lang w:val="en-US" w:eastAsia="zh-CN"/>
          <w14:textFill>
            <w14:solidFill>
              <w14:schemeClr w14:val="tx1"/>
            </w14:solidFill>
          </w14:textFill>
        </w:rPr>
        <w:t>6</w:t>
      </w:r>
      <w:r>
        <w:rPr>
          <w:rFonts w:hint="eastAsia" w:ascii="仿宋" w:hAnsi="仿宋" w:eastAsia="仿宋" w:cs="宋体"/>
          <w:color w:val="000000" w:themeColor="text1"/>
          <w:sz w:val="32"/>
          <w:szCs w:val="32"/>
          <w:highlight w:val="none"/>
          <w14:textFill>
            <w14:solidFill>
              <w14:schemeClr w14:val="tx1"/>
            </w14:solidFill>
          </w14:textFill>
        </w:rPr>
        <w:t>年</w:t>
      </w:r>
      <w:r>
        <w:rPr>
          <w:rFonts w:hint="eastAsia" w:ascii="仿宋" w:hAnsi="仿宋" w:eastAsia="仿宋" w:cs="宋体"/>
          <w:color w:val="000000" w:themeColor="text1"/>
          <w:sz w:val="32"/>
          <w:szCs w:val="32"/>
          <w:highlight w:val="none"/>
          <w:u w:val="single"/>
          <w:lang w:val="en-US" w:eastAsia="zh-CN"/>
          <w14:textFill>
            <w14:solidFill>
              <w14:schemeClr w14:val="tx1"/>
            </w14:solidFill>
          </w14:textFill>
        </w:rPr>
        <w:t>3</w:t>
      </w:r>
      <w:r>
        <w:rPr>
          <w:rFonts w:hint="eastAsia" w:ascii="仿宋" w:hAnsi="仿宋" w:eastAsia="仿宋" w:cs="宋体"/>
          <w:color w:val="000000" w:themeColor="text1"/>
          <w:sz w:val="32"/>
          <w:szCs w:val="32"/>
          <w:highlight w:val="none"/>
          <w14:textFill>
            <w14:solidFill>
              <w14:schemeClr w14:val="tx1"/>
            </w14:solidFill>
          </w14:textFill>
        </w:rPr>
        <w:t>月</w:t>
      </w:r>
      <w:r>
        <w:rPr>
          <w:rFonts w:hint="eastAsia" w:ascii="仿宋" w:hAnsi="仿宋" w:eastAsia="仿宋" w:cs="宋体"/>
          <w:color w:val="000000" w:themeColor="text1"/>
          <w:sz w:val="32"/>
          <w:szCs w:val="32"/>
          <w:highlight w:val="none"/>
          <w:u w:val="single"/>
          <w:lang w:val="en-US" w:eastAsia="zh-CN"/>
          <w14:textFill>
            <w14:solidFill>
              <w14:schemeClr w14:val="tx1"/>
            </w14:solidFill>
          </w14:textFill>
        </w:rPr>
        <w:t>10</w:t>
      </w:r>
      <w:r>
        <w:rPr>
          <w:rFonts w:hint="eastAsia" w:ascii="仿宋" w:hAnsi="仿宋" w:eastAsia="仿宋" w:cs="宋体"/>
          <w:color w:val="000000" w:themeColor="text1"/>
          <w:sz w:val="32"/>
          <w:szCs w:val="32"/>
          <w:highlight w:val="none"/>
          <w14:textFill>
            <w14:solidFill>
              <w14:schemeClr w14:val="tx1"/>
            </w14:solidFill>
          </w14:textFill>
        </w:rPr>
        <w:t>日。</w:t>
      </w:r>
    </w:p>
    <w:p w14:paraId="78EE64F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s="宋体"/>
          <w:color w:val="000000" w:themeColor="text1"/>
          <w:sz w:val="32"/>
          <w:szCs w:val="32"/>
          <w:highlight w:val="none"/>
          <w14:textFill>
            <w14:solidFill>
              <w14:schemeClr w14:val="tx1"/>
            </w14:solidFill>
          </w14:textFill>
        </w:rPr>
        <w:t>2.</w:t>
      </w:r>
      <w:r>
        <w:rPr>
          <w:rFonts w:hint="eastAsia" w:ascii="仿宋" w:hAnsi="仿宋" w:eastAsia="仿宋" w:cs="宋体"/>
          <w:color w:val="000000" w:themeColor="text1"/>
          <w:sz w:val="32"/>
          <w:szCs w:val="32"/>
          <w:highlight w:val="none"/>
          <w14:textFill>
            <w14:solidFill>
              <w14:schemeClr w14:val="tx1"/>
            </w14:solidFill>
          </w14:textFill>
        </w:rPr>
        <w:t>开标地点：厦门三圈电池有限公司会议室。</w:t>
      </w:r>
    </w:p>
    <w:p w14:paraId="65FE6C1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s="宋体"/>
          <w:color w:val="000000" w:themeColor="text1"/>
          <w:sz w:val="32"/>
          <w:szCs w:val="32"/>
          <w:highlight w:val="none"/>
          <w14:textFill>
            <w14:solidFill>
              <w14:schemeClr w14:val="tx1"/>
            </w14:solidFill>
          </w14:textFill>
        </w:rPr>
        <w:t>3.</w:t>
      </w:r>
      <w:r>
        <w:rPr>
          <w:rFonts w:hint="eastAsia" w:ascii="仿宋" w:hAnsi="仿宋" w:eastAsia="仿宋" w:cs="宋体"/>
          <w:color w:val="000000" w:themeColor="text1"/>
          <w:sz w:val="32"/>
          <w:szCs w:val="32"/>
          <w:highlight w:val="none"/>
          <w14:textFill>
            <w14:solidFill>
              <w14:schemeClr w14:val="tx1"/>
            </w14:solidFill>
          </w14:textFill>
        </w:rPr>
        <w:t>开标：由我司招标小组对投标人资质审核完毕后，现场开标。</w:t>
      </w:r>
    </w:p>
    <w:p w14:paraId="192D980B">
      <w:pPr>
        <w:spacing w:line="500" w:lineRule="exact"/>
        <w:ind w:firstLine="640" w:firstLineChars="200"/>
        <w:rPr>
          <w:rFonts w:ascii="仿宋" w:hAnsi="仿宋" w:eastAsia="仿宋" w:cs="宋体"/>
          <w:color w:val="000000" w:themeColor="text1"/>
          <w:sz w:val="32"/>
          <w:szCs w:val="32"/>
          <w:highlight w:val="none"/>
          <w14:textFill>
            <w14:solidFill>
              <w14:schemeClr w14:val="tx1"/>
            </w14:solidFill>
          </w14:textFill>
        </w:rPr>
      </w:pPr>
      <w:r>
        <w:rPr>
          <w:rFonts w:ascii="仿宋" w:hAnsi="仿宋" w:eastAsia="仿宋" w:cs="宋体"/>
          <w:color w:val="000000" w:themeColor="text1"/>
          <w:sz w:val="32"/>
          <w:szCs w:val="32"/>
          <w:highlight w:val="none"/>
          <w14:textFill>
            <w14:solidFill>
              <w14:schemeClr w14:val="tx1"/>
            </w14:solidFill>
          </w14:textFill>
        </w:rPr>
        <w:t>4.</w:t>
      </w:r>
      <w:r>
        <w:rPr>
          <w:rFonts w:hint="eastAsia" w:ascii="仿宋" w:hAnsi="仿宋" w:eastAsia="仿宋" w:cs="宋体"/>
          <w:color w:val="000000" w:themeColor="text1"/>
          <w:sz w:val="32"/>
          <w:szCs w:val="32"/>
          <w:highlight w:val="none"/>
          <w14:textFill>
            <w14:solidFill>
              <w14:schemeClr w14:val="tx1"/>
            </w14:solidFill>
          </w14:textFill>
        </w:rPr>
        <w:t>中标要求：综合评标原则。</w:t>
      </w:r>
    </w:p>
    <w:p w14:paraId="30F8F211">
      <w:pPr>
        <w:spacing w:line="500" w:lineRule="exact"/>
        <w:ind w:left="643"/>
        <w:rPr>
          <w:rFonts w:ascii="仿宋" w:hAnsi="仿宋" w:eastAsia="仿宋" w:cs="宋体"/>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14:textFill>
            <w14:solidFill>
              <w14:schemeClr w14:val="tx1"/>
            </w14:solidFill>
          </w14:textFill>
        </w:rPr>
        <w:t xml:space="preserve">A: </w:t>
      </w:r>
      <w:r>
        <w:rPr>
          <w:rFonts w:hint="eastAsia" w:ascii="仿宋" w:hAnsi="仿宋" w:eastAsia="仿宋" w:cs="宋体"/>
          <w:color w:val="000000" w:themeColor="text1"/>
          <w:sz w:val="32"/>
          <w:szCs w:val="32"/>
          <w:highlight w:val="none"/>
          <w:lang w:val="en-US" w:eastAsia="zh-CN"/>
          <w14:textFill>
            <w14:solidFill>
              <w14:schemeClr w14:val="tx1"/>
            </w14:solidFill>
          </w14:textFill>
        </w:rPr>
        <w:t>商务</w:t>
      </w:r>
      <w:r>
        <w:rPr>
          <w:rFonts w:hint="eastAsia" w:ascii="仿宋" w:hAnsi="仿宋" w:eastAsia="仿宋" w:cs="宋体"/>
          <w:color w:val="000000" w:themeColor="text1"/>
          <w:sz w:val="32"/>
          <w:szCs w:val="32"/>
          <w:highlight w:val="none"/>
          <w14:textFill>
            <w14:solidFill>
              <w14:schemeClr w14:val="tx1"/>
            </w14:solidFill>
          </w14:textFill>
        </w:rPr>
        <w:t>评分</w:t>
      </w:r>
      <w:r>
        <w:rPr>
          <w:rFonts w:ascii="仿宋" w:hAnsi="仿宋" w:eastAsia="仿宋" w:cs="宋体"/>
          <w:color w:val="000000" w:themeColor="text1"/>
          <w:sz w:val="32"/>
          <w:szCs w:val="32"/>
          <w:highlight w:val="none"/>
          <w14:textFill>
            <w14:solidFill>
              <w14:schemeClr w14:val="tx1"/>
            </w14:solidFill>
          </w14:textFill>
        </w:rPr>
        <w:t>标准(</w:t>
      </w:r>
      <w:r>
        <w:rPr>
          <w:rFonts w:hint="eastAsia" w:ascii="仿宋" w:hAnsi="仿宋" w:eastAsia="仿宋" w:cs="宋体"/>
          <w:color w:val="000000" w:themeColor="text1"/>
          <w:sz w:val="32"/>
          <w:szCs w:val="32"/>
          <w:highlight w:val="none"/>
          <w14:textFill>
            <w14:solidFill>
              <w14:schemeClr w14:val="tx1"/>
            </w14:solidFill>
          </w14:textFill>
        </w:rPr>
        <w:t>满分</w:t>
      </w:r>
      <w:r>
        <w:rPr>
          <w:rFonts w:hint="eastAsia" w:ascii="仿宋" w:hAnsi="仿宋" w:eastAsia="仿宋" w:cs="宋体"/>
          <w:color w:val="000000" w:themeColor="text1"/>
          <w:sz w:val="32"/>
          <w:szCs w:val="32"/>
          <w:highlight w:val="none"/>
          <w:lang w:val="en-US" w:eastAsia="zh-CN"/>
          <w14:textFill>
            <w14:solidFill>
              <w14:schemeClr w14:val="tx1"/>
            </w14:solidFill>
          </w14:textFill>
        </w:rPr>
        <w:t>60</w:t>
      </w:r>
      <w:r>
        <w:rPr>
          <w:rFonts w:ascii="仿宋" w:hAnsi="仿宋" w:eastAsia="仿宋" w:cs="宋体"/>
          <w:color w:val="000000" w:themeColor="text1"/>
          <w:sz w:val="32"/>
          <w:szCs w:val="32"/>
          <w:highlight w:val="none"/>
          <w14:textFill>
            <w14:solidFill>
              <w14:schemeClr w14:val="tx1"/>
            </w14:solidFill>
          </w14:textFill>
        </w:rPr>
        <w:t>分)</w:t>
      </w:r>
    </w:p>
    <w:tbl>
      <w:tblPr>
        <w:tblStyle w:val="10"/>
        <w:tblW w:w="9877" w:type="dxa"/>
        <w:tblInd w:w="-805" w:type="dxa"/>
        <w:tblLayout w:type="fixed"/>
        <w:tblCellMar>
          <w:top w:w="0" w:type="dxa"/>
          <w:left w:w="108" w:type="dxa"/>
          <w:bottom w:w="0" w:type="dxa"/>
          <w:right w:w="108" w:type="dxa"/>
        </w:tblCellMar>
      </w:tblPr>
      <w:tblGrid>
        <w:gridCol w:w="1066"/>
        <w:gridCol w:w="7927"/>
        <w:gridCol w:w="884"/>
      </w:tblGrid>
      <w:tr w14:paraId="48DB7965">
        <w:tblPrEx>
          <w:tblCellMar>
            <w:top w:w="0" w:type="dxa"/>
            <w:left w:w="108" w:type="dxa"/>
            <w:bottom w:w="0" w:type="dxa"/>
            <w:right w:w="108" w:type="dxa"/>
          </w:tblCellMar>
        </w:tblPrEx>
        <w:trPr>
          <w:trHeight w:val="9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A84E">
            <w:pPr>
              <w:widowControl/>
              <w:spacing w:line="500" w:lineRule="exact"/>
              <w:jc w:val="center"/>
              <w:textAlignment w:val="cente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项目</w:t>
            </w:r>
          </w:p>
        </w:tc>
        <w:tc>
          <w:tcPr>
            <w:tcW w:w="7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E724">
            <w:pPr>
              <w:widowControl/>
              <w:spacing w:line="500" w:lineRule="exact"/>
              <w:jc w:val="center"/>
              <w:textAlignment w:val="cente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评分标准</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51E3">
            <w:pPr>
              <w:widowControl/>
              <w:jc w:val="center"/>
              <w:textAlignment w:val="cente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满分分值</w:t>
            </w:r>
          </w:p>
        </w:tc>
      </w:tr>
      <w:tr w14:paraId="09CA3514">
        <w:tblPrEx>
          <w:tblCellMar>
            <w:top w:w="0" w:type="dxa"/>
            <w:left w:w="108" w:type="dxa"/>
            <w:bottom w:w="0" w:type="dxa"/>
            <w:right w:w="108" w:type="dxa"/>
          </w:tblCellMar>
        </w:tblPrEx>
        <w:trPr>
          <w:trHeight w:val="1012"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F09D">
            <w:pPr>
              <w:widowControl/>
              <w:spacing w:line="400" w:lineRule="exact"/>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办公设施</w:t>
            </w:r>
          </w:p>
        </w:tc>
        <w:tc>
          <w:tcPr>
            <w:tcW w:w="7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82C9">
            <w:pPr>
              <w:widowControl/>
              <w:spacing w:line="400" w:lineRule="exact"/>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根据各投标人单位厦门市区营业场所功能性房间设置情况评分：投标人专门设有开标室（需配备监控录音录像设备）的得</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分；专门设有评标室（需配备监控录音录像设备）的得</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分；专门设有样品陈列区（需配备监控录音录像设备）的得</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分；专门设有抽取专家室（需配备监控录音录像设备）的得</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分；专门设有档案室的得</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分,满分</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分。须提供营业场所布局平面图，并提供上述5类房间图片，否则不得分。</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77B6">
            <w:pPr>
              <w:spacing w:line="500" w:lineRule="exact"/>
              <w:jc w:val="center"/>
              <w:rPr>
                <w:rFonts w:hint="default" w:ascii="仿宋" w:hAnsi="仿宋" w:eastAsia="仿宋" w:cs="宋体"/>
                <w:color w:val="000000" w:themeColor="text1"/>
                <w:sz w:val="24"/>
                <w:szCs w:val="24"/>
                <w:highlight w:val="none"/>
                <w:lang w:val="en-US" w:eastAsia="zh-CN"/>
                <w14:textFill>
                  <w14:solidFill>
                    <w14:schemeClr w14:val="tx1"/>
                  </w14:solidFill>
                </w14:textFill>
              </w:rPr>
            </w:pPr>
            <w:r>
              <w:rPr>
                <w:rFonts w:hint="eastAsia" w:ascii="仿宋" w:hAnsi="仿宋" w:eastAsia="仿宋" w:cs="宋体"/>
                <w:color w:val="000000" w:themeColor="text1"/>
                <w:sz w:val="24"/>
                <w:szCs w:val="24"/>
                <w:highlight w:val="none"/>
                <w:lang w:val="en-US" w:eastAsia="zh-CN"/>
                <w14:textFill>
                  <w14:solidFill>
                    <w14:schemeClr w14:val="tx1"/>
                  </w14:solidFill>
                </w14:textFill>
              </w:rPr>
              <w:t>5</w:t>
            </w:r>
          </w:p>
        </w:tc>
      </w:tr>
      <w:tr w14:paraId="6C035994">
        <w:tblPrEx>
          <w:tblCellMar>
            <w:top w:w="0" w:type="dxa"/>
            <w:left w:w="108" w:type="dxa"/>
            <w:bottom w:w="0" w:type="dxa"/>
            <w:right w:w="108" w:type="dxa"/>
          </w:tblCellMar>
        </w:tblPrEx>
        <w:trPr>
          <w:trHeight w:val="1511"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73F5">
            <w:pPr>
              <w:widowControl/>
              <w:spacing w:line="400" w:lineRule="exact"/>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质量管理</w:t>
            </w:r>
          </w:p>
        </w:tc>
        <w:tc>
          <w:tcPr>
            <w:tcW w:w="7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C3B1">
            <w:pPr>
              <w:tabs>
                <w:tab w:val="left" w:pos="5730"/>
              </w:tabs>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投标人通过ISO9001质量管理体系认证，且认证范围为招标服务的得</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分。投标人须提供在有效期内的认证证书复印件、同时提供国家认证认可监督管理委员会网站查询截图信息并加盖公章为考评依据，否则不得分。</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87B4">
            <w:pPr>
              <w:spacing w:line="500" w:lineRule="exact"/>
              <w:jc w:val="center"/>
              <w:rPr>
                <w:rFonts w:hint="default" w:ascii="仿宋" w:hAnsi="仿宋" w:eastAsia="仿宋" w:cs="宋体"/>
                <w:color w:val="000000" w:themeColor="text1"/>
                <w:sz w:val="24"/>
                <w:szCs w:val="24"/>
                <w:highlight w:val="none"/>
                <w:lang w:val="en-US" w:eastAsia="zh-CN"/>
                <w14:textFill>
                  <w14:solidFill>
                    <w14:schemeClr w14:val="tx1"/>
                  </w14:solidFill>
                </w14:textFill>
              </w:rPr>
            </w:pPr>
            <w:r>
              <w:rPr>
                <w:rFonts w:hint="eastAsia" w:ascii="仿宋" w:hAnsi="仿宋" w:eastAsia="仿宋" w:cs="宋体"/>
                <w:color w:val="000000" w:themeColor="text1"/>
                <w:sz w:val="24"/>
                <w:szCs w:val="24"/>
                <w:highlight w:val="none"/>
                <w:lang w:val="en-US" w:eastAsia="zh-CN"/>
                <w14:textFill>
                  <w14:solidFill>
                    <w14:schemeClr w14:val="tx1"/>
                  </w14:solidFill>
                </w14:textFill>
              </w:rPr>
              <w:t>3</w:t>
            </w:r>
          </w:p>
        </w:tc>
      </w:tr>
      <w:tr w14:paraId="3FDC4827">
        <w:tblPrEx>
          <w:tblCellMar>
            <w:top w:w="0" w:type="dxa"/>
            <w:left w:w="108" w:type="dxa"/>
            <w:bottom w:w="0" w:type="dxa"/>
            <w:right w:w="108" w:type="dxa"/>
          </w:tblCellMar>
        </w:tblPrEx>
        <w:trPr>
          <w:trHeight w:val="1227"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6466">
            <w:pPr>
              <w:widowControl/>
              <w:spacing w:line="400" w:lineRule="exact"/>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荣誉情况</w:t>
            </w:r>
          </w:p>
        </w:tc>
        <w:tc>
          <w:tcPr>
            <w:tcW w:w="7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1BF9">
            <w:pPr>
              <w:tabs>
                <w:tab w:val="left" w:pos="5730"/>
              </w:tabs>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根据投标人</w:t>
            </w:r>
            <w:r>
              <w:rPr>
                <w:rFonts w:hint="eastAsia" w:ascii="仿宋" w:hAnsi="仿宋" w:eastAsia="仿宋" w:cs="仿宋"/>
                <w:color w:val="000000" w:themeColor="text1"/>
                <w:sz w:val="24"/>
                <w:highlight w:val="none"/>
                <w:lang w:val="en-US" w:eastAsia="zh-CN"/>
                <w14:textFill>
                  <w14:solidFill>
                    <w14:schemeClr w14:val="tx1"/>
                  </w14:solidFill>
                </w14:textFill>
              </w:rPr>
              <w:t>2023年</w:t>
            </w:r>
            <w:r>
              <w:rPr>
                <w:rFonts w:hint="eastAsia" w:ascii="仿宋" w:hAnsi="仿宋" w:eastAsia="仿宋" w:cs="仿宋"/>
                <w:color w:val="000000" w:themeColor="text1"/>
                <w:sz w:val="24"/>
                <w:highlight w:val="none"/>
                <w14:textFill>
                  <w14:solidFill>
                    <w14:schemeClr w14:val="tx1"/>
                  </w14:solidFill>
                </w14:textFill>
              </w:rPr>
              <w:t>获得全国政府采购服务质量信用AAA级社会代理机构</w:t>
            </w:r>
            <w:r>
              <w:rPr>
                <w:rFonts w:hint="eastAsia" w:ascii="仿宋" w:hAnsi="仿宋" w:eastAsia="仿宋" w:cs="仿宋"/>
                <w:color w:val="000000" w:themeColor="text1"/>
                <w:sz w:val="24"/>
                <w:highlight w:val="none"/>
                <w:lang w:val="en-US" w:eastAsia="zh-CN"/>
                <w14:textFill>
                  <w14:solidFill>
                    <w14:schemeClr w14:val="tx1"/>
                  </w14:solidFill>
                </w14:textFill>
              </w:rPr>
              <w:t>荣誉称号得3</w:t>
            </w:r>
            <w:r>
              <w:rPr>
                <w:rFonts w:hint="eastAsia" w:ascii="仿宋" w:hAnsi="仿宋" w:eastAsia="仿宋" w:cs="仿宋"/>
                <w:color w:val="000000" w:themeColor="text1"/>
                <w:sz w:val="24"/>
                <w:highlight w:val="none"/>
                <w14:textFill>
                  <w14:solidFill>
                    <w14:schemeClr w14:val="tx1"/>
                  </w14:solidFill>
                </w14:textFill>
              </w:rPr>
              <w:t>分。须提供政府采购大数据网相关截图并加盖公章为考评依据，否则不得分。</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68DA">
            <w:pPr>
              <w:spacing w:line="500" w:lineRule="exact"/>
              <w:jc w:val="center"/>
              <w:rPr>
                <w:rFonts w:hint="default" w:ascii="仿宋" w:hAnsi="仿宋" w:eastAsia="仿宋" w:cs="宋体"/>
                <w:color w:val="000000" w:themeColor="text1"/>
                <w:sz w:val="24"/>
                <w:szCs w:val="24"/>
                <w:highlight w:val="none"/>
                <w:lang w:val="en-US" w:eastAsia="zh-CN"/>
                <w14:textFill>
                  <w14:solidFill>
                    <w14:schemeClr w14:val="tx1"/>
                  </w14:solidFill>
                </w14:textFill>
              </w:rPr>
            </w:pPr>
            <w:r>
              <w:rPr>
                <w:rFonts w:hint="eastAsia" w:ascii="仿宋" w:hAnsi="仿宋" w:eastAsia="仿宋" w:cs="宋体"/>
                <w:color w:val="000000" w:themeColor="text1"/>
                <w:sz w:val="24"/>
                <w:szCs w:val="24"/>
                <w:highlight w:val="none"/>
                <w:lang w:val="en-US" w:eastAsia="zh-CN"/>
                <w14:textFill>
                  <w14:solidFill>
                    <w14:schemeClr w14:val="tx1"/>
                  </w14:solidFill>
                </w14:textFill>
              </w:rPr>
              <w:t>3</w:t>
            </w:r>
          </w:p>
        </w:tc>
      </w:tr>
      <w:tr w14:paraId="09477838">
        <w:tblPrEx>
          <w:tblCellMar>
            <w:top w:w="0" w:type="dxa"/>
            <w:left w:w="108" w:type="dxa"/>
            <w:bottom w:w="0" w:type="dxa"/>
            <w:right w:w="108" w:type="dxa"/>
          </w:tblCellMar>
        </w:tblPrEx>
        <w:trPr>
          <w:trHeight w:val="1227"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22A4">
            <w:pPr>
              <w:widowControl/>
              <w:spacing w:line="400" w:lineRule="exact"/>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专职人员综合实力评分</w:t>
            </w:r>
          </w:p>
        </w:tc>
        <w:tc>
          <w:tcPr>
            <w:tcW w:w="7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5D65">
            <w:pPr>
              <w:pStyle w:val="3"/>
              <w:spacing w:before="0" w:after="0" w:line="400" w:lineRule="exact"/>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根据投标人员工参加省级及以上财政部门举办的政府采购代理业务培训班或取得政府采购专职从业人员考试成绩合格的人数进行评价：人数≥10人的得</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val="0"/>
                <w:color w:val="000000" w:themeColor="text1"/>
                <w:sz w:val="24"/>
                <w:szCs w:val="24"/>
                <w:highlight w:val="none"/>
                <w14:textFill>
                  <w14:solidFill>
                    <w14:schemeClr w14:val="tx1"/>
                  </w14:solidFill>
                </w14:textFill>
              </w:rPr>
              <w:t>分，10＞人数≥7人得</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color w:val="000000" w:themeColor="text1"/>
                <w:sz w:val="24"/>
                <w:szCs w:val="24"/>
                <w:highlight w:val="none"/>
                <w14:textFill>
                  <w14:solidFill>
                    <w14:schemeClr w14:val="tx1"/>
                  </w14:solidFill>
                </w14:textFill>
              </w:rPr>
              <w:t>分，7＞人数≥5人得</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color w:val="000000" w:themeColor="text1"/>
                <w:sz w:val="24"/>
                <w:szCs w:val="24"/>
                <w:highlight w:val="none"/>
                <w14:textFill>
                  <w14:solidFill>
                    <w14:schemeClr w14:val="tx1"/>
                  </w14:solidFill>
                </w14:textFill>
              </w:rPr>
              <w:t>分，5人以下的不得分。须提供以下证明材料并加盖投标人公章(未提供完整的不得分)：</w:t>
            </w:r>
          </w:p>
          <w:p w14:paraId="2C563395">
            <w:pPr>
              <w:pStyle w:val="3"/>
              <w:spacing w:before="0" w:after="0" w:line="400" w:lineRule="exact"/>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1、省级及以上财政部门出具的考试成绩通知或省级以上财政部门证明文件。</w:t>
            </w:r>
          </w:p>
          <w:p w14:paraId="696C6C58">
            <w:pPr>
              <w:pStyle w:val="3"/>
              <w:spacing w:before="0" w:after="0"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2、投标截止时间前(不含投标截止时间当月)由投标人或投标人在厦门区域的分支机构连续六个月为人员缴纳的社保证明。</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FCB9">
            <w:pPr>
              <w:spacing w:line="500" w:lineRule="exact"/>
              <w:jc w:val="center"/>
              <w:rPr>
                <w:rFonts w:hint="eastAsia" w:ascii="仿宋" w:hAnsi="仿宋" w:eastAsia="仿宋" w:cs="宋体"/>
                <w:color w:val="000000" w:themeColor="text1"/>
                <w:sz w:val="24"/>
                <w:szCs w:val="24"/>
                <w:highlight w:val="none"/>
                <w:lang w:eastAsia="zh-CN"/>
                <w14:textFill>
                  <w14:solidFill>
                    <w14:schemeClr w14:val="tx1"/>
                  </w14:solidFill>
                </w14:textFill>
              </w:rPr>
            </w:pPr>
            <w:r>
              <w:rPr>
                <w:rFonts w:hint="eastAsia" w:ascii="仿宋" w:hAnsi="仿宋" w:eastAsia="仿宋" w:cs="宋体"/>
                <w:color w:val="000000" w:themeColor="text1"/>
                <w:sz w:val="24"/>
                <w:szCs w:val="24"/>
                <w:highlight w:val="none"/>
                <w:lang w:val="en-US" w:eastAsia="zh-CN"/>
                <w14:textFill>
                  <w14:solidFill>
                    <w14:schemeClr w14:val="tx1"/>
                  </w14:solidFill>
                </w14:textFill>
              </w:rPr>
              <w:t>5</w:t>
            </w:r>
          </w:p>
        </w:tc>
      </w:tr>
      <w:tr w14:paraId="68BAD315">
        <w:tblPrEx>
          <w:tblCellMar>
            <w:top w:w="0" w:type="dxa"/>
            <w:left w:w="108" w:type="dxa"/>
            <w:bottom w:w="0" w:type="dxa"/>
            <w:right w:w="108" w:type="dxa"/>
          </w:tblCellMar>
        </w:tblPrEx>
        <w:trPr>
          <w:trHeight w:val="457"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4104">
            <w:pPr>
              <w:widowControl/>
              <w:spacing w:line="400" w:lineRule="exact"/>
              <w:jc w:val="left"/>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5、专职人员综合实力评分</w:t>
            </w:r>
          </w:p>
        </w:tc>
        <w:tc>
          <w:tcPr>
            <w:tcW w:w="7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AD88">
            <w:pPr>
              <w:widowControl/>
              <w:spacing w:line="400" w:lineRule="exact"/>
              <w:jc w:val="left"/>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根据投标人参加政府采购专职从业人员考试情况进行评价：专业知识分≥19分的得3分，19＞专业知识分≥18分的得1.5分，18分以下的不得分。须提供福建省政府采购系统代理机构综合信用评价查询结果截图加盖公章佐证，否则不得分。</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AD5B">
            <w:pPr>
              <w:spacing w:line="500" w:lineRule="exact"/>
              <w:jc w:val="center"/>
              <w:rPr>
                <w:rFonts w:hint="default" w:ascii="仿宋" w:hAnsi="仿宋" w:eastAsia="仿宋" w:cs="宋体"/>
                <w:color w:val="000000" w:themeColor="text1"/>
                <w:sz w:val="24"/>
                <w:szCs w:val="24"/>
                <w:highlight w:val="none"/>
                <w:lang w:val="en-US" w:eastAsia="zh-CN"/>
                <w14:textFill>
                  <w14:solidFill>
                    <w14:schemeClr w14:val="tx1"/>
                  </w14:solidFill>
                </w14:textFill>
              </w:rPr>
            </w:pPr>
            <w:r>
              <w:rPr>
                <w:rFonts w:hint="eastAsia" w:ascii="仿宋" w:hAnsi="仿宋" w:eastAsia="仿宋" w:cs="宋体"/>
                <w:color w:val="000000" w:themeColor="text1"/>
                <w:sz w:val="24"/>
                <w:szCs w:val="24"/>
                <w:highlight w:val="none"/>
                <w:lang w:val="en-US" w:eastAsia="zh-CN"/>
                <w14:textFill>
                  <w14:solidFill>
                    <w14:schemeClr w14:val="tx1"/>
                  </w14:solidFill>
                </w14:textFill>
              </w:rPr>
              <w:t>3</w:t>
            </w:r>
          </w:p>
        </w:tc>
      </w:tr>
      <w:tr w14:paraId="4F9B7214">
        <w:tblPrEx>
          <w:tblCellMar>
            <w:top w:w="0" w:type="dxa"/>
            <w:left w:w="108" w:type="dxa"/>
            <w:bottom w:w="0" w:type="dxa"/>
            <w:right w:w="108" w:type="dxa"/>
          </w:tblCellMar>
        </w:tblPrEx>
        <w:trPr>
          <w:trHeight w:val="783"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4E9D">
            <w:pPr>
              <w:widowControl/>
              <w:spacing w:line="400" w:lineRule="exact"/>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项目经理要求</w:t>
            </w:r>
          </w:p>
        </w:tc>
        <w:tc>
          <w:tcPr>
            <w:tcW w:w="7927" w:type="dxa"/>
            <w:tcBorders>
              <w:top w:val="single" w:color="000000" w:sz="4" w:space="0"/>
              <w:left w:val="single" w:color="000000" w:sz="4" w:space="0"/>
              <w:bottom w:val="single" w:color="000000" w:sz="4" w:space="0"/>
              <w:right w:val="single" w:color="000000" w:sz="4" w:space="0"/>
            </w:tcBorders>
            <w:shd w:val="clear" w:color="auto" w:fill="auto"/>
            <w:vAlign w:val="top"/>
          </w:tcPr>
          <w:p w14:paraId="6D6709F1">
            <w:pPr>
              <w:spacing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拟派的本项目的项目负责人具有高级职称的得</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分，具有高级职且从事招标代理工作的经历在5年(含5年)以上的，得</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分；拟派的本项目的项目负责人具有中级职称得</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分，具有中级职称且从事招标代理工作的经历在5年(含5年)以上的得</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分；其余不得分</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不累计加分</w:t>
            </w:r>
            <w:r>
              <w:rPr>
                <w:rFonts w:hint="eastAsia" w:ascii="仿宋" w:hAnsi="仿宋" w:eastAsia="仿宋" w:cs="仿宋"/>
                <w:color w:val="000000" w:themeColor="text1"/>
                <w:sz w:val="24"/>
                <w:highlight w:val="none"/>
                <w14:textFill>
                  <w14:solidFill>
                    <w14:schemeClr w14:val="tx1"/>
                  </w14:solidFill>
                </w14:textFill>
              </w:rPr>
              <w:t>。须提供以下证明材料并加盖投标人公章(未提供完整的不得分)：</w:t>
            </w:r>
          </w:p>
          <w:p w14:paraId="45B4BF54">
            <w:pPr>
              <w:widowControl/>
              <w:spacing w:line="400" w:lineRule="exact"/>
              <w:jc w:val="left"/>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1、投标人提供项目经理的姓名、身份证复印件。</w:t>
            </w:r>
          </w:p>
          <w:p w14:paraId="60B04AAE">
            <w:pPr>
              <w:widowControl/>
              <w:spacing w:line="400" w:lineRule="exact"/>
              <w:jc w:val="left"/>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劳动合同：A.投标人在厦门区域的机构设置是独立法人机构的提供投标人与为本项目配备的人员签订的劳动合同复印件。B.投标人在厦门区域的机构设置是非法人的分支机构的提供投标人分支机构与为本项目配备的人员签订的劳动合同复印件;</w:t>
            </w:r>
          </w:p>
          <w:p w14:paraId="6E00CA87">
            <w:pPr>
              <w:widowControl/>
              <w:spacing w:line="400" w:lineRule="exact"/>
              <w:jc w:val="left"/>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3、投标截止时间前(不含投标截止时间当月)由投标人或投标人在厦门区域的分支机构连续六个月为拟派人员缴纳的社保证明。</w:t>
            </w:r>
          </w:p>
          <w:p w14:paraId="06F62554">
            <w:pPr>
              <w:widowControl/>
              <w:spacing w:line="400" w:lineRule="exact"/>
              <w:jc w:val="left"/>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4、拟派人员职称证书复印件。</w:t>
            </w:r>
          </w:p>
          <w:p w14:paraId="3D6B094E">
            <w:pPr>
              <w:spacing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5、拟派人员从事招标代理工作年限证明材料。</w:t>
            </w:r>
          </w:p>
          <w:p w14:paraId="08BC0A74">
            <w:pPr>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6、投标人不得擅自变更拟任项目经理的承诺函。</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6FF8">
            <w:pPr>
              <w:spacing w:line="500" w:lineRule="exact"/>
              <w:jc w:val="center"/>
              <w:rPr>
                <w:rFonts w:hint="default" w:ascii="仿宋" w:hAnsi="仿宋" w:eastAsia="仿宋" w:cs="宋体"/>
                <w:color w:val="000000" w:themeColor="text1"/>
                <w:sz w:val="24"/>
                <w:szCs w:val="24"/>
                <w:highlight w:val="none"/>
                <w:lang w:val="en-US" w:eastAsia="zh-CN"/>
                <w14:textFill>
                  <w14:solidFill>
                    <w14:schemeClr w14:val="tx1"/>
                  </w14:solidFill>
                </w14:textFill>
              </w:rPr>
            </w:pPr>
            <w:r>
              <w:rPr>
                <w:rFonts w:hint="eastAsia" w:ascii="仿宋" w:hAnsi="仿宋" w:eastAsia="仿宋" w:cs="宋体"/>
                <w:color w:val="000000" w:themeColor="text1"/>
                <w:sz w:val="24"/>
                <w:szCs w:val="24"/>
                <w:highlight w:val="none"/>
                <w:lang w:val="en-US" w:eastAsia="zh-CN"/>
                <w14:textFill>
                  <w14:solidFill>
                    <w14:schemeClr w14:val="tx1"/>
                  </w14:solidFill>
                </w14:textFill>
              </w:rPr>
              <w:t>6</w:t>
            </w:r>
          </w:p>
        </w:tc>
      </w:tr>
      <w:tr w14:paraId="08840A1D">
        <w:tblPrEx>
          <w:tblCellMar>
            <w:top w:w="0" w:type="dxa"/>
            <w:left w:w="108" w:type="dxa"/>
            <w:bottom w:w="0" w:type="dxa"/>
            <w:right w:w="108" w:type="dxa"/>
          </w:tblCellMar>
        </w:tblPrEx>
        <w:trPr>
          <w:trHeight w:val="814"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35F7">
            <w:pPr>
              <w:widowControl/>
              <w:spacing w:line="400" w:lineRule="exact"/>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业绩</w:t>
            </w:r>
          </w:p>
        </w:tc>
        <w:tc>
          <w:tcPr>
            <w:tcW w:w="7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C529">
            <w:pPr>
              <w:widowControl/>
              <w:spacing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根据投标人自202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年1月1日以来成功代理的在中国政府采购网平台上发布中标公告的招标项目进行评价：</w:t>
            </w:r>
          </w:p>
          <w:p w14:paraId="5D5E6736">
            <w:pPr>
              <w:widowControl/>
              <w:spacing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sym w:font="Wingdings 2" w:char="F06A"/>
            </w:r>
            <w:r>
              <w:rPr>
                <w:rFonts w:hint="eastAsia" w:ascii="仿宋" w:hAnsi="仿宋" w:eastAsia="仿宋" w:cs="仿宋"/>
                <w:color w:val="000000" w:themeColor="text1"/>
                <w:sz w:val="24"/>
                <w:highlight w:val="none"/>
                <w14:textFill>
                  <w14:solidFill>
                    <w14:schemeClr w14:val="tx1"/>
                  </w14:solidFill>
                </w14:textFill>
              </w:rPr>
              <w:t>100万元≤单个招标项目中标金额＜500万元，每个项目得0.5分；</w:t>
            </w:r>
          </w:p>
          <w:p w14:paraId="45EB2F31">
            <w:pPr>
              <w:widowControl/>
              <w:spacing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②500万元≤单个招标项目中标金额＜1000万元，每个项目得1分；</w:t>
            </w:r>
          </w:p>
          <w:p w14:paraId="0B2B8086">
            <w:pPr>
              <w:widowControl/>
              <w:spacing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③单个招标项目中标金额≥1000万元，每个项目得2分；</w:t>
            </w:r>
          </w:p>
          <w:p w14:paraId="66437952">
            <w:pPr>
              <w:widowControl/>
              <w:spacing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以上三项满分</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分。</w:t>
            </w:r>
          </w:p>
          <w:p w14:paraId="0C7D6665">
            <w:pPr>
              <w:pStyle w:val="3"/>
              <w:spacing w:before="0" w:after="0" w:line="400" w:lineRule="exact"/>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投标人须提供“中国政府采购网”上发布的中标公告网页打印件，且能清晰体现招标代理单位名称、中标金额和网址，否则该项不得分。若中标公告上未能体现金额的应补充能体现金额的中标通知书或代理评价意见表等相关资料。</w:t>
            </w:r>
          </w:p>
          <w:p w14:paraId="4966977A">
            <w:pPr>
              <w:widowControl/>
              <w:spacing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根据投标人自202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年1月1日以来成功代理的在厦门市建设工程电子招投标交易平台（厦门市公共资源交易网）上发布中标公告的招标项目进行评价：</w:t>
            </w:r>
          </w:p>
          <w:p w14:paraId="15D8312D">
            <w:pPr>
              <w:widowControl/>
              <w:spacing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sym w:font="Wingdings 2" w:char="F06A"/>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00万元≤单个招标项目中标金额＜</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00万元，每个项目得0.5分，此项满分</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分；</w:t>
            </w:r>
          </w:p>
          <w:p w14:paraId="71601592">
            <w:pPr>
              <w:widowControl/>
              <w:spacing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②</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00万元≤单个招标项目中标金额＜1000万元，每个项目得1分，此项满分</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分；</w:t>
            </w:r>
          </w:p>
          <w:p w14:paraId="31BEC91A">
            <w:pPr>
              <w:widowControl/>
              <w:spacing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③单个招标项目中标金额≥1000万元，每个项目得2分，此项满分5分；</w:t>
            </w:r>
          </w:p>
          <w:p w14:paraId="6122D738">
            <w:pPr>
              <w:widowControl/>
              <w:spacing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以上三项满分</w:t>
            </w:r>
            <w:r>
              <w:rPr>
                <w:rFonts w:hint="eastAsia" w:ascii="仿宋" w:hAnsi="仿宋" w:eastAsia="仿宋" w:cs="仿宋"/>
                <w:color w:val="000000" w:themeColor="text1"/>
                <w:sz w:val="24"/>
                <w:highlight w:val="none"/>
                <w:lang w:val="en-US" w:eastAsia="zh-CN"/>
                <w14:textFill>
                  <w14:solidFill>
                    <w14:schemeClr w14:val="tx1"/>
                  </w14:solidFill>
                </w14:textFill>
              </w:rPr>
              <w:t>15</w:t>
            </w:r>
            <w:r>
              <w:rPr>
                <w:rFonts w:hint="eastAsia" w:ascii="仿宋" w:hAnsi="仿宋" w:eastAsia="仿宋" w:cs="仿宋"/>
                <w:color w:val="000000" w:themeColor="text1"/>
                <w:sz w:val="24"/>
                <w:highlight w:val="none"/>
                <w14:textFill>
                  <w14:solidFill>
                    <w14:schemeClr w14:val="tx1"/>
                  </w14:solidFill>
                </w14:textFill>
              </w:rPr>
              <w:t>分。</w:t>
            </w:r>
          </w:p>
          <w:p w14:paraId="3F4500A2">
            <w:pPr>
              <w:pStyle w:val="3"/>
              <w:spacing w:before="0" w:after="0" w:line="400" w:lineRule="exact"/>
              <w:rPr>
                <w:rFonts w:hint="eastAsia"/>
                <w:color w:val="000000" w:themeColor="text1"/>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投标人须提供“厦门市建设工程电子招投标交易平台”上发布的中标公告网页打印件，且能清晰体现招标代理单位名称、中标金额和网址，否则该项不得分。若中标公告上未能体现金额的应补充能体现金额的中标通知书或代理评价意见表等相关资料。</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8BCF">
            <w:pPr>
              <w:spacing w:line="500" w:lineRule="exact"/>
              <w:jc w:val="center"/>
              <w:rPr>
                <w:rFonts w:hint="default" w:ascii="仿宋" w:hAnsi="仿宋" w:eastAsia="仿宋" w:cs="宋体"/>
                <w:color w:val="000000" w:themeColor="text1"/>
                <w:sz w:val="24"/>
                <w:szCs w:val="24"/>
                <w:highlight w:val="none"/>
                <w:lang w:val="en-US" w:eastAsia="zh-CN"/>
                <w14:textFill>
                  <w14:solidFill>
                    <w14:schemeClr w14:val="tx1"/>
                  </w14:solidFill>
                </w14:textFill>
              </w:rPr>
            </w:pPr>
            <w:r>
              <w:rPr>
                <w:rFonts w:hint="eastAsia" w:ascii="仿宋" w:hAnsi="仿宋" w:eastAsia="仿宋" w:cs="宋体"/>
                <w:color w:val="000000" w:themeColor="text1"/>
                <w:sz w:val="24"/>
                <w:szCs w:val="24"/>
                <w:highlight w:val="none"/>
                <w:lang w:val="en-US" w:eastAsia="zh-CN"/>
                <w14:textFill>
                  <w14:solidFill>
                    <w14:schemeClr w14:val="tx1"/>
                  </w14:solidFill>
                </w14:textFill>
              </w:rPr>
              <w:t>20</w:t>
            </w:r>
          </w:p>
        </w:tc>
      </w:tr>
      <w:tr w14:paraId="6177D063">
        <w:tblPrEx>
          <w:tblCellMar>
            <w:top w:w="0" w:type="dxa"/>
            <w:left w:w="108" w:type="dxa"/>
            <w:bottom w:w="0" w:type="dxa"/>
            <w:right w:w="108" w:type="dxa"/>
          </w:tblCellMar>
        </w:tblPrEx>
        <w:trPr>
          <w:trHeight w:val="814"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1D8E">
            <w:pPr>
              <w:widowControl/>
              <w:spacing w:line="400" w:lineRule="exact"/>
              <w:jc w:val="left"/>
              <w:textAlignment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8、档案规整</w:t>
            </w:r>
          </w:p>
        </w:tc>
        <w:tc>
          <w:tcPr>
            <w:tcW w:w="7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EAB5">
            <w:pPr>
              <w:widowControl/>
              <w:spacing w:line="400" w:lineRule="exact"/>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根据投标人自2025年1月1日以来成功代理的在中国政府采购网平台上发布中标公告的招标项目的档案情况进行评价：</w:t>
            </w:r>
          </w:p>
          <w:p w14:paraId="4746455C">
            <w:pPr>
              <w:widowControl/>
              <w:spacing w:line="400" w:lineRule="exact"/>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sym w:font="Wingdings 2" w:char="F06A"/>
            </w:r>
            <w:r>
              <w:rPr>
                <w:rFonts w:hint="eastAsia" w:ascii="仿宋" w:hAnsi="仿宋" w:eastAsia="仿宋" w:cs="仿宋"/>
                <w:color w:val="000000" w:themeColor="text1"/>
                <w:sz w:val="24"/>
                <w:highlight w:val="none"/>
                <w:lang w:val="en-US" w:eastAsia="zh-CN"/>
                <w14:textFill>
                  <w14:solidFill>
                    <w14:schemeClr w14:val="tx1"/>
                  </w14:solidFill>
                </w14:textFill>
              </w:rPr>
              <w:t>投标人可同时对纸质档及电子档归档整理并移交招标人的，得3分，投标人需提供承诺书，否则不得分，承诺书格式自拟。</w:t>
            </w:r>
          </w:p>
          <w:p w14:paraId="10F3CF53">
            <w:pPr>
              <w:widowControl/>
              <w:spacing w:line="400" w:lineRule="exact"/>
              <w:jc w:val="left"/>
              <w:rPr>
                <w:rFonts w:hint="default" w:eastAsia="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②</w:t>
            </w:r>
            <w:r>
              <w:rPr>
                <w:rFonts w:hint="eastAsia" w:ascii="仿宋" w:hAnsi="仿宋" w:eastAsia="仿宋" w:cs="仿宋"/>
                <w:color w:val="000000" w:themeColor="text1"/>
                <w:sz w:val="24"/>
                <w:highlight w:val="none"/>
                <w:lang w:val="en-US" w:eastAsia="zh-CN"/>
                <w14:textFill>
                  <w14:solidFill>
                    <w14:schemeClr w14:val="tx1"/>
                  </w14:solidFill>
                </w14:textFill>
              </w:rPr>
              <w:t>根据投标人档案整理规范、完善情况，优秀的得[9-12]，良好的得[5-8]，一般的得[0-4]，投标人需提供归档目录及对应文本格式，否则不得分。</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D9B5">
            <w:pPr>
              <w:spacing w:line="500" w:lineRule="exact"/>
              <w:jc w:val="center"/>
              <w:rPr>
                <w:rFonts w:hint="default" w:ascii="仿宋" w:hAnsi="仿宋" w:eastAsia="仿宋" w:cs="宋体"/>
                <w:color w:val="000000" w:themeColor="text1"/>
                <w:sz w:val="24"/>
                <w:szCs w:val="24"/>
                <w:highlight w:val="none"/>
                <w:lang w:val="en-US" w:eastAsia="zh-CN"/>
                <w14:textFill>
                  <w14:solidFill>
                    <w14:schemeClr w14:val="tx1"/>
                  </w14:solidFill>
                </w14:textFill>
              </w:rPr>
            </w:pPr>
            <w:r>
              <w:rPr>
                <w:rFonts w:hint="eastAsia" w:ascii="仿宋" w:hAnsi="仿宋" w:eastAsia="仿宋" w:cs="宋体"/>
                <w:color w:val="000000" w:themeColor="text1"/>
                <w:sz w:val="24"/>
                <w:szCs w:val="24"/>
                <w:highlight w:val="none"/>
                <w:lang w:val="en-US" w:eastAsia="zh-CN"/>
                <w14:textFill>
                  <w14:solidFill>
                    <w14:schemeClr w14:val="tx1"/>
                  </w14:solidFill>
                </w14:textFill>
              </w:rPr>
              <w:t>15</w:t>
            </w:r>
          </w:p>
        </w:tc>
      </w:tr>
    </w:tbl>
    <w:p w14:paraId="43F2632C">
      <w:pPr>
        <w:widowControl/>
        <w:spacing w:line="500" w:lineRule="exact"/>
        <w:jc w:val="left"/>
        <w:rPr>
          <w:rFonts w:ascii="仿宋" w:hAnsi="仿宋" w:eastAsia="仿宋" w:cs="宋体"/>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lang w:val="en-US" w:eastAsia="zh-CN"/>
          <w14:textFill>
            <w14:solidFill>
              <w14:schemeClr w14:val="tx1"/>
            </w14:solidFill>
          </w14:textFill>
        </w:rPr>
        <w:t>B</w:t>
      </w:r>
      <w:r>
        <w:rPr>
          <w:rFonts w:hint="eastAsia" w:ascii="仿宋" w:hAnsi="仿宋" w:eastAsia="仿宋" w:cs="宋体"/>
          <w:color w:val="000000" w:themeColor="text1"/>
          <w:sz w:val="32"/>
          <w:szCs w:val="32"/>
          <w:highlight w:val="none"/>
          <w14:textFill>
            <w14:solidFill>
              <w14:schemeClr w14:val="tx1"/>
            </w14:solidFill>
          </w14:textFill>
        </w:rPr>
        <w:t>:报价评分标准(满分</w:t>
      </w:r>
      <w:r>
        <w:rPr>
          <w:rFonts w:hint="eastAsia" w:ascii="仿宋" w:hAnsi="仿宋" w:eastAsia="仿宋" w:cs="宋体"/>
          <w:color w:val="000000" w:themeColor="text1"/>
          <w:sz w:val="32"/>
          <w:szCs w:val="32"/>
          <w:highlight w:val="none"/>
          <w:lang w:val="en-US" w:eastAsia="zh-CN"/>
          <w14:textFill>
            <w14:solidFill>
              <w14:schemeClr w14:val="tx1"/>
            </w14:solidFill>
          </w14:textFill>
        </w:rPr>
        <w:t>40</w:t>
      </w:r>
      <w:r>
        <w:rPr>
          <w:rFonts w:hint="eastAsia" w:ascii="仿宋" w:hAnsi="仿宋" w:eastAsia="仿宋" w:cs="宋体"/>
          <w:color w:val="000000" w:themeColor="text1"/>
          <w:sz w:val="32"/>
          <w:szCs w:val="32"/>
          <w:highlight w:val="none"/>
          <w14:textFill>
            <w14:solidFill>
              <w14:schemeClr w14:val="tx1"/>
            </w14:solidFill>
          </w14:textFill>
        </w:rPr>
        <w:t>分)</w:t>
      </w:r>
    </w:p>
    <w:p w14:paraId="2D9FE66E">
      <w:pPr>
        <w:spacing w:line="500" w:lineRule="exact"/>
        <w:ind w:firstLine="640" w:firstLineChars="200"/>
        <w:rPr>
          <w:rFonts w:ascii="仿宋" w:hAnsi="仿宋" w:eastAsia="仿宋" w:cs="宋体"/>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14:textFill>
            <w14:solidFill>
              <w14:schemeClr w14:val="tx1"/>
            </w14:solidFill>
          </w14:textFill>
        </w:rPr>
        <w:t>有效投标报价中取报价最低</w:t>
      </w:r>
      <w:r>
        <w:rPr>
          <w:rFonts w:hint="eastAsia" w:ascii="仿宋" w:hAnsi="仿宋" w:eastAsia="仿宋" w:cs="宋体"/>
          <w:color w:val="000000" w:themeColor="text1"/>
          <w:sz w:val="32"/>
          <w:szCs w:val="32"/>
          <w:highlight w:val="none"/>
          <w:lang w:val="en-US" w:eastAsia="zh-CN"/>
          <w14:textFill>
            <w14:solidFill>
              <w14:schemeClr w14:val="tx1"/>
            </w14:solidFill>
          </w14:textFill>
        </w:rPr>
        <w:t>折扣</w:t>
      </w:r>
      <w:r>
        <w:rPr>
          <w:rFonts w:hint="eastAsia" w:ascii="仿宋" w:hAnsi="仿宋" w:eastAsia="仿宋" w:cs="宋体"/>
          <w:color w:val="000000" w:themeColor="text1"/>
          <w:sz w:val="32"/>
          <w:szCs w:val="32"/>
          <w:highlight w:val="none"/>
          <w14:textFill>
            <w14:solidFill>
              <w14:schemeClr w14:val="tx1"/>
            </w14:solidFill>
          </w14:textFill>
        </w:rPr>
        <w:t>的做为基准价，其价格分为满分。其他投标人的价格分统一按照公式：投标报价得分=</w:t>
      </w:r>
      <w:r>
        <w:rPr>
          <w:rFonts w:hint="eastAsia" w:ascii="仿宋" w:hAnsi="仿宋" w:eastAsia="仿宋" w:cs="宋体"/>
          <w:color w:val="000000" w:themeColor="text1"/>
          <w:sz w:val="32"/>
          <w:szCs w:val="32"/>
          <w:highlight w:val="none"/>
          <w:lang w:val="en-US" w:eastAsia="zh-CN"/>
          <w14:textFill>
            <w14:solidFill>
              <w14:schemeClr w14:val="tx1"/>
            </w14:solidFill>
          </w14:textFill>
        </w:rPr>
        <w:t>40</w:t>
      </w:r>
      <w:r>
        <w:rPr>
          <w:rFonts w:hint="eastAsia" w:ascii="仿宋" w:hAnsi="仿宋" w:eastAsia="仿宋" w:cs="宋体"/>
          <w:color w:val="000000" w:themeColor="text1"/>
          <w:sz w:val="32"/>
          <w:szCs w:val="32"/>
          <w:highlight w:val="none"/>
          <w14:textFill>
            <w14:solidFill>
              <w14:schemeClr w14:val="tx1"/>
            </w14:solidFill>
          </w14:textFill>
        </w:rPr>
        <w:t>×基准价/投标人的投标报价。</w:t>
      </w:r>
    </w:p>
    <w:p w14:paraId="2D4C04C6">
      <w:pPr>
        <w:spacing w:line="500" w:lineRule="exact"/>
        <w:ind w:firstLine="640" w:firstLineChars="200"/>
        <w:rPr>
          <w:rFonts w:ascii="黑体" w:hAnsi="黑体" w:eastAsia="黑体" w:cs="宋体"/>
          <w:bCs/>
          <w:color w:val="000000" w:themeColor="text1"/>
          <w:sz w:val="32"/>
          <w:szCs w:val="32"/>
          <w:highlight w:val="none"/>
          <w14:textFill>
            <w14:solidFill>
              <w14:schemeClr w14:val="tx1"/>
            </w14:solidFill>
          </w14:textFill>
        </w:rPr>
      </w:pPr>
      <w:r>
        <w:rPr>
          <w:rFonts w:hint="eastAsia" w:ascii="黑体" w:hAnsi="黑体" w:eastAsia="黑体" w:cs="宋体"/>
          <w:bCs/>
          <w:color w:val="000000" w:themeColor="text1"/>
          <w:sz w:val="32"/>
          <w:szCs w:val="32"/>
          <w:highlight w:val="none"/>
          <w:lang w:val="en-US" w:eastAsia="zh-CN"/>
          <w14:textFill>
            <w14:solidFill>
              <w14:schemeClr w14:val="tx1"/>
            </w14:solidFill>
          </w14:textFill>
        </w:rPr>
        <w:t>七、</w:t>
      </w:r>
      <w:r>
        <w:rPr>
          <w:rFonts w:hint="eastAsia" w:ascii="黑体" w:hAnsi="黑体" w:eastAsia="黑体" w:cs="宋体"/>
          <w:bCs/>
          <w:color w:val="000000" w:themeColor="text1"/>
          <w:sz w:val="32"/>
          <w:szCs w:val="32"/>
          <w:highlight w:val="none"/>
          <w14:textFill>
            <w14:solidFill>
              <w14:schemeClr w14:val="tx1"/>
            </w14:solidFill>
          </w14:textFill>
        </w:rPr>
        <w:t>执行</w:t>
      </w:r>
    </w:p>
    <w:p w14:paraId="48EA4FA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s="宋体"/>
          <w:color w:val="000000" w:themeColor="text1"/>
          <w:sz w:val="32"/>
          <w:szCs w:val="32"/>
          <w:highlight w:val="none"/>
          <w14:textFill>
            <w14:solidFill>
              <w14:schemeClr w14:val="tx1"/>
            </w14:solidFill>
          </w14:textFill>
        </w:rPr>
        <w:t>1.</w:t>
      </w:r>
      <w:r>
        <w:rPr>
          <w:rFonts w:hint="eastAsia" w:ascii="仿宋" w:hAnsi="仿宋" w:eastAsia="仿宋" w:cs="宋体"/>
          <w:color w:val="000000" w:themeColor="text1"/>
          <w:sz w:val="32"/>
          <w:szCs w:val="32"/>
          <w:highlight w:val="none"/>
          <w14:textFill>
            <w14:solidFill>
              <w14:schemeClr w14:val="tx1"/>
            </w14:solidFill>
          </w14:textFill>
        </w:rPr>
        <w:t>中标人凭中标通知书，原则上应在三个工作日内到招标方签订项目合同。</w:t>
      </w:r>
    </w:p>
    <w:p w14:paraId="0B330B2A">
      <w:pPr>
        <w:spacing w:line="500" w:lineRule="exact"/>
        <w:ind w:firstLine="640" w:firstLineChars="200"/>
        <w:rPr>
          <w:rFonts w:hint="default" w:ascii="仿宋" w:hAnsi="仿宋" w:eastAsia="仿宋" w:cs="宋体"/>
          <w:color w:val="000000" w:themeColor="text1"/>
          <w:sz w:val="32"/>
          <w:szCs w:val="32"/>
          <w:highlight w:val="none"/>
          <w:lang w:val="en-US" w:eastAsia="zh-CN"/>
          <w14:textFill>
            <w14:solidFill>
              <w14:schemeClr w14:val="tx1"/>
            </w14:solidFill>
          </w14:textFill>
        </w:rPr>
      </w:pPr>
      <w:r>
        <w:rPr>
          <w:rFonts w:hint="eastAsia" w:ascii="仿宋" w:hAnsi="仿宋" w:eastAsia="仿宋" w:cs="宋体"/>
          <w:color w:val="000000" w:themeColor="text1"/>
          <w:sz w:val="32"/>
          <w:szCs w:val="32"/>
          <w:highlight w:val="none"/>
          <w:lang w:val="en-US" w:eastAsia="zh-CN"/>
          <w14:textFill>
            <w14:solidFill>
              <w14:schemeClr w14:val="tx1"/>
            </w14:solidFill>
          </w14:textFill>
        </w:rPr>
        <w:t>2.根据不同项目采取不同收费方式，一是我司委托招标代理机构代理招标依法应当公开招标并在“福建省公共资源交易电子行政监督平台”、“厦门市建设工程电子招投标交易平台”发布招标信息的项目，如单项合同估算价在 200万元（含）人民币以上的固定资产购置项目等，由招标人支付代理服务费，于招标代理项目结束后开票30日内完成支付。二是非在“福建省公共资源交易电子行政监督平台”、“厦门市建设工程电子招投标交易平台”发布招标信息的其他招标代理项目，由招标代理单位向中标单位收取。</w:t>
      </w:r>
    </w:p>
    <w:p w14:paraId="3174A6E1">
      <w:pPr>
        <w:spacing w:line="500" w:lineRule="exact"/>
        <w:ind w:firstLine="640" w:firstLineChars="200"/>
        <w:rPr>
          <w:rFonts w:ascii="黑体" w:hAnsi="黑体" w:eastAsia="黑体" w:cs="宋体"/>
          <w:bCs/>
          <w:color w:val="000000" w:themeColor="text1"/>
          <w:sz w:val="32"/>
          <w:szCs w:val="32"/>
          <w:highlight w:val="none"/>
          <w14:textFill>
            <w14:solidFill>
              <w14:schemeClr w14:val="tx1"/>
            </w14:solidFill>
          </w14:textFill>
        </w:rPr>
      </w:pPr>
      <w:r>
        <w:rPr>
          <w:rFonts w:hint="eastAsia" w:ascii="黑体" w:hAnsi="黑体" w:eastAsia="黑体" w:cs="宋体"/>
          <w:bCs/>
          <w:color w:val="000000" w:themeColor="text1"/>
          <w:sz w:val="32"/>
          <w:szCs w:val="32"/>
          <w:highlight w:val="none"/>
          <w:lang w:val="en-US" w:eastAsia="zh-CN"/>
          <w14:textFill>
            <w14:solidFill>
              <w14:schemeClr w14:val="tx1"/>
            </w14:solidFill>
          </w14:textFill>
        </w:rPr>
        <w:t>八、</w:t>
      </w:r>
      <w:r>
        <w:rPr>
          <w:rFonts w:hint="eastAsia" w:ascii="黑体" w:hAnsi="黑体" w:eastAsia="黑体" w:cs="宋体"/>
          <w:bCs/>
          <w:color w:val="000000" w:themeColor="text1"/>
          <w:sz w:val="32"/>
          <w:szCs w:val="32"/>
          <w:highlight w:val="none"/>
          <w14:textFill>
            <w14:solidFill>
              <w14:schemeClr w14:val="tx1"/>
            </w14:solidFill>
          </w14:textFill>
        </w:rPr>
        <w:t>以下投标文件无效</w:t>
      </w:r>
      <w:bookmarkStart w:id="0" w:name="_GoBack"/>
      <w:bookmarkEnd w:id="0"/>
      <w:r>
        <w:rPr>
          <w:rFonts w:hint="eastAsia" w:ascii="黑体" w:hAnsi="黑体" w:eastAsia="黑体" w:cs="宋体"/>
          <w:bCs/>
          <w:color w:val="000000" w:themeColor="text1"/>
          <w:sz w:val="32"/>
          <w:szCs w:val="32"/>
          <w:highlight w:val="none"/>
          <w14:textFill>
            <w14:solidFill>
              <w14:schemeClr w14:val="tx1"/>
            </w14:solidFill>
          </w14:textFill>
        </w:rPr>
        <w:t>：</w:t>
      </w:r>
    </w:p>
    <w:p w14:paraId="2D80FFE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提交时间超过截止日期，●投标报价高于设定限价，●无法提供本规则要求的合法证件，●投标人信息填写不清，●投标文件未签盖投标人印章的，●投标文件未按规定密封的，●其他不符合本规则要求的文件。</w:t>
      </w:r>
    </w:p>
    <w:p w14:paraId="493E7C6C">
      <w:pPr>
        <w:spacing w:line="500" w:lineRule="exact"/>
        <w:ind w:firstLine="640" w:firstLineChars="200"/>
        <w:rPr>
          <w:rFonts w:ascii="黑体" w:hAnsi="黑体" w:eastAsia="黑体" w:cs="宋体"/>
          <w:bCs/>
          <w:color w:val="000000" w:themeColor="text1"/>
          <w:sz w:val="32"/>
          <w:szCs w:val="32"/>
          <w:highlight w:val="none"/>
          <w14:textFill>
            <w14:solidFill>
              <w14:schemeClr w14:val="tx1"/>
            </w14:solidFill>
          </w14:textFill>
        </w:rPr>
      </w:pPr>
      <w:r>
        <w:rPr>
          <w:rFonts w:hint="eastAsia" w:ascii="黑体" w:hAnsi="黑体" w:eastAsia="黑体" w:cs="宋体"/>
          <w:bCs/>
          <w:color w:val="000000" w:themeColor="text1"/>
          <w:sz w:val="32"/>
          <w:szCs w:val="32"/>
          <w:highlight w:val="none"/>
          <w:lang w:val="en-US" w:eastAsia="zh-CN"/>
          <w14:textFill>
            <w14:solidFill>
              <w14:schemeClr w14:val="tx1"/>
            </w14:solidFill>
          </w14:textFill>
        </w:rPr>
        <w:t>九、</w:t>
      </w:r>
      <w:r>
        <w:rPr>
          <w:rFonts w:hint="eastAsia" w:ascii="黑体" w:hAnsi="黑体" w:eastAsia="黑体" w:cs="宋体"/>
          <w:bCs/>
          <w:color w:val="000000" w:themeColor="text1"/>
          <w:sz w:val="32"/>
          <w:szCs w:val="32"/>
          <w:highlight w:val="none"/>
          <w14:textFill>
            <w14:solidFill>
              <w14:schemeClr w14:val="tx1"/>
            </w14:solidFill>
          </w14:textFill>
        </w:rPr>
        <w:t>联系方式</w:t>
      </w:r>
    </w:p>
    <w:p w14:paraId="48B86329">
      <w:pPr>
        <w:spacing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宋体"/>
          <w:color w:val="000000" w:themeColor="text1"/>
          <w:sz w:val="32"/>
          <w:szCs w:val="32"/>
          <w:highlight w:val="none"/>
          <w14:textFill>
            <w14:solidFill>
              <w14:schemeClr w14:val="tx1"/>
            </w14:solidFill>
          </w14:textFill>
        </w:rPr>
        <w:t>经办人：</w:t>
      </w:r>
      <w:r>
        <w:rPr>
          <w:rFonts w:hint="eastAsia" w:ascii="仿宋" w:hAnsi="仿宋" w:eastAsia="仿宋" w:cs="宋体"/>
          <w:color w:val="000000" w:themeColor="text1"/>
          <w:sz w:val="32"/>
          <w:szCs w:val="32"/>
          <w:highlight w:val="none"/>
          <w:lang w:val="en-US" w:eastAsia="zh-CN"/>
          <w14:textFill>
            <w14:solidFill>
              <w14:schemeClr w14:val="tx1"/>
            </w14:solidFill>
          </w14:textFill>
        </w:rPr>
        <w:t>严琪薇</w:t>
      </w:r>
      <w:r>
        <w:rPr>
          <w:rFonts w:hint="eastAsia" w:ascii="仿宋" w:hAnsi="仿宋" w:eastAsia="仿宋" w:cs="宋体"/>
          <w:color w:val="000000" w:themeColor="text1"/>
          <w:sz w:val="32"/>
          <w:szCs w:val="32"/>
          <w:highlight w:val="none"/>
          <w14:textFill>
            <w14:solidFill>
              <w14:schemeClr w14:val="tx1"/>
            </w14:solidFill>
          </w14:textFill>
        </w:rPr>
        <w:t xml:space="preserve"> 联系电话：</w:t>
      </w:r>
      <w:r>
        <w:rPr>
          <w:rFonts w:ascii="仿宋" w:hAnsi="仿宋" w:eastAsia="仿宋" w:cs="宋体"/>
          <w:color w:val="000000" w:themeColor="text1"/>
          <w:sz w:val="32"/>
          <w:szCs w:val="32"/>
          <w:highlight w:val="none"/>
          <w14:textFill>
            <w14:solidFill>
              <w14:schemeClr w14:val="tx1"/>
            </w14:solidFill>
          </w14:textFill>
        </w:rPr>
        <w:t>1</w:t>
      </w:r>
      <w:r>
        <w:rPr>
          <w:rFonts w:hint="eastAsia" w:ascii="仿宋" w:hAnsi="仿宋" w:eastAsia="仿宋" w:cs="宋体"/>
          <w:color w:val="000000" w:themeColor="text1"/>
          <w:sz w:val="32"/>
          <w:szCs w:val="32"/>
          <w:highlight w:val="none"/>
          <w:lang w:val="en-US" w:eastAsia="zh-CN"/>
          <w14:textFill>
            <w14:solidFill>
              <w14:schemeClr w14:val="tx1"/>
            </w14:solidFill>
          </w14:textFill>
        </w:rPr>
        <w:t>5205962511</w:t>
      </w:r>
    </w:p>
    <w:p w14:paraId="748AB00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p>
    <w:p w14:paraId="00C1FED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p>
    <w:p w14:paraId="2857E197">
      <w:pPr>
        <w:spacing w:line="500" w:lineRule="exact"/>
        <w:ind w:firstLine="640" w:firstLineChars="200"/>
        <w:jc w:val="righ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14:textFill>
            <w14:solidFill>
              <w14:schemeClr w14:val="tx1"/>
            </w14:solidFill>
          </w14:textFill>
        </w:rPr>
        <w:t>厦门三圈电池有限公司</w:t>
      </w:r>
    </w:p>
    <w:p w14:paraId="6BF08E0C">
      <w:pPr>
        <w:spacing w:line="500" w:lineRule="exact"/>
        <w:ind w:firstLine="640" w:firstLineChars="200"/>
        <w:jc w:val="right"/>
        <w:rPr>
          <w:rFonts w:ascii="仿宋" w:hAnsi="仿宋" w:eastAsia="仿宋" w:cs="宋体"/>
          <w:color w:val="000000" w:themeColor="text1"/>
          <w:sz w:val="32"/>
          <w:szCs w:val="32"/>
          <w:highlight w:val="none"/>
          <w14:textFill>
            <w14:solidFill>
              <w14:schemeClr w14:val="tx1"/>
            </w14:solidFill>
          </w14:textFill>
        </w:rPr>
      </w:pPr>
      <w:r>
        <w:rPr>
          <w:rFonts w:ascii="仿宋" w:hAnsi="仿宋" w:eastAsia="仿宋" w:cs="宋体"/>
          <w:color w:val="000000" w:themeColor="text1"/>
          <w:sz w:val="32"/>
          <w:szCs w:val="32"/>
          <w:highlight w:val="none"/>
          <w14:textFill>
            <w14:solidFill>
              <w14:schemeClr w14:val="tx1"/>
            </w14:solidFill>
          </w14:textFill>
        </w:rPr>
        <w:t>202</w:t>
      </w:r>
      <w:r>
        <w:rPr>
          <w:rFonts w:hint="eastAsia" w:ascii="仿宋" w:hAnsi="仿宋" w:eastAsia="仿宋" w:cs="宋体"/>
          <w:color w:val="000000" w:themeColor="text1"/>
          <w:sz w:val="32"/>
          <w:szCs w:val="32"/>
          <w:highlight w:val="none"/>
          <w:lang w:val="en-US" w:eastAsia="zh-CN"/>
          <w14:textFill>
            <w14:solidFill>
              <w14:schemeClr w14:val="tx1"/>
            </w14:solidFill>
          </w14:textFill>
        </w:rPr>
        <w:t>6</w:t>
      </w:r>
      <w:r>
        <w:rPr>
          <w:rFonts w:ascii="仿宋" w:hAnsi="仿宋" w:eastAsia="仿宋" w:cs="宋体"/>
          <w:color w:val="000000" w:themeColor="text1"/>
          <w:sz w:val="32"/>
          <w:szCs w:val="32"/>
          <w:highlight w:val="none"/>
          <w14:textFill>
            <w14:solidFill>
              <w14:schemeClr w14:val="tx1"/>
            </w14:solidFill>
          </w14:textFill>
        </w:rPr>
        <w:t>年</w:t>
      </w:r>
      <w:r>
        <w:rPr>
          <w:rFonts w:hint="eastAsia" w:ascii="仿宋" w:hAnsi="仿宋" w:eastAsia="仿宋" w:cs="宋体"/>
          <w:color w:val="000000" w:themeColor="text1"/>
          <w:sz w:val="32"/>
          <w:szCs w:val="32"/>
          <w:highlight w:val="none"/>
          <w:lang w:val="en-US" w:eastAsia="zh-CN"/>
          <w14:textFill>
            <w14:solidFill>
              <w14:schemeClr w14:val="tx1"/>
            </w14:solidFill>
          </w14:textFill>
        </w:rPr>
        <w:t>3</w:t>
      </w:r>
      <w:r>
        <w:rPr>
          <w:rFonts w:ascii="仿宋" w:hAnsi="仿宋" w:eastAsia="仿宋" w:cs="宋体"/>
          <w:color w:val="000000" w:themeColor="text1"/>
          <w:sz w:val="32"/>
          <w:szCs w:val="32"/>
          <w:highlight w:val="none"/>
          <w14:textFill>
            <w14:solidFill>
              <w14:schemeClr w14:val="tx1"/>
            </w14:solidFill>
          </w14:textFill>
        </w:rPr>
        <w:t>月</w:t>
      </w:r>
      <w:r>
        <w:rPr>
          <w:rFonts w:hint="eastAsia" w:ascii="仿宋" w:hAnsi="仿宋" w:eastAsia="仿宋" w:cs="宋体"/>
          <w:color w:val="000000" w:themeColor="text1"/>
          <w:sz w:val="32"/>
          <w:szCs w:val="32"/>
          <w:highlight w:val="none"/>
          <w:lang w:val="en-US" w:eastAsia="zh-CN"/>
          <w14:textFill>
            <w14:solidFill>
              <w14:schemeClr w14:val="tx1"/>
            </w14:solidFill>
          </w14:textFill>
        </w:rPr>
        <w:t>3</w:t>
      </w:r>
      <w:r>
        <w:rPr>
          <w:rFonts w:hint="eastAsia" w:ascii="仿宋" w:hAnsi="仿宋" w:eastAsia="仿宋" w:cs="宋体"/>
          <w:color w:val="000000" w:themeColor="text1"/>
          <w:sz w:val="32"/>
          <w:szCs w:val="32"/>
          <w:highlight w:val="none"/>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UzM2JmOTg1MjVjNDkzNWVmNTkzNzUyMDRkNTRjMTkifQ=="/>
  </w:docVars>
  <w:rsids>
    <w:rsidRoot w:val="00A61541"/>
    <w:rsid w:val="00002B7A"/>
    <w:rsid w:val="000108CB"/>
    <w:rsid w:val="00011130"/>
    <w:rsid w:val="00023795"/>
    <w:rsid w:val="00036AB4"/>
    <w:rsid w:val="0004612F"/>
    <w:rsid w:val="0006332A"/>
    <w:rsid w:val="00065116"/>
    <w:rsid w:val="00066DC4"/>
    <w:rsid w:val="0007646E"/>
    <w:rsid w:val="00081C09"/>
    <w:rsid w:val="00086235"/>
    <w:rsid w:val="0009305D"/>
    <w:rsid w:val="00093BAA"/>
    <w:rsid w:val="00095814"/>
    <w:rsid w:val="000B652B"/>
    <w:rsid w:val="000C20D3"/>
    <w:rsid w:val="000C25EF"/>
    <w:rsid w:val="000C5725"/>
    <w:rsid w:val="000D32A7"/>
    <w:rsid w:val="000D33EB"/>
    <w:rsid w:val="000E77BA"/>
    <w:rsid w:val="000F4E2D"/>
    <w:rsid w:val="000F736B"/>
    <w:rsid w:val="001044F4"/>
    <w:rsid w:val="00110BD6"/>
    <w:rsid w:val="00114EF0"/>
    <w:rsid w:val="00120B11"/>
    <w:rsid w:val="00121C4B"/>
    <w:rsid w:val="00127871"/>
    <w:rsid w:val="00140545"/>
    <w:rsid w:val="00146ADB"/>
    <w:rsid w:val="00151046"/>
    <w:rsid w:val="001522D2"/>
    <w:rsid w:val="00156509"/>
    <w:rsid w:val="00157BB5"/>
    <w:rsid w:val="00166691"/>
    <w:rsid w:val="00167D92"/>
    <w:rsid w:val="00173FA1"/>
    <w:rsid w:val="001800D5"/>
    <w:rsid w:val="00183457"/>
    <w:rsid w:val="001A5259"/>
    <w:rsid w:val="001B1183"/>
    <w:rsid w:val="001B3122"/>
    <w:rsid w:val="001B4CF8"/>
    <w:rsid w:val="001C0734"/>
    <w:rsid w:val="001C3900"/>
    <w:rsid w:val="001C6032"/>
    <w:rsid w:val="001D487E"/>
    <w:rsid w:val="001D57F8"/>
    <w:rsid w:val="001D6149"/>
    <w:rsid w:val="001E78F1"/>
    <w:rsid w:val="001F1747"/>
    <w:rsid w:val="00201CBD"/>
    <w:rsid w:val="00211D1D"/>
    <w:rsid w:val="00215E06"/>
    <w:rsid w:val="00216856"/>
    <w:rsid w:val="00230454"/>
    <w:rsid w:val="00232744"/>
    <w:rsid w:val="00240F5E"/>
    <w:rsid w:val="00243F82"/>
    <w:rsid w:val="00246F9E"/>
    <w:rsid w:val="00247E5F"/>
    <w:rsid w:val="00255E31"/>
    <w:rsid w:val="00266108"/>
    <w:rsid w:val="00266A48"/>
    <w:rsid w:val="00274319"/>
    <w:rsid w:val="00284675"/>
    <w:rsid w:val="00293CA7"/>
    <w:rsid w:val="002940E4"/>
    <w:rsid w:val="002A3B68"/>
    <w:rsid w:val="002B340F"/>
    <w:rsid w:val="002C5CC7"/>
    <w:rsid w:val="002D3110"/>
    <w:rsid w:val="002D434F"/>
    <w:rsid w:val="002E241D"/>
    <w:rsid w:val="002E356B"/>
    <w:rsid w:val="002F1B93"/>
    <w:rsid w:val="002F6CCE"/>
    <w:rsid w:val="002F73A1"/>
    <w:rsid w:val="0031018C"/>
    <w:rsid w:val="00315CD7"/>
    <w:rsid w:val="00321865"/>
    <w:rsid w:val="00321F51"/>
    <w:rsid w:val="00325BD7"/>
    <w:rsid w:val="00333E9D"/>
    <w:rsid w:val="00340DDE"/>
    <w:rsid w:val="00343712"/>
    <w:rsid w:val="0034522F"/>
    <w:rsid w:val="00350DB8"/>
    <w:rsid w:val="0035167A"/>
    <w:rsid w:val="003556D3"/>
    <w:rsid w:val="00364D61"/>
    <w:rsid w:val="0037649F"/>
    <w:rsid w:val="00384609"/>
    <w:rsid w:val="003906B8"/>
    <w:rsid w:val="00392628"/>
    <w:rsid w:val="003A2B86"/>
    <w:rsid w:val="003A75BE"/>
    <w:rsid w:val="003B3456"/>
    <w:rsid w:val="003B6F0C"/>
    <w:rsid w:val="003C5CBD"/>
    <w:rsid w:val="003C626F"/>
    <w:rsid w:val="003D1E9E"/>
    <w:rsid w:val="003D5AD1"/>
    <w:rsid w:val="003E7EF4"/>
    <w:rsid w:val="00400BCF"/>
    <w:rsid w:val="00403686"/>
    <w:rsid w:val="0041052A"/>
    <w:rsid w:val="00414EA0"/>
    <w:rsid w:val="00425E34"/>
    <w:rsid w:val="00427CFF"/>
    <w:rsid w:val="00447EA1"/>
    <w:rsid w:val="004532D4"/>
    <w:rsid w:val="00454DDF"/>
    <w:rsid w:val="00460E69"/>
    <w:rsid w:val="00461749"/>
    <w:rsid w:val="00463926"/>
    <w:rsid w:val="00472AED"/>
    <w:rsid w:val="004A2C57"/>
    <w:rsid w:val="004A3E52"/>
    <w:rsid w:val="004A3FE3"/>
    <w:rsid w:val="004B6FFA"/>
    <w:rsid w:val="004C3106"/>
    <w:rsid w:val="004C7445"/>
    <w:rsid w:val="004D3743"/>
    <w:rsid w:val="004D5D7E"/>
    <w:rsid w:val="004E6191"/>
    <w:rsid w:val="004E6929"/>
    <w:rsid w:val="004F2A30"/>
    <w:rsid w:val="004F7990"/>
    <w:rsid w:val="004F7B16"/>
    <w:rsid w:val="00505F7A"/>
    <w:rsid w:val="00507BFF"/>
    <w:rsid w:val="00511760"/>
    <w:rsid w:val="00512404"/>
    <w:rsid w:val="00524A18"/>
    <w:rsid w:val="00542DE3"/>
    <w:rsid w:val="00543580"/>
    <w:rsid w:val="005474CE"/>
    <w:rsid w:val="00551697"/>
    <w:rsid w:val="0055619A"/>
    <w:rsid w:val="00564CBA"/>
    <w:rsid w:val="00564E8E"/>
    <w:rsid w:val="00566943"/>
    <w:rsid w:val="00566F36"/>
    <w:rsid w:val="0057309E"/>
    <w:rsid w:val="0057558B"/>
    <w:rsid w:val="00576291"/>
    <w:rsid w:val="005778F4"/>
    <w:rsid w:val="005A05CD"/>
    <w:rsid w:val="005A5FDD"/>
    <w:rsid w:val="005A7764"/>
    <w:rsid w:val="005B6271"/>
    <w:rsid w:val="005C1D78"/>
    <w:rsid w:val="005E3C0A"/>
    <w:rsid w:val="005E613D"/>
    <w:rsid w:val="005E74A6"/>
    <w:rsid w:val="006053F1"/>
    <w:rsid w:val="00606AC0"/>
    <w:rsid w:val="00616518"/>
    <w:rsid w:val="006265AC"/>
    <w:rsid w:val="006470B0"/>
    <w:rsid w:val="00651CA7"/>
    <w:rsid w:val="00670B42"/>
    <w:rsid w:val="0067352D"/>
    <w:rsid w:val="00680646"/>
    <w:rsid w:val="006A51FD"/>
    <w:rsid w:val="006C466D"/>
    <w:rsid w:val="006C6046"/>
    <w:rsid w:val="006F09BD"/>
    <w:rsid w:val="00701035"/>
    <w:rsid w:val="007016DA"/>
    <w:rsid w:val="0071034C"/>
    <w:rsid w:val="00724C00"/>
    <w:rsid w:val="00747E51"/>
    <w:rsid w:val="00752803"/>
    <w:rsid w:val="00755C49"/>
    <w:rsid w:val="007612B7"/>
    <w:rsid w:val="007845EB"/>
    <w:rsid w:val="00795DDD"/>
    <w:rsid w:val="007A1E1F"/>
    <w:rsid w:val="007B320C"/>
    <w:rsid w:val="007B7CFA"/>
    <w:rsid w:val="007C20FA"/>
    <w:rsid w:val="007C29E6"/>
    <w:rsid w:val="007D0DDC"/>
    <w:rsid w:val="007D1605"/>
    <w:rsid w:val="00805D38"/>
    <w:rsid w:val="00813E80"/>
    <w:rsid w:val="00814B44"/>
    <w:rsid w:val="00821B36"/>
    <w:rsid w:val="00821C40"/>
    <w:rsid w:val="00825685"/>
    <w:rsid w:val="00825B17"/>
    <w:rsid w:val="00826657"/>
    <w:rsid w:val="008270A4"/>
    <w:rsid w:val="008321FF"/>
    <w:rsid w:val="008350F6"/>
    <w:rsid w:val="00844318"/>
    <w:rsid w:val="00850BEA"/>
    <w:rsid w:val="00870BE8"/>
    <w:rsid w:val="008922B5"/>
    <w:rsid w:val="00895899"/>
    <w:rsid w:val="008B10DD"/>
    <w:rsid w:val="008B691D"/>
    <w:rsid w:val="008C5352"/>
    <w:rsid w:val="008E1270"/>
    <w:rsid w:val="008E6228"/>
    <w:rsid w:val="009022AF"/>
    <w:rsid w:val="00906435"/>
    <w:rsid w:val="0091119C"/>
    <w:rsid w:val="00916747"/>
    <w:rsid w:val="0093321C"/>
    <w:rsid w:val="00935B28"/>
    <w:rsid w:val="00936126"/>
    <w:rsid w:val="009422CB"/>
    <w:rsid w:val="00952FCA"/>
    <w:rsid w:val="00964049"/>
    <w:rsid w:val="00985A46"/>
    <w:rsid w:val="009910BF"/>
    <w:rsid w:val="00991673"/>
    <w:rsid w:val="00997159"/>
    <w:rsid w:val="009B3FCC"/>
    <w:rsid w:val="009C2C9F"/>
    <w:rsid w:val="009C381B"/>
    <w:rsid w:val="009D5CEA"/>
    <w:rsid w:val="009D602D"/>
    <w:rsid w:val="009E2310"/>
    <w:rsid w:val="009E30AC"/>
    <w:rsid w:val="009E7879"/>
    <w:rsid w:val="009F047E"/>
    <w:rsid w:val="00A043F3"/>
    <w:rsid w:val="00A06117"/>
    <w:rsid w:val="00A13EAA"/>
    <w:rsid w:val="00A210CA"/>
    <w:rsid w:val="00A26F6E"/>
    <w:rsid w:val="00A52C5D"/>
    <w:rsid w:val="00A61541"/>
    <w:rsid w:val="00A74E78"/>
    <w:rsid w:val="00A823CD"/>
    <w:rsid w:val="00A84C17"/>
    <w:rsid w:val="00A9133D"/>
    <w:rsid w:val="00AC2876"/>
    <w:rsid w:val="00AC68AC"/>
    <w:rsid w:val="00AD076E"/>
    <w:rsid w:val="00AD08C2"/>
    <w:rsid w:val="00AD0C82"/>
    <w:rsid w:val="00AD169A"/>
    <w:rsid w:val="00AD274C"/>
    <w:rsid w:val="00AD2C25"/>
    <w:rsid w:val="00AE2D3E"/>
    <w:rsid w:val="00AE4F6D"/>
    <w:rsid w:val="00AE6898"/>
    <w:rsid w:val="00AF30CA"/>
    <w:rsid w:val="00AF5F91"/>
    <w:rsid w:val="00B018DC"/>
    <w:rsid w:val="00B0212B"/>
    <w:rsid w:val="00B021B5"/>
    <w:rsid w:val="00B0436B"/>
    <w:rsid w:val="00B071A5"/>
    <w:rsid w:val="00B2546B"/>
    <w:rsid w:val="00B30996"/>
    <w:rsid w:val="00B40203"/>
    <w:rsid w:val="00B4113D"/>
    <w:rsid w:val="00B41C9A"/>
    <w:rsid w:val="00B556CF"/>
    <w:rsid w:val="00B75BB6"/>
    <w:rsid w:val="00B77782"/>
    <w:rsid w:val="00B874A9"/>
    <w:rsid w:val="00B90E86"/>
    <w:rsid w:val="00B93673"/>
    <w:rsid w:val="00BD1228"/>
    <w:rsid w:val="00BD35EF"/>
    <w:rsid w:val="00BF1EDE"/>
    <w:rsid w:val="00C028DF"/>
    <w:rsid w:val="00C05F8B"/>
    <w:rsid w:val="00C17ED6"/>
    <w:rsid w:val="00C4535B"/>
    <w:rsid w:val="00C46BDE"/>
    <w:rsid w:val="00C4751F"/>
    <w:rsid w:val="00C77406"/>
    <w:rsid w:val="00C95FBE"/>
    <w:rsid w:val="00C96B66"/>
    <w:rsid w:val="00C97C46"/>
    <w:rsid w:val="00CA4700"/>
    <w:rsid w:val="00CB319B"/>
    <w:rsid w:val="00CB508D"/>
    <w:rsid w:val="00CB5BFF"/>
    <w:rsid w:val="00CC4FB8"/>
    <w:rsid w:val="00CC5437"/>
    <w:rsid w:val="00CD0B01"/>
    <w:rsid w:val="00CF5698"/>
    <w:rsid w:val="00D002D4"/>
    <w:rsid w:val="00D128D5"/>
    <w:rsid w:val="00D135B7"/>
    <w:rsid w:val="00D1590F"/>
    <w:rsid w:val="00D21669"/>
    <w:rsid w:val="00D26628"/>
    <w:rsid w:val="00D300BA"/>
    <w:rsid w:val="00D4122A"/>
    <w:rsid w:val="00D43F5B"/>
    <w:rsid w:val="00D44054"/>
    <w:rsid w:val="00D45868"/>
    <w:rsid w:val="00D50C64"/>
    <w:rsid w:val="00D56340"/>
    <w:rsid w:val="00D605C7"/>
    <w:rsid w:val="00D66A12"/>
    <w:rsid w:val="00D70D6E"/>
    <w:rsid w:val="00D737A7"/>
    <w:rsid w:val="00D73889"/>
    <w:rsid w:val="00D7486A"/>
    <w:rsid w:val="00D95784"/>
    <w:rsid w:val="00DA28D3"/>
    <w:rsid w:val="00DA3D71"/>
    <w:rsid w:val="00DB0A33"/>
    <w:rsid w:val="00DC2057"/>
    <w:rsid w:val="00DE4FED"/>
    <w:rsid w:val="00E052E4"/>
    <w:rsid w:val="00E0592D"/>
    <w:rsid w:val="00E11B00"/>
    <w:rsid w:val="00E11CD5"/>
    <w:rsid w:val="00E25A0A"/>
    <w:rsid w:val="00E31649"/>
    <w:rsid w:val="00E37B16"/>
    <w:rsid w:val="00E42E0C"/>
    <w:rsid w:val="00E53FC0"/>
    <w:rsid w:val="00E73531"/>
    <w:rsid w:val="00E9057C"/>
    <w:rsid w:val="00E92F80"/>
    <w:rsid w:val="00EA4AE7"/>
    <w:rsid w:val="00EB06B6"/>
    <w:rsid w:val="00EC1486"/>
    <w:rsid w:val="00EC4C37"/>
    <w:rsid w:val="00ED244E"/>
    <w:rsid w:val="00ED4835"/>
    <w:rsid w:val="00ED63EF"/>
    <w:rsid w:val="00ED6D9E"/>
    <w:rsid w:val="00ED6EE8"/>
    <w:rsid w:val="00ED7781"/>
    <w:rsid w:val="00EE5A18"/>
    <w:rsid w:val="00EF0591"/>
    <w:rsid w:val="00F00166"/>
    <w:rsid w:val="00F124AF"/>
    <w:rsid w:val="00F16162"/>
    <w:rsid w:val="00F207C7"/>
    <w:rsid w:val="00F25CCB"/>
    <w:rsid w:val="00F262FE"/>
    <w:rsid w:val="00F27C66"/>
    <w:rsid w:val="00F44DCF"/>
    <w:rsid w:val="00F457F8"/>
    <w:rsid w:val="00F57AE9"/>
    <w:rsid w:val="00F648F4"/>
    <w:rsid w:val="00F663E0"/>
    <w:rsid w:val="00F667D1"/>
    <w:rsid w:val="00F77F2A"/>
    <w:rsid w:val="00F86880"/>
    <w:rsid w:val="00F92465"/>
    <w:rsid w:val="00FA5E93"/>
    <w:rsid w:val="00FB005F"/>
    <w:rsid w:val="00FB6BA6"/>
    <w:rsid w:val="00FB715B"/>
    <w:rsid w:val="00FC4A25"/>
    <w:rsid w:val="00FC5255"/>
    <w:rsid w:val="00FD24A4"/>
    <w:rsid w:val="00FD5473"/>
    <w:rsid w:val="00FE2959"/>
    <w:rsid w:val="00FF1006"/>
    <w:rsid w:val="00FF6613"/>
    <w:rsid w:val="00FF79CA"/>
    <w:rsid w:val="0B107D8C"/>
    <w:rsid w:val="0C255BC2"/>
    <w:rsid w:val="0E974EE6"/>
    <w:rsid w:val="0EC800C7"/>
    <w:rsid w:val="106E6386"/>
    <w:rsid w:val="18AE6F3F"/>
    <w:rsid w:val="1CFA6DC9"/>
    <w:rsid w:val="1F5D581B"/>
    <w:rsid w:val="1FC7758A"/>
    <w:rsid w:val="21DC68D2"/>
    <w:rsid w:val="22F43C9D"/>
    <w:rsid w:val="233B480E"/>
    <w:rsid w:val="24AA621B"/>
    <w:rsid w:val="272C4BAB"/>
    <w:rsid w:val="27DD5EA5"/>
    <w:rsid w:val="2C834AF2"/>
    <w:rsid w:val="2DE53A3A"/>
    <w:rsid w:val="304149D3"/>
    <w:rsid w:val="33D95773"/>
    <w:rsid w:val="3D3D2927"/>
    <w:rsid w:val="40782E92"/>
    <w:rsid w:val="42E22233"/>
    <w:rsid w:val="47746D06"/>
    <w:rsid w:val="487563F3"/>
    <w:rsid w:val="4C8A02B7"/>
    <w:rsid w:val="4E1C58E2"/>
    <w:rsid w:val="4F2307E9"/>
    <w:rsid w:val="4FEF0BB9"/>
    <w:rsid w:val="51154BFB"/>
    <w:rsid w:val="51896F3F"/>
    <w:rsid w:val="52C4348F"/>
    <w:rsid w:val="53453B9A"/>
    <w:rsid w:val="565027BE"/>
    <w:rsid w:val="5FB73766"/>
    <w:rsid w:val="620D1D58"/>
    <w:rsid w:val="64E230EF"/>
    <w:rsid w:val="69F7175C"/>
    <w:rsid w:val="73D024E8"/>
    <w:rsid w:val="756832EC"/>
    <w:rsid w:val="78747CA5"/>
    <w:rsid w:val="7B4B22D2"/>
    <w:rsid w:val="7BB62B1F"/>
    <w:rsid w:val="7CA30566"/>
    <w:rsid w:val="7DA6482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locked/>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style>
  <w:style w:type="paragraph" w:styleId="5">
    <w:name w:val="Date"/>
    <w:basedOn w:val="1"/>
    <w:next w:val="1"/>
    <w:link w:val="17"/>
    <w:semiHidden/>
    <w:qFormat/>
    <w:uiPriority w:val="99"/>
    <w:pPr>
      <w:ind w:left="100" w:leftChars="2500"/>
    </w:pPr>
  </w:style>
  <w:style w:type="paragraph" w:styleId="6">
    <w:name w:val="Balloon Text"/>
    <w:basedOn w:val="1"/>
    <w:link w:val="16"/>
    <w:semiHidden/>
    <w:qFormat/>
    <w:uiPriority w:val="99"/>
    <w:rPr>
      <w:sz w:val="18"/>
      <w:szCs w:val="18"/>
    </w:rPr>
  </w:style>
  <w:style w:type="paragraph" w:styleId="7">
    <w:name w:val="footer"/>
    <w:basedOn w:val="1"/>
    <w:link w:val="15"/>
    <w:semiHidden/>
    <w:qFormat/>
    <w:uiPriority w:val="99"/>
    <w:pPr>
      <w:tabs>
        <w:tab w:val="center" w:pos="4153"/>
        <w:tab w:val="right" w:pos="8306"/>
      </w:tabs>
      <w:snapToGrid w:val="0"/>
      <w:jc w:val="left"/>
    </w:pPr>
    <w:rPr>
      <w:rFonts w:ascii="宋体" w:hAnsi="Calibri" w:cs="宋体"/>
      <w:kern w:val="30"/>
      <w:sz w:val="18"/>
      <w:szCs w:val="18"/>
    </w:rPr>
  </w:style>
  <w:style w:type="paragraph" w:styleId="8">
    <w:name w:val="header"/>
    <w:basedOn w:val="1"/>
    <w:link w:val="14"/>
    <w:semiHidden/>
    <w:qFormat/>
    <w:uiPriority w:val="99"/>
    <w:pPr>
      <w:pBdr>
        <w:bottom w:val="single" w:color="auto" w:sz="6" w:space="1"/>
      </w:pBdr>
      <w:tabs>
        <w:tab w:val="center" w:pos="4153"/>
        <w:tab w:val="right" w:pos="8306"/>
      </w:tabs>
      <w:snapToGrid w:val="0"/>
      <w:jc w:val="center"/>
    </w:pPr>
    <w:rPr>
      <w:rFonts w:ascii="宋体" w:hAnsi="Calibri" w:cs="宋体"/>
      <w:kern w:val="30"/>
      <w:sz w:val="18"/>
      <w:szCs w:val="18"/>
    </w:rPr>
  </w:style>
  <w:style w:type="paragraph" w:styleId="9">
    <w:name w:val="annotation subject"/>
    <w:basedOn w:val="4"/>
    <w:next w:val="4"/>
    <w:link w:val="21"/>
    <w:semiHidden/>
    <w:unhideWhenUsed/>
    <w:qFormat/>
    <w:uiPriority w:val="99"/>
    <w:rPr>
      <w:b/>
      <w:bCs/>
    </w:rPr>
  </w:style>
  <w:style w:type="table" w:styleId="11">
    <w:name w:val="Table Grid"/>
    <w:basedOn w:val="10"/>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页眉 Char"/>
    <w:link w:val="8"/>
    <w:semiHidden/>
    <w:qFormat/>
    <w:locked/>
    <w:uiPriority w:val="99"/>
    <w:rPr>
      <w:sz w:val="18"/>
      <w:szCs w:val="18"/>
    </w:rPr>
  </w:style>
  <w:style w:type="character" w:customStyle="1" w:styleId="15">
    <w:name w:val="页脚 Char"/>
    <w:link w:val="7"/>
    <w:semiHidden/>
    <w:qFormat/>
    <w:locked/>
    <w:uiPriority w:val="99"/>
    <w:rPr>
      <w:sz w:val="18"/>
      <w:szCs w:val="18"/>
    </w:rPr>
  </w:style>
  <w:style w:type="character" w:customStyle="1" w:styleId="16">
    <w:name w:val="批注框文本 Char"/>
    <w:link w:val="6"/>
    <w:semiHidden/>
    <w:qFormat/>
    <w:locked/>
    <w:uiPriority w:val="99"/>
    <w:rPr>
      <w:rFonts w:ascii="Times New Roman" w:hAnsi="Times New Roman" w:eastAsia="宋体" w:cs="Times New Roman"/>
      <w:kern w:val="2"/>
      <w:sz w:val="18"/>
      <w:szCs w:val="18"/>
    </w:rPr>
  </w:style>
  <w:style w:type="character" w:customStyle="1" w:styleId="17">
    <w:name w:val="日期 Char"/>
    <w:link w:val="5"/>
    <w:semiHidden/>
    <w:qFormat/>
    <w:locked/>
    <w:uiPriority w:val="99"/>
    <w:rPr>
      <w:rFonts w:ascii="Times New Roman" w:hAnsi="Times New Roman" w:eastAsia="宋体" w:cs="Times New Roman"/>
      <w:kern w:val="2"/>
      <w:sz w:val="24"/>
      <w:szCs w:val="24"/>
    </w:rPr>
  </w:style>
  <w:style w:type="paragraph" w:customStyle="1" w:styleId="18">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19">
    <w:name w:val="表头文本"/>
    <w:basedOn w:val="1"/>
    <w:qFormat/>
    <w:uiPriority w:val="0"/>
    <w:pPr>
      <w:autoSpaceDE w:val="0"/>
      <w:autoSpaceDN w:val="0"/>
      <w:adjustRightInd w:val="0"/>
      <w:jc w:val="center"/>
    </w:pPr>
    <w:rPr>
      <w:b/>
      <w:kern w:val="0"/>
      <w:sz w:val="24"/>
      <w:szCs w:val="20"/>
    </w:rPr>
  </w:style>
  <w:style w:type="character" w:customStyle="1" w:styleId="20">
    <w:name w:val="批注文字 Char"/>
    <w:basedOn w:val="12"/>
    <w:link w:val="4"/>
    <w:semiHidden/>
    <w:qFormat/>
    <w:uiPriority w:val="99"/>
    <w:rPr>
      <w:rFonts w:ascii="Times New Roman" w:hAnsi="Times New Roman"/>
      <w:kern w:val="2"/>
      <w:sz w:val="21"/>
      <w:szCs w:val="21"/>
    </w:rPr>
  </w:style>
  <w:style w:type="character" w:customStyle="1" w:styleId="21">
    <w:name w:val="批注主题 Char"/>
    <w:basedOn w:val="20"/>
    <w:link w:val="9"/>
    <w:semiHidden/>
    <w:qFormat/>
    <w:uiPriority w:val="99"/>
    <w:rPr>
      <w:b/>
      <w:bCs/>
    </w:rPr>
  </w:style>
  <w:style w:type="character" w:customStyle="1" w:styleId="22">
    <w:name w:val="无"/>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4563</Words>
  <Characters>5054</Characters>
  <Lines>2</Lines>
  <Paragraphs>7</Paragraphs>
  <TotalTime>5</TotalTime>
  <ScaleCrop>false</ScaleCrop>
  <LinksUpToDate>false</LinksUpToDate>
  <CharactersWithSpaces>5055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2024-03-08T05:17:00Z</dcterms:created>
  <dc:creator>微软用户</dc:creator>
  <cp:lastModifiedBy>---</cp:lastModifiedBy>
  <cp:lastPrinted>2023-05-15T05:53:00Z</cp:lastPrinted>
  <dcterms:modified xsi:type="dcterms:W3CDTF">2026-02-28T09:22:20Z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65431179FB784804AD994936C21261D7_12</vt:lpwstr>
  </property>
  <property fmtid="{D5CDD505-2E9C-101B-9397-08002B2CF9AE}" pid="4" name="KSOTemplateDocerSaveRecord">
    <vt:lpwstr>eyJoZGlkIjoiNDU0ODk5YTc2ZDAzMDg2MTE3YTU0N2Q1MjZjM2QwMzUiLCJ1c2VySWQiOiI0Mjk5OTI3NDIifQ==</vt:lpwstr>
  </property>
</Properties>
</file>