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彩虹小标宋" w:hAnsi="宋体" w:eastAsia="彩虹小标宋"/>
          <w:bCs/>
          <w:snapToGrid w:val="0"/>
          <w:color w:val="auto"/>
          <w:kern w:val="0"/>
          <w:sz w:val="36"/>
          <w:szCs w:val="36"/>
        </w:rPr>
      </w:pPr>
      <w:r>
        <w:rPr>
          <w:rFonts w:hint="eastAsia" w:ascii="彩虹小标宋" w:hAnsi="宋体" w:eastAsia="彩虹小标宋"/>
          <w:bCs/>
          <w:snapToGrid w:val="0"/>
          <w:color w:val="auto"/>
          <w:kern w:val="0"/>
          <w:sz w:val="36"/>
          <w:szCs w:val="36"/>
        </w:rPr>
        <w:t>非IT类物品采购需求主要内容</w:t>
      </w:r>
    </w:p>
    <w:p>
      <w:pPr>
        <w:adjustRightInd w:val="0"/>
        <w:snapToGrid w:val="0"/>
        <w:spacing w:line="360" w:lineRule="auto"/>
        <w:jc w:val="center"/>
        <w:rPr>
          <w:rFonts w:ascii="彩虹小标宋" w:hAnsi="宋体" w:eastAsia="彩虹小标宋"/>
          <w:bCs/>
          <w:snapToGrid w:val="0"/>
          <w:color w:val="auto"/>
          <w:kern w:val="0"/>
          <w:sz w:val="36"/>
          <w:szCs w:val="36"/>
        </w:rPr>
      </w:pPr>
      <w:r>
        <w:rPr>
          <w:rFonts w:hint="eastAsia" w:ascii="彩虹小标宋" w:hAnsi="宋体" w:eastAsia="彩虹小标宋"/>
          <w:bCs/>
          <w:snapToGrid w:val="0"/>
          <w:color w:val="auto"/>
          <w:kern w:val="0"/>
          <w:sz w:val="36"/>
          <w:szCs w:val="36"/>
        </w:rPr>
        <w:t>（一般包括以下所列内容）</w:t>
      </w:r>
    </w:p>
    <w:p>
      <w:pPr>
        <w:adjustRightInd w:val="0"/>
        <w:snapToGrid w:val="0"/>
        <w:spacing w:line="360" w:lineRule="auto"/>
        <w:ind w:firstLine="640" w:firstLineChars="200"/>
        <w:rPr>
          <w:rFonts w:ascii="彩虹粗仿宋" w:hAnsi="宋体" w:eastAsia="彩虹粗仿宋"/>
          <w:snapToGrid w:val="0"/>
          <w:color w:val="auto"/>
          <w:kern w:val="0"/>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b/>
          <w:snapToGrid w:val="0"/>
          <w:color w:val="auto"/>
          <w:kern w:val="0"/>
          <w:sz w:val="32"/>
          <w:szCs w:val="32"/>
          <w:highlight w:val="none"/>
        </w:rPr>
      </w:pPr>
      <w:r>
        <w:rPr>
          <w:rFonts w:hint="eastAsia" w:ascii="彩虹粗仿宋" w:hAnsi="宋体" w:eastAsia="彩虹粗仿宋"/>
          <w:b/>
          <w:snapToGrid w:val="0"/>
          <w:color w:val="auto"/>
          <w:kern w:val="0"/>
          <w:sz w:val="32"/>
          <w:szCs w:val="32"/>
          <w:highlight w:val="none"/>
        </w:rPr>
        <w:t>物品供应商要求</w:t>
      </w:r>
    </w:p>
    <w:p>
      <w:pPr>
        <w:adjustRightInd w:val="0"/>
        <w:snapToGrid w:val="0"/>
        <w:spacing w:line="560" w:lineRule="exact"/>
        <w:ind w:firstLine="640" w:firstLineChars="200"/>
        <w:jc w:val="both"/>
        <w:rPr>
          <w:rFonts w:hint="eastAsia" w:ascii="彩虹粗仿宋" w:hAnsi="宋体" w:eastAsia="彩虹粗仿宋"/>
          <w:snapToGrid w:val="0"/>
          <w:color w:val="auto"/>
          <w:kern w:val="0"/>
          <w:sz w:val="32"/>
          <w:szCs w:val="32"/>
          <w:lang w:eastAsia="zh-CN"/>
        </w:rPr>
      </w:pPr>
      <w:r>
        <w:rPr>
          <w:rFonts w:hint="eastAsia" w:ascii="彩虹粗仿宋" w:hAnsi="宋体" w:eastAsia="彩虹粗仿宋"/>
          <w:snapToGrid w:val="0"/>
          <w:color w:val="auto"/>
          <w:kern w:val="0"/>
          <w:sz w:val="32"/>
          <w:szCs w:val="32"/>
        </w:rPr>
        <w:t>1.具有独立法人资格或民事主体资格，且公司成立时间在一年以上，并依法取得国家相关登记注册主管机关颁发的证照，证照均应在有效期内并经年检注册存续</w:t>
      </w:r>
      <w:r>
        <w:rPr>
          <w:rFonts w:hint="eastAsia" w:ascii="彩虹粗仿宋" w:hAnsi="宋体" w:eastAsia="彩虹粗仿宋"/>
          <w:snapToGrid w:val="0"/>
          <w:color w:val="auto"/>
          <w:kern w:val="0"/>
          <w:sz w:val="32"/>
          <w:szCs w:val="32"/>
          <w:lang w:eastAsia="zh-CN"/>
        </w:rPr>
        <w:t>。</w:t>
      </w:r>
    </w:p>
    <w:p>
      <w:pPr>
        <w:adjustRightInd w:val="0"/>
        <w:snapToGrid w:val="0"/>
        <w:spacing w:line="560" w:lineRule="exact"/>
        <w:ind w:firstLine="640" w:firstLineChars="200"/>
        <w:jc w:val="both"/>
        <w:rPr>
          <w:rFonts w:hint="eastAsia" w:ascii="彩虹粗仿宋" w:hAnsi="宋体" w:eastAsia="彩虹粗仿宋"/>
          <w:snapToGrid w:val="0"/>
          <w:color w:val="auto"/>
          <w:kern w:val="0"/>
          <w:sz w:val="32"/>
          <w:szCs w:val="32"/>
          <w:lang w:eastAsia="zh-CN"/>
        </w:rPr>
      </w:pPr>
      <w:r>
        <w:rPr>
          <w:rFonts w:hint="eastAsia" w:ascii="彩虹粗仿宋" w:hAnsi="宋体" w:eastAsia="彩虹粗仿宋"/>
          <w:snapToGrid w:val="0"/>
          <w:color w:val="auto"/>
          <w:kern w:val="0"/>
          <w:sz w:val="32"/>
          <w:szCs w:val="32"/>
          <w:lang w:val="en-US" w:eastAsia="zh-CN"/>
        </w:rPr>
        <w:t>2.</w:t>
      </w:r>
      <w:r>
        <w:rPr>
          <w:rFonts w:hint="eastAsia" w:ascii="彩虹粗仿宋" w:hAnsi="宋体" w:eastAsia="彩虹粗仿宋"/>
          <w:snapToGrid w:val="0"/>
          <w:color w:val="auto"/>
          <w:kern w:val="0"/>
          <w:sz w:val="32"/>
          <w:szCs w:val="32"/>
        </w:rPr>
        <w:t>供应商具有独立承担民事责任的能力，遵守国家有关法律、法规，具有良好的商业信誉和健全的财务会计制度，供应商在资格审查时未处于建设银行浙江省分行供应商审慎选取、暂停合作、禁用或退出期内</w:t>
      </w:r>
      <w:r>
        <w:rPr>
          <w:rFonts w:hint="eastAsia" w:ascii="彩虹粗仿宋" w:hAnsi="宋体" w:eastAsia="彩虹粗仿宋"/>
          <w:snapToGrid w:val="0"/>
          <w:color w:val="auto"/>
          <w:kern w:val="0"/>
          <w:sz w:val="32"/>
          <w:szCs w:val="32"/>
          <w:lang w:eastAsia="zh-CN"/>
        </w:rPr>
        <w:t>。</w:t>
      </w:r>
    </w:p>
    <w:p>
      <w:pPr>
        <w:adjustRightInd w:val="0"/>
        <w:snapToGrid w:val="0"/>
        <w:spacing w:line="560" w:lineRule="exact"/>
        <w:ind w:firstLine="640" w:firstLineChars="200"/>
        <w:jc w:val="both"/>
        <w:rPr>
          <w:rFonts w:hint="eastAsia" w:ascii="彩虹粗仿宋" w:hAnsi="宋体" w:eastAsia="彩虹粗仿宋"/>
          <w:snapToGrid w:val="0"/>
          <w:color w:val="auto"/>
          <w:kern w:val="0"/>
          <w:sz w:val="32"/>
          <w:szCs w:val="32"/>
          <w:lang w:eastAsia="zh-CN"/>
        </w:rPr>
      </w:pPr>
      <w:r>
        <w:rPr>
          <w:rFonts w:hint="eastAsia" w:ascii="彩虹粗仿宋" w:hAnsi="宋体" w:eastAsia="彩虹粗仿宋"/>
          <w:snapToGrid w:val="0"/>
          <w:color w:val="auto"/>
          <w:kern w:val="0"/>
          <w:sz w:val="32"/>
          <w:szCs w:val="32"/>
          <w:lang w:val="en-US" w:eastAsia="zh-CN"/>
        </w:rPr>
        <w:t>3.</w:t>
      </w:r>
      <w:r>
        <w:rPr>
          <w:rFonts w:hint="eastAsia" w:ascii="彩虹粗仿宋" w:hAnsi="宋体" w:eastAsia="彩虹粗仿宋"/>
          <w:snapToGrid w:val="0"/>
          <w:color w:val="auto"/>
          <w:kern w:val="0"/>
          <w:sz w:val="32"/>
          <w:szCs w:val="32"/>
        </w:rPr>
        <w:t>具有履行合同所必需的设备和专业技术能力</w:t>
      </w:r>
      <w:r>
        <w:rPr>
          <w:rFonts w:hint="eastAsia" w:ascii="彩虹粗仿宋" w:hAnsi="宋体" w:eastAsia="彩虹粗仿宋"/>
          <w:snapToGrid w:val="0"/>
          <w:color w:val="auto"/>
          <w:kern w:val="0"/>
          <w:sz w:val="32"/>
          <w:szCs w:val="32"/>
          <w:lang w:eastAsia="zh-CN"/>
        </w:rPr>
        <w:t>。</w:t>
      </w:r>
    </w:p>
    <w:p>
      <w:pPr>
        <w:adjustRightInd w:val="0"/>
        <w:snapToGrid w:val="0"/>
        <w:spacing w:line="560" w:lineRule="exact"/>
        <w:ind w:firstLine="640" w:firstLineChars="200"/>
        <w:jc w:val="both"/>
        <w:rPr>
          <w:rFonts w:hint="eastAsia" w:ascii="彩虹粗仿宋" w:hAnsi="宋体" w:eastAsia="彩虹粗仿宋"/>
          <w:snapToGrid w:val="0"/>
          <w:color w:val="auto"/>
          <w:kern w:val="0"/>
          <w:sz w:val="32"/>
          <w:szCs w:val="32"/>
          <w:lang w:eastAsia="zh-CN"/>
        </w:rPr>
      </w:pPr>
      <w:r>
        <w:rPr>
          <w:rFonts w:hint="eastAsia" w:ascii="彩虹粗仿宋" w:hAnsi="宋体" w:eastAsia="彩虹粗仿宋"/>
          <w:snapToGrid w:val="0"/>
          <w:color w:val="auto"/>
          <w:kern w:val="0"/>
          <w:sz w:val="32"/>
          <w:szCs w:val="32"/>
          <w:lang w:val="en-US" w:eastAsia="zh-CN"/>
        </w:rPr>
        <w:t>4.</w:t>
      </w:r>
      <w:r>
        <w:rPr>
          <w:rFonts w:hint="eastAsia" w:ascii="彩虹粗仿宋" w:hAnsi="宋体" w:eastAsia="彩虹粗仿宋"/>
          <w:snapToGrid w:val="0"/>
          <w:color w:val="auto"/>
          <w:kern w:val="0"/>
          <w:sz w:val="32"/>
          <w:szCs w:val="32"/>
        </w:rPr>
        <w:t>有依法缴纳税收和社会保障资金的良好记录</w:t>
      </w:r>
      <w:r>
        <w:rPr>
          <w:rFonts w:hint="eastAsia" w:ascii="彩虹粗仿宋" w:hAnsi="宋体" w:eastAsia="彩虹粗仿宋"/>
          <w:snapToGrid w:val="0"/>
          <w:color w:val="auto"/>
          <w:kern w:val="0"/>
          <w:sz w:val="32"/>
          <w:szCs w:val="32"/>
          <w:lang w:eastAsia="zh-CN"/>
        </w:rPr>
        <w:t>。</w:t>
      </w:r>
    </w:p>
    <w:p>
      <w:pPr>
        <w:adjustRightInd w:val="0"/>
        <w:snapToGrid w:val="0"/>
        <w:spacing w:line="560" w:lineRule="exact"/>
        <w:ind w:firstLine="640" w:firstLineChars="200"/>
        <w:jc w:val="both"/>
        <w:rPr>
          <w:rFonts w:hint="eastAsia" w:ascii="彩虹粗仿宋" w:hAnsi="宋体" w:eastAsia="彩虹粗仿宋"/>
          <w:snapToGrid w:val="0"/>
          <w:color w:val="auto"/>
          <w:kern w:val="0"/>
          <w:sz w:val="32"/>
          <w:szCs w:val="32"/>
        </w:rPr>
      </w:pPr>
      <w:r>
        <w:rPr>
          <w:rFonts w:hint="eastAsia" w:ascii="彩虹粗仿宋" w:hAnsi="宋体" w:eastAsia="彩虹粗仿宋"/>
          <w:snapToGrid w:val="0"/>
          <w:color w:val="auto"/>
          <w:kern w:val="0"/>
          <w:sz w:val="32"/>
          <w:szCs w:val="32"/>
          <w:lang w:val="en-US" w:eastAsia="zh-CN"/>
        </w:rPr>
        <w:t>5.</w:t>
      </w:r>
      <w:r>
        <w:rPr>
          <w:rFonts w:hint="eastAsia" w:ascii="彩虹粗仿宋" w:hAnsi="宋体" w:eastAsia="彩虹粗仿宋"/>
          <w:snapToGrid w:val="0"/>
          <w:color w:val="auto"/>
          <w:kern w:val="0"/>
          <w:sz w:val="32"/>
          <w:szCs w:val="32"/>
        </w:rPr>
        <w:t>近三年内，在经营活动中没有重大违法记录；供应商当前未处于限制开展生产经营活动、责令停产停业、责令关闭、限制从业等重大行政处罚期内；未被“信用中国”网站列入税收违法黑名单；未被“中国执行信息公开网”列入失信被执行人名单；未被“中国政府采购网”列入政府采购严重违法失信行为记录名单；未被“国家企业信用信息公示系统”网站列入严重违法失信名单</w:t>
      </w:r>
      <w:r>
        <w:rPr>
          <w:rFonts w:hint="eastAsia" w:ascii="彩虹粗仿宋" w:hAnsi="宋体" w:eastAsia="彩虹粗仿宋"/>
          <w:snapToGrid w:val="0"/>
          <w:color w:val="auto"/>
          <w:kern w:val="0"/>
          <w:sz w:val="32"/>
          <w:szCs w:val="32"/>
          <w:lang w:eastAsia="zh-CN"/>
        </w:rPr>
        <w:t>。</w:t>
      </w:r>
      <w:r>
        <w:rPr>
          <w:rFonts w:hint="eastAsia" w:ascii="彩虹粗仿宋" w:hAnsi="宋体" w:eastAsia="彩虹粗仿宋"/>
          <w:snapToGrid w:val="0"/>
          <w:color w:val="auto"/>
          <w:kern w:val="0"/>
          <w:sz w:val="32"/>
          <w:szCs w:val="32"/>
        </w:rPr>
        <w:t xml:space="preserve"> </w:t>
      </w:r>
    </w:p>
    <w:p>
      <w:pPr>
        <w:adjustRightInd w:val="0"/>
        <w:snapToGrid w:val="0"/>
        <w:spacing w:line="560" w:lineRule="exact"/>
        <w:ind w:firstLine="640" w:firstLineChars="200"/>
        <w:jc w:val="both"/>
        <w:rPr>
          <w:rFonts w:hint="eastAsia" w:ascii="彩虹粗仿宋" w:hAnsi="宋体" w:eastAsia="彩虹粗仿宋"/>
          <w:snapToGrid w:val="0"/>
          <w:color w:val="auto"/>
          <w:kern w:val="0"/>
          <w:sz w:val="32"/>
          <w:szCs w:val="32"/>
        </w:rPr>
      </w:pPr>
      <w:r>
        <w:rPr>
          <w:rFonts w:hint="eastAsia" w:ascii="彩虹粗仿宋" w:hAnsi="宋体" w:eastAsia="彩虹粗仿宋"/>
          <w:snapToGrid w:val="0"/>
          <w:color w:val="auto"/>
          <w:kern w:val="0"/>
          <w:sz w:val="32"/>
          <w:szCs w:val="32"/>
          <w:lang w:val="en-US" w:eastAsia="zh-CN"/>
        </w:rPr>
        <w:t>6.</w:t>
      </w:r>
      <w:r>
        <w:rPr>
          <w:rFonts w:hint="eastAsia" w:ascii="彩虹粗仿宋" w:hAnsi="宋体" w:eastAsia="彩虹粗仿宋"/>
          <w:snapToGrid w:val="0"/>
          <w:color w:val="auto"/>
          <w:kern w:val="0"/>
          <w:sz w:val="32"/>
          <w:szCs w:val="32"/>
        </w:rPr>
        <w:t>法定代表人（负责人）为同一人或存在控股、管理关系的不同申请人，不得同时参加本项目；供应商与建设银行不存在利益冲突，不存在损害建设银行合法利益和声誉的情形，不存在针对建设银行的重大诚信问题；法律、行政法规规定的其它条件。</w:t>
      </w:r>
    </w:p>
    <w:p>
      <w:pPr>
        <w:adjustRightInd w:val="0"/>
        <w:snapToGrid w:val="0"/>
        <w:spacing w:line="560" w:lineRule="exact"/>
        <w:ind w:firstLine="640" w:firstLineChars="200"/>
        <w:jc w:val="both"/>
        <w:rPr>
          <w:rFonts w:hint="eastAsia" w:ascii="彩虹粗仿宋" w:hAnsi="宋体" w:eastAsia="彩虹粗仿宋"/>
          <w:snapToGrid w:val="0"/>
          <w:color w:val="auto"/>
          <w:kern w:val="0"/>
          <w:sz w:val="32"/>
          <w:szCs w:val="32"/>
        </w:rPr>
      </w:pPr>
      <w:r>
        <w:rPr>
          <w:rFonts w:hint="eastAsia" w:ascii="彩虹粗仿宋" w:hAnsi="宋体" w:eastAsia="彩虹粗仿宋"/>
          <w:snapToGrid w:val="0"/>
          <w:color w:val="auto"/>
          <w:kern w:val="0"/>
          <w:sz w:val="32"/>
          <w:szCs w:val="32"/>
          <w:lang w:val="en-US" w:eastAsia="zh-CN"/>
        </w:rPr>
        <w:t>7.</w:t>
      </w:r>
      <w:r>
        <w:rPr>
          <w:rFonts w:hint="eastAsia" w:ascii="彩虹粗仿宋" w:hAnsi="宋体" w:eastAsia="彩虹粗仿宋"/>
          <w:snapToGrid w:val="0"/>
          <w:color w:val="auto"/>
          <w:kern w:val="0"/>
          <w:sz w:val="32"/>
          <w:szCs w:val="32"/>
        </w:rPr>
        <w:t>供应商承诺在本项目采购过程中不存在下列情形，如存在下列情形之一，建设银行有权取消其候选资格。情形包括但不限于：</w:t>
      </w:r>
    </w:p>
    <w:p>
      <w:pPr>
        <w:adjustRightInd w:val="0"/>
        <w:snapToGrid w:val="0"/>
        <w:spacing w:line="560" w:lineRule="exact"/>
        <w:ind w:firstLine="640" w:firstLineChars="200"/>
        <w:jc w:val="both"/>
        <w:rPr>
          <w:rFonts w:hint="eastAsia" w:ascii="彩虹粗仿宋" w:hAnsi="宋体" w:eastAsia="彩虹粗仿宋"/>
          <w:snapToGrid w:val="0"/>
          <w:color w:val="auto"/>
          <w:kern w:val="0"/>
          <w:sz w:val="32"/>
          <w:szCs w:val="32"/>
        </w:rPr>
      </w:pPr>
      <w:r>
        <w:rPr>
          <w:rFonts w:hint="eastAsia" w:ascii="彩虹粗仿宋" w:hAnsi="宋体" w:eastAsia="彩虹粗仿宋"/>
          <w:snapToGrid w:val="0"/>
          <w:color w:val="auto"/>
          <w:kern w:val="0"/>
          <w:sz w:val="32"/>
          <w:szCs w:val="32"/>
        </w:rPr>
        <w:t>（1）法定代表人（负责人）在生产经营活动中受到刑事处罚；</w:t>
      </w:r>
    </w:p>
    <w:p>
      <w:pPr>
        <w:adjustRightInd w:val="0"/>
        <w:snapToGrid w:val="0"/>
        <w:spacing w:line="560" w:lineRule="exact"/>
        <w:ind w:firstLine="640" w:firstLineChars="200"/>
        <w:jc w:val="both"/>
        <w:rPr>
          <w:rFonts w:hint="eastAsia" w:ascii="彩虹粗仿宋" w:hAnsi="宋体" w:eastAsia="彩虹粗仿宋"/>
          <w:snapToGrid w:val="0"/>
          <w:color w:val="auto"/>
          <w:kern w:val="0"/>
          <w:sz w:val="32"/>
          <w:szCs w:val="32"/>
        </w:rPr>
      </w:pPr>
      <w:r>
        <w:rPr>
          <w:rFonts w:hint="eastAsia" w:ascii="彩虹粗仿宋" w:hAnsi="宋体" w:eastAsia="彩虹粗仿宋"/>
          <w:snapToGrid w:val="0"/>
          <w:color w:val="auto"/>
          <w:kern w:val="0"/>
          <w:sz w:val="32"/>
          <w:szCs w:val="32"/>
        </w:rPr>
        <w:t>（2）重大并购或重组，影响正常生产经营；</w:t>
      </w:r>
    </w:p>
    <w:p>
      <w:pPr>
        <w:adjustRightInd w:val="0"/>
        <w:snapToGrid w:val="0"/>
        <w:spacing w:line="560" w:lineRule="exact"/>
        <w:ind w:firstLine="640" w:firstLineChars="200"/>
        <w:jc w:val="both"/>
        <w:rPr>
          <w:rFonts w:hint="eastAsia" w:ascii="彩虹粗仿宋" w:hAnsi="宋体" w:eastAsia="彩虹粗仿宋"/>
          <w:snapToGrid w:val="0"/>
          <w:color w:val="auto"/>
          <w:kern w:val="0"/>
          <w:sz w:val="32"/>
          <w:szCs w:val="32"/>
        </w:rPr>
      </w:pPr>
      <w:r>
        <w:rPr>
          <w:rFonts w:hint="eastAsia" w:ascii="彩虹粗仿宋" w:hAnsi="宋体" w:eastAsia="彩虹粗仿宋"/>
          <w:snapToGrid w:val="0"/>
          <w:color w:val="auto"/>
          <w:kern w:val="0"/>
          <w:sz w:val="32"/>
          <w:szCs w:val="32"/>
        </w:rPr>
        <w:t>（3）其他重大风险事项，影响正常采购合作。</w:t>
      </w:r>
    </w:p>
    <w:p>
      <w:pPr>
        <w:adjustRightInd w:val="0"/>
        <w:snapToGrid w:val="0"/>
        <w:spacing w:line="560" w:lineRule="exact"/>
        <w:ind w:firstLine="640" w:firstLineChars="200"/>
        <w:jc w:val="both"/>
        <w:rPr>
          <w:rFonts w:hint="eastAsia"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lang w:val="en-US" w:eastAsia="zh-CN"/>
        </w:rPr>
        <w:t>8.</w:t>
      </w:r>
      <w:r>
        <w:rPr>
          <w:rFonts w:hint="eastAsia" w:ascii="彩虹粗仿宋" w:hAnsi="宋体" w:eastAsia="彩虹粗仿宋"/>
          <w:snapToGrid w:val="0"/>
          <w:color w:val="auto"/>
          <w:kern w:val="0"/>
          <w:sz w:val="32"/>
          <w:szCs w:val="32"/>
        </w:rPr>
        <w:t>供应商提供的服务或服务成果不存在任何侵犯第三方知识产权的情形。如果第三方声称供应商向建设银行提供的服务或服务成果侵犯其知识产权，并已就此对建设银</w:t>
      </w:r>
      <w:r>
        <w:rPr>
          <w:rFonts w:hint="eastAsia" w:ascii="彩虹粗仿宋" w:hAnsi="宋体" w:eastAsia="彩虹粗仿宋"/>
          <w:snapToGrid w:val="0"/>
          <w:color w:val="auto"/>
          <w:kern w:val="0"/>
          <w:sz w:val="32"/>
          <w:szCs w:val="32"/>
          <w:highlight w:val="none"/>
        </w:rPr>
        <w:t xml:space="preserve">行或供应商提起（包括威胁提起或很可能提起）法律诉讼程序或知识产权行政执法程序（简称侵权诉讼），一方供应商自知悉上述事项起将立即书面通知另一方，建设银行有权采取相应措施，供应商将依法承担全部责任。 </w:t>
      </w:r>
    </w:p>
    <w:p>
      <w:pPr>
        <w:numPr>
          <w:ilvl w:val="0"/>
          <w:numId w:val="0"/>
        </w:numPr>
        <w:adjustRightInd w:val="0"/>
        <w:snapToGrid w:val="0"/>
        <w:spacing w:line="560" w:lineRule="exact"/>
        <w:ind w:firstLine="640" w:firstLineChars="200"/>
        <w:jc w:val="both"/>
        <w:rPr>
          <w:rFonts w:hint="eastAsia" w:ascii="彩虹粗仿宋" w:hAnsi="宋体" w:eastAsia="彩虹粗仿宋"/>
          <w:b w:val="0"/>
          <w:bCs w:val="0"/>
          <w:snapToGrid w:val="0"/>
          <w:color w:val="auto"/>
          <w:kern w:val="0"/>
          <w:sz w:val="32"/>
          <w:szCs w:val="32"/>
          <w:highlight w:val="none"/>
          <w:lang w:val="en-US" w:eastAsia="zh-CN"/>
        </w:rPr>
      </w:pPr>
      <w:r>
        <w:rPr>
          <w:rFonts w:hint="eastAsia" w:ascii="彩虹粗仿宋" w:hAnsi="宋体" w:eastAsia="彩虹粗仿宋"/>
          <w:b w:val="0"/>
          <w:bCs w:val="0"/>
          <w:snapToGrid w:val="0"/>
          <w:color w:val="auto"/>
          <w:kern w:val="0"/>
          <w:sz w:val="32"/>
          <w:szCs w:val="32"/>
          <w:highlight w:val="none"/>
          <w:lang w:val="en-US" w:eastAsia="zh-CN"/>
        </w:rPr>
        <w:t xml:space="preserve">9.供应商所提供设备需符合制卡设备相关行业技术标准。 </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ascii="彩虹粗仿宋" w:hAnsi="宋体" w:eastAsia="彩虹粗仿宋"/>
          <w:b/>
          <w:snapToGrid w:val="0"/>
          <w:color w:val="auto"/>
          <w:kern w:val="0"/>
          <w:sz w:val="32"/>
          <w:szCs w:val="32"/>
          <w:highlight w:val="none"/>
        </w:rPr>
      </w:pPr>
      <w:r>
        <w:rPr>
          <w:rFonts w:hint="eastAsia" w:ascii="彩虹粗仿宋" w:hAnsi="宋体" w:eastAsia="彩虹粗仿宋"/>
          <w:b/>
          <w:snapToGrid w:val="0"/>
          <w:color w:val="auto"/>
          <w:kern w:val="0"/>
          <w:sz w:val="32"/>
          <w:szCs w:val="32"/>
          <w:highlight w:val="none"/>
        </w:rPr>
        <w:t>二、物品品类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本次采购物品为桌面式</w:t>
      </w:r>
      <w:r>
        <w:rPr>
          <w:rFonts w:hint="eastAsia" w:ascii="彩虹粗仿宋" w:hAnsi="宋体" w:eastAsia="彩虹粗仿宋"/>
          <w:snapToGrid w:val="0"/>
          <w:color w:val="auto"/>
          <w:kern w:val="0"/>
          <w:sz w:val="32"/>
          <w:szCs w:val="32"/>
          <w:highlight w:val="none"/>
          <w:lang w:eastAsia="zh-CN"/>
        </w:rPr>
        <w:t>即时</w:t>
      </w:r>
      <w:r>
        <w:rPr>
          <w:rFonts w:hint="eastAsia" w:ascii="彩虹粗仿宋" w:hAnsi="宋体" w:eastAsia="彩虹粗仿宋"/>
          <w:snapToGrid w:val="0"/>
          <w:color w:val="auto"/>
          <w:kern w:val="0"/>
          <w:sz w:val="32"/>
          <w:szCs w:val="32"/>
          <w:highlight w:val="none"/>
        </w:rPr>
        <w:t>制卡</w:t>
      </w:r>
      <w:r>
        <w:rPr>
          <w:rFonts w:hint="eastAsia" w:ascii="彩虹粗仿宋" w:hAnsi="宋体" w:eastAsia="彩虹粗仿宋"/>
          <w:snapToGrid w:val="0"/>
          <w:color w:val="auto"/>
          <w:kern w:val="0"/>
          <w:sz w:val="32"/>
          <w:szCs w:val="32"/>
          <w:highlight w:val="none"/>
          <w:lang w:eastAsia="zh-CN"/>
        </w:rPr>
        <w:t>设备，</w:t>
      </w:r>
      <w:r>
        <w:rPr>
          <w:rFonts w:hint="eastAsia" w:ascii="彩虹粗仿宋" w:hAnsi="宋体" w:eastAsia="彩虹粗仿宋"/>
          <w:snapToGrid w:val="0"/>
          <w:color w:val="auto"/>
          <w:kern w:val="0"/>
          <w:sz w:val="32"/>
          <w:szCs w:val="32"/>
          <w:highlight w:val="none"/>
        </w:rPr>
        <w:t>所属商品品类为其他制卡设备。</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3" w:firstLineChars="200"/>
        <w:jc w:val="left"/>
        <w:textAlignment w:val="auto"/>
        <w:rPr>
          <w:rFonts w:ascii="彩虹粗仿宋" w:hAnsi="宋体" w:eastAsia="彩虹粗仿宋"/>
          <w:b/>
          <w:snapToGrid w:val="0"/>
          <w:color w:val="auto"/>
          <w:kern w:val="0"/>
          <w:sz w:val="32"/>
          <w:szCs w:val="32"/>
          <w:highlight w:val="none"/>
        </w:rPr>
      </w:pPr>
      <w:r>
        <w:rPr>
          <w:rFonts w:hint="eastAsia" w:ascii="彩虹粗仿宋" w:hAnsi="宋体" w:eastAsia="彩虹粗仿宋"/>
          <w:b/>
          <w:snapToGrid w:val="0"/>
          <w:color w:val="auto"/>
          <w:kern w:val="0"/>
          <w:sz w:val="32"/>
          <w:szCs w:val="32"/>
          <w:highlight w:val="none"/>
        </w:rPr>
        <w:t>物品规格，包括物品的配置，配件，构成材料的成分等。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lang w:val="en-US" w:eastAsia="zh-CN"/>
        </w:rPr>
        <w:t>1.</w:t>
      </w:r>
      <w:r>
        <w:rPr>
          <w:rFonts w:hint="eastAsia" w:ascii="彩虹粗仿宋" w:hAnsi="宋体" w:eastAsia="彩虹粗仿宋"/>
          <w:snapToGrid w:val="0"/>
          <w:color w:val="auto"/>
          <w:kern w:val="0"/>
          <w:sz w:val="32"/>
          <w:szCs w:val="32"/>
          <w:highlight w:val="none"/>
        </w:rPr>
        <w:t>采购内容</w:t>
      </w:r>
    </w:p>
    <w:tbl>
      <w:tblPr>
        <w:tblStyle w:val="2"/>
        <w:tblpPr w:leftFromText="180" w:rightFromText="180" w:vertAnchor="text" w:horzAnchor="page" w:tblpX="2007" w:tblpY="154"/>
        <w:tblOverlap w:val="never"/>
        <w:tblW w:w="84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1080"/>
        <w:gridCol w:w="1436"/>
        <w:gridCol w:w="881"/>
        <w:gridCol w:w="1676"/>
        <w:gridCol w:w="1205"/>
        <w:gridCol w:w="11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08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地区</w:t>
            </w:r>
          </w:p>
        </w:tc>
        <w:tc>
          <w:tcPr>
            <w:tcW w:w="143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采购内容</w:t>
            </w:r>
          </w:p>
        </w:tc>
        <w:tc>
          <w:tcPr>
            <w:tcW w:w="881"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67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配置要求</w:t>
            </w:r>
          </w:p>
        </w:tc>
        <w:tc>
          <w:tcPr>
            <w:tcW w:w="120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合同有效期及</w:t>
            </w:r>
            <w:r>
              <w:rPr>
                <w:rFonts w:hint="eastAsia" w:ascii="宋体" w:hAnsi="宋体" w:eastAsia="宋体" w:cs="宋体"/>
                <w:b/>
                <w:bCs/>
                <w:i w:val="0"/>
                <w:iCs w:val="0"/>
                <w:color w:val="auto"/>
                <w:kern w:val="0"/>
                <w:sz w:val="24"/>
                <w:szCs w:val="24"/>
                <w:highlight w:val="none"/>
                <w:u w:val="none"/>
                <w:lang w:val="en-US" w:eastAsia="zh-CN" w:bidi="ar"/>
              </w:rPr>
              <w:t>维保期</w:t>
            </w:r>
            <w:r>
              <w:rPr>
                <w:rFonts w:hint="eastAsia" w:ascii="宋体" w:hAnsi="宋体" w:cs="宋体"/>
                <w:b/>
                <w:bCs/>
                <w:i w:val="0"/>
                <w:iCs w:val="0"/>
                <w:color w:val="auto"/>
                <w:kern w:val="0"/>
                <w:sz w:val="24"/>
                <w:szCs w:val="24"/>
                <w:highlight w:val="none"/>
                <w:u w:val="none"/>
                <w:lang w:val="en-US" w:eastAsia="zh-CN" w:bidi="ar"/>
              </w:rPr>
              <w:t>（建议）</w:t>
            </w:r>
          </w:p>
        </w:tc>
        <w:tc>
          <w:tcPr>
            <w:tcW w:w="1131" w:type="dxa"/>
            <w:tcBorders>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right w:val="single" w:color="000000" w:sz="4" w:space="0"/>
            </w:tcBorders>
            <w:noWrap/>
            <w:vAlign w:val="center"/>
          </w:tcPr>
          <w:p>
            <w:pPr>
              <w:keepNext w:val="0"/>
              <w:keepLines w:val="0"/>
              <w:widowControl/>
              <w:suppressLineNumbers w:val="0"/>
              <w:jc w:val="both"/>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台州</w:t>
            </w:r>
          </w:p>
        </w:tc>
        <w:tc>
          <w:tcPr>
            <w:tcW w:w="143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社保卡桌面式制卡机（含随机配套耗材）</w:t>
            </w:r>
          </w:p>
        </w:tc>
        <w:tc>
          <w:tcPr>
            <w:tcW w:w="8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13</w:t>
            </w:r>
          </w:p>
        </w:tc>
        <w:tc>
          <w:tcPr>
            <w:tcW w:w="167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详见技术要求</w:t>
            </w:r>
            <w:r>
              <w:rPr>
                <w:rFonts w:hint="eastAsia" w:ascii="宋体" w:hAnsi="宋体" w:cs="宋体"/>
                <w:i w:val="0"/>
                <w:iCs w:val="0"/>
                <w:color w:val="auto"/>
                <w:kern w:val="0"/>
                <w:sz w:val="24"/>
                <w:szCs w:val="24"/>
                <w:highlight w:val="none"/>
                <w:u w:val="none"/>
                <w:lang w:val="en-US" w:eastAsia="zh-CN" w:bidi="ar"/>
              </w:rPr>
              <w:t>，设备需支持即时同卡号换卡功能</w:t>
            </w:r>
          </w:p>
        </w:tc>
        <w:tc>
          <w:tcPr>
            <w:tcW w:w="120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cs="宋体"/>
                <w:i w:val="0"/>
                <w:iCs w:val="0"/>
                <w:color w:val="auto"/>
                <w:sz w:val="24"/>
                <w:szCs w:val="24"/>
                <w:highlight w:val="none"/>
                <w:u w:val="none"/>
                <w:lang w:eastAsia="zh-CN"/>
              </w:rPr>
              <w:t>至少五年</w:t>
            </w:r>
          </w:p>
        </w:tc>
        <w:tc>
          <w:tcPr>
            <w:tcW w:w="1131" w:type="dxa"/>
            <w:tcBorders>
              <w:top w:val="single" w:color="000000" w:sz="4" w:space="0"/>
              <w:lef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w:t>
            </w:r>
          </w:p>
        </w:tc>
      </w:tr>
    </w:tbl>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snapToGrid w:val="0"/>
          <w:color w:val="auto"/>
          <w:kern w:val="0"/>
          <w:sz w:val="32"/>
          <w:szCs w:val="32"/>
          <w:highlight w:val="none"/>
          <w:lang w:val="en-US" w:eastAsia="zh-CN"/>
        </w:rPr>
      </w:pPr>
      <w:r>
        <w:rPr>
          <w:rFonts w:hint="eastAsia" w:ascii="彩虹粗仿宋" w:hAnsi="宋体" w:eastAsia="彩虹粗仿宋"/>
          <w:snapToGrid w:val="0"/>
          <w:color w:val="auto"/>
          <w:kern w:val="0"/>
          <w:sz w:val="32"/>
          <w:szCs w:val="32"/>
          <w:highlight w:val="none"/>
          <w:lang w:val="en-US" w:eastAsia="zh-CN"/>
        </w:rPr>
        <w:t xml:space="preserve">配置要求：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923"/>
        <w:gridCol w:w="573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20" w:line="400" w:lineRule="exact"/>
              <w:jc w:val="left"/>
              <w:textAlignment w:val="auto"/>
              <w:rPr>
                <w:rFonts w:hint="eastAsia" w:ascii="彩虹粗仿宋" w:hAnsi="彩虹粗仿宋" w:eastAsia="彩虹粗仿宋" w:cs="彩虹粗仿宋"/>
                <w:b/>
                <w:bCs/>
                <w:color w:val="auto"/>
                <w:kern w:val="0"/>
                <w:sz w:val="22"/>
                <w:szCs w:val="22"/>
                <w:highlight w:val="none"/>
              </w:rPr>
            </w:pPr>
            <w:r>
              <w:rPr>
                <w:rFonts w:hint="eastAsia" w:ascii="彩虹粗仿宋" w:hAnsi="彩虹粗仿宋" w:eastAsia="彩虹粗仿宋" w:cs="彩虹粗仿宋"/>
                <w:b/>
                <w:bCs/>
                <w:color w:val="auto"/>
                <w:kern w:val="0"/>
                <w:sz w:val="22"/>
                <w:szCs w:val="22"/>
                <w:highlight w:val="none"/>
              </w:rPr>
              <w:t>序号</w:t>
            </w:r>
          </w:p>
        </w:tc>
        <w:tc>
          <w:tcPr>
            <w:tcW w:w="0" w:type="auto"/>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before="120" w:line="400" w:lineRule="exact"/>
              <w:jc w:val="left"/>
              <w:textAlignment w:val="auto"/>
              <w:rPr>
                <w:rFonts w:hint="eastAsia" w:ascii="彩虹粗仿宋" w:hAnsi="彩虹粗仿宋" w:eastAsia="彩虹粗仿宋" w:cs="彩虹粗仿宋"/>
                <w:b/>
                <w:bCs/>
                <w:color w:val="auto"/>
                <w:kern w:val="0"/>
                <w:sz w:val="22"/>
                <w:szCs w:val="22"/>
                <w:highlight w:val="none"/>
              </w:rPr>
            </w:pPr>
            <w:r>
              <w:rPr>
                <w:rFonts w:hint="eastAsia" w:ascii="彩虹粗仿宋" w:hAnsi="彩虹粗仿宋" w:eastAsia="彩虹粗仿宋" w:cs="彩虹粗仿宋"/>
                <w:b/>
                <w:bCs/>
                <w:color w:val="auto"/>
                <w:kern w:val="0"/>
                <w:sz w:val="22"/>
                <w:szCs w:val="22"/>
                <w:highlight w:val="none"/>
              </w:rPr>
              <w:t>功能</w:t>
            </w:r>
          </w:p>
        </w:tc>
        <w:tc>
          <w:tcPr>
            <w:tcW w:w="573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before="120" w:line="400" w:lineRule="exact"/>
              <w:jc w:val="left"/>
              <w:textAlignment w:val="auto"/>
              <w:rPr>
                <w:rFonts w:hint="eastAsia" w:ascii="彩虹粗仿宋" w:hAnsi="彩虹粗仿宋" w:eastAsia="彩虹粗仿宋" w:cs="彩虹粗仿宋"/>
                <w:b/>
                <w:bCs/>
                <w:color w:val="auto"/>
                <w:kern w:val="0"/>
                <w:sz w:val="22"/>
                <w:szCs w:val="22"/>
                <w:highlight w:val="none"/>
              </w:rPr>
            </w:pPr>
            <w:r>
              <w:rPr>
                <w:rFonts w:hint="eastAsia" w:ascii="彩虹粗仿宋" w:hAnsi="彩虹粗仿宋" w:eastAsia="彩虹粗仿宋" w:cs="彩虹粗仿宋"/>
                <w:b/>
                <w:bCs/>
                <w:color w:val="auto"/>
                <w:kern w:val="0"/>
                <w:sz w:val="22"/>
                <w:szCs w:val="22"/>
                <w:highlight w:val="none"/>
              </w:rPr>
              <w:t>型号、配置</w:t>
            </w:r>
          </w:p>
        </w:tc>
        <w:tc>
          <w:tcPr>
            <w:tcW w:w="1206" w:type="dxa"/>
            <w:noWrap/>
            <w:vAlign w:val="center"/>
          </w:tcPr>
          <w:p>
            <w:pPr>
              <w:keepNext w:val="0"/>
              <w:keepLines w:val="0"/>
              <w:pageBreakBefore w:val="0"/>
              <w:widowControl/>
              <w:kinsoku/>
              <w:wordWrap/>
              <w:overflowPunct/>
              <w:topLinePunct w:val="0"/>
              <w:autoSpaceDE/>
              <w:autoSpaceDN/>
              <w:bidi w:val="0"/>
              <w:adjustRightInd/>
              <w:snapToGrid/>
              <w:spacing w:before="120" w:line="400" w:lineRule="exact"/>
              <w:jc w:val="left"/>
              <w:textAlignment w:val="auto"/>
              <w:rPr>
                <w:rFonts w:hint="eastAsia" w:ascii="彩虹粗仿宋" w:hAnsi="彩虹粗仿宋" w:eastAsia="彩虹粗仿宋" w:cs="彩虹粗仿宋"/>
                <w:b/>
                <w:bCs/>
                <w:color w:val="auto"/>
                <w:kern w:val="0"/>
                <w:sz w:val="22"/>
                <w:szCs w:val="22"/>
                <w:highlight w:val="none"/>
              </w:rPr>
            </w:pPr>
            <w:r>
              <w:rPr>
                <w:rFonts w:hint="eastAsia" w:ascii="彩虹粗仿宋" w:hAnsi="彩虹粗仿宋" w:eastAsia="彩虹粗仿宋" w:cs="彩虹粗仿宋"/>
                <w:b/>
                <w:bCs/>
                <w:color w:val="auto"/>
                <w:kern w:val="0"/>
                <w:sz w:val="22"/>
                <w:szCs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0" w:type="auto"/>
            <w:noWrap/>
            <w:vAlign w:val="center"/>
          </w:tcPr>
          <w:p>
            <w:pPr>
              <w:keepNext w:val="0"/>
              <w:keepLines w:val="0"/>
              <w:pageBreakBefore w:val="0"/>
              <w:widowControl/>
              <w:kinsoku/>
              <w:wordWrap/>
              <w:overflowPunct/>
              <w:topLinePunct w:val="0"/>
              <w:autoSpaceDE/>
              <w:autoSpaceDN/>
              <w:bidi w:val="0"/>
              <w:adjustRightInd/>
              <w:snapToGrid/>
              <w:spacing w:before="120" w:line="400" w:lineRule="exact"/>
              <w:jc w:val="left"/>
              <w:textAlignment w:val="auto"/>
              <w:rPr>
                <w:rFonts w:hint="eastAsia" w:ascii="彩虹粗仿宋" w:hAnsi="彩虹粗仿宋" w:eastAsia="彩虹粗仿宋" w:cs="彩虹粗仿宋"/>
                <w:color w:val="auto"/>
                <w:kern w:val="0"/>
                <w:sz w:val="22"/>
                <w:szCs w:val="22"/>
                <w:highlight w:val="none"/>
              </w:rPr>
            </w:pPr>
            <w:r>
              <w:rPr>
                <w:rFonts w:hint="eastAsia" w:ascii="彩虹粗仿宋" w:hAnsi="彩虹粗仿宋" w:eastAsia="彩虹粗仿宋" w:cs="彩虹粗仿宋"/>
                <w:color w:val="auto"/>
                <w:kern w:val="0"/>
                <w:sz w:val="22"/>
                <w:szCs w:val="22"/>
                <w:highlight w:val="none"/>
              </w:rPr>
              <w:t>1</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before="120" w:line="400" w:lineRule="exact"/>
              <w:jc w:val="left"/>
              <w:textAlignment w:val="auto"/>
              <w:rPr>
                <w:rFonts w:hint="eastAsia" w:ascii="彩虹粗仿宋" w:hAnsi="彩虹粗仿宋" w:eastAsia="彩虹粗仿宋" w:cs="彩虹粗仿宋"/>
                <w:color w:val="auto"/>
                <w:kern w:val="0"/>
                <w:sz w:val="22"/>
                <w:szCs w:val="22"/>
                <w:highlight w:val="none"/>
                <w:lang w:eastAsia="zh-CN"/>
              </w:rPr>
            </w:pPr>
            <w:r>
              <w:rPr>
                <w:rFonts w:hint="eastAsia" w:ascii="彩虹粗仿宋" w:hAnsi="彩虹粗仿宋" w:eastAsia="彩虹粗仿宋" w:cs="彩虹粗仿宋"/>
                <w:color w:val="auto"/>
                <w:kern w:val="0"/>
                <w:sz w:val="22"/>
                <w:szCs w:val="22"/>
                <w:highlight w:val="none"/>
              </w:rPr>
              <w:t>社保卡</w:t>
            </w:r>
            <w:r>
              <w:rPr>
                <w:rFonts w:hint="eastAsia" w:ascii="彩虹粗仿宋" w:hAnsi="彩虹粗仿宋" w:eastAsia="彩虹粗仿宋" w:cs="彩虹粗仿宋"/>
                <w:color w:val="auto"/>
                <w:kern w:val="0"/>
                <w:sz w:val="22"/>
                <w:szCs w:val="22"/>
                <w:highlight w:val="none"/>
                <w:lang w:eastAsia="zh-CN"/>
              </w:rPr>
              <w:t>制卡</w:t>
            </w:r>
          </w:p>
        </w:tc>
        <w:tc>
          <w:tcPr>
            <w:tcW w:w="573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彩虹粗仿宋" w:hAnsi="彩虹粗仿宋" w:eastAsia="彩虹粗仿宋" w:cs="彩虹粗仿宋"/>
                <w:color w:val="auto"/>
                <w:kern w:val="0"/>
                <w:sz w:val="22"/>
                <w:szCs w:val="22"/>
                <w:highlight w:val="none"/>
              </w:rPr>
            </w:pPr>
            <w:r>
              <w:rPr>
                <w:rFonts w:hint="eastAsia" w:ascii="彩虹粗仿宋" w:hAnsi="彩虹粗仿宋" w:eastAsia="彩虹粗仿宋" w:cs="彩虹粗仿宋"/>
                <w:color w:val="auto"/>
                <w:kern w:val="0"/>
                <w:sz w:val="22"/>
                <w:szCs w:val="22"/>
                <w:highlight w:val="none"/>
              </w:rPr>
              <w:t>制卡工艺：染料热升华；</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彩虹粗仿宋" w:hAnsi="彩虹粗仿宋" w:eastAsia="彩虹粗仿宋" w:cs="彩虹粗仿宋"/>
                <w:color w:val="auto"/>
                <w:kern w:val="0"/>
                <w:sz w:val="22"/>
                <w:szCs w:val="22"/>
                <w:highlight w:val="none"/>
              </w:rPr>
            </w:pPr>
            <w:r>
              <w:rPr>
                <w:rFonts w:hint="eastAsia" w:ascii="彩虹粗仿宋" w:hAnsi="彩虹粗仿宋" w:eastAsia="彩虹粗仿宋" w:cs="彩虹粗仿宋"/>
                <w:color w:val="auto"/>
                <w:kern w:val="0"/>
                <w:sz w:val="22"/>
                <w:szCs w:val="22"/>
                <w:highlight w:val="none"/>
              </w:rPr>
              <w:t>打印分辨率：不低于300dpi；</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彩虹粗仿宋" w:hAnsi="彩虹粗仿宋" w:eastAsia="彩虹粗仿宋" w:cs="彩虹粗仿宋"/>
                <w:color w:val="auto"/>
                <w:kern w:val="0"/>
                <w:sz w:val="22"/>
                <w:szCs w:val="22"/>
                <w:highlight w:val="none"/>
              </w:rPr>
            </w:pPr>
            <w:r>
              <w:rPr>
                <w:rFonts w:hint="eastAsia" w:ascii="彩虹粗仿宋" w:hAnsi="彩虹粗仿宋" w:eastAsia="彩虹粗仿宋" w:cs="彩虹粗仿宋"/>
                <w:color w:val="auto"/>
                <w:kern w:val="0"/>
                <w:sz w:val="22"/>
                <w:szCs w:val="22"/>
                <w:highlight w:val="none"/>
              </w:rPr>
              <w:t>卡箱容量：入卡箱不少于100张，出卡箱少于35张；</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彩虹粗仿宋" w:hAnsi="彩虹粗仿宋" w:eastAsia="彩虹粗仿宋" w:cs="彩虹粗仿宋"/>
                <w:color w:val="auto"/>
                <w:kern w:val="0"/>
                <w:sz w:val="22"/>
                <w:szCs w:val="22"/>
                <w:highlight w:val="none"/>
              </w:rPr>
            </w:pPr>
            <w:r>
              <w:rPr>
                <w:rFonts w:hint="eastAsia" w:ascii="彩虹粗仿宋" w:hAnsi="彩虹粗仿宋" w:eastAsia="彩虹粗仿宋" w:cs="彩虹粗仿宋"/>
                <w:color w:val="auto"/>
                <w:kern w:val="0"/>
                <w:sz w:val="22"/>
                <w:szCs w:val="22"/>
                <w:highlight w:val="none"/>
              </w:rPr>
              <w:t>打印速度：彩色单面≤30秒/张；</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彩虹粗仿宋" w:hAnsi="彩虹粗仿宋" w:eastAsia="彩虹粗仿宋" w:cs="彩虹粗仿宋"/>
                <w:color w:val="auto"/>
                <w:kern w:val="0"/>
                <w:sz w:val="22"/>
                <w:szCs w:val="22"/>
                <w:highlight w:val="none"/>
              </w:rPr>
            </w:pPr>
            <w:r>
              <w:rPr>
                <w:rFonts w:hint="eastAsia" w:ascii="彩虹粗仿宋" w:hAnsi="彩虹粗仿宋" w:eastAsia="彩虹粗仿宋" w:cs="彩虹粗仿宋"/>
                <w:color w:val="auto"/>
                <w:kern w:val="0"/>
                <w:sz w:val="22"/>
                <w:szCs w:val="22"/>
                <w:highlight w:val="none"/>
              </w:rPr>
              <w:t>驱动：支持Windows7，8，10及以上操作系统，支持主流国产操作系统；</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彩虹粗仿宋" w:hAnsi="彩虹粗仿宋" w:eastAsia="彩虹粗仿宋" w:cs="彩虹粗仿宋"/>
                <w:color w:val="auto"/>
                <w:kern w:val="0"/>
                <w:sz w:val="22"/>
                <w:szCs w:val="22"/>
                <w:highlight w:val="none"/>
              </w:rPr>
            </w:pPr>
            <w:r>
              <w:rPr>
                <w:rFonts w:hint="eastAsia" w:ascii="彩虹粗仿宋" w:hAnsi="彩虹粗仿宋" w:eastAsia="彩虹粗仿宋" w:cs="彩虹粗仿宋"/>
                <w:color w:val="auto"/>
                <w:kern w:val="0"/>
                <w:sz w:val="22"/>
                <w:szCs w:val="22"/>
                <w:highlight w:val="none"/>
              </w:rPr>
              <w:t>写IC模块：内置写IC模块，支持ISO7816，支持ISO14443TYPE A；不少于2个PSAM卡座；</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彩虹粗仿宋" w:hAnsi="彩虹粗仿宋" w:eastAsia="彩虹粗仿宋" w:cs="彩虹粗仿宋"/>
                <w:color w:val="auto"/>
                <w:kern w:val="0"/>
                <w:sz w:val="22"/>
                <w:szCs w:val="22"/>
                <w:highlight w:val="none"/>
              </w:rPr>
            </w:pPr>
            <w:r>
              <w:rPr>
                <w:rFonts w:hint="eastAsia" w:ascii="彩虹粗仿宋" w:hAnsi="彩虹粗仿宋" w:eastAsia="彩虹粗仿宋" w:cs="彩虹粗仿宋"/>
                <w:color w:val="auto"/>
                <w:kern w:val="0"/>
                <w:sz w:val="22"/>
                <w:szCs w:val="22"/>
                <w:highlight w:val="none"/>
              </w:rPr>
              <w:t>写磁模块：内置写磁模块，支持ISO7811。</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彩虹粗仿宋" w:hAnsi="彩虹粗仿宋" w:eastAsia="彩虹粗仿宋" w:cs="彩虹粗仿宋"/>
                <w:color w:val="auto"/>
                <w:kern w:val="0"/>
                <w:sz w:val="22"/>
                <w:szCs w:val="22"/>
                <w:highlight w:val="none"/>
              </w:rPr>
            </w:pPr>
            <w:r>
              <w:rPr>
                <w:rFonts w:hint="eastAsia" w:ascii="彩虹粗仿宋" w:hAnsi="彩虹粗仿宋" w:eastAsia="彩虹粗仿宋" w:cs="彩虹粗仿宋"/>
                <w:color w:val="auto"/>
                <w:kern w:val="0"/>
                <w:sz w:val="22"/>
                <w:szCs w:val="22"/>
                <w:highlight w:val="none"/>
              </w:rPr>
              <w:t>耗材：每台设备包含一卷色带，规格不低于4</w:t>
            </w:r>
            <w:r>
              <w:rPr>
                <w:rFonts w:hint="eastAsia" w:ascii="彩虹粗仿宋" w:hAnsi="彩虹粗仿宋" w:eastAsia="彩虹粗仿宋" w:cs="彩虹粗仿宋"/>
                <w:color w:val="auto"/>
                <w:kern w:val="0"/>
                <w:sz w:val="22"/>
                <w:szCs w:val="22"/>
                <w:highlight w:val="none"/>
                <w:lang w:val="en-US" w:eastAsia="zh-CN"/>
              </w:rPr>
              <w:t>0</w:t>
            </w:r>
            <w:r>
              <w:rPr>
                <w:rFonts w:hint="eastAsia" w:ascii="彩虹粗仿宋" w:hAnsi="彩虹粗仿宋" w:eastAsia="彩虹粗仿宋" w:cs="彩虹粗仿宋"/>
                <w:color w:val="auto"/>
                <w:kern w:val="0"/>
                <w:sz w:val="22"/>
                <w:szCs w:val="22"/>
                <w:highlight w:val="none"/>
              </w:rPr>
              <w:t>0张/卷；</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彩虹粗仿宋" w:hAnsi="彩虹粗仿宋" w:eastAsia="彩虹粗仿宋" w:cs="彩虹粗仿宋"/>
                <w:color w:val="auto"/>
                <w:kern w:val="0"/>
                <w:sz w:val="22"/>
                <w:szCs w:val="22"/>
                <w:highlight w:val="none"/>
                <w:lang w:val="en-US" w:eastAsia="zh-CN"/>
              </w:rPr>
            </w:pPr>
            <w:r>
              <w:rPr>
                <w:rFonts w:hint="eastAsia" w:ascii="彩虹粗仿宋" w:hAnsi="彩虹粗仿宋" w:eastAsia="彩虹粗仿宋" w:cs="彩虹粗仿宋"/>
                <w:color w:val="auto"/>
                <w:kern w:val="0"/>
                <w:sz w:val="22"/>
                <w:szCs w:val="22"/>
                <w:highlight w:val="none"/>
                <w:lang w:eastAsia="zh-CN"/>
              </w:rPr>
              <w:t>其他要求：</w:t>
            </w:r>
            <w:r>
              <w:rPr>
                <w:rFonts w:hint="eastAsia" w:ascii="彩虹粗仿宋" w:hAnsi="彩虹粗仿宋" w:eastAsia="彩虹粗仿宋" w:cs="彩虹粗仿宋"/>
                <w:color w:val="auto"/>
                <w:kern w:val="0"/>
                <w:sz w:val="22"/>
                <w:szCs w:val="22"/>
                <w:highlight w:val="none"/>
                <w:lang w:val="en-US" w:eastAsia="zh-CN"/>
              </w:rPr>
              <w:t>1.</w:t>
            </w:r>
            <w:r>
              <w:rPr>
                <w:rFonts w:hint="eastAsia" w:ascii="彩虹粗仿宋" w:hAnsi="彩虹粗仿宋" w:eastAsia="彩虹粗仿宋" w:cs="彩虹粗仿宋"/>
                <w:color w:val="auto"/>
                <w:kern w:val="0"/>
                <w:sz w:val="22"/>
                <w:szCs w:val="22"/>
                <w:highlight w:val="none"/>
                <w:lang w:eastAsia="zh-CN"/>
              </w:rPr>
              <w:t>设备已</w:t>
            </w:r>
            <w:r>
              <w:rPr>
                <w:rFonts w:hint="eastAsia" w:ascii="彩虹粗仿宋" w:hAnsi="彩虹粗仿宋" w:eastAsia="彩虹粗仿宋" w:cs="彩虹粗仿宋"/>
                <w:color w:val="auto"/>
                <w:kern w:val="0"/>
                <w:sz w:val="22"/>
                <w:szCs w:val="22"/>
                <w:highlight w:val="none"/>
              </w:rPr>
              <w:t>在</w:t>
            </w:r>
            <w:r>
              <w:rPr>
                <w:rFonts w:hint="eastAsia" w:ascii="彩虹粗仿宋" w:hAnsi="彩虹粗仿宋" w:eastAsia="彩虹粗仿宋" w:cs="彩虹粗仿宋"/>
                <w:color w:val="auto"/>
                <w:kern w:val="0"/>
                <w:sz w:val="22"/>
                <w:szCs w:val="22"/>
                <w:highlight w:val="none"/>
                <w:lang w:eastAsia="zh-CN"/>
              </w:rPr>
              <w:t>当地</w:t>
            </w:r>
            <w:r>
              <w:rPr>
                <w:rFonts w:hint="eastAsia" w:ascii="彩虹粗仿宋" w:hAnsi="彩虹粗仿宋" w:eastAsia="彩虹粗仿宋" w:cs="彩虹粗仿宋"/>
                <w:color w:val="auto"/>
                <w:kern w:val="0"/>
                <w:sz w:val="22"/>
                <w:szCs w:val="22"/>
                <w:highlight w:val="none"/>
                <w:lang w:val="en-US" w:eastAsia="zh-CN"/>
              </w:rPr>
              <w:t>社保部门</w:t>
            </w:r>
            <w:r>
              <w:rPr>
                <w:rFonts w:hint="eastAsia" w:ascii="彩虹粗仿宋" w:hAnsi="彩虹粗仿宋" w:eastAsia="彩虹粗仿宋" w:cs="彩虹粗仿宋"/>
                <w:color w:val="auto"/>
                <w:kern w:val="0"/>
                <w:sz w:val="22"/>
                <w:szCs w:val="22"/>
                <w:highlight w:val="none"/>
              </w:rPr>
              <w:t>备案或准入</w:t>
            </w:r>
            <w:r>
              <w:rPr>
                <w:rFonts w:hint="eastAsia" w:ascii="彩虹粗仿宋" w:hAnsi="彩虹粗仿宋" w:eastAsia="彩虹粗仿宋" w:cs="彩虹粗仿宋"/>
                <w:color w:val="auto"/>
                <w:kern w:val="0"/>
                <w:sz w:val="22"/>
                <w:szCs w:val="22"/>
                <w:highlight w:val="none"/>
                <w:lang w:eastAsia="zh-CN"/>
              </w:rPr>
              <w:t>的加分；</w:t>
            </w:r>
            <w:r>
              <w:rPr>
                <w:rFonts w:hint="eastAsia" w:ascii="彩虹粗仿宋" w:hAnsi="彩虹粗仿宋" w:eastAsia="彩虹粗仿宋" w:cs="彩虹粗仿宋"/>
                <w:color w:val="auto"/>
                <w:kern w:val="0"/>
                <w:sz w:val="22"/>
                <w:szCs w:val="22"/>
                <w:highlight w:val="none"/>
                <w:lang w:val="en-US" w:eastAsia="zh-CN"/>
              </w:rPr>
              <w:t>2.</w:t>
            </w:r>
            <w:r>
              <w:rPr>
                <w:rFonts w:hint="eastAsia" w:ascii="彩虹粗仿宋" w:hAnsi="彩虹粗仿宋" w:eastAsia="彩虹粗仿宋" w:cs="彩虹粗仿宋"/>
                <w:color w:val="auto"/>
                <w:kern w:val="0"/>
                <w:sz w:val="22"/>
                <w:szCs w:val="22"/>
                <w:highlight w:val="none"/>
              </w:rPr>
              <w:t>支持即时同卡号换卡功能。</w:t>
            </w:r>
          </w:p>
        </w:tc>
        <w:tc>
          <w:tcPr>
            <w:tcW w:w="1206" w:type="dxa"/>
            <w:noWrap/>
            <w:vAlign w:val="center"/>
          </w:tcPr>
          <w:p>
            <w:pPr>
              <w:keepNext w:val="0"/>
              <w:keepLines w:val="0"/>
              <w:pageBreakBefore w:val="0"/>
              <w:widowControl/>
              <w:kinsoku/>
              <w:wordWrap/>
              <w:overflowPunct/>
              <w:topLinePunct w:val="0"/>
              <w:autoSpaceDE/>
              <w:autoSpaceDN/>
              <w:bidi w:val="0"/>
              <w:adjustRightInd/>
              <w:snapToGrid/>
              <w:spacing w:before="120" w:line="400" w:lineRule="exact"/>
              <w:jc w:val="left"/>
              <w:textAlignment w:val="auto"/>
              <w:rPr>
                <w:rFonts w:hint="default" w:ascii="彩虹粗仿宋" w:hAnsi="彩虹粗仿宋" w:eastAsia="彩虹粗仿宋" w:cs="彩虹粗仿宋"/>
                <w:color w:val="auto"/>
                <w:kern w:val="0"/>
                <w:sz w:val="22"/>
                <w:szCs w:val="22"/>
                <w:highlight w:val="none"/>
                <w:lang w:val="en-US" w:eastAsia="zh-CN"/>
              </w:rPr>
            </w:pPr>
            <w:r>
              <w:rPr>
                <w:rFonts w:hint="eastAsia" w:ascii="彩虹粗仿宋" w:hAnsi="彩虹粗仿宋" w:eastAsia="彩虹粗仿宋" w:cs="彩虹粗仿宋"/>
                <w:color w:val="auto"/>
                <w:kern w:val="0"/>
                <w:sz w:val="22"/>
                <w:szCs w:val="22"/>
                <w:highlight w:val="none"/>
                <w:lang w:val="en-US" w:eastAsia="zh-CN"/>
              </w:rPr>
              <w:t>13台</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彩虹粗仿宋" w:hAnsi="宋体" w:eastAsia="彩虹粗仿宋"/>
          <w:snapToGrid w:val="0"/>
          <w:color w:val="auto"/>
          <w:kern w:val="0"/>
          <w:sz w:val="32"/>
          <w:szCs w:val="32"/>
          <w:highlight w:val="none"/>
          <w:lang w:val="en-US" w:eastAsia="zh-CN"/>
        </w:rPr>
      </w:pPr>
    </w:p>
    <w:p>
      <w:pPr>
        <w:keepNext w:val="0"/>
        <w:keepLines w:val="0"/>
        <w:pageBreakBefore w:val="0"/>
        <w:numPr>
          <w:ilvl w:val="0"/>
          <w:numId w:val="2"/>
        </w:numPr>
        <w:kinsoku/>
        <w:wordWrap/>
        <w:overflowPunct/>
        <w:topLinePunct w:val="0"/>
        <w:autoSpaceDE/>
        <w:autoSpaceDN/>
        <w:bidi w:val="0"/>
        <w:spacing w:before="120" w:line="560" w:lineRule="exact"/>
        <w:ind w:firstLine="643" w:firstLineChars="200"/>
        <w:jc w:val="left"/>
        <w:textAlignment w:val="auto"/>
        <w:rPr>
          <w:rFonts w:ascii="彩虹粗仿宋" w:hAnsi="宋体" w:eastAsia="彩虹粗仿宋"/>
          <w:b/>
          <w:bCs/>
          <w:snapToGrid w:val="0"/>
          <w:color w:val="auto"/>
          <w:kern w:val="0"/>
          <w:sz w:val="32"/>
          <w:szCs w:val="32"/>
          <w:highlight w:val="none"/>
        </w:rPr>
      </w:pPr>
      <w:r>
        <w:rPr>
          <w:rFonts w:hint="eastAsia" w:ascii="彩虹粗仿宋" w:hAnsi="宋体" w:eastAsia="彩虹粗仿宋"/>
          <w:b/>
          <w:bCs/>
          <w:snapToGrid w:val="0"/>
          <w:color w:val="auto"/>
          <w:kern w:val="0"/>
          <w:sz w:val="32"/>
          <w:szCs w:val="32"/>
          <w:highlight w:val="none"/>
        </w:rPr>
        <w:t>产品质量要求</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彩虹粗仿宋" w:hAnsi="宋体" w:eastAsia="彩虹粗仿宋"/>
          <w:snapToGrid w:val="0"/>
          <w:color w:val="auto"/>
          <w:kern w:val="0"/>
          <w:sz w:val="32"/>
          <w:szCs w:val="32"/>
          <w:highlight w:val="none"/>
          <w:lang w:eastAsia="zh-CN"/>
        </w:rPr>
      </w:pPr>
      <w:r>
        <w:rPr>
          <w:rFonts w:hint="eastAsia" w:ascii="彩虹粗仿宋" w:hAnsi="宋体" w:eastAsia="彩虹粗仿宋"/>
          <w:snapToGrid w:val="0"/>
          <w:color w:val="auto"/>
          <w:kern w:val="0"/>
          <w:sz w:val="32"/>
          <w:szCs w:val="32"/>
          <w:highlight w:val="none"/>
        </w:rPr>
        <w:t>供应商提供的社保卡桌面式制卡机，应具有国产化产品兼容互认证证书,整机通过国家3C认证</w:t>
      </w:r>
      <w:r>
        <w:rPr>
          <w:rFonts w:hint="eastAsia" w:ascii="彩虹粗仿宋" w:hAnsi="宋体" w:eastAsia="彩虹粗仿宋"/>
          <w:snapToGrid w:val="0"/>
          <w:color w:val="auto"/>
          <w:kern w:val="0"/>
          <w:sz w:val="32"/>
          <w:szCs w:val="32"/>
          <w:highlight w:val="none"/>
          <w:lang w:eastAsia="zh-CN"/>
        </w:rPr>
        <w:t>，</w:t>
      </w:r>
      <w:r>
        <w:rPr>
          <w:rFonts w:hint="eastAsia" w:ascii="彩虹粗仿宋" w:hAnsi="宋体" w:eastAsia="彩虹粗仿宋"/>
          <w:snapToGrid w:val="0"/>
          <w:color w:val="auto"/>
          <w:kern w:val="0"/>
          <w:sz w:val="32"/>
          <w:szCs w:val="32"/>
          <w:highlight w:val="none"/>
        </w:rPr>
        <w:t>提供认证证书复印件，设备能够与</w:t>
      </w:r>
      <w:r>
        <w:rPr>
          <w:rFonts w:hint="eastAsia" w:ascii="彩虹粗仿宋" w:hAnsi="宋体" w:eastAsia="彩虹粗仿宋"/>
          <w:snapToGrid w:val="0"/>
          <w:color w:val="auto"/>
          <w:kern w:val="0"/>
          <w:sz w:val="32"/>
          <w:szCs w:val="32"/>
          <w:highlight w:val="none"/>
          <w:lang w:eastAsia="zh-CN"/>
        </w:rPr>
        <w:t>台州地区的</w:t>
      </w:r>
      <w:r>
        <w:rPr>
          <w:rFonts w:hint="eastAsia" w:ascii="彩虹粗仿宋" w:hAnsi="宋体" w:eastAsia="彩虹粗仿宋"/>
          <w:snapToGrid w:val="0"/>
          <w:color w:val="auto"/>
          <w:kern w:val="0"/>
          <w:sz w:val="32"/>
          <w:szCs w:val="32"/>
          <w:highlight w:val="none"/>
        </w:rPr>
        <w:t>社保系统对接办理各项社保业务，能够免费</w:t>
      </w:r>
      <w:r>
        <w:rPr>
          <w:rFonts w:hint="eastAsia" w:ascii="彩虹粗仿宋" w:hAnsi="宋体" w:eastAsia="彩虹粗仿宋"/>
          <w:snapToGrid w:val="0"/>
          <w:color w:val="auto"/>
          <w:kern w:val="0"/>
          <w:sz w:val="32"/>
          <w:szCs w:val="32"/>
          <w:highlight w:val="none"/>
          <w:lang w:eastAsia="zh-CN"/>
        </w:rPr>
        <w:t>调试</w:t>
      </w:r>
      <w:r>
        <w:rPr>
          <w:rFonts w:hint="eastAsia" w:ascii="彩虹粗仿宋" w:hAnsi="宋体" w:eastAsia="彩虹粗仿宋"/>
          <w:snapToGrid w:val="0"/>
          <w:color w:val="auto"/>
          <w:kern w:val="0"/>
          <w:sz w:val="32"/>
          <w:szCs w:val="32"/>
          <w:highlight w:val="none"/>
        </w:rPr>
        <w:t>设备和程序升级。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公司确保提供的设备为原厂商生产的全新的、未曾使用过的设备，设备品质与原厂商提供的货物内附说明书一致，并保证设备在按照设备内附说明书安装、使用、维护的情况下运转良好。硬件产品在国内有可靠的技术支持力量、必须具有完整的技术资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公司提供的产品质量应符合同类同规格产品的国家质量标准及行业质量标准，上述质量标准区分等级的，则应符合最高级别的标准；如没有上述标准的，则应具备该类产品通常所应具备的使用功能和质量标准。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硬件产品必须具有在中国境内的正式合法使用权和销售权；并应当向我行提供相应的硬件使用许可。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公司保证硬件产品不包含任何明显的或主要的缺陷、错误，不包含任何恶意的、破坏性的或可能导致未经授权者侵入、操作、控制计算机或计算机数据的计算机病毒、木马程序、后门程序等程序设计或程序代码。</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ascii="彩虹粗仿宋" w:hAnsi="宋体" w:eastAsia="彩虹粗仿宋"/>
          <w:snapToGrid w:val="0"/>
          <w:color w:val="auto"/>
          <w:kern w:val="0"/>
          <w:sz w:val="32"/>
          <w:szCs w:val="32"/>
          <w:highlight w:val="none"/>
        </w:rPr>
      </w:pPr>
      <w:r>
        <w:rPr>
          <w:rFonts w:hint="eastAsia" w:ascii="彩虹粗仿宋" w:hAnsi="宋体" w:eastAsia="彩虹粗仿宋"/>
          <w:b/>
          <w:bCs/>
          <w:snapToGrid w:val="0"/>
          <w:color w:val="auto"/>
          <w:kern w:val="0"/>
          <w:sz w:val="32"/>
          <w:szCs w:val="32"/>
          <w:highlight w:val="none"/>
        </w:rPr>
        <w:t>五、产品数量：</w:t>
      </w:r>
      <w:r>
        <w:rPr>
          <w:rFonts w:hint="eastAsia" w:ascii="彩虹粗仿宋" w:hAnsi="宋体" w:eastAsia="彩虹粗仿宋"/>
          <w:b/>
          <w:bCs/>
          <w:snapToGrid w:val="0"/>
          <w:color w:val="auto"/>
          <w:kern w:val="0"/>
          <w:sz w:val="32"/>
          <w:szCs w:val="32"/>
          <w:highlight w:val="none"/>
          <w:lang w:val="en-US" w:eastAsia="zh-CN"/>
        </w:rPr>
        <w:t>13</w:t>
      </w:r>
      <w:r>
        <w:rPr>
          <w:rFonts w:hint="eastAsia" w:ascii="彩虹粗仿宋" w:hAnsi="宋体" w:eastAsia="彩虹粗仿宋"/>
          <w:snapToGrid w:val="0"/>
          <w:color w:val="auto"/>
          <w:kern w:val="0"/>
          <w:sz w:val="32"/>
          <w:szCs w:val="32"/>
          <w:highlight w:val="none"/>
        </w:rPr>
        <w:t>台。</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彩虹粗仿宋" w:hAnsi="宋体" w:eastAsia="彩虹粗仿宋"/>
          <w:b/>
          <w:bCs/>
          <w:snapToGrid w:val="0"/>
          <w:color w:val="auto"/>
          <w:kern w:val="0"/>
          <w:sz w:val="32"/>
          <w:szCs w:val="32"/>
          <w:highlight w:val="none"/>
        </w:rPr>
      </w:pPr>
      <w:r>
        <w:rPr>
          <w:rFonts w:hint="eastAsia" w:ascii="彩虹粗仿宋" w:hAnsi="宋体" w:eastAsia="彩虹粗仿宋"/>
          <w:b/>
          <w:bCs/>
          <w:snapToGrid w:val="0"/>
          <w:color w:val="auto"/>
          <w:kern w:val="0"/>
          <w:sz w:val="32"/>
          <w:szCs w:val="32"/>
          <w:highlight w:val="none"/>
        </w:rPr>
        <w:t>六、供货及安装方案</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合同签订之日起15天内（收到甲方通知后15天内）供货。</w:t>
      </w:r>
      <w:r>
        <w:rPr>
          <w:rFonts w:hint="eastAsia" w:ascii="彩虹粗仿宋" w:hAnsi="宋体" w:eastAsia="彩虹粗仿宋"/>
          <w:b/>
          <w:bCs/>
          <w:snapToGrid w:val="0"/>
          <w:color w:val="auto"/>
          <w:kern w:val="0"/>
          <w:sz w:val="32"/>
          <w:szCs w:val="32"/>
          <w:highlight w:val="none"/>
        </w:rPr>
        <w:t>交付设备需符合当地人社的准入要求，如因交付设备无法满足人社准入备案要求而最终导致设备无法使用的，所造成的损失由成交供应商承担。</w:t>
      </w:r>
      <w:r>
        <w:rPr>
          <w:rFonts w:hint="eastAsia" w:ascii="彩虹粗仿宋" w:hAnsi="宋体" w:eastAsia="彩虹粗仿宋"/>
          <w:snapToGrid w:val="0"/>
          <w:color w:val="auto"/>
          <w:kern w:val="0"/>
          <w:sz w:val="32"/>
          <w:szCs w:val="32"/>
          <w:highlight w:val="none"/>
        </w:rPr>
        <w:t>成交供应商应承诺到货后5天内负责上门全免费完成所有成交产品的安装、调试、调配、补货、现场清理、</w:t>
      </w:r>
      <w:r>
        <w:rPr>
          <w:rFonts w:hint="eastAsia" w:ascii="彩虹粗仿宋" w:hAnsi="宋体" w:eastAsia="彩虹粗仿宋" w:cs="Times New Roman"/>
          <w:snapToGrid w:val="0"/>
          <w:color w:val="auto"/>
          <w:kern w:val="0"/>
          <w:sz w:val="32"/>
          <w:szCs w:val="32"/>
          <w:highlight w:val="none"/>
        </w:rPr>
        <w:t>培训服务</w:t>
      </w:r>
      <w:r>
        <w:rPr>
          <w:rFonts w:hint="eastAsia" w:ascii="彩虹粗仿宋" w:hAnsi="宋体" w:eastAsia="彩虹粗仿宋"/>
          <w:snapToGrid w:val="0"/>
          <w:color w:val="auto"/>
          <w:kern w:val="0"/>
          <w:sz w:val="32"/>
          <w:szCs w:val="32"/>
          <w:highlight w:val="none"/>
        </w:rPr>
        <w:t>等所有工作。成交供应商负责与当地人社局保障卡管理信息系统完成对接，并安装调试上线。调试完成后，由成交供应商提供设备安装、运行、使用、测试、诊断和维护的技术文档，包括所购设备的安装指南、用户手册等。</w:t>
      </w:r>
      <w:r>
        <w:rPr>
          <w:rFonts w:hint="eastAsia" w:ascii="彩虹粗仿宋" w:hAnsi="宋体" w:eastAsia="彩虹粗仿宋" w:cs="Times New Roman"/>
          <w:snapToGrid w:val="0"/>
          <w:color w:val="auto"/>
          <w:kern w:val="0"/>
          <w:sz w:val="32"/>
          <w:szCs w:val="32"/>
          <w:highlight w:val="none"/>
        </w:rPr>
        <w:t>如需厂商支持由入选供应商协同厂商共同完成上述设备安装及项目集成正常使用所需所有内容，由此产生的一切费用均由入选供应商自理。</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b/>
          <w:bCs/>
          <w:snapToGrid w:val="0"/>
          <w:color w:val="auto"/>
          <w:kern w:val="0"/>
          <w:sz w:val="32"/>
          <w:szCs w:val="32"/>
          <w:highlight w:val="none"/>
        </w:rPr>
      </w:pPr>
      <w:r>
        <w:rPr>
          <w:rFonts w:hint="eastAsia" w:ascii="彩虹粗仿宋" w:hAnsi="宋体" w:eastAsia="彩虹粗仿宋"/>
          <w:b/>
          <w:bCs/>
          <w:snapToGrid w:val="0"/>
          <w:color w:val="auto"/>
          <w:kern w:val="0"/>
          <w:sz w:val="32"/>
          <w:szCs w:val="32"/>
          <w:highlight w:val="none"/>
        </w:rPr>
        <w:t>七、款项支付要求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在收到货物，完成安装调试，验收合格取得发票后支付款项。</w:t>
      </w:r>
    </w:p>
    <w:p>
      <w:pPr>
        <w:keepNext w:val="0"/>
        <w:keepLines w:val="0"/>
        <w:pageBreakBefore w:val="0"/>
        <w:widowControl w:val="0"/>
        <w:numPr>
          <w:ilvl w:val="0"/>
          <w:numId w:val="4"/>
        </w:numPr>
        <w:kinsoku/>
        <w:wordWrap/>
        <w:overflowPunct/>
        <w:topLinePunct w:val="0"/>
        <w:autoSpaceDE/>
        <w:autoSpaceDN/>
        <w:bidi w:val="0"/>
        <w:spacing w:line="560" w:lineRule="exact"/>
        <w:ind w:firstLine="643" w:firstLineChars="200"/>
        <w:jc w:val="left"/>
        <w:textAlignment w:val="auto"/>
        <w:rPr>
          <w:rFonts w:ascii="彩虹粗仿宋" w:hAnsi="宋体" w:eastAsia="彩虹粗仿宋"/>
          <w:snapToGrid w:val="0"/>
          <w:color w:val="auto"/>
          <w:kern w:val="0"/>
          <w:sz w:val="32"/>
          <w:szCs w:val="32"/>
          <w:highlight w:val="none"/>
        </w:rPr>
      </w:pPr>
      <w:r>
        <w:rPr>
          <w:rFonts w:hint="eastAsia" w:ascii="彩虹粗仿宋" w:hAnsi="宋体" w:eastAsia="彩虹粗仿宋"/>
          <w:b/>
          <w:bCs/>
          <w:snapToGrid w:val="0"/>
          <w:color w:val="auto"/>
          <w:kern w:val="0"/>
          <w:sz w:val="32"/>
          <w:szCs w:val="32"/>
          <w:highlight w:val="none"/>
        </w:rPr>
        <w:t>售后服务要求</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为保证所购设备能正常运行，要求自调试完成之日起一个月为试运行期。试运行期间，甲方进行合同项下设备的操作及维护，中标供应商给予技术协助。如试运行测试表明，系统不符合技术规范要求，则成交供应商应在各方协商确定的期限内采取措施消除缺陷，成交供应商保证对故障或缺陷部件所提供更换部件为原厂全新部件。所有涉及的费用，包括但不限于工作小时费用、设备和原材料费用或技术人员的技术服务费用等，均由成交供应商负责。</w:t>
      </w:r>
      <w:bookmarkStart w:id="0" w:name="_Toc28930_WPSOffice_Level1"/>
      <w:r>
        <w:rPr>
          <w:rFonts w:hint="eastAsia" w:ascii="彩虹粗仿宋" w:hAnsi="宋体" w:eastAsia="彩虹粗仿宋"/>
          <w:snapToGrid w:val="0"/>
          <w:color w:val="auto"/>
          <w:kern w:val="0"/>
          <w:sz w:val="32"/>
          <w:szCs w:val="32"/>
          <w:highlight w:val="none"/>
        </w:rPr>
        <w:t>供应商需明确维保提供者，是全部由原厂提供或全部由供应商提供或由原厂和供应商共同提供。供应商应明确维保等级、维保服务内容及具体的维保要求，供应商应安排技术人员24小时电话技术支持、提供现场技术支持服务时应在24小时内到场、故障修复应在8小时内完成。</w:t>
      </w:r>
      <w:bookmarkEnd w:id="0"/>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其他要求：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各竞标人提供对所供产品的详细售后服务计划，包括但不限于：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1.各种技术配合、技术支持、技术培训、正常维护和应急措施等服务详细内容及响应时间（有偿和无偿分别列示）；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2.硬件质保期</w:t>
      </w:r>
      <w:r>
        <w:rPr>
          <w:rFonts w:hint="eastAsia" w:ascii="彩虹粗仿宋" w:hAnsi="宋体" w:eastAsia="彩虹粗仿宋" w:cs="Times New Roman"/>
          <w:snapToGrid w:val="0"/>
          <w:color w:val="auto"/>
          <w:kern w:val="0"/>
          <w:sz w:val="32"/>
          <w:szCs w:val="32"/>
          <w:highlight w:val="none"/>
          <w:lang w:eastAsia="zh-CN"/>
        </w:rPr>
        <w:t>建议</w:t>
      </w:r>
      <w:r>
        <w:rPr>
          <w:rFonts w:hint="eastAsia" w:ascii="彩虹粗仿宋" w:hAnsi="宋体" w:eastAsia="彩虹粗仿宋" w:cs="Times New Roman"/>
          <w:snapToGrid w:val="0"/>
          <w:color w:val="auto"/>
          <w:kern w:val="0"/>
          <w:sz w:val="32"/>
          <w:szCs w:val="32"/>
          <w:highlight w:val="none"/>
        </w:rPr>
        <w:t>至少</w:t>
      </w:r>
      <w:r>
        <w:rPr>
          <w:rFonts w:hint="eastAsia" w:ascii="彩虹粗仿宋" w:hAnsi="宋体" w:eastAsia="彩虹粗仿宋" w:cs="Times New Roman"/>
          <w:snapToGrid w:val="0"/>
          <w:color w:val="auto"/>
          <w:kern w:val="0"/>
          <w:sz w:val="32"/>
          <w:szCs w:val="32"/>
          <w:highlight w:val="none"/>
          <w:lang w:val="en-US" w:eastAsia="zh-CN"/>
        </w:rPr>
        <w:t>5</w:t>
      </w:r>
      <w:r>
        <w:rPr>
          <w:rFonts w:hint="eastAsia" w:ascii="彩虹粗仿宋" w:hAnsi="宋体" w:eastAsia="彩虹粗仿宋" w:cs="Times New Roman"/>
          <w:snapToGrid w:val="0"/>
          <w:color w:val="auto"/>
          <w:kern w:val="0"/>
          <w:sz w:val="32"/>
          <w:szCs w:val="32"/>
          <w:highlight w:val="none"/>
        </w:rPr>
        <w:t>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3.售后服务机构及联系方式；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4.公司承诺的其他优惠服务。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ascii="彩虹粗仿宋" w:hAnsi="宋体" w:eastAsia="彩虹粗仿宋"/>
          <w:b/>
          <w:bCs/>
          <w:snapToGrid w:val="0"/>
          <w:color w:val="auto"/>
          <w:kern w:val="0"/>
          <w:sz w:val="32"/>
          <w:szCs w:val="32"/>
          <w:highlight w:val="none"/>
        </w:rPr>
      </w:pPr>
      <w:r>
        <w:rPr>
          <w:rFonts w:hint="eastAsia" w:ascii="彩虹粗仿宋" w:hAnsi="宋体" w:eastAsia="彩虹粗仿宋"/>
          <w:b/>
          <w:bCs/>
          <w:snapToGrid w:val="0"/>
          <w:color w:val="auto"/>
          <w:kern w:val="0"/>
          <w:sz w:val="32"/>
          <w:szCs w:val="32"/>
          <w:highlight w:val="none"/>
        </w:rPr>
        <w:t>九、报价要求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1.本项目以人民币为报价单位；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2.公司所报价格应包含运输、保险、装卸、安装、调试、验收、售后服务等完成本项目所需的全部费用。</w:t>
      </w:r>
    </w:p>
    <w:p>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eastAsia" w:ascii="彩虹粗仿宋" w:hAnsi="宋体" w:eastAsia="彩虹粗仿宋"/>
          <w:b/>
          <w:bCs/>
          <w:snapToGrid w:val="0"/>
          <w:color w:val="auto"/>
          <w:kern w:val="0"/>
          <w:sz w:val="32"/>
          <w:szCs w:val="32"/>
          <w:highlight w:val="none"/>
        </w:rPr>
      </w:pPr>
      <w:r>
        <w:rPr>
          <w:rFonts w:hint="eastAsia" w:ascii="彩虹粗仿宋" w:hAnsi="宋体" w:eastAsia="彩虹粗仿宋"/>
          <w:b/>
          <w:bCs/>
          <w:snapToGrid w:val="0"/>
          <w:color w:val="auto"/>
          <w:kern w:val="0"/>
          <w:sz w:val="32"/>
          <w:szCs w:val="32"/>
          <w:highlight w:val="none"/>
        </w:rPr>
        <w:t>十、其他配置需求</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供应商应按照采购人要求，制订相应的培训计划，对有关人员提供相应的业务和技术培训。供应商应明确培训的提供者，是由原厂商提供还是由供应商提供；明确培训的组织形式，是官方培训还是用户现场培训；明确培训的次数和培训的内容。根据项目实际情况，供应商需随货物一并交付的文档，包括但不限于安装指南、产品配置手册、产品使用说明书等。</w:t>
      </w:r>
    </w:p>
    <w:p>
      <w:pPr>
        <w:keepNext w:val="0"/>
        <w:keepLines w:val="0"/>
        <w:pageBreakBefore w:val="0"/>
        <w:widowControl w:val="0"/>
        <w:kinsoku/>
        <w:wordWrap/>
        <w:overflowPunct/>
        <w:topLinePunct w:val="0"/>
        <w:autoSpaceDE/>
        <w:autoSpaceDN/>
        <w:bidi w:val="0"/>
        <w:spacing w:line="560" w:lineRule="exact"/>
        <w:jc w:val="left"/>
        <w:textAlignment w:val="auto"/>
        <w:rPr>
          <w:color w:val="auto"/>
          <w:highlight w:val="none"/>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3"/>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25ED4"/>
    <w:multiLevelType w:val="singleLevel"/>
    <w:tmpl w:val="80D25ED4"/>
    <w:lvl w:ilvl="0" w:tentative="0">
      <w:start w:val="3"/>
      <w:numFmt w:val="chineseCounting"/>
      <w:suff w:val="nothing"/>
      <w:lvlText w:val="%1、"/>
      <w:lvlJc w:val="left"/>
      <w:rPr>
        <w:rFonts w:hint="eastAsia"/>
      </w:rPr>
    </w:lvl>
  </w:abstractNum>
  <w:abstractNum w:abstractNumId="1">
    <w:nsid w:val="DEAAF552"/>
    <w:multiLevelType w:val="singleLevel"/>
    <w:tmpl w:val="DEAAF552"/>
    <w:lvl w:ilvl="0" w:tentative="0">
      <w:start w:val="1"/>
      <w:numFmt w:val="chineseCounting"/>
      <w:suff w:val="nothing"/>
      <w:lvlText w:val="%1、"/>
      <w:lvlJc w:val="left"/>
      <w:rPr>
        <w:rFonts w:hint="eastAsia"/>
      </w:rPr>
    </w:lvl>
  </w:abstractNum>
  <w:abstractNum w:abstractNumId="2">
    <w:nsid w:val="E8754F71"/>
    <w:multiLevelType w:val="singleLevel"/>
    <w:tmpl w:val="E8754F71"/>
    <w:lvl w:ilvl="0" w:tentative="0">
      <w:start w:val="2"/>
      <w:numFmt w:val="decimal"/>
      <w:lvlText w:val="%1."/>
      <w:lvlJc w:val="left"/>
      <w:pPr>
        <w:tabs>
          <w:tab w:val="left" w:pos="312"/>
        </w:tabs>
      </w:pPr>
    </w:lvl>
  </w:abstractNum>
  <w:abstractNum w:abstractNumId="3">
    <w:nsid w:val="03F69332"/>
    <w:multiLevelType w:val="singleLevel"/>
    <w:tmpl w:val="03F69332"/>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A9C06"/>
    <w:rsid w:val="FDAE5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2024-08-15T21:20:00Z</dcterms:created>
  <dc:creator>ccb</dc:creator>
  <cp:lastModifiedBy>ccb</cp:lastModifiedBy>
  <dcterms:modified xsi:type="dcterms:W3CDTF">2025-11-04T18:19:00Z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E182A73A54BB06861A90BD66E5AB7B1E_43</vt:lpwstr>
  </property>
</Properties>
</file>