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版本号：N511325202500005020250704001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G212西充段安全设施精细化提升工程设计采购项目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N5113252025000050</w:t>
      </w:r>
    </w:p>
    <w:p>
      <w:pPr>
        <w:pStyle w:val="null3"/>
        <w:jc w:val="left"/>
        <w:outlineLvl w:val="2"/>
      </w:pPr>
      <w:r>
        <w:rPr>
          <w:rFonts w:ascii="仿宋_GB2312" w:hAnsi="仿宋_GB2312" w:cs="仿宋_GB2312" w:eastAsia="仿宋_GB2312"/>
          <w:sz w:val="28"/>
          <w:b/>
        </w:rPr>
        <w:t>西充县交通运输局</w:t>
      </w:r>
    </w:p>
    <w:p>
      <w:pPr>
        <w:pStyle w:val="null3"/>
        <w:jc w:val="center"/>
        <w:outlineLvl w:val="2"/>
      </w:pPr>
      <w:r>
        <w:rPr>
          <w:rFonts w:ascii="仿宋_GB2312" w:hAnsi="仿宋_GB2312" w:cs="仿宋_GB2312" w:eastAsia="仿宋_GB2312"/>
          <w:sz w:val="28"/>
          <w:b/>
        </w:rPr>
        <w:t>四川环川建设项目管理有限公司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四川环川建设项目管理有限公司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西充县交通运输局</w:t>
      </w:r>
      <w:r>
        <w:rPr>
          <w:rFonts w:ascii="仿宋_GB2312" w:hAnsi="仿宋_GB2312" w:cs="仿宋_GB2312" w:eastAsia="仿宋_GB2312"/>
        </w:rPr>
        <w:t xml:space="preserve"> 委托，拟对 </w:t>
      </w:r>
      <w:r>
        <w:rPr>
          <w:rFonts w:ascii="仿宋_GB2312" w:hAnsi="仿宋_GB2312" w:cs="仿宋_GB2312" w:eastAsia="仿宋_GB2312"/>
        </w:rPr>
        <w:t>G212西充段安全设施精细化提升工程设计采购项目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南充市西充县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N5113252025000050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G212西充段安全设施精细化提升工程设计采购项目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根据西充县交通运输局提供的项目采购清单实施G212 线西充段安全设施精细化提升工程设计服务采购。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1、具有建设行政主管部门颁发的工程设计公路行业（公路）专业甲级及以上资质证书。（描述：①提供建设行政主管部门颁发的工程设计公路行业（公路）专业甲级及以上资质证书； ②供应商若为四川省省外企业，提供有效的《四川省省外企业入川从事勘察设计活动备案证 》或《四川省省外企业入川从事勘察设计活动验证登记证》。注：以上资料提供复印件或电子扫描件（清晰可辨）。）</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西充县交通运输局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四川省西充县晋城大道四段72号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18011693319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四川环川建设项目管理有限公司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四川省南充市西充县晋城镇安汉大道336号19幢2单元第8层2-8-2号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17683211777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代理服务费收费标准：本次代理费用按照合理成本加利润原则，以项目成交价格的1.5%为基数收取，不足6000元的按照6000元收取。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西充县交通运输局</w:t>
      </w:r>
      <w:r>
        <w:rPr>
          <w:rFonts w:ascii="仿宋_GB2312" w:hAnsi="仿宋_GB2312" w:cs="仿宋_GB2312" w:eastAsia="仿宋_GB2312"/>
        </w:rPr>
        <w:t xml:space="preserve"> 和 </w:t>
      </w:r>
      <w:r>
        <w:rPr>
          <w:rFonts w:ascii="仿宋_GB2312" w:hAnsi="仿宋_GB2312" w:cs="仿宋_GB2312" w:eastAsia="仿宋_GB2312"/>
        </w:rPr>
        <w:t>四川环川建设项目管理有限公司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西充县交通运输局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四川环川建设项目管理有限公司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三、供应商应当及时查看更正公告、更正信息，并根据更正公告、更正信息要求，下载更正后的磋商文件，进行响应文件编制。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供应商提出验收之日</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方法：参照政府采购相关法律法规以及《财政部关于进一步加强政府采购需求和履约验收管理的指导意见》（财库〔2016〕205号）的要求、采购文件的内容及要求、供应商的响应文件及承诺以及合同约定标准进行验收。 （2）验收标准：全部服务成果符合现行国家、地方及行业相关规定和磋商文件的相关技术、服务要求。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方法：参照政府采购相关法律法规以及《财政部关于进一步加强政府采购需求和履约验收管理的指导意见》（财库〔2016〕205号）的要求、采购文件的内容及要求、供应商的响应文件及承诺以及合同约定标准进行验收。 （2）验收标准：全部服务成果符合现行国家、地方及行业相关规定和磋商文件的相关技术、服务要求。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全部服务成果符合现行国家、地方及行业相关规定和磋商文件的相关技术、服务要求。</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西充县交通运输局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四川环川建设项目管理有限公司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四川环川建设项目管理有限公司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联系人：何先生</w:t>
      </w:r>
    </w:p>
    <w:p>
      <w:pPr>
        <w:pStyle w:val="null3"/>
        <w:jc w:val="left"/>
      </w:pPr>
      <w:r>
        <w:rPr>
          <w:rFonts w:ascii="仿宋_GB2312" w:hAnsi="仿宋_GB2312" w:cs="仿宋_GB2312" w:eastAsia="仿宋_GB2312"/>
        </w:rPr>
        <w:t>联系电话：17683211777</w:t>
      </w:r>
    </w:p>
    <w:p>
      <w:pPr>
        <w:pStyle w:val="null3"/>
        <w:jc w:val="left"/>
      </w:pPr>
      <w:r>
        <w:rPr>
          <w:rFonts w:ascii="仿宋_GB2312" w:hAnsi="仿宋_GB2312" w:cs="仿宋_GB2312" w:eastAsia="仿宋_GB2312"/>
        </w:rPr>
        <w:t>地址：滨河南路350号</w:t>
      </w:r>
    </w:p>
    <w:p>
      <w:pPr>
        <w:pStyle w:val="null3"/>
        <w:jc w:val="left"/>
      </w:pPr>
      <w:r>
        <w:rPr>
          <w:rFonts w:ascii="仿宋_GB2312" w:hAnsi="仿宋_GB2312" w:cs="仿宋_GB2312" w:eastAsia="仿宋_GB2312"/>
        </w:rPr>
        <w:t>邮编：637200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480,000.00</w:t>
      </w:r>
    </w:p>
    <w:p>
      <w:pPr>
        <w:pStyle w:val="null3"/>
        <w:jc w:val="left"/>
      </w:pPr>
      <w:r>
        <w:rPr>
          <w:rFonts w:ascii="仿宋_GB2312" w:hAnsi="仿宋_GB2312" w:cs="仿宋_GB2312" w:eastAsia="仿宋_GB2312"/>
        </w:rPr>
        <w:t>采购包最高限价（元）: 405,500.00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其他专业技术服务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405,500.00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其他专业技术服务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405,500.00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标的名称：其他专业技术服务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项目概况</w:t>
            </w:r>
          </w:p>
        </w:tc>
        <w:tc>
          <w:tcPr>
            <w:tcW w:type="dxa" w:w="5814"/>
          </w:tcPr>
          <w:p>
            <w:pPr>
              <w:pStyle w:val="null3"/>
              <w:jc w:val="both"/>
            </w:pPr>
            <w:r>
              <w:rPr>
                <w:rFonts w:ascii="仿宋_GB2312" w:hAnsi="仿宋_GB2312" w:cs="仿宋_GB2312" w:eastAsia="仿宋_GB2312"/>
                <w:sz w:val="21"/>
              </w:rPr>
              <w:t>G212</w:t>
            </w:r>
            <w:r>
              <w:rPr>
                <w:rFonts w:ascii="仿宋_GB2312" w:hAnsi="仿宋_GB2312" w:cs="仿宋_GB2312" w:eastAsia="仿宋_GB2312"/>
                <w:sz w:val="21"/>
              </w:rPr>
              <w:t>线西充段，是</w:t>
            </w:r>
            <w:r>
              <w:rPr>
                <w:rFonts w:ascii="仿宋_GB2312" w:hAnsi="仿宋_GB2312" w:cs="仿宋_GB2312" w:eastAsia="仿宋_GB2312"/>
                <w:sz w:val="21"/>
              </w:rPr>
              <w:t>G212(</w:t>
            </w:r>
            <w:r>
              <w:rPr>
                <w:rFonts w:ascii="仿宋_GB2312" w:hAnsi="仿宋_GB2312" w:cs="仿宋_GB2312" w:eastAsia="仿宋_GB2312"/>
                <w:sz w:val="21"/>
              </w:rPr>
              <w:t>兰龙线</w:t>
            </w:r>
            <w:r>
              <w:rPr>
                <w:rFonts w:ascii="仿宋_GB2312" w:hAnsi="仿宋_GB2312" w:cs="仿宋_GB2312" w:eastAsia="仿宋_GB2312"/>
                <w:sz w:val="21"/>
              </w:rPr>
              <w:t>)</w:t>
            </w:r>
            <w:r>
              <w:rPr>
                <w:rFonts w:ascii="仿宋_GB2312" w:hAnsi="仿宋_GB2312" w:cs="仿宋_GB2312" w:eastAsia="仿宋_GB2312"/>
                <w:sz w:val="21"/>
              </w:rPr>
              <w:t>通过西充县境内的一段，起于西充南部交界处，止于</w:t>
            </w:r>
            <w:r>
              <w:rPr>
                <w:rFonts w:ascii="仿宋_GB2312" w:hAnsi="仿宋_GB2312" w:cs="仿宋_GB2312" w:eastAsia="仿宋_GB2312"/>
                <w:sz w:val="21"/>
              </w:rPr>
              <w:t>G212</w:t>
            </w:r>
            <w:r>
              <w:rPr>
                <w:rFonts w:ascii="仿宋_GB2312" w:hAnsi="仿宋_GB2312" w:cs="仿宋_GB2312" w:eastAsia="仿宋_GB2312"/>
                <w:sz w:val="21"/>
              </w:rPr>
              <w:t>线西充顺庆交界处。经现场调查，本项目入库等级为一级公路，全长约</w:t>
            </w:r>
            <w:r>
              <w:rPr>
                <w:rFonts w:ascii="仿宋_GB2312" w:hAnsi="仿宋_GB2312" w:cs="仿宋_GB2312" w:eastAsia="仿宋_GB2312"/>
                <w:sz w:val="21"/>
              </w:rPr>
              <w:t>28.182km,</w:t>
            </w:r>
            <w:r>
              <w:rPr>
                <w:rFonts w:ascii="仿宋_GB2312" w:hAnsi="仿宋_GB2312" w:cs="仿宋_GB2312" w:eastAsia="仿宋_GB2312"/>
                <w:sz w:val="21"/>
              </w:rPr>
              <w:t>路基宽度为</w:t>
            </w:r>
            <w:r>
              <w:rPr>
                <w:rFonts w:ascii="仿宋_GB2312" w:hAnsi="仿宋_GB2312" w:cs="仿宋_GB2312" w:eastAsia="仿宋_GB2312"/>
                <w:sz w:val="21"/>
              </w:rPr>
              <w:t>20m</w:t>
            </w:r>
            <w:r>
              <w:rPr>
                <w:rFonts w:ascii="仿宋_GB2312" w:hAnsi="仿宋_GB2312" w:cs="仿宋_GB2312" w:eastAsia="仿宋_GB2312"/>
                <w:sz w:val="21"/>
              </w:rPr>
              <w:t>。项目全段位于西充县境内，设计时速为</w:t>
            </w:r>
            <w:r>
              <w:rPr>
                <w:rFonts w:ascii="仿宋_GB2312" w:hAnsi="仿宋_GB2312" w:cs="仿宋_GB2312" w:eastAsia="仿宋_GB2312"/>
                <w:sz w:val="21"/>
              </w:rPr>
              <w:t>60km/h,</w:t>
            </w:r>
            <w:r>
              <w:rPr>
                <w:rFonts w:ascii="仿宋_GB2312" w:hAnsi="仿宋_GB2312" w:cs="仿宋_GB2312" w:eastAsia="仿宋_GB2312"/>
                <w:sz w:val="21"/>
              </w:rPr>
              <w:t>项目建安费约</w:t>
            </w:r>
            <w:r>
              <w:rPr>
                <w:rFonts w:ascii="仿宋_GB2312" w:hAnsi="仿宋_GB2312" w:cs="仿宋_GB2312" w:eastAsia="仿宋_GB2312"/>
                <w:sz w:val="21"/>
              </w:rPr>
              <w:t>1700</w:t>
            </w:r>
            <w:r>
              <w:rPr>
                <w:rFonts w:ascii="仿宋_GB2312" w:hAnsi="仿宋_GB2312" w:cs="仿宋_GB2312" w:eastAsia="仿宋_GB2312"/>
                <w:sz w:val="21"/>
              </w:rPr>
              <w:t>万元，总投资约</w:t>
            </w:r>
            <w:r>
              <w:rPr>
                <w:rFonts w:ascii="仿宋_GB2312" w:hAnsi="仿宋_GB2312" w:cs="仿宋_GB2312" w:eastAsia="仿宋_GB2312"/>
                <w:sz w:val="21"/>
              </w:rPr>
              <w:t>2000</w:t>
            </w:r>
            <w:r>
              <w:rPr>
                <w:rFonts w:ascii="仿宋_GB2312" w:hAnsi="仿宋_GB2312" w:cs="仿宋_GB2312" w:eastAsia="仿宋_GB2312"/>
                <w:sz w:val="21"/>
              </w:rPr>
              <w:t>万元。</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设计要求</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1）符合</w:t>
            </w:r>
            <w:r>
              <w:rPr>
                <w:rFonts w:ascii="仿宋_GB2312" w:hAnsi="仿宋_GB2312" w:cs="仿宋_GB2312" w:eastAsia="仿宋_GB2312"/>
                <w:sz w:val="21"/>
              </w:rPr>
              <w:t>国家及行业相关规范要求、符合</w:t>
            </w:r>
            <w:r>
              <w:rPr>
                <w:rFonts w:ascii="仿宋_GB2312" w:hAnsi="仿宋_GB2312" w:cs="仿宋_GB2312" w:eastAsia="仿宋_GB2312"/>
                <w:sz w:val="21"/>
              </w:rPr>
              <w:t>采购项目相关的技术规范和标准，并提交完整的设计成果包括但不限于施工图设计等。</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工程预算符合《公路工程建设项目概算预算编制办法》</w:t>
            </w:r>
            <w:r>
              <w:rPr>
                <w:rFonts w:ascii="仿宋_GB2312" w:hAnsi="仿宋_GB2312" w:cs="仿宋_GB2312" w:eastAsia="仿宋_GB2312"/>
                <w:sz w:val="21"/>
              </w:rPr>
              <w:t>(JTG3830-2018)</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西充县交通运输局</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方法：参照政府采购相关法律法规以及《财政部关于进一步加强政府采购需求和履约验收管理的指导意见》（财库〔2016〕205号）的要求、采购文件的内容及要求、供应商的响应文件及承诺以及合同约定标准进行验收。 （2）验收标准：全部服务成果符合现行国家、地方及行业相关规定和磋商文件的相关技术、服务要求。</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1、签订采购合同后支付预付款，达到付款条件起15日内，据实情况说明为支付合同金额的40%</w:t>
            </w:r>
          </w:p>
          <w:p>
            <w:pPr>
              <w:pStyle w:val="null3"/>
              <w:jc w:val="left"/>
            </w:pPr>
            <w:r>
              <w:rPr>
                <w:rFonts w:ascii="仿宋_GB2312" w:hAnsi="仿宋_GB2312" w:cs="仿宋_GB2312" w:eastAsia="仿宋_GB2312"/>
              </w:rPr>
              <w:t>2、提交施工图设计最终成果，审查通过后，达到付款条件起15日内，据实情况说明为支付合同总金额的20%</w:t>
            </w:r>
          </w:p>
          <w:p>
            <w:pPr>
              <w:pStyle w:val="null3"/>
              <w:jc w:val="left"/>
            </w:pPr>
            <w:r>
              <w:rPr>
                <w:rFonts w:ascii="仿宋_GB2312" w:hAnsi="仿宋_GB2312" w:cs="仿宋_GB2312" w:eastAsia="仿宋_GB2312"/>
              </w:rPr>
              <w:t>3、本项目工程竣工验收后，达到付款条件起15日内，据实情况说明为支付合同总金额的40%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供应商根据自身实际情况，提供以下证明材料之一并进行电子签章：①供应商若为企业法人：提供“统一社会信用代码营业执照”复印件；②若为事业法人：提供“统一社会信用代码法人登记证书”复印件；③若为其他组织：提供“对应主管部门颁发的准许执业证明文件或营业执照”复印件；④供应商若为自然人：提供“身份证明材料”。</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具有建设行政主管部门颁发的工程设计公路行业（公路）专业甲级及以上资质证书。</w:t>
            </w:r>
          </w:p>
        </w:tc>
        <w:tc>
          <w:tcPr>
            <w:tcW w:type="dxa" w:w="3322"/>
          </w:tcPr>
          <w:p>
            <w:pPr>
              <w:pStyle w:val="null3"/>
              <w:jc w:val="left"/>
            </w:pPr>
            <w:r>
              <w:rPr>
                <w:rFonts w:ascii="仿宋_GB2312" w:hAnsi="仿宋_GB2312" w:cs="仿宋_GB2312" w:eastAsia="仿宋_GB2312"/>
              </w:rPr>
              <w:t>①提供建设行政主管部门颁发的工程设计公路行业（公路）专业甲级及以上资质证书； ②供应商若为四川省省外企业，提供有效的《四川省省外企业入川从事勘察设计活动备案证 》或《四川省省外企业入川从事勘察设计活动验证登记证》。注：以上资料提供复印件或电子扫描件（清晰可辨）。</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不正当竟争预防措施(实质性要求)</w:t>
            </w:r>
          </w:p>
        </w:tc>
        <w:tc>
          <w:tcPr>
            <w:tcW w:type="dxa" w:w="3322"/>
          </w:tcPr>
          <w:p>
            <w:pPr>
              <w:pStyle w:val="null3"/>
              <w:jc w:val="left"/>
            </w:pPr>
            <w:r>
              <w:rPr>
                <w:rFonts w:ascii="仿宋_GB2312" w:hAnsi="仿宋_GB2312" w:cs="仿宋_GB2312" w:eastAsia="仿宋_GB2312"/>
              </w:rPr>
              <w:t>在采购过程中，评标委员会认为供应商的投标报价明显低于其他通过符合性审查传应商的投标报价，有可能影响服务质量或者不能诚信履约的，评标委员会应当要求其在合理的时间内通过项目电子化交易系统进行书面说明，必要时提交相关证明料。供应商提交的书面说明，应当加盖供应商公章，在评标委员会要求的时间内通过项目电子化交易系统进行提交，否则视为不能证明其响应报价合理性。供应商不能证明其响应报价合理性的，评标委员会应当将其响应文件作为无效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按照采购文件第三章中的实质性要求及采购文件规定的其他实质性要求进行审查。</w:t>
            </w:r>
          </w:p>
        </w:tc>
        <w:tc>
          <w:tcPr>
            <w:tcW w:type="dxa" w:w="1910"/>
          </w:tcPr>
          <w:p>
            <w:pPr>
              <w:pStyle w:val="null3"/>
              <w:jc w:val="left"/>
            </w:pPr>
            <w:r>
              <w:rPr>
                <w:rFonts w:ascii="仿宋_GB2312" w:hAnsi="仿宋_GB2312" w:cs="仿宋_GB2312" w:eastAsia="仿宋_GB2312"/>
              </w:rPr>
              <w:t>供应商应提交的相关证明材料,技术、服务及商务要求应答表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评审委员会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1、根据供应商提供的设计方案（包括：①对项目建设背景和现状的理解和认识②设计方案及思路等）进行评分，每项3分，总计6分，每有一项未提供的扣3分，每有一处技术不完善或不满足实际情况或存在缺陷扣1.5分，扣完为止； 注:不完善指内容只有单纯的文字描述，前后内容无法连贯；不满足实际情况指内容脱离了实际情况不具备实施的可能性或套用其他项目方案或引用科学原理错误或前后内容互相矛盾或存在与本项目无关的内容。缺陷指方案闸述只有标题没有实质性内容或方案内容与项目不匹配或项目名称、实施地点、涉及的规范、标准要求与本项目不一致或照搬其他项目方案内容；以评审专家结合项目实际情况和响应文件独立评审为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技术、服务及商务要求应答表</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根据供应商提供的进度保证措施（包括：①本项目工作量；②项目进度计划；③工期进度保障措施等）进行评分，每项5分，总计15分，每有一项未提供的扣5分，每有一处技术不完善或不满足实际情况或存在缺陷扣2.5分，扣完为止； 2、根据供应商提供的质量保证措施方案（包括：①质量管理体系及具体措施；②质量管理目标；③质量保证措施等）进行评分，每项5分，总计15分，每有一项未提供的扣5分，每有一处技术不完善或不满足实际情况或存在缺陷扣2.5分，扣完为止； 3、根据供应商提供的后续服务保证措施方案（包括：①后续服务工作安排；②后续服务工作内容；③后续服务保证措施等）进行评分，每项5分，总计15分，每有一项未提供的扣5分，每有一处技术不完善或不满足实际情况或存在缺陷扣2.5分，扣完为止。注:不完善指内容只有单纯的文字描述，前后内容无法连贯；不满足实际情况指内容脱离了实际情况不具备实施的可能性或套用其他项目方案或引用科学原理错误或前后内容互相矛盾或存在与本项目无关的内容。缺陷指方案闸述只有标题没有实质性内容或方案内容与项目不匹配或项目名称、实施地点、涉及的规范、标准要求与本项目不一致或照搬其他项目方案内容；以评审专家结合项目实际情况和响应文件独立评审为准。</w:t>
            </w:r>
          </w:p>
        </w:tc>
        <w:tc>
          <w:tcPr>
            <w:tcW w:type="dxa" w:w="831"/>
          </w:tcPr>
          <w:p>
            <w:pPr>
              <w:pStyle w:val="null3"/>
              <w:jc w:val="center"/>
            </w:pPr>
            <w:r>
              <w:rPr>
                <w:rFonts w:ascii="仿宋_GB2312" w:hAnsi="仿宋_GB2312" w:cs="仿宋_GB2312" w:eastAsia="仿宋_GB2312"/>
              </w:rPr>
              <w:t>45.0000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技术、服务及商务要求应答表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提交响应文件截止日前三年供应商具有相关项目类似业绩，每有一个得2分，但最多得6分。（提供成交/中标通知书或合同主要页面的复印件或扫描件，内容须清晰可辨，加盖供应商公章）（类似业绩是指：公路工程大中修设计相关）</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技术、服务及商务要求应答表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项目人员</w:t>
            </w:r>
          </w:p>
        </w:tc>
        <w:tc>
          <w:tcPr>
            <w:tcW w:type="dxa" w:w="2575"/>
          </w:tcPr>
          <w:p>
            <w:pPr>
              <w:pStyle w:val="null3"/>
              <w:jc w:val="left"/>
            </w:pPr>
            <w:r>
              <w:rPr>
                <w:rFonts w:ascii="仿宋_GB2312" w:hAnsi="仿宋_GB2312" w:cs="仿宋_GB2312" w:eastAsia="仿宋_GB2312"/>
              </w:rPr>
              <w:t>供应商拟派本项目的人员：1、项目负责人(本项最高得3分): 具有注册土木工程师(道路工程)执业资格证书的得2分，在此基础上具有高级及以上技术职称证书的加1分；2、技术专业负责人(本项最高得3分): 具有注册土木工程师(岩土)执业资格证书的得2分，在此基础上具有道路与桥梁工程专业高级及以上技术职称证书的加1分； 3、地质专业负责人(本项最高得3分): 具有公路工程相关专业高级职称得2分，正高级职称得3分；4、造价专业负责人(本项最高得3分) 具有全国注册造价工程师执业资格或注册一级造价工程师证书的得2分，在此基础上具有道路与桥梁专业高级及以上技术职称证书的加1分；5、路线专业负责人: 具有公路工程相关专业高级及以上技术职称证书的得1分。 注：①以上人员不重复计分；②以上人员需提供有效证书复印件并加供应商公章，不满足不得分。</w:t>
            </w:r>
          </w:p>
        </w:tc>
        <w:tc>
          <w:tcPr>
            <w:tcW w:type="dxa" w:w="831"/>
          </w:tcPr>
          <w:p>
            <w:pPr>
              <w:pStyle w:val="null3"/>
              <w:jc w:val="center"/>
            </w:pPr>
            <w:r>
              <w:rPr>
                <w:rFonts w:ascii="仿宋_GB2312" w:hAnsi="仿宋_GB2312" w:cs="仿宋_GB2312" w:eastAsia="仿宋_GB2312"/>
              </w:rPr>
              <w:t>13.0000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技术、服务及商务要求应答表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详见附件：技术、服务及商务要求应答表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