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8B2315">
      <w:pPr>
        <w:adjustRightInd w:val="0"/>
        <w:snapToGrid w:val="0"/>
        <w:rPr>
          <w:rFonts w:hint="eastAsia" w:ascii="仿宋" w:hAnsi="仿宋" w:eastAsia="仿宋" w:cs="仿宋"/>
          <w:color w:val="auto"/>
          <w:szCs w:val="21"/>
          <w:highlight w:val="none"/>
        </w:rPr>
      </w:pPr>
      <w:bookmarkStart w:id="0" w:name="_Toc278543496"/>
    </w:p>
    <w:p w14:paraId="339DEC06">
      <w:pPr>
        <w:adjustRightInd w:val="0"/>
        <w:spacing w:line="360" w:lineRule="auto"/>
        <w:jc w:val="center"/>
        <w:rPr>
          <w:rFonts w:hint="eastAsia" w:ascii="仿宋" w:hAnsi="仿宋" w:eastAsia="仿宋" w:cs="仿宋"/>
          <w:color w:val="auto"/>
          <w:sz w:val="84"/>
          <w:highlight w:val="none"/>
        </w:rPr>
      </w:pPr>
    </w:p>
    <w:p w14:paraId="44754A26">
      <w:pPr>
        <w:adjustRightInd w:val="0"/>
        <w:spacing w:line="360" w:lineRule="auto"/>
        <w:jc w:val="center"/>
        <w:rPr>
          <w:rFonts w:hint="eastAsia" w:ascii="仿宋" w:hAnsi="仿宋" w:eastAsia="仿宋" w:cs="仿宋"/>
          <w:b/>
          <w:bCs/>
          <w:color w:val="auto"/>
          <w:sz w:val="84"/>
          <w:highlight w:val="none"/>
        </w:rPr>
      </w:pPr>
      <w:r>
        <w:rPr>
          <w:rFonts w:hint="eastAsia" w:ascii="仿宋" w:hAnsi="仿宋" w:eastAsia="仿宋" w:cs="仿宋"/>
          <w:b/>
          <w:bCs/>
          <w:color w:val="auto"/>
          <w:sz w:val="84"/>
          <w:highlight w:val="none"/>
        </w:rPr>
        <w:t>竞争性磋商文件</w:t>
      </w:r>
    </w:p>
    <w:p w14:paraId="5003CE96">
      <w:pPr>
        <w:rPr>
          <w:rFonts w:hint="eastAsia" w:ascii="仿宋" w:hAnsi="仿宋" w:eastAsia="仿宋" w:cs="仿宋"/>
          <w:color w:val="auto"/>
          <w:highlight w:val="none"/>
        </w:rPr>
      </w:pPr>
    </w:p>
    <w:p w14:paraId="316539AF">
      <w:pPr>
        <w:rPr>
          <w:rFonts w:hint="eastAsia" w:ascii="仿宋" w:hAnsi="仿宋" w:eastAsia="仿宋" w:cs="仿宋"/>
          <w:color w:val="auto"/>
          <w:highlight w:val="none"/>
        </w:rPr>
      </w:pPr>
    </w:p>
    <w:p w14:paraId="1110F9A7">
      <w:pPr>
        <w:pStyle w:val="14"/>
        <w:rPr>
          <w:rFonts w:hint="eastAsia" w:ascii="仿宋" w:hAnsi="仿宋" w:eastAsia="仿宋" w:cs="仿宋"/>
          <w:color w:val="auto"/>
          <w:highlight w:val="none"/>
        </w:rPr>
      </w:pPr>
    </w:p>
    <w:p w14:paraId="6E4D3ADC">
      <w:pPr>
        <w:rPr>
          <w:rFonts w:hint="eastAsia" w:ascii="仿宋" w:hAnsi="仿宋" w:eastAsia="仿宋" w:cs="仿宋"/>
          <w:color w:val="auto"/>
          <w:highlight w:val="none"/>
        </w:rPr>
      </w:pPr>
    </w:p>
    <w:p w14:paraId="33589659">
      <w:pPr>
        <w:adjustRightInd w:val="0"/>
        <w:snapToGrid w:val="0"/>
        <w:spacing w:line="360" w:lineRule="auto"/>
        <w:ind w:firstLine="560" w:firstLineChars="200"/>
        <w:rPr>
          <w:rFonts w:hint="eastAsia" w:ascii="仿宋" w:hAnsi="仿宋" w:eastAsia="仿宋" w:cs="仿宋"/>
          <w:color w:val="auto"/>
          <w:sz w:val="28"/>
          <w:szCs w:val="28"/>
          <w:highlight w:val="none"/>
        </w:rPr>
      </w:pPr>
    </w:p>
    <w:p w14:paraId="70CE397C">
      <w:pPr>
        <w:spacing w:line="360" w:lineRule="auto"/>
        <w:ind w:left="1677" w:leftChars="532" w:hanging="560" w:hangingChars="200"/>
        <w:rPr>
          <w:rFonts w:hint="eastAsia" w:ascii="仿宋" w:hAnsi="仿宋" w:eastAsia="仿宋" w:cs="仿宋"/>
          <w:color w:val="auto"/>
          <w:sz w:val="28"/>
          <w:szCs w:val="28"/>
          <w:highlight w:val="none"/>
        </w:rPr>
      </w:pPr>
    </w:p>
    <w:p w14:paraId="5E7629AB">
      <w:pPr>
        <w:spacing w:line="360" w:lineRule="auto"/>
        <w:ind w:left="1677" w:leftChars="532" w:hanging="560" w:hanging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项目名称：</w:t>
      </w:r>
      <w:r>
        <w:rPr>
          <w:rFonts w:hint="eastAsia" w:ascii="仿宋" w:hAnsi="仿宋" w:eastAsia="仿宋" w:cs="仿宋"/>
          <w:color w:val="auto"/>
          <w:sz w:val="28"/>
          <w:szCs w:val="28"/>
          <w:highlight w:val="none"/>
          <w:lang w:eastAsia="zh-CN"/>
        </w:rPr>
        <w:t>综改大队采购机柜租赁服务项目</w:t>
      </w:r>
    </w:p>
    <w:p w14:paraId="79C6231D">
      <w:pPr>
        <w:spacing w:line="360" w:lineRule="auto"/>
        <w:ind w:firstLine="1120" w:firstLineChars="4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招标编号：</w:t>
      </w:r>
      <w:r>
        <w:rPr>
          <w:rFonts w:hint="eastAsia" w:ascii="仿宋" w:hAnsi="仿宋" w:eastAsia="仿宋" w:cs="仿宋"/>
          <w:color w:val="auto"/>
          <w:sz w:val="28"/>
          <w:szCs w:val="28"/>
          <w:highlight w:val="none"/>
          <w:lang w:val="en-US" w:eastAsia="zh-CN"/>
        </w:rPr>
        <w:t>HTLS-FW-2025082</w:t>
      </w:r>
    </w:p>
    <w:p w14:paraId="56F8BAA2">
      <w:pPr>
        <w:spacing w:line="360" w:lineRule="auto"/>
        <w:ind w:firstLine="1120" w:firstLineChars="4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项目编号：1401712025CCS00091</w:t>
      </w:r>
    </w:p>
    <w:p w14:paraId="687DA994">
      <w:pPr>
        <w:spacing w:line="360" w:lineRule="auto"/>
        <w:ind w:firstLine="560" w:firstLineChars="200"/>
        <w:rPr>
          <w:rFonts w:hint="eastAsia" w:ascii="仿宋" w:hAnsi="仿宋" w:eastAsia="仿宋" w:cs="仿宋"/>
          <w:color w:val="auto"/>
          <w:sz w:val="28"/>
          <w:szCs w:val="28"/>
          <w:highlight w:val="none"/>
        </w:rPr>
      </w:pPr>
    </w:p>
    <w:p w14:paraId="1F8AC758">
      <w:pPr>
        <w:spacing w:line="360" w:lineRule="auto"/>
        <w:ind w:firstLine="1680" w:firstLineChars="600"/>
        <w:rPr>
          <w:rFonts w:hint="eastAsia" w:ascii="仿宋" w:hAnsi="仿宋" w:eastAsia="仿宋" w:cs="仿宋"/>
          <w:color w:val="auto"/>
          <w:sz w:val="28"/>
          <w:szCs w:val="28"/>
          <w:highlight w:val="none"/>
        </w:rPr>
      </w:pPr>
    </w:p>
    <w:p w14:paraId="2C829960">
      <w:pPr>
        <w:adjustRightInd w:val="0"/>
        <w:snapToGrid w:val="0"/>
        <w:spacing w:line="360" w:lineRule="auto"/>
        <w:rPr>
          <w:rFonts w:hint="eastAsia" w:ascii="仿宋" w:hAnsi="仿宋" w:eastAsia="仿宋" w:cs="仿宋"/>
          <w:color w:val="auto"/>
          <w:sz w:val="36"/>
          <w:highlight w:val="none"/>
        </w:rPr>
      </w:pPr>
    </w:p>
    <w:p w14:paraId="28C2E764">
      <w:pPr>
        <w:pStyle w:val="14"/>
        <w:rPr>
          <w:rFonts w:hint="eastAsia" w:ascii="仿宋" w:hAnsi="仿宋" w:eastAsia="仿宋" w:cs="仿宋"/>
          <w:color w:val="auto"/>
          <w:highlight w:val="none"/>
        </w:rPr>
      </w:pPr>
    </w:p>
    <w:p w14:paraId="06115EF5">
      <w:pPr>
        <w:pStyle w:val="14"/>
        <w:rPr>
          <w:rFonts w:hint="eastAsia" w:ascii="仿宋" w:hAnsi="仿宋" w:eastAsia="仿宋" w:cs="仿宋"/>
          <w:color w:val="auto"/>
          <w:sz w:val="36"/>
          <w:highlight w:val="none"/>
        </w:rPr>
      </w:pPr>
    </w:p>
    <w:p w14:paraId="016F91EB">
      <w:pPr>
        <w:pStyle w:val="14"/>
        <w:rPr>
          <w:rFonts w:hint="eastAsia" w:ascii="仿宋" w:hAnsi="仿宋" w:eastAsia="仿宋" w:cs="仿宋"/>
          <w:color w:val="auto"/>
          <w:sz w:val="36"/>
          <w:highlight w:val="none"/>
        </w:rPr>
      </w:pPr>
    </w:p>
    <w:p w14:paraId="2A71661D">
      <w:pPr>
        <w:adjustRightInd w:val="0"/>
        <w:snapToGrid w:val="0"/>
        <w:spacing w:line="360" w:lineRule="auto"/>
        <w:rPr>
          <w:rFonts w:hint="eastAsia" w:ascii="仿宋" w:hAnsi="仿宋" w:eastAsia="仿宋" w:cs="仿宋"/>
          <w:color w:val="auto"/>
          <w:sz w:val="36"/>
          <w:highlight w:val="none"/>
        </w:rPr>
      </w:pPr>
    </w:p>
    <w:p w14:paraId="31EC5AB8">
      <w:pPr>
        <w:adjustRightInd w:val="0"/>
        <w:snapToGrid w:val="0"/>
        <w:spacing w:line="360" w:lineRule="auto"/>
        <w:ind w:firstLine="1120" w:firstLineChars="400"/>
        <w:rPr>
          <w:rFonts w:hint="eastAsia" w:ascii="仿宋" w:hAnsi="仿宋" w:eastAsia="仿宋" w:cs="仿宋"/>
          <w:color w:val="auto"/>
          <w:sz w:val="28"/>
          <w:szCs w:val="28"/>
          <w:highlight w:val="none"/>
        </w:rPr>
      </w:pPr>
    </w:p>
    <w:p w14:paraId="27E232EE">
      <w:pPr>
        <w:adjustRightInd w:val="0"/>
        <w:snapToGrid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采购人：山西省太原市公安局交通警察支队山西转型综合改革示范区大队</w:t>
      </w:r>
    </w:p>
    <w:p w14:paraId="290E8C58">
      <w:pPr>
        <w:tabs>
          <w:tab w:val="left" w:pos="7976"/>
        </w:tabs>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采购代理机构：华天立盛项目管理有限公司</w:t>
      </w:r>
      <w:r>
        <w:rPr>
          <w:rFonts w:hint="eastAsia" w:ascii="仿宋" w:hAnsi="仿宋" w:eastAsia="仿宋" w:cs="仿宋"/>
          <w:color w:val="auto"/>
          <w:sz w:val="28"/>
          <w:szCs w:val="28"/>
          <w:highlight w:val="none"/>
        </w:rPr>
        <w:tab/>
      </w:r>
    </w:p>
    <w:p w14:paraId="30B5853B">
      <w:pPr>
        <w:tabs>
          <w:tab w:val="left" w:pos="7976"/>
        </w:tabs>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        期：二</w:t>
      </w:r>
      <w:r>
        <w:rPr>
          <w:rFonts w:hint="eastAsia" w:ascii="仿宋" w:hAnsi="仿宋" w:eastAsia="仿宋" w:cs="仿宋"/>
          <w:color w:val="auto"/>
          <w:sz w:val="28"/>
          <w:szCs w:val="28"/>
          <w:highlight w:val="none"/>
          <w:lang w:val="en-US" w:eastAsia="zh-CN"/>
        </w:rPr>
        <w:t>O</w:t>
      </w:r>
      <w:r>
        <w:rPr>
          <w:rFonts w:hint="eastAsia" w:ascii="仿宋" w:hAnsi="仿宋" w:eastAsia="仿宋" w:cs="仿宋"/>
          <w:color w:val="auto"/>
          <w:sz w:val="28"/>
          <w:szCs w:val="28"/>
          <w:highlight w:val="none"/>
        </w:rPr>
        <w:t>二</w:t>
      </w:r>
      <w:r>
        <w:rPr>
          <w:rFonts w:hint="eastAsia" w:ascii="仿宋" w:hAnsi="仿宋" w:eastAsia="仿宋" w:cs="仿宋"/>
          <w:color w:val="auto"/>
          <w:sz w:val="28"/>
          <w:szCs w:val="28"/>
          <w:highlight w:val="none"/>
          <w:lang w:val="en-US" w:eastAsia="zh-CN"/>
        </w:rPr>
        <w:t>五</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九</w:t>
      </w:r>
      <w:r>
        <w:rPr>
          <w:rFonts w:hint="eastAsia" w:ascii="仿宋" w:hAnsi="仿宋" w:eastAsia="仿宋" w:cs="仿宋"/>
          <w:color w:val="auto"/>
          <w:sz w:val="28"/>
          <w:szCs w:val="28"/>
          <w:highlight w:val="none"/>
        </w:rPr>
        <w:t>月</w:t>
      </w:r>
    </w:p>
    <w:p w14:paraId="456B5B83">
      <w:pPr>
        <w:jc w:val="center"/>
        <w:rPr>
          <w:rFonts w:hint="eastAsia" w:ascii="仿宋" w:hAnsi="仿宋" w:eastAsia="仿宋" w:cs="仿宋"/>
          <w:color w:val="auto"/>
          <w:kern w:val="0"/>
          <w:sz w:val="30"/>
          <w:szCs w:val="30"/>
          <w:highlight w:val="none"/>
        </w:rPr>
      </w:pPr>
    </w:p>
    <w:p w14:paraId="642F287B">
      <w:pPr>
        <w:wordWrap w:val="0"/>
        <w:snapToGrid w:val="0"/>
        <w:spacing w:line="300" w:lineRule="auto"/>
        <w:rPr>
          <w:rFonts w:hint="eastAsia" w:ascii="仿宋" w:hAnsi="仿宋" w:eastAsia="仿宋" w:cs="仿宋"/>
          <w:color w:val="auto"/>
          <w:kern w:val="0"/>
          <w:sz w:val="36"/>
          <w:szCs w:val="36"/>
          <w:highlight w:val="none"/>
        </w:rPr>
      </w:pPr>
    </w:p>
    <w:p w14:paraId="71A99770">
      <w:pPr>
        <w:widowControl/>
        <w:snapToGrid w:val="0"/>
        <w:spacing w:after="468" w:afterLines="150" w:line="360" w:lineRule="auto"/>
        <w:jc w:val="center"/>
        <w:outlineLvl w:val="2"/>
        <w:rPr>
          <w:rFonts w:hint="eastAsia" w:ascii="仿宋" w:hAnsi="仿宋" w:eastAsia="仿宋" w:cs="仿宋"/>
          <w:b/>
          <w:bCs/>
          <w:color w:val="auto"/>
          <w:kern w:val="0"/>
          <w:sz w:val="36"/>
          <w:szCs w:val="36"/>
          <w:highlight w:val="none"/>
        </w:rPr>
        <w:sectPr>
          <w:headerReference r:id="rId3" w:type="default"/>
          <w:pgSz w:w="11906" w:h="16838"/>
          <w:pgMar w:top="1440" w:right="1134" w:bottom="1440" w:left="1080" w:header="851" w:footer="992" w:gutter="0"/>
          <w:pgNumType w:start="1"/>
          <w:cols w:space="720" w:num="1"/>
          <w:titlePg/>
          <w:docGrid w:type="lines" w:linePitch="312" w:charSpace="0"/>
        </w:sectPr>
      </w:pPr>
      <w:bookmarkStart w:id="1" w:name="_Toc15105"/>
    </w:p>
    <w:p w14:paraId="488F2FB5">
      <w:pPr>
        <w:widowControl/>
        <w:snapToGrid w:val="0"/>
        <w:spacing w:after="468" w:afterLines="150" w:line="360" w:lineRule="auto"/>
        <w:jc w:val="center"/>
        <w:outlineLvl w:val="2"/>
        <w:rPr>
          <w:rFonts w:hint="eastAsia" w:ascii="仿宋" w:hAnsi="仿宋" w:eastAsia="仿宋" w:cs="仿宋"/>
          <w:b/>
          <w:bCs/>
          <w:color w:val="auto"/>
          <w:kern w:val="0"/>
          <w:sz w:val="36"/>
          <w:szCs w:val="36"/>
          <w:highlight w:val="none"/>
        </w:rPr>
      </w:pPr>
    </w:p>
    <w:p w14:paraId="50E74867">
      <w:pPr>
        <w:widowControl/>
        <w:snapToGrid w:val="0"/>
        <w:spacing w:after="468" w:afterLines="150" w:line="360" w:lineRule="auto"/>
        <w:jc w:val="center"/>
        <w:outlineLvl w:val="2"/>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目     录</w:t>
      </w:r>
      <w:bookmarkEnd w:id="1"/>
    </w:p>
    <w:p w14:paraId="1CCC9D72">
      <w:pPr>
        <w:spacing w:line="520" w:lineRule="atLeast"/>
        <w:ind w:firstLine="720" w:firstLineChars="3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fldChar w:fldCharType="begin"/>
      </w:r>
      <w:r>
        <w:rPr>
          <w:rFonts w:hint="eastAsia" w:ascii="仿宋" w:hAnsi="仿宋" w:eastAsia="仿宋" w:cs="仿宋"/>
          <w:color w:val="auto"/>
          <w:kern w:val="0"/>
          <w:sz w:val="24"/>
          <w:highlight w:val="none"/>
        </w:rPr>
        <w:instrText xml:space="preserve"> HYPERLINK "http://www.ccgp-shanxi.gov.cn/edithtml/eWebEditor.jsp?id=content1&amp;style=standard" \l "_Toc175644005" </w:instrText>
      </w:r>
      <w:r>
        <w:rPr>
          <w:rFonts w:hint="eastAsia" w:ascii="仿宋" w:hAnsi="仿宋" w:eastAsia="仿宋" w:cs="仿宋"/>
          <w:color w:val="auto"/>
          <w:kern w:val="0"/>
          <w:sz w:val="24"/>
          <w:highlight w:val="none"/>
        </w:rPr>
        <w:fldChar w:fldCharType="separate"/>
      </w:r>
      <w:r>
        <w:rPr>
          <w:rFonts w:hint="eastAsia" w:ascii="仿宋" w:hAnsi="仿宋" w:eastAsia="仿宋" w:cs="仿宋"/>
          <w:color w:val="auto"/>
          <w:kern w:val="0"/>
          <w:sz w:val="24"/>
          <w:highlight w:val="none"/>
        </w:rPr>
        <w:t>第一部分 磋商公告</w:t>
      </w:r>
      <w:r>
        <w:rPr>
          <w:rFonts w:hint="eastAsia" w:ascii="仿宋" w:hAnsi="仿宋" w:eastAsia="仿宋" w:cs="仿宋"/>
          <w:color w:val="auto"/>
          <w:kern w:val="0"/>
          <w:sz w:val="24"/>
          <w:highlight w:val="none"/>
        </w:rPr>
        <w:fldChar w:fldCharType="end"/>
      </w:r>
    </w:p>
    <w:p w14:paraId="322B5D02">
      <w:pPr>
        <w:spacing w:line="520" w:lineRule="atLeast"/>
        <w:ind w:firstLine="720" w:firstLineChars="3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第二部分 供应商须知前附表</w:t>
      </w:r>
    </w:p>
    <w:p w14:paraId="40275936">
      <w:pPr>
        <w:spacing w:line="520" w:lineRule="atLeast"/>
        <w:ind w:firstLine="720" w:firstLineChars="3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fldChar w:fldCharType="begin"/>
      </w:r>
      <w:r>
        <w:rPr>
          <w:rFonts w:hint="eastAsia" w:ascii="仿宋" w:hAnsi="仿宋" w:eastAsia="仿宋" w:cs="仿宋"/>
          <w:color w:val="auto"/>
          <w:kern w:val="0"/>
          <w:sz w:val="24"/>
          <w:highlight w:val="none"/>
        </w:rPr>
        <w:instrText xml:space="preserve"> HYPERLINK "http://www.ccgp-shanxi.gov.cn/edithtml/eWebEditor.jsp?id=content1&amp;style=standard" \l "_Toc175644014" </w:instrText>
      </w:r>
      <w:r>
        <w:rPr>
          <w:rFonts w:hint="eastAsia" w:ascii="仿宋" w:hAnsi="仿宋" w:eastAsia="仿宋" w:cs="仿宋"/>
          <w:color w:val="auto"/>
          <w:kern w:val="0"/>
          <w:sz w:val="24"/>
          <w:highlight w:val="none"/>
        </w:rPr>
        <w:fldChar w:fldCharType="separate"/>
      </w:r>
      <w:r>
        <w:rPr>
          <w:rFonts w:hint="eastAsia" w:ascii="仿宋" w:hAnsi="仿宋" w:eastAsia="仿宋" w:cs="仿宋"/>
          <w:color w:val="auto"/>
          <w:kern w:val="0"/>
          <w:sz w:val="24"/>
          <w:highlight w:val="none"/>
        </w:rPr>
        <w:t xml:space="preserve">第三部分 </w:t>
      </w:r>
      <w:bookmarkStart w:id="2" w:name="_Hlt484767722"/>
      <w:bookmarkEnd w:id="2"/>
      <w:bookmarkStart w:id="3" w:name="_Hlt484767726"/>
      <w:bookmarkEnd w:id="3"/>
      <w:bookmarkStart w:id="4" w:name="_Hlt484767721"/>
      <w:bookmarkEnd w:id="4"/>
      <w:r>
        <w:rPr>
          <w:rFonts w:hint="eastAsia" w:ascii="仿宋" w:hAnsi="仿宋" w:eastAsia="仿宋" w:cs="仿宋"/>
          <w:color w:val="auto"/>
          <w:kern w:val="0"/>
          <w:sz w:val="24"/>
          <w:highlight w:val="none"/>
        </w:rPr>
        <w:t>供应商须知</w:t>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fldChar w:fldCharType="end"/>
      </w:r>
    </w:p>
    <w:p w14:paraId="3DF811E7">
      <w:pPr>
        <w:spacing w:line="520" w:lineRule="atLeast"/>
        <w:ind w:firstLine="720" w:firstLineChars="3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fldChar w:fldCharType="begin"/>
      </w:r>
      <w:r>
        <w:rPr>
          <w:rFonts w:hint="eastAsia" w:ascii="仿宋" w:hAnsi="仿宋" w:eastAsia="仿宋" w:cs="仿宋"/>
          <w:color w:val="auto"/>
          <w:kern w:val="0"/>
          <w:sz w:val="24"/>
          <w:highlight w:val="none"/>
        </w:rPr>
        <w:instrText xml:space="preserve"> HYPERLINK "http://www.ccgp-shanxi.gov.cn/edithtml/eWebEditor.jsp?id=content1&amp;style=standard" \l "_Toc175644026" </w:instrText>
      </w:r>
      <w:r>
        <w:rPr>
          <w:rFonts w:hint="eastAsia" w:ascii="仿宋" w:hAnsi="仿宋" w:eastAsia="仿宋" w:cs="仿宋"/>
          <w:color w:val="auto"/>
          <w:kern w:val="0"/>
          <w:sz w:val="24"/>
          <w:highlight w:val="none"/>
        </w:rPr>
        <w:fldChar w:fldCharType="separate"/>
      </w:r>
      <w:r>
        <w:rPr>
          <w:rFonts w:hint="eastAsia" w:ascii="仿宋" w:hAnsi="仿宋" w:eastAsia="仿宋" w:cs="仿宋"/>
          <w:color w:val="auto"/>
          <w:kern w:val="0"/>
          <w:sz w:val="24"/>
          <w:highlight w:val="none"/>
        </w:rPr>
        <w:t>第四部分 评审标准和评定方法</w:t>
      </w:r>
    </w:p>
    <w:p w14:paraId="2D27D1BC">
      <w:pPr>
        <w:spacing w:line="520" w:lineRule="atLeast"/>
        <w:ind w:firstLine="720" w:firstLineChars="3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第五部分 商务、</w:t>
      </w:r>
      <w:r>
        <w:rPr>
          <w:rFonts w:hint="eastAsia" w:ascii="仿宋" w:hAnsi="仿宋" w:eastAsia="仿宋" w:cs="仿宋"/>
          <w:color w:val="auto"/>
          <w:kern w:val="0"/>
          <w:sz w:val="24"/>
          <w:highlight w:val="none"/>
          <w:lang w:val="en-US" w:eastAsia="zh-CN"/>
        </w:rPr>
        <w:t>技术</w:t>
      </w:r>
      <w:r>
        <w:rPr>
          <w:rFonts w:hint="eastAsia" w:ascii="仿宋" w:hAnsi="仿宋" w:eastAsia="仿宋" w:cs="仿宋"/>
          <w:color w:val="auto"/>
          <w:kern w:val="0"/>
          <w:sz w:val="24"/>
          <w:highlight w:val="none"/>
        </w:rPr>
        <w:t>要求</w:t>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fldChar w:fldCharType="end"/>
      </w:r>
    </w:p>
    <w:p w14:paraId="64945861">
      <w:pPr>
        <w:spacing w:line="520" w:lineRule="atLeast"/>
        <w:ind w:firstLine="720" w:firstLineChars="3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fldChar w:fldCharType="begin"/>
      </w:r>
      <w:r>
        <w:rPr>
          <w:rFonts w:hint="eastAsia" w:ascii="仿宋" w:hAnsi="仿宋" w:eastAsia="仿宋" w:cs="仿宋"/>
          <w:color w:val="auto"/>
          <w:kern w:val="0"/>
          <w:sz w:val="24"/>
          <w:highlight w:val="none"/>
        </w:rPr>
        <w:instrText xml:space="preserve"> HYPERLINK "http://www.ccgp-shanxi.gov.cn/edithtml/eWebEditor.jsp?id=content1&amp;style=standard" \l "_Toc175644030" </w:instrText>
      </w:r>
      <w:r>
        <w:rPr>
          <w:rFonts w:hint="eastAsia" w:ascii="仿宋" w:hAnsi="仿宋" w:eastAsia="仿宋" w:cs="仿宋"/>
          <w:color w:val="auto"/>
          <w:kern w:val="0"/>
          <w:sz w:val="24"/>
          <w:highlight w:val="none"/>
        </w:rPr>
        <w:fldChar w:fldCharType="separate"/>
      </w:r>
      <w:r>
        <w:rPr>
          <w:rFonts w:hint="eastAsia" w:ascii="仿宋" w:hAnsi="仿宋" w:eastAsia="仿宋" w:cs="仿宋"/>
          <w:color w:val="auto"/>
          <w:kern w:val="0"/>
          <w:sz w:val="24"/>
          <w:highlight w:val="none"/>
        </w:rPr>
        <w:t>第六部分 合同范本</w:t>
      </w:r>
      <w:r>
        <w:rPr>
          <w:rFonts w:hint="eastAsia" w:ascii="仿宋" w:hAnsi="仿宋" w:eastAsia="仿宋" w:cs="仿宋"/>
          <w:color w:val="auto"/>
          <w:kern w:val="0"/>
          <w:sz w:val="24"/>
          <w:highlight w:val="none"/>
        </w:rPr>
        <w:fldChar w:fldCharType="end"/>
      </w:r>
    </w:p>
    <w:p w14:paraId="04F442D0">
      <w:pPr>
        <w:spacing w:line="520" w:lineRule="atLeast"/>
        <w:ind w:firstLine="720" w:firstLineChars="3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fldChar w:fldCharType="begin"/>
      </w:r>
      <w:r>
        <w:rPr>
          <w:rFonts w:hint="eastAsia" w:ascii="仿宋" w:hAnsi="仿宋" w:eastAsia="仿宋" w:cs="仿宋"/>
          <w:color w:val="auto"/>
          <w:kern w:val="0"/>
          <w:sz w:val="24"/>
          <w:highlight w:val="none"/>
        </w:rPr>
        <w:instrText xml:space="preserve"> HYPERLINK "http://www.ccgp-shanxi.gov.cn/edithtml/eWebEditor.jsp?id=content1&amp;style=standard" \l "_Toc175644031" </w:instrText>
      </w:r>
      <w:r>
        <w:rPr>
          <w:rFonts w:hint="eastAsia" w:ascii="仿宋" w:hAnsi="仿宋" w:eastAsia="仿宋" w:cs="仿宋"/>
          <w:color w:val="auto"/>
          <w:kern w:val="0"/>
          <w:sz w:val="24"/>
          <w:highlight w:val="none"/>
        </w:rPr>
        <w:fldChar w:fldCharType="separate"/>
      </w:r>
      <w:r>
        <w:rPr>
          <w:rFonts w:hint="eastAsia" w:ascii="仿宋" w:hAnsi="仿宋" w:eastAsia="仿宋" w:cs="仿宋"/>
          <w:color w:val="auto"/>
          <w:kern w:val="0"/>
          <w:sz w:val="24"/>
          <w:highlight w:val="none"/>
        </w:rPr>
        <w:t>第七部分 响应文件格式</w:t>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fldChar w:fldCharType="end"/>
      </w:r>
    </w:p>
    <w:p w14:paraId="038804A6">
      <w:pPr>
        <w:pStyle w:val="21"/>
        <w:tabs>
          <w:tab w:val="right" w:leader="dot" w:pos="8620"/>
        </w:tabs>
        <w:spacing w:line="500" w:lineRule="exact"/>
        <w:rPr>
          <w:rFonts w:hint="eastAsia" w:ascii="仿宋" w:hAnsi="仿宋" w:eastAsia="仿宋" w:cs="仿宋"/>
          <w:color w:val="auto"/>
          <w:sz w:val="24"/>
          <w:szCs w:val="24"/>
          <w:highlight w:val="none"/>
        </w:rPr>
      </w:pPr>
    </w:p>
    <w:p w14:paraId="2BD3849D">
      <w:pPr>
        <w:widowControl/>
        <w:snapToGrid w:val="0"/>
        <w:spacing w:after="468" w:afterLines="150" w:line="360" w:lineRule="auto"/>
        <w:jc w:val="center"/>
        <w:rPr>
          <w:rFonts w:hint="eastAsia" w:ascii="仿宋" w:hAnsi="仿宋" w:eastAsia="仿宋" w:cs="仿宋"/>
          <w:b/>
          <w:bCs/>
          <w:color w:val="auto"/>
          <w:kern w:val="0"/>
          <w:sz w:val="36"/>
          <w:szCs w:val="36"/>
          <w:highlight w:val="none"/>
        </w:rPr>
      </w:pPr>
    </w:p>
    <w:p w14:paraId="4271EF96">
      <w:pPr>
        <w:tabs>
          <w:tab w:val="left" w:pos="2070"/>
          <w:tab w:val="center" w:pos="4365"/>
        </w:tabs>
        <w:overflowPunct w:val="0"/>
        <w:topLinePunct/>
        <w:autoSpaceDN w:val="0"/>
        <w:adjustRightInd w:val="0"/>
        <w:snapToGrid w:val="0"/>
        <w:spacing w:line="360" w:lineRule="auto"/>
        <w:jc w:val="center"/>
        <w:rPr>
          <w:rFonts w:hint="eastAsia" w:ascii="仿宋" w:hAnsi="仿宋" w:eastAsia="仿宋" w:cs="仿宋"/>
          <w:b/>
          <w:snapToGrid w:val="0"/>
          <w:color w:val="auto"/>
          <w:kern w:val="0"/>
          <w:sz w:val="32"/>
          <w:szCs w:val="32"/>
          <w:highlight w:val="none"/>
        </w:rPr>
      </w:pPr>
    </w:p>
    <w:p w14:paraId="0D3E382D">
      <w:pPr>
        <w:pStyle w:val="14"/>
        <w:rPr>
          <w:rFonts w:hint="eastAsia" w:ascii="仿宋" w:hAnsi="仿宋" w:eastAsia="仿宋" w:cs="仿宋"/>
          <w:color w:val="auto"/>
          <w:highlight w:val="none"/>
        </w:rPr>
      </w:pPr>
    </w:p>
    <w:p w14:paraId="554FF8C6">
      <w:pPr>
        <w:tabs>
          <w:tab w:val="left" w:pos="2070"/>
          <w:tab w:val="center" w:pos="4365"/>
        </w:tabs>
        <w:overflowPunct w:val="0"/>
        <w:topLinePunct/>
        <w:autoSpaceDN w:val="0"/>
        <w:adjustRightInd w:val="0"/>
        <w:snapToGrid w:val="0"/>
        <w:spacing w:line="360" w:lineRule="auto"/>
        <w:jc w:val="center"/>
        <w:rPr>
          <w:rFonts w:hint="eastAsia" w:ascii="仿宋" w:hAnsi="仿宋" w:eastAsia="仿宋" w:cs="仿宋"/>
          <w:b/>
          <w:snapToGrid w:val="0"/>
          <w:color w:val="auto"/>
          <w:kern w:val="0"/>
          <w:sz w:val="32"/>
          <w:szCs w:val="32"/>
          <w:highlight w:val="none"/>
        </w:rPr>
        <w:sectPr>
          <w:footerReference r:id="rId4" w:type="default"/>
          <w:pgSz w:w="11906" w:h="16838"/>
          <w:pgMar w:top="1440" w:right="1080" w:bottom="1440" w:left="1080" w:header="851" w:footer="992" w:gutter="0"/>
          <w:pgNumType w:start="1"/>
          <w:cols w:space="720" w:num="1"/>
          <w:docGrid w:type="lines" w:linePitch="312" w:charSpace="0"/>
        </w:sectPr>
      </w:pPr>
      <w:bookmarkStart w:id="5" w:name="_Toc10267"/>
    </w:p>
    <w:p w14:paraId="44F3403A">
      <w:pPr>
        <w:tabs>
          <w:tab w:val="left" w:pos="2070"/>
          <w:tab w:val="center" w:pos="4365"/>
        </w:tabs>
        <w:overflowPunct w:val="0"/>
        <w:topLinePunct/>
        <w:autoSpaceDN w:val="0"/>
        <w:adjustRightInd w:val="0"/>
        <w:snapToGrid w:val="0"/>
        <w:spacing w:line="360" w:lineRule="auto"/>
        <w:jc w:val="center"/>
        <w:rPr>
          <w:rFonts w:hint="eastAsia" w:ascii="仿宋" w:hAnsi="仿宋" w:eastAsia="仿宋" w:cs="仿宋"/>
          <w:b/>
          <w:snapToGrid w:val="0"/>
          <w:color w:val="auto"/>
          <w:kern w:val="0"/>
          <w:sz w:val="32"/>
          <w:szCs w:val="32"/>
          <w:highlight w:val="none"/>
        </w:rPr>
      </w:pPr>
      <w:r>
        <w:rPr>
          <w:rFonts w:hint="eastAsia" w:ascii="仿宋" w:hAnsi="仿宋" w:eastAsia="仿宋" w:cs="仿宋"/>
          <w:b/>
          <w:snapToGrid w:val="0"/>
          <w:color w:val="auto"/>
          <w:kern w:val="0"/>
          <w:sz w:val="32"/>
          <w:szCs w:val="32"/>
          <w:highlight w:val="none"/>
        </w:rPr>
        <w:t>第一部分  磋商公告</w:t>
      </w:r>
    </w:p>
    <w:p w14:paraId="3F3210DE">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项目概况</w:t>
      </w:r>
      <w:r>
        <w:rPr>
          <w:rFonts w:hint="eastAsia" w:ascii="仿宋" w:hAnsi="仿宋" w:eastAsia="仿宋" w:cs="仿宋"/>
          <w:sz w:val="24"/>
          <w:szCs w:val="24"/>
          <w:lang w:eastAsia="zh-CN"/>
        </w:rPr>
        <w:t>：</w:t>
      </w:r>
      <w:r>
        <w:rPr>
          <w:rFonts w:hint="eastAsia" w:ascii="仿宋" w:hAnsi="仿宋" w:eastAsia="仿宋" w:cs="仿宋"/>
          <w:sz w:val="24"/>
          <w:szCs w:val="24"/>
        </w:rPr>
        <w:t xml:space="preserve">                                                                </w:t>
      </w:r>
    </w:p>
    <w:p w14:paraId="46A53802">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综改大队采购机柜租赁服务项目的潜在供应商应在政采云平台线上获取采购文件，并于2025年0</w:t>
      </w:r>
      <w:r>
        <w:rPr>
          <w:rFonts w:hint="eastAsia" w:ascii="仿宋" w:hAnsi="仿宋" w:eastAsia="仿宋" w:cs="仿宋"/>
          <w:sz w:val="24"/>
          <w:szCs w:val="24"/>
          <w:lang w:val="en-US" w:eastAsia="zh-CN"/>
        </w:rPr>
        <w:t>9</w:t>
      </w:r>
      <w:r>
        <w:rPr>
          <w:rFonts w:hint="eastAsia" w:ascii="仿宋" w:hAnsi="仿宋" w:eastAsia="仿宋" w:cs="仿宋"/>
          <w:sz w:val="24"/>
          <w:szCs w:val="24"/>
        </w:rPr>
        <w:t>月</w:t>
      </w:r>
      <w:r>
        <w:rPr>
          <w:rFonts w:hint="eastAsia" w:ascii="仿宋" w:hAnsi="仿宋" w:eastAsia="仿宋" w:cs="仿宋"/>
          <w:sz w:val="24"/>
          <w:szCs w:val="24"/>
          <w:lang w:val="en-US" w:eastAsia="zh-CN"/>
        </w:rPr>
        <w:t>16</w:t>
      </w:r>
      <w:r>
        <w:rPr>
          <w:rFonts w:hint="eastAsia" w:ascii="仿宋" w:hAnsi="仿宋" w:eastAsia="仿宋" w:cs="仿宋"/>
          <w:sz w:val="24"/>
          <w:szCs w:val="24"/>
        </w:rPr>
        <w:t>日</w:t>
      </w:r>
      <w:r>
        <w:rPr>
          <w:rFonts w:hint="eastAsia" w:ascii="仿宋" w:hAnsi="仿宋" w:eastAsia="仿宋" w:cs="仿宋"/>
          <w:sz w:val="24"/>
          <w:szCs w:val="24"/>
          <w:lang w:val="en-US" w:eastAsia="zh-CN"/>
        </w:rPr>
        <w:t>09</w:t>
      </w:r>
      <w:r>
        <w:rPr>
          <w:rFonts w:hint="eastAsia" w:ascii="仿宋" w:hAnsi="仿宋" w:eastAsia="仿宋" w:cs="仿宋"/>
          <w:sz w:val="24"/>
          <w:szCs w:val="24"/>
        </w:rPr>
        <w:t>:</w:t>
      </w:r>
      <w:r>
        <w:rPr>
          <w:rFonts w:hint="eastAsia" w:ascii="仿宋" w:hAnsi="仿宋" w:eastAsia="仿宋" w:cs="仿宋"/>
          <w:sz w:val="24"/>
          <w:szCs w:val="24"/>
          <w:lang w:val="en-US" w:eastAsia="zh-CN"/>
        </w:rPr>
        <w:t>0</w:t>
      </w:r>
      <w:r>
        <w:rPr>
          <w:rFonts w:hint="eastAsia" w:ascii="仿宋" w:hAnsi="仿宋" w:eastAsia="仿宋" w:cs="仿宋"/>
          <w:sz w:val="24"/>
          <w:szCs w:val="24"/>
        </w:rPr>
        <w:t>0（北京时间）前提交响应文件。                            </w:t>
      </w:r>
    </w:p>
    <w:p w14:paraId="1A4D8879">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一、项目基本情况</w:t>
      </w:r>
    </w:p>
    <w:p w14:paraId="0C61C721">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项目编号：1401712025CCS00091</w:t>
      </w:r>
    </w:p>
    <w:p w14:paraId="44269EAA">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项目名称：综改大队采购机柜租赁服务项目   </w:t>
      </w:r>
    </w:p>
    <w:p w14:paraId="1445ADD8">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采购方式：竞争性磋商           </w:t>
      </w:r>
    </w:p>
    <w:p w14:paraId="663175ED">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仿宋" w:hAnsi="仿宋" w:eastAsia="仿宋" w:cs="仿宋"/>
          <w:sz w:val="24"/>
          <w:szCs w:val="24"/>
          <w:lang w:val="en-US"/>
        </w:rPr>
      </w:pPr>
      <w:r>
        <w:rPr>
          <w:rFonts w:hint="eastAsia" w:ascii="仿宋" w:hAnsi="仿宋" w:eastAsia="仿宋" w:cs="仿宋"/>
          <w:sz w:val="24"/>
          <w:szCs w:val="24"/>
        </w:rPr>
        <w:t>预算金额（元）：</w:t>
      </w:r>
      <w:r>
        <w:rPr>
          <w:rFonts w:hint="eastAsia" w:ascii="仿宋" w:hAnsi="仿宋" w:eastAsia="仿宋" w:cs="仿宋"/>
          <w:sz w:val="24"/>
          <w:szCs w:val="24"/>
          <w:lang w:val="en-US" w:eastAsia="zh-CN"/>
        </w:rPr>
        <w:t>375298</w:t>
      </w:r>
    </w:p>
    <w:p w14:paraId="52D45BAF">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最高限价（元）：</w:t>
      </w:r>
      <w:r>
        <w:rPr>
          <w:rFonts w:hint="eastAsia" w:ascii="仿宋" w:hAnsi="仿宋" w:eastAsia="仿宋" w:cs="仿宋"/>
          <w:sz w:val="24"/>
          <w:szCs w:val="24"/>
          <w:lang w:val="en-US" w:eastAsia="zh-CN"/>
        </w:rPr>
        <w:t>375298</w:t>
      </w:r>
      <w:r>
        <w:rPr>
          <w:rFonts w:hint="eastAsia" w:ascii="仿宋" w:hAnsi="仿宋" w:eastAsia="仿宋" w:cs="仿宋"/>
          <w:sz w:val="24"/>
          <w:szCs w:val="24"/>
        </w:rPr>
        <w:t>   </w:t>
      </w:r>
    </w:p>
    <w:p w14:paraId="746EE334">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rPr>
        <w:t>采购需求：</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     标项名称：采购包1 </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     数量：/</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     预算金额（元）：375298</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     单位：/</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     简要规格描述：鉴于当前视频存储及汇聚系统业务量持续扩容,现有资源已无法满足存储需求。为确保系统性能及数据安全亟须在现有基础上新增IDC机柜4台，共计11台。具体要求详见商务、技术要求。</w:t>
      </w:r>
    </w:p>
    <w:p w14:paraId="4542D753">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备注：无    </w:t>
      </w:r>
    </w:p>
    <w:p w14:paraId="7BF5D2EB">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合同履约期限：包 1，</w:t>
      </w:r>
      <w:r>
        <w:rPr>
          <w:rFonts w:hint="eastAsia" w:ascii="仿宋" w:hAnsi="仿宋" w:eastAsia="仿宋" w:cs="仿宋"/>
          <w:sz w:val="24"/>
          <w:szCs w:val="24"/>
          <w:lang w:val="en-US" w:eastAsia="zh-CN"/>
        </w:rPr>
        <w:t>合同签订后1</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内。   </w:t>
      </w:r>
      <w:r>
        <w:rPr>
          <w:rFonts w:hint="eastAsia" w:ascii="仿宋" w:hAnsi="仿宋" w:eastAsia="仿宋" w:cs="仿宋"/>
          <w:sz w:val="24"/>
          <w:szCs w:val="24"/>
        </w:rPr>
        <w:t>     </w:t>
      </w:r>
    </w:p>
    <w:p w14:paraId="28B54423">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本项目（否）接受联合体投标。        </w:t>
      </w:r>
    </w:p>
    <w:p w14:paraId="030E0B47">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二、申请人的资格要求：    </w:t>
      </w:r>
    </w:p>
    <w:p w14:paraId="319D61BE">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1.满足《中华人民共和国政府采购法》第二十二条规定；        </w:t>
      </w:r>
    </w:p>
    <w:p w14:paraId="6EE48FA8">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2.落实政府采购政策需满足的资格要求：包1：</w:t>
      </w:r>
      <w:r>
        <w:rPr>
          <w:rFonts w:hint="eastAsia" w:ascii="仿宋" w:hAnsi="仿宋" w:eastAsia="仿宋" w:cs="仿宋"/>
          <w:sz w:val="24"/>
          <w:szCs w:val="24"/>
          <w:lang w:val="en-US" w:eastAsia="zh-CN"/>
        </w:rPr>
        <w:t>无</w:t>
      </w:r>
    </w:p>
    <w:p w14:paraId="07BDDC8D">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3.本项目的特定资格要求：须具有《增值电信业务经营许可证》，无独立法人资格的分公司或支公司参加投标的，应当在获得具有法人资格的总公司授权后参加政府采购活动，总公司只能授权一家分支机构参与投标，且总公司不能与分支机构同时参与投标。 </w:t>
      </w:r>
    </w:p>
    <w:p w14:paraId="4585C807">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三、获取采购文件    </w:t>
      </w:r>
    </w:p>
    <w:p w14:paraId="216D97F1">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时间：2025年0</w:t>
      </w:r>
      <w:r>
        <w:rPr>
          <w:rFonts w:hint="eastAsia" w:ascii="仿宋" w:hAnsi="仿宋" w:eastAsia="仿宋" w:cs="仿宋"/>
          <w:sz w:val="24"/>
          <w:szCs w:val="24"/>
          <w:lang w:val="en-US" w:eastAsia="zh-CN"/>
        </w:rPr>
        <w:t>9</w:t>
      </w:r>
      <w:r>
        <w:rPr>
          <w:rFonts w:hint="eastAsia" w:ascii="仿宋" w:hAnsi="仿宋" w:eastAsia="仿宋" w:cs="仿宋"/>
          <w:sz w:val="24"/>
          <w:szCs w:val="24"/>
        </w:rPr>
        <w:t>月</w:t>
      </w:r>
      <w:r>
        <w:rPr>
          <w:rFonts w:hint="eastAsia" w:ascii="仿宋" w:hAnsi="仿宋" w:eastAsia="仿宋" w:cs="仿宋"/>
          <w:sz w:val="24"/>
          <w:szCs w:val="24"/>
          <w:lang w:val="en-US" w:eastAsia="zh-CN"/>
        </w:rPr>
        <w:t>03</w:t>
      </w:r>
      <w:r>
        <w:rPr>
          <w:rFonts w:hint="eastAsia" w:ascii="仿宋" w:hAnsi="仿宋" w:eastAsia="仿宋" w:cs="仿宋"/>
          <w:sz w:val="24"/>
          <w:szCs w:val="24"/>
        </w:rPr>
        <w:t>日至2025年0</w:t>
      </w:r>
      <w:r>
        <w:rPr>
          <w:rFonts w:hint="eastAsia" w:ascii="仿宋" w:hAnsi="仿宋" w:eastAsia="仿宋" w:cs="仿宋"/>
          <w:sz w:val="24"/>
          <w:szCs w:val="24"/>
          <w:lang w:val="en-US" w:eastAsia="zh-CN"/>
        </w:rPr>
        <w:t>9</w:t>
      </w:r>
      <w:r>
        <w:rPr>
          <w:rFonts w:hint="eastAsia" w:ascii="仿宋" w:hAnsi="仿宋" w:eastAsia="仿宋" w:cs="仿宋"/>
          <w:sz w:val="24"/>
          <w:szCs w:val="24"/>
        </w:rPr>
        <w:t>月</w:t>
      </w:r>
      <w:r>
        <w:rPr>
          <w:rFonts w:hint="eastAsia" w:ascii="仿宋" w:hAnsi="仿宋" w:eastAsia="仿宋" w:cs="仿宋"/>
          <w:sz w:val="24"/>
          <w:szCs w:val="24"/>
          <w:lang w:val="en-US" w:eastAsia="zh-CN"/>
        </w:rPr>
        <w:t>10</w:t>
      </w:r>
      <w:r>
        <w:rPr>
          <w:rFonts w:hint="eastAsia" w:ascii="仿宋" w:hAnsi="仿宋" w:eastAsia="仿宋" w:cs="仿宋"/>
          <w:sz w:val="24"/>
          <w:szCs w:val="24"/>
        </w:rPr>
        <w:t>日，每天上午00:00至12:00，下午12:00至23:59（北京时间，法定节假日除外）        </w:t>
      </w:r>
    </w:p>
    <w:p w14:paraId="0E55A356">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地点：政采云平台线上获取      </w:t>
      </w:r>
    </w:p>
    <w:p w14:paraId="0860D1E8">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方式：在线获取       </w:t>
      </w:r>
    </w:p>
    <w:p w14:paraId="5D3021AE">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售价（元）：0      </w:t>
      </w:r>
    </w:p>
    <w:p w14:paraId="32275E4C">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四、响应文件提交    </w:t>
      </w:r>
    </w:p>
    <w:p w14:paraId="606D72E9">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截止时间：2025年0</w:t>
      </w:r>
      <w:r>
        <w:rPr>
          <w:rFonts w:hint="eastAsia" w:ascii="仿宋" w:hAnsi="仿宋" w:eastAsia="仿宋" w:cs="仿宋"/>
          <w:sz w:val="24"/>
          <w:szCs w:val="24"/>
          <w:lang w:val="en-US" w:eastAsia="zh-CN"/>
        </w:rPr>
        <w:t>9</w:t>
      </w:r>
      <w:r>
        <w:rPr>
          <w:rFonts w:hint="eastAsia" w:ascii="仿宋" w:hAnsi="仿宋" w:eastAsia="仿宋" w:cs="仿宋"/>
          <w:sz w:val="24"/>
          <w:szCs w:val="24"/>
        </w:rPr>
        <w:t>月</w:t>
      </w:r>
      <w:r>
        <w:rPr>
          <w:rFonts w:hint="eastAsia" w:ascii="仿宋" w:hAnsi="仿宋" w:eastAsia="仿宋" w:cs="仿宋"/>
          <w:sz w:val="24"/>
          <w:szCs w:val="24"/>
          <w:lang w:val="en-US" w:eastAsia="zh-CN"/>
        </w:rPr>
        <w:t>16</w:t>
      </w:r>
      <w:r>
        <w:rPr>
          <w:rFonts w:hint="eastAsia" w:ascii="仿宋" w:hAnsi="仿宋" w:eastAsia="仿宋" w:cs="仿宋"/>
          <w:sz w:val="24"/>
          <w:szCs w:val="24"/>
        </w:rPr>
        <w:t>日</w:t>
      </w:r>
      <w:r>
        <w:rPr>
          <w:rFonts w:hint="eastAsia" w:ascii="仿宋" w:hAnsi="仿宋" w:eastAsia="仿宋" w:cs="仿宋"/>
          <w:sz w:val="24"/>
          <w:szCs w:val="24"/>
          <w:lang w:val="en-US" w:eastAsia="zh-CN"/>
        </w:rPr>
        <w:t>09:00</w:t>
      </w:r>
      <w:r>
        <w:rPr>
          <w:rFonts w:hint="eastAsia" w:ascii="仿宋" w:hAnsi="仿宋" w:eastAsia="仿宋" w:cs="仿宋"/>
          <w:sz w:val="24"/>
          <w:szCs w:val="24"/>
        </w:rPr>
        <w:t>（北京时间）        </w:t>
      </w:r>
    </w:p>
    <w:p w14:paraId="4ACBB15D">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地点：请登录政采云投标客户端投标     </w:t>
      </w:r>
    </w:p>
    <w:p w14:paraId="1DAB3535">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五、响应文件开启    </w:t>
      </w:r>
    </w:p>
    <w:p w14:paraId="1C2933EC">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开启时间：2025年0</w:t>
      </w:r>
      <w:r>
        <w:rPr>
          <w:rFonts w:hint="eastAsia" w:ascii="仿宋" w:hAnsi="仿宋" w:eastAsia="仿宋" w:cs="仿宋"/>
          <w:sz w:val="24"/>
          <w:szCs w:val="24"/>
          <w:lang w:val="en-US" w:eastAsia="zh-CN"/>
        </w:rPr>
        <w:t>9</w:t>
      </w:r>
      <w:r>
        <w:rPr>
          <w:rFonts w:hint="eastAsia" w:ascii="仿宋" w:hAnsi="仿宋" w:eastAsia="仿宋" w:cs="仿宋"/>
          <w:sz w:val="24"/>
          <w:szCs w:val="24"/>
        </w:rPr>
        <w:t>月</w:t>
      </w:r>
      <w:r>
        <w:rPr>
          <w:rFonts w:hint="eastAsia" w:ascii="仿宋" w:hAnsi="仿宋" w:eastAsia="仿宋" w:cs="仿宋"/>
          <w:sz w:val="24"/>
          <w:szCs w:val="24"/>
          <w:lang w:val="en-US" w:eastAsia="zh-CN"/>
        </w:rPr>
        <w:t>16</w:t>
      </w:r>
      <w:r>
        <w:rPr>
          <w:rFonts w:hint="eastAsia" w:ascii="仿宋" w:hAnsi="仿宋" w:eastAsia="仿宋" w:cs="仿宋"/>
          <w:sz w:val="24"/>
          <w:szCs w:val="24"/>
        </w:rPr>
        <w:t>日</w:t>
      </w:r>
      <w:r>
        <w:rPr>
          <w:rFonts w:hint="eastAsia" w:ascii="仿宋" w:hAnsi="仿宋" w:eastAsia="仿宋" w:cs="仿宋"/>
          <w:sz w:val="24"/>
          <w:szCs w:val="24"/>
          <w:lang w:val="en-US" w:eastAsia="zh-CN"/>
        </w:rPr>
        <w:t>09:00</w:t>
      </w:r>
      <w:r>
        <w:rPr>
          <w:rFonts w:hint="eastAsia" w:ascii="仿宋" w:hAnsi="仿宋" w:eastAsia="仿宋" w:cs="仿宋"/>
          <w:sz w:val="24"/>
          <w:szCs w:val="24"/>
        </w:rPr>
        <w:t>（北京时间）        </w:t>
      </w:r>
    </w:p>
    <w:p w14:paraId="71D17356">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地点：山西省太原市山西转型综合改革示范区太原市小店区龙盛街15号山西转型综合改革示范区政务服务中心二层综改区公共资源交易中心评标</w:t>
      </w:r>
      <w:r>
        <w:rPr>
          <w:rFonts w:hint="eastAsia" w:ascii="仿宋" w:hAnsi="仿宋" w:eastAsia="仿宋" w:cs="仿宋"/>
          <w:sz w:val="24"/>
          <w:szCs w:val="24"/>
          <w:lang w:val="en-US" w:eastAsia="zh-CN"/>
        </w:rPr>
        <w:t>三</w:t>
      </w:r>
      <w:r>
        <w:rPr>
          <w:rFonts w:hint="eastAsia" w:ascii="仿宋" w:hAnsi="仿宋" w:eastAsia="仿宋" w:cs="仿宋"/>
          <w:sz w:val="24"/>
          <w:szCs w:val="24"/>
        </w:rPr>
        <w:t xml:space="preserve">室。     </w:t>
      </w:r>
    </w:p>
    <w:p w14:paraId="3DAD44AB">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六、公告期限    </w:t>
      </w:r>
    </w:p>
    <w:p w14:paraId="3C4D9CE8">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自本公告发布之日起3个工作日。    </w:t>
      </w:r>
    </w:p>
    <w:p w14:paraId="234F5ED2">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七、其他补充事宜    </w:t>
      </w:r>
    </w:p>
    <w:p w14:paraId="053C95CB">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针对本项目的质疑需一次性提出，多次提出将不予受理。供应商参与山西省政府采购项目时，符合法定质疑条件的，通过政府采购平台进入“项目质疑管理”栏目向采购人、采购代理机构在线提起质疑。    </w:t>
      </w:r>
    </w:p>
    <w:p w14:paraId="69EA4880">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代理费支付方式： 供应商支付 </w:t>
      </w:r>
    </w:p>
    <w:p w14:paraId="2B875F7D">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代理费收费标准：代理服务费参照《招标代理服务收费管理暂行办法》(计价格[2002]1980号)、《国家发展改革委关于招标代理服务收费有关问题的通知》(发改办价格[2003]857号)、《国家发展改革委关于降低部分建设项目收费标准规范收费行为等有关问题的通知》(发改价格[2011]534号)标准计取</w:t>
      </w:r>
      <w:r>
        <w:rPr>
          <w:rFonts w:hint="eastAsia" w:ascii="仿宋" w:hAnsi="仿宋" w:eastAsia="仿宋" w:cs="仿宋"/>
          <w:sz w:val="24"/>
          <w:szCs w:val="24"/>
          <w:lang w:eastAsia="zh-CN"/>
        </w:rPr>
        <w:t>。</w:t>
      </w:r>
    </w:p>
    <w:p w14:paraId="662452A1">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代理费收费金额（元）： / </w:t>
      </w:r>
    </w:p>
    <w:p w14:paraId="2F6AC881">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八、凡对本次招标提出询问，请按以下方式联系    </w:t>
      </w:r>
    </w:p>
    <w:p w14:paraId="79884503">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1.采购人信息            </w:t>
      </w:r>
    </w:p>
    <w:p w14:paraId="549D36E2">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名 称：山西省太原市公安局交通警察支队山西转型综合改革示范区大队           </w:t>
      </w:r>
    </w:p>
    <w:p w14:paraId="689725DF">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地 址：山西省太原市小店区坞城南路物联网园区2号地块B座楼          </w:t>
      </w:r>
    </w:p>
    <w:p w14:paraId="3DB9D676">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联系方式：15513045666        </w:t>
      </w:r>
    </w:p>
    <w:p w14:paraId="055F8240">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2.采购代理机构信息            </w:t>
      </w:r>
    </w:p>
    <w:p w14:paraId="24A3448D">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名 称：华天立盛项目管理有限公司         </w:t>
      </w:r>
    </w:p>
    <w:p w14:paraId="4C696439">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地 址：太原市万柏林区西矿街与和平北路交叉口公元时代城A座1203室           </w:t>
      </w:r>
    </w:p>
    <w:p w14:paraId="690BEA28">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联系方式：1</w:t>
      </w:r>
      <w:r>
        <w:rPr>
          <w:rFonts w:hint="eastAsia" w:ascii="仿宋" w:hAnsi="仿宋" w:eastAsia="仿宋" w:cs="仿宋"/>
          <w:sz w:val="24"/>
          <w:szCs w:val="24"/>
          <w:lang w:val="en-US" w:eastAsia="zh-CN"/>
        </w:rPr>
        <w:t>5503488820</w:t>
      </w:r>
      <w:r>
        <w:rPr>
          <w:rFonts w:hint="eastAsia" w:ascii="仿宋" w:hAnsi="仿宋" w:eastAsia="仿宋" w:cs="仿宋"/>
          <w:sz w:val="24"/>
          <w:szCs w:val="24"/>
        </w:rPr>
        <w:t xml:space="preserve">           </w:t>
      </w:r>
    </w:p>
    <w:p w14:paraId="5760A5B2">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3.项目联系方式    </w:t>
      </w:r>
    </w:p>
    <w:p w14:paraId="4DB63488">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项目联系人：</w:t>
      </w:r>
      <w:r>
        <w:rPr>
          <w:rFonts w:hint="eastAsia" w:ascii="仿宋" w:hAnsi="仿宋" w:eastAsia="仿宋" w:cs="仿宋"/>
          <w:sz w:val="24"/>
          <w:szCs w:val="24"/>
          <w:lang w:val="en-US" w:eastAsia="zh-CN"/>
        </w:rPr>
        <w:t>侯丽娟</w:t>
      </w:r>
      <w:r>
        <w:rPr>
          <w:rFonts w:hint="eastAsia" w:ascii="仿宋" w:hAnsi="仿宋" w:eastAsia="仿宋" w:cs="仿宋"/>
          <w:sz w:val="24"/>
          <w:szCs w:val="24"/>
        </w:rPr>
        <w:t xml:space="preserve">  </w:t>
      </w:r>
    </w:p>
    <w:p w14:paraId="1F14DA9C">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rPr>
      </w:pPr>
      <w:r>
        <w:rPr>
          <w:rFonts w:hint="eastAsia" w:ascii="仿宋" w:hAnsi="仿宋" w:eastAsia="仿宋" w:cs="仿宋"/>
          <w:sz w:val="24"/>
          <w:szCs w:val="24"/>
        </w:rPr>
        <w:t>电 话：1</w:t>
      </w:r>
      <w:r>
        <w:rPr>
          <w:rFonts w:hint="eastAsia" w:ascii="仿宋" w:hAnsi="仿宋" w:eastAsia="仿宋" w:cs="仿宋"/>
          <w:sz w:val="24"/>
          <w:szCs w:val="24"/>
          <w:lang w:val="en-US" w:eastAsia="zh-CN"/>
        </w:rPr>
        <w:t>5503488820</w:t>
      </w:r>
      <w:r>
        <w:rPr>
          <w:rFonts w:hint="eastAsia" w:ascii="仿宋" w:hAnsi="仿宋" w:eastAsia="仿宋" w:cs="仿宋"/>
          <w:sz w:val="24"/>
          <w:szCs w:val="24"/>
        </w:rPr>
        <w:t xml:space="preserve"> </w:t>
      </w:r>
    </w:p>
    <w:p w14:paraId="3416530E">
      <w:pPr>
        <w:pStyle w:val="22"/>
        <w:ind w:firstLine="0" w:firstLineChars="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r>
        <w:rPr>
          <w:rFonts w:hint="eastAsia" w:ascii="仿宋" w:hAnsi="仿宋" w:eastAsia="仿宋" w:cs="仿宋"/>
          <w:b/>
          <w:color w:val="auto"/>
          <w:sz w:val="32"/>
          <w:szCs w:val="32"/>
          <w:highlight w:val="none"/>
        </w:rPr>
        <w:t>第二部分  供应商须知前附表</w:t>
      </w:r>
    </w:p>
    <w:tbl>
      <w:tblPr>
        <w:tblStyle w:val="1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0"/>
        <w:gridCol w:w="2568"/>
        <w:gridCol w:w="6726"/>
      </w:tblGrid>
      <w:tr w14:paraId="75021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79" w:type="pct"/>
            <w:noWrap w:val="0"/>
            <w:vAlign w:val="center"/>
          </w:tcPr>
          <w:p w14:paraId="025FD1EE">
            <w:pPr>
              <w:ind w:left="-105" w:leftChars="-50" w:right="-105" w:rightChars="-50"/>
              <w:jc w:val="center"/>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序号</w:t>
            </w:r>
          </w:p>
        </w:tc>
        <w:tc>
          <w:tcPr>
            <w:tcW w:w="1304" w:type="pct"/>
            <w:noWrap w:val="0"/>
            <w:vAlign w:val="center"/>
          </w:tcPr>
          <w:p w14:paraId="418BAC7F">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内容</w:t>
            </w:r>
          </w:p>
        </w:tc>
        <w:tc>
          <w:tcPr>
            <w:tcW w:w="3415" w:type="pct"/>
            <w:noWrap w:val="0"/>
            <w:vAlign w:val="center"/>
          </w:tcPr>
          <w:p w14:paraId="2D72836A">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说明与要求</w:t>
            </w:r>
          </w:p>
        </w:tc>
      </w:tr>
      <w:tr w14:paraId="6ED9F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79" w:type="pct"/>
            <w:noWrap w:val="0"/>
            <w:vAlign w:val="center"/>
          </w:tcPr>
          <w:p w14:paraId="2524BD59">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04" w:type="pct"/>
            <w:noWrap w:val="0"/>
            <w:vAlign w:val="center"/>
          </w:tcPr>
          <w:p w14:paraId="3F67E209">
            <w:pPr>
              <w:pStyle w:val="23"/>
              <w:keepLines w:val="0"/>
              <w:spacing w:before="0" w:after="0"/>
              <w:jc w:val="center"/>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rPr>
              <w:t>本项目预算金额及最高限价</w:t>
            </w:r>
          </w:p>
        </w:tc>
        <w:tc>
          <w:tcPr>
            <w:tcW w:w="3415" w:type="pct"/>
            <w:noWrap w:val="0"/>
            <w:vAlign w:val="center"/>
          </w:tcPr>
          <w:p w14:paraId="163140DA">
            <w:pPr>
              <w:autoSpaceDE w:val="0"/>
              <w:autoSpaceDN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预算金额：</w:t>
            </w:r>
          </w:p>
          <w:p w14:paraId="5FFF29C6">
            <w:pPr>
              <w:autoSpaceDE w:val="0"/>
              <w:autoSpaceDN w:val="0"/>
              <w:spacing w:line="400" w:lineRule="exac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人民币（大写）：</w:t>
            </w:r>
            <w:r>
              <w:rPr>
                <w:rFonts w:hint="eastAsia" w:ascii="仿宋" w:hAnsi="仿宋" w:eastAsia="仿宋" w:cs="仿宋"/>
                <w:color w:val="auto"/>
                <w:sz w:val="24"/>
                <w:highlight w:val="none"/>
                <w:lang w:eastAsia="zh-CN"/>
              </w:rPr>
              <w:t>人民币</w:t>
            </w:r>
            <w:r>
              <w:rPr>
                <w:rFonts w:hint="eastAsia" w:ascii="仿宋" w:hAnsi="仿宋" w:eastAsia="仿宋" w:cs="仿宋"/>
                <w:color w:val="auto"/>
                <w:sz w:val="24"/>
                <w:highlight w:val="none"/>
                <w:lang w:val="en-US" w:eastAsia="zh-CN"/>
              </w:rPr>
              <w:t>叁拾柒万伍仟贰佰玖拾捌元整</w:t>
            </w:r>
          </w:p>
          <w:p w14:paraId="523FE105">
            <w:pPr>
              <w:autoSpaceDE w:val="0"/>
              <w:autoSpaceDN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sz w:val="24"/>
                <w:szCs w:val="24"/>
                <w:lang w:val="en-US" w:eastAsia="zh-CN"/>
              </w:rPr>
              <w:t>375298</w:t>
            </w:r>
            <w:r>
              <w:rPr>
                <w:rFonts w:hint="eastAsia" w:ascii="仿宋" w:hAnsi="仿宋" w:eastAsia="仿宋" w:cs="仿宋"/>
                <w:color w:val="auto"/>
                <w:sz w:val="24"/>
                <w:highlight w:val="none"/>
              </w:rPr>
              <w:t>元</w:t>
            </w:r>
          </w:p>
          <w:p w14:paraId="4A48F470">
            <w:pPr>
              <w:autoSpaceDE w:val="0"/>
              <w:autoSpaceDN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最高限价：</w:t>
            </w:r>
          </w:p>
          <w:p w14:paraId="35454D21">
            <w:pPr>
              <w:autoSpaceDE w:val="0"/>
              <w:autoSpaceDN w:val="0"/>
              <w:spacing w:line="400" w:lineRule="exac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人民币（大写）：</w:t>
            </w:r>
            <w:r>
              <w:rPr>
                <w:rFonts w:hint="eastAsia" w:ascii="仿宋" w:hAnsi="仿宋" w:eastAsia="仿宋" w:cs="仿宋"/>
                <w:color w:val="auto"/>
                <w:sz w:val="24"/>
                <w:highlight w:val="none"/>
                <w:lang w:eastAsia="zh-CN"/>
              </w:rPr>
              <w:t>人民币</w:t>
            </w:r>
            <w:r>
              <w:rPr>
                <w:rFonts w:hint="eastAsia" w:ascii="仿宋" w:hAnsi="仿宋" w:eastAsia="仿宋" w:cs="仿宋"/>
                <w:color w:val="auto"/>
                <w:sz w:val="24"/>
                <w:highlight w:val="none"/>
                <w:lang w:val="en-US" w:eastAsia="zh-CN"/>
              </w:rPr>
              <w:t>叁拾柒万伍仟贰佰玖拾捌元整</w:t>
            </w:r>
          </w:p>
          <w:p w14:paraId="20AB831D">
            <w:pPr>
              <w:autoSpaceDE w:val="0"/>
              <w:autoSpaceDN w:val="0"/>
              <w:spacing w:line="400" w:lineRule="exact"/>
              <w:rPr>
                <w:rFonts w:hint="eastAsia" w:ascii="仿宋" w:hAnsi="仿宋" w:eastAsia="仿宋" w:cs="仿宋"/>
                <w:b/>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sz w:val="24"/>
                <w:szCs w:val="24"/>
                <w:lang w:val="en-US" w:eastAsia="zh-CN"/>
              </w:rPr>
              <w:t>375298</w:t>
            </w:r>
            <w:r>
              <w:rPr>
                <w:rFonts w:hint="eastAsia" w:ascii="仿宋" w:hAnsi="仿宋" w:eastAsia="仿宋" w:cs="仿宋"/>
                <w:color w:val="auto"/>
                <w:sz w:val="24"/>
                <w:highlight w:val="none"/>
              </w:rPr>
              <w:t>元</w:t>
            </w:r>
          </w:p>
          <w:p w14:paraId="58E79438">
            <w:pPr>
              <w:pStyle w:val="14"/>
              <w:spacing w:line="400" w:lineRule="exac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注：供应商提交的报价不得超过预算金额及最高限价，否则响应无效。</w:t>
            </w:r>
          </w:p>
        </w:tc>
      </w:tr>
      <w:tr w14:paraId="0B463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79" w:type="pct"/>
            <w:noWrap w:val="0"/>
            <w:vAlign w:val="center"/>
          </w:tcPr>
          <w:p w14:paraId="1869F96F">
            <w:pPr>
              <w:jc w:val="center"/>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2</w:t>
            </w:r>
          </w:p>
        </w:tc>
        <w:tc>
          <w:tcPr>
            <w:tcW w:w="1304" w:type="pct"/>
            <w:noWrap w:val="0"/>
            <w:vAlign w:val="center"/>
          </w:tcPr>
          <w:p w14:paraId="3DAC966D">
            <w:pPr>
              <w:keepNex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是否允许代理商参加</w:t>
            </w:r>
          </w:p>
        </w:tc>
        <w:tc>
          <w:tcPr>
            <w:tcW w:w="3415" w:type="pct"/>
            <w:noWrap w:val="0"/>
            <w:vAlign w:val="center"/>
          </w:tcPr>
          <w:p w14:paraId="07EEACE6">
            <w:pP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是</w:t>
            </w:r>
          </w:p>
        </w:tc>
      </w:tr>
      <w:tr w14:paraId="6043D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79" w:type="pct"/>
            <w:noWrap w:val="0"/>
            <w:vAlign w:val="center"/>
          </w:tcPr>
          <w:p w14:paraId="4BF3B20F">
            <w:pPr>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w:t>
            </w:r>
          </w:p>
        </w:tc>
        <w:tc>
          <w:tcPr>
            <w:tcW w:w="1304" w:type="pct"/>
            <w:noWrap w:val="0"/>
            <w:vAlign w:val="center"/>
          </w:tcPr>
          <w:p w14:paraId="4FB44A83">
            <w:pPr>
              <w:keepNext/>
              <w:snapToGrid w:val="0"/>
              <w:jc w:val="center"/>
              <w:rPr>
                <w:rFonts w:hint="eastAsia" w:ascii="仿宋" w:hAnsi="仿宋" w:eastAsia="仿宋" w:cs="仿宋"/>
                <w:color w:val="auto"/>
                <w:sz w:val="24"/>
                <w:highlight w:val="none"/>
              </w:rPr>
            </w:pPr>
            <w:r>
              <w:rPr>
                <w:rFonts w:hint="eastAsia" w:ascii="仿宋" w:hAnsi="仿宋" w:eastAsia="仿宋" w:cs="仿宋"/>
                <w:bCs/>
                <w:color w:val="auto"/>
                <w:sz w:val="24"/>
                <w:highlight w:val="none"/>
              </w:rPr>
              <w:t>是否允许联合体参加</w:t>
            </w:r>
          </w:p>
        </w:tc>
        <w:tc>
          <w:tcPr>
            <w:tcW w:w="3415" w:type="pct"/>
            <w:noWrap w:val="0"/>
            <w:vAlign w:val="center"/>
          </w:tcPr>
          <w:p w14:paraId="1B18616D">
            <w:pPr>
              <w:pStyle w:val="10"/>
              <w:snapToGrid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否</w:t>
            </w:r>
          </w:p>
        </w:tc>
      </w:tr>
      <w:tr w14:paraId="7D808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279" w:type="pct"/>
            <w:noWrap w:val="0"/>
            <w:vAlign w:val="center"/>
          </w:tcPr>
          <w:p w14:paraId="1FF8AFDB">
            <w:pPr>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w:t>
            </w:r>
          </w:p>
        </w:tc>
        <w:tc>
          <w:tcPr>
            <w:tcW w:w="1304" w:type="pct"/>
            <w:noWrap w:val="0"/>
            <w:vAlign w:val="center"/>
          </w:tcPr>
          <w:p w14:paraId="3719ACC3">
            <w:pPr>
              <w:keepNex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响应文件份数及解密时间</w:t>
            </w:r>
          </w:p>
        </w:tc>
        <w:tc>
          <w:tcPr>
            <w:tcW w:w="3415" w:type="pct"/>
            <w:noWrap w:val="0"/>
            <w:vAlign w:val="center"/>
          </w:tcPr>
          <w:p w14:paraId="66B3D594">
            <w:pPr>
              <w:topLinePunct/>
              <w:autoSpaceDE w:val="0"/>
              <w:autoSpaceDN w:val="0"/>
              <w:spacing w:line="40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供应商需在政采云系统上传加密电子响应文件1份；</w:t>
            </w:r>
          </w:p>
          <w:p w14:paraId="49650D15">
            <w:pPr>
              <w:topLinePunct/>
              <w:autoSpaceDE w:val="0"/>
              <w:autoSpaceDN w:val="0"/>
              <w:spacing w:line="40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响应文件开启时间即为解密开始时间，解密时长</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 xml:space="preserve">0 </w:t>
            </w:r>
            <w:r>
              <w:rPr>
                <w:rFonts w:hint="eastAsia" w:ascii="仿宋" w:hAnsi="仿宋" w:eastAsia="仿宋" w:cs="仿宋"/>
                <w:color w:val="auto"/>
                <w:sz w:val="24"/>
                <w:highlight w:val="none"/>
              </w:rPr>
              <w:t>分钟。解密截止时间未进行解密的，视为未递交响应文件。</w:t>
            </w:r>
          </w:p>
          <w:p w14:paraId="5248D58D">
            <w:pPr>
              <w:topLinePunct/>
              <w:autoSpaceDE w:val="0"/>
              <w:autoSpaceDN w:val="0"/>
              <w:spacing w:line="400" w:lineRule="atLeast"/>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注：供应商不需到达评标现场自己解密便可</w:t>
            </w:r>
          </w:p>
        </w:tc>
      </w:tr>
      <w:tr w14:paraId="6FB6D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79" w:type="pct"/>
            <w:noWrap w:val="0"/>
            <w:vAlign w:val="center"/>
          </w:tcPr>
          <w:p w14:paraId="75E07745">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5</w:t>
            </w:r>
          </w:p>
        </w:tc>
        <w:tc>
          <w:tcPr>
            <w:tcW w:w="1304" w:type="pct"/>
            <w:noWrap w:val="0"/>
            <w:vAlign w:val="center"/>
          </w:tcPr>
          <w:p w14:paraId="2DF69D9A">
            <w:pPr>
              <w:ind w:left="-101" w:leftChars="-48" w:right="-94" w:rightChars="-45" w:firstLine="132" w:firstLineChars="55"/>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供应商应提交的资格证明文件</w:t>
            </w:r>
          </w:p>
        </w:tc>
        <w:tc>
          <w:tcPr>
            <w:tcW w:w="3415" w:type="pct"/>
            <w:noWrap w:val="0"/>
            <w:vAlign w:val="center"/>
          </w:tcPr>
          <w:p w14:paraId="71C23D83">
            <w:pPr>
              <w:bidi w:val="0"/>
              <w:rPr>
                <w:rFonts w:hint="eastAsia" w:ascii="仿宋" w:hAnsi="仿宋" w:eastAsia="仿宋" w:cs="仿宋"/>
                <w:sz w:val="24"/>
                <w:szCs w:val="24"/>
              </w:rPr>
            </w:pPr>
            <w:r>
              <w:rPr>
                <w:rFonts w:hint="eastAsia" w:ascii="仿宋" w:hAnsi="仿宋" w:eastAsia="仿宋" w:cs="仿宋"/>
                <w:sz w:val="24"/>
                <w:szCs w:val="24"/>
              </w:rPr>
              <w:t>1.具有独立承担民事责任的能力证明文件</w:t>
            </w:r>
          </w:p>
          <w:p w14:paraId="066BBB21">
            <w:pPr>
              <w:bidi w:val="0"/>
              <w:rPr>
                <w:rFonts w:hint="eastAsia" w:ascii="仿宋" w:hAnsi="仿宋" w:eastAsia="仿宋" w:cs="仿宋"/>
                <w:sz w:val="24"/>
                <w:szCs w:val="24"/>
              </w:rPr>
            </w:pPr>
            <w:r>
              <w:rPr>
                <w:rFonts w:hint="eastAsia" w:ascii="仿宋" w:hAnsi="仿宋" w:eastAsia="仿宋" w:cs="仿宋"/>
                <w:sz w:val="24"/>
                <w:szCs w:val="24"/>
              </w:rPr>
              <w:t>供应商须提供具有独立承担民事责任能力的承诺函（见‘响应文件格式’）；</w:t>
            </w:r>
          </w:p>
          <w:p w14:paraId="582D430C">
            <w:pPr>
              <w:bidi w:val="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z w:val="24"/>
                <w:szCs w:val="24"/>
              </w:rPr>
              <w:t>具有良好的商业信誉和健全的财务会计制度证明文件</w:t>
            </w:r>
          </w:p>
          <w:p w14:paraId="28898676">
            <w:pPr>
              <w:bidi w:val="0"/>
              <w:rPr>
                <w:rFonts w:hint="eastAsia" w:ascii="仿宋" w:hAnsi="仿宋" w:eastAsia="仿宋" w:cs="仿宋"/>
                <w:sz w:val="24"/>
                <w:szCs w:val="24"/>
              </w:rPr>
            </w:pPr>
            <w:r>
              <w:rPr>
                <w:rFonts w:hint="eastAsia" w:ascii="仿宋" w:hAnsi="仿宋" w:eastAsia="仿宋" w:cs="仿宋"/>
                <w:sz w:val="24"/>
                <w:szCs w:val="24"/>
              </w:rPr>
              <w:t>供应商须提供具有良好的商业信誉和健全的财务会计制度的承诺函（见‘响应文件格式’）；</w:t>
            </w:r>
          </w:p>
          <w:p w14:paraId="1B96DACB">
            <w:pPr>
              <w:bidi w:val="0"/>
              <w:rPr>
                <w:rFonts w:hint="eastAsia" w:ascii="仿宋" w:hAnsi="仿宋" w:eastAsia="仿宋" w:cs="仿宋"/>
                <w:sz w:val="24"/>
                <w:szCs w:val="24"/>
              </w:rPr>
            </w:pPr>
            <w:r>
              <w:rPr>
                <w:rFonts w:hint="eastAsia" w:ascii="仿宋" w:hAnsi="仿宋" w:eastAsia="仿宋" w:cs="仿宋"/>
                <w:sz w:val="24"/>
                <w:szCs w:val="24"/>
              </w:rPr>
              <w:t>3.具有履行合同所必需的设备和专业技术能力证明文件</w:t>
            </w:r>
          </w:p>
          <w:p w14:paraId="3C1BB516">
            <w:pPr>
              <w:bidi w:val="0"/>
              <w:rPr>
                <w:rFonts w:hint="eastAsia" w:ascii="仿宋" w:hAnsi="仿宋" w:eastAsia="仿宋" w:cs="仿宋"/>
                <w:sz w:val="24"/>
                <w:szCs w:val="24"/>
              </w:rPr>
            </w:pPr>
            <w:r>
              <w:rPr>
                <w:rFonts w:hint="eastAsia" w:ascii="仿宋" w:hAnsi="仿宋" w:eastAsia="仿宋" w:cs="仿宋"/>
                <w:sz w:val="24"/>
                <w:szCs w:val="24"/>
              </w:rPr>
              <w:t>供应商须提供履行合同能力的承诺函（见‘响应文件格式’）；</w:t>
            </w:r>
          </w:p>
          <w:p w14:paraId="0A171413">
            <w:pPr>
              <w:bidi w:val="0"/>
              <w:rPr>
                <w:rFonts w:hint="eastAsia" w:ascii="仿宋" w:hAnsi="仿宋" w:eastAsia="仿宋" w:cs="仿宋"/>
                <w:sz w:val="24"/>
                <w:szCs w:val="24"/>
              </w:rPr>
            </w:pPr>
            <w:r>
              <w:rPr>
                <w:rFonts w:hint="eastAsia" w:ascii="仿宋" w:hAnsi="仿宋" w:eastAsia="仿宋" w:cs="仿宋"/>
                <w:sz w:val="24"/>
                <w:szCs w:val="24"/>
              </w:rPr>
              <w:t>4.依法缴纳税收和社会保障资金证明文件</w:t>
            </w:r>
          </w:p>
          <w:p w14:paraId="51CCF080">
            <w:pPr>
              <w:bidi w:val="0"/>
              <w:rPr>
                <w:rFonts w:hint="eastAsia" w:ascii="仿宋" w:hAnsi="仿宋" w:eastAsia="仿宋" w:cs="仿宋"/>
                <w:sz w:val="24"/>
                <w:szCs w:val="24"/>
              </w:rPr>
            </w:pPr>
            <w:r>
              <w:rPr>
                <w:rFonts w:hint="eastAsia" w:ascii="仿宋" w:hAnsi="仿宋" w:eastAsia="仿宋" w:cs="仿宋"/>
                <w:sz w:val="24"/>
                <w:szCs w:val="24"/>
              </w:rPr>
              <w:t xml:space="preserve">供应商须提供依法缴纳税收和社会保障资金的承诺函（见‘响应文件格式’）； </w:t>
            </w:r>
          </w:p>
          <w:p w14:paraId="4EEE07FE">
            <w:pPr>
              <w:bidi w:val="0"/>
              <w:rPr>
                <w:rFonts w:hint="eastAsia" w:ascii="仿宋" w:hAnsi="仿宋" w:eastAsia="仿宋" w:cs="仿宋"/>
                <w:sz w:val="24"/>
                <w:szCs w:val="24"/>
              </w:rPr>
            </w:pPr>
            <w:r>
              <w:rPr>
                <w:rFonts w:hint="eastAsia" w:ascii="仿宋" w:hAnsi="仿宋" w:eastAsia="仿宋" w:cs="仿宋"/>
                <w:sz w:val="24"/>
                <w:szCs w:val="24"/>
              </w:rPr>
              <w:t>5．参加政府采购活动前三年内，在经营活动中没有重大违法记录证明文件</w:t>
            </w:r>
          </w:p>
          <w:p w14:paraId="48D895CA">
            <w:pPr>
              <w:bidi w:val="0"/>
              <w:rPr>
                <w:rFonts w:hint="eastAsia" w:ascii="仿宋" w:hAnsi="仿宋" w:eastAsia="仿宋" w:cs="仿宋"/>
                <w:sz w:val="24"/>
                <w:szCs w:val="24"/>
              </w:rPr>
            </w:pPr>
            <w:r>
              <w:rPr>
                <w:rFonts w:hint="eastAsia" w:ascii="仿宋" w:hAnsi="仿宋" w:eastAsia="仿宋" w:cs="仿宋"/>
                <w:sz w:val="24"/>
                <w:szCs w:val="24"/>
              </w:rPr>
              <w:t>供应商须提供近三年无重大违法记录声明（见‘响应文件格式’）；</w:t>
            </w:r>
          </w:p>
          <w:p w14:paraId="25CC8D7B">
            <w:pPr>
              <w:pStyle w:val="9"/>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采购项目的特殊要求证明文件：</w:t>
            </w:r>
          </w:p>
          <w:p w14:paraId="356952BC">
            <w:pPr>
              <w:pStyle w:val="9"/>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详见商务技术要求，如有需提供扫描件或影印件（须加盖供应商公章）,若无要求可不提供；</w:t>
            </w:r>
          </w:p>
          <w:p w14:paraId="21DE7979">
            <w:pPr>
              <w:pStyle w:val="9"/>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.供应商廉洁自律承诺书</w:t>
            </w:r>
          </w:p>
          <w:p w14:paraId="6F42CBD6">
            <w:pPr>
              <w:pStyle w:val="9"/>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供应商响应文件需提供廉洁自律承诺书（见‘响应文件格式’）；</w:t>
            </w:r>
          </w:p>
          <w:p w14:paraId="4DA054D0">
            <w:pPr>
              <w:pStyle w:val="9"/>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.供应商信用信息查询</w:t>
            </w:r>
          </w:p>
          <w:p w14:paraId="6CDA5AB2">
            <w:pPr>
              <w:pStyle w:val="9"/>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此项内容不需要供应商提供。</w:t>
            </w:r>
          </w:p>
          <w:p w14:paraId="06C928D9">
            <w:pPr>
              <w:pStyle w:val="9"/>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.1查询地址：</w:t>
            </w:r>
          </w:p>
          <w:p w14:paraId="2A7CF302">
            <w:pPr>
              <w:pStyle w:val="9"/>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“信用中国”网站（http://www.creditchina.gov.cn）、“中国政府采购网”（http://www.ccgp.gov.cn）；</w:t>
            </w:r>
          </w:p>
          <w:p w14:paraId="1FE6FA42">
            <w:pPr>
              <w:pStyle w:val="9"/>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.2查询截止时间：</w:t>
            </w:r>
          </w:p>
          <w:p w14:paraId="43DF2657">
            <w:pPr>
              <w:pStyle w:val="9"/>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查询相关主体信用记录截止时间为磋商文件开启当日，由磋商小组评审时在线查询；</w:t>
            </w:r>
          </w:p>
          <w:p w14:paraId="3A6223FC">
            <w:pPr>
              <w:pStyle w:val="9"/>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1E8308BB">
            <w:pPr>
              <w:pStyle w:val="9"/>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（1）第1-</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项资格证明文件，若有一项未提供或无效，将导致其不具备磋商资格，且不允许在开启后补正。</w:t>
            </w:r>
          </w:p>
          <w:p w14:paraId="578A25CF">
            <w:pPr>
              <w:pStyle w:val="9"/>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（2）第</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项查询结果中供应商存在失信记录情形的，其响应文件将作无效处理。查询记录与其他评审资料一并保存。</w:t>
            </w:r>
          </w:p>
          <w:p w14:paraId="3841CBA0">
            <w:pPr>
              <w:pStyle w:val="9"/>
              <w:spacing w:line="400" w:lineRule="exact"/>
              <w:rPr>
                <w:rFonts w:hint="eastAsia" w:ascii="仿宋" w:hAnsi="仿宋" w:eastAsia="仿宋" w:cs="仿宋"/>
                <w:color w:val="auto"/>
                <w:highlight w:val="none"/>
              </w:rPr>
            </w:pPr>
            <w:r>
              <w:rPr>
                <w:rFonts w:hint="eastAsia" w:ascii="仿宋" w:hAnsi="仿宋" w:eastAsia="仿宋" w:cs="仿宋"/>
                <w:color w:val="auto"/>
                <w:sz w:val="24"/>
                <w:highlight w:val="none"/>
              </w:rPr>
              <w:t>（3）以上所有资格证明文件均需加盖供应商数字证书电子CA章。</w:t>
            </w:r>
          </w:p>
        </w:tc>
      </w:tr>
      <w:tr w14:paraId="38B0C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9" w:type="pct"/>
            <w:noWrap w:val="0"/>
            <w:vAlign w:val="center"/>
          </w:tcPr>
          <w:p w14:paraId="47A4DE1A">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6</w:t>
            </w:r>
          </w:p>
        </w:tc>
        <w:tc>
          <w:tcPr>
            <w:tcW w:w="1304" w:type="pct"/>
            <w:noWrap w:val="0"/>
            <w:vAlign w:val="center"/>
          </w:tcPr>
          <w:p w14:paraId="731C8038">
            <w:pPr>
              <w:ind w:left="-101" w:leftChars="-48" w:right="-94" w:rightChars="-45" w:firstLine="132" w:firstLineChars="55"/>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供应商应提交的商务、技术文件</w:t>
            </w:r>
          </w:p>
        </w:tc>
        <w:tc>
          <w:tcPr>
            <w:tcW w:w="3415" w:type="pct"/>
            <w:noWrap w:val="0"/>
            <w:vAlign w:val="center"/>
          </w:tcPr>
          <w:p w14:paraId="49B63361">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★1．法定代表人（负责人）身份证明书(见‘响应文件格式’)； </w:t>
            </w:r>
          </w:p>
          <w:p w14:paraId="0B0180DC">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★2．法定代表人（负责人）授权委托书(见‘响应文件格式’，若供应商授权代表为法定代表人的可不提供)；</w:t>
            </w:r>
          </w:p>
          <w:p w14:paraId="4AD25C01">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★3．磋商函(见‘响应文件格式’)；</w:t>
            </w:r>
          </w:p>
          <w:p w14:paraId="0C746C36">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 报价一览表 (见‘响应文件格式’)；</w:t>
            </w:r>
          </w:p>
          <w:p w14:paraId="36C55348">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★5. 商务条款响应表(见‘响应文件格式’)；</w:t>
            </w:r>
          </w:p>
          <w:p w14:paraId="76F64E88">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★6．采购服务技术规范响应及偏离表(见‘响应文件格式’)；</w:t>
            </w:r>
          </w:p>
          <w:p w14:paraId="5928E6EA">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7．服务方案及人员配备情况（格式自拟）；</w:t>
            </w:r>
          </w:p>
          <w:p w14:paraId="2E1200CE">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kern w:val="0"/>
                <w:sz w:val="24"/>
                <w:highlight w:val="none"/>
              </w:rPr>
              <w:t>服务承诺书</w:t>
            </w:r>
            <w:r>
              <w:rPr>
                <w:rFonts w:hint="eastAsia" w:ascii="仿宋" w:hAnsi="仿宋" w:eastAsia="仿宋" w:cs="仿宋"/>
                <w:color w:val="auto"/>
                <w:sz w:val="24"/>
                <w:highlight w:val="none"/>
              </w:rPr>
              <w:t>（格式自拟）；</w:t>
            </w:r>
          </w:p>
          <w:p w14:paraId="72B26B92">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9．供应商认为需要提供的其他商务、技术材料；</w:t>
            </w:r>
          </w:p>
          <w:p w14:paraId="4D1A04E3">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10. 政策性要求。</w:t>
            </w:r>
          </w:p>
          <w:p w14:paraId="2E05B6F2">
            <w:pPr>
              <w:spacing w:line="400" w:lineRule="exact"/>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加*的商务、技术文件若有一项未提供或无效，将导致其不具备投标资格，且不允许在开标后补正。</w:t>
            </w:r>
          </w:p>
        </w:tc>
      </w:tr>
      <w:tr w14:paraId="24646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79" w:type="pct"/>
            <w:noWrap w:val="0"/>
            <w:vAlign w:val="center"/>
          </w:tcPr>
          <w:p w14:paraId="1972ECCE">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7</w:t>
            </w:r>
          </w:p>
        </w:tc>
        <w:tc>
          <w:tcPr>
            <w:tcW w:w="1304" w:type="pct"/>
            <w:noWrap w:val="0"/>
            <w:vAlign w:val="center"/>
          </w:tcPr>
          <w:p w14:paraId="7180A697">
            <w:pPr>
              <w:ind w:left="-101" w:leftChars="-48" w:right="-94" w:rightChars="-45" w:firstLine="132" w:firstLineChars="55"/>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政府采购相关政策要求</w:t>
            </w:r>
          </w:p>
        </w:tc>
        <w:tc>
          <w:tcPr>
            <w:tcW w:w="3415" w:type="pct"/>
            <w:noWrap w:val="0"/>
            <w:vAlign w:val="center"/>
          </w:tcPr>
          <w:p w14:paraId="0F2BBBCD">
            <w:pPr>
              <w:spacing w:line="40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货物未特别注明“进口产品”字样的，均必须采购国产产品，即非“通过中国海关报关验放进入中国境内且产自关境外的产品”，投标货物各项技术标准必须符合国家强制性标准。特别注明“允许进口产品”字样的，优先采购向我国企业转让技术、与我国企业签订消化吸收再创新方案的供应商的进口产品，如果有能够满足采购需求的国产产品参与，应当按照公平竞争的原则进行评审。</w:t>
            </w:r>
          </w:p>
          <w:p w14:paraId="1DCD0675">
            <w:pPr>
              <w:spacing w:line="40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2．采购货物中如含“台式计算机、便携式计算机和平板式微型计算机、激光打印机、针式打印机、液晶显示器、制冷压缩机、空调机组、专用制冷空调设备、镇流器、空调机、电热水器、普通照明用双端荧光灯、电视设备、视频设备以及便器、水嘴等”，属于国家强制性采购产品，必须提供所投产品获得国家确定的认证机构出具的、处于有效期之内的节能产品认证证书。</w:t>
            </w:r>
          </w:p>
          <w:p w14:paraId="0C56592E">
            <w:pPr>
              <w:spacing w:line="40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3．采购货物中如含有计算机，必须预装正版操作系统软件产品；项目中所采购的其它软件必须为正版软件。</w:t>
            </w:r>
          </w:p>
          <w:p w14:paraId="7EEFD9FD">
            <w:pPr>
              <w:spacing w:line="40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4．采购货物中如含有财政部会同有关部门制定下发的《信息安全产品强制性认证目录》中的产品，须提供中国信息安全认证中心按国家标准认证颁发的有效认证证书。</w:t>
            </w:r>
          </w:p>
          <w:p w14:paraId="1E9CAE5D">
            <w:pPr>
              <w:spacing w:line="40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供应商参加本次磋商活动，如涉及上述1-4项要求，均应作出实质性响应，否则将导致响应无效。</w:t>
            </w:r>
          </w:p>
          <w:p w14:paraId="70799196">
            <w:pPr>
              <w:spacing w:line="40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5．中小微企业参加本项目磋商：</w:t>
            </w:r>
          </w:p>
          <w:p w14:paraId="0067A48E">
            <w:pPr>
              <w:spacing w:line="40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须按照财政部、工业和信息化部发布的《关于印发&lt;政府采购促进中小企业发展管理办法&gt;的通知》(财库〔2020〕46号）、且适用山西省财政厅发布的《关于进一步加大政府采购支持中小企业力度助力扎实稳住经济的通知》（晋财购【2022】6号）文件，并依据工信部联【2011】300号《中小企业划型标准规定》的标准，如实填写《中小企业声明函》。</w:t>
            </w:r>
          </w:p>
          <w:p w14:paraId="2470E23D">
            <w:pPr>
              <w:spacing w:line="40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对于经主管预算单位统筹后未预留份额专门面向中小企业采购的采购项目，以及预留份额项目中的非预留部分采购包，应当对符合关于印发&lt;政府采购促进中小企业发展管理办法&gt;的通知》(财库〔2020〕46号）、且适用山西省财政厅发布的《关于进一步加大政府采购支持中小企业力度助力扎实稳住经济的通知》（晋财购【2022】6号）规定的小微企业报价给予15%的扣除，用扣除后的价格参加评审。</w:t>
            </w:r>
          </w:p>
          <w:p w14:paraId="00610CB6">
            <w:pPr>
              <w:spacing w:line="40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6．残疾人福利单位参加本项目磋商：</w:t>
            </w:r>
          </w:p>
          <w:p w14:paraId="6124ABAD">
            <w:pPr>
              <w:snapToGrid w:val="0"/>
              <w:spacing w:line="40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依据《三部门联合发布关于促进残疾人就业政府采购政策的通知》（财库[2017]141号）第三条规定，在政府采购活动中，残疾人福利性单位视同小型、微型企业，享受预留份额、评审中价格扣除等促进中小企业发展的政府采购政策。</w:t>
            </w:r>
          </w:p>
          <w:p w14:paraId="0B896A33">
            <w:pPr>
              <w:snapToGrid w:val="0"/>
              <w:spacing w:line="40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7．监狱企业参加本项目磋商：</w:t>
            </w:r>
          </w:p>
          <w:p w14:paraId="49329813">
            <w:pPr>
              <w:snapToGrid w:val="0"/>
              <w:spacing w:line="40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依据《财政部司法部关于政府采购支持监狱企业发展有关问题的通知》(财库〔2014〕68号)规定，监狱企业视同小型、微型企业，享受预留份额、评审中价格扣除等政府采购促进中小企业发展的政府采购政策。</w:t>
            </w:r>
          </w:p>
          <w:p w14:paraId="11B9F31D">
            <w:pPr>
              <w:snapToGrid w:val="0"/>
              <w:spacing w:line="40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8. 联合体参加本项目磋商：</w:t>
            </w:r>
          </w:p>
          <w:p w14:paraId="1331330E">
            <w:pPr>
              <w:widowControl/>
              <w:snapToGrid w:val="0"/>
              <w:spacing w:line="40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如本项目为接受大中型企业与小微企业组成联合体或者允许大中型企业向一家或者多家小微企业分包的采购项目，对于联合协议或者分包意向协议约定小微企业的合同份额占到合同总金额30%以上的，应当对联合体或者大中型企业的报价给予相应的扣除。</w:t>
            </w:r>
          </w:p>
          <w:p w14:paraId="73BD84BC">
            <w:pPr>
              <w:widowControl/>
              <w:snapToGrid w:val="0"/>
              <w:spacing w:line="40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782B2656">
            <w:pPr>
              <w:widowControl/>
              <w:snapToGrid w:val="0"/>
              <w:spacing w:line="40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1.如本项目（包）是专门面向小微企业或残疾人企业或监狱企业或需要由联合体响应的采购项目，本项第5-8项应作为资格证明文件与本表第5项内容一并提交，否则响应文件无效。</w:t>
            </w:r>
          </w:p>
          <w:p w14:paraId="00EF1DE2">
            <w:pPr>
              <w:topLinePunct/>
              <w:autoSpaceDE w:val="0"/>
              <w:autoSpaceDN w:val="0"/>
              <w:spacing w:line="400" w:lineRule="atLeast"/>
              <w:rPr>
                <w:rFonts w:hint="eastAsia" w:ascii="仿宋" w:hAnsi="仿宋" w:eastAsia="仿宋" w:cs="仿宋"/>
                <w:color w:val="auto"/>
                <w:sz w:val="24"/>
                <w:highlight w:val="none"/>
                <w:lang w:val="zh-TW"/>
              </w:rPr>
            </w:pPr>
            <w:r>
              <w:rPr>
                <w:rFonts w:hint="eastAsia" w:ascii="仿宋" w:hAnsi="仿宋" w:eastAsia="仿宋" w:cs="仿宋"/>
                <w:color w:val="auto"/>
                <w:kern w:val="0"/>
                <w:sz w:val="24"/>
                <w:highlight w:val="none"/>
              </w:rPr>
              <w:t>2</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TW"/>
              </w:rPr>
              <w:t>供应商属于</w:t>
            </w:r>
            <w:r>
              <w:rPr>
                <w:rFonts w:hint="eastAsia" w:ascii="仿宋" w:hAnsi="仿宋" w:eastAsia="仿宋" w:cs="仿宋"/>
                <w:color w:val="auto"/>
                <w:sz w:val="24"/>
                <w:highlight w:val="none"/>
                <w:lang w:val="zh-TW" w:eastAsia="zh-TW"/>
              </w:rPr>
              <w:t>小</w:t>
            </w:r>
            <w:r>
              <w:rPr>
                <w:rFonts w:hint="eastAsia" w:ascii="仿宋" w:hAnsi="仿宋" w:eastAsia="仿宋" w:cs="仿宋"/>
                <w:color w:val="auto"/>
                <w:sz w:val="24"/>
                <w:highlight w:val="none"/>
                <w:lang w:val="zh-TW"/>
              </w:rPr>
              <w:t>、</w:t>
            </w:r>
            <w:r>
              <w:rPr>
                <w:rFonts w:hint="eastAsia" w:ascii="仿宋" w:hAnsi="仿宋" w:eastAsia="仿宋" w:cs="仿宋"/>
                <w:color w:val="auto"/>
                <w:sz w:val="24"/>
                <w:highlight w:val="none"/>
                <w:lang w:val="zh-TW" w:eastAsia="zh-TW"/>
              </w:rPr>
              <w:t>微型企业</w:t>
            </w:r>
            <w:r>
              <w:rPr>
                <w:rFonts w:hint="eastAsia" w:ascii="仿宋" w:hAnsi="仿宋" w:eastAsia="仿宋" w:cs="仿宋"/>
                <w:color w:val="auto"/>
                <w:sz w:val="24"/>
                <w:highlight w:val="none"/>
                <w:lang w:val="zh-TW"/>
              </w:rPr>
              <w:t>、残疾人福利性单位、监狱企业的，最多只能享受一次价格扣除，不重复享受政策优惠。</w:t>
            </w:r>
          </w:p>
          <w:p w14:paraId="12547EDC">
            <w:pPr>
              <w:topLinePunct/>
              <w:autoSpaceDE w:val="0"/>
              <w:autoSpaceDN w:val="0"/>
              <w:spacing w:line="400" w:lineRule="atLeas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如</w:t>
            </w:r>
            <w:r>
              <w:rPr>
                <w:rFonts w:hint="eastAsia" w:ascii="仿宋" w:hAnsi="仿宋" w:eastAsia="仿宋" w:cs="仿宋"/>
                <w:color w:val="auto"/>
                <w:sz w:val="24"/>
                <w:highlight w:val="none"/>
              </w:rPr>
              <w:t>本项目（包）是专门面向中小微企业或残疾人企业或监狱企业，报价将不</w:t>
            </w:r>
            <w:r>
              <w:rPr>
                <w:rFonts w:hint="eastAsia" w:ascii="仿宋" w:hAnsi="仿宋" w:eastAsia="仿宋" w:cs="仿宋"/>
                <w:color w:val="auto"/>
                <w:sz w:val="24"/>
                <w:highlight w:val="none"/>
                <w:lang w:val="en-US" w:eastAsia="zh-CN"/>
              </w:rPr>
              <w:t>再</w:t>
            </w:r>
            <w:r>
              <w:rPr>
                <w:rFonts w:hint="eastAsia" w:ascii="仿宋" w:hAnsi="仿宋" w:eastAsia="仿宋" w:cs="仿宋"/>
                <w:color w:val="auto"/>
                <w:sz w:val="24"/>
                <w:highlight w:val="none"/>
              </w:rPr>
              <w:t>予以扣除。</w:t>
            </w:r>
          </w:p>
          <w:p w14:paraId="42B6018C">
            <w:pPr>
              <w:topLinePunct/>
              <w:autoSpaceDE w:val="0"/>
              <w:autoSpaceDN w:val="0"/>
              <w:spacing w:line="40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4.格式见第七部分。</w:t>
            </w:r>
          </w:p>
        </w:tc>
      </w:tr>
      <w:tr w14:paraId="594DE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79" w:type="pct"/>
            <w:noWrap w:val="0"/>
            <w:vAlign w:val="center"/>
          </w:tcPr>
          <w:p w14:paraId="54405B37">
            <w:pPr>
              <w:jc w:val="center"/>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8</w:t>
            </w:r>
          </w:p>
        </w:tc>
        <w:tc>
          <w:tcPr>
            <w:tcW w:w="1304" w:type="pct"/>
            <w:noWrap w:val="0"/>
            <w:vAlign w:val="center"/>
          </w:tcPr>
          <w:p w14:paraId="696199BD">
            <w:pPr>
              <w:ind w:left="-101" w:leftChars="-48" w:right="-94" w:rightChars="-45" w:firstLine="132" w:firstLineChars="55"/>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磋商保证金</w:t>
            </w:r>
          </w:p>
        </w:tc>
        <w:tc>
          <w:tcPr>
            <w:tcW w:w="3415" w:type="pct"/>
            <w:noWrap w:val="0"/>
            <w:vAlign w:val="center"/>
          </w:tcPr>
          <w:p w14:paraId="66A2E25A">
            <w:pPr>
              <w:widowControl/>
              <w:snapToGrid w:val="0"/>
              <w:spacing w:line="400" w:lineRule="atLeas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w:t>
            </w:r>
          </w:p>
        </w:tc>
      </w:tr>
      <w:tr w14:paraId="0725D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79" w:type="pct"/>
            <w:noWrap w:val="0"/>
            <w:vAlign w:val="center"/>
          </w:tcPr>
          <w:p w14:paraId="3B4D24B0">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304" w:type="pct"/>
            <w:noWrap w:val="0"/>
            <w:vAlign w:val="center"/>
          </w:tcPr>
          <w:p w14:paraId="677A67AA">
            <w:pPr>
              <w:ind w:left="-101" w:leftChars="-48" w:right="-94" w:rightChars="-45" w:firstLine="132" w:firstLineChars="55"/>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磋商有效期</w:t>
            </w:r>
          </w:p>
        </w:tc>
        <w:tc>
          <w:tcPr>
            <w:tcW w:w="3415" w:type="pct"/>
            <w:noWrap w:val="0"/>
            <w:vAlign w:val="center"/>
          </w:tcPr>
          <w:p w14:paraId="50907E51">
            <w:pPr>
              <w:spacing w:line="400" w:lineRule="exact"/>
              <w:rPr>
                <w:rFonts w:hint="eastAsia" w:ascii="仿宋" w:hAnsi="仿宋" w:eastAsia="仿宋" w:cs="仿宋"/>
                <w:color w:val="auto"/>
                <w:sz w:val="24"/>
                <w:highlight w:val="none"/>
              </w:rPr>
            </w:pPr>
            <w:r>
              <w:rPr>
                <w:rFonts w:hint="eastAsia" w:ascii="仿宋" w:hAnsi="仿宋" w:eastAsia="仿宋" w:cs="仿宋"/>
                <w:bCs/>
                <w:color w:val="auto"/>
                <w:sz w:val="24"/>
                <w:highlight w:val="none"/>
              </w:rPr>
              <w:t>90日历天（从提交响应文件截止之日起计算）</w:t>
            </w:r>
          </w:p>
        </w:tc>
      </w:tr>
      <w:tr w14:paraId="5E137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79" w:type="pct"/>
            <w:noWrap w:val="0"/>
            <w:vAlign w:val="center"/>
          </w:tcPr>
          <w:p w14:paraId="016716BE">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304" w:type="pct"/>
            <w:noWrap w:val="0"/>
            <w:vAlign w:val="center"/>
          </w:tcPr>
          <w:p w14:paraId="1A0E0212">
            <w:pPr>
              <w:ind w:left="-101" w:leftChars="-48" w:right="-94" w:rightChars="-45" w:firstLine="132" w:firstLineChars="55"/>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磋商小组成员构成</w:t>
            </w:r>
          </w:p>
        </w:tc>
        <w:tc>
          <w:tcPr>
            <w:tcW w:w="3415" w:type="pct"/>
            <w:noWrap w:val="0"/>
            <w:vAlign w:val="center"/>
          </w:tcPr>
          <w:p w14:paraId="3220505E">
            <w:pPr>
              <w:spacing w:line="40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本采购项目的磋商小组成员由</w:t>
            </w:r>
            <w:r>
              <w:rPr>
                <w:rFonts w:hint="eastAsia" w:ascii="仿宋" w:hAnsi="仿宋" w:eastAsia="仿宋" w:cs="仿宋"/>
                <w:bCs/>
                <w:color w:val="auto"/>
                <w:sz w:val="24"/>
                <w:highlight w:val="none"/>
                <w:u w:val="single"/>
              </w:rPr>
              <w:t>3</w:t>
            </w:r>
            <w:r>
              <w:rPr>
                <w:rFonts w:hint="eastAsia" w:ascii="仿宋" w:hAnsi="仿宋" w:eastAsia="仿宋" w:cs="仿宋"/>
                <w:bCs/>
                <w:color w:val="auto"/>
                <w:sz w:val="24"/>
                <w:highlight w:val="none"/>
              </w:rPr>
              <w:t>人组成，其中评审专家</w:t>
            </w:r>
            <w:r>
              <w:rPr>
                <w:rFonts w:hint="eastAsia" w:ascii="仿宋" w:hAnsi="仿宋" w:eastAsia="仿宋" w:cs="仿宋"/>
                <w:bCs/>
                <w:color w:val="auto"/>
                <w:sz w:val="24"/>
                <w:highlight w:val="none"/>
                <w:u w:val="single"/>
              </w:rPr>
              <w:t>2</w:t>
            </w:r>
            <w:r>
              <w:rPr>
                <w:rFonts w:hint="eastAsia" w:ascii="仿宋" w:hAnsi="仿宋" w:eastAsia="仿宋" w:cs="仿宋"/>
                <w:bCs/>
                <w:color w:val="auto"/>
                <w:sz w:val="24"/>
                <w:highlight w:val="none"/>
              </w:rPr>
              <w:t>人，采购人代表</w:t>
            </w:r>
            <w:r>
              <w:rPr>
                <w:rFonts w:hint="eastAsia" w:ascii="仿宋" w:hAnsi="仿宋" w:eastAsia="仿宋" w:cs="仿宋"/>
                <w:bCs/>
                <w:color w:val="auto"/>
                <w:sz w:val="24"/>
                <w:highlight w:val="none"/>
                <w:u w:val="single"/>
              </w:rPr>
              <w:t>1</w:t>
            </w:r>
            <w:r>
              <w:rPr>
                <w:rFonts w:hint="eastAsia" w:ascii="仿宋" w:hAnsi="仿宋" w:eastAsia="仿宋" w:cs="仿宋"/>
                <w:bCs/>
                <w:color w:val="auto"/>
                <w:sz w:val="24"/>
                <w:highlight w:val="none"/>
              </w:rPr>
              <w:t>人。</w:t>
            </w:r>
          </w:p>
        </w:tc>
      </w:tr>
      <w:tr w14:paraId="2A95D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79" w:type="pct"/>
            <w:noWrap w:val="0"/>
            <w:vAlign w:val="center"/>
          </w:tcPr>
          <w:p w14:paraId="73A188CC">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304" w:type="pct"/>
            <w:noWrap w:val="0"/>
            <w:vAlign w:val="center"/>
          </w:tcPr>
          <w:p w14:paraId="18007F72">
            <w:pPr>
              <w:ind w:left="-101" w:leftChars="-48" w:right="-94" w:rightChars="-45" w:firstLine="132" w:firstLineChars="55"/>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确定成交供应商</w:t>
            </w:r>
          </w:p>
        </w:tc>
        <w:tc>
          <w:tcPr>
            <w:tcW w:w="3415" w:type="pct"/>
            <w:noWrap w:val="0"/>
            <w:vAlign w:val="center"/>
          </w:tcPr>
          <w:p w14:paraId="581BD0FD">
            <w:pPr>
              <w:spacing w:line="400" w:lineRule="atLeas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本项目采用综合评分法，授权磋商小组直接确定成交供应商</w:t>
            </w:r>
          </w:p>
        </w:tc>
      </w:tr>
      <w:tr w14:paraId="34439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79" w:type="pct"/>
            <w:noWrap w:val="0"/>
            <w:vAlign w:val="center"/>
          </w:tcPr>
          <w:p w14:paraId="78BF0F34">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304" w:type="pct"/>
            <w:noWrap w:val="0"/>
            <w:vAlign w:val="center"/>
          </w:tcPr>
          <w:p w14:paraId="0D7B3D95">
            <w:pPr>
              <w:topLinePunct/>
              <w:autoSpaceDE w:val="0"/>
              <w:autoSpaceDN w:val="0"/>
              <w:ind w:left="-105" w:leftChars="-50" w:right="-105" w:rightChars="-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现场勘查</w:t>
            </w:r>
          </w:p>
        </w:tc>
        <w:tc>
          <w:tcPr>
            <w:tcW w:w="3415" w:type="pct"/>
            <w:noWrap w:val="0"/>
            <w:vAlign w:val="center"/>
          </w:tcPr>
          <w:p w14:paraId="34424967">
            <w:pPr>
              <w:pStyle w:val="24"/>
              <w:keepNext w:val="0"/>
              <w:keepLines w:val="0"/>
              <w:topLinePunct/>
              <w:autoSpaceDE w:val="0"/>
              <w:autoSpaceDN w:val="0"/>
              <w:snapToGrid w:val="0"/>
              <w:spacing w:before="0" w:after="0" w:line="400" w:lineRule="atLeas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磋商文件提供期限截止后，如需要，书面通知</w:t>
            </w:r>
          </w:p>
        </w:tc>
      </w:tr>
      <w:tr w14:paraId="17EB4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79" w:type="pct"/>
            <w:noWrap w:val="0"/>
            <w:vAlign w:val="center"/>
          </w:tcPr>
          <w:p w14:paraId="5A1C996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1304" w:type="pct"/>
            <w:noWrap w:val="0"/>
            <w:vAlign w:val="center"/>
          </w:tcPr>
          <w:p w14:paraId="3CD9F6BC">
            <w:pPr>
              <w:topLinePunct/>
              <w:autoSpaceDE w:val="0"/>
              <w:autoSpaceDN w:val="0"/>
              <w:ind w:left="-105" w:leftChars="-50" w:right="-105" w:rightChars="-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标前答疑</w:t>
            </w:r>
          </w:p>
        </w:tc>
        <w:tc>
          <w:tcPr>
            <w:tcW w:w="3415" w:type="pct"/>
            <w:noWrap w:val="0"/>
            <w:vAlign w:val="center"/>
          </w:tcPr>
          <w:p w14:paraId="0169EFD3">
            <w:pPr>
              <w:pStyle w:val="24"/>
              <w:keepNext w:val="0"/>
              <w:keepLines w:val="0"/>
              <w:topLinePunct/>
              <w:autoSpaceDE w:val="0"/>
              <w:autoSpaceDN w:val="0"/>
              <w:snapToGrid w:val="0"/>
              <w:spacing w:before="0" w:after="0" w:line="400" w:lineRule="atLeast"/>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rPr>
              <w:t>磋商文件提供期限截止后，如需要，书面通知</w:t>
            </w:r>
          </w:p>
        </w:tc>
      </w:tr>
      <w:tr w14:paraId="0989F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79" w:type="pct"/>
            <w:noWrap w:val="0"/>
            <w:vAlign w:val="center"/>
          </w:tcPr>
          <w:p w14:paraId="266AEC3E">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14</w:t>
            </w:r>
          </w:p>
        </w:tc>
        <w:tc>
          <w:tcPr>
            <w:tcW w:w="1304" w:type="pct"/>
            <w:noWrap w:val="0"/>
            <w:vAlign w:val="center"/>
          </w:tcPr>
          <w:p w14:paraId="7934A00D">
            <w:pPr>
              <w:ind w:left="-103" w:leftChars="-49" w:right="-94" w:rightChars="-45"/>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磋商过程中可能实质性变动内容</w:t>
            </w:r>
          </w:p>
        </w:tc>
        <w:tc>
          <w:tcPr>
            <w:tcW w:w="3415" w:type="pct"/>
            <w:noWrap w:val="0"/>
            <w:vAlign w:val="bottom"/>
          </w:tcPr>
          <w:p w14:paraId="4D08DD28">
            <w:pPr>
              <w:pStyle w:val="24"/>
              <w:keepNext w:val="0"/>
              <w:keepLines w:val="0"/>
              <w:snapToGrid w:val="0"/>
              <w:spacing w:before="0" w:after="0" w:line="40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磋商文件第五部分中的技术、服务要求以及第六部分政府采购合同范本中相关内容，对变动的内容，须经采购方代表签字确认。</w:t>
            </w:r>
          </w:p>
        </w:tc>
      </w:tr>
      <w:tr w14:paraId="7A3E8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79" w:type="pct"/>
            <w:noWrap w:val="0"/>
            <w:vAlign w:val="center"/>
          </w:tcPr>
          <w:p w14:paraId="747016F2">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15</w:t>
            </w:r>
          </w:p>
        </w:tc>
        <w:tc>
          <w:tcPr>
            <w:tcW w:w="1304" w:type="pct"/>
            <w:noWrap w:val="0"/>
            <w:vAlign w:val="center"/>
          </w:tcPr>
          <w:p w14:paraId="4E582B78">
            <w:pPr>
              <w:ind w:left="-105" w:leftChars="-50" w:right="-105" w:rightChars="-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本项目所属行业</w:t>
            </w:r>
          </w:p>
        </w:tc>
        <w:tc>
          <w:tcPr>
            <w:tcW w:w="3415" w:type="pct"/>
            <w:noWrap w:val="0"/>
            <w:vAlign w:val="center"/>
          </w:tcPr>
          <w:p w14:paraId="278C3AF9">
            <w:pPr>
              <w:overflowPunct w:val="0"/>
              <w:topLinePunct/>
              <w:autoSpaceDN w:val="0"/>
              <w:adjustRightInd w:val="0"/>
              <w:snapToGrid w:val="0"/>
              <w:spacing w:line="400" w:lineRule="atLeast"/>
              <w:rPr>
                <w:rFonts w:hint="eastAsia" w:ascii="仿宋" w:hAnsi="仿宋" w:eastAsia="仿宋" w:cs="仿宋"/>
                <w:snapToGrid w:val="0"/>
                <w:color w:val="auto"/>
                <w:kern w:val="0"/>
                <w:sz w:val="24"/>
                <w:highlight w:val="none"/>
              </w:rPr>
            </w:pPr>
            <w:r>
              <w:rPr>
                <w:rFonts w:hint="eastAsia" w:ascii="仿宋" w:hAnsi="仿宋" w:eastAsia="仿宋" w:cs="仿宋"/>
                <w:color w:val="auto"/>
                <w:sz w:val="24"/>
                <w:highlight w:val="none"/>
              </w:rPr>
              <w:t>根据中小企业划型标准，本项目属信息传输业。</w:t>
            </w:r>
          </w:p>
        </w:tc>
      </w:tr>
      <w:tr w14:paraId="06F79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79" w:type="pct"/>
            <w:noWrap w:val="0"/>
            <w:vAlign w:val="center"/>
          </w:tcPr>
          <w:p w14:paraId="02E70305">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16</w:t>
            </w:r>
          </w:p>
        </w:tc>
        <w:tc>
          <w:tcPr>
            <w:tcW w:w="1304" w:type="pct"/>
            <w:noWrap w:val="0"/>
            <w:vAlign w:val="center"/>
          </w:tcPr>
          <w:p w14:paraId="6BB52C76">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成交服务</w:t>
            </w:r>
          </w:p>
          <w:p w14:paraId="3BF5655F">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费的支付</w:t>
            </w:r>
          </w:p>
        </w:tc>
        <w:tc>
          <w:tcPr>
            <w:tcW w:w="3415" w:type="pct"/>
            <w:noWrap w:val="0"/>
            <w:vAlign w:val="center"/>
          </w:tcPr>
          <w:p w14:paraId="3D57068B">
            <w:pPr>
              <w:spacing w:line="40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在投标报价时应考虑招标代理服务费。代理服务费参照《招标代理服务收费管理暂行办法》(计价格[2002]1980号)、《国家发展改革委关于招标代理服务收费有关问题的通知》(发改办价格[2003]857号)、《国家发展改革委关于降低部分建设项目收费标准规范收费行为等有关问题的通知》(发改价格[2011]534号)标准计取，由成交单位在领取成交通知书时一次性支付给招标代理公司。</w:t>
            </w:r>
          </w:p>
        </w:tc>
      </w:tr>
    </w:tbl>
    <w:p w14:paraId="1DFBE9C4">
      <w:pPr>
        <w:widowControl/>
        <w:snapToGrid w:val="0"/>
        <w:spacing w:before="260" w:after="260"/>
        <w:jc w:val="center"/>
        <w:outlineLvl w:val="1"/>
        <w:rPr>
          <w:rFonts w:hint="eastAsia" w:ascii="仿宋" w:hAnsi="仿宋" w:eastAsia="仿宋" w:cs="仿宋"/>
          <w:b/>
          <w:bCs/>
          <w:color w:val="auto"/>
          <w:spacing w:val="20"/>
          <w:kern w:val="0"/>
          <w:sz w:val="32"/>
          <w:szCs w:val="32"/>
          <w:highlight w:val="none"/>
        </w:rPr>
        <w:sectPr>
          <w:footerReference r:id="rId6" w:type="first"/>
          <w:footerReference r:id="rId5" w:type="default"/>
          <w:pgSz w:w="11900" w:h="16838"/>
          <w:pgMar w:top="1134" w:right="1134" w:bottom="1134" w:left="1134" w:header="850" w:footer="992" w:gutter="0"/>
          <w:pgNumType w:fmt="numberInDash" w:start="1"/>
          <w:cols w:space="720" w:num="1"/>
          <w:titlePg/>
          <w:docGrid w:type="lines" w:linePitch="436" w:charSpace="0"/>
        </w:sectPr>
      </w:pPr>
    </w:p>
    <w:p w14:paraId="65C8F635">
      <w:pPr>
        <w:widowControl/>
        <w:snapToGrid w:val="0"/>
        <w:spacing w:before="260" w:after="260"/>
        <w:jc w:val="center"/>
        <w:outlineLvl w:val="1"/>
        <w:rPr>
          <w:rFonts w:hint="eastAsia" w:ascii="仿宋" w:hAnsi="仿宋" w:eastAsia="仿宋" w:cs="仿宋"/>
          <w:b/>
          <w:bCs/>
          <w:color w:val="auto"/>
          <w:spacing w:val="20"/>
          <w:kern w:val="0"/>
          <w:sz w:val="32"/>
          <w:szCs w:val="32"/>
          <w:highlight w:val="none"/>
        </w:rPr>
      </w:pPr>
      <w:r>
        <w:rPr>
          <w:rFonts w:hint="eastAsia" w:ascii="仿宋" w:hAnsi="仿宋" w:eastAsia="仿宋" w:cs="仿宋"/>
          <w:b/>
          <w:bCs/>
          <w:color w:val="auto"/>
          <w:spacing w:val="20"/>
          <w:kern w:val="0"/>
          <w:sz w:val="32"/>
          <w:szCs w:val="32"/>
          <w:highlight w:val="none"/>
        </w:rPr>
        <w:t>电子响应须知附表</w:t>
      </w:r>
    </w:p>
    <w:tbl>
      <w:tblPr>
        <w:tblStyle w:val="16"/>
        <w:tblW w:w="498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
        <w:gridCol w:w="1399"/>
        <w:gridCol w:w="7572"/>
      </w:tblGrid>
      <w:tr w14:paraId="0A482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blHeader/>
        </w:trPr>
        <w:tc>
          <w:tcPr>
            <w:tcW w:w="844" w:type="dxa"/>
            <w:noWrap w:val="0"/>
            <w:vAlign w:val="center"/>
          </w:tcPr>
          <w:p w14:paraId="193730F6">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413" w:type="dxa"/>
            <w:noWrap w:val="0"/>
            <w:vAlign w:val="center"/>
          </w:tcPr>
          <w:p w14:paraId="2FB5DDE9">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条款名称</w:t>
            </w:r>
          </w:p>
        </w:tc>
        <w:tc>
          <w:tcPr>
            <w:tcW w:w="7667" w:type="dxa"/>
            <w:noWrap w:val="0"/>
            <w:vAlign w:val="center"/>
          </w:tcPr>
          <w:p w14:paraId="7BCB1BC1">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编列内容</w:t>
            </w:r>
          </w:p>
        </w:tc>
      </w:tr>
      <w:tr w14:paraId="4A412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844" w:type="dxa"/>
            <w:noWrap w:val="0"/>
            <w:vAlign w:val="center"/>
          </w:tcPr>
          <w:p w14:paraId="2C2338A1">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413" w:type="dxa"/>
            <w:noWrap w:val="0"/>
            <w:vAlign w:val="center"/>
          </w:tcPr>
          <w:p w14:paraId="6D77C977">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响应文件编制</w:t>
            </w:r>
          </w:p>
        </w:tc>
        <w:tc>
          <w:tcPr>
            <w:tcW w:w="7667" w:type="dxa"/>
            <w:noWrap w:val="0"/>
            <w:vAlign w:val="center"/>
          </w:tcPr>
          <w:p w14:paraId="716F5A46">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1.1供应商应使用政采云系统的响应文件编制工具，按照操作手册编制电子响应文件，并使用数字证书（CA）按照磋商文件规定签字、签章。同时使用数字证书（CA）对响应文件进行加密。</w:t>
            </w:r>
          </w:p>
          <w:p w14:paraId="40A8FD1A">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1.2在上传电子响应文件时，需对应系统中每个模块要求，形成独立的PDF格式文件，按照指定对应模块，逐条完成上传，保存后提交。</w:t>
            </w:r>
          </w:p>
          <w:p w14:paraId="47F9819C">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如：上传营业执照和开户许可证，要把营业执照和开户许可证形成独立PDF格式文档，在供应商具有独立承担民事责任能力模块处完成上传。</w:t>
            </w:r>
          </w:p>
          <w:p w14:paraId="6D52D3EC">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1.3电子响应文件所附各类证件、证书、证明，均随响应文件统一编排页码进行上传。</w:t>
            </w:r>
          </w:p>
        </w:tc>
      </w:tr>
      <w:tr w14:paraId="5BB65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844" w:type="dxa"/>
            <w:noWrap w:val="0"/>
            <w:vAlign w:val="center"/>
          </w:tcPr>
          <w:p w14:paraId="562DB2E6">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413" w:type="dxa"/>
            <w:noWrap w:val="0"/>
            <w:vAlign w:val="center"/>
          </w:tcPr>
          <w:p w14:paraId="30189772">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电子响应文件解密</w:t>
            </w:r>
          </w:p>
        </w:tc>
        <w:tc>
          <w:tcPr>
            <w:tcW w:w="7667" w:type="dxa"/>
            <w:noWrap w:val="0"/>
            <w:vAlign w:val="center"/>
          </w:tcPr>
          <w:p w14:paraId="2FFE0A67">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在磋商文件规定的响应文件开启时间后，采购代理机构会在政采云系统发出解密指令，供应商在收到解密指令后，须使用加密响应文件时所使用的数字证书（CA）对已递交（上传）的电子响应文件进行解密（可远程解密）。</w:t>
            </w:r>
          </w:p>
          <w:p w14:paraId="44CD2427">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2.2电子响应文件解密时间：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 xml:space="preserve">0 </w:t>
            </w:r>
            <w:r>
              <w:rPr>
                <w:rFonts w:hint="eastAsia" w:ascii="仿宋" w:hAnsi="仿宋" w:eastAsia="仿宋" w:cs="仿宋"/>
                <w:color w:val="auto"/>
                <w:sz w:val="24"/>
                <w:highlight w:val="none"/>
              </w:rPr>
              <w:t>分钟</w:t>
            </w:r>
          </w:p>
          <w:p w14:paraId="27DD7050">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2.3电子响应文件解密流程：使用用户名密码或电子CA登录政采云系统→项目采购→开标评标→找到对应项目→解密→输入CA密码→开始下载→解密完成。</w:t>
            </w:r>
          </w:p>
          <w:p w14:paraId="582936CD">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2.4因供应商原因造成响应文件未解密的，视为撤销其响应文件，包括以下情形：</w:t>
            </w:r>
          </w:p>
          <w:p w14:paraId="7D56A7AB">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（1)供应商未在规定时间内解密响应文件的；</w:t>
            </w:r>
          </w:p>
          <w:p w14:paraId="73C373EE">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（2)供应商使用非本次磋商加密用CA数字证书解密的；</w:t>
            </w:r>
          </w:p>
          <w:p w14:paraId="7C58ADE1">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（3)供应商使用的CA数字证书属于注销或无效或损坏的。</w:t>
            </w:r>
          </w:p>
        </w:tc>
      </w:tr>
    </w:tbl>
    <w:p w14:paraId="77138AB0">
      <w:pPr>
        <w:overflowPunct w:val="0"/>
        <w:topLinePunct/>
        <w:autoSpaceDN w:val="0"/>
        <w:adjustRightInd w:val="0"/>
        <w:snapToGrid w:val="0"/>
        <w:spacing w:line="360" w:lineRule="auto"/>
        <w:jc w:val="center"/>
        <w:outlineLvl w:val="0"/>
        <w:rPr>
          <w:rFonts w:hint="eastAsia" w:ascii="仿宋" w:hAnsi="仿宋" w:eastAsia="仿宋" w:cs="仿宋"/>
          <w:b/>
          <w:bCs/>
          <w:snapToGrid w:val="0"/>
          <w:color w:val="auto"/>
          <w:kern w:val="0"/>
          <w:sz w:val="32"/>
          <w:szCs w:val="32"/>
          <w:highlight w:val="none"/>
        </w:rPr>
        <w:sectPr>
          <w:footerReference r:id="rId8" w:type="first"/>
          <w:footerReference r:id="rId7" w:type="default"/>
          <w:pgSz w:w="11900" w:h="16838"/>
          <w:pgMar w:top="1134" w:right="1134" w:bottom="1134" w:left="1134" w:header="850" w:footer="992" w:gutter="0"/>
          <w:pgNumType w:fmt="numberInDash"/>
          <w:cols w:space="720" w:num="1"/>
          <w:titlePg/>
          <w:docGrid w:type="lines" w:linePitch="436" w:charSpace="0"/>
        </w:sectPr>
      </w:pPr>
    </w:p>
    <w:p w14:paraId="5D04BD04">
      <w:pPr>
        <w:overflowPunct w:val="0"/>
        <w:topLinePunct/>
        <w:autoSpaceDN w:val="0"/>
        <w:adjustRightInd w:val="0"/>
        <w:snapToGrid w:val="0"/>
        <w:spacing w:line="360" w:lineRule="auto"/>
        <w:jc w:val="center"/>
        <w:outlineLvl w:val="0"/>
        <w:rPr>
          <w:rFonts w:hint="eastAsia" w:ascii="仿宋" w:hAnsi="仿宋" w:eastAsia="仿宋" w:cs="仿宋"/>
          <w:b/>
          <w:bCs/>
          <w:snapToGrid w:val="0"/>
          <w:color w:val="auto"/>
          <w:kern w:val="0"/>
          <w:sz w:val="32"/>
          <w:szCs w:val="32"/>
          <w:highlight w:val="none"/>
        </w:rPr>
      </w:pPr>
      <w:r>
        <w:rPr>
          <w:rFonts w:hint="eastAsia" w:ascii="仿宋" w:hAnsi="仿宋" w:eastAsia="仿宋" w:cs="仿宋"/>
          <w:b/>
          <w:bCs/>
          <w:snapToGrid w:val="0"/>
          <w:color w:val="auto"/>
          <w:kern w:val="0"/>
          <w:sz w:val="32"/>
          <w:szCs w:val="32"/>
          <w:highlight w:val="none"/>
        </w:rPr>
        <w:t>第三部分  供应商须知</w:t>
      </w:r>
    </w:p>
    <w:p w14:paraId="4956885E">
      <w:pPr>
        <w:snapToGrid w:val="0"/>
        <w:spacing w:line="400" w:lineRule="exact"/>
        <w:ind w:firstLine="482" w:firstLineChars="200"/>
        <w:rPr>
          <w:rFonts w:hint="eastAsia" w:ascii="仿宋" w:hAnsi="仿宋" w:eastAsia="仿宋" w:cs="仿宋"/>
          <w:bCs/>
          <w:color w:val="auto"/>
          <w:kern w:val="0"/>
          <w:sz w:val="24"/>
          <w:highlight w:val="none"/>
        </w:rPr>
      </w:pPr>
      <w:r>
        <w:rPr>
          <w:rFonts w:hint="eastAsia" w:ascii="仿宋" w:hAnsi="仿宋" w:eastAsia="仿宋" w:cs="仿宋"/>
          <w:b/>
          <w:color w:val="auto"/>
          <w:kern w:val="0"/>
          <w:sz w:val="24"/>
          <w:highlight w:val="none"/>
        </w:rPr>
        <w:t>一、总则</w:t>
      </w:r>
    </w:p>
    <w:p w14:paraId="5F22FC68">
      <w:pPr>
        <w:snapToGrid w:val="0"/>
        <w:spacing w:line="400" w:lineRule="exact"/>
        <w:ind w:firstLine="482" w:firstLineChars="200"/>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1. 适用范围</w:t>
      </w:r>
    </w:p>
    <w:p w14:paraId="539FED9A">
      <w:pPr>
        <w:snapToGrid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本磋商文件适用于本次磋商活动的全过程。</w:t>
      </w:r>
      <w:r>
        <w:rPr>
          <w:rFonts w:hint="eastAsia" w:ascii="仿宋" w:hAnsi="仿宋" w:eastAsia="仿宋" w:cs="仿宋"/>
          <w:color w:val="auto"/>
          <w:kern w:val="0"/>
          <w:sz w:val="24"/>
          <w:highlight w:val="none"/>
        </w:rPr>
        <w:tab/>
      </w:r>
    </w:p>
    <w:p w14:paraId="5A6D92ED">
      <w:pPr>
        <w:tabs>
          <w:tab w:val="left" w:pos="962"/>
        </w:tabs>
        <w:snapToGrid w:val="0"/>
        <w:spacing w:line="400" w:lineRule="exact"/>
        <w:ind w:firstLine="482" w:firstLineChars="200"/>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2. 定义</w:t>
      </w:r>
    </w:p>
    <w:p w14:paraId="757E1F9C">
      <w:pPr>
        <w:tabs>
          <w:tab w:val="left" w:pos="567"/>
        </w:tabs>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2.1采购方：指进行本次磋商活动的单位。即：“山西省太原市公安局交通警察支队山西转型综合改革示范区大队”。</w:t>
      </w:r>
    </w:p>
    <w:p w14:paraId="3C34CFCB">
      <w:pPr>
        <w:tabs>
          <w:tab w:val="left" w:pos="567"/>
        </w:tabs>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 xml:space="preserve">2.2 </w:t>
      </w:r>
      <w:r>
        <w:rPr>
          <w:rFonts w:hint="eastAsia" w:ascii="仿宋" w:hAnsi="仿宋" w:eastAsia="仿宋" w:cs="仿宋"/>
          <w:color w:val="auto"/>
          <w:kern w:val="0"/>
          <w:sz w:val="24"/>
          <w:highlight w:val="none"/>
        </w:rPr>
        <w:t>代理机构：指在采购方委托的范围内依法开展磋商活动，组织本次磋商活动的执行机构，即“华天立盛项目管理有限公司”。</w:t>
      </w:r>
    </w:p>
    <w:p w14:paraId="1A4A0AE2">
      <w:pPr>
        <w:tabs>
          <w:tab w:val="left" w:pos="567"/>
        </w:tabs>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2.3供应商：指符合本磋商文件规定向按期提供响应文件参加磋商活动的法人、其他组织或者自然人。</w:t>
      </w:r>
    </w:p>
    <w:p w14:paraId="7D88BA57">
      <w:pPr>
        <w:tabs>
          <w:tab w:val="left" w:pos="567"/>
        </w:tabs>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2.4潜在供应商：指符合本磋商文件各项规定的供应商。</w:t>
      </w:r>
    </w:p>
    <w:p w14:paraId="5A9EA542">
      <w:pPr>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2.5货物：指供应商按磋商文件商务技术要求，向采购人有偿提供的各种物品及其他有关技术资料和材料。</w:t>
      </w:r>
    </w:p>
    <w:p w14:paraId="4648746F">
      <w:pPr>
        <w:tabs>
          <w:tab w:val="left" w:pos="567"/>
        </w:tabs>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2.6服务：指磋商文件所表述的供应商须向采购人提供的服务和应当履行的承诺和义务。</w:t>
      </w:r>
    </w:p>
    <w:p w14:paraId="5761F48B">
      <w:pPr>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2.7磋商文件：是采购代理机构根据国家相关法律法规政策和采购人采购需求制定的向潜在供应商发出并告知项目需求、磋商活动规则和合同条件等信息的要约文件，是本项目磋商活动的主要依据，对磋商活动各方均具有法律约束力。</w:t>
      </w:r>
    </w:p>
    <w:p w14:paraId="0C3109A0">
      <w:pPr>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2.8响应文件：是指供应商应磋商文件的条件和要求，按规定编制并按时递交的文件。</w:t>
      </w:r>
    </w:p>
    <w:p w14:paraId="0A8C8B9B">
      <w:pPr>
        <w:tabs>
          <w:tab w:val="left" w:pos="567"/>
        </w:tabs>
        <w:snapToGrid w:val="0"/>
        <w:spacing w:line="400" w:lineRule="exact"/>
        <w:ind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 合格供应商的条件</w:t>
      </w:r>
    </w:p>
    <w:p w14:paraId="2874353F">
      <w:pPr>
        <w:tabs>
          <w:tab w:val="left" w:pos="567"/>
        </w:tabs>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3.1符合《中华人民共和国政府采购法》第二十二条供应商参加政府采购活动应当具备的条件及其他有关法律、法规关于供应商的有关规定，有能力提供采购服务的供应商。需按供应商须知前附表要求提供有效资格证明文件。</w:t>
      </w:r>
    </w:p>
    <w:p w14:paraId="38F516FB">
      <w:pPr>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3.2关于是否允许代理商参加磋商（见供应商须知前附表）。</w:t>
      </w:r>
    </w:p>
    <w:p w14:paraId="77D99C92">
      <w:pPr>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3.3关于是否允许联合体磋商（见供应商须知前附表）。</w:t>
      </w:r>
    </w:p>
    <w:p w14:paraId="7A2AF02A">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若接受联合体参加的：</w:t>
      </w:r>
    </w:p>
    <w:p w14:paraId="5B0E9354">
      <w:pPr>
        <w:autoSpaceDE w:val="0"/>
        <w:autoSpaceDN w:val="0"/>
        <w:adjustRightIn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（1）两个以上的法人或者其他组织或自然人可以组成一个联合体，以一个供应商的身份共同参加。</w:t>
      </w:r>
    </w:p>
    <w:p w14:paraId="138C7A50">
      <w:pPr>
        <w:autoSpaceDE w:val="0"/>
        <w:autoSpaceDN w:val="0"/>
        <w:adjustRightIn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联合体各方均应当符合《中华人民共和国政府采购法》第二十二条第一款规定的条件，根据采购项目的特殊要求规定供应商特定条件的，联合体各方中至少应当有一方符合《磋商邀请函》规定的供应商资格条件（实质性要求）。</w:t>
      </w:r>
    </w:p>
    <w:p w14:paraId="6597485F">
      <w:pPr>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（3）联合体各方均应当提供供应商须知前附表中要求的有效的资格证明文件。</w:t>
      </w:r>
    </w:p>
    <w:p w14:paraId="72B8F432">
      <w:pPr>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联合体各方之间应当签订共同磋商协议并在响应文件内提交，明确约定联合体主体及联合体各方承担的工作和相应的责任。联合体各方签订共同磋商协议后，不得再以自己名义单独在同一项目中参加磋商活动，也不得组成新的联合体参加同一项目的磋商。联合磋商协议格式见本磋商文件第七部分响应文件格式。</w:t>
      </w:r>
    </w:p>
    <w:p w14:paraId="3A98709D">
      <w:pPr>
        <w:autoSpaceDE w:val="0"/>
        <w:autoSpaceDN w:val="0"/>
        <w:adjustRightIn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（5）下载磋商文件时，应以联合体协议中确定的主体方名义下载。</w:t>
      </w:r>
    </w:p>
    <w:p w14:paraId="3EDCE5C1">
      <w:pPr>
        <w:autoSpaceDE w:val="0"/>
        <w:autoSpaceDN w:val="0"/>
        <w:adjustRightIn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（6）联合体参加的，应以主体方名义提交磋商保证金（如有），对联合体各方均具有约束力。</w:t>
      </w:r>
    </w:p>
    <w:p w14:paraId="0BE029C8">
      <w:pPr>
        <w:autoSpaceDE w:val="0"/>
        <w:autoSpaceDN w:val="0"/>
        <w:adjustRightIn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由同一专业的单位组成的联合体，按照同一项资质等级较低的单位确定资质等级。业绩等有关打分内容根据共同磋商协议约定的各方承担的工作和相应责任，确定一方打分，不累加打分；评审标准无明确或难以明确对应哪一方的打分内容按主体方打分。</w:t>
      </w:r>
    </w:p>
    <w:p w14:paraId="645AAED4">
      <w:pPr>
        <w:autoSpaceDE w:val="0"/>
        <w:autoSpaceDN w:val="0"/>
        <w:adjustRightIn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（8）联合体中任意一方为中小企业的，该方应提供《中小企业声明函》。</w:t>
      </w:r>
    </w:p>
    <w:p w14:paraId="7379AAFF">
      <w:pPr>
        <w:autoSpaceDE w:val="0"/>
        <w:autoSpaceDN w:val="0"/>
        <w:adjustRightIn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（9）联合体各方应当共同与采购人签订采购合同，就采购合同约定的事项对采购人承担连带责任。</w:t>
      </w:r>
    </w:p>
    <w:p w14:paraId="401F6829">
      <w:pPr>
        <w:autoSpaceDE w:val="0"/>
        <w:autoSpaceDN w:val="0"/>
        <w:adjustRightIn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3.4关于关联企业</w:t>
      </w:r>
    </w:p>
    <w:p w14:paraId="28975C9B">
      <w:pPr>
        <w:autoSpaceDE w:val="0"/>
        <w:autoSpaceDN w:val="0"/>
        <w:adjustRightIn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除联合体外，法定代表人或单位负责人为同一个人或者存在直接控股、管理关系的不同供应商，不得同时参加同一项目或同一子项目的磋商活动。如同时参加，则评审时将同时被拒绝。</w:t>
      </w:r>
    </w:p>
    <w:p w14:paraId="6965F60E">
      <w:pPr>
        <w:autoSpaceDE w:val="0"/>
        <w:autoSpaceDN w:val="0"/>
        <w:adjustRightIn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3.5关于中小微企业参与磋商</w:t>
      </w:r>
    </w:p>
    <w:p w14:paraId="37D5CE58">
      <w:pPr>
        <w:autoSpaceDE w:val="0"/>
        <w:autoSpaceDN w:val="0"/>
        <w:adjustRightIn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中小微企业是指符合《政府采购促进中小企业发展管理办法》（财库[2020]46号）、且适用</w:t>
      </w:r>
      <w:r>
        <w:rPr>
          <w:rFonts w:hint="eastAsia" w:ascii="仿宋" w:hAnsi="仿宋" w:eastAsia="仿宋" w:cs="仿宋"/>
          <w:color w:val="auto"/>
          <w:sz w:val="24"/>
          <w:highlight w:val="none"/>
        </w:rPr>
        <w:t>山西省财政厅发布的《关于进一步加大政府采购支持中小企业力度助力扎实稳住经济的通知》（晋财购【2022】6号）</w:t>
      </w:r>
      <w:r>
        <w:rPr>
          <w:rFonts w:hint="eastAsia" w:ascii="仿宋" w:hAnsi="仿宋" w:eastAsia="仿宋" w:cs="仿宋"/>
          <w:color w:val="auto"/>
          <w:kern w:val="0"/>
          <w:sz w:val="24"/>
          <w:highlight w:val="none"/>
        </w:rPr>
        <w:t>规定的供应商。中小微企业参与磋商应提供《中小企业声明函》。</w:t>
      </w:r>
    </w:p>
    <w:p w14:paraId="7F83306E">
      <w:pPr>
        <w:autoSpaceDE w:val="0"/>
        <w:autoSpaceDN w:val="0"/>
        <w:adjustRightIn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监狱企业参加时，提供由省级以上监狱管理局、戒毒管理局（含新疆生产建设兵团）出具的属于监狱企业的证明文件，不再提供《中小企业声明函》。</w:t>
      </w:r>
    </w:p>
    <w:p w14:paraId="6B6E6147">
      <w:pPr>
        <w:autoSpaceDE w:val="0"/>
        <w:autoSpaceDN w:val="0"/>
        <w:adjustRightIn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残疾人福利性单位视同为小型、微型企业。</w:t>
      </w:r>
    </w:p>
    <w:p w14:paraId="1CB37543">
      <w:pPr>
        <w:autoSpaceDE w:val="0"/>
        <w:autoSpaceDN w:val="0"/>
        <w:adjustRightIn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4.合格的服务</w:t>
      </w:r>
    </w:p>
    <w:p w14:paraId="39008B99">
      <w:pPr>
        <w:autoSpaceDE w:val="0"/>
        <w:autoSpaceDN w:val="0"/>
        <w:adjustRightIn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4.1供应商所提供的服务应当没有侵犯任何第三方的知识产权、技术秘密等合法权利。</w:t>
      </w:r>
    </w:p>
    <w:p w14:paraId="3648BC45">
      <w:pPr>
        <w:autoSpaceDE w:val="0"/>
        <w:autoSpaceDN w:val="0"/>
        <w:adjustRightIn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4.2供应商提供的服务应当符合磋商文件的要求，并且其质量完全符合国家标准、行业标准或地方标准。</w:t>
      </w:r>
    </w:p>
    <w:p w14:paraId="45FBED9F">
      <w:pPr>
        <w:autoSpaceDE w:val="0"/>
        <w:autoSpaceDN w:val="0"/>
        <w:adjustRightIn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4.3系统软件、通用软件必须是具有在中国境内的合法使用权或版权的正版软件，涉及到第三方提出侵权或知识产权的起诉及支付版税等费用由供应商承担所有责任及费用。</w:t>
      </w:r>
    </w:p>
    <w:p w14:paraId="44C69D3F">
      <w:pPr>
        <w:snapToGrid w:val="0"/>
        <w:spacing w:line="400" w:lineRule="exact"/>
        <w:ind w:firstLine="482" w:firstLineChars="200"/>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5. 磋商费用</w:t>
      </w:r>
    </w:p>
    <w:p w14:paraId="573F6507">
      <w:pPr>
        <w:tabs>
          <w:tab w:val="left" w:pos="567"/>
        </w:tabs>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5.1供应商应承担准备和参与磋商有关的所有费用，采购代理机构或采购人在任何情况下均无义务和责任承担这些费用。</w:t>
      </w:r>
    </w:p>
    <w:p w14:paraId="1F50934E">
      <w:pPr>
        <w:tabs>
          <w:tab w:val="left" w:pos="567"/>
        </w:tabs>
        <w:snapToGrid w:val="0"/>
        <w:spacing w:line="400" w:lineRule="exact"/>
        <w:ind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6 磋商要求</w:t>
      </w:r>
    </w:p>
    <w:p w14:paraId="187EF4DE">
      <w:pPr>
        <w:tabs>
          <w:tab w:val="left" w:pos="567"/>
        </w:tabs>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6.1供应商所提供的服务方案与技术方案被采购人采用时，成交供应商所提供的服务及相关内容必须符合本《磋商文件》的要求并按要求实施，并认真履行合同规定的相关条款。</w:t>
      </w:r>
    </w:p>
    <w:p w14:paraId="3B9E2A56">
      <w:pPr>
        <w:tabs>
          <w:tab w:val="left" w:pos="567"/>
        </w:tabs>
        <w:snapToGrid w:val="0"/>
        <w:spacing w:line="400" w:lineRule="exact"/>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6.2采购代理机构或者采购人可以在磋商文件提供期限截止后，组织已获取磋商文件的潜在供应商现场勘查或者召开标前答疑会。是否组织现场勘查或者召开答疑会的，详见供应商前附表第11.12项。而无论采购代理机构是否安排踏勘现场，潜在供应商均应当将相关的因素作为磋商响应所应当考虑或依据的因素。</w:t>
      </w:r>
    </w:p>
    <w:p w14:paraId="47760F58">
      <w:pPr>
        <w:tabs>
          <w:tab w:val="left" w:pos="567"/>
        </w:tabs>
        <w:snapToGrid w:val="0"/>
        <w:spacing w:line="400" w:lineRule="exact"/>
        <w:ind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7. 通知</w:t>
      </w:r>
    </w:p>
    <w:p w14:paraId="05C86D54">
      <w:pPr>
        <w:tabs>
          <w:tab w:val="left" w:pos="567"/>
        </w:tabs>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7.1对与本项目有关的通知，代理机构将通过</w:t>
      </w:r>
      <w:r>
        <w:rPr>
          <w:rFonts w:hint="eastAsia" w:ascii="仿宋" w:hAnsi="仿宋" w:eastAsia="仿宋" w:cs="仿宋"/>
          <w:color w:val="auto"/>
          <w:kern w:val="0"/>
          <w:sz w:val="24"/>
          <w:highlight w:val="none"/>
          <w:u w:val="single"/>
        </w:rPr>
        <w:t>山西省政府采购平台政采云系统中</w:t>
      </w:r>
      <w:r>
        <w:rPr>
          <w:rFonts w:hint="eastAsia" w:ascii="仿宋" w:hAnsi="仿宋" w:eastAsia="仿宋" w:cs="仿宋"/>
          <w:color w:val="auto"/>
          <w:kern w:val="0"/>
          <w:sz w:val="24"/>
          <w:highlight w:val="none"/>
        </w:rPr>
        <w:t>发出（视同书面通知），因线路故障导致通知延迟或无法查看，代理机构或采购方将不承担任何责任，有关的磋商活动可以继续有效地进行。</w:t>
      </w:r>
    </w:p>
    <w:p w14:paraId="090F7AFF">
      <w:pPr>
        <w:snapToGrid w:val="0"/>
        <w:spacing w:line="400" w:lineRule="exact"/>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8.解释权</w:t>
      </w:r>
    </w:p>
    <w:p w14:paraId="782D2A88">
      <w:pPr>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8.1本次磋商活动的最终解释权归为采购人、采购代理机构。</w:t>
      </w:r>
    </w:p>
    <w:p w14:paraId="44CE0C84">
      <w:pPr>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8.2当对一个问题有多种解释时以采购人、采购代理机构的解释为准。</w:t>
      </w:r>
    </w:p>
    <w:p w14:paraId="47268BBC">
      <w:pPr>
        <w:snapToGrid w:val="0"/>
        <w:spacing w:line="400" w:lineRule="exact"/>
        <w:ind w:firstLine="480" w:firstLineChars="200"/>
        <w:outlineLvl w:val="1"/>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8.3本文件未作须知明示，而又有相关法律、法规规定的，采购人、采购代理机构将依据相关法律法规的规定进行解释。</w:t>
      </w:r>
    </w:p>
    <w:p w14:paraId="59212A76">
      <w:pPr>
        <w:tabs>
          <w:tab w:val="left" w:pos="567"/>
        </w:tabs>
        <w:snapToGrid w:val="0"/>
        <w:spacing w:line="400" w:lineRule="exact"/>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二、磋商文件</w:t>
      </w:r>
    </w:p>
    <w:p w14:paraId="1D3A5DCA">
      <w:pPr>
        <w:snapToGrid w:val="0"/>
        <w:spacing w:line="400" w:lineRule="exact"/>
        <w:ind w:firstLine="477" w:firstLineChars="198"/>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9.磋商文件的内容</w:t>
      </w:r>
    </w:p>
    <w:p w14:paraId="7B4DADC9">
      <w:pPr>
        <w:snapToGrid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9.1磋商文件由下列七部分内容组成：</w:t>
      </w:r>
    </w:p>
    <w:p w14:paraId="3A96E37D">
      <w:pPr>
        <w:snapToGrid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第一部分 磋商公告；</w:t>
      </w:r>
    </w:p>
    <w:p w14:paraId="5AF4832D">
      <w:pPr>
        <w:snapToGrid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第二部分 供应商须知前附表；</w:t>
      </w:r>
    </w:p>
    <w:p w14:paraId="50AFCC17">
      <w:pPr>
        <w:snapToGrid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第三部分 供应商须知；</w:t>
      </w:r>
    </w:p>
    <w:p w14:paraId="6C9B6E44">
      <w:pPr>
        <w:snapToGrid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第四部分 评审标准和评定方法；</w:t>
      </w:r>
    </w:p>
    <w:p w14:paraId="2E0E0CAB">
      <w:pPr>
        <w:snapToGrid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第五部分 商务、</w:t>
      </w:r>
      <w:r>
        <w:rPr>
          <w:rFonts w:hint="eastAsia" w:ascii="仿宋" w:hAnsi="仿宋" w:eastAsia="仿宋" w:cs="仿宋"/>
          <w:color w:val="auto"/>
          <w:kern w:val="0"/>
          <w:sz w:val="24"/>
          <w:highlight w:val="none"/>
          <w:lang w:val="en-US" w:eastAsia="zh-CN"/>
        </w:rPr>
        <w:t>技术</w:t>
      </w:r>
      <w:r>
        <w:rPr>
          <w:rFonts w:hint="eastAsia" w:ascii="仿宋" w:hAnsi="仿宋" w:eastAsia="仿宋" w:cs="仿宋"/>
          <w:color w:val="auto"/>
          <w:kern w:val="0"/>
          <w:sz w:val="24"/>
          <w:highlight w:val="none"/>
        </w:rPr>
        <w:t>要求；</w:t>
      </w:r>
    </w:p>
    <w:p w14:paraId="5CC11CF1">
      <w:pPr>
        <w:snapToGrid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第六部分 合同范本；</w:t>
      </w:r>
    </w:p>
    <w:p w14:paraId="1C3A0DD7">
      <w:pPr>
        <w:snapToGrid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第七部分 响应文件格式；</w:t>
      </w:r>
    </w:p>
    <w:p w14:paraId="645AB0C8">
      <w:pPr>
        <w:pStyle w:val="25"/>
        <w:spacing w:line="400" w:lineRule="exact"/>
        <w:ind w:left="0" w:firstLine="480" w:firstLineChars="200"/>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9.2供应商应详细阅读磋商文件的全部内容。如果没有按照磋商文件要求提交全部资料或者没有对磋商文件在各方面都做出实质性响应，有可能被确定为响应无效。</w:t>
      </w:r>
    </w:p>
    <w:p w14:paraId="5AD02723">
      <w:pPr>
        <w:pStyle w:val="25"/>
        <w:spacing w:line="400" w:lineRule="exact"/>
        <w:ind w:left="0" w:firstLine="480" w:firstLineChars="200"/>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9.3 除非特殊要求，磋商文件不单独提供本磋商项目使用地的自然环境、气候条件、公用设施等情况，供应商被视为熟悉上述与履行合同有关的一切情况。</w:t>
      </w:r>
    </w:p>
    <w:p w14:paraId="6FAD68B7">
      <w:pPr>
        <w:pStyle w:val="25"/>
        <w:spacing w:line="400" w:lineRule="exact"/>
        <w:ind w:left="0" w:firstLine="482" w:firstLineChars="200"/>
        <w:jc w:val="both"/>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10. 磋商文件的澄清和修改</w:t>
      </w:r>
    </w:p>
    <w:p w14:paraId="422F7BFC">
      <w:pPr>
        <w:pStyle w:val="25"/>
        <w:spacing w:line="400" w:lineRule="exact"/>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10.1澄清或修改时间及处理：上传响应文件截止日之前，代理机构或采购方可以对已发出的磋商文件进行必要的澄清或修改，其内容作为磋商文件的组成部分。所澄清或修改内容可能影响响应文件编制的，代理机构或采购方应当在上传响应文件截止时间至少5日前，以公告形式在</w:t>
      </w:r>
      <w:r>
        <w:rPr>
          <w:rFonts w:hint="eastAsia" w:ascii="仿宋" w:hAnsi="仿宋" w:eastAsia="仿宋" w:cs="仿宋"/>
          <w:color w:val="auto"/>
          <w:sz w:val="24"/>
          <w:szCs w:val="24"/>
          <w:highlight w:val="none"/>
          <w:u w:val="single"/>
        </w:rPr>
        <w:t>山西省政府采购网</w:t>
      </w:r>
      <w:r>
        <w:rPr>
          <w:rFonts w:hint="eastAsia" w:ascii="仿宋" w:hAnsi="仿宋" w:eastAsia="仿宋" w:cs="仿宋"/>
          <w:color w:val="auto"/>
          <w:sz w:val="24"/>
          <w:szCs w:val="24"/>
          <w:highlight w:val="none"/>
        </w:rPr>
        <w:t>发布变更公告。不足5日的，应当顺延提交首次响应文件截止时间。</w:t>
      </w:r>
    </w:p>
    <w:p w14:paraId="04E71834">
      <w:pPr>
        <w:pStyle w:val="25"/>
        <w:spacing w:line="400" w:lineRule="exact"/>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10.2澄清修改的补充文件中包括原提出的问题及问题的说明意见，但不包括问题的来源。</w:t>
      </w:r>
    </w:p>
    <w:p w14:paraId="48D80E08">
      <w:pPr>
        <w:pStyle w:val="25"/>
        <w:spacing w:line="400" w:lineRule="exact"/>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10.3供应商澄清要求的提交：任何已下载了磋商文件的供应商，均可以在上传响应文件截止时间5日前对磋商文件进行澄清、询问，并以书面形式（包括书面材料、信函、传真，下同）送达代理机构。</w:t>
      </w:r>
    </w:p>
    <w:p w14:paraId="4EB476C1">
      <w:pPr>
        <w:pStyle w:val="25"/>
        <w:spacing w:line="400" w:lineRule="exact"/>
        <w:ind w:lef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10.4澄清、修改及其它答复的效力：代理机构或采购方一旦对磋商文件做出澄清或修改，即发生效力，代理机构或采购方有关的补充文件，应当作为磋商文件的组成部分，对所有供应商均具有约束力。</w:t>
      </w:r>
    </w:p>
    <w:p w14:paraId="32E9A052">
      <w:pPr>
        <w:pStyle w:val="3"/>
        <w:keepNext/>
        <w:keepLines/>
        <w:pageBreakBefore w:val="0"/>
        <w:widowControl w:val="0"/>
        <w:kinsoku/>
        <w:wordWrap/>
        <w:overflowPunct/>
        <w:topLinePunct w:val="0"/>
        <w:autoSpaceDE/>
        <w:autoSpaceDN/>
        <w:bidi w:val="0"/>
        <w:adjustRightInd/>
        <w:snapToGrid/>
        <w:spacing w:before="0" w:after="0" w:line="360" w:lineRule="auto"/>
        <w:ind w:firstLine="241" w:firstLineChars="100"/>
        <w:textAlignment w:val="auto"/>
        <w:rPr>
          <w:rFonts w:hint="eastAsia"/>
          <w:sz w:val="24"/>
          <w:szCs w:val="24"/>
        </w:rPr>
      </w:pPr>
      <w:r>
        <w:rPr>
          <w:rFonts w:hint="eastAsia"/>
          <w:sz w:val="24"/>
          <w:szCs w:val="24"/>
        </w:rPr>
        <w:t>三、响应文件</w:t>
      </w:r>
    </w:p>
    <w:p w14:paraId="037227A6">
      <w:pPr>
        <w:tabs>
          <w:tab w:val="left" w:pos="0"/>
        </w:tabs>
        <w:snapToGrid w:val="0"/>
        <w:spacing w:line="400" w:lineRule="exact"/>
        <w:ind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11.响应文件的语言和计量单位</w:t>
      </w:r>
    </w:p>
    <w:p w14:paraId="0EC7A738">
      <w:pPr>
        <w:tabs>
          <w:tab w:val="left" w:pos="567"/>
        </w:tabs>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11.1供应商提交的响应文件（包括商务、技术文件和资料中的说明）以及供应商与代理机构就有关磋商的所有往来函均应使用中文简体字。</w:t>
      </w:r>
    </w:p>
    <w:p w14:paraId="138C5BD3">
      <w:pPr>
        <w:tabs>
          <w:tab w:val="left" w:pos="567"/>
        </w:tabs>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11.2 响应文件所使用的计量单位，应使用中华人民共</w:t>
      </w:r>
      <w:r>
        <w:rPr>
          <w:rFonts w:hint="eastAsia" w:ascii="仿宋" w:hAnsi="仿宋" w:eastAsia="仿宋" w:cs="仿宋"/>
          <w:color w:val="auto"/>
          <w:kern w:val="0"/>
          <w:sz w:val="24"/>
          <w:highlight w:val="none"/>
          <w:lang w:val="en-US" w:eastAsia="zh-CN"/>
        </w:rPr>
        <w:t>和</w:t>
      </w:r>
      <w:r>
        <w:rPr>
          <w:rFonts w:hint="eastAsia" w:ascii="仿宋" w:hAnsi="仿宋" w:eastAsia="仿宋" w:cs="仿宋"/>
          <w:color w:val="auto"/>
          <w:kern w:val="0"/>
          <w:sz w:val="24"/>
          <w:highlight w:val="none"/>
        </w:rPr>
        <w:t>国法定计量单位。</w:t>
      </w:r>
    </w:p>
    <w:p w14:paraId="685D2647">
      <w:pPr>
        <w:tabs>
          <w:tab w:val="left" w:pos="567"/>
        </w:tabs>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11.3原版为外文的证书类文件，以及由外国人做出的本人签名、外国公司的名称或外国印章等可以是外文，但应当提供中文翻译文件并加盖供应商公章。必要时磋商小组可以要求供应商提供附有公证书的中文翻译文件或者与原版文件签章相一致的中文翻译文件。否则，产生的不利后果由供应商承担。</w:t>
      </w:r>
    </w:p>
    <w:p w14:paraId="4BF0DA75">
      <w:pPr>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原版为外文的证书类、证明类文件，与供应商名称或其它实际情况不符的，供应商应当提供相关证明文件。</w:t>
      </w:r>
    </w:p>
    <w:p w14:paraId="300655A5">
      <w:pPr>
        <w:tabs>
          <w:tab w:val="left" w:pos="0"/>
        </w:tabs>
        <w:snapToGrid w:val="0"/>
        <w:spacing w:line="400" w:lineRule="exact"/>
        <w:ind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12. 响应文件的组成及相关要求</w:t>
      </w:r>
    </w:p>
    <w:p w14:paraId="0FF0B5ED">
      <w:pPr>
        <w:snapToGrid w:val="0"/>
        <w:spacing w:line="400" w:lineRule="exact"/>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12.1响应文件分为资格证明文件和商务技术文件两部分组成。</w:t>
      </w:r>
    </w:p>
    <w:p w14:paraId="3E89DCF3">
      <w:pPr>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资格证明文件：指供应商提交的证明其有资格参加磋商的文件。</w:t>
      </w:r>
    </w:p>
    <w:p w14:paraId="14D6466A">
      <w:pPr>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商务、技术文件：指供应商提交的能够证明其成交后有能力履行合同的文件和提供的服务符合本磋商文件规定和政策性要求的文件。</w:t>
      </w:r>
    </w:p>
    <w:p w14:paraId="636AEA17">
      <w:pPr>
        <w:pStyle w:val="8"/>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次磋商，供应商应按磋商文件供应商须知前附表要求，提交资格证明文件和商务、技术文件及供应商自行编写的其他文件。前附表第5项资格证明文件、第6项商务技术文件中的加“★”项、商务技术要求中加“★”指标、政策性要求中国家强制性因素等若有缺失或无效或商务技术文件未实质上响应磋商文件要求，将作无效报价处理。</w:t>
      </w:r>
    </w:p>
    <w:p w14:paraId="0827FE2C">
      <w:pPr>
        <w:snapToGrid w:val="0"/>
        <w:spacing w:line="400" w:lineRule="exact"/>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12.2响应文件其他要求</w:t>
      </w:r>
    </w:p>
    <w:p w14:paraId="2677A881">
      <w:pPr>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12.2.1编排要求</w:t>
      </w:r>
    </w:p>
    <w:p w14:paraId="1E6D512B">
      <w:pPr>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响应文件规格幅面（A4）；按照磋商文件第七部分格式要求和系统中的编排顺序，统一编目、正序编排页码（响应文件中扫描件或影印件及彩色宣传资料等均须与响应文件正文一起逐页编排页码）。由于编排混乱导致响应文件被误读或查找不到，其责任应当由供应商承担。</w:t>
      </w:r>
    </w:p>
    <w:p w14:paraId="2D2108AE">
      <w:pPr>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12.2.2格式要求</w:t>
      </w:r>
    </w:p>
    <w:p w14:paraId="45D68F04">
      <w:pPr>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本磋商文件第七部分已提供“响应文件格式”的，需按照格式要求编制和上传（供应商可以对所提供的格式进行扩展，但不得更改格式内容），没有提供格式的，供应商自拟。</w:t>
      </w:r>
    </w:p>
    <w:p w14:paraId="262B7DCA">
      <w:pPr>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12.2.3响应文件的份数、加密</w:t>
      </w:r>
    </w:p>
    <w:p w14:paraId="6224DD1D">
      <w:pPr>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12.2.3.1响应文件的份数</w:t>
      </w:r>
    </w:p>
    <w:p w14:paraId="5B0E0EA1">
      <w:pPr>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FF0000"/>
          <w:kern w:val="0"/>
          <w:sz w:val="24"/>
          <w:highlight w:val="none"/>
        </w:rPr>
        <w:t>本次磋商须提交的响应文件份数详见供应商须知前附表。且在开标后将上传的投标文件打印、盖章邮寄或送达代理公司。纸质版</w:t>
      </w:r>
      <w:r>
        <w:rPr>
          <w:rFonts w:hint="eastAsia" w:ascii="仿宋" w:hAnsi="仿宋" w:eastAsia="仿宋" w:cs="仿宋"/>
          <w:color w:val="FF0000"/>
          <w:kern w:val="0"/>
          <w:sz w:val="24"/>
          <w:highlight w:val="none"/>
          <w:lang w:val="en-US" w:eastAsia="zh-CN"/>
        </w:rPr>
        <w:t>响应</w:t>
      </w:r>
      <w:r>
        <w:rPr>
          <w:rFonts w:hint="eastAsia" w:ascii="仿宋" w:hAnsi="仿宋" w:eastAsia="仿宋" w:cs="仿宋"/>
          <w:color w:val="FF0000"/>
          <w:kern w:val="0"/>
          <w:sz w:val="24"/>
          <w:highlight w:val="none"/>
        </w:rPr>
        <w:t>文件份数：</w:t>
      </w:r>
      <w:r>
        <w:rPr>
          <w:rFonts w:hint="eastAsia" w:ascii="仿宋" w:hAnsi="仿宋" w:eastAsia="仿宋" w:cs="仿宋"/>
          <w:color w:val="FF0000"/>
          <w:kern w:val="0"/>
          <w:sz w:val="24"/>
          <w:highlight w:val="none"/>
          <w:lang w:val="en-US" w:eastAsia="zh-CN"/>
        </w:rPr>
        <w:t>3份</w:t>
      </w:r>
      <w:r>
        <w:rPr>
          <w:rFonts w:hint="eastAsia" w:ascii="仿宋" w:hAnsi="仿宋" w:eastAsia="仿宋" w:cs="仿宋"/>
          <w:color w:val="FF0000"/>
          <w:kern w:val="0"/>
          <w:sz w:val="24"/>
          <w:highlight w:val="none"/>
        </w:rPr>
        <w:t>。</w:t>
      </w:r>
    </w:p>
    <w:p w14:paraId="4D7E5665">
      <w:pPr>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12.2.3.2响应文件加密</w:t>
      </w:r>
    </w:p>
    <w:p w14:paraId="74039E6E">
      <w:pPr>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系统中上传的电子响应文件须使用数字电子CA（单位、法人或个人）进行加密。</w:t>
      </w:r>
    </w:p>
    <w:p w14:paraId="3DA1A36E">
      <w:pPr>
        <w:snapToGrid w:val="0"/>
        <w:spacing w:line="400" w:lineRule="exact"/>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12.3磋商保证金</w:t>
      </w:r>
    </w:p>
    <w:p w14:paraId="1F7A483D">
      <w:pPr>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12.3.1供应商应提交的磋商保证金金额和提交方式详见须知前附表。未按要求提交磋商保证金的，响应无效。</w:t>
      </w:r>
    </w:p>
    <w:p w14:paraId="613A4508">
      <w:pPr>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12.3.2供应商在响应文件开启时间前撤回已提交的响应文件的，代理机构应当自收到供应商书面撤回通知之日起5个工作日内，退还已收取的磋商保证金，但因供应商自身原因导致无法及时退还的除外。</w:t>
      </w:r>
    </w:p>
    <w:p w14:paraId="73C09A66">
      <w:pPr>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12.3.3代理机构应当自成交通知书发出之日起5个工作日内退还未成交供应商的磋商保证金，自采购合同签订之日起5个工作日内退还成交供应商的磋商保证金。但因供应商自身原因导致无法及时退还的除外。</w:t>
      </w:r>
    </w:p>
    <w:p w14:paraId="7016F1CB">
      <w:pPr>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12.3.4有下列情形之一的，磋商保证金不予退还：</w:t>
      </w:r>
    </w:p>
    <w:p w14:paraId="41F9BB08">
      <w:pPr>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12.3.4.1供应商在响应文件中提供虚假材料的；</w:t>
      </w:r>
    </w:p>
    <w:p w14:paraId="503C6DEC">
      <w:pPr>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12.3.4.2除因不可抗力或磋商文件认可的情形外，成交供应商不与采购人签订合同的；</w:t>
      </w:r>
    </w:p>
    <w:p w14:paraId="758F3635">
      <w:pPr>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12.3.4.3供应商与采购人、其他供应商或者代理机构恶意串通的；</w:t>
      </w:r>
    </w:p>
    <w:p w14:paraId="65DFC576">
      <w:pPr>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12.3.4.4磋商有效期内撤回响应文件的；</w:t>
      </w:r>
    </w:p>
    <w:p w14:paraId="18A24CD2">
      <w:pPr>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12.3.4.5磋商文件规定的其他情形。</w:t>
      </w:r>
    </w:p>
    <w:p w14:paraId="7D05104F">
      <w:pPr>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12.3.5已提交响应文件的供应商，在提交最后报价之前，可以根据磋商情况退出报价。代理机构应当退还退出磋商的供应商的磋商保证金。</w:t>
      </w:r>
    </w:p>
    <w:p w14:paraId="1316075B">
      <w:pPr>
        <w:snapToGrid w:val="0"/>
        <w:spacing w:line="400" w:lineRule="exact"/>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rPr>
        <w:t>12.4 磋商报价</w:t>
      </w:r>
    </w:p>
    <w:p w14:paraId="0578A37E">
      <w:pPr>
        <w:snapToGrid w:val="0"/>
        <w:spacing w:line="400" w:lineRule="exact"/>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color w:val="auto"/>
          <w:kern w:val="0"/>
          <w:sz w:val="24"/>
          <w:highlight w:val="none"/>
        </w:rPr>
        <w:t>12.4.1所有磋商报价均以</w:t>
      </w:r>
      <w:r>
        <w:rPr>
          <w:rFonts w:hint="eastAsia" w:ascii="仿宋" w:hAnsi="仿宋" w:eastAsia="仿宋" w:cs="仿宋"/>
          <w:b/>
          <w:color w:val="auto"/>
          <w:kern w:val="0"/>
          <w:sz w:val="24"/>
          <w:highlight w:val="none"/>
        </w:rPr>
        <w:t>人民币</w:t>
      </w:r>
      <w:r>
        <w:rPr>
          <w:rFonts w:hint="eastAsia" w:ascii="仿宋" w:hAnsi="仿宋" w:eastAsia="仿宋" w:cs="仿宋"/>
          <w:color w:val="auto"/>
          <w:kern w:val="0"/>
          <w:sz w:val="24"/>
          <w:highlight w:val="none"/>
        </w:rPr>
        <w:t>“元”为计算单位</w:t>
      </w:r>
      <w:r>
        <w:rPr>
          <w:rFonts w:hint="eastAsia" w:ascii="仿宋" w:hAnsi="仿宋" w:eastAsia="仿宋" w:cs="仿宋"/>
          <w:color w:val="auto"/>
          <w:sz w:val="24"/>
          <w:highlight w:val="none"/>
        </w:rPr>
        <w:t>。</w:t>
      </w:r>
      <w:r>
        <w:rPr>
          <w:rFonts w:hint="eastAsia" w:ascii="仿宋" w:hAnsi="仿宋" w:eastAsia="仿宋" w:cs="仿宋"/>
          <w:snapToGrid w:val="0"/>
          <w:color w:val="auto"/>
          <w:kern w:val="0"/>
          <w:sz w:val="24"/>
          <w:highlight w:val="none"/>
        </w:rPr>
        <w:t>只要投报了一个确定数额，无论分项价格是否全部填报了相应的金额或免费字样，报价应被视为已经包含了但并不限于相关服务、税费等的费用。在其它情况下，由于分项报价填报不完整、不清楚或存在其它任何失误，所导致的任何不利后果均应当由供应商自行承担。</w:t>
      </w:r>
    </w:p>
    <w:p w14:paraId="5207D815">
      <w:pPr>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12.4.2供应商应按报价要求的内容认真填报“报价一览表”。</w:t>
      </w:r>
    </w:p>
    <w:p w14:paraId="31F132CE">
      <w:pPr>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12.4.3供应商投报多包的，应对每包整包内容分别填报，不得拆包分项报价。 </w:t>
      </w:r>
    </w:p>
    <w:p w14:paraId="604A675F">
      <w:pPr>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12.4.4本次磋商不接受可选择方案的报价。</w:t>
      </w:r>
    </w:p>
    <w:p w14:paraId="766BDBAF">
      <w:pPr>
        <w:pStyle w:val="27"/>
        <w:snapToGrid w:val="0"/>
        <w:spacing w:line="400" w:lineRule="exact"/>
        <w:ind w:firstLine="477" w:firstLineChars="198"/>
        <w:jc w:val="both"/>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13. 响应文件填写说明</w:t>
      </w:r>
    </w:p>
    <w:p w14:paraId="6CCF8002">
      <w:pPr>
        <w:pStyle w:val="27"/>
        <w:snapToGrid w:val="0"/>
        <w:spacing w:line="40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13.1供应商应详细阅读本磋商文件的全部内容。响应文件应对本磋商文件中的内容做出实质性和完整性的响应。</w:t>
      </w:r>
    </w:p>
    <w:p w14:paraId="266D1E7D">
      <w:pPr>
        <w:pStyle w:val="27"/>
        <w:snapToGrid w:val="0"/>
        <w:spacing w:line="400" w:lineRule="exact"/>
        <w:ind w:firstLine="480" w:firstLineChars="200"/>
        <w:jc w:val="left"/>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t>13.2响应文件应严格按照磋商文件第七部分的要求提交，并按规定的统一格式</w:t>
      </w:r>
      <w:r>
        <w:rPr>
          <w:rFonts w:hint="eastAsia" w:ascii="仿宋" w:hAnsi="仿宋" w:eastAsia="仿宋" w:cs="仿宋"/>
          <w:color w:val="auto"/>
          <w:sz w:val="24"/>
          <w:szCs w:val="24"/>
          <w:highlight w:val="none"/>
        </w:rPr>
        <w:t>逐项填写，不准有空项、缺项；无相应内容可填的项应填写“无”、“没有相应指标”、“/”等明确的回答</w:t>
      </w:r>
      <w:r>
        <w:rPr>
          <w:rFonts w:hint="eastAsia" w:ascii="仿宋" w:hAnsi="仿宋" w:eastAsia="仿宋" w:cs="仿宋"/>
          <w:b/>
          <w:color w:val="auto"/>
          <w:sz w:val="24"/>
          <w:szCs w:val="24"/>
          <w:highlight w:val="none"/>
        </w:rPr>
        <w:t>。</w:t>
      </w:r>
      <w:r>
        <w:rPr>
          <w:rFonts w:hint="eastAsia" w:ascii="仿宋" w:hAnsi="仿宋" w:eastAsia="仿宋" w:cs="仿宋"/>
          <w:color w:val="auto"/>
          <w:sz w:val="24"/>
          <w:szCs w:val="24"/>
          <w:highlight w:val="none"/>
        </w:rPr>
        <w:t>响应文件未按规定提交或留有空项，将被视为不完整响应的响应文件，其响应文件有可能被拒绝。</w:t>
      </w:r>
    </w:p>
    <w:p w14:paraId="5FB95874">
      <w:pPr>
        <w:pStyle w:val="27"/>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13.3供应商必须对响应文件所提供的全部资料的真实性可靠性负责，并接受磋商小组对其中任何资料进一步审查的要求。</w:t>
      </w:r>
    </w:p>
    <w:p w14:paraId="5B79D15B">
      <w:pPr>
        <w:pStyle w:val="27"/>
        <w:snapToGrid w:val="0"/>
        <w:spacing w:line="40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13.4</w:t>
      </w:r>
      <w:r>
        <w:rPr>
          <w:rFonts w:hint="eastAsia" w:ascii="仿宋" w:hAnsi="仿宋" w:eastAsia="仿宋" w:cs="仿宋"/>
          <w:color w:val="auto"/>
          <w:kern w:val="0"/>
          <w:sz w:val="24"/>
          <w:szCs w:val="24"/>
          <w:highlight w:val="none"/>
        </w:rPr>
        <w:t>因响应文件字迹潦草、提交资料不清晰或表达不清楚所引起的不利后果由供应商自行承担。</w:t>
      </w:r>
    </w:p>
    <w:p w14:paraId="39FB9ACC">
      <w:pPr>
        <w:pStyle w:val="27"/>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13.5</w:t>
      </w:r>
      <w:r>
        <w:rPr>
          <w:rFonts w:hint="eastAsia" w:ascii="仿宋" w:hAnsi="仿宋" w:eastAsia="仿宋" w:cs="仿宋"/>
          <w:color w:val="auto"/>
          <w:sz w:val="24"/>
          <w:szCs w:val="24"/>
          <w:highlight w:val="none"/>
        </w:rPr>
        <w:t>为提倡诚实信用的磋商行为，特别要求供应商应本着诚信精神，在本次响应文件中按照磋商文件要求，以审慎的态度明确、清楚地披露各项内容。</w:t>
      </w:r>
      <w:r>
        <w:rPr>
          <w:rFonts w:hint="eastAsia" w:ascii="仿宋" w:hAnsi="仿宋" w:eastAsia="仿宋" w:cs="仿宋"/>
          <w:color w:val="auto"/>
          <w:kern w:val="0"/>
          <w:sz w:val="24"/>
          <w:szCs w:val="24"/>
          <w:highlight w:val="none"/>
        </w:rPr>
        <w:t>一旦在评审中被发现存在重大偏离或被认定为属于重大偏离，则磋商小组有权决定对该响应予以拒绝。</w:t>
      </w:r>
    </w:p>
    <w:p w14:paraId="76ADA3F8">
      <w:pPr>
        <w:pStyle w:val="27"/>
        <w:snapToGrid w:val="0"/>
        <w:spacing w:line="400" w:lineRule="exact"/>
        <w:ind w:firstLine="482" w:firstLineChars="20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14. 响应文件的有效期</w:t>
      </w:r>
    </w:p>
    <w:p w14:paraId="0E3AD755">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14.1本项目响应文件的有效期详见供应商须知前附表第9条。</w:t>
      </w:r>
      <w:r>
        <w:rPr>
          <w:rFonts w:hint="eastAsia" w:ascii="仿宋" w:hAnsi="仿宋" w:eastAsia="仿宋" w:cs="仿宋"/>
          <w:color w:val="auto"/>
          <w:kern w:val="0"/>
          <w:sz w:val="24"/>
          <w:highlight w:val="none"/>
        </w:rPr>
        <w:t>有效期短于该规定期限的响应无效。</w:t>
      </w:r>
    </w:p>
    <w:p w14:paraId="3117DD87">
      <w:pPr>
        <w:pStyle w:val="27"/>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14.2磋商有效期从提交响应文件的截止之日起算。</w:t>
      </w:r>
    </w:p>
    <w:p w14:paraId="7DBF4E2B">
      <w:pPr>
        <w:pStyle w:val="27"/>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14.3如果出现特殊情况，采购方可要求供应商将响应文件有效期延长一段时间，这种要求和供应商的答复以书面形式进行。供应商可以拒绝这种要求，而不被没收磋商保证金。同意延长响应文件有效期时，本须知关于磋商保证金的退还与没收规定仍适用。</w:t>
      </w:r>
    </w:p>
    <w:p w14:paraId="5C6782FD">
      <w:pPr>
        <w:pStyle w:val="27"/>
        <w:snapToGrid w:val="0"/>
        <w:spacing w:line="400" w:lineRule="exact"/>
        <w:ind w:firstLine="482" w:firstLineChars="20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15. 响应文件的签署及其他规定</w:t>
      </w:r>
    </w:p>
    <w:p w14:paraId="18A41175">
      <w:pPr>
        <w:pStyle w:val="27"/>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15.1组成响应文件的各种文件均应遵守本款规定。</w:t>
      </w:r>
    </w:p>
    <w:p w14:paraId="745B6BAD">
      <w:pPr>
        <w:pStyle w:val="27"/>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15.2供应商在响应文件及相关文件的签订、履行、通知等事项的文件中的“单位盖章”、“印章”、“公章”等处均仅指与当事人名称全称相一致的电子CA章，不得使用其</w:t>
      </w:r>
      <w:r>
        <w:rPr>
          <w:rFonts w:hint="eastAsia" w:ascii="仿宋" w:hAnsi="仿宋" w:eastAsia="仿宋" w:cs="仿宋"/>
          <w:color w:val="auto"/>
          <w:sz w:val="24"/>
          <w:szCs w:val="24"/>
          <w:highlight w:val="none"/>
          <w:lang w:val="en-US" w:eastAsia="zh-CN"/>
        </w:rPr>
        <w:t>他</w:t>
      </w:r>
      <w:r>
        <w:rPr>
          <w:rFonts w:hint="eastAsia" w:ascii="仿宋" w:hAnsi="仿宋" w:eastAsia="仿宋" w:cs="仿宋"/>
          <w:color w:val="auto"/>
          <w:sz w:val="24"/>
          <w:szCs w:val="24"/>
          <w:highlight w:val="none"/>
        </w:rPr>
        <w:t>（如带有“专用章”等字样）印章，否则将按响应无效处理。</w:t>
      </w:r>
    </w:p>
    <w:p w14:paraId="5B4EE26A">
      <w:pPr>
        <w:pStyle w:val="27"/>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15.3供应商应在响应文件中按照磋商文件要求，在指定的位置签字（章）或加盖个人电子CA章、加盖供应商电子CA章，否则将按响应无效处理。</w:t>
      </w:r>
    </w:p>
    <w:p w14:paraId="3D91D93A">
      <w:pPr>
        <w:pStyle w:val="27"/>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15.4响应文件应字迹清楚、内容齐全、不得涂改或增删。如有修改和增删，必须有供应商电子CA章或法定代表人或其授权的供应商授权代表签字（章）。</w:t>
      </w:r>
    </w:p>
    <w:p w14:paraId="4F763E3C">
      <w:pPr>
        <w:pStyle w:val="27"/>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15.5因响应文件字迹潦草或表达不清所引起的不利后果由供应商承担。</w:t>
      </w:r>
    </w:p>
    <w:p w14:paraId="27A894CB">
      <w:pPr>
        <w:pStyle w:val="27"/>
        <w:snapToGrid w:val="0"/>
        <w:spacing w:line="400" w:lineRule="exact"/>
        <w:ind w:firstLine="482" w:firstLineChars="20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四、响应文件的上传截止时间、解密及其他</w:t>
      </w:r>
    </w:p>
    <w:p w14:paraId="0BA992F9">
      <w:pPr>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16供应商应当在磋商文件要求的响应文件上传截止时间前（详见前附表），将加密电子响应文件及补充修改文件（如有的话）在“政采云系统”完成上传。任何单位和个人不得在响应文件上传截止时间前解密响应文件。</w:t>
      </w:r>
    </w:p>
    <w:p w14:paraId="4D422643">
      <w:pPr>
        <w:pStyle w:val="27"/>
        <w:snapToGrid w:val="0"/>
        <w:spacing w:line="400" w:lineRule="exact"/>
        <w:ind w:firstLine="482" w:firstLineChars="200"/>
        <w:jc w:val="left"/>
        <w:rPr>
          <w:rFonts w:hint="eastAsia" w:ascii="仿宋" w:hAnsi="仿宋" w:eastAsia="仿宋" w:cs="仿宋"/>
          <w:b/>
          <w:bCs/>
          <w:color w:val="auto"/>
          <w:kern w:val="0"/>
          <w:sz w:val="24"/>
          <w:szCs w:val="24"/>
          <w:highlight w:val="none"/>
        </w:rPr>
      </w:pPr>
      <w:r>
        <w:rPr>
          <w:rFonts w:hint="eastAsia" w:ascii="仿宋" w:hAnsi="仿宋" w:eastAsia="仿宋" w:cs="仿宋"/>
          <w:b/>
          <w:color w:val="auto"/>
          <w:sz w:val="24"/>
          <w:szCs w:val="24"/>
          <w:highlight w:val="none"/>
        </w:rPr>
        <w:t>17.响应文件</w:t>
      </w:r>
      <w:r>
        <w:rPr>
          <w:rFonts w:hint="eastAsia" w:ascii="仿宋" w:hAnsi="仿宋" w:eastAsia="仿宋" w:cs="仿宋"/>
          <w:b/>
          <w:bCs/>
          <w:color w:val="auto"/>
          <w:kern w:val="0"/>
          <w:sz w:val="24"/>
          <w:szCs w:val="24"/>
          <w:highlight w:val="none"/>
        </w:rPr>
        <w:t>解密</w:t>
      </w:r>
    </w:p>
    <w:p w14:paraId="02E1F68B">
      <w:pPr>
        <w:tabs>
          <w:tab w:val="left" w:pos="567"/>
        </w:tabs>
        <w:snapToGrid w:val="0"/>
        <w:spacing w:line="400" w:lineRule="exact"/>
        <w:ind w:firstLine="480" w:firstLineChars="200"/>
        <w:rPr>
          <w:rFonts w:hint="eastAsia" w:ascii="仿宋" w:hAnsi="仿宋" w:eastAsia="仿宋" w:cs="仿宋"/>
          <w:bCs/>
          <w:color w:val="auto"/>
          <w:kern w:val="0"/>
          <w:sz w:val="24"/>
          <w:highlight w:val="none"/>
        </w:rPr>
      </w:pPr>
      <w:r>
        <w:rPr>
          <w:rFonts w:hint="eastAsia" w:ascii="仿宋" w:hAnsi="仿宋" w:eastAsia="仿宋" w:cs="仿宋"/>
          <w:color w:val="auto"/>
          <w:kern w:val="0"/>
          <w:sz w:val="24"/>
          <w:highlight w:val="none"/>
        </w:rPr>
        <w:t>17.1采购代理机构在解密开始时间发出解密指令，供应商接到解密信息后，在规定的解密时间内使用加密电子文件时的电子CA进行</w:t>
      </w:r>
      <w:r>
        <w:rPr>
          <w:rFonts w:hint="eastAsia" w:ascii="仿宋" w:hAnsi="仿宋" w:eastAsia="仿宋" w:cs="仿宋"/>
          <w:bCs/>
          <w:color w:val="auto"/>
          <w:kern w:val="0"/>
          <w:sz w:val="24"/>
          <w:highlight w:val="none"/>
        </w:rPr>
        <w:t>解密（可远程解密）。</w:t>
      </w:r>
    </w:p>
    <w:p w14:paraId="61C9DEF8">
      <w:pPr>
        <w:tabs>
          <w:tab w:val="left" w:pos="567"/>
        </w:tabs>
        <w:snapToGrid w:val="0"/>
        <w:spacing w:line="400" w:lineRule="exact"/>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17.2由于供应商原因，未在规定时间内完成电子响应文件解密的，视为未上传响应文件，响应无效。</w:t>
      </w:r>
    </w:p>
    <w:p w14:paraId="22E0C8E0">
      <w:pPr>
        <w:tabs>
          <w:tab w:val="left" w:pos="567"/>
        </w:tabs>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bCs/>
          <w:color w:val="auto"/>
          <w:kern w:val="0"/>
          <w:sz w:val="24"/>
          <w:highlight w:val="none"/>
        </w:rPr>
        <w:t>17.3解密截止时间后，供应商将无法对响应文件进行解密。除特殊情形需请示财政部门采用其他方式外，代理机构不得以任何理由延长解密时间。</w:t>
      </w:r>
    </w:p>
    <w:p w14:paraId="4E72CCF3">
      <w:pPr>
        <w:tabs>
          <w:tab w:val="left" w:pos="567"/>
        </w:tabs>
        <w:snapToGrid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kern w:val="0"/>
          <w:sz w:val="24"/>
          <w:highlight w:val="none"/>
        </w:rPr>
        <w:t>17.3</w:t>
      </w:r>
      <w:r>
        <w:rPr>
          <w:rFonts w:hint="eastAsia" w:ascii="仿宋" w:hAnsi="仿宋" w:eastAsia="仿宋" w:cs="仿宋"/>
          <w:color w:val="auto"/>
          <w:kern w:val="0"/>
          <w:sz w:val="24"/>
          <w:highlight w:val="none"/>
        </w:rPr>
        <w:t>在响应文件解密截止时间，</w:t>
      </w:r>
      <w:r>
        <w:rPr>
          <w:rFonts w:hint="eastAsia" w:ascii="仿宋" w:hAnsi="仿宋" w:eastAsia="仿宋" w:cs="仿宋"/>
          <w:bCs/>
          <w:color w:val="auto"/>
          <w:kern w:val="0"/>
          <w:sz w:val="24"/>
          <w:highlight w:val="none"/>
        </w:rPr>
        <w:t>完成解密的</w:t>
      </w:r>
      <w:r>
        <w:rPr>
          <w:rFonts w:hint="eastAsia" w:ascii="仿宋" w:hAnsi="仿宋" w:eastAsia="仿宋" w:cs="仿宋"/>
          <w:color w:val="auto"/>
          <w:kern w:val="0"/>
          <w:sz w:val="24"/>
          <w:highlight w:val="none"/>
        </w:rPr>
        <w:t>供应商不足法定磋商家数时，不得进行下一步评审程序。</w:t>
      </w:r>
    </w:p>
    <w:p w14:paraId="65E5DC54">
      <w:pPr>
        <w:tabs>
          <w:tab w:val="left" w:pos="0"/>
        </w:tabs>
        <w:snapToGrid w:val="0"/>
        <w:spacing w:line="400" w:lineRule="exact"/>
        <w:ind w:firstLine="482" w:firstLineChars="200"/>
        <w:jc w:val="left"/>
        <w:rPr>
          <w:rFonts w:hint="eastAsia" w:ascii="仿宋" w:hAnsi="仿宋" w:eastAsia="仿宋" w:cs="仿宋"/>
          <w:b/>
          <w:color w:val="auto"/>
          <w:kern w:val="0"/>
          <w:sz w:val="24"/>
          <w:highlight w:val="none"/>
        </w:rPr>
      </w:pPr>
      <w:r>
        <w:rPr>
          <w:rFonts w:hint="eastAsia" w:ascii="仿宋" w:hAnsi="仿宋" w:eastAsia="仿宋" w:cs="仿宋"/>
          <w:b/>
          <w:color w:val="auto"/>
          <w:sz w:val="24"/>
          <w:highlight w:val="none"/>
        </w:rPr>
        <w:t>18.</w:t>
      </w:r>
      <w:r>
        <w:rPr>
          <w:rFonts w:hint="eastAsia" w:ascii="仿宋" w:hAnsi="仿宋" w:eastAsia="仿宋" w:cs="仿宋"/>
          <w:color w:val="auto"/>
          <w:kern w:val="0"/>
          <w:sz w:val="24"/>
          <w:highlight w:val="none"/>
        </w:rPr>
        <w:t xml:space="preserve"> </w:t>
      </w:r>
      <w:r>
        <w:rPr>
          <w:rFonts w:hint="eastAsia" w:ascii="仿宋" w:hAnsi="仿宋" w:eastAsia="仿宋" w:cs="仿宋"/>
          <w:b/>
          <w:color w:val="auto"/>
          <w:kern w:val="0"/>
          <w:sz w:val="24"/>
          <w:highlight w:val="none"/>
        </w:rPr>
        <w:t>响应文件的补充、修改和撤回</w:t>
      </w:r>
    </w:p>
    <w:p w14:paraId="2FA366CD">
      <w:pPr>
        <w:tabs>
          <w:tab w:val="left" w:pos="567"/>
        </w:tabs>
        <w:snapToGrid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18.1供应商在响应文件上传截止时间前，可以对响应文件进行补充、修改，补充、修改的内容作为响应文件的组成部分。补充、修改内容需在“</w:t>
      </w:r>
      <w:r>
        <w:rPr>
          <w:rFonts w:hint="eastAsia" w:ascii="仿宋" w:hAnsi="仿宋" w:eastAsia="仿宋" w:cs="仿宋"/>
          <w:color w:val="auto"/>
          <w:sz w:val="24"/>
          <w:highlight w:val="none"/>
        </w:rPr>
        <w:t>政采云系统</w:t>
      </w:r>
      <w:r>
        <w:rPr>
          <w:rFonts w:hint="eastAsia" w:ascii="仿宋" w:hAnsi="仿宋" w:eastAsia="仿宋" w:cs="仿宋"/>
          <w:color w:val="auto"/>
          <w:kern w:val="0"/>
          <w:sz w:val="24"/>
          <w:highlight w:val="none"/>
        </w:rPr>
        <w:t>”中加密上传，未进行上传的补充、修改内容无效。</w:t>
      </w:r>
    </w:p>
    <w:p w14:paraId="68694EA6">
      <w:pPr>
        <w:tabs>
          <w:tab w:val="left" w:pos="567"/>
        </w:tabs>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18.2补充、修改的内容应当按照磋商文件要求签署、盖章，否则，按无效处理。</w:t>
      </w:r>
    </w:p>
    <w:p w14:paraId="061A4804">
      <w:pPr>
        <w:tabs>
          <w:tab w:val="left" w:pos="567"/>
        </w:tabs>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18.3在响应文件上传截止时间之后，供应商不得对其已上传的响应文件（含补充、修改）进行撤回。</w:t>
      </w:r>
    </w:p>
    <w:p w14:paraId="598F608D">
      <w:pPr>
        <w:numPr>
          <w:ilvl w:val="0"/>
          <w:numId w:val="0"/>
        </w:numPr>
        <w:tabs>
          <w:tab w:val="left" w:pos="0"/>
        </w:tabs>
        <w:snapToGrid w:val="0"/>
        <w:spacing w:line="400" w:lineRule="exact"/>
        <w:ind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kern w:val="0"/>
          <w:sz w:val="24"/>
          <w:szCs w:val="24"/>
          <w:lang w:val="en-US" w:eastAsia="zh-CN" w:bidi="ar-SA"/>
        </w:rPr>
        <w:t>五、</w:t>
      </w:r>
      <w:r>
        <w:rPr>
          <w:rFonts w:hint="eastAsia" w:ascii="仿宋" w:hAnsi="仿宋" w:eastAsia="仿宋" w:cs="仿宋"/>
          <w:b/>
          <w:color w:val="auto"/>
          <w:kern w:val="0"/>
          <w:sz w:val="24"/>
          <w:highlight w:val="none"/>
        </w:rPr>
        <w:t>开启</w:t>
      </w:r>
    </w:p>
    <w:p w14:paraId="0210F558">
      <w:pPr>
        <w:tabs>
          <w:tab w:val="left" w:pos="0"/>
        </w:tabs>
        <w:snapToGrid w:val="0"/>
        <w:spacing w:line="400" w:lineRule="exact"/>
        <w:ind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19.响应文件开启及其有关事项</w:t>
      </w:r>
    </w:p>
    <w:p w14:paraId="65764105">
      <w:pPr>
        <w:tabs>
          <w:tab w:val="left" w:pos="567"/>
        </w:tabs>
        <w:snapToGrid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kern w:val="0"/>
          <w:sz w:val="24"/>
          <w:highlight w:val="none"/>
        </w:rPr>
        <w:t>19.1上传响应文件截止时间后，由采购代理机构发出解密指令。并对响应文件开启（解密）活动现场进行全程录音录像，录音录像应当清晰可辨，音像资料作为采购文件一并存档。</w:t>
      </w:r>
    </w:p>
    <w:p w14:paraId="756613DB">
      <w:pPr>
        <w:tabs>
          <w:tab w:val="left" w:pos="567"/>
        </w:tabs>
        <w:snapToGrid w:val="0"/>
        <w:spacing w:line="400" w:lineRule="exact"/>
        <w:ind w:firstLine="480" w:firstLineChars="200"/>
        <w:jc w:val="left"/>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rPr>
        <w:t>19.2参加磋商的供应商法定代表人或授权代表必须进入开标大厅到以证明其出席。</w:t>
      </w:r>
    </w:p>
    <w:p w14:paraId="46D5E34E">
      <w:pPr>
        <w:tabs>
          <w:tab w:val="left" w:pos="567"/>
        </w:tabs>
        <w:snapToGrid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19.3磋商小组成员和参与评审的采购人代表不得参加响应文件开启（解密）活动。</w:t>
      </w:r>
    </w:p>
    <w:p w14:paraId="27A4BE12">
      <w:pPr>
        <w:tabs>
          <w:tab w:val="left" w:pos="567"/>
        </w:tabs>
        <w:snapToGrid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19.4本项目实行密封报价，不进行公开唱标。</w:t>
      </w:r>
    </w:p>
    <w:p w14:paraId="0D54AB4C">
      <w:pPr>
        <w:tabs>
          <w:tab w:val="left" w:pos="567"/>
        </w:tabs>
        <w:snapToGrid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19.5解密结束后，供应商各自在“政采云”系统中对其报价进行确认，采购代理机构打印报价结果。</w:t>
      </w:r>
    </w:p>
    <w:p w14:paraId="59ED7654">
      <w:pPr>
        <w:pStyle w:val="26"/>
        <w:keepNext w:val="0"/>
        <w:keepLines w:val="0"/>
        <w:snapToGrid w:val="0"/>
        <w:spacing w:before="0" w:after="0" w:line="400" w:lineRule="exact"/>
        <w:ind w:firstLine="453" w:firstLineChars="189"/>
        <w:jc w:val="left"/>
        <w:outlineLvl w:val="1"/>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19.6开启（解密）过程，采购人、采购代理机构相关工作人员有需要回避的情形的，应主动提出回避。</w:t>
      </w:r>
    </w:p>
    <w:p w14:paraId="0452E034">
      <w:pPr>
        <w:tabs>
          <w:tab w:val="left" w:pos="567"/>
        </w:tabs>
        <w:snapToGrid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19.7供应商未对报价进行确认的，视同认可开启结果。</w:t>
      </w:r>
    </w:p>
    <w:p w14:paraId="0EBA5124">
      <w:pPr>
        <w:tabs>
          <w:tab w:val="left" w:pos="567"/>
        </w:tabs>
        <w:snapToGrid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19.8“报价结果”随采购文件一并存档。</w:t>
      </w:r>
    </w:p>
    <w:p w14:paraId="3504C2FD">
      <w:pPr>
        <w:pStyle w:val="26"/>
        <w:keepNext w:val="0"/>
        <w:keepLines w:val="0"/>
        <w:snapToGrid w:val="0"/>
        <w:spacing w:before="218" w:beforeLines="50" w:after="218" w:afterLines="50" w:line="400" w:lineRule="exact"/>
        <w:ind w:firstLine="455" w:firstLineChars="189"/>
        <w:jc w:val="left"/>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六、磋商程序和要求</w:t>
      </w:r>
    </w:p>
    <w:p w14:paraId="6CE102CA">
      <w:pPr>
        <w:pStyle w:val="27"/>
        <w:snapToGrid w:val="0"/>
        <w:spacing w:line="400" w:lineRule="exact"/>
        <w:ind w:firstLine="472" w:firstLineChars="196"/>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20.组建磋商小组</w:t>
      </w:r>
    </w:p>
    <w:p w14:paraId="32DE113D">
      <w:pPr>
        <w:tabs>
          <w:tab w:val="left" w:pos="567"/>
        </w:tabs>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20.1</w:t>
      </w:r>
      <w:r>
        <w:rPr>
          <w:rFonts w:hint="eastAsia" w:ascii="仿宋" w:hAnsi="仿宋" w:eastAsia="仿宋" w:cs="仿宋"/>
          <w:color w:val="auto"/>
          <w:kern w:val="0"/>
          <w:sz w:val="24"/>
          <w:highlight w:val="none"/>
        </w:rPr>
        <w:t>采购代理机构根据相关法律法规和本磋商文件的规定，结合本项目特点组建磋商小组，磋商小组由采购人代表和评审专家共三人及以上单数组成，其中评审专家不得少于成员总数的三分之二。</w:t>
      </w:r>
    </w:p>
    <w:p w14:paraId="14DC17E9">
      <w:pPr>
        <w:tabs>
          <w:tab w:val="left" w:pos="567"/>
        </w:tabs>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20.2评审专家对本单位的采购项目只能作为采购人代表参与评审，法律规定的情形除外。</w:t>
      </w:r>
    </w:p>
    <w:p w14:paraId="66905921">
      <w:pPr>
        <w:tabs>
          <w:tab w:val="left" w:pos="567"/>
        </w:tabs>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20.3采购代理机构工作人员不得参加由本机构代理的政府采购项目的评审活动。</w:t>
      </w:r>
    </w:p>
    <w:p w14:paraId="017432BA">
      <w:pPr>
        <w:tabs>
          <w:tab w:val="left" w:pos="567"/>
        </w:tabs>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20.4磋商小组成员名单在评审结果公告前应当保密。</w:t>
      </w:r>
    </w:p>
    <w:p w14:paraId="336C3D9E">
      <w:pPr>
        <w:tabs>
          <w:tab w:val="left" w:pos="567"/>
        </w:tabs>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20.5评审专家由采购代理机构从</w:t>
      </w:r>
      <w:r>
        <w:rPr>
          <w:rFonts w:hint="eastAsia" w:ascii="仿宋" w:hAnsi="仿宋" w:eastAsia="仿宋" w:cs="仿宋"/>
          <w:color w:val="auto"/>
          <w:kern w:val="0"/>
          <w:sz w:val="24"/>
          <w:highlight w:val="none"/>
          <w:u w:val="single"/>
        </w:rPr>
        <w:t>山西省政府采购评审专家库</w:t>
      </w:r>
      <w:r>
        <w:rPr>
          <w:rFonts w:hint="eastAsia" w:ascii="仿宋" w:hAnsi="仿宋" w:eastAsia="仿宋" w:cs="仿宋"/>
          <w:color w:val="auto"/>
          <w:kern w:val="0"/>
          <w:sz w:val="24"/>
          <w:highlight w:val="none"/>
        </w:rPr>
        <w:t>中，通过随机抽取方式产生。对技术复杂、专业性强的采购项目，通过随机方式难以确定合适评审专家的，</w:t>
      </w:r>
      <w:r>
        <w:rPr>
          <w:rFonts w:hint="eastAsia" w:ascii="仿宋" w:hAnsi="仿宋" w:eastAsia="仿宋" w:cs="仿宋"/>
          <w:bCs/>
          <w:color w:val="auto"/>
          <w:kern w:val="0"/>
          <w:sz w:val="24"/>
          <w:highlight w:val="none"/>
        </w:rPr>
        <w:t>经主管预算单位同意，采购人可以自行选定相应专业领域的评审专家。</w:t>
      </w:r>
    </w:p>
    <w:p w14:paraId="02CD7FAB">
      <w:pPr>
        <w:tabs>
          <w:tab w:val="left" w:pos="567"/>
        </w:tabs>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20.6磋商中因评审专家缺席、回避或者健康等特殊原因，导致磋商小组成员组成不符合相关规定的，代理机构应当补足后继续磋商。被更换的磋商小组成员所做出的磋商意见无效。</w:t>
      </w:r>
    </w:p>
    <w:p w14:paraId="56D059C4">
      <w:pPr>
        <w:tabs>
          <w:tab w:val="left" w:pos="567"/>
        </w:tabs>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20.7无法及时补足磋商小组成员时，代理机构应当停止磋商活动，封存所有响应文件及评审资料，重新组建磋商小组进行磋商。原磋商小组所做出的磋商意见无效。</w:t>
      </w:r>
    </w:p>
    <w:p w14:paraId="0F7E8E5E">
      <w:pPr>
        <w:tabs>
          <w:tab w:val="left" w:pos="567"/>
        </w:tabs>
        <w:snapToGrid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20.8代理机构应当将变更、重新组建磋商小组的情况予以记录，并随磋商文件一并存档。</w:t>
      </w:r>
    </w:p>
    <w:p w14:paraId="2F1EA150">
      <w:pPr>
        <w:pStyle w:val="27"/>
        <w:snapToGrid w:val="0"/>
        <w:spacing w:line="400" w:lineRule="exact"/>
        <w:ind w:firstLine="472" w:firstLineChars="196"/>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21.评审</w:t>
      </w:r>
    </w:p>
    <w:p w14:paraId="67F21BFA">
      <w:pPr>
        <w:tabs>
          <w:tab w:val="left" w:pos="567"/>
        </w:tabs>
        <w:snapToGrid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21.1磋商小组成员首先对磋商文件进行符合性、合理性审查，如磋商文件内容中存在违反国家有关强制性规定的或歧视性等条款，应当向采购代理机构说明，并停止本项目评审。</w:t>
      </w:r>
    </w:p>
    <w:p w14:paraId="1DBB7882">
      <w:pPr>
        <w:tabs>
          <w:tab w:val="left" w:pos="567"/>
        </w:tabs>
        <w:snapToGrid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21.2解密结束后，</w:t>
      </w:r>
      <w:r>
        <w:rPr>
          <w:rFonts w:hint="eastAsia" w:ascii="仿宋" w:hAnsi="仿宋" w:eastAsia="仿宋" w:cs="仿宋"/>
          <w:color w:val="auto"/>
          <w:kern w:val="0"/>
          <w:sz w:val="24"/>
          <w:highlight w:val="none"/>
        </w:rPr>
        <w:t>依据磋商文件中规定“评审方法和评审标准”，磋商小组成员按分包顺序</w:t>
      </w:r>
      <w:r>
        <w:rPr>
          <w:rFonts w:hint="eastAsia" w:ascii="仿宋" w:hAnsi="仿宋" w:eastAsia="仿宋" w:cs="仿宋"/>
          <w:color w:val="auto"/>
          <w:sz w:val="24"/>
          <w:highlight w:val="none"/>
        </w:rPr>
        <w:t>对每包所有参加磋商的供应商的响应文件中</w:t>
      </w:r>
      <w:r>
        <w:rPr>
          <w:rFonts w:hint="eastAsia" w:ascii="仿宋" w:hAnsi="仿宋" w:eastAsia="仿宋" w:cs="仿宋"/>
          <w:color w:val="auto"/>
          <w:kern w:val="0"/>
          <w:sz w:val="24"/>
          <w:highlight w:val="none"/>
        </w:rPr>
        <w:t>的资格证明文件和商务技术文件的有效性、完整性、符合性进行独立审查。</w:t>
      </w:r>
    </w:p>
    <w:p w14:paraId="69C2FF2B">
      <w:pPr>
        <w:tabs>
          <w:tab w:val="left" w:pos="567"/>
        </w:tabs>
        <w:snapToGrid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21.3根据资格证明文件审查结果（评审意见不一致时，遵循少数服从多数的原则），确定各供应商是否具备磋商资格。</w:t>
      </w:r>
    </w:p>
    <w:p w14:paraId="4DC0B1B3">
      <w:pPr>
        <w:tabs>
          <w:tab w:val="left" w:pos="567"/>
        </w:tabs>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21.4对资格性审查合格的3家及以上供应商的响应文件中商务技术文件进行审查，根据审查结果（评审意见不一致时，遵循少数服从多数的原则），以确定其是否对磋商文件的商务技术要求做出了实质性响应。</w:t>
      </w:r>
    </w:p>
    <w:p w14:paraId="6249544B">
      <w:pPr>
        <w:tabs>
          <w:tab w:val="left" w:pos="567"/>
        </w:tabs>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21.5在审查过程中，除资格证明文件外磋商小组可以要求供应商对响应文件中的商务技术存在含义不明确、同类问题表述不一致或者有明显文字和计算错误的内容等作出必要的澄清、说明或者补正。但供应商的澄清、说明或者更正不得超过响应文件的范围或者改变响应文件的实质性内容。</w:t>
      </w:r>
    </w:p>
    <w:p w14:paraId="07BD8C2E">
      <w:pPr>
        <w:tabs>
          <w:tab w:val="left" w:pos="567"/>
        </w:tabs>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21.6磋商小组要求供应商澄清、说明或者更正的内容应当在“政采云系统”中提出。供应商的澄清、说明或者更正应当由法定代表人或其授权代表签字或者加盖电子CA章，并在政采云系统中进行回复。磋商小组成员根据回复内容，判断其是否实质上响应磋商文件要求。</w:t>
      </w:r>
    </w:p>
    <w:p w14:paraId="42486D14">
      <w:pPr>
        <w:tabs>
          <w:tab w:val="left" w:pos="567"/>
        </w:tabs>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21.7实质性响应的响应文件：是指与磋商文件的主要商务技术条款、条件和要求相符，经磋商小组成员认定完全符合磋商文件要求的响应文件。</w:t>
      </w:r>
    </w:p>
    <w:p w14:paraId="050DC9B8">
      <w:pPr>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21.8未实质性响应的响应文件：是指对磋商文件的主要商务技术条款、条件和要求等未完全实质上响应或者响应不一致，存在限制了采购人或其他供应商的权利与义务，纠正这些内容将对其他实质上响应要求的供应商的竞争地位产生不公正的影响。包括但不限于：</w:t>
      </w:r>
    </w:p>
    <w:p w14:paraId="3D4CA378">
      <w:pPr>
        <w:tabs>
          <w:tab w:val="left" w:pos="737"/>
          <w:tab w:val="left" w:pos="1200"/>
        </w:tabs>
        <w:adjustRightInd w:val="0"/>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A．未对“供应商须知前附表”第6条中带★号的商务技术文件及采购需求中的商务技术指标要求作出实质性响应的；</w:t>
      </w:r>
    </w:p>
    <w:p w14:paraId="57463D50">
      <w:pPr>
        <w:tabs>
          <w:tab w:val="left" w:pos="737"/>
          <w:tab w:val="left" w:pos="1200"/>
        </w:tabs>
        <w:adjustRightInd w:val="0"/>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B．未按磋商文件的规定签署、盖章的；</w:t>
      </w:r>
    </w:p>
    <w:p w14:paraId="2EF99128">
      <w:pPr>
        <w:tabs>
          <w:tab w:val="left" w:pos="737"/>
          <w:tab w:val="left" w:pos="1200"/>
        </w:tabs>
        <w:adjustRightInd w:val="0"/>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C．响应文件有效期不足的；</w:t>
      </w:r>
    </w:p>
    <w:p w14:paraId="45475FDD">
      <w:pPr>
        <w:tabs>
          <w:tab w:val="left" w:pos="737"/>
          <w:tab w:val="left" w:pos="1200"/>
        </w:tabs>
        <w:adjustRightInd w:val="0"/>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D．未按照磋商文件规定报价的，报价超过磋商文件预算金额或最高限价的；</w:t>
      </w:r>
    </w:p>
    <w:p w14:paraId="55F67030">
      <w:pPr>
        <w:tabs>
          <w:tab w:val="left" w:pos="737"/>
          <w:tab w:val="left" w:pos="1200"/>
        </w:tabs>
        <w:adjustRightInd w:val="0"/>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E．执行标准、服务期限、服务地点、验收标准等不满足磋商文件中的相关要求或技术指标超出采购人可接受的负偏差范围的；</w:t>
      </w:r>
    </w:p>
    <w:p w14:paraId="45C11055">
      <w:pPr>
        <w:tabs>
          <w:tab w:val="left" w:pos="737"/>
          <w:tab w:val="left" w:pos="1200"/>
        </w:tabs>
        <w:adjustRightInd w:val="0"/>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F. 不符合磋商文件中有关分包、转包规定的；</w:t>
      </w:r>
    </w:p>
    <w:p w14:paraId="65283BE4">
      <w:pPr>
        <w:tabs>
          <w:tab w:val="left" w:pos="737"/>
          <w:tab w:val="left" w:pos="1200"/>
        </w:tabs>
        <w:adjustRightInd w:val="0"/>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G．响应文件附有采购人不能接受的条件的；</w:t>
      </w:r>
    </w:p>
    <w:p w14:paraId="72C92D32">
      <w:pPr>
        <w:tabs>
          <w:tab w:val="left" w:pos="737"/>
          <w:tab w:val="left" w:pos="1200"/>
        </w:tabs>
        <w:adjustRightInd w:val="0"/>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H．不符合磋商文件中规定的其他实质性要求的。</w:t>
      </w:r>
    </w:p>
    <w:p w14:paraId="166E3127">
      <w:pPr>
        <w:snapToGrid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21.9如果未对磋商文件商务技术要求做出实质性响应，磋商将予以拒绝，供应商不得再对响应文件进行任何澄清、说明或者更正，从而使其成为实质性响应的响应文件。 </w:t>
      </w:r>
    </w:p>
    <w:p w14:paraId="07081759">
      <w:pPr>
        <w:widowControl/>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21.10响应文件的细微偏差（一般技术、商务要求）是指在实质上响应磋商文件要求，但在个别地方存在漏项或者提供了不完整的技术信息和数据等情况，并且补正这些遗漏或者不完整不会对其他供应商造成不公平的结果。细微偏差不影响响应文件的有效性。</w:t>
      </w:r>
    </w:p>
    <w:p w14:paraId="61A79B60">
      <w:pPr>
        <w:tabs>
          <w:tab w:val="left" w:pos="737"/>
          <w:tab w:val="left" w:pos="1200"/>
        </w:tabs>
        <w:adjustRightInd w:val="0"/>
        <w:snapToGrid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21.11磋商小组对响应文件的判定,除项目需对文件中无法用文字表述的其他特殊要求（如需对样品、演示内容等）作为实质性审查内容外，只依据供应商在“政采云系统”中提交的电子响应文件。</w:t>
      </w:r>
    </w:p>
    <w:p w14:paraId="4EEC89FD">
      <w:pPr>
        <w:tabs>
          <w:tab w:val="left" w:pos="737"/>
          <w:tab w:val="left" w:pos="1200"/>
        </w:tabs>
        <w:adjustRightInd w:val="0"/>
        <w:snapToGrid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21.12磋商小组各评审专家在资格性、符合性审查之后，与符合磋商文件要求的3家及以上供应商进行磋商（询标）。</w:t>
      </w:r>
    </w:p>
    <w:p w14:paraId="39203CF4">
      <w:pPr>
        <w:tabs>
          <w:tab w:val="left" w:pos="737"/>
          <w:tab w:val="left" w:pos="1200"/>
        </w:tabs>
        <w:adjustRightInd w:val="0"/>
        <w:snapToGrid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21.13供应商对磋商（询标）的答复应当通过“政采云系统”做出回复，并加盖电子CA章。</w:t>
      </w:r>
    </w:p>
    <w:p w14:paraId="5F55C85D">
      <w:pPr>
        <w:tabs>
          <w:tab w:val="left" w:pos="737"/>
          <w:tab w:val="left" w:pos="1200"/>
        </w:tabs>
        <w:adjustRightInd w:val="0"/>
        <w:snapToGrid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21.14响应文件评审结束，对未实质上响应磋商文件的响应文件按无效响应处理。</w:t>
      </w:r>
    </w:p>
    <w:p w14:paraId="22617280">
      <w:pPr>
        <w:pStyle w:val="27"/>
        <w:snapToGrid w:val="0"/>
        <w:spacing w:line="400" w:lineRule="exact"/>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22．磋商（询标）</w:t>
      </w:r>
    </w:p>
    <w:p w14:paraId="6767DB42">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22.1磋商小组成员与3家及以上实质性响应磋商文件要求的供应商就本次采购需求中的技术、服务要求以及合同草案通过“政采云系统”分别进行磋商（询标）。</w:t>
      </w:r>
    </w:p>
    <w:p w14:paraId="36474C33">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22.2磋商小组可以根据磋商文件和磋商（询标）情况实质性变动采购需求中的技术、服务要求以及合同草案条款，但不得变动磋商文件中的其他内容。实质性变动的内容，需经采购人代表签字确认。</w:t>
      </w:r>
    </w:p>
    <w:p w14:paraId="2F7DE82E">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22.3在磋商（询标）过程中做出的实质性变动内容，是磋商文件的有效组成部分。磋商小组组长将实质性变动情况和磋商小组的要求通过“政采云系统”给各供应商发出询标函。各供应商在接到询标函通知后，须在规定时间内通过“政采云系统”提交加盖供应商电子CA章的对询标函所有内容作出的答复函。</w:t>
      </w:r>
    </w:p>
    <w:p w14:paraId="4208E9C3">
      <w:pPr>
        <w:snapToGrid w:val="0"/>
        <w:spacing w:line="40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22.4存在下列情况之一者将视为响应无效：</w:t>
      </w:r>
    </w:p>
    <w:p w14:paraId="16984231">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（1）未在规定时间内提交对询标函所有内容</w:t>
      </w:r>
      <w:r>
        <w:rPr>
          <w:rFonts w:hint="eastAsia" w:ascii="仿宋" w:hAnsi="仿宋" w:eastAsia="仿宋" w:cs="仿宋"/>
          <w:color w:val="auto"/>
          <w:sz w:val="24"/>
          <w:highlight w:val="none"/>
          <w:lang w:val="en-US" w:eastAsia="zh-CN"/>
        </w:rPr>
        <w:t>作</w:t>
      </w:r>
      <w:r>
        <w:rPr>
          <w:rFonts w:hint="eastAsia" w:ascii="仿宋" w:hAnsi="仿宋" w:eastAsia="仿宋" w:cs="仿宋"/>
          <w:color w:val="auto"/>
          <w:sz w:val="24"/>
          <w:highlight w:val="none"/>
        </w:rPr>
        <w:t>出答复函的；</w:t>
      </w:r>
    </w:p>
    <w:p w14:paraId="441C21FF">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（2）未在答复函中由法定代表人或其授权代表签字或加盖电子CA章的；</w:t>
      </w:r>
    </w:p>
    <w:p w14:paraId="03B2B7E9">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（3）未按磋商小组要求对响应文件进行澄清（说明或者更正）的；</w:t>
      </w:r>
    </w:p>
    <w:p w14:paraId="492249E6">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（4）磋商小组对答复内容经过评审后认为其没有对磋商内容作出实质性响应的；</w:t>
      </w:r>
    </w:p>
    <w:p w14:paraId="05087112">
      <w:pPr>
        <w:snapToGrid w:val="0"/>
        <w:spacing w:line="400" w:lineRule="exact"/>
        <w:ind w:firstLine="480" w:firstLineChars="200"/>
        <w:jc w:val="left"/>
        <w:rPr>
          <w:rFonts w:hint="eastAsia" w:ascii="仿宋" w:hAnsi="仿宋" w:eastAsia="仿宋" w:cs="仿宋"/>
          <w:b/>
          <w:color w:val="auto"/>
          <w:sz w:val="24"/>
          <w:highlight w:val="none"/>
        </w:rPr>
      </w:pPr>
      <w:r>
        <w:rPr>
          <w:rFonts w:hint="eastAsia" w:ascii="仿宋" w:hAnsi="仿宋" w:eastAsia="仿宋" w:cs="仿宋"/>
          <w:color w:val="auto"/>
          <w:sz w:val="24"/>
          <w:highlight w:val="none"/>
        </w:rPr>
        <w:t>（5）存在采购人不能接受内容的等情形。</w:t>
      </w:r>
    </w:p>
    <w:p w14:paraId="1372F2DB">
      <w:pPr>
        <w:snapToGrid w:val="0"/>
        <w:spacing w:line="40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23.最终报价</w:t>
      </w:r>
    </w:p>
    <w:p w14:paraId="383BC396">
      <w:pPr>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23.1报价原则</w:t>
      </w:r>
    </w:p>
    <w:p w14:paraId="3CB6AA2A">
      <w:pPr>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23.1.1磋商文件能够详细列明采购标的的技术要求、服务要求等的，磋商结束后，磋商小组应当向所有实质性响应磋商文件要求的供应商开启最终报价通知，并要求其在规定时间内在“政采云系统”中提交最终报价。提交最终报价的供应商不得少于3家。</w:t>
      </w:r>
    </w:p>
    <w:p w14:paraId="2E4A12E4">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23.1.2磋商文件不能详细列明采购标的的技术要求、服务要求的，需经磋商由供应商提供最终解决方案的，磋商结束后，磋商小组应当按照少数服从多数的原则投票推荐3家以上供应商的解决方案，并要求其在规定时间内在“政采云系统”中提交最终报价。</w:t>
      </w:r>
    </w:p>
    <w:p w14:paraId="7994CEAE">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23.1.3供应商在提交最终报价函之前，可以根据磋商情况退出最终报价，采购人、采购代理机构应当退还退出磋商的供应商的磋商保证金。供应商在规定时间内未在“政采云系统”中提交最终报价的，视为退出最终报价。</w:t>
      </w:r>
    </w:p>
    <w:p w14:paraId="10B194A0">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23.1.4提交的最终报价须加盖电子CA章，并在政采云系统上传。</w:t>
      </w:r>
    </w:p>
    <w:p w14:paraId="799E91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23.2报价审核</w:t>
      </w:r>
    </w:p>
    <w:p w14:paraId="553A22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23.2.1根据本文件第四部分“评审方法和评审标准”对最终报价进行符合性审查。</w:t>
      </w:r>
    </w:p>
    <w:p w14:paraId="7A516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23.2.2对最终报价存在明显不合理的，磋商小组</w:t>
      </w:r>
      <w:r>
        <w:rPr>
          <w:rFonts w:hint="eastAsia" w:ascii="仿宋" w:hAnsi="仿宋" w:eastAsia="仿宋" w:cs="仿宋"/>
          <w:color w:val="auto"/>
          <w:sz w:val="24"/>
          <w:highlight w:val="none"/>
        </w:rPr>
        <w:t>有权决定是否</w:t>
      </w:r>
      <w:r>
        <w:rPr>
          <w:rFonts w:hint="eastAsia" w:ascii="仿宋" w:hAnsi="仿宋" w:eastAsia="仿宋" w:cs="仿宋"/>
          <w:color w:val="auto"/>
          <w:kern w:val="0"/>
          <w:sz w:val="24"/>
          <w:highlight w:val="none"/>
        </w:rPr>
        <w:t>通过“政采云系统”要求供应商在规定时间内提供相关证明材料。</w:t>
      </w:r>
    </w:p>
    <w:p w14:paraId="5A8D963C">
      <w:pPr>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23.2.3提交最终报价的供应商家数不足法定供应商数量的，需依法重新组织磋商活动或终止磋商活动。</w:t>
      </w:r>
    </w:p>
    <w:p w14:paraId="563C0794">
      <w:pPr>
        <w:pStyle w:val="14"/>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23.2.4经审查，合格供应商数量符合法定供应商家数时，对符合政策性要求优惠的各供应商的最终报价，按照磋商文件中确定的优惠率，对其最终报价进行调整后，形成各供应商最终评审价格。</w:t>
      </w:r>
    </w:p>
    <w:p w14:paraId="0EC42440">
      <w:pPr>
        <w:snapToGrid w:val="0"/>
        <w:spacing w:line="40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23.3存在下列情况之一者将视为响应无效：</w:t>
      </w:r>
    </w:p>
    <w:p w14:paraId="5880A6B9">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（1）未在规定时间内提交最终报价的；</w:t>
      </w:r>
    </w:p>
    <w:p w14:paraId="27261B1F">
      <w:pPr>
        <w:tabs>
          <w:tab w:val="left" w:pos="567"/>
        </w:tabs>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（2）未在最终报价函中加盖电子CA章的；</w:t>
      </w:r>
    </w:p>
    <w:p w14:paraId="09AE2B89">
      <w:pPr>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（3）未按最终报价函要求进行填报或最终报价函填报不完整</w:t>
      </w:r>
      <w:r>
        <w:rPr>
          <w:rFonts w:hint="eastAsia" w:ascii="仿宋" w:hAnsi="仿宋" w:eastAsia="仿宋" w:cs="仿宋"/>
          <w:color w:val="auto"/>
          <w:sz w:val="24"/>
          <w:highlight w:val="none"/>
        </w:rPr>
        <w:t>，存在可空项、漏项、缺项的；</w:t>
      </w:r>
    </w:p>
    <w:p w14:paraId="1F75C5BC">
      <w:pPr>
        <w:tabs>
          <w:tab w:val="left" w:pos="567"/>
        </w:tabs>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磋商小组成员对各供应商的最终报价进行合理性审核过程中，如磋商小组成员一致认为某个供应商的最后报价明显不合理，有降低质量、不能诚信履行的可能时，磋商小组成员有权决定是否通知供应商限期进行书面解释或提供相关证明材料。若已要求，而该供应商在规定期限内未做出解释、做出的解释不合理或不能提供证明材料的。</w:t>
      </w:r>
    </w:p>
    <w:p w14:paraId="4D26FEF0">
      <w:pPr>
        <w:pStyle w:val="27"/>
        <w:snapToGrid w:val="0"/>
        <w:spacing w:line="400" w:lineRule="exact"/>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24.综合评分、推荐成交候选供应商顺序原则</w:t>
      </w:r>
    </w:p>
    <w:p w14:paraId="06BBB925">
      <w:pPr>
        <w:pStyle w:val="27"/>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24.1综合评分原则</w:t>
      </w:r>
    </w:p>
    <w:p w14:paraId="6C816CEC">
      <w:pPr>
        <w:pStyle w:val="27"/>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24.1.1磋商小组各成员对合格供应商的响应文件按照磋商文件第四部分的综合评分细则进行独立评价、打分，然后汇总每个供应商每项评分因素得分。</w:t>
      </w:r>
    </w:p>
    <w:p w14:paraId="70BA455F">
      <w:pPr>
        <w:pStyle w:val="27"/>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24.1.2价格评分采用低价优先法计算，即满足磋商文件要求且评审价格最低的供应商的价格为磋商基准价，其价格分为满分。价格评审中，不得去掉最后报价的最高报价和最低报价。</w:t>
      </w:r>
    </w:p>
    <w:p w14:paraId="019F0B56">
      <w:pPr>
        <w:pStyle w:val="27"/>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24.1.3各供应商的评分因素得分加其报价得分，为各供应商的最终综合得分。</w:t>
      </w:r>
    </w:p>
    <w:p w14:paraId="74B57BEF">
      <w:pPr>
        <w:pStyle w:val="27"/>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24.2推荐成交候选供应商顺序原则</w:t>
      </w:r>
    </w:p>
    <w:p w14:paraId="74F92465">
      <w:pPr>
        <w:pStyle w:val="27"/>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24.2.1磋商小组依据24.1.3各供应商最终综合得分由高到低的顺序排序；</w:t>
      </w:r>
    </w:p>
    <w:p w14:paraId="426CB0D1">
      <w:pPr>
        <w:pStyle w:val="27"/>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24.2.2综合得分相同的，按照最后报价由低到高的顺序排名；</w:t>
      </w:r>
    </w:p>
    <w:p w14:paraId="2C3AB5D5">
      <w:pPr>
        <w:pStyle w:val="27"/>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24.2.3综合得分与最后报价均相同的，</w:t>
      </w:r>
      <w:r>
        <w:rPr>
          <w:rFonts w:hint="eastAsia" w:ascii="仿宋" w:hAnsi="仿宋" w:eastAsia="仿宋" w:cs="仿宋"/>
          <w:color w:val="auto"/>
          <w:kern w:val="0"/>
          <w:sz w:val="24"/>
          <w:szCs w:val="24"/>
          <w:highlight w:val="none"/>
        </w:rPr>
        <w:t>按照技术方案得分由高到低顺序</w:t>
      </w:r>
      <w:r>
        <w:rPr>
          <w:rFonts w:hint="eastAsia" w:ascii="仿宋" w:hAnsi="仿宋" w:eastAsia="仿宋" w:cs="仿宋"/>
          <w:color w:val="auto"/>
          <w:sz w:val="24"/>
          <w:szCs w:val="24"/>
          <w:highlight w:val="none"/>
        </w:rPr>
        <w:t>排名</w:t>
      </w:r>
      <w:r>
        <w:rPr>
          <w:rFonts w:hint="eastAsia" w:ascii="仿宋" w:hAnsi="仿宋" w:eastAsia="仿宋" w:cs="仿宋"/>
          <w:color w:val="auto"/>
          <w:kern w:val="0"/>
          <w:sz w:val="24"/>
          <w:szCs w:val="24"/>
          <w:highlight w:val="none"/>
        </w:rPr>
        <w:t>。</w:t>
      </w:r>
    </w:p>
    <w:p w14:paraId="110E7F52">
      <w:pPr>
        <w:pStyle w:val="14"/>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24.2.6磋商小组成员对推荐顺序有异议的，按照少数服从多数的原则推荐成交候选供应商，磋商活动继续进行。</w:t>
      </w:r>
    </w:p>
    <w:p w14:paraId="29D480EF">
      <w:pPr>
        <w:pStyle w:val="27"/>
        <w:snapToGrid w:val="0"/>
        <w:spacing w:line="400" w:lineRule="exact"/>
        <w:ind w:firstLine="482" w:firstLineChars="200"/>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25.确定成交供应商</w:t>
      </w:r>
    </w:p>
    <w:p w14:paraId="33CC7137">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25.1本次磋商项目，授权磋商小组按照成交候选供应商排序，优先直接确定排名第一的供应商为成交供应商。</w:t>
      </w:r>
    </w:p>
    <w:p w14:paraId="23FE76EF">
      <w:pPr>
        <w:pStyle w:val="27"/>
        <w:snapToGrid w:val="0"/>
        <w:spacing w:line="400" w:lineRule="exact"/>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26.编写评审报告</w:t>
      </w:r>
    </w:p>
    <w:p w14:paraId="3DEC819B">
      <w:pPr>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26.1磋商小组根据磋商记录和磋商情况及评审结果编写评审报告。</w:t>
      </w:r>
    </w:p>
    <w:p w14:paraId="5EA68E0A">
      <w:pPr>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评审报告应当包括以下主要内容：</w:t>
      </w:r>
    </w:p>
    <w:p w14:paraId="64D2FE64">
      <w:pPr>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（一）邀请供应商参加磋商活动的具体方法和相关情况；</w:t>
      </w:r>
    </w:p>
    <w:p w14:paraId="4F5A5FF8">
      <w:pPr>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（二）响应文件开启日期和地点及响应文件解密情况；</w:t>
      </w:r>
    </w:p>
    <w:p w14:paraId="10C1063D">
      <w:pPr>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（三）获取磋商文件的供应商名单和磋商小组成员名单；</w:t>
      </w:r>
    </w:p>
    <w:p w14:paraId="6DE8ABB9">
      <w:pPr>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（四）评审情况记录和说明，包括各供应商的资格性、符合性审查情况、供应商响应文件评审情况、磋商情况、报价情况等；</w:t>
      </w:r>
    </w:p>
    <w:p w14:paraId="2D5174E9">
      <w:pPr>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（五）提出成交供应商的排序名单和理由。</w:t>
      </w:r>
    </w:p>
    <w:p w14:paraId="527AE2EF">
      <w:pPr>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26.2评审报告应当由磋商小组全体人员签字认可。对评审报告有异议的磋商小组成员，应当在报告上签署不同意见并说明理由，由磋商小组书面记录相关情况。磋商小组成员拒绝在报告上签字又不出具说明其不同意见和理由的，视为同意评审报告。</w:t>
      </w:r>
    </w:p>
    <w:p w14:paraId="4AA49928">
      <w:pPr>
        <w:pStyle w:val="27"/>
        <w:snapToGrid w:val="0"/>
        <w:spacing w:line="400" w:lineRule="exact"/>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27.评审复核</w:t>
      </w:r>
    </w:p>
    <w:p w14:paraId="6988E62A">
      <w:pPr>
        <w:pStyle w:val="27"/>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27.1磋商小组要对评审数据进行校对、核对。</w:t>
      </w:r>
    </w:p>
    <w:p w14:paraId="70C41581">
      <w:pPr>
        <w:pStyle w:val="27"/>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27.2除资格性审查认定错误、分值汇总计算错误、分项评分超出评分范围、客观分评分不一致、经磋商小组一致认定畸高、畸低的情形外，代理机构或者采购方不得以任何理由组织重新评审。</w:t>
      </w:r>
    </w:p>
    <w:p w14:paraId="170C4C04">
      <w:pPr>
        <w:pStyle w:val="27"/>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27.3采购方、代理机构发现磋商小组未按磋商文件规定的评审标准进行评审的，应当重新开展磋商活动，并同时书面报告相关部门。</w:t>
      </w:r>
    </w:p>
    <w:p w14:paraId="1173F44E">
      <w:pPr>
        <w:pStyle w:val="27"/>
        <w:snapToGrid w:val="0"/>
        <w:spacing w:line="400" w:lineRule="exact"/>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28.磋商过程保密</w:t>
      </w:r>
    </w:p>
    <w:p w14:paraId="06B957A4">
      <w:pPr>
        <w:pStyle w:val="27"/>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28.1在磋商期间，任何人不得透露与磋商有关的其他供应商的响应内容及服务方案和其他信息。</w:t>
      </w:r>
    </w:p>
    <w:p w14:paraId="4DB05603">
      <w:pPr>
        <w:tabs>
          <w:tab w:val="left" w:pos="567"/>
        </w:tabs>
        <w:snapToGrid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28.2</w:t>
      </w:r>
      <w:r>
        <w:rPr>
          <w:rFonts w:hint="eastAsia" w:ascii="仿宋" w:hAnsi="仿宋" w:eastAsia="仿宋" w:cs="仿宋"/>
          <w:color w:val="auto"/>
          <w:kern w:val="0"/>
          <w:sz w:val="24"/>
          <w:highlight w:val="none"/>
        </w:rPr>
        <w:t>采购人、代理机构应当采取必要措施，保证磋商在严格保密的情况下进行。除采购方代表、磋商现场组织人员外，采购方的其他工作人员以及与磋商工作无关的人员不得进入磋商现场。</w:t>
      </w:r>
    </w:p>
    <w:p w14:paraId="1CE573DF">
      <w:pPr>
        <w:tabs>
          <w:tab w:val="left" w:pos="567"/>
        </w:tabs>
        <w:snapToGrid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28.3磋商开始，直到授予成交供应商合同止，凡是属于审查、澄清、评价和比较磋商的有关资料等，均不得向供应商或其他与磋商无关的人员透露。</w:t>
      </w:r>
    </w:p>
    <w:p w14:paraId="63E3A7B8">
      <w:pPr>
        <w:pStyle w:val="27"/>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28.4在磋商期间，供应商企图影响代理机构或磋商小组的任何活动，将导致磋商被拒绝，并承担相应的责任。</w:t>
      </w:r>
    </w:p>
    <w:p w14:paraId="19A4727E">
      <w:pPr>
        <w:pStyle w:val="27"/>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28.5磋商结束后，参与评审的所有人员不得带走与相关规定要求违背的任何资料。</w:t>
      </w:r>
    </w:p>
    <w:p w14:paraId="4041F0B7">
      <w:pPr>
        <w:pStyle w:val="27"/>
        <w:snapToGrid w:val="0"/>
        <w:spacing w:line="400" w:lineRule="exact"/>
        <w:ind w:firstLine="477" w:firstLineChars="198"/>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29.关于供应商瑕疵滞后发现的处理规则</w:t>
      </w:r>
    </w:p>
    <w:p w14:paraId="6A4B621F">
      <w:pPr>
        <w:pStyle w:val="27"/>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29.1无论基于何种原因，各项本应作拒绝或无效响应处理的情形，即便未被及时发现而使该供应商进入初审、磋商或其</w:t>
      </w:r>
      <w:r>
        <w:rPr>
          <w:rFonts w:hint="eastAsia" w:ascii="仿宋" w:hAnsi="仿宋" w:eastAsia="仿宋" w:cs="仿宋"/>
          <w:color w:val="auto"/>
          <w:sz w:val="24"/>
          <w:szCs w:val="24"/>
          <w:highlight w:val="none"/>
          <w:lang w:val="en-US" w:eastAsia="zh-CN"/>
        </w:rPr>
        <w:t>他</w:t>
      </w:r>
      <w:r>
        <w:rPr>
          <w:rFonts w:hint="eastAsia" w:ascii="仿宋" w:hAnsi="仿宋" w:eastAsia="仿宋" w:cs="仿宋"/>
          <w:color w:val="auto"/>
          <w:sz w:val="24"/>
          <w:szCs w:val="24"/>
          <w:highlight w:val="none"/>
        </w:rPr>
        <w:t>后续程序的，包括已经签约的情形。一旦被发现，代理机构均有权采取相应的补救及纠正措施。</w:t>
      </w:r>
    </w:p>
    <w:p w14:paraId="0A57AEB1">
      <w:pPr>
        <w:tabs>
          <w:tab w:val="left" w:pos="0"/>
        </w:tabs>
        <w:snapToGrid w:val="0"/>
        <w:spacing w:line="400" w:lineRule="exact"/>
        <w:ind w:firstLine="482" w:firstLineChars="200"/>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30.磋商项目终止</w:t>
      </w:r>
    </w:p>
    <w:p w14:paraId="11BD9033">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30.1出现下列情形之一的，代理机构或采购方应当终止磋商活动，发布项目终止公告并说明原因，重新开展磋商活动：</w:t>
      </w:r>
    </w:p>
    <w:p w14:paraId="4FEC70AD">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（一）因情况变化，不再符合规定的磋商方式适用情形的；</w:t>
      </w:r>
    </w:p>
    <w:p w14:paraId="0802822B">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（二）出现影响磋商公正、公平行为的；</w:t>
      </w:r>
    </w:p>
    <w:p w14:paraId="1FEC2CC3">
      <w:pPr>
        <w:snapToGrid w:val="0"/>
        <w:spacing w:line="400" w:lineRule="exact"/>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（三）在磋商过程中符合磋商文件资格性符合性要求的供应商不足3家的，但技术复杂或者性质特殊，不能确定具体要求的情形除外。</w:t>
      </w:r>
    </w:p>
    <w:p w14:paraId="2FEE50A7">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30.2在磋商活动中因重大变故，磋商任务取消的，代理机构或采购方应当终止磋商活动，通过发布终止项目公告的方式通知所有参加磋商活动的供应商，并将项目实施情况和磋商任务取消原因报送相关部门。</w:t>
      </w:r>
    </w:p>
    <w:p w14:paraId="4955C53D">
      <w:pPr>
        <w:snapToGrid w:val="0"/>
        <w:spacing w:line="400" w:lineRule="exact"/>
        <w:ind w:firstLine="482" w:firstLineChars="200"/>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七、签订合同</w:t>
      </w:r>
    </w:p>
    <w:p w14:paraId="6C85FE9F">
      <w:pPr>
        <w:pStyle w:val="27"/>
        <w:snapToGrid w:val="0"/>
        <w:spacing w:line="400" w:lineRule="exact"/>
        <w:ind w:firstLine="477" w:firstLineChars="198"/>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31.成交公告与成交通知</w:t>
      </w:r>
    </w:p>
    <w:p w14:paraId="39C02447">
      <w:pPr>
        <w:pStyle w:val="27"/>
        <w:snapToGrid w:val="0"/>
        <w:spacing w:line="400" w:lineRule="exact"/>
        <w:ind w:firstLine="475" w:firstLineChars="198"/>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31.1代理机构或采购方应当在成交供应商确定后2个工作日内，在</w:t>
      </w:r>
      <w:r>
        <w:rPr>
          <w:rFonts w:hint="eastAsia" w:ascii="仿宋" w:hAnsi="仿宋" w:eastAsia="仿宋" w:cs="仿宋"/>
          <w:color w:val="auto"/>
          <w:sz w:val="24"/>
          <w:szCs w:val="24"/>
          <w:highlight w:val="none"/>
          <w:u w:val="single"/>
        </w:rPr>
        <w:t>山西省政府采购网</w:t>
      </w:r>
      <w:r>
        <w:rPr>
          <w:rFonts w:hint="eastAsia" w:ascii="仿宋" w:hAnsi="仿宋" w:eastAsia="仿宋" w:cs="仿宋"/>
          <w:color w:val="auto"/>
          <w:sz w:val="24"/>
          <w:szCs w:val="24"/>
          <w:highlight w:val="none"/>
        </w:rPr>
        <w:t>发布成交结果</w:t>
      </w:r>
      <w:r>
        <w:rPr>
          <w:rFonts w:hint="eastAsia" w:ascii="仿宋" w:hAnsi="仿宋" w:eastAsia="仿宋" w:cs="仿宋"/>
          <w:color w:val="auto"/>
          <w:kern w:val="0"/>
          <w:sz w:val="24"/>
          <w:szCs w:val="24"/>
          <w:highlight w:val="none"/>
        </w:rPr>
        <w:t>，同时向成交供应商发出成交通知书，并将磋商文件随成交结果同时公告。成交结果公告应当包括：</w:t>
      </w:r>
    </w:p>
    <w:p w14:paraId="6DCA8A35">
      <w:pPr>
        <w:pStyle w:val="27"/>
        <w:snapToGrid w:val="0"/>
        <w:spacing w:line="400" w:lineRule="exact"/>
        <w:ind w:firstLine="475" w:firstLineChars="198"/>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（一）采购方和代理机构的名称、地址和联系方式；</w:t>
      </w:r>
    </w:p>
    <w:p w14:paraId="6DCA906F">
      <w:pPr>
        <w:pStyle w:val="27"/>
        <w:snapToGrid w:val="0"/>
        <w:spacing w:line="400" w:lineRule="exact"/>
        <w:ind w:firstLine="475" w:firstLineChars="198"/>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（二）项目名称和项目编号；</w:t>
      </w:r>
    </w:p>
    <w:p w14:paraId="0C3B6CBF">
      <w:pPr>
        <w:pStyle w:val="27"/>
        <w:snapToGrid w:val="0"/>
        <w:spacing w:line="400" w:lineRule="exact"/>
        <w:ind w:firstLine="475" w:firstLineChars="198"/>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（三）成交供应商名称、地址和成交金额；</w:t>
      </w:r>
    </w:p>
    <w:p w14:paraId="694933BD">
      <w:pPr>
        <w:pStyle w:val="27"/>
        <w:snapToGrid w:val="0"/>
        <w:spacing w:line="400" w:lineRule="exact"/>
        <w:ind w:firstLine="475" w:firstLineChars="198"/>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（四）主要成交标的的名称、服务范围、服务要求、服务时间、服务标准；</w:t>
      </w:r>
    </w:p>
    <w:p w14:paraId="19EC1183">
      <w:pPr>
        <w:pStyle w:val="27"/>
        <w:snapToGrid w:val="0"/>
        <w:spacing w:line="400" w:lineRule="exact"/>
        <w:ind w:firstLine="475" w:firstLineChars="198"/>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（五）磋商小组成员名单。</w:t>
      </w:r>
    </w:p>
    <w:p w14:paraId="4A8222A4">
      <w:pPr>
        <w:pStyle w:val="27"/>
        <w:snapToGrid w:val="0"/>
        <w:spacing w:line="400" w:lineRule="exact"/>
        <w:ind w:firstLine="475" w:firstLineChars="198"/>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31.2代理机构对未成交的供应商不做未成交原因的解释。</w:t>
      </w:r>
    </w:p>
    <w:p w14:paraId="6A54860D">
      <w:pPr>
        <w:pStyle w:val="27"/>
        <w:snapToGrid w:val="0"/>
        <w:spacing w:line="400" w:lineRule="exact"/>
        <w:ind w:firstLine="475" w:firstLineChars="198"/>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31.3成交通知书对采购方和成交供应商具有同等法律效力，是合同的组成部分。</w:t>
      </w:r>
    </w:p>
    <w:p w14:paraId="0F32E12A">
      <w:pPr>
        <w:tabs>
          <w:tab w:val="left" w:pos="567"/>
        </w:tabs>
        <w:snapToGrid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31.4除不可抗力等因素外，成交通知书发出后，采购方改变成交结果，或者成交供应商拒绝签订合同的，应当承担相应的责任。</w:t>
      </w:r>
    </w:p>
    <w:p w14:paraId="46FEBD73">
      <w:pPr>
        <w:tabs>
          <w:tab w:val="left" w:pos="567"/>
        </w:tabs>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31.5成交供应商拒绝签订合同的，采购方可以确定其他供应商作为成交供应商，并签订合同；也可以重新开展磋商活动。拒绝签订合同的成交供应商不得参加对该项目重新开展的磋商活动。</w:t>
      </w:r>
    </w:p>
    <w:p w14:paraId="523767C0">
      <w:pPr>
        <w:pStyle w:val="27"/>
        <w:snapToGrid w:val="0"/>
        <w:spacing w:line="400" w:lineRule="exact"/>
        <w:ind w:firstLine="477" w:firstLineChars="198"/>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32.成交服务费</w:t>
      </w:r>
    </w:p>
    <w:p w14:paraId="443969D2">
      <w:pPr>
        <w:pStyle w:val="28"/>
        <w:spacing w:line="400" w:lineRule="exact"/>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32.1采购项目成交服务费由成交供应商缴纳，</w:t>
      </w:r>
      <w:r>
        <w:rPr>
          <w:rFonts w:hint="eastAsia" w:ascii="仿宋" w:hAnsi="仿宋" w:eastAsia="仿宋" w:cs="仿宋"/>
          <w:color w:val="auto"/>
          <w:sz w:val="24"/>
          <w:highlight w:val="none"/>
        </w:rPr>
        <w:t>代理服务费参照《招标代理服务收费管理暂行办法》(计价格[2002]1980号)、《国家发展改革委关于招标代理服务收费有关问题的通知》(发改办价格[2003]857号)、《国家发展改革委关于降低部分建设项目收费标准规范收费行为等有关问题的通知》(发改价格[2011]534号)标准计取，由成交单位在领取成交通知书时一次性支付给招标代理公司。</w:t>
      </w:r>
    </w:p>
    <w:p w14:paraId="55B67E85">
      <w:pPr>
        <w:pStyle w:val="28"/>
        <w:spacing w:line="400" w:lineRule="exact"/>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请供应商在测算报价时充分考虑这一因素。</w:t>
      </w:r>
    </w:p>
    <w:p w14:paraId="2056F4E5">
      <w:pPr>
        <w:pStyle w:val="28"/>
        <w:spacing w:line="400" w:lineRule="exact"/>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32.2成交供应商在收到成交通知书时，向采购代理机构一次性付清成交服务费。</w:t>
      </w:r>
    </w:p>
    <w:p w14:paraId="093A5616">
      <w:pPr>
        <w:spacing w:line="40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33.签订合同</w:t>
      </w:r>
    </w:p>
    <w:p w14:paraId="10249563">
      <w:pPr>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33.1</w:t>
      </w:r>
      <w:r>
        <w:rPr>
          <w:rFonts w:hint="eastAsia" w:ascii="仿宋" w:hAnsi="仿宋" w:eastAsia="仿宋" w:cs="仿宋"/>
          <w:color w:val="auto"/>
          <w:kern w:val="0"/>
          <w:sz w:val="24"/>
          <w:highlight w:val="none"/>
        </w:rPr>
        <w:t>采购方与成交供应商应当在成交通知书发出之日起30日内，按照磋商文件确定的合同文本以及磋商内容、服务、技术要求等事项签订采购合同。</w:t>
      </w:r>
    </w:p>
    <w:p w14:paraId="08A2BAB5">
      <w:pPr>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33.2采购方不得向成交供应商提出超出磋商文件、成交供应商响应文件及其相关承诺以外的任何要求作为签订合同的条件，不得与成交供应商订立背离磋商文件确定的合同文本以及磋商内容、服务及技术要求等实质性内容的协议。</w:t>
      </w:r>
    </w:p>
    <w:p w14:paraId="71717C77">
      <w:pPr>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33.3除磋商文件要求可以转包、分包情形外，成交供应商不得转包、分包，亦不得将合同全部及任何权利、义务向第三方转让。代理机构或采购方有权决定按照成交供应商成交后毁标、终止或解除合同等依约处理。</w:t>
      </w:r>
    </w:p>
    <w:p w14:paraId="4CD739A6">
      <w:pPr>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33.4采购方与成交供应商应当根据合同约定依法履行合同义务，否则，应承担赔偿责任。</w:t>
      </w:r>
    </w:p>
    <w:p w14:paraId="0C69F6A2">
      <w:pPr>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33.5成交供应商应当自合同或补充合同签订之日起五个工作日内将合同报代理机构备案。</w:t>
      </w:r>
    </w:p>
    <w:p w14:paraId="3DF5DED8">
      <w:pPr>
        <w:pStyle w:val="27"/>
        <w:spacing w:line="400" w:lineRule="exact"/>
        <w:ind w:firstLine="482" w:firstLineChars="20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八、保密和披露</w:t>
      </w:r>
    </w:p>
    <w:p w14:paraId="74B0AD83">
      <w:pPr>
        <w:pStyle w:val="27"/>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34.1供应商自获取磋商文件之日起，须承诺承担对本磋商项目的保密义务，不得将因本次磋商获得的信息向第三方外传。</w:t>
      </w:r>
    </w:p>
    <w:p w14:paraId="11F83BB3">
      <w:pPr>
        <w:pStyle w:val="27"/>
        <w:spacing w:line="400" w:lineRule="exact"/>
        <w:ind w:firstLine="482" w:firstLineChars="200"/>
        <w:jc w:val="left"/>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rPr>
        <w:t>34.2参加磋商过程的有关人员对磋商情况以及在磋商过程中获悉的国家秘密、商业秘密负有保密责任。</w:t>
      </w:r>
    </w:p>
    <w:p w14:paraId="27EE7FAB">
      <w:pPr>
        <w:pStyle w:val="27"/>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34.3代理机构有权将供应商提供的所有资料向有关部门或评审的有关人员披露。</w:t>
      </w:r>
    </w:p>
    <w:p w14:paraId="3BDB79DD">
      <w:pPr>
        <w:pStyle w:val="27"/>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34.4在代理机构认为适当时、国家机关调查、审查、审计时以及其他符合规定的情形下，代理机构无须事先征求成交供应商同意而可以披露关于磋商过程、合同文本、签署情况的资料、成交供应商的名称及地址、响应文件的有关信息以及补充条款等，但应当在合理的必要范围内。对任何已经公布过的内容或与之内容相同的资料，以及成交供应商已经泄露或公开的，无须再承担保密责任。</w:t>
      </w:r>
    </w:p>
    <w:p w14:paraId="5D3F39FC">
      <w:pPr>
        <w:pStyle w:val="27"/>
        <w:spacing w:line="400" w:lineRule="exact"/>
        <w:ind w:firstLine="482" w:firstLineChars="20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九、询问和质疑</w:t>
      </w:r>
    </w:p>
    <w:p w14:paraId="54DC305A">
      <w:pPr>
        <w:pStyle w:val="27"/>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 询问</w:t>
      </w:r>
    </w:p>
    <w:p w14:paraId="5BF6AF93">
      <w:pPr>
        <w:pStyle w:val="27"/>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34.1供应商对政府采购活动事项和采购文件、采购结果有疑问的，可按第一部分竞争性磋商公告中载明的联系方式、地址口头或书面形式向采购代理机构、采购人提出询问，采购代理机构、采购人将依据《中华人民共和国政府采购法实施条例》第五十二条第一款采购人或者采购代理机构应当在3个工作日内对供应商依法提出的询问作出答复。</w:t>
      </w:r>
    </w:p>
    <w:p w14:paraId="33E300E8">
      <w:pPr>
        <w:pStyle w:val="27"/>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34.2询问超出采购人对采购代理机构委托授权范围的，采购代理机构将依据《中华人民共和国政府采购法实施条例》第五十二条第二款的规定供应商提出的询问或者质疑超出采购人对采购代理机构委托授权范围的，采购代理机构应当告知供应商向采购人提出质疑。</w:t>
      </w:r>
    </w:p>
    <w:p w14:paraId="70444663">
      <w:pPr>
        <w:pStyle w:val="27"/>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 质疑</w:t>
      </w:r>
    </w:p>
    <w:p w14:paraId="4B5C89F3">
      <w:pPr>
        <w:pStyle w:val="27"/>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35.1供应商认为竞争性磋商文件、采购过程、中标结果使自己的合法权益受到损害的，应当在知道或者应知其权益受到损害之日起7个工作日内，通过政府采购云平台在线向采购代理机构提出质疑。</w:t>
      </w:r>
    </w:p>
    <w:p w14:paraId="4CC864EF">
      <w:pPr>
        <w:pStyle w:val="27"/>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35.2 供应商针对同一采购程序环节的质疑须在法定质疑期内一次性提出。</w:t>
      </w:r>
    </w:p>
    <w:p w14:paraId="486097D4">
      <w:pPr>
        <w:pStyle w:val="27"/>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35.3 提出质疑的时限应当符合《中华人民共和国政府采购法实施条例》第五十三条的规定。对本竞争性磋商文件的质疑，其受到损害之日为收到本竞争性磋商文件之日。</w:t>
      </w:r>
    </w:p>
    <w:p w14:paraId="730DC1A3">
      <w:pPr>
        <w:pStyle w:val="27"/>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35.4供应商参与山西省政府采购项目时，符合法定质疑条件的，通过政府采购平台进入“项目质疑管理”栏目向采购人、采购代理机构在线提起质疑。政府采购平台自动登记收到质疑的时间，从次日计算答复期限。采购人或代理机构线下收到的质疑务必于当日上传至政府采购平台，因未能及时上传收到的质疑导致的不利后果由采购人或代理机构承担。</w:t>
      </w:r>
    </w:p>
    <w:p w14:paraId="1CC3246D">
      <w:pPr>
        <w:pStyle w:val="27"/>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35.5质疑材料要求：供应商提起在线质疑，应当按照《政府采购质疑和投诉办法》有关规定如实填写事项及信息，在线提交质疑函及必要的证明材料纸质版扫描件或图片（支持格式：DOC、DOCX、PDF、JPG、PNG、GIF)。</w:t>
      </w:r>
    </w:p>
    <w:p w14:paraId="7895CA99">
      <w:pPr>
        <w:pStyle w:val="27"/>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在线质疑由供应商委托代理人提起的，还需上传授权委托书及被委托人身份证明，授权委托书应当载明委托人及被委托人的姓名或名称、代理事项、具体权限、期限等。</w:t>
      </w:r>
    </w:p>
    <w:p w14:paraId="651B193D">
      <w:pPr>
        <w:pStyle w:val="27"/>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供应商为法人或者其他组织的，相关材料由法定代表人、主要负责人或者其授权代表签名或者盖章并加盖公章；供应商为自然人的，相关材料由本人签名。</w:t>
      </w:r>
    </w:p>
    <w:p w14:paraId="398B9662">
      <w:pPr>
        <w:pStyle w:val="27"/>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35.6在线质疑答复</w:t>
      </w:r>
    </w:p>
    <w:p w14:paraId="5DB51DB5">
      <w:pPr>
        <w:pStyle w:val="27"/>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委托采购代理机构采购的，供应商可以向采购代理机构提出质疑，采购代理机构应当依法就采购人委托授权范围内的事项作出答复。采购人、采购代理机构收到在线质疑后，应当按照政府采购相关规定，在7个工作日内通过政府采购平台对供应商依法提出的质疑作出答复，但答复的内容不得涉及商业秘密。质疑供应商通过政府采购平台在线接收质疑答复结果。</w:t>
      </w:r>
    </w:p>
    <w:p w14:paraId="12F2B9C0">
      <w:pPr>
        <w:pStyle w:val="27"/>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对采购文件质疑的处理。采购人或采购代理机构应当对被质疑的采购文件相关内容进行核实并逐一作出答复；必要时，可邀请不少于3名以上单数政府采购专家对质疑内容进行审核，并依据专家意见进行答复。</w:t>
      </w:r>
    </w:p>
    <w:p w14:paraId="497ECEEB">
      <w:pPr>
        <w:pStyle w:val="27"/>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对采购过程质疑的处理。采购人、采购代理机构应当对质疑内容进行核实，并依据核实结果进行答复，必要时应出具相关依据。</w:t>
      </w:r>
    </w:p>
    <w:p w14:paraId="220EF438">
      <w:pPr>
        <w:pStyle w:val="27"/>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中标、成交结果质疑的处理。质疑内容属于评审报告中已有结论性意见的，采购人、采购代理机构可依据评审报告意见答复；必要时，采购人或采购代理机构应当组织原评审委员会协助处理质疑事项，并依据评审委员会出具的意见进行答复。质疑内容涉及原评审存在资格性检查认定错误、实质性条款评判错误、分值汇总计算错误、价格计算错误、分项评分和客观分评分错误情形的，由原评审委员会予以明确，并书面陈述是否产生错误、原因和事实依据。质疑供应商提供的证明材料属于其他供应商投标（响应）文件未公开内容的，采购人或采购代理机构应当要求质疑供应商提供书面材料证明其合法来源。</w:t>
      </w:r>
    </w:p>
    <w:p w14:paraId="4F7BAEA0">
      <w:pPr>
        <w:snapToGrid w:val="0"/>
        <w:spacing w:line="400" w:lineRule="exact"/>
        <w:ind w:firstLine="482" w:firstLineChars="200"/>
        <w:outlineLvl w:val="1"/>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十、违约处罚</w:t>
      </w:r>
    </w:p>
    <w:p w14:paraId="093BB3F2">
      <w:pPr>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36. 供应商发生下列情况之一的，磋商保证金将被没收，并可能被列入不良记录名单，同时代理机构将提请相关监管部门，依据相关规定作出处理。 </w:t>
      </w:r>
    </w:p>
    <w:p w14:paraId="3E970389">
      <w:pPr>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36.1开启后在响应文件有效期内，供应商撤回其响应文件；</w:t>
      </w:r>
    </w:p>
    <w:p w14:paraId="7F6302AB">
      <w:pPr>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36.2在磋商期间，供应商企图影响代理机构或磋商小组的任何活动，将导致报价被拒绝，并由其承担相应的法律责任；</w:t>
      </w:r>
    </w:p>
    <w:p w14:paraId="08131CD0">
      <w:pPr>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36.3成交供应商未按本磋商文件规定签约； </w:t>
      </w:r>
    </w:p>
    <w:p w14:paraId="428DDCA1">
      <w:pPr>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36.4成交供应商与采购方订立背离合同实质性内容的其</w:t>
      </w:r>
      <w:r>
        <w:rPr>
          <w:rFonts w:hint="eastAsia" w:ascii="仿宋" w:hAnsi="仿宋" w:eastAsia="仿宋" w:cs="仿宋"/>
          <w:color w:val="auto"/>
          <w:kern w:val="0"/>
          <w:sz w:val="24"/>
          <w:highlight w:val="none"/>
          <w:lang w:val="en-US" w:eastAsia="zh-CN"/>
        </w:rPr>
        <w:t>他</w:t>
      </w:r>
      <w:r>
        <w:rPr>
          <w:rFonts w:hint="eastAsia" w:ascii="仿宋" w:hAnsi="仿宋" w:eastAsia="仿宋" w:cs="仿宋"/>
          <w:color w:val="auto"/>
          <w:kern w:val="0"/>
          <w:sz w:val="24"/>
          <w:highlight w:val="none"/>
        </w:rPr>
        <w:t xml:space="preserve">协议； </w:t>
      </w:r>
    </w:p>
    <w:p w14:paraId="726BF561">
      <w:pPr>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36.5成交供应商未按磋商文件规定和合同约定履行义务的。</w:t>
      </w:r>
    </w:p>
    <w:p w14:paraId="5103C82C">
      <w:pPr>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37.采购方有下列情形之一的，由有关部门责令限期改正；情节严重的，给予警告：</w:t>
      </w:r>
    </w:p>
    <w:p w14:paraId="7C94082F">
      <w:pPr>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（一）未按照本办法的规定编制磋商需求的；</w:t>
      </w:r>
    </w:p>
    <w:p w14:paraId="551159D2">
      <w:pPr>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（二）采购方向供应商索要或者接受其给予的赠品、回扣或者与磋商无关的其他商品、服务的；</w:t>
      </w:r>
    </w:p>
    <w:p w14:paraId="17ED134A">
      <w:pPr>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38.磋商小组及其成员不得有下列行为：</w:t>
      </w:r>
    </w:p>
    <w:p w14:paraId="5B53ACEE">
      <w:pPr>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（一）确定参与评审至评审结束前私自接触供应商；</w:t>
      </w:r>
    </w:p>
    <w:p w14:paraId="03B02A8B">
      <w:pPr>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（二）接受供应商提出的与响应文件不一致的澄清或者说明，对于响应文件中含义不明确、同类问题表述不一致或者有明显文字和计算错误的内容的情形除外；</w:t>
      </w:r>
    </w:p>
    <w:p w14:paraId="4319A8C8">
      <w:pPr>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（三）违反评审纪律发表倾向性意见或者征询采购方的倾向性意见；</w:t>
      </w:r>
    </w:p>
    <w:p w14:paraId="17AB0F98">
      <w:pPr>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（四）对需要专业判断的主观评审因素协商评分；</w:t>
      </w:r>
    </w:p>
    <w:p w14:paraId="6B94A42F">
      <w:pPr>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（五）在评审过程中擅离职守，影响评审程序正常进行的；</w:t>
      </w:r>
    </w:p>
    <w:p w14:paraId="4E5AE5BC">
      <w:pPr>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（六）记录、复制或者带走任何评标资料；</w:t>
      </w:r>
    </w:p>
    <w:p w14:paraId="05BAD1D9">
      <w:pPr>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（七）其他不遵守评标纪律的行为。</w:t>
      </w:r>
    </w:p>
    <w:p w14:paraId="38B22319">
      <w:pPr>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磋商小组成员有前款第一至五项行为之一的，其评审意见无效，并不得获取评审劳务报酬和报销异地评审差旅费。</w:t>
      </w:r>
    </w:p>
    <w:p w14:paraId="66FEF89A">
      <w:pPr>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39.代理机构或采购方有下列情形之一的，由相关部门责令限期改正，情节严重的，给予警告：</w:t>
      </w:r>
    </w:p>
    <w:p w14:paraId="11422B97">
      <w:pPr>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（一）代理机构及其分支机构在所代理的磋商项目中参与磋商活动的，为所代理的磋商项目的供应商参加本项目提供咨询的；</w:t>
      </w:r>
    </w:p>
    <w:p w14:paraId="2B3D0897">
      <w:pPr>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（二）未按照规定进行资格预审的；</w:t>
      </w:r>
    </w:p>
    <w:p w14:paraId="2446F530">
      <w:pPr>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（三）违反规定确定磋商文件售价的；</w:t>
      </w:r>
    </w:p>
    <w:p w14:paraId="51487207">
      <w:pPr>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（四）未按规定对磋商文件、评审活动进行全程录音录像的；</w:t>
      </w:r>
    </w:p>
    <w:p w14:paraId="0002AE52">
      <w:pPr>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（五）擅自终止磋商活动的；</w:t>
      </w:r>
    </w:p>
    <w:p w14:paraId="4E882967">
      <w:pPr>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（六）未按照规定对响应文件进行解密和组织评审的；</w:t>
      </w:r>
    </w:p>
    <w:p w14:paraId="6E98BCAB">
      <w:pPr>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（七）未按照规定退还磋商保证金的；</w:t>
      </w:r>
    </w:p>
    <w:p w14:paraId="644290F0">
      <w:pPr>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（八）违反本办法规定进行重新评审或者重新组建磋商小组进行评审的；</w:t>
      </w:r>
    </w:p>
    <w:p w14:paraId="5C913C7C">
      <w:pPr>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（九）开启前泄露已获取磋商文件的潜在供应商的名称、数量或者其他可能影响公平竞争的有关磋商活动情况的；</w:t>
      </w:r>
    </w:p>
    <w:p w14:paraId="1129D4F7">
      <w:pPr>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（十）未妥善保存磋商采购文件的；</w:t>
      </w:r>
    </w:p>
    <w:p w14:paraId="3629DDFA">
      <w:pPr>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（十一）其他违反本办法规定的情形。</w:t>
      </w:r>
    </w:p>
    <w:p w14:paraId="4AEF7635">
      <w:pPr>
        <w:tabs>
          <w:tab w:val="left" w:pos="0"/>
        </w:tabs>
        <w:snapToGrid w:val="0"/>
        <w:spacing w:line="400" w:lineRule="exact"/>
        <w:ind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十一、</w:t>
      </w:r>
      <w:bookmarkStart w:id="6" w:name="_Toc466533586"/>
      <w:r>
        <w:rPr>
          <w:rFonts w:hint="eastAsia" w:ascii="仿宋" w:hAnsi="仿宋" w:eastAsia="仿宋" w:cs="仿宋"/>
          <w:b/>
          <w:color w:val="auto"/>
          <w:kern w:val="0"/>
          <w:sz w:val="24"/>
          <w:highlight w:val="none"/>
        </w:rPr>
        <w:t>政策性要求评审内容及标准</w:t>
      </w:r>
      <w:bookmarkEnd w:id="6"/>
    </w:p>
    <w:p w14:paraId="36CFD629">
      <w:pPr>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40.进口货物及政府采购政策要求</w:t>
      </w:r>
    </w:p>
    <w:p w14:paraId="60109B77">
      <w:pPr>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40.1按照财政部《政府采购进口产品管理办法》（财库[2007]119号）的有关规定，本磋商文件涉及的采购货物及软件服务，未特别标注“进口产品”字样的，均必须投报国产产品。进口产品特指“通过中国海关报关验放进入中国境内且产自关境外的产品”，报价产品各项技术标准必须符合国家强制性标准。</w:t>
      </w:r>
    </w:p>
    <w:p w14:paraId="67D43B8D">
      <w:pPr>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40.2国家强制产品</w:t>
      </w:r>
    </w:p>
    <w:p w14:paraId="1E4ACF21">
      <w:pPr>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采购货物中如含“台式计算机、便携式计算机和平板式微型计算机、激光打印机、针式打印机、液晶显示器、制冷压缩机、空调机组、专用制冷空调设备、镇流器、空调机、普通照明用双端荧光灯、电视设备、视频设备以及便器、水嘴等”，属于国家强制性采购产品，提供获得国家确定的认证机构出具的处于有效期之内的节能产品认证证书。</w:t>
      </w:r>
    </w:p>
    <w:p w14:paraId="29D08D09">
      <w:pPr>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40.3本项目所采购的货物中如包含计算机，必须预装正版操作系统软件产品；所采购的其</w:t>
      </w:r>
      <w:r>
        <w:rPr>
          <w:rFonts w:hint="eastAsia" w:ascii="仿宋" w:hAnsi="仿宋" w:eastAsia="仿宋" w:cs="仿宋"/>
          <w:color w:val="auto"/>
          <w:kern w:val="0"/>
          <w:sz w:val="24"/>
          <w:highlight w:val="none"/>
          <w:lang w:val="en-US" w:eastAsia="zh-CN"/>
        </w:rPr>
        <w:t>他</w:t>
      </w:r>
      <w:r>
        <w:rPr>
          <w:rFonts w:hint="eastAsia" w:ascii="仿宋" w:hAnsi="仿宋" w:eastAsia="仿宋" w:cs="仿宋"/>
          <w:color w:val="auto"/>
          <w:kern w:val="0"/>
          <w:sz w:val="24"/>
          <w:highlight w:val="none"/>
        </w:rPr>
        <w:t>软件必须为正版软件。</w:t>
      </w:r>
    </w:p>
    <w:p w14:paraId="0E960C7D">
      <w:pPr>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40.4采购货物中如含有财政部会同有关部门制定下发的《信息安全产品强制性认证目录》中的产品，须提供中国信息安全认证中心按国家标准认证颁发的有效认证证书。未附有效认证证书，将有可能导致响应文件无效。</w:t>
      </w:r>
    </w:p>
    <w:p w14:paraId="40545824">
      <w:pPr>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41.依据政府采购的相关规定，如果供应商或所提供的货物满足下述要求并经磋商小组全体成员集体认定通过，予以考虑执行。</w:t>
      </w:r>
    </w:p>
    <w:p w14:paraId="294F7E20">
      <w:pPr>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41.1．中小微企业参加本项目磋商：</w:t>
      </w:r>
    </w:p>
    <w:p w14:paraId="16BFD490">
      <w:pPr>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须按照《政府采购促进中小企业发展管理办法》（财库﹝2020﹞46号）、且适用</w:t>
      </w:r>
      <w:r>
        <w:rPr>
          <w:rFonts w:hint="eastAsia" w:ascii="仿宋" w:hAnsi="仿宋" w:eastAsia="仿宋" w:cs="仿宋"/>
          <w:color w:val="auto"/>
          <w:sz w:val="24"/>
          <w:highlight w:val="none"/>
        </w:rPr>
        <w:t>山西省财政厅发布的《关于进一步加大政府采购支持中小企业力度助力扎实稳住经济的通知》（晋财购【2022】6号）文件</w:t>
      </w:r>
      <w:r>
        <w:rPr>
          <w:rFonts w:hint="eastAsia" w:ascii="仿宋" w:hAnsi="仿宋" w:eastAsia="仿宋" w:cs="仿宋"/>
          <w:color w:val="auto"/>
          <w:kern w:val="0"/>
          <w:sz w:val="24"/>
          <w:highlight w:val="none"/>
        </w:rPr>
        <w:t>如实填写《中小企业声明函》。</w:t>
      </w:r>
    </w:p>
    <w:p w14:paraId="2214A093">
      <w:pPr>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41.2残疾人福利单位参加本项目磋商：</w:t>
      </w:r>
    </w:p>
    <w:p w14:paraId="0D1CC012">
      <w:pPr>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依据《三部门联合发布关于促进残疾人就业政府采购政策的通知》（财库[2017]141号）第三条规定，在政府采购活动中，残疾人福利性单位视同小型、微型企业，享受预留份额、评审中价格扣除等促进中小企业发展的政府采购政策。</w:t>
      </w:r>
    </w:p>
    <w:p w14:paraId="32DA7EE1">
      <w:pPr>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41.3监狱企业参加本项目磋商：</w:t>
      </w:r>
    </w:p>
    <w:p w14:paraId="722C0A87">
      <w:pPr>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依据《财政部司法部关于政府采购支持监狱企业发展有关问题的通知》(财库〔2014〕68号)规定，监狱企业视同小型、微型企业，享受预留份额、评审中价格扣除等政府采购促进中小企业发展的政府采购政策。</w:t>
      </w:r>
    </w:p>
    <w:p w14:paraId="1DE70F49">
      <w:pPr>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41.4联合体参加本项目磋商：</w:t>
      </w:r>
    </w:p>
    <w:p w14:paraId="4C0EE528">
      <w:pPr>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如本项目要求有联合体参加磋商的，要根据《中华人民共和国政府采购法》第二十二条和《中华人民共和国政府采购法实施条例》第十七条的规定应提供磋商联合体各方的资格。联合体协议中约定，小型、微型企业的协议合同金额占到联合体协议合同金额30%以上的，给予联合体价格扣除。</w:t>
      </w:r>
    </w:p>
    <w:p w14:paraId="27678A88">
      <w:pPr>
        <w:snapToGrid w:val="0"/>
        <w:spacing w:line="400" w:lineRule="exact"/>
        <w:ind w:firstLine="723" w:firstLineChars="200"/>
        <w:jc w:val="center"/>
        <w:rPr>
          <w:rFonts w:hint="eastAsia" w:ascii="仿宋" w:hAnsi="仿宋" w:eastAsia="仿宋" w:cs="仿宋"/>
          <w:b/>
          <w:color w:val="auto"/>
          <w:kern w:val="0"/>
          <w:sz w:val="24"/>
          <w:highlight w:val="none"/>
        </w:rPr>
      </w:pPr>
      <w:r>
        <w:rPr>
          <w:rFonts w:hint="eastAsia" w:ascii="仿宋" w:hAnsi="仿宋" w:eastAsia="仿宋" w:cs="仿宋"/>
          <w:b/>
          <w:bCs/>
          <w:snapToGrid w:val="0"/>
          <w:color w:val="auto"/>
          <w:kern w:val="0"/>
          <w:sz w:val="36"/>
          <w:szCs w:val="36"/>
          <w:highlight w:val="none"/>
        </w:rPr>
        <w:br w:type="page"/>
      </w:r>
      <w:r>
        <w:rPr>
          <w:rFonts w:hint="eastAsia" w:ascii="仿宋" w:hAnsi="仿宋" w:eastAsia="仿宋" w:cs="仿宋"/>
          <w:b/>
          <w:bCs/>
          <w:snapToGrid w:val="0"/>
          <w:color w:val="auto"/>
          <w:kern w:val="0"/>
          <w:sz w:val="36"/>
          <w:szCs w:val="36"/>
          <w:highlight w:val="none"/>
        </w:rPr>
        <w:t>第四部分  评审标准和评定方法</w:t>
      </w:r>
    </w:p>
    <w:p w14:paraId="0485D6C2">
      <w:pPr>
        <w:snapToGrid w:val="0"/>
        <w:spacing w:line="400" w:lineRule="exact"/>
        <w:ind w:firstLine="482" w:firstLineChars="200"/>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一、资格性审查要求</w:t>
      </w:r>
    </w:p>
    <w:tbl>
      <w:tblPr>
        <w:tblStyle w:val="1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362"/>
        <w:gridCol w:w="3018"/>
        <w:gridCol w:w="4177"/>
      </w:tblGrid>
      <w:tr w14:paraId="77725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397" w:type="pct"/>
            <w:noWrap w:val="0"/>
            <w:vAlign w:val="center"/>
          </w:tcPr>
          <w:p w14:paraId="5E4C5DD2">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741" w:type="pct"/>
            <w:noWrap w:val="0"/>
            <w:vAlign w:val="center"/>
          </w:tcPr>
          <w:p w14:paraId="75E29ACC">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类型</w:t>
            </w:r>
          </w:p>
        </w:tc>
        <w:tc>
          <w:tcPr>
            <w:tcW w:w="1633" w:type="pct"/>
            <w:noWrap w:val="0"/>
            <w:vAlign w:val="center"/>
          </w:tcPr>
          <w:p w14:paraId="6257792A">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审查要求</w:t>
            </w:r>
          </w:p>
        </w:tc>
        <w:tc>
          <w:tcPr>
            <w:tcW w:w="2227" w:type="pct"/>
            <w:noWrap w:val="0"/>
            <w:vAlign w:val="center"/>
          </w:tcPr>
          <w:p w14:paraId="23487F4E">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要求说明</w:t>
            </w:r>
          </w:p>
        </w:tc>
      </w:tr>
      <w:tr w14:paraId="5F892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397" w:type="pct"/>
            <w:noWrap w:val="0"/>
            <w:vAlign w:val="center"/>
          </w:tcPr>
          <w:p w14:paraId="6077EFBB">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741" w:type="pct"/>
            <w:noWrap w:val="0"/>
            <w:vAlign w:val="center"/>
          </w:tcPr>
          <w:p w14:paraId="2724F881">
            <w:pPr>
              <w:spacing w:line="40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营业执照</w:t>
            </w:r>
          </w:p>
        </w:tc>
        <w:tc>
          <w:tcPr>
            <w:tcW w:w="1633" w:type="pct"/>
            <w:noWrap w:val="0"/>
            <w:vAlign w:val="center"/>
          </w:tcPr>
          <w:p w14:paraId="5AEDCB92">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具有独立承担民事责任的能力</w:t>
            </w:r>
          </w:p>
        </w:tc>
        <w:tc>
          <w:tcPr>
            <w:tcW w:w="2227" w:type="pct"/>
            <w:noWrap w:val="0"/>
            <w:vAlign w:val="center"/>
          </w:tcPr>
          <w:p w14:paraId="2E142EA2">
            <w:pPr>
              <w:adjustRightInd w:val="0"/>
              <w:snapToGrid w:val="0"/>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提供供应商信用承诺书。</w:t>
            </w:r>
          </w:p>
          <w:p w14:paraId="1EBC790B">
            <w:pPr>
              <w:adjustRightInd w:val="0"/>
              <w:snapToGrid w:val="0"/>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以上证明材料须符合要求、有效、完整。否则，响应无效。</w:t>
            </w:r>
          </w:p>
        </w:tc>
      </w:tr>
      <w:tr w14:paraId="5CB8C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397" w:type="pct"/>
            <w:noWrap w:val="0"/>
            <w:vAlign w:val="center"/>
          </w:tcPr>
          <w:p w14:paraId="4F728BBA">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741" w:type="pct"/>
            <w:noWrap w:val="0"/>
            <w:vAlign w:val="center"/>
          </w:tcPr>
          <w:p w14:paraId="6B84777A">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财务报告</w:t>
            </w:r>
          </w:p>
        </w:tc>
        <w:tc>
          <w:tcPr>
            <w:tcW w:w="1633" w:type="pct"/>
            <w:noWrap w:val="0"/>
            <w:vAlign w:val="center"/>
          </w:tcPr>
          <w:p w14:paraId="61689650">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具有良好的商业信誉和健全的财务会计制度</w:t>
            </w:r>
          </w:p>
        </w:tc>
        <w:tc>
          <w:tcPr>
            <w:tcW w:w="2227" w:type="pct"/>
            <w:noWrap w:val="0"/>
            <w:vAlign w:val="center"/>
          </w:tcPr>
          <w:p w14:paraId="41B6F00D">
            <w:pPr>
              <w:adjustRightInd w:val="0"/>
              <w:snapToGrid w:val="0"/>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提供供应商信用承诺书。</w:t>
            </w:r>
          </w:p>
          <w:p w14:paraId="32D178BD">
            <w:pPr>
              <w:adjustRightInd w:val="0"/>
              <w:snapToGrid w:val="0"/>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以上证明材料须符合要求、有效、完整。否则，响应无效。</w:t>
            </w:r>
          </w:p>
        </w:tc>
      </w:tr>
      <w:tr w14:paraId="19DF2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397" w:type="pct"/>
            <w:noWrap w:val="0"/>
            <w:vAlign w:val="center"/>
          </w:tcPr>
          <w:p w14:paraId="0270DC06">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741" w:type="pct"/>
            <w:noWrap w:val="0"/>
            <w:vAlign w:val="center"/>
          </w:tcPr>
          <w:p w14:paraId="416F225D">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基本资质</w:t>
            </w:r>
          </w:p>
        </w:tc>
        <w:tc>
          <w:tcPr>
            <w:tcW w:w="1633" w:type="pct"/>
            <w:noWrap w:val="0"/>
            <w:vAlign w:val="center"/>
          </w:tcPr>
          <w:p w14:paraId="41075159">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具有履行合同所必需的设备和专业技术能力</w:t>
            </w:r>
          </w:p>
        </w:tc>
        <w:tc>
          <w:tcPr>
            <w:tcW w:w="2227" w:type="pct"/>
            <w:noWrap w:val="0"/>
            <w:vAlign w:val="center"/>
          </w:tcPr>
          <w:p w14:paraId="6BCB0C19">
            <w:pPr>
              <w:adjustRightInd w:val="0"/>
              <w:snapToGrid w:val="0"/>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提供供应商信用承诺书。</w:t>
            </w:r>
          </w:p>
          <w:p w14:paraId="2F2DDFF4">
            <w:pPr>
              <w:adjustRightInd w:val="0"/>
              <w:snapToGrid w:val="0"/>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以上证明材料须符合要求、有效、完整。否则，响应无效。</w:t>
            </w:r>
          </w:p>
        </w:tc>
      </w:tr>
      <w:tr w14:paraId="7196C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397" w:type="pct"/>
            <w:noWrap w:val="0"/>
            <w:vAlign w:val="center"/>
          </w:tcPr>
          <w:p w14:paraId="40B0AA4A">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741" w:type="pct"/>
            <w:noWrap w:val="0"/>
            <w:vAlign w:val="center"/>
          </w:tcPr>
          <w:p w14:paraId="2FED0E86">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基本资质</w:t>
            </w:r>
          </w:p>
        </w:tc>
        <w:tc>
          <w:tcPr>
            <w:tcW w:w="1633" w:type="pct"/>
            <w:noWrap w:val="0"/>
            <w:vAlign w:val="center"/>
          </w:tcPr>
          <w:p w14:paraId="5F4EEC3C">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有依法缴纳税收和社会保障资金的良好记录</w:t>
            </w:r>
          </w:p>
        </w:tc>
        <w:tc>
          <w:tcPr>
            <w:tcW w:w="2227" w:type="pct"/>
            <w:noWrap w:val="0"/>
            <w:vAlign w:val="center"/>
          </w:tcPr>
          <w:p w14:paraId="7C7FE807">
            <w:pPr>
              <w:adjustRightInd w:val="0"/>
              <w:snapToGrid w:val="0"/>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提供供应商信用承诺书。</w:t>
            </w:r>
          </w:p>
          <w:p w14:paraId="1E397255">
            <w:pPr>
              <w:adjustRightInd w:val="0"/>
              <w:snapToGrid w:val="0"/>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以上证明材料须符合要求、有效、完整。否则，响应无效。</w:t>
            </w:r>
          </w:p>
        </w:tc>
      </w:tr>
      <w:tr w14:paraId="509DC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397" w:type="pct"/>
            <w:noWrap w:val="0"/>
            <w:vAlign w:val="center"/>
          </w:tcPr>
          <w:p w14:paraId="2DAE6B22">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741" w:type="pct"/>
            <w:noWrap w:val="0"/>
            <w:vAlign w:val="center"/>
          </w:tcPr>
          <w:p w14:paraId="546DD646">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基本资质</w:t>
            </w:r>
          </w:p>
        </w:tc>
        <w:tc>
          <w:tcPr>
            <w:tcW w:w="1633" w:type="pct"/>
            <w:noWrap w:val="0"/>
            <w:vAlign w:val="center"/>
          </w:tcPr>
          <w:p w14:paraId="5AD91D7F">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参加政府采购活动前三年内，在经营活动中没有重大违法记录</w:t>
            </w:r>
          </w:p>
        </w:tc>
        <w:tc>
          <w:tcPr>
            <w:tcW w:w="2227" w:type="pct"/>
            <w:noWrap w:val="0"/>
            <w:vAlign w:val="center"/>
          </w:tcPr>
          <w:p w14:paraId="421830AF">
            <w:pPr>
              <w:adjustRightInd w:val="0"/>
              <w:snapToGrid w:val="0"/>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提供供应商信用承诺书。</w:t>
            </w:r>
          </w:p>
          <w:p w14:paraId="32BE5268">
            <w:pPr>
              <w:adjustRightInd w:val="0"/>
              <w:snapToGrid w:val="0"/>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以上证明材料须符合要求、有效、完整。否则，响应无效。</w:t>
            </w:r>
          </w:p>
        </w:tc>
      </w:tr>
      <w:tr w14:paraId="761D4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397" w:type="pct"/>
            <w:noWrap w:val="0"/>
            <w:vAlign w:val="center"/>
          </w:tcPr>
          <w:p w14:paraId="1A4A221A">
            <w:pPr>
              <w:spacing w:line="40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6</w:t>
            </w:r>
          </w:p>
        </w:tc>
        <w:tc>
          <w:tcPr>
            <w:tcW w:w="741" w:type="pct"/>
            <w:noWrap w:val="0"/>
            <w:vAlign w:val="center"/>
          </w:tcPr>
          <w:p w14:paraId="79AD8A56">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特定资质</w:t>
            </w:r>
          </w:p>
        </w:tc>
        <w:tc>
          <w:tcPr>
            <w:tcW w:w="1633" w:type="pct"/>
            <w:noWrap w:val="0"/>
            <w:vAlign w:val="center"/>
          </w:tcPr>
          <w:p w14:paraId="30CF9EFD">
            <w:pPr>
              <w:adjustRightInd w:val="0"/>
              <w:snapToGrid w:val="0"/>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对供应商提供采购项目的特定资格要求证明材料的有效性、符合性进行审查</w:t>
            </w:r>
          </w:p>
        </w:tc>
        <w:tc>
          <w:tcPr>
            <w:tcW w:w="2227" w:type="pct"/>
            <w:noWrap w:val="0"/>
            <w:vAlign w:val="center"/>
          </w:tcPr>
          <w:p w14:paraId="32AF5714">
            <w:pPr>
              <w:adjustRightInd w:val="0"/>
              <w:snapToGrid w:val="0"/>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提供采购需求中要求的供应商应具备采购项目的特殊要求证明文件；详见商务技术要求，如有须提供扫描件或影印件（须加盖供应商公章），若无要求可不提供；</w:t>
            </w:r>
          </w:p>
          <w:p w14:paraId="568084A9">
            <w:pPr>
              <w:adjustRightInd w:val="0"/>
              <w:snapToGrid w:val="0"/>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以上证明材料须符合要求、有效、完整、加盖电子CA章。否则，响应无效。</w:t>
            </w:r>
          </w:p>
        </w:tc>
      </w:tr>
      <w:tr w14:paraId="7DE24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397" w:type="pct"/>
            <w:noWrap w:val="0"/>
            <w:vAlign w:val="center"/>
          </w:tcPr>
          <w:p w14:paraId="3902D559">
            <w:pPr>
              <w:spacing w:line="40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7</w:t>
            </w:r>
          </w:p>
        </w:tc>
        <w:tc>
          <w:tcPr>
            <w:tcW w:w="741" w:type="pct"/>
            <w:noWrap w:val="0"/>
            <w:vAlign w:val="center"/>
          </w:tcPr>
          <w:p w14:paraId="3D2537BF">
            <w:pPr>
              <w:adjustRightInd w:val="0"/>
              <w:snapToGrid w:val="0"/>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基本资质</w:t>
            </w:r>
          </w:p>
        </w:tc>
        <w:tc>
          <w:tcPr>
            <w:tcW w:w="1633" w:type="pct"/>
            <w:noWrap w:val="0"/>
            <w:vAlign w:val="center"/>
          </w:tcPr>
          <w:p w14:paraId="25E6CDEE">
            <w:pPr>
              <w:adjustRightInd w:val="0"/>
              <w:snapToGrid w:val="0"/>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对供应商提供的廉洁自律承诺书的符合性、完整性进行审查</w:t>
            </w:r>
          </w:p>
        </w:tc>
        <w:tc>
          <w:tcPr>
            <w:tcW w:w="2227" w:type="pct"/>
            <w:noWrap w:val="0"/>
            <w:vAlign w:val="center"/>
          </w:tcPr>
          <w:p w14:paraId="17673EC9">
            <w:pPr>
              <w:adjustRightInd w:val="0"/>
              <w:snapToGrid w:val="0"/>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提供供应商廉洁自律承诺书；</w:t>
            </w:r>
          </w:p>
          <w:p w14:paraId="4A081DBF">
            <w:pPr>
              <w:adjustRightInd w:val="0"/>
              <w:snapToGrid w:val="0"/>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承诺书须内容完整、签署符合要求、加盖电子CA章。否则，响应无效。</w:t>
            </w:r>
          </w:p>
        </w:tc>
      </w:tr>
      <w:tr w14:paraId="7DB87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397" w:type="pct"/>
            <w:noWrap w:val="0"/>
            <w:vAlign w:val="center"/>
          </w:tcPr>
          <w:p w14:paraId="7CAC05CF">
            <w:pPr>
              <w:spacing w:line="40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8</w:t>
            </w:r>
          </w:p>
        </w:tc>
        <w:tc>
          <w:tcPr>
            <w:tcW w:w="741" w:type="pct"/>
            <w:noWrap w:val="0"/>
            <w:vAlign w:val="center"/>
          </w:tcPr>
          <w:p w14:paraId="29915645">
            <w:pPr>
              <w:adjustRightInd w:val="0"/>
              <w:snapToGrid w:val="0"/>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基本资质</w:t>
            </w:r>
          </w:p>
        </w:tc>
        <w:tc>
          <w:tcPr>
            <w:tcW w:w="1633" w:type="pct"/>
            <w:noWrap w:val="0"/>
            <w:vAlign w:val="center"/>
          </w:tcPr>
          <w:p w14:paraId="6525EB2C">
            <w:pPr>
              <w:adjustRightInd w:val="0"/>
              <w:snapToGrid w:val="0"/>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对供应商的信用情况进行信用信息查询</w:t>
            </w:r>
          </w:p>
        </w:tc>
        <w:tc>
          <w:tcPr>
            <w:tcW w:w="2227" w:type="pct"/>
            <w:noWrap w:val="0"/>
            <w:vAlign w:val="center"/>
          </w:tcPr>
          <w:p w14:paraId="7E10AD6F">
            <w:pPr>
              <w:adjustRightInd w:val="0"/>
              <w:snapToGrid w:val="0"/>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通过“信用中国”（http://www.creditchina.gov.cn）网查询情况；</w:t>
            </w:r>
          </w:p>
          <w:p w14:paraId="70B497B8">
            <w:pPr>
              <w:adjustRightInd w:val="0"/>
              <w:snapToGrid w:val="0"/>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通过“中国政府采购网”查询记录；</w:t>
            </w:r>
          </w:p>
          <w:p w14:paraId="5EA4B74F">
            <w:pPr>
              <w:adjustRightInd w:val="0"/>
              <w:snapToGrid w:val="0"/>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查询截止时间为磋商文件开启当日；供应商存在失信记录的，其响应文件将作无效处理。</w:t>
            </w:r>
          </w:p>
          <w:p w14:paraId="3A7FE093">
            <w:pPr>
              <w:adjustRightInd w:val="0"/>
              <w:snapToGrid w:val="0"/>
              <w:spacing w:line="400" w:lineRule="exact"/>
              <w:jc w:val="left"/>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注：</w:t>
            </w:r>
            <w:r>
              <w:rPr>
                <w:rFonts w:hint="eastAsia" w:ascii="仿宋" w:hAnsi="仿宋" w:eastAsia="仿宋" w:cs="仿宋"/>
                <w:b/>
                <w:bCs/>
                <w:color w:val="000000"/>
                <w:kern w:val="0"/>
                <w:sz w:val="24"/>
              </w:rPr>
              <w:t>此项内容</w:t>
            </w:r>
            <w:r>
              <w:rPr>
                <w:rFonts w:hint="eastAsia" w:ascii="仿宋" w:hAnsi="仿宋" w:eastAsia="仿宋" w:cs="仿宋"/>
                <w:b/>
                <w:bCs/>
                <w:color w:val="000000"/>
                <w:kern w:val="0"/>
                <w:sz w:val="24"/>
                <w:lang w:val="en-US" w:eastAsia="zh-CN"/>
              </w:rPr>
              <w:t>无</w:t>
            </w:r>
            <w:r>
              <w:rPr>
                <w:rFonts w:hint="eastAsia" w:ascii="仿宋" w:hAnsi="仿宋" w:eastAsia="仿宋" w:cs="仿宋"/>
                <w:b/>
                <w:bCs/>
                <w:color w:val="000000"/>
                <w:kern w:val="0"/>
                <w:sz w:val="24"/>
              </w:rPr>
              <w:t>需供应商提供</w:t>
            </w:r>
            <w:r>
              <w:rPr>
                <w:rFonts w:hint="eastAsia" w:ascii="仿宋" w:hAnsi="仿宋" w:eastAsia="仿宋" w:cs="仿宋"/>
                <w:b/>
                <w:bCs/>
                <w:color w:val="000000"/>
                <w:kern w:val="0"/>
                <w:sz w:val="24"/>
                <w:lang w:eastAsia="zh-CN"/>
              </w:rPr>
              <w:t>，</w:t>
            </w:r>
            <w:r>
              <w:rPr>
                <w:rFonts w:hint="eastAsia" w:ascii="仿宋" w:hAnsi="仿宋" w:eastAsia="仿宋" w:cs="仿宋"/>
                <w:b/>
                <w:bCs/>
                <w:color w:val="000000"/>
                <w:kern w:val="0"/>
                <w:sz w:val="24"/>
                <w:lang w:val="en-US" w:eastAsia="zh-CN"/>
              </w:rPr>
              <w:t>由磋商小组评审时在线查询；</w:t>
            </w:r>
          </w:p>
        </w:tc>
      </w:tr>
      <w:tr w14:paraId="19FD0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397" w:type="pct"/>
            <w:noWrap w:val="0"/>
            <w:vAlign w:val="center"/>
          </w:tcPr>
          <w:p w14:paraId="70BE59A0">
            <w:pPr>
              <w:spacing w:line="40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w:t>
            </w:r>
          </w:p>
        </w:tc>
        <w:tc>
          <w:tcPr>
            <w:tcW w:w="741" w:type="pct"/>
            <w:noWrap w:val="0"/>
            <w:vAlign w:val="center"/>
          </w:tcPr>
          <w:p w14:paraId="66C33991">
            <w:pPr>
              <w:adjustRightInd w:val="0"/>
              <w:snapToGrid w:val="0"/>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基本资质</w:t>
            </w:r>
          </w:p>
        </w:tc>
        <w:tc>
          <w:tcPr>
            <w:tcW w:w="1633" w:type="pct"/>
            <w:noWrap w:val="0"/>
            <w:vAlign w:val="center"/>
          </w:tcPr>
          <w:p w14:paraId="51A88565">
            <w:pPr>
              <w:adjustRightInd w:val="0"/>
              <w:snapToGrid w:val="0"/>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供应商需提交的其他基本资质</w:t>
            </w:r>
          </w:p>
        </w:tc>
        <w:tc>
          <w:tcPr>
            <w:tcW w:w="2227" w:type="pct"/>
            <w:noWrap w:val="0"/>
            <w:vAlign w:val="center"/>
          </w:tcPr>
          <w:p w14:paraId="67DCA37E">
            <w:pPr>
              <w:adjustRightInd w:val="0"/>
              <w:snapToGrid w:val="0"/>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建议该部分上传响应文件中的全部资格证明文件（包含供应商需上传的其他基本资质证明文件）。</w:t>
            </w:r>
          </w:p>
        </w:tc>
      </w:tr>
    </w:tbl>
    <w:p w14:paraId="1C12C851">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说明：除上述内容外，供应商提供的其他材料，不作为资格审查的内容。</w:t>
      </w:r>
    </w:p>
    <w:p w14:paraId="0C779950">
      <w:pPr>
        <w:snapToGrid w:val="0"/>
        <w:spacing w:line="360" w:lineRule="auto"/>
        <w:ind w:firstLine="241" w:firstLineChars="1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z w:val="24"/>
          <w:highlight w:val="none"/>
        </w:rPr>
        <w:t>二、符合性审查要求</w:t>
      </w:r>
    </w:p>
    <w:tbl>
      <w:tblPr>
        <w:tblStyle w:val="16"/>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195"/>
        <w:gridCol w:w="2314"/>
        <w:gridCol w:w="4991"/>
      </w:tblGrid>
      <w:tr w14:paraId="0D0B3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19" w:type="pct"/>
            <w:noWrap w:val="0"/>
            <w:vAlign w:val="center"/>
          </w:tcPr>
          <w:p w14:paraId="2E852D06">
            <w:pPr>
              <w:adjustRightInd w:val="0"/>
              <w:snapToGrid w:val="0"/>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序号</w:t>
            </w:r>
          </w:p>
        </w:tc>
        <w:tc>
          <w:tcPr>
            <w:tcW w:w="644" w:type="pct"/>
            <w:noWrap w:val="0"/>
            <w:vAlign w:val="center"/>
          </w:tcPr>
          <w:p w14:paraId="245DBA7C">
            <w:pPr>
              <w:adjustRightInd w:val="0"/>
              <w:snapToGrid w:val="0"/>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类型</w:t>
            </w:r>
          </w:p>
        </w:tc>
        <w:tc>
          <w:tcPr>
            <w:tcW w:w="1247" w:type="pct"/>
            <w:noWrap w:val="0"/>
            <w:vAlign w:val="center"/>
          </w:tcPr>
          <w:p w14:paraId="5104165A">
            <w:pPr>
              <w:adjustRightInd w:val="0"/>
              <w:snapToGrid w:val="0"/>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要求</w:t>
            </w:r>
          </w:p>
        </w:tc>
        <w:tc>
          <w:tcPr>
            <w:tcW w:w="2689" w:type="pct"/>
            <w:noWrap w:val="0"/>
            <w:vAlign w:val="center"/>
          </w:tcPr>
          <w:p w14:paraId="31EDF752">
            <w:pPr>
              <w:adjustRightInd w:val="0"/>
              <w:snapToGrid w:val="0"/>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要求说明</w:t>
            </w:r>
          </w:p>
        </w:tc>
      </w:tr>
      <w:tr w14:paraId="01F9A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jc w:val="center"/>
        </w:trPr>
        <w:tc>
          <w:tcPr>
            <w:tcW w:w="419" w:type="pct"/>
            <w:noWrap w:val="0"/>
            <w:vAlign w:val="center"/>
          </w:tcPr>
          <w:p w14:paraId="55F860CD">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644" w:type="pct"/>
            <w:noWrap w:val="0"/>
            <w:vAlign w:val="center"/>
          </w:tcPr>
          <w:p w14:paraId="4BA0332E">
            <w:pPr>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商务资信</w:t>
            </w:r>
          </w:p>
        </w:tc>
        <w:tc>
          <w:tcPr>
            <w:tcW w:w="1247" w:type="pct"/>
            <w:noWrap w:val="0"/>
            <w:vAlign w:val="center"/>
          </w:tcPr>
          <w:p w14:paraId="14E599C3">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对供应商提供的法定代表人（负责人）身份证明文件的符合性、完整性进行审查。</w:t>
            </w:r>
          </w:p>
        </w:tc>
        <w:tc>
          <w:tcPr>
            <w:tcW w:w="2689" w:type="pct"/>
            <w:noWrap w:val="0"/>
            <w:vAlign w:val="center"/>
          </w:tcPr>
          <w:p w14:paraId="7986602D">
            <w:pPr>
              <w:tabs>
                <w:tab w:val="left" w:pos="567"/>
              </w:tabs>
              <w:snapToGrid w:val="0"/>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1.1提供供应商</w:t>
            </w:r>
            <w:r>
              <w:rPr>
                <w:rFonts w:hint="eastAsia" w:ascii="仿宋" w:hAnsi="仿宋" w:eastAsia="仿宋" w:cs="仿宋"/>
                <w:color w:val="auto"/>
                <w:sz w:val="24"/>
                <w:highlight w:val="none"/>
              </w:rPr>
              <w:t>法定代表人（负责人）身份证明文件；</w:t>
            </w:r>
          </w:p>
          <w:p w14:paraId="1B458485">
            <w:pPr>
              <w:tabs>
                <w:tab w:val="left" w:pos="567"/>
              </w:tabs>
              <w:snapToGrid w:val="0"/>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1.2证明文件须内容完整、签署符合要求、加盖电子CA章。否则，响应无效。</w:t>
            </w:r>
          </w:p>
        </w:tc>
      </w:tr>
      <w:tr w14:paraId="3CB62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1" w:hRule="atLeast"/>
          <w:jc w:val="center"/>
        </w:trPr>
        <w:tc>
          <w:tcPr>
            <w:tcW w:w="419" w:type="pct"/>
            <w:noWrap w:val="0"/>
            <w:vAlign w:val="center"/>
          </w:tcPr>
          <w:p w14:paraId="73C0BB43">
            <w:pPr>
              <w:adjustRightInd w:val="0"/>
              <w:snapToGrid w:val="0"/>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644" w:type="pct"/>
            <w:noWrap w:val="0"/>
            <w:vAlign w:val="center"/>
          </w:tcPr>
          <w:p w14:paraId="61ED4345">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商务资信</w:t>
            </w:r>
          </w:p>
        </w:tc>
        <w:tc>
          <w:tcPr>
            <w:tcW w:w="1247" w:type="pct"/>
            <w:noWrap w:val="0"/>
            <w:vAlign w:val="center"/>
          </w:tcPr>
          <w:p w14:paraId="1171F7B6">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对供应商提供的法定代表人（负责人）授权委托书</w:t>
            </w:r>
            <w:r>
              <w:rPr>
                <w:rFonts w:hint="eastAsia" w:ascii="仿宋" w:hAnsi="仿宋" w:eastAsia="仿宋" w:cs="仿宋"/>
                <w:color w:val="auto"/>
                <w:sz w:val="24"/>
                <w:highlight w:val="none"/>
              </w:rPr>
              <w:t>证明文件的符合性、完整性进行审查。</w:t>
            </w:r>
          </w:p>
        </w:tc>
        <w:tc>
          <w:tcPr>
            <w:tcW w:w="2689" w:type="pct"/>
            <w:noWrap w:val="0"/>
            <w:vAlign w:val="center"/>
          </w:tcPr>
          <w:p w14:paraId="6B7A5570">
            <w:pPr>
              <w:tabs>
                <w:tab w:val="left" w:pos="567"/>
              </w:tabs>
              <w:snapToGrid w:val="0"/>
              <w:spacing w:line="40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2.1提供法定代表人（负责人）授权委托书证明材料。</w:t>
            </w:r>
          </w:p>
          <w:p w14:paraId="2D5EAB49">
            <w:pPr>
              <w:tabs>
                <w:tab w:val="left" w:pos="567"/>
              </w:tabs>
              <w:snapToGrid w:val="0"/>
              <w:spacing w:line="40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2.2证明文件须内容完整、有效、签署符合要求、加盖电子CA章。否则，响应无效。</w:t>
            </w:r>
          </w:p>
        </w:tc>
      </w:tr>
      <w:tr w14:paraId="61CAC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419" w:type="pct"/>
            <w:noWrap w:val="0"/>
            <w:vAlign w:val="center"/>
          </w:tcPr>
          <w:p w14:paraId="294FF7F5">
            <w:pPr>
              <w:adjustRightInd w:val="0"/>
              <w:snapToGrid w:val="0"/>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644" w:type="pct"/>
            <w:noWrap w:val="0"/>
            <w:vAlign w:val="center"/>
          </w:tcPr>
          <w:p w14:paraId="34A7C2AE">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商务资信</w:t>
            </w:r>
          </w:p>
        </w:tc>
        <w:tc>
          <w:tcPr>
            <w:tcW w:w="1247" w:type="pct"/>
            <w:noWrap w:val="0"/>
            <w:vAlign w:val="center"/>
          </w:tcPr>
          <w:p w14:paraId="44F3C4CD">
            <w:pPr>
              <w:spacing w:line="40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对供应商提供的磋商函的符合性、完整性进行审查</w:t>
            </w:r>
            <w:r>
              <w:rPr>
                <w:rFonts w:hint="eastAsia" w:ascii="仿宋" w:hAnsi="仿宋" w:eastAsia="仿宋" w:cs="仿宋"/>
                <w:color w:val="auto"/>
                <w:sz w:val="24"/>
                <w:highlight w:val="none"/>
                <w:lang w:eastAsia="zh-CN"/>
              </w:rPr>
              <w:t>。</w:t>
            </w:r>
          </w:p>
        </w:tc>
        <w:tc>
          <w:tcPr>
            <w:tcW w:w="2689" w:type="pct"/>
            <w:noWrap w:val="0"/>
            <w:vAlign w:val="center"/>
          </w:tcPr>
          <w:p w14:paraId="2A5DB346">
            <w:pPr>
              <w:tabs>
                <w:tab w:val="left" w:pos="567"/>
              </w:tabs>
              <w:snapToGrid w:val="0"/>
              <w:spacing w:line="40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3.1提供磋商函；</w:t>
            </w:r>
          </w:p>
          <w:p w14:paraId="35B3DB26">
            <w:pPr>
              <w:tabs>
                <w:tab w:val="left" w:pos="567"/>
              </w:tabs>
              <w:snapToGrid w:val="0"/>
              <w:spacing w:line="40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3.2磋商函须内容完整、签署符合要求、加盖电子CA章。否则，响应无效。</w:t>
            </w:r>
          </w:p>
        </w:tc>
      </w:tr>
      <w:tr w14:paraId="7E0AD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19" w:type="pct"/>
            <w:noWrap w:val="0"/>
            <w:vAlign w:val="center"/>
          </w:tcPr>
          <w:p w14:paraId="5AD47B32">
            <w:pPr>
              <w:adjustRightInd w:val="0"/>
              <w:snapToGrid w:val="0"/>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w:t>
            </w:r>
          </w:p>
        </w:tc>
        <w:tc>
          <w:tcPr>
            <w:tcW w:w="644" w:type="pct"/>
            <w:noWrap w:val="0"/>
            <w:vAlign w:val="center"/>
          </w:tcPr>
          <w:p w14:paraId="7BE26B47">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商务资信</w:t>
            </w:r>
          </w:p>
        </w:tc>
        <w:tc>
          <w:tcPr>
            <w:tcW w:w="1247" w:type="pct"/>
            <w:noWrap w:val="0"/>
            <w:vAlign w:val="center"/>
          </w:tcPr>
          <w:p w14:paraId="29525308">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对供应商提供的磋商报价一览表的符合性、完整性进行审查。</w:t>
            </w:r>
          </w:p>
        </w:tc>
        <w:tc>
          <w:tcPr>
            <w:tcW w:w="2689" w:type="pct"/>
            <w:noWrap w:val="0"/>
            <w:vAlign w:val="center"/>
          </w:tcPr>
          <w:p w14:paraId="05E8FBAE">
            <w:pPr>
              <w:tabs>
                <w:tab w:val="left" w:pos="567"/>
              </w:tabs>
              <w:snapToGrid w:val="0"/>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4.1提供报价一览表；</w:t>
            </w:r>
          </w:p>
          <w:p w14:paraId="3428DD37">
            <w:pPr>
              <w:tabs>
                <w:tab w:val="left" w:pos="567"/>
              </w:tabs>
              <w:snapToGrid w:val="0"/>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4.2报价一览表审查报价一览表须内容完整、签署符合要求、加盖电子CA章。否则，响应无效。</w:t>
            </w:r>
          </w:p>
          <w:p w14:paraId="0522056B">
            <w:pPr>
              <w:tabs>
                <w:tab w:val="left" w:pos="567"/>
              </w:tabs>
              <w:snapToGrid w:val="0"/>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4.3报价一览表存在漏项、缺项、错项；存在有超出本项目预算金额等情形的，响应无效；</w:t>
            </w:r>
          </w:p>
          <w:p w14:paraId="373B6AF5">
            <w:pPr>
              <w:tabs>
                <w:tab w:val="left" w:pos="567"/>
              </w:tabs>
              <w:snapToGrid w:val="0"/>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4.4报价有可选择或可调整的报价的，响应无效。</w:t>
            </w:r>
          </w:p>
        </w:tc>
      </w:tr>
      <w:tr w14:paraId="1CF7E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419" w:type="pct"/>
            <w:noWrap w:val="0"/>
            <w:vAlign w:val="center"/>
          </w:tcPr>
          <w:p w14:paraId="13C1E857">
            <w:pPr>
              <w:adjustRightInd w:val="0"/>
              <w:snapToGrid w:val="0"/>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w:t>
            </w:r>
          </w:p>
        </w:tc>
        <w:tc>
          <w:tcPr>
            <w:tcW w:w="644" w:type="pct"/>
            <w:noWrap w:val="0"/>
            <w:vAlign w:val="center"/>
          </w:tcPr>
          <w:p w14:paraId="6BDE9392">
            <w:pPr>
              <w:adjustRightInd w:val="0"/>
              <w:snapToGrid w:val="0"/>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商务资信</w:t>
            </w:r>
          </w:p>
        </w:tc>
        <w:tc>
          <w:tcPr>
            <w:tcW w:w="1247" w:type="pct"/>
            <w:noWrap w:val="0"/>
            <w:vAlign w:val="center"/>
          </w:tcPr>
          <w:p w14:paraId="04A9BC3B">
            <w:pPr>
              <w:adjustRightInd w:val="0"/>
              <w:snapToGrid w:val="0"/>
              <w:spacing w:line="400" w:lineRule="exact"/>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对供应商提供的商务条款响应表的完整性、符合性进行审查</w:t>
            </w:r>
            <w:r>
              <w:rPr>
                <w:rFonts w:hint="eastAsia" w:ascii="仿宋" w:hAnsi="仿宋" w:eastAsia="仿宋" w:cs="仿宋"/>
                <w:color w:val="auto"/>
                <w:kern w:val="0"/>
                <w:sz w:val="24"/>
                <w:highlight w:val="none"/>
                <w:lang w:eastAsia="zh-CN"/>
              </w:rPr>
              <w:t>。</w:t>
            </w:r>
          </w:p>
        </w:tc>
        <w:tc>
          <w:tcPr>
            <w:tcW w:w="2689" w:type="pct"/>
            <w:noWrap w:val="0"/>
            <w:vAlign w:val="center"/>
          </w:tcPr>
          <w:p w14:paraId="7F14E668">
            <w:pPr>
              <w:adjustRightInd w:val="0"/>
              <w:snapToGrid w:val="0"/>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.1提供商务条款响应表；</w:t>
            </w:r>
          </w:p>
          <w:p w14:paraId="5ABEE14D">
            <w:pPr>
              <w:adjustRightInd w:val="0"/>
              <w:snapToGrid w:val="0"/>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.2响应表须内容完整、签署符合要求、加盖电子CA章。否则，响应无效。</w:t>
            </w:r>
          </w:p>
          <w:p w14:paraId="7CC015FA">
            <w:pPr>
              <w:adjustRightInd w:val="0"/>
              <w:snapToGrid w:val="0"/>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.3对照本文件第五部分的执行标准、服务期限、服务地点等对响应文件的响应情况进行审查。未全部做出实质性响应的，响应无效。</w:t>
            </w:r>
          </w:p>
        </w:tc>
      </w:tr>
      <w:tr w14:paraId="7F344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419" w:type="pct"/>
            <w:noWrap w:val="0"/>
            <w:vAlign w:val="center"/>
          </w:tcPr>
          <w:p w14:paraId="465FE07E">
            <w:pPr>
              <w:adjustRightInd w:val="0"/>
              <w:snapToGrid w:val="0"/>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w:t>
            </w:r>
          </w:p>
        </w:tc>
        <w:tc>
          <w:tcPr>
            <w:tcW w:w="644" w:type="pct"/>
            <w:noWrap w:val="0"/>
            <w:vAlign w:val="center"/>
          </w:tcPr>
          <w:p w14:paraId="4ED16B9C">
            <w:pPr>
              <w:adjustRightInd w:val="0"/>
              <w:snapToGrid w:val="0"/>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技术</w:t>
            </w:r>
          </w:p>
        </w:tc>
        <w:tc>
          <w:tcPr>
            <w:tcW w:w="1247" w:type="pct"/>
            <w:noWrap w:val="0"/>
            <w:vAlign w:val="center"/>
          </w:tcPr>
          <w:p w14:paraId="4F81E80D">
            <w:pPr>
              <w:adjustRightInd w:val="0"/>
              <w:snapToGrid w:val="0"/>
              <w:spacing w:line="400" w:lineRule="exact"/>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对供应商提供的技术规范响应及偏离表的完整性、符合性进行审查</w:t>
            </w:r>
            <w:r>
              <w:rPr>
                <w:rFonts w:hint="eastAsia" w:ascii="仿宋" w:hAnsi="仿宋" w:eastAsia="仿宋" w:cs="仿宋"/>
                <w:color w:val="auto"/>
                <w:kern w:val="0"/>
                <w:sz w:val="24"/>
                <w:highlight w:val="none"/>
                <w:lang w:eastAsia="zh-CN"/>
              </w:rPr>
              <w:t>。</w:t>
            </w:r>
          </w:p>
        </w:tc>
        <w:tc>
          <w:tcPr>
            <w:tcW w:w="2689" w:type="pct"/>
            <w:noWrap w:val="0"/>
            <w:vAlign w:val="center"/>
          </w:tcPr>
          <w:p w14:paraId="4CF8D29C">
            <w:pPr>
              <w:adjustRightInd w:val="0"/>
              <w:snapToGrid w:val="0"/>
              <w:spacing w:line="40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.1提供技术规范响应及偏离表；</w:t>
            </w:r>
          </w:p>
          <w:p w14:paraId="6631A8D1">
            <w:pPr>
              <w:adjustRightInd w:val="0"/>
              <w:snapToGrid w:val="0"/>
              <w:spacing w:line="40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.2技术规范响应及偏离表须内容完整、签署符合要求、加盖电子CA章。否则，响应无效。</w:t>
            </w:r>
          </w:p>
          <w:p w14:paraId="1E13863D">
            <w:pPr>
              <w:adjustRightInd w:val="0"/>
              <w:snapToGrid w:val="0"/>
              <w:spacing w:line="40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.3对照本文件第五部分“技术需求”中的内容和响应文件的响应情况进行审查；磋商小组共同认定属于响应文件存在重大偏离的、没有做出实质性、符合性响应的做无效投标处理。</w:t>
            </w:r>
          </w:p>
        </w:tc>
      </w:tr>
    </w:tbl>
    <w:p w14:paraId="1F94A3D9">
      <w:pPr>
        <w:snapToGrid w:val="0"/>
        <w:spacing w:line="400" w:lineRule="exact"/>
        <w:ind w:left="1079" w:leftChars="114" w:hanging="840" w:hangingChars="3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r>
        <w:rPr>
          <w:rFonts w:hint="eastAsia" w:ascii="仿宋" w:hAnsi="仿宋" w:eastAsia="仿宋" w:cs="仿宋"/>
          <w:color w:val="auto"/>
          <w:sz w:val="24"/>
          <w:highlight w:val="none"/>
        </w:rPr>
        <w:t>说明：</w:t>
      </w:r>
    </w:p>
    <w:p w14:paraId="57BDD15A">
      <w:pPr>
        <w:snapToGrid w:val="0"/>
        <w:spacing w:line="400" w:lineRule="exact"/>
        <w:ind w:left="2" w:firstLine="420" w:firstLineChars="175"/>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1.资格性、符合性审查的内容，经磋商小组共同认定没有做出实质性响应的，将导致响应无效。</w:t>
      </w:r>
    </w:p>
    <w:p w14:paraId="7687F298">
      <w:pPr>
        <w:pStyle w:val="8"/>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2.响应文件中项目名称、项目编号等存在前后不一致情形的，可按照磋商文件要求做出澄清；如响应文件中所涉及内容全部与磋商文件不一致，按无效响应处理。</w:t>
      </w:r>
    </w:p>
    <w:p w14:paraId="72BE6011">
      <w:pPr>
        <w:snapToGrid w:val="0"/>
        <w:spacing w:line="40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三、报价符合性审查的内容及标准</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2188"/>
        <w:gridCol w:w="6306"/>
      </w:tblGrid>
      <w:tr w14:paraId="23B62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52" w:type="dxa"/>
            <w:noWrap w:val="0"/>
            <w:vAlign w:val="center"/>
          </w:tcPr>
          <w:p w14:paraId="5AB47A0F">
            <w:pPr>
              <w:adjustRightInd w:val="0"/>
              <w:snapToGrid w:val="0"/>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2188" w:type="dxa"/>
            <w:noWrap w:val="0"/>
            <w:vAlign w:val="center"/>
          </w:tcPr>
          <w:p w14:paraId="28FA887E">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响应文件报价审核</w:t>
            </w:r>
          </w:p>
        </w:tc>
        <w:tc>
          <w:tcPr>
            <w:tcW w:w="6306" w:type="dxa"/>
            <w:noWrap w:val="0"/>
            <w:vAlign w:val="center"/>
          </w:tcPr>
          <w:p w14:paraId="4D022E98">
            <w:pPr>
              <w:tabs>
                <w:tab w:val="left" w:pos="567"/>
              </w:tabs>
              <w:snapToGrid w:val="0"/>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1.审查供应商报价是否超出预算金额及最高限价，否则响应无效。</w:t>
            </w:r>
          </w:p>
        </w:tc>
      </w:tr>
    </w:tbl>
    <w:p w14:paraId="22E40DD4">
      <w:pPr>
        <w:pStyle w:val="27"/>
        <w:snapToGrid w:val="0"/>
        <w:spacing w:line="400" w:lineRule="exact"/>
        <w:ind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四、无效响应的情形</w:t>
      </w:r>
    </w:p>
    <w:p w14:paraId="244BC9CC">
      <w:pPr>
        <w:pStyle w:val="27"/>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未通过资格性、符合性审查的响应文件为无效响应。</w:t>
      </w:r>
    </w:p>
    <w:p w14:paraId="046E74B5">
      <w:pPr>
        <w:snapToGrid w:val="0"/>
        <w:spacing w:line="400" w:lineRule="exact"/>
        <w:ind w:firstLine="482" w:firstLineChars="200"/>
        <w:jc w:val="left"/>
        <w:rPr>
          <w:rFonts w:hint="eastAsia" w:ascii="仿宋" w:hAnsi="仿宋" w:eastAsia="仿宋" w:cs="仿宋"/>
          <w:b/>
          <w:bCs/>
          <w:color w:val="auto"/>
          <w:kern w:val="0"/>
          <w:sz w:val="24"/>
          <w:highlight w:val="none"/>
        </w:rPr>
      </w:pPr>
      <w:r>
        <w:rPr>
          <w:rFonts w:hint="eastAsia" w:ascii="仿宋" w:hAnsi="仿宋" w:eastAsia="仿宋" w:cs="仿宋"/>
          <w:b/>
          <w:color w:val="auto"/>
          <w:sz w:val="24"/>
          <w:highlight w:val="none"/>
        </w:rPr>
        <w:t>五、</w:t>
      </w:r>
      <w:r>
        <w:rPr>
          <w:rFonts w:hint="eastAsia" w:ascii="仿宋" w:hAnsi="仿宋" w:eastAsia="仿宋" w:cs="仿宋"/>
          <w:b/>
          <w:bCs/>
          <w:color w:val="auto"/>
          <w:kern w:val="0"/>
          <w:sz w:val="24"/>
          <w:highlight w:val="none"/>
        </w:rPr>
        <w:t>评分细则</w:t>
      </w:r>
    </w:p>
    <w:p w14:paraId="78209B95">
      <w:pPr>
        <w:snapToGrid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磋商小组按照磋商文件中规定的评审标准和评定方法，对实质上响应磋商文件要求且不少于三家的供应商响应文件，依据最后报价、各项商务、技术、服务等因素进行综合评价，并填写打分表。综合评分的因素包括但不限于报价、服务方案的合理性、先进性及供应商提供的其他内容及条件。</w:t>
      </w:r>
    </w:p>
    <w:p w14:paraId="5DF5C3A1">
      <w:pPr>
        <w:widowControl/>
        <w:snapToGrid w:val="0"/>
        <w:spacing w:line="400" w:lineRule="exact"/>
        <w:ind w:firstLine="480" w:firstLineChars="200"/>
        <w:jc w:val="left"/>
        <w:rPr>
          <w:rFonts w:hint="eastAsia" w:ascii="仿宋" w:hAnsi="仿宋" w:eastAsia="仿宋" w:cs="仿宋"/>
          <w:bCs/>
          <w:snapToGrid w:val="0"/>
          <w:color w:val="auto"/>
          <w:sz w:val="24"/>
          <w:highlight w:val="none"/>
        </w:rPr>
      </w:pPr>
      <w:r>
        <w:rPr>
          <w:rFonts w:hint="eastAsia" w:ascii="仿宋" w:hAnsi="仿宋" w:eastAsia="仿宋" w:cs="仿宋"/>
          <w:bCs/>
          <w:snapToGrid w:val="0"/>
          <w:color w:val="auto"/>
          <w:sz w:val="24"/>
          <w:highlight w:val="none"/>
        </w:rPr>
        <w:t>磋商小组成员对各供应商得分的算术平均值加价格得分，为各供应商总得分，评分分值计算保留小数点后两位，四舍五入。</w:t>
      </w:r>
    </w:p>
    <w:p w14:paraId="0A92E3DD">
      <w:pPr>
        <w:widowControl/>
        <w:snapToGrid w:val="0"/>
        <w:spacing w:line="400" w:lineRule="exact"/>
        <w:ind w:firstLine="480" w:firstLineChars="200"/>
        <w:jc w:val="left"/>
        <w:rPr>
          <w:rFonts w:hint="eastAsia" w:ascii="仿宋" w:hAnsi="仿宋" w:eastAsia="仿宋" w:cs="仿宋"/>
          <w:bCs/>
          <w:snapToGrid w:val="0"/>
          <w:color w:val="auto"/>
          <w:sz w:val="24"/>
          <w:highlight w:val="none"/>
        </w:rPr>
      </w:pPr>
      <w:r>
        <w:rPr>
          <w:rFonts w:hint="eastAsia" w:ascii="仿宋" w:hAnsi="仿宋" w:eastAsia="仿宋" w:cs="仿宋"/>
          <w:bCs/>
          <w:snapToGrid w:val="0"/>
          <w:color w:val="auto"/>
          <w:sz w:val="24"/>
          <w:highlight w:val="none"/>
        </w:rPr>
        <w:t>评审细则</w:t>
      </w:r>
    </w:p>
    <w:p w14:paraId="13F2C544">
      <w:pPr>
        <w:pStyle w:val="27"/>
        <w:snapToGrid w:val="0"/>
        <w:spacing w:line="400" w:lineRule="exact"/>
        <w:ind w:firstLine="482" w:firstLineChars="200"/>
        <w:jc w:val="left"/>
        <w:rPr>
          <w:rFonts w:hint="eastAsia" w:ascii="仿宋" w:hAnsi="仿宋" w:eastAsia="仿宋" w:cs="仿宋"/>
          <w:color w:val="auto"/>
          <w:highlight w:val="none"/>
        </w:rPr>
      </w:pPr>
      <w:r>
        <w:rPr>
          <w:rFonts w:hint="eastAsia" w:ascii="仿宋" w:hAnsi="仿宋" w:eastAsia="仿宋" w:cs="仿宋"/>
          <w:b/>
          <w:bCs/>
          <w:color w:val="auto"/>
          <w:kern w:val="0"/>
          <w:sz w:val="24"/>
          <w:szCs w:val="24"/>
          <w:highlight w:val="none"/>
        </w:rPr>
        <w:t>1.综合评分法评分细则</w:t>
      </w:r>
    </w:p>
    <w:p w14:paraId="4FA6F539">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b/>
          <w:bCs/>
          <w:color w:val="auto"/>
          <w:kern w:val="0"/>
          <w:sz w:val="32"/>
          <w:szCs w:val="32"/>
          <w:highlight w:val="none"/>
        </w:rPr>
        <w:br w:type="page"/>
      </w:r>
      <w:r>
        <w:rPr>
          <w:rFonts w:hint="eastAsia" w:ascii="仿宋" w:hAnsi="仿宋" w:eastAsia="仿宋" w:cs="仿宋"/>
          <w:color w:val="auto"/>
          <w:kern w:val="0"/>
          <w:sz w:val="24"/>
          <w:highlight w:val="none"/>
        </w:rPr>
        <w:t>评审办法：</w:t>
      </w:r>
    </w:p>
    <w:tbl>
      <w:tblPr>
        <w:tblStyle w:val="16"/>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6"/>
        <w:gridCol w:w="1732"/>
      </w:tblGrid>
      <w:tr w14:paraId="351A8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4066" w:type="pct"/>
            <w:tcBorders>
              <w:top w:val="single" w:color="auto" w:sz="4" w:space="0"/>
              <w:left w:val="single" w:color="auto" w:sz="4" w:space="0"/>
              <w:bottom w:val="single" w:color="auto" w:sz="4" w:space="0"/>
              <w:right w:val="single" w:color="auto" w:sz="4" w:space="0"/>
            </w:tcBorders>
            <w:noWrap w:val="0"/>
            <w:vAlign w:val="center"/>
          </w:tcPr>
          <w:p w14:paraId="6307BA47">
            <w:pPr>
              <w:bidi w:val="0"/>
              <w:jc w:val="center"/>
              <w:rPr>
                <w:rFonts w:hint="eastAsia" w:ascii="仿宋" w:hAnsi="仿宋" w:eastAsia="仿宋" w:cs="仿宋"/>
                <w:sz w:val="24"/>
                <w:szCs w:val="24"/>
              </w:rPr>
            </w:pPr>
            <w:r>
              <w:rPr>
                <w:rFonts w:hint="eastAsia" w:ascii="仿宋" w:hAnsi="仿宋" w:eastAsia="仿宋" w:cs="仿宋"/>
                <w:sz w:val="24"/>
                <w:szCs w:val="24"/>
              </w:rPr>
              <w:t>评定内容及标准</w:t>
            </w:r>
          </w:p>
        </w:tc>
        <w:tc>
          <w:tcPr>
            <w:tcW w:w="933" w:type="pct"/>
            <w:tcBorders>
              <w:top w:val="single" w:color="auto" w:sz="4" w:space="0"/>
              <w:left w:val="single" w:color="auto" w:sz="4" w:space="0"/>
              <w:bottom w:val="single" w:color="auto" w:sz="4" w:space="0"/>
              <w:right w:val="single" w:color="auto" w:sz="4" w:space="0"/>
            </w:tcBorders>
            <w:noWrap w:val="0"/>
            <w:vAlign w:val="center"/>
          </w:tcPr>
          <w:p w14:paraId="12D225CF">
            <w:pPr>
              <w:bidi w:val="0"/>
              <w:jc w:val="center"/>
              <w:rPr>
                <w:rFonts w:hint="eastAsia" w:ascii="仿宋" w:hAnsi="仿宋" w:eastAsia="仿宋" w:cs="仿宋"/>
                <w:sz w:val="24"/>
                <w:szCs w:val="24"/>
              </w:rPr>
            </w:pPr>
            <w:r>
              <w:rPr>
                <w:rFonts w:hint="eastAsia" w:ascii="仿宋" w:hAnsi="仿宋" w:eastAsia="仿宋" w:cs="仿宋"/>
                <w:sz w:val="24"/>
                <w:szCs w:val="24"/>
              </w:rPr>
              <w:t>分值范围</w:t>
            </w:r>
          </w:p>
        </w:tc>
      </w:tr>
      <w:tr w14:paraId="060F8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66" w:type="pct"/>
            <w:tcBorders>
              <w:top w:val="single" w:color="auto" w:sz="4" w:space="0"/>
              <w:left w:val="single" w:color="auto" w:sz="4" w:space="0"/>
              <w:bottom w:val="single" w:color="auto" w:sz="4" w:space="0"/>
              <w:right w:val="single" w:color="auto" w:sz="4" w:space="0"/>
            </w:tcBorders>
            <w:noWrap w:val="0"/>
            <w:vAlign w:val="center"/>
          </w:tcPr>
          <w:p w14:paraId="49F2DCF4">
            <w:pPr>
              <w:bidi w:val="0"/>
              <w:rPr>
                <w:rFonts w:hint="eastAsia" w:ascii="仿宋" w:hAnsi="仿宋" w:eastAsia="仿宋" w:cs="仿宋"/>
                <w:sz w:val="24"/>
                <w:szCs w:val="24"/>
              </w:rPr>
            </w:pPr>
            <w:r>
              <w:rPr>
                <w:rFonts w:hint="eastAsia" w:ascii="仿宋" w:hAnsi="仿宋" w:eastAsia="仿宋" w:cs="仿宋"/>
                <w:sz w:val="24"/>
                <w:szCs w:val="24"/>
              </w:rPr>
              <w:t>一、商务部分（</w:t>
            </w:r>
            <w:r>
              <w:rPr>
                <w:rFonts w:hint="eastAsia" w:ascii="仿宋" w:hAnsi="仿宋" w:eastAsia="仿宋" w:cs="仿宋"/>
                <w:sz w:val="24"/>
                <w:szCs w:val="24"/>
                <w:lang w:val="en-US" w:eastAsia="zh-CN"/>
              </w:rPr>
              <w:t>磋商</w:t>
            </w:r>
            <w:r>
              <w:rPr>
                <w:rFonts w:hint="eastAsia" w:ascii="仿宋" w:hAnsi="仿宋" w:eastAsia="仿宋" w:cs="仿宋"/>
                <w:sz w:val="24"/>
                <w:szCs w:val="24"/>
              </w:rPr>
              <w:t>小组共同认定）</w:t>
            </w:r>
          </w:p>
        </w:tc>
        <w:tc>
          <w:tcPr>
            <w:tcW w:w="933" w:type="pct"/>
            <w:tcBorders>
              <w:top w:val="single" w:color="auto" w:sz="4" w:space="0"/>
              <w:left w:val="single" w:color="auto" w:sz="4" w:space="0"/>
              <w:bottom w:val="single" w:color="auto" w:sz="4" w:space="0"/>
              <w:right w:val="single" w:color="auto" w:sz="4" w:space="0"/>
            </w:tcBorders>
            <w:noWrap w:val="0"/>
            <w:vAlign w:val="center"/>
          </w:tcPr>
          <w:p w14:paraId="50BD957C">
            <w:pPr>
              <w:bidi w:val="0"/>
              <w:jc w:val="center"/>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0分</w:t>
            </w:r>
          </w:p>
        </w:tc>
      </w:tr>
      <w:tr w14:paraId="49D11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66" w:type="pct"/>
            <w:tcBorders>
              <w:top w:val="single" w:color="auto" w:sz="4" w:space="0"/>
              <w:left w:val="single" w:color="auto" w:sz="4" w:space="0"/>
              <w:bottom w:val="single" w:color="auto" w:sz="4" w:space="0"/>
              <w:right w:val="single" w:color="auto" w:sz="4" w:space="0"/>
            </w:tcBorders>
            <w:noWrap w:val="0"/>
            <w:vAlign w:val="top"/>
          </w:tcPr>
          <w:p w14:paraId="728F5D19">
            <w:pPr>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1、供应商</w:t>
            </w:r>
            <w:r>
              <w:rPr>
                <w:rFonts w:hint="eastAsia" w:ascii="仿宋" w:hAnsi="仿宋" w:eastAsia="仿宋" w:cs="仿宋"/>
                <w:sz w:val="24"/>
                <w:szCs w:val="24"/>
              </w:rPr>
              <w:t>业绩</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20分</w:t>
            </w:r>
            <w:r>
              <w:rPr>
                <w:rFonts w:hint="eastAsia" w:ascii="仿宋" w:hAnsi="仿宋" w:eastAsia="仿宋" w:cs="仿宋"/>
                <w:sz w:val="24"/>
                <w:szCs w:val="24"/>
                <w:lang w:eastAsia="zh-CN"/>
              </w:rPr>
              <w:t>）</w:t>
            </w:r>
          </w:p>
          <w:p w14:paraId="0C897FAA">
            <w:pPr>
              <w:bidi w:val="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供应商</w:t>
            </w:r>
            <w:r>
              <w:rPr>
                <w:rFonts w:hint="eastAsia" w:ascii="仿宋" w:hAnsi="仿宋" w:eastAsia="仿宋" w:cs="仿宋"/>
                <w:sz w:val="24"/>
                <w:szCs w:val="24"/>
              </w:rPr>
              <w:t>近三年（</w:t>
            </w:r>
            <w:r>
              <w:rPr>
                <w:rFonts w:hint="eastAsia" w:ascii="仿宋" w:hAnsi="仿宋" w:eastAsia="仿宋" w:cs="仿宋"/>
                <w:sz w:val="24"/>
                <w:szCs w:val="24"/>
                <w:lang w:val="en-US" w:eastAsia="zh-CN"/>
              </w:rPr>
              <w:t>投标截止日期前三年内</w:t>
            </w:r>
            <w:r>
              <w:rPr>
                <w:rFonts w:hint="eastAsia" w:ascii="仿宋" w:hAnsi="仿宋" w:eastAsia="仿宋" w:cs="仿宋"/>
                <w:sz w:val="24"/>
                <w:szCs w:val="24"/>
              </w:rPr>
              <w:t>）每承担一项类似业绩得</w:t>
            </w:r>
            <w:r>
              <w:rPr>
                <w:rFonts w:hint="eastAsia" w:ascii="仿宋" w:hAnsi="仿宋" w:eastAsia="仿宋" w:cs="仿宋"/>
                <w:sz w:val="24"/>
                <w:szCs w:val="24"/>
                <w:lang w:val="en-US" w:eastAsia="zh-CN"/>
              </w:rPr>
              <w:t>4</w:t>
            </w:r>
            <w:r>
              <w:rPr>
                <w:rFonts w:hint="eastAsia" w:ascii="仿宋" w:hAnsi="仿宋" w:eastAsia="仿宋" w:cs="仿宋"/>
                <w:sz w:val="24"/>
                <w:szCs w:val="24"/>
              </w:rPr>
              <w:t>分，满分</w:t>
            </w:r>
            <w:r>
              <w:rPr>
                <w:rFonts w:hint="eastAsia" w:ascii="仿宋" w:hAnsi="仿宋" w:eastAsia="仿宋" w:cs="仿宋"/>
                <w:sz w:val="24"/>
                <w:szCs w:val="24"/>
                <w:lang w:val="en-US" w:eastAsia="zh-CN"/>
              </w:rPr>
              <w:t>2</w:t>
            </w:r>
            <w:r>
              <w:rPr>
                <w:rFonts w:hint="eastAsia" w:ascii="仿宋" w:hAnsi="仿宋" w:eastAsia="仿宋" w:cs="仿宋"/>
                <w:sz w:val="24"/>
                <w:szCs w:val="24"/>
              </w:rPr>
              <w:t>0分。</w:t>
            </w:r>
          </w:p>
          <w:p w14:paraId="624AAC3B">
            <w:pPr>
              <w:bidi w:val="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供应商</w:t>
            </w:r>
            <w:r>
              <w:rPr>
                <w:rFonts w:hint="eastAsia" w:ascii="仿宋" w:hAnsi="仿宋" w:eastAsia="仿宋" w:cs="仿宋"/>
                <w:sz w:val="24"/>
                <w:szCs w:val="24"/>
              </w:rPr>
              <w:t>同类型项目案例以提供合同为准，要求合同必须提供与最终用户签订的合同首页、合同完整金额所在页、签字盖章页复印件作为证明。</w:t>
            </w:r>
          </w:p>
        </w:tc>
        <w:tc>
          <w:tcPr>
            <w:tcW w:w="933" w:type="pct"/>
            <w:tcBorders>
              <w:top w:val="single" w:color="auto" w:sz="4" w:space="0"/>
              <w:left w:val="single" w:color="auto" w:sz="4" w:space="0"/>
              <w:bottom w:val="single" w:color="auto" w:sz="4" w:space="0"/>
              <w:right w:val="single" w:color="auto" w:sz="4" w:space="0"/>
            </w:tcBorders>
            <w:noWrap w:val="0"/>
            <w:vAlign w:val="center"/>
          </w:tcPr>
          <w:p w14:paraId="6E37B063">
            <w:pPr>
              <w:bidi w:val="0"/>
              <w:jc w:val="center"/>
              <w:rPr>
                <w:rFonts w:hint="eastAsia" w:ascii="仿宋" w:hAnsi="仿宋" w:eastAsia="仿宋" w:cs="仿宋"/>
                <w:sz w:val="24"/>
                <w:szCs w:val="24"/>
              </w:rPr>
            </w:pPr>
            <w:r>
              <w:rPr>
                <w:rFonts w:hint="eastAsia" w:ascii="仿宋" w:hAnsi="仿宋" w:eastAsia="仿宋" w:cs="仿宋"/>
                <w:sz w:val="24"/>
                <w:szCs w:val="24"/>
              </w:rPr>
              <w:t>0～</w:t>
            </w:r>
            <w:r>
              <w:rPr>
                <w:rFonts w:hint="eastAsia" w:ascii="仿宋" w:hAnsi="仿宋" w:eastAsia="仿宋" w:cs="仿宋"/>
                <w:sz w:val="24"/>
                <w:szCs w:val="24"/>
                <w:lang w:val="en-US" w:eastAsia="zh-CN"/>
              </w:rPr>
              <w:t>2</w:t>
            </w:r>
            <w:r>
              <w:rPr>
                <w:rFonts w:hint="eastAsia" w:ascii="仿宋" w:hAnsi="仿宋" w:eastAsia="仿宋" w:cs="仿宋"/>
                <w:sz w:val="24"/>
                <w:szCs w:val="24"/>
              </w:rPr>
              <w:t>0分</w:t>
            </w:r>
          </w:p>
        </w:tc>
      </w:tr>
      <w:tr w14:paraId="74E9B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66" w:type="pct"/>
            <w:tcBorders>
              <w:top w:val="single" w:color="auto" w:sz="4" w:space="0"/>
              <w:left w:val="single" w:color="auto" w:sz="4" w:space="0"/>
              <w:bottom w:val="single" w:color="auto" w:sz="4" w:space="0"/>
              <w:right w:val="single" w:color="auto" w:sz="4" w:space="0"/>
            </w:tcBorders>
            <w:noWrap w:val="0"/>
            <w:vAlign w:val="center"/>
          </w:tcPr>
          <w:p w14:paraId="7C513EF4">
            <w:pPr>
              <w:bidi w:val="0"/>
              <w:rPr>
                <w:rFonts w:hint="eastAsia" w:ascii="仿宋" w:hAnsi="仿宋" w:eastAsia="仿宋" w:cs="仿宋"/>
                <w:sz w:val="24"/>
                <w:szCs w:val="24"/>
              </w:rPr>
            </w:pPr>
            <w:r>
              <w:rPr>
                <w:rFonts w:hint="eastAsia" w:ascii="仿宋" w:hAnsi="仿宋" w:eastAsia="仿宋" w:cs="仿宋"/>
                <w:sz w:val="24"/>
                <w:szCs w:val="24"/>
              </w:rPr>
              <w:t>二、技术</w:t>
            </w:r>
            <w:r>
              <w:rPr>
                <w:rFonts w:hint="eastAsia" w:ascii="仿宋" w:hAnsi="仿宋" w:eastAsia="仿宋" w:cs="仿宋"/>
                <w:sz w:val="24"/>
                <w:szCs w:val="24"/>
                <w:lang w:val="en-US" w:eastAsia="zh-CN"/>
              </w:rPr>
              <w:t>服务</w:t>
            </w:r>
            <w:r>
              <w:rPr>
                <w:rFonts w:hint="eastAsia" w:ascii="仿宋" w:hAnsi="仿宋" w:eastAsia="仿宋" w:cs="仿宋"/>
                <w:sz w:val="24"/>
                <w:szCs w:val="24"/>
              </w:rPr>
              <w:t>部分</w:t>
            </w:r>
          </w:p>
        </w:tc>
        <w:tc>
          <w:tcPr>
            <w:tcW w:w="933" w:type="pct"/>
            <w:tcBorders>
              <w:top w:val="single" w:color="auto" w:sz="4" w:space="0"/>
              <w:left w:val="single" w:color="auto" w:sz="4" w:space="0"/>
              <w:bottom w:val="single" w:color="auto" w:sz="4" w:space="0"/>
              <w:right w:val="single" w:color="auto" w:sz="4" w:space="0"/>
            </w:tcBorders>
            <w:noWrap w:val="0"/>
            <w:vAlign w:val="center"/>
          </w:tcPr>
          <w:p w14:paraId="7B8A117F">
            <w:pPr>
              <w:bidi w:val="0"/>
              <w:jc w:val="center"/>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0分</w:t>
            </w:r>
          </w:p>
        </w:tc>
      </w:tr>
      <w:tr w14:paraId="24B14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66" w:type="pct"/>
            <w:tcBorders>
              <w:top w:val="single" w:color="auto" w:sz="4" w:space="0"/>
              <w:left w:val="single" w:color="auto" w:sz="4" w:space="0"/>
              <w:bottom w:val="single" w:color="auto" w:sz="4" w:space="0"/>
              <w:right w:val="single" w:color="auto" w:sz="4" w:space="0"/>
            </w:tcBorders>
            <w:noWrap w:val="0"/>
            <w:vAlign w:val="center"/>
          </w:tcPr>
          <w:p w14:paraId="438706A8">
            <w:pPr>
              <w:bidi w:val="0"/>
              <w:rPr>
                <w:rFonts w:hint="eastAsia" w:ascii="仿宋" w:hAnsi="仿宋" w:eastAsia="仿宋" w:cs="仿宋"/>
                <w:sz w:val="24"/>
                <w:szCs w:val="24"/>
              </w:rPr>
            </w:pPr>
            <w:r>
              <w:rPr>
                <w:rFonts w:hint="eastAsia" w:ascii="仿宋" w:hAnsi="仿宋" w:eastAsia="仿宋" w:cs="仿宋"/>
                <w:sz w:val="24"/>
                <w:szCs w:val="24"/>
              </w:rPr>
              <w:t>1、总体服务方案（2</w:t>
            </w:r>
            <w:r>
              <w:rPr>
                <w:rFonts w:hint="eastAsia" w:ascii="仿宋" w:hAnsi="仿宋" w:eastAsia="仿宋" w:cs="仿宋"/>
                <w:sz w:val="24"/>
                <w:szCs w:val="24"/>
                <w:lang w:val="en-US" w:eastAsia="zh-CN"/>
              </w:rPr>
              <w:t>1</w:t>
            </w:r>
            <w:r>
              <w:rPr>
                <w:rFonts w:hint="eastAsia" w:ascii="仿宋" w:hAnsi="仿宋" w:eastAsia="仿宋" w:cs="仿宋"/>
                <w:sz w:val="24"/>
                <w:szCs w:val="24"/>
              </w:rPr>
              <w:t>分）</w:t>
            </w:r>
          </w:p>
          <w:p w14:paraId="280E3C79">
            <w:pPr>
              <w:bidi w:val="0"/>
              <w:ind w:firstLine="480" w:firstLineChars="200"/>
              <w:rPr>
                <w:rFonts w:hint="eastAsia" w:ascii="仿宋" w:hAnsi="仿宋" w:eastAsia="仿宋" w:cs="仿宋"/>
                <w:sz w:val="24"/>
                <w:szCs w:val="24"/>
              </w:rPr>
            </w:pPr>
            <w:r>
              <w:rPr>
                <w:rFonts w:hint="eastAsia" w:ascii="仿宋" w:hAnsi="仿宋" w:eastAsia="仿宋" w:cs="仿宋"/>
                <w:sz w:val="24"/>
                <w:szCs w:val="24"/>
              </w:rPr>
              <w:t>供应商针对本项目提供总体服务方案；包括但不限于：①项目认识和理解；②设备维护与管理服务方案；③后台设备维护；④风险管理；⑤安全管理；⑥重难点问题的分析与解决措施；⑦应急方案等，每提供一点内容无缺陷的得3分，内容有缺陷的得2分，不提供不得分，最高得2</w:t>
            </w:r>
            <w:r>
              <w:rPr>
                <w:rFonts w:hint="eastAsia" w:ascii="仿宋" w:hAnsi="仿宋" w:eastAsia="仿宋" w:cs="仿宋"/>
                <w:sz w:val="24"/>
                <w:szCs w:val="24"/>
                <w:lang w:val="en-US" w:eastAsia="zh-CN"/>
              </w:rPr>
              <w:t>1</w:t>
            </w:r>
            <w:r>
              <w:rPr>
                <w:rFonts w:hint="eastAsia" w:ascii="仿宋" w:hAnsi="仿宋" w:eastAsia="仿宋" w:cs="仿宋"/>
                <w:sz w:val="24"/>
                <w:szCs w:val="24"/>
              </w:rPr>
              <w:t>分。</w:t>
            </w:r>
          </w:p>
          <w:p w14:paraId="343B3F6E">
            <w:pPr>
              <w:bidi w:val="0"/>
              <w:ind w:firstLine="480" w:firstLineChars="200"/>
              <w:rPr>
                <w:rFonts w:hint="eastAsia" w:ascii="仿宋" w:hAnsi="仿宋" w:eastAsia="仿宋" w:cs="仿宋"/>
                <w:sz w:val="24"/>
                <w:szCs w:val="24"/>
              </w:rPr>
            </w:pPr>
            <w:r>
              <w:rPr>
                <w:rFonts w:hint="eastAsia" w:ascii="仿宋" w:hAnsi="仿宋" w:eastAsia="仿宋" w:cs="仿宋"/>
                <w:sz w:val="24"/>
                <w:szCs w:val="24"/>
              </w:rPr>
              <w:t>注：“内容有缺陷”是指：项目名称不符、方案内容与项目需求不一致、涉及的技术规范标准等与国家或行业或磋商文件要求不一致，方案内容存在凭空想象与编造，工作组织无条理性、计划方法或实施步骤安排混乱、语义表述存在歧义、混乱、前后不一致等。</w:t>
            </w:r>
          </w:p>
        </w:tc>
        <w:tc>
          <w:tcPr>
            <w:tcW w:w="933" w:type="pct"/>
            <w:tcBorders>
              <w:top w:val="single" w:color="auto" w:sz="4" w:space="0"/>
              <w:left w:val="single" w:color="auto" w:sz="4" w:space="0"/>
              <w:bottom w:val="single" w:color="auto" w:sz="4" w:space="0"/>
              <w:right w:val="single" w:color="auto" w:sz="4" w:space="0"/>
            </w:tcBorders>
            <w:noWrap w:val="0"/>
            <w:vAlign w:val="center"/>
          </w:tcPr>
          <w:p w14:paraId="2F9CD705">
            <w:pPr>
              <w:bidi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w:t>
            </w:r>
            <w:r>
              <w:rPr>
                <w:rFonts w:hint="eastAsia" w:ascii="仿宋" w:hAnsi="仿宋" w:eastAsia="仿宋" w:cs="仿宋"/>
                <w:sz w:val="24"/>
                <w:szCs w:val="24"/>
              </w:rPr>
              <w:t>～</w:t>
            </w:r>
            <w:r>
              <w:rPr>
                <w:rFonts w:hint="eastAsia" w:ascii="仿宋" w:hAnsi="仿宋" w:eastAsia="仿宋" w:cs="仿宋"/>
                <w:sz w:val="24"/>
                <w:szCs w:val="24"/>
                <w:lang w:val="en-US" w:eastAsia="zh-CN"/>
              </w:rPr>
              <w:t>21分</w:t>
            </w:r>
          </w:p>
        </w:tc>
      </w:tr>
      <w:tr w14:paraId="471D7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66" w:type="pct"/>
            <w:tcBorders>
              <w:top w:val="single" w:color="auto" w:sz="4" w:space="0"/>
              <w:left w:val="single" w:color="auto" w:sz="4" w:space="0"/>
              <w:bottom w:val="single" w:color="auto" w:sz="4" w:space="0"/>
              <w:right w:val="single" w:color="auto" w:sz="4" w:space="0"/>
            </w:tcBorders>
            <w:noWrap w:val="0"/>
            <w:vAlign w:val="center"/>
          </w:tcPr>
          <w:p w14:paraId="066324F1">
            <w:pPr>
              <w:bidi w:val="0"/>
              <w:rPr>
                <w:rFonts w:hint="eastAsia" w:ascii="仿宋" w:hAnsi="仿宋" w:eastAsia="仿宋" w:cs="仿宋"/>
                <w:sz w:val="24"/>
                <w:szCs w:val="24"/>
              </w:rPr>
            </w:pPr>
            <w:r>
              <w:rPr>
                <w:rFonts w:hint="eastAsia" w:ascii="仿宋" w:hAnsi="仿宋" w:eastAsia="仿宋" w:cs="仿宋"/>
                <w:sz w:val="24"/>
                <w:szCs w:val="24"/>
              </w:rPr>
              <w:t>2、工作进度计划安排及措施（</w:t>
            </w:r>
            <w:r>
              <w:rPr>
                <w:rFonts w:hint="eastAsia" w:ascii="仿宋" w:hAnsi="仿宋" w:eastAsia="仿宋" w:cs="仿宋"/>
                <w:sz w:val="24"/>
                <w:szCs w:val="24"/>
                <w:lang w:val="en-US" w:eastAsia="zh-CN"/>
              </w:rPr>
              <w:t>6</w:t>
            </w:r>
            <w:r>
              <w:rPr>
                <w:rFonts w:hint="eastAsia" w:ascii="仿宋" w:hAnsi="仿宋" w:eastAsia="仿宋" w:cs="仿宋"/>
                <w:sz w:val="24"/>
                <w:szCs w:val="24"/>
              </w:rPr>
              <w:t>分）</w:t>
            </w:r>
          </w:p>
          <w:p w14:paraId="46C9D98F">
            <w:pPr>
              <w:bidi w:val="0"/>
              <w:ind w:firstLine="480" w:firstLineChars="200"/>
              <w:rPr>
                <w:rFonts w:hint="eastAsia" w:ascii="仿宋" w:hAnsi="仿宋" w:eastAsia="仿宋" w:cs="仿宋"/>
                <w:sz w:val="24"/>
                <w:szCs w:val="24"/>
              </w:rPr>
            </w:pPr>
            <w:r>
              <w:rPr>
                <w:rFonts w:hint="eastAsia" w:ascii="仿宋" w:hAnsi="仿宋" w:eastAsia="仿宋" w:cs="仿宋"/>
                <w:sz w:val="24"/>
                <w:szCs w:val="24"/>
              </w:rPr>
              <w:t>供应商针对本项目提供工作进度计划安排及措施；包括但不限于：①总体计划安排及流程；②服务期安排保障措施。每提供一点内容无缺陷的得</w:t>
            </w:r>
            <w:r>
              <w:rPr>
                <w:rFonts w:hint="eastAsia" w:ascii="仿宋" w:hAnsi="仿宋" w:eastAsia="仿宋" w:cs="仿宋"/>
                <w:sz w:val="24"/>
                <w:szCs w:val="24"/>
                <w:lang w:val="en-US" w:eastAsia="zh-CN"/>
              </w:rPr>
              <w:t>3</w:t>
            </w:r>
            <w:r>
              <w:rPr>
                <w:rFonts w:hint="eastAsia" w:ascii="仿宋" w:hAnsi="仿宋" w:eastAsia="仿宋" w:cs="仿宋"/>
                <w:sz w:val="24"/>
                <w:szCs w:val="24"/>
              </w:rPr>
              <w:t>分，内容有缺陷的得</w:t>
            </w:r>
            <w:r>
              <w:rPr>
                <w:rFonts w:hint="eastAsia" w:ascii="仿宋" w:hAnsi="仿宋" w:eastAsia="仿宋" w:cs="仿宋"/>
                <w:sz w:val="24"/>
                <w:szCs w:val="24"/>
                <w:lang w:val="en-US" w:eastAsia="zh-CN"/>
              </w:rPr>
              <w:t>1.5</w:t>
            </w:r>
            <w:r>
              <w:rPr>
                <w:rFonts w:hint="eastAsia" w:ascii="仿宋" w:hAnsi="仿宋" w:eastAsia="仿宋" w:cs="仿宋"/>
                <w:sz w:val="24"/>
                <w:szCs w:val="24"/>
              </w:rPr>
              <w:t>分，不提供不得分，最高得</w:t>
            </w:r>
            <w:r>
              <w:rPr>
                <w:rFonts w:hint="eastAsia" w:ascii="仿宋" w:hAnsi="仿宋" w:eastAsia="仿宋" w:cs="仿宋"/>
                <w:sz w:val="24"/>
                <w:szCs w:val="24"/>
                <w:lang w:val="en-US" w:eastAsia="zh-CN"/>
              </w:rPr>
              <w:t>6</w:t>
            </w:r>
            <w:r>
              <w:rPr>
                <w:rFonts w:hint="eastAsia" w:ascii="仿宋" w:hAnsi="仿宋" w:eastAsia="仿宋" w:cs="仿宋"/>
                <w:sz w:val="24"/>
                <w:szCs w:val="24"/>
              </w:rPr>
              <w:t>分。</w:t>
            </w:r>
          </w:p>
          <w:p w14:paraId="21FCB64D">
            <w:pPr>
              <w:bidi w:val="0"/>
              <w:ind w:firstLine="480" w:firstLineChars="200"/>
              <w:rPr>
                <w:rFonts w:hint="eastAsia" w:ascii="仿宋" w:hAnsi="仿宋" w:eastAsia="仿宋" w:cs="仿宋"/>
                <w:sz w:val="24"/>
                <w:szCs w:val="24"/>
              </w:rPr>
            </w:pPr>
            <w:r>
              <w:rPr>
                <w:rFonts w:hint="eastAsia" w:ascii="仿宋" w:hAnsi="仿宋" w:eastAsia="仿宋" w:cs="仿宋"/>
                <w:sz w:val="24"/>
                <w:szCs w:val="24"/>
              </w:rPr>
              <w:t>注：“内容有缺陷”是指：项目名称不符、方案内容与项目需求不一致、涉及的技术规范标准等与国家或行业或磋商文件要求不一致，方案内容存在凭空想象与编造，工作组织无条理性、计划方法或实施步骤安排混乱、语义表述存在歧义、混乱、前后不一致等。</w:t>
            </w:r>
          </w:p>
        </w:tc>
        <w:tc>
          <w:tcPr>
            <w:tcW w:w="933" w:type="pct"/>
            <w:tcBorders>
              <w:top w:val="single" w:color="auto" w:sz="4" w:space="0"/>
              <w:left w:val="single" w:color="auto" w:sz="4" w:space="0"/>
              <w:bottom w:val="single" w:color="auto" w:sz="4" w:space="0"/>
              <w:right w:val="single" w:color="auto" w:sz="4" w:space="0"/>
            </w:tcBorders>
            <w:noWrap w:val="0"/>
            <w:vAlign w:val="center"/>
          </w:tcPr>
          <w:p w14:paraId="56EB40FC">
            <w:pPr>
              <w:bidi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w:t>
            </w:r>
            <w:r>
              <w:rPr>
                <w:rFonts w:hint="eastAsia" w:ascii="仿宋" w:hAnsi="仿宋" w:eastAsia="仿宋" w:cs="仿宋"/>
                <w:sz w:val="24"/>
                <w:szCs w:val="24"/>
              </w:rPr>
              <w:t>～</w:t>
            </w:r>
            <w:r>
              <w:rPr>
                <w:rFonts w:hint="eastAsia" w:ascii="仿宋" w:hAnsi="仿宋" w:eastAsia="仿宋" w:cs="仿宋"/>
                <w:sz w:val="24"/>
                <w:szCs w:val="24"/>
                <w:lang w:val="en-US" w:eastAsia="zh-CN"/>
              </w:rPr>
              <w:t>6分</w:t>
            </w:r>
          </w:p>
        </w:tc>
      </w:tr>
      <w:tr w14:paraId="7A692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66" w:type="pct"/>
            <w:tcBorders>
              <w:top w:val="single" w:color="auto" w:sz="4" w:space="0"/>
              <w:left w:val="single" w:color="auto" w:sz="4" w:space="0"/>
              <w:bottom w:val="single" w:color="auto" w:sz="4" w:space="0"/>
              <w:right w:val="single" w:color="auto" w:sz="4" w:space="0"/>
            </w:tcBorders>
            <w:noWrap w:val="0"/>
            <w:vAlign w:val="center"/>
          </w:tcPr>
          <w:p w14:paraId="518E606B">
            <w:pPr>
              <w:bidi w:val="0"/>
              <w:rPr>
                <w:rFonts w:hint="eastAsia" w:ascii="仿宋" w:hAnsi="仿宋" w:eastAsia="仿宋" w:cs="仿宋"/>
                <w:sz w:val="24"/>
                <w:szCs w:val="24"/>
              </w:rPr>
            </w:pPr>
            <w:r>
              <w:rPr>
                <w:rFonts w:hint="eastAsia" w:ascii="仿宋" w:hAnsi="仿宋" w:eastAsia="仿宋" w:cs="仿宋"/>
                <w:sz w:val="24"/>
                <w:szCs w:val="24"/>
              </w:rPr>
              <w:t>3、维护制度（15分）</w:t>
            </w:r>
          </w:p>
          <w:p w14:paraId="613D06C3">
            <w:pPr>
              <w:bidi w:val="0"/>
              <w:ind w:firstLine="480" w:firstLineChars="200"/>
              <w:rPr>
                <w:rFonts w:hint="eastAsia" w:ascii="仿宋" w:hAnsi="仿宋" w:eastAsia="仿宋" w:cs="仿宋"/>
                <w:sz w:val="24"/>
                <w:szCs w:val="24"/>
              </w:rPr>
            </w:pPr>
            <w:r>
              <w:rPr>
                <w:rFonts w:hint="eastAsia" w:ascii="仿宋" w:hAnsi="仿宋" w:eastAsia="仿宋" w:cs="仿宋"/>
                <w:sz w:val="24"/>
                <w:szCs w:val="24"/>
              </w:rPr>
              <w:t>供应商针对本项目提供巡检维护制度；包括但不限于：①运维组织和职责；②运维流程和规范制度；③运维工具和系统管理制度；④应急预案制度；⑤突发事件备用设备配备方案等。每提供一点内容无缺陷的得3分，内容有缺陷的得</w:t>
            </w:r>
            <w:r>
              <w:rPr>
                <w:rFonts w:hint="eastAsia" w:ascii="仿宋" w:hAnsi="仿宋" w:eastAsia="仿宋" w:cs="仿宋"/>
                <w:sz w:val="24"/>
                <w:szCs w:val="24"/>
                <w:lang w:val="en-US" w:eastAsia="zh-CN"/>
              </w:rPr>
              <w:t>1.5</w:t>
            </w:r>
            <w:r>
              <w:rPr>
                <w:rFonts w:hint="eastAsia" w:ascii="仿宋" w:hAnsi="仿宋" w:eastAsia="仿宋" w:cs="仿宋"/>
                <w:sz w:val="24"/>
                <w:szCs w:val="24"/>
              </w:rPr>
              <w:t>分，不提供不得分，最高得15分。</w:t>
            </w:r>
          </w:p>
          <w:p w14:paraId="1C6D3423">
            <w:pPr>
              <w:bidi w:val="0"/>
              <w:ind w:firstLine="480" w:firstLineChars="200"/>
              <w:rPr>
                <w:rFonts w:hint="eastAsia" w:ascii="仿宋" w:hAnsi="仿宋" w:eastAsia="仿宋" w:cs="仿宋"/>
                <w:sz w:val="24"/>
                <w:szCs w:val="24"/>
              </w:rPr>
            </w:pPr>
            <w:r>
              <w:rPr>
                <w:rFonts w:hint="eastAsia" w:ascii="仿宋" w:hAnsi="仿宋" w:eastAsia="仿宋" w:cs="仿宋"/>
                <w:sz w:val="24"/>
                <w:szCs w:val="24"/>
              </w:rPr>
              <w:t>注：“内容有缺陷”是指：项目名称不符、方案内容与项目需求不一致、涉及的技术规范标准等与国家或行业或磋商文件要求不一致，方案内容存在凭空想象与编造，工作组织无条理性、计划方法或实施步骤安排混乱、语义表述存在歧义、混乱、前后不一致等。</w:t>
            </w:r>
          </w:p>
        </w:tc>
        <w:tc>
          <w:tcPr>
            <w:tcW w:w="933" w:type="pct"/>
            <w:tcBorders>
              <w:top w:val="single" w:color="auto" w:sz="4" w:space="0"/>
              <w:left w:val="single" w:color="auto" w:sz="4" w:space="0"/>
              <w:bottom w:val="single" w:color="auto" w:sz="4" w:space="0"/>
              <w:right w:val="single" w:color="auto" w:sz="4" w:space="0"/>
            </w:tcBorders>
            <w:noWrap w:val="0"/>
            <w:vAlign w:val="center"/>
          </w:tcPr>
          <w:p w14:paraId="616A4EA4">
            <w:pPr>
              <w:bidi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w:t>
            </w:r>
            <w:r>
              <w:rPr>
                <w:rFonts w:hint="eastAsia" w:ascii="仿宋" w:hAnsi="仿宋" w:eastAsia="仿宋" w:cs="仿宋"/>
                <w:sz w:val="24"/>
                <w:szCs w:val="24"/>
              </w:rPr>
              <w:t>～</w:t>
            </w:r>
            <w:r>
              <w:rPr>
                <w:rFonts w:hint="eastAsia" w:ascii="仿宋" w:hAnsi="仿宋" w:eastAsia="仿宋" w:cs="仿宋"/>
                <w:sz w:val="24"/>
                <w:szCs w:val="24"/>
                <w:lang w:val="en-US" w:eastAsia="zh-CN"/>
              </w:rPr>
              <w:t>15分</w:t>
            </w:r>
          </w:p>
        </w:tc>
      </w:tr>
      <w:tr w14:paraId="6441D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66" w:type="pct"/>
            <w:tcBorders>
              <w:top w:val="single" w:color="auto" w:sz="4" w:space="0"/>
              <w:left w:val="single" w:color="auto" w:sz="4" w:space="0"/>
              <w:bottom w:val="single" w:color="auto" w:sz="4" w:space="0"/>
              <w:right w:val="single" w:color="auto" w:sz="4" w:space="0"/>
            </w:tcBorders>
            <w:noWrap w:val="0"/>
            <w:vAlign w:val="center"/>
          </w:tcPr>
          <w:p w14:paraId="1999649D">
            <w:pPr>
              <w:numPr>
                <w:ilvl w:val="0"/>
                <w:numId w:val="2"/>
              </w:numPr>
              <w:bidi w:val="0"/>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质量控制的程序、措施和质量保证体系（</w:t>
            </w:r>
            <w:r>
              <w:rPr>
                <w:rFonts w:hint="eastAsia" w:ascii="仿宋" w:hAnsi="仿宋" w:eastAsia="仿宋" w:cs="仿宋"/>
                <w:sz w:val="24"/>
                <w:szCs w:val="24"/>
                <w:lang w:val="en-US" w:eastAsia="zh-CN"/>
              </w:rPr>
              <w:t>6</w:t>
            </w:r>
            <w:r>
              <w:rPr>
                <w:rFonts w:hint="eastAsia" w:ascii="仿宋" w:hAnsi="仿宋" w:eastAsia="仿宋" w:cs="仿宋"/>
                <w:sz w:val="24"/>
                <w:szCs w:val="24"/>
                <w:lang w:val="zh-CN" w:eastAsia="zh-CN"/>
              </w:rPr>
              <w:t>分）</w:t>
            </w:r>
          </w:p>
          <w:p w14:paraId="4BED804B">
            <w:pPr>
              <w:numPr>
                <w:ilvl w:val="0"/>
                <w:numId w:val="0"/>
              </w:numPr>
              <w:bidi w:val="0"/>
              <w:ind w:firstLine="480" w:firstLineChars="200"/>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供应商针对本项目提供质量控制的程序、措施和质量保证体系；包括但不限于：①项目实施各阶段质量保障措施；②故障处理流程、故障修复率。每提供一点内容无缺陷的得</w:t>
            </w:r>
            <w:r>
              <w:rPr>
                <w:rFonts w:hint="eastAsia" w:ascii="仿宋" w:hAnsi="仿宋" w:eastAsia="仿宋" w:cs="仿宋"/>
                <w:sz w:val="24"/>
                <w:szCs w:val="24"/>
                <w:lang w:val="en-US" w:eastAsia="zh-CN"/>
              </w:rPr>
              <w:t>3</w:t>
            </w:r>
            <w:r>
              <w:rPr>
                <w:rFonts w:hint="eastAsia" w:ascii="仿宋" w:hAnsi="仿宋" w:eastAsia="仿宋" w:cs="仿宋"/>
                <w:sz w:val="24"/>
                <w:szCs w:val="24"/>
                <w:lang w:val="zh-CN" w:eastAsia="zh-CN"/>
              </w:rPr>
              <w:t>分，内容有缺陷的得</w:t>
            </w:r>
            <w:r>
              <w:rPr>
                <w:rFonts w:hint="eastAsia" w:ascii="仿宋" w:hAnsi="仿宋" w:eastAsia="仿宋" w:cs="仿宋"/>
                <w:sz w:val="24"/>
                <w:szCs w:val="24"/>
                <w:lang w:val="en-US" w:eastAsia="zh-CN"/>
              </w:rPr>
              <w:t>1.5</w:t>
            </w:r>
            <w:r>
              <w:rPr>
                <w:rFonts w:hint="eastAsia" w:ascii="仿宋" w:hAnsi="仿宋" w:eastAsia="仿宋" w:cs="仿宋"/>
                <w:sz w:val="24"/>
                <w:szCs w:val="24"/>
                <w:lang w:val="zh-CN" w:eastAsia="zh-CN"/>
              </w:rPr>
              <w:t>分，不提供不得分，最高得</w:t>
            </w:r>
            <w:r>
              <w:rPr>
                <w:rFonts w:hint="eastAsia" w:ascii="仿宋" w:hAnsi="仿宋" w:eastAsia="仿宋" w:cs="仿宋"/>
                <w:sz w:val="24"/>
                <w:szCs w:val="24"/>
                <w:lang w:val="en-US" w:eastAsia="zh-CN"/>
              </w:rPr>
              <w:t>6</w:t>
            </w:r>
            <w:r>
              <w:rPr>
                <w:rFonts w:hint="eastAsia" w:ascii="仿宋" w:hAnsi="仿宋" w:eastAsia="仿宋" w:cs="仿宋"/>
                <w:sz w:val="24"/>
                <w:szCs w:val="24"/>
                <w:lang w:val="zh-CN" w:eastAsia="zh-CN"/>
              </w:rPr>
              <w:t>分。</w:t>
            </w:r>
          </w:p>
          <w:p w14:paraId="5D94C314">
            <w:pPr>
              <w:bidi w:val="0"/>
              <w:ind w:firstLine="480" w:firstLineChars="200"/>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注：“内容有缺陷”是指：项目名称不符、方案内容与项目需求不一致、涉及的技术规范标准等与国家或行业或磋商文件要求不一致，方案内容存在凭空想象与编造，工作组织无条理性、计划方法或实施步骤安排混乱、语义表述存在歧义、混乱、前后不一致等。</w:t>
            </w:r>
          </w:p>
        </w:tc>
        <w:tc>
          <w:tcPr>
            <w:tcW w:w="933" w:type="pct"/>
            <w:tcBorders>
              <w:top w:val="single" w:color="auto" w:sz="4" w:space="0"/>
              <w:left w:val="single" w:color="auto" w:sz="4" w:space="0"/>
              <w:bottom w:val="single" w:color="auto" w:sz="4" w:space="0"/>
              <w:right w:val="single" w:color="auto" w:sz="4" w:space="0"/>
            </w:tcBorders>
            <w:noWrap w:val="0"/>
            <w:vAlign w:val="center"/>
          </w:tcPr>
          <w:p w14:paraId="155A94E7">
            <w:pPr>
              <w:bidi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w:t>
            </w:r>
            <w:r>
              <w:rPr>
                <w:rFonts w:hint="eastAsia" w:ascii="仿宋" w:hAnsi="仿宋" w:eastAsia="仿宋" w:cs="仿宋"/>
                <w:sz w:val="24"/>
                <w:szCs w:val="24"/>
              </w:rPr>
              <w:t>～</w:t>
            </w:r>
            <w:r>
              <w:rPr>
                <w:rFonts w:hint="eastAsia" w:ascii="仿宋" w:hAnsi="仿宋" w:eastAsia="仿宋" w:cs="仿宋"/>
                <w:sz w:val="24"/>
                <w:szCs w:val="24"/>
                <w:lang w:val="en-US" w:eastAsia="zh-CN"/>
              </w:rPr>
              <w:t>6分</w:t>
            </w:r>
          </w:p>
        </w:tc>
      </w:tr>
      <w:tr w14:paraId="01867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66" w:type="pct"/>
            <w:tcBorders>
              <w:top w:val="single" w:color="auto" w:sz="4" w:space="0"/>
              <w:left w:val="single" w:color="auto" w:sz="4" w:space="0"/>
              <w:bottom w:val="single" w:color="auto" w:sz="4" w:space="0"/>
              <w:right w:val="single" w:color="auto" w:sz="4" w:space="0"/>
            </w:tcBorders>
            <w:noWrap w:val="0"/>
            <w:vAlign w:val="center"/>
          </w:tcPr>
          <w:p w14:paraId="53FE08E4">
            <w:pPr>
              <w:bidi w:val="0"/>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5、人力资源配备（12分）</w:t>
            </w:r>
          </w:p>
          <w:p w14:paraId="3E44883C">
            <w:pPr>
              <w:bidi w:val="0"/>
              <w:ind w:firstLine="480" w:firstLineChars="200"/>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供应商针对本项目提供人力资源配备；包括但不限于：①各岗位人员配备及分工；②人员稳定性保障措施；③各岗位工作制度；④各岗位行为规范及操作规程等因素等，每提供一点内容无缺陷的得3分，内容有缺陷的得</w:t>
            </w:r>
            <w:r>
              <w:rPr>
                <w:rFonts w:hint="eastAsia" w:ascii="仿宋" w:hAnsi="仿宋" w:eastAsia="仿宋" w:cs="仿宋"/>
                <w:sz w:val="24"/>
                <w:szCs w:val="24"/>
                <w:lang w:val="en-US" w:eastAsia="zh-CN"/>
              </w:rPr>
              <w:t>1.5</w:t>
            </w:r>
            <w:r>
              <w:rPr>
                <w:rFonts w:hint="eastAsia" w:ascii="仿宋" w:hAnsi="仿宋" w:eastAsia="仿宋" w:cs="仿宋"/>
                <w:sz w:val="24"/>
                <w:szCs w:val="24"/>
                <w:lang w:val="zh-CN" w:eastAsia="zh-CN"/>
              </w:rPr>
              <w:t>分，不提供不得分，最高得12分。</w:t>
            </w:r>
          </w:p>
          <w:p w14:paraId="30F179E7">
            <w:pPr>
              <w:bidi w:val="0"/>
              <w:ind w:firstLine="480" w:firstLineChars="200"/>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注：“内容有缺陷”是指：项目名称不符、方案内容与项目需求不一致、涉及的技术规范标准等与国家或行业或磋商文件要求不一致，方案内容存在凭空想象与编造，工作组织无条理性、计划方法或实施步骤安排混乱、语义表述存在歧义、混乱、前后不一致等。</w:t>
            </w:r>
          </w:p>
        </w:tc>
        <w:tc>
          <w:tcPr>
            <w:tcW w:w="933" w:type="pct"/>
            <w:tcBorders>
              <w:top w:val="single" w:color="auto" w:sz="4" w:space="0"/>
              <w:left w:val="single" w:color="auto" w:sz="4" w:space="0"/>
              <w:bottom w:val="single" w:color="auto" w:sz="4" w:space="0"/>
              <w:right w:val="single" w:color="auto" w:sz="4" w:space="0"/>
            </w:tcBorders>
            <w:noWrap w:val="0"/>
            <w:vAlign w:val="center"/>
          </w:tcPr>
          <w:p w14:paraId="57818322">
            <w:pPr>
              <w:bidi w:val="0"/>
              <w:jc w:val="center"/>
              <w:rPr>
                <w:rFonts w:hint="eastAsia" w:ascii="仿宋" w:hAnsi="仿宋" w:eastAsia="仿宋" w:cs="仿宋"/>
                <w:sz w:val="24"/>
                <w:szCs w:val="24"/>
              </w:rPr>
            </w:pPr>
            <w:r>
              <w:rPr>
                <w:rFonts w:hint="eastAsia" w:ascii="仿宋" w:hAnsi="仿宋" w:eastAsia="仿宋" w:cs="仿宋"/>
                <w:sz w:val="24"/>
                <w:szCs w:val="24"/>
                <w:lang w:val="en-US" w:eastAsia="zh-CN"/>
              </w:rPr>
              <w:t>0</w:t>
            </w:r>
            <w:r>
              <w:rPr>
                <w:rFonts w:hint="eastAsia" w:ascii="仿宋" w:hAnsi="仿宋" w:eastAsia="仿宋" w:cs="仿宋"/>
                <w:sz w:val="24"/>
                <w:szCs w:val="24"/>
              </w:rPr>
              <w:t>～</w:t>
            </w:r>
            <w:r>
              <w:rPr>
                <w:rFonts w:hint="eastAsia" w:ascii="仿宋" w:hAnsi="仿宋" w:eastAsia="仿宋" w:cs="仿宋"/>
                <w:sz w:val="24"/>
                <w:szCs w:val="24"/>
                <w:lang w:val="en-US" w:eastAsia="zh-CN"/>
              </w:rPr>
              <w:t>12分</w:t>
            </w:r>
          </w:p>
        </w:tc>
      </w:tr>
      <w:tr w14:paraId="6B291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jc w:val="center"/>
        </w:trPr>
        <w:tc>
          <w:tcPr>
            <w:tcW w:w="4066" w:type="pct"/>
            <w:tcBorders>
              <w:top w:val="single" w:color="auto" w:sz="4" w:space="0"/>
              <w:left w:val="single" w:color="auto" w:sz="4" w:space="0"/>
              <w:bottom w:val="single" w:color="auto" w:sz="4" w:space="0"/>
              <w:right w:val="single" w:color="auto" w:sz="4" w:space="0"/>
            </w:tcBorders>
            <w:noWrap w:val="0"/>
            <w:vAlign w:val="center"/>
          </w:tcPr>
          <w:p w14:paraId="5FA8F5C6">
            <w:pPr>
              <w:bidi w:val="0"/>
              <w:rPr>
                <w:rFonts w:hint="eastAsia" w:ascii="仿宋" w:hAnsi="仿宋" w:eastAsia="仿宋" w:cs="仿宋"/>
                <w:sz w:val="24"/>
                <w:szCs w:val="24"/>
                <w:lang w:val="zh-CN" w:eastAsia="zh-CN"/>
              </w:rPr>
            </w:pPr>
            <w:r>
              <w:rPr>
                <w:rFonts w:hint="eastAsia" w:ascii="仿宋" w:hAnsi="仿宋" w:eastAsia="仿宋" w:cs="仿宋"/>
                <w:sz w:val="24"/>
                <w:szCs w:val="24"/>
                <w:lang w:val="en-US" w:eastAsia="zh-CN"/>
              </w:rPr>
              <w:t>6、</w:t>
            </w:r>
            <w:r>
              <w:rPr>
                <w:rFonts w:hint="eastAsia" w:ascii="仿宋" w:hAnsi="仿宋" w:eastAsia="仿宋" w:cs="仿宋"/>
                <w:sz w:val="24"/>
                <w:szCs w:val="24"/>
                <w:lang w:val="zh-CN" w:eastAsia="zh-CN"/>
              </w:rPr>
              <w:t>培训方案（</w:t>
            </w:r>
            <w:r>
              <w:rPr>
                <w:rFonts w:hint="eastAsia" w:ascii="仿宋" w:hAnsi="仿宋" w:eastAsia="仿宋" w:cs="仿宋"/>
                <w:sz w:val="24"/>
                <w:szCs w:val="24"/>
                <w:lang w:val="en-US" w:eastAsia="zh-CN"/>
              </w:rPr>
              <w:t>10分</w:t>
            </w:r>
            <w:r>
              <w:rPr>
                <w:rFonts w:hint="eastAsia" w:ascii="仿宋" w:hAnsi="仿宋" w:eastAsia="仿宋" w:cs="仿宋"/>
                <w:sz w:val="24"/>
                <w:szCs w:val="24"/>
                <w:lang w:val="zh-CN" w:eastAsia="zh-CN"/>
              </w:rPr>
              <w:t>）</w:t>
            </w:r>
          </w:p>
          <w:p w14:paraId="5BC371B0">
            <w:pPr>
              <w:bidi w:val="0"/>
              <w:ind w:firstLine="480" w:firstLineChars="200"/>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供应商针对本项目提供培训方案，内容包括但不限:①培训目标；②培训方式；③培训内容</w:t>
            </w:r>
            <w:r>
              <w:rPr>
                <w:rFonts w:hint="eastAsia" w:ascii="仿宋" w:hAnsi="仿宋" w:eastAsia="仿宋" w:cs="仿宋"/>
                <w:sz w:val="24"/>
                <w:szCs w:val="24"/>
                <w:lang w:val="en-US" w:eastAsia="zh-CN"/>
              </w:rPr>
              <w:t>及</w:t>
            </w:r>
            <w:r>
              <w:rPr>
                <w:rFonts w:hint="eastAsia" w:ascii="仿宋" w:hAnsi="仿宋" w:eastAsia="仿宋" w:cs="仿宋"/>
                <w:sz w:val="24"/>
                <w:szCs w:val="24"/>
                <w:lang w:val="zh-CN" w:eastAsia="zh-CN"/>
              </w:rPr>
              <w:t>课时</w:t>
            </w:r>
            <w:r>
              <w:rPr>
                <w:rFonts w:hint="eastAsia" w:ascii="仿宋" w:hAnsi="仿宋" w:eastAsia="仿宋" w:cs="仿宋"/>
                <w:sz w:val="24"/>
                <w:szCs w:val="24"/>
                <w:lang w:val="en-US" w:eastAsia="zh-CN"/>
              </w:rPr>
              <w:t>；</w:t>
            </w:r>
            <w:r>
              <w:rPr>
                <w:rFonts w:hint="eastAsia" w:ascii="仿宋" w:hAnsi="仿宋" w:eastAsia="仿宋" w:cs="仿宋"/>
                <w:sz w:val="24"/>
                <w:szCs w:val="24"/>
                <w:lang w:val="zh-CN" w:eastAsia="zh-CN"/>
              </w:rPr>
              <w:t>④培训对象；⑤培训保障措施等。每提供一点内容无缺陷的</w:t>
            </w:r>
            <w:r>
              <w:rPr>
                <w:rFonts w:hint="eastAsia" w:ascii="仿宋" w:hAnsi="仿宋" w:eastAsia="仿宋" w:cs="仿宋"/>
                <w:sz w:val="24"/>
                <w:szCs w:val="24"/>
                <w:lang w:val="en-US" w:eastAsia="zh-CN"/>
              </w:rPr>
              <w:t>得2分，</w:t>
            </w:r>
            <w:r>
              <w:rPr>
                <w:rFonts w:hint="eastAsia" w:ascii="仿宋" w:hAnsi="仿宋" w:eastAsia="仿宋" w:cs="仿宋"/>
                <w:sz w:val="24"/>
                <w:szCs w:val="24"/>
                <w:lang w:val="zh-CN" w:eastAsia="zh-CN"/>
              </w:rPr>
              <w:t>内容有缺陷的得</w:t>
            </w:r>
            <w:r>
              <w:rPr>
                <w:rFonts w:hint="eastAsia" w:ascii="仿宋" w:hAnsi="仿宋" w:eastAsia="仿宋" w:cs="仿宋"/>
                <w:sz w:val="24"/>
                <w:szCs w:val="24"/>
                <w:lang w:val="en-US" w:eastAsia="zh-CN"/>
              </w:rPr>
              <w:t>1</w:t>
            </w:r>
            <w:r>
              <w:rPr>
                <w:rFonts w:hint="eastAsia" w:ascii="仿宋" w:hAnsi="仿宋" w:eastAsia="仿宋" w:cs="仿宋"/>
                <w:sz w:val="24"/>
                <w:szCs w:val="24"/>
                <w:lang w:val="zh-CN" w:eastAsia="zh-CN"/>
              </w:rPr>
              <w:t>分，不提供不得分，最高得1</w:t>
            </w:r>
            <w:r>
              <w:rPr>
                <w:rFonts w:hint="eastAsia" w:ascii="仿宋" w:hAnsi="仿宋" w:eastAsia="仿宋" w:cs="仿宋"/>
                <w:sz w:val="24"/>
                <w:szCs w:val="24"/>
                <w:lang w:val="en-US" w:eastAsia="zh-CN"/>
              </w:rPr>
              <w:t>0</w:t>
            </w:r>
            <w:r>
              <w:rPr>
                <w:rFonts w:hint="eastAsia" w:ascii="仿宋" w:hAnsi="仿宋" w:eastAsia="仿宋" w:cs="仿宋"/>
                <w:sz w:val="24"/>
                <w:szCs w:val="24"/>
                <w:lang w:val="zh-CN" w:eastAsia="zh-CN"/>
              </w:rPr>
              <w:t>分。</w:t>
            </w:r>
          </w:p>
          <w:p w14:paraId="1EFBAB02">
            <w:pPr>
              <w:bidi w:val="0"/>
              <w:ind w:firstLine="480" w:firstLineChars="200"/>
              <w:rPr>
                <w:rFonts w:hint="eastAsia" w:ascii="仿宋" w:hAnsi="仿宋" w:eastAsia="仿宋" w:cs="仿宋"/>
                <w:b w:val="0"/>
                <w:bCs w:val="0"/>
                <w:i w:val="0"/>
                <w:iCs w:val="0"/>
                <w:caps w:val="0"/>
                <w:color w:val="auto"/>
                <w:spacing w:val="0"/>
                <w:sz w:val="24"/>
                <w:szCs w:val="24"/>
                <w:shd w:val="clear" w:color="auto" w:fill="FFFFFF"/>
                <w:lang w:val="zh-CN" w:eastAsia="zh-CN"/>
              </w:rPr>
            </w:pPr>
            <w:r>
              <w:rPr>
                <w:rFonts w:hint="eastAsia" w:ascii="仿宋" w:hAnsi="仿宋" w:eastAsia="仿宋" w:cs="仿宋"/>
                <w:sz w:val="24"/>
                <w:szCs w:val="24"/>
                <w:lang w:val="zh-CN" w:eastAsia="zh-CN"/>
              </w:rPr>
              <w:t>注：“内容有缺陷”是指：项目名称不符、方案内容与项目需求不一致、涉及的技术规范标准等与国家或行业或磋商文件要求不一致，方案内容存在凭空想象与编造，工作组织无条理性、计划方法或实施步骤安排混乱、语义表述存在歧义、混乱、前后不一致等。</w:t>
            </w:r>
          </w:p>
        </w:tc>
        <w:tc>
          <w:tcPr>
            <w:tcW w:w="933" w:type="pct"/>
            <w:tcBorders>
              <w:top w:val="single" w:color="auto" w:sz="4" w:space="0"/>
              <w:left w:val="single" w:color="auto" w:sz="4" w:space="0"/>
              <w:bottom w:val="single" w:color="auto" w:sz="4" w:space="0"/>
              <w:right w:val="single" w:color="auto" w:sz="4" w:space="0"/>
            </w:tcBorders>
            <w:noWrap w:val="0"/>
            <w:vAlign w:val="center"/>
          </w:tcPr>
          <w:p w14:paraId="5EA04C80">
            <w:pPr>
              <w:bidi w:val="0"/>
              <w:jc w:val="center"/>
              <w:rPr>
                <w:rFonts w:hint="eastAsia" w:ascii="仿宋" w:hAnsi="仿宋" w:eastAsia="仿宋" w:cs="仿宋"/>
                <w:sz w:val="24"/>
                <w:szCs w:val="24"/>
              </w:rPr>
            </w:pPr>
            <w:r>
              <w:rPr>
                <w:rFonts w:hint="eastAsia" w:ascii="仿宋" w:hAnsi="仿宋" w:eastAsia="仿宋" w:cs="仿宋"/>
                <w:sz w:val="24"/>
                <w:szCs w:val="24"/>
                <w:lang w:val="en-US" w:eastAsia="zh-CN"/>
              </w:rPr>
              <w:t>0</w:t>
            </w:r>
            <w:r>
              <w:rPr>
                <w:rFonts w:hint="eastAsia" w:ascii="仿宋" w:hAnsi="仿宋" w:eastAsia="仿宋" w:cs="仿宋"/>
                <w:sz w:val="24"/>
                <w:szCs w:val="24"/>
              </w:rPr>
              <w:t>～</w:t>
            </w:r>
            <w:r>
              <w:rPr>
                <w:rFonts w:hint="eastAsia" w:ascii="仿宋" w:hAnsi="仿宋" w:eastAsia="仿宋" w:cs="仿宋"/>
                <w:sz w:val="24"/>
                <w:szCs w:val="24"/>
                <w:lang w:val="en-US" w:eastAsia="zh-CN"/>
              </w:rPr>
              <w:t>10分</w:t>
            </w:r>
          </w:p>
        </w:tc>
      </w:tr>
      <w:tr w14:paraId="2675B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66" w:type="pct"/>
            <w:tcBorders>
              <w:top w:val="single" w:color="auto" w:sz="4" w:space="0"/>
              <w:left w:val="single" w:color="auto" w:sz="4" w:space="0"/>
              <w:bottom w:val="single" w:color="auto" w:sz="4" w:space="0"/>
              <w:right w:val="single" w:color="auto" w:sz="4" w:space="0"/>
            </w:tcBorders>
            <w:noWrap w:val="0"/>
            <w:vAlign w:val="center"/>
          </w:tcPr>
          <w:p w14:paraId="4046EF47">
            <w:pPr>
              <w:bidi w:val="0"/>
              <w:rPr>
                <w:rFonts w:hint="eastAsia" w:ascii="仿宋" w:hAnsi="仿宋" w:eastAsia="仿宋" w:cs="仿宋"/>
                <w:sz w:val="24"/>
                <w:szCs w:val="24"/>
              </w:rPr>
            </w:pPr>
            <w:r>
              <w:rPr>
                <w:rFonts w:hint="eastAsia" w:ascii="仿宋" w:hAnsi="仿宋" w:eastAsia="仿宋" w:cs="仿宋"/>
                <w:sz w:val="24"/>
                <w:szCs w:val="24"/>
              </w:rPr>
              <w:t>三、价格部分</w:t>
            </w:r>
          </w:p>
        </w:tc>
        <w:tc>
          <w:tcPr>
            <w:tcW w:w="933" w:type="pct"/>
            <w:tcBorders>
              <w:top w:val="single" w:color="auto" w:sz="4" w:space="0"/>
              <w:left w:val="single" w:color="auto" w:sz="4" w:space="0"/>
              <w:bottom w:val="single" w:color="auto" w:sz="4" w:space="0"/>
              <w:right w:val="single" w:color="auto" w:sz="4" w:space="0"/>
            </w:tcBorders>
            <w:noWrap w:val="0"/>
            <w:vAlign w:val="center"/>
          </w:tcPr>
          <w:p w14:paraId="6D9F8F44">
            <w:pPr>
              <w:bidi w:val="0"/>
              <w:jc w:val="center"/>
              <w:rPr>
                <w:rFonts w:hint="eastAsia" w:ascii="仿宋" w:hAnsi="仿宋" w:eastAsia="仿宋" w:cs="仿宋"/>
                <w:sz w:val="24"/>
                <w:szCs w:val="24"/>
              </w:rPr>
            </w:pPr>
            <w:r>
              <w:rPr>
                <w:rFonts w:hint="eastAsia" w:ascii="仿宋" w:hAnsi="仿宋" w:eastAsia="仿宋" w:cs="仿宋"/>
                <w:sz w:val="24"/>
                <w:szCs w:val="24"/>
              </w:rPr>
              <w:t>10分</w:t>
            </w:r>
          </w:p>
        </w:tc>
      </w:tr>
      <w:tr w14:paraId="7455E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66" w:type="pct"/>
            <w:tcBorders>
              <w:top w:val="single" w:color="auto" w:sz="4" w:space="0"/>
              <w:left w:val="single" w:color="auto" w:sz="4" w:space="0"/>
              <w:bottom w:val="single" w:color="auto" w:sz="4" w:space="0"/>
              <w:right w:val="single" w:color="auto" w:sz="4" w:space="0"/>
            </w:tcBorders>
            <w:noWrap w:val="0"/>
            <w:vAlign w:val="top"/>
          </w:tcPr>
          <w:p w14:paraId="45FD0AE2">
            <w:pPr>
              <w:bidi w:val="0"/>
              <w:ind w:firstLine="480" w:firstLineChars="200"/>
              <w:rPr>
                <w:rFonts w:hint="eastAsia" w:ascii="仿宋" w:hAnsi="仿宋" w:eastAsia="仿宋" w:cs="仿宋"/>
                <w:sz w:val="24"/>
                <w:szCs w:val="24"/>
              </w:rPr>
            </w:pPr>
            <w:r>
              <w:rPr>
                <w:rFonts w:hint="eastAsia" w:ascii="仿宋" w:hAnsi="仿宋" w:eastAsia="仿宋" w:cs="仿宋"/>
                <w:sz w:val="24"/>
                <w:szCs w:val="24"/>
              </w:rPr>
              <w:t>满足</w:t>
            </w:r>
            <w:r>
              <w:rPr>
                <w:rFonts w:hint="eastAsia" w:ascii="仿宋" w:hAnsi="仿宋" w:eastAsia="仿宋" w:cs="仿宋"/>
                <w:sz w:val="24"/>
                <w:szCs w:val="24"/>
                <w:lang w:val="en-US" w:eastAsia="zh-CN"/>
              </w:rPr>
              <w:t>磋商</w:t>
            </w:r>
            <w:r>
              <w:rPr>
                <w:rFonts w:hint="eastAsia" w:ascii="仿宋" w:hAnsi="仿宋" w:eastAsia="仿宋" w:cs="仿宋"/>
                <w:sz w:val="24"/>
                <w:szCs w:val="24"/>
              </w:rPr>
              <w:t>文件要求且投标报价最低的报价为评标基准价，其价格分满分10分。其他投标人的报价得分依据下列公式计算：</w:t>
            </w:r>
          </w:p>
          <w:p w14:paraId="2D3A6D5F">
            <w:pPr>
              <w:bidi w:val="0"/>
              <w:rPr>
                <w:rFonts w:hint="eastAsia" w:ascii="仿宋" w:hAnsi="仿宋" w:eastAsia="仿宋" w:cs="仿宋"/>
                <w:sz w:val="24"/>
                <w:szCs w:val="24"/>
              </w:rPr>
            </w:pPr>
            <w:r>
              <w:rPr>
                <w:rFonts w:hint="eastAsia" w:ascii="仿宋" w:hAnsi="仿宋" w:eastAsia="仿宋" w:cs="仿宋"/>
                <w:sz w:val="24"/>
                <w:szCs w:val="24"/>
              </w:rPr>
              <w:t>报价得分=（评标基准价/投标报价）×10%×100</w:t>
            </w:r>
          </w:p>
        </w:tc>
        <w:tc>
          <w:tcPr>
            <w:tcW w:w="933" w:type="pct"/>
            <w:tcBorders>
              <w:top w:val="single" w:color="auto" w:sz="4" w:space="0"/>
              <w:left w:val="single" w:color="auto" w:sz="4" w:space="0"/>
              <w:bottom w:val="single" w:color="auto" w:sz="4" w:space="0"/>
              <w:right w:val="single" w:color="auto" w:sz="4" w:space="0"/>
            </w:tcBorders>
            <w:noWrap w:val="0"/>
            <w:vAlign w:val="center"/>
          </w:tcPr>
          <w:p w14:paraId="107661A0">
            <w:pPr>
              <w:bidi w:val="0"/>
              <w:jc w:val="center"/>
              <w:rPr>
                <w:rFonts w:hint="eastAsia" w:ascii="仿宋" w:hAnsi="仿宋" w:eastAsia="仿宋" w:cs="仿宋"/>
                <w:sz w:val="24"/>
                <w:szCs w:val="24"/>
              </w:rPr>
            </w:pPr>
            <w:r>
              <w:rPr>
                <w:rFonts w:hint="eastAsia" w:ascii="仿宋" w:hAnsi="仿宋" w:eastAsia="仿宋" w:cs="仿宋"/>
                <w:sz w:val="24"/>
                <w:szCs w:val="24"/>
              </w:rPr>
              <w:t>0～10分</w:t>
            </w:r>
          </w:p>
        </w:tc>
      </w:tr>
    </w:tbl>
    <w:p w14:paraId="4BB7EA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hint="eastAsia" w:ascii="仿宋" w:hAnsi="仿宋" w:eastAsia="仿宋" w:cs="仿宋"/>
          <w:b/>
          <w:bCs/>
          <w:color w:val="auto"/>
          <w:kern w:val="0"/>
          <w:sz w:val="24"/>
          <w:szCs w:val="24"/>
          <w:highlight w:val="none"/>
        </w:rPr>
      </w:pPr>
      <w:r>
        <w:rPr>
          <w:rFonts w:hint="eastAsia" w:ascii="仿宋" w:hAnsi="仿宋" w:eastAsia="仿宋" w:cs="仿宋"/>
          <w:color w:val="auto"/>
          <w:sz w:val="24"/>
          <w:szCs w:val="24"/>
          <w:highlight w:val="none"/>
        </w:rPr>
        <w:t>注：磋商文件没有规定的评标标准不得作为评审依据。</w:t>
      </w:r>
    </w:p>
    <w:p w14:paraId="3DAD0E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hint="eastAsia" w:ascii="仿宋" w:hAnsi="仿宋" w:eastAsia="仿宋" w:cs="仿宋"/>
          <w:color w:val="auto"/>
          <w:kern w:val="0"/>
          <w:sz w:val="24"/>
          <w:szCs w:val="21"/>
          <w:highlight w:val="none"/>
        </w:rPr>
      </w:pPr>
    </w:p>
    <w:p w14:paraId="652CF5A3">
      <w:pPr>
        <w:overflowPunct w:val="0"/>
        <w:topLinePunct/>
        <w:autoSpaceDN w:val="0"/>
        <w:adjustRightInd w:val="0"/>
        <w:snapToGrid w:val="0"/>
        <w:spacing w:line="360" w:lineRule="auto"/>
        <w:ind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bCs/>
          <w:color w:val="auto"/>
          <w:kern w:val="0"/>
          <w:sz w:val="32"/>
          <w:szCs w:val="32"/>
          <w:highlight w:val="none"/>
        </w:rPr>
        <w:t>第五部分  商务、</w:t>
      </w:r>
      <w:r>
        <w:rPr>
          <w:rFonts w:hint="eastAsia" w:ascii="仿宋" w:hAnsi="仿宋" w:eastAsia="仿宋" w:cs="仿宋"/>
          <w:b/>
          <w:bCs/>
          <w:color w:val="auto"/>
          <w:kern w:val="0"/>
          <w:sz w:val="32"/>
          <w:szCs w:val="32"/>
          <w:highlight w:val="none"/>
          <w:lang w:val="en-US" w:eastAsia="zh-CN"/>
        </w:rPr>
        <w:t>技术</w:t>
      </w:r>
      <w:r>
        <w:rPr>
          <w:rFonts w:hint="eastAsia" w:ascii="仿宋" w:hAnsi="仿宋" w:eastAsia="仿宋" w:cs="仿宋"/>
          <w:b/>
          <w:bCs/>
          <w:color w:val="auto"/>
          <w:kern w:val="0"/>
          <w:sz w:val="32"/>
          <w:szCs w:val="32"/>
          <w:highlight w:val="none"/>
        </w:rPr>
        <w:t>要求</w:t>
      </w:r>
    </w:p>
    <w:p w14:paraId="2FF78574">
      <w:pPr>
        <w:bidi w:val="0"/>
        <w:ind w:firstLine="240" w:firstLineChars="100"/>
        <w:rPr>
          <w:rFonts w:hint="eastAsia" w:ascii="仿宋" w:hAnsi="仿宋" w:eastAsia="仿宋" w:cs="仿宋"/>
          <w:sz w:val="24"/>
          <w:szCs w:val="24"/>
          <w:lang w:val="en-US" w:eastAsia="zh-CN"/>
        </w:rPr>
      </w:pPr>
    </w:p>
    <w:p w14:paraId="068E4FD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1" w:firstLineChars="100"/>
        <w:textAlignment w:val="auto"/>
        <w:rPr>
          <w:rFonts w:hint="eastAsia" w:ascii="仿宋" w:hAnsi="仿宋" w:eastAsia="仿宋" w:cs="仿宋"/>
          <w:b/>
          <w:bCs/>
          <w:sz w:val="24"/>
          <w:szCs w:val="24"/>
          <w:lang w:val="en-US" w:eastAsia="zh-CN"/>
        </w:rPr>
      </w:pPr>
      <w:r>
        <w:rPr>
          <w:rFonts w:hint="eastAsia" w:ascii="仿宋" w:hAnsi="仿宋" w:eastAsia="仿宋" w:cs="仿宋"/>
          <w:b/>
          <w:bCs/>
          <w:kern w:val="2"/>
          <w:sz w:val="24"/>
          <w:szCs w:val="24"/>
          <w:lang w:val="en-US" w:eastAsia="zh-CN" w:bidi="ar-SA"/>
        </w:rPr>
        <w:t>一、</w:t>
      </w:r>
      <w:r>
        <w:rPr>
          <w:rFonts w:hint="eastAsia" w:ascii="仿宋" w:hAnsi="仿宋" w:eastAsia="仿宋" w:cs="仿宋"/>
          <w:b/>
          <w:bCs/>
          <w:sz w:val="24"/>
          <w:szCs w:val="24"/>
          <w:lang w:val="en-US" w:eastAsia="zh-CN"/>
        </w:rPr>
        <w:t>商务要求：</w:t>
      </w:r>
    </w:p>
    <w:p w14:paraId="62672D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1、项目名称：综改大队采购机柜租赁服务项目</w:t>
      </w:r>
    </w:p>
    <w:p w14:paraId="3A86F4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b w:val="0"/>
          <w:bCs w:val="0"/>
          <w:sz w:val="24"/>
          <w:szCs w:val="24"/>
          <w:lang w:val="en-US" w:eastAsia="zh-CN"/>
        </w:rPr>
        <w:t>2、</w:t>
      </w:r>
      <w:r>
        <w:rPr>
          <w:rFonts w:hint="eastAsia" w:ascii="仿宋" w:hAnsi="仿宋" w:eastAsia="仿宋" w:cs="仿宋"/>
          <w:sz w:val="24"/>
          <w:szCs w:val="24"/>
          <w:lang w:val="en-US" w:eastAsia="zh-CN"/>
        </w:rPr>
        <w:t>简要规格描述：鉴于当前视频存储及汇聚系统业务量持续扩容,现有资源已无法满足存储需求。为确保系统性能及数据安全亟须在现有基础上新增IDC机柜4台，共计11台。</w:t>
      </w:r>
    </w:p>
    <w:p w14:paraId="6FB9967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rPr>
        <w:t>合同履约期限：包 1，</w:t>
      </w:r>
      <w:r>
        <w:rPr>
          <w:rFonts w:hint="eastAsia" w:ascii="仿宋" w:hAnsi="仿宋" w:eastAsia="仿宋" w:cs="仿宋"/>
          <w:sz w:val="24"/>
          <w:szCs w:val="24"/>
          <w:lang w:val="en-US" w:eastAsia="zh-CN"/>
        </w:rPr>
        <w:t>合同签订后1</w:t>
      </w:r>
      <w:r>
        <w:rPr>
          <w:rFonts w:hint="eastAsia" w:ascii="仿宋" w:hAnsi="仿宋" w:eastAsia="仿宋" w:cs="仿宋"/>
          <w:sz w:val="24"/>
          <w:szCs w:val="24"/>
        </w:rPr>
        <w:t>年</w:t>
      </w:r>
      <w:r>
        <w:rPr>
          <w:rFonts w:hint="eastAsia" w:ascii="仿宋" w:hAnsi="仿宋" w:eastAsia="仿宋" w:cs="仿宋"/>
          <w:sz w:val="24"/>
          <w:szCs w:val="24"/>
          <w:lang w:val="en-US" w:eastAsia="zh-CN"/>
        </w:rPr>
        <w:t>内。</w:t>
      </w:r>
    </w:p>
    <w:p w14:paraId="3677630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4、服务地点：采购人指定地点。</w:t>
      </w:r>
    </w:p>
    <w:p w14:paraId="3353119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5、培训要求：需对采购人需进入机房技术人员进行不少于4小时的安全、技术培训，培训内容需要涉及机房进出安全规定、进入机房操作规程、机房安全防护规程、机房管理制度等相关要求。</w:t>
      </w:r>
    </w:p>
    <w:p w14:paraId="25B6B27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6、付款方式：签订合同时约定。</w:t>
      </w:r>
    </w:p>
    <w:p w14:paraId="232B3B1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7、服务标准：本项目所租赁的IDC机房须严格符合GB50174-2008《电子信息系统机房设计规范》要求。</w:t>
      </w:r>
    </w:p>
    <w:p w14:paraId="34730E7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1" w:firstLineChars="100"/>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8、</w:t>
      </w:r>
      <w:r>
        <w:rPr>
          <w:rFonts w:hint="eastAsia" w:ascii="仿宋" w:hAnsi="仿宋" w:eastAsia="仿宋" w:cs="仿宋"/>
          <w:b w:val="0"/>
          <w:bCs w:val="0"/>
          <w:sz w:val="24"/>
          <w:szCs w:val="24"/>
          <w:lang w:val="en-US" w:eastAsia="zh-CN"/>
        </w:rPr>
        <w:t>特定资格条件：</w:t>
      </w:r>
      <w:r>
        <w:rPr>
          <w:rFonts w:hint="eastAsia" w:ascii="仿宋" w:hAnsi="仿宋" w:eastAsia="仿宋" w:cs="仿宋"/>
          <w:sz w:val="24"/>
          <w:szCs w:val="24"/>
        </w:rPr>
        <w:t>须具有《增值电信业务经营许可证》，无独立法人资格的分公司或支公司参加投标的，应当在获得具有法人资格的总公司授权后参加政府采购活动，总公司只能授权一家分支机构参与投标，且总公司不能与分支机构同时参与投标。</w:t>
      </w:r>
    </w:p>
    <w:p w14:paraId="3DD4D1C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1" w:firstLineChars="100"/>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二、技术要求：</w:t>
      </w:r>
    </w:p>
    <w:p w14:paraId="768D2E1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所在建筑物、机房环境及管理必须达到以下要求：</w:t>
      </w:r>
    </w:p>
    <w:p w14:paraId="5D96F7F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（一）IDC机房所在建筑物要求</w:t>
      </w:r>
    </w:p>
    <w:p w14:paraId="683D6DC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1、本项目所租用的机房建筑物必须在太原市城区内。</w:t>
      </w:r>
    </w:p>
    <w:p w14:paraId="2485D73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2、建筑防震设防等级为甲级，机房地面承重≥10KN/m²。</w:t>
      </w:r>
    </w:p>
    <w:p w14:paraId="029BC16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3、若所租用机房位于6楼以上，机房设置载客电梯和货运电梯，货运电梯核定载重量≥2.0T。</w:t>
      </w:r>
    </w:p>
    <w:p w14:paraId="52BC08E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4、供应商承诺需建筑结构具有完善的直击雷防范和电磁屏蔽措施。</w:t>
      </w:r>
    </w:p>
    <w:p w14:paraId="6C7183D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5、机房内机柜布局、设备安装及托管主机的排列，必须满足建筑地面的承重指标。</w:t>
      </w:r>
    </w:p>
    <w:p w14:paraId="7F03082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（二）IDC机房环境要求</w:t>
      </w:r>
    </w:p>
    <w:p w14:paraId="0E7B1F7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1、机房内部应为活动架空地板，并具有良好的防静电、防老化、防尘及防龟裂性能；架空地板的均匀荷载≥12500N/㎡。</w:t>
      </w:r>
    </w:p>
    <w:p w14:paraId="2A7B5FA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2、线架须采用上走线方式，光纤尾纤专用线槽，交流电缆、直流电缆、信号电缆分层隔离，各走线架用途应标识清晰。</w:t>
      </w:r>
    </w:p>
    <w:p w14:paraId="000F27C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3、机房井道、线缆孔洞须用防火材料封堵严实，电缆沟内清洁无杂物，采用阻燃材料遮盖。</w:t>
      </w:r>
    </w:p>
    <w:p w14:paraId="326B2C6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（三）IDC机柜系统要求（11个）</w:t>
      </w:r>
    </w:p>
    <w:p w14:paraId="619DDB2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1、每个机柜须配套电源模块和托盘等部件，机柜采用带锁外开门。</w:t>
      </w:r>
    </w:p>
    <w:p w14:paraId="204FE78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2、每个机柜用于安装主设备的净空间不少于42U。</w:t>
      </w:r>
    </w:p>
    <w:p w14:paraId="7AF516A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3、机柜承重≥800kg，托板承重≥80kg，确保正常使用、不变形。</w:t>
      </w:r>
    </w:p>
    <w:p w14:paraId="45C9577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4、机柜顶部进线孔须采用橡胶密封。</w:t>
      </w:r>
    </w:p>
    <w:p w14:paraId="7235058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5、机柜内部结构件须电镀处理，以便柜内设备的接地。</w:t>
      </w:r>
    </w:p>
    <w:p w14:paraId="2A87F30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（四）IDC机房内线缆桥架要求</w:t>
      </w:r>
    </w:p>
    <w:p w14:paraId="7593F8E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机房桥架内须配置四类线缆，分别为：UPS电源线缆、动力电源线缆、综合布线铜缆及综合布线光纤。</w:t>
      </w:r>
    </w:p>
    <w:p w14:paraId="69209BB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1、动力电源线缆桥架及UPS电源线缆须采用铝合金或钢制梯式桥架，承重≥300KG/米。</w:t>
      </w:r>
    </w:p>
    <w:p w14:paraId="0FDE204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2、综合布线铜缆及列头柜至机柜的末端UPS电缆须采用网格式开放桥架，易于捆扎线缆，且便于对桥架内线缆进行增加和调整。光纤线缆须采用半封闭式槽道布放。</w:t>
      </w:r>
    </w:p>
    <w:p w14:paraId="3CB210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(五) IDC机房电力系统要求</w:t>
      </w:r>
    </w:p>
    <w:p w14:paraId="09A38B4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以下条件中涉及设备、系统须在投标人使用机房前准备到位，投标人新建或所在建筑物自带均可。</w:t>
      </w:r>
    </w:p>
    <w:p w14:paraId="54671BA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1、机房所在建筑物必须分别从两个不同电力开闭所专线引入双路市电，并配置足够的大功率柴油发电机为机房供电，机房发电机与照明发电机独立运行。</w:t>
      </w:r>
    </w:p>
    <w:p w14:paraId="2A1FAC2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2、机房的配电系统必须为“双路市电+双路冗余(2+1)UPS电源+柴油发电机组+蓄电池组”的高可靠性的供电方式。</w:t>
      </w:r>
    </w:p>
    <w:p w14:paraId="3E40788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3、每个机柜须配置两个以上PDU及相应的空气开关，后备电池供电≥1小时，持续供电率≥99.99%，插孔数量及输入/输出要与上架设备严格相匹配。</w:t>
      </w:r>
    </w:p>
    <w:p w14:paraId="3BE2C5B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4、机房UPS系统实行统一监控。当市电断电时，UPS可无缝切换转入工作。监控系统须实时显示并保存各UPS各部件的运行参数和状态，包括以下内容：</w:t>
      </w:r>
    </w:p>
    <w:p w14:paraId="641807A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输入/输出相电压、电流，旁路相电压、电流，电池电压、电流，输出频率，系统负载，电池充电程度、后备时间以及输入/输出电压越限，输出频率越限，过载，电池工作模式，旁路工作模式，电池电压高/低，系统、整流器、逆变器报警，系统关机，旁路电压超限等运行参数，须在监控系统显示。当UPS的某部件发生故障或越限时，监控系统须第一时间发出告警。</w:t>
      </w:r>
    </w:p>
    <w:p w14:paraId="7C56B49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（六）IDC机房消防系统要求</w:t>
      </w:r>
    </w:p>
    <w:p w14:paraId="74A7AFA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以下条件中涉及设备、系统须在投标人使用机房前准备到位，投标人新建或所在建筑物自带均可。</w:t>
      </w:r>
    </w:p>
    <w:p w14:paraId="2668711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1、机房必须配备火灾自动报警系统、自动气体灭火系统、消火栓系统、防排烟系统、疏散指示照明系统，并统一配置灭火器及逃生面具。</w:t>
      </w:r>
    </w:p>
    <w:p w14:paraId="711712C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2、精密空调周围及可能发生液体泄漏的位置必须配备实时监测、报警设备，一旦发生漏水，第一时间发出告警，并提示泄露地点。</w:t>
      </w:r>
    </w:p>
    <w:p w14:paraId="627BAB5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（七）IDC机房空调系统要求</w:t>
      </w:r>
    </w:p>
    <w:p w14:paraId="193C485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以下条件中涉及设备、系统须在投标人使用机房前准备到位，投标人新建或所在建筑物自带均可。</w:t>
      </w:r>
    </w:p>
    <w:p w14:paraId="6E92831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机房内部采用冷热通道设计，配置机房专用精密空调系统，精确控制机房通风、恒温。机房温湿度标准如下：</w:t>
      </w:r>
    </w:p>
    <w:p w14:paraId="28C8F0C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1、温度范围：10℃-26℃；湿度范围：40%-70%。</w:t>
      </w:r>
    </w:p>
    <w:p w14:paraId="064BB3C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2、机房精密空调必须保障24×365小时不间断运行，机房内必须保持温度和湿度的均匀，不得存在温湿度控制盲区。机房区域维持恒定正压，以免外部尘埃侵入。</w:t>
      </w:r>
    </w:p>
    <w:p w14:paraId="199B032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3、必须对精密空调系统运行情况实行统一监控，包括以下内容：</w:t>
      </w:r>
    </w:p>
    <w:p w14:paraId="13264FD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回风温/湿度、上/下限、空调运行状态、压缩机运行时间、制冷百分比、制冷器运行状态、加湿/除湿器运行状态、温湿度变化曲线图、压缩机高低压报警、空调漏水报警、温湿度超限报警、加湿器故障报警、主风扇过载报警、加湿器缺水报警、滤网堵塞报警等。</w:t>
      </w:r>
    </w:p>
    <w:p w14:paraId="0B6C3DD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4、机房内各区域须布置温湿度传感器，采集各部位信号，实时显示温、湿度信号。</w:t>
      </w:r>
    </w:p>
    <w:p w14:paraId="082EF4C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（八）IDC机房安保措施要求</w:t>
      </w:r>
    </w:p>
    <w:p w14:paraId="1DB87A1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b w:val="0"/>
          <w:bCs w:val="0"/>
          <w:color w:val="auto"/>
          <w:lang w:val="en-US" w:eastAsia="zh-CN"/>
        </w:rPr>
      </w:pPr>
      <w:r>
        <w:rPr>
          <w:rFonts w:hint="eastAsia" w:ascii="仿宋" w:hAnsi="仿宋" w:eastAsia="仿宋" w:cs="仿宋"/>
          <w:color w:val="auto"/>
          <w:sz w:val="24"/>
          <w:szCs w:val="24"/>
          <w:lang w:val="en-US" w:eastAsia="zh-CN"/>
        </w:rPr>
        <w:t>机房必须保证7×24小时全方位监控和专业保安（投标人自有或所在建筑物业提供安保人员均可）巡视，实行严格的出入登记、审批制度，每个出入口都必须安装门禁系统，用于身份验证。双方工作人员均可进入机房内部，对机房环境进行维护。</w:t>
      </w:r>
    </w:p>
    <w:p w14:paraId="2F3E6611">
      <w:pPr>
        <w:pageBreakBefore/>
        <w:widowControl/>
        <w:wordWrap w:val="0"/>
        <w:snapToGrid w:val="0"/>
        <w:jc w:val="center"/>
        <w:rPr>
          <w:rFonts w:hint="eastAsia" w:ascii="仿宋" w:hAnsi="仿宋" w:eastAsia="仿宋" w:cs="仿宋"/>
          <w:b/>
          <w:bCs/>
          <w:color w:val="auto"/>
          <w:spacing w:val="20"/>
          <w:sz w:val="36"/>
          <w:szCs w:val="36"/>
          <w:highlight w:val="none"/>
        </w:rPr>
      </w:pPr>
      <w:r>
        <w:rPr>
          <w:rFonts w:hint="eastAsia" w:ascii="仿宋" w:hAnsi="仿宋" w:eastAsia="仿宋" w:cs="仿宋"/>
          <w:b/>
          <w:bCs/>
          <w:color w:val="auto"/>
          <w:spacing w:val="20"/>
          <w:sz w:val="36"/>
          <w:szCs w:val="36"/>
          <w:highlight w:val="none"/>
        </w:rPr>
        <w:t>第六部分  采购合同范本</w:t>
      </w:r>
    </w:p>
    <w:p w14:paraId="16A86CA9">
      <w:pPr>
        <w:tabs>
          <w:tab w:val="left" w:pos="0"/>
        </w:tabs>
        <w:snapToGrid w:val="0"/>
        <w:spacing w:line="360" w:lineRule="auto"/>
        <w:jc w:val="left"/>
        <w:rPr>
          <w:rFonts w:hint="eastAsia" w:ascii="仿宋" w:hAnsi="仿宋" w:eastAsia="仿宋" w:cs="仿宋"/>
          <w:b/>
          <w:color w:val="auto"/>
          <w:sz w:val="24"/>
          <w:highlight w:val="none"/>
        </w:rPr>
      </w:pPr>
    </w:p>
    <w:p w14:paraId="56D335C8">
      <w:pPr>
        <w:keepNext w:val="0"/>
        <w:keepLines w:val="0"/>
        <w:pageBreakBefore w:val="0"/>
        <w:widowControl w:val="0"/>
        <w:kinsoku/>
        <w:wordWrap/>
        <w:overflowPunct/>
        <w:topLinePunct w:val="0"/>
        <w:autoSpaceDE/>
        <w:autoSpaceDN/>
        <w:bidi w:val="0"/>
        <w:adjustRightInd/>
        <w:snapToGrid/>
        <w:spacing w:beforeAutospacing="0" w:afterAutospacing="0" w:line="408" w:lineRule="auto"/>
        <w:jc w:val="left"/>
        <w:textAlignment w:val="auto"/>
        <w:rPr>
          <w:rFonts w:hint="eastAsia" w:ascii="仿宋" w:hAnsi="仿宋" w:eastAsia="仿宋" w:cs="仿宋"/>
          <w:b/>
          <w:color w:val="auto"/>
          <w:sz w:val="24"/>
          <w:szCs w:val="24"/>
          <w:highlight w:val="none"/>
          <w:u w:val="single"/>
          <w:lang w:val="en-US" w:eastAsia="zh-CN"/>
        </w:rPr>
      </w:pPr>
      <w:r>
        <w:rPr>
          <w:rFonts w:hint="eastAsia" w:ascii="仿宋" w:hAnsi="仿宋" w:eastAsia="仿宋" w:cs="仿宋"/>
          <w:b/>
          <w:color w:val="auto"/>
          <w:sz w:val="24"/>
          <w:szCs w:val="24"/>
          <w:highlight w:val="none"/>
          <w:lang w:val="en-US" w:eastAsia="zh-CN"/>
        </w:rPr>
        <w:t>甲方</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u w:val="single"/>
          <w:lang w:val="en-US" w:eastAsia="zh-CN"/>
        </w:rPr>
        <w:t xml:space="preserve">                                </w:t>
      </w:r>
    </w:p>
    <w:p w14:paraId="6A7870EF">
      <w:pPr>
        <w:keepNext w:val="0"/>
        <w:keepLines w:val="0"/>
        <w:pageBreakBefore w:val="0"/>
        <w:widowControl w:val="0"/>
        <w:kinsoku/>
        <w:wordWrap/>
        <w:overflowPunct/>
        <w:topLinePunct w:val="0"/>
        <w:autoSpaceDE/>
        <w:autoSpaceDN/>
        <w:bidi w:val="0"/>
        <w:adjustRightInd/>
        <w:snapToGrid/>
        <w:spacing w:beforeAutospacing="0" w:afterAutospacing="0" w:line="408" w:lineRule="auto"/>
        <w:jc w:val="left"/>
        <w:textAlignment w:val="auto"/>
        <w:rPr>
          <w:rFonts w:hint="eastAsia" w:ascii="仿宋" w:hAnsi="仿宋" w:eastAsia="仿宋" w:cs="仿宋"/>
          <w:b/>
          <w:color w:val="auto"/>
          <w:sz w:val="24"/>
          <w:szCs w:val="24"/>
          <w:highlight w:val="none"/>
          <w:u w:val="single"/>
          <w:lang w:val="en-US" w:eastAsia="zh-CN"/>
        </w:rPr>
      </w:pPr>
      <w:r>
        <w:rPr>
          <w:rFonts w:hint="eastAsia" w:ascii="仿宋" w:hAnsi="仿宋" w:eastAsia="仿宋" w:cs="仿宋"/>
          <w:b/>
          <w:color w:val="auto"/>
          <w:sz w:val="24"/>
          <w:szCs w:val="24"/>
          <w:highlight w:val="none"/>
          <w:lang w:val="en-US" w:eastAsia="zh-CN"/>
        </w:rPr>
        <w:t>乙方</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u w:val="single"/>
          <w:lang w:val="en-US" w:eastAsia="zh-CN"/>
        </w:rPr>
        <w:t xml:space="preserve">                                </w:t>
      </w:r>
    </w:p>
    <w:p w14:paraId="6CB0E398">
      <w:pPr>
        <w:keepNext w:val="0"/>
        <w:keepLines w:val="0"/>
        <w:pageBreakBefore w:val="0"/>
        <w:widowControl w:val="0"/>
        <w:kinsoku/>
        <w:wordWrap/>
        <w:overflowPunct/>
        <w:topLinePunct w:val="0"/>
        <w:autoSpaceDE/>
        <w:autoSpaceDN/>
        <w:bidi w:val="0"/>
        <w:adjustRightInd/>
        <w:snapToGrid/>
        <w:spacing w:beforeAutospacing="0" w:afterAutospacing="0" w:line="408"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根据《中华人民共和国政府采购法》及《中华人民共和国民法典》等相关法律、法规的规定，经双方协商一致，签订本合同。</w:t>
      </w:r>
    </w:p>
    <w:p w14:paraId="514EFE21">
      <w:pPr>
        <w:keepNext w:val="0"/>
        <w:keepLines w:val="0"/>
        <w:pageBreakBefore w:val="0"/>
        <w:widowControl w:val="0"/>
        <w:kinsoku/>
        <w:wordWrap/>
        <w:overflowPunct/>
        <w:topLinePunct w:val="0"/>
        <w:autoSpaceDE/>
        <w:autoSpaceDN/>
        <w:bidi w:val="0"/>
        <w:adjustRightInd/>
        <w:snapToGrid/>
        <w:spacing w:beforeAutospacing="0" w:afterAutospacing="0" w:line="408" w:lineRule="auto"/>
        <w:ind w:firstLine="482"/>
        <w:textAlignment w:val="auto"/>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一、合同标的</w:t>
      </w:r>
    </w:p>
    <w:p w14:paraId="52B63D19">
      <w:pPr>
        <w:keepNext w:val="0"/>
        <w:keepLines w:val="0"/>
        <w:pageBreakBefore w:val="0"/>
        <w:widowControl w:val="0"/>
        <w:kinsoku/>
        <w:wordWrap/>
        <w:overflowPunct/>
        <w:topLinePunct w:val="0"/>
        <w:autoSpaceDE/>
        <w:autoSpaceDN/>
        <w:bidi w:val="0"/>
        <w:adjustRightInd/>
        <w:snapToGrid/>
        <w:spacing w:beforeAutospacing="0" w:afterAutospacing="0" w:line="408"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向</w:t>
      </w:r>
      <w:r>
        <w:rPr>
          <w:rFonts w:hint="eastAsia" w:ascii="仿宋" w:hAnsi="仿宋" w:eastAsia="仿宋" w:cs="仿宋"/>
          <w:color w:val="auto"/>
          <w:sz w:val="24"/>
          <w:szCs w:val="24"/>
          <w:highlight w:val="none"/>
          <w:lang w:val="en-US" w:eastAsia="zh-CN"/>
        </w:rPr>
        <w:t>甲</w:t>
      </w:r>
      <w:r>
        <w:rPr>
          <w:rFonts w:hint="eastAsia" w:ascii="仿宋" w:hAnsi="仿宋" w:eastAsia="仿宋" w:cs="仿宋"/>
          <w:color w:val="auto"/>
          <w:sz w:val="24"/>
          <w:szCs w:val="24"/>
          <w:highlight w:val="none"/>
        </w:rPr>
        <w:t>方提供如下服务内容：(说明：服务范围、内容、质量标准必须与响应文件中完全一致)。</w:t>
      </w:r>
    </w:p>
    <w:p w14:paraId="22A9AB67">
      <w:pPr>
        <w:keepNext w:val="0"/>
        <w:keepLines w:val="0"/>
        <w:pageBreakBefore w:val="0"/>
        <w:widowControl w:val="0"/>
        <w:kinsoku/>
        <w:wordWrap/>
        <w:overflowPunct/>
        <w:topLinePunct w:val="0"/>
        <w:autoSpaceDE/>
        <w:autoSpaceDN/>
        <w:bidi w:val="0"/>
        <w:adjustRightInd/>
        <w:snapToGrid/>
        <w:spacing w:beforeAutospacing="0" w:afterAutospacing="0" w:line="408"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1.服务地点和服务范围</w:t>
      </w:r>
    </w:p>
    <w:p w14:paraId="310BF2A6">
      <w:pPr>
        <w:keepNext w:val="0"/>
        <w:keepLines w:val="0"/>
        <w:pageBreakBefore w:val="0"/>
        <w:widowControl w:val="0"/>
        <w:kinsoku/>
        <w:wordWrap/>
        <w:overflowPunct/>
        <w:topLinePunct w:val="0"/>
        <w:autoSpaceDE/>
        <w:autoSpaceDN/>
        <w:bidi w:val="0"/>
        <w:adjustRightInd/>
        <w:snapToGrid/>
        <w:spacing w:beforeAutospacing="0" w:afterAutospacing="0" w:line="408" w:lineRule="auto"/>
        <w:ind w:firstLine="480"/>
        <w:textAlignment w:val="auto"/>
        <w:rPr>
          <w:rFonts w:hint="eastAsia" w:ascii="仿宋" w:hAnsi="仿宋" w:eastAsia="仿宋" w:cs="仿宋"/>
          <w:color w:val="auto"/>
          <w:sz w:val="24"/>
          <w:szCs w:val="24"/>
          <w:highlight w:val="none"/>
        </w:rPr>
      </w:pPr>
    </w:p>
    <w:p w14:paraId="7F47D836">
      <w:pPr>
        <w:keepNext w:val="0"/>
        <w:keepLines w:val="0"/>
        <w:pageBreakBefore w:val="0"/>
        <w:widowControl w:val="0"/>
        <w:kinsoku/>
        <w:wordWrap/>
        <w:overflowPunct/>
        <w:topLinePunct w:val="0"/>
        <w:autoSpaceDE/>
        <w:autoSpaceDN/>
        <w:bidi w:val="0"/>
        <w:adjustRightInd/>
        <w:snapToGrid/>
        <w:spacing w:beforeAutospacing="0" w:afterAutospacing="0" w:line="408"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2.服务具体内容和标准</w:t>
      </w:r>
    </w:p>
    <w:p w14:paraId="77F32931">
      <w:pPr>
        <w:keepNext w:val="0"/>
        <w:keepLines w:val="0"/>
        <w:pageBreakBefore w:val="0"/>
        <w:widowControl w:val="0"/>
        <w:kinsoku/>
        <w:wordWrap/>
        <w:overflowPunct/>
        <w:topLinePunct w:val="0"/>
        <w:autoSpaceDE/>
        <w:autoSpaceDN/>
        <w:bidi w:val="0"/>
        <w:adjustRightInd/>
        <w:snapToGrid/>
        <w:spacing w:beforeAutospacing="0" w:afterAutospacing="0" w:line="408" w:lineRule="auto"/>
        <w:ind w:firstLine="480"/>
        <w:textAlignment w:val="auto"/>
        <w:rPr>
          <w:rFonts w:hint="eastAsia" w:ascii="仿宋" w:hAnsi="仿宋" w:eastAsia="仿宋" w:cs="仿宋"/>
          <w:color w:val="auto"/>
          <w:sz w:val="24"/>
          <w:szCs w:val="24"/>
          <w:highlight w:val="none"/>
        </w:rPr>
      </w:pPr>
    </w:p>
    <w:p w14:paraId="34842C1E">
      <w:pPr>
        <w:keepNext w:val="0"/>
        <w:keepLines w:val="0"/>
        <w:pageBreakBefore w:val="0"/>
        <w:widowControl w:val="0"/>
        <w:kinsoku/>
        <w:wordWrap/>
        <w:overflowPunct/>
        <w:topLinePunct w:val="0"/>
        <w:autoSpaceDE/>
        <w:autoSpaceDN/>
        <w:bidi w:val="0"/>
        <w:adjustRightInd/>
        <w:snapToGrid/>
        <w:spacing w:beforeAutospacing="0" w:afterAutospacing="0" w:line="408" w:lineRule="auto"/>
        <w:ind w:firstLine="472" w:firstLineChars="196"/>
        <w:jc w:val="left"/>
        <w:textAlignment w:val="auto"/>
        <w:outlineLvl w:val="1"/>
        <w:rPr>
          <w:rFonts w:hint="eastAsia" w:ascii="仿宋" w:hAnsi="仿宋" w:eastAsia="仿宋" w:cs="仿宋"/>
          <w:b/>
          <w:color w:val="auto"/>
          <w:sz w:val="24"/>
          <w:szCs w:val="24"/>
          <w:highlight w:val="none"/>
        </w:rPr>
      </w:pPr>
      <w:bookmarkStart w:id="7" w:name="_Toc326248001"/>
      <w:r>
        <w:rPr>
          <w:rFonts w:hint="eastAsia" w:ascii="仿宋" w:hAnsi="仿宋" w:eastAsia="仿宋" w:cs="仿宋"/>
          <w:b/>
          <w:color w:val="auto"/>
          <w:sz w:val="24"/>
          <w:szCs w:val="24"/>
          <w:highlight w:val="none"/>
        </w:rPr>
        <w:t>二、合同总金额:</w:t>
      </w:r>
      <w:bookmarkEnd w:id="7"/>
    </w:p>
    <w:p w14:paraId="24745B22">
      <w:pPr>
        <w:keepNext w:val="0"/>
        <w:keepLines w:val="0"/>
        <w:pageBreakBefore w:val="0"/>
        <w:widowControl w:val="0"/>
        <w:kinsoku/>
        <w:wordWrap/>
        <w:overflowPunct/>
        <w:topLinePunct w:val="0"/>
        <w:autoSpaceDE/>
        <w:autoSpaceDN/>
        <w:bidi w:val="0"/>
        <w:adjustRightInd/>
        <w:snapToGrid/>
        <w:spacing w:beforeAutospacing="0" w:afterAutospacing="0" w:line="408" w:lineRule="auto"/>
        <w:ind w:firstLine="480"/>
        <w:jc w:val="left"/>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人民币</w:t>
      </w:r>
      <w:r>
        <w:rPr>
          <w:rFonts w:hint="eastAsia" w:ascii="仿宋" w:hAnsi="仿宋" w:eastAsia="仿宋" w:cs="仿宋"/>
          <w:color w:val="auto"/>
          <w:sz w:val="24"/>
          <w:szCs w:val="24"/>
          <w:highlight w:val="none"/>
        </w:rPr>
        <w:t>（大写）：</w:t>
      </w:r>
    </w:p>
    <w:p w14:paraId="0C75F999">
      <w:pPr>
        <w:keepNext w:val="0"/>
        <w:keepLines w:val="0"/>
        <w:pageBreakBefore w:val="0"/>
        <w:widowControl w:val="0"/>
        <w:kinsoku/>
        <w:wordWrap/>
        <w:overflowPunct/>
        <w:topLinePunct w:val="0"/>
        <w:autoSpaceDE/>
        <w:autoSpaceDN/>
        <w:bidi w:val="0"/>
        <w:adjustRightInd/>
        <w:snapToGrid/>
        <w:spacing w:beforeAutospacing="0" w:afterAutospacing="0" w:line="408" w:lineRule="auto"/>
        <w:ind w:firstLine="1200" w:firstLineChars="500"/>
        <w:jc w:val="lef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（小写）： 元</w:t>
      </w:r>
    </w:p>
    <w:p w14:paraId="62D2BD96">
      <w:pPr>
        <w:keepNext w:val="0"/>
        <w:keepLines w:val="0"/>
        <w:pageBreakBefore w:val="0"/>
        <w:widowControl w:val="0"/>
        <w:kinsoku/>
        <w:wordWrap/>
        <w:overflowPunct/>
        <w:topLinePunct w:val="0"/>
        <w:autoSpaceDE/>
        <w:autoSpaceDN/>
        <w:bidi w:val="0"/>
        <w:adjustRightInd/>
        <w:snapToGrid/>
        <w:spacing w:beforeAutospacing="0" w:afterAutospacing="0" w:line="408"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此价格为合同执行不变价，不因国家政策变化而变化。</w:t>
      </w:r>
    </w:p>
    <w:p w14:paraId="36AB495C">
      <w:pPr>
        <w:keepNext w:val="0"/>
        <w:keepLines w:val="0"/>
        <w:pageBreakBefore w:val="0"/>
        <w:widowControl w:val="0"/>
        <w:kinsoku/>
        <w:wordWrap/>
        <w:overflowPunct/>
        <w:topLinePunct w:val="0"/>
        <w:autoSpaceDE/>
        <w:autoSpaceDN/>
        <w:bidi w:val="0"/>
        <w:adjustRightInd/>
        <w:snapToGrid/>
        <w:spacing w:beforeAutospacing="0" w:afterAutospacing="0" w:line="408" w:lineRule="auto"/>
        <w:ind w:firstLine="482"/>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三、款项支付</w:t>
      </w:r>
    </w:p>
    <w:p w14:paraId="00BF0E72">
      <w:pPr>
        <w:keepNext w:val="0"/>
        <w:keepLines w:val="0"/>
        <w:pageBreakBefore w:val="0"/>
        <w:widowControl w:val="0"/>
        <w:kinsoku/>
        <w:wordWrap/>
        <w:overflowPunct/>
        <w:topLinePunct w:val="0"/>
        <w:autoSpaceDE/>
        <w:autoSpaceDN/>
        <w:bidi w:val="0"/>
        <w:adjustRightInd/>
        <w:snapToGrid/>
        <w:spacing w:beforeAutospacing="0" w:afterAutospacing="0" w:line="408" w:lineRule="auto"/>
        <w:ind w:firstLine="482"/>
        <w:textAlignment w:val="auto"/>
        <w:rPr>
          <w:rFonts w:hint="eastAsia" w:ascii="仿宋" w:hAnsi="仿宋" w:eastAsia="仿宋" w:cs="仿宋"/>
          <w:b/>
          <w:bCs/>
          <w:color w:val="auto"/>
          <w:sz w:val="24"/>
          <w:szCs w:val="24"/>
          <w:highlight w:val="none"/>
        </w:rPr>
      </w:pPr>
    </w:p>
    <w:p w14:paraId="7D94F067">
      <w:pPr>
        <w:keepNext w:val="0"/>
        <w:keepLines w:val="0"/>
        <w:pageBreakBefore w:val="0"/>
        <w:widowControl w:val="0"/>
        <w:kinsoku/>
        <w:wordWrap/>
        <w:overflowPunct/>
        <w:topLinePunct w:val="0"/>
        <w:autoSpaceDE/>
        <w:autoSpaceDN/>
        <w:bidi w:val="0"/>
        <w:adjustRightInd/>
        <w:snapToGrid/>
        <w:spacing w:beforeAutospacing="0" w:afterAutospacing="0" w:line="408" w:lineRule="auto"/>
        <w:ind w:firstLine="482"/>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四、服务及承诺</w:t>
      </w:r>
    </w:p>
    <w:p w14:paraId="2158EC4C">
      <w:pPr>
        <w:keepNext w:val="0"/>
        <w:keepLines w:val="0"/>
        <w:pageBreakBefore w:val="0"/>
        <w:widowControl w:val="0"/>
        <w:kinsoku/>
        <w:wordWrap/>
        <w:overflowPunct/>
        <w:topLinePunct w:val="0"/>
        <w:autoSpaceDE/>
        <w:autoSpaceDN/>
        <w:bidi w:val="0"/>
        <w:adjustRightInd/>
        <w:snapToGrid/>
        <w:spacing w:beforeAutospacing="0" w:afterAutospacing="0" w:line="408"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就本次交付的服务向</w:t>
      </w:r>
      <w:r>
        <w:rPr>
          <w:rFonts w:hint="eastAsia" w:ascii="仿宋" w:hAnsi="仿宋" w:eastAsia="仿宋" w:cs="仿宋"/>
          <w:color w:val="auto"/>
          <w:sz w:val="24"/>
          <w:szCs w:val="24"/>
          <w:highlight w:val="none"/>
          <w:lang w:val="en-US" w:eastAsia="zh-CN"/>
        </w:rPr>
        <w:t>甲</w:t>
      </w:r>
      <w:r>
        <w:rPr>
          <w:rFonts w:hint="eastAsia" w:ascii="仿宋" w:hAnsi="仿宋" w:eastAsia="仿宋" w:cs="仿宋"/>
          <w:color w:val="auto"/>
          <w:sz w:val="24"/>
          <w:szCs w:val="24"/>
          <w:highlight w:val="none"/>
        </w:rPr>
        <w:t>方做出如下承诺：</w:t>
      </w:r>
    </w:p>
    <w:p w14:paraId="306D3733">
      <w:pPr>
        <w:keepNext w:val="0"/>
        <w:keepLines w:val="0"/>
        <w:pageBreakBefore w:val="0"/>
        <w:widowControl w:val="0"/>
        <w:kinsoku/>
        <w:wordWrap/>
        <w:overflowPunct/>
        <w:topLinePunct w:val="0"/>
        <w:autoSpaceDE/>
        <w:autoSpaceDN/>
        <w:bidi w:val="0"/>
        <w:adjustRightInd/>
        <w:snapToGrid/>
        <w:spacing w:beforeAutospacing="0" w:afterAutospacing="0" w:line="408"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（请</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严格按照响应文件所做售后服务承诺填写）</w:t>
      </w:r>
    </w:p>
    <w:p w14:paraId="3A0132DB">
      <w:pPr>
        <w:keepNext w:val="0"/>
        <w:keepLines w:val="0"/>
        <w:pageBreakBefore w:val="0"/>
        <w:widowControl w:val="0"/>
        <w:kinsoku/>
        <w:wordWrap/>
        <w:overflowPunct/>
        <w:topLinePunct w:val="0"/>
        <w:autoSpaceDE/>
        <w:autoSpaceDN/>
        <w:bidi w:val="0"/>
        <w:adjustRightInd/>
        <w:snapToGrid/>
        <w:spacing w:beforeAutospacing="0" w:afterAutospacing="0" w:line="408" w:lineRule="auto"/>
        <w:ind w:firstLine="482"/>
        <w:textAlignment w:val="auto"/>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五、服务时限和地点</w:t>
      </w:r>
    </w:p>
    <w:p w14:paraId="433ECCAA">
      <w:pPr>
        <w:keepNext w:val="0"/>
        <w:keepLines w:val="0"/>
        <w:pageBreakBefore w:val="0"/>
        <w:widowControl w:val="0"/>
        <w:kinsoku/>
        <w:wordWrap/>
        <w:overflowPunct/>
        <w:topLinePunct w:val="0"/>
        <w:autoSpaceDE/>
        <w:autoSpaceDN/>
        <w:bidi w:val="0"/>
        <w:adjustRightInd/>
        <w:snapToGrid/>
        <w:spacing w:beforeAutospacing="0" w:afterAutospacing="0" w:line="408"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1.合同履行期限：                         </w:t>
      </w:r>
    </w:p>
    <w:p w14:paraId="0366619B">
      <w:pPr>
        <w:keepNext w:val="0"/>
        <w:keepLines w:val="0"/>
        <w:pageBreakBefore w:val="0"/>
        <w:widowControl w:val="0"/>
        <w:kinsoku/>
        <w:wordWrap/>
        <w:overflowPunct/>
        <w:topLinePunct w:val="0"/>
        <w:autoSpaceDE/>
        <w:autoSpaceDN/>
        <w:bidi w:val="0"/>
        <w:adjustRightInd/>
        <w:snapToGrid/>
        <w:spacing w:beforeAutospacing="0" w:afterAutospacing="0" w:line="408"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2.服务地点：                          </w:t>
      </w:r>
    </w:p>
    <w:p w14:paraId="616CB9D0">
      <w:pPr>
        <w:keepNext w:val="0"/>
        <w:keepLines w:val="0"/>
        <w:pageBreakBefore w:val="0"/>
        <w:widowControl w:val="0"/>
        <w:kinsoku/>
        <w:wordWrap/>
        <w:overflowPunct/>
        <w:topLinePunct w:val="0"/>
        <w:autoSpaceDE/>
        <w:autoSpaceDN/>
        <w:bidi w:val="0"/>
        <w:adjustRightInd/>
        <w:snapToGrid/>
        <w:spacing w:beforeAutospacing="0" w:afterAutospacing="0" w:line="408"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3.服务联络人：                       </w:t>
      </w:r>
    </w:p>
    <w:p w14:paraId="12C6F4E5">
      <w:pPr>
        <w:keepNext w:val="0"/>
        <w:keepLines w:val="0"/>
        <w:pageBreakBefore w:val="0"/>
        <w:widowControl w:val="0"/>
        <w:kinsoku/>
        <w:wordWrap/>
        <w:overflowPunct/>
        <w:topLinePunct w:val="0"/>
        <w:autoSpaceDE/>
        <w:autoSpaceDN/>
        <w:bidi w:val="0"/>
        <w:adjustRightInd/>
        <w:snapToGrid/>
        <w:spacing w:beforeAutospacing="0" w:afterAutospacing="0" w:line="408"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4.联系方式：                          </w:t>
      </w:r>
    </w:p>
    <w:p w14:paraId="66DE18C8">
      <w:pPr>
        <w:keepNext w:val="0"/>
        <w:keepLines w:val="0"/>
        <w:pageBreakBefore w:val="0"/>
        <w:widowControl w:val="0"/>
        <w:kinsoku/>
        <w:wordWrap/>
        <w:overflowPunct/>
        <w:topLinePunct w:val="0"/>
        <w:autoSpaceDE/>
        <w:autoSpaceDN/>
        <w:bidi w:val="0"/>
        <w:adjustRightInd/>
        <w:snapToGrid/>
        <w:spacing w:beforeAutospacing="0" w:afterAutospacing="0" w:line="408" w:lineRule="auto"/>
        <w:ind w:firstLine="482"/>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六、验收约定</w:t>
      </w:r>
      <w:r>
        <w:rPr>
          <w:rFonts w:hint="eastAsia" w:ascii="仿宋" w:hAnsi="仿宋" w:eastAsia="仿宋" w:cs="仿宋"/>
          <w:color w:val="auto"/>
          <w:sz w:val="24"/>
          <w:szCs w:val="24"/>
          <w:highlight w:val="none"/>
        </w:rPr>
        <w:t xml:space="preserve">                               </w:t>
      </w:r>
    </w:p>
    <w:p w14:paraId="6D1B3677">
      <w:pPr>
        <w:keepNext w:val="0"/>
        <w:keepLines w:val="0"/>
        <w:pageBreakBefore w:val="0"/>
        <w:widowControl w:val="0"/>
        <w:kinsoku/>
        <w:wordWrap/>
        <w:overflowPunct/>
        <w:topLinePunct w:val="0"/>
        <w:autoSpaceDE/>
        <w:autoSpaceDN/>
        <w:bidi w:val="0"/>
        <w:adjustRightInd/>
        <w:snapToGrid/>
        <w:spacing w:beforeAutospacing="0" w:afterAutospacing="0" w:line="408"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（严格按照响应文件的要求填写）</w:t>
      </w:r>
    </w:p>
    <w:p w14:paraId="548E723C">
      <w:pPr>
        <w:keepNext w:val="0"/>
        <w:keepLines w:val="0"/>
        <w:pageBreakBefore w:val="0"/>
        <w:widowControl w:val="0"/>
        <w:kinsoku/>
        <w:wordWrap/>
        <w:overflowPunct/>
        <w:topLinePunct w:val="0"/>
        <w:autoSpaceDE/>
        <w:autoSpaceDN/>
        <w:bidi w:val="0"/>
        <w:adjustRightInd/>
        <w:snapToGrid/>
        <w:spacing w:beforeAutospacing="0" w:afterAutospacing="0" w:line="408" w:lineRule="auto"/>
        <w:ind w:firstLine="482"/>
        <w:textAlignment w:val="auto"/>
        <w:outlineLvl w:val="1"/>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七、</w:t>
      </w:r>
      <w:r>
        <w:rPr>
          <w:rFonts w:hint="eastAsia" w:ascii="仿宋" w:hAnsi="仿宋" w:eastAsia="仿宋" w:cs="仿宋"/>
          <w:b/>
          <w:bCs/>
          <w:color w:val="auto"/>
          <w:sz w:val="24"/>
          <w:szCs w:val="24"/>
          <w:highlight w:val="none"/>
          <w:lang w:val="en-US" w:eastAsia="zh-CN"/>
        </w:rPr>
        <w:t>甲方</w:t>
      </w:r>
      <w:r>
        <w:rPr>
          <w:rFonts w:hint="eastAsia" w:ascii="仿宋" w:hAnsi="仿宋" w:eastAsia="仿宋" w:cs="仿宋"/>
          <w:b/>
          <w:bCs/>
          <w:color w:val="auto"/>
          <w:sz w:val="24"/>
          <w:szCs w:val="24"/>
          <w:highlight w:val="none"/>
        </w:rPr>
        <w:t>的权利和义务</w:t>
      </w:r>
    </w:p>
    <w:p w14:paraId="3B66803E">
      <w:pPr>
        <w:keepNext w:val="0"/>
        <w:keepLines w:val="0"/>
        <w:pageBreakBefore w:val="0"/>
        <w:widowControl w:val="0"/>
        <w:kinsoku/>
        <w:wordWrap/>
        <w:overflowPunct/>
        <w:topLinePunct w:val="0"/>
        <w:autoSpaceDE/>
        <w:autoSpaceDN/>
        <w:bidi w:val="0"/>
        <w:adjustRightInd/>
        <w:snapToGrid/>
        <w:spacing w:beforeAutospacing="0" w:afterAutospacing="0" w:line="408"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1.负责提供工作场地以及其他必要的便利条件，协助</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完成服务内容；</w:t>
      </w:r>
    </w:p>
    <w:p w14:paraId="1CA05692">
      <w:pPr>
        <w:keepNext w:val="0"/>
        <w:keepLines w:val="0"/>
        <w:pageBreakBefore w:val="0"/>
        <w:widowControl w:val="0"/>
        <w:kinsoku/>
        <w:wordWrap/>
        <w:overflowPunct/>
        <w:topLinePunct w:val="0"/>
        <w:autoSpaceDE/>
        <w:autoSpaceDN/>
        <w:bidi w:val="0"/>
        <w:adjustRightInd/>
        <w:snapToGrid/>
        <w:spacing w:beforeAutospacing="0" w:afterAutospacing="0" w:line="408"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2.服务后及时进行验收工作；</w:t>
      </w:r>
    </w:p>
    <w:p w14:paraId="18C8EB87">
      <w:pPr>
        <w:keepNext w:val="0"/>
        <w:keepLines w:val="0"/>
        <w:pageBreakBefore w:val="0"/>
        <w:widowControl w:val="0"/>
        <w:kinsoku/>
        <w:wordWrap/>
        <w:overflowPunct/>
        <w:topLinePunct w:val="0"/>
        <w:autoSpaceDE/>
        <w:autoSpaceDN/>
        <w:bidi w:val="0"/>
        <w:adjustRightInd/>
        <w:snapToGrid/>
        <w:spacing w:beforeAutospacing="0" w:afterAutospacing="0" w:line="408"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3.验收通过后及时按合同约定办理付款手续；</w:t>
      </w:r>
    </w:p>
    <w:p w14:paraId="664BADB8">
      <w:pPr>
        <w:keepNext w:val="0"/>
        <w:keepLines w:val="0"/>
        <w:pageBreakBefore w:val="0"/>
        <w:widowControl w:val="0"/>
        <w:kinsoku/>
        <w:wordWrap/>
        <w:overflowPunct/>
        <w:topLinePunct w:val="0"/>
        <w:autoSpaceDE/>
        <w:autoSpaceDN/>
        <w:bidi w:val="0"/>
        <w:adjustRightInd/>
        <w:snapToGrid/>
        <w:spacing w:beforeAutospacing="0" w:afterAutospacing="0" w:line="408"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4.对合同条款及价格负有保密义务。</w:t>
      </w:r>
    </w:p>
    <w:p w14:paraId="287585BB">
      <w:pPr>
        <w:keepNext w:val="0"/>
        <w:keepLines w:val="0"/>
        <w:pageBreakBefore w:val="0"/>
        <w:widowControl w:val="0"/>
        <w:kinsoku/>
        <w:wordWrap/>
        <w:overflowPunct/>
        <w:topLinePunct w:val="0"/>
        <w:autoSpaceDE/>
        <w:autoSpaceDN/>
        <w:bidi w:val="0"/>
        <w:adjustRightInd/>
        <w:snapToGrid/>
        <w:spacing w:beforeAutospacing="0" w:afterAutospacing="0" w:line="408" w:lineRule="auto"/>
        <w:ind w:firstLine="482"/>
        <w:textAlignment w:val="auto"/>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八、</w:t>
      </w:r>
      <w:r>
        <w:rPr>
          <w:rFonts w:hint="eastAsia" w:ascii="仿宋" w:hAnsi="仿宋" w:eastAsia="仿宋" w:cs="仿宋"/>
          <w:b/>
          <w:bCs/>
          <w:color w:val="auto"/>
          <w:sz w:val="24"/>
          <w:szCs w:val="24"/>
          <w:highlight w:val="none"/>
          <w:lang w:eastAsia="zh-CN"/>
        </w:rPr>
        <w:t>乙方</w:t>
      </w:r>
      <w:r>
        <w:rPr>
          <w:rFonts w:hint="eastAsia" w:ascii="仿宋" w:hAnsi="仿宋" w:eastAsia="仿宋" w:cs="仿宋"/>
          <w:b/>
          <w:bCs/>
          <w:color w:val="auto"/>
          <w:sz w:val="24"/>
          <w:szCs w:val="24"/>
          <w:highlight w:val="none"/>
        </w:rPr>
        <w:t>的权利和义务</w:t>
      </w:r>
    </w:p>
    <w:p w14:paraId="702539BE">
      <w:pPr>
        <w:keepNext w:val="0"/>
        <w:keepLines w:val="0"/>
        <w:pageBreakBefore w:val="0"/>
        <w:widowControl w:val="0"/>
        <w:kinsoku/>
        <w:wordWrap/>
        <w:overflowPunct/>
        <w:topLinePunct w:val="0"/>
        <w:autoSpaceDE/>
        <w:autoSpaceDN/>
        <w:bidi w:val="0"/>
        <w:adjustRightInd/>
        <w:snapToGrid/>
        <w:spacing w:beforeAutospacing="0" w:afterAutospacing="0" w:line="408"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1.按照本合同的相关要求按时完成全部的服务内容；</w:t>
      </w:r>
    </w:p>
    <w:p w14:paraId="46A5B8A6">
      <w:pPr>
        <w:keepNext w:val="0"/>
        <w:keepLines w:val="0"/>
        <w:pageBreakBefore w:val="0"/>
        <w:widowControl w:val="0"/>
        <w:kinsoku/>
        <w:wordWrap/>
        <w:overflowPunct/>
        <w:topLinePunct w:val="0"/>
        <w:autoSpaceDE/>
        <w:autoSpaceDN/>
        <w:bidi w:val="0"/>
        <w:adjustRightInd/>
        <w:snapToGrid/>
        <w:spacing w:beforeAutospacing="0" w:afterAutospacing="0" w:line="408"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2.保证服务质量符合国家规范和标准，满足需方的实际需求；</w:t>
      </w:r>
    </w:p>
    <w:p w14:paraId="3CB22DFF">
      <w:pPr>
        <w:keepNext w:val="0"/>
        <w:keepLines w:val="0"/>
        <w:pageBreakBefore w:val="0"/>
        <w:widowControl w:val="0"/>
        <w:kinsoku/>
        <w:wordWrap/>
        <w:overflowPunct/>
        <w:topLinePunct w:val="0"/>
        <w:autoSpaceDE/>
        <w:autoSpaceDN/>
        <w:bidi w:val="0"/>
        <w:adjustRightInd/>
        <w:snapToGrid/>
        <w:spacing w:beforeAutospacing="0" w:afterAutospacing="0" w:line="408"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3.严格依据响应文件及相关承诺，保证合同承诺的售后服务；</w:t>
      </w:r>
    </w:p>
    <w:p w14:paraId="7DFE36C4">
      <w:pPr>
        <w:keepNext w:val="0"/>
        <w:keepLines w:val="0"/>
        <w:pageBreakBefore w:val="0"/>
        <w:widowControl w:val="0"/>
        <w:kinsoku/>
        <w:wordWrap/>
        <w:overflowPunct/>
        <w:topLinePunct w:val="0"/>
        <w:autoSpaceDE/>
        <w:autoSpaceDN/>
        <w:bidi w:val="0"/>
        <w:adjustRightInd/>
        <w:snapToGrid/>
        <w:spacing w:beforeAutospacing="0" w:afterAutospacing="0" w:line="408"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4.承担擅自修改或终止合同而造成的经济损失及法律责任。</w:t>
      </w:r>
    </w:p>
    <w:p w14:paraId="7D29AB9E">
      <w:pPr>
        <w:keepNext w:val="0"/>
        <w:keepLines w:val="0"/>
        <w:pageBreakBefore w:val="0"/>
        <w:widowControl w:val="0"/>
        <w:kinsoku/>
        <w:wordWrap/>
        <w:overflowPunct/>
        <w:topLinePunct w:val="0"/>
        <w:autoSpaceDE/>
        <w:autoSpaceDN/>
        <w:bidi w:val="0"/>
        <w:adjustRightInd/>
        <w:snapToGrid/>
        <w:spacing w:beforeAutospacing="0" w:afterAutospacing="0" w:line="408" w:lineRule="auto"/>
        <w:ind w:firstLine="482"/>
        <w:textAlignment w:val="auto"/>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九、违约责任</w:t>
      </w:r>
    </w:p>
    <w:p w14:paraId="2584BBED">
      <w:pPr>
        <w:keepNext w:val="0"/>
        <w:keepLines w:val="0"/>
        <w:pageBreakBefore w:val="0"/>
        <w:widowControl w:val="0"/>
        <w:kinsoku/>
        <w:wordWrap/>
        <w:overflowPunct/>
        <w:topLinePunct w:val="0"/>
        <w:autoSpaceDE/>
        <w:autoSpaceDN/>
        <w:bidi w:val="0"/>
        <w:adjustRightInd/>
        <w:snapToGrid/>
        <w:spacing w:beforeAutospacing="0" w:afterAutospacing="0" w:line="408"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1.需方无正当理由拒付合同款，需方向</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赔偿合同总额2%的违约金。</w:t>
      </w:r>
    </w:p>
    <w:p w14:paraId="4B6D58D1">
      <w:pPr>
        <w:keepNext w:val="0"/>
        <w:keepLines w:val="0"/>
        <w:pageBreakBefore w:val="0"/>
        <w:widowControl w:val="0"/>
        <w:kinsoku/>
        <w:wordWrap/>
        <w:overflowPunct/>
        <w:topLinePunct w:val="0"/>
        <w:autoSpaceDE/>
        <w:autoSpaceDN/>
        <w:bidi w:val="0"/>
        <w:adjustRightInd/>
        <w:snapToGrid/>
        <w:spacing w:beforeAutospacing="0" w:afterAutospacing="0" w:line="408"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不履行合同约定或不能完成服务时，</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的履约保证金将不予退还，用于补偿给需方造成的损失，并保留追究</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其他责任的权利。</w:t>
      </w:r>
    </w:p>
    <w:p w14:paraId="04A5A360">
      <w:pPr>
        <w:keepNext w:val="0"/>
        <w:keepLines w:val="0"/>
        <w:pageBreakBefore w:val="0"/>
        <w:widowControl w:val="0"/>
        <w:kinsoku/>
        <w:wordWrap/>
        <w:overflowPunct/>
        <w:topLinePunct w:val="0"/>
        <w:autoSpaceDE/>
        <w:autoSpaceDN/>
        <w:bidi w:val="0"/>
        <w:adjustRightInd/>
        <w:snapToGrid/>
        <w:spacing w:beforeAutospacing="0" w:afterAutospacing="0" w:line="408"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所提供的服务不符合国家规范或合同规定标准，需方有权拒验收。限期整改后仍不符合的，视为不能正常履行合同，按照违约责任第2条执行。</w:t>
      </w:r>
    </w:p>
    <w:p w14:paraId="593AE4E4">
      <w:pPr>
        <w:keepNext w:val="0"/>
        <w:keepLines w:val="0"/>
        <w:pageBreakBefore w:val="0"/>
        <w:widowControl w:val="0"/>
        <w:kinsoku/>
        <w:wordWrap/>
        <w:overflowPunct/>
        <w:topLinePunct w:val="0"/>
        <w:autoSpaceDE/>
        <w:autoSpaceDN/>
        <w:bidi w:val="0"/>
        <w:adjustRightInd/>
        <w:snapToGrid/>
        <w:spacing w:beforeAutospacing="0" w:afterAutospacing="0" w:line="408"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4.因</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原因导致逾期完成服务时，每逾1日乙方向需方偿付合同款总额3‰的滞纳金。逾期超过30天后，需方有权决定是否继续履行合同，并按照违约责任第2条执行。</w:t>
      </w:r>
    </w:p>
    <w:p w14:paraId="08BE04F1">
      <w:pPr>
        <w:keepNext w:val="0"/>
        <w:keepLines w:val="0"/>
        <w:pageBreakBefore w:val="0"/>
        <w:widowControl w:val="0"/>
        <w:kinsoku/>
        <w:wordWrap/>
        <w:overflowPunct/>
        <w:topLinePunct w:val="0"/>
        <w:autoSpaceDE/>
        <w:autoSpaceDN/>
        <w:bidi w:val="0"/>
        <w:adjustRightInd/>
        <w:snapToGrid/>
        <w:spacing w:beforeAutospacing="0" w:afterAutospacing="0" w:line="408" w:lineRule="auto"/>
        <w:ind w:firstLine="482"/>
        <w:textAlignment w:val="auto"/>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十、不可抗力</w:t>
      </w:r>
    </w:p>
    <w:p w14:paraId="0323A66A">
      <w:pPr>
        <w:keepNext w:val="0"/>
        <w:keepLines w:val="0"/>
        <w:pageBreakBefore w:val="0"/>
        <w:widowControl w:val="0"/>
        <w:kinsoku/>
        <w:wordWrap/>
        <w:overflowPunct/>
        <w:topLinePunct w:val="0"/>
        <w:autoSpaceDE/>
        <w:autoSpaceDN/>
        <w:bidi w:val="0"/>
        <w:adjustRightInd/>
        <w:snapToGrid/>
        <w:spacing w:beforeAutospacing="0" w:afterAutospacing="0" w:line="408" w:lineRule="auto"/>
        <w:ind w:firstLine="482"/>
        <w:textAlignment w:val="auto"/>
        <w:outlineLvl w:val="1"/>
        <w:rPr>
          <w:rFonts w:hint="eastAsia" w:ascii="仿宋" w:hAnsi="仿宋" w:eastAsia="仿宋" w:cs="仿宋"/>
          <w:sz w:val="24"/>
          <w:szCs w:val="24"/>
        </w:rPr>
      </w:pPr>
      <w:r>
        <w:rPr>
          <w:rFonts w:hint="eastAsia" w:ascii="仿宋" w:hAnsi="仿宋" w:eastAsia="仿宋" w:cs="仿宋"/>
          <w:sz w:val="24"/>
          <w:szCs w:val="24"/>
        </w:rPr>
        <w:t>供需双方的任何一方由于不可抗力的原因不能履行合同时，应及时向对方通报不能</w:t>
      </w:r>
    </w:p>
    <w:p w14:paraId="6D55117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履行或不能完全履行理由；在取得有关主管机关证明以后，允许延期履行、部分履行或者不履行合同，并根据情况可部分或全部免予承担违约责任。</w:t>
      </w:r>
    </w:p>
    <w:p w14:paraId="3B913255">
      <w:pPr>
        <w:keepNext w:val="0"/>
        <w:keepLines w:val="0"/>
        <w:pageBreakBefore w:val="0"/>
        <w:widowControl w:val="0"/>
        <w:kinsoku/>
        <w:wordWrap/>
        <w:overflowPunct/>
        <w:topLinePunct w:val="0"/>
        <w:autoSpaceDE/>
        <w:autoSpaceDN/>
        <w:bidi w:val="0"/>
        <w:adjustRightInd/>
        <w:snapToGrid/>
        <w:spacing w:beforeAutospacing="0" w:afterAutospacing="0" w:line="408" w:lineRule="auto"/>
        <w:ind w:firstLine="482"/>
        <w:textAlignment w:val="auto"/>
        <w:outlineLvl w:val="1"/>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十一、争议解决</w:t>
      </w:r>
    </w:p>
    <w:p w14:paraId="4CE1A699">
      <w:pPr>
        <w:keepNext w:val="0"/>
        <w:keepLines w:val="0"/>
        <w:pageBreakBefore w:val="0"/>
        <w:widowControl w:val="0"/>
        <w:kinsoku/>
        <w:wordWrap/>
        <w:overflowPunct/>
        <w:topLinePunct w:val="0"/>
        <w:autoSpaceDE/>
        <w:autoSpaceDN/>
        <w:bidi w:val="0"/>
        <w:adjustRightInd/>
        <w:snapToGrid/>
        <w:spacing w:beforeAutospacing="0" w:afterAutospacing="0" w:line="408"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供需双方在执行合同中发生争议，应通过协商解决。如协商不成，可以向需方所在地法院提出诉讼。</w:t>
      </w:r>
    </w:p>
    <w:p w14:paraId="12758790">
      <w:pPr>
        <w:keepNext w:val="0"/>
        <w:keepLines w:val="0"/>
        <w:pageBreakBefore w:val="0"/>
        <w:widowControl w:val="0"/>
        <w:kinsoku/>
        <w:wordWrap/>
        <w:overflowPunct/>
        <w:topLinePunct w:val="0"/>
        <w:autoSpaceDE/>
        <w:autoSpaceDN/>
        <w:bidi w:val="0"/>
        <w:adjustRightInd/>
        <w:snapToGrid/>
        <w:spacing w:beforeAutospacing="0" w:afterAutospacing="0" w:line="408" w:lineRule="auto"/>
        <w:ind w:firstLine="482"/>
        <w:textAlignment w:val="auto"/>
        <w:outlineLvl w:val="1"/>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十二、合同生效及其他</w:t>
      </w:r>
    </w:p>
    <w:p w14:paraId="256DBA04">
      <w:pPr>
        <w:keepNext w:val="0"/>
        <w:keepLines w:val="0"/>
        <w:pageBreakBefore w:val="0"/>
        <w:widowControl w:val="0"/>
        <w:kinsoku/>
        <w:wordWrap/>
        <w:overflowPunct/>
        <w:topLinePunct w:val="0"/>
        <w:autoSpaceDE/>
        <w:autoSpaceDN/>
        <w:bidi w:val="0"/>
        <w:adjustRightInd/>
        <w:snapToGrid/>
        <w:spacing w:beforeAutospacing="0" w:afterAutospacing="0" w:line="408"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1.合同经过供、需双方代表签章确认后，即行生效。</w:t>
      </w:r>
    </w:p>
    <w:p w14:paraId="7D2B3FA1">
      <w:pPr>
        <w:keepNext w:val="0"/>
        <w:keepLines w:val="0"/>
        <w:pageBreakBefore w:val="0"/>
        <w:widowControl w:val="0"/>
        <w:kinsoku/>
        <w:wordWrap/>
        <w:overflowPunct/>
        <w:topLinePunct w:val="0"/>
        <w:autoSpaceDE/>
        <w:autoSpaceDN/>
        <w:bidi w:val="0"/>
        <w:adjustRightInd/>
        <w:snapToGrid/>
        <w:spacing w:beforeAutospacing="0" w:afterAutospacing="0" w:line="408"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2.本合同一式</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份。</w:t>
      </w:r>
      <w:r>
        <w:rPr>
          <w:rFonts w:hint="eastAsia" w:ascii="仿宋" w:hAnsi="仿宋" w:eastAsia="仿宋" w:cs="仿宋"/>
          <w:color w:val="auto"/>
          <w:sz w:val="24"/>
          <w:szCs w:val="24"/>
          <w:highlight w:val="none"/>
          <w:lang w:val="en-US" w:eastAsia="zh-CN"/>
        </w:rPr>
        <w:t xml:space="preserve">甲方  </w:t>
      </w:r>
      <w:r>
        <w:rPr>
          <w:rFonts w:hint="eastAsia" w:ascii="仿宋" w:hAnsi="仿宋" w:eastAsia="仿宋" w:cs="仿宋"/>
          <w:color w:val="auto"/>
          <w:sz w:val="24"/>
          <w:szCs w:val="24"/>
          <w:highlight w:val="none"/>
        </w:rPr>
        <w:t>份，</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份，其它相关部门</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份。</w:t>
      </w:r>
    </w:p>
    <w:p w14:paraId="2EA9840A">
      <w:pPr>
        <w:keepNext w:val="0"/>
        <w:keepLines w:val="0"/>
        <w:pageBreakBefore w:val="0"/>
        <w:widowControl w:val="0"/>
        <w:kinsoku/>
        <w:wordWrap/>
        <w:overflowPunct/>
        <w:topLinePunct w:val="0"/>
        <w:autoSpaceDE/>
        <w:autoSpaceDN/>
        <w:bidi w:val="0"/>
        <w:adjustRightInd/>
        <w:snapToGrid/>
        <w:spacing w:beforeAutospacing="0" w:afterAutospacing="0" w:line="408"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3.合同执行过程中出现的未尽事宜，双方在不违背合同和磋商文件的前提下协商解决。</w:t>
      </w:r>
    </w:p>
    <w:p w14:paraId="2D10C76D">
      <w:pPr>
        <w:keepNext w:val="0"/>
        <w:keepLines w:val="0"/>
        <w:pageBreakBefore w:val="0"/>
        <w:widowControl w:val="0"/>
        <w:kinsoku/>
        <w:wordWrap/>
        <w:overflowPunct/>
        <w:topLinePunct w:val="0"/>
        <w:autoSpaceDE/>
        <w:autoSpaceDN/>
        <w:bidi w:val="0"/>
        <w:adjustRightInd/>
        <w:snapToGrid/>
        <w:spacing w:beforeAutospacing="0" w:afterAutospacing="0" w:line="408" w:lineRule="auto"/>
        <w:ind w:firstLine="480"/>
        <w:textAlignment w:val="auto"/>
        <w:outlineLvl w:val="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4.本合同不得转包或分包给他人，否则需方有权拒付合同款。</w:t>
      </w:r>
    </w:p>
    <w:p w14:paraId="72B0434D">
      <w:pPr>
        <w:keepNext w:val="0"/>
        <w:keepLines w:val="0"/>
        <w:pageBreakBefore w:val="0"/>
        <w:widowControl w:val="0"/>
        <w:kinsoku/>
        <w:wordWrap/>
        <w:overflowPunct/>
        <w:topLinePunct w:val="0"/>
        <w:autoSpaceDE/>
        <w:autoSpaceDN/>
        <w:bidi w:val="0"/>
        <w:adjustRightInd/>
        <w:snapToGrid/>
        <w:spacing w:beforeAutospacing="0" w:afterAutospacing="0" w:line="408" w:lineRule="auto"/>
        <w:ind w:firstLine="482"/>
        <w:textAlignment w:val="auto"/>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十三、下列文件为本合同不可分割部分</w:t>
      </w:r>
    </w:p>
    <w:p w14:paraId="65174EC3">
      <w:pPr>
        <w:keepNext w:val="0"/>
        <w:keepLines w:val="0"/>
        <w:pageBreakBefore w:val="0"/>
        <w:widowControl w:val="0"/>
        <w:kinsoku/>
        <w:wordWrap/>
        <w:overflowPunct/>
        <w:topLinePunct w:val="0"/>
        <w:autoSpaceDE/>
        <w:autoSpaceDN/>
        <w:bidi w:val="0"/>
        <w:adjustRightInd/>
        <w:snapToGrid/>
        <w:spacing w:beforeAutospacing="0" w:afterAutospacing="0" w:line="408"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竞争性磋商</w:t>
      </w:r>
      <w:r>
        <w:rPr>
          <w:rFonts w:hint="eastAsia" w:ascii="仿宋" w:hAnsi="仿宋" w:eastAsia="仿宋" w:cs="仿宋"/>
          <w:color w:val="auto"/>
          <w:sz w:val="24"/>
          <w:szCs w:val="24"/>
          <w:highlight w:val="none"/>
        </w:rPr>
        <w:t>文件</w:t>
      </w:r>
    </w:p>
    <w:p w14:paraId="21382F42">
      <w:pPr>
        <w:keepNext w:val="0"/>
        <w:keepLines w:val="0"/>
        <w:pageBreakBefore w:val="0"/>
        <w:widowControl w:val="0"/>
        <w:kinsoku/>
        <w:wordWrap/>
        <w:overflowPunct/>
        <w:topLinePunct w:val="0"/>
        <w:autoSpaceDE/>
        <w:autoSpaceDN/>
        <w:bidi w:val="0"/>
        <w:adjustRightInd/>
        <w:snapToGrid/>
        <w:spacing w:beforeAutospacing="0" w:afterAutospacing="0" w:line="408"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w:t>
      </w:r>
    </w:p>
    <w:p w14:paraId="67310A92">
      <w:pPr>
        <w:keepNext w:val="0"/>
        <w:keepLines w:val="0"/>
        <w:pageBreakBefore w:val="0"/>
        <w:widowControl w:val="0"/>
        <w:kinsoku/>
        <w:wordWrap/>
        <w:overflowPunct/>
        <w:topLinePunct w:val="0"/>
        <w:autoSpaceDE/>
        <w:autoSpaceDN/>
        <w:bidi w:val="0"/>
        <w:adjustRightInd/>
        <w:snapToGrid/>
        <w:spacing w:beforeAutospacing="0" w:afterAutospacing="0" w:line="408"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3.供应商所作的其他承诺</w:t>
      </w:r>
    </w:p>
    <w:p w14:paraId="55EA77F2">
      <w:pPr>
        <w:keepNext w:val="0"/>
        <w:keepLines w:val="0"/>
        <w:pageBreakBefore w:val="0"/>
        <w:widowControl w:val="0"/>
        <w:kinsoku/>
        <w:wordWrap/>
        <w:overflowPunct/>
        <w:topLinePunct w:val="0"/>
        <w:autoSpaceDE/>
        <w:autoSpaceDN/>
        <w:bidi w:val="0"/>
        <w:adjustRightInd/>
        <w:snapToGrid/>
        <w:spacing w:beforeAutospacing="0" w:afterAutospacing="0" w:line="408"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通知书</w:t>
      </w:r>
    </w:p>
    <w:p w14:paraId="2CFBB430">
      <w:pPr>
        <w:keepNext w:val="0"/>
        <w:keepLines w:val="0"/>
        <w:pageBreakBefore w:val="0"/>
        <w:widowControl w:val="0"/>
        <w:kinsoku/>
        <w:wordWrap/>
        <w:overflowPunct/>
        <w:topLinePunct w:val="0"/>
        <w:autoSpaceDE/>
        <w:autoSpaceDN/>
        <w:bidi w:val="0"/>
        <w:adjustRightInd/>
        <w:snapToGrid/>
        <w:spacing w:beforeAutospacing="0" w:afterAutospacing="0" w:line="408" w:lineRule="auto"/>
        <w:ind w:firstLine="482"/>
        <w:jc w:val="left"/>
        <w:textAlignment w:val="auto"/>
        <w:rPr>
          <w:rFonts w:hint="eastAsia" w:ascii="仿宋" w:hAnsi="仿宋" w:eastAsia="仿宋" w:cs="仿宋"/>
          <w:b/>
          <w:bCs/>
          <w:color w:val="auto"/>
          <w:sz w:val="24"/>
          <w:szCs w:val="24"/>
          <w:highlight w:val="none"/>
          <w:lang w:val="en-US" w:eastAsia="zh-CN"/>
        </w:rPr>
      </w:pPr>
    </w:p>
    <w:p w14:paraId="17993251">
      <w:pPr>
        <w:keepNext w:val="0"/>
        <w:keepLines w:val="0"/>
        <w:pageBreakBefore w:val="0"/>
        <w:widowControl w:val="0"/>
        <w:kinsoku/>
        <w:wordWrap/>
        <w:overflowPunct/>
        <w:topLinePunct w:val="0"/>
        <w:autoSpaceDE/>
        <w:autoSpaceDN/>
        <w:bidi w:val="0"/>
        <w:adjustRightInd/>
        <w:snapToGrid/>
        <w:spacing w:beforeAutospacing="0" w:afterAutospacing="0" w:line="408" w:lineRule="auto"/>
        <w:ind w:firstLine="482"/>
        <w:jc w:val="left"/>
        <w:textAlignment w:val="auto"/>
        <w:rPr>
          <w:rFonts w:hint="eastAsia" w:ascii="仿宋" w:hAnsi="仿宋" w:eastAsia="仿宋" w:cs="仿宋"/>
          <w:b/>
          <w:bCs/>
          <w:color w:val="auto"/>
          <w:sz w:val="24"/>
          <w:szCs w:val="24"/>
          <w:highlight w:val="none"/>
          <w:lang w:val="en-US" w:eastAsia="zh-CN"/>
        </w:rPr>
      </w:pPr>
    </w:p>
    <w:p w14:paraId="718A24F4">
      <w:pPr>
        <w:keepNext w:val="0"/>
        <w:keepLines w:val="0"/>
        <w:pageBreakBefore w:val="0"/>
        <w:widowControl w:val="0"/>
        <w:kinsoku/>
        <w:wordWrap/>
        <w:overflowPunct/>
        <w:topLinePunct w:val="0"/>
        <w:autoSpaceDE/>
        <w:autoSpaceDN/>
        <w:bidi w:val="0"/>
        <w:adjustRightInd/>
        <w:snapToGrid/>
        <w:spacing w:beforeAutospacing="0" w:afterAutospacing="0" w:line="408" w:lineRule="auto"/>
        <w:ind w:firstLine="482"/>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甲方</w:t>
      </w:r>
      <w:r>
        <w:rPr>
          <w:rFonts w:hint="eastAsia" w:ascii="仿宋" w:hAnsi="仿宋" w:eastAsia="仿宋" w:cs="仿宋"/>
          <w:b/>
          <w:bCs/>
          <w:color w:val="auto"/>
          <w:sz w:val="24"/>
          <w:szCs w:val="24"/>
          <w:highlight w:val="none"/>
        </w:rPr>
        <w:t xml:space="preserve">（章）：                               </w:t>
      </w:r>
      <w:r>
        <w:rPr>
          <w:rFonts w:hint="eastAsia" w:ascii="仿宋" w:hAnsi="仿宋" w:eastAsia="仿宋" w:cs="仿宋"/>
          <w:b/>
          <w:bCs/>
          <w:color w:val="auto"/>
          <w:sz w:val="24"/>
          <w:szCs w:val="24"/>
          <w:highlight w:val="none"/>
          <w:lang w:eastAsia="zh-CN"/>
        </w:rPr>
        <w:t>乙方</w:t>
      </w:r>
      <w:r>
        <w:rPr>
          <w:rFonts w:hint="eastAsia" w:ascii="仿宋" w:hAnsi="仿宋" w:eastAsia="仿宋" w:cs="仿宋"/>
          <w:b/>
          <w:bCs/>
          <w:color w:val="auto"/>
          <w:sz w:val="24"/>
          <w:szCs w:val="24"/>
          <w:highlight w:val="none"/>
        </w:rPr>
        <w:t xml:space="preserve">（章）： </w:t>
      </w:r>
    </w:p>
    <w:p w14:paraId="26509AC4">
      <w:pPr>
        <w:keepNext w:val="0"/>
        <w:keepLines w:val="0"/>
        <w:pageBreakBefore w:val="0"/>
        <w:widowControl w:val="0"/>
        <w:kinsoku/>
        <w:wordWrap/>
        <w:overflowPunct/>
        <w:topLinePunct w:val="0"/>
        <w:autoSpaceDE/>
        <w:autoSpaceDN/>
        <w:bidi w:val="0"/>
        <w:adjustRightInd/>
        <w:snapToGrid/>
        <w:spacing w:beforeAutospacing="0" w:afterAutospacing="0" w:line="408" w:lineRule="auto"/>
        <w:ind w:firstLine="48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法人代表：                                法人代表：</w:t>
      </w:r>
    </w:p>
    <w:p w14:paraId="797AC10E">
      <w:pPr>
        <w:keepNext w:val="0"/>
        <w:keepLines w:val="0"/>
        <w:pageBreakBefore w:val="0"/>
        <w:widowControl w:val="0"/>
        <w:kinsoku/>
        <w:wordWrap/>
        <w:overflowPunct/>
        <w:topLinePunct w:val="0"/>
        <w:autoSpaceDE/>
        <w:autoSpaceDN/>
        <w:bidi w:val="0"/>
        <w:adjustRightInd/>
        <w:snapToGrid/>
        <w:spacing w:beforeAutospacing="0" w:afterAutospacing="0" w:line="408" w:lineRule="auto"/>
        <w:ind w:firstLine="48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或</w:t>
      </w:r>
      <w:r>
        <w:rPr>
          <w:rFonts w:hint="eastAsia" w:ascii="仿宋" w:hAnsi="仿宋" w:eastAsia="仿宋" w:cs="仿宋"/>
          <w:color w:val="auto"/>
          <w:sz w:val="24"/>
          <w:szCs w:val="24"/>
          <w:highlight w:val="none"/>
        </w:rPr>
        <w:t xml:space="preserve">委托代理人：                            </w:t>
      </w:r>
      <w:r>
        <w:rPr>
          <w:rFonts w:hint="eastAsia" w:ascii="仿宋" w:hAnsi="仿宋" w:eastAsia="仿宋" w:cs="仿宋"/>
          <w:color w:val="auto"/>
          <w:sz w:val="24"/>
          <w:szCs w:val="24"/>
          <w:highlight w:val="none"/>
          <w:lang w:val="en-US" w:eastAsia="zh-CN"/>
        </w:rPr>
        <w:t>或</w:t>
      </w:r>
      <w:r>
        <w:rPr>
          <w:rFonts w:hint="eastAsia" w:ascii="仿宋" w:hAnsi="仿宋" w:eastAsia="仿宋" w:cs="仿宋"/>
          <w:color w:val="auto"/>
          <w:sz w:val="24"/>
          <w:szCs w:val="24"/>
          <w:highlight w:val="none"/>
        </w:rPr>
        <w:t>委托代理人：</w:t>
      </w:r>
    </w:p>
    <w:p w14:paraId="21B8D656">
      <w:pPr>
        <w:keepNext w:val="0"/>
        <w:keepLines w:val="0"/>
        <w:pageBreakBefore w:val="0"/>
        <w:widowControl w:val="0"/>
        <w:kinsoku/>
        <w:wordWrap/>
        <w:overflowPunct/>
        <w:topLinePunct w:val="0"/>
        <w:autoSpaceDE/>
        <w:autoSpaceDN/>
        <w:bidi w:val="0"/>
        <w:adjustRightInd/>
        <w:snapToGrid/>
        <w:spacing w:beforeAutospacing="0" w:afterAutospacing="0" w:line="408" w:lineRule="auto"/>
        <w:ind w:firstLine="48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                                    地址：</w:t>
      </w:r>
    </w:p>
    <w:p w14:paraId="40515240">
      <w:pPr>
        <w:keepNext w:val="0"/>
        <w:keepLines w:val="0"/>
        <w:pageBreakBefore w:val="0"/>
        <w:widowControl w:val="0"/>
        <w:kinsoku/>
        <w:wordWrap/>
        <w:overflowPunct/>
        <w:topLinePunct w:val="0"/>
        <w:autoSpaceDE/>
        <w:autoSpaceDN/>
        <w:bidi w:val="0"/>
        <w:adjustRightInd/>
        <w:snapToGrid/>
        <w:spacing w:beforeAutospacing="0" w:afterAutospacing="0" w:line="408" w:lineRule="auto"/>
        <w:ind w:firstLine="48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 话：                                   电话：</w:t>
      </w:r>
    </w:p>
    <w:p w14:paraId="5E276725">
      <w:pPr>
        <w:keepNext w:val="0"/>
        <w:keepLines w:val="0"/>
        <w:pageBreakBefore w:val="0"/>
        <w:widowControl w:val="0"/>
        <w:kinsoku/>
        <w:wordWrap/>
        <w:overflowPunct/>
        <w:topLinePunct w:val="0"/>
        <w:autoSpaceDE/>
        <w:autoSpaceDN/>
        <w:bidi w:val="0"/>
        <w:adjustRightInd/>
        <w:snapToGrid/>
        <w:spacing w:beforeAutospacing="0" w:afterAutospacing="0" w:line="408" w:lineRule="auto"/>
        <w:ind w:firstLine="48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                                开户银行：</w:t>
      </w:r>
    </w:p>
    <w:p w14:paraId="5E2A7C6B">
      <w:pPr>
        <w:keepNext w:val="0"/>
        <w:keepLines w:val="0"/>
        <w:pageBreakBefore w:val="0"/>
        <w:widowControl w:val="0"/>
        <w:kinsoku/>
        <w:wordWrap/>
        <w:overflowPunct/>
        <w:topLinePunct w:val="0"/>
        <w:autoSpaceDE/>
        <w:autoSpaceDN/>
        <w:bidi w:val="0"/>
        <w:adjustRightInd/>
        <w:snapToGrid/>
        <w:spacing w:beforeAutospacing="0" w:afterAutospacing="0" w:line="408" w:lineRule="auto"/>
        <w:ind w:firstLine="48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银行账号：                                银行账号：</w:t>
      </w:r>
    </w:p>
    <w:p w14:paraId="77018E0A">
      <w:pPr>
        <w:keepNext w:val="0"/>
        <w:keepLines w:val="0"/>
        <w:pageBreakBefore w:val="0"/>
        <w:widowControl w:val="0"/>
        <w:kinsoku/>
        <w:wordWrap/>
        <w:overflowPunct/>
        <w:topLinePunct w:val="0"/>
        <w:autoSpaceDE/>
        <w:autoSpaceDN/>
        <w:bidi w:val="0"/>
        <w:adjustRightInd/>
        <w:snapToGrid/>
        <w:spacing w:beforeAutospacing="0" w:afterAutospacing="0" w:line="408" w:lineRule="auto"/>
        <w:ind w:firstLine="480"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color w:val="auto"/>
          <w:sz w:val="24"/>
          <w:szCs w:val="24"/>
          <w:highlight w:val="none"/>
        </w:rPr>
        <w:t>日期：202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    月    日                  日期：202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   月    日</w:t>
      </w:r>
    </w:p>
    <w:p w14:paraId="69296AAC">
      <w:pPr>
        <w:pStyle w:val="20"/>
        <w:rPr>
          <w:rFonts w:hint="eastAsia" w:ascii="仿宋" w:hAnsi="仿宋" w:eastAsia="仿宋" w:cs="仿宋"/>
          <w:b/>
          <w:bCs/>
          <w:color w:val="auto"/>
          <w:kern w:val="2"/>
          <w:sz w:val="24"/>
          <w:szCs w:val="24"/>
          <w:highlight w:val="none"/>
          <w:lang w:val="en-US" w:eastAsia="zh-CN" w:bidi="ar-SA"/>
        </w:rPr>
      </w:pPr>
    </w:p>
    <w:p w14:paraId="23EB9252">
      <w:pPr>
        <w:pStyle w:val="20"/>
        <w:ind w:left="0" w:leftChars="0" w:firstLine="241" w:firstLineChars="100"/>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注：合同内容仅供参考，以签订合同内容为准。</w:t>
      </w:r>
    </w:p>
    <w:p w14:paraId="75CB6061">
      <w:pPr>
        <w:pStyle w:val="20"/>
        <w:rPr>
          <w:rFonts w:hint="eastAsia" w:ascii="仿宋" w:hAnsi="仿宋" w:eastAsia="仿宋" w:cs="仿宋"/>
          <w:sz w:val="24"/>
          <w:szCs w:val="24"/>
          <w:highlight w:val="none"/>
        </w:rPr>
      </w:pPr>
    </w:p>
    <w:p w14:paraId="75A5FD8C">
      <w:pPr>
        <w:ind w:left="1680" w:firstLine="420"/>
        <w:rPr>
          <w:rFonts w:hint="eastAsia" w:ascii="仿宋" w:hAnsi="仿宋" w:eastAsia="仿宋" w:cs="仿宋"/>
          <w:sz w:val="24"/>
          <w:szCs w:val="24"/>
          <w:highlight w:val="none"/>
        </w:rPr>
      </w:pPr>
      <w:r>
        <w:rPr>
          <w:rFonts w:hint="eastAsia" w:ascii="仿宋" w:hAnsi="仿宋" w:eastAsia="仿宋" w:cs="仿宋"/>
          <w:b/>
          <w:bCs/>
          <w:color w:val="000000"/>
          <w:sz w:val="24"/>
          <w:szCs w:val="24"/>
          <w:highlight w:val="none"/>
        </w:rPr>
        <w:t>合同签订地点</w:t>
      </w:r>
      <w:r>
        <w:rPr>
          <w:rFonts w:hint="eastAsia" w:ascii="仿宋" w:hAnsi="仿宋" w:eastAsia="仿宋" w:cs="仿宋"/>
          <w:b/>
          <w:bCs/>
          <w:sz w:val="24"/>
          <w:szCs w:val="24"/>
          <w:highlight w:val="none"/>
        </w:rPr>
        <w:t xml:space="preserve">：网上签约 </w:t>
      </w:r>
    </w:p>
    <w:p w14:paraId="7C131E9A">
      <w:pPr>
        <w:pStyle w:val="20"/>
        <w:rPr>
          <w:rFonts w:hint="eastAsia"/>
          <w:highlight w:val="none"/>
        </w:rPr>
        <w:sectPr>
          <w:headerReference r:id="rId9" w:type="default"/>
          <w:footerReference r:id="rId10" w:type="default"/>
          <w:pgSz w:w="11905" w:h="16838"/>
          <w:pgMar w:top="1134" w:right="1417" w:bottom="1134" w:left="1417" w:header="907" w:footer="935" w:gutter="0"/>
          <w:pgBorders>
            <w:top w:val="none" w:sz="0" w:space="0"/>
            <w:left w:val="none" w:sz="0" w:space="0"/>
            <w:bottom w:val="none" w:sz="0" w:space="0"/>
            <w:right w:val="none" w:sz="0" w:space="0"/>
          </w:pgBorders>
          <w:pgNumType w:fmt="decimal"/>
          <w:cols w:space="720" w:num="1"/>
          <w:rtlGutter w:val="0"/>
          <w:docGrid w:linePitch="286" w:charSpace="0"/>
        </w:sectPr>
      </w:pPr>
    </w:p>
    <w:p w14:paraId="1970C2A1">
      <w:pPr>
        <w:tabs>
          <w:tab w:val="left" w:pos="4000"/>
        </w:tabs>
        <w:snapToGrid w:val="0"/>
        <w:spacing w:line="360" w:lineRule="auto"/>
        <w:jc w:val="left"/>
        <w:rPr>
          <w:rFonts w:hint="eastAsia" w:ascii="仿宋" w:hAnsi="仿宋" w:eastAsia="仿宋" w:cs="仿宋"/>
          <w:color w:val="auto"/>
          <w:kern w:val="0"/>
          <w:sz w:val="28"/>
          <w:highlight w:val="none"/>
        </w:rPr>
      </w:pPr>
    </w:p>
    <w:p w14:paraId="34571B0E">
      <w:pPr>
        <w:tabs>
          <w:tab w:val="left" w:pos="4000"/>
        </w:tabs>
        <w:snapToGrid w:val="0"/>
        <w:spacing w:line="360" w:lineRule="auto"/>
        <w:jc w:val="left"/>
        <w:rPr>
          <w:rFonts w:hint="eastAsia" w:ascii="仿宋" w:hAnsi="仿宋" w:eastAsia="仿宋" w:cs="仿宋"/>
          <w:color w:val="auto"/>
          <w:kern w:val="0"/>
          <w:sz w:val="28"/>
          <w:highlight w:val="none"/>
        </w:rPr>
      </w:pPr>
      <w:r>
        <w:rPr>
          <w:rFonts w:hint="eastAsia" w:ascii="仿宋" w:hAnsi="仿宋" w:eastAsia="仿宋" w:cs="仿宋"/>
          <w:color w:val="auto"/>
          <w:kern w:val="0"/>
          <w:sz w:val="28"/>
          <w:highlight w:val="none"/>
        </w:rPr>
        <w:t>响应文件封面格式</w:t>
      </w:r>
    </w:p>
    <w:p w14:paraId="64A87CB9">
      <w:pPr>
        <w:snapToGrid w:val="0"/>
        <w:spacing w:line="360" w:lineRule="auto"/>
        <w:jc w:val="right"/>
        <w:rPr>
          <w:rFonts w:hint="eastAsia" w:ascii="仿宋" w:hAnsi="仿宋" w:eastAsia="仿宋" w:cs="仿宋"/>
          <w:color w:val="auto"/>
          <w:kern w:val="0"/>
          <w:sz w:val="28"/>
          <w:szCs w:val="32"/>
          <w:highlight w:val="none"/>
        </w:rPr>
      </w:pPr>
    </w:p>
    <w:p w14:paraId="58A4C14A">
      <w:pPr>
        <w:snapToGrid w:val="0"/>
        <w:spacing w:line="360" w:lineRule="auto"/>
        <w:jc w:val="right"/>
        <w:rPr>
          <w:rFonts w:hint="eastAsia" w:ascii="仿宋" w:hAnsi="仿宋" w:eastAsia="仿宋" w:cs="仿宋"/>
          <w:color w:val="auto"/>
          <w:kern w:val="0"/>
          <w:sz w:val="28"/>
          <w:szCs w:val="32"/>
          <w:highlight w:val="none"/>
        </w:rPr>
      </w:pPr>
      <w:r>
        <w:rPr>
          <w:rFonts w:hint="eastAsia" w:ascii="仿宋" w:hAnsi="仿宋" w:eastAsia="仿宋" w:cs="仿宋"/>
          <w:color w:val="auto"/>
          <w:kern w:val="0"/>
          <w:sz w:val="28"/>
          <w:szCs w:val="32"/>
          <w:highlight w:val="none"/>
        </w:rPr>
        <w:t>（正</w:t>
      </w:r>
      <w:r>
        <w:rPr>
          <w:rFonts w:hint="eastAsia" w:ascii="仿宋" w:hAnsi="仿宋" w:eastAsia="仿宋" w:cs="仿宋"/>
          <w:color w:val="auto"/>
          <w:kern w:val="0"/>
          <w:sz w:val="28"/>
          <w:szCs w:val="36"/>
          <w:highlight w:val="none"/>
        </w:rPr>
        <w:t>/</w:t>
      </w:r>
      <w:r>
        <w:rPr>
          <w:rFonts w:hint="eastAsia" w:ascii="仿宋" w:hAnsi="仿宋" w:eastAsia="仿宋" w:cs="仿宋"/>
          <w:color w:val="auto"/>
          <w:kern w:val="0"/>
          <w:sz w:val="28"/>
          <w:szCs w:val="32"/>
          <w:highlight w:val="none"/>
        </w:rPr>
        <w:t>副）本</w:t>
      </w:r>
    </w:p>
    <w:p w14:paraId="74FA9E76">
      <w:pPr>
        <w:snapToGrid w:val="0"/>
        <w:spacing w:line="360" w:lineRule="auto"/>
        <w:jc w:val="right"/>
        <w:rPr>
          <w:rFonts w:hint="eastAsia" w:ascii="仿宋" w:hAnsi="仿宋" w:eastAsia="仿宋" w:cs="仿宋"/>
          <w:color w:val="auto"/>
          <w:kern w:val="0"/>
          <w:sz w:val="28"/>
          <w:szCs w:val="32"/>
          <w:highlight w:val="none"/>
        </w:rPr>
      </w:pPr>
    </w:p>
    <w:p w14:paraId="3C8150CC">
      <w:pPr>
        <w:snapToGrid w:val="0"/>
        <w:spacing w:line="360" w:lineRule="auto"/>
        <w:jc w:val="center"/>
        <w:rPr>
          <w:rFonts w:hint="eastAsia" w:ascii="仿宋" w:hAnsi="仿宋" w:eastAsia="仿宋" w:cs="仿宋"/>
          <w:b/>
          <w:color w:val="auto"/>
          <w:kern w:val="0"/>
          <w:sz w:val="72"/>
          <w:szCs w:val="72"/>
          <w:highlight w:val="none"/>
        </w:rPr>
      </w:pPr>
      <w:r>
        <w:rPr>
          <w:rFonts w:hint="eastAsia" w:ascii="仿宋" w:hAnsi="仿宋" w:eastAsia="仿宋" w:cs="仿宋"/>
          <w:b/>
          <w:color w:val="auto"/>
          <w:kern w:val="0"/>
          <w:sz w:val="72"/>
          <w:szCs w:val="72"/>
          <w:highlight w:val="none"/>
        </w:rPr>
        <w:t>响  应  文  件</w:t>
      </w:r>
    </w:p>
    <w:p w14:paraId="42DC0CF5">
      <w:pPr>
        <w:snapToGrid w:val="0"/>
        <w:spacing w:line="360" w:lineRule="auto"/>
        <w:jc w:val="center"/>
        <w:rPr>
          <w:rFonts w:hint="eastAsia" w:ascii="仿宋" w:hAnsi="仿宋" w:eastAsia="仿宋" w:cs="仿宋"/>
          <w:b/>
          <w:color w:val="auto"/>
          <w:kern w:val="0"/>
          <w:sz w:val="44"/>
          <w:szCs w:val="44"/>
          <w:highlight w:val="none"/>
        </w:rPr>
      </w:pPr>
    </w:p>
    <w:p w14:paraId="257C9D92">
      <w:pPr>
        <w:snapToGrid w:val="0"/>
        <w:spacing w:line="360" w:lineRule="auto"/>
        <w:ind w:firstLine="1120" w:firstLineChars="400"/>
        <w:jc w:val="left"/>
        <w:rPr>
          <w:rFonts w:hint="eastAsia" w:ascii="仿宋" w:hAnsi="仿宋" w:eastAsia="仿宋" w:cs="仿宋"/>
          <w:color w:val="auto"/>
          <w:kern w:val="0"/>
          <w:sz w:val="28"/>
          <w:szCs w:val="30"/>
          <w:highlight w:val="none"/>
        </w:rPr>
      </w:pPr>
      <w:r>
        <w:rPr>
          <w:rFonts w:hint="eastAsia" w:ascii="仿宋" w:hAnsi="仿宋" w:eastAsia="仿宋" w:cs="仿宋"/>
          <w:color w:val="auto"/>
          <w:kern w:val="0"/>
          <w:sz w:val="28"/>
          <w:szCs w:val="30"/>
          <w:highlight w:val="none"/>
        </w:rPr>
        <w:t>项目名称：</w:t>
      </w:r>
    </w:p>
    <w:p w14:paraId="053F589E">
      <w:pPr>
        <w:snapToGrid w:val="0"/>
        <w:spacing w:line="360" w:lineRule="auto"/>
        <w:ind w:firstLine="1120" w:firstLineChars="400"/>
        <w:jc w:val="left"/>
        <w:rPr>
          <w:rFonts w:hint="eastAsia" w:ascii="仿宋" w:hAnsi="仿宋" w:eastAsia="仿宋" w:cs="仿宋"/>
          <w:color w:val="auto"/>
          <w:kern w:val="0"/>
          <w:sz w:val="28"/>
          <w:szCs w:val="30"/>
          <w:highlight w:val="none"/>
        </w:rPr>
      </w:pPr>
      <w:r>
        <w:rPr>
          <w:rFonts w:hint="eastAsia" w:ascii="仿宋" w:hAnsi="仿宋" w:eastAsia="仿宋" w:cs="仿宋"/>
          <w:color w:val="auto"/>
          <w:kern w:val="0"/>
          <w:sz w:val="28"/>
          <w:szCs w:val="30"/>
          <w:highlight w:val="none"/>
        </w:rPr>
        <w:t>招标编号：</w:t>
      </w:r>
    </w:p>
    <w:p w14:paraId="0EA2E61E">
      <w:pPr>
        <w:snapToGrid w:val="0"/>
        <w:spacing w:line="360" w:lineRule="auto"/>
        <w:ind w:firstLine="1120" w:firstLineChars="400"/>
        <w:jc w:val="left"/>
        <w:rPr>
          <w:rFonts w:hint="eastAsia" w:ascii="仿宋" w:hAnsi="仿宋" w:eastAsia="仿宋" w:cs="仿宋"/>
          <w:color w:val="auto"/>
          <w:highlight w:val="none"/>
        </w:rPr>
      </w:pPr>
      <w:r>
        <w:rPr>
          <w:rFonts w:hint="eastAsia" w:ascii="仿宋" w:hAnsi="仿宋" w:eastAsia="仿宋" w:cs="仿宋"/>
          <w:color w:val="auto"/>
          <w:kern w:val="0"/>
          <w:sz w:val="28"/>
          <w:szCs w:val="30"/>
          <w:highlight w:val="none"/>
        </w:rPr>
        <w:t>项目编号：</w:t>
      </w:r>
    </w:p>
    <w:p w14:paraId="5DBAF250">
      <w:pPr>
        <w:snapToGrid w:val="0"/>
        <w:spacing w:line="360" w:lineRule="auto"/>
        <w:rPr>
          <w:rFonts w:hint="eastAsia" w:ascii="仿宋" w:hAnsi="仿宋" w:eastAsia="仿宋" w:cs="仿宋"/>
          <w:color w:val="auto"/>
          <w:kern w:val="0"/>
          <w:sz w:val="28"/>
          <w:szCs w:val="30"/>
          <w:highlight w:val="none"/>
        </w:rPr>
      </w:pPr>
      <w:r>
        <w:rPr>
          <w:rFonts w:hint="eastAsia" w:ascii="仿宋" w:hAnsi="仿宋" w:eastAsia="仿宋" w:cs="仿宋"/>
          <w:color w:val="auto"/>
          <w:kern w:val="0"/>
          <w:sz w:val="28"/>
          <w:szCs w:val="30"/>
          <w:highlight w:val="none"/>
        </w:rPr>
        <w:t xml:space="preserve">    </w:t>
      </w:r>
    </w:p>
    <w:p w14:paraId="11B0AC73">
      <w:pPr>
        <w:pStyle w:val="14"/>
        <w:rPr>
          <w:rFonts w:hint="eastAsia" w:ascii="仿宋" w:hAnsi="仿宋" w:eastAsia="仿宋" w:cs="仿宋"/>
          <w:color w:val="auto"/>
          <w:highlight w:val="none"/>
        </w:rPr>
      </w:pPr>
    </w:p>
    <w:p w14:paraId="1D653735">
      <w:pPr>
        <w:pStyle w:val="14"/>
        <w:rPr>
          <w:rFonts w:hint="eastAsia" w:ascii="仿宋" w:hAnsi="仿宋" w:eastAsia="仿宋" w:cs="仿宋"/>
          <w:color w:val="auto"/>
          <w:highlight w:val="none"/>
        </w:rPr>
      </w:pPr>
    </w:p>
    <w:p w14:paraId="487434F6">
      <w:pPr>
        <w:snapToGrid w:val="0"/>
        <w:spacing w:line="360" w:lineRule="auto"/>
        <w:jc w:val="center"/>
        <w:rPr>
          <w:rFonts w:hint="eastAsia" w:ascii="仿宋" w:hAnsi="仿宋" w:eastAsia="仿宋" w:cs="仿宋"/>
          <w:b/>
          <w:color w:val="auto"/>
          <w:kern w:val="0"/>
          <w:sz w:val="28"/>
          <w:szCs w:val="44"/>
          <w:highlight w:val="none"/>
        </w:rPr>
      </w:pPr>
    </w:p>
    <w:p w14:paraId="670B0DE0">
      <w:pPr>
        <w:snapToGrid w:val="0"/>
        <w:spacing w:line="360" w:lineRule="auto"/>
        <w:jc w:val="left"/>
        <w:rPr>
          <w:rFonts w:hint="eastAsia" w:ascii="仿宋" w:hAnsi="仿宋" w:eastAsia="仿宋" w:cs="仿宋"/>
          <w:color w:val="auto"/>
          <w:kern w:val="0"/>
          <w:sz w:val="28"/>
          <w:highlight w:val="none"/>
        </w:rPr>
      </w:pPr>
    </w:p>
    <w:p w14:paraId="6603D4EB">
      <w:pPr>
        <w:snapToGrid w:val="0"/>
        <w:spacing w:line="360" w:lineRule="auto"/>
        <w:jc w:val="left"/>
        <w:rPr>
          <w:rFonts w:hint="eastAsia" w:ascii="仿宋" w:hAnsi="仿宋" w:eastAsia="仿宋" w:cs="仿宋"/>
          <w:color w:val="auto"/>
          <w:kern w:val="0"/>
          <w:sz w:val="28"/>
          <w:highlight w:val="none"/>
        </w:rPr>
      </w:pPr>
    </w:p>
    <w:p w14:paraId="03E2149F">
      <w:pPr>
        <w:snapToGrid w:val="0"/>
        <w:spacing w:line="360" w:lineRule="auto"/>
        <w:jc w:val="left"/>
        <w:rPr>
          <w:rFonts w:hint="eastAsia" w:ascii="仿宋" w:hAnsi="仿宋" w:eastAsia="仿宋" w:cs="仿宋"/>
          <w:color w:val="auto"/>
          <w:kern w:val="0"/>
          <w:sz w:val="28"/>
          <w:highlight w:val="none"/>
        </w:rPr>
      </w:pPr>
    </w:p>
    <w:p w14:paraId="06CCAB87">
      <w:pPr>
        <w:snapToGrid w:val="0"/>
        <w:spacing w:line="360" w:lineRule="auto"/>
        <w:jc w:val="left"/>
        <w:rPr>
          <w:rFonts w:hint="eastAsia" w:ascii="仿宋" w:hAnsi="仿宋" w:eastAsia="仿宋" w:cs="仿宋"/>
          <w:color w:val="auto"/>
          <w:kern w:val="0"/>
          <w:sz w:val="28"/>
          <w:highlight w:val="none"/>
        </w:rPr>
      </w:pPr>
    </w:p>
    <w:p w14:paraId="444A2D5E">
      <w:pPr>
        <w:snapToGrid w:val="0"/>
        <w:spacing w:line="360" w:lineRule="auto"/>
        <w:ind w:firstLine="1200" w:firstLineChars="400"/>
        <w:rPr>
          <w:rFonts w:hint="eastAsia" w:ascii="仿宋" w:hAnsi="仿宋" w:eastAsia="仿宋" w:cs="仿宋"/>
          <w:color w:val="auto"/>
          <w:kern w:val="0"/>
          <w:sz w:val="30"/>
          <w:szCs w:val="30"/>
          <w:highlight w:val="none"/>
          <w:u w:val="single"/>
        </w:rPr>
      </w:pPr>
      <w:r>
        <w:rPr>
          <w:rFonts w:hint="eastAsia" w:ascii="仿宋" w:hAnsi="仿宋" w:eastAsia="仿宋" w:cs="仿宋"/>
          <w:color w:val="auto"/>
          <w:kern w:val="0"/>
          <w:sz w:val="30"/>
          <w:szCs w:val="30"/>
          <w:highlight w:val="none"/>
        </w:rPr>
        <w:t xml:space="preserve">供应商全称： </w:t>
      </w:r>
      <w:r>
        <w:rPr>
          <w:rFonts w:hint="eastAsia" w:ascii="仿宋" w:hAnsi="仿宋" w:eastAsia="仿宋" w:cs="仿宋"/>
          <w:color w:val="auto"/>
          <w:kern w:val="0"/>
          <w:sz w:val="30"/>
          <w:szCs w:val="30"/>
          <w:highlight w:val="none"/>
          <w:u w:val="single"/>
        </w:rPr>
        <w:t xml:space="preserve">                              </w:t>
      </w:r>
      <w:r>
        <w:rPr>
          <w:rFonts w:hint="eastAsia" w:ascii="仿宋" w:hAnsi="仿宋" w:eastAsia="仿宋" w:cs="仿宋"/>
          <w:color w:val="auto"/>
          <w:kern w:val="0"/>
          <w:sz w:val="30"/>
          <w:szCs w:val="30"/>
          <w:highlight w:val="none"/>
        </w:rPr>
        <w:t>（盖章）</w:t>
      </w:r>
    </w:p>
    <w:p w14:paraId="13F1A2A1">
      <w:pPr>
        <w:snapToGrid w:val="0"/>
        <w:spacing w:line="360" w:lineRule="auto"/>
        <w:ind w:firstLine="1200" w:firstLineChars="400"/>
        <w:rPr>
          <w:rFonts w:hint="eastAsia" w:ascii="仿宋" w:hAnsi="仿宋" w:eastAsia="仿宋" w:cs="仿宋"/>
          <w:color w:val="auto"/>
          <w:kern w:val="0"/>
          <w:sz w:val="30"/>
          <w:szCs w:val="30"/>
          <w:highlight w:val="none"/>
          <w:u w:val="single"/>
        </w:rPr>
      </w:pPr>
      <w:r>
        <w:rPr>
          <w:rFonts w:hint="eastAsia" w:ascii="仿宋" w:hAnsi="仿宋" w:eastAsia="仿宋" w:cs="仿宋"/>
          <w:color w:val="auto"/>
          <w:kern w:val="0"/>
          <w:sz w:val="30"/>
          <w:szCs w:val="30"/>
          <w:highlight w:val="none"/>
        </w:rPr>
        <w:t>法定代表人或授权代表：</w:t>
      </w:r>
      <w:r>
        <w:rPr>
          <w:rFonts w:hint="eastAsia" w:ascii="仿宋" w:hAnsi="仿宋" w:eastAsia="仿宋" w:cs="仿宋"/>
          <w:color w:val="auto"/>
          <w:kern w:val="0"/>
          <w:sz w:val="30"/>
          <w:szCs w:val="30"/>
          <w:highlight w:val="none"/>
          <w:u w:val="single"/>
        </w:rPr>
        <w:t xml:space="preserve">                </w:t>
      </w:r>
      <w:r>
        <w:rPr>
          <w:rFonts w:hint="eastAsia" w:ascii="仿宋" w:hAnsi="仿宋" w:eastAsia="仿宋" w:cs="仿宋"/>
          <w:color w:val="auto"/>
          <w:kern w:val="0"/>
          <w:sz w:val="30"/>
          <w:szCs w:val="30"/>
          <w:highlight w:val="none"/>
        </w:rPr>
        <w:t>（签字或盖章）</w:t>
      </w:r>
    </w:p>
    <w:p w14:paraId="1C1419A2">
      <w:pPr>
        <w:snapToGrid w:val="0"/>
        <w:spacing w:line="360" w:lineRule="auto"/>
        <w:rPr>
          <w:rFonts w:hint="eastAsia" w:ascii="仿宋" w:hAnsi="仿宋" w:eastAsia="仿宋" w:cs="仿宋"/>
          <w:color w:val="auto"/>
          <w:kern w:val="0"/>
          <w:sz w:val="30"/>
          <w:szCs w:val="30"/>
          <w:highlight w:val="none"/>
          <w:u w:val="single"/>
        </w:rPr>
      </w:pPr>
    </w:p>
    <w:p w14:paraId="38C1C58D">
      <w:pPr>
        <w:pStyle w:val="8"/>
        <w:rPr>
          <w:rFonts w:hint="eastAsia" w:ascii="仿宋" w:hAnsi="仿宋" w:eastAsia="仿宋" w:cs="仿宋"/>
          <w:color w:val="auto"/>
          <w:sz w:val="30"/>
          <w:szCs w:val="30"/>
          <w:highlight w:val="none"/>
          <w:u w:val="single"/>
        </w:rPr>
      </w:pPr>
    </w:p>
    <w:p w14:paraId="7BF46EC9">
      <w:pPr>
        <w:rPr>
          <w:rFonts w:hint="eastAsia" w:ascii="仿宋" w:hAnsi="仿宋" w:eastAsia="仿宋" w:cs="仿宋"/>
          <w:color w:val="auto"/>
          <w:highlight w:val="none"/>
        </w:rPr>
      </w:pPr>
    </w:p>
    <w:p w14:paraId="23449D98">
      <w:pPr>
        <w:pStyle w:val="14"/>
        <w:rPr>
          <w:rFonts w:hint="eastAsia" w:ascii="仿宋" w:hAnsi="仿宋" w:eastAsia="仿宋" w:cs="仿宋"/>
          <w:color w:val="auto"/>
          <w:sz w:val="30"/>
          <w:szCs w:val="30"/>
          <w:highlight w:val="none"/>
          <w:u w:val="single"/>
        </w:rPr>
      </w:pPr>
    </w:p>
    <w:p w14:paraId="43E09745">
      <w:pPr>
        <w:snapToGrid w:val="0"/>
        <w:spacing w:line="360" w:lineRule="auto"/>
        <w:jc w:val="center"/>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二〇二</w:t>
      </w:r>
      <w:r>
        <w:rPr>
          <w:rFonts w:hint="eastAsia" w:ascii="仿宋" w:hAnsi="仿宋" w:eastAsia="仿宋" w:cs="仿宋"/>
          <w:color w:val="auto"/>
          <w:kern w:val="0"/>
          <w:sz w:val="30"/>
          <w:szCs w:val="30"/>
          <w:highlight w:val="none"/>
          <w:lang w:val="en-US" w:eastAsia="zh-CN"/>
        </w:rPr>
        <w:t>五</w:t>
      </w:r>
      <w:r>
        <w:rPr>
          <w:rFonts w:hint="eastAsia" w:ascii="仿宋" w:hAnsi="仿宋" w:eastAsia="仿宋" w:cs="仿宋"/>
          <w:color w:val="auto"/>
          <w:kern w:val="0"/>
          <w:sz w:val="30"/>
          <w:szCs w:val="30"/>
          <w:highlight w:val="none"/>
        </w:rPr>
        <w:t>年   月   日</w:t>
      </w:r>
    </w:p>
    <w:p w14:paraId="788D0FB8">
      <w:pP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br w:type="page"/>
      </w:r>
      <w:r>
        <w:rPr>
          <w:rFonts w:hint="eastAsia" w:ascii="仿宋" w:hAnsi="仿宋" w:eastAsia="仿宋" w:cs="仿宋"/>
          <w:bCs/>
          <w:color w:val="auto"/>
          <w:sz w:val="24"/>
          <w:highlight w:val="none"/>
        </w:rPr>
        <w:t xml:space="preserve">     目录格式供参考（可自行扩展）</w:t>
      </w:r>
    </w:p>
    <w:p w14:paraId="3AE504AD">
      <w:pPr>
        <w:spacing w:line="360" w:lineRule="auto"/>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目     录</w:t>
      </w:r>
    </w:p>
    <w:p w14:paraId="3365E73C">
      <w:pPr>
        <w:spacing w:line="360" w:lineRule="auto"/>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资格证明文件</w:t>
      </w:r>
    </w:p>
    <w:p w14:paraId="7EA50833">
      <w:pPr>
        <w:pStyle w:val="1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1．具有独立承担民事责任的能力证明文件…………………………………………</w:t>
      </w:r>
    </w:p>
    <w:p w14:paraId="4A229ADE">
      <w:pPr>
        <w:pStyle w:val="1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2．具有良好的商业信誉和健全的财务会计制度证明文件…………………………</w:t>
      </w:r>
    </w:p>
    <w:p w14:paraId="26AF3D6F">
      <w:pPr>
        <w:pStyle w:val="1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3．具有履行合同所必需的设备和专业技术能力证明文件…………………………</w:t>
      </w:r>
    </w:p>
    <w:p w14:paraId="788C49AB">
      <w:pPr>
        <w:pStyle w:val="1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4．具有依法缴纳税收和社会保障资金证明文件……………………………………</w:t>
      </w:r>
    </w:p>
    <w:p w14:paraId="1AC797CF">
      <w:pPr>
        <w:pStyle w:val="1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5．参加政府采购活动前三年内，在经营活动中没有重大违法记录证明文件……</w:t>
      </w:r>
    </w:p>
    <w:p w14:paraId="51F27EC0">
      <w:pPr>
        <w:pStyle w:val="1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．采购项目的特定资格要求证明文件………………………………………………</w:t>
      </w:r>
    </w:p>
    <w:p w14:paraId="37679F36">
      <w:pPr>
        <w:pStyle w:val="1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 供应商廉洁自律承诺书……………………………………………………………</w:t>
      </w:r>
    </w:p>
    <w:p w14:paraId="6B5AD505">
      <w:pPr>
        <w:pStyle w:val="1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供应商信用信息查询………………………………………………………………</w:t>
      </w:r>
    </w:p>
    <w:p w14:paraId="422B73AB">
      <w:pPr>
        <w:pStyle w:val="1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供应商需提交的其他基本资质……………………………………………………</w:t>
      </w:r>
    </w:p>
    <w:p w14:paraId="14601B5F">
      <w:pPr>
        <w:spacing w:line="360" w:lineRule="auto"/>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商务、技术文件</w:t>
      </w:r>
    </w:p>
    <w:p w14:paraId="099DA1EF">
      <w:pPr>
        <w:pStyle w:val="1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1．法定代表人身份证明书…………………………………………………………</w:t>
      </w:r>
    </w:p>
    <w:p w14:paraId="56602236">
      <w:pPr>
        <w:pStyle w:val="1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2．法定代表人授权委托书…………………………………………………………</w:t>
      </w:r>
    </w:p>
    <w:p w14:paraId="323D2E75">
      <w:pPr>
        <w:pStyle w:val="1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3．磋商函……………………………………………………………………………</w:t>
      </w:r>
    </w:p>
    <w:p w14:paraId="6F4DEE87">
      <w:pPr>
        <w:pStyle w:val="1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 报价一览表………………………………………………………………………</w:t>
      </w:r>
    </w:p>
    <w:p w14:paraId="10E584CA">
      <w:pPr>
        <w:pStyle w:val="1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 商务条款响应表…………………………………………………………………</w:t>
      </w:r>
    </w:p>
    <w:p w14:paraId="708A1D3B">
      <w:pPr>
        <w:pStyle w:val="1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 服务技术规范响应及偏离表……………………………………………………</w:t>
      </w:r>
    </w:p>
    <w:p w14:paraId="09DD2672">
      <w:pPr>
        <w:pStyle w:val="1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7．服务方案及人员配备情况………………………………………………………</w:t>
      </w:r>
    </w:p>
    <w:p w14:paraId="483A5536">
      <w:pPr>
        <w:pStyle w:val="1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8．服务承诺书………………………………………………………………………</w:t>
      </w:r>
    </w:p>
    <w:p w14:paraId="3D3D4CFA">
      <w:pPr>
        <w:pStyle w:val="1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9．供应商认为需要提供的其他商务、技术材料…………………………………</w:t>
      </w:r>
    </w:p>
    <w:p w14:paraId="18EB986F">
      <w:pPr>
        <w:pStyle w:val="10"/>
        <w:snapToGrid w:val="0"/>
        <w:spacing w:line="360" w:lineRule="auto"/>
        <w:ind w:firstLine="480" w:firstLineChars="200"/>
        <w:jc w:val="center"/>
        <w:rPr>
          <w:rFonts w:hint="eastAsia" w:ascii="仿宋" w:hAnsi="仿宋" w:eastAsia="仿宋" w:cs="仿宋"/>
          <w:b/>
          <w:color w:val="auto"/>
          <w:sz w:val="36"/>
          <w:szCs w:val="36"/>
          <w:highlight w:val="none"/>
        </w:rPr>
      </w:pPr>
      <w:r>
        <w:rPr>
          <w:rFonts w:hint="eastAsia" w:ascii="仿宋" w:hAnsi="仿宋" w:eastAsia="仿宋" w:cs="仿宋"/>
          <w:color w:val="auto"/>
          <w:sz w:val="24"/>
          <w:szCs w:val="24"/>
          <w:highlight w:val="none"/>
          <w:lang w:val="en-US" w:eastAsia="zh-CN"/>
        </w:rPr>
        <w:t>10、政策要求</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br w:type="page"/>
      </w:r>
      <w:bookmarkStart w:id="8" w:name="_Toc21585"/>
      <w:r>
        <w:rPr>
          <w:rFonts w:hint="eastAsia" w:ascii="仿宋" w:hAnsi="仿宋" w:eastAsia="仿宋" w:cs="仿宋"/>
          <w:b/>
          <w:color w:val="auto"/>
          <w:sz w:val="36"/>
          <w:szCs w:val="36"/>
          <w:highlight w:val="none"/>
        </w:rPr>
        <w:t>资格证明文件</w:t>
      </w:r>
      <w:bookmarkEnd w:id="8"/>
    </w:p>
    <w:p w14:paraId="6B20F0B5">
      <w:pPr>
        <w:snapToGrid w:val="0"/>
        <w:spacing w:line="360" w:lineRule="auto"/>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rPr>
        <w:t>1．</w:t>
      </w:r>
      <w:r>
        <w:rPr>
          <w:rFonts w:hint="eastAsia" w:ascii="仿宋" w:hAnsi="仿宋" w:eastAsia="仿宋" w:cs="仿宋"/>
          <w:b/>
          <w:color w:val="auto"/>
          <w:szCs w:val="21"/>
          <w:highlight w:val="none"/>
        </w:rPr>
        <w:t>具有独立承担民事责任的能力证明文件</w:t>
      </w:r>
    </w:p>
    <w:p w14:paraId="345C29EA">
      <w:pPr>
        <w:spacing w:line="360" w:lineRule="auto"/>
        <w:jc w:val="center"/>
        <w:rPr>
          <w:rFonts w:hint="eastAsia" w:ascii="仿宋" w:hAnsi="仿宋" w:eastAsia="仿宋" w:cs="仿宋"/>
          <w:b/>
          <w:color w:val="auto"/>
          <w:szCs w:val="21"/>
          <w:highlight w:val="none"/>
        </w:rPr>
      </w:pPr>
    </w:p>
    <w:p w14:paraId="25C005D8">
      <w:pPr>
        <w:spacing w:line="36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供应商具有独立承担民事责任的能力的承诺函</w:t>
      </w:r>
    </w:p>
    <w:p w14:paraId="7A4B1FF9">
      <w:pPr>
        <w:rPr>
          <w:rFonts w:hint="eastAsia" w:ascii="仿宋" w:hAnsi="仿宋" w:eastAsia="仿宋" w:cs="仿宋"/>
          <w:color w:val="auto"/>
          <w:szCs w:val="21"/>
          <w:highlight w:val="none"/>
          <w:u w:val="single"/>
        </w:rPr>
      </w:pPr>
    </w:p>
    <w:p w14:paraId="179F1436">
      <w:pPr>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 xml:space="preserve">  采购人名称  ：</w:t>
      </w:r>
    </w:p>
    <w:p w14:paraId="56EB76E2">
      <w:pPr>
        <w:widowControl/>
        <w:snapToGrid w:val="0"/>
        <w:spacing w:line="360" w:lineRule="auto"/>
        <w:ind w:firstLine="420" w:firstLineChars="200"/>
        <w:rPr>
          <w:rFonts w:hint="eastAsia" w:ascii="仿宋" w:hAnsi="仿宋" w:eastAsia="仿宋" w:cs="仿宋"/>
          <w:color w:val="auto"/>
          <w:szCs w:val="21"/>
          <w:highlight w:val="none"/>
        </w:rPr>
      </w:pPr>
    </w:p>
    <w:p w14:paraId="332F4CD5">
      <w:pPr>
        <w:widowControl/>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本供应商现参与贵公司组织的</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项目（项目编号：</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kern w:val="0"/>
          <w:szCs w:val="21"/>
          <w:highlight w:val="none"/>
          <w:u w:val="single"/>
        </w:rPr>
        <w:t xml:space="preserve">     （包号）</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）的采购活动。依据磋商文件相关规定，现郑重承诺：我方具有有效的营业执照或事业单位法人证书或自然人身份证明或其他非企业组织证明文件及有效的开户许可证，能独立承担民事责任的能力。</w:t>
      </w:r>
    </w:p>
    <w:p w14:paraId="131CC72B">
      <w:pPr>
        <w:widowControl/>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基本信息如下：</w:t>
      </w:r>
    </w:p>
    <w:p w14:paraId="57A3C206">
      <w:pPr>
        <w:widowControl/>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名称为：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，统一社会信用代码为：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；法定代表人（负责人）为：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；营业期限为: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；基本开户银行为：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；账号为：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14:paraId="05AD45F5">
      <w:pPr>
        <w:widowControl/>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以上承诺信息如有虚假或隐瞒，我方愿意承担一切后果，并不再寻求任何旨在减轻或免除法律责任的辩解。 </w:t>
      </w:r>
    </w:p>
    <w:p w14:paraId="48A5EEF7">
      <w:pPr>
        <w:widowControl/>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特此承诺。</w:t>
      </w:r>
    </w:p>
    <w:p w14:paraId="5FB51787">
      <w:pPr>
        <w:widowControl/>
        <w:snapToGrid w:val="0"/>
        <w:spacing w:line="360" w:lineRule="auto"/>
        <w:ind w:firstLine="420" w:firstLineChars="200"/>
        <w:rPr>
          <w:rFonts w:hint="eastAsia" w:ascii="仿宋" w:hAnsi="仿宋" w:eastAsia="仿宋" w:cs="仿宋"/>
          <w:color w:val="auto"/>
          <w:szCs w:val="21"/>
          <w:highlight w:val="none"/>
        </w:rPr>
      </w:pPr>
    </w:p>
    <w:p w14:paraId="10F3B929">
      <w:pPr>
        <w:widowControl/>
        <w:snapToGrid w:val="0"/>
        <w:spacing w:line="360" w:lineRule="auto"/>
        <w:ind w:firstLine="420" w:firstLineChars="200"/>
        <w:rPr>
          <w:rFonts w:hint="eastAsia" w:ascii="仿宋" w:hAnsi="仿宋" w:eastAsia="仿宋" w:cs="仿宋"/>
          <w:color w:val="auto"/>
          <w:szCs w:val="21"/>
          <w:highlight w:val="none"/>
        </w:rPr>
      </w:pPr>
    </w:p>
    <w:p w14:paraId="311178BF">
      <w:pPr>
        <w:snapToGrid w:val="0"/>
        <w:spacing w:line="480" w:lineRule="exact"/>
        <w:ind w:firstLine="2730" w:firstLineChars="1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供应商名称：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（盖章）</w:t>
      </w:r>
    </w:p>
    <w:p w14:paraId="4BD5A5BF">
      <w:pPr>
        <w:snapToGrid w:val="0"/>
        <w:spacing w:line="4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法定代表人（负责人）：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（签字或盖章）  </w:t>
      </w:r>
    </w:p>
    <w:p w14:paraId="3CC9AF15">
      <w:pPr>
        <w:spacing w:line="4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日      期：</w:t>
      </w:r>
    </w:p>
    <w:p w14:paraId="0B1A3011">
      <w:pPr>
        <w:pStyle w:val="31"/>
        <w:spacing w:line="360" w:lineRule="auto"/>
        <w:ind w:firstLine="0" w:firstLineChars="0"/>
        <w:rPr>
          <w:rFonts w:hint="eastAsia" w:ascii="仿宋" w:hAnsi="仿宋" w:eastAsia="仿宋" w:cs="仿宋"/>
          <w:color w:val="auto"/>
          <w:szCs w:val="21"/>
          <w:highlight w:val="none"/>
        </w:rPr>
      </w:pPr>
    </w:p>
    <w:p w14:paraId="4E8C7D81">
      <w:pPr>
        <w:pStyle w:val="8"/>
        <w:rPr>
          <w:rFonts w:hint="eastAsia" w:ascii="仿宋" w:hAnsi="仿宋" w:eastAsia="仿宋" w:cs="仿宋"/>
          <w:color w:val="auto"/>
          <w:sz w:val="21"/>
          <w:szCs w:val="21"/>
          <w:highlight w:val="none"/>
        </w:rPr>
      </w:pPr>
    </w:p>
    <w:p w14:paraId="22BBF2B6">
      <w:pPr>
        <w:snapToGrid w:val="0"/>
        <w:spacing w:line="360" w:lineRule="auto"/>
        <w:rPr>
          <w:rFonts w:hint="eastAsia" w:ascii="仿宋" w:hAnsi="仿宋" w:eastAsia="仿宋" w:cs="仿宋"/>
          <w:color w:val="auto"/>
          <w:kern w:val="0"/>
          <w:szCs w:val="21"/>
          <w:highlight w:val="none"/>
        </w:rPr>
      </w:pPr>
    </w:p>
    <w:p w14:paraId="56F69FF7">
      <w:pPr>
        <w:widowControl/>
        <w:spacing w:line="330" w:lineRule="atLeast"/>
        <w:jc w:val="left"/>
        <w:rPr>
          <w:rFonts w:hint="eastAsia" w:ascii="仿宋" w:hAnsi="仿宋" w:eastAsia="仿宋" w:cs="仿宋"/>
          <w:color w:val="auto"/>
          <w:kern w:val="0"/>
          <w:szCs w:val="21"/>
          <w:highlight w:val="none"/>
        </w:rPr>
      </w:pPr>
    </w:p>
    <w:p w14:paraId="160737FD">
      <w:pPr>
        <w:snapToGrid w:val="0"/>
        <w:spacing w:line="360" w:lineRule="auto"/>
        <w:outlineLvl w:val="0"/>
        <w:rPr>
          <w:rFonts w:hint="eastAsia" w:ascii="仿宋" w:hAnsi="仿宋" w:eastAsia="仿宋" w:cs="仿宋"/>
          <w:b/>
          <w:bCs/>
          <w:color w:val="auto"/>
          <w:szCs w:val="21"/>
          <w:highlight w:val="none"/>
        </w:rPr>
      </w:pPr>
      <w:bookmarkStart w:id="9" w:name="_Toc26574"/>
      <w:r>
        <w:rPr>
          <w:rFonts w:hint="eastAsia" w:ascii="仿宋" w:hAnsi="仿宋" w:eastAsia="仿宋" w:cs="仿宋"/>
          <w:b/>
          <w:color w:val="auto"/>
          <w:szCs w:val="21"/>
          <w:highlight w:val="none"/>
        </w:rPr>
        <w:br w:type="page"/>
      </w:r>
      <w:r>
        <w:rPr>
          <w:rFonts w:hint="eastAsia" w:ascii="仿宋" w:hAnsi="仿宋" w:eastAsia="仿宋" w:cs="仿宋"/>
          <w:b/>
          <w:color w:val="auto"/>
          <w:szCs w:val="21"/>
          <w:highlight w:val="none"/>
        </w:rPr>
        <w:t>2．</w:t>
      </w:r>
      <w:r>
        <w:rPr>
          <w:rFonts w:hint="eastAsia" w:ascii="仿宋" w:hAnsi="仿宋" w:eastAsia="仿宋" w:cs="仿宋"/>
          <w:b/>
          <w:bCs/>
          <w:color w:val="auto"/>
          <w:szCs w:val="21"/>
          <w:highlight w:val="none"/>
        </w:rPr>
        <w:t>具有良好的商业信誉和健全的财务会计制度证明文件</w:t>
      </w:r>
      <w:bookmarkEnd w:id="9"/>
    </w:p>
    <w:p w14:paraId="5F435731">
      <w:pPr>
        <w:spacing w:line="360" w:lineRule="auto"/>
        <w:jc w:val="center"/>
        <w:rPr>
          <w:rFonts w:hint="eastAsia" w:ascii="仿宋" w:hAnsi="仿宋" w:eastAsia="仿宋" w:cs="仿宋"/>
          <w:b/>
          <w:color w:val="auto"/>
          <w:szCs w:val="21"/>
          <w:highlight w:val="none"/>
        </w:rPr>
      </w:pPr>
    </w:p>
    <w:p w14:paraId="7A4DF2FC">
      <w:pPr>
        <w:spacing w:line="36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供应商具有良好的商业信誉和健全的财务会计制度的承诺函</w:t>
      </w:r>
    </w:p>
    <w:p w14:paraId="72F5840D">
      <w:pPr>
        <w:rPr>
          <w:rFonts w:hint="eastAsia" w:ascii="仿宋" w:hAnsi="仿宋" w:eastAsia="仿宋" w:cs="仿宋"/>
          <w:color w:val="auto"/>
          <w:szCs w:val="21"/>
          <w:highlight w:val="none"/>
          <w:u w:val="single"/>
        </w:rPr>
      </w:pPr>
    </w:p>
    <w:p w14:paraId="1CC05A2F">
      <w:pPr>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 xml:space="preserve">  采购人名称  ：</w:t>
      </w:r>
    </w:p>
    <w:p w14:paraId="67A17608">
      <w:pPr>
        <w:widowControl/>
        <w:snapToGrid w:val="0"/>
        <w:spacing w:line="360" w:lineRule="auto"/>
        <w:ind w:firstLine="420" w:firstLineChars="200"/>
        <w:rPr>
          <w:rFonts w:hint="eastAsia" w:ascii="仿宋" w:hAnsi="仿宋" w:eastAsia="仿宋" w:cs="仿宋"/>
          <w:color w:val="auto"/>
          <w:szCs w:val="21"/>
          <w:highlight w:val="none"/>
        </w:rPr>
      </w:pPr>
    </w:p>
    <w:p w14:paraId="702592F4">
      <w:pPr>
        <w:widowControl/>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本供应商现参与贵公司组织的</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项目（项目编号：</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kern w:val="0"/>
          <w:szCs w:val="21"/>
          <w:highlight w:val="none"/>
          <w:u w:val="single"/>
        </w:rPr>
        <w:t xml:space="preserve">     （包号）</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）的采购活动。依据磋商文件相关规定，现郑重承诺：我方具有通过具备审计资格的第三方出具的</w:t>
      </w:r>
      <w:r>
        <w:rPr>
          <w:rFonts w:hint="eastAsia" w:ascii="仿宋" w:hAnsi="仿宋" w:eastAsia="仿宋" w:cs="仿宋"/>
          <w:color w:val="auto"/>
          <w:szCs w:val="21"/>
          <w:highlight w:val="none"/>
          <w:lang w:val="en-US" w:eastAsia="zh-CN"/>
        </w:rPr>
        <w:t>2024年度</w:t>
      </w:r>
      <w:r>
        <w:rPr>
          <w:rFonts w:hint="eastAsia" w:ascii="仿宋" w:hAnsi="仿宋" w:eastAsia="仿宋" w:cs="仿宋"/>
          <w:color w:val="auto"/>
          <w:szCs w:val="21"/>
          <w:highlight w:val="none"/>
        </w:rPr>
        <w:t>合格且有效的财务审计报告或在基本户开户银行出具的无不良记录资信证明等文件。商业信誉良好，财务制度健全。</w:t>
      </w:r>
    </w:p>
    <w:p w14:paraId="189A53C7">
      <w:pPr>
        <w:widowControl/>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以上承诺信息如有虚假或隐瞒，我方愿意承担一切后果，并不再寻求任何旨在减轻或免除法律责任的辩解。 </w:t>
      </w:r>
    </w:p>
    <w:p w14:paraId="1F1E35A5">
      <w:pPr>
        <w:widowControl/>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特此承诺。</w:t>
      </w:r>
    </w:p>
    <w:p w14:paraId="58F7D838">
      <w:pPr>
        <w:widowControl/>
        <w:snapToGrid w:val="0"/>
        <w:spacing w:line="360" w:lineRule="auto"/>
        <w:ind w:firstLine="420" w:firstLineChars="200"/>
        <w:rPr>
          <w:rFonts w:hint="eastAsia" w:ascii="仿宋" w:hAnsi="仿宋" w:eastAsia="仿宋" w:cs="仿宋"/>
          <w:color w:val="auto"/>
          <w:szCs w:val="21"/>
          <w:highlight w:val="none"/>
        </w:rPr>
      </w:pPr>
    </w:p>
    <w:p w14:paraId="5FA504A3">
      <w:pPr>
        <w:widowControl/>
        <w:snapToGrid w:val="0"/>
        <w:spacing w:line="360" w:lineRule="auto"/>
        <w:ind w:firstLine="420" w:firstLineChars="200"/>
        <w:rPr>
          <w:rFonts w:hint="eastAsia" w:ascii="仿宋" w:hAnsi="仿宋" w:eastAsia="仿宋" w:cs="仿宋"/>
          <w:color w:val="auto"/>
          <w:szCs w:val="21"/>
          <w:highlight w:val="none"/>
        </w:rPr>
      </w:pPr>
    </w:p>
    <w:p w14:paraId="5175C9BE">
      <w:pPr>
        <w:snapToGrid w:val="0"/>
        <w:spacing w:line="480" w:lineRule="exact"/>
        <w:ind w:firstLine="2730" w:firstLineChars="1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供应商名称：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（盖章）</w:t>
      </w:r>
    </w:p>
    <w:p w14:paraId="257CD662">
      <w:pPr>
        <w:snapToGrid w:val="0"/>
        <w:spacing w:line="4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法定代表人（负责人）：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（签字或盖章）</w:t>
      </w:r>
    </w:p>
    <w:p w14:paraId="793A7257">
      <w:pPr>
        <w:spacing w:line="4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日      期：</w:t>
      </w:r>
    </w:p>
    <w:p w14:paraId="246FF72F">
      <w:pPr>
        <w:widowControl/>
        <w:snapToGrid w:val="0"/>
        <w:spacing w:line="360" w:lineRule="auto"/>
        <w:ind w:firstLine="420" w:firstLineChars="200"/>
        <w:rPr>
          <w:rFonts w:hint="eastAsia" w:ascii="仿宋" w:hAnsi="仿宋" w:eastAsia="仿宋" w:cs="仿宋"/>
          <w:color w:val="auto"/>
          <w:szCs w:val="21"/>
          <w:highlight w:val="none"/>
        </w:rPr>
      </w:pPr>
    </w:p>
    <w:p w14:paraId="52689B21">
      <w:pPr>
        <w:widowControl/>
        <w:spacing w:line="330" w:lineRule="atLeast"/>
        <w:jc w:val="left"/>
        <w:rPr>
          <w:rFonts w:hint="eastAsia" w:ascii="仿宋" w:hAnsi="仿宋" w:eastAsia="仿宋" w:cs="仿宋"/>
          <w:b/>
          <w:color w:val="auto"/>
          <w:kern w:val="0"/>
          <w:szCs w:val="21"/>
          <w:highlight w:val="none"/>
        </w:rPr>
      </w:pPr>
    </w:p>
    <w:p w14:paraId="4DDA2282">
      <w:pPr>
        <w:snapToGrid w:val="0"/>
        <w:spacing w:line="360" w:lineRule="auto"/>
        <w:rPr>
          <w:rFonts w:hint="eastAsia" w:ascii="仿宋" w:hAnsi="仿宋" w:eastAsia="仿宋" w:cs="仿宋"/>
          <w:b/>
          <w:color w:val="auto"/>
          <w:kern w:val="0"/>
          <w:szCs w:val="21"/>
          <w:highlight w:val="none"/>
        </w:rPr>
      </w:pPr>
    </w:p>
    <w:p w14:paraId="3122D147">
      <w:pPr>
        <w:widowControl/>
        <w:spacing w:line="330" w:lineRule="atLeast"/>
        <w:jc w:val="left"/>
        <w:rPr>
          <w:rFonts w:hint="eastAsia" w:ascii="仿宋" w:hAnsi="仿宋" w:eastAsia="仿宋" w:cs="仿宋"/>
          <w:b/>
          <w:color w:val="auto"/>
          <w:kern w:val="0"/>
          <w:szCs w:val="21"/>
          <w:highlight w:val="none"/>
        </w:rPr>
      </w:pPr>
    </w:p>
    <w:p w14:paraId="78D55F67">
      <w:pPr>
        <w:snapToGrid w:val="0"/>
        <w:spacing w:line="360" w:lineRule="auto"/>
        <w:rPr>
          <w:rFonts w:hint="eastAsia" w:ascii="仿宋" w:hAnsi="仿宋" w:eastAsia="仿宋" w:cs="仿宋"/>
          <w:b/>
          <w:color w:val="auto"/>
          <w:kern w:val="0"/>
          <w:szCs w:val="21"/>
          <w:highlight w:val="none"/>
        </w:rPr>
      </w:pPr>
      <w:bookmarkStart w:id="10" w:name="_Toc3689"/>
      <w:r>
        <w:rPr>
          <w:rFonts w:hint="eastAsia" w:ascii="仿宋" w:hAnsi="仿宋" w:eastAsia="仿宋" w:cs="仿宋"/>
          <w:b/>
          <w:color w:val="auto"/>
          <w:kern w:val="0"/>
          <w:szCs w:val="21"/>
          <w:highlight w:val="none"/>
        </w:rPr>
        <w:br w:type="page"/>
      </w:r>
      <w:bookmarkEnd w:id="10"/>
      <w:r>
        <w:rPr>
          <w:rFonts w:hint="eastAsia" w:ascii="仿宋" w:hAnsi="仿宋" w:eastAsia="仿宋" w:cs="仿宋"/>
          <w:b/>
          <w:color w:val="auto"/>
          <w:kern w:val="0"/>
          <w:szCs w:val="21"/>
          <w:highlight w:val="none"/>
        </w:rPr>
        <w:t>3．具有履行合同所必需的设备和专业技术能力证明文件</w:t>
      </w:r>
    </w:p>
    <w:p w14:paraId="5D429030">
      <w:pPr>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供应商履行合同能力承诺函</w:t>
      </w:r>
    </w:p>
    <w:p w14:paraId="59630788">
      <w:pPr>
        <w:keepNext/>
        <w:rPr>
          <w:rFonts w:hint="eastAsia" w:ascii="仿宋" w:hAnsi="仿宋" w:eastAsia="仿宋" w:cs="仿宋"/>
          <w:color w:val="auto"/>
          <w:szCs w:val="21"/>
          <w:highlight w:val="none"/>
        </w:rPr>
      </w:pPr>
    </w:p>
    <w:p w14:paraId="461E9F22">
      <w:pPr>
        <w:pStyle w:val="14"/>
        <w:keepNext/>
        <w:widowControl w:val="0"/>
        <w:rPr>
          <w:rFonts w:hint="eastAsia" w:ascii="仿宋" w:hAnsi="仿宋" w:eastAsia="仿宋" w:cs="仿宋"/>
          <w:color w:val="auto"/>
          <w:highlight w:val="none"/>
        </w:rPr>
      </w:pPr>
    </w:p>
    <w:p w14:paraId="079F1923">
      <w:pPr>
        <w:keepNex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 xml:space="preserve">  采购人名称  ：</w:t>
      </w:r>
    </w:p>
    <w:p w14:paraId="7EDAED40">
      <w:pPr>
        <w:pStyle w:val="14"/>
        <w:keepNext/>
        <w:widowControl w:val="0"/>
        <w:rPr>
          <w:rFonts w:hint="eastAsia" w:ascii="仿宋" w:hAnsi="仿宋" w:eastAsia="仿宋" w:cs="仿宋"/>
          <w:color w:val="auto"/>
          <w:highlight w:val="none"/>
        </w:rPr>
      </w:pPr>
    </w:p>
    <w:p w14:paraId="78616872">
      <w:pPr>
        <w:keepNext/>
        <w:snapToGrid w:val="0"/>
        <w:spacing w:line="4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本供应商现参与贵公司组织的</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项目（项目编号：</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kern w:val="0"/>
          <w:szCs w:val="21"/>
          <w:highlight w:val="none"/>
          <w:u w:val="single"/>
        </w:rPr>
        <w:t>（包号）</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）的采购活动。依据磋商文件相关规定，现郑重承诺：我方具备履行合同所必需的设备和专业技术能力。</w:t>
      </w:r>
    </w:p>
    <w:p w14:paraId="51F197DA">
      <w:pPr>
        <w:keepNext/>
        <w:snapToGrid w:val="0"/>
        <w:spacing w:line="4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以上承诺信息如有虚假或隐瞒，我方愿意承担一切后果，并不再寻求任何旨在减轻或免除法律责任的辩解。</w:t>
      </w:r>
    </w:p>
    <w:p w14:paraId="2860785C">
      <w:pPr>
        <w:keepNext/>
        <w:snapToGrid w:val="0"/>
        <w:spacing w:line="4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特此承诺</w:t>
      </w:r>
    </w:p>
    <w:p w14:paraId="5915168E">
      <w:pPr>
        <w:keepNext/>
        <w:ind w:firstLine="2948" w:firstLineChars="1404"/>
        <w:rPr>
          <w:rFonts w:hint="eastAsia" w:ascii="仿宋" w:hAnsi="仿宋" w:eastAsia="仿宋" w:cs="仿宋"/>
          <w:color w:val="auto"/>
          <w:szCs w:val="21"/>
          <w:highlight w:val="none"/>
        </w:rPr>
      </w:pPr>
    </w:p>
    <w:p w14:paraId="2C2D02F0">
      <w:pPr>
        <w:keepNext/>
        <w:ind w:firstLine="2948" w:firstLineChars="1404"/>
        <w:rPr>
          <w:rFonts w:hint="eastAsia" w:ascii="仿宋" w:hAnsi="仿宋" w:eastAsia="仿宋" w:cs="仿宋"/>
          <w:color w:val="auto"/>
          <w:szCs w:val="21"/>
          <w:highlight w:val="none"/>
        </w:rPr>
      </w:pPr>
    </w:p>
    <w:p w14:paraId="7CB4391E">
      <w:pPr>
        <w:keepNext/>
        <w:ind w:firstLine="2948" w:firstLineChars="1404"/>
        <w:rPr>
          <w:rFonts w:hint="eastAsia" w:ascii="仿宋" w:hAnsi="仿宋" w:eastAsia="仿宋" w:cs="仿宋"/>
          <w:color w:val="auto"/>
          <w:szCs w:val="21"/>
          <w:highlight w:val="none"/>
        </w:rPr>
      </w:pPr>
    </w:p>
    <w:p w14:paraId="243B1B53">
      <w:pPr>
        <w:pStyle w:val="14"/>
        <w:keepNext/>
        <w:widowControl w:val="0"/>
        <w:rPr>
          <w:rFonts w:hint="eastAsia" w:ascii="仿宋" w:hAnsi="仿宋" w:eastAsia="仿宋" w:cs="仿宋"/>
          <w:color w:val="auto"/>
          <w:highlight w:val="none"/>
        </w:rPr>
      </w:pPr>
    </w:p>
    <w:p w14:paraId="799C8725">
      <w:pPr>
        <w:pStyle w:val="14"/>
        <w:keepNext/>
        <w:widowControl w:val="0"/>
        <w:rPr>
          <w:rFonts w:hint="eastAsia" w:ascii="仿宋" w:hAnsi="仿宋" w:eastAsia="仿宋" w:cs="仿宋"/>
          <w:color w:val="auto"/>
          <w:highlight w:val="none"/>
        </w:rPr>
      </w:pPr>
    </w:p>
    <w:p w14:paraId="0A384460">
      <w:pPr>
        <w:keepNext/>
        <w:ind w:firstLine="2948" w:firstLineChars="1404"/>
        <w:rPr>
          <w:rFonts w:hint="eastAsia" w:ascii="仿宋" w:hAnsi="仿宋" w:eastAsia="仿宋" w:cs="仿宋"/>
          <w:color w:val="auto"/>
          <w:szCs w:val="21"/>
          <w:highlight w:val="none"/>
        </w:rPr>
      </w:pPr>
    </w:p>
    <w:p w14:paraId="427EB2D7">
      <w:pPr>
        <w:keepNext/>
        <w:ind w:firstLine="2948" w:firstLineChars="1404"/>
        <w:rPr>
          <w:rFonts w:hint="eastAsia" w:ascii="仿宋" w:hAnsi="仿宋" w:eastAsia="仿宋" w:cs="仿宋"/>
          <w:color w:val="auto"/>
          <w:szCs w:val="21"/>
          <w:highlight w:val="none"/>
        </w:rPr>
      </w:pPr>
    </w:p>
    <w:p w14:paraId="28B43589">
      <w:pPr>
        <w:snapToGrid w:val="0"/>
        <w:spacing w:line="480" w:lineRule="exact"/>
        <w:ind w:firstLine="2730" w:firstLineChars="1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供应商名称：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（盖章）</w:t>
      </w:r>
    </w:p>
    <w:p w14:paraId="5AAB9020">
      <w:pPr>
        <w:snapToGrid w:val="0"/>
        <w:spacing w:line="4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法定代表人（负责人）：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（签字或盖章）  </w:t>
      </w:r>
    </w:p>
    <w:p w14:paraId="0ED2B62C">
      <w:pPr>
        <w:spacing w:line="4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日      期：</w:t>
      </w:r>
    </w:p>
    <w:p w14:paraId="3EF710E5">
      <w:pPr>
        <w:ind w:firstLine="2948" w:firstLineChars="1404"/>
        <w:rPr>
          <w:rFonts w:hint="eastAsia" w:ascii="仿宋" w:hAnsi="仿宋" w:eastAsia="仿宋" w:cs="仿宋"/>
          <w:color w:val="auto"/>
          <w:szCs w:val="21"/>
          <w:highlight w:val="none"/>
        </w:rPr>
      </w:pPr>
    </w:p>
    <w:p w14:paraId="12F89388">
      <w:pPr>
        <w:ind w:firstLine="2948" w:firstLineChars="1404"/>
        <w:rPr>
          <w:rFonts w:hint="eastAsia" w:ascii="仿宋" w:hAnsi="仿宋" w:eastAsia="仿宋" w:cs="仿宋"/>
          <w:color w:val="auto"/>
          <w:szCs w:val="21"/>
          <w:highlight w:val="none"/>
        </w:rPr>
      </w:pPr>
    </w:p>
    <w:p w14:paraId="520D9D79">
      <w:pPr>
        <w:ind w:firstLine="2948" w:firstLineChars="1404"/>
        <w:rPr>
          <w:rFonts w:hint="eastAsia" w:ascii="仿宋" w:hAnsi="仿宋" w:eastAsia="仿宋" w:cs="仿宋"/>
          <w:color w:val="auto"/>
          <w:szCs w:val="21"/>
          <w:highlight w:val="none"/>
        </w:rPr>
      </w:pPr>
    </w:p>
    <w:p w14:paraId="7F83AFC3">
      <w:pPr>
        <w:ind w:firstLine="2948" w:firstLineChars="1404"/>
        <w:rPr>
          <w:rFonts w:hint="eastAsia" w:ascii="仿宋" w:hAnsi="仿宋" w:eastAsia="仿宋" w:cs="仿宋"/>
          <w:color w:val="auto"/>
          <w:szCs w:val="21"/>
          <w:highlight w:val="none"/>
        </w:rPr>
      </w:pPr>
    </w:p>
    <w:p w14:paraId="45270699">
      <w:pPr>
        <w:ind w:firstLine="2948" w:firstLineChars="1404"/>
        <w:rPr>
          <w:rFonts w:hint="eastAsia" w:ascii="仿宋" w:hAnsi="仿宋" w:eastAsia="仿宋" w:cs="仿宋"/>
          <w:color w:val="auto"/>
          <w:szCs w:val="21"/>
          <w:highlight w:val="none"/>
        </w:rPr>
      </w:pPr>
    </w:p>
    <w:p w14:paraId="1B153746">
      <w:pPr>
        <w:ind w:firstLine="2948" w:firstLineChars="1404"/>
        <w:rPr>
          <w:rFonts w:hint="eastAsia" w:ascii="仿宋" w:hAnsi="仿宋" w:eastAsia="仿宋" w:cs="仿宋"/>
          <w:color w:val="auto"/>
          <w:szCs w:val="21"/>
          <w:highlight w:val="none"/>
        </w:rPr>
      </w:pPr>
    </w:p>
    <w:p w14:paraId="7E73EBB2">
      <w:pPr>
        <w:snapToGrid w:val="0"/>
        <w:spacing w:line="360" w:lineRule="auto"/>
        <w:rPr>
          <w:rFonts w:hint="eastAsia" w:ascii="仿宋" w:hAnsi="仿宋" w:eastAsia="仿宋" w:cs="仿宋"/>
          <w:color w:val="auto"/>
          <w:szCs w:val="21"/>
          <w:highlight w:val="none"/>
        </w:rPr>
      </w:pPr>
    </w:p>
    <w:p w14:paraId="7022EBE9">
      <w:pPr>
        <w:widowControl/>
        <w:snapToGrid w:val="0"/>
        <w:spacing w:line="360" w:lineRule="auto"/>
        <w:rPr>
          <w:rFonts w:hint="eastAsia" w:ascii="仿宋" w:hAnsi="仿宋" w:eastAsia="仿宋" w:cs="仿宋"/>
          <w:b/>
          <w:color w:val="auto"/>
          <w:kern w:val="0"/>
          <w:szCs w:val="21"/>
          <w:highlight w:val="none"/>
        </w:rPr>
      </w:pPr>
      <w:bookmarkStart w:id="11" w:name="_Toc25798"/>
      <w:r>
        <w:rPr>
          <w:rFonts w:hint="eastAsia" w:ascii="仿宋" w:hAnsi="仿宋" w:eastAsia="仿宋" w:cs="仿宋"/>
          <w:b/>
          <w:color w:val="auto"/>
          <w:kern w:val="0"/>
          <w:szCs w:val="21"/>
          <w:highlight w:val="none"/>
        </w:rPr>
        <w:br w:type="page"/>
      </w:r>
      <w:bookmarkEnd w:id="11"/>
      <w:r>
        <w:rPr>
          <w:rFonts w:hint="eastAsia" w:ascii="仿宋" w:hAnsi="仿宋" w:eastAsia="仿宋" w:cs="仿宋"/>
          <w:b/>
          <w:color w:val="auto"/>
          <w:kern w:val="0"/>
          <w:szCs w:val="21"/>
          <w:highlight w:val="none"/>
        </w:rPr>
        <w:t>4．具有依法缴纳税收和社会保障资金的证明文件</w:t>
      </w:r>
    </w:p>
    <w:p w14:paraId="77617217">
      <w:pPr>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供应商依法缴纳税收和社会保障资金的承诺函</w:t>
      </w:r>
    </w:p>
    <w:p w14:paraId="5787F807">
      <w:pPr>
        <w:rPr>
          <w:rFonts w:hint="eastAsia" w:ascii="仿宋" w:hAnsi="仿宋" w:eastAsia="仿宋" w:cs="仿宋"/>
          <w:color w:val="auto"/>
          <w:szCs w:val="21"/>
          <w:highlight w:val="none"/>
        </w:rPr>
      </w:pPr>
    </w:p>
    <w:p w14:paraId="43D408AC">
      <w:pPr>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 xml:space="preserve"> 采购人名称 ：</w:t>
      </w:r>
    </w:p>
    <w:p w14:paraId="7D413A6E">
      <w:pPr>
        <w:widowControl/>
        <w:snapToGrid w:val="0"/>
        <w:spacing w:line="360" w:lineRule="auto"/>
        <w:ind w:firstLine="420" w:firstLineChars="200"/>
        <w:rPr>
          <w:rFonts w:hint="eastAsia" w:ascii="仿宋" w:hAnsi="仿宋" w:eastAsia="仿宋" w:cs="仿宋"/>
          <w:color w:val="auto"/>
          <w:szCs w:val="21"/>
          <w:highlight w:val="none"/>
        </w:rPr>
      </w:pPr>
    </w:p>
    <w:p w14:paraId="74B34D88">
      <w:pPr>
        <w:widowControl/>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本供应商现参与贵公司组织的</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项目（项目编号：</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kern w:val="0"/>
          <w:szCs w:val="21"/>
          <w:highlight w:val="none"/>
          <w:u w:val="single"/>
        </w:rPr>
        <w:t>（包号）</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的采购活动。依据磋商文件相关规定，现郑重承诺：我方在参加本次采购活动前一年内严格依法缴纳税收或依法享受国家免税优惠政策，并依法给单位职工缴纳社会保障金或依法不需要缴纳社会保障资金的证明文件。</w:t>
      </w:r>
    </w:p>
    <w:p w14:paraId="7592B8D0">
      <w:pPr>
        <w:widowControl/>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以上承诺信息如有虚假或隐瞒，我方愿意承担一切后果，并不再寻求任何旨在减轻或免除法律责任的辩解。 </w:t>
      </w:r>
    </w:p>
    <w:p w14:paraId="7C3D9F50">
      <w:pPr>
        <w:widowControl/>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特此承诺。</w:t>
      </w:r>
    </w:p>
    <w:p w14:paraId="761F61D6">
      <w:pPr>
        <w:widowControl/>
        <w:snapToGrid w:val="0"/>
        <w:spacing w:line="360" w:lineRule="auto"/>
        <w:ind w:firstLine="420" w:firstLineChars="200"/>
        <w:rPr>
          <w:rFonts w:hint="eastAsia" w:ascii="仿宋" w:hAnsi="仿宋" w:eastAsia="仿宋" w:cs="仿宋"/>
          <w:color w:val="auto"/>
          <w:szCs w:val="21"/>
          <w:highlight w:val="none"/>
        </w:rPr>
      </w:pPr>
    </w:p>
    <w:p w14:paraId="73632E8A">
      <w:pPr>
        <w:widowControl/>
        <w:snapToGrid w:val="0"/>
        <w:spacing w:line="360" w:lineRule="auto"/>
        <w:ind w:firstLine="420" w:firstLineChars="200"/>
        <w:rPr>
          <w:rFonts w:hint="eastAsia" w:ascii="仿宋" w:hAnsi="仿宋" w:eastAsia="仿宋" w:cs="仿宋"/>
          <w:color w:val="auto"/>
          <w:szCs w:val="21"/>
          <w:highlight w:val="none"/>
        </w:rPr>
      </w:pPr>
    </w:p>
    <w:p w14:paraId="5ABE2913">
      <w:pPr>
        <w:snapToGrid w:val="0"/>
        <w:spacing w:line="480" w:lineRule="exact"/>
        <w:ind w:firstLine="2730" w:firstLineChars="1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供应商名称：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（盖章）</w:t>
      </w:r>
    </w:p>
    <w:p w14:paraId="0C26686F">
      <w:pPr>
        <w:snapToGrid w:val="0"/>
        <w:spacing w:line="4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法定代表人（负责人）：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（签字或盖章）  </w:t>
      </w:r>
    </w:p>
    <w:p w14:paraId="1A11E362">
      <w:pPr>
        <w:spacing w:line="4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日      期：</w:t>
      </w:r>
    </w:p>
    <w:p w14:paraId="39B72F27">
      <w:pPr>
        <w:spacing w:line="480" w:lineRule="exact"/>
        <w:rPr>
          <w:rFonts w:hint="eastAsia" w:ascii="仿宋" w:hAnsi="仿宋" w:eastAsia="仿宋" w:cs="仿宋"/>
          <w:color w:val="auto"/>
          <w:szCs w:val="21"/>
          <w:highlight w:val="none"/>
        </w:rPr>
      </w:pPr>
    </w:p>
    <w:p w14:paraId="4ADD12E7">
      <w:pPr>
        <w:snapToGrid w:val="0"/>
        <w:spacing w:line="360" w:lineRule="auto"/>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br w:type="page"/>
      </w:r>
      <w:r>
        <w:rPr>
          <w:rFonts w:hint="eastAsia" w:ascii="仿宋" w:hAnsi="仿宋" w:eastAsia="仿宋" w:cs="仿宋"/>
          <w:b/>
          <w:color w:val="auto"/>
          <w:kern w:val="0"/>
          <w:szCs w:val="21"/>
          <w:highlight w:val="none"/>
        </w:rPr>
        <w:t>5．参加政府采购活动前三年内，在经营活动中没有重大违法记录证明文件</w:t>
      </w:r>
    </w:p>
    <w:p w14:paraId="036D00A7">
      <w:pPr>
        <w:spacing w:line="36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供应商近三年无重大违法记录的承诺函</w:t>
      </w:r>
    </w:p>
    <w:p w14:paraId="5E15D7FB">
      <w:pPr>
        <w:pStyle w:val="14"/>
        <w:keepNext/>
        <w:widowControl w:val="0"/>
        <w:rPr>
          <w:rFonts w:hint="eastAsia" w:ascii="仿宋" w:hAnsi="仿宋" w:eastAsia="仿宋" w:cs="仿宋"/>
          <w:color w:val="auto"/>
          <w:highlight w:val="none"/>
        </w:rPr>
      </w:pPr>
    </w:p>
    <w:p w14:paraId="4462F026">
      <w:pPr>
        <w:keepNex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 xml:space="preserve">  采购人名称  ：</w:t>
      </w:r>
    </w:p>
    <w:p w14:paraId="60CA9726">
      <w:pPr>
        <w:pStyle w:val="27"/>
        <w:keepNext/>
        <w:snapToGrid w:val="0"/>
        <w:spacing w:line="52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本供应商现参与贵公司组织的</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项目（项目编号：</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u w:val="single"/>
        </w:rPr>
        <w:t>（包号）</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的采购活动。依据磋商文件相关规定，现郑重承诺：我方在参加本次采购活动前三年内，在经营活动中无重大违法记录（因违法经营受到刑事处罚或者责令停产停业、吊销许可证或者执照、较大数额罚款等行政处罚。）；经查证，本公司在信用中国网（http://www.creditchina.gov.cn）的信用信息中均为0记录；在中国政府采购网（http://www.ccgp.gov.cn）中的政府采购严重违法失信行为信息记录也为0记录。</w:t>
      </w:r>
    </w:p>
    <w:p w14:paraId="189B3834">
      <w:pPr>
        <w:pStyle w:val="27"/>
        <w:keepNext/>
        <w:snapToGrid w:val="0"/>
        <w:spacing w:line="52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以上承诺信息如有虚假或隐瞒，我方愿意承担一切后果，并不再寻求任何旨在减轻或免除法律责任的辩解。</w:t>
      </w:r>
    </w:p>
    <w:p w14:paraId="30268292">
      <w:pPr>
        <w:pStyle w:val="27"/>
        <w:keepNext/>
        <w:snapToGrid w:val="0"/>
        <w:spacing w:line="52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特此承诺</w:t>
      </w:r>
    </w:p>
    <w:p w14:paraId="4D542276">
      <w:pPr>
        <w:pStyle w:val="27"/>
        <w:keepNext/>
        <w:snapToGrid w:val="0"/>
        <w:spacing w:line="520" w:lineRule="exact"/>
        <w:ind w:firstLine="420" w:firstLineChars="200"/>
        <w:rPr>
          <w:rFonts w:hint="eastAsia" w:ascii="仿宋" w:hAnsi="仿宋" w:eastAsia="仿宋" w:cs="仿宋"/>
          <w:color w:val="auto"/>
          <w:sz w:val="21"/>
          <w:szCs w:val="21"/>
          <w:highlight w:val="none"/>
        </w:rPr>
      </w:pPr>
    </w:p>
    <w:p w14:paraId="642593B3">
      <w:pPr>
        <w:pStyle w:val="27"/>
        <w:keepNext/>
        <w:snapToGrid w:val="0"/>
        <w:spacing w:line="520" w:lineRule="exact"/>
        <w:ind w:firstLine="420" w:firstLineChars="200"/>
        <w:rPr>
          <w:rFonts w:hint="eastAsia" w:ascii="仿宋" w:hAnsi="仿宋" w:eastAsia="仿宋" w:cs="仿宋"/>
          <w:color w:val="auto"/>
          <w:sz w:val="21"/>
          <w:szCs w:val="21"/>
          <w:highlight w:val="none"/>
        </w:rPr>
      </w:pPr>
    </w:p>
    <w:p w14:paraId="074EAB97">
      <w:pPr>
        <w:pStyle w:val="27"/>
        <w:keepNext/>
        <w:snapToGrid w:val="0"/>
        <w:spacing w:line="520" w:lineRule="exact"/>
        <w:ind w:firstLine="420" w:firstLineChars="200"/>
        <w:rPr>
          <w:rFonts w:hint="eastAsia" w:ascii="仿宋" w:hAnsi="仿宋" w:eastAsia="仿宋" w:cs="仿宋"/>
          <w:color w:val="auto"/>
          <w:sz w:val="21"/>
          <w:szCs w:val="21"/>
          <w:highlight w:val="none"/>
        </w:rPr>
      </w:pPr>
    </w:p>
    <w:p w14:paraId="0F62257C">
      <w:pPr>
        <w:pStyle w:val="27"/>
        <w:keepNext/>
        <w:snapToGrid w:val="0"/>
        <w:spacing w:line="520" w:lineRule="exact"/>
        <w:ind w:firstLine="420" w:firstLineChars="200"/>
        <w:rPr>
          <w:rFonts w:hint="eastAsia" w:ascii="仿宋" w:hAnsi="仿宋" w:eastAsia="仿宋" w:cs="仿宋"/>
          <w:color w:val="auto"/>
          <w:sz w:val="21"/>
          <w:szCs w:val="21"/>
          <w:highlight w:val="none"/>
        </w:rPr>
      </w:pPr>
    </w:p>
    <w:p w14:paraId="3E9F6451">
      <w:pPr>
        <w:snapToGrid w:val="0"/>
        <w:spacing w:line="480" w:lineRule="exact"/>
        <w:ind w:firstLine="2730" w:firstLineChars="1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供应商名称：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（盖章）</w:t>
      </w:r>
    </w:p>
    <w:p w14:paraId="70C3C5CA">
      <w:pPr>
        <w:snapToGrid w:val="0"/>
        <w:spacing w:line="4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法定代表人（负责人）：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（签字或盖章）  </w:t>
      </w:r>
    </w:p>
    <w:p w14:paraId="67C6D849">
      <w:pPr>
        <w:spacing w:line="4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日      期：</w:t>
      </w:r>
    </w:p>
    <w:p w14:paraId="35092FDA">
      <w:pPr>
        <w:spacing w:line="480" w:lineRule="exact"/>
        <w:rPr>
          <w:rFonts w:hint="eastAsia" w:ascii="仿宋" w:hAnsi="仿宋" w:eastAsia="仿宋" w:cs="仿宋"/>
          <w:b/>
          <w:color w:val="auto"/>
          <w:szCs w:val="21"/>
          <w:highlight w:val="none"/>
        </w:rPr>
      </w:pPr>
    </w:p>
    <w:p w14:paraId="577360D9">
      <w:pPr>
        <w:spacing w:line="480" w:lineRule="exact"/>
        <w:rPr>
          <w:rFonts w:hint="eastAsia" w:ascii="仿宋" w:hAnsi="仿宋" w:eastAsia="仿宋" w:cs="仿宋"/>
          <w:b/>
          <w:color w:val="auto"/>
          <w:szCs w:val="21"/>
          <w:highlight w:val="none"/>
        </w:rPr>
      </w:pPr>
    </w:p>
    <w:p w14:paraId="269686D8">
      <w:pPr>
        <w:snapToGrid w:val="0"/>
        <w:spacing w:line="360" w:lineRule="auto"/>
        <w:rPr>
          <w:rFonts w:hint="eastAsia" w:ascii="仿宋" w:hAnsi="仿宋" w:eastAsia="仿宋" w:cs="仿宋"/>
          <w:b/>
          <w:color w:val="auto"/>
          <w:kern w:val="0"/>
          <w:szCs w:val="21"/>
          <w:highlight w:val="none"/>
        </w:rPr>
      </w:pPr>
    </w:p>
    <w:p w14:paraId="6591FDC4">
      <w:pPr>
        <w:snapToGrid w:val="0"/>
        <w:spacing w:line="360" w:lineRule="auto"/>
        <w:rPr>
          <w:rFonts w:hint="eastAsia" w:ascii="仿宋" w:hAnsi="仿宋" w:eastAsia="仿宋" w:cs="仿宋"/>
          <w:b/>
          <w:color w:val="auto"/>
          <w:kern w:val="0"/>
          <w:szCs w:val="21"/>
          <w:highlight w:val="none"/>
        </w:rPr>
      </w:pPr>
    </w:p>
    <w:p w14:paraId="40280124">
      <w:pPr>
        <w:snapToGrid w:val="0"/>
        <w:spacing w:line="360" w:lineRule="auto"/>
        <w:rPr>
          <w:rFonts w:hint="eastAsia" w:ascii="仿宋" w:hAnsi="仿宋" w:eastAsia="仿宋" w:cs="仿宋"/>
          <w:b/>
          <w:color w:val="auto"/>
          <w:kern w:val="0"/>
          <w:szCs w:val="21"/>
          <w:highlight w:val="none"/>
        </w:rPr>
      </w:pPr>
    </w:p>
    <w:p w14:paraId="69EE1194">
      <w:pPr>
        <w:snapToGrid w:val="0"/>
        <w:spacing w:line="360" w:lineRule="auto"/>
        <w:rPr>
          <w:rFonts w:hint="eastAsia" w:ascii="仿宋" w:hAnsi="仿宋" w:eastAsia="仿宋" w:cs="仿宋"/>
          <w:b/>
          <w:color w:val="auto"/>
          <w:kern w:val="0"/>
          <w:szCs w:val="21"/>
          <w:highlight w:val="none"/>
        </w:rPr>
      </w:pPr>
    </w:p>
    <w:p w14:paraId="5C3A0DBF">
      <w:pPr>
        <w:snapToGrid w:val="0"/>
        <w:spacing w:line="360" w:lineRule="auto"/>
        <w:outlineLvl w:val="0"/>
        <w:rPr>
          <w:rFonts w:hint="eastAsia" w:ascii="仿宋" w:hAnsi="仿宋" w:eastAsia="仿宋" w:cs="仿宋"/>
          <w:b/>
          <w:color w:val="auto"/>
          <w:kern w:val="0"/>
          <w:szCs w:val="21"/>
          <w:highlight w:val="none"/>
        </w:rPr>
      </w:pPr>
      <w:bookmarkStart w:id="12" w:name="_Toc32"/>
    </w:p>
    <w:p w14:paraId="003F7FD6">
      <w:pPr>
        <w:snapToGrid w:val="0"/>
        <w:spacing w:line="360" w:lineRule="auto"/>
        <w:outlineLvl w:val="0"/>
        <w:rPr>
          <w:rFonts w:hint="eastAsia" w:ascii="仿宋" w:hAnsi="仿宋" w:eastAsia="仿宋" w:cs="仿宋"/>
          <w:b/>
          <w:color w:val="auto"/>
          <w:kern w:val="0"/>
          <w:szCs w:val="21"/>
          <w:highlight w:val="none"/>
        </w:rPr>
      </w:pPr>
    </w:p>
    <w:p w14:paraId="70EB7B30">
      <w:pPr>
        <w:spacing w:line="360" w:lineRule="auto"/>
        <w:ind w:firstLine="422" w:firstLineChars="200"/>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br w:type="page"/>
      </w:r>
      <w:bookmarkEnd w:id="12"/>
    </w:p>
    <w:p w14:paraId="0A0A94F8">
      <w:pPr>
        <w:snapToGrid w:val="0"/>
        <w:spacing w:line="360" w:lineRule="auto"/>
        <w:rPr>
          <w:rFonts w:hint="eastAsia" w:ascii="仿宋" w:hAnsi="仿宋" w:eastAsia="仿宋" w:cs="仿宋"/>
          <w:b/>
          <w:color w:val="auto"/>
          <w:kern w:val="0"/>
          <w:szCs w:val="21"/>
          <w:highlight w:val="none"/>
        </w:rPr>
      </w:pPr>
      <w:bookmarkStart w:id="13" w:name="_Toc17286"/>
      <w:r>
        <w:rPr>
          <w:rFonts w:hint="eastAsia" w:ascii="仿宋" w:hAnsi="仿宋" w:eastAsia="仿宋" w:cs="仿宋"/>
          <w:b/>
          <w:color w:val="auto"/>
          <w:kern w:val="0"/>
          <w:szCs w:val="21"/>
          <w:highlight w:val="none"/>
          <w:lang w:val="en-US" w:eastAsia="zh-CN"/>
        </w:rPr>
        <w:t>6</w:t>
      </w:r>
      <w:r>
        <w:rPr>
          <w:rFonts w:hint="eastAsia" w:ascii="仿宋" w:hAnsi="仿宋" w:eastAsia="仿宋" w:cs="仿宋"/>
          <w:b/>
          <w:color w:val="auto"/>
          <w:kern w:val="0"/>
          <w:szCs w:val="21"/>
          <w:highlight w:val="none"/>
        </w:rPr>
        <w:t>．采购项目的特殊要求证明材料</w:t>
      </w:r>
      <w:bookmarkEnd w:id="13"/>
    </w:p>
    <w:p w14:paraId="45711C15">
      <w:pPr>
        <w:snapToGrid w:val="0"/>
        <w:spacing w:line="360" w:lineRule="auto"/>
        <w:rPr>
          <w:rFonts w:hint="eastAsia" w:ascii="仿宋" w:hAnsi="仿宋" w:eastAsia="仿宋" w:cs="仿宋"/>
          <w:b/>
          <w:color w:val="auto"/>
          <w:kern w:val="0"/>
          <w:szCs w:val="21"/>
          <w:highlight w:val="none"/>
        </w:rPr>
      </w:pPr>
    </w:p>
    <w:p w14:paraId="30250149">
      <w:pPr>
        <w:snapToGrid w:val="0"/>
        <w:spacing w:line="360" w:lineRule="auto"/>
        <w:rPr>
          <w:rFonts w:hint="eastAsia" w:ascii="仿宋" w:hAnsi="仿宋" w:eastAsia="仿宋" w:cs="仿宋"/>
          <w:b/>
          <w:color w:val="auto"/>
          <w:kern w:val="0"/>
          <w:szCs w:val="21"/>
          <w:highlight w:val="none"/>
        </w:rPr>
      </w:pPr>
    </w:p>
    <w:p w14:paraId="0D86D6B1">
      <w:pPr>
        <w:snapToGrid w:val="0"/>
        <w:spacing w:line="360" w:lineRule="auto"/>
        <w:rPr>
          <w:rFonts w:hint="eastAsia" w:ascii="仿宋" w:hAnsi="仿宋" w:eastAsia="仿宋" w:cs="仿宋"/>
          <w:b/>
          <w:color w:val="auto"/>
          <w:kern w:val="0"/>
          <w:szCs w:val="21"/>
          <w:highlight w:val="none"/>
        </w:rPr>
      </w:pPr>
    </w:p>
    <w:p w14:paraId="66F2A8A8">
      <w:pPr>
        <w:snapToGrid w:val="0"/>
        <w:spacing w:line="360" w:lineRule="auto"/>
        <w:rPr>
          <w:rFonts w:hint="eastAsia" w:ascii="仿宋" w:hAnsi="仿宋" w:eastAsia="仿宋" w:cs="仿宋"/>
          <w:b/>
          <w:color w:val="auto"/>
          <w:kern w:val="0"/>
          <w:szCs w:val="21"/>
          <w:highlight w:val="none"/>
        </w:rPr>
      </w:pPr>
    </w:p>
    <w:p w14:paraId="58B43100">
      <w:pPr>
        <w:snapToGrid w:val="0"/>
        <w:spacing w:line="360" w:lineRule="auto"/>
        <w:outlineLvl w:val="0"/>
        <w:rPr>
          <w:rFonts w:hint="eastAsia" w:ascii="仿宋" w:hAnsi="仿宋" w:eastAsia="仿宋" w:cs="仿宋"/>
          <w:b/>
          <w:color w:val="auto"/>
          <w:kern w:val="0"/>
          <w:szCs w:val="21"/>
          <w:highlight w:val="none"/>
        </w:rPr>
      </w:pPr>
      <w:bookmarkStart w:id="14" w:name="_Toc11735"/>
      <w:r>
        <w:rPr>
          <w:rFonts w:hint="eastAsia" w:ascii="仿宋" w:hAnsi="仿宋" w:eastAsia="仿宋" w:cs="仿宋"/>
          <w:b/>
          <w:color w:val="auto"/>
          <w:kern w:val="0"/>
          <w:szCs w:val="21"/>
          <w:highlight w:val="none"/>
        </w:rPr>
        <w:br w:type="page"/>
      </w:r>
      <w:r>
        <w:rPr>
          <w:rFonts w:hint="eastAsia" w:ascii="仿宋" w:hAnsi="仿宋" w:eastAsia="仿宋" w:cs="仿宋"/>
          <w:b/>
          <w:color w:val="auto"/>
          <w:kern w:val="0"/>
          <w:szCs w:val="21"/>
          <w:highlight w:val="none"/>
          <w:lang w:val="en-US" w:eastAsia="zh-CN"/>
        </w:rPr>
        <w:t>7</w:t>
      </w:r>
      <w:r>
        <w:rPr>
          <w:rFonts w:hint="eastAsia" w:ascii="仿宋" w:hAnsi="仿宋" w:eastAsia="仿宋" w:cs="仿宋"/>
          <w:b/>
          <w:color w:val="auto"/>
          <w:kern w:val="0"/>
          <w:szCs w:val="21"/>
          <w:highlight w:val="none"/>
        </w:rPr>
        <w:t>. 廉洁自律承诺书</w:t>
      </w:r>
      <w:bookmarkEnd w:id="14"/>
    </w:p>
    <w:p w14:paraId="3C2966F0">
      <w:pPr>
        <w:spacing w:before="218" w:beforeLines="50" w:after="218" w:afterLines="50" w:line="480" w:lineRule="exact"/>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供应商廉洁自律承诺书</w:t>
      </w:r>
    </w:p>
    <w:p w14:paraId="250928EE">
      <w:pPr>
        <w:spacing w:line="360" w:lineRule="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 xml:space="preserve">   采购人名称 ：</w:t>
      </w:r>
    </w:p>
    <w:p w14:paraId="237B9C4E">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为维护本次磋商工作的正常秩序，本公司特郑重承诺如下： </w:t>
      </w:r>
    </w:p>
    <w:p w14:paraId="280FD18A">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一、严格按照《中华人民共和国政府采购法》、《中华人民共和国政府采购法实施条例》、</w:t>
      </w:r>
      <w:r>
        <w:rPr>
          <w:rFonts w:hint="eastAsia" w:ascii="仿宋" w:hAnsi="仿宋" w:eastAsia="仿宋" w:cs="仿宋"/>
          <w:color w:val="auto"/>
          <w:kern w:val="0"/>
          <w:szCs w:val="21"/>
          <w:highlight w:val="none"/>
        </w:rPr>
        <w:t>《政府采购竞争性磋商采购方式管理暂行办法》</w:t>
      </w:r>
      <w:r>
        <w:rPr>
          <w:rFonts w:hint="eastAsia" w:ascii="仿宋" w:hAnsi="仿宋" w:eastAsia="仿宋" w:cs="仿宋"/>
          <w:color w:val="auto"/>
          <w:szCs w:val="21"/>
          <w:highlight w:val="none"/>
        </w:rPr>
        <w:t>等有关法律法规、政策及《磋商文件》的规定，规范本公司的投标行为，保证做到合法投标、正当竞争、廉洁经营。</w:t>
      </w:r>
    </w:p>
    <w:p w14:paraId="77EC3D77">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二、本公司保证在本次磋商采购工作中做到： </w:t>
      </w:r>
    </w:p>
    <w:p w14:paraId="1F2EE1E7">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1．不与其他供应商相互串通参与磋商、陪标，损害贵单位的合法权益； </w:t>
      </w:r>
    </w:p>
    <w:p w14:paraId="20BC8CA9">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2．不与用户串通参与磋商，损害采购人利益或他人的合法权益；</w:t>
      </w:r>
    </w:p>
    <w:p w14:paraId="5F8BDE2C">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不以向用户、代理机构或者磋商小组成员行贿的手段谋取中标；（包括送礼金礼品、有价证券、购物券、回扣、佣金、咨询费、劳务费、赞助费、宣传费、支付旅游费用、报销各种消费凭证、宴请、娱乐等）；</w:t>
      </w:r>
    </w:p>
    <w:p w14:paraId="46CE74DC">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4．不利用他人名义参与磋商或者以其他方式弄虚作假，谋取成交；</w:t>
      </w:r>
    </w:p>
    <w:p w14:paraId="56E969F9">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5．保证不以其他任何方式扰乱本次磋商工作；</w:t>
      </w:r>
    </w:p>
    <w:p w14:paraId="0614D31D">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6．保证严格遵守磋商会议纪律。</w:t>
      </w:r>
    </w:p>
    <w:p w14:paraId="24B2DDFD">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三、我公司承诺在本次磋商采购活动中，如有违反以上第二条中的行为，同意贵方按《中华人民共和国政府采购法》、《中华人民共和国政府采购法实施条例》、</w:t>
      </w:r>
      <w:r>
        <w:rPr>
          <w:rFonts w:hint="eastAsia" w:ascii="仿宋" w:hAnsi="仿宋" w:eastAsia="仿宋" w:cs="仿宋"/>
          <w:color w:val="auto"/>
          <w:kern w:val="0"/>
          <w:szCs w:val="21"/>
          <w:highlight w:val="none"/>
        </w:rPr>
        <w:t>《政府采购竞争性磋商采购方式管理暂行办法》</w:t>
      </w:r>
      <w:r>
        <w:rPr>
          <w:rFonts w:hint="eastAsia" w:ascii="仿宋" w:hAnsi="仿宋" w:eastAsia="仿宋" w:cs="仿宋"/>
          <w:color w:val="auto"/>
          <w:szCs w:val="21"/>
          <w:highlight w:val="none"/>
        </w:rPr>
        <w:t>等有关法律法规和磋商文件之规定上报省级主管部门给予进入不良信誉记录、扣除保证金等惩罚，我公司及项目参与人员完全接受。</w:t>
      </w:r>
    </w:p>
    <w:p w14:paraId="1D60EAED">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p>
    <w:p w14:paraId="04796EE3">
      <w:pPr>
        <w:snapToGrid w:val="0"/>
        <w:spacing w:line="480" w:lineRule="exact"/>
        <w:ind w:firstLine="2310" w:firstLineChars="1100"/>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供应商名称：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（盖章）</w:t>
      </w:r>
    </w:p>
    <w:p w14:paraId="60210635">
      <w:pPr>
        <w:snapToGrid w:val="0"/>
        <w:spacing w:line="48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r>
        <w:rPr>
          <w:rFonts w:hint="eastAsia" w:ascii="仿宋" w:hAnsi="仿宋" w:eastAsia="仿宋" w:cs="仿宋"/>
          <w:color w:val="auto"/>
          <w:kern w:val="0"/>
          <w:szCs w:val="21"/>
          <w:highlight w:val="none"/>
        </w:rPr>
        <w:t>法定代表人（负责人）</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（签字或盖章）  </w:t>
      </w:r>
    </w:p>
    <w:p w14:paraId="205C531E">
      <w:pPr>
        <w:spacing w:line="480" w:lineRule="exact"/>
        <w:rPr>
          <w:rFonts w:hint="eastAsia" w:ascii="仿宋" w:hAnsi="仿宋" w:eastAsia="仿宋" w:cs="仿宋"/>
          <w:b/>
          <w:color w:val="auto"/>
          <w:szCs w:val="21"/>
          <w:highlight w:val="none"/>
        </w:rPr>
      </w:pPr>
      <w:r>
        <w:rPr>
          <w:rFonts w:hint="eastAsia" w:ascii="仿宋" w:hAnsi="仿宋" w:eastAsia="仿宋" w:cs="仿宋"/>
          <w:color w:val="auto"/>
          <w:szCs w:val="21"/>
          <w:highlight w:val="none"/>
        </w:rPr>
        <w:t xml:space="preserve">                      日      期：</w:t>
      </w:r>
    </w:p>
    <w:p w14:paraId="6CA7148D">
      <w:pPr>
        <w:snapToGrid w:val="0"/>
        <w:spacing w:line="360" w:lineRule="auto"/>
        <w:rPr>
          <w:rFonts w:hint="eastAsia" w:ascii="仿宋" w:hAnsi="仿宋" w:eastAsia="仿宋" w:cs="仿宋"/>
          <w:b/>
          <w:color w:val="auto"/>
          <w:kern w:val="0"/>
          <w:szCs w:val="21"/>
          <w:highlight w:val="none"/>
        </w:rPr>
      </w:pPr>
    </w:p>
    <w:p w14:paraId="04E97830">
      <w:pPr>
        <w:snapToGrid w:val="0"/>
        <w:spacing w:line="360" w:lineRule="auto"/>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br w:type="page"/>
      </w:r>
      <w:r>
        <w:rPr>
          <w:rFonts w:hint="eastAsia" w:ascii="仿宋" w:hAnsi="仿宋" w:eastAsia="仿宋" w:cs="仿宋"/>
          <w:b/>
          <w:color w:val="auto"/>
          <w:kern w:val="0"/>
          <w:szCs w:val="21"/>
          <w:highlight w:val="none"/>
          <w:lang w:val="en-US" w:eastAsia="zh-CN"/>
        </w:rPr>
        <w:t>8</w:t>
      </w:r>
      <w:r>
        <w:rPr>
          <w:rFonts w:hint="eastAsia" w:ascii="仿宋" w:hAnsi="仿宋" w:eastAsia="仿宋" w:cs="仿宋"/>
          <w:b/>
          <w:color w:val="auto"/>
          <w:kern w:val="0"/>
          <w:szCs w:val="21"/>
          <w:highlight w:val="none"/>
        </w:rPr>
        <w:t>.供应商信用信息查询</w:t>
      </w:r>
    </w:p>
    <w:p w14:paraId="38F1FDBA">
      <w:pPr>
        <w:topLinePunct/>
        <w:autoSpaceDE w:val="0"/>
        <w:autoSpaceDN w:val="0"/>
        <w:spacing w:line="460" w:lineRule="exact"/>
        <w:ind w:firstLine="42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此项内容不需要供应商提供</w:t>
      </w:r>
    </w:p>
    <w:p w14:paraId="2B56530E">
      <w:pPr>
        <w:widowControl/>
        <w:spacing w:line="330" w:lineRule="atLeast"/>
        <w:jc w:val="left"/>
        <w:rPr>
          <w:rFonts w:hint="eastAsia" w:ascii="仿宋" w:hAnsi="仿宋" w:eastAsia="仿宋" w:cs="仿宋"/>
          <w:bCs/>
          <w:color w:val="auto"/>
          <w:kern w:val="0"/>
          <w:sz w:val="24"/>
          <w:szCs w:val="21"/>
          <w:highlight w:val="none"/>
        </w:rPr>
      </w:pPr>
    </w:p>
    <w:p w14:paraId="03C9C4A6">
      <w:pPr>
        <w:widowControl/>
        <w:spacing w:line="330" w:lineRule="atLeast"/>
        <w:jc w:val="left"/>
        <w:rPr>
          <w:rFonts w:hint="eastAsia" w:ascii="仿宋" w:hAnsi="仿宋" w:eastAsia="仿宋" w:cs="仿宋"/>
          <w:bCs/>
          <w:color w:val="auto"/>
          <w:kern w:val="0"/>
          <w:sz w:val="24"/>
          <w:szCs w:val="21"/>
          <w:highlight w:val="none"/>
        </w:rPr>
      </w:pPr>
    </w:p>
    <w:p w14:paraId="45E346F1">
      <w:pPr>
        <w:pStyle w:val="10"/>
        <w:snapToGrid w:val="0"/>
        <w:spacing w:line="360" w:lineRule="auto"/>
        <w:jc w:val="left"/>
        <w:rPr>
          <w:rFonts w:hint="eastAsia" w:ascii="仿宋" w:hAnsi="仿宋" w:eastAsia="仿宋" w:cs="仿宋"/>
          <w:b/>
          <w:color w:val="auto"/>
          <w:highlight w:val="none"/>
        </w:rPr>
      </w:pPr>
      <w:r>
        <w:rPr>
          <w:rFonts w:hint="eastAsia" w:ascii="仿宋" w:hAnsi="仿宋" w:eastAsia="仿宋" w:cs="仿宋"/>
          <w:b/>
          <w:color w:val="auto"/>
          <w:sz w:val="36"/>
          <w:szCs w:val="36"/>
          <w:highlight w:val="none"/>
        </w:rPr>
        <w:br w:type="page"/>
      </w:r>
      <w:r>
        <w:rPr>
          <w:rFonts w:hint="eastAsia" w:ascii="仿宋" w:hAnsi="仿宋" w:eastAsia="仿宋" w:cs="仿宋"/>
          <w:b/>
          <w:color w:val="auto"/>
          <w:highlight w:val="none"/>
          <w:lang w:val="en-US" w:eastAsia="zh-CN"/>
        </w:rPr>
        <w:t>9</w:t>
      </w:r>
      <w:r>
        <w:rPr>
          <w:rFonts w:hint="eastAsia" w:ascii="仿宋" w:hAnsi="仿宋" w:eastAsia="仿宋" w:cs="仿宋"/>
          <w:b/>
          <w:color w:val="auto"/>
          <w:highlight w:val="none"/>
        </w:rPr>
        <w:t>. 供应商需提交的其他基本资质</w:t>
      </w:r>
    </w:p>
    <w:p w14:paraId="05D03EF7">
      <w:pPr>
        <w:snapToGrid w:val="0"/>
        <w:spacing w:line="360" w:lineRule="auto"/>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r>
        <w:rPr>
          <w:rFonts w:hint="eastAsia" w:ascii="仿宋" w:hAnsi="仿宋" w:eastAsia="仿宋" w:cs="仿宋"/>
          <w:b/>
          <w:color w:val="auto"/>
          <w:kern w:val="0"/>
          <w:sz w:val="36"/>
          <w:szCs w:val="36"/>
          <w:highlight w:val="none"/>
        </w:rPr>
        <w:t>商务、技术文件</w:t>
      </w:r>
    </w:p>
    <w:p w14:paraId="6A8983F5">
      <w:pPr>
        <w:tabs>
          <w:tab w:val="left" w:pos="567"/>
        </w:tabs>
        <w:snapToGrid w:val="0"/>
        <w:spacing w:line="360" w:lineRule="auto"/>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1．法定代表人（负责人）身份证明书格式</w:t>
      </w:r>
    </w:p>
    <w:p w14:paraId="31BA2A42">
      <w:pPr>
        <w:snapToGrid w:val="0"/>
        <w:spacing w:line="360" w:lineRule="auto"/>
        <w:ind w:left="562" w:hanging="562" w:hangingChars="200"/>
        <w:jc w:val="center"/>
        <w:rPr>
          <w:rFonts w:hint="eastAsia" w:ascii="仿宋" w:hAnsi="仿宋" w:eastAsia="仿宋" w:cs="仿宋"/>
          <w:b/>
          <w:color w:val="auto"/>
          <w:kern w:val="0"/>
          <w:sz w:val="28"/>
          <w:szCs w:val="28"/>
          <w:highlight w:val="none"/>
        </w:rPr>
      </w:pPr>
    </w:p>
    <w:p w14:paraId="78A052BD">
      <w:pPr>
        <w:snapToGrid w:val="0"/>
        <w:spacing w:line="360" w:lineRule="auto"/>
        <w:ind w:left="562" w:hanging="562" w:hangingChars="200"/>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 xml:space="preserve">法定代表人（负责人）身份证明书 </w:t>
      </w:r>
    </w:p>
    <w:p w14:paraId="61C2C156">
      <w:pPr>
        <w:snapToGrid w:val="0"/>
        <w:spacing w:line="360" w:lineRule="auto"/>
        <w:ind w:firstLine="42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1231900</wp:posOffset>
                </wp:positionH>
                <wp:positionV relativeFrom="paragraph">
                  <wp:posOffset>193675</wp:posOffset>
                </wp:positionV>
                <wp:extent cx="4114800" cy="0"/>
                <wp:effectExtent l="0" t="4445" r="0" b="5080"/>
                <wp:wrapNone/>
                <wp:docPr id="11" name="直接连接符 11"/>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7pt;margin-top:15.25pt;height:0pt;width:324pt;z-index:251663360;mso-width-relative:page;mso-height-relative:page;" filled="f" stroked="t" coordsize="21600,21600" o:gfxdata="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p41T7V&#10;AAAACQEAAA8AAAAAAAAAAQAgAAAAIgAAAGRycy9kb3ducmV2LnhtbFBLAQIUABQAAAAIAIdO4kAg&#10;isWx6gEAALoDAAAOAAAAAAAAAAEAIAAAACQBAABkcnMvZTJvRG9jLnhtbFBLBQYAAAAABgAGAFkB&#10;AACABQAAAAA=&#10;">
                <v:fill on="f" focussize="0,0"/>
                <v:stroke color="#000000" joinstyle="round"/>
                <v:imagedata o:title=""/>
                <o:lock v:ext="edit" aspectratio="f"/>
              </v:line>
            </w:pict>
          </mc:Fallback>
        </mc:AlternateContent>
      </w:r>
      <w:r>
        <w:rPr>
          <w:rFonts w:hint="eastAsia" w:ascii="仿宋" w:hAnsi="仿宋" w:eastAsia="仿宋" w:cs="仿宋"/>
          <w:color w:val="auto"/>
          <w:kern w:val="0"/>
          <w:sz w:val="24"/>
          <w:highlight w:val="none"/>
        </w:rPr>
        <w:t>单位名称：</w:t>
      </w:r>
    </w:p>
    <w:p w14:paraId="0D2BBD41">
      <w:pPr>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1257300</wp:posOffset>
                </wp:positionH>
                <wp:positionV relativeFrom="paragraph">
                  <wp:posOffset>201295</wp:posOffset>
                </wp:positionV>
                <wp:extent cx="4114800" cy="0"/>
                <wp:effectExtent l="0" t="4445" r="0" b="5080"/>
                <wp:wrapNone/>
                <wp:docPr id="12"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9pt;margin-top:15.85pt;height:0pt;width:324pt;z-index:251660288;mso-width-relative:page;mso-height-relative:page;" filled="f" stroked="t" coordsize="21600,21600" o:gfxdata="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Z85yn&#10;1gAAAAkBAAAPAAAAAAAAAAEAIAAAACIAAABkcnMvZG93bnJldi54bWxQSwECFAAUAAAACACHTuJA&#10;XY57PeoBAAC6AwAADgAAAAAAAAABACAAAAAlAQAAZHJzL2Uyb0RvYy54bWxQSwUGAAAAAAYABgBZ&#10;AQAAgQUAAAAA&#10;">
                <v:fill on="f" focussize="0,0"/>
                <v:stroke color="#000000" joinstyle="round"/>
                <v:imagedata o:title=""/>
                <o:lock v:ext="edit" aspectratio="f"/>
              </v:line>
            </w:pict>
          </mc:Fallback>
        </mc:AlternateContent>
      </w:r>
      <w:r>
        <w:rPr>
          <w:rFonts w:hint="eastAsia" w:ascii="仿宋" w:hAnsi="仿宋" w:eastAsia="仿宋" w:cs="仿宋"/>
          <w:color w:val="auto"/>
          <w:kern w:val="0"/>
          <w:sz w:val="24"/>
          <w:highlight w:val="none"/>
        </w:rPr>
        <w:t xml:space="preserve">    单位性质：</w:t>
      </w:r>
    </w:p>
    <w:p w14:paraId="66C99B38">
      <w:pPr>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1231900</wp:posOffset>
                </wp:positionH>
                <wp:positionV relativeFrom="paragraph">
                  <wp:posOffset>201295</wp:posOffset>
                </wp:positionV>
                <wp:extent cx="4114800" cy="0"/>
                <wp:effectExtent l="0" t="4445" r="0" b="508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7pt;margin-top:15.85pt;height:0pt;width:324pt;z-index:251661312;mso-width-relative:page;mso-height-relative:page;" filled="f" stroked="t" coordsize="21600,21600" o:gfxdata="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5/WZe&#10;1gAAAAkBAAAPAAAAAAAAAAEAIAAAACIAAABkcnMvZG93bnJldi54bWxQSwECFAAUAAAACACHTuJA&#10;D/OnPuoBAAC4AwAADgAAAAAAAAABACAAAAAlAQAAZHJzL2Uyb0RvYy54bWxQSwUGAAAAAAYABgBZ&#10;AQAAgQUAAAAA&#10;">
                <v:fill on="f" focussize="0,0"/>
                <v:stroke color="#000000" joinstyle="round"/>
                <v:imagedata o:title=""/>
                <o:lock v:ext="edit" aspectratio="f"/>
              </v:line>
            </w:pict>
          </mc:Fallback>
        </mc:AlternateContent>
      </w:r>
      <w:r>
        <w:rPr>
          <w:rFonts w:hint="eastAsia" w:ascii="仿宋" w:hAnsi="仿宋" w:eastAsia="仿宋" w:cs="仿宋"/>
          <w:color w:val="auto"/>
          <w:kern w:val="0"/>
          <w:sz w:val="24"/>
          <w:highlight w:val="none"/>
        </w:rPr>
        <w:t xml:space="preserve">    地    址：</w:t>
      </w:r>
    </w:p>
    <w:p w14:paraId="6BCF943E">
      <w:pPr>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1257300</wp:posOffset>
                </wp:positionH>
                <wp:positionV relativeFrom="paragraph">
                  <wp:posOffset>203200</wp:posOffset>
                </wp:positionV>
                <wp:extent cx="4114800" cy="0"/>
                <wp:effectExtent l="0" t="4445" r="0" b="508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9pt;margin-top:16pt;height:0pt;width:324pt;z-index:251662336;mso-width-relative:page;mso-height-relative:page;" filled="f" stroked="t" coordsize="21600,21600" o:gfxdata="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0SnaRNQA&#10;AAAJAQAADwAAAAAAAAABACAAAAAiAAAAZHJzL2Rvd25yZXYueG1sUEsBAhQAFAAAAAgAh07iQKnq&#10;nHrqAQAAuAMAAA4AAAAAAAAAAQAgAAAAIwEAAGRycy9lMm9Eb2MueG1sUEsFBgAAAAAGAAYAWQEA&#10;AH8FAAAAAA==&#10;">
                <v:fill on="f" focussize="0,0"/>
                <v:stroke color="#000000" joinstyle="round"/>
                <v:imagedata o:title=""/>
                <o:lock v:ext="edit" aspectratio="f"/>
              </v:line>
            </w:pict>
          </mc:Fallback>
        </mc:AlternateContent>
      </w:r>
      <w:r>
        <w:rPr>
          <w:rFonts w:hint="eastAsia" w:ascii="仿宋" w:hAnsi="仿宋" w:eastAsia="仿宋" w:cs="仿宋"/>
          <w:color w:val="auto"/>
          <w:kern w:val="0"/>
          <w:sz w:val="24"/>
          <w:highlight w:val="none"/>
        </w:rPr>
        <w:t xml:space="preserve">    成立时间：               年    月    日</w:t>
      </w:r>
    </w:p>
    <w:p w14:paraId="272EC052">
      <w:pPr>
        <w:snapToGrid w:val="0"/>
        <w:spacing w:line="360" w:lineRule="auto"/>
        <w:jc w:val="left"/>
        <w:rPr>
          <w:rFonts w:hint="eastAsia" w:ascii="仿宋" w:hAnsi="仿宋" w:eastAsia="仿宋" w:cs="仿宋"/>
          <w:color w:val="auto"/>
          <w:kern w:val="0"/>
          <w:sz w:val="24"/>
          <w:highlight w:val="none"/>
          <w:u w:val="single"/>
        </w:rPr>
      </w:pPr>
      <w:r>
        <w:rPr>
          <w:rFonts w:hint="eastAsia" w:ascii="仿宋" w:hAnsi="仿宋" w:eastAsia="仿宋" w:cs="仿宋"/>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1257300</wp:posOffset>
                </wp:positionH>
                <wp:positionV relativeFrom="paragraph">
                  <wp:posOffset>193040</wp:posOffset>
                </wp:positionV>
                <wp:extent cx="4114800" cy="0"/>
                <wp:effectExtent l="0" t="4445" r="0" b="508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9pt;margin-top:15.2pt;height:0pt;width:324pt;z-index:251664384;mso-width-relative:page;mso-height-relative:page;" filled="f" stroked="t" coordsize="21600,21600" o:gfxdata="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VyK9hdUA&#10;AAAJAQAADwAAAAAAAAABACAAAAAiAAAAZHJzL2Rvd25yZXYueG1sUEsBAhQAFAAAAAgAh07iQEPA&#10;0bbpAQAAuAMAAA4AAAAAAAAAAQAgAAAAJAEAAGRycy9lMm9Eb2MueG1sUEsFBgAAAAAGAAYAWQEA&#10;AH8FAAAAAA==&#10;">
                <v:fill on="f" focussize="0,0"/>
                <v:stroke color="#000000" joinstyle="round"/>
                <v:imagedata o:title=""/>
                <o:lock v:ext="edit" aspectratio="f"/>
              </v:line>
            </w:pict>
          </mc:Fallback>
        </mc:AlternateContent>
      </w:r>
      <w:r>
        <w:rPr>
          <w:rFonts w:hint="eastAsia" w:ascii="仿宋" w:hAnsi="仿宋" w:eastAsia="仿宋" w:cs="仿宋"/>
          <w:color w:val="auto"/>
          <w:kern w:val="0"/>
          <w:sz w:val="24"/>
          <w:highlight w:val="none"/>
        </w:rPr>
        <w:t xml:space="preserve">    经营期限：</w:t>
      </w:r>
    </w:p>
    <w:p w14:paraId="10471731">
      <w:pPr>
        <w:snapToGrid w:val="0"/>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姓    名：              性  别：         </w:t>
      </w:r>
    </w:p>
    <w:p w14:paraId="1091B756">
      <w:pPr>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年    龄：              职  务： </w:t>
      </w:r>
    </w:p>
    <w:p w14:paraId="5073DFD1">
      <w:pPr>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463550</wp:posOffset>
                </wp:positionH>
                <wp:positionV relativeFrom="paragraph">
                  <wp:posOffset>206375</wp:posOffset>
                </wp:positionV>
                <wp:extent cx="2400300" cy="0"/>
                <wp:effectExtent l="0" t="4445" r="0" b="5080"/>
                <wp:wrapNone/>
                <wp:docPr id="13" name="直接连接符 13"/>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36.5pt;margin-top:16.25pt;height:0pt;width:189pt;z-index:251659264;mso-width-relative:page;mso-height-relative:page;" filled="f" stroked="t" coordsize="21600,21600" o:gfxdata="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Zs4KbV&#10;AAAACAEAAA8AAAAAAAAAAQAgAAAAIgAAAGRycy9kb3ducmV2LnhtbFBLAQIUABQAAAAIAIdO4kC7&#10;oySB6gEAALoDAAAOAAAAAAAAAAEAIAAAACQBAABkcnMvZTJvRG9jLnhtbFBLBQYAAAAABgAGAFkB&#10;AACABQAAAAA=&#10;">
                <v:fill on="f" focussize="0,0"/>
                <v:stroke color="#000000" joinstyle="round"/>
                <v:imagedata o:title=""/>
                <o:lock v:ext="edit" aspectratio="f"/>
              </v:line>
            </w:pict>
          </mc:Fallback>
        </mc:AlternateContent>
      </w:r>
      <w:r>
        <w:rPr>
          <w:rFonts w:hint="eastAsia" w:ascii="仿宋" w:hAnsi="仿宋" w:eastAsia="仿宋" w:cs="仿宋"/>
          <w:color w:val="auto"/>
          <w:kern w:val="0"/>
          <w:sz w:val="24"/>
          <w:highlight w:val="none"/>
        </w:rPr>
        <w:t xml:space="preserve">    系       （供应商名称）          的法定代表人。</w:t>
      </w:r>
    </w:p>
    <w:p w14:paraId="484947D9">
      <w:pPr>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p>
    <w:p w14:paraId="292B2C29">
      <w:pPr>
        <w:snapToGrid w:val="0"/>
        <w:spacing w:line="360" w:lineRule="auto"/>
        <w:ind w:firstLine="960" w:firstLineChars="4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特此证明。</w:t>
      </w:r>
    </w:p>
    <w:p w14:paraId="74185DD1">
      <w:pPr>
        <w:widowControl/>
        <w:spacing w:line="330" w:lineRule="atLeast"/>
        <w:jc w:val="left"/>
        <w:rPr>
          <w:rFonts w:hint="eastAsia" w:ascii="仿宋" w:hAnsi="仿宋" w:eastAsia="仿宋" w:cs="仿宋"/>
          <w:color w:val="auto"/>
          <w:kern w:val="0"/>
          <w:szCs w:val="21"/>
          <w:highlight w:val="none"/>
        </w:rPr>
      </w:pPr>
    </w:p>
    <w:p w14:paraId="0CA06927">
      <w:pPr>
        <w:snapToGrid w:val="0"/>
        <w:spacing w:line="480" w:lineRule="exact"/>
        <w:ind w:firstLine="2880" w:firstLineChars="1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55705A0D">
      <w:pPr>
        <w:snapToGrid w:val="0"/>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rPr>
        <w:t>法定代表人（负责人）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（签字或盖章）  </w:t>
      </w:r>
    </w:p>
    <w:p w14:paraId="3FA47132">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44BED15E">
      <w:pPr>
        <w:widowControl/>
        <w:spacing w:line="330" w:lineRule="atLeast"/>
        <w:jc w:val="left"/>
        <w:rPr>
          <w:rFonts w:hint="eastAsia" w:ascii="仿宋" w:hAnsi="仿宋" w:eastAsia="仿宋" w:cs="仿宋"/>
          <w:color w:val="auto"/>
          <w:kern w:val="0"/>
          <w:szCs w:val="21"/>
          <w:highlight w:val="none"/>
        </w:rPr>
      </w:pPr>
    </w:p>
    <w:p w14:paraId="56D0AE9D">
      <w:pPr>
        <w:widowControl/>
        <w:spacing w:line="330" w:lineRule="atLeast"/>
        <w:jc w:val="left"/>
        <w:rPr>
          <w:rFonts w:hint="eastAsia" w:ascii="仿宋" w:hAnsi="仿宋" w:eastAsia="仿宋" w:cs="仿宋"/>
          <w:color w:val="auto"/>
          <w:kern w:val="0"/>
          <w:szCs w:val="21"/>
          <w:highlight w:val="none"/>
        </w:rPr>
      </w:pPr>
    </w:p>
    <w:p w14:paraId="60761D99">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附法定代表人身份证明正反面复印件。</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5"/>
        <w:gridCol w:w="4615"/>
      </w:tblGrid>
      <w:tr w14:paraId="0C012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trPr>
        <w:tc>
          <w:tcPr>
            <w:tcW w:w="4615" w:type="dxa"/>
            <w:noWrap w:val="0"/>
            <w:vAlign w:val="top"/>
          </w:tcPr>
          <w:p w14:paraId="0E7209A0">
            <w:pPr>
              <w:spacing w:line="360" w:lineRule="auto"/>
              <w:rPr>
                <w:rFonts w:hint="eastAsia" w:ascii="仿宋" w:hAnsi="仿宋" w:eastAsia="仿宋" w:cs="仿宋"/>
                <w:color w:val="auto"/>
                <w:sz w:val="24"/>
                <w:highlight w:val="none"/>
              </w:rPr>
            </w:pPr>
          </w:p>
        </w:tc>
        <w:tc>
          <w:tcPr>
            <w:tcW w:w="4615" w:type="dxa"/>
            <w:noWrap w:val="0"/>
            <w:vAlign w:val="top"/>
          </w:tcPr>
          <w:p w14:paraId="08AEAA99">
            <w:pPr>
              <w:spacing w:line="360" w:lineRule="auto"/>
              <w:rPr>
                <w:rFonts w:hint="eastAsia" w:ascii="仿宋" w:hAnsi="仿宋" w:eastAsia="仿宋" w:cs="仿宋"/>
                <w:color w:val="auto"/>
                <w:sz w:val="24"/>
                <w:highlight w:val="none"/>
              </w:rPr>
            </w:pPr>
          </w:p>
        </w:tc>
      </w:tr>
    </w:tbl>
    <w:p w14:paraId="607E0C12">
      <w:pPr>
        <w:snapToGrid w:val="0"/>
        <w:spacing w:line="360" w:lineRule="auto"/>
        <w:rPr>
          <w:rFonts w:hint="eastAsia" w:ascii="仿宋" w:hAnsi="仿宋" w:eastAsia="仿宋" w:cs="仿宋"/>
          <w:color w:val="auto"/>
          <w:sz w:val="24"/>
          <w:highlight w:val="none"/>
        </w:rPr>
      </w:pPr>
    </w:p>
    <w:p w14:paraId="292A5F60">
      <w:pPr>
        <w:widowControl/>
        <w:spacing w:line="330" w:lineRule="atLeast"/>
        <w:jc w:val="left"/>
        <w:rPr>
          <w:rFonts w:hint="eastAsia" w:ascii="仿宋" w:hAnsi="仿宋" w:eastAsia="仿宋" w:cs="仿宋"/>
          <w:color w:val="auto"/>
          <w:kern w:val="0"/>
          <w:szCs w:val="21"/>
          <w:highlight w:val="none"/>
        </w:rPr>
      </w:pPr>
    </w:p>
    <w:p w14:paraId="62E784B6">
      <w:pPr>
        <w:tabs>
          <w:tab w:val="left" w:pos="567"/>
        </w:tabs>
        <w:snapToGrid w:val="0"/>
        <w:spacing w:line="360" w:lineRule="auto"/>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br w:type="page"/>
      </w:r>
      <w:r>
        <w:rPr>
          <w:rFonts w:hint="eastAsia" w:ascii="仿宋" w:hAnsi="仿宋" w:eastAsia="仿宋" w:cs="仿宋"/>
          <w:b/>
          <w:color w:val="auto"/>
          <w:kern w:val="0"/>
          <w:sz w:val="24"/>
          <w:highlight w:val="none"/>
        </w:rPr>
        <w:t>2．法定代表人（负责人）授权委托书格式</w:t>
      </w:r>
    </w:p>
    <w:p w14:paraId="5D8593B8">
      <w:pPr>
        <w:snapToGrid w:val="0"/>
        <w:spacing w:line="360" w:lineRule="auto"/>
        <w:ind w:left="562" w:hanging="562" w:hangingChars="200"/>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法定代表人（负责人）授权委托书</w:t>
      </w:r>
    </w:p>
    <w:p w14:paraId="6CB000A5">
      <w:pPr>
        <w:snapToGrid w:val="0"/>
        <w:spacing w:line="360" w:lineRule="auto"/>
        <w:jc w:val="left"/>
        <w:rPr>
          <w:rFonts w:hint="eastAsia" w:ascii="仿宋" w:hAnsi="仿宋" w:eastAsia="仿宋" w:cs="仿宋"/>
          <w:color w:val="auto"/>
          <w:kern w:val="0"/>
          <w:sz w:val="28"/>
          <w:szCs w:val="21"/>
          <w:highlight w:val="none"/>
        </w:rPr>
      </w:pPr>
    </w:p>
    <w:p w14:paraId="182ADDBF">
      <w:pPr>
        <w:snapToGrid w:val="0"/>
        <w:spacing w:line="48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sz w:val="24"/>
          <w:highlight w:val="none"/>
          <w:u w:val="single"/>
        </w:rPr>
        <w:t xml:space="preserve"> 采购人名称</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0FF6B058">
      <w:pPr>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本授权书声明：注册于</w:t>
      </w:r>
      <w:r>
        <w:rPr>
          <w:rFonts w:hint="eastAsia" w:ascii="仿宋" w:hAnsi="仿宋" w:eastAsia="仿宋" w:cs="仿宋"/>
          <w:color w:val="auto"/>
          <w:kern w:val="0"/>
          <w:sz w:val="24"/>
          <w:highlight w:val="none"/>
          <w:u w:val="single"/>
        </w:rPr>
        <w:t xml:space="preserve">             （供应商住址）</w:t>
      </w:r>
      <w:r>
        <w:rPr>
          <w:rFonts w:hint="eastAsia" w:ascii="仿宋" w:hAnsi="仿宋" w:eastAsia="仿宋" w:cs="仿宋"/>
          <w:color w:val="auto"/>
          <w:kern w:val="0"/>
          <w:sz w:val="24"/>
          <w:highlight w:val="none"/>
        </w:rPr>
        <w:t>的</w:t>
      </w:r>
      <w:r>
        <w:rPr>
          <w:rFonts w:hint="eastAsia" w:ascii="仿宋" w:hAnsi="仿宋" w:eastAsia="仿宋" w:cs="仿宋"/>
          <w:color w:val="auto"/>
          <w:kern w:val="0"/>
          <w:sz w:val="24"/>
          <w:highlight w:val="none"/>
          <w:u w:val="single"/>
        </w:rPr>
        <w:t xml:space="preserve">               （供应商名称）</w:t>
      </w:r>
      <w:r>
        <w:rPr>
          <w:rFonts w:hint="eastAsia" w:ascii="仿宋" w:hAnsi="仿宋" w:eastAsia="仿宋" w:cs="仿宋"/>
          <w:color w:val="auto"/>
          <w:kern w:val="0"/>
          <w:sz w:val="24"/>
          <w:highlight w:val="none"/>
        </w:rPr>
        <w:t>法定代表人</w:t>
      </w:r>
      <w:r>
        <w:rPr>
          <w:rFonts w:hint="eastAsia" w:ascii="仿宋" w:hAnsi="仿宋" w:eastAsia="仿宋" w:cs="仿宋"/>
          <w:color w:val="auto"/>
          <w:kern w:val="0"/>
          <w:sz w:val="24"/>
          <w:highlight w:val="none"/>
          <w:u w:val="single"/>
        </w:rPr>
        <w:t xml:space="preserve">        （法定代表人姓名、职务）</w:t>
      </w:r>
      <w:r>
        <w:rPr>
          <w:rFonts w:hint="eastAsia" w:ascii="仿宋" w:hAnsi="仿宋" w:eastAsia="仿宋" w:cs="仿宋"/>
          <w:color w:val="auto"/>
          <w:kern w:val="0"/>
          <w:sz w:val="24"/>
          <w:highlight w:val="none"/>
        </w:rPr>
        <w:t>代表本公司授权</w:t>
      </w:r>
      <w:r>
        <w:rPr>
          <w:rFonts w:hint="eastAsia" w:ascii="仿宋" w:hAnsi="仿宋" w:eastAsia="仿宋" w:cs="仿宋"/>
          <w:color w:val="auto"/>
          <w:kern w:val="0"/>
          <w:sz w:val="24"/>
          <w:highlight w:val="none"/>
          <w:u w:val="single"/>
        </w:rPr>
        <w:t xml:space="preserve">     （被授权人姓名、职务）</w:t>
      </w:r>
      <w:r>
        <w:rPr>
          <w:rFonts w:hint="eastAsia" w:ascii="仿宋" w:hAnsi="仿宋" w:eastAsia="仿宋" w:cs="仿宋"/>
          <w:color w:val="auto"/>
          <w:kern w:val="0"/>
          <w:sz w:val="24"/>
          <w:highlight w:val="none"/>
        </w:rPr>
        <w:t>为本公司的合法代理人，就贵方组织的</w:t>
      </w:r>
      <w:r>
        <w:rPr>
          <w:rFonts w:hint="eastAsia" w:ascii="仿宋" w:hAnsi="仿宋" w:eastAsia="仿宋" w:cs="仿宋"/>
          <w:color w:val="auto"/>
          <w:kern w:val="0"/>
          <w:sz w:val="24"/>
          <w:highlight w:val="none"/>
          <w:u w:val="single"/>
        </w:rPr>
        <w:t xml:space="preserve">             （项目名称、</w:t>
      </w:r>
      <w:r>
        <w:rPr>
          <w:rFonts w:hint="eastAsia" w:ascii="仿宋" w:hAnsi="仿宋" w:eastAsia="仿宋" w:cs="仿宋"/>
          <w:color w:val="auto"/>
          <w:kern w:val="0"/>
          <w:sz w:val="24"/>
          <w:highlight w:val="none"/>
          <w:u w:val="single"/>
          <w:lang w:val="en-US" w:eastAsia="zh-CN"/>
        </w:rPr>
        <w:t>项目</w:t>
      </w:r>
      <w:r>
        <w:rPr>
          <w:rFonts w:hint="eastAsia" w:ascii="仿宋" w:hAnsi="仿宋" w:eastAsia="仿宋" w:cs="仿宋"/>
          <w:color w:val="auto"/>
          <w:kern w:val="0"/>
          <w:sz w:val="24"/>
          <w:highlight w:val="none"/>
          <w:u w:val="single"/>
        </w:rPr>
        <w:t>编号）</w:t>
      </w:r>
      <w:r>
        <w:rPr>
          <w:rFonts w:hint="eastAsia" w:ascii="仿宋" w:hAnsi="仿宋" w:eastAsia="仿宋" w:cs="仿宋"/>
          <w:color w:val="auto"/>
          <w:kern w:val="0"/>
          <w:sz w:val="24"/>
          <w:highlight w:val="none"/>
        </w:rPr>
        <w:t>，以本公司名义处理一切与之有关的事务。</w:t>
      </w:r>
    </w:p>
    <w:p w14:paraId="305B5E5F">
      <w:pPr>
        <w:snapToGrid w:val="0"/>
        <w:spacing w:line="360" w:lineRule="auto"/>
        <w:ind w:firstLine="480"/>
        <w:jc w:val="left"/>
        <w:rPr>
          <w:rFonts w:hint="eastAsia" w:ascii="仿宋" w:hAnsi="仿宋" w:eastAsia="仿宋" w:cs="仿宋"/>
          <w:color w:val="auto"/>
          <w:kern w:val="0"/>
          <w:sz w:val="24"/>
          <w:highlight w:val="none"/>
        </w:rPr>
      </w:pPr>
    </w:p>
    <w:p w14:paraId="43E10231">
      <w:pPr>
        <w:snapToGrid w:val="0"/>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本授权书于    年  月  日起生效。</w:t>
      </w:r>
    </w:p>
    <w:p w14:paraId="2992AB9B">
      <w:pPr>
        <w:snapToGrid w:val="0"/>
        <w:spacing w:line="360" w:lineRule="auto"/>
        <w:ind w:firstLine="480"/>
        <w:jc w:val="left"/>
        <w:rPr>
          <w:rFonts w:hint="eastAsia" w:ascii="仿宋" w:hAnsi="仿宋" w:eastAsia="仿宋" w:cs="仿宋"/>
          <w:color w:val="auto"/>
          <w:kern w:val="0"/>
          <w:sz w:val="24"/>
          <w:highlight w:val="none"/>
        </w:rPr>
      </w:pPr>
    </w:p>
    <w:p w14:paraId="12D61C34">
      <w:pPr>
        <w:snapToGrid w:val="0"/>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特此声明</w:t>
      </w:r>
    </w:p>
    <w:p w14:paraId="0353CB98">
      <w:pPr>
        <w:snapToGrid w:val="0"/>
        <w:spacing w:line="360" w:lineRule="auto"/>
        <w:rPr>
          <w:rFonts w:hint="eastAsia" w:ascii="仿宋" w:hAnsi="仿宋" w:eastAsia="仿宋" w:cs="仿宋"/>
          <w:color w:val="auto"/>
          <w:kern w:val="0"/>
          <w:sz w:val="24"/>
          <w:highlight w:val="none"/>
        </w:rPr>
      </w:pPr>
    </w:p>
    <w:p w14:paraId="126B4D65">
      <w:pPr>
        <w:snapToGrid w:val="0"/>
        <w:spacing w:line="480" w:lineRule="auto"/>
        <w:ind w:firstLine="2640" w:firstLineChars="1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（盖章）</w:t>
      </w:r>
    </w:p>
    <w:p w14:paraId="6244EF4D">
      <w:pPr>
        <w:snapToGrid w:val="0"/>
        <w:spacing w:line="48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法定代表人（负责人）：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（签字或盖章）</w:t>
      </w:r>
    </w:p>
    <w:p w14:paraId="20C0E50C">
      <w:pPr>
        <w:snapToGrid w:val="0"/>
        <w:spacing w:line="48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授权代表：</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（签字或盖章）                                                  </w:t>
      </w:r>
    </w:p>
    <w:p w14:paraId="4C2E32FB">
      <w:pPr>
        <w:tabs>
          <w:tab w:val="left" w:pos="730"/>
        </w:tabs>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附授权代表身份证明正反面复印件。</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5"/>
        <w:gridCol w:w="4615"/>
      </w:tblGrid>
      <w:tr w14:paraId="043E3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6" w:hRule="atLeast"/>
        </w:trPr>
        <w:tc>
          <w:tcPr>
            <w:tcW w:w="4615" w:type="dxa"/>
            <w:noWrap w:val="0"/>
            <w:vAlign w:val="top"/>
          </w:tcPr>
          <w:p w14:paraId="14FF1B08">
            <w:pPr>
              <w:spacing w:line="360" w:lineRule="auto"/>
              <w:rPr>
                <w:rFonts w:hint="eastAsia" w:ascii="仿宋" w:hAnsi="仿宋" w:eastAsia="仿宋" w:cs="仿宋"/>
                <w:color w:val="auto"/>
                <w:sz w:val="24"/>
                <w:highlight w:val="none"/>
              </w:rPr>
            </w:pPr>
          </w:p>
        </w:tc>
        <w:tc>
          <w:tcPr>
            <w:tcW w:w="4615" w:type="dxa"/>
            <w:noWrap w:val="0"/>
            <w:vAlign w:val="top"/>
          </w:tcPr>
          <w:p w14:paraId="1DB42E33">
            <w:pPr>
              <w:spacing w:line="360" w:lineRule="auto"/>
              <w:rPr>
                <w:rFonts w:hint="eastAsia" w:ascii="仿宋" w:hAnsi="仿宋" w:eastAsia="仿宋" w:cs="仿宋"/>
                <w:color w:val="auto"/>
                <w:sz w:val="24"/>
                <w:highlight w:val="none"/>
              </w:rPr>
            </w:pPr>
          </w:p>
        </w:tc>
      </w:tr>
    </w:tbl>
    <w:p w14:paraId="1A85CF9E">
      <w:pPr>
        <w:snapToGrid w:val="0"/>
        <w:spacing w:line="360" w:lineRule="auto"/>
        <w:jc w:val="lef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注：</w:t>
      </w:r>
    </w:p>
    <w:p w14:paraId="0575B4C7">
      <w:pPr>
        <w:snapToGrid w:val="0"/>
        <w:spacing w:line="360" w:lineRule="auto"/>
        <w:ind w:firstLine="482" w:firstLineChars="200"/>
        <w:jc w:val="lef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 xml:space="preserve">1. 除可填报项目外，对本法定代表人授权委托书内容的修改将被视为未实质性响应，从而导致该响应文件被拒绝； </w:t>
      </w:r>
    </w:p>
    <w:p w14:paraId="70541E7F">
      <w:pPr>
        <w:tabs>
          <w:tab w:val="left" w:pos="567"/>
        </w:tabs>
        <w:snapToGrid w:val="0"/>
        <w:spacing w:line="360" w:lineRule="auto"/>
        <w:ind w:firstLine="482" w:firstLineChars="200"/>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2. 若供应商授权代表为 法定代表人或负责人的可不提供。</w:t>
      </w:r>
    </w:p>
    <w:p w14:paraId="5C1E1ED1">
      <w:pPr>
        <w:widowControl/>
        <w:spacing w:line="330" w:lineRule="atLeast"/>
        <w:jc w:val="left"/>
        <w:rPr>
          <w:rFonts w:hint="eastAsia" w:ascii="仿宋" w:hAnsi="仿宋" w:eastAsia="仿宋" w:cs="仿宋"/>
          <w:color w:val="auto"/>
          <w:kern w:val="0"/>
          <w:szCs w:val="21"/>
          <w:highlight w:val="none"/>
        </w:rPr>
      </w:pPr>
    </w:p>
    <w:p w14:paraId="09226694">
      <w:pPr>
        <w:widowControl/>
        <w:spacing w:line="330" w:lineRule="atLeast"/>
        <w:jc w:val="left"/>
        <w:rPr>
          <w:rFonts w:hint="eastAsia" w:ascii="仿宋" w:hAnsi="仿宋" w:eastAsia="仿宋" w:cs="仿宋"/>
          <w:color w:val="auto"/>
          <w:kern w:val="0"/>
          <w:szCs w:val="21"/>
          <w:highlight w:val="none"/>
        </w:rPr>
      </w:pPr>
    </w:p>
    <w:p w14:paraId="77252D19">
      <w:pPr>
        <w:tabs>
          <w:tab w:val="left" w:pos="567"/>
        </w:tabs>
        <w:snapToGrid w:val="0"/>
        <w:spacing w:line="360" w:lineRule="auto"/>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br w:type="page"/>
      </w:r>
      <w:r>
        <w:rPr>
          <w:rFonts w:hint="eastAsia" w:ascii="仿宋" w:hAnsi="仿宋" w:eastAsia="仿宋" w:cs="仿宋"/>
          <w:b/>
          <w:color w:val="auto"/>
          <w:kern w:val="0"/>
          <w:sz w:val="24"/>
          <w:highlight w:val="none"/>
        </w:rPr>
        <w:t>3．磋商函格式</w:t>
      </w:r>
    </w:p>
    <w:p w14:paraId="3496A548">
      <w:pPr>
        <w:spacing w:line="480" w:lineRule="exact"/>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磋  商  函</w:t>
      </w:r>
    </w:p>
    <w:p w14:paraId="4EA58BA9">
      <w:pPr>
        <w:tabs>
          <w:tab w:val="left" w:pos="4860"/>
        </w:tabs>
        <w:snapToGrid w:val="0"/>
        <w:spacing w:line="360" w:lineRule="auto"/>
        <w:rPr>
          <w:rFonts w:hint="eastAsia" w:ascii="仿宋" w:hAnsi="仿宋" w:eastAsia="仿宋" w:cs="仿宋"/>
          <w:color w:val="auto"/>
          <w:kern w:val="0"/>
          <w:sz w:val="24"/>
          <w:highlight w:val="none"/>
          <w:u w:val="single"/>
        </w:rPr>
      </w:pPr>
    </w:p>
    <w:p w14:paraId="4B1A5110">
      <w:pPr>
        <w:snapToGrid w:val="0"/>
        <w:spacing w:line="48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sz w:val="24"/>
          <w:highlight w:val="none"/>
          <w:u w:val="single"/>
        </w:rPr>
        <w:t xml:space="preserve"> 采购人名称</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6F9AA42D">
      <w:pPr>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u w:val="single"/>
        </w:rPr>
        <w:t xml:space="preserve">                           （供应商全称）</w:t>
      </w:r>
      <w:r>
        <w:rPr>
          <w:rFonts w:hint="eastAsia" w:ascii="仿宋" w:hAnsi="仿宋" w:eastAsia="仿宋" w:cs="仿宋"/>
          <w:color w:val="auto"/>
          <w:kern w:val="0"/>
          <w:sz w:val="24"/>
          <w:highlight w:val="none"/>
        </w:rPr>
        <w:t>授权</w:t>
      </w:r>
      <w:r>
        <w:rPr>
          <w:rFonts w:hint="eastAsia" w:ascii="仿宋" w:hAnsi="仿宋" w:eastAsia="仿宋" w:cs="仿宋"/>
          <w:color w:val="auto"/>
          <w:kern w:val="0"/>
          <w:sz w:val="24"/>
          <w:highlight w:val="none"/>
          <w:u w:val="single"/>
        </w:rPr>
        <w:t xml:space="preserve">            （供应商授权代表姓名、职务)</w:t>
      </w:r>
      <w:r>
        <w:rPr>
          <w:rFonts w:hint="eastAsia" w:ascii="仿宋" w:hAnsi="仿宋" w:eastAsia="仿宋" w:cs="仿宋"/>
          <w:color w:val="auto"/>
          <w:kern w:val="0"/>
          <w:sz w:val="24"/>
          <w:highlight w:val="none"/>
        </w:rPr>
        <w:t>为我方代表，参加贵方组织的</w:t>
      </w:r>
      <w:r>
        <w:rPr>
          <w:rFonts w:hint="eastAsia" w:ascii="仿宋" w:hAnsi="仿宋" w:eastAsia="仿宋" w:cs="仿宋"/>
          <w:color w:val="auto"/>
          <w:kern w:val="0"/>
          <w:sz w:val="24"/>
          <w:highlight w:val="none"/>
          <w:u w:val="single"/>
        </w:rPr>
        <w:t xml:space="preserve">               （项目名称）           （项目编号）    </w:t>
      </w:r>
      <w:r>
        <w:rPr>
          <w:rFonts w:hint="eastAsia" w:ascii="仿宋" w:hAnsi="仿宋" w:eastAsia="仿宋" w:cs="仿宋"/>
          <w:color w:val="auto"/>
          <w:kern w:val="0"/>
          <w:sz w:val="24"/>
          <w:highlight w:val="none"/>
        </w:rPr>
        <w:t>磋商的有关活动，并对此项目进行报价。为此：</w:t>
      </w:r>
    </w:p>
    <w:p w14:paraId="4FA5FFBC">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1．我方同意在本项目响应文件中规定的响应文件提交截止之日起90个日历天内遵守本响应文件中的承诺且在此期限期满之前均具有约束力。</w:t>
      </w:r>
    </w:p>
    <w:p w14:paraId="398165C7">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2．我方承诺已经具备《中华人民共和国政府采购法》</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《政府采购竞争性磋商采购方式管理暂行办法》中规定的参加采购活动的供应商应当具备的全部条件。</w:t>
      </w:r>
    </w:p>
    <w:p w14:paraId="607C3997">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3．提供供应商须知规定的全部响应文件，包括响应文件正本、副本。</w:t>
      </w:r>
    </w:p>
    <w:p w14:paraId="3F71375E">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4．按响应文件要求提供和交付的货物和服务的报价详见报价一览表。</w:t>
      </w:r>
    </w:p>
    <w:p w14:paraId="260B79A0">
      <w:pPr>
        <w:tabs>
          <w:tab w:val="left" w:pos="1680"/>
        </w:tabs>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5．我方承诺：完全理解并接受磋商报价超过预算金额时，磋商将被拒绝。</w:t>
      </w:r>
    </w:p>
    <w:p w14:paraId="57D5BCD5">
      <w:pPr>
        <w:tabs>
          <w:tab w:val="left" w:pos="1680"/>
        </w:tabs>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6．保证忠实地执行双方所签订的合同，并承担合同规定的责任和义务。</w:t>
      </w:r>
    </w:p>
    <w:p w14:paraId="26AB24B3">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7．承诺完全满足和响应磋商文件中的各项商务和技术要求，若有偏差，已在响应文件商务和技术条款偏离表中予以明确特别说明。</w:t>
      </w:r>
    </w:p>
    <w:p w14:paraId="27587C6F">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8．保证遵守磋商文件的规定。</w:t>
      </w:r>
    </w:p>
    <w:p w14:paraId="56C01105">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9．如果在规定的响应文件有效期内撤回响应文件，我方的磋商保证金可被贵方没收。</w:t>
      </w:r>
    </w:p>
    <w:p w14:paraId="78EA5D10">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10．我方完全理解贵方不接受可选择性报价。</w:t>
      </w:r>
    </w:p>
    <w:p w14:paraId="42CE0A18">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11．我方愿意向贵方提供任何与本项磋商有关的数据、情况和技术资料。若贵方需要，我方愿意提供我方做出的一切承诺的证明材料。</w:t>
      </w:r>
    </w:p>
    <w:p w14:paraId="0A84E5C8">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12．我方已详细审核全部响应文件，包括响应文件修改书（如有的话）、参考资料及有关附件，确认无误。</w:t>
      </w:r>
    </w:p>
    <w:p w14:paraId="793ACB3C">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13．我方承诺：采购人若需追加采购本项目响应文件所列货物及相关服务的，在不改变合同其他实质性条款的前提下，按相同或更优惠的折扣并保证供货质量。</w:t>
      </w:r>
    </w:p>
    <w:p w14:paraId="7166CC54">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14．我方承诺接受磋商文件中《政府采购合同范本》的全部条款且无任何异议。</w:t>
      </w:r>
    </w:p>
    <w:p w14:paraId="701760FC">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15．我方将严格遵守《中华人民共和国政府采购法》</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政府采购竞争性磋商采购方式管理暂行办法》的有关规定，若有下列情形之一的，将被处以采购金额5‰以上10‰以下的罚款，列入不良行为记录名单，在一至三年内禁止参加相关采购活动；有违法所得的，并处没收违法所得；情节严重的，由工商行政管理机关吊销营业执照；构成犯罪的，依法追究刑事责任：</w:t>
      </w:r>
    </w:p>
    <w:p w14:paraId="487B0F78">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（1）提供虚假材料谋取成交、成交的；</w:t>
      </w:r>
    </w:p>
    <w:p w14:paraId="086AF20C">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（2）采取不正当手段诋毁、排挤其他供应商的；</w:t>
      </w:r>
    </w:p>
    <w:p w14:paraId="3528E2C8">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（3）与采购人、其它供应商或者代理机构工作人员恶意串通的；</w:t>
      </w:r>
    </w:p>
    <w:p w14:paraId="35BFCE8F">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（4）向采购人、代理机构工作人员行贿或者提供其他不正当利益的；</w:t>
      </w:r>
    </w:p>
    <w:p w14:paraId="2FCE24C6">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（5）响应文件提交截止时间后撤回响应文件的；</w:t>
      </w:r>
    </w:p>
    <w:p w14:paraId="3EE3C072">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（6）在磋商期间，影响代理机构或磋商小组正常履行职责的；</w:t>
      </w:r>
    </w:p>
    <w:p w14:paraId="588EF962">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（7）未经代理机构同意，在采购过程中与采购人进行协商磋商的；</w:t>
      </w:r>
    </w:p>
    <w:p w14:paraId="4342BF43">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（8）成交后未按磋商文件、响应文件及相关承诺规定签约或与采购人订立背离合同实质性内容的其它协议的；</w:t>
      </w:r>
    </w:p>
    <w:p w14:paraId="003D3FD4">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（9）未按磋商文件规定和合同约定履行义务的；</w:t>
      </w:r>
    </w:p>
    <w:p w14:paraId="045DBFF6">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（10）拒绝有关部门监督检查或提供虚假情况的；</w:t>
      </w:r>
    </w:p>
    <w:p w14:paraId="0551326D">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（11）违犯法律法规规定的其他行为。</w:t>
      </w:r>
    </w:p>
    <w:p w14:paraId="2E0AABBC">
      <w:pPr>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所有有关本磋商项目的一切往来联系方式为：</w:t>
      </w:r>
    </w:p>
    <w:p w14:paraId="08864529">
      <w:pPr>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地址：</w:t>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 xml:space="preserve">                            邮编：</w:t>
      </w:r>
      <w:r>
        <w:rPr>
          <w:rFonts w:hint="eastAsia" w:ascii="仿宋" w:hAnsi="仿宋" w:eastAsia="仿宋" w:cs="仿宋"/>
          <w:color w:val="auto"/>
          <w:kern w:val="0"/>
          <w:sz w:val="24"/>
          <w:highlight w:val="none"/>
        </w:rPr>
        <w:tab/>
      </w:r>
    </w:p>
    <w:p w14:paraId="2F20A8EE">
      <w:pPr>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电话：</w:t>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 xml:space="preserve">                            传真：</w:t>
      </w:r>
    </w:p>
    <w:p w14:paraId="13E36165">
      <w:pPr>
        <w:tabs>
          <w:tab w:val="left" w:pos="480"/>
        </w:tabs>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供应商授权代表姓名：</w:t>
      </w:r>
    </w:p>
    <w:p w14:paraId="634C3E34">
      <w:pPr>
        <w:tabs>
          <w:tab w:val="left" w:pos="480"/>
        </w:tabs>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供应商授权代表联系电话：                （办公）         （移动）</w:t>
      </w:r>
    </w:p>
    <w:p w14:paraId="04D2E035">
      <w:pPr>
        <w:tabs>
          <w:tab w:val="left" w:pos="480"/>
        </w:tabs>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E-mail:</w:t>
      </w:r>
    </w:p>
    <w:p w14:paraId="658D6127">
      <w:pPr>
        <w:tabs>
          <w:tab w:val="left" w:pos="4000"/>
        </w:tabs>
        <w:snapToGrid w:val="0"/>
        <w:spacing w:line="360" w:lineRule="auto"/>
        <w:jc w:val="left"/>
        <w:rPr>
          <w:rFonts w:hint="eastAsia" w:ascii="仿宋" w:hAnsi="仿宋" w:eastAsia="仿宋" w:cs="仿宋"/>
          <w:color w:val="auto"/>
          <w:kern w:val="0"/>
          <w:sz w:val="24"/>
          <w:highlight w:val="none"/>
        </w:rPr>
      </w:pPr>
    </w:p>
    <w:p w14:paraId="5972910B">
      <w:pPr>
        <w:tabs>
          <w:tab w:val="left" w:pos="4000"/>
        </w:tabs>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(盖章)</w:t>
      </w:r>
    </w:p>
    <w:p w14:paraId="36CABA9E">
      <w:pPr>
        <w:tabs>
          <w:tab w:val="left" w:pos="4000"/>
        </w:tabs>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法定代表人（负责人）或供应商被授权代表：</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(签字或盖章)</w:t>
      </w:r>
    </w:p>
    <w:p w14:paraId="7BFBC26A">
      <w:pPr>
        <w:tabs>
          <w:tab w:val="left" w:pos="4000"/>
        </w:tabs>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日  期：</w:t>
      </w:r>
    </w:p>
    <w:p w14:paraId="3241F063">
      <w:pPr>
        <w:snapToGrid w:val="0"/>
        <w:spacing w:line="360" w:lineRule="auto"/>
        <w:ind w:firstLine="482" w:firstLineChars="200"/>
        <w:jc w:val="left"/>
        <w:rPr>
          <w:rFonts w:hint="eastAsia" w:ascii="仿宋" w:hAnsi="仿宋" w:eastAsia="仿宋" w:cs="仿宋"/>
          <w:b/>
          <w:bCs/>
          <w:color w:val="auto"/>
          <w:kern w:val="0"/>
          <w:sz w:val="24"/>
          <w:highlight w:val="none"/>
        </w:rPr>
      </w:pPr>
    </w:p>
    <w:p w14:paraId="417D22D8">
      <w:pPr>
        <w:snapToGrid w:val="0"/>
        <w:spacing w:line="360" w:lineRule="auto"/>
        <w:ind w:firstLine="482" w:firstLineChars="200"/>
        <w:jc w:val="lef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注：除可填报项目外，对本磋商函内容的修改将被视为非实质性响应，从而导致该响应文件无效。</w:t>
      </w:r>
    </w:p>
    <w:p w14:paraId="71B9AFCB">
      <w:pPr>
        <w:tabs>
          <w:tab w:val="left" w:pos="567"/>
        </w:tabs>
        <w:snapToGrid w:val="0"/>
        <w:spacing w:line="360" w:lineRule="auto"/>
        <w:jc w:val="left"/>
        <w:rPr>
          <w:rFonts w:hint="eastAsia" w:ascii="仿宋" w:hAnsi="仿宋" w:eastAsia="仿宋" w:cs="仿宋"/>
          <w:b/>
          <w:color w:val="auto"/>
          <w:kern w:val="0"/>
          <w:sz w:val="24"/>
          <w:highlight w:val="none"/>
        </w:rPr>
      </w:pPr>
    </w:p>
    <w:p w14:paraId="6BD3EBF3">
      <w:pPr>
        <w:tabs>
          <w:tab w:val="left" w:pos="567"/>
        </w:tabs>
        <w:snapToGrid w:val="0"/>
        <w:spacing w:line="360" w:lineRule="auto"/>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br w:type="page"/>
      </w:r>
      <w:r>
        <w:rPr>
          <w:rFonts w:hint="eastAsia" w:ascii="仿宋" w:hAnsi="仿宋" w:eastAsia="仿宋" w:cs="仿宋"/>
          <w:b/>
          <w:color w:val="auto"/>
          <w:kern w:val="0"/>
          <w:sz w:val="24"/>
          <w:highlight w:val="none"/>
        </w:rPr>
        <w:t>4．报价一览表格式</w:t>
      </w:r>
    </w:p>
    <w:p w14:paraId="4B41789A">
      <w:pPr>
        <w:keepLines/>
        <w:snapToGrid w:val="0"/>
        <w:spacing w:line="360" w:lineRule="auto"/>
        <w:rPr>
          <w:rFonts w:hint="eastAsia" w:ascii="仿宋" w:hAnsi="仿宋" w:eastAsia="仿宋" w:cs="仿宋"/>
          <w:b/>
          <w:color w:val="auto"/>
          <w:kern w:val="0"/>
          <w:sz w:val="28"/>
          <w:szCs w:val="28"/>
          <w:highlight w:val="none"/>
        </w:rPr>
      </w:pPr>
    </w:p>
    <w:p w14:paraId="7FC1C81B">
      <w:pPr>
        <w:spacing w:line="360" w:lineRule="auto"/>
        <w:ind w:right="26"/>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报价一览表</w:t>
      </w:r>
    </w:p>
    <w:p w14:paraId="2A401FCE">
      <w:pPr>
        <w:widowControl/>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pacing w:val="20"/>
          <w:sz w:val="24"/>
          <w:highlight w:val="none"/>
        </w:rPr>
        <w:t>项目</w:t>
      </w: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u w:val="single"/>
        </w:rPr>
        <w:t xml:space="preserve">                        </w:t>
      </w:r>
    </w:p>
    <w:p w14:paraId="0BDB171D">
      <w:pPr>
        <w:widowControl/>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rPr>
        <w:t xml:space="preserve">                         </w:t>
      </w:r>
    </w:p>
    <w:p w14:paraId="1329B698">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pacing w:val="20"/>
          <w:sz w:val="24"/>
          <w:highlight w:val="none"/>
        </w:rPr>
        <w:t>供应商全</w:t>
      </w:r>
      <w:r>
        <w:rPr>
          <w:rFonts w:hint="eastAsia" w:ascii="仿宋" w:hAnsi="仿宋" w:eastAsia="仿宋" w:cs="仿宋"/>
          <w:color w:val="auto"/>
          <w:sz w:val="24"/>
          <w:highlight w:val="none"/>
        </w:rPr>
        <w:t>称：</w:t>
      </w:r>
      <w:r>
        <w:rPr>
          <w:rFonts w:hint="eastAsia" w:ascii="仿宋" w:hAnsi="仿宋" w:eastAsia="仿宋" w:cs="仿宋"/>
          <w:color w:val="auto"/>
          <w:sz w:val="24"/>
          <w:highlight w:val="none"/>
          <w:u w:val="single"/>
        </w:rPr>
        <w:t xml:space="preserve">                      </w:t>
      </w:r>
    </w:p>
    <w:tbl>
      <w:tblPr>
        <w:tblStyle w:val="1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30"/>
        <w:gridCol w:w="6716"/>
      </w:tblGrid>
      <w:tr w14:paraId="004BF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589" w:type="pct"/>
            <w:noWrap w:val="0"/>
            <w:vAlign w:val="center"/>
          </w:tcPr>
          <w:p w14:paraId="6E758E57">
            <w:pPr>
              <w:widowControl/>
              <w:spacing w:line="360" w:lineRule="auto"/>
              <w:jc w:val="center"/>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报价（元）</w:t>
            </w:r>
          </w:p>
        </w:tc>
        <w:tc>
          <w:tcPr>
            <w:tcW w:w="3410" w:type="pct"/>
            <w:noWrap w:val="0"/>
            <w:vAlign w:val="center"/>
          </w:tcPr>
          <w:p w14:paraId="4D69A4F4">
            <w:pPr>
              <w:widowControl/>
              <w:spacing w:line="360" w:lineRule="auto"/>
              <w:jc w:val="center"/>
              <w:rPr>
                <w:rFonts w:hint="eastAsia" w:ascii="仿宋" w:hAnsi="仿宋" w:eastAsia="仿宋" w:cs="仿宋"/>
                <w:bCs/>
                <w:color w:val="auto"/>
                <w:spacing w:val="20"/>
                <w:sz w:val="24"/>
                <w:highlight w:val="none"/>
                <w:u w:val="single"/>
              </w:rPr>
            </w:pPr>
          </w:p>
        </w:tc>
      </w:tr>
      <w:tr w14:paraId="4E9E6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589" w:type="pct"/>
            <w:noWrap w:val="0"/>
            <w:vAlign w:val="center"/>
          </w:tcPr>
          <w:p w14:paraId="5AE77578">
            <w:pPr>
              <w:widowControl/>
              <w:spacing w:line="360" w:lineRule="auto"/>
              <w:jc w:val="center"/>
              <w:rPr>
                <w:rFonts w:hint="eastAsia" w:ascii="仿宋" w:hAnsi="仿宋" w:eastAsia="仿宋" w:cs="仿宋"/>
                <w:color w:val="auto"/>
                <w:spacing w:val="20"/>
                <w:sz w:val="24"/>
                <w:highlight w:val="none"/>
              </w:rPr>
            </w:pPr>
            <w:r>
              <w:rPr>
                <w:rFonts w:hint="eastAsia" w:ascii="仿宋" w:hAnsi="仿宋" w:eastAsia="仿宋" w:cs="仿宋"/>
                <w:color w:val="auto"/>
                <w:sz w:val="24"/>
                <w:highlight w:val="none"/>
              </w:rPr>
              <w:t>合同履行期限</w:t>
            </w:r>
          </w:p>
        </w:tc>
        <w:tc>
          <w:tcPr>
            <w:tcW w:w="3410" w:type="pct"/>
            <w:noWrap w:val="0"/>
            <w:vAlign w:val="center"/>
          </w:tcPr>
          <w:p w14:paraId="54203AEB">
            <w:pPr>
              <w:widowControl/>
              <w:spacing w:line="360" w:lineRule="auto"/>
              <w:jc w:val="center"/>
              <w:rPr>
                <w:rFonts w:hint="eastAsia" w:ascii="仿宋" w:hAnsi="仿宋" w:eastAsia="仿宋" w:cs="仿宋"/>
                <w:bCs/>
                <w:color w:val="auto"/>
                <w:spacing w:val="20"/>
                <w:sz w:val="24"/>
                <w:highlight w:val="none"/>
                <w:u w:val="single"/>
              </w:rPr>
            </w:pPr>
          </w:p>
        </w:tc>
      </w:tr>
      <w:tr w14:paraId="35D2F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589" w:type="pct"/>
            <w:noWrap w:val="0"/>
            <w:vAlign w:val="center"/>
          </w:tcPr>
          <w:p w14:paraId="2D37BC42">
            <w:pPr>
              <w:widowControl/>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服务地点</w:t>
            </w:r>
          </w:p>
        </w:tc>
        <w:tc>
          <w:tcPr>
            <w:tcW w:w="3410" w:type="pct"/>
            <w:noWrap w:val="0"/>
            <w:vAlign w:val="center"/>
          </w:tcPr>
          <w:p w14:paraId="3B07BE32">
            <w:pPr>
              <w:widowControl/>
              <w:spacing w:line="360" w:lineRule="auto"/>
              <w:jc w:val="center"/>
              <w:rPr>
                <w:rFonts w:hint="eastAsia" w:ascii="仿宋" w:hAnsi="仿宋" w:eastAsia="仿宋" w:cs="仿宋"/>
                <w:bCs/>
                <w:color w:val="auto"/>
                <w:spacing w:val="20"/>
                <w:sz w:val="24"/>
                <w:highlight w:val="none"/>
                <w:u w:val="single"/>
              </w:rPr>
            </w:pPr>
          </w:p>
        </w:tc>
      </w:tr>
      <w:tr w14:paraId="130A5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589" w:type="pct"/>
            <w:noWrap w:val="0"/>
            <w:vAlign w:val="center"/>
          </w:tcPr>
          <w:p w14:paraId="27490C21">
            <w:pPr>
              <w:widowControl/>
              <w:spacing w:line="360" w:lineRule="auto"/>
              <w:jc w:val="center"/>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备   注</w:t>
            </w:r>
          </w:p>
        </w:tc>
        <w:tc>
          <w:tcPr>
            <w:tcW w:w="3410" w:type="pct"/>
            <w:noWrap w:val="0"/>
            <w:vAlign w:val="center"/>
          </w:tcPr>
          <w:p w14:paraId="5A1029D1">
            <w:pPr>
              <w:widowControl/>
              <w:spacing w:line="360" w:lineRule="auto"/>
              <w:jc w:val="center"/>
              <w:rPr>
                <w:rFonts w:hint="eastAsia" w:ascii="仿宋" w:hAnsi="仿宋" w:eastAsia="仿宋" w:cs="仿宋"/>
                <w:bCs/>
                <w:color w:val="auto"/>
                <w:spacing w:val="20"/>
                <w:sz w:val="24"/>
                <w:highlight w:val="none"/>
                <w:u w:val="single"/>
              </w:rPr>
            </w:pPr>
          </w:p>
        </w:tc>
      </w:tr>
    </w:tbl>
    <w:p w14:paraId="17055B4B">
      <w:pPr>
        <w:widowControl/>
        <w:spacing w:line="360" w:lineRule="auto"/>
        <w:ind w:firstLine="840" w:firstLineChars="300"/>
        <w:jc w:val="left"/>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注：报价应包括磋商文件所规定的磋商范围的全部内容；</w:t>
      </w:r>
    </w:p>
    <w:p w14:paraId="4000B66B">
      <w:pPr>
        <w:widowControl/>
        <w:spacing w:line="360" w:lineRule="auto"/>
        <w:jc w:val="left"/>
        <w:rPr>
          <w:rFonts w:hint="eastAsia" w:ascii="仿宋" w:hAnsi="仿宋" w:eastAsia="仿宋" w:cs="仿宋"/>
          <w:color w:val="auto"/>
          <w:spacing w:val="20"/>
          <w:sz w:val="24"/>
          <w:highlight w:val="none"/>
          <w:lang w:val="en-US" w:eastAsia="zh-CN"/>
        </w:rPr>
      </w:pPr>
      <w:r>
        <w:rPr>
          <w:rFonts w:hint="eastAsia" w:ascii="仿宋" w:hAnsi="仿宋" w:eastAsia="仿宋" w:cs="仿宋"/>
          <w:color w:val="auto"/>
          <w:spacing w:val="20"/>
          <w:sz w:val="24"/>
          <w:highlight w:val="none"/>
          <w:lang w:val="en-US" w:eastAsia="zh-CN"/>
        </w:rPr>
        <w:t xml:space="preserve">        </w:t>
      </w:r>
    </w:p>
    <w:p w14:paraId="300F5C50">
      <w:pPr>
        <w:widowControl/>
        <w:spacing w:line="360" w:lineRule="auto"/>
        <w:jc w:val="left"/>
        <w:rPr>
          <w:rFonts w:hint="eastAsia" w:ascii="仿宋" w:hAnsi="仿宋" w:eastAsia="仿宋" w:cs="仿宋"/>
          <w:color w:val="auto"/>
          <w:spacing w:val="20"/>
          <w:sz w:val="24"/>
          <w:highlight w:val="none"/>
          <w:lang w:val="en-US" w:eastAsia="zh-CN"/>
        </w:rPr>
      </w:pPr>
    </w:p>
    <w:p w14:paraId="3A3E1B77">
      <w:pPr>
        <w:widowControl/>
        <w:tabs>
          <w:tab w:val="left" w:pos="4000"/>
        </w:tabs>
        <w:spacing w:line="360" w:lineRule="auto"/>
        <w:ind w:firstLine="1920" w:firstLineChars="8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供应商全称：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3A05D06B">
      <w:pPr>
        <w:widowControl/>
        <w:tabs>
          <w:tab w:val="left" w:pos="4000"/>
        </w:tabs>
        <w:spacing w:line="360" w:lineRule="auto"/>
        <w:ind w:firstLine="1920" w:firstLineChars="8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法定代表人或供应商授权代表：</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（签字或盖章）</w:t>
      </w:r>
    </w:p>
    <w:p w14:paraId="319AC77C">
      <w:pPr>
        <w:widowControl/>
        <w:tabs>
          <w:tab w:val="left" w:pos="4000"/>
        </w:tabs>
        <w:spacing w:line="360" w:lineRule="auto"/>
        <w:ind w:firstLine="1920" w:firstLineChars="800"/>
        <w:jc w:val="left"/>
        <w:rPr>
          <w:rFonts w:hint="eastAsia" w:ascii="仿宋" w:hAnsi="仿宋" w:eastAsia="仿宋" w:cs="仿宋"/>
          <w:color w:val="auto"/>
          <w:sz w:val="24"/>
          <w:highlight w:val="none"/>
        </w:rPr>
        <w:sectPr>
          <w:footerReference r:id="rId12" w:type="first"/>
          <w:footerReference r:id="rId11" w:type="default"/>
          <w:pgSz w:w="11900" w:h="16838"/>
          <w:pgMar w:top="1134" w:right="1134" w:bottom="1134" w:left="1134" w:header="850" w:footer="992" w:gutter="0"/>
          <w:pgNumType w:fmt="numberInDash"/>
          <w:cols w:space="720" w:num="1"/>
          <w:docGrid w:type="lines" w:linePitch="436" w:charSpace="0"/>
        </w:sectPr>
      </w:pPr>
      <w:r>
        <w:rPr>
          <w:rFonts w:hint="eastAsia" w:ascii="仿宋" w:hAnsi="仿宋" w:eastAsia="仿宋" w:cs="仿宋"/>
          <w:color w:val="auto"/>
          <w:sz w:val="24"/>
          <w:highlight w:val="none"/>
        </w:rPr>
        <w:t>日  期：      年    月    日</w:t>
      </w:r>
    </w:p>
    <w:p w14:paraId="52ECFBEF">
      <w:pPr>
        <w:tabs>
          <w:tab w:val="left" w:pos="567"/>
        </w:tabs>
        <w:snapToGrid w:val="0"/>
        <w:spacing w:line="360" w:lineRule="auto"/>
        <w:jc w:val="left"/>
        <w:rPr>
          <w:rFonts w:hint="eastAsia" w:ascii="仿宋" w:hAnsi="仿宋" w:eastAsia="仿宋" w:cs="仿宋"/>
          <w:b/>
          <w:bCs/>
          <w:color w:val="auto"/>
          <w:sz w:val="28"/>
          <w:szCs w:val="28"/>
          <w:highlight w:val="none"/>
        </w:rPr>
      </w:pPr>
      <w:r>
        <w:rPr>
          <w:rFonts w:hint="eastAsia" w:ascii="仿宋" w:hAnsi="仿宋" w:eastAsia="仿宋" w:cs="仿宋"/>
          <w:b/>
          <w:color w:val="auto"/>
          <w:kern w:val="0"/>
          <w:sz w:val="24"/>
          <w:highlight w:val="none"/>
        </w:rPr>
        <w:t>5．商务条款响应表格式</w:t>
      </w:r>
    </w:p>
    <w:p w14:paraId="4B35ABED">
      <w:pPr>
        <w:snapToGrid w:val="0"/>
        <w:spacing w:line="360" w:lineRule="auto"/>
        <w:ind w:firstLine="562" w:firstLineChars="200"/>
        <w:jc w:val="center"/>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商务条款响应表</w:t>
      </w:r>
    </w:p>
    <w:p w14:paraId="6262AD6A">
      <w:pPr>
        <w:bidi w:val="0"/>
        <w:rPr>
          <w:rFonts w:hint="eastAsia" w:ascii="仿宋" w:hAnsi="仿宋" w:eastAsia="仿宋" w:cs="仿宋"/>
          <w:sz w:val="24"/>
          <w:szCs w:val="24"/>
        </w:rPr>
      </w:pPr>
      <w:r>
        <w:rPr>
          <w:rFonts w:hint="eastAsia" w:ascii="仿宋" w:hAnsi="仿宋" w:eastAsia="仿宋" w:cs="仿宋"/>
          <w:sz w:val="24"/>
          <w:szCs w:val="24"/>
        </w:rPr>
        <w:t>项目名称：</w:t>
      </w:r>
    </w:p>
    <w:p w14:paraId="6A1891E6">
      <w:pPr>
        <w:bidi w:val="0"/>
        <w:rPr>
          <w:rFonts w:hint="eastAsia" w:ascii="仿宋" w:hAnsi="仿宋" w:eastAsia="仿宋" w:cs="仿宋"/>
          <w:sz w:val="24"/>
          <w:szCs w:val="24"/>
        </w:rPr>
      </w:pPr>
      <w:r>
        <w:rPr>
          <w:rFonts w:hint="eastAsia" w:ascii="仿宋" w:hAnsi="仿宋" w:eastAsia="仿宋" w:cs="仿宋"/>
          <w:sz w:val="24"/>
          <w:szCs w:val="24"/>
        </w:rPr>
        <w:t>项目编号：</w:t>
      </w:r>
    </w:p>
    <w:p w14:paraId="682A1986">
      <w:pPr>
        <w:pStyle w:val="7"/>
        <w:ind w:firstLine="400"/>
        <w:rPr>
          <w:rFonts w:hint="eastAsia" w:ascii="仿宋" w:hAnsi="仿宋" w:eastAsia="仿宋" w:cs="仿宋"/>
          <w:color w:val="auto"/>
          <w:highlight w:val="none"/>
        </w:rPr>
      </w:pPr>
    </w:p>
    <w:p w14:paraId="1CA61B49">
      <w:pPr>
        <w:widowControl/>
        <w:spacing w:line="330" w:lineRule="atLeast"/>
        <w:jc w:val="left"/>
        <w:rPr>
          <w:rFonts w:hint="eastAsia" w:ascii="仿宋" w:hAnsi="仿宋" w:eastAsia="仿宋" w:cs="仿宋"/>
          <w:color w:val="auto"/>
          <w:kern w:val="0"/>
          <w:szCs w:val="21"/>
          <w:highlight w:val="none"/>
        </w:rPr>
      </w:pPr>
    </w:p>
    <w:tbl>
      <w:tblPr>
        <w:tblStyle w:val="1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991"/>
        <w:gridCol w:w="4163"/>
        <w:gridCol w:w="2736"/>
        <w:gridCol w:w="1196"/>
      </w:tblGrid>
      <w:tr w14:paraId="53E77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385" w:type="pct"/>
            <w:noWrap w:val="0"/>
            <w:vAlign w:val="center"/>
          </w:tcPr>
          <w:p w14:paraId="53F5F876">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503" w:type="pct"/>
            <w:noWrap w:val="0"/>
            <w:vAlign w:val="center"/>
          </w:tcPr>
          <w:p w14:paraId="67753D47">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w:t>
            </w:r>
          </w:p>
        </w:tc>
        <w:tc>
          <w:tcPr>
            <w:tcW w:w="2113" w:type="pct"/>
            <w:noWrap w:val="0"/>
            <w:vAlign w:val="center"/>
          </w:tcPr>
          <w:p w14:paraId="0BCE4E1B">
            <w:pPr>
              <w:snapToGrid w:val="0"/>
              <w:spacing w:line="4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磋商文件商务要求</w:t>
            </w:r>
          </w:p>
        </w:tc>
        <w:tc>
          <w:tcPr>
            <w:tcW w:w="1389" w:type="pct"/>
            <w:noWrap w:val="0"/>
            <w:vAlign w:val="center"/>
          </w:tcPr>
          <w:p w14:paraId="231E6E26">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响应文件的对应响应</w:t>
            </w:r>
          </w:p>
        </w:tc>
        <w:tc>
          <w:tcPr>
            <w:tcW w:w="607" w:type="pct"/>
            <w:noWrap w:val="0"/>
            <w:vAlign w:val="center"/>
          </w:tcPr>
          <w:p w14:paraId="2FDFFAAB">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说  明</w:t>
            </w:r>
          </w:p>
        </w:tc>
      </w:tr>
      <w:tr w14:paraId="7D332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385" w:type="pct"/>
            <w:noWrap w:val="0"/>
            <w:vAlign w:val="center"/>
          </w:tcPr>
          <w:p w14:paraId="3753BBBF">
            <w:pPr>
              <w:spacing w:line="400" w:lineRule="exact"/>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w:t>
            </w:r>
          </w:p>
        </w:tc>
        <w:tc>
          <w:tcPr>
            <w:tcW w:w="503" w:type="pct"/>
            <w:noWrap w:val="0"/>
            <w:vAlign w:val="center"/>
          </w:tcPr>
          <w:p w14:paraId="2477F3BB">
            <w:pPr>
              <w:spacing w:line="400" w:lineRule="exact"/>
              <w:jc w:val="center"/>
              <w:rPr>
                <w:rFonts w:hint="eastAsia" w:ascii="仿宋" w:hAnsi="仿宋" w:eastAsia="仿宋" w:cs="仿宋"/>
                <w:bCs/>
                <w:color w:val="auto"/>
                <w:kern w:val="0"/>
                <w:sz w:val="24"/>
                <w:highlight w:val="none"/>
              </w:rPr>
            </w:pPr>
          </w:p>
        </w:tc>
        <w:tc>
          <w:tcPr>
            <w:tcW w:w="2113" w:type="pct"/>
            <w:noWrap w:val="0"/>
            <w:vAlign w:val="center"/>
          </w:tcPr>
          <w:p w14:paraId="2D1691AA">
            <w:pPr>
              <w:spacing w:line="400" w:lineRule="exact"/>
              <w:jc w:val="left"/>
              <w:rPr>
                <w:rFonts w:hint="eastAsia" w:ascii="仿宋" w:hAnsi="仿宋" w:eastAsia="仿宋" w:cs="仿宋"/>
                <w:bCs/>
                <w:color w:val="auto"/>
                <w:kern w:val="0"/>
                <w:sz w:val="24"/>
                <w:highlight w:val="none"/>
              </w:rPr>
            </w:pPr>
          </w:p>
        </w:tc>
        <w:tc>
          <w:tcPr>
            <w:tcW w:w="1389" w:type="pct"/>
            <w:noWrap w:val="0"/>
            <w:vAlign w:val="center"/>
          </w:tcPr>
          <w:p w14:paraId="1095BFA7">
            <w:pPr>
              <w:snapToGrid w:val="0"/>
              <w:jc w:val="center"/>
              <w:rPr>
                <w:rFonts w:hint="eastAsia" w:ascii="仿宋" w:hAnsi="仿宋" w:eastAsia="仿宋" w:cs="仿宋"/>
                <w:color w:val="auto"/>
                <w:sz w:val="24"/>
                <w:highlight w:val="none"/>
              </w:rPr>
            </w:pPr>
          </w:p>
        </w:tc>
        <w:tc>
          <w:tcPr>
            <w:tcW w:w="607" w:type="pct"/>
            <w:noWrap w:val="0"/>
            <w:vAlign w:val="center"/>
          </w:tcPr>
          <w:p w14:paraId="47BFA738">
            <w:pPr>
              <w:snapToGrid w:val="0"/>
              <w:jc w:val="center"/>
              <w:rPr>
                <w:rFonts w:hint="eastAsia" w:ascii="仿宋" w:hAnsi="仿宋" w:eastAsia="仿宋" w:cs="仿宋"/>
                <w:color w:val="auto"/>
                <w:sz w:val="24"/>
                <w:highlight w:val="none"/>
              </w:rPr>
            </w:pPr>
          </w:p>
        </w:tc>
      </w:tr>
      <w:tr w14:paraId="5253F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noWrap w:val="0"/>
            <w:vAlign w:val="center"/>
          </w:tcPr>
          <w:p w14:paraId="7C73A382">
            <w:pPr>
              <w:spacing w:line="400" w:lineRule="exact"/>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2</w:t>
            </w:r>
          </w:p>
        </w:tc>
        <w:tc>
          <w:tcPr>
            <w:tcW w:w="503" w:type="pct"/>
            <w:noWrap w:val="0"/>
            <w:vAlign w:val="center"/>
          </w:tcPr>
          <w:p w14:paraId="7338E802">
            <w:pPr>
              <w:spacing w:line="400" w:lineRule="exact"/>
              <w:jc w:val="center"/>
              <w:rPr>
                <w:rFonts w:hint="eastAsia" w:ascii="仿宋" w:hAnsi="仿宋" w:eastAsia="仿宋" w:cs="仿宋"/>
                <w:bCs/>
                <w:color w:val="auto"/>
                <w:kern w:val="0"/>
                <w:sz w:val="24"/>
                <w:highlight w:val="none"/>
              </w:rPr>
            </w:pPr>
          </w:p>
        </w:tc>
        <w:tc>
          <w:tcPr>
            <w:tcW w:w="2113" w:type="pct"/>
            <w:noWrap w:val="0"/>
            <w:vAlign w:val="center"/>
          </w:tcPr>
          <w:p w14:paraId="1E9C4067">
            <w:pPr>
              <w:spacing w:line="400" w:lineRule="exact"/>
              <w:jc w:val="left"/>
              <w:rPr>
                <w:rFonts w:hint="eastAsia" w:ascii="仿宋" w:hAnsi="仿宋" w:eastAsia="仿宋" w:cs="仿宋"/>
                <w:bCs/>
                <w:color w:val="auto"/>
                <w:kern w:val="0"/>
                <w:sz w:val="24"/>
                <w:highlight w:val="none"/>
              </w:rPr>
            </w:pPr>
          </w:p>
        </w:tc>
        <w:tc>
          <w:tcPr>
            <w:tcW w:w="1389" w:type="pct"/>
            <w:noWrap w:val="0"/>
            <w:vAlign w:val="top"/>
          </w:tcPr>
          <w:p w14:paraId="433DF2DC">
            <w:pPr>
              <w:snapToGrid w:val="0"/>
              <w:spacing w:line="480" w:lineRule="exact"/>
              <w:jc w:val="center"/>
              <w:rPr>
                <w:rFonts w:hint="eastAsia" w:ascii="仿宋" w:hAnsi="仿宋" w:eastAsia="仿宋" w:cs="仿宋"/>
                <w:color w:val="auto"/>
                <w:sz w:val="24"/>
                <w:highlight w:val="none"/>
              </w:rPr>
            </w:pPr>
          </w:p>
        </w:tc>
        <w:tc>
          <w:tcPr>
            <w:tcW w:w="607" w:type="pct"/>
            <w:noWrap w:val="0"/>
            <w:vAlign w:val="top"/>
          </w:tcPr>
          <w:p w14:paraId="48E9BDBC">
            <w:pPr>
              <w:snapToGrid w:val="0"/>
              <w:spacing w:line="480" w:lineRule="exact"/>
              <w:jc w:val="center"/>
              <w:rPr>
                <w:rFonts w:hint="eastAsia" w:ascii="仿宋" w:hAnsi="仿宋" w:eastAsia="仿宋" w:cs="仿宋"/>
                <w:color w:val="auto"/>
                <w:sz w:val="24"/>
                <w:highlight w:val="none"/>
              </w:rPr>
            </w:pPr>
          </w:p>
        </w:tc>
      </w:tr>
      <w:tr w14:paraId="4604D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noWrap w:val="0"/>
            <w:vAlign w:val="center"/>
          </w:tcPr>
          <w:p w14:paraId="396BA4F5">
            <w:pPr>
              <w:spacing w:line="400" w:lineRule="exact"/>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3</w:t>
            </w:r>
          </w:p>
        </w:tc>
        <w:tc>
          <w:tcPr>
            <w:tcW w:w="503" w:type="pct"/>
            <w:noWrap w:val="0"/>
            <w:vAlign w:val="center"/>
          </w:tcPr>
          <w:p w14:paraId="1C919E1C">
            <w:pPr>
              <w:spacing w:line="400" w:lineRule="exact"/>
              <w:jc w:val="center"/>
              <w:rPr>
                <w:rFonts w:hint="eastAsia" w:ascii="仿宋" w:hAnsi="仿宋" w:eastAsia="仿宋" w:cs="仿宋"/>
                <w:bCs/>
                <w:color w:val="auto"/>
                <w:kern w:val="0"/>
                <w:sz w:val="24"/>
                <w:highlight w:val="none"/>
              </w:rPr>
            </w:pPr>
          </w:p>
        </w:tc>
        <w:tc>
          <w:tcPr>
            <w:tcW w:w="2113" w:type="pct"/>
            <w:noWrap w:val="0"/>
            <w:vAlign w:val="center"/>
          </w:tcPr>
          <w:p w14:paraId="0516509A">
            <w:pPr>
              <w:spacing w:line="400" w:lineRule="exact"/>
              <w:jc w:val="left"/>
              <w:rPr>
                <w:rFonts w:hint="eastAsia" w:ascii="仿宋" w:hAnsi="仿宋" w:eastAsia="仿宋" w:cs="仿宋"/>
                <w:bCs/>
                <w:color w:val="auto"/>
                <w:kern w:val="0"/>
                <w:sz w:val="24"/>
                <w:highlight w:val="none"/>
              </w:rPr>
            </w:pPr>
          </w:p>
        </w:tc>
        <w:tc>
          <w:tcPr>
            <w:tcW w:w="1389" w:type="pct"/>
            <w:noWrap w:val="0"/>
            <w:vAlign w:val="top"/>
          </w:tcPr>
          <w:p w14:paraId="772F3DCC">
            <w:pPr>
              <w:snapToGrid w:val="0"/>
              <w:spacing w:line="480" w:lineRule="exact"/>
              <w:jc w:val="center"/>
              <w:rPr>
                <w:rFonts w:hint="eastAsia" w:ascii="仿宋" w:hAnsi="仿宋" w:eastAsia="仿宋" w:cs="仿宋"/>
                <w:color w:val="auto"/>
                <w:sz w:val="24"/>
                <w:highlight w:val="none"/>
              </w:rPr>
            </w:pPr>
          </w:p>
        </w:tc>
        <w:tc>
          <w:tcPr>
            <w:tcW w:w="607" w:type="pct"/>
            <w:noWrap w:val="0"/>
            <w:vAlign w:val="top"/>
          </w:tcPr>
          <w:p w14:paraId="383D5847">
            <w:pPr>
              <w:snapToGrid w:val="0"/>
              <w:spacing w:line="480" w:lineRule="exact"/>
              <w:jc w:val="center"/>
              <w:rPr>
                <w:rFonts w:hint="eastAsia" w:ascii="仿宋" w:hAnsi="仿宋" w:eastAsia="仿宋" w:cs="仿宋"/>
                <w:color w:val="auto"/>
                <w:sz w:val="24"/>
                <w:highlight w:val="none"/>
              </w:rPr>
            </w:pPr>
          </w:p>
        </w:tc>
      </w:tr>
      <w:tr w14:paraId="5DC03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noWrap w:val="0"/>
            <w:vAlign w:val="center"/>
          </w:tcPr>
          <w:p w14:paraId="6B34128E">
            <w:pPr>
              <w:spacing w:line="400" w:lineRule="exact"/>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4</w:t>
            </w:r>
          </w:p>
        </w:tc>
        <w:tc>
          <w:tcPr>
            <w:tcW w:w="503" w:type="pct"/>
            <w:noWrap w:val="0"/>
            <w:vAlign w:val="center"/>
          </w:tcPr>
          <w:p w14:paraId="1B5F93C9">
            <w:pPr>
              <w:spacing w:line="400" w:lineRule="exact"/>
              <w:jc w:val="center"/>
              <w:rPr>
                <w:rFonts w:hint="eastAsia" w:ascii="仿宋" w:hAnsi="仿宋" w:eastAsia="仿宋" w:cs="仿宋"/>
                <w:bCs/>
                <w:color w:val="auto"/>
                <w:kern w:val="0"/>
                <w:sz w:val="24"/>
                <w:highlight w:val="none"/>
              </w:rPr>
            </w:pPr>
          </w:p>
        </w:tc>
        <w:tc>
          <w:tcPr>
            <w:tcW w:w="2113" w:type="pct"/>
            <w:noWrap w:val="0"/>
            <w:vAlign w:val="center"/>
          </w:tcPr>
          <w:p w14:paraId="0585CDE7">
            <w:pPr>
              <w:spacing w:line="400" w:lineRule="exact"/>
              <w:jc w:val="left"/>
              <w:rPr>
                <w:rFonts w:hint="eastAsia" w:ascii="仿宋" w:hAnsi="仿宋" w:eastAsia="仿宋" w:cs="仿宋"/>
                <w:bCs/>
                <w:color w:val="auto"/>
                <w:kern w:val="0"/>
                <w:sz w:val="24"/>
                <w:highlight w:val="none"/>
              </w:rPr>
            </w:pPr>
          </w:p>
        </w:tc>
        <w:tc>
          <w:tcPr>
            <w:tcW w:w="1389" w:type="pct"/>
            <w:noWrap w:val="0"/>
            <w:vAlign w:val="top"/>
          </w:tcPr>
          <w:p w14:paraId="140354FB">
            <w:pPr>
              <w:snapToGrid w:val="0"/>
              <w:spacing w:line="480" w:lineRule="exact"/>
              <w:jc w:val="center"/>
              <w:rPr>
                <w:rFonts w:hint="eastAsia" w:ascii="仿宋" w:hAnsi="仿宋" w:eastAsia="仿宋" w:cs="仿宋"/>
                <w:color w:val="auto"/>
                <w:sz w:val="24"/>
                <w:highlight w:val="none"/>
              </w:rPr>
            </w:pPr>
          </w:p>
        </w:tc>
        <w:tc>
          <w:tcPr>
            <w:tcW w:w="607" w:type="pct"/>
            <w:noWrap w:val="0"/>
            <w:vAlign w:val="top"/>
          </w:tcPr>
          <w:p w14:paraId="7388A5CB">
            <w:pPr>
              <w:snapToGrid w:val="0"/>
              <w:spacing w:line="480" w:lineRule="exact"/>
              <w:jc w:val="center"/>
              <w:rPr>
                <w:rFonts w:hint="eastAsia" w:ascii="仿宋" w:hAnsi="仿宋" w:eastAsia="仿宋" w:cs="仿宋"/>
                <w:color w:val="auto"/>
                <w:sz w:val="24"/>
                <w:highlight w:val="none"/>
              </w:rPr>
            </w:pPr>
          </w:p>
        </w:tc>
      </w:tr>
      <w:tr w14:paraId="6C48A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noWrap w:val="0"/>
            <w:vAlign w:val="center"/>
          </w:tcPr>
          <w:p w14:paraId="748575F5">
            <w:pPr>
              <w:spacing w:line="400" w:lineRule="exact"/>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5</w:t>
            </w:r>
          </w:p>
        </w:tc>
        <w:tc>
          <w:tcPr>
            <w:tcW w:w="503" w:type="pct"/>
            <w:noWrap w:val="0"/>
            <w:vAlign w:val="center"/>
          </w:tcPr>
          <w:p w14:paraId="77EC6ADB">
            <w:pPr>
              <w:spacing w:line="400" w:lineRule="exact"/>
              <w:jc w:val="center"/>
              <w:rPr>
                <w:rFonts w:hint="eastAsia" w:ascii="仿宋" w:hAnsi="仿宋" w:eastAsia="仿宋" w:cs="仿宋"/>
                <w:bCs/>
                <w:color w:val="auto"/>
                <w:kern w:val="0"/>
                <w:sz w:val="24"/>
                <w:highlight w:val="none"/>
              </w:rPr>
            </w:pPr>
          </w:p>
        </w:tc>
        <w:tc>
          <w:tcPr>
            <w:tcW w:w="2113" w:type="pct"/>
            <w:noWrap w:val="0"/>
            <w:vAlign w:val="center"/>
          </w:tcPr>
          <w:p w14:paraId="36376FA2">
            <w:pPr>
              <w:spacing w:line="400" w:lineRule="exact"/>
              <w:jc w:val="left"/>
              <w:rPr>
                <w:rFonts w:hint="eastAsia" w:ascii="仿宋" w:hAnsi="仿宋" w:eastAsia="仿宋" w:cs="仿宋"/>
                <w:bCs/>
                <w:color w:val="auto"/>
                <w:kern w:val="0"/>
                <w:sz w:val="24"/>
                <w:highlight w:val="none"/>
              </w:rPr>
            </w:pPr>
          </w:p>
        </w:tc>
        <w:tc>
          <w:tcPr>
            <w:tcW w:w="1389" w:type="pct"/>
            <w:noWrap w:val="0"/>
            <w:vAlign w:val="top"/>
          </w:tcPr>
          <w:p w14:paraId="2303D11B">
            <w:pPr>
              <w:snapToGrid w:val="0"/>
              <w:spacing w:line="480" w:lineRule="exact"/>
              <w:jc w:val="center"/>
              <w:rPr>
                <w:rFonts w:hint="eastAsia" w:ascii="仿宋" w:hAnsi="仿宋" w:eastAsia="仿宋" w:cs="仿宋"/>
                <w:color w:val="auto"/>
                <w:sz w:val="24"/>
                <w:highlight w:val="none"/>
              </w:rPr>
            </w:pPr>
          </w:p>
        </w:tc>
        <w:tc>
          <w:tcPr>
            <w:tcW w:w="607" w:type="pct"/>
            <w:noWrap w:val="0"/>
            <w:vAlign w:val="top"/>
          </w:tcPr>
          <w:p w14:paraId="3D1F6419">
            <w:pPr>
              <w:snapToGrid w:val="0"/>
              <w:spacing w:line="480" w:lineRule="exact"/>
              <w:jc w:val="center"/>
              <w:rPr>
                <w:rFonts w:hint="eastAsia" w:ascii="仿宋" w:hAnsi="仿宋" w:eastAsia="仿宋" w:cs="仿宋"/>
                <w:color w:val="auto"/>
                <w:sz w:val="24"/>
                <w:highlight w:val="none"/>
              </w:rPr>
            </w:pPr>
          </w:p>
        </w:tc>
      </w:tr>
      <w:tr w14:paraId="17B4D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noWrap w:val="0"/>
            <w:vAlign w:val="center"/>
          </w:tcPr>
          <w:p w14:paraId="486564CC">
            <w:pPr>
              <w:spacing w:line="400" w:lineRule="exact"/>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6</w:t>
            </w:r>
          </w:p>
        </w:tc>
        <w:tc>
          <w:tcPr>
            <w:tcW w:w="503" w:type="pct"/>
            <w:noWrap w:val="0"/>
            <w:vAlign w:val="center"/>
          </w:tcPr>
          <w:p w14:paraId="44314500">
            <w:pPr>
              <w:spacing w:line="400" w:lineRule="exact"/>
              <w:jc w:val="center"/>
              <w:rPr>
                <w:rFonts w:hint="eastAsia" w:ascii="仿宋" w:hAnsi="仿宋" w:eastAsia="仿宋" w:cs="仿宋"/>
                <w:bCs/>
                <w:color w:val="auto"/>
                <w:kern w:val="0"/>
                <w:sz w:val="24"/>
                <w:highlight w:val="none"/>
              </w:rPr>
            </w:pPr>
          </w:p>
        </w:tc>
        <w:tc>
          <w:tcPr>
            <w:tcW w:w="2113" w:type="pct"/>
            <w:noWrap w:val="0"/>
            <w:vAlign w:val="center"/>
          </w:tcPr>
          <w:p w14:paraId="073BC1CD">
            <w:pPr>
              <w:spacing w:line="400" w:lineRule="exact"/>
              <w:jc w:val="left"/>
              <w:rPr>
                <w:rFonts w:hint="eastAsia" w:ascii="仿宋" w:hAnsi="仿宋" w:eastAsia="仿宋" w:cs="仿宋"/>
                <w:bCs/>
                <w:color w:val="auto"/>
                <w:kern w:val="0"/>
                <w:sz w:val="24"/>
                <w:highlight w:val="none"/>
              </w:rPr>
            </w:pPr>
          </w:p>
        </w:tc>
        <w:tc>
          <w:tcPr>
            <w:tcW w:w="1389" w:type="pct"/>
            <w:noWrap w:val="0"/>
            <w:vAlign w:val="top"/>
          </w:tcPr>
          <w:p w14:paraId="08549411">
            <w:pPr>
              <w:snapToGrid w:val="0"/>
              <w:spacing w:line="480" w:lineRule="exact"/>
              <w:jc w:val="center"/>
              <w:rPr>
                <w:rFonts w:hint="eastAsia" w:ascii="仿宋" w:hAnsi="仿宋" w:eastAsia="仿宋" w:cs="仿宋"/>
                <w:color w:val="auto"/>
                <w:sz w:val="24"/>
                <w:highlight w:val="none"/>
              </w:rPr>
            </w:pPr>
          </w:p>
        </w:tc>
        <w:tc>
          <w:tcPr>
            <w:tcW w:w="607" w:type="pct"/>
            <w:noWrap w:val="0"/>
            <w:vAlign w:val="top"/>
          </w:tcPr>
          <w:p w14:paraId="0FAE530A">
            <w:pPr>
              <w:snapToGrid w:val="0"/>
              <w:spacing w:line="480" w:lineRule="exact"/>
              <w:jc w:val="center"/>
              <w:rPr>
                <w:rFonts w:hint="eastAsia" w:ascii="仿宋" w:hAnsi="仿宋" w:eastAsia="仿宋" w:cs="仿宋"/>
                <w:color w:val="auto"/>
                <w:sz w:val="24"/>
                <w:highlight w:val="none"/>
              </w:rPr>
            </w:pPr>
          </w:p>
        </w:tc>
      </w:tr>
      <w:tr w14:paraId="6BA70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noWrap w:val="0"/>
            <w:vAlign w:val="center"/>
          </w:tcPr>
          <w:p w14:paraId="11AD2599">
            <w:pPr>
              <w:spacing w:line="400" w:lineRule="exact"/>
              <w:jc w:val="center"/>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7</w:t>
            </w:r>
          </w:p>
        </w:tc>
        <w:tc>
          <w:tcPr>
            <w:tcW w:w="503" w:type="pct"/>
            <w:noWrap w:val="0"/>
            <w:vAlign w:val="center"/>
          </w:tcPr>
          <w:p w14:paraId="1A7FC85F">
            <w:pPr>
              <w:spacing w:line="400" w:lineRule="exact"/>
              <w:jc w:val="center"/>
              <w:rPr>
                <w:rFonts w:hint="eastAsia" w:ascii="仿宋" w:hAnsi="仿宋" w:eastAsia="仿宋" w:cs="仿宋"/>
                <w:bCs/>
                <w:color w:val="auto"/>
                <w:kern w:val="0"/>
                <w:sz w:val="24"/>
                <w:highlight w:val="none"/>
              </w:rPr>
            </w:pPr>
          </w:p>
        </w:tc>
        <w:tc>
          <w:tcPr>
            <w:tcW w:w="2113" w:type="pct"/>
            <w:noWrap w:val="0"/>
            <w:vAlign w:val="center"/>
          </w:tcPr>
          <w:p w14:paraId="494EC94C">
            <w:pPr>
              <w:spacing w:line="400" w:lineRule="exact"/>
              <w:jc w:val="left"/>
              <w:rPr>
                <w:rFonts w:hint="eastAsia" w:ascii="仿宋" w:hAnsi="仿宋" w:eastAsia="仿宋" w:cs="仿宋"/>
                <w:bCs/>
                <w:color w:val="auto"/>
                <w:kern w:val="0"/>
                <w:sz w:val="24"/>
                <w:highlight w:val="none"/>
              </w:rPr>
            </w:pPr>
          </w:p>
        </w:tc>
        <w:tc>
          <w:tcPr>
            <w:tcW w:w="1389" w:type="pct"/>
            <w:noWrap w:val="0"/>
            <w:vAlign w:val="top"/>
          </w:tcPr>
          <w:p w14:paraId="342B8F0A">
            <w:pPr>
              <w:snapToGrid w:val="0"/>
              <w:spacing w:line="480" w:lineRule="exact"/>
              <w:jc w:val="center"/>
              <w:rPr>
                <w:rFonts w:hint="eastAsia" w:ascii="仿宋" w:hAnsi="仿宋" w:eastAsia="仿宋" w:cs="仿宋"/>
                <w:color w:val="auto"/>
                <w:sz w:val="24"/>
                <w:highlight w:val="none"/>
              </w:rPr>
            </w:pPr>
          </w:p>
        </w:tc>
        <w:tc>
          <w:tcPr>
            <w:tcW w:w="607" w:type="pct"/>
            <w:noWrap w:val="0"/>
            <w:vAlign w:val="top"/>
          </w:tcPr>
          <w:p w14:paraId="6D5B5E17">
            <w:pPr>
              <w:snapToGrid w:val="0"/>
              <w:spacing w:line="480" w:lineRule="exact"/>
              <w:jc w:val="center"/>
              <w:rPr>
                <w:rFonts w:hint="eastAsia" w:ascii="仿宋" w:hAnsi="仿宋" w:eastAsia="仿宋" w:cs="仿宋"/>
                <w:color w:val="auto"/>
                <w:sz w:val="24"/>
                <w:highlight w:val="none"/>
              </w:rPr>
            </w:pPr>
          </w:p>
        </w:tc>
      </w:tr>
    </w:tbl>
    <w:p w14:paraId="5C09EBC0">
      <w:pPr>
        <w:tabs>
          <w:tab w:val="left" w:pos="4000"/>
        </w:tabs>
        <w:snapToGrid w:val="0"/>
        <w:spacing w:line="480" w:lineRule="auto"/>
        <w:jc w:val="left"/>
        <w:rPr>
          <w:rFonts w:hint="eastAsia" w:ascii="仿宋" w:hAnsi="仿宋" w:eastAsia="仿宋" w:cs="仿宋"/>
          <w:color w:val="auto"/>
          <w:kern w:val="0"/>
          <w:sz w:val="24"/>
          <w:highlight w:val="none"/>
        </w:rPr>
      </w:pPr>
    </w:p>
    <w:p w14:paraId="1376E962">
      <w:pPr>
        <w:tabs>
          <w:tab w:val="left" w:pos="4000"/>
        </w:tabs>
        <w:snapToGrid w:val="0"/>
        <w:spacing w:line="480" w:lineRule="auto"/>
        <w:jc w:val="left"/>
        <w:rPr>
          <w:rFonts w:hint="eastAsia" w:ascii="仿宋" w:hAnsi="仿宋" w:eastAsia="仿宋" w:cs="仿宋"/>
          <w:color w:val="auto"/>
          <w:kern w:val="0"/>
          <w:sz w:val="24"/>
          <w:highlight w:val="none"/>
        </w:rPr>
      </w:pPr>
    </w:p>
    <w:p w14:paraId="602440AD">
      <w:pPr>
        <w:tabs>
          <w:tab w:val="left" w:pos="4000"/>
        </w:tabs>
        <w:snapToGrid w:val="0"/>
        <w:spacing w:line="48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(盖章)</w:t>
      </w:r>
    </w:p>
    <w:p w14:paraId="6FF2A5AB">
      <w:pPr>
        <w:tabs>
          <w:tab w:val="left" w:pos="4000"/>
        </w:tabs>
        <w:snapToGrid w:val="0"/>
        <w:spacing w:line="48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法定代表人（负责人）或供应商被授权代表：</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(签字或盖章)</w:t>
      </w:r>
    </w:p>
    <w:p w14:paraId="3D4BEE8B">
      <w:pPr>
        <w:snapToGrid w:val="0"/>
        <w:spacing w:line="48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5B56D338">
      <w:pPr>
        <w:snapToGrid w:val="0"/>
        <w:spacing w:line="360" w:lineRule="auto"/>
        <w:ind w:firstLine="482" w:firstLineChars="200"/>
        <w:rPr>
          <w:rFonts w:hint="eastAsia" w:ascii="仿宋" w:hAnsi="仿宋" w:eastAsia="仿宋" w:cs="仿宋"/>
          <w:b/>
          <w:bCs/>
          <w:color w:val="auto"/>
          <w:sz w:val="24"/>
          <w:highlight w:val="none"/>
        </w:rPr>
      </w:pPr>
    </w:p>
    <w:p w14:paraId="5333BE81">
      <w:pPr>
        <w:rPr>
          <w:rFonts w:hint="eastAsia" w:ascii="仿宋" w:hAnsi="仿宋" w:eastAsia="仿宋" w:cs="仿宋"/>
          <w:color w:val="auto"/>
          <w:highlight w:val="none"/>
        </w:rPr>
      </w:pPr>
    </w:p>
    <w:p w14:paraId="2F588F7B">
      <w:pPr>
        <w:pStyle w:val="7"/>
        <w:ind w:firstLine="400"/>
        <w:rPr>
          <w:rFonts w:hint="eastAsia" w:ascii="仿宋" w:hAnsi="仿宋" w:eastAsia="仿宋" w:cs="仿宋"/>
          <w:color w:val="auto"/>
          <w:highlight w:val="none"/>
        </w:rPr>
      </w:pPr>
    </w:p>
    <w:p w14:paraId="0117BD26">
      <w:pPr>
        <w:pStyle w:val="7"/>
        <w:ind w:firstLine="400"/>
        <w:rPr>
          <w:rFonts w:hint="eastAsia" w:ascii="仿宋" w:hAnsi="仿宋" w:eastAsia="仿宋" w:cs="仿宋"/>
          <w:color w:val="auto"/>
          <w:highlight w:val="none"/>
        </w:rPr>
      </w:pPr>
    </w:p>
    <w:p w14:paraId="00BCAE30">
      <w:pPr>
        <w:pStyle w:val="7"/>
        <w:ind w:firstLine="400"/>
        <w:rPr>
          <w:rFonts w:hint="eastAsia" w:ascii="仿宋" w:hAnsi="仿宋" w:eastAsia="仿宋" w:cs="仿宋"/>
          <w:color w:val="auto"/>
          <w:highlight w:val="none"/>
        </w:rPr>
      </w:pPr>
    </w:p>
    <w:p w14:paraId="28EAD8C8">
      <w:pPr>
        <w:pStyle w:val="7"/>
        <w:ind w:firstLine="0" w:firstLineChars="0"/>
        <w:jc w:val="left"/>
        <w:rPr>
          <w:rFonts w:hint="eastAsia" w:ascii="仿宋" w:hAnsi="仿宋" w:eastAsia="仿宋" w:cs="仿宋"/>
          <w:b/>
          <w:color w:val="auto"/>
          <w:sz w:val="24"/>
          <w:highlight w:val="none"/>
        </w:rPr>
      </w:pPr>
      <w:r>
        <w:rPr>
          <w:rFonts w:hint="eastAsia" w:ascii="仿宋" w:hAnsi="仿宋" w:eastAsia="仿宋" w:cs="仿宋"/>
          <w:color w:val="auto"/>
          <w:highlight w:val="none"/>
        </w:rPr>
        <w:br w:type="page"/>
      </w:r>
      <w:r>
        <w:rPr>
          <w:rFonts w:hint="eastAsia" w:ascii="仿宋" w:hAnsi="仿宋" w:eastAsia="仿宋" w:cs="仿宋"/>
          <w:b/>
          <w:color w:val="auto"/>
          <w:sz w:val="24"/>
          <w:highlight w:val="none"/>
        </w:rPr>
        <w:t>6.服务技术规范响应及偏离表格式</w:t>
      </w:r>
    </w:p>
    <w:p w14:paraId="35B50B63">
      <w:pPr>
        <w:widowControl/>
        <w:snapToGrid w:val="0"/>
        <w:spacing w:line="360" w:lineRule="auto"/>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服务技术规范响应及偏离表</w:t>
      </w:r>
    </w:p>
    <w:p w14:paraId="7B8998F5">
      <w:pPr>
        <w:widowControl/>
        <w:snapToGrid w:val="0"/>
        <w:spacing w:line="360" w:lineRule="auto"/>
        <w:rPr>
          <w:rFonts w:hint="eastAsia" w:ascii="仿宋" w:hAnsi="仿宋" w:eastAsia="仿宋" w:cs="仿宋"/>
          <w:color w:val="auto"/>
          <w:kern w:val="0"/>
          <w:sz w:val="24"/>
          <w:highlight w:val="none"/>
        </w:rPr>
      </w:pPr>
    </w:p>
    <w:p w14:paraId="229325CB">
      <w:pPr>
        <w:widowControl/>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项目名称：</w:t>
      </w:r>
    </w:p>
    <w:p w14:paraId="5B306D7E">
      <w:pPr>
        <w:widowControl/>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项目编号：</w:t>
      </w:r>
    </w:p>
    <w:p w14:paraId="75013A2F">
      <w:pPr>
        <w:pStyle w:val="14"/>
        <w:rPr>
          <w:rFonts w:hint="eastAsia" w:ascii="仿宋" w:hAnsi="仿宋" w:eastAsia="仿宋" w:cs="仿宋"/>
          <w:color w:val="auto"/>
          <w:highlight w:val="none"/>
        </w:rPr>
      </w:pPr>
    </w:p>
    <w:tbl>
      <w:tblPr>
        <w:tblStyle w:val="16"/>
        <w:tblW w:w="4998"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28" w:type="dxa"/>
          <w:bottom w:w="0" w:type="dxa"/>
          <w:right w:w="28" w:type="dxa"/>
        </w:tblCellMar>
      </w:tblPr>
      <w:tblGrid>
        <w:gridCol w:w="605"/>
        <w:gridCol w:w="1428"/>
        <w:gridCol w:w="2616"/>
        <w:gridCol w:w="2473"/>
        <w:gridCol w:w="1357"/>
        <w:gridCol w:w="1205"/>
      </w:tblGrid>
      <w:tr w14:paraId="41C27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010" w:hRule="atLeast"/>
        </w:trPr>
        <w:tc>
          <w:tcPr>
            <w:tcW w:w="312" w:type="pct"/>
            <w:tcBorders>
              <w:top w:val="single" w:color="000000" w:sz="6" w:space="0"/>
              <w:left w:val="single" w:color="000000" w:sz="6" w:space="0"/>
              <w:bottom w:val="single" w:color="000000" w:sz="6" w:space="0"/>
              <w:right w:val="single" w:color="auto" w:sz="4" w:space="0"/>
            </w:tcBorders>
            <w:noWrap w:val="0"/>
            <w:vAlign w:val="center"/>
          </w:tcPr>
          <w:p w14:paraId="68D793DC">
            <w:pPr>
              <w:widowControl/>
              <w:snapToGrid w:val="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序号</w:t>
            </w:r>
          </w:p>
        </w:tc>
        <w:tc>
          <w:tcPr>
            <w:tcW w:w="737" w:type="pct"/>
            <w:tcBorders>
              <w:top w:val="single" w:color="000000" w:sz="6" w:space="0"/>
              <w:left w:val="single" w:color="auto" w:sz="4" w:space="0"/>
              <w:bottom w:val="single" w:color="000000" w:sz="6" w:space="0"/>
              <w:right w:val="single" w:color="auto" w:sz="4" w:space="0"/>
            </w:tcBorders>
            <w:noWrap w:val="0"/>
            <w:vAlign w:val="center"/>
          </w:tcPr>
          <w:p w14:paraId="5FF2EDC8">
            <w:pPr>
              <w:widowControl/>
              <w:snapToGrid w:val="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服务名称</w:t>
            </w:r>
          </w:p>
        </w:tc>
        <w:tc>
          <w:tcPr>
            <w:tcW w:w="1350" w:type="pct"/>
            <w:tcBorders>
              <w:top w:val="single" w:color="000000" w:sz="6" w:space="0"/>
              <w:left w:val="single" w:color="000000" w:sz="6" w:space="0"/>
              <w:bottom w:val="single" w:color="000000" w:sz="6" w:space="0"/>
              <w:right w:val="single" w:color="000000" w:sz="6" w:space="0"/>
            </w:tcBorders>
            <w:noWrap w:val="0"/>
            <w:vAlign w:val="center"/>
          </w:tcPr>
          <w:p w14:paraId="7051E8E3">
            <w:pPr>
              <w:widowControl/>
              <w:snapToGrid w:val="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磋商文件技术</w:t>
            </w:r>
          </w:p>
          <w:p w14:paraId="276DD37B">
            <w:pPr>
              <w:widowControl/>
              <w:snapToGrid w:val="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规范、要求</w:t>
            </w:r>
          </w:p>
        </w:tc>
        <w:tc>
          <w:tcPr>
            <w:tcW w:w="1276" w:type="pct"/>
            <w:tcBorders>
              <w:top w:val="single" w:color="000000" w:sz="6" w:space="0"/>
              <w:left w:val="single" w:color="000000" w:sz="6" w:space="0"/>
              <w:bottom w:val="single" w:color="000000" w:sz="6" w:space="0"/>
              <w:right w:val="single" w:color="000000" w:sz="6" w:space="0"/>
            </w:tcBorders>
            <w:noWrap w:val="0"/>
            <w:vAlign w:val="center"/>
          </w:tcPr>
          <w:p w14:paraId="6138A12A">
            <w:pPr>
              <w:widowControl/>
              <w:snapToGrid w:val="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响应文件</w:t>
            </w:r>
          </w:p>
          <w:p w14:paraId="2216EFAF">
            <w:pPr>
              <w:widowControl/>
              <w:snapToGrid w:val="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对应规范</w:t>
            </w:r>
          </w:p>
        </w:tc>
        <w:tc>
          <w:tcPr>
            <w:tcW w:w="700" w:type="pct"/>
            <w:tcBorders>
              <w:top w:val="single" w:color="000000" w:sz="6" w:space="0"/>
              <w:left w:val="single" w:color="000000" w:sz="6" w:space="0"/>
              <w:bottom w:val="single" w:color="000000" w:sz="6" w:space="0"/>
              <w:right w:val="single" w:color="000000" w:sz="6" w:space="0"/>
            </w:tcBorders>
            <w:noWrap w:val="0"/>
            <w:vAlign w:val="center"/>
          </w:tcPr>
          <w:p w14:paraId="12162E13">
            <w:pPr>
              <w:widowControl/>
              <w:snapToGrid w:val="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偏离</w:t>
            </w:r>
          </w:p>
          <w:p w14:paraId="1712B53F">
            <w:pPr>
              <w:widowControl/>
              <w:snapToGrid w:val="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情况</w:t>
            </w:r>
          </w:p>
        </w:tc>
        <w:tc>
          <w:tcPr>
            <w:tcW w:w="622" w:type="pct"/>
            <w:tcBorders>
              <w:top w:val="single" w:color="000000" w:sz="6" w:space="0"/>
              <w:left w:val="single" w:color="000000" w:sz="6" w:space="0"/>
              <w:bottom w:val="single" w:color="000000" w:sz="6" w:space="0"/>
              <w:right w:val="single" w:color="000000" w:sz="6" w:space="0"/>
            </w:tcBorders>
            <w:noWrap w:val="0"/>
            <w:vAlign w:val="center"/>
          </w:tcPr>
          <w:p w14:paraId="11C5272D">
            <w:pPr>
              <w:widowControl/>
              <w:snapToGrid w:val="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备注</w:t>
            </w:r>
          </w:p>
        </w:tc>
      </w:tr>
      <w:tr w14:paraId="545CF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08" w:hRule="atLeast"/>
        </w:trPr>
        <w:tc>
          <w:tcPr>
            <w:tcW w:w="312" w:type="pct"/>
            <w:tcBorders>
              <w:top w:val="single" w:color="000000" w:sz="6" w:space="0"/>
              <w:left w:val="single" w:color="000000" w:sz="6" w:space="0"/>
              <w:bottom w:val="single" w:color="000000" w:sz="6" w:space="0"/>
              <w:right w:val="single" w:color="auto" w:sz="4" w:space="0"/>
            </w:tcBorders>
            <w:noWrap w:val="0"/>
            <w:vAlign w:val="center"/>
          </w:tcPr>
          <w:p w14:paraId="36714BF0">
            <w:pPr>
              <w:widowControl/>
              <w:snapToGrid w:val="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737" w:type="pct"/>
            <w:tcBorders>
              <w:top w:val="single" w:color="000000" w:sz="6" w:space="0"/>
              <w:left w:val="single" w:color="auto" w:sz="4" w:space="0"/>
              <w:bottom w:val="single" w:color="000000" w:sz="6" w:space="0"/>
              <w:right w:val="single" w:color="auto" w:sz="4" w:space="0"/>
            </w:tcBorders>
            <w:noWrap w:val="0"/>
            <w:vAlign w:val="center"/>
          </w:tcPr>
          <w:p w14:paraId="7E840B8D">
            <w:pPr>
              <w:widowControl/>
              <w:snapToGrid w:val="0"/>
              <w:spacing w:line="360" w:lineRule="auto"/>
              <w:jc w:val="center"/>
              <w:rPr>
                <w:rFonts w:hint="eastAsia" w:ascii="仿宋" w:hAnsi="仿宋" w:eastAsia="仿宋" w:cs="仿宋"/>
                <w:color w:val="auto"/>
                <w:kern w:val="0"/>
                <w:sz w:val="24"/>
                <w:highlight w:val="none"/>
              </w:rPr>
            </w:pPr>
          </w:p>
        </w:tc>
        <w:tc>
          <w:tcPr>
            <w:tcW w:w="1350" w:type="pct"/>
            <w:tcBorders>
              <w:top w:val="single" w:color="000000" w:sz="6" w:space="0"/>
              <w:left w:val="single" w:color="000000" w:sz="6" w:space="0"/>
              <w:bottom w:val="single" w:color="000000" w:sz="6" w:space="0"/>
              <w:right w:val="single" w:color="000000" w:sz="6" w:space="0"/>
            </w:tcBorders>
            <w:noWrap w:val="0"/>
            <w:vAlign w:val="center"/>
          </w:tcPr>
          <w:p w14:paraId="1FA7D08A">
            <w:pPr>
              <w:widowControl/>
              <w:snapToGrid w:val="0"/>
              <w:jc w:val="left"/>
              <w:rPr>
                <w:rFonts w:hint="eastAsia" w:ascii="仿宋" w:hAnsi="仿宋" w:eastAsia="仿宋" w:cs="仿宋"/>
                <w:color w:val="auto"/>
                <w:kern w:val="0"/>
                <w:sz w:val="24"/>
                <w:highlight w:val="none"/>
              </w:rPr>
            </w:pPr>
          </w:p>
        </w:tc>
        <w:tc>
          <w:tcPr>
            <w:tcW w:w="1276" w:type="pct"/>
            <w:tcBorders>
              <w:top w:val="single" w:color="000000" w:sz="6" w:space="0"/>
              <w:left w:val="single" w:color="000000" w:sz="6" w:space="0"/>
              <w:bottom w:val="single" w:color="000000" w:sz="6" w:space="0"/>
              <w:right w:val="single" w:color="000000" w:sz="6" w:space="0"/>
            </w:tcBorders>
            <w:noWrap w:val="0"/>
            <w:vAlign w:val="center"/>
          </w:tcPr>
          <w:p w14:paraId="5BF88B51">
            <w:pPr>
              <w:widowControl/>
              <w:snapToGrid w:val="0"/>
              <w:spacing w:line="360" w:lineRule="auto"/>
              <w:jc w:val="center"/>
              <w:rPr>
                <w:rFonts w:hint="eastAsia" w:ascii="仿宋" w:hAnsi="仿宋" w:eastAsia="仿宋" w:cs="仿宋"/>
                <w:color w:val="auto"/>
                <w:kern w:val="0"/>
                <w:sz w:val="24"/>
                <w:highlight w:val="none"/>
              </w:rPr>
            </w:pPr>
          </w:p>
        </w:tc>
        <w:tc>
          <w:tcPr>
            <w:tcW w:w="700" w:type="pct"/>
            <w:tcBorders>
              <w:top w:val="single" w:color="000000" w:sz="6" w:space="0"/>
              <w:left w:val="single" w:color="000000" w:sz="6" w:space="0"/>
              <w:bottom w:val="single" w:color="000000" w:sz="6" w:space="0"/>
              <w:right w:val="single" w:color="000000" w:sz="6" w:space="0"/>
            </w:tcBorders>
            <w:noWrap w:val="0"/>
            <w:vAlign w:val="center"/>
          </w:tcPr>
          <w:p w14:paraId="0A09F02C">
            <w:pPr>
              <w:widowControl/>
              <w:snapToGrid w:val="0"/>
              <w:spacing w:line="360" w:lineRule="auto"/>
              <w:jc w:val="center"/>
              <w:rPr>
                <w:rFonts w:hint="eastAsia" w:ascii="仿宋" w:hAnsi="仿宋" w:eastAsia="仿宋" w:cs="仿宋"/>
                <w:color w:val="auto"/>
                <w:kern w:val="0"/>
                <w:sz w:val="24"/>
                <w:highlight w:val="none"/>
              </w:rPr>
            </w:pPr>
          </w:p>
        </w:tc>
        <w:tc>
          <w:tcPr>
            <w:tcW w:w="622" w:type="pct"/>
            <w:tcBorders>
              <w:top w:val="single" w:color="000000" w:sz="6" w:space="0"/>
              <w:left w:val="single" w:color="000000" w:sz="6" w:space="0"/>
              <w:bottom w:val="single" w:color="000000" w:sz="6" w:space="0"/>
              <w:right w:val="single" w:color="000000" w:sz="6" w:space="0"/>
            </w:tcBorders>
            <w:noWrap w:val="0"/>
            <w:vAlign w:val="center"/>
          </w:tcPr>
          <w:p w14:paraId="5B887FB6">
            <w:pPr>
              <w:widowControl/>
              <w:snapToGrid w:val="0"/>
              <w:spacing w:line="360" w:lineRule="auto"/>
              <w:jc w:val="center"/>
              <w:rPr>
                <w:rFonts w:hint="eastAsia" w:ascii="仿宋" w:hAnsi="仿宋" w:eastAsia="仿宋" w:cs="仿宋"/>
                <w:color w:val="auto"/>
                <w:kern w:val="0"/>
                <w:sz w:val="24"/>
                <w:highlight w:val="none"/>
              </w:rPr>
            </w:pPr>
          </w:p>
        </w:tc>
      </w:tr>
      <w:tr w14:paraId="77623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08" w:hRule="atLeast"/>
        </w:trPr>
        <w:tc>
          <w:tcPr>
            <w:tcW w:w="312" w:type="pct"/>
            <w:tcBorders>
              <w:top w:val="single" w:color="000000" w:sz="6" w:space="0"/>
              <w:left w:val="single" w:color="000000" w:sz="6" w:space="0"/>
              <w:bottom w:val="single" w:color="000000" w:sz="6" w:space="0"/>
              <w:right w:val="single" w:color="auto" w:sz="4" w:space="0"/>
            </w:tcBorders>
            <w:noWrap w:val="0"/>
            <w:vAlign w:val="center"/>
          </w:tcPr>
          <w:p w14:paraId="523F118B">
            <w:pPr>
              <w:widowControl/>
              <w:snapToGrid w:val="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737" w:type="pct"/>
            <w:tcBorders>
              <w:top w:val="single" w:color="000000" w:sz="6" w:space="0"/>
              <w:left w:val="single" w:color="auto" w:sz="4" w:space="0"/>
              <w:bottom w:val="single" w:color="000000" w:sz="6" w:space="0"/>
              <w:right w:val="single" w:color="auto" w:sz="4" w:space="0"/>
            </w:tcBorders>
            <w:noWrap w:val="0"/>
            <w:vAlign w:val="center"/>
          </w:tcPr>
          <w:p w14:paraId="343C4D6E">
            <w:pPr>
              <w:widowControl/>
              <w:snapToGrid w:val="0"/>
              <w:spacing w:line="360" w:lineRule="auto"/>
              <w:jc w:val="center"/>
              <w:rPr>
                <w:rFonts w:hint="eastAsia" w:ascii="仿宋" w:hAnsi="仿宋" w:eastAsia="仿宋" w:cs="仿宋"/>
                <w:color w:val="auto"/>
                <w:kern w:val="0"/>
                <w:sz w:val="24"/>
                <w:highlight w:val="none"/>
              </w:rPr>
            </w:pPr>
          </w:p>
        </w:tc>
        <w:tc>
          <w:tcPr>
            <w:tcW w:w="1350" w:type="pct"/>
            <w:tcBorders>
              <w:top w:val="single" w:color="000000" w:sz="6" w:space="0"/>
              <w:left w:val="single" w:color="000000" w:sz="6" w:space="0"/>
              <w:bottom w:val="single" w:color="000000" w:sz="6" w:space="0"/>
              <w:right w:val="single" w:color="000000" w:sz="6" w:space="0"/>
            </w:tcBorders>
            <w:noWrap w:val="0"/>
            <w:vAlign w:val="center"/>
          </w:tcPr>
          <w:p w14:paraId="7275F836">
            <w:pPr>
              <w:widowControl/>
              <w:snapToGrid w:val="0"/>
              <w:jc w:val="left"/>
              <w:rPr>
                <w:rFonts w:hint="eastAsia" w:ascii="仿宋" w:hAnsi="仿宋" w:eastAsia="仿宋" w:cs="仿宋"/>
                <w:color w:val="auto"/>
                <w:kern w:val="0"/>
                <w:sz w:val="24"/>
                <w:highlight w:val="none"/>
              </w:rPr>
            </w:pPr>
          </w:p>
        </w:tc>
        <w:tc>
          <w:tcPr>
            <w:tcW w:w="1276" w:type="pct"/>
            <w:tcBorders>
              <w:top w:val="single" w:color="000000" w:sz="6" w:space="0"/>
              <w:left w:val="single" w:color="000000" w:sz="6" w:space="0"/>
              <w:bottom w:val="single" w:color="000000" w:sz="6" w:space="0"/>
              <w:right w:val="single" w:color="000000" w:sz="6" w:space="0"/>
            </w:tcBorders>
            <w:noWrap w:val="0"/>
            <w:vAlign w:val="center"/>
          </w:tcPr>
          <w:p w14:paraId="2D6E4F1E">
            <w:pPr>
              <w:widowControl/>
              <w:snapToGrid w:val="0"/>
              <w:spacing w:line="360" w:lineRule="auto"/>
              <w:jc w:val="center"/>
              <w:rPr>
                <w:rFonts w:hint="eastAsia" w:ascii="仿宋" w:hAnsi="仿宋" w:eastAsia="仿宋" w:cs="仿宋"/>
                <w:color w:val="auto"/>
                <w:kern w:val="0"/>
                <w:sz w:val="24"/>
                <w:highlight w:val="none"/>
              </w:rPr>
            </w:pPr>
          </w:p>
        </w:tc>
        <w:tc>
          <w:tcPr>
            <w:tcW w:w="700" w:type="pct"/>
            <w:tcBorders>
              <w:top w:val="single" w:color="000000" w:sz="6" w:space="0"/>
              <w:left w:val="single" w:color="000000" w:sz="6" w:space="0"/>
              <w:bottom w:val="single" w:color="000000" w:sz="6" w:space="0"/>
              <w:right w:val="single" w:color="000000" w:sz="6" w:space="0"/>
            </w:tcBorders>
            <w:noWrap w:val="0"/>
            <w:vAlign w:val="center"/>
          </w:tcPr>
          <w:p w14:paraId="5162D48A">
            <w:pPr>
              <w:widowControl/>
              <w:snapToGrid w:val="0"/>
              <w:spacing w:line="360" w:lineRule="auto"/>
              <w:jc w:val="center"/>
              <w:rPr>
                <w:rFonts w:hint="eastAsia" w:ascii="仿宋" w:hAnsi="仿宋" w:eastAsia="仿宋" w:cs="仿宋"/>
                <w:color w:val="auto"/>
                <w:kern w:val="0"/>
                <w:sz w:val="24"/>
                <w:highlight w:val="none"/>
              </w:rPr>
            </w:pPr>
          </w:p>
        </w:tc>
        <w:tc>
          <w:tcPr>
            <w:tcW w:w="622" w:type="pct"/>
            <w:tcBorders>
              <w:top w:val="single" w:color="000000" w:sz="6" w:space="0"/>
              <w:left w:val="single" w:color="000000" w:sz="6" w:space="0"/>
              <w:bottom w:val="single" w:color="000000" w:sz="6" w:space="0"/>
              <w:right w:val="single" w:color="000000" w:sz="6" w:space="0"/>
            </w:tcBorders>
            <w:noWrap w:val="0"/>
            <w:vAlign w:val="center"/>
          </w:tcPr>
          <w:p w14:paraId="5080CB60">
            <w:pPr>
              <w:widowControl/>
              <w:snapToGrid w:val="0"/>
              <w:spacing w:line="360" w:lineRule="auto"/>
              <w:jc w:val="center"/>
              <w:rPr>
                <w:rFonts w:hint="eastAsia" w:ascii="仿宋" w:hAnsi="仿宋" w:eastAsia="仿宋" w:cs="仿宋"/>
                <w:color w:val="auto"/>
                <w:kern w:val="0"/>
                <w:sz w:val="24"/>
                <w:highlight w:val="none"/>
              </w:rPr>
            </w:pPr>
          </w:p>
        </w:tc>
      </w:tr>
      <w:tr w14:paraId="6CCF3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08" w:hRule="atLeast"/>
        </w:trPr>
        <w:tc>
          <w:tcPr>
            <w:tcW w:w="312" w:type="pct"/>
            <w:tcBorders>
              <w:top w:val="single" w:color="000000" w:sz="6" w:space="0"/>
              <w:left w:val="single" w:color="000000" w:sz="6" w:space="0"/>
              <w:bottom w:val="single" w:color="000000" w:sz="6" w:space="0"/>
              <w:right w:val="single" w:color="auto" w:sz="4" w:space="0"/>
            </w:tcBorders>
            <w:noWrap w:val="0"/>
            <w:vAlign w:val="center"/>
          </w:tcPr>
          <w:p w14:paraId="60A4C37F">
            <w:pPr>
              <w:widowControl/>
              <w:snapToGrid w:val="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737" w:type="pct"/>
            <w:tcBorders>
              <w:top w:val="single" w:color="000000" w:sz="6" w:space="0"/>
              <w:left w:val="single" w:color="auto" w:sz="4" w:space="0"/>
              <w:bottom w:val="single" w:color="000000" w:sz="6" w:space="0"/>
              <w:right w:val="single" w:color="auto" w:sz="4" w:space="0"/>
            </w:tcBorders>
            <w:noWrap w:val="0"/>
            <w:vAlign w:val="center"/>
          </w:tcPr>
          <w:p w14:paraId="3C0BE988">
            <w:pPr>
              <w:widowControl/>
              <w:snapToGrid w:val="0"/>
              <w:spacing w:line="360" w:lineRule="auto"/>
              <w:jc w:val="center"/>
              <w:rPr>
                <w:rFonts w:hint="eastAsia" w:ascii="仿宋" w:hAnsi="仿宋" w:eastAsia="仿宋" w:cs="仿宋"/>
                <w:color w:val="auto"/>
                <w:kern w:val="0"/>
                <w:sz w:val="24"/>
                <w:highlight w:val="none"/>
              </w:rPr>
            </w:pPr>
          </w:p>
        </w:tc>
        <w:tc>
          <w:tcPr>
            <w:tcW w:w="1350" w:type="pct"/>
            <w:tcBorders>
              <w:top w:val="single" w:color="000000" w:sz="6" w:space="0"/>
              <w:left w:val="single" w:color="000000" w:sz="6" w:space="0"/>
              <w:bottom w:val="single" w:color="000000" w:sz="6" w:space="0"/>
              <w:right w:val="single" w:color="000000" w:sz="6" w:space="0"/>
            </w:tcBorders>
            <w:noWrap w:val="0"/>
            <w:vAlign w:val="center"/>
          </w:tcPr>
          <w:p w14:paraId="4E53F498">
            <w:pPr>
              <w:widowControl/>
              <w:snapToGrid w:val="0"/>
              <w:jc w:val="left"/>
              <w:rPr>
                <w:rFonts w:hint="eastAsia" w:ascii="仿宋" w:hAnsi="仿宋" w:eastAsia="仿宋" w:cs="仿宋"/>
                <w:color w:val="auto"/>
                <w:kern w:val="0"/>
                <w:sz w:val="24"/>
                <w:highlight w:val="none"/>
              </w:rPr>
            </w:pPr>
          </w:p>
        </w:tc>
        <w:tc>
          <w:tcPr>
            <w:tcW w:w="1276" w:type="pct"/>
            <w:tcBorders>
              <w:top w:val="single" w:color="000000" w:sz="6" w:space="0"/>
              <w:left w:val="single" w:color="000000" w:sz="6" w:space="0"/>
              <w:bottom w:val="single" w:color="000000" w:sz="6" w:space="0"/>
              <w:right w:val="single" w:color="000000" w:sz="6" w:space="0"/>
            </w:tcBorders>
            <w:noWrap w:val="0"/>
            <w:vAlign w:val="center"/>
          </w:tcPr>
          <w:p w14:paraId="144A7B03">
            <w:pPr>
              <w:widowControl/>
              <w:snapToGrid w:val="0"/>
              <w:spacing w:line="360" w:lineRule="auto"/>
              <w:jc w:val="center"/>
              <w:rPr>
                <w:rFonts w:hint="eastAsia" w:ascii="仿宋" w:hAnsi="仿宋" w:eastAsia="仿宋" w:cs="仿宋"/>
                <w:color w:val="auto"/>
                <w:kern w:val="0"/>
                <w:sz w:val="24"/>
                <w:highlight w:val="none"/>
              </w:rPr>
            </w:pPr>
          </w:p>
        </w:tc>
        <w:tc>
          <w:tcPr>
            <w:tcW w:w="700" w:type="pct"/>
            <w:tcBorders>
              <w:top w:val="single" w:color="000000" w:sz="6" w:space="0"/>
              <w:left w:val="single" w:color="000000" w:sz="6" w:space="0"/>
              <w:bottom w:val="single" w:color="000000" w:sz="6" w:space="0"/>
              <w:right w:val="single" w:color="000000" w:sz="6" w:space="0"/>
            </w:tcBorders>
            <w:noWrap w:val="0"/>
            <w:vAlign w:val="center"/>
          </w:tcPr>
          <w:p w14:paraId="3D796DB0">
            <w:pPr>
              <w:widowControl/>
              <w:snapToGrid w:val="0"/>
              <w:spacing w:line="360" w:lineRule="auto"/>
              <w:jc w:val="center"/>
              <w:rPr>
                <w:rFonts w:hint="eastAsia" w:ascii="仿宋" w:hAnsi="仿宋" w:eastAsia="仿宋" w:cs="仿宋"/>
                <w:color w:val="auto"/>
                <w:kern w:val="0"/>
                <w:sz w:val="24"/>
                <w:highlight w:val="none"/>
              </w:rPr>
            </w:pPr>
          </w:p>
        </w:tc>
        <w:tc>
          <w:tcPr>
            <w:tcW w:w="622" w:type="pct"/>
            <w:tcBorders>
              <w:top w:val="single" w:color="000000" w:sz="6" w:space="0"/>
              <w:left w:val="single" w:color="000000" w:sz="6" w:space="0"/>
              <w:bottom w:val="single" w:color="000000" w:sz="6" w:space="0"/>
              <w:right w:val="single" w:color="000000" w:sz="6" w:space="0"/>
            </w:tcBorders>
            <w:noWrap w:val="0"/>
            <w:vAlign w:val="center"/>
          </w:tcPr>
          <w:p w14:paraId="3FA5F9DC">
            <w:pPr>
              <w:widowControl/>
              <w:snapToGrid w:val="0"/>
              <w:spacing w:line="360" w:lineRule="auto"/>
              <w:jc w:val="center"/>
              <w:rPr>
                <w:rFonts w:hint="eastAsia" w:ascii="仿宋" w:hAnsi="仿宋" w:eastAsia="仿宋" w:cs="仿宋"/>
                <w:color w:val="auto"/>
                <w:kern w:val="0"/>
                <w:sz w:val="24"/>
                <w:highlight w:val="none"/>
              </w:rPr>
            </w:pPr>
          </w:p>
        </w:tc>
      </w:tr>
      <w:tr w14:paraId="2B871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26" w:hRule="atLeast"/>
        </w:trPr>
        <w:tc>
          <w:tcPr>
            <w:tcW w:w="312" w:type="pct"/>
            <w:tcBorders>
              <w:top w:val="single" w:color="000000" w:sz="6" w:space="0"/>
              <w:left w:val="single" w:color="000000" w:sz="6" w:space="0"/>
              <w:bottom w:val="single" w:color="000000" w:sz="6" w:space="0"/>
              <w:right w:val="single" w:color="auto" w:sz="4" w:space="0"/>
            </w:tcBorders>
            <w:noWrap w:val="0"/>
            <w:vAlign w:val="center"/>
          </w:tcPr>
          <w:p w14:paraId="797D1EC8">
            <w:pPr>
              <w:widowControl/>
              <w:snapToGrid w:val="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737" w:type="pct"/>
            <w:tcBorders>
              <w:top w:val="single" w:color="000000" w:sz="6" w:space="0"/>
              <w:left w:val="single" w:color="auto" w:sz="4" w:space="0"/>
              <w:bottom w:val="single" w:color="000000" w:sz="6" w:space="0"/>
              <w:right w:val="single" w:color="auto" w:sz="4" w:space="0"/>
            </w:tcBorders>
            <w:noWrap w:val="0"/>
            <w:vAlign w:val="center"/>
          </w:tcPr>
          <w:p w14:paraId="7792CCBB">
            <w:pPr>
              <w:widowControl/>
              <w:snapToGrid w:val="0"/>
              <w:spacing w:line="360" w:lineRule="auto"/>
              <w:jc w:val="center"/>
              <w:rPr>
                <w:rFonts w:hint="eastAsia" w:ascii="仿宋" w:hAnsi="仿宋" w:eastAsia="仿宋" w:cs="仿宋"/>
                <w:color w:val="auto"/>
                <w:kern w:val="0"/>
                <w:sz w:val="24"/>
                <w:highlight w:val="none"/>
              </w:rPr>
            </w:pPr>
          </w:p>
        </w:tc>
        <w:tc>
          <w:tcPr>
            <w:tcW w:w="1350" w:type="pct"/>
            <w:tcBorders>
              <w:top w:val="single" w:color="000000" w:sz="6" w:space="0"/>
              <w:left w:val="single" w:color="000000" w:sz="6" w:space="0"/>
              <w:bottom w:val="single" w:color="000000" w:sz="6" w:space="0"/>
              <w:right w:val="single" w:color="000000" w:sz="6" w:space="0"/>
            </w:tcBorders>
            <w:noWrap w:val="0"/>
            <w:vAlign w:val="center"/>
          </w:tcPr>
          <w:p w14:paraId="5FD2A63C">
            <w:pPr>
              <w:widowControl/>
              <w:snapToGrid w:val="0"/>
              <w:jc w:val="left"/>
              <w:rPr>
                <w:rFonts w:hint="eastAsia" w:ascii="仿宋" w:hAnsi="仿宋" w:eastAsia="仿宋" w:cs="仿宋"/>
                <w:color w:val="auto"/>
                <w:kern w:val="0"/>
                <w:sz w:val="24"/>
                <w:highlight w:val="none"/>
              </w:rPr>
            </w:pPr>
          </w:p>
        </w:tc>
        <w:tc>
          <w:tcPr>
            <w:tcW w:w="1276" w:type="pct"/>
            <w:tcBorders>
              <w:top w:val="single" w:color="000000" w:sz="6" w:space="0"/>
              <w:left w:val="single" w:color="000000" w:sz="6" w:space="0"/>
              <w:bottom w:val="single" w:color="000000" w:sz="6" w:space="0"/>
              <w:right w:val="single" w:color="000000" w:sz="6" w:space="0"/>
            </w:tcBorders>
            <w:noWrap w:val="0"/>
            <w:vAlign w:val="center"/>
          </w:tcPr>
          <w:p w14:paraId="737DFD7E">
            <w:pPr>
              <w:widowControl/>
              <w:snapToGrid w:val="0"/>
              <w:spacing w:line="360" w:lineRule="auto"/>
              <w:jc w:val="center"/>
              <w:rPr>
                <w:rFonts w:hint="eastAsia" w:ascii="仿宋" w:hAnsi="仿宋" w:eastAsia="仿宋" w:cs="仿宋"/>
                <w:color w:val="auto"/>
                <w:kern w:val="0"/>
                <w:sz w:val="24"/>
                <w:highlight w:val="none"/>
              </w:rPr>
            </w:pPr>
          </w:p>
        </w:tc>
        <w:tc>
          <w:tcPr>
            <w:tcW w:w="700" w:type="pct"/>
            <w:tcBorders>
              <w:top w:val="single" w:color="000000" w:sz="6" w:space="0"/>
              <w:left w:val="single" w:color="000000" w:sz="6" w:space="0"/>
              <w:bottom w:val="single" w:color="000000" w:sz="6" w:space="0"/>
              <w:right w:val="single" w:color="000000" w:sz="6" w:space="0"/>
            </w:tcBorders>
            <w:noWrap w:val="0"/>
            <w:vAlign w:val="center"/>
          </w:tcPr>
          <w:p w14:paraId="11EFE75D">
            <w:pPr>
              <w:widowControl/>
              <w:snapToGrid w:val="0"/>
              <w:spacing w:line="360" w:lineRule="auto"/>
              <w:jc w:val="center"/>
              <w:rPr>
                <w:rFonts w:hint="eastAsia" w:ascii="仿宋" w:hAnsi="仿宋" w:eastAsia="仿宋" w:cs="仿宋"/>
                <w:color w:val="auto"/>
                <w:kern w:val="0"/>
                <w:sz w:val="24"/>
                <w:highlight w:val="none"/>
              </w:rPr>
            </w:pPr>
          </w:p>
        </w:tc>
        <w:tc>
          <w:tcPr>
            <w:tcW w:w="622" w:type="pct"/>
            <w:tcBorders>
              <w:top w:val="single" w:color="000000" w:sz="6" w:space="0"/>
              <w:left w:val="single" w:color="000000" w:sz="6" w:space="0"/>
              <w:bottom w:val="single" w:color="000000" w:sz="6" w:space="0"/>
              <w:right w:val="single" w:color="000000" w:sz="6" w:space="0"/>
            </w:tcBorders>
            <w:noWrap w:val="0"/>
            <w:vAlign w:val="center"/>
          </w:tcPr>
          <w:p w14:paraId="05A2B006">
            <w:pPr>
              <w:widowControl/>
              <w:snapToGrid w:val="0"/>
              <w:spacing w:line="360" w:lineRule="auto"/>
              <w:jc w:val="center"/>
              <w:rPr>
                <w:rFonts w:hint="eastAsia" w:ascii="仿宋" w:hAnsi="仿宋" w:eastAsia="仿宋" w:cs="仿宋"/>
                <w:color w:val="auto"/>
                <w:kern w:val="0"/>
                <w:sz w:val="24"/>
                <w:highlight w:val="none"/>
              </w:rPr>
            </w:pPr>
          </w:p>
        </w:tc>
      </w:tr>
    </w:tbl>
    <w:p w14:paraId="33940D15">
      <w:pPr>
        <w:tabs>
          <w:tab w:val="left" w:pos="567"/>
        </w:tabs>
        <w:snapToGrid w:val="0"/>
        <w:spacing w:line="360" w:lineRule="auto"/>
        <w:jc w:val="left"/>
        <w:rPr>
          <w:rFonts w:hint="eastAsia" w:ascii="仿宋" w:hAnsi="仿宋" w:eastAsia="仿宋" w:cs="仿宋"/>
          <w:b/>
          <w:color w:val="auto"/>
          <w:kern w:val="0"/>
          <w:sz w:val="24"/>
          <w:highlight w:val="none"/>
        </w:rPr>
      </w:pPr>
    </w:p>
    <w:p w14:paraId="356E8A23">
      <w:pPr>
        <w:pStyle w:val="14"/>
        <w:rPr>
          <w:rFonts w:hint="eastAsia" w:ascii="仿宋" w:hAnsi="仿宋" w:eastAsia="仿宋" w:cs="仿宋"/>
          <w:b/>
          <w:color w:val="auto"/>
          <w:sz w:val="24"/>
          <w:highlight w:val="none"/>
        </w:rPr>
      </w:pPr>
    </w:p>
    <w:p w14:paraId="28922548">
      <w:pPr>
        <w:pStyle w:val="14"/>
        <w:rPr>
          <w:rFonts w:hint="eastAsia" w:ascii="仿宋" w:hAnsi="仿宋" w:eastAsia="仿宋" w:cs="仿宋"/>
          <w:b/>
          <w:color w:val="auto"/>
          <w:sz w:val="24"/>
          <w:highlight w:val="none"/>
        </w:rPr>
      </w:pPr>
    </w:p>
    <w:p w14:paraId="23BE4B98">
      <w:pPr>
        <w:pStyle w:val="14"/>
        <w:rPr>
          <w:rFonts w:hint="eastAsia" w:ascii="仿宋" w:hAnsi="仿宋" w:eastAsia="仿宋" w:cs="仿宋"/>
          <w:b/>
          <w:color w:val="auto"/>
          <w:sz w:val="24"/>
          <w:highlight w:val="none"/>
        </w:rPr>
      </w:pPr>
    </w:p>
    <w:p w14:paraId="72C4174B">
      <w:pPr>
        <w:tabs>
          <w:tab w:val="left" w:pos="4000"/>
        </w:tabs>
        <w:snapToGrid w:val="0"/>
        <w:spacing w:line="48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(盖章)</w:t>
      </w:r>
    </w:p>
    <w:p w14:paraId="18E4236A">
      <w:pPr>
        <w:tabs>
          <w:tab w:val="left" w:pos="4000"/>
        </w:tabs>
        <w:snapToGrid w:val="0"/>
        <w:spacing w:line="48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法定代表人（负责人）或供应商被授权代表：</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(签字或盖章)</w:t>
      </w:r>
    </w:p>
    <w:p w14:paraId="5D35D9F8">
      <w:pPr>
        <w:snapToGrid w:val="0"/>
        <w:spacing w:line="48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1F379641">
      <w:pPr>
        <w:spacing w:line="540" w:lineRule="exact"/>
        <w:rPr>
          <w:rFonts w:hint="eastAsia" w:ascii="仿宋" w:hAnsi="仿宋" w:eastAsia="仿宋" w:cs="仿宋"/>
          <w:b/>
          <w:color w:val="auto"/>
          <w:kern w:val="0"/>
          <w:sz w:val="24"/>
          <w:highlight w:val="none"/>
        </w:rPr>
      </w:pPr>
      <w:r>
        <w:rPr>
          <w:rFonts w:hint="eastAsia" w:ascii="仿宋" w:hAnsi="仿宋" w:eastAsia="仿宋" w:cs="仿宋"/>
          <w:color w:val="auto"/>
          <w:kern w:val="0"/>
          <w:szCs w:val="21"/>
          <w:highlight w:val="none"/>
        </w:rPr>
        <w:br w:type="page"/>
      </w:r>
      <w:r>
        <w:rPr>
          <w:rFonts w:hint="eastAsia" w:ascii="仿宋" w:hAnsi="仿宋" w:eastAsia="仿宋" w:cs="仿宋"/>
          <w:b/>
          <w:color w:val="auto"/>
          <w:kern w:val="0"/>
          <w:sz w:val="24"/>
          <w:highlight w:val="none"/>
        </w:rPr>
        <w:t>7．服务方案及人员配备情况（格式自拟）</w:t>
      </w:r>
    </w:p>
    <w:p w14:paraId="28CDE491">
      <w:pPr>
        <w:spacing w:line="540" w:lineRule="exact"/>
        <w:rPr>
          <w:rFonts w:hint="eastAsia" w:ascii="仿宋" w:hAnsi="仿宋" w:eastAsia="仿宋" w:cs="仿宋"/>
          <w:b/>
          <w:color w:val="auto"/>
          <w:kern w:val="0"/>
          <w:sz w:val="24"/>
          <w:highlight w:val="none"/>
        </w:rPr>
      </w:pPr>
    </w:p>
    <w:p w14:paraId="5B6344DE">
      <w:pPr>
        <w:pageBreakBefore/>
        <w:spacing w:line="540" w:lineRule="exac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8．服务承诺书（格式自拟）</w:t>
      </w:r>
    </w:p>
    <w:p w14:paraId="6EDEF63A">
      <w:pPr>
        <w:spacing w:line="540" w:lineRule="exact"/>
        <w:rPr>
          <w:rFonts w:hint="eastAsia" w:ascii="仿宋" w:hAnsi="仿宋" w:eastAsia="仿宋" w:cs="仿宋"/>
          <w:b/>
          <w:color w:val="auto"/>
          <w:kern w:val="0"/>
          <w:sz w:val="24"/>
          <w:highlight w:val="none"/>
        </w:rPr>
      </w:pPr>
    </w:p>
    <w:p w14:paraId="05A682D2">
      <w:pPr>
        <w:spacing w:line="540" w:lineRule="exact"/>
        <w:rPr>
          <w:rFonts w:hint="eastAsia" w:ascii="仿宋" w:hAnsi="仿宋" w:eastAsia="仿宋" w:cs="仿宋"/>
          <w:b/>
          <w:color w:val="auto"/>
          <w:kern w:val="0"/>
          <w:sz w:val="24"/>
          <w:highlight w:val="none"/>
        </w:rPr>
      </w:pPr>
    </w:p>
    <w:p w14:paraId="5C0C41E8">
      <w:pPr>
        <w:spacing w:line="540" w:lineRule="exact"/>
        <w:rPr>
          <w:rFonts w:hint="eastAsia" w:ascii="仿宋" w:hAnsi="仿宋" w:eastAsia="仿宋" w:cs="仿宋"/>
          <w:b/>
          <w:color w:val="auto"/>
          <w:kern w:val="0"/>
          <w:sz w:val="24"/>
          <w:highlight w:val="none"/>
        </w:rPr>
      </w:pPr>
    </w:p>
    <w:p w14:paraId="78D895E7">
      <w:pPr>
        <w:spacing w:line="540" w:lineRule="exact"/>
        <w:rPr>
          <w:rFonts w:hint="eastAsia" w:ascii="仿宋" w:hAnsi="仿宋" w:eastAsia="仿宋" w:cs="仿宋"/>
          <w:b/>
          <w:color w:val="auto"/>
          <w:kern w:val="0"/>
          <w:sz w:val="24"/>
          <w:highlight w:val="none"/>
        </w:rPr>
      </w:pPr>
    </w:p>
    <w:p w14:paraId="7C315E77">
      <w:pPr>
        <w:spacing w:line="540" w:lineRule="exact"/>
        <w:rPr>
          <w:rFonts w:hint="eastAsia" w:ascii="仿宋" w:hAnsi="仿宋" w:eastAsia="仿宋" w:cs="仿宋"/>
          <w:b/>
          <w:color w:val="auto"/>
          <w:kern w:val="0"/>
          <w:sz w:val="24"/>
          <w:highlight w:val="none"/>
        </w:rPr>
      </w:pPr>
    </w:p>
    <w:p w14:paraId="75F1480A">
      <w:pPr>
        <w:pageBreakBefore/>
        <w:spacing w:line="540" w:lineRule="exact"/>
        <w:rPr>
          <w:rFonts w:hint="eastAsia" w:ascii="仿宋" w:hAnsi="仿宋" w:eastAsia="仿宋" w:cs="仿宋"/>
          <w:color w:val="auto"/>
          <w:highlight w:val="none"/>
        </w:rPr>
      </w:pPr>
      <w:r>
        <w:rPr>
          <w:rFonts w:hint="eastAsia" w:ascii="仿宋" w:hAnsi="仿宋" w:eastAsia="仿宋" w:cs="仿宋"/>
          <w:b/>
          <w:color w:val="auto"/>
          <w:kern w:val="0"/>
          <w:sz w:val="24"/>
          <w:highlight w:val="none"/>
        </w:rPr>
        <w:t>9．供应商认为需要提供的其他商务、技术材料</w:t>
      </w:r>
      <w:bookmarkEnd w:id="0"/>
      <w:bookmarkEnd w:id="5"/>
    </w:p>
    <w:p w14:paraId="21FB8AB0">
      <w:pPr>
        <w:widowControl/>
        <w:tabs>
          <w:tab w:val="left" w:pos="567"/>
        </w:tabs>
        <w:snapToGrid w:val="0"/>
        <w:spacing w:line="360" w:lineRule="auto"/>
        <w:jc w:val="left"/>
        <w:rPr>
          <w:rFonts w:hint="eastAsia" w:ascii="仿宋" w:hAnsi="仿宋" w:eastAsia="仿宋" w:cs="仿宋"/>
          <w:b/>
          <w:color w:val="auto"/>
          <w:kern w:val="0"/>
          <w:szCs w:val="21"/>
          <w:highlight w:val="none"/>
        </w:rPr>
      </w:pPr>
      <w:r>
        <w:rPr>
          <w:rFonts w:hint="eastAsia" w:ascii="仿宋" w:hAnsi="仿宋" w:eastAsia="仿宋" w:cs="仿宋"/>
        </w:rPr>
        <w:br w:type="page"/>
      </w:r>
      <w:r>
        <w:rPr>
          <w:rFonts w:hint="eastAsia" w:ascii="仿宋" w:hAnsi="仿宋" w:eastAsia="仿宋" w:cs="仿宋"/>
          <w:b/>
          <w:color w:val="auto"/>
          <w:kern w:val="0"/>
          <w:szCs w:val="21"/>
          <w:highlight w:val="none"/>
          <w:lang w:val="en-US" w:eastAsia="zh-CN"/>
        </w:rPr>
        <w:t>10.</w:t>
      </w:r>
      <w:r>
        <w:rPr>
          <w:rFonts w:hint="eastAsia" w:ascii="仿宋" w:hAnsi="仿宋" w:eastAsia="仿宋" w:cs="仿宋"/>
          <w:b/>
          <w:color w:val="auto"/>
          <w:kern w:val="0"/>
          <w:szCs w:val="21"/>
          <w:highlight w:val="none"/>
        </w:rPr>
        <w:t>政策性要求</w:t>
      </w:r>
    </w:p>
    <w:p w14:paraId="5FAEB4C7">
      <w:pPr>
        <w:tabs>
          <w:tab w:val="left" w:pos="1680"/>
        </w:tabs>
        <w:snapToGrid w:val="0"/>
        <w:spacing w:line="360" w:lineRule="auto"/>
        <w:rPr>
          <w:rFonts w:hint="eastAsia" w:ascii="仿宋" w:hAnsi="仿宋" w:eastAsia="仿宋" w:cs="仿宋"/>
          <w:color w:val="auto"/>
          <w:szCs w:val="21"/>
          <w:highlight w:val="none"/>
        </w:rPr>
      </w:pPr>
      <w:r>
        <w:rPr>
          <w:rFonts w:hint="eastAsia" w:ascii="仿宋" w:hAnsi="仿宋" w:eastAsia="仿宋" w:cs="仿宋"/>
          <w:b/>
          <w:color w:val="auto"/>
          <w:kern w:val="0"/>
          <w:szCs w:val="21"/>
          <w:highlight w:val="none"/>
        </w:rPr>
        <w:t>（一）</w:t>
      </w:r>
      <w:r>
        <w:rPr>
          <w:rFonts w:hint="eastAsia" w:ascii="仿宋" w:hAnsi="仿宋" w:eastAsia="仿宋" w:cs="仿宋"/>
          <w:color w:val="auto"/>
          <w:szCs w:val="21"/>
          <w:highlight w:val="none"/>
        </w:rPr>
        <w:t>环保节能产品证明材料</w:t>
      </w:r>
      <w:r>
        <w:rPr>
          <w:rFonts w:hint="eastAsia" w:ascii="仿宋" w:hAnsi="仿宋" w:eastAsia="仿宋" w:cs="仿宋"/>
          <w:b/>
          <w:color w:val="auto"/>
          <w:kern w:val="0"/>
          <w:szCs w:val="21"/>
          <w:highlight w:val="none"/>
        </w:rPr>
        <w:t>（如不涉及，此函可不提供）</w:t>
      </w:r>
    </w:p>
    <w:p w14:paraId="7CB28C2F">
      <w:pPr>
        <w:tabs>
          <w:tab w:val="left" w:pos="1680"/>
        </w:tabs>
        <w:snapToGrid w:val="0"/>
        <w:spacing w:line="360" w:lineRule="auto"/>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（1）强制节能产品明细表格式（以包为单位分别填写，如本项目所投产品中不涉及强制节能产品，此表可不提供）</w:t>
      </w:r>
    </w:p>
    <w:p w14:paraId="1D367183">
      <w:pPr>
        <w:tabs>
          <w:tab w:val="left" w:pos="1680"/>
        </w:tabs>
        <w:snapToGrid w:val="0"/>
        <w:spacing w:line="36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强制节能产品明细表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955"/>
        <w:gridCol w:w="955"/>
        <w:gridCol w:w="955"/>
        <w:gridCol w:w="1637"/>
        <w:gridCol w:w="1860"/>
        <w:gridCol w:w="1850"/>
      </w:tblGrid>
      <w:tr w14:paraId="47F1D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22" w:type="dxa"/>
            <w:noWrap w:val="0"/>
            <w:vAlign w:val="center"/>
          </w:tcPr>
          <w:p w14:paraId="5CF74FC7">
            <w:pPr>
              <w:spacing w:line="28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包号</w:t>
            </w:r>
          </w:p>
        </w:tc>
        <w:tc>
          <w:tcPr>
            <w:tcW w:w="955" w:type="dxa"/>
            <w:noWrap w:val="0"/>
            <w:vAlign w:val="center"/>
          </w:tcPr>
          <w:p w14:paraId="1A55A48E">
            <w:pPr>
              <w:spacing w:line="28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产品名称</w:t>
            </w:r>
          </w:p>
        </w:tc>
        <w:tc>
          <w:tcPr>
            <w:tcW w:w="955" w:type="dxa"/>
            <w:noWrap w:val="0"/>
            <w:vAlign w:val="center"/>
          </w:tcPr>
          <w:p w14:paraId="54040564">
            <w:pPr>
              <w:spacing w:line="28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制造商</w:t>
            </w:r>
          </w:p>
        </w:tc>
        <w:tc>
          <w:tcPr>
            <w:tcW w:w="955" w:type="dxa"/>
            <w:noWrap w:val="0"/>
            <w:vAlign w:val="center"/>
          </w:tcPr>
          <w:p w14:paraId="27251A1D">
            <w:pPr>
              <w:spacing w:line="28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产品型号</w:t>
            </w:r>
          </w:p>
        </w:tc>
        <w:tc>
          <w:tcPr>
            <w:tcW w:w="1637" w:type="dxa"/>
            <w:noWrap w:val="0"/>
            <w:vAlign w:val="center"/>
          </w:tcPr>
          <w:p w14:paraId="2760F53F">
            <w:pPr>
              <w:spacing w:line="28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节能产品认证证书号</w:t>
            </w:r>
          </w:p>
        </w:tc>
        <w:tc>
          <w:tcPr>
            <w:tcW w:w="1860" w:type="dxa"/>
            <w:noWrap w:val="0"/>
            <w:vAlign w:val="center"/>
          </w:tcPr>
          <w:p w14:paraId="21A9B0D9">
            <w:pPr>
              <w:spacing w:line="28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认证证书有效截止日期</w:t>
            </w:r>
          </w:p>
        </w:tc>
        <w:tc>
          <w:tcPr>
            <w:tcW w:w="1850" w:type="dxa"/>
            <w:noWrap w:val="0"/>
            <w:vAlign w:val="center"/>
          </w:tcPr>
          <w:p w14:paraId="0264957B">
            <w:pPr>
              <w:spacing w:line="28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认证机构名录</w:t>
            </w:r>
          </w:p>
        </w:tc>
      </w:tr>
      <w:tr w14:paraId="4E72E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22" w:type="dxa"/>
            <w:noWrap w:val="0"/>
            <w:vAlign w:val="top"/>
          </w:tcPr>
          <w:p w14:paraId="3910223F">
            <w:pPr>
              <w:spacing w:line="360" w:lineRule="exact"/>
              <w:rPr>
                <w:rFonts w:hint="eastAsia" w:ascii="仿宋" w:hAnsi="仿宋" w:eastAsia="仿宋" w:cs="仿宋"/>
                <w:b/>
                <w:color w:val="auto"/>
                <w:szCs w:val="21"/>
                <w:highlight w:val="none"/>
              </w:rPr>
            </w:pPr>
          </w:p>
        </w:tc>
        <w:tc>
          <w:tcPr>
            <w:tcW w:w="955" w:type="dxa"/>
            <w:noWrap w:val="0"/>
            <w:vAlign w:val="top"/>
          </w:tcPr>
          <w:p w14:paraId="5F3174AE">
            <w:pPr>
              <w:spacing w:line="360" w:lineRule="exact"/>
              <w:rPr>
                <w:rFonts w:hint="eastAsia" w:ascii="仿宋" w:hAnsi="仿宋" w:eastAsia="仿宋" w:cs="仿宋"/>
                <w:b/>
                <w:color w:val="auto"/>
                <w:szCs w:val="21"/>
                <w:highlight w:val="none"/>
              </w:rPr>
            </w:pPr>
          </w:p>
        </w:tc>
        <w:tc>
          <w:tcPr>
            <w:tcW w:w="955" w:type="dxa"/>
            <w:noWrap w:val="0"/>
            <w:vAlign w:val="top"/>
          </w:tcPr>
          <w:p w14:paraId="0EA0F31B">
            <w:pPr>
              <w:spacing w:line="360" w:lineRule="exact"/>
              <w:rPr>
                <w:rFonts w:hint="eastAsia" w:ascii="仿宋" w:hAnsi="仿宋" w:eastAsia="仿宋" w:cs="仿宋"/>
                <w:b/>
                <w:color w:val="auto"/>
                <w:szCs w:val="21"/>
                <w:highlight w:val="none"/>
              </w:rPr>
            </w:pPr>
          </w:p>
        </w:tc>
        <w:tc>
          <w:tcPr>
            <w:tcW w:w="955" w:type="dxa"/>
            <w:noWrap w:val="0"/>
            <w:vAlign w:val="top"/>
          </w:tcPr>
          <w:p w14:paraId="7370FD7B">
            <w:pPr>
              <w:spacing w:line="360" w:lineRule="exact"/>
              <w:rPr>
                <w:rFonts w:hint="eastAsia" w:ascii="仿宋" w:hAnsi="仿宋" w:eastAsia="仿宋" w:cs="仿宋"/>
                <w:b/>
                <w:color w:val="auto"/>
                <w:szCs w:val="21"/>
                <w:highlight w:val="none"/>
              </w:rPr>
            </w:pPr>
          </w:p>
        </w:tc>
        <w:tc>
          <w:tcPr>
            <w:tcW w:w="1637" w:type="dxa"/>
            <w:noWrap w:val="0"/>
            <w:vAlign w:val="top"/>
          </w:tcPr>
          <w:p w14:paraId="0B2FCE1D">
            <w:pPr>
              <w:spacing w:line="360" w:lineRule="exact"/>
              <w:rPr>
                <w:rFonts w:hint="eastAsia" w:ascii="仿宋" w:hAnsi="仿宋" w:eastAsia="仿宋" w:cs="仿宋"/>
                <w:b/>
                <w:color w:val="auto"/>
                <w:szCs w:val="21"/>
                <w:highlight w:val="none"/>
              </w:rPr>
            </w:pPr>
          </w:p>
        </w:tc>
        <w:tc>
          <w:tcPr>
            <w:tcW w:w="1860" w:type="dxa"/>
            <w:noWrap w:val="0"/>
            <w:vAlign w:val="top"/>
          </w:tcPr>
          <w:p w14:paraId="39A8B943">
            <w:pPr>
              <w:spacing w:line="360" w:lineRule="exact"/>
              <w:rPr>
                <w:rFonts w:hint="eastAsia" w:ascii="仿宋" w:hAnsi="仿宋" w:eastAsia="仿宋" w:cs="仿宋"/>
                <w:b/>
                <w:color w:val="auto"/>
                <w:szCs w:val="21"/>
                <w:highlight w:val="none"/>
              </w:rPr>
            </w:pPr>
          </w:p>
        </w:tc>
        <w:tc>
          <w:tcPr>
            <w:tcW w:w="1850" w:type="dxa"/>
            <w:noWrap w:val="0"/>
            <w:vAlign w:val="top"/>
          </w:tcPr>
          <w:p w14:paraId="0B01FC56">
            <w:pPr>
              <w:spacing w:line="360" w:lineRule="exact"/>
              <w:rPr>
                <w:rFonts w:hint="eastAsia" w:ascii="仿宋" w:hAnsi="仿宋" w:eastAsia="仿宋" w:cs="仿宋"/>
                <w:b/>
                <w:color w:val="auto"/>
                <w:szCs w:val="21"/>
                <w:highlight w:val="none"/>
              </w:rPr>
            </w:pPr>
          </w:p>
        </w:tc>
      </w:tr>
      <w:tr w14:paraId="714ED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22" w:type="dxa"/>
            <w:noWrap w:val="0"/>
            <w:vAlign w:val="top"/>
          </w:tcPr>
          <w:p w14:paraId="6F612704">
            <w:pPr>
              <w:spacing w:line="360" w:lineRule="exact"/>
              <w:rPr>
                <w:rFonts w:hint="eastAsia" w:ascii="仿宋" w:hAnsi="仿宋" w:eastAsia="仿宋" w:cs="仿宋"/>
                <w:b/>
                <w:color w:val="auto"/>
                <w:szCs w:val="21"/>
                <w:highlight w:val="none"/>
              </w:rPr>
            </w:pPr>
          </w:p>
        </w:tc>
        <w:tc>
          <w:tcPr>
            <w:tcW w:w="955" w:type="dxa"/>
            <w:noWrap w:val="0"/>
            <w:vAlign w:val="top"/>
          </w:tcPr>
          <w:p w14:paraId="0914C580">
            <w:pPr>
              <w:spacing w:line="360" w:lineRule="exact"/>
              <w:rPr>
                <w:rFonts w:hint="eastAsia" w:ascii="仿宋" w:hAnsi="仿宋" w:eastAsia="仿宋" w:cs="仿宋"/>
                <w:b/>
                <w:color w:val="auto"/>
                <w:szCs w:val="21"/>
                <w:highlight w:val="none"/>
              </w:rPr>
            </w:pPr>
          </w:p>
        </w:tc>
        <w:tc>
          <w:tcPr>
            <w:tcW w:w="955" w:type="dxa"/>
            <w:noWrap w:val="0"/>
            <w:vAlign w:val="top"/>
          </w:tcPr>
          <w:p w14:paraId="02BEB0FC">
            <w:pPr>
              <w:spacing w:line="360" w:lineRule="exact"/>
              <w:rPr>
                <w:rFonts w:hint="eastAsia" w:ascii="仿宋" w:hAnsi="仿宋" w:eastAsia="仿宋" w:cs="仿宋"/>
                <w:b/>
                <w:color w:val="auto"/>
                <w:szCs w:val="21"/>
                <w:highlight w:val="none"/>
              </w:rPr>
            </w:pPr>
          </w:p>
        </w:tc>
        <w:tc>
          <w:tcPr>
            <w:tcW w:w="955" w:type="dxa"/>
            <w:noWrap w:val="0"/>
            <w:vAlign w:val="top"/>
          </w:tcPr>
          <w:p w14:paraId="2EAEF636">
            <w:pPr>
              <w:spacing w:line="360" w:lineRule="exact"/>
              <w:rPr>
                <w:rFonts w:hint="eastAsia" w:ascii="仿宋" w:hAnsi="仿宋" w:eastAsia="仿宋" w:cs="仿宋"/>
                <w:b/>
                <w:color w:val="auto"/>
                <w:szCs w:val="21"/>
                <w:highlight w:val="none"/>
              </w:rPr>
            </w:pPr>
          </w:p>
        </w:tc>
        <w:tc>
          <w:tcPr>
            <w:tcW w:w="1637" w:type="dxa"/>
            <w:noWrap w:val="0"/>
            <w:vAlign w:val="top"/>
          </w:tcPr>
          <w:p w14:paraId="23B4EB1D">
            <w:pPr>
              <w:spacing w:line="360" w:lineRule="exact"/>
              <w:rPr>
                <w:rFonts w:hint="eastAsia" w:ascii="仿宋" w:hAnsi="仿宋" w:eastAsia="仿宋" w:cs="仿宋"/>
                <w:b/>
                <w:color w:val="auto"/>
                <w:szCs w:val="21"/>
                <w:highlight w:val="none"/>
              </w:rPr>
            </w:pPr>
          </w:p>
        </w:tc>
        <w:tc>
          <w:tcPr>
            <w:tcW w:w="1860" w:type="dxa"/>
            <w:noWrap w:val="0"/>
            <w:vAlign w:val="top"/>
          </w:tcPr>
          <w:p w14:paraId="22863125">
            <w:pPr>
              <w:spacing w:line="360" w:lineRule="exact"/>
              <w:rPr>
                <w:rFonts w:hint="eastAsia" w:ascii="仿宋" w:hAnsi="仿宋" w:eastAsia="仿宋" w:cs="仿宋"/>
                <w:b/>
                <w:color w:val="auto"/>
                <w:szCs w:val="21"/>
                <w:highlight w:val="none"/>
              </w:rPr>
            </w:pPr>
          </w:p>
        </w:tc>
        <w:tc>
          <w:tcPr>
            <w:tcW w:w="1850" w:type="dxa"/>
            <w:noWrap w:val="0"/>
            <w:vAlign w:val="top"/>
          </w:tcPr>
          <w:p w14:paraId="47B9F00D">
            <w:pPr>
              <w:spacing w:line="360" w:lineRule="exact"/>
              <w:rPr>
                <w:rFonts w:hint="eastAsia" w:ascii="仿宋" w:hAnsi="仿宋" w:eastAsia="仿宋" w:cs="仿宋"/>
                <w:b/>
                <w:color w:val="auto"/>
                <w:szCs w:val="21"/>
                <w:highlight w:val="none"/>
              </w:rPr>
            </w:pPr>
          </w:p>
        </w:tc>
      </w:tr>
      <w:tr w14:paraId="0F2C5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22" w:type="dxa"/>
            <w:noWrap w:val="0"/>
            <w:vAlign w:val="top"/>
          </w:tcPr>
          <w:p w14:paraId="40D40B10">
            <w:pPr>
              <w:spacing w:line="360" w:lineRule="exact"/>
              <w:rPr>
                <w:rFonts w:hint="eastAsia" w:ascii="仿宋" w:hAnsi="仿宋" w:eastAsia="仿宋" w:cs="仿宋"/>
                <w:b/>
                <w:color w:val="auto"/>
                <w:szCs w:val="21"/>
                <w:highlight w:val="none"/>
              </w:rPr>
            </w:pPr>
          </w:p>
        </w:tc>
        <w:tc>
          <w:tcPr>
            <w:tcW w:w="955" w:type="dxa"/>
            <w:noWrap w:val="0"/>
            <w:vAlign w:val="top"/>
          </w:tcPr>
          <w:p w14:paraId="4AECCC22">
            <w:pPr>
              <w:spacing w:line="360" w:lineRule="exact"/>
              <w:rPr>
                <w:rFonts w:hint="eastAsia" w:ascii="仿宋" w:hAnsi="仿宋" w:eastAsia="仿宋" w:cs="仿宋"/>
                <w:b/>
                <w:color w:val="auto"/>
                <w:szCs w:val="21"/>
                <w:highlight w:val="none"/>
              </w:rPr>
            </w:pPr>
          </w:p>
        </w:tc>
        <w:tc>
          <w:tcPr>
            <w:tcW w:w="955" w:type="dxa"/>
            <w:noWrap w:val="0"/>
            <w:vAlign w:val="top"/>
          </w:tcPr>
          <w:p w14:paraId="4213C512">
            <w:pPr>
              <w:spacing w:line="360" w:lineRule="exact"/>
              <w:rPr>
                <w:rFonts w:hint="eastAsia" w:ascii="仿宋" w:hAnsi="仿宋" w:eastAsia="仿宋" w:cs="仿宋"/>
                <w:b/>
                <w:color w:val="auto"/>
                <w:szCs w:val="21"/>
                <w:highlight w:val="none"/>
              </w:rPr>
            </w:pPr>
          </w:p>
        </w:tc>
        <w:tc>
          <w:tcPr>
            <w:tcW w:w="955" w:type="dxa"/>
            <w:noWrap w:val="0"/>
            <w:vAlign w:val="top"/>
          </w:tcPr>
          <w:p w14:paraId="48A96283">
            <w:pPr>
              <w:spacing w:line="360" w:lineRule="exact"/>
              <w:rPr>
                <w:rFonts w:hint="eastAsia" w:ascii="仿宋" w:hAnsi="仿宋" w:eastAsia="仿宋" w:cs="仿宋"/>
                <w:b/>
                <w:color w:val="auto"/>
                <w:szCs w:val="21"/>
                <w:highlight w:val="none"/>
              </w:rPr>
            </w:pPr>
          </w:p>
        </w:tc>
        <w:tc>
          <w:tcPr>
            <w:tcW w:w="1637" w:type="dxa"/>
            <w:noWrap w:val="0"/>
            <w:vAlign w:val="top"/>
          </w:tcPr>
          <w:p w14:paraId="625F3FBE">
            <w:pPr>
              <w:spacing w:line="360" w:lineRule="exact"/>
              <w:rPr>
                <w:rFonts w:hint="eastAsia" w:ascii="仿宋" w:hAnsi="仿宋" w:eastAsia="仿宋" w:cs="仿宋"/>
                <w:b/>
                <w:color w:val="auto"/>
                <w:szCs w:val="21"/>
                <w:highlight w:val="none"/>
              </w:rPr>
            </w:pPr>
          </w:p>
        </w:tc>
        <w:tc>
          <w:tcPr>
            <w:tcW w:w="1860" w:type="dxa"/>
            <w:noWrap w:val="0"/>
            <w:vAlign w:val="top"/>
          </w:tcPr>
          <w:p w14:paraId="15C0616F">
            <w:pPr>
              <w:spacing w:line="360" w:lineRule="exact"/>
              <w:rPr>
                <w:rFonts w:hint="eastAsia" w:ascii="仿宋" w:hAnsi="仿宋" w:eastAsia="仿宋" w:cs="仿宋"/>
                <w:b/>
                <w:color w:val="auto"/>
                <w:szCs w:val="21"/>
                <w:highlight w:val="none"/>
              </w:rPr>
            </w:pPr>
          </w:p>
        </w:tc>
        <w:tc>
          <w:tcPr>
            <w:tcW w:w="1850" w:type="dxa"/>
            <w:noWrap w:val="0"/>
            <w:vAlign w:val="top"/>
          </w:tcPr>
          <w:p w14:paraId="286F425D">
            <w:pPr>
              <w:spacing w:line="360" w:lineRule="exact"/>
              <w:rPr>
                <w:rFonts w:hint="eastAsia" w:ascii="仿宋" w:hAnsi="仿宋" w:eastAsia="仿宋" w:cs="仿宋"/>
                <w:b/>
                <w:color w:val="auto"/>
                <w:szCs w:val="21"/>
                <w:highlight w:val="none"/>
              </w:rPr>
            </w:pPr>
          </w:p>
        </w:tc>
      </w:tr>
    </w:tbl>
    <w:p w14:paraId="0F3222F0">
      <w:pPr>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台式计算机、便携式计算机和平板式微型计算机、激光打印机、针式打印机、液晶显示器、制冷压缩机、空调机组、专用制冷空调设备、镇流器、空调机、电热水器、普通照明用双端荧光灯、电视设备、视频设备以及便器、水嘴等”，属于国家强制性采购产品，必须提供获得国家确定的认证机构出具的、处于有效期之内的节能产品认证证书。</w:t>
      </w:r>
    </w:p>
    <w:p w14:paraId="6372C174">
      <w:pPr>
        <w:tabs>
          <w:tab w:val="left" w:pos="1680"/>
        </w:tabs>
        <w:snapToGrid w:val="0"/>
        <w:spacing w:line="360" w:lineRule="auto"/>
        <w:rPr>
          <w:rFonts w:hint="eastAsia" w:ascii="仿宋" w:hAnsi="仿宋" w:eastAsia="仿宋" w:cs="仿宋"/>
          <w:bCs/>
          <w:color w:val="auto"/>
          <w:szCs w:val="21"/>
          <w:highlight w:val="none"/>
        </w:rPr>
      </w:pPr>
    </w:p>
    <w:p w14:paraId="3C91D585">
      <w:pPr>
        <w:tabs>
          <w:tab w:val="left" w:pos="1680"/>
        </w:tabs>
        <w:snapToGrid w:val="0"/>
        <w:spacing w:line="360" w:lineRule="auto"/>
        <w:rPr>
          <w:rFonts w:hint="eastAsia" w:ascii="仿宋" w:hAnsi="仿宋" w:eastAsia="仿宋" w:cs="仿宋"/>
          <w:bCs/>
          <w:color w:val="auto"/>
          <w:szCs w:val="21"/>
          <w:highlight w:val="none"/>
        </w:rPr>
      </w:pPr>
    </w:p>
    <w:p w14:paraId="2C77ABDC">
      <w:pPr>
        <w:tabs>
          <w:tab w:val="left" w:pos="1680"/>
        </w:tabs>
        <w:snapToGrid w:val="0"/>
        <w:spacing w:line="360" w:lineRule="exact"/>
        <w:rPr>
          <w:rFonts w:hint="eastAsia" w:ascii="仿宋" w:hAnsi="仿宋" w:eastAsia="仿宋" w:cs="仿宋"/>
          <w:bCs/>
          <w:color w:val="auto"/>
          <w:szCs w:val="21"/>
          <w:highlight w:val="none"/>
        </w:rPr>
      </w:pPr>
    </w:p>
    <w:p w14:paraId="4718F7A5">
      <w:pPr>
        <w:tabs>
          <w:tab w:val="left" w:pos="1680"/>
        </w:tabs>
        <w:snapToGrid w:val="0"/>
        <w:spacing w:line="360" w:lineRule="auto"/>
        <w:rPr>
          <w:rFonts w:hint="eastAsia" w:ascii="仿宋" w:hAnsi="仿宋" w:eastAsia="仿宋" w:cs="仿宋"/>
          <w:bCs/>
          <w:color w:val="auto"/>
          <w:szCs w:val="21"/>
          <w:highlight w:val="none"/>
        </w:rPr>
      </w:pPr>
    </w:p>
    <w:p w14:paraId="6D20E3FF">
      <w:pPr>
        <w:snapToGrid w:val="0"/>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w:t>
      </w:r>
    </w:p>
    <w:p w14:paraId="101B6951">
      <w:pPr>
        <w:snapToGrid w:val="0"/>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1．采购货物中如含有强制节能产品的，须如实填写强制节能产品明细表；</w:t>
      </w:r>
    </w:p>
    <w:p w14:paraId="6EAAA255">
      <w:pPr>
        <w:snapToGrid w:val="0"/>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 提供所投产品获得国家确定的认证机构出具的、处于有效期之内的产品认证证书。</w:t>
      </w:r>
    </w:p>
    <w:p w14:paraId="4C09046C">
      <w:pPr>
        <w:snapToGrid w:val="0"/>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3．所投报信息安全产品属于《信息安全产品强制性认证目录》中的产品，有效认证证书扫描件或影印件附后。</w:t>
      </w:r>
    </w:p>
    <w:p w14:paraId="426B5A3A">
      <w:pPr>
        <w:tabs>
          <w:tab w:val="left" w:pos="1680"/>
        </w:tabs>
        <w:snapToGrid w:val="0"/>
        <w:spacing w:line="360" w:lineRule="auto"/>
        <w:rPr>
          <w:rFonts w:hint="eastAsia" w:ascii="仿宋" w:hAnsi="仿宋" w:eastAsia="仿宋" w:cs="仿宋"/>
          <w:bCs/>
          <w:color w:val="auto"/>
          <w:szCs w:val="21"/>
          <w:highlight w:val="none"/>
        </w:rPr>
      </w:pPr>
    </w:p>
    <w:p w14:paraId="4E874FBB">
      <w:pPr>
        <w:tabs>
          <w:tab w:val="left" w:pos="1680"/>
        </w:tabs>
        <w:snapToGrid w:val="0"/>
        <w:spacing w:line="360" w:lineRule="exact"/>
        <w:rPr>
          <w:rFonts w:hint="eastAsia" w:ascii="仿宋" w:hAnsi="仿宋" w:eastAsia="仿宋" w:cs="仿宋"/>
          <w:bCs/>
          <w:color w:val="auto"/>
          <w:szCs w:val="21"/>
          <w:highlight w:val="none"/>
        </w:rPr>
      </w:pPr>
    </w:p>
    <w:p w14:paraId="0A3CB8DB">
      <w:pPr>
        <w:tabs>
          <w:tab w:val="left" w:pos="1680"/>
        </w:tabs>
        <w:snapToGrid w:val="0"/>
        <w:spacing w:line="360" w:lineRule="exact"/>
        <w:rPr>
          <w:rFonts w:hint="eastAsia" w:ascii="仿宋" w:hAnsi="仿宋" w:eastAsia="仿宋" w:cs="仿宋"/>
          <w:bCs/>
          <w:color w:val="auto"/>
          <w:szCs w:val="21"/>
          <w:highlight w:val="none"/>
        </w:rPr>
      </w:pPr>
    </w:p>
    <w:p w14:paraId="19B5B58C">
      <w:pPr>
        <w:pStyle w:val="8"/>
        <w:rPr>
          <w:rFonts w:hint="eastAsia" w:ascii="仿宋" w:hAnsi="仿宋" w:eastAsia="仿宋" w:cs="仿宋"/>
          <w:bCs/>
          <w:color w:val="auto"/>
          <w:sz w:val="21"/>
          <w:szCs w:val="21"/>
          <w:highlight w:val="none"/>
        </w:rPr>
      </w:pPr>
    </w:p>
    <w:p w14:paraId="406AD9C5">
      <w:pPr>
        <w:rPr>
          <w:rFonts w:hint="eastAsia" w:ascii="仿宋" w:hAnsi="仿宋" w:eastAsia="仿宋" w:cs="仿宋"/>
          <w:bCs/>
          <w:color w:val="auto"/>
          <w:szCs w:val="21"/>
          <w:highlight w:val="none"/>
        </w:rPr>
      </w:pPr>
    </w:p>
    <w:p w14:paraId="43F29DA1">
      <w:pPr>
        <w:tabs>
          <w:tab w:val="left" w:pos="1680"/>
        </w:tabs>
        <w:snapToGrid w:val="0"/>
        <w:spacing w:line="360" w:lineRule="exac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br w:type="page"/>
      </w:r>
      <w:r>
        <w:rPr>
          <w:rFonts w:hint="eastAsia" w:ascii="仿宋" w:hAnsi="仿宋" w:eastAsia="仿宋" w:cs="仿宋"/>
          <w:bCs/>
          <w:color w:val="auto"/>
          <w:szCs w:val="21"/>
          <w:highlight w:val="none"/>
        </w:rPr>
        <w:t>（2）非强制节能产品、环保标志产品明细表格式（如本项目所投产品中不涉及非强制节能产品、环保标志产品，此表可不提供）</w:t>
      </w:r>
    </w:p>
    <w:p w14:paraId="2B42F8C2">
      <w:pPr>
        <w:tabs>
          <w:tab w:val="left" w:pos="1680"/>
        </w:tabs>
        <w:snapToGrid w:val="0"/>
        <w:spacing w:line="360" w:lineRule="exact"/>
        <w:jc w:val="center"/>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非强制节能产品明细表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955"/>
        <w:gridCol w:w="955"/>
        <w:gridCol w:w="955"/>
        <w:gridCol w:w="1637"/>
        <w:gridCol w:w="1860"/>
        <w:gridCol w:w="1850"/>
      </w:tblGrid>
      <w:tr w14:paraId="028F8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622" w:type="dxa"/>
            <w:noWrap w:val="0"/>
            <w:vAlign w:val="center"/>
          </w:tcPr>
          <w:p w14:paraId="1DB51397">
            <w:pPr>
              <w:spacing w:line="28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包号</w:t>
            </w:r>
          </w:p>
        </w:tc>
        <w:tc>
          <w:tcPr>
            <w:tcW w:w="955" w:type="dxa"/>
            <w:noWrap w:val="0"/>
            <w:vAlign w:val="center"/>
          </w:tcPr>
          <w:p w14:paraId="524619B7">
            <w:pPr>
              <w:spacing w:line="28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产品名称</w:t>
            </w:r>
          </w:p>
        </w:tc>
        <w:tc>
          <w:tcPr>
            <w:tcW w:w="955" w:type="dxa"/>
            <w:noWrap w:val="0"/>
            <w:vAlign w:val="center"/>
          </w:tcPr>
          <w:p w14:paraId="0DE91D2A">
            <w:pPr>
              <w:spacing w:line="28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制造商</w:t>
            </w:r>
          </w:p>
        </w:tc>
        <w:tc>
          <w:tcPr>
            <w:tcW w:w="955" w:type="dxa"/>
            <w:noWrap w:val="0"/>
            <w:vAlign w:val="center"/>
          </w:tcPr>
          <w:p w14:paraId="503C9B5D">
            <w:pPr>
              <w:spacing w:line="28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产品型号</w:t>
            </w:r>
          </w:p>
        </w:tc>
        <w:tc>
          <w:tcPr>
            <w:tcW w:w="1637" w:type="dxa"/>
            <w:noWrap w:val="0"/>
            <w:vAlign w:val="center"/>
          </w:tcPr>
          <w:p w14:paraId="3878C3DB">
            <w:pPr>
              <w:spacing w:line="28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节能产品认证证书号</w:t>
            </w:r>
          </w:p>
        </w:tc>
        <w:tc>
          <w:tcPr>
            <w:tcW w:w="1860" w:type="dxa"/>
            <w:noWrap w:val="0"/>
            <w:vAlign w:val="center"/>
          </w:tcPr>
          <w:p w14:paraId="18DB3E68">
            <w:pPr>
              <w:spacing w:line="28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认证证书有效截止日期</w:t>
            </w:r>
          </w:p>
        </w:tc>
        <w:tc>
          <w:tcPr>
            <w:tcW w:w="1850" w:type="dxa"/>
            <w:noWrap w:val="0"/>
            <w:vAlign w:val="center"/>
          </w:tcPr>
          <w:p w14:paraId="28933995">
            <w:pPr>
              <w:spacing w:line="28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认证机构名称</w:t>
            </w:r>
          </w:p>
        </w:tc>
      </w:tr>
      <w:tr w14:paraId="4C3E7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22" w:type="dxa"/>
            <w:noWrap w:val="0"/>
            <w:vAlign w:val="top"/>
          </w:tcPr>
          <w:p w14:paraId="1C095602">
            <w:pPr>
              <w:spacing w:line="360" w:lineRule="exact"/>
              <w:rPr>
                <w:rFonts w:hint="eastAsia" w:ascii="仿宋" w:hAnsi="仿宋" w:eastAsia="仿宋" w:cs="仿宋"/>
                <w:b/>
                <w:color w:val="auto"/>
                <w:szCs w:val="21"/>
                <w:highlight w:val="none"/>
              </w:rPr>
            </w:pPr>
          </w:p>
        </w:tc>
        <w:tc>
          <w:tcPr>
            <w:tcW w:w="955" w:type="dxa"/>
            <w:noWrap w:val="0"/>
            <w:vAlign w:val="top"/>
          </w:tcPr>
          <w:p w14:paraId="7E126206">
            <w:pPr>
              <w:spacing w:line="360" w:lineRule="exact"/>
              <w:rPr>
                <w:rFonts w:hint="eastAsia" w:ascii="仿宋" w:hAnsi="仿宋" w:eastAsia="仿宋" w:cs="仿宋"/>
                <w:b/>
                <w:color w:val="auto"/>
                <w:szCs w:val="21"/>
                <w:highlight w:val="none"/>
              </w:rPr>
            </w:pPr>
          </w:p>
        </w:tc>
        <w:tc>
          <w:tcPr>
            <w:tcW w:w="955" w:type="dxa"/>
            <w:noWrap w:val="0"/>
            <w:vAlign w:val="top"/>
          </w:tcPr>
          <w:p w14:paraId="7E7C89A2">
            <w:pPr>
              <w:spacing w:line="360" w:lineRule="exact"/>
              <w:rPr>
                <w:rFonts w:hint="eastAsia" w:ascii="仿宋" w:hAnsi="仿宋" w:eastAsia="仿宋" w:cs="仿宋"/>
                <w:b/>
                <w:color w:val="auto"/>
                <w:szCs w:val="21"/>
                <w:highlight w:val="none"/>
              </w:rPr>
            </w:pPr>
          </w:p>
        </w:tc>
        <w:tc>
          <w:tcPr>
            <w:tcW w:w="955" w:type="dxa"/>
            <w:noWrap w:val="0"/>
            <w:vAlign w:val="top"/>
          </w:tcPr>
          <w:p w14:paraId="052E97F8">
            <w:pPr>
              <w:spacing w:line="360" w:lineRule="exact"/>
              <w:rPr>
                <w:rFonts w:hint="eastAsia" w:ascii="仿宋" w:hAnsi="仿宋" w:eastAsia="仿宋" w:cs="仿宋"/>
                <w:b/>
                <w:color w:val="auto"/>
                <w:szCs w:val="21"/>
                <w:highlight w:val="none"/>
              </w:rPr>
            </w:pPr>
          </w:p>
        </w:tc>
        <w:tc>
          <w:tcPr>
            <w:tcW w:w="1637" w:type="dxa"/>
            <w:noWrap w:val="0"/>
            <w:vAlign w:val="top"/>
          </w:tcPr>
          <w:p w14:paraId="21F165F1">
            <w:pPr>
              <w:spacing w:line="360" w:lineRule="exact"/>
              <w:rPr>
                <w:rFonts w:hint="eastAsia" w:ascii="仿宋" w:hAnsi="仿宋" w:eastAsia="仿宋" w:cs="仿宋"/>
                <w:b/>
                <w:color w:val="auto"/>
                <w:szCs w:val="21"/>
                <w:highlight w:val="none"/>
              </w:rPr>
            </w:pPr>
          </w:p>
        </w:tc>
        <w:tc>
          <w:tcPr>
            <w:tcW w:w="1860" w:type="dxa"/>
            <w:noWrap w:val="0"/>
            <w:vAlign w:val="top"/>
          </w:tcPr>
          <w:p w14:paraId="71CEA4E2">
            <w:pPr>
              <w:spacing w:line="360" w:lineRule="exact"/>
              <w:rPr>
                <w:rFonts w:hint="eastAsia" w:ascii="仿宋" w:hAnsi="仿宋" w:eastAsia="仿宋" w:cs="仿宋"/>
                <w:b/>
                <w:color w:val="auto"/>
                <w:szCs w:val="21"/>
                <w:highlight w:val="none"/>
              </w:rPr>
            </w:pPr>
          </w:p>
        </w:tc>
        <w:tc>
          <w:tcPr>
            <w:tcW w:w="1850" w:type="dxa"/>
            <w:noWrap w:val="0"/>
            <w:vAlign w:val="top"/>
          </w:tcPr>
          <w:p w14:paraId="6DD1B876">
            <w:pPr>
              <w:spacing w:line="360" w:lineRule="exact"/>
              <w:rPr>
                <w:rFonts w:hint="eastAsia" w:ascii="仿宋" w:hAnsi="仿宋" w:eastAsia="仿宋" w:cs="仿宋"/>
                <w:b/>
                <w:color w:val="auto"/>
                <w:szCs w:val="21"/>
                <w:highlight w:val="none"/>
              </w:rPr>
            </w:pPr>
          </w:p>
        </w:tc>
      </w:tr>
      <w:tr w14:paraId="4493F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22" w:type="dxa"/>
            <w:noWrap w:val="0"/>
            <w:vAlign w:val="top"/>
          </w:tcPr>
          <w:p w14:paraId="32D359FA">
            <w:pPr>
              <w:spacing w:line="360" w:lineRule="exact"/>
              <w:rPr>
                <w:rFonts w:hint="eastAsia" w:ascii="仿宋" w:hAnsi="仿宋" w:eastAsia="仿宋" w:cs="仿宋"/>
                <w:b/>
                <w:color w:val="auto"/>
                <w:szCs w:val="21"/>
                <w:highlight w:val="none"/>
              </w:rPr>
            </w:pPr>
          </w:p>
        </w:tc>
        <w:tc>
          <w:tcPr>
            <w:tcW w:w="955" w:type="dxa"/>
            <w:noWrap w:val="0"/>
            <w:vAlign w:val="top"/>
          </w:tcPr>
          <w:p w14:paraId="1A9DB25D">
            <w:pPr>
              <w:spacing w:line="360" w:lineRule="exact"/>
              <w:rPr>
                <w:rFonts w:hint="eastAsia" w:ascii="仿宋" w:hAnsi="仿宋" w:eastAsia="仿宋" w:cs="仿宋"/>
                <w:b/>
                <w:color w:val="auto"/>
                <w:szCs w:val="21"/>
                <w:highlight w:val="none"/>
              </w:rPr>
            </w:pPr>
          </w:p>
        </w:tc>
        <w:tc>
          <w:tcPr>
            <w:tcW w:w="955" w:type="dxa"/>
            <w:noWrap w:val="0"/>
            <w:vAlign w:val="top"/>
          </w:tcPr>
          <w:p w14:paraId="7FAA5E25">
            <w:pPr>
              <w:spacing w:line="360" w:lineRule="exact"/>
              <w:rPr>
                <w:rFonts w:hint="eastAsia" w:ascii="仿宋" w:hAnsi="仿宋" w:eastAsia="仿宋" w:cs="仿宋"/>
                <w:b/>
                <w:color w:val="auto"/>
                <w:szCs w:val="21"/>
                <w:highlight w:val="none"/>
              </w:rPr>
            </w:pPr>
          </w:p>
        </w:tc>
        <w:tc>
          <w:tcPr>
            <w:tcW w:w="955" w:type="dxa"/>
            <w:noWrap w:val="0"/>
            <w:vAlign w:val="top"/>
          </w:tcPr>
          <w:p w14:paraId="7A6998FA">
            <w:pPr>
              <w:spacing w:line="360" w:lineRule="exact"/>
              <w:rPr>
                <w:rFonts w:hint="eastAsia" w:ascii="仿宋" w:hAnsi="仿宋" w:eastAsia="仿宋" w:cs="仿宋"/>
                <w:b/>
                <w:color w:val="auto"/>
                <w:szCs w:val="21"/>
                <w:highlight w:val="none"/>
              </w:rPr>
            </w:pPr>
          </w:p>
        </w:tc>
        <w:tc>
          <w:tcPr>
            <w:tcW w:w="1637" w:type="dxa"/>
            <w:noWrap w:val="0"/>
            <w:vAlign w:val="top"/>
          </w:tcPr>
          <w:p w14:paraId="242B466A">
            <w:pPr>
              <w:spacing w:line="360" w:lineRule="exact"/>
              <w:rPr>
                <w:rFonts w:hint="eastAsia" w:ascii="仿宋" w:hAnsi="仿宋" w:eastAsia="仿宋" w:cs="仿宋"/>
                <w:b/>
                <w:color w:val="auto"/>
                <w:szCs w:val="21"/>
                <w:highlight w:val="none"/>
              </w:rPr>
            </w:pPr>
          </w:p>
        </w:tc>
        <w:tc>
          <w:tcPr>
            <w:tcW w:w="1860" w:type="dxa"/>
            <w:noWrap w:val="0"/>
            <w:vAlign w:val="top"/>
          </w:tcPr>
          <w:p w14:paraId="16218E81">
            <w:pPr>
              <w:spacing w:line="360" w:lineRule="exact"/>
              <w:rPr>
                <w:rFonts w:hint="eastAsia" w:ascii="仿宋" w:hAnsi="仿宋" w:eastAsia="仿宋" w:cs="仿宋"/>
                <w:b/>
                <w:color w:val="auto"/>
                <w:szCs w:val="21"/>
                <w:highlight w:val="none"/>
              </w:rPr>
            </w:pPr>
          </w:p>
        </w:tc>
        <w:tc>
          <w:tcPr>
            <w:tcW w:w="1850" w:type="dxa"/>
            <w:noWrap w:val="0"/>
            <w:vAlign w:val="top"/>
          </w:tcPr>
          <w:p w14:paraId="7EC68573">
            <w:pPr>
              <w:spacing w:line="360" w:lineRule="exact"/>
              <w:rPr>
                <w:rFonts w:hint="eastAsia" w:ascii="仿宋" w:hAnsi="仿宋" w:eastAsia="仿宋" w:cs="仿宋"/>
                <w:b/>
                <w:color w:val="auto"/>
                <w:szCs w:val="21"/>
                <w:highlight w:val="none"/>
              </w:rPr>
            </w:pPr>
          </w:p>
        </w:tc>
      </w:tr>
      <w:tr w14:paraId="429A3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22" w:type="dxa"/>
            <w:noWrap w:val="0"/>
            <w:vAlign w:val="top"/>
          </w:tcPr>
          <w:p w14:paraId="5A73A5C7">
            <w:pPr>
              <w:spacing w:line="360" w:lineRule="exact"/>
              <w:rPr>
                <w:rFonts w:hint="eastAsia" w:ascii="仿宋" w:hAnsi="仿宋" w:eastAsia="仿宋" w:cs="仿宋"/>
                <w:b/>
                <w:color w:val="auto"/>
                <w:szCs w:val="21"/>
                <w:highlight w:val="none"/>
              </w:rPr>
            </w:pPr>
          </w:p>
        </w:tc>
        <w:tc>
          <w:tcPr>
            <w:tcW w:w="955" w:type="dxa"/>
            <w:noWrap w:val="0"/>
            <w:vAlign w:val="top"/>
          </w:tcPr>
          <w:p w14:paraId="567D5E5A">
            <w:pPr>
              <w:spacing w:line="360" w:lineRule="exact"/>
              <w:rPr>
                <w:rFonts w:hint="eastAsia" w:ascii="仿宋" w:hAnsi="仿宋" w:eastAsia="仿宋" w:cs="仿宋"/>
                <w:b/>
                <w:color w:val="auto"/>
                <w:szCs w:val="21"/>
                <w:highlight w:val="none"/>
              </w:rPr>
            </w:pPr>
          </w:p>
        </w:tc>
        <w:tc>
          <w:tcPr>
            <w:tcW w:w="955" w:type="dxa"/>
            <w:noWrap w:val="0"/>
            <w:vAlign w:val="top"/>
          </w:tcPr>
          <w:p w14:paraId="4D46145E">
            <w:pPr>
              <w:spacing w:line="360" w:lineRule="exact"/>
              <w:rPr>
                <w:rFonts w:hint="eastAsia" w:ascii="仿宋" w:hAnsi="仿宋" w:eastAsia="仿宋" w:cs="仿宋"/>
                <w:b/>
                <w:color w:val="auto"/>
                <w:szCs w:val="21"/>
                <w:highlight w:val="none"/>
              </w:rPr>
            </w:pPr>
          </w:p>
        </w:tc>
        <w:tc>
          <w:tcPr>
            <w:tcW w:w="955" w:type="dxa"/>
            <w:noWrap w:val="0"/>
            <w:vAlign w:val="top"/>
          </w:tcPr>
          <w:p w14:paraId="463E7A70">
            <w:pPr>
              <w:spacing w:line="360" w:lineRule="exact"/>
              <w:rPr>
                <w:rFonts w:hint="eastAsia" w:ascii="仿宋" w:hAnsi="仿宋" w:eastAsia="仿宋" w:cs="仿宋"/>
                <w:b/>
                <w:color w:val="auto"/>
                <w:szCs w:val="21"/>
                <w:highlight w:val="none"/>
              </w:rPr>
            </w:pPr>
          </w:p>
        </w:tc>
        <w:tc>
          <w:tcPr>
            <w:tcW w:w="1637" w:type="dxa"/>
            <w:noWrap w:val="0"/>
            <w:vAlign w:val="top"/>
          </w:tcPr>
          <w:p w14:paraId="552A1A7F">
            <w:pPr>
              <w:spacing w:line="360" w:lineRule="exact"/>
              <w:rPr>
                <w:rFonts w:hint="eastAsia" w:ascii="仿宋" w:hAnsi="仿宋" w:eastAsia="仿宋" w:cs="仿宋"/>
                <w:b/>
                <w:color w:val="auto"/>
                <w:szCs w:val="21"/>
                <w:highlight w:val="none"/>
              </w:rPr>
            </w:pPr>
          </w:p>
        </w:tc>
        <w:tc>
          <w:tcPr>
            <w:tcW w:w="1860" w:type="dxa"/>
            <w:noWrap w:val="0"/>
            <w:vAlign w:val="top"/>
          </w:tcPr>
          <w:p w14:paraId="5C75B984">
            <w:pPr>
              <w:spacing w:line="360" w:lineRule="exact"/>
              <w:rPr>
                <w:rFonts w:hint="eastAsia" w:ascii="仿宋" w:hAnsi="仿宋" w:eastAsia="仿宋" w:cs="仿宋"/>
                <w:b/>
                <w:color w:val="auto"/>
                <w:szCs w:val="21"/>
                <w:highlight w:val="none"/>
              </w:rPr>
            </w:pPr>
          </w:p>
        </w:tc>
        <w:tc>
          <w:tcPr>
            <w:tcW w:w="1850" w:type="dxa"/>
            <w:noWrap w:val="0"/>
            <w:vAlign w:val="top"/>
          </w:tcPr>
          <w:p w14:paraId="6F59939D">
            <w:pPr>
              <w:spacing w:line="360" w:lineRule="exact"/>
              <w:rPr>
                <w:rFonts w:hint="eastAsia" w:ascii="仿宋" w:hAnsi="仿宋" w:eastAsia="仿宋" w:cs="仿宋"/>
                <w:b/>
                <w:color w:val="auto"/>
                <w:szCs w:val="21"/>
                <w:highlight w:val="none"/>
              </w:rPr>
            </w:pPr>
          </w:p>
        </w:tc>
      </w:tr>
    </w:tbl>
    <w:p w14:paraId="0EB91F4C">
      <w:pPr>
        <w:pStyle w:val="27"/>
        <w:snapToGrid w:val="0"/>
        <w:spacing w:line="36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投报节能产品政府采购品目清单中强制性采购产品以外的其它节能产品，将给予适当加分。</w:t>
      </w:r>
    </w:p>
    <w:p w14:paraId="1656F7DF">
      <w:pPr>
        <w:spacing w:line="360" w:lineRule="exact"/>
        <w:jc w:val="center"/>
        <w:rPr>
          <w:rFonts w:hint="eastAsia" w:ascii="仿宋" w:hAnsi="仿宋" w:eastAsia="仿宋" w:cs="仿宋"/>
          <w:b/>
          <w:color w:val="auto"/>
          <w:szCs w:val="21"/>
          <w:highlight w:val="none"/>
        </w:rPr>
      </w:pPr>
    </w:p>
    <w:p w14:paraId="4E3C156D">
      <w:pPr>
        <w:spacing w:line="36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环境标志产品明细表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894"/>
        <w:gridCol w:w="745"/>
        <w:gridCol w:w="894"/>
        <w:gridCol w:w="894"/>
        <w:gridCol w:w="1729"/>
        <w:gridCol w:w="1766"/>
        <w:gridCol w:w="1259"/>
      </w:tblGrid>
      <w:tr w14:paraId="10BB5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652" w:type="dxa"/>
            <w:noWrap w:val="0"/>
            <w:vAlign w:val="center"/>
          </w:tcPr>
          <w:p w14:paraId="329A1362">
            <w:pPr>
              <w:spacing w:line="28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包号</w:t>
            </w:r>
          </w:p>
        </w:tc>
        <w:tc>
          <w:tcPr>
            <w:tcW w:w="894" w:type="dxa"/>
            <w:noWrap w:val="0"/>
            <w:vAlign w:val="center"/>
          </w:tcPr>
          <w:p w14:paraId="12C7CBCA">
            <w:pPr>
              <w:spacing w:line="28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产品名称</w:t>
            </w:r>
          </w:p>
        </w:tc>
        <w:tc>
          <w:tcPr>
            <w:tcW w:w="745" w:type="dxa"/>
            <w:noWrap w:val="0"/>
            <w:vAlign w:val="center"/>
          </w:tcPr>
          <w:p w14:paraId="2A8A23FE">
            <w:pPr>
              <w:spacing w:line="28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制造商</w:t>
            </w:r>
          </w:p>
        </w:tc>
        <w:tc>
          <w:tcPr>
            <w:tcW w:w="894" w:type="dxa"/>
            <w:noWrap w:val="0"/>
            <w:vAlign w:val="center"/>
          </w:tcPr>
          <w:p w14:paraId="31416827">
            <w:pPr>
              <w:spacing w:line="28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注册商标</w:t>
            </w:r>
          </w:p>
        </w:tc>
        <w:tc>
          <w:tcPr>
            <w:tcW w:w="894" w:type="dxa"/>
            <w:noWrap w:val="0"/>
            <w:vAlign w:val="center"/>
          </w:tcPr>
          <w:p w14:paraId="4757C354">
            <w:pPr>
              <w:spacing w:line="28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产品型号</w:t>
            </w:r>
          </w:p>
        </w:tc>
        <w:tc>
          <w:tcPr>
            <w:tcW w:w="1729" w:type="dxa"/>
            <w:noWrap w:val="0"/>
            <w:vAlign w:val="center"/>
          </w:tcPr>
          <w:p w14:paraId="37552395">
            <w:pPr>
              <w:spacing w:line="28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环境标志产品认证证书号</w:t>
            </w:r>
          </w:p>
        </w:tc>
        <w:tc>
          <w:tcPr>
            <w:tcW w:w="1766" w:type="dxa"/>
            <w:noWrap w:val="0"/>
            <w:vAlign w:val="center"/>
          </w:tcPr>
          <w:p w14:paraId="09016CA0">
            <w:pPr>
              <w:spacing w:line="28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认证证书有效截止日期</w:t>
            </w:r>
          </w:p>
        </w:tc>
        <w:tc>
          <w:tcPr>
            <w:tcW w:w="1259" w:type="dxa"/>
            <w:noWrap w:val="0"/>
            <w:vAlign w:val="center"/>
          </w:tcPr>
          <w:p w14:paraId="0F58212E">
            <w:pPr>
              <w:spacing w:line="28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认证机构名称</w:t>
            </w:r>
          </w:p>
        </w:tc>
      </w:tr>
      <w:tr w14:paraId="29604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52" w:type="dxa"/>
            <w:noWrap w:val="0"/>
            <w:vAlign w:val="top"/>
          </w:tcPr>
          <w:p w14:paraId="7CA97E05">
            <w:pPr>
              <w:widowControl/>
              <w:spacing w:line="360" w:lineRule="exact"/>
              <w:jc w:val="center"/>
              <w:rPr>
                <w:rFonts w:hint="eastAsia" w:ascii="仿宋" w:hAnsi="仿宋" w:eastAsia="仿宋" w:cs="仿宋"/>
                <w:b/>
                <w:color w:val="auto"/>
                <w:szCs w:val="21"/>
                <w:highlight w:val="none"/>
              </w:rPr>
            </w:pPr>
          </w:p>
        </w:tc>
        <w:tc>
          <w:tcPr>
            <w:tcW w:w="894" w:type="dxa"/>
            <w:noWrap w:val="0"/>
            <w:vAlign w:val="top"/>
          </w:tcPr>
          <w:p w14:paraId="6A151769">
            <w:pPr>
              <w:widowControl/>
              <w:spacing w:line="360" w:lineRule="exact"/>
              <w:jc w:val="center"/>
              <w:rPr>
                <w:rFonts w:hint="eastAsia" w:ascii="仿宋" w:hAnsi="仿宋" w:eastAsia="仿宋" w:cs="仿宋"/>
                <w:b/>
                <w:color w:val="auto"/>
                <w:szCs w:val="21"/>
                <w:highlight w:val="none"/>
              </w:rPr>
            </w:pPr>
          </w:p>
        </w:tc>
        <w:tc>
          <w:tcPr>
            <w:tcW w:w="745" w:type="dxa"/>
            <w:noWrap w:val="0"/>
            <w:vAlign w:val="top"/>
          </w:tcPr>
          <w:p w14:paraId="1931A1ED">
            <w:pPr>
              <w:widowControl/>
              <w:spacing w:line="360" w:lineRule="exact"/>
              <w:jc w:val="center"/>
              <w:rPr>
                <w:rFonts w:hint="eastAsia" w:ascii="仿宋" w:hAnsi="仿宋" w:eastAsia="仿宋" w:cs="仿宋"/>
                <w:b/>
                <w:color w:val="auto"/>
                <w:szCs w:val="21"/>
                <w:highlight w:val="none"/>
              </w:rPr>
            </w:pPr>
          </w:p>
        </w:tc>
        <w:tc>
          <w:tcPr>
            <w:tcW w:w="894" w:type="dxa"/>
            <w:noWrap w:val="0"/>
            <w:vAlign w:val="top"/>
          </w:tcPr>
          <w:p w14:paraId="430B1B4F">
            <w:pPr>
              <w:widowControl/>
              <w:spacing w:line="360" w:lineRule="exact"/>
              <w:jc w:val="center"/>
              <w:rPr>
                <w:rFonts w:hint="eastAsia" w:ascii="仿宋" w:hAnsi="仿宋" w:eastAsia="仿宋" w:cs="仿宋"/>
                <w:b/>
                <w:color w:val="auto"/>
                <w:szCs w:val="21"/>
                <w:highlight w:val="none"/>
              </w:rPr>
            </w:pPr>
          </w:p>
        </w:tc>
        <w:tc>
          <w:tcPr>
            <w:tcW w:w="894" w:type="dxa"/>
            <w:noWrap w:val="0"/>
            <w:vAlign w:val="top"/>
          </w:tcPr>
          <w:p w14:paraId="2D505389">
            <w:pPr>
              <w:widowControl/>
              <w:spacing w:line="360" w:lineRule="exact"/>
              <w:jc w:val="center"/>
              <w:rPr>
                <w:rFonts w:hint="eastAsia" w:ascii="仿宋" w:hAnsi="仿宋" w:eastAsia="仿宋" w:cs="仿宋"/>
                <w:b/>
                <w:color w:val="auto"/>
                <w:szCs w:val="21"/>
                <w:highlight w:val="none"/>
              </w:rPr>
            </w:pPr>
          </w:p>
        </w:tc>
        <w:tc>
          <w:tcPr>
            <w:tcW w:w="1729" w:type="dxa"/>
            <w:noWrap w:val="0"/>
            <w:vAlign w:val="top"/>
          </w:tcPr>
          <w:p w14:paraId="073F8196">
            <w:pPr>
              <w:widowControl/>
              <w:spacing w:line="360" w:lineRule="exact"/>
              <w:jc w:val="center"/>
              <w:rPr>
                <w:rFonts w:hint="eastAsia" w:ascii="仿宋" w:hAnsi="仿宋" w:eastAsia="仿宋" w:cs="仿宋"/>
                <w:b/>
                <w:color w:val="auto"/>
                <w:szCs w:val="21"/>
                <w:highlight w:val="none"/>
              </w:rPr>
            </w:pPr>
          </w:p>
        </w:tc>
        <w:tc>
          <w:tcPr>
            <w:tcW w:w="1766" w:type="dxa"/>
            <w:noWrap w:val="0"/>
            <w:vAlign w:val="top"/>
          </w:tcPr>
          <w:p w14:paraId="3D7050A0">
            <w:pPr>
              <w:spacing w:line="360" w:lineRule="exact"/>
              <w:rPr>
                <w:rFonts w:hint="eastAsia" w:ascii="仿宋" w:hAnsi="仿宋" w:eastAsia="仿宋" w:cs="仿宋"/>
                <w:b/>
                <w:color w:val="auto"/>
                <w:szCs w:val="21"/>
                <w:highlight w:val="none"/>
              </w:rPr>
            </w:pPr>
          </w:p>
        </w:tc>
        <w:tc>
          <w:tcPr>
            <w:tcW w:w="1259" w:type="dxa"/>
            <w:noWrap w:val="0"/>
            <w:vAlign w:val="top"/>
          </w:tcPr>
          <w:p w14:paraId="7DDB955F">
            <w:pPr>
              <w:spacing w:line="360" w:lineRule="exact"/>
              <w:rPr>
                <w:rFonts w:hint="eastAsia" w:ascii="仿宋" w:hAnsi="仿宋" w:eastAsia="仿宋" w:cs="仿宋"/>
                <w:b/>
                <w:color w:val="auto"/>
                <w:szCs w:val="21"/>
                <w:highlight w:val="none"/>
              </w:rPr>
            </w:pPr>
          </w:p>
        </w:tc>
      </w:tr>
      <w:tr w14:paraId="3AD90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2" w:type="dxa"/>
            <w:noWrap w:val="0"/>
            <w:vAlign w:val="top"/>
          </w:tcPr>
          <w:p w14:paraId="63538A9A">
            <w:pPr>
              <w:widowControl/>
              <w:spacing w:line="360" w:lineRule="exact"/>
              <w:jc w:val="center"/>
              <w:rPr>
                <w:rFonts w:hint="eastAsia" w:ascii="仿宋" w:hAnsi="仿宋" w:eastAsia="仿宋" w:cs="仿宋"/>
                <w:b/>
                <w:color w:val="auto"/>
                <w:szCs w:val="21"/>
                <w:highlight w:val="none"/>
              </w:rPr>
            </w:pPr>
          </w:p>
        </w:tc>
        <w:tc>
          <w:tcPr>
            <w:tcW w:w="894" w:type="dxa"/>
            <w:noWrap w:val="0"/>
            <w:vAlign w:val="top"/>
          </w:tcPr>
          <w:p w14:paraId="441306F6">
            <w:pPr>
              <w:widowControl/>
              <w:spacing w:line="360" w:lineRule="exact"/>
              <w:jc w:val="center"/>
              <w:rPr>
                <w:rFonts w:hint="eastAsia" w:ascii="仿宋" w:hAnsi="仿宋" w:eastAsia="仿宋" w:cs="仿宋"/>
                <w:b/>
                <w:color w:val="auto"/>
                <w:szCs w:val="21"/>
                <w:highlight w:val="none"/>
              </w:rPr>
            </w:pPr>
          </w:p>
        </w:tc>
        <w:tc>
          <w:tcPr>
            <w:tcW w:w="745" w:type="dxa"/>
            <w:noWrap w:val="0"/>
            <w:vAlign w:val="top"/>
          </w:tcPr>
          <w:p w14:paraId="69673D5F">
            <w:pPr>
              <w:widowControl/>
              <w:spacing w:line="360" w:lineRule="exact"/>
              <w:jc w:val="center"/>
              <w:rPr>
                <w:rFonts w:hint="eastAsia" w:ascii="仿宋" w:hAnsi="仿宋" w:eastAsia="仿宋" w:cs="仿宋"/>
                <w:b/>
                <w:color w:val="auto"/>
                <w:szCs w:val="21"/>
                <w:highlight w:val="none"/>
              </w:rPr>
            </w:pPr>
          </w:p>
        </w:tc>
        <w:tc>
          <w:tcPr>
            <w:tcW w:w="894" w:type="dxa"/>
            <w:noWrap w:val="0"/>
            <w:vAlign w:val="top"/>
          </w:tcPr>
          <w:p w14:paraId="677F10E9">
            <w:pPr>
              <w:widowControl/>
              <w:spacing w:line="360" w:lineRule="exact"/>
              <w:jc w:val="center"/>
              <w:rPr>
                <w:rFonts w:hint="eastAsia" w:ascii="仿宋" w:hAnsi="仿宋" w:eastAsia="仿宋" w:cs="仿宋"/>
                <w:b/>
                <w:color w:val="auto"/>
                <w:szCs w:val="21"/>
                <w:highlight w:val="none"/>
              </w:rPr>
            </w:pPr>
          </w:p>
        </w:tc>
        <w:tc>
          <w:tcPr>
            <w:tcW w:w="894" w:type="dxa"/>
            <w:noWrap w:val="0"/>
            <w:vAlign w:val="top"/>
          </w:tcPr>
          <w:p w14:paraId="44C2BACD">
            <w:pPr>
              <w:widowControl/>
              <w:spacing w:line="360" w:lineRule="exact"/>
              <w:jc w:val="center"/>
              <w:rPr>
                <w:rFonts w:hint="eastAsia" w:ascii="仿宋" w:hAnsi="仿宋" w:eastAsia="仿宋" w:cs="仿宋"/>
                <w:b/>
                <w:color w:val="auto"/>
                <w:szCs w:val="21"/>
                <w:highlight w:val="none"/>
              </w:rPr>
            </w:pPr>
          </w:p>
        </w:tc>
        <w:tc>
          <w:tcPr>
            <w:tcW w:w="1729" w:type="dxa"/>
            <w:noWrap w:val="0"/>
            <w:vAlign w:val="top"/>
          </w:tcPr>
          <w:p w14:paraId="4A40F054">
            <w:pPr>
              <w:widowControl/>
              <w:spacing w:line="360" w:lineRule="exact"/>
              <w:jc w:val="center"/>
              <w:rPr>
                <w:rFonts w:hint="eastAsia" w:ascii="仿宋" w:hAnsi="仿宋" w:eastAsia="仿宋" w:cs="仿宋"/>
                <w:b/>
                <w:color w:val="auto"/>
                <w:szCs w:val="21"/>
                <w:highlight w:val="none"/>
              </w:rPr>
            </w:pPr>
          </w:p>
        </w:tc>
        <w:tc>
          <w:tcPr>
            <w:tcW w:w="1766" w:type="dxa"/>
            <w:noWrap w:val="0"/>
            <w:vAlign w:val="top"/>
          </w:tcPr>
          <w:p w14:paraId="714E1FF2">
            <w:pPr>
              <w:spacing w:line="360" w:lineRule="exact"/>
              <w:rPr>
                <w:rFonts w:hint="eastAsia" w:ascii="仿宋" w:hAnsi="仿宋" w:eastAsia="仿宋" w:cs="仿宋"/>
                <w:b/>
                <w:color w:val="auto"/>
                <w:szCs w:val="21"/>
                <w:highlight w:val="none"/>
              </w:rPr>
            </w:pPr>
          </w:p>
        </w:tc>
        <w:tc>
          <w:tcPr>
            <w:tcW w:w="1259" w:type="dxa"/>
            <w:noWrap w:val="0"/>
            <w:vAlign w:val="top"/>
          </w:tcPr>
          <w:p w14:paraId="60F458AC">
            <w:pPr>
              <w:spacing w:line="360" w:lineRule="exact"/>
              <w:rPr>
                <w:rFonts w:hint="eastAsia" w:ascii="仿宋" w:hAnsi="仿宋" w:eastAsia="仿宋" w:cs="仿宋"/>
                <w:b/>
                <w:color w:val="auto"/>
                <w:szCs w:val="21"/>
                <w:highlight w:val="none"/>
              </w:rPr>
            </w:pPr>
          </w:p>
        </w:tc>
      </w:tr>
      <w:tr w14:paraId="210FD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52" w:type="dxa"/>
            <w:noWrap w:val="0"/>
            <w:vAlign w:val="top"/>
          </w:tcPr>
          <w:p w14:paraId="523749FF">
            <w:pPr>
              <w:widowControl/>
              <w:spacing w:line="360" w:lineRule="exact"/>
              <w:jc w:val="center"/>
              <w:rPr>
                <w:rFonts w:hint="eastAsia" w:ascii="仿宋" w:hAnsi="仿宋" w:eastAsia="仿宋" w:cs="仿宋"/>
                <w:b/>
                <w:color w:val="auto"/>
                <w:szCs w:val="21"/>
                <w:highlight w:val="none"/>
              </w:rPr>
            </w:pPr>
          </w:p>
        </w:tc>
        <w:tc>
          <w:tcPr>
            <w:tcW w:w="894" w:type="dxa"/>
            <w:noWrap w:val="0"/>
            <w:vAlign w:val="top"/>
          </w:tcPr>
          <w:p w14:paraId="453E2FC2">
            <w:pPr>
              <w:widowControl/>
              <w:spacing w:line="360" w:lineRule="exact"/>
              <w:jc w:val="center"/>
              <w:rPr>
                <w:rFonts w:hint="eastAsia" w:ascii="仿宋" w:hAnsi="仿宋" w:eastAsia="仿宋" w:cs="仿宋"/>
                <w:b/>
                <w:color w:val="auto"/>
                <w:szCs w:val="21"/>
                <w:highlight w:val="none"/>
              </w:rPr>
            </w:pPr>
          </w:p>
        </w:tc>
        <w:tc>
          <w:tcPr>
            <w:tcW w:w="745" w:type="dxa"/>
            <w:noWrap w:val="0"/>
            <w:vAlign w:val="top"/>
          </w:tcPr>
          <w:p w14:paraId="25861A09">
            <w:pPr>
              <w:widowControl/>
              <w:spacing w:line="360" w:lineRule="exact"/>
              <w:jc w:val="center"/>
              <w:rPr>
                <w:rFonts w:hint="eastAsia" w:ascii="仿宋" w:hAnsi="仿宋" w:eastAsia="仿宋" w:cs="仿宋"/>
                <w:b/>
                <w:color w:val="auto"/>
                <w:szCs w:val="21"/>
                <w:highlight w:val="none"/>
              </w:rPr>
            </w:pPr>
          </w:p>
        </w:tc>
        <w:tc>
          <w:tcPr>
            <w:tcW w:w="894" w:type="dxa"/>
            <w:noWrap w:val="0"/>
            <w:vAlign w:val="top"/>
          </w:tcPr>
          <w:p w14:paraId="3A4BC4FA">
            <w:pPr>
              <w:widowControl/>
              <w:spacing w:line="360" w:lineRule="exact"/>
              <w:jc w:val="center"/>
              <w:rPr>
                <w:rFonts w:hint="eastAsia" w:ascii="仿宋" w:hAnsi="仿宋" w:eastAsia="仿宋" w:cs="仿宋"/>
                <w:b/>
                <w:color w:val="auto"/>
                <w:szCs w:val="21"/>
                <w:highlight w:val="none"/>
              </w:rPr>
            </w:pPr>
          </w:p>
        </w:tc>
        <w:tc>
          <w:tcPr>
            <w:tcW w:w="894" w:type="dxa"/>
            <w:noWrap w:val="0"/>
            <w:vAlign w:val="top"/>
          </w:tcPr>
          <w:p w14:paraId="34414B1B">
            <w:pPr>
              <w:widowControl/>
              <w:spacing w:line="360" w:lineRule="exact"/>
              <w:jc w:val="center"/>
              <w:rPr>
                <w:rFonts w:hint="eastAsia" w:ascii="仿宋" w:hAnsi="仿宋" w:eastAsia="仿宋" w:cs="仿宋"/>
                <w:b/>
                <w:color w:val="auto"/>
                <w:szCs w:val="21"/>
                <w:highlight w:val="none"/>
              </w:rPr>
            </w:pPr>
          </w:p>
        </w:tc>
        <w:tc>
          <w:tcPr>
            <w:tcW w:w="1729" w:type="dxa"/>
            <w:noWrap w:val="0"/>
            <w:vAlign w:val="top"/>
          </w:tcPr>
          <w:p w14:paraId="6CAB67B4">
            <w:pPr>
              <w:widowControl/>
              <w:spacing w:line="360" w:lineRule="exact"/>
              <w:jc w:val="center"/>
              <w:rPr>
                <w:rFonts w:hint="eastAsia" w:ascii="仿宋" w:hAnsi="仿宋" w:eastAsia="仿宋" w:cs="仿宋"/>
                <w:b/>
                <w:color w:val="auto"/>
                <w:szCs w:val="21"/>
                <w:highlight w:val="none"/>
              </w:rPr>
            </w:pPr>
          </w:p>
        </w:tc>
        <w:tc>
          <w:tcPr>
            <w:tcW w:w="1766" w:type="dxa"/>
            <w:noWrap w:val="0"/>
            <w:vAlign w:val="top"/>
          </w:tcPr>
          <w:p w14:paraId="395AA59A">
            <w:pPr>
              <w:spacing w:line="360" w:lineRule="exact"/>
              <w:rPr>
                <w:rFonts w:hint="eastAsia" w:ascii="仿宋" w:hAnsi="仿宋" w:eastAsia="仿宋" w:cs="仿宋"/>
                <w:b/>
                <w:color w:val="auto"/>
                <w:szCs w:val="21"/>
                <w:highlight w:val="none"/>
              </w:rPr>
            </w:pPr>
          </w:p>
        </w:tc>
        <w:tc>
          <w:tcPr>
            <w:tcW w:w="1259" w:type="dxa"/>
            <w:noWrap w:val="0"/>
            <w:vAlign w:val="top"/>
          </w:tcPr>
          <w:p w14:paraId="2A0BCCDC">
            <w:pPr>
              <w:spacing w:line="360" w:lineRule="exact"/>
              <w:rPr>
                <w:rFonts w:hint="eastAsia" w:ascii="仿宋" w:hAnsi="仿宋" w:eastAsia="仿宋" w:cs="仿宋"/>
                <w:b/>
                <w:color w:val="auto"/>
                <w:szCs w:val="21"/>
                <w:highlight w:val="none"/>
              </w:rPr>
            </w:pPr>
          </w:p>
        </w:tc>
      </w:tr>
    </w:tbl>
    <w:p w14:paraId="31670DE6">
      <w:pPr>
        <w:pStyle w:val="27"/>
        <w:snapToGrid w:val="0"/>
        <w:spacing w:line="36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投报环境标志产品政府采购品目清单中的产品，将给予适当加分。</w:t>
      </w:r>
    </w:p>
    <w:p w14:paraId="023E5F25">
      <w:pPr>
        <w:widowControl/>
        <w:snapToGrid w:val="0"/>
        <w:spacing w:line="360" w:lineRule="exact"/>
        <w:jc w:val="left"/>
        <w:rPr>
          <w:rFonts w:hint="eastAsia" w:ascii="仿宋" w:hAnsi="仿宋" w:eastAsia="仿宋" w:cs="仿宋"/>
          <w:color w:val="auto"/>
          <w:kern w:val="0"/>
          <w:szCs w:val="21"/>
          <w:highlight w:val="none"/>
        </w:rPr>
      </w:pPr>
    </w:p>
    <w:p w14:paraId="62EC0BFE">
      <w:pPr>
        <w:pStyle w:val="27"/>
        <w:snapToGrid w:val="0"/>
        <w:spacing w:line="360" w:lineRule="exact"/>
        <w:jc w:val="left"/>
        <w:rPr>
          <w:rFonts w:hint="eastAsia" w:ascii="仿宋" w:hAnsi="仿宋" w:eastAsia="仿宋" w:cs="仿宋"/>
          <w:color w:val="auto"/>
          <w:sz w:val="21"/>
          <w:szCs w:val="21"/>
          <w:highlight w:val="none"/>
        </w:rPr>
      </w:pPr>
    </w:p>
    <w:p w14:paraId="7A159968">
      <w:pPr>
        <w:pStyle w:val="27"/>
        <w:snapToGrid w:val="0"/>
        <w:spacing w:line="360" w:lineRule="exact"/>
        <w:jc w:val="left"/>
        <w:rPr>
          <w:rFonts w:hint="eastAsia" w:ascii="仿宋" w:hAnsi="仿宋" w:eastAsia="仿宋" w:cs="仿宋"/>
          <w:color w:val="auto"/>
          <w:sz w:val="21"/>
          <w:szCs w:val="21"/>
          <w:highlight w:val="none"/>
        </w:rPr>
      </w:pPr>
    </w:p>
    <w:p w14:paraId="5077FD9B">
      <w:pPr>
        <w:pStyle w:val="27"/>
        <w:snapToGrid w:val="0"/>
        <w:spacing w:line="360" w:lineRule="exact"/>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w:t>
      </w:r>
    </w:p>
    <w:p w14:paraId="7B110E03">
      <w:pPr>
        <w:pStyle w:val="27"/>
        <w:snapToGrid w:val="0"/>
        <w:spacing w:line="36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1．采购货物中如含有非强制节能产品、环境标志产品的，请如实填写产品明细表；</w:t>
      </w:r>
    </w:p>
    <w:p w14:paraId="4CA6BB7C">
      <w:pPr>
        <w:pStyle w:val="27"/>
        <w:snapToGrid w:val="0"/>
        <w:spacing w:line="36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 提供所投产品获得国家确定的认证机构出具的、处于有效期之内的产品认证证书。</w:t>
      </w:r>
    </w:p>
    <w:p w14:paraId="0FEE78AF">
      <w:pPr>
        <w:pStyle w:val="27"/>
        <w:snapToGrid w:val="0"/>
        <w:spacing w:line="36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3．所投报信息安全产品属于《信息安全产品强制性认证目录》中的产品，有效认证证书复印件附后。</w:t>
      </w:r>
    </w:p>
    <w:p w14:paraId="08584F42">
      <w:pPr>
        <w:tabs>
          <w:tab w:val="left" w:pos="567"/>
        </w:tabs>
        <w:snapToGrid w:val="0"/>
        <w:spacing w:line="360" w:lineRule="auto"/>
        <w:jc w:val="left"/>
        <w:rPr>
          <w:rFonts w:hint="eastAsia" w:ascii="仿宋" w:hAnsi="仿宋" w:eastAsia="仿宋" w:cs="仿宋"/>
          <w:b/>
          <w:color w:val="auto"/>
          <w:kern w:val="0"/>
          <w:szCs w:val="21"/>
          <w:highlight w:val="none"/>
        </w:rPr>
      </w:pPr>
    </w:p>
    <w:p w14:paraId="2A6EECA6">
      <w:pPr>
        <w:spacing w:line="480" w:lineRule="exact"/>
        <w:rPr>
          <w:rFonts w:hint="eastAsia" w:ascii="仿宋" w:hAnsi="仿宋" w:eastAsia="仿宋" w:cs="仿宋"/>
          <w:b/>
          <w:color w:val="auto"/>
          <w:szCs w:val="21"/>
          <w:highlight w:val="none"/>
        </w:rPr>
      </w:pPr>
    </w:p>
    <w:p w14:paraId="075873B7">
      <w:pPr>
        <w:pStyle w:val="8"/>
        <w:rPr>
          <w:rFonts w:hint="eastAsia" w:ascii="仿宋" w:hAnsi="仿宋" w:eastAsia="仿宋" w:cs="仿宋"/>
          <w:bCs/>
          <w:color w:val="auto"/>
          <w:sz w:val="21"/>
          <w:szCs w:val="21"/>
          <w:highlight w:val="none"/>
        </w:rPr>
      </w:pPr>
    </w:p>
    <w:p w14:paraId="15333BBE">
      <w:pPr>
        <w:rPr>
          <w:rFonts w:hint="eastAsia" w:ascii="仿宋" w:hAnsi="仿宋" w:eastAsia="仿宋" w:cs="仿宋"/>
          <w:bCs/>
          <w:color w:val="auto"/>
          <w:szCs w:val="21"/>
          <w:highlight w:val="none"/>
        </w:rPr>
      </w:pPr>
    </w:p>
    <w:p w14:paraId="7A5D4CBB">
      <w:pPr>
        <w:pStyle w:val="8"/>
        <w:rPr>
          <w:rFonts w:hint="eastAsia" w:ascii="仿宋" w:hAnsi="仿宋" w:eastAsia="仿宋" w:cs="仿宋"/>
          <w:bCs/>
          <w:color w:val="auto"/>
          <w:sz w:val="21"/>
          <w:szCs w:val="21"/>
          <w:highlight w:val="none"/>
        </w:rPr>
      </w:pPr>
    </w:p>
    <w:p w14:paraId="0D09EF44">
      <w:pPr>
        <w:rPr>
          <w:rFonts w:hint="eastAsia" w:ascii="仿宋" w:hAnsi="仿宋" w:eastAsia="仿宋" w:cs="仿宋"/>
          <w:bCs/>
          <w:color w:val="auto"/>
          <w:szCs w:val="21"/>
          <w:highlight w:val="none"/>
        </w:rPr>
      </w:pPr>
    </w:p>
    <w:p w14:paraId="14F056D8">
      <w:pPr>
        <w:pStyle w:val="8"/>
        <w:rPr>
          <w:rFonts w:hint="eastAsia" w:ascii="仿宋" w:hAnsi="仿宋" w:eastAsia="仿宋" w:cs="仿宋"/>
          <w:bCs/>
          <w:color w:val="auto"/>
          <w:sz w:val="21"/>
          <w:szCs w:val="21"/>
          <w:highlight w:val="none"/>
        </w:rPr>
      </w:pPr>
    </w:p>
    <w:p w14:paraId="59F99A8F">
      <w:pPr>
        <w:rPr>
          <w:rFonts w:hint="eastAsia" w:ascii="仿宋" w:hAnsi="仿宋" w:eastAsia="仿宋" w:cs="仿宋"/>
          <w:color w:val="auto"/>
          <w:szCs w:val="21"/>
          <w:highlight w:val="none"/>
        </w:rPr>
      </w:pPr>
    </w:p>
    <w:p w14:paraId="70A9F23C">
      <w:pPr>
        <w:rPr>
          <w:rFonts w:hint="eastAsia" w:ascii="仿宋" w:hAnsi="仿宋" w:eastAsia="仿宋" w:cs="仿宋"/>
          <w:bCs/>
          <w:color w:val="auto"/>
          <w:szCs w:val="21"/>
          <w:highlight w:val="none"/>
        </w:rPr>
      </w:pPr>
    </w:p>
    <w:p w14:paraId="1FACC783">
      <w:pPr>
        <w:spacing w:line="480" w:lineRule="exac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br w:type="page"/>
      </w:r>
      <w:r>
        <w:rPr>
          <w:rFonts w:hint="eastAsia" w:ascii="仿宋" w:hAnsi="仿宋" w:eastAsia="仿宋" w:cs="仿宋"/>
          <w:b/>
          <w:color w:val="auto"/>
          <w:szCs w:val="21"/>
          <w:highlight w:val="none"/>
        </w:rPr>
        <w:t>（二）正版软件承诺格式</w:t>
      </w:r>
      <w:r>
        <w:rPr>
          <w:rFonts w:hint="eastAsia" w:ascii="仿宋" w:hAnsi="仿宋" w:eastAsia="仿宋" w:cs="仿宋"/>
          <w:b/>
          <w:color w:val="auto"/>
          <w:kern w:val="0"/>
          <w:szCs w:val="21"/>
          <w:highlight w:val="none"/>
        </w:rPr>
        <w:t>（如不涉及，此函可不提供）</w:t>
      </w:r>
    </w:p>
    <w:p w14:paraId="7AC6AAC3">
      <w:pPr>
        <w:spacing w:line="48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正版软件承诺</w:t>
      </w:r>
    </w:p>
    <w:p w14:paraId="2FD9AD5F">
      <w:pPr>
        <w:widowControl/>
        <w:snapToGrid w:val="0"/>
        <w:spacing w:line="360" w:lineRule="auto"/>
        <w:jc w:val="left"/>
        <w:rPr>
          <w:rFonts w:hint="eastAsia" w:ascii="仿宋" w:hAnsi="仿宋" w:eastAsia="仿宋" w:cs="仿宋"/>
          <w:color w:val="auto"/>
          <w:kern w:val="0"/>
          <w:szCs w:val="21"/>
          <w:highlight w:val="none"/>
          <w:u w:val="single"/>
        </w:rPr>
      </w:pPr>
    </w:p>
    <w:p w14:paraId="3A66705F">
      <w:pPr>
        <w:spacing w:line="360" w:lineRule="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 xml:space="preserve">  采购人名称  ：</w:t>
      </w:r>
    </w:p>
    <w:p w14:paraId="71D2B747">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本供应商现参与</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项目（项目编号：</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）的采购活动，本公司承诺投报的计算机产品预装正版操作系统，投报的硬件产品内的预装软件为正版软件。</w:t>
      </w:r>
    </w:p>
    <w:p w14:paraId="66CDD338">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如上述声明不真实，愿意按照政府采购有关法律法规的规定接受处罚。</w:t>
      </w:r>
    </w:p>
    <w:p w14:paraId="6AFFDB00">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特此声明</w:t>
      </w:r>
    </w:p>
    <w:p w14:paraId="024C5838">
      <w:pPr>
        <w:snapToGrid w:val="0"/>
        <w:spacing w:line="520" w:lineRule="exact"/>
        <w:rPr>
          <w:rFonts w:hint="eastAsia" w:ascii="仿宋" w:hAnsi="仿宋" w:eastAsia="仿宋" w:cs="仿宋"/>
          <w:color w:val="auto"/>
          <w:szCs w:val="21"/>
          <w:highlight w:val="none"/>
        </w:rPr>
      </w:pPr>
    </w:p>
    <w:p w14:paraId="53C17AA4">
      <w:pPr>
        <w:snapToGrid w:val="0"/>
        <w:spacing w:line="480" w:lineRule="exact"/>
        <w:rPr>
          <w:rFonts w:hint="eastAsia" w:ascii="仿宋" w:hAnsi="仿宋" w:eastAsia="仿宋" w:cs="仿宋"/>
          <w:color w:val="auto"/>
          <w:szCs w:val="21"/>
          <w:highlight w:val="none"/>
        </w:rPr>
      </w:pPr>
    </w:p>
    <w:p w14:paraId="130EAF62">
      <w:pPr>
        <w:snapToGrid w:val="0"/>
        <w:spacing w:line="480" w:lineRule="exact"/>
        <w:rPr>
          <w:rFonts w:hint="eastAsia" w:ascii="仿宋" w:hAnsi="仿宋" w:eastAsia="仿宋" w:cs="仿宋"/>
          <w:color w:val="auto"/>
          <w:szCs w:val="21"/>
          <w:highlight w:val="none"/>
        </w:rPr>
      </w:pPr>
    </w:p>
    <w:p w14:paraId="45064C30">
      <w:pPr>
        <w:snapToGrid w:val="0"/>
        <w:spacing w:line="480" w:lineRule="exact"/>
        <w:rPr>
          <w:rFonts w:hint="eastAsia" w:ascii="仿宋" w:hAnsi="仿宋" w:eastAsia="仿宋" w:cs="仿宋"/>
          <w:color w:val="auto"/>
          <w:szCs w:val="21"/>
          <w:highlight w:val="none"/>
        </w:rPr>
      </w:pPr>
    </w:p>
    <w:p w14:paraId="7EE4AA62">
      <w:pPr>
        <w:snapToGrid w:val="0"/>
        <w:spacing w:line="480" w:lineRule="exact"/>
        <w:ind w:firstLine="4095" w:firstLineChars="1950"/>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供应商名称：       （盖章）</w:t>
      </w:r>
    </w:p>
    <w:p w14:paraId="65508CBF">
      <w:pPr>
        <w:spacing w:line="480" w:lineRule="exact"/>
        <w:ind w:firstLine="3990" w:firstLineChars="1900"/>
        <w:rPr>
          <w:rFonts w:hint="eastAsia" w:ascii="仿宋" w:hAnsi="仿宋" w:eastAsia="仿宋" w:cs="仿宋"/>
          <w:b/>
          <w:color w:val="auto"/>
          <w:szCs w:val="21"/>
          <w:highlight w:val="none"/>
        </w:rPr>
      </w:pPr>
      <w:r>
        <w:rPr>
          <w:rFonts w:hint="eastAsia" w:ascii="仿宋" w:hAnsi="仿宋" w:eastAsia="仿宋" w:cs="仿宋"/>
          <w:color w:val="auto"/>
          <w:szCs w:val="21"/>
          <w:highlight w:val="none"/>
        </w:rPr>
        <w:t>日     期：</w:t>
      </w:r>
    </w:p>
    <w:p w14:paraId="76EAD154">
      <w:pPr>
        <w:widowControl/>
        <w:snapToGrid w:val="0"/>
        <w:spacing w:line="360" w:lineRule="auto"/>
        <w:jc w:val="left"/>
        <w:rPr>
          <w:rFonts w:hint="eastAsia" w:ascii="仿宋" w:hAnsi="仿宋" w:eastAsia="仿宋" w:cs="仿宋"/>
          <w:color w:val="auto"/>
          <w:szCs w:val="21"/>
          <w:highlight w:val="none"/>
        </w:rPr>
      </w:pPr>
    </w:p>
    <w:p w14:paraId="32B20AE6">
      <w:pPr>
        <w:widowControl/>
        <w:snapToGrid w:val="0"/>
        <w:spacing w:line="360" w:lineRule="auto"/>
        <w:jc w:val="left"/>
        <w:rPr>
          <w:rFonts w:hint="eastAsia" w:ascii="仿宋" w:hAnsi="仿宋" w:eastAsia="仿宋" w:cs="仿宋"/>
          <w:b/>
          <w:color w:val="auto"/>
          <w:szCs w:val="21"/>
          <w:highlight w:val="none"/>
        </w:rPr>
      </w:pPr>
    </w:p>
    <w:p w14:paraId="3BF6BF18">
      <w:pPr>
        <w:widowControl/>
        <w:snapToGrid w:val="0"/>
        <w:spacing w:line="360" w:lineRule="auto"/>
        <w:jc w:val="left"/>
        <w:rPr>
          <w:rFonts w:hint="eastAsia" w:ascii="仿宋" w:hAnsi="仿宋" w:eastAsia="仿宋" w:cs="仿宋"/>
          <w:b/>
          <w:color w:val="auto"/>
          <w:szCs w:val="21"/>
          <w:highlight w:val="none"/>
        </w:rPr>
      </w:pPr>
    </w:p>
    <w:p w14:paraId="73060459">
      <w:pPr>
        <w:widowControl/>
        <w:snapToGrid w:val="0"/>
        <w:spacing w:line="360" w:lineRule="auto"/>
        <w:jc w:val="left"/>
        <w:rPr>
          <w:rFonts w:hint="eastAsia" w:ascii="仿宋" w:hAnsi="仿宋" w:eastAsia="仿宋" w:cs="仿宋"/>
          <w:b/>
          <w:color w:val="auto"/>
          <w:szCs w:val="21"/>
          <w:highlight w:val="none"/>
        </w:rPr>
      </w:pPr>
    </w:p>
    <w:p w14:paraId="412EAB2D">
      <w:pPr>
        <w:widowControl/>
        <w:snapToGrid w:val="0"/>
        <w:spacing w:line="360" w:lineRule="auto"/>
        <w:jc w:val="left"/>
        <w:rPr>
          <w:rFonts w:hint="eastAsia" w:ascii="仿宋" w:hAnsi="仿宋" w:eastAsia="仿宋" w:cs="仿宋"/>
          <w:b/>
          <w:color w:val="auto"/>
          <w:szCs w:val="21"/>
          <w:highlight w:val="none"/>
        </w:rPr>
      </w:pPr>
    </w:p>
    <w:p w14:paraId="024C78DF">
      <w:pPr>
        <w:widowControl/>
        <w:snapToGrid w:val="0"/>
        <w:spacing w:line="360" w:lineRule="auto"/>
        <w:jc w:val="left"/>
        <w:rPr>
          <w:rFonts w:hint="eastAsia" w:ascii="仿宋" w:hAnsi="仿宋" w:eastAsia="仿宋" w:cs="仿宋"/>
          <w:b/>
          <w:color w:val="auto"/>
          <w:szCs w:val="21"/>
          <w:highlight w:val="none"/>
        </w:rPr>
      </w:pPr>
    </w:p>
    <w:p w14:paraId="0C57F79E">
      <w:pPr>
        <w:widowControl/>
        <w:snapToGrid w:val="0"/>
        <w:spacing w:line="360" w:lineRule="auto"/>
        <w:jc w:val="left"/>
        <w:rPr>
          <w:rFonts w:hint="eastAsia" w:ascii="仿宋" w:hAnsi="仿宋" w:eastAsia="仿宋" w:cs="仿宋"/>
          <w:b/>
          <w:color w:val="auto"/>
          <w:szCs w:val="21"/>
          <w:highlight w:val="none"/>
        </w:rPr>
      </w:pPr>
    </w:p>
    <w:p w14:paraId="3F60E776">
      <w:pPr>
        <w:widowControl/>
        <w:snapToGrid w:val="0"/>
        <w:spacing w:line="360" w:lineRule="auto"/>
        <w:jc w:val="left"/>
        <w:rPr>
          <w:rFonts w:hint="eastAsia" w:ascii="仿宋" w:hAnsi="仿宋" w:eastAsia="仿宋" w:cs="仿宋"/>
          <w:b/>
          <w:color w:val="auto"/>
          <w:szCs w:val="21"/>
          <w:highlight w:val="none"/>
        </w:rPr>
      </w:pPr>
    </w:p>
    <w:p w14:paraId="3A0CCD8C">
      <w:pPr>
        <w:widowControl/>
        <w:snapToGrid w:val="0"/>
        <w:spacing w:line="360" w:lineRule="auto"/>
        <w:jc w:val="left"/>
        <w:rPr>
          <w:rFonts w:hint="eastAsia" w:ascii="仿宋" w:hAnsi="仿宋" w:eastAsia="仿宋" w:cs="仿宋"/>
          <w:b/>
          <w:color w:val="auto"/>
          <w:szCs w:val="21"/>
          <w:highlight w:val="none"/>
        </w:rPr>
      </w:pPr>
    </w:p>
    <w:p w14:paraId="3741B594">
      <w:pPr>
        <w:widowControl/>
        <w:snapToGrid w:val="0"/>
        <w:spacing w:line="360" w:lineRule="auto"/>
        <w:jc w:val="left"/>
        <w:rPr>
          <w:rFonts w:hint="eastAsia" w:ascii="仿宋" w:hAnsi="仿宋" w:eastAsia="仿宋" w:cs="仿宋"/>
          <w:b/>
          <w:color w:val="auto"/>
          <w:szCs w:val="21"/>
          <w:highlight w:val="none"/>
        </w:rPr>
      </w:pPr>
    </w:p>
    <w:p w14:paraId="114DF698">
      <w:pPr>
        <w:widowControl/>
        <w:snapToGrid w:val="0"/>
        <w:spacing w:line="360" w:lineRule="auto"/>
        <w:jc w:val="left"/>
        <w:rPr>
          <w:rFonts w:hint="eastAsia" w:ascii="仿宋" w:hAnsi="仿宋" w:eastAsia="仿宋" w:cs="仿宋"/>
          <w:b/>
          <w:color w:val="auto"/>
          <w:szCs w:val="21"/>
          <w:highlight w:val="none"/>
        </w:rPr>
      </w:pPr>
    </w:p>
    <w:p w14:paraId="7752572C">
      <w:pPr>
        <w:widowControl/>
        <w:spacing w:line="330" w:lineRule="atLeast"/>
        <w:jc w:val="left"/>
        <w:rPr>
          <w:rFonts w:hint="eastAsia" w:ascii="仿宋" w:hAnsi="仿宋" w:eastAsia="仿宋" w:cs="仿宋"/>
          <w:color w:val="auto"/>
          <w:kern w:val="0"/>
          <w:szCs w:val="21"/>
          <w:highlight w:val="none"/>
        </w:rPr>
      </w:pPr>
    </w:p>
    <w:p w14:paraId="491155A5">
      <w:pPr>
        <w:widowControl/>
        <w:snapToGrid w:val="0"/>
        <w:spacing w:line="360" w:lineRule="auto"/>
        <w:jc w:val="left"/>
        <w:rPr>
          <w:rFonts w:hint="eastAsia" w:ascii="仿宋" w:hAnsi="仿宋" w:eastAsia="仿宋" w:cs="仿宋"/>
          <w:b/>
          <w:color w:val="auto"/>
          <w:szCs w:val="21"/>
          <w:highlight w:val="none"/>
        </w:rPr>
      </w:pPr>
    </w:p>
    <w:p w14:paraId="6AAF2CBC">
      <w:pPr>
        <w:pStyle w:val="8"/>
        <w:rPr>
          <w:rFonts w:hint="eastAsia" w:ascii="仿宋" w:hAnsi="仿宋" w:eastAsia="仿宋" w:cs="仿宋"/>
          <w:b/>
          <w:color w:val="auto"/>
          <w:sz w:val="21"/>
          <w:szCs w:val="21"/>
          <w:highlight w:val="none"/>
        </w:rPr>
      </w:pPr>
    </w:p>
    <w:p w14:paraId="1CBD86D4">
      <w:pPr>
        <w:rPr>
          <w:rFonts w:hint="eastAsia" w:ascii="仿宋" w:hAnsi="仿宋" w:eastAsia="仿宋" w:cs="仿宋"/>
          <w:b/>
          <w:color w:val="auto"/>
          <w:szCs w:val="21"/>
          <w:highlight w:val="none"/>
        </w:rPr>
      </w:pPr>
    </w:p>
    <w:p w14:paraId="5ACEE8C3">
      <w:pPr>
        <w:pStyle w:val="8"/>
        <w:rPr>
          <w:rFonts w:hint="eastAsia" w:ascii="仿宋" w:hAnsi="仿宋" w:eastAsia="仿宋" w:cs="仿宋"/>
          <w:b/>
          <w:color w:val="auto"/>
          <w:sz w:val="21"/>
          <w:szCs w:val="21"/>
          <w:highlight w:val="none"/>
        </w:rPr>
      </w:pPr>
    </w:p>
    <w:p w14:paraId="638A74CF">
      <w:pPr>
        <w:rPr>
          <w:rFonts w:hint="eastAsia" w:ascii="仿宋" w:hAnsi="仿宋" w:eastAsia="仿宋" w:cs="仿宋"/>
          <w:color w:val="auto"/>
          <w:szCs w:val="21"/>
          <w:highlight w:val="none"/>
        </w:rPr>
      </w:pPr>
    </w:p>
    <w:p w14:paraId="2F2C6D01">
      <w:pPr>
        <w:widowControl/>
        <w:snapToGrid w:val="0"/>
        <w:spacing w:line="360" w:lineRule="auto"/>
        <w:rPr>
          <w:rFonts w:hint="eastAsia" w:ascii="仿宋" w:hAnsi="仿宋" w:eastAsia="仿宋" w:cs="仿宋"/>
          <w:b/>
          <w:color w:val="auto"/>
          <w:kern w:val="0"/>
          <w:szCs w:val="21"/>
          <w:highlight w:val="none"/>
        </w:rPr>
      </w:pPr>
      <w:r>
        <w:rPr>
          <w:rFonts w:hint="eastAsia" w:ascii="仿宋" w:hAnsi="仿宋" w:eastAsia="仿宋" w:cs="仿宋"/>
          <w:b/>
          <w:color w:val="auto"/>
          <w:szCs w:val="21"/>
          <w:highlight w:val="none"/>
        </w:rPr>
        <w:br w:type="page"/>
      </w:r>
      <w:r>
        <w:rPr>
          <w:rFonts w:hint="eastAsia" w:ascii="仿宋" w:hAnsi="仿宋" w:eastAsia="仿宋" w:cs="仿宋"/>
          <w:b/>
          <w:color w:val="auto"/>
          <w:szCs w:val="21"/>
          <w:highlight w:val="none"/>
        </w:rPr>
        <w:t>（三）</w:t>
      </w:r>
      <w:r>
        <w:rPr>
          <w:rFonts w:hint="eastAsia" w:ascii="仿宋" w:hAnsi="仿宋" w:eastAsia="仿宋" w:cs="仿宋"/>
          <w:b/>
          <w:color w:val="auto"/>
          <w:kern w:val="0"/>
          <w:szCs w:val="21"/>
          <w:highlight w:val="none"/>
        </w:rPr>
        <w:t>中小企业声明</w:t>
      </w:r>
      <w:bookmarkStart w:id="16" w:name="_GoBack"/>
      <w:r>
        <w:rPr>
          <w:rFonts w:hint="eastAsia" w:ascii="仿宋" w:hAnsi="仿宋" w:eastAsia="仿宋" w:cs="仿宋"/>
          <w:b/>
          <w:color w:val="auto"/>
          <w:kern w:val="0"/>
          <w:szCs w:val="21"/>
          <w:highlight w:val="none"/>
        </w:rPr>
        <w:t>及证明文件材料</w:t>
      </w:r>
    </w:p>
    <w:bookmarkEnd w:id="16"/>
    <w:p w14:paraId="3E3F0C12">
      <w:pPr>
        <w:tabs>
          <w:tab w:val="left" w:pos="1680"/>
        </w:tabs>
        <w:snapToGrid w:val="0"/>
        <w:spacing w:line="360" w:lineRule="auto"/>
        <w:jc w:val="center"/>
        <w:rPr>
          <w:rFonts w:hint="eastAsia" w:ascii="仿宋" w:hAnsi="仿宋" w:eastAsia="仿宋" w:cs="仿宋"/>
          <w:b/>
          <w:bCs/>
          <w:color w:val="auto"/>
          <w:sz w:val="24"/>
          <w:highlight w:val="none"/>
        </w:rPr>
      </w:pPr>
    </w:p>
    <w:p w14:paraId="7B3A0FB0">
      <w:pPr>
        <w:tabs>
          <w:tab w:val="left" w:pos="1680"/>
        </w:tabs>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bCs/>
          <w:color w:val="auto"/>
          <w:sz w:val="24"/>
          <w:highlight w:val="none"/>
        </w:rPr>
        <w:t>中小企业声明函</w:t>
      </w:r>
    </w:p>
    <w:p w14:paraId="0AE5D6BE">
      <w:pPr>
        <w:pStyle w:val="27"/>
        <w:snapToGrid w:val="0"/>
        <w:spacing w:line="360" w:lineRule="auto"/>
        <w:ind w:firstLine="480" w:firstLineChars="200"/>
        <w:jc w:val="left"/>
        <w:rPr>
          <w:rFonts w:hint="eastAsia" w:ascii="仿宋" w:hAnsi="仿宋" w:eastAsia="仿宋" w:cs="仿宋"/>
          <w:color w:val="auto"/>
          <w:sz w:val="24"/>
          <w:szCs w:val="24"/>
          <w:highlight w:val="none"/>
        </w:rPr>
      </w:pPr>
      <w:bookmarkStart w:id="15" w:name="ref_[1]"/>
      <w:bookmarkEnd w:id="15"/>
      <w:r>
        <w:rPr>
          <w:rFonts w:hint="eastAsia" w:ascii="仿宋" w:hAnsi="仿宋" w:eastAsia="仿宋" w:cs="仿宋"/>
          <w:color w:val="auto"/>
          <w:sz w:val="24"/>
          <w:szCs w:val="24"/>
          <w:highlight w:val="none"/>
        </w:rPr>
        <w:t>本公司郑重声明，根据《政府采购促进中小企业发展管理办法》（财库﹝2020﹞46 号）的规定，本公司（联合体）参加（单位名称）的（项目名称）采购活动，服务全部由符合政策要求的中小企业承接。相关企业（含联合体中的中小企业、签订分包意向协议的中小企业）的具体情况如下：</w:t>
      </w:r>
    </w:p>
    <w:p w14:paraId="3C1CF6E2">
      <w:pPr>
        <w:pStyle w:val="27"/>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1.（标的名称） ，属于（采购文件中明确的所属行业）行业；承接企业为（企业名称），从业人员    人，营业收入为    万元，资产总额为    万元，属于（中型企业、小型企业、微型企业）；</w:t>
      </w:r>
    </w:p>
    <w:p w14:paraId="7434A46C">
      <w:pPr>
        <w:pStyle w:val="27"/>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（标的名称） ，属于（采购文件中明确的所属行业）行业；承接企业为（企业名称），从业人员    人，营业收入为    万元，资产总额为    万元，属于（中型企业、小型企业、微型企业）；</w:t>
      </w:r>
    </w:p>
    <w:p w14:paraId="15D557DF">
      <w:pPr>
        <w:pStyle w:val="27"/>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53AF0494">
      <w:pPr>
        <w:pStyle w:val="27"/>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以上企业，不属于大企业的分支机构，不存在控股股东为大企业的情形，也不存在与大企业的负责人为同一人的情形。</w:t>
      </w:r>
    </w:p>
    <w:p w14:paraId="16D49724">
      <w:pPr>
        <w:pStyle w:val="27"/>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本企业对上述声明内容的真实性负责。如有虚假，将依法承担相应责任。</w:t>
      </w:r>
    </w:p>
    <w:p w14:paraId="56996BD8">
      <w:pPr>
        <w:pStyle w:val="27"/>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4C99EB66">
      <w:pPr>
        <w:pStyle w:val="27"/>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1961F71B">
      <w:pPr>
        <w:snapToGrid w:val="0"/>
        <w:spacing w:line="360" w:lineRule="auto"/>
        <w:ind w:firstLine="420" w:firstLineChars="200"/>
        <w:rPr>
          <w:rFonts w:hint="eastAsia" w:ascii="仿宋" w:hAnsi="仿宋" w:eastAsia="仿宋" w:cs="仿宋"/>
          <w:color w:val="auto"/>
          <w:szCs w:val="21"/>
          <w:highlight w:val="none"/>
        </w:rPr>
      </w:pPr>
    </w:p>
    <w:p w14:paraId="416FC889">
      <w:pPr>
        <w:snapToGrid w:val="0"/>
        <w:spacing w:line="480" w:lineRule="exact"/>
        <w:ind w:firstLine="4410" w:firstLineChars="2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供应商名称：       （盖章）</w:t>
      </w:r>
    </w:p>
    <w:p w14:paraId="181899A4">
      <w:pPr>
        <w:snapToGrid w:val="0"/>
        <w:spacing w:line="360" w:lineRule="auto"/>
        <w:ind w:firstLine="4410" w:firstLineChars="2100"/>
        <w:rPr>
          <w:rFonts w:hint="eastAsia" w:ascii="仿宋" w:hAnsi="仿宋" w:eastAsia="仿宋" w:cs="仿宋"/>
          <w:color w:val="auto"/>
          <w:szCs w:val="21"/>
          <w:highlight w:val="none"/>
        </w:rPr>
      </w:pPr>
    </w:p>
    <w:p w14:paraId="411D2435">
      <w:pPr>
        <w:snapToGrid w:val="0"/>
        <w:spacing w:line="360" w:lineRule="auto"/>
        <w:ind w:firstLine="4410" w:firstLineChars="2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日 期：</w:t>
      </w:r>
    </w:p>
    <w:p w14:paraId="40027F62">
      <w:pPr>
        <w:spacing w:line="360" w:lineRule="auto"/>
        <w:jc w:val="center"/>
        <w:rPr>
          <w:rFonts w:hint="eastAsia" w:ascii="仿宋" w:hAnsi="仿宋" w:eastAsia="仿宋" w:cs="仿宋"/>
          <w:b/>
          <w:bCs/>
          <w:color w:val="auto"/>
          <w:kern w:val="0"/>
          <w:szCs w:val="21"/>
          <w:highlight w:val="none"/>
        </w:rPr>
      </w:pPr>
    </w:p>
    <w:p w14:paraId="2DD41DA8">
      <w:pPr>
        <w:spacing w:line="360" w:lineRule="auto"/>
        <w:jc w:val="left"/>
        <w:rPr>
          <w:rFonts w:hint="eastAsia" w:ascii="仿宋" w:hAnsi="仿宋" w:eastAsia="仿宋" w:cs="仿宋"/>
          <w:b/>
          <w:color w:val="auto"/>
          <w:szCs w:val="21"/>
          <w:highlight w:val="none"/>
        </w:rPr>
      </w:pPr>
    </w:p>
    <w:p w14:paraId="585D6B34">
      <w:pPr>
        <w:spacing w:line="360" w:lineRule="auto"/>
        <w:ind w:firstLine="422" w:firstLineChars="200"/>
        <w:rPr>
          <w:rFonts w:hint="eastAsia" w:ascii="仿宋" w:hAnsi="仿宋" w:eastAsia="仿宋" w:cs="仿宋"/>
          <w:b/>
          <w:color w:val="auto"/>
          <w:spacing w:val="6"/>
          <w:szCs w:val="21"/>
          <w:highlight w:val="none"/>
        </w:rPr>
      </w:pPr>
      <w:r>
        <w:rPr>
          <w:rFonts w:hint="eastAsia" w:ascii="仿宋" w:hAnsi="仿宋" w:eastAsia="仿宋" w:cs="仿宋"/>
          <w:b/>
          <w:color w:val="auto"/>
          <w:szCs w:val="21"/>
          <w:highlight w:val="none"/>
        </w:rPr>
        <w:br w:type="page"/>
      </w:r>
      <w:r>
        <w:rPr>
          <w:rFonts w:hint="eastAsia" w:ascii="仿宋" w:hAnsi="仿宋" w:eastAsia="仿宋" w:cs="仿宋"/>
          <w:b/>
          <w:color w:val="auto"/>
          <w:szCs w:val="21"/>
          <w:highlight w:val="none"/>
        </w:rPr>
        <w:t>（四）</w:t>
      </w:r>
      <w:r>
        <w:rPr>
          <w:rFonts w:hint="eastAsia" w:ascii="仿宋" w:hAnsi="仿宋" w:eastAsia="仿宋" w:cs="仿宋"/>
          <w:b/>
          <w:color w:val="auto"/>
          <w:spacing w:val="6"/>
          <w:szCs w:val="21"/>
          <w:highlight w:val="none"/>
        </w:rPr>
        <w:t>残疾人福利性单位声明函</w:t>
      </w:r>
      <w:r>
        <w:rPr>
          <w:rFonts w:hint="eastAsia" w:ascii="仿宋" w:hAnsi="仿宋" w:eastAsia="仿宋" w:cs="仿宋"/>
          <w:b/>
          <w:color w:val="auto"/>
          <w:szCs w:val="21"/>
          <w:highlight w:val="none"/>
        </w:rPr>
        <w:t>格式</w:t>
      </w:r>
      <w:r>
        <w:rPr>
          <w:rFonts w:hint="eastAsia" w:ascii="仿宋" w:hAnsi="仿宋" w:eastAsia="仿宋" w:cs="仿宋"/>
          <w:b/>
          <w:color w:val="auto"/>
          <w:kern w:val="0"/>
          <w:szCs w:val="21"/>
          <w:highlight w:val="none"/>
        </w:rPr>
        <w:t>（如不涉及，此函可不提供）</w:t>
      </w:r>
    </w:p>
    <w:p w14:paraId="4AB48AFD">
      <w:pPr>
        <w:spacing w:line="48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残疾人福利性单位声明函</w:t>
      </w:r>
    </w:p>
    <w:p w14:paraId="7510826D">
      <w:pPr>
        <w:tabs>
          <w:tab w:val="left" w:pos="1680"/>
        </w:tabs>
        <w:snapToGrid w:val="0"/>
        <w:spacing w:line="360" w:lineRule="auto"/>
        <w:ind w:firstLine="422" w:firstLineChars="200"/>
        <w:rPr>
          <w:rFonts w:hint="eastAsia" w:ascii="仿宋" w:hAnsi="仿宋" w:eastAsia="仿宋" w:cs="仿宋"/>
          <w:b/>
          <w:color w:val="auto"/>
          <w:szCs w:val="21"/>
          <w:highlight w:val="none"/>
        </w:rPr>
      </w:pPr>
    </w:p>
    <w:p w14:paraId="099A1872">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项目编号：__________________）采购活动提供本单位制造的货物（由本单位承担工程/提供服务），或者提供其他残疾人福利性单位制造的货物（不包括使用非残疾人福利性单位注册商标的货物）。</w:t>
      </w:r>
    </w:p>
    <w:p w14:paraId="01DAF474">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本单位对上述声明的真实性负责。如有虚假，将依法承担相应责任。</w:t>
      </w:r>
    </w:p>
    <w:p w14:paraId="31B47013">
      <w:pPr>
        <w:spacing w:line="360" w:lineRule="auto"/>
        <w:ind w:firstLine="444" w:firstLineChars="200"/>
        <w:rPr>
          <w:rFonts w:hint="eastAsia" w:ascii="仿宋" w:hAnsi="仿宋" w:eastAsia="仿宋" w:cs="仿宋"/>
          <w:color w:val="auto"/>
          <w:spacing w:val="6"/>
          <w:szCs w:val="21"/>
          <w:highlight w:val="none"/>
        </w:rPr>
      </w:pPr>
    </w:p>
    <w:p w14:paraId="3ADC57B2">
      <w:pPr>
        <w:spacing w:line="360" w:lineRule="auto"/>
        <w:ind w:firstLine="444" w:firstLineChars="200"/>
        <w:rPr>
          <w:rFonts w:hint="eastAsia" w:ascii="仿宋" w:hAnsi="仿宋" w:eastAsia="仿宋" w:cs="仿宋"/>
          <w:color w:val="auto"/>
          <w:spacing w:val="6"/>
          <w:szCs w:val="21"/>
          <w:highlight w:val="none"/>
        </w:rPr>
      </w:pPr>
    </w:p>
    <w:p w14:paraId="4F967B86">
      <w:pPr>
        <w:snapToGrid w:val="0"/>
        <w:spacing w:line="360" w:lineRule="auto"/>
        <w:ind w:firstLine="3780" w:firstLineChars="18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供应商名称：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（盖章）</w:t>
      </w:r>
    </w:p>
    <w:p w14:paraId="628EA66B">
      <w:pPr>
        <w:spacing w:line="360" w:lineRule="auto"/>
        <w:ind w:firstLine="3990" w:firstLineChars="1900"/>
        <w:rPr>
          <w:rFonts w:hint="eastAsia" w:ascii="仿宋" w:hAnsi="仿宋" w:eastAsia="仿宋" w:cs="仿宋"/>
          <w:b/>
          <w:color w:val="auto"/>
          <w:szCs w:val="21"/>
          <w:highlight w:val="none"/>
        </w:rPr>
      </w:pPr>
      <w:r>
        <w:rPr>
          <w:rFonts w:hint="eastAsia" w:ascii="仿宋" w:hAnsi="仿宋" w:eastAsia="仿宋" w:cs="仿宋"/>
          <w:color w:val="auto"/>
          <w:szCs w:val="21"/>
          <w:highlight w:val="none"/>
        </w:rPr>
        <w:t>日     期：</w:t>
      </w:r>
    </w:p>
    <w:p w14:paraId="61AC7D12">
      <w:pPr>
        <w:spacing w:line="360" w:lineRule="auto"/>
        <w:ind w:firstLine="422" w:firstLineChars="200"/>
        <w:rPr>
          <w:rFonts w:hint="eastAsia" w:ascii="仿宋" w:hAnsi="仿宋" w:eastAsia="仿宋" w:cs="仿宋"/>
          <w:b/>
          <w:color w:val="auto"/>
          <w:szCs w:val="21"/>
          <w:highlight w:val="none"/>
        </w:rPr>
      </w:pPr>
    </w:p>
    <w:p w14:paraId="71412516">
      <w:pPr>
        <w:spacing w:line="360" w:lineRule="auto"/>
        <w:ind w:firstLine="422" w:firstLineChars="200"/>
        <w:rPr>
          <w:rFonts w:hint="eastAsia" w:ascii="仿宋" w:hAnsi="仿宋" w:eastAsia="仿宋" w:cs="仿宋"/>
          <w:b/>
          <w:color w:val="auto"/>
          <w:kern w:val="0"/>
          <w:szCs w:val="21"/>
          <w:highlight w:val="none"/>
        </w:rPr>
      </w:pPr>
      <w:r>
        <w:rPr>
          <w:rFonts w:hint="eastAsia" w:ascii="仿宋" w:hAnsi="仿宋" w:eastAsia="仿宋" w:cs="仿宋"/>
          <w:b/>
          <w:color w:val="auto"/>
          <w:szCs w:val="21"/>
          <w:highlight w:val="none"/>
        </w:rPr>
        <w:t>注：中标供应商为残疾人福利性单位的，代理机构随中标结果同时公告其《残疾人福利性单位声明函》</w:t>
      </w:r>
    </w:p>
    <w:p w14:paraId="469F71C3">
      <w:pPr>
        <w:rPr>
          <w:rFonts w:hint="eastAsia" w:ascii="仿宋" w:hAnsi="仿宋" w:eastAsia="仿宋" w:cs="仿宋"/>
          <w:b/>
          <w:bCs/>
        </w:rPr>
      </w:pPr>
    </w:p>
    <w:p w14:paraId="652E5A85">
      <w:pPr>
        <w:rPr>
          <w:rFonts w:hint="eastAsia" w:ascii="仿宋" w:hAnsi="仿宋" w:eastAsia="仿宋" w:cs="仿宋"/>
        </w:rPr>
      </w:pPr>
    </w:p>
    <w:sectPr>
      <w:pgSz w:w="11900" w:h="16838"/>
      <w:pgMar w:top="1134" w:right="1134" w:bottom="1134" w:left="1134" w:header="850" w:footer="992" w:gutter="0"/>
      <w:pgNumType w:fmt="numberInDash"/>
      <w:cols w:space="720" w:num="1"/>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CC"/>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8C159">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0DD27">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F297919">
                          <w:pPr>
                            <w:pStyle w:val="11"/>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6F297919">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D2D8F">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456BDD">
                          <w:pPr>
                            <w:pStyle w:val="1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B456BDD">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44AEF">
    <w:pPr>
      <w:pStyle w:val="11"/>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B9C49B">
                          <w:pPr>
                            <w:pStyle w:val="1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14:paraId="3FB9C49B">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E1EE8">
    <w:pPr>
      <w:pStyle w:val="11"/>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E89174">
                          <w:pPr>
                            <w:pStyle w:val="11"/>
                          </w:pPr>
                          <w:r>
                            <w:fldChar w:fldCharType="begin"/>
                          </w:r>
                          <w:r>
                            <w:instrText xml:space="preserve"> PAGE  \* MERGEFORMAT </w:instrText>
                          </w:r>
                          <w:r>
                            <w:fldChar w:fldCharType="separate"/>
                          </w:r>
                          <w:r>
                            <w:t>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75E89174">
                    <w:pPr>
                      <w:pStyle w:val="11"/>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8ACC2">
    <w:pPr>
      <w:pStyle w:val="11"/>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EEE28A5">
                          <w:pPr>
                            <w:pStyle w:val="11"/>
                          </w:pPr>
                          <w:r>
                            <w:fldChar w:fldCharType="begin"/>
                          </w:r>
                          <w:r>
                            <w:instrText xml:space="preserve"> PAGE  \* MERGEFORMAT </w:instrText>
                          </w:r>
                          <w:r>
                            <w:fldChar w:fldCharType="separate"/>
                          </w:r>
                          <w:r>
                            <w:t>50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&#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3VQoz9IBAAClAwAADgAAAAAAAAABACAAAAAi&#10;AQAAZHJzL2Uyb0RvYy54bWxQSwUGAAAAAAYABgBZAQAAZgUAAAAA&#10;">
              <v:fill on="f" focussize="0,0"/>
              <v:stroke on="f" weight="1.25pt"/>
              <v:imagedata o:title=""/>
              <o:lock v:ext="edit" aspectratio="f"/>
              <v:textbox inset="0mm,0mm,0mm,0mm" style="mso-fit-shape-to-text:t;">
                <w:txbxContent>
                  <w:p w14:paraId="4EEE28A5">
                    <w:pPr>
                      <w:pStyle w:val="11"/>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DFDA7">
    <w:pPr>
      <w:pStyle w:val="11"/>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099D217">
                          <w:pPr>
                            <w:pStyle w:val="1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6099D217">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3EF30">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DDEA88">
                          <w:pPr>
                            <w:pStyle w:val="1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7ADDEA88">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C9973">
    <w:pPr>
      <w:pStyle w:val="1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C2509">
    <w:pPr>
      <w:pStyle w:val="12"/>
      <w:widowControl w:val="0"/>
      <w:pBdr>
        <w:top w:val="none" w:color="auto" w:sz="0" w:space="1"/>
        <w:left w:val="none" w:color="auto" w:sz="0" w:space="4"/>
        <w:bottom w:val="none" w:color="auto" w:sz="0" w:space="1"/>
        <w:right w:val="none" w:color="auto" w:sz="0" w:space="4"/>
        <w:between w:val="none" w:color="auto" w:sz="0" w:space="0"/>
      </w:pBdr>
      <w:snapToGrid w:val="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A47626"/>
    <w:multiLevelType w:val="singleLevel"/>
    <w:tmpl w:val="8EA47626"/>
    <w:lvl w:ilvl="0" w:tentative="0">
      <w:start w:val="4"/>
      <w:numFmt w:val="decimal"/>
      <w:suff w:val="nothing"/>
      <w:lvlText w:val="%1、"/>
      <w:lvlJc w:val="left"/>
    </w:lvl>
  </w:abstractNum>
  <w:abstractNum w:abstractNumId="1">
    <w:nsid w:val="656D6133"/>
    <w:multiLevelType w:val="multilevel"/>
    <w:tmpl w:val="656D6133"/>
    <w:lvl w:ilvl="0" w:tentative="0">
      <w:start w:val="1"/>
      <w:numFmt w:val="chineseCountingThousand"/>
      <w:suff w:val="nothing"/>
      <w:lvlText w:val="第%1部分"/>
      <w:lvlJc w:val="center"/>
      <w:pPr>
        <w:ind w:left="138" w:firstLine="288"/>
      </w:pPr>
      <w:rPr>
        <w:rFonts w:hint="eastAsia"/>
        <w:sz w:val="28"/>
        <w:szCs w:val="28"/>
      </w:rPr>
    </w:lvl>
    <w:lvl w:ilvl="1" w:tentative="0">
      <w:start w:val="1"/>
      <w:numFmt w:val="chineseCountingThousand"/>
      <w:suff w:val="nothing"/>
      <w:lvlText w:val="%2、"/>
      <w:lvlJc w:val="left"/>
      <w:pPr>
        <w:ind w:left="816" w:firstLine="177"/>
      </w:pPr>
      <w:rPr>
        <w:rFonts w:hint="eastAsia" w:ascii="仿宋_GB2312" w:hAnsi="宋体" w:eastAsia="仿宋_GB2312"/>
        <w:sz w:val="32"/>
        <w:szCs w:val="32"/>
        <w:lang w:val="en-US"/>
      </w:rPr>
    </w:lvl>
    <w:lvl w:ilvl="2" w:tentative="0">
      <w:start w:val="1"/>
      <w:numFmt w:val="chineseCountingThousand"/>
      <w:suff w:val="nothing"/>
      <w:lvlText w:val="(%3)"/>
      <w:lvlJc w:val="left"/>
      <w:pPr>
        <w:ind w:left="-288" w:firstLine="0"/>
      </w:pPr>
      <w:rPr>
        <w:rFonts w:hint="default" w:ascii="Times New Roman" w:hAnsi="Times New Roman" w:eastAsia="宋体"/>
        <w:b/>
        <w:i w:val="0"/>
        <w:spacing w:val="0"/>
        <w:w w:val="100"/>
        <w:position w:val="0"/>
        <w:sz w:val="21"/>
        <w:szCs w:val="21"/>
      </w:rPr>
    </w:lvl>
    <w:lvl w:ilvl="3" w:tentative="0">
      <w:start w:val="1"/>
      <w:numFmt w:val="decimal"/>
      <w:pStyle w:val="2"/>
      <w:suff w:val="nothing"/>
      <w:lvlText w:val="%4、"/>
      <w:lvlJc w:val="left"/>
      <w:pPr>
        <w:ind w:left="142" w:firstLine="0"/>
      </w:pPr>
      <w:rPr>
        <w:rFonts w:hint="eastAsia"/>
      </w:rPr>
    </w:lvl>
    <w:lvl w:ilvl="4" w:tentative="0">
      <w:start w:val="1"/>
      <w:numFmt w:val="upperLetter"/>
      <w:suff w:val="nothing"/>
      <w:lvlText w:val="%5、"/>
      <w:lvlJc w:val="left"/>
      <w:pPr>
        <w:ind w:left="284" w:firstLine="0"/>
      </w:pPr>
      <w:rPr>
        <w:rFonts w:hint="eastAsia"/>
      </w:rPr>
    </w:lvl>
    <w:lvl w:ilvl="5" w:tentative="0">
      <w:start w:val="1"/>
      <w:numFmt w:val="none"/>
      <w:suff w:val="nothing"/>
      <w:lvlText w:val=""/>
      <w:lvlJc w:val="left"/>
      <w:pPr>
        <w:ind w:left="-288" w:firstLine="0"/>
      </w:pPr>
      <w:rPr>
        <w:rFonts w:hint="eastAsia"/>
      </w:rPr>
    </w:lvl>
    <w:lvl w:ilvl="6" w:tentative="0">
      <w:start w:val="1"/>
      <w:numFmt w:val="none"/>
      <w:suff w:val="nothing"/>
      <w:lvlText w:val=""/>
      <w:lvlJc w:val="left"/>
      <w:pPr>
        <w:ind w:left="-288" w:firstLine="0"/>
      </w:pPr>
      <w:rPr>
        <w:rFonts w:hint="eastAsia"/>
      </w:rPr>
    </w:lvl>
    <w:lvl w:ilvl="7" w:tentative="0">
      <w:start w:val="1"/>
      <w:numFmt w:val="none"/>
      <w:suff w:val="nothing"/>
      <w:lvlText w:val=""/>
      <w:lvlJc w:val="left"/>
      <w:pPr>
        <w:ind w:left="-288" w:firstLine="0"/>
      </w:pPr>
      <w:rPr>
        <w:rFonts w:hint="eastAsia"/>
      </w:rPr>
    </w:lvl>
    <w:lvl w:ilvl="8" w:tentative="0">
      <w:start w:val="1"/>
      <w:numFmt w:val="none"/>
      <w:suff w:val="nothing"/>
      <w:lvlText w:val=""/>
      <w:lvlJc w:val="left"/>
      <w:pPr>
        <w:ind w:left="-288"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452665"/>
    <w:rsid w:val="010B2AC3"/>
    <w:rsid w:val="02D22540"/>
    <w:rsid w:val="02DC7D05"/>
    <w:rsid w:val="02DD4469"/>
    <w:rsid w:val="03014CB2"/>
    <w:rsid w:val="031D492D"/>
    <w:rsid w:val="03466D77"/>
    <w:rsid w:val="036773FC"/>
    <w:rsid w:val="038C469A"/>
    <w:rsid w:val="05A203E8"/>
    <w:rsid w:val="061C1F24"/>
    <w:rsid w:val="064E5BE1"/>
    <w:rsid w:val="06973773"/>
    <w:rsid w:val="07A20922"/>
    <w:rsid w:val="09111EE7"/>
    <w:rsid w:val="0A586084"/>
    <w:rsid w:val="0A9B1E16"/>
    <w:rsid w:val="0C68144D"/>
    <w:rsid w:val="0CC6282F"/>
    <w:rsid w:val="0D4F6DE2"/>
    <w:rsid w:val="0E6F0267"/>
    <w:rsid w:val="0ED649E1"/>
    <w:rsid w:val="1077508F"/>
    <w:rsid w:val="10BE7083"/>
    <w:rsid w:val="12C86253"/>
    <w:rsid w:val="12FE7435"/>
    <w:rsid w:val="13887EE0"/>
    <w:rsid w:val="153D6B3B"/>
    <w:rsid w:val="16005D04"/>
    <w:rsid w:val="173A0646"/>
    <w:rsid w:val="17FB2B23"/>
    <w:rsid w:val="18334A86"/>
    <w:rsid w:val="188E4C47"/>
    <w:rsid w:val="1A316488"/>
    <w:rsid w:val="1AFF658A"/>
    <w:rsid w:val="1B216501"/>
    <w:rsid w:val="1C8351FD"/>
    <w:rsid w:val="1D5E10C1"/>
    <w:rsid w:val="1D7B6D91"/>
    <w:rsid w:val="1D903D7D"/>
    <w:rsid w:val="1E023A03"/>
    <w:rsid w:val="1E063810"/>
    <w:rsid w:val="1F996C9E"/>
    <w:rsid w:val="1FE07AE5"/>
    <w:rsid w:val="205071F2"/>
    <w:rsid w:val="21CD0AF3"/>
    <w:rsid w:val="21CE019F"/>
    <w:rsid w:val="220E37BC"/>
    <w:rsid w:val="22187DFE"/>
    <w:rsid w:val="22BC030C"/>
    <w:rsid w:val="233A524C"/>
    <w:rsid w:val="2396339C"/>
    <w:rsid w:val="23985A79"/>
    <w:rsid w:val="247E5E02"/>
    <w:rsid w:val="2509729B"/>
    <w:rsid w:val="2B02634F"/>
    <w:rsid w:val="2D6B3CF4"/>
    <w:rsid w:val="2EA24E18"/>
    <w:rsid w:val="2FC5545D"/>
    <w:rsid w:val="302843AC"/>
    <w:rsid w:val="311F64C8"/>
    <w:rsid w:val="31350B00"/>
    <w:rsid w:val="3199669F"/>
    <w:rsid w:val="322A6712"/>
    <w:rsid w:val="32A7011C"/>
    <w:rsid w:val="33AC22BC"/>
    <w:rsid w:val="350D7A87"/>
    <w:rsid w:val="38A04B84"/>
    <w:rsid w:val="38F92AA7"/>
    <w:rsid w:val="39D65B38"/>
    <w:rsid w:val="39DF02E0"/>
    <w:rsid w:val="3A964578"/>
    <w:rsid w:val="3AA5582D"/>
    <w:rsid w:val="3B2D6BFE"/>
    <w:rsid w:val="3DD1185A"/>
    <w:rsid w:val="3EC50D90"/>
    <w:rsid w:val="3ED85174"/>
    <w:rsid w:val="3FF03C81"/>
    <w:rsid w:val="41312673"/>
    <w:rsid w:val="4137153E"/>
    <w:rsid w:val="41C52CCB"/>
    <w:rsid w:val="436B4175"/>
    <w:rsid w:val="45FD7098"/>
    <w:rsid w:val="46B2614F"/>
    <w:rsid w:val="482A3636"/>
    <w:rsid w:val="4A1C6073"/>
    <w:rsid w:val="4A7E5757"/>
    <w:rsid w:val="4B3E4014"/>
    <w:rsid w:val="4C06234F"/>
    <w:rsid w:val="4C7F38C8"/>
    <w:rsid w:val="4E0E1931"/>
    <w:rsid w:val="4F7930DB"/>
    <w:rsid w:val="4FD47289"/>
    <w:rsid w:val="50122D91"/>
    <w:rsid w:val="504622EA"/>
    <w:rsid w:val="521F779F"/>
    <w:rsid w:val="523525DC"/>
    <w:rsid w:val="52DC2732"/>
    <w:rsid w:val="54837C66"/>
    <w:rsid w:val="577C6268"/>
    <w:rsid w:val="57871B97"/>
    <w:rsid w:val="58830228"/>
    <w:rsid w:val="5964481A"/>
    <w:rsid w:val="5A4A7969"/>
    <w:rsid w:val="5C297F7E"/>
    <w:rsid w:val="5C603890"/>
    <w:rsid w:val="5C6C019B"/>
    <w:rsid w:val="5CE3571A"/>
    <w:rsid w:val="5CE35997"/>
    <w:rsid w:val="5CE609DA"/>
    <w:rsid w:val="5D132647"/>
    <w:rsid w:val="5DFF4329"/>
    <w:rsid w:val="5E2F76FF"/>
    <w:rsid w:val="5E690C0C"/>
    <w:rsid w:val="5EA5673F"/>
    <w:rsid w:val="5FDB51A9"/>
    <w:rsid w:val="5FDB593E"/>
    <w:rsid w:val="6024355A"/>
    <w:rsid w:val="604919C8"/>
    <w:rsid w:val="609C79F2"/>
    <w:rsid w:val="60AA4EA9"/>
    <w:rsid w:val="60CE258C"/>
    <w:rsid w:val="614A3388"/>
    <w:rsid w:val="61715F7F"/>
    <w:rsid w:val="62B14BB8"/>
    <w:rsid w:val="62E96AE8"/>
    <w:rsid w:val="63561686"/>
    <w:rsid w:val="63C816D1"/>
    <w:rsid w:val="650E6120"/>
    <w:rsid w:val="65AE73EF"/>
    <w:rsid w:val="67981AED"/>
    <w:rsid w:val="691C211A"/>
    <w:rsid w:val="69487E24"/>
    <w:rsid w:val="6B374074"/>
    <w:rsid w:val="6D785349"/>
    <w:rsid w:val="6EBD1845"/>
    <w:rsid w:val="6F216C57"/>
    <w:rsid w:val="70452665"/>
    <w:rsid w:val="70E244FC"/>
    <w:rsid w:val="71273098"/>
    <w:rsid w:val="71A83067"/>
    <w:rsid w:val="71EA70FE"/>
    <w:rsid w:val="720E21AB"/>
    <w:rsid w:val="72BE484A"/>
    <w:rsid w:val="74063C42"/>
    <w:rsid w:val="744A072A"/>
    <w:rsid w:val="76480C94"/>
    <w:rsid w:val="774E7681"/>
    <w:rsid w:val="77FB5AE5"/>
    <w:rsid w:val="78AB3071"/>
    <w:rsid w:val="78C96938"/>
    <w:rsid w:val="78F00051"/>
    <w:rsid w:val="79F91688"/>
    <w:rsid w:val="7A503386"/>
    <w:rsid w:val="7B196F0F"/>
    <w:rsid w:val="7B683534"/>
    <w:rsid w:val="7CAF410E"/>
    <w:rsid w:val="7E3B3C3B"/>
    <w:rsid w:val="7E6D3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6" w:lineRule="auto"/>
      <w:outlineLvl w:val="0"/>
    </w:pPr>
    <w:rPr>
      <w:b/>
      <w:bCs/>
      <w:kern w:val="44"/>
      <w:sz w:val="44"/>
      <w:szCs w:val="44"/>
    </w:rPr>
  </w:style>
  <w:style w:type="paragraph" w:styleId="4">
    <w:name w:val="heading 2"/>
    <w:basedOn w:val="1"/>
    <w:next w:val="1"/>
    <w:qFormat/>
    <w:uiPriority w:val="9"/>
    <w:pPr>
      <w:keepNext/>
      <w:keepLines/>
      <w:spacing w:before="260" w:after="260" w:line="412" w:lineRule="auto"/>
      <w:outlineLvl w:val="1"/>
    </w:pPr>
    <w:rPr>
      <w:rFonts w:ascii="Arial" w:hAnsi="Arial" w:eastAsia="黑体"/>
      <w:b/>
      <w:kern w:val="0"/>
      <w:sz w:val="32"/>
      <w:szCs w:val="20"/>
    </w:rPr>
  </w:style>
  <w:style w:type="paragraph" w:styleId="5">
    <w:name w:val="heading 3"/>
    <w:basedOn w:val="1"/>
    <w:next w:val="1"/>
    <w:qFormat/>
    <w:uiPriority w:val="9"/>
    <w:pPr>
      <w:keepNext/>
      <w:keepLines/>
      <w:adjustRightInd w:val="0"/>
      <w:spacing w:before="260" w:after="260" w:line="416" w:lineRule="atLeast"/>
      <w:outlineLvl w:val="2"/>
    </w:pPr>
    <w:rPr>
      <w:b/>
      <w:kern w:val="0"/>
      <w:sz w:val="24"/>
      <w:szCs w:val="20"/>
    </w:rPr>
  </w:style>
  <w:style w:type="paragraph" w:styleId="2">
    <w:name w:val="heading 4"/>
    <w:basedOn w:val="1"/>
    <w:next w:val="1"/>
    <w:qFormat/>
    <w:uiPriority w:val="9"/>
    <w:pPr>
      <w:keepNext/>
      <w:keepLines/>
      <w:numPr>
        <w:ilvl w:val="3"/>
        <w:numId w:val="1"/>
      </w:numPr>
      <w:adjustRightInd w:val="0"/>
      <w:spacing w:before="280" w:after="290" w:line="376" w:lineRule="atLeast"/>
      <w:ind w:left="-288"/>
      <w:jc w:val="left"/>
      <w:textAlignment w:val="baseline"/>
      <w:outlineLvl w:val="3"/>
    </w:pPr>
    <w:rPr>
      <w:rFonts w:ascii="Arial" w:hAnsi="Arial" w:eastAsia="黑体"/>
      <w:b/>
      <w:bCs/>
      <w:kern w:val="0"/>
      <w:sz w:val="28"/>
      <w:szCs w:val="28"/>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6">
    <w:name w:val="table of authorities"/>
    <w:basedOn w:val="1"/>
    <w:next w:val="1"/>
    <w:qFormat/>
    <w:uiPriority w:val="0"/>
    <w:pPr>
      <w:widowControl w:val="0"/>
      <w:ind w:left="420" w:leftChars="200"/>
      <w:jc w:val="both"/>
    </w:pPr>
    <w:rPr>
      <w:rFonts w:ascii="Calibri" w:hAnsi="Calibri" w:eastAsia="宋体" w:cs="Times New Roman"/>
      <w:kern w:val="2"/>
      <w:sz w:val="21"/>
      <w:szCs w:val="22"/>
      <w:lang w:val="en-US" w:eastAsia="zh-CN" w:bidi="ar-SA"/>
    </w:rPr>
  </w:style>
  <w:style w:type="paragraph" w:styleId="7">
    <w:name w:val="Normal Indent"/>
    <w:basedOn w:val="1"/>
    <w:unhideWhenUsed/>
    <w:qFormat/>
    <w:uiPriority w:val="99"/>
    <w:pPr>
      <w:ind w:firstLine="420" w:firstLineChars="200"/>
    </w:pPr>
    <w:rPr>
      <w:kern w:val="0"/>
      <w:sz w:val="20"/>
    </w:rPr>
  </w:style>
  <w:style w:type="paragraph" w:styleId="8">
    <w:name w:val="annotation text"/>
    <w:basedOn w:val="1"/>
    <w:next w:val="1"/>
    <w:unhideWhenUsed/>
    <w:qFormat/>
    <w:uiPriority w:val="0"/>
    <w:pPr>
      <w:jc w:val="left"/>
    </w:pPr>
    <w:rPr>
      <w:kern w:val="0"/>
      <w:sz w:val="20"/>
    </w:rPr>
  </w:style>
  <w:style w:type="paragraph" w:styleId="9">
    <w:name w:val="Body Text"/>
    <w:basedOn w:val="1"/>
    <w:next w:val="1"/>
    <w:unhideWhenUsed/>
    <w:qFormat/>
    <w:uiPriority w:val="99"/>
    <w:pPr>
      <w:spacing w:after="120"/>
    </w:pPr>
    <w:rPr>
      <w:kern w:val="0"/>
      <w:sz w:val="20"/>
    </w:rPr>
  </w:style>
  <w:style w:type="paragraph" w:styleId="10">
    <w:name w:val="Plain Text"/>
    <w:basedOn w:val="1"/>
    <w:unhideWhenUsed/>
    <w:qFormat/>
    <w:uiPriority w:val="0"/>
    <w:rPr>
      <w:rFonts w:ascii="宋体" w:hAnsi="Courier New"/>
      <w:kern w:val="0"/>
      <w:sz w:val="20"/>
      <w:szCs w:val="21"/>
    </w:rPr>
  </w:style>
  <w:style w:type="paragraph" w:styleId="11">
    <w:name w:val="footer"/>
    <w:basedOn w:val="1"/>
    <w:unhideWhenUsed/>
    <w:qFormat/>
    <w:uiPriority w:val="99"/>
    <w:pPr>
      <w:tabs>
        <w:tab w:val="center" w:pos="4153"/>
        <w:tab w:val="right" w:pos="8306"/>
      </w:tabs>
      <w:snapToGrid w:val="0"/>
      <w:jc w:val="left"/>
    </w:pPr>
    <w:rPr>
      <w:kern w:val="0"/>
      <w:sz w:val="18"/>
      <w:szCs w:val="18"/>
    </w:rPr>
  </w:style>
  <w:style w:type="paragraph" w:styleId="12">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3">
    <w:name w:val="Body Text 2"/>
    <w:basedOn w:val="1"/>
    <w:next w:val="1"/>
    <w:unhideWhenUsed/>
    <w:qFormat/>
    <w:uiPriority w:val="99"/>
    <w:pPr>
      <w:spacing w:after="120" w:line="480" w:lineRule="auto"/>
    </w:pPr>
  </w:style>
  <w:style w:type="paragraph" w:styleId="14">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kern w:val="0"/>
      <w:szCs w:val="21"/>
    </w:rPr>
  </w:style>
  <w:style w:type="paragraph" w:styleId="15">
    <w:name w:val="Normal (Web)"/>
    <w:basedOn w:val="1"/>
    <w:qFormat/>
    <w:uiPriority w:val="0"/>
    <w:pPr>
      <w:widowControl/>
      <w:spacing w:before="100" w:beforeAutospacing="1" w:after="100" w:afterAutospacing="1"/>
      <w:jc w:val="left"/>
    </w:pPr>
    <w:rPr>
      <w:rFonts w:ascii="宋体" w:hAnsi="宋体"/>
      <w:kern w:val="0"/>
      <w:sz w:val="24"/>
    </w:rPr>
  </w:style>
  <w:style w:type="character" w:styleId="18">
    <w:name w:val="Emphasis"/>
    <w:basedOn w:val="17"/>
    <w:qFormat/>
    <w:uiPriority w:val="0"/>
    <w:rPr>
      <w:i/>
    </w:rPr>
  </w:style>
  <w:style w:type="character" w:styleId="19">
    <w:name w:val="HTML Sample"/>
    <w:basedOn w:val="17"/>
    <w:qFormat/>
    <w:uiPriority w:val="0"/>
    <w:rPr>
      <w:rFonts w:ascii="Courier New" w:hAnsi="Courier New"/>
    </w:rPr>
  </w:style>
  <w:style w:type="paragraph" w:customStyle="1" w:styleId="2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1">
    <w:name w:val="WPSOffice手动目录 1"/>
    <w:qFormat/>
    <w:uiPriority w:val="0"/>
    <w:rPr>
      <w:rFonts w:ascii="Times New Roman" w:hAnsi="Times New Roman" w:eastAsia="宋体" w:cs="Times New Roman"/>
      <w:lang w:val="en-US" w:eastAsia="zh-CN" w:bidi="ar-SA"/>
    </w:rPr>
  </w:style>
  <w:style w:type="paragraph" w:customStyle="1" w:styleId="22">
    <w:name w:val="List Paragraph"/>
    <w:basedOn w:val="1"/>
    <w:qFormat/>
    <w:uiPriority w:val="0"/>
    <w:pPr>
      <w:ind w:firstLine="420" w:firstLineChars="200"/>
    </w:pPr>
  </w:style>
  <w:style w:type="paragraph" w:customStyle="1" w:styleId="23">
    <w:name w:val="样式 标题 3h3H3sect1.2.3 + 五号 段前: 6 磅 段后: 6 磅 行距: 单倍行距"/>
    <w:basedOn w:val="5"/>
    <w:qFormat/>
    <w:uiPriority w:val="0"/>
    <w:pPr>
      <w:adjustRightInd/>
      <w:spacing w:before="120" w:after="120" w:line="240" w:lineRule="auto"/>
    </w:pPr>
    <w:rPr>
      <w:rFonts w:ascii="Times New Roman" w:hAnsi="Times New Roman"/>
      <w:bCs/>
      <w:kern w:val="2"/>
      <w:sz w:val="21"/>
    </w:rPr>
  </w:style>
  <w:style w:type="paragraph" w:customStyle="1" w:styleId="24">
    <w:name w:val="样式 标题 2 + 宋体 五号 非加粗 黑色"/>
    <w:basedOn w:val="4"/>
    <w:qFormat/>
    <w:uiPriority w:val="0"/>
    <w:pPr>
      <w:spacing w:line="416" w:lineRule="atLeast"/>
    </w:pPr>
    <w:rPr>
      <w:rFonts w:ascii="宋体" w:hAnsi="宋体" w:eastAsia="宋体"/>
      <w:b w:val="0"/>
      <w:color w:val="000000"/>
      <w:kern w:val="2"/>
      <w:sz w:val="21"/>
      <w:szCs w:val="32"/>
    </w:rPr>
  </w:style>
  <w:style w:type="paragraph" w:customStyle="1" w:styleId="25">
    <w:name w:val="2级正文"/>
    <w:basedOn w:val="1"/>
    <w:qFormat/>
    <w:uiPriority w:val="0"/>
    <w:pPr>
      <w:ind w:left="721" w:hanging="420"/>
      <w:jc w:val="left"/>
    </w:pPr>
    <w:rPr>
      <w:rFonts w:ascii="宋体" w:hAnsi="宋体" w:cs="宋体"/>
      <w:szCs w:val="21"/>
    </w:rPr>
  </w:style>
  <w:style w:type="paragraph" w:customStyle="1" w:styleId="26">
    <w:name w:val="样式 标题 1 + 四号 居中 段前: 12 磅 段后: 12 磅 行距: 单倍行距"/>
    <w:basedOn w:val="3"/>
    <w:qFormat/>
    <w:uiPriority w:val="0"/>
    <w:pPr>
      <w:spacing w:before="240" w:after="240" w:line="240" w:lineRule="auto"/>
      <w:jc w:val="center"/>
    </w:pPr>
    <w:rPr>
      <w:rFonts w:ascii="Times New Roman" w:hAnsi="Times New Roman" w:cs="宋体"/>
      <w:sz w:val="28"/>
      <w:szCs w:val="20"/>
    </w:rPr>
  </w:style>
  <w:style w:type="paragraph" w:customStyle="1" w:styleId="27">
    <w:name w:val="样式1"/>
    <w:basedOn w:val="1"/>
    <w:qFormat/>
    <w:uiPriority w:val="0"/>
    <w:pPr>
      <w:jc w:val="center"/>
    </w:pPr>
    <w:rPr>
      <w:rFonts w:ascii="宋体" w:hAnsi="宋体"/>
      <w:sz w:val="30"/>
      <w:szCs w:val="28"/>
    </w:rPr>
  </w:style>
  <w:style w:type="paragraph" w:customStyle="1" w:styleId="28">
    <w:name w:val="_Style 1"/>
    <w:basedOn w:val="1"/>
    <w:qFormat/>
    <w:uiPriority w:val="0"/>
    <w:pPr>
      <w:ind w:firstLine="420" w:firstLineChars="200"/>
    </w:pPr>
  </w:style>
  <w:style w:type="paragraph" w:customStyle="1" w:styleId="29">
    <w:name w:val="Char Char Char"/>
    <w:basedOn w:val="1"/>
    <w:qFormat/>
    <w:uiPriority w:val="0"/>
    <w:rPr>
      <w:rFonts w:ascii="Tahoma" w:hAnsi="Tahoma"/>
      <w:sz w:val="24"/>
      <w:szCs w:val="20"/>
    </w:rPr>
  </w:style>
  <w:style w:type="paragraph" w:customStyle="1" w:styleId="30">
    <w:name w:val=" Char Char Char"/>
    <w:basedOn w:val="1"/>
    <w:qFormat/>
    <w:uiPriority w:val="0"/>
    <w:rPr>
      <w:rFonts w:ascii="Tahoma" w:hAnsi="Tahoma"/>
      <w:sz w:val="24"/>
    </w:rPr>
  </w:style>
  <w:style w:type="paragraph" w:customStyle="1" w:styleId="31">
    <w:name w:val="列出段落1"/>
    <w:basedOn w:val="1"/>
    <w:qFormat/>
    <w:uiPriority w:val="0"/>
    <w:pPr>
      <w:ind w:firstLine="420" w:firstLineChars="200"/>
    </w:pPr>
    <w:rPr>
      <w:rFonts w:ascii="Times New Roman" w:hAnsi="Times New Roman"/>
    </w:rPr>
  </w:style>
  <w:style w:type="paragraph" w:customStyle="1" w:styleId="32">
    <w:name w:val="Table Paragraph"/>
    <w:basedOn w:val="1"/>
    <w:autoRedefine/>
    <w:qFormat/>
    <w:uiPriority w:val="1"/>
  </w:style>
  <w:style w:type="character" w:customStyle="1" w:styleId="33">
    <w:name w:val="NormalCharacter"/>
    <w:link w:val="34"/>
    <w:autoRedefine/>
    <w:semiHidden/>
    <w:qFormat/>
    <w:uiPriority w:val="0"/>
  </w:style>
  <w:style w:type="paragraph" w:customStyle="1" w:styleId="34">
    <w:name w:val="UserStyle_1"/>
    <w:basedOn w:val="1"/>
    <w:link w:val="33"/>
    <w:autoRedefine/>
    <w:qFormat/>
    <w:uiPriority w:val="0"/>
    <w:pPr>
      <w:jc w:val="both"/>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1414</Words>
  <Characters>1569</Characters>
  <Lines>0</Lines>
  <Paragraphs>0</Paragraphs>
  <TotalTime>40</TotalTime>
  <ScaleCrop>false</ScaleCrop>
  <LinksUpToDate>false</LinksUpToDate>
  <CharactersWithSpaces>1952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2025-04-30T07:01:00Z</dcterms:created>
  <dc:creator>WPS_137637206</dc:creator>
  <cp:lastModifiedBy>期待1409282851</cp:lastModifiedBy>
  <dcterms:modified xsi:type="dcterms:W3CDTF">2025-09-02T02:14:32Z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4940BC2A423D440793B0DFCFB94F6A00_13</vt:lpwstr>
  </property>
  <property fmtid="{D5CDD505-2E9C-101B-9397-08002B2CF9AE}" pid="4" name="KSOTemplateDocerSaveRecord">
    <vt:lpwstr>eyJoZGlkIjoiZWViZTczODFiNDUxNmI0NTBlMGE1ZTM5OWE2MTUxNzIiLCJ1c2VySWQiOiIyMDcwMTg1NiJ9</vt:lpwstr>
  </property>
</Properties>
</file>