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31" w:firstLineChars="438"/>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p>
    <w:p>
      <w:pPr>
        <w:pStyle w:val="2"/>
        <w:rPr>
          <w:rFonts w:hint="eastAsia" w:ascii="宋体" w:hAnsi="宋体" w:eastAsia="宋体" w:cs="宋体"/>
          <w:color w:val="auto"/>
          <w:lang w:val="en-US" w:eastAsia="zh-CN"/>
        </w:rPr>
      </w:pPr>
    </w:p>
    <w:p>
      <w:pPr>
        <w:widowControl w:val="0"/>
        <w:kinsoku/>
        <w:autoSpaceDE/>
        <w:autoSpaceDN/>
        <w:adjustRightInd/>
        <w:snapToGrid/>
        <w:spacing w:beforeAutospacing="0" w:after="0" w:afterAutospacing="0" w:line="360" w:lineRule="auto"/>
        <w:jc w:val="center"/>
        <w:textAlignment w:val="auto"/>
        <w:outlineLvl w:val="9"/>
        <w:rPr>
          <w:rFonts w:hint="eastAsia" w:ascii="宋体" w:hAnsi="宋体" w:eastAsia="宋体" w:cs="宋体"/>
          <w:snapToGrid/>
          <w:color w:val="auto"/>
          <w:highlight w:val="none"/>
        </w:rPr>
      </w:pPr>
    </w:p>
    <w:p>
      <w:pPr>
        <w:pStyle w:val="4"/>
        <w:widowControl w:val="0"/>
        <w:kinsoku/>
        <w:autoSpaceDE/>
        <w:autoSpaceDN/>
        <w:adjustRightInd/>
        <w:snapToGrid/>
        <w:spacing w:beforeAutospacing="0" w:after="0" w:afterAutospacing="0" w:line="360" w:lineRule="auto"/>
        <w:jc w:val="center"/>
        <w:textAlignment w:val="auto"/>
        <w:rPr>
          <w:rFonts w:hint="eastAsia" w:ascii="宋体" w:hAnsi="宋体" w:eastAsia="宋体" w:cs="宋体"/>
          <w:snapToGrid/>
          <w:color w:val="auto"/>
          <w:highlight w:val="none"/>
        </w:rPr>
      </w:pPr>
      <w:r>
        <w:rPr>
          <w:rFonts w:hint="eastAsia" w:ascii="宋体" w:hAnsi="宋体" w:eastAsia="宋体" w:cs="宋体"/>
          <w:snapToGrid/>
          <w:color w:val="auto"/>
          <w:highlight w:val="none"/>
        </w:rPr>
        <w:t>政府采购项目采购需求</w:t>
      </w:r>
    </w:p>
    <w:p>
      <w:pPr>
        <w:spacing w:line="254" w:lineRule="auto"/>
        <w:rPr>
          <w:rFonts w:hint="eastAsia" w:ascii="宋体" w:hAnsi="宋体" w:eastAsia="宋体" w:cs="宋体"/>
          <w:color w:val="auto"/>
          <w:sz w:val="24"/>
          <w:szCs w:val="24"/>
          <w:highlight w:val="none"/>
        </w:rPr>
      </w:pPr>
    </w:p>
    <w:p>
      <w:pPr>
        <w:spacing w:line="254" w:lineRule="auto"/>
        <w:rPr>
          <w:rFonts w:hint="eastAsia" w:ascii="宋体" w:hAnsi="宋体" w:eastAsia="宋体" w:cs="宋体"/>
          <w:color w:val="auto"/>
          <w:sz w:val="24"/>
          <w:szCs w:val="24"/>
          <w:highlight w:val="none"/>
        </w:rPr>
      </w:pPr>
    </w:p>
    <w:p>
      <w:pPr>
        <w:spacing w:line="254" w:lineRule="auto"/>
        <w:rPr>
          <w:rFonts w:hint="eastAsia" w:ascii="宋体" w:hAnsi="宋体" w:eastAsia="宋体" w:cs="宋体"/>
          <w:color w:val="auto"/>
          <w:sz w:val="24"/>
          <w:szCs w:val="24"/>
          <w:highlight w:val="none"/>
        </w:rPr>
      </w:pPr>
    </w:p>
    <w:p>
      <w:pPr>
        <w:spacing w:line="255" w:lineRule="auto"/>
        <w:rPr>
          <w:rFonts w:hint="eastAsia" w:ascii="宋体" w:hAnsi="宋体" w:eastAsia="宋体" w:cs="宋体"/>
          <w:color w:val="auto"/>
          <w:sz w:val="24"/>
          <w:szCs w:val="24"/>
          <w:highlight w:val="none"/>
        </w:rPr>
      </w:pPr>
    </w:p>
    <w:p>
      <w:pPr>
        <w:spacing w:line="255" w:lineRule="auto"/>
        <w:rPr>
          <w:rFonts w:hint="eastAsia" w:ascii="宋体" w:hAnsi="宋体" w:eastAsia="宋体" w:cs="宋体"/>
          <w:color w:val="auto"/>
          <w:sz w:val="24"/>
          <w:szCs w:val="24"/>
          <w:highlight w:val="none"/>
        </w:rPr>
      </w:pPr>
    </w:p>
    <w:p>
      <w:pPr>
        <w:spacing w:line="255" w:lineRule="auto"/>
        <w:rPr>
          <w:rFonts w:hint="eastAsia" w:ascii="宋体" w:hAnsi="宋体" w:eastAsia="宋体" w:cs="宋体"/>
          <w:color w:val="auto"/>
          <w:sz w:val="24"/>
          <w:szCs w:val="24"/>
          <w:highlight w:val="none"/>
        </w:rPr>
      </w:pPr>
    </w:p>
    <w:p>
      <w:pPr>
        <w:spacing w:line="255" w:lineRule="auto"/>
        <w:rPr>
          <w:rFonts w:hint="eastAsia" w:ascii="宋体" w:hAnsi="宋体" w:eastAsia="宋体" w:cs="宋体"/>
          <w:color w:val="auto"/>
          <w:sz w:val="24"/>
          <w:szCs w:val="24"/>
          <w:highlight w:val="none"/>
        </w:rPr>
      </w:pPr>
    </w:p>
    <w:p>
      <w:pPr>
        <w:rPr>
          <w:rFonts w:hint="eastAsia"/>
          <w:color w:val="auto"/>
        </w:rPr>
      </w:pPr>
    </w:p>
    <w:p>
      <w:pPr>
        <w:pStyle w:val="8"/>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highlight w:val="none"/>
        </w:rPr>
      </w:pPr>
    </w:p>
    <w:p>
      <w:pPr>
        <w:widowControl w:val="0"/>
        <w:kinsoku/>
        <w:autoSpaceDE/>
        <w:autoSpaceDN/>
        <w:adjustRightInd/>
        <w:snapToGrid/>
        <w:spacing w:line="240" w:lineRule="auto"/>
        <w:ind w:firstLine="1920" w:firstLineChars="600"/>
        <w:jc w:val="both"/>
        <w:textAlignment w:val="auto"/>
        <w:rPr>
          <w:rFonts w:hint="eastAsia" w:ascii="宋体" w:hAnsi="宋体" w:eastAsia="宋体" w:cs="宋体"/>
          <w:snapToGrid/>
          <w:color w:val="auto"/>
          <w:kern w:val="2"/>
          <w:sz w:val="32"/>
          <w:szCs w:val="32"/>
          <w:highlight w:val="none"/>
          <w:lang w:eastAsia="zh-CN"/>
        </w:rPr>
      </w:pPr>
    </w:p>
    <w:p>
      <w:pPr>
        <w:widowControl w:val="0"/>
        <w:kinsoku/>
        <w:autoSpaceDE/>
        <w:autoSpaceDN/>
        <w:adjustRightInd/>
        <w:snapToGrid/>
        <w:spacing w:line="240" w:lineRule="auto"/>
        <w:ind w:firstLine="1920" w:firstLineChars="600"/>
        <w:jc w:val="both"/>
        <w:textAlignment w:val="auto"/>
        <w:rPr>
          <w:rFonts w:hint="eastAsia" w:ascii="宋体" w:hAnsi="宋体" w:eastAsia="宋体" w:cs="宋体"/>
          <w:snapToGrid/>
          <w:color w:val="auto"/>
          <w:kern w:val="2"/>
          <w:sz w:val="32"/>
          <w:szCs w:val="32"/>
          <w:highlight w:val="none"/>
          <w:lang w:eastAsia="zh-CN"/>
        </w:rPr>
      </w:pPr>
    </w:p>
    <w:p>
      <w:pPr>
        <w:pStyle w:val="8"/>
        <w:rPr>
          <w:rFonts w:hint="eastAsia" w:ascii="宋体" w:hAnsi="宋体" w:eastAsia="宋体" w:cs="宋体"/>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77" w:leftChars="132" w:firstLine="1663" w:firstLineChars="594"/>
        <w:jc w:val="left"/>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snapToGrid/>
          <w:color w:val="auto"/>
          <w:kern w:val="2"/>
          <w:sz w:val="28"/>
          <w:szCs w:val="28"/>
          <w:highlight w:val="none"/>
          <w:lang w:val="en-US" w:eastAsia="zh-CN"/>
        </w:rPr>
        <w:t>汉源县应急卫星通讯装备采购项目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960" w:firstLineChars="70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所属年度：</w:t>
      </w:r>
      <w:r>
        <w:rPr>
          <w:rFonts w:hint="eastAsia" w:ascii="宋体" w:hAnsi="宋体" w:eastAsia="宋体" w:cs="宋体"/>
          <w:snapToGrid/>
          <w:color w:val="auto"/>
          <w:kern w:val="2"/>
          <w:sz w:val="28"/>
          <w:szCs w:val="28"/>
          <w:highlight w:val="none"/>
          <w:lang w:val="en-US" w:eastAsia="zh-CN"/>
        </w:rPr>
        <w:t>2024</w:t>
      </w:r>
      <w:r>
        <w:rPr>
          <w:rFonts w:hint="eastAsia" w:ascii="宋体" w:hAnsi="宋体" w:eastAsia="宋体" w:cs="宋体"/>
          <w:snapToGrid/>
          <w:color w:val="auto"/>
          <w:kern w:val="2"/>
          <w:sz w:val="28"/>
          <w:szCs w:val="28"/>
          <w:highlight w:val="none"/>
          <w:lang w:eastAsia="zh-CN"/>
        </w:rPr>
        <w:t>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960" w:firstLineChars="700"/>
        <w:jc w:val="left"/>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编制单位：</w:t>
      </w:r>
      <w:r>
        <w:rPr>
          <w:rFonts w:hint="eastAsia" w:ascii="宋体" w:hAnsi="宋体" w:eastAsia="宋体" w:cs="宋体"/>
          <w:color w:val="auto"/>
          <w:sz w:val="28"/>
          <w:szCs w:val="28"/>
          <w:highlight w:val="none"/>
          <w:lang w:eastAsia="zh-CN"/>
        </w:rPr>
        <w:t>汉源县应急管理局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960" w:firstLineChars="70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编制时间：202</w:t>
      </w:r>
      <w:r>
        <w:rPr>
          <w:rFonts w:hint="eastAsia" w:ascii="宋体" w:hAnsi="宋体" w:eastAsia="宋体" w:cs="宋体"/>
          <w:snapToGrid/>
          <w:color w:val="auto"/>
          <w:kern w:val="2"/>
          <w:sz w:val="28"/>
          <w:szCs w:val="28"/>
          <w:highlight w:val="none"/>
          <w:lang w:val="en-US" w:eastAsia="zh-CN"/>
        </w:rPr>
        <w:t>4</w:t>
      </w:r>
      <w:r>
        <w:rPr>
          <w:rFonts w:hint="eastAsia" w:ascii="宋体" w:hAnsi="宋体" w:eastAsia="宋体" w:cs="宋体"/>
          <w:snapToGrid/>
          <w:color w:val="auto"/>
          <w:kern w:val="2"/>
          <w:sz w:val="28"/>
          <w:szCs w:val="28"/>
          <w:highlight w:val="none"/>
          <w:lang w:eastAsia="zh-CN"/>
        </w:rPr>
        <w:t>年</w:t>
      </w:r>
      <w:r>
        <w:rPr>
          <w:rFonts w:hint="eastAsia" w:ascii="宋体" w:hAnsi="宋体" w:eastAsia="宋体" w:cs="宋体"/>
          <w:snapToGrid/>
          <w:color w:val="auto"/>
          <w:kern w:val="2"/>
          <w:sz w:val="28"/>
          <w:szCs w:val="28"/>
          <w:highlight w:val="none"/>
          <w:lang w:val="en-US" w:eastAsia="zh-CN"/>
        </w:rPr>
        <w:t>05</w:t>
      </w:r>
      <w:r>
        <w:rPr>
          <w:rFonts w:hint="eastAsia" w:ascii="宋体" w:hAnsi="宋体" w:eastAsia="宋体" w:cs="宋体"/>
          <w:snapToGrid/>
          <w:color w:val="auto"/>
          <w:kern w:val="2"/>
          <w:sz w:val="28"/>
          <w:szCs w:val="28"/>
          <w:highlight w:val="none"/>
          <w:lang w:eastAsia="zh-CN"/>
        </w:rPr>
        <w:t>月</w:t>
      </w:r>
      <w:r>
        <w:rPr>
          <w:rFonts w:hint="eastAsia" w:ascii="宋体" w:hAnsi="宋体" w:eastAsia="宋体" w:cs="宋体"/>
          <w:snapToGrid/>
          <w:color w:val="auto"/>
          <w:kern w:val="2"/>
          <w:sz w:val="28"/>
          <w:szCs w:val="28"/>
          <w:highlight w:val="none"/>
          <w:lang w:val="en-US" w:eastAsia="zh-CN"/>
        </w:rPr>
        <w:t>13</w:t>
      </w:r>
      <w:r>
        <w:rPr>
          <w:rFonts w:hint="eastAsia" w:ascii="宋体" w:hAnsi="宋体" w:eastAsia="宋体" w:cs="宋体"/>
          <w:snapToGrid/>
          <w:color w:val="auto"/>
          <w:kern w:val="2"/>
          <w:sz w:val="28"/>
          <w:szCs w:val="28"/>
          <w:highlight w:val="none"/>
          <w:lang w:eastAsia="zh-CN"/>
        </w:rPr>
        <w:t>日</w:t>
      </w:r>
    </w:p>
    <w:p>
      <w:pPr>
        <w:rPr>
          <w:rFonts w:hint="eastAsia"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rPr>
        <w:br w:type="page"/>
      </w:r>
    </w:p>
    <w:p>
      <w:pPr>
        <w:pStyle w:val="4"/>
        <w:bidi w:val="0"/>
        <w:rPr>
          <w:rFonts w:hint="eastAsia" w:ascii="宋体" w:hAnsi="宋体" w:eastAsia="宋体" w:cs="宋体"/>
          <w:color w:val="auto"/>
          <w:sz w:val="32"/>
          <w:szCs w:val="32"/>
        </w:rPr>
      </w:pPr>
      <w:r>
        <w:rPr>
          <w:rFonts w:hint="eastAsia" w:ascii="宋体" w:hAnsi="宋体" w:eastAsia="宋体" w:cs="宋体"/>
          <w:color w:val="auto"/>
          <w:sz w:val="32"/>
          <w:szCs w:val="32"/>
        </w:rPr>
        <w:t>一、项目总体情况</w:t>
      </w:r>
    </w:p>
    <w:p>
      <w:pPr>
        <w:spacing w:line="44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（一）项目名称： 汉源县应急卫星通讯装备采购项目</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（二）项目所属年度：</w:t>
      </w:r>
      <w:r>
        <w:rPr>
          <w:rFonts w:hint="eastAsia" w:ascii="宋体" w:hAnsi="宋体" w:eastAsia="宋体" w:cs="宋体"/>
          <w:color w:val="auto"/>
          <w:kern w:val="0"/>
          <w:sz w:val="21"/>
          <w:szCs w:val="21"/>
          <w:highlight w:val="none"/>
          <w:lang w:val="en-US" w:eastAsia="zh-CN"/>
        </w:rPr>
        <w:t>2024</w:t>
      </w:r>
      <w:r>
        <w:rPr>
          <w:rFonts w:hint="eastAsia" w:ascii="宋体" w:hAnsi="宋体" w:eastAsia="宋体" w:cs="宋体"/>
          <w:color w:val="auto"/>
          <w:kern w:val="0"/>
          <w:sz w:val="21"/>
          <w:szCs w:val="21"/>
          <w:highlight w:val="none"/>
          <w:lang w:eastAsia="zh-CN"/>
        </w:rPr>
        <w:t>年</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（三）项目所属分类： </w:t>
      </w:r>
      <w:r>
        <w:rPr>
          <w:rFonts w:hint="eastAsia" w:ascii="宋体" w:hAnsi="宋体" w:eastAsia="宋体" w:cs="宋体"/>
          <w:color w:val="auto"/>
          <w:kern w:val="0"/>
          <w:sz w:val="21"/>
          <w:szCs w:val="21"/>
          <w:highlight w:val="none"/>
          <w:lang w:val="en-US" w:eastAsia="zh-CN"/>
        </w:rPr>
        <w:t>货物</w:t>
      </w:r>
    </w:p>
    <w:p>
      <w:pPr>
        <w:spacing w:line="440" w:lineRule="exact"/>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（四）预算金额（元）：</w:t>
      </w:r>
      <w:r>
        <w:rPr>
          <w:rFonts w:hint="eastAsia" w:ascii="宋体" w:hAnsi="宋体" w:eastAsia="宋体" w:cs="宋体"/>
          <w:color w:val="auto"/>
          <w:kern w:val="0"/>
          <w:sz w:val="21"/>
          <w:szCs w:val="21"/>
          <w:highlight w:val="none"/>
          <w:lang w:val="en-US" w:eastAsia="zh-CN"/>
        </w:rPr>
        <w:t>320000</w:t>
      </w:r>
      <w:r>
        <w:rPr>
          <w:rFonts w:hint="eastAsia" w:ascii="宋体" w:hAnsi="宋体" w:eastAsia="宋体" w:cs="宋体"/>
          <w:color w:val="auto"/>
          <w:kern w:val="0"/>
          <w:sz w:val="21"/>
          <w:szCs w:val="21"/>
          <w:highlight w:val="none"/>
          <w:lang w:eastAsia="zh-CN"/>
        </w:rPr>
        <w:t>元 ，大写（人民币）：</w:t>
      </w:r>
      <w:r>
        <w:rPr>
          <w:rFonts w:hint="eastAsia" w:ascii="宋体" w:hAnsi="宋体" w:eastAsia="宋体" w:cs="宋体"/>
          <w:color w:val="auto"/>
          <w:kern w:val="0"/>
          <w:sz w:val="21"/>
          <w:szCs w:val="21"/>
          <w:highlight w:val="none"/>
          <w:lang w:val="en-US" w:eastAsia="zh-CN"/>
        </w:rPr>
        <w:t>叁拾贰万元整。</w:t>
      </w:r>
    </w:p>
    <w:p>
      <w:pPr>
        <w:spacing w:line="440" w:lineRule="exact"/>
        <w:ind w:firstLine="1050" w:firstLineChars="5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最高限价（元）：320000</w:t>
      </w:r>
      <w:r>
        <w:rPr>
          <w:rFonts w:hint="eastAsia" w:ascii="宋体" w:hAnsi="宋体" w:eastAsia="宋体" w:cs="宋体"/>
          <w:color w:val="auto"/>
          <w:kern w:val="0"/>
          <w:sz w:val="21"/>
          <w:szCs w:val="21"/>
          <w:highlight w:val="none"/>
          <w:lang w:eastAsia="zh-CN"/>
        </w:rPr>
        <w:t>元 ，大写（人民币）：</w:t>
      </w:r>
      <w:r>
        <w:rPr>
          <w:rFonts w:hint="eastAsia" w:ascii="宋体" w:hAnsi="宋体" w:eastAsia="宋体" w:cs="宋体"/>
          <w:color w:val="auto"/>
          <w:kern w:val="0"/>
          <w:sz w:val="21"/>
          <w:szCs w:val="21"/>
          <w:highlight w:val="none"/>
          <w:lang w:val="en-US" w:eastAsia="zh-CN"/>
        </w:rPr>
        <w:t>叁拾贰万元整。</w:t>
      </w:r>
    </w:p>
    <w:p>
      <w:pPr>
        <w:numPr>
          <w:ilvl w:val="0"/>
          <w:numId w:val="4"/>
        </w:numPr>
        <w:spacing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项目概况：建设基于</w:t>
      </w:r>
      <w:r>
        <w:rPr>
          <w:rFonts w:hint="eastAsia" w:ascii="宋体" w:hAnsi="宋体" w:eastAsia="宋体" w:cs="宋体"/>
          <w:color w:val="auto"/>
          <w:kern w:val="0"/>
          <w:sz w:val="21"/>
          <w:szCs w:val="21"/>
          <w:highlight w:val="none"/>
          <w:lang w:val="en-US" w:eastAsia="zh-CN"/>
        </w:rPr>
        <w:t>国产卫星</w:t>
      </w:r>
      <w:r>
        <w:rPr>
          <w:rFonts w:hint="eastAsia" w:ascii="宋体" w:hAnsi="宋体" w:eastAsia="宋体" w:cs="宋体"/>
          <w:color w:val="auto"/>
          <w:kern w:val="0"/>
          <w:sz w:val="21"/>
          <w:szCs w:val="21"/>
          <w:highlight w:val="none"/>
          <w:lang w:eastAsia="zh-CN"/>
        </w:rPr>
        <w:t>指挥网络通信服务系统，即</w:t>
      </w:r>
      <w:r>
        <w:rPr>
          <w:rFonts w:hint="eastAsia" w:ascii="宋体" w:hAnsi="宋体" w:eastAsia="宋体" w:cs="宋体"/>
          <w:b w:val="0"/>
          <w:strike w:val="0"/>
          <w:dstrike w:val="0"/>
          <w:color w:val="auto"/>
          <w:kern w:val="2"/>
          <w:sz w:val="21"/>
          <w:szCs w:val="28"/>
          <w:highlight w:val="none"/>
          <w:u w:val="none"/>
          <w:lang w:val="en-US" w:eastAsia="zh-CN" w:bidi="ar-SA"/>
        </w:rPr>
        <w:t>国产卫星通信</w:t>
      </w:r>
      <w:r>
        <w:rPr>
          <w:rFonts w:hint="eastAsia" w:ascii="宋体" w:hAnsi="宋体" w:eastAsia="宋体" w:cs="宋体"/>
          <w:color w:val="auto"/>
          <w:kern w:val="0"/>
          <w:sz w:val="21"/>
          <w:szCs w:val="21"/>
          <w:highlight w:val="none"/>
          <w:lang w:eastAsia="zh-CN"/>
        </w:rPr>
        <w:t>终端</w:t>
      </w:r>
      <w:r>
        <w:rPr>
          <w:rFonts w:hint="eastAsia" w:ascii="宋体" w:hAnsi="宋体" w:eastAsia="宋体" w:cs="宋体"/>
          <w:color w:val="auto"/>
          <w:kern w:val="0"/>
          <w:sz w:val="21"/>
          <w:szCs w:val="21"/>
          <w:highlight w:val="none"/>
          <w:lang w:val="en-US" w:eastAsia="zh-CN"/>
        </w:rPr>
        <w:t>及配套</w:t>
      </w:r>
      <w:r>
        <w:rPr>
          <w:rFonts w:hint="eastAsia" w:ascii="宋体" w:hAnsi="宋体" w:eastAsia="宋体" w:cs="宋体"/>
          <w:color w:val="auto"/>
          <w:kern w:val="0"/>
          <w:sz w:val="21"/>
          <w:szCs w:val="21"/>
          <w:highlight w:val="none"/>
          <w:lang w:eastAsia="zh-CN"/>
        </w:rPr>
        <w:t>服务。形成覆盖全县区域（包括各重点县镇及重点村和社区）的</w:t>
      </w:r>
      <w:r>
        <w:rPr>
          <w:rFonts w:hint="eastAsia" w:ascii="宋体" w:hAnsi="宋体" w:eastAsia="宋体" w:cs="宋体"/>
          <w:b w:val="0"/>
          <w:strike w:val="0"/>
          <w:dstrike w:val="0"/>
          <w:color w:val="auto"/>
          <w:kern w:val="2"/>
          <w:sz w:val="21"/>
          <w:szCs w:val="28"/>
          <w:highlight w:val="none"/>
          <w:u w:val="none"/>
          <w:lang w:val="en-US" w:eastAsia="zh-CN" w:bidi="ar-SA"/>
        </w:rPr>
        <w:t>国产卫星</w:t>
      </w:r>
      <w:r>
        <w:rPr>
          <w:rFonts w:hint="eastAsia" w:ascii="宋体" w:hAnsi="宋体" w:eastAsia="宋体" w:cs="宋体"/>
          <w:color w:val="auto"/>
          <w:kern w:val="0"/>
          <w:sz w:val="21"/>
          <w:szCs w:val="21"/>
          <w:highlight w:val="none"/>
          <w:lang w:eastAsia="zh-CN"/>
        </w:rPr>
        <w:t>应急通信指挥保障网络，在全域内可及时掌握突发灾害的情况，有利于省市及应急管理部快速掌握相关信息，及时部署救援队伍和救援装备物质的安排，做到高效救援，科学减灾。</w:t>
      </w:r>
    </w:p>
    <w:p>
      <w:pPr>
        <w:numPr>
          <w:ilvl w:val="0"/>
          <w:numId w:val="0"/>
        </w:numPr>
        <w:spacing w:line="44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（六）本项目是否有为采购项目提供整体设计、规范编制或者项目管理、监理、检测等服务的供应商</w:t>
      </w:r>
      <w:r>
        <w:rPr>
          <w:rFonts w:hint="eastAsia" w:ascii="宋体" w:hAnsi="宋体" w:eastAsia="宋体" w:cs="宋体"/>
          <w:color w:val="auto"/>
          <w:kern w:val="0"/>
          <w:sz w:val="21"/>
          <w:szCs w:val="21"/>
          <w:highlight w:val="none"/>
          <w:lang w:val="en-US" w:eastAsia="zh-CN"/>
        </w:rPr>
        <w:t>参与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否</w:t>
      </w:r>
    </w:p>
    <w:p>
      <w:pPr>
        <w:pStyle w:val="4"/>
        <w:bidi w:val="0"/>
        <w:rPr>
          <w:rFonts w:hint="eastAsia" w:ascii="宋体" w:hAnsi="宋体" w:eastAsia="宋体" w:cs="宋体"/>
          <w:color w:val="auto"/>
          <w:sz w:val="32"/>
          <w:szCs w:val="32"/>
        </w:rPr>
      </w:pPr>
      <w:r>
        <w:rPr>
          <w:rFonts w:hint="eastAsia" w:ascii="宋体" w:hAnsi="宋体" w:eastAsia="宋体" w:cs="宋体"/>
          <w:color w:val="auto"/>
          <w:sz w:val="32"/>
          <w:szCs w:val="32"/>
        </w:rPr>
        <w:t>二、项目需求调查情况</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依据《政府采购需求管理办法》的规定，本项目不需要需求调查，具体情况如下：</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本项目属于以下应当展开需求的情形</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本项目属于以下可以不再重复开展需求调查的情形</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（一）需求调查方式</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（二）需求调查对象</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（三）需求调查结果</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1.相关产业发展情况</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2.市场供给情况</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3.同类采购项目历史成交信息情况</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4.可能涉及的运行维护、升级更新、备品备件、耗材等后续采购情况</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5.其他相关情况</w:t>
      </w:r>
    </w:p>
    <w:p>
      <w:pPr>
        <w:pStyle w:val="4"/>
        <w:bidi w:val="0"/>
        <w:rPr>
          <w:rFonts w:hint="eastAsia" w:ascii="宋体" w:hAnsi="宋体" w:eastAsia="宋体" w:cs="宋体"/>
          <w:color w:val="auto"/>
          <w:sz w:val="32"/>
          <w:szCs w:val="32"/>
        </w:rPr>
      </w:pPr>
      <w:r>
        <w:rPr>
          <w:rFonts w:hint="eastAsia" w:ascii="宋体" w:hAnsi="宋体" w:eastAsia="宋体" w:cs="宋体"/>
          <w:color w:val="auto"/>
          <w:sz w:val="32"/>
          <w:szCs w:val="32"/>
        </w:rPr>
        <w:t>三、项目采购实施计划</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snapToGrid/>
          <w:color w:val="auto"/>
          <w:szCs w:val="24"/>
          <w:highlight w:val="none"/>
          <w:shd w:val="clear" w:color="auto" w:fill="FFFFFF"/>
        </w:rPr>
        <w:t>（</w:t>
      </w:r>
      <w:r>
        <w:rPr>
          <w:rFonts w:hint="eastAsia" w:ascii="宋体" w:hAnsi="宋体" w:eastAsia="宋体" w:cs="宋体"/>
          <w:color w:val="auto"/>
          <w:kern w:val="0"/>
          <w:sz w:val="21"/>
          <w:szCs w:val="21"/>
          <w:highlight w:val="none"/>
          <w:lang w:eastAsia="zh-CN"/>
        </w:rPr>
        <w:t>一）采购组织形式：</w:t>
      </w:r>
      <w:r>
        <w:rPr>
          <w:rFonts w:hint="eastAsia" w:ascii="宋体" w:hAnsi="宋体" w:eastAsia="宋体" w:cs="宋体"/>
          <w:color w:val="auto"/>
          <w:kern w:val="0"/>
          <w:sz w:val="21"/>
          <w:szCs w:val="21"/>
          <w:highlight w:val="none"/>
          <w:lang w:val="en-US" w:eastAsia="zh-CN"/>
        </w:rPr>
        <w:t>分散</w:t>
      </w:r>
      <w:r>
        <w:rPr>
          <w:rFonts w:hint="eastAsia" w:ascii="宋体" w:hAnsi="宋体" w:eastAsia="宋体" w:cs="宋体"/>
          <w:color w:val="auto"/>
          <w:kern w:val="0"/>
          <w:sz w:val="21"/>
          <w:szCs w:val="21"/>
          <w:highlight w:val="none"/>
          <w:lang w:eastAsia="zh-CN"/>
        </w:rPr>
        <w:t>采购</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（二）预算采购方式：</w:t>
      </w:r>
      <w:r>
        <w:rPr>
          <w:rFonts w:hint="eastAsia" w:ascii="宋体" w:hAnsi="宋体" w:eastAsia="宋体" w:cs="宋体"/>
          <w:color w:val="auto"/>
          <w:kern w:val="0"/>
          <w:sz w:val="21"/>
          <w:szCs w:val="21"/>
          <w:highlight w:val="none"/>
          <w:lang w:val="en-US" w:eastAsia="zh-CN"/>
        </w:rPr>
        <w:t>非</w:t>
      </w:r>
      <w:r>
        <w:rPr>
          <w:rFonts w:hint="eastAsia" w:ascii="宋体" w:hAnsi="宋体" w:eastAsia="宋体" w:cs="宋体"/>
          <w:color w:val="auto"/>
          <w:kern w:val="0"/>
          <w:sz w:val="21"/>
          <w:szCs w:val="21"/>
          <w:highlight w:val="none"/>
          <w:lang w:eastAsia="zh-CN"/>
        </w:rPr>
        <w:t>公开招标</w:t>
      </w:r>
    </w:p>
    <w:p>
      <w:pPr>
        <w:spacing w:line="44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采购方式：</w:t>
      </w:r>
      <w:r>
        <w:rPr>
          <w:rFonts w:hint="eastAsia" w:ascii="宋体" w:hAnsi="宋体" w:eastAsia="宋体" w:cs="宋体"/>
          <w:color w:val="auto"/>
          <w:kern w:val="0"/>
          <w:sz w:val="21"/>
          <w:szCs w:val="21"/>
          <w:highlight w:val="none"/>
          <w:lang w:val="en-US" w:eastAsia="zh-CN"/>
        </w:rPr>
        <w:t>竞争性磋商</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（三）本项目是否单位自行组织采购：否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（四）采购包划分：不分包采购</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（五）执行政府采购促进中小企业发展的相关政策</w:t>
      </w:r>
    </w:p>
    <w:p>
      <w:pPr>
        <w:spacing w:line="440" w:lineRule="exact"/>
        <w:ind w:firstLine="422" w:firstLineChars="20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非专门</w:t>
      </w:r>
      <w:r>
        <w:rPr>
          <w:rFonts w:hint="eastAsia" w:ascii="宋体" w:hAnsi="宋体" w:eastAsia="宋体" w:cs="宋体"/>
          <w:b/>
          <w:bCs/>
          <w:color w:val="auto"/>
          <w:kern w:val="0"/>
          <w:sz w:val="21"/>
          <w:szCs w:val="21"/>
          <w:highlight w:val="none"/>
          <w:lang w:eastAsia="zh-CN"/>
        </w:rPr>
        <w:t>面向中小企业</w:t>
      </w:r>
      <w:r>
        <w:rPr>
          <w:rFonts w:hint="eastAsia" w:ascii="宋体" w:hAnsi="宋体" w:eastAsia="宋体" w:cs="宋体"/>
          <w:b/>
          <w:bCs/>
          <w:color w:val="auto"/>
          <w:kern w:val="0"/>
          <w:sz w:val="21"/>
          <w:szCs w:val="21"/>
          <w:highlight w:val="none"/>
          <w:lang w:val="en-US" w:eastAsia="zh-CN"/>
        </w:rPr>
        <w:t>。原因：本项目所采购的产品中有</w:t>
      </w:r>
      <w:r>
        <w:rPr>
          <w:rFonts w:hint="eastAsia" w:ascii="宋体" w:hAnsi="宋体" w:eastAsia="宋体" w:cs="宋体"/>
          <w:b/>
          <w:bCs/>
          <w:color w:val="auto"/>
          <w:kern w:val="0"/>
          <w:sz w:val="21"/>
          <w:szCs w:val="21"/>
          <w:highlight w:val="none"/>
          <w:lang w:eastAsia="zh-CN"/>
        </w:rPr>
        <w:t>因确需使用不可替代的专利、专有技术，基础设施限制，或者提供特定公共服务等原因，只能从中小企业之外的供应商处采购。</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（六）是否采购环境标识产品：否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（七）是否采购节能产品：否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（八）项目的采购标的是否包含进口产品：否</w:t>
      </w:r>
    </w:p>
    <w:p>
      <w:pPr>
        <w:spacing w:line="440" w:lineRule="exac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（九）采购标的是否属于政府购买服务：</w:t>
      </w:r>
      <w:r>
        <w:rPr>
          <w:rFonts w:hint="eastAsia" w:ascii="宋体" w:hAnsi="宋体" w:eastAsia="宋体" w:cs="宋体"/>
          <w:color w:val="auto"/>
          <w:kern w:val="0"/>
          <w:sz w:val="21"/>
          <w:szCs w:val="21"/>
          <w:highlight w:val="none"/>
          <w:lang w:val="en-US" w:eastAsia="zh-CN"/>
        </w:rPr>
        <w:t>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（十）是否属于政务信息系统项目：否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（十一）是否省属高校、科研院所科研设备采购：否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（十二）是否属于PPP项目：否</w:t>
      </w:r>
    </w:p>
    <w:p>
      <w:pPr>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（十三）是否属于一签多年项目：否</w:t>
      </w:r>
    </w:p>
    <w:p>
      <w:pPr>
        <w:pStyle w:val="4"/>
        <w:bidi w:val="0"/>
        <w:rPr>
          <w:rFonts w:hint="eastAsia" w:ascii="宋体" w:hAnsi="宋体" w:eastAsia="宋体" w:cs="宋体"/>
          <w:color w:val="auto"/>
          <w:sz w:val="32"/>
          <w:szCs w:val="32"/>
        </w:rPr>
      </w:pPr>
      <w:r>
        <w:rPr>
          <w:rFonts w:hint="eastAsia" w:ascii="宋体" w:hAnsi="宋体" w:eastAsia="宋体" w:cs="宋体"/>
          <w:color w:val="auto"/>
          <w:sz w:val="32"/>
          <w:szCs w:val="32"/>
        </w:rPr>
        <w:t>四、项目需求及分包情况、采购标的</w:t>
      </w:r>
    </w:p>
    <w:p>
      <w:pPr>
        <w:pStyle w:val="4"/>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（一）分包名称：包一：汉源县应急卫星通讯装备采购项目</w:t>
      </w:r>
    </w:p>
    <w:p>
      <w:pPr>
        <w:pStyle w:val="8"/>
        <w:keepNext w:val="0"/>
        <w:keepLines w:val="0"/>
        <w:pageBreakBefore w:val="0"/>
        <w:widowControl/>
        <w:kinsoku w:val="0"/>
        <w:wordWrap/>
        <w:overflowPunct/>
        <w:topLinePunct w:val="0"/>
        <w:autoSpaceDE w:val="0"/>
        <w:autoSpaceDN w:val="0"/>
        <w:bidi w:val="0"/>
        <w:adjustRightInd w:val="0"/>
        <w:snapToGrid w:val="0"/>
        <w:spacing w:before="234" w:line="240" w:lineRule="auto"/>
        <w:ind w:left="350"/>
        <w:textAlignment w:val="baseline"/>
        <w:rPr>
          <w:rFonts w:hint="eastAsia" w:ascii="宋体" w:hAnsi="宋体" w:eastAsia="宋体" w:cs="宋体"/>
          <w:color w:val="auto"/>
          <w:position w:val="22"/>
          <w:sz w:val="21"/>
          <w:szCs w:val="21"/>
          <w:highlight w:val="none"/>
        </w:rPr>
      </w:pPr>
      <w:r>
        <w:rPr>
          <w:rFonts w:hint="eastAsia" w:ascii="宋体" w:hAnsi="宋体" w:eastAsia="宋体" w:cs="宋体"/>
          <w:color w:val="auto"/>
          <w:position w:val="22"/>
          <w:sz w:val="21"/>
          <w:szCs w:val="21"/>
          <w:highlight w:val="none"/>
        </w:rPr>
        <w:t>1</w:t>
      </w:r>
      <w:r>
        <w:rPr>
          <w:rFonts w:hint="eastAsia" w:ascii="宋体" w:hAnsi="宋体" w:eastAsia="宋体" w:cs="宋体"/>
          <w:color w:val="auto"/>
          <w:position w:val="22"/>
          <w:sz w:val="21"/>
          <w:szCs w:val="21"/>
          <w:highlight w:val="none"/>
          <w:lang w:val="en-US" w:eastAsia="zh-CN"/>
        </w:rPr>
        <w:t>.</w:t>
      </w:r>
      <w:r>
        <w:rPr>
          <w:rFonts w:hint="eastAsia" w:ascii="宋体" w:hAnsi="宋体" w:eastAsia="宋体" w:cs="宋体"/>
          <w:color w:val="auto"/>
          <w:position w:val="22"/>
          <w:sz w:val="21"/>
          <w:szCs w:val="21"/>
          <w:highlight w:val="none"/>
        </w:rPr>
        <w:t>执行政府采购促进中小企业发展的相关政策</w:t>
      </w:r>
    </w:p>
    <w:p>
      <w:pPr>
        <w:pStyle w:val="8"/>
        <w:keepNext w:val="0"/>
        <w:keepLines w:val="0"/>
        <w:pageBreakBefore w:val="0"/>
        <w:widowControl/>
        <w:kinsoku w:val="0"/>
        <w:wordWrap/>
        <w:overflowPunct/>
        <w:topLinePunct w:val="0"/>
        <w:autoSpaceDE w:val="0"/>
        <w:autoSpaceDN w:val="0"/>
        <w:bidi w:val="0"/>
        <w:adjustRightInd w:val="0"/>
        <w:snapToGrid w:val="0"/>
        <w:spacing w:before="234" w:line="240" w:lineRule="auto"/>
        <w:ind w:left="350"/>
        <w:textAlignment w:val="baseline"/>
        <w:rPr>
          <w:rFonts w:hint="eastAsia" w:ascii="宋体" w:hAnsi="宋体" w:eastAsia="宋体" w:cs="宋体"/>
          <w:color w:val="auto"/>
          <w:position w:val="22"/>
          <w:sz w:val="21"/>
          <w:szCs w:val="21"/>
          <w:highlight w:val="none"/>
        </w:rPr>
      </w:pPr>
      <w:r>
        <w:rPr>
          <w:rFonts w:hint="eastAsia" w:ascii="宋体" w:hAnsi="宋体" w:eastAsia="宋体" w:cs="宋体"/>
          <w:color w:val="auto"/>
          <w:position w:val="22"/>
          <w:sz w:val="21"/>
          <w:szCs w:val="21"/>
          <w:highlight w:val="none"/>
          <w:lang w:val="en-US" w:eastAsia="zh-CN"/>
        </w:rPr>
        <w:t>非</w:t>
      </w:r>
      <w:r>
        <w:rPr>
          <w:rFonts w:hint="eastAsia" w:ascii="宋体" w:hAnsi="宋体" w:eastAsia="宋体" w:cs="宋体"/>
          <w:color w:val="auto"/>
          <w:position w:val="22"/>
          <w:sz w:val="21"/>
          <w:szCs w:val="21"/>
          <w:highlight w:val="none"/>
        </w:rPr>
        <w:t>专门面向中小企业采购</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240" w:lineRule="auto"/>
        <w:ind w:firstLine="420" w:firstLineChars="200"/>
        <w:textAlignment w:val="baseline"/>
        <w:rPr>
          <w:rFonts w:hint="default" w:ascii="宋体" w:hAnsi="宋体" w:eastAsia="宋体" w:cs="宋体"/>
          <w:color w:val="auto"/>
          <w:position w:val="22"/>
          <w:sz w:val="21"/>
          <w:szCs w:val="21"/>
          <w:highlight w:val="none"/>
          <w:lang w:val="en-US" w:eastAsia="zh-CN"/>
        </w:rPr>
      </w:pPr>
      <w:r>
        <w:rPr>
          <w:rFonts w:hint="eastAsia" w:ascii="宋体" w:hAnsi="宋体" w:eastAsia="宋体" w:cs="宋体"/>
          <w:color w:val="auto"/>
          <w:position w:val="22"/>
          <w:sz w:val="21"/>
          <w:szCs w:val="21"/>
          <w:highlight w:val="none"/>
          <w:lang w:val="en-US" w:eastAsia="zh-CN"/>
        </w:rPr>
        <w:t>2.预算金额（元）：320000元 ，大写（人民币）：叁拾贰万元整；</w:t>
      </w:r>
    </w:p>
    <w:p>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240" w:lineRule="auto"/>
        <w:ind w:firstLine="630" w:firstLineChars="300"/>
        <w:textAlignment w:val="baseline"/>
        <w:rPr>
          <w:rFonts w:hint="default" w:ascii="宋体" w:hAnsi="宋体" w:eastAsia="宋体" w:cs="宋体"/>
          <w:color w:val="auto"/>
          <w:position w:val="22"/>
          <w:sz w:val="21"/>
          <w:szCs w:val="21"/>
          <w:highlight w:val="none"/>
          <w:lang w:val="en-US"/>
        </w:rPr>
      </w:pPr>
      <w:r>
        <w:rPr>
          <w:rFonts w:hint="eastAsia" w:ascii="宋体" w:hAnsi="宋体" w:eastAsia="宋体" w:cs="宋体"/>
          <w:color w:val="auto"/>
          <w:position w:val="22"/>
          <w:sz w:val="21"/>
          <w:szCs w:val="21"/>
          <w:highlight w:val="none"/>
          <w:lang w:val="en-US" w:eastAsia="zh-CN"/>
        </w:rPr>
        <w:t>最高限价（元）：320000元 ，大写（人民币）：叁拾贰万元整；</w:t>
      </w:r>
    </w:p>
    <w:p>
      <w:pPr>
        <w:pStyle w:val="8"/>
        <w:keepNext w:val="0"/>
        <w:keepLines w:val="0"/>
        <w:pageBreakBefore w:val="0"/>
        <w:widowControl/>
        <w:kinsoku w:val="0"/>
        <w:wordWrap/>
        <w:overflowPunct/>
        <w:topLinePunct w:val="0"/>
        <w:autoSpaceDE w:val="0"/>
        <w:autoSpaceDN w:val="0"/>
        <w:bidi w:val="0"/>
        <w:adjustRightInd w:val="0"/>
        <w:snapToGrid w:val="0"/>
        <w:spacing w:before="234" w:line="240" w:lineRule="auto"/>
        <w:ind w:left="350"/>
        <w:textAlignment w:val="baseline"/>
        <w:rPr>
          <w:rFonts w:hint="eastAsia" w:ascii="宋体" w:hAnsi="宋体" w:eastAsia="宋体" w:cs="宋体"/>
          <w:color w:val="auto"/>
          <w:sz w:val="21"/>
          <w:szCs w:val="21"/>
          <w:highlight w:val="none"/>
        </w:rPr>
      </w:pPr>
      <w:r>
        <w:rPr>
          <w:rFonts w:hint="eastAsia" w:ascii="宋体" w:hAnsi="宋体" w:eastAsia="宋体" w:cs="宋体"/>
          <w:color w:val="auto"/>
          <w:position w:val="22"/>
          <w:sz w:val="21"/>
          <w:szCs w:val="21"/>
          <w:highlight w:val="none"/>
        </w:rPr>
        <w:t>3</w:t>
      </w:r>
      <w:r>
        <w:rPr>
          <w:rFonts w:hint="eastAsia" w:ascii="宋体" w:hAnsi="宋体" w:eastAsia="宋体" w:cs="宋体"/>
          <w:color w:val="auto"/>
          <w:position w:val="22"/>
          <w:sz w:val="21"/>
          <w:szCs w:val="21"/>
          <w:highlight w:val="none"/>
          <w:lang w:val="en-US" w:eastAsia="zh-CN"/>
        </w:rPr>
        <w:t>.</w:t>
      </w:r>
      <w:r>
        <w:rPr>
          <w:rFonts w:hint="eastAsia" w:ascii="宋体" w:hAnsi="宋体" w:eastAsia="宋体" w:cs="宋体"/>
          <w:color w:val="auto"/>
          <w:position w:val="22"/>
          <w:sz w:val="21"/>
          <w:szCs w:val="21"/>
          <w:highlight w:val="none"/>
        </w:rPr>
        <w:t>评审方法：综合评分法</w:t>
      </w:r>
    </w:p>
    <w:p>
      <w:pPr>
        <w:pStyle w:val="8"/>
        <w:keepNext w:val="0"/>
        <w:keepLines w:val="0"/>
        <w:pageBreakBefore w:val="0"/>
        <w:widowControl/>
        <w:kinsoku w:val="0"/>
        <w:wordWrap/>
        <w:overflowPunct/>
        <w:topLinePunct w:val="0"/>
        <w:autoSpaceDE w:val="0"/>
        <w:autoSpaceDN w:val="0"/>
        <w:bidi w:val="0"/>
        <w:adjustRightInd w:val="0"/>
        <w:snapToGrid w:val="0"/>
        <w:spacing w:before="1" w:line="240" w:lineRule="auto"/>
        <w:ind w:left="345"/>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定价方式：固定总价</w:t>
      </w:r>
    </w:p>
    <w:p>
      <w:pPr>
        <w:pStyle w:val="8"/>
        <w:keepNext w:val="0"/>
        <w:keepLines w:val="0"/>
        <w:pageBreakBefore w:val="0"/>
        <w:widowControl/>
        <w:kinsoku w:val="0"/>
        <w:wordWrap/>
        <w:overflowPunct/>
        <w:topLinePunct w:val="0"/>
        <w:autoSpaceDE w:val="0"/>
        <w:autoSpaceDN w:val="0"/>
        <w:bidi w:val="0"/>
        <w:adjustRightInd w:val="0"/>
        <w:snapToGrid w:val="0"/>
        <w:spacing w:before="225" w:line="240" w:lineRule="auto"/>
        <w:ind w:left="35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是否支持联合体投标：否</w:t>
      </w:r>
    </w:p>
    <w:p>
      <w:pPr>
        <w:pStyle w:val="8"/>
        <w:keepNext w:val="0"/>
        <w:keepLines w:val="0"/>
        <w:pageBreakBefore w:val="0"/>
        <w:widowControl/>
        <w:kinsoku w:val="0"/>
        <w:wordWrap/>
        <w:overflowPunct/>
        <w:topLinePunct w:val="0"/>
        <w:autoSpaceDE w:val="0"/>
        <w:autoSpaceDN w:val="0"/>
        <w:bidi w:val="0"/>
        <w:adjustRightInd w:val="0"/>
        <w:snapToGrid w:val="0"/>
        <w:spacing w:before="224" w:line="240" w:lineRule="auto"/>
        <w:ind w:left="34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22"/>
          <w:sz w:val="21"/>
          <w:szCs w:val="21"/>
          <w:highlight w:val="none"/>
        </w:rPr>
        <w:t>6</w:t>
      </w:r>
      <w:r>
        <w:rPr>
          <w:rFonts w:hint="eastAsia" w:ascii="宋体" w:hAnsi="宋体" w:eastAsia="宋体" w:cs="宋体"/>
          <w:color w:val="auto"/>
          <w:spacing w:val="1"/>
          <w:position w:val="22"/>
          <w:sz w:val="21"/>
          <w:szCs w:val="21"/>
          <w:highlight w:val="none"/>
          <w:lang w:val="en-US" w:eastAsia="zh-CN"/>
        </w:rPr>
        <w:t>.</w:t>
      </w:r>
      <w:r>
        <w:rPr>
          <w:rFonts w:hint="eastAsia" w:ascii="宋体" w:hAnsi="宋体" w:eastAsia="宋体" w:cs="宋体"/>
          <w:color w:val="auto"/>
          <w:spacing w:val="1"/>
          <w:position w:val="22"/>
          <w:sz w:val="21"/>
          <w:szCs w:val="21"/>
          <w:highlight w:val="none"/>
        </w:rPr>
        <w:t>是否允许合同分包选项：否</w:t>
      </w:r>
    </w:p>
    <w:p>
      <w:pPr>
        <w:pStyle w:val="8"/>
        <w:keepNext w:val="0"/>
        <w:keepLines w:val="0"/>
        <w:pageBreakBefore w:val="0"/>
        <w:widowControl/>
        <w:kinsoku w:val="0"/>
        <w:wordWrap/>
        <w:overflowPunct/>
        <w:topLinePunct w:val="0"/>
        <w:autoSpaceDE w:val="0"/>
        <w:autoSpaceDN w:val="0"/>
        <w:bidi w:val="0"/>
        <w:adjustRightInd w:val="0"/>
        <w:snapToGrid w:val="0"/>
        <w:spacing w:before="1" w:line="240" w:lineRule="auto"/>
        <w:ind w:left="3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拟采购标的的技术要求</w:t>
      </w:r>
    </w:p>
    <w:tbl>
      <w:tblPr>
        <w:tblStyle w:val="20"/>
        <w:tblpPr w:leftFromText="180" w:rightFromText="180" w:vertAnchor="text" w:horzAnchor="page" w:tblpX="1309" w:tblpY="206"/>
        <w:tblOverlap w:val="never"/>
        <w:tblW w:w="4879"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919"/>
        <w:gridCol w:w="2412"/>
        <w:gridCol w:w="1440"/>
        <w:gridCol w:w="2229"/>
        <w:gridCol w:w="198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trPr>
        <w:tc>
          <w:tcPr>
            <w:tcW w:w="511" w:type="pct"/>
            <w:vMerge w:val="restart"/>
            <w:tcBorders>
              <w:top w:val="single" w:color="auto" w:sz="4" w:space="0"/>
              <w:left w:val="single" w:color="auto" w:sz="4" w:space="0"/>
              <w:bottom w:val="single" w:color="auto" w:sz="4" w:space="0"/>
              <w:right w:val="single" w:color="auto" w:sz="4" w:space="0"/>
            </w:tcBorders>
            <w:vAlign w:val="top"/>
          </w:tcPr>
          <w:p>
            <w:pPr>
              <w:spacing w:line="255" w:lineRule="auto"/>
              <w:rPr>
                <w:rFonts w:hint="eastAsia" w:ascii="宋体" w:hAnsi="宋体" w:eastAsia="宋体" w:cs="宋体"/>
                <w:color w:val="auto"/>
                <w:sz w:val="21"/>
                <w:szCs w:val="21"/>
                <w:highlight w:val="none"/>
              </w:rPr>
            </w:pPr>
          </w:p>
          <w:p>
            <w:pPr>
              <w:spacing w:line="255" w:lineRule="auto"/>
              <w:rPr>
                <w:rFonts w:hint="eastAsia" w:ascii="宋体" w:hAnsi="宋体" w:eastAsia="宋体" w:cs="宋体"/>
                <w:color w:val="auto"/>
                <w:sz w:val="21"/>
                <w:szCs w:val="21"/>
                <w:highlight w:val="none"/>
              </w:rPr>
            </w:pPr>
          </w:p>
          <w:p>
            <w:pPr>
              <w:spacing w:line="256" w:lineRule="auto"/>
              <w:rPr>
                <w:rFonts w:hint="eastAsia" w:ascii="宋体" w:hAnsi="宋体" w:eastAsia="宋体" w:cs="宋体"/>
                <w:color w:val="auto"/>
                <w:sz w:val="21"/>
                <w:szCs w:val="21"/>
                <w:highlight w:val="none"/>
              </w:rPr>
            </w:pPr>
          </w:p>
          <w:p>
            <w:pPr>
              <w:spacing w:line="256" w:lineRule="auto"/>
              <w:rPr>
                <w:rFonts w:hint="eastAsia" w:ascii="宋体" w:hAnsi="宋体" w:eastAsia="宋体" w:cs="宋体"/>
                <w:color w:val="auto"/>
                <w:sz w:val="21"/>
                <w:szCs w:val="21"/>
                <w:highlight w:val="none"/>
              </w:rPr>
            </w:pPr>
          </w:p>
          <w:p>
            <w:pPr>
              <w:spacing w:line="256" w:lineRule="auto"/>
              <w:rPr>
                <w:rFonts w:hint="eastAsia" w:ascii="宋体" w:hAnsi="宋体" w:eastAsia="宋体" w:cs="宋体"/>
                <w:color w:val="auto"/>
                <w:sz w:val="21"/>
                <w:szCs w:val="21"/>
                <w:highlight w:val="none"/>
              </w:rPr>
            </w:pPr>
          </w:p>
          <w:p>
            <w:pPr>
              <w:spacing w:before="73" w:line="186" w:lineRule="auto"/>
              <w:ind w:left="11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2" w:type="pct"/>
            <w:tcBorders>
              <w:top w:val="single" w:color="auto" w:sz="4" w:space="0"/>
              <w:left w:val="single" w:color="auto" w:sz="4" w:space="0"/>
              <w:bottom w:val="single" w:color="auto" w:sz="4" w:space="0"/>
              <w:right w:val="single" w:color="auto" w:sz="4" w:space="0"/>
            </w:tcBorders>
            <w:vAlign w:val="center"/>
          </w:tcPr>
          <w:p>
            <w:pPr>
              <w:pStyle w:val="21"/>
              <w:spacing w:before="244" w:line="221" w:lineRule="auto"/>
              <w:ind w:left="64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采购品目</w:t>
            </w:r>
          </w:p>
        </w:tc>
        <w:tc>
          <w:tcPr>
            <w:tcW w:w="801" w:type="pct"/>
            <w:tcBorders>
              <w:top w:val="single" w:color="auto" w:sz="4" w:space="0"/>
              <w:left w:val="single" w:color="auto" w:sz="4" w:space="0"/>
              <w:bottom w:val="single" w:color="auto" w:sz="4" w:space="0"/>
              <w:right w:val="single" w:color="auto" w:sz="4" w:space="0"/>
            </w:tcBorders>
            <w:vAlign w:val="center"/>
          </w:tcPr>
          <w:p>
            <w:pPr>
              <w:pStyle w:val="21"/>
              <w:spacing w:before="245" w:line="221" w:lineRule="auto"/>
              <w:ind w:left="10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A02080000</w:t>
            </w:r>
          </w:p>
        </w:tc>
        <w:tc>
          <w:tcPr>
            <w:tcW w:w="1240" w:type="pct"/>
            <w:tcBorders>
              <w:top w:val="single" w:color="auto" w:sz="4" w:space="0"/>
              <w:left w:val="single" w:color="auto" w:sz="4" w:space="0"/>
              <w:bottom w:val="single" w:color="auto" w:sz="4" w:space="0"/>
              <w:right w:val="single" w:color="auto" w:sz="4" w:space="0"/>
            </w:tcBorders>
            <w:vAlign w:val="center"/>
          </w:tcPr>
          <w:p>
            <w:pPr>
              <w:pStyle w:val="21"/>
              <w:tabs>
                <w:tab w:val="left" w:pos="545"/>
                <w:tab w:val="left" w:pos="603"/>
              </w:tabs>
              <w:spacing w:before="245"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标的名称</w:t>
            </w:r>
          </w:p>
        </w:tc>
        <w:tc>
          <w:tcPr>
            <w:tcW w:w="1103" w:type="pct"/>
            <w:tcBorders>
              <w:top w:val="single" w:color="auto" w:sz="4" w:space="0"/>
              <w:left w:val="single" w:color="auto" w:sz="4" w:space="0"/>
              <w:bottom w:val="single" w:color="auto" w:sz="4" w:space="0"/>
              <w:right w:val="single" w:color="auto" w:sz="4" w:space="0"/>
            </w:tcBorders>
            <w:vAlign w:val="top"/>
          </w:tcPr>
          <w:p>
            <w:pPr>
              <w:pStyle w:val="21"/>
              <w:spacing w:before="100" w:line="251" w:lineRule="auto"/>
              <w:ind w:left="108" w:right="218" w:hanging="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汉源县应急卫星通讯装备采购项目</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08" w:hRule="atLeast"/>
        </w:trPr>
        <w:tc>
          <w:tcPr>
            <w:tcW w:w="511" w:type="pct"/>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p>
        </w:tc>
        <w:tc>
          <w:tcPr>
            <w:tcW w:w="1342" w:type="pct"/>
            <w:tcBorders>
              <w:top w:val="single" w:color="auto" w:sz="4" w:space="0"/>
              <w:left w:val="single" w:color="auto" w:sz="4" w:space="0"/>
              <w:bottom w:val="single" w:color="auto" w:sz="4" w:space="0"/>
              <w:right w:val="single" w:color="auto" w:sz="4" w:space="0"/>
            </w:tcBorders>
            <w:vAlign w:val="top"/>
          </w:tcPr>
          <w:p>
            <w:pPr>
              <w:pStyle w:val="21"/>
              <w:spacing w:before="97" w:line="221" w:lineRule="auto"/>
              <w:ind w:left="84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数量</w:t>
            </w:r>
          </w:p>
        </w:tc>
        <w:tc>
          <w:tcPr>
            <w:tcW w:w="801" w:type="pct"/>
            <w:tcBorders>
              <w:top w:val="single" w:color="auto" w:sz="4" w:space="0"/>
              <w:left w:val="single" w:color="auto" w:sz="4" w:space="0"/>
              <w:bottom w:val="single" w:color="auto" w:sz="4" w:space="0"/>
              <w:right w:val="single" w:color="auto" w:sz="4" w:space="0"/>
            </w:tcBorders>
            <w:vAlign w:val="center"/>
          </w:tcPr>
          <w:p>
            <w:pPr>
              <w:spacing w:before="117" w:line="187"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40" w:type="pct"/>
            <w:tcBorders>
              <w:top w:val="single" w:color="auto" w:sz="4" w:space="0"/>
              <w:left w:val="single" w:color="auto" w:sz="4" w:space="0"/>
              <w:bottom w:val="single" w:color="auto" w:sz="4" w:space="0"/>
              <w:right w:val="single" w:color="auto" w:sz="4" w:space="0"/>
            </w:tcBorders>
            <w:vAlign w:val="center"/>
          </w:tcPr>
          <w:p>
            <w:pPr>
              <w:pStyle w:val="21"/>
              <w:spacing w:before="97" w:line="222" w:lineRule="auto"/>
              <w:ind w:left="850"/>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单位</w:t>
            </w:r>
          </w:p>
        </w:tc>
        <w:tc>
          <w:tcPr>
            <w:tcW w:w="1103" w:type="pct"/>
            <w:tcBorders>
              <w:top w:val="single" w:color="auto" w:sz="4" w:space="0"/>
              <w:left w:val="single" w:color="auto" w:sz="4" w:space="0"/>
              <w:bottom w:val="single" w:color="auto" w:sz="4" w:space="0"/>
              <w:right w:val="single" w:color="auto" w:sz="4" w:space="0"/>
            </w:tcBorders>
            <w:vAlign w:val="center"/>
          </w:tcPr>
          <w:p>
            <w:pPr>
              <w:pStyle w:val="21"/>
              <w:spacing w:before="97" w:line="222" w:lineRule="auto"/>
              <w:ind w:left="1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04" w:hRule="atLeast"/>
        </w:trPr>
        <w:tc>
          <w:tcPr>
            <w:tcW w:w="511" w:type="pct"/>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p>
        </w:tc>
        <w:tc>
          <w:tcPr>
            <w:tcW w:w="1342" w:type="pct"/>
            <w:tcBorders>
              <w:top w:val="single" w:color="auto" w:sz="4" w:space="0"/>
              <w:left w:val="single" w:color="auto" w:sz="4" w:space="0"/>
              <w:bottom w:val="single" w:color="auto" w:sz="4" w:space="0"/>
              <w:right w:val="single" w:color="auto" w:sz="4" w:space="0"/>
            </w:tcBorders>
            <w:vAlign w:val="top"/>
          </w:tcPr>
          <w:p>
            <w:pPr>
              <w:pStyle w:val="21"/>
              <w:spacing w:before="147" w:line="221" w:lineRule="auto"/>
              <w:ind w:left="33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合计金额（元）</w:t>
            </w:r>
          </w:p>
        </w:tc>
        <w:tc>
          <w:tcPr>
            <w:tcW w:w="801" w:type="pct"/>
            <w:tcBorders>
              <w:top w:val="single" w:color="auto" w:sz="4" w:space="0"/>
              <w:left w:val="single" w:color="auto" w:sz="4" w:space="0"/>
              <w:bottom w:val="single" w:color="auto" w:sz="4" w:space="0"/>
              <w:right w:val="single" w:color="auto" w:sz="4" w:space="0"/>
            </w:tcBorders>
            <w:vAlign w:val="center"/>
          </w:tcPr>
          <w:p>
            <w:pPr>
              <w:spacing w:before="168" w:line="18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320000</w:t>
            </w:r>
            <w:r>
              <w:rPr>
                <w:rFonts w:hint="eastAsia" w:ascii="宋体" w:hAnsi="宋体" w:eastAsia="宋体" w:cs="宋体"/>
                <w:color w:val="auto"/>
                <w:sz w:val="21"/>
                <w:szCs w:val="21"/>
                <w:highlight w:val="none"/>
              </w:rPr>
              <w:t>元</w:t>
            </w:r>
          </w:p>
        </w:tc>
        <w:tc>
          <w:tcPr>
            <w:tcW w:w="1240" w:type="pct"/>
            <w:tcBorders>
              <w:top w:val="single" w:color="auto" w:sz="4" w:space="0"/>
              <w:left w:val="single" w:color="auto" w:sz="4" w:space="0"/>
              <w:bottom w:val="single" w:color="auto" w:sz="4" w:space="0"/>
              <w:right w:val="single" w:color="auto" w:sz="4" w:space="0"/>
            </w:tcBorders>
            <w:vAlign w:val="top"/>
          </w:tcPr>
          <w:p>
            <w:pPr>
              <w:pStyle w:val="21"/>
              <w:spacing w:before="99" w:line="220" w:lineRule="auto"/>
              <w:ind w:left="54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单价（元）</w:t>
            </w:r>
          </w:p>
        </w:tc>
        <w:tc>
          <w:tcPr>
            <w:tcW w:w="1103" w:type="pct"/>
            <w:tcBorders>
              <w:top w:val="single" w:color="auto" w:sz="4" w:space="0"/>
              <w:left w:val="single" w:color="auto" w:sz="4" w:space="0"/>
              <w:bottom w:val="single" w:color="auto" w:sz="4" w:space="0"/>
              <w:right w:val="single" w:color="auto" w:sz="4" w:space="0"/>
            </w:tcBorders>
            <w:vAlign w:val="top"/>
          </w:tcPr>
          <w:p>
            <w:pPr>
              <w:spacing w:before="168" w:line="181"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320000</w:t>
            </w:r>
            <w:r>
              <w:rPr>
                <w:rFonts w:hint="eastAsia" w:ascii="宋体" w:hAnsi="宋体" w:eastAsia="宋体" w:cs="宋体"/>
                <w:color w:val="auto"/>
                <w:sz w:val="21"/>
                <w:szCs w:val="21"/>
                <w:highlight w:val="none"/>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09" w:hRule="atLeast"/>
        </w:trPr>
        <w:tc>
          <w:tcPr>
            <w:tcW w:w="511" w:type="pct"/>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p>
        </w:tc>
        <w:tc>
          <w:tcPr>
            <w:tcW w:w="1342" w:type="pct"/>
            <w:tcBorders>
              <w:top w:val="single" w:color="auto" w:sz="4" w:space="0"/>
              <w:left w:val="single" w:color="auto" w:sz="4" w:space="0"/>
              <w:bottom w:val="single" w:color="auto" w:sz="4" w:space="0"/>
              <w:right w:val="single" w:color="auto" w:sz="4" w:space="0"/>
            </w:tcBorders>
            <w:vAlign w:val="top"/>
          </w:tcPr>
          <w:p>
            <w:pPr>
              <w:pStyle w:val="21"/>
              <w:spacing w:before="101" w:line="221" w:lineRule="auto"/>
              <w:ind w:left="23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是否采购节能产品</w:t>
            </w:r>
          </w:p>
        </w:tc>
        <w:tc>
          <w:tcPr>
            <w:tcW w:w="801" w:type="pct"/>
            <w:tcBorders>
              <w:top w:val="single" w:color="auto" w:sz="4" w:space="0"/>
              <w:left w:val="single" w:color="auto" w:sz="4" w:space="0"/>
              <w:bottom w:val="single" w:color="auto" w:sz="4" w:space="0"/>
              <w:right w:val="single" w:color="auto" w:sz="4" w:space="0"/>
            </w:tcBorders>
            <w:vAlign w:val="top"/>
          </w:tcPr>
          <w:p>
            <w:pPr>
              <w:pStyle w:val="21"/>
              <w:spacing w:before="101" w:line="222" w:lineRule="auto"/>
              <w:ind w:lef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1240" w:type="pct"/>
            <w:tcBorders>
              <w:top w:val="single" w:color="auto" w:sz="4" w:space="0"/>
              <w:left w:val="single" w:color="auto" w:sz="4" w:space="0"/>
              <w:bottom w:val="single" w:color="auto" w:sz="4" w:space="0"/>
              <w:right w:val="single" w:color="auto" w:sz="4" w:space="0"/>
            </w:tcBorders>
            <w:vAlign w:val="top"/>
          </w:tcPr>
          <w:p>
            <w:pPr>
              <w:pStyle w:val="21"/>
              <w:spacing w:before="101" w:line="221"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未采购节能产品原因</w:t>
            </w:r>
          </w:p>
        </w:tc>
        <w:tc>
          <w:tcPr>
            <w:tcW w:w="1103" w:type="pct"/>
            <w:tcBorders>
              <w:top w:val="single" w:color="auto" w:sz="4" w:space="0"/>
              <w:left w:val="single" w:color="auto" w:sz="4" w:space="0"/>
              <w:bottom w:val="single" w:color="auto" w:sz="4" w:space="0"/>
              <w:right w:val="single" w:color="auto" w:sz="4" w:space="0"/>
            </w:tcBorders>
            <w:vAlign w:val="top"/>
          </w:tcPr>
          <w:p>
            <w:pPr>
              <w:pStyle w:val="21"/>
              <w:spacing w:before="101" w:line="222" w:lineRule="auto"/>
              <w:ind w:left="10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本项目不涉及</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09" w:hRule="atLeast"/>
        </w:trPr>
        <w:tc>
          <w:tcPr>
            <w:tcW w:w="511" w:type="pct"/>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p>
        </w:tc>
        <w:tc>
          <w:tcPr>
            <w:tcW w:w="1342" w:type="pct"/>
            <w:tcBorders>
              <w:top w:val="single" w:color="auto" w:sz="4" w:space="0"/>
              <w:left w:val="single" w:color="auto" w:sz="4" w:space="0"/>
              <w:bottom w:val="single" w:color="auto" w:sz="4" w:space="0"/>
              <w:right w:val="single" w:color="auto" w:sz="4" w:space="0"/>
            </w:tcBorders>
            <w:vAlign w:val="top"/>
          </w:tcPr>
          <w:p>
            <w:pPr>
              <w:pStyle w:val="21"/>
              <w:spacing w:before="102" w:line="221" w:lineRule="auto"/>
              <w:ind w:left="23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是否采购环保产品</w:t>
            </w:r>
          </w:p>
        </w:tc>
        <w:tc>
          <w:tcPr>
            <w:tcW w:w="801" w:type="pct"/>
            <w:tcBorders>
              <w:top w:val="single" w:color="auto" w:sz="4" w:space="0"/>
              <w:left w:val="single" w:color="auto" w:sz="4" w:space="0"/>
              <w:bottom w:val="single" w:color="auto" w:sz="4" w:space="0"/>
              <w:right w:val="single" w:color="auto" w:sz="4" w:space="0"/>
            </w:tcBorders>
            <w:vAlign w:val="top"/>
          </w:tcPr>
          <w:p>
            <w:pPr>
              <w:pStyle w:val="21"/>
              <w:spacing w:before="102" w:line="222" w:lineRule="auto"/>
              <w:ind w:lef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1240" w:type="pct"/>
            <w:tcBorders>
              <w:top w:val="single" w:color="auto" w:sz="4" w:space="0"/>
              <w:left w:val="single" w:color="auto" w:sz="4" w:space="0"/>
              <w:bottom w:val="single" w:color="auto" w:sz="4" w:space="0"/>
              <w:right w:val="single" w:color="auto" w:sz="4" w:space="0"/>
            </w:tcBorders>
            <w:vAlign w:val="top"/>
          </w:tcPr>
          <w:p>
            <w:pPr>
              <w:pStyle w:val="21"/>
              <w:spacing w:before="102" w:line="221"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未采购环保产品原因</w:t>
            </w:r>
          </w:p>
        </w:tc>
        <w:tc>
          <w:tcPr>
            <w:tcW w:w="1103" w:type="pct"/>
            <w:tcBorders>
              <w:top w:val="single" w:color="auto" w:sz="4" w:space="0"/>
              <w:left w:val="single" w:color="auto" w:sz="4" w:space="0"/>
              <w:bottom w:val="single" w:color="auto" w:sz="4" w:space="0"/>
              <w:right w:val="single" w:color="auto" w:sz="4" w:space="0"/>
            </w:tcBorders>
            <w:vAlign w:val="top"/>
          </w:tcPr>
          <w:p>
            <w:pPr>
              <w:pStyle w:val="21"/>
              <w:spacing w:before="102" w:line="222" w:lineRule="auto"/>
              <w:ind w:left="10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lang w:val="en-US" w:eastAsia="zh-CN"/>
              </w:rPr>
              <w:t>本项目不涉及</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14" w:hRule="atLeast"/>
        </w:trPr>
        <w:tc>
          <w:tcPr>
            <w:tcW w:w="511" w:type="pct"/>
            <w:vMerge w:val="continue"/>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 w:val="21"/>
                <w:szCs w:val="21"/>
                <w:highlight w:val="none"/>
              </w:rPr>
            </w:pPr>
          </w:p>
        </w:tc>
        <w:tc>
          <w:tcPr>
            <w:tcW w:w="1342" w:type="pct"/>
            <w:tcBorders>
              <w:top w:val="single" w:color="auto" w:sz="4" w:space="0"/>
              <w:left w:val="single" w:color="auto" w:sz="4" w:space="0"/>
              <w:bottom w:val="single" w:color="auto" w:sz="4" w:space="0"/>
              <w:right w:val="single" w:color="auto" w:sz="4" w:space="0"/>
            </w:tcBorders>
            <w:vAlign w:val="top"/>
          </w:tcPr>
          <w:p>
            <w:pPr>
              <w:pStyle w:val="21"/>
              <w:spacing w:before="103" w:line="221" w:lineRule="auto"/>
              <w:ind w:left="23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是否采购进口产品</w:t>
            </w:r>
          </w:p>
        </w:tc>
        <w:tc>
          <w:tcPr>
            <w:tcW w:w="801" w:type="pct"/>
            <w:tcBorders>
              <w:top w:val="single" w:color="auto" w:sz="4" w:space="0"/>
              <w:left w:val="single" w:color="auto" w:sz="4" w:space="0"/>
              <w:bottom w:val="single" w:color="auto" w:sz="4" w:space="0"/>
              <w:right w:val="single" w:color="auto" w:sz="4" w:space="0"/>
            </w:tcBorders>
            <w:vAlign w:val="top"/>
          </w:tcPr>
          <w:p>
            <w:pPr>
              <w:pStyle w:val="21"/>
              <w:spacing w:before="103" w:line="222" w:lineRule="auto"/>
              <w:ind w:left="10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c>
          <w:tcPr>
            <w:tcW w:w="1240" w:type="pct"/>
            <w:tcBorders>
              <w:top w:val="single" w:color="auto" w:sz="4" w:space="0"/>
              <w:left w:val="single" w:color="auto" w:sz="4" w:space="0"/>
              <w:bottom w:val="single" w:color="auto" w:sz="4" w:space="0"/>
              <w:right w:val="single" w:color="auto" w:sz="4" w:space="0"/>
            </w:tcBorders>
            <w:vAlign w:val="top"/>
          </w:tcPr>
          <w:p>
            <w:pPr>
              <w:pStyle w:val="21"/>
              <w:spacing w:before="103" w:line="222" w:lineRule="auto"/>
              <w:ind w:left="33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标的物所属行业</w:t>
            </w:r>
          </w:p>
        </w:tc>
        <w:tc>
          <w:tcPr>
            <w:tcW w:w="1103" w:type="pct"/>
            <w:tcBorders>
              <w:top w:val="single" w:color="auto" w:sz="4" w:space="0"/>
              <w:left w:val="single" w:color="auto" w:sz="4" w:space="0"/>
              <w:bottom w:val="single" w:color="auto" w:sz="4" w:space="0"/>
              <w:right w:val="single" w:color="auto" w:sz="4" w:space="0"/>
            </w:tcBorders>
            <w:vAlign w:val="top"/>
          </w:tcPr>
          <w:p>
            <w:pPr>
              <w:pStyle w:val="21"/>
              <w:spacing w:before="104" w:line="221" w:lineRule="auto"/>
              <w:ind w:left="10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bl>
    <w:p>
      <w:pPr>
        <w:rPr>
          <w:rFonts w:hint="eastAsia"/>
          <w:color w:val="auto"/>
          <w:lang w:val="en-US" w:eastAsia="zh-CN"/>
        </w:rPr>
      </w:pPr>
    </w:p>
    <w:p>
      <w:pPr>
        <w:pStyle w:val="4"/>
        <w:bidi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（二）标的名称：汉源县应急卫星通讯装备采购项目</w:t>
      </w:r>
    </w:p>
    <w:p>
      <w:pPr>
        <w:pStyle w:val="5"/>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采购内容及技术要求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1.1.1采购清单及技术参数</w:t>
      </w:r>
    </w:p>
    <w:tbl>
      <w:tblPr>
        <w:tblStyle w:val="14"/>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8"/>
        <w:gridCol w:w="1059"/>
        <w:gridCol w:w="6749"/>
        <w:gridCol w:w="607"/>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598" w:type="dxa"/>
            <w:noWrap/>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序号</w:t>
            </w:r>
          </w:p>
        </w:tc>
        <w:tc>
          <w:tcPr>
            <w:tcW w:w="1059" w:type="dxa"/>
            <w:noWrap w:val="0"/>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采购内容</w:t>
            </w:r>
          </w:p>
        </w:tc>
        <w:tc>
          <w:tcPr>
            <w:tcW w:w="6749" w:type="dxa"/>
            <w:noWrap w:val="0"/>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技术参数性能指标</w:t>
            </w:r>
          </w:p>
        </w:tc>
        <w:tc>
          <w:tcPr>
            <w:tcW w:w="607" w:type="dxa"/>
            <w:noWrap/>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单位</w:t>
            </w:r>
          </w:p>
        </w:tc>
        <w:tc>
          <w:tcPr>
            <w:tcW w:w="595" w:type="dxa"/>
            <w:noWrap/>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2" w:hRule="atLeast"/>
        </w:trPr>
        <w:tc>
          <w:tcPr>
            <w:tcW w:w="598" w:type="dxa"/>
            <w:noWrap/>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8"/>
                <w:szCs w:val="28"/>
                <w:lang w:val="en-US" w:eastAsia="zh-CN" w:bidi="ar-SA"/>
              </w:rPr>
            </w:pPr>
            <w:r>
              <w:rPr>
                <w:rFonts w:hint="eastAsia" w:ascii="宋体" w:hAnsi="宋体" w:eastAsia="宋体" w:cs="宋体"/>
                <w:color w:val="auto"/>
                <w:lang w:val="en-US" w:eastAsia="zh-CN"/>
              </w:rPr>
              <w:t>1</w:t>
            </w:r>
          </w:p>
        </w:tc>
        <w:tc>
          <w:tcPr>
            <w:tcW w:w="1059" w:type="dxa"/>
            <w:noWrap w:val="0"/>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卫星通信装备及配套服务</w:t>
            </w:r>
          </w:p>
          <w:p>
            <w:pPr>
              <w:pStyle w:val="3"/>
              <w:pageBreakBefore w:val="0"/>
              <w:overflowPunct/>
              <w:topLinePunct w:val="0"/>
              <w:bidi w:val="0"/>
              <w:spacing w:line="360" w:lineRule="auto"/>
              <w:rPr>
                <w:rFonts w:hint="eastAsia" w:ascii="宋体" w:hAnsi="宋体" w:eastAsia="宋体" w:cs="宋体"/>
                <w:b w:val="0"/>
                <w:color w:val="auto"/>
                <w:kern w:val="2"/>
                <w:sz w:val="28"/>
                <w:szCs w:val="28"/>
                <w:lang w:val="en-US" w:eastAsia="zh-CN" w:bidi="ar-SA"/>
              </w:rPr>
            </w:pPr>
          </w:p>
        </w:tc>
        <w:tc>
          <w:tcPr>
            <w:tcW w:w="6749" w:type="dxa"/>
            <w:noWrap w:val="0"/>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（一）服务性能要求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1.提供的国产卫星通信服务（含1年通信服务费）需支持接收</w:t>
            </w:r>
            <w:r>
              <w:rPr>
                <w:rFonts w:hint="eastAsia" w:ascii="宋体" w:hAnsi="宋体" w:eastAsia="宋体" w:cs="宋体"/>
                <w:b w:val="0"/>
                <w:strike w:val="0"/>
                <w:dstrike w:val="0"/>
                <w:color w:val="auto"/>
                <w:kern w:val="2"/>
                <w:sz w:val="21"/>
                <w:szCs w:val="28"/>
                <w:highlight w:val="none"/>
                <w:u w:val="none"/>
                <w:lang w:val="en-US" w:eastAsia="zh-CN" w:bidi="ar-SA"/>
              </w:rPr>
              <w:t>国产卫星</w:t>
            </w:r>
            <w:r>
              <w:rPr>
                <w:rFonts w:hint="eastAsia" w:ascii="宋体" w:hAnsi="宋体" w:eastAsia="宋体" w:cs="宋体"/>
                <w:b w:val="0"/>
                <w:color w:val="auto"/>
                <w:kern w:val="2"/>
                <w:sz w:val="21"/>
                <w:szCs w:val="28"/>
                <w:highlight w:val="none"/>
                <w:lang w:val="en-US" w:eastAsia="zh-CN" w:bidi="ar-SA"/>
              </w:rPr>
              <w:t>信号功率：≤ - 125dBm；</w:t>
            </w:r>
            <w:r>
              <w:rPr>
                <w:rFonts w:hint="eastAsia" w:ascii="宋体" w:hAnsi="宋体" w:eastAsia="宋体" w:cs="宋体"/>
                <w:b w:val="0"/>
                <w:strike w:val="0"/>
                <w:dstrike w:val="0"/>
                <w:color w:val="auto"/>
                <w:kern w:val="2"/>
                <w:sz w:val="21"/>
                <w:szCs w:val="28"/>
                <w:highlight w:val="none"/>
                <w:lang w:val="en-US" w:eastAsia="zh-CN" w:bidi="ar-SA"/>
              </w:rPr>
              <w:t>国产卫星</w:t>
            </w:r>
            <w:r>
              <w:rPr>
                <w:rFonts w:hint="eastAsia" w:ascii="宋体" w:hAnsi="宋体" w:eastAsia="宋体" w:cs="宋体"/>
                <w:b w:val="0"/>
                <w:strike w:val="0"/>
                <w:color w:val="auto"/>
                <w:kern w:val="2"/>
                <w:sz w:val="21"/>
                <w:szCs w:val="28"/>
                <w:highlight w:val="none"/>
                <w:lang w:val="en-US" w:eastAsia="zh-CN" w:bidi="ar-SA"/>
              </w:rPr>
              <w:t>:</w:t>
            </w:r>
            <w:r>
              <w:rPr>
                <w:rFonts w:hint="eastAsia" w:ascii="宋体" w:hAnsi="宋体" w:eastAsia="宋体" w:cs="宋体"/>
                <w:b w:val="0"/>
                <w:color w:val="auto"/>
                <w:kern w:val="2"/>
                <w:sz w:val="21"/>
                <w:szCs w:val="28"/>
                <w:highlight w:val="none"/>
                <w:lang w:val="en-US" w:eastAsia="zh-CN" w:bidi="ar-SA"/>
              </w:rPr>
              <w:t>a) 对于专用段24kbps 信息帧，≤-122dBm，b)对于专用段 16kbps 信息帧， ≤-125dBm，c) 对于专用段 8kbps 信息帧，≤ -130dBm；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2.提供的卫星通信服务</w:t>
            </w:r>
            <w:r>
              <w:rPr>
                <w:rFonts w:hint="eastAsia" w:ascii="宋体" w:hAnsi="宋体" w:eastAsia="宋体" w:cs="宋体"/>
                <w:b w:val="0"/>
                <w:strike w:val="0"/>
                <w:dstrike w:val="0"/>
                <w:color w:val="auto"/>
                <w:kern w:val="2"/>
                <w:sz w:val="21"/>
                <w:szCs w:val="28"/>
                <w:highlight w:val="none"/>
                <w:lang w:val="en-US" w:eastAsia="zh-CN" w:bidi="ar-SA"/>
              </w:rPr>
              <w:t>接收的短消息</w:t>
            </w:r>
            <w:r>
              <w:rPr>
                <w:rFonts w:hint="eastAsia" w:ascii="宋体" w:hAnsi="宋体" w:eastAsia="宋体" w:cs="宋体"/>
                <w:b w:val="0"/>
                <w:color w:val="auto"/>
                <w:kern w:val="2"/>
                <w:sz w:val="21"/>
                <w:szCs w:val="28"/>
                <w:highlight w:val="none"/>
                <w:lang w:val="en-US" w:eastAsia="zh-CN" w:bidi="ar-SA"/>
              </w:rPr>
              <w:t>：不少于1000个汉字；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3.▲国产卫星通信服务的单点定位精度：水平精度&lt;3.0m（RMS），垂直精度&lt;5.0m（RMS）（投标时需提供具有CMA、CNAS认证的第三方机构出具的检测报告扫描件）；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4.提供的卫星通信服务测速精度≤0.2m/s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5.▲提供的国产卫星通信服务定位时间：冷启动首次定位所需时间全频点≤30S，热启动首次定位所需时间全频点≤20S；重捕时间≤2S（投标时需提供具有CMA、CNAS认证的第三方机构出具的检测报告扫描件）；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6.提供的卫星通信服务RDSS工作频点至少包括S: S1、S2C_d、S2C_p，L: Lf0、Lf1、Lf2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7.提供的国产卫星通信服务RDSS发射EIRP值：6dBw~8dBW；发射频率准确度：≤5×10-7；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8.提供的国产卫星通信服务RDSS接受波束≥14个；RDSS载波抑制度≥30dBc；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9.提供的国产卫星通信服务收发成功率≥96%（无遮挡、无干扰）；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10.报警：具备一键报警；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11.▲内置音视频编码模块，在具备低速率网络（128kbps~256kbps）环境下，激活系统后可实时传输高质量视频图像到指挥中心并实现与雅安市应急管理局指挥中心卫星视频调度系统平台互联互通；（须提供承诺函，格式自拟，必须有供应商法定代表人或单位负责人签字和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（二）终端性能指标：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1.▲CPU：≥8核,主频≥2.3GHz，存储容量≥6G（RAM）+128GB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（ROM）；支持128G的T-Flash卡扩展；（投标时需提供具有CMA、CNAS认证的第三方机构出具的检测报告扫描件）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2.显示屏尺寸≥6.0英寸，分辨率≥2280*1080；支持多点触控；亮度：≥500nit,阳光下清晰可见；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3.摄像头：前置≥1300万像素，后置≥2100万像素；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4.▲电池容量：不低于6000mAH,支持可拆卸式锂电池；（投标时需提供具有CMA、CNAS认证的第三方机构出具的检测报告扫描件）；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5.操作系统:≥Android10；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6.支持指纹识别；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7.通讯：无线支持蓝牙协议5.0，支持WIFI协议IEEE802.11a/b/g/n；支持4G全网通；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8.接口：标准Type-C 接口；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9.传感器：加速度、距离、光线、地磁、陀螺仪；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10.温度：工作-20℃~+60℃，存储-40℃~+70℃；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11.▲防护等级：防水IP68，抗1.5m跌落；（投标时需提供具有CMA、CNAS认证的第三方机构出具的检测报告扫描件）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（三）其他要求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1.▲终端需有支持国产卫星通信的</w:t>
            </w:r>
            <w:r>
              <w:rPr>
                <w:rFonts w:hint="eastAsia" w:ascii="宋体" w:hAnsi="宋体" w:eastAsia="宋体" w:cs="宋体"/>
                <w:b w:val="0"/>
                <w:color w:val="auto"/>
                <w:kern w:val="2"/>
                <w:sz w:val="21"/>
                <w:szCs w:val="28"/>
                <w:highlight w:val="none"/>
                <w:u w:val="single"/>
                <w:lang w:val="en-US" w:eastAsia="zh-CN" w:bidi="ar-SA"/>
              </w:rPr>
              <w:t>入网检验</w:t>
            </w:r>
            <w:r>
              <w:rPr>
                <w:rFonts w:hint="eastAsia" w:ascii="宋体" w:hAnsi="宋体" w:eastAsia="宋体" w:cs="宋体"/>
                <w:b w:val="0"/>
                <w:color w:val="auto"/>
                <w:kern w:val="2"/>
                <w:sz w:val="21"/>
                <w:szCs w:val="28"/>
                <w:highlight w:val="none"/>
                <w:u w:val="none"/>
                <w:lang w:val="en-US" w:eastAsia="zh-CN" w:bidi="ar-SA"/>
              </w:rPr>
              <w:t>的</w:t>
            </w:r>
            <w:r>
              <w:rPr>
                <w:rFonts w:hint="eastAsia" w:ascii="宋体" w:hAnsi="宋体" w:eastAsia="宋体" w:cs="宋体"/>
                <w:b w:val="0"/>
                <w:color w:val="auto"/>
                <w:kern w:val="2"/>
                <w:sz w:val="21"/>
                <w:szCs w:val="28"/>
                <w:highlight w:val="none"/>
                <w:lang w:val="en-US" w:eastAsia="zh-CN" w:bidi="ar-SA"/>
              </w:rPr>
              <w:t>《检验报告》，投标时需要提供入网检验报告复印件；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lang w:val="en-US" w:eastAsia="zh-CN"/>
              </w:rPr>
            </w:pPr>
            <w:r>
              <w:rPr>
                <w:rFonts w:hint="eastAsia" w:ascii="宋体" w:hAnsi="宋体" w:eastAsia="宋体" w:cs="宋体"/>
                <w:b w:val="0"/>
                <w:color w:val="auto"/>
                <w:kern w:val="2"/>
                <w:sz w:val="21"/>
                <w:szCs w:val="28"/>
                <w:highlight w:val="none"/>
                <w:lang w:val="en-US" w:eastAsia="zh-CN" w:bidi="ar-SA"/>
              </w:rPr>
              <w:t>2.▲终端需有产品</w:t>
            </w:r>
            <w:r>
              <w:rPr>
                <w:rFonts w:hint="eastAsia" w:ascii="宋体" w:hAnsi="宋体" w:eastAsia="宋体" w:cs="宋体"/>
                <w:b w:val="0"/>
                <w:color w:val="auto"/>
                <w:kern w:val="2"/>
                <w:sz w:val="21"/>
                <w:szCs w:val="28"/>
                <w:highlight w:val="none"/>
                <w:u w:val="single"/>
                <w:lang w:val="en-US" w:eastAsia="zh-CN" w:bidi="ar-SA"/>
              </w:rPr>
              <w:t>防爆合格证</w:t>
            </w:r>
            <w:r>
              <w:rPr>
                <w:rFonts w:hint="eastAsia" w:ascii="宋体" w:hAnsi="宋体" w:eastAsia="宋体" w:cs="宋体"/>
                <w:b w:val="0"/>
                <w:color w:val="auto"/>
                <w:kern w:val="2"/>
                <w:sz w:val="21"/>
                <w:szCs w:val="28"/>
                <w:highlight w:val="none"/>
                <w:lang w:val="en-US" w:eastAsia="zh-CN" w:bidi="ar-SA"/>
              </w:rPr>
              <w:t>（投标时需提供具有CMA、CNAS认证的第三方机构出具的检测报告扫描件）；</w:t>
            </w:r>
          </w:p>
        </w:tc>
        <w:tc>
          <w:tcPr>
            <w:tcW w:w="607" w:type="dxa"/>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套</w:t>
            </w:r>
          </w:p>
        </w:tc>
        <w:tc>
          <w:tcPr>
            <w:tcW w:w="595" w:type="dxa"/>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598" w:type="dxa"/>
            <w:noWrap/>
            <w:tcMar>
              <w:top w:w="12" w:type="dxa"/>
              <w:left w:w="12" w:type="dxa"/>
              <w:right w:w="12" w:type="dxa"/>
            </w:tcMar>
            <w:vAlign w:val="center"/>
          </w:tcPr>
          <w:p>
            <w:pPr>
              <w:pageBreakBefore w:val="0"/>
              <w:tabs>
                <w:tab w:val="left" w:pos="0"/>
              </w:tabs>
              <w:kinsoku/>
              <w:wordWrap w:val="0"/>
              <w:overflowPunct/>
              <w:topLinePunct w:val="0"/>
              <w:autoSpaceDE/>
              <w:autoSpaceDN/>
              <w:bidi w:val="0"/>
              <w:adjustRightInd/>
              <w:snapToGrid/>
              <w:spacing w:line="360" w:lineRule="auto"/>
              <w:jc w:val="center"/>
              <w:textAlignment w:val="center"/>
              <w:rPr>
                <w:rFonts w:hint="eastAsia" w:ascii="宋体" w:hAnsi="宋体" w:eastAsia="宋体" w:cs="宋体"/>
                <w:b w:val="0"/>
                <w:color w:val="auto"/>
                <w:kern w:val="2"/>
                <w:sz w:val="28"/>
                <w:szCs w:val="28"/>
                <w:lang w:val="en-US" w:eastAsia="zh-CN" w:bidi="ar-SA"/>
              </w:rPr>
            </w:pPr>
            <w:r>
              <w:rPr>
                <w:rFonts w:hint="eastAsia" w:ascii="宋体" w:hAnsi="宋体" w:eastAsia="宋体" w:cs="宋体"/>
                <w:color w:val="auto"/>
                <w:lang w:val="en-US" w:eastAsia="zh-CN"/>
              </w:rPr>
              <w:t>2</w:t>
            </w:r>
          </w:p>
        </w:tc>
        <w:tc>
          <w:tcPr>
            <w:tcW w:w="1059" w:type="dxa"/>
            <w:noWrap w:val="0"/>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培训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服务</w:t>
            </w:r>
          </w:p>
        </w:tc>
        <w:tc>
          <w:tcPr>
            <w:tcW w:w="6749" w:type="dxa"/>
            <w:noWrap w:val="0"/>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b w:val="0"/>
                <w:color w:val="auto"/>
                <w:kern w:val="2"/>
                <w:sz w:val="21"/>
                <w:szCs w:val="28"/>
                <w:highlight w:val="none"/>
                <w:lang w:val="en-US" w:eastAsia="zh-CN" w:bidi="ar-SA"/>
              </w:rPr>
              <w:t>服务期内，根据采购人需要提供培训所需的教材</w:t>
            </w:r>
            <w:r>
              <w:rPr>
                <w:rFonts w:hint="eastAsia" w:ascii="宋体" w:hAnsi="宋体" w:eastAsia="宋体" w:cs="宋体"/>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b w:val="0"/>
                <w:color w:val="auto"/>
                <w:kern w:val="2"/>
                <w:sz w:val="21"/>
                <w:szCs w:val="28"/>
                <w:highlight w:val="none"/>
                <w:lang w:val="en-US" w:eastAsia="zh-CN" w:bidi="ar-SA"/>
              </w:rPr>
              <w:t>服务期内，根据业主要求提供不少于1次现场培训</w:t>
            </w:r>
            <w:r>
              <w:rPr>
                <w:rFonts w:hint="eastAsia" w:ascii="宋体" w:hAnsi="宋体" w:eastAsia="宋体" w:cs="宋体"/>
                <w:color w:val="auto"/>
                <w:highlight w:val="none"/>
                <w:lang w:val="en-US" w:eastAsia="zh-CN"/>
              </w:rPr>
              <w:t>。</w:t>
            </w:r>
          </w:p>
        </w:tc>
        <w:tc>
          <w:tcPr>
            <w:tcW w:w="607" w:type="dxa"/>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lang w:val="en-US" w:eastAsia="zh-CN" w:bidi="ar-SA"/>
              </w:rPr>
            </w:pPr>
            <w:r>
              <w:rPr>
                <w:rFonts w:hint="eastAsia" w:ascii="宋体" w:hAnsi="宋体" w:eastAsia="宋体" w:cs="宋体"/>
                <w:b w:val="0"/>
                <w:color w:val="auto"/>
                <w:kern w:val="2"/>
                <w:sz w:val="21"/>
                <w:szCs w:val="28"/>
                <w:lang w:val="en-US" w:eastAsia="zh-CN" w:bidi="ar-SA"/>
              </w:rPr>
              <w:t>项</w:t>
            </w:r>
          </w:p>
        </w:tc>
        <w:tc>
          <w:tcPr>
            <w:tcW w:w="595" w:type="dxa"/>
            <w:noWrap/>
            <w:tcMar>
              <w:top w:w="12" w:type="dxa"/>
              <w:left w:w="12" w:type="dxa"/>
              <w:right w:w="1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lang w:val="en-US" w:eastAsia="zh-CN" w:bidi="ar-SA"/>
              </w:rPr>
            </w:pPr>
            <w:r>
              <w:rPr>
                <w:rFonts w:hint="eastAsia" w:ascii="宋体" w:hAnsi="宋体" w:eastAsia="宋体" w:cs="宋体"/>
                <w:b w:val="0"/>
                <w:color w:val="auto"/>
                <w:kern w:val="2"/>
                <w:sz w:val="21"/>
                <w:szCs w:val="28"/>
                <w:lang w:val="en-US" w:eastAsia="zh-CN" w:bidi="ar-SA"/>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1.1.2人员配置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210" w:firstLineChars="1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供应商根据本项目实际情况自行配置人员。（具体要求详见评分标准）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1.1.3项目实施方案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 w:leftChars="0" w:firstLine="409" w:firstLineChars="195"/>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供应商需根据本项目实际情况制定本项目实施方案，内容包括：①项目整体实施方案；②项目进度安排；③供货方案；④质量保障措施；⑤风险控制措施。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1.1.4售后服务方案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1"/>
          <w:szCs w:val="28"/>
          <w:highlight w:val="none"/>
          <w:lang w:val="en-US" w:eastAsia="zh-CN" w:bidi="ar-SA"/>
        </w:rPr>
        <w:t>供应商需根据本项目实际情况制定本项目售后服务，内容包括：①人员配置；②售后服务流程；③售后服务保障措施；④应急响应机制；⑤培训服务方案。</w:t>
      </w:r>
    </w:p>
    <w:p>
      <w:pPr>
        <w:pStyle w:val="5"/>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1.2.1供货期限：自签订合同之日起30日。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1.2.2供货地点：采购人指定地点。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1.2.3付款方式及时间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b/>
          <w:bCs/>
          <w:color w:val="auto"/>
          <w:kern w:val="2"/>
          <w:sz w:val="21"/>
          <w:szCs w:val="28"/>
          <w:highlight w:val="none"/>
          <w:lang w:val="en-US" w:eastAsia="zh-CN" w:bidi="ar-SA"/>
        </w:rPr>
        <w:t>（1）付款条件说明： 签订采购合同后 ，达到付款条件起 5 日内，支付合同总金额的40.00%。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b/>
          <w:bCs/>
          <w:color w:val="auto"/>
          <w:kern w:val="2"/>
          <w:sz w:val="21"/>
          <w:szCs w:val="28"/>
          <w:highlight w:val="none"/>
          <w:lang w:val="en-US" w:eastAsia="zh-CN" w:bidi="ar-SA"/>
        </w:rPr>
        <w:t>（2）付款条件说明： 经采购人验收合格后 ，达到付款条件起 10 日内，支付合同总金额的 60.00%。</w:t>
      </w:r>
    </w:p>
    <w:p>
      <w:pPr>
        <w:pStyle w:val="5"/>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供货要求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1.3.1成交供应商应保证货物是全新、未使用过的合格货物，所涉及到的所有货物必须符合国家相关标准规范的合格要求，且权属清楚，不得侵害他人的权利</w:t>
      </w:r>
      <w:r>
        <w:rPr>
          <w:rFonts w:hint="eastAsia" w:ascii="宋体" w:hAnsi="宋体" w:eastAsia="宋体" w:cs="宋体"/>
          <w:b w:val="0"/>
          <w:color w:val="auto"/>
          <w:kern w:val="2"/>
          <w:sz w:val="21"/>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1.3.2货物到达采购人要求的地点后，采购人组织对货物进行验收，有一样验收不合格须按要求进行退换直至验收合格方可交货。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1.3.3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5"/>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1.4.1对有质量问题的货物（含配件），应无条件调换或退货，供应商接到调换通知后，2个工作日内时间内完成调换，由此产生的费用由成交供应商自行负责。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1.4.2提供7×24小时售后响应服务。供应商应在接到设备故障通知后2小时内电话响应，4小时内到达故障点位。12小时内不能排除故障的应提供备用机，以保证系统的正常运转。故障问题解决后24小时内，应向采购人提交问题处理报告，说明问题种类、问题原因、问题解决中使用的方法及造成的损失等情况。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1.4.3供应商在满足采购人项目要求的前提下，项目实施中的一切风险（包括人员安全事故责任、与第三方的劳务纠纷、项目实施过程中的劳务纠纷及人员伤害等）均由成交供应商一方承担责任。采购人不承担任何安全责任，也不承担因发生安全事故产生的其他责任。（须在响应文件中单独提供承诺函，格式自拟，必须有供应商法定代表人或</w:t>
      </w:r>
      <w:r>
        <w:rPr>
          <w:rFonts w:hint="eastAsia" w:ascii="宋体" w:hAnsi="宋体" w:eastAsia="宋体" w:cs="宋体"/>
          <w:b w:val="0"/>
          <w:color w:val="auto"/>
          <w:kern w:val="2"/>
          <w:sz w:val="21"/>
          <w:szCs w:val="28"/>
          <w:highlight w:val="none"/>
          <w:lang w:val="en-US" w:eastAsia="zh-CN" w:bidi="ar-SA"/>
        </w:rPr>
        <w:t>单位负责人签字和加盖供应商公章）</w:t>
      </w:r>
    </w:p>
    <w:p>
      <w:pPr>
        <w:pStyle w:val="5"/>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质量保修范围和保修期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1.5.1本项目采购的所有货物（除采购清单及技术参数中明确提供质保的货物外）均提供一年质保(厂家有超出一年质保期的按厂家质保期执行)，质保期内供应商对其提供的所有货物进行维护、更换，质保期为采购人验收合格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1.5.2成交供应商须提供全新的货物（含零部件、配件等），表面无划伤、无碰撞痕迹，且权属清楚，不得侵害他人的知识产权。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1.5.3货物制造质量出现问题，成交供应商应负责三包（包修、包换、包退），费用由成交供应商负担，采购人有权到成交供应商所投产品生产场地检查货物质量和生产进度。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1.5.4货物到现场后由于采购人保管不当造成的质量问题，成交供应商亦应负责修理，但费用由采购人负担。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 xml:space="preserve">1.5.5质保期内出现质量问题，成交供应商在接到通知后4小时内响应到场，48小时内完成维修或更换，并承担修理调换的费用。 </w:t>
      </w:r>
    </w:p>
    <w:p>
      <w:pPr>
        <w:pStyle w:val="5"/>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验收办法及标准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1.6.1采购人在供应商通知履约完毕后7日内进行验收，验收合格，双方签署《验收报告》。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1.6.2验收标准：按国家有关规定以及采购文件的质量要求和技术指标、供应商的响应文件及承诺与本合同约定标准进行验收；采购人与供应商双方如对服务质量要求和技术指标的约定标准有相互抵触或异议的事项，由采购人在采购文件及响应文件中按服务质量要求和技术指标比较优胜的原则确定该项的约定标准进行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1.6.3采购人无故不进行验收工作并已使用项目履约成果的，视同验收合格。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1.6.4项目验收结果合格的，供应商凭验收合格证明书办理相关手续；验收结果不合格的，将不予支付采购资金，还可能上报本项目同级财政部门按照政府采购法律法规等有关规定给予行政处罚。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1.6.5其他未尽事宜应严格按照《财政部关于进一步加强政府采购需求和履约验收管理的指导意见》(财库〔2016〕205号) 、《政府采购需求管理办法》  (财库〔2021〕22号) 、《雅安市财政局关于规范政府采购履约验收工作的通知》  (雅财采〔2021〕50号) 要求进行验收。</w:t>
      </w:r>
    </w:p>
    <w:p>
      <w:pPr>
        <w:pStyle w:val="4"/>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Hans" w:bidi="ar-SA"/>
        </w:rPr>
        <w:t>1</w:t>
      </w:r>
      <w:r>
        <w:rPr>
          <w:rFonts w:hint="eastAsia" w:ascii="宋体" w:hAnsi="宋体" w:eastAsia="宋体" w:cs="宋体"/>
          <w:b w:val="0"/>
          <w:color w:val="auto"/>
          <w:kern w:val="2"/>
          <w:sz w:val="21"/>
          <w:szCs w:val="28"/>
          <w:highlight w:val="none"/>
          <w:lang w:val="en-US" w:eastAsia="zh-CN" w:bidi="ar-SA"/>
        </w:rPr>
        <w:t>.供应商需全面掌握应急管理部、应急管理厅已经出台的安全生产、灾害防治、应急救援指挥等方面的信息化相关标准规范、政策文件，从而保证项目过程文档符合相关部门的相关要求。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Hans" w:bidi="ar-SA"/>
        </w:rPr>
        <w:t>2</w:t>
      </w:r>
      <w:r>
        <w:rPr>
          <w:rFonts w:hint="eastAsia" w:ascii="宋体" w:hAnsi="宋体" w:eastAsia="宋体" w:cs="宋体"/>
          <w:b w:val="0"/>
          <w:color w:val="auto"/>
          <w:kern w:val="2"/>
          <w:sz w:val="21"/>
          <w:szCs w:val="28"/>
          <w:highlight w:val="none"/>
          <w:lang w:val="en-US" w:eastAsia="zh-CN" w:bidi="ar-SA"/>
        </w:rPr>
        <w:t>.保密要求：供应商必须对技术文件以及由采购人提供的所有内部资料、技术文档和信息予以保密。未经采购人书面许可，供应商不得以任何形式向第三方透露本期项目的任何内容。（提供承诺函，格式自拟，必须有供应商法定代表人/单位负责人签字和加盖供应商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3.本项目实施完成后，供应商须移交项目涉及的所有数据、接口和协议。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ascii="宋体" w:hAnsi="宋体" w:eastAsia="宋体" w:cs="宋体"/>
          <w:b w:val="0"/>
          <w:snapToGrid w:val="0"/>
          <w:color w:val="auto"/>
          <w:kern w:val="2"/>
          <w:sz w:val="21"/>
          <w:szCs w:val="28"/>
          <w:highlight w:val="none"/>
          <w:lang w:val="en-US" w:eastAsia="zh-CN" w:bidi="ar-SA"/>
        </w:rPr>
      </w:pPr>
      <w:r>
        <w:rPr>
          <w:rFonts w:hint="eastAsia" w:ascii="宋体" w:hAnsi="宋体" w:eastAsia="宋体" w:cs="宋体"/>
          <w:b w:val="0"/>
          <w:snapToGrid w:val="0"/>
          <w:color w:val="auto"/>
          <w:kern w:val="2"/>
          <w:sz w:val="21"/>
          <w:szCs w:val="28"/>
          <w:highlight w:val="none"/>
          <w:lang w:val="en-US" w:eastAsia="zh-CN" w:bidi="ar-SA"/>
        </w:rPr>
        <w:t>4、</w:t>
      </w:r>
      <w:r>
        <w:rPr>
          <w:color w:val="auto"/>
        </w:rPr>
        <w:t>产品交货时，采购人有权</w:t>
      </w:r>
      <w:r>
        <w:rPr>
          <w:rFonts w:hint="eastAsia" w:eastAsia="宋体"/>
          <w:color w:val="auto"/>
          <w:lang w:val="en-US" w:eastAsia="zh-CN"/>
        </w:rPr>
        <w:t>要求提供本项目有关“</w:t>
      </w:r>
      <w:r>
        <w:rPr>
          <w:rFonts w:hint="eastAsia" w:ascii="宋体" w:hAnsi="宋体" w:eastAsia="宋体" w:cs="宋体"/>
          <w:b w:val="0"/>
          <w:color w:val="auto"/>
          <w:kern w:val="2"/>
          <w:sz w:val="21"/>
          <w:szCs w:val="28"/>
          <w:highlight w:val="none"/>
          <w:lang w:val="en-US" w:eastAsia="zh-CN" w:bidi="ar-SA"/>
        </w:rPr>
        <w:t>第三方机构出具的检测报告</w:t>
      </w:r>
      <w:r>
        <w:rPr>
          <w:rFonts w:hint="eastAsia" w:eastAsia="宋体"/>
          <w:color w:val="auto"/>
          <w:lang w:val="en-US" w:eastAsia="zh-CN"/>
        </w:rPr>
        <w:t>”原件审查，</w:t>
      </w:r>
      <w:r>
        <w:rPr>
          <w:color w:val="auto"/>
        </w:rPr>
        <w:t>若</w:t>
      </w:r>
      <w:r>
        <w:rPr>
          <w:rFonts w:hint="eastAsia" w:eastAsia="宋体"/>
          <w:color w:val="auto"/>
          <w:lang w:val="en-US" w:eastAsia="zh-CN"/>
        </w:rPr>
        <w:t>不能</w:t>
      </w:r>
      <w:r>
        <w:rPr>
          <w:color w:val="auto"/>
        </w:rPr>
        <w:t>提供</w:t>
      </w:r>
      <w:r>
        <w:rPr>
          <w:rFonts w:hint="eastAsia" w:eastAsia="宋体"/>
          <w:color w:val="auto"/>
          <w:lang w:val="en-US" w:eastAsia="zh-CN"/>
        </w:rPr>
        <w:t>或提供的“</w:t>
      </w:r>
      <w:r>
        <w:rPr>
          <w:rFonts w:hint="eastAsia" w:ascii="宋体" w:hAnsi="宋体" w:eastAsia="宋体" w:cs="宋体"/>
          <w:b w:val="0"/>
          <w:color w:val="auto"/>
          <w:kern w:val="2"/>
          <w:sz w:val="21"/>
          <w:szCs w:val="28"/>
          <w:highlight w:val="none"/>
          <w:lang w:val="en-US" w:eastAsia="zh-CN" w:bidi="ar-SA"/>
        </w:rPr>
        <w:t>第三方机构出具的检测报告</w:t>
      </w:r>
      <w:r>
        <w:rPr>
          <w:rFonts w:hint="eastAsia" w:eastAsia="宋体"/>
          <w:color w:val="auto"/>
          <w:lang w:val="en-US" w:eastAsia="zh-CN"/>
        </w:rPr>
        <w:t>”与投标时不一致</w:t>
      </w:r>
      <w:r>
        <w:rPr>
          <w:color w:val="auto"/>
        </w:rPr>
        <w:t>，</w:t>
      </w:r>
      <w:r>
        <w:rPr>
          <w:rFonts w:hint="eastAsia" w:eastAsia="宋体"/>
          <w:color w:val="auto"/>
          <w:lang w:val="en-US" w:eastAsia="zh-CN"/>
        </w:rPr>
        <w:t>视为虚假应标，</w:t>
      </w:r>
      <w:r>
        <w:rPr>
          <w:color w:val="auto"/>
        </w:rPr>
        <w:t>采购人有权</w:t>
      </w:r>
      <w:r>
        <w:rPr>
          <w:rFonts w:hint="eastAsia" w:eastAsia="宋体"/>
          <w:color w:val="auto"/>
          <w:lang w:val="en-US" w:eastAsia="zh-CN"/>
        </w:rPr>
        <w:t>拒绝签订合同或</w:t>
      </w:r>
      <w:r>
        <w:rPr>
          <w:color w:val="auto"/>
        </w:rPr>
        <w:t>终止合同，并上报行政主管部门</w:t>
      </w:r>
      <w:r>
        <w:rPr>
          <w:rFonts w:hint="eastAsia" w:eastAsia="宋体"/>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eastAsia="宋体" w:cs="Times New Roman"/>
          <w:color w:val="auto"/>
          <w:kern w:val="2"/>
          <w:lang w:eastAsia="zh-CN"/>
        </w:rPr>
      </w:pPr>
      <w:r>
        <w:rPr>
          <w:rFonts w:hint="eastAsia" w:ascii="宋体" w:hAnsi="宋体" w:eastAsia="宋体" w:cs="宋体"/>
          <w:b w:val="0"/>
          <w:snapToGrid w:val="0"/>
          <w:color w:val="auto"/>
          <w:kern w:val="2"/>
          <w:sz w:val="21"/>
          <w:szCs w:val="28"/>
          <w:highlight w:val="none"/>
          <w:lang w:val="en-US" w:eastAsia="zh-CN" w:bidi="ar-SA"/>
        </w:rPr>
        <w:t>5、投标供应商承诺为本项目提供的产品中</w:t>
      </w:r>
      <w:r>
        <w:rPr>
          <w:rFonts w:hint="eastAsia" w:eastAsia="宋体" w:cs="Times New Roman"/>
          <w:color w:val="auto"/>
          <w:kern w:val="2"/>
          <w:lang w:val="en-US" w:eastAsia="zh-CN"/>
        </w:rPr>
        <w:t>属于</w:t>
      </w:r>
      <w:r>
        <w:rPr>
          <w:rFonts w:hint="eastAsia" w:ascii="宋体" w:hAnsi="宋体" w:eastAsia="宋体" w:cs="宋体"/>
          <w:b w:val="0"/>
          <w:snapToGrid w:val="0"/>
          <w:color w:val="auto"/>
          <w:kern w:val="2"/>
          <w:sz w:val="21"/>
          <w:szCs w:val="28"/>
          <w:highlight w:val="none"/>
          <w:lang w:val="en-US" w:eastAsia="zh-CN" w:bidi="ar-SA"/>
        </w:rPr>
        <w:t>国家强制</w:t>
      </w:r>
      <w:r>
        <w:rPr>
          <w:rFonts w:cs="Times New Roman"/>
          <w:color w:val="auto"/>
          <w:kern w:val="2"/>
        </w:rPr>
        <w:t>3C认证</w:t>
      </w:r>
      <w:r>
        <w:rPr>
          <w:rFonts w:hint="eastAsia" w:eastAsia="宋体" w:cs="Times New Roman"/>
          <w:color w:val="auto"/>
          <w:kern w:val="2"/>
          <w:lang w:eastAsia="zh-CN"/>
        </w:rPr>
        <w:t>的，均通过国家强制</w:t>
      </w:r>
      <w:r>
        <w:rPr>
          <w:rFonts w:hint="eastAsia" w:eastAsia="宋体" w:cs="Times New Roman"/>
          <w:color w:val="auto"/>
          <w:kern w:val="2"/>
          <w:lang w:val="en-US" w:eastAsia="zh-CN"/>
        </w:rPr>
        <w:t>3C</w:t>
      </w:r>
      <w:r>
        <w:rPr>
          <w:rFonts w:hint="eastAsia" w:eastAsia="宋体" w:cs="Times New Roman"/>
          <w:color w:val="auto"/>
          <w:kern w:val="2"/>
          <w:lang w:eastAsia="zh-CN"/>
        </w:rPr>
        <w:t>认证并取得认证证书（</w:t>
      </w:r>
      <w:r>
        <w:rPr>
          <w:rFonts w:hint="eastAsia" w:eastAsia="宋体" w:cs="Times New Roman"/>
          <w:color w:val="auto"/>
          <w:kern w:val="2"/>
          <w:lang w:val="en-US" w:eastAsia="zh-CN"/>
        </w:rPr>
        <w:t>产品交货时，</w:t>
      </w:r>
      <w:r>
        <w:rPr>
          <w:color w:val="auto"/>
        </w:rPr>
        <w:t>采购人有权</w:t>
      </w:r>
      <w:r>
        <w:rPr>
          <w:rFonts w:hint="eastAsia" w:eastAsia="宋体"/>
          <w:color w:val="auto"/>
          <w:lang w:val="en-US" w:eastAsia="zh-CN"/>
        </w:rPr>
        <w:t>要求提供本项目有关“</w:t>
      </w:r>
      <w:r>
        <w:rPr>
          <w:rFonts w:hint="eastAsia" w:ascii="宋体" w:hAnsi="宋体" w:eastAsia="宋体" w:cs="宋体"/>
          <w:b w:val="0"/>
          <w:snapToGrid w:val="0"/>
          <w:color w:val="auto"/>
          <w:kern w:val="2"/>
          <w:sz w:val="21"/>
          <w:szCs w:val="28"/>
          <w:highlight w:val="none"/>
          <w:lang w:val="en-US" w:eastAsia="zh-CN" w:bidi="ar-SA"/>
        </w:rPr>
        <w:t>国家强制</w:t>
      </w:r>
      <w:r>
        <w:rPr>
          <w:rFonts w:cs="Times New Roman"/>
          <w:color w:val="auto"/>
          <w:kern w:val="2"/>
        </w:rPr>
        <w:t>3C认证</w:t>
      </w:r>
      <w:r>
        <w:rPr>
          <w:rFonts w:hint="eastAsia" w:eastAsia="宋体" w:cs="Times New Roman"/>
          <w:color w:val="auto"/>
          <w:kern w:val="2"/>
          <w:lang w:val="en-US" w:eastAsia="zh-CN"/>
        </w:rPr>
        <w:t>证书</w:t>
      </w:r>
      <w:r>
        <w:rPr>
          <w:rFonts w:hint="eastAsia" w:eastAsia="宋体"/>
          <w:color w:val="auto"/>
          <w:lang w:val="en-US" w:eastAsia="zh-CN"/>
        </w:rPr>
        <w:t>”原件审查，</w:t>
      </w:r>
      <w:r>
        <w:rPr>
          <w:color w:val="auto"/>
        </w:rPr>
        <w:t>若</w:t>
      </w:r>
      <w:r>
        <w:rPr>
          <w:rFonts w:hint="eastAsia" w:eastAsia="宋体"/>
          <w:color w:val="auto"/>
          <w:lang w:val="en-US" w:eastAsia="zh-CN"/>
        </w:rPr>
        <w:t>不能提供，视为虚假应标，</w:t>
      </w:r>
      <w:r>
        <w:rPr>
          <w:color w:val="auto"/>
        </w:rPr>
        <w:t>采购人有权</w:t>
      </w:r>
      <w:r>
        <w:rPr>
          <w:rFonts w:hint="eastAsia" w:eastAsia="宋体"/>
          <w:color w:val="auto"/>
          <w:lang w:val="en-US" w:eastAsia="zh-CN"/>
        </w:rPr>
        <w:t>拒绝签订合同或</w:t>
      </w:r>
      <w:r>
        <w:rPr>
          <w:color w:val="auto"/>
        </w:rPr>
        <w:t>终止合同，并上报行政主管部门</w:t>
      </w:r>
      <w:r>
        <w:rPr>
          <w:rFonts w:hint="eastAsia" w:eastAsia="宋体" w:cs="Times New Roman"/>
          <w:color w:val="auto"/>
          <w:kern w:val="2"/>
          <w:lang w:eastAsia="zh-CN"/>
        </w:rPr>
        <w:t>）。（</w:t>
      </w:r>
      <w:r>
        <w:rPr>
          <w:rFonts w:hint="eastAsia" w:eastAsia="宋体" w:cs="Times New Roman"/>
          <w:color w:val="auto"/>
          <w:kern w:val="2"/>
          <w:lang w:val="en-US" w:eastAsia="zh-CN"/>
        </w:rPr>
        <w:t>提供承诺函，格式自拟，加盖电子签章</w:t>
      </w:r>
      <w:r>
        <w:rPr>
          <w:rFonts w:hint="eastAsia" w:eastAsia="宋体" w:cs="Times New Roman"/>
          <w:color w:val="auto"/>
          <w:kern w:val="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firstLine="420" w:firstLineChars="200"/>
        <w:jc w:val="left"/>
        <w:textAlignment w:val="auto"/>
        <w:rPr>
          <w:rFonts w:hint="eastAsia"/>
          <w:color w:val="auto"/>
          <w:lang w:val="en-US" w:eastAsia="zh-CN"/>
        </w:rPr>
      </w:pPr>
      <w:r>
        <w:rPr>
          <w:rFonts w:hint="eastAsia" w:ascii="宋体" w:hAnsi="宋体" w:eastAsia="宋体" w:cs="宋体"/>
          <w:b w:val="0"/>
          <w:color w:val="auto"/>
          <w:kern w:val="2"/>
          <w:sz w:val="21"/>
          <w:szCs w:val="28"/>
          <w:highlight w:val="none"/>
          <w:lang w:val="en-US" w:eastAsia="zh-CN" w:bidi="ar-SA"/>
        </w:rPr>
        <w:t>6、产品交货时，采购人有权对产品是否实现与雅安市应急管理局指挥中心卫星视频调度系统平台互联互通的功能测试，若提供的终端设备无法满足采购文件要求或虚假应标的，采购人有权</w:t>
      </w:r>
      <w:r>
        <w:rPr>
          <w:rFonts w:hint="eastAsia" w:eastAsia="宋体"/>
          <w:color w:val="auto"/>
          <w:lang w:val="en-US" w:eastAsia="zh-CN"/>
        </w:rPr>
        <w:t>拒绝签订合同或</w:t>
      </w:r>
      <w:r>
        <w:rPr>
          <w:color w:val="auto"/>
        </w:rPr>
        <w:t>终止合同</w:t>
      </w:r>
      <w:r>
        <w:rPr>
          <w:rFonts w:hint="eastAsia" w:ascii="宋体" w:hAnsi="宋体" w:eastAsia="宋体" w:cs="宋体"/>
          <w:b w:val="0"/>
          <w:color w:val="auto"/>
          <w:kern w:val="2"/>
          <w:sz w:val="21"/>
          <w:szCs w:val="28"/>
          <w:highlight w:val="none"/>
          <w:lang w:val="en-US" w:eastAsia="zh-CN" w:bidi="ar-SA"/>
        </w:rPr>
        <w:t>，并上报行政主管部门，成交投标人承担相关法律责任。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snapToGrid w:val="0"/>
          <w:color w:val="auto"/>
          <w:kern w:val="2"/>
          <w:sz w:val="21"/>
          <w:szCs w:val="28"/>
          <w:highlight w:val="none"/>
          <w:lang w:val="en-US" w:eastAsia="zh-CN" w:bidi="ar-SA"/>
        </w:rPr>
      </w:pPr>
      <w:r>
        <w:rPr>
          <w:rFonts w:hint="eastAsia" w:ascii="宋体" w:hAnsi="宋体" w:eastAsia="宋体" w:cs="宋体"/>
          <w:b w:val="0"/>
          <w:snapToGrid w:val="0"/>
          <w:color w:val="auto"/>
          <w:kern w:val="2"/>
          <w:sz w:val="21"/>
          <w:szCs w:val="28"/>
          <w:highlight w:val="none"/>
          <w:lang w:val="en-US" w:eastAsia="zh-CN" w:bidi="ar-SA"/>
        </w:rPr>
        <w:t>注：（1）本项目执行相关国家及行业规范、标准。如本项目所涉及的相关国家及行业规范、标准、文件如有更新最新标准，则以最新标准执行。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snapToGrid w:val="0"/>
          <w:color w:val="auto"/>
          <w:kern w:val="2"/>
          <w:sz w:val="21"/>
          <w:szCs w:val="28"/>
          <w:highlight w:val="none"/>
          <w:lang w:val="en-US" w:eastAsia="zh-CN" w:bidi="ar-SA"/>
        </w:rPr>
      </w:pPr>
      <w:r>
        <w:rPr>
          <w:rFonts w:hint="eastAsia" w:ascii="宋体" w:hAnsi="宋体" w:eastAsia="宋体" w:cs="宋体"/>
          <w:b w:val="0"/>
          <w:snapToGrid w:val="0"/>
          <w:color w:val="auto"/>
          <w:kern w:val="2"/>
          <w:sz w:val="21"/>
          <w:szCs w:val="28"/>
          <w:highlight w:val="none"/>
          <w:lang w:val="en-US" w:eastAsia="zh-CN" w:bidi="ar-SA"/>
        </w:rPr>
        <w:t>（2）带“★”号的条款为本次采购项目的必须满足的内容，供应商应全部满足，否则作无效响应处理。</w:t>
      </w:r>
    </w:p>
    <w:p>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4.供应商一般资格要求</w:t>
      </w:r>
    </w:p>
    <w:tbl>
      <w:tblPr>
        <w:tblStyle w:val="20"/>
        <w:tblpPr w:leftFromText="180" w:rightFromText="180" w:vertAnchor="text" w:horzAnchor="page" w:tblpX="1290" w:tblpY="179"/>
        <w:tblOverlap w:val="never"/>
        <w:tblW w:w="4898"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532"/>
        <w:gridCol w:w="3010"/>
        <w:gridCol w:w="5476"/>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69" w:hRule="atLeast"/>
        </w:trPr>
        <w:tc>
          <w:tcPr>
            <w:tcW w:w="295" w:type="pct"/>
            <w:shd w:val="clear" w:color="auto" w:fill="E2E2E2"/>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68" w:type="pct"/>
            <w:shd w:val="clear" w:color="auto" w:fill="E2E2E2"/>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资格要求名称</w:t>
            </w:r>
          </w:p>
        </w:tc>
        <w:tc>
          <w:tcPr>
            <w:tcW w:w="3035" w:type="pct"/>
            <w:shd w:val="clear" w:color="auto" w:fill="E2E2E2"/>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资格要求详细说明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93"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1</w:t>
            </w:r>
          </w:p>
        </w:tc>
        <w:tc>
          <w:tcPr>
            <w:tcW w:w="1668" w:type="pct"/>
            <w:vAlign w:val="center"/>
          </w:tcPr>
          <w:p>
            <w:pPr>
              <w:pStyle w:val="21"/>
              <w:spacing w:before="99" w:line="260" w:lineRule="auto"/>
              <w:ind w:left="103" w:right="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具有独立承担民事责任的能力。</w:t>
            </w:r>
          </w:p>
        </w:tc>
        <w:tc>
          <w:tcPr>
            <w:tcW w:w="3035" w:type="pct"/>
            <w:vAlign w:val="center"/>
          </w:tcPr>
          <w:p>
            <w:pPr>
              <w:spacing w:line="322"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供应商需在项目电子化交易系统中按要求填写《投标（响应）函》完成</w:t>
            </w:r>
            <w:r>
              <w:rPr>
                <w:rFonts w:hint="eastAsia" w:ascii="宋体" w:hAnsi="宋体" w:eastAsia="宋体" w:cs="宋体"/>
                <w:color w:val="auto"/>
                <w:spacing w:val="1"/>
                <w:sz w:val="21"/>
                <w:szCs w:val="21"/>
                <w:highlight w:val="none"/>
              </w:rPr>
              <w:t>承诺并进行电子签章。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17"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2</w:t>
            </w:r>
          </w:p>
        </w:tc>
        <w:tc>
          <w:tcPr>
            <w:tcW w:w="1668" w:type="pct"/>
            <w:vAlign w:val="center"/>
          </w:tcPr>
          <w:p>
            <w:pPr>
              <w:pStyle w:val="21"/>
              <w:spacing w:before="103" w:line="250" w:lineRule="auto"/>
              <w:ind w:left="99" w:right="100" w:firstLine="4"/>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具有良好的商业信誉</w:t>
            </w:r>
            <w:r>
              <w:rPr>
                <w:rFonts w:hint="eastAsia" w:ascii="宋体" w:hAnsi="宋体" w:eastAsia="宋体" w:cs="宋体"/>
                <w:color w:val="auto"/>
                <w:spacing w:val="-1"/>
                <w:sz w:val="21"/>
                <w:szCs w:val="21"/>
                <w:highlight w:val="none"/>
                <w:lang w:eastAsia="zh-CN"/>
              </w:rPr>
              <w:t>。</w:t>
            </w:r>
          </w:p>
        </w:tc>
        <w:tc>
          <w:tcPr>
            <w:tcW w:w="3035" w:type="pct"/>
            <w:vAlign w:val="center"/>
          </w:tcPr>
          <w:p>
            <w:pPr>
              <w:spacing w:line="254" w:lineRule="auto"/>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供应商需在项目电子化交易系统中按要求填写《投标（响应）函》完成</w:t>
            </w:r>
            <w:r>
              <w:rPr>
                <w:rFonts w:hint="eastAsia" w:ascii="宋体" w:hAnsi="宋体" w:eastAsia="宋体" w:cs="宋体"/>
                <w:color w:val="auto"/>
                <w:spacing w:val="1"/>
                <w:sz w:val="21"/>
                <w:szCs w:val="21"/>
                <w:highlight w:val="none"/>
              </w:rPr>
              <w:t>承诺并进行电子签章。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57"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3</w:t>
            </w:r>
          </w:p>
        </w:tc>
        <w:tc>
          <w:tcPr>
            <w:tcW w:w="1668" w:type="pct"/>
            <w:vAlign w:val="center"/>
          </w:tcPr>
          <w:p>
            <w:pPr>
              <w:spacing w:line="297" w:lineRule="auto"/>
              <w:jc w:val="left"/>
              <w:rPr>
                <w:rFonts w:hint="eastAsia" w:ascii="宋体" w:hAnsi="宋体" w:eastAsia="宋体" w:cs="宋体"/>
                <w:color w:val="auto"/>
                <w:sz w:val="21"/>
                <w:szCs w:val="21"/>
                <w:highlight w:val="none"/>
              </w:rPr>
            </w:pPr>
          </w:p>
          <w:p>
            <w:pPr>
              <w:spacing w:line="297" w:lineRule="auto"/>
              <w:jc w:val="left"/>
              <w:rPr>
                <w:rFonts w:hint="eastAsia" w:ascii="宋体" w:hAnsi="宋体" w:eastAsia="宋体" w:cs="宋体"/>
                <w:color w:val="auto"/>
                <w:sz w:val="21"/>
                <w:szCs w:val="21"/>
                <w:highlight w:val="none"/>
              </w:rPr>
            </w:pPr>
          </w:p>
          <w:p>
            <w:pPr>
              <w:spacing w:line="298" w:lineRule="auto"/>
              <w:jc w:val="left"/>
              <w:rPr>
                <w:rFonts w:hint="eastAsia" w:ascii="宋体" w:hAnsi="宋体" w:eastAsia="宋体" w:cs="宋体"/>
                <w:color w:val="auto"/>
                <w:sz w:val="21"/>
                <w:szCs w:val="21"/>
                <w:highlight w:val="none"/>
              </w:rPr>
            </w:pPr>
          </w:p>
          <w:p>
            <w:pPr>
              <w:pStyle w:val="21"/>
              <w:spacing w:before="62" w:line="250" w:lineRule="auto"/>
              <w:ind w:left="102" w:leftChars="0" w:right="100" w:rightChars="0" w:firstLine="2" w:firstLineChars="0"/>
              <w:jc w:val="left"/>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具有健全的财务会计制度</w:t>
            </w:r>
            <w:r>
              <w:rPr>
                <w:rFonts w:hint="eastAsia" w:ascii="宋体" w:hAnsi="宋体" w:eastAsia="宋体" w:cs="宋体"/>
                <w:color w:val="auto"/>
                <w:spacing w:val="-1"/>
                <w:sz w:val="21"/>
                <w:szCs w:val="21"/>
                <w:highlight w:val="none"/>
                <w:lang w:eastAsia="zh-CN"/>
              </w:rPr>
              <w:t>。</w:t>
            </w:r>
          </w:p>
        </w:tc>
        <w:tc>
          <w:tcPr>
            <w:tcW w:w="3035" w:type="pct"/>
            <w:vAlign w:val="center"/>
          </w:tcPr>
          <w:p>
            <w:pPr>
              <w:pStyle w:val="21"/>
              <w:numPr>
                <w:ilvl w:val="0"/>
                <w:numId w:val="0"/>
              </w:numPr>
              <w:spacing w:before="92" w:line="261" w:lineRule="auto"/>
              <w:ind w:right="77" w:rightChars="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供应商需在项目电子化交易系统中按要求填写《投标（响应）函》完成承诺并进行电子签章。</w:t>
            </w:r>
          </w:p>
          <w:p>
            <w:pPr>
              <w:pStyle w:val="21"/>
              <w:numPr>
                <w:ilvl w:val="0"/>
                <w:numId w:val="0"/>
              </w:numPr>
              <w:spacing w:before="92" w:line="261" w:lineRule="auto"/>
              <w:ind w:right="77"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供应商可根据自身实际情况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以下任意提供一项即可： ①可提供20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或2</w:t>
            </w:r>
            <w:r>
              <w:rPr>
                <w:rFonts w:hint="eastAsia" w:ascii="宋体" w:hAnsi="宋体" w:eastAsia="宋体" w:cs="宋体"/>
                <w:color w:val="auto"/>
                <w:sz w:val="21"/>
                <w:szCs w:val="21"/>
                <w:highlight w:val="none"/>
                <w:lang w:val="en-US" w:eastAsia="zh-CN"/>
              </w:rPr>
              <w:t>023</w:t>
            </w:r>
            <w:r>
              <w:rPr>
                <w:rFonts w:hint="eastAsia" w:ascii="宋体" w:hAnsi="宋体" w:eastAsia="宋体" w:cs="宋体"/>
                <w:color w:val="auto"/>
                <w:sz w:val="21"/>
                <w:szCs w:val="21"/>
                <w:highlight w:val="none"/>
              </w:rPr>
              <w:t>年度经审计的财务报告复印件（包含审计报告和审计报告中所涉及的财务报表和报表附注）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②也可提供202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或202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年度供应商内部的财务报表复印件（至少包含资产负债表及利润表）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③也可提供截至响应文件递交截止日一年内银行出具的资信证明（复印件）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④供应商注册时间截至响应文件递交截止日不足一年的，也可提供公司财务制度（复印件）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⑤供应商提供具有健全的财务会计制度的承诺函。</w:t>
            </w:r>
          </w:p>
          <w:p>
            <w:pPr>
              <w:pStyle w:val="21"/>
              <w:numPr>
                <w:ilvl w:val="0"/>
                <w:numId w:val="0"/>
              </w:numPr>
              <w:spacing w:before="92" w:line="261" w:lineRule="auto"/>
              <w:ind w:right="218" w:rightChars="0"/>
              <w:jc w:val="left"/>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供应商需在项目电子化交易系统中按要求上传相应证明文件并进行电子签章。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840"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4</w:t>
            </w:r>
          </w:p>
        </w:tc>
        <w:tc>
          <w:tcPr>
            <w:tcW w:w="1668" w:type="pct"/>
            <w:vAlign w:val="center"/>
          </w:tcPr>
          <w:p>
            <w:pPr>
              <w:pStyle w:val="21"/>
              <w:spacing w:before="98" w:line="265" w:lineRule="auto"/>
              <w:ind w:left="100" w:leftChars="0" w:right="100" w:rightChars="0" w:firstLine="3" w:firstLineChars="0"/>
              <w:jc w:val="left"/>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具有履行合同</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所必需的设备</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和专业技术能</w:t>
            </w:r>
            <w:r>
              <w:rPr>
                <w:rFonts w:hint="eastAsia" w:ascii="宋体" w:hAnsi="宋体" w:eastAsia="宋体" w:cs="宋体"/>
                <w:color w:val="auto"/>
                <w:spacing w:val="-4"/>
                <w:sz w:val="21"/>
                <w:szCs w:val="21"/>
                <w:highlight w:val="none"/>
              </w:rPr>
              <w:t>力。</w:t>
            </w:r>
          </w:p>
        </w:tc>
        <w:tc>
          <w:tcPr>
            <w:tcW w:w="3035" w:type="pct"/>
            <w:vAlign w:val="center"/>
          </w:tcPr>
          <w:p>
            <w:pPr>
              <w:pStyle w:val="21"/>
              <w:spacing w:before="61" w:line="221"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供应商需在项目电子化交易系统中按要求填写《投标（响应）函》完成</w:t>
            </w:r>
            <w:r>
              <w:rPr>
                <w:rFonts w:hint="eastAsia" w:ascii="宋体" w:hAnsi="宋体" w:eastAsia="宋体" w:cs="宋体"/>
                <w:color w:val="auto"/>
                <w:spacing w:val="1"/>
                <w:sz w:val="21"/>
                <w:szCs w:val="21"/>
                <w:highlight w:val="none"/>
              </w:rPr>
              <w:t>承诺并进行电子签章。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15"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5</w:t>
            </w:r>
          </w:p>
        </w:tc>
        <w:tc>
          <w:tcPr>
            <w:tcW w:w="1668" w:type="pct"/>
            <w:vAlign w:val="center"/>
          </w:tcPr>
          <w:p>
            <w:pPr>
              <w:pStyle w:val="21"/>
              <w:spacing w:before="97" w:line="266" w:lineRule="auto"/>
              <w:ind w:left="101" w:leftChars="0" w:right="100" w:rightChars="0"/>
              <w:jc w:val="left"/>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有依法缴纳税</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收和社会保障</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资金的良好记</w:t>
            </w:r>
            <w:r>
              <w:rPr>
                <w:rFonts w:hint="eastAsia" w:ascii="宋体" w:hAnsi="宋体" w:eastAsia="宋体" w:cs="宋体"/>
                <w:color w:val="auto"/>
                <w:spacing w:val="-4"/>
                <w:sz w:val="21"/>
                <w:szCs w:val="21"/>
                <w:highlight w:val="none"/>
              </w:rPr>
              <w:t>录。</w:t>
            </w:r>
          </w:p>
        </w:tc>
        <w:tc>
          <w:tcPr>
            <w:tcW w:w="3035" w:type="pct"/>
            <w:vAlign w:val="center"/>
          </w:tcPr>
          <w:p>
            <w:pPr>
              <w:pStyle w:val="21"/>
              <w:spacing w:before="62" w:line="221"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供应商需在项目电子化交易系统中按要求填写《投标（响应）函》完成</w:t>
            </w:r>
            <w:r>
              <w:rPr>
                <w:rFonts w:hint="eastAsia" w:ascii="宋体" w:hAnsi="宋体" w:eastAsia="宋体" w:cs="宋体"/>
                <w:color w:val="auto"/>
                <w:spacing w:val="1"/>
                <w:sz w:val="21"/>
                <w:szCs w:val="21"/>
                <w:highlight w:val="none"/>
              </w:rPr>
              <w:t>承诺并进行电子签章。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16"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6</w:t>
            </w:r>
          </w:p>
        </w:tc>
        <w:tc>
          <w:tcPr>
            <w:tcW w:w="1668" w:type="pct"/>
            <w:vAlign w:val="center"/>
          </w:tcPr>
          <w:p>
            <w:pPr>
              <w:pStyle w:val="21"/>
              <w:spacing w:before="97" w:line="269" w:lineRule="auto"/>
              <w:ind w:left="101" w:leftChars="0" w:right="100" w:rightChars="0"/>
              <w:jc w:val="left"/>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参加政府采购 活动前三年内</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8"/>
                <w:sz w:val="21"/>
                <w:szCs w:val="21"/>
                <w:highlight w:val="none"/>
              </w:rPr>
              <w:t>在经营活动</w:t>
            </w:r>
            <w:r>
              <w:rPr>
                <w:rFonts w:hint="eastAsia" w:ascii="宋体" w:hAnsi="宋体" w:eastAsia="宋体" w:cs="宋体"/>
                <w:color w:val="auto"/>
                <w:sz w:val="21"/>
                <w:szCs w:val="21"/>
                <w:highlight w:val="none"/>
              </w:rPr>
              <w:t>中没有重大违</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rPr>
              <w:t>法记录。</w:t>
            </w:r>
          </w:p>
        </w:tc>
        <w:tc>
          <w:tcPr>
            <w:tcW w:w="3035" w:type="pct"/>
            <w:vAlign w:val="center"/>
          </w:tcPr>
          <w:p>
            <w:pPr>
              <w:spacing w:line="304"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供应商需在项目电子化交易系统中按要求填写《投标（响应）函》完成</w:t>
            </w:r>
            <w:r>
              <w:rPr>
                <w:rFonts w:hint="eastAsia" w:ascii="宋体" w:hAnsi="宋体" w:eastAsia="宋体" w:cs="宋体"/>
                <w:color w:val="auto"/>
                <w:spacing w:val="1"/>
                <w:sz w:val="21"/>
                <w:szCs w:val="21"/>
                <w:highlight w:val="none"/>
              </w:rPr>
              <w:t>承诺并进行电子签章。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469"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7</w:t>
            </w:r>
          </w:p>
        </w:tc>
        <w:tc>
          <w:tcPr>
            <w:tcW w:w="1668" w:type="pct"/>
            <w:vAlign w:val="center"/>
          </w:tcPr>
          <w:p>
            <w:pPr>
              <w:pStyle w:val="21"/>
              <w:spacing w:before="105" w:line="273" w:lineRule="auto"/>
              <w:ind w:left="99" w:leftChars="0" w:right="100" w:rightChars="0" w:firstLine="3" w:firstLineChars="0"/>
              <w:jc w:val="left"/>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不存在与单位负责人为同一</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人或者存在直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接控股、管理</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关系的其他供应商参与同一</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合同项下的政</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府采购活动的</w:t>
            </w:r>
            <w:r>
              <w:rPr>
                <w:rFonts w:hint="eastAsia" w:ascii="宋体" w:hAnsi="宋体" w:eastAsia="宋体" w:cs="宋体"/>
                <w:color w:val="auto"/>
                <w:spacing w:val="-2"/>
                <w:sz w:val="21"/>
                <w:szCs w:val="21"/>
                <w:highlight w:val="none"/>
              </w:rPr>
              <w:t>行为。</w:t>
            </w:r>
          </w:p>
        </w:tc>
        <w:tc>
          <w:tcPr>
            <w:tcW w:w="3035" w:type="pct"/>
            <w:vAlign w:val="center"/>
          </w:tcPr>
          <w:p>
            <w:pPr>
              <w:spacing w:line="295" w:lineRule="auto"/>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供应商需在项目电子化交易系统中按要求填写《投标（响应）函》完成</w:t>
            </w:r>
            <w:r>
              <w:rPr>
                <w:rFonts w:hint="eastAsia" w:ascii="宋体" w:hAnsi="宋体" w:eastAsia="宋体" w:cs="宋体"/>
                <w:color w:val="auto"/>
                <w:spacing w:val="1"/>
                <w:sz w:val="21"/>
                <w:szCs w:val="21"/>
                <w:highlight w:val="none"/>
              </w:rPr>
              <w:t>承诺并进行电子签章。</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66" w:hRule="atLeast"/>
        </w:trPr>
        <w:tc>
          <w:tcPr>
            <w:tcW w:w="295" w:type="pct"/>
            <w:vAlign w:val="center"/>
          </w:tcPr>
          <w:p>
            <w:pPr>
              <w:jc w:val="center"/>
              <w:rPr>
                <w:rFonts w:hint="eastAsia" w:ascii="宋体" w:hAnsi="宋体" w:eastAsia="宋体" w:cs="宋体"/>
                <w:b w:val="0"/>
                <w:bCs w:val="0"/>
                <w:color w:val="auto"/>
              </w:rPr>
            </w:pPr>
            <w:r>
              <w:rPr>
                <w:rFonts w:hint="eastAsia" w:ascii="宋体" w:hAnsi="宋体" w:eastAsia="宋体" w:cs="宋体"/>
                <w:b w:val="0"/>
                <w:bCs w:val="0"/>
                <w:color w:val="auto"/>
              </w:rPr>
              <w:t>8</w:t>
            </w:r>
          </w:p>
        </w:tc>
        <w:tc>
          <w:tcPr>
            <w:tcW w:w="1668" w:type="pct"/>
            <w:vAlign w:val="center"/>
          </w:tcPr>
          <w:p>
            <w:pPr>
              <w:spacing w:line="298"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不属于为本项目提供整体设计、规范编制或者项目管理、监理、检测等服务的供应商。</w:t>
            </w:r>
          </w:p>
        </w:tc>
        <w:tc>
          <w:tcPr>
            <w:tcW w:w="3035" w:type="pct"/>
            <w:vAlign w:val="center"/>
          </w:tcPr>
          <w:p>
            <w:pPr>
              <w:spacing w:line="29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供应商需在项目电子化交易系统中按要求填写《投标（响应）函》完成承诺并进行电子签章。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kern w:val="2"/>
          <w:sz w:val="21"/>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5.供应商特殊资格要求</w:t>
      </w:r>
    </w:p>
    <w:p>
      <w:pPr>
        <w:spacing w:line="209" w:lineRule="exact"/>
        <w:rPr>
          <w:rFonts w:hint="eastAsia" w:ascii="宋体" w:hAnsi="宋体" w:eastAsia="宋体" w:cs="宋体"/>
          <w:color w:val="auto"/>
          <w:sz w:val="24"/>
          <w:szCs w:val="24"/>
          <w:highlight w:val="none"/>
        </w:rPr>
      </w:pPr>
    </w:p>
    <w:tbl>
      <w:tblPr>
        <w:tblStyle w:val="20"/>
        <w:tblW w:w="4901" w:type="pct"/>
        <w:tblInd w:w="173"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632"/>
        <w:gridCol w:w="2889"/>
        <w:gridCol w:w="550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412" w:hRule="atLeast"/>
        </w:trPr>
        <w:tc>
          <w:tcPr>
            <w:tcW w:w="350" w:type="pct"/>
            <w:shd w:val="clear" w:color="auto" w:fill="E2E2E2"/>
            <w:vAlign w:val="top"/>
          </w:tcPr>
          <w:p>
            <w:pPr>
              <w:pStyle w:val="21"/>
              <w:spacing w:before="97" w:line="269" w:lineRule="auto"/>
              <w:ind w:left="101" w:leftChars="0" w:right="10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01" w:type="pct"/>
            <w:shd w:val="clear" w:color="auto" w:fill="E2E2E2"/>
            <w:vAlign w:val="top"/>
          </w:tcPr>
          <w:p>
            <w:pPr>
              <w:pStyle w:val="21"/>
              <w:spacing w:before="97" w:line="269" w:lineRule="auto"/>
              <w:ind w:left="101" w:leftChars="0" w:right="10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资格要求名称</w:t>
            </w:r>
          </w:p>
        </w:tc>
        <w:tc>
          <w:tcPr>
            <w:tcW w:w="3047" w:type="pct"/>
            <w:shd w:val="clear" w:color="auto" w:fill="E2E2E2"/>
            <w:vAlign w:val="top"/>
          </w:tcPr>
          <w:p>
            <w:pPr>
              <w:pStyle w:val="21"/>
              <w:spacing w:before="97" w:line="269" w:lineRule="auto"/>
              <w:ind w:left="101" w:leftChars="0" w:right="10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资格要求详细说明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422" w:hRule="atLeast"/>
        </w:trPr>
        <w:tc>
          <w:tcPr>
            <w:tcW w:w="5000" w:type="pct"/>
            <w:gridSpan w:val="3"/>
            <w:shd w:val="clear" w:color="auto" w:fill="auto"/>
            <w:vAlign w:val="center"/>
          </w:tcPr>
          <w:p>
            <w:pPr>
              <w:pStyle w:val="21"/>
              <w:spacing w:before="99" w:line="250" w:lineRule="auto"/>
              <w:ind w:left="105" w:right="12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 w:val="0"/>
          <w:color w:val="auto"/>
          <w:kern w:val="2"/>
          <w:sz w:val="21"/>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b w:val="0"/>
          <w:color w:val="auto"/>
          <w:kern w:val="2"/>
          <w:sz w:val="21"/>
          <w:szCs w:val="28"/>
          <w:highlight w:val="none"/>
          <w:lang w:val="en-US" w:eastAsia="zh-CN" w:bidi="ar-SA"/>
        </w:rPr>
      </w:pPr>
      <w:r>
        <w:rPr>
          <w:rFonts w:hint="eastAsia" w:ascii="宋体" w:hAnsi="宋体" w:eastAsia="宋体" w:cs="宋体"/>
          <w:b w:val="0"/>
          <w:color w:val="auto"/>
          <w:kern w:val="2"/>
          <w:sz w:val="21"/>
          <w:szCs w:val="28"/>
          <w:highlight w:val="none"/>
          <w:lang w:val="en-US" w:eastAsia="zh-CN" w:bidi="ar-SA"/>
        </w:rPr>
        <w:t>6.评审条款</w:t>
      </w:r>
    </w:p>
    <w:tbl>
      <w:tblPr>
        <w:tblStyle w:val="20"/>
        <w:tblW w:w="4987"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97"/>
        <w:gridCol w:w="657"/>
        <w:gridCol w:w="716"/>
        <w:gridCol w:w="5830"/>
        <w:gridCol w:w="592"/>
        <w:gridCol w:w="69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92" w:hRule="atLeast"/>
        </w:trPr>
        <w:tc>
          <w:tcPr>
            <w:tcW w:w="379" w:type="pct"/>
            <w:shd w:val="clear" w:color="auto" w:fill="E2E2E2"/>
            <w:vAlign w:val="center"/>
          </w:tcPr>
          <w:p>
            <w:pPr>
              <w:pStyle w:val="21"/>
              <w:spacing w:before="62"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评审</w:t>
            </w:r>
            <w:r>
              <w:rPr>
                <w:rFonts w:hint="eastAsia" w:ascii="宋体" w:hAnsi="宋体" w:eastAsia="宋体" w:cs="宋体"/>
                <w:color w:val="auto"/>
                <w:spacing w:val="2"/>
                <w:sz w:val="21"/>
                <w:szCs w:val="21"/>
                <w:highlight w:val="none"/>
              </w:rPr>
              <w:t>项编</w:t>
            </w:r>
            <w:r>
              <w:rPr>
                <w:rFonts w:hint="eastAsia" w:ascii="宋体" w:hAnsi="宋体" w:eastAsia="宋体" w:cs="宋体"/>
                <w:color w:val="auto"/>
                <w:sz w:val="21"/>
                <w:szCs w:val="21"/>
                <w:highlight w:val="none"/>
              </w:rPr>
              <w:t>号</w:t>
            </w:r>
          </w:p>
        </w:tc>
        <w:tc>
          <w:tcPr>
            <w:tcW w:w="357" w:type="pct"/>
            <w:shd w:val="clear" w:color="auto" w:fill="E2E2E2"/>
            <w:vAlign w:val="center"/>
          </w:tcPr>
          <w:p>
            <w:pPr>
              <w:pStyle w:val="21"/>
              <w:spacing w:before="114" w:line="215"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一</w:t>
            </w:r>
            <w:r>
              <w:rPr>
                <w:rFonts w:hint="eastAsia" w:ascii="宋体" w:hAnsi="宋体" w:eastAsia="宋体" w:cs="宋体"/>
                <w:color w:val="auto"/>
                <w:spacing w:val="1"/>
                <w:sz w:val="21"/>
                <w:szCs w:val="21"/>
                <w:highlight w:val="none"/>
              </w:rPr>
              <w:t>级评审 项</w:t>
            </w:r>
          </w:p>
        </w:tc>
        <w:tc>
          <w:tcPr>
            <w:tcW w:w="389" w:type="pct"/>
            <w:shd w:val="clear" w:color="auto" w:fill="E2E2E2"/>
            <w:vAlign w:val="center"/>
          </w:tcPr>
          <w:p>
            <w:pPr>
              <w:pStyle w:val="21"/>
              <w:spacing w:before="114" w:line="215" w:lineRule="auto"/>
              <w:ind w:left="136"/>
              <w:jc w:val="lef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二级评审项</w:t>
            </w:r>
          </w:p>
        </w:tc>
        <w:tc>
          <w:tcPr>
            <w:tcW w:w="3175" w:type="pct"/>
            <w:shd w:val="clear" w:color="auto" w:fill="E2E2E2"/>
            <w:vAlign w:val="center"/>
          </w:tcPr>
          <w:p>
            <w:pPr>
              <w:pStyle w:val="21"/>
              <w:spacing w:before="62" w:line="223"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详细要求</w:t>
            </w:r>
          </w:p>
        </w:tc>
        <w:tc>
          <w:tcPr>
            <w:tcW w:w="322" w:type="pct"/>
            <w:shd w:val="clear" w:color="auto" w:fill="E2E2E2"/>
            <w:vAlign w:val="center"/>
          </w:tcPr>
          <w:p>
            <w:pPr>
              <w:pStyle w:val="21"/>
              <w:spacing w:before="61"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分值</w:t>
            </w:r>
          </w:p>
        </w:tc>
        <w:tc>
          <w:tcPr>
            <w:tcW w:w="376" w:type="pct"/>
            <w:shd w:val="clear" w:color="auto" w:fill="E2E2E2"/>
            <w:vAlign w:val="center"/>
          </w:tcPr>
          <w:p>
            <w:pPr>
              <w:pStyle w:val="21"/>
              <w:spacing w:before="62" w:line="22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客观</w:t>
            </w:r>
            <w:r>
              <w:rPr>
                <w:rFonts w:hint="eastAsia" w:ascii="宋体" w:hAnsi="宋体" w:eastAsia="宋体" w:cs="宋体"/>
                <w:color w:val="auto"/>
                <w:spacing w:val="3"/>
                <w:sz w:val="21"/>
                <w:szCs w:val="21"/>
                <w:highlight w:val="none"/>
              </w:rPr>
              <w:t>评审</w:t>
            </w:r>
            <w:r>
              <w:rPr>
                <w:rFonts w:hint="eastAsia" w:ascii="宋体" w:hAnsi="宋体" w:eastAsia="宋体" w:cs="宋体"/>
                <w:color w:val="auto"/>
                <w:sz w:val="21"/>
                <w:szCs w:val="21"/>
                <w:highlight w:val="none"/>
              </w:rPr>
              <w:t>项</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6" w:hRule="atLeast"/>
        </w:trPr>
        <w:tc>
          <w:tcPr>
            <w:tcW w:w="379" w:type="pct"/>
            <w:vAlign w:val="center"/>
          </w:tcPr>
          <w:p>
            <w:pPr>
              <w:spacing w:before="82" w:line="169" w:lineRule="auto"/>
              <w:ind w:left="1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57" w:type="pct"/>
            <w:vAlign w:val="center"/>
          </w:tcPr>
          <w:p>
            <w:pPr>
              <w:pStyle w:val="21"/>
              <w:spacing w:before="113" w:line="210"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详 细 评 审</w:t>
            </w:r>
          </w:p>
        </w:tc>
        <w:tc>
          <w:tcPr>
            <w:tcW w:w="389" w:type="pct"/>
            <w:vAlign w:val="center"/>
          </w:tcPr>
          <w:p>
            <w:pPr>
              <w:pStyle w:val="21"/>
              <w:spacing w:line="240" w:lineRule="auto"/>
              <w:jc w:val="center"/>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技术参数</w:t>
            </w:r>
          </w:p>
        </w:tc>
        <w:tc>
          <w:tcPr>
            <w:tcW w:w="3175" w:type="pct"/>
            <w:shd w:val="clear" w:color="auto" w:fill="auto"/>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rPr>
            </w:pPr>
            <w:r>
              <w:rPr>
                <w:rFonts w:hint="eastAsia" w:ascii="宋体" w:hAnsi="宋体" w:eastAsia="宋体" w:cs="宋体"/>
                <w:b w:val="0"/>
                <w:bCs w:val="0"/>
                <w:color w:val="auto"/>
                <w:spacing w:val="4"/>
                <w:sz w:val="21"/>
                <w:szCs w:val="21"/>
                <w:highlight w:val="none"/>
              </w:rPr>
              <w:t>1.供应商投标产品完全满足</w:t>
            </w:r>
            <w:r>
              <w:rPr>
                <w:rFonts w:hint="eastAsia" w:cs="宋体"/>
                <w:b w:val="0"/>
                <w:bCs w:val="0"/>
                <w:color w:val="auto"/>
                <w:spacing w:val="4"/>
                <w:sz w:val="21"/>
                <w:szCs w:val="21"/>
                <w:highlight w:val="none"/>
                <w:lang w:val="en-US" w:eastAsia="zh-CN"/>
              </w:rPr>
              <w:t>磋商</w:t>
            </w:r>
            <w:r>
              <w:rPr>
                <w:rFonts w:hint="eastAsia" w:ascii="宋体" w:hAnsi="宋体" w:eastAsia="宋体" w:cs="宋体"/>
                <w:b w:val="0"/>
                <w:bCs w:val="0"/>
                <w:color w:val="auto"/>
                <w:spacing w:val="4"/>
                <w:sz w:val="21"/>
                <w:szCs w:val="21"/>
                <w:highlight w:val="none"/>
              </w:rPr>
              <w:t>文件技术参数要求，没有负偏离得</w:t>
            </w:r>
            <w:r>
              <w:rPr>
                <w:rFonts w:hint="eastAsia" w:cs="宋体"/>
                <w:b w:val="0"/>
                <w:bCs w:val="0"/>
                <w:color w:val="auto"/>
                <w:spacing w:val="4"/>
                <w:sz w:val="21"/>
                <w:szCs w:val="21"/>
                <w:highlight w:val="none"/>
                <w:lang w:val="en-US" w:eastAsia="zh-CN"/>
              </w:rPr>
              <w:t>25</w:t>
            </w:r>
            <w:r>
              <w:rPr>
                <w:rFonts w:hint="eastAsia" w:ascii="宋体" w:hAnsi="宋体" w:eastAsia="宋体" w:cs="宋体"/>
                <w:b w:val="0"/>
                <w:bCs w:val="0"/>
                <w:color w:val="auto"/>
                <w:spacing w:val="4"/>
                <w:sz w:val="21"/>
                <w:szCs w:val="21"/>
                <w:highlight w:val="none"/>
              </w:rPr>
              <w:t>分；</w:t>
            </w: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lang w:eastAsia="zh-CN"/>
              </w:rPr>
            </w:pPr>
            <w:r>
              <w:rPr>
                <w:rFonts w:hint="eastAsia" w:ascii="宋体" w:hAnsi="宋体" w:eastAsia="宋体" w:cs="宋体"/>
                <w:b w:val="0"/>
                <w:bCs w:val="0"/>
                <w:color w:val="auto"/>
                <w:spacing w:val="4"/>
                <w:sz w:val="21"/>
                <w:szCs w:val="21"/>
                <w:highlight w:val="none"/>
              </w:rPr>
              <w:t>2.每有一项“▲”条款（</w:t>
            </w:r>
            <w:r>
              <w:rPr>
                <w:rFonts w:hint="eastAsia" w:cs="宋体"/>
                <w:b w:val="0"/>
                <w:bCs w:val="0"/>
                <w:color w:val="auto"/>
                <w:spacing w:val="4"/>
                <w:sz w:val="21"/>
                <w:szCs w:val="21"/>
                <w:highlight w:val="none"/>
                <w:lang w:val="en-US" w:eastAsia="zh-CN"/>
              </w:rPr>
              <w:t>8</w:t>
            </w:r>
            <w:r>
              <w:rPr>
                <w:rFonts w:hint="eastAsia" w:ascii="宋体" w:hAnsi="宋体" w:eastAsia="宋体" w:cs="宋体"/>
                <w:b w:val="0"/>
                <w:bCs w:val="0"/>
                <w:color w:val="auto"/>
                <w:spacing w:val="4"/>
                <w:sz w:val="21"/>
                <w:szCs w:val="21"/>
                <w:highlight w:val="none"/>
              </w:rPr>
              <w:t>项）负偏离扣</w:t>
            </w:r>
            <w:r>
              <w:rPr>
                <w:rFonts w:hint="eastAsia" w:cs="宋体"/>
                <w:b w:val="0"/>
                <w:bCs w:val="0"/>
                <w:color w:val="auto"/>
                <w:spacing w:val="4"/>
                <w:sz w:val="21"/>
                <w:szCs w:val="21"/>
                <w:highlight w:val="none"/>
                <w:lang w:val="en-US" w:eastAsia="zh-CN"/>
              </w:rPr>
              <w:t>2</w:t>
            </w:r>
            <w:r>
              <w:rPr>
                <w:rFonts w:hint="eastAsia" w:ascii="宋体" w:hAnsi="宋体" w:eastAsia="宋体" w:cs="宋体"/>
                <w:b w:val="0"/>
                <w:bCs w:val="0"/>
                <w:color w:val="auto"/>
                <w:spacing w:val="4"/>
                <w:sz w:val="21"/>
                <w:szCs w:val="21"/>
                <w:highlight w:val="none"/>
              </w:rPr>
              <w:t>分，共</w:t>
            </w:r>
            <w:r>
              <w:rPr>
                <w:rFonts w:hint="eastAsia" w:cs="宋体"/>
                <w:b w:val="0"/>
                <w:bCs w:val="0"/>
                <w:color w:val="auto"/>
                <w:spacing w:val="4"/>
                <w:sz w:val="21"/>
                <w:szCs w:val="21"/>
                <w:highlight w:val="none"/>
                <w:lang w:val="en-US" w:eastAsia="zh-CN"/>
              </w:rPr>
              <w:t>16</w:t>
            </w:r>
            <w:r>
              <w:rPr>
                <w:rFonts w:hint="eastAsia" w:ascii="宋体" w:hAnsi="宋体" w:eastAsia="宋体" w:cs="宋体"/>
                <w:b w:val="0"/>
                <w:bCs w:val="0"/>
                <w:color w:val="auto"/>
                <w:spacing w:val="4"/>
                <w:sz w:val="21"/>
                <w:szCs w:val="21"/>
                <w:highlight w:val="none"/>
              </w:rPr>
              <w:t>分，扣完为止</w:t>
            </w:r>
            <w:r>
              <w:rPr>
                <w:rFonts w:hint="eastAsia" w:ascii="宋体" w:hAnsi="宋体" w:eastAsia="宋体" w:cs="宋体"/>
                <w:b w:val="0"/>
                <w:bCs w:val="0"/>
                <w:color w:val="auto"/>
                <w:spacing w:val="4"/>
                <w:sz w:val="21"/>
                <w:szCs w:val="21"/>
                <w:highlight w:val="none"/>
                <w:lang w:eastAsia="zh-CN"/>
              </w:rPr>
              <w:t>。</w:t>
            </w: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rPr>
            </w:pPr>
            <w:r>
              <w:rPr>
                <w:rFonts w:hint="eastAsia" w:ascii="宋体" w:hAnsi="宋体" w:eastAsia="宋体" w:cs="宋体"/>
                <w:b w:val="0"/>
                <w:bCs w:val="0"/>
                <w:color w:val="auto"/>
                <w:spacing w:val="4"/>
                <w:sz w:val="21"/>
                <w:szCs w:val="21"/>
                <w:highlight w:val="none"/>
                <w:lang w:val="en-US" w:eastAsia="zh-CN"/>
              </w:rPr>
              <w:t>3.</w:t>
            </w:r>
            <w:r>
              <w:rPr>
                <w:rFonts w:hint="eastAsia" w:ascii="宋体" w:hAnsi="宋体" w:eastAsia="宋体" w:cs="宋体"/>
                <w:b w:val="0"/>
                <w:bCs w:val="0"/>
                <w:color w:val="auto"/>
                <w:spacing w:val="4"/>
                <w:sz w:val="21"/>
                <w:szCs w:val="21"/>
                <w:highlight w:val="none"/>
              </w:rPr>
              <w:t>针对一般条款</w:t>
            </w:r>
            <w:r>
              <w:rPr>
                <w:rFonts w:hint="eastAsia" w:ascii="宋体" w:hAnsi="宋体" w:eastAsia="宋体" w:cs="宋体"/>
                <w:b w:val="0"/>
                <w:bCs w:val="0"/>
                <w:color w:val="auto"/>
                <w:spacing w:val="4"/>
                <w:sz w:val="21"/>
                <w:szCs w:val="21"/>
                <w:highlight w:val="none"/>
                <w:lang w:eastAsia="zh-CN"/>
              </w:rPr>
              <w:t>（</w:t>
            </w:r>
            <w:r>
              <w:rPr>
                <w:rFonts w:hint="eastAsia" w:cs="宋体"/>
                <w:b w:val="0"/>
                <w:bCs w:val="0"/>
                <w:color w:val="auto"/>
                <w:spacing w:val="4"/>
                <w:sz w:val="21"/>
                <w:szCs w:val="21"/>
                <w:highlight w:val="none"/>
                <w:lang w:val="en-US" w:eastAsia="zh-CN"/>
              </w:rPr>
              <w:t>18</w:t>
            </w:r>
            <w:r>
              <w:rPr>
                <w:rFonts w:hint="eastAsia" w:ascii="宋体" w:hAnsi="宋体" w:eastAsia="宋体" w:cs="宋体"/>
                <w:b w:val="0"/>
                <w:bCs w:val="0"/>
                <w:color w:val="auto"/>
                <w:spacing w:val="4"/>
                <w:sz w:val="21"/>
                <w:szCs w:val="21"/>
                <w:highlight w:val="none"/>
                <w:lang w:val="en-US" w:eastAsia="zh-CN"/>
              </w:rPr>
              <w:t>项</w:t>
            </w:r>
            <w:r>
              <w:rPr>
                <w:rFonts w:hint="eastAsia"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rPr>
              <w:t>的技术响应，若技术参数要求提供对应证明材料，应按要求提供，否则对应技术参数条款将视为负偏离</w:t>
            </w:r>
            <w:r>
              <w:rPr>
                <w:rFonts w:hint="eastAsia" w:ascii="宋体" w:hAnsi="宋体" w:eastAsia="宋体" w:cs="宋体"/>
                <w:b w:val="0"/>
                <w:bCs w:val="0"/>
                <w:color w:val="auto"/>
                <w:spacing w:val="4"/>
                <w:sz w:val="21"/>
                <w:szCs w:val="21"/>
                <w:highlight w:val="none"/>
                <w:lang w:eastAsia="zh-CN"/>
              </w:rPr>
              <w:t>，</w:t>
            </w:r>
            <w:r>
              <w:rPr>
                <w:rFonts w:hint="eastAsia" w:ascii="宋体" w:hAnsi="宋体" w:eastAsia="宋体" w:cs="宋体"/>
                <w:b w:val="0"/>
                <w:bCs w:val="0"/>
                <w:color w:val="auto"/>
                <w:spacing w:val="4"/>
                <w:sz w:val="21"/>
                <w:szCs w:val="21"/>
                <w:highlight w:val="none"/>
                <w:lang w:val="en-US" w:eastAsia="zh-CN"/>
              </w:rPr>
              <w:t>每有一项负偏离扣</w:t>
            </w:r>
            <w:r>
              <w:rPr>
                <w:rFonts w:hint="eastAsia" w:cs="宋体"/>
                <w:b w:val="0"/>
                <w:bCs w:val="0"/>
                <w:color w:val="auto"/>
                <w:spacing w:val="4"/>
                <w:sz w:val="21"/>
                <w:szCs w:val="21"/>
                <w:highlight w:val="none"/>
                <w:lang w:val="en-US" w:eastAsia="zh-CN"/>
              </w:rPr>
              <w:t>0.5</w:t>
            </w:r>
            <w:r>
              <w:rPr>
                <w:rFonts w:hint="eastAsia" w:ascii="宋体" w:hAnsi="宋体" w:eastAsia="宋体" w:cs="宋体"/>
                <w:b w:val="0"/>
                <w:bCs w:val="0"/>
                <w:color w:val="auto"/>
                <w:spacing w:val="4"/>
                <w:sz w:val="21"/>
                <w:szCs w:val="21"/>
                <w:highlight w:val="none"/>
                <w:lang w:val="en-US" w:eastAsia="zh-CN"/>
              </w:rPr>
              <w:t>分，共</w:t>
            </w:r>
            <w:r>
              <w:rPr>
                <w:rFonts w:hint="eastAsia" w:cs="宋体"/>
                <w:b w:val="0"/>
                <w:bCs w:val="0"/>
                <w:color w:val="auto"/>
                <w:spacing w:val="4"/>
                <w:sz w:val="21"/>
                <w:szCs w:val="21"/>
                <w:highlight w:val="none"/>
                <w:lang w:val="en-US" w:eastAsia="zh-CN"/>
              </w:rPr>
              <w:t>9</w:t>
            </w:r>
            <w:r>
              <w:rPr>
                <w:rFonts w:hint="eastAsia" w:ascii="宋体" w:hAnsi="宋体" w:eastAsia="宋体" w:cs="宋体"/>
                <w:b w:val="0"/>
                <w:bCs w:val="0"/>
                <w:color w:val="auto"/>
                <w:spacing w:val="4"/>
                <w:sz w:val="21"/>
                <w:szCs w:val="21"/>
                <w:highlight w:val="none"/>
                <w:lang w:val="en-US" w:eastAsia="zh-CN"/>
              </w:rPr>
              <w:t>分，扣完为止</w:t>
            </w:r>
            <w:r>
              <w:rPr>
                <w:rFonts w:hint="eastAsia" w:ascii="宋体" w:hAnsi="宋体" w:eastAsia="宋体" w:cs="宋体"/>
                <w:b w:val="0"/>
                <w:bCs w:val="0"/>
                <w:color w:val="auto"/>
                <w:spacing w:val="4"/>
                <w:sz w:val="21"/>
                <w:szCs w:val="21"/>
                <w:highlight w:val="none"/>
              </w:rPr>
              <w:t>；</w:t>
            </w: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rPr>
            </w:pPr>
            <w:r>
              <w:rPr>
                <w:rFonts w:hint="eastAsia" w:cs="宋体"/>
                <w:b w:val="0"/>
                <w:bCs w:val="0"/>
                <w:color w:val="auto"/>
                <w:spacing w:val="4"/>
                <w:sz w:val="21"/>
                <w:szCs w:val="21"/>
                <w:highlight w:val="none"/>
                <w:lang w:val="en-US" w:eastAsia="zh-CN"/>
              </w:rPr>
              <w:t>4</w:t>
            </w:r>
            <w:r>
              <w:rPr>
                <w:rFonts w:hint="eastAsia" w:ascii="宋体" w:hAnsi="宋体" w:eastAsia="宋体" w:cs="宋体"/>
                <w:b w:val="0"/>
                <w:bCs w:val="0"/>
                <w:color w:val="auto"/>
                <w:spacing w:val="4"/>
                <w:sz w:val="21"/>
                <w:szCs w:val="21"/>
                <w:highlight w:val="none"/>
              </w:rPr>
              <w:t>.得分保留小数点后两位小数，四舍五入。</w:t>
            </w:r>
          </w:p>
        </w:tc>
        <w:tc>
          <w:tcPr>
            <w:tcW w:w="322" w:type="pct"/>
            <w:vAlign w:val="center"/>
          </w:tcPr>
          <w:p>
            <w:pPr>
              <w:spacing w:before="82" w:line="169" w:lineRule="auto"/>
              <w:jc w:val="center"/>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25</w:t>
            </w:r>
          </w:p>
        </w:tc>
        <w:tc>
          <w:tcPr>
            <w:tcW w:w="376" w:type="pct"/>
            <w:vAlign w:val="center"/>
          </w:tcPr>
          <w:p>
            <w:pPr>
              <w:pStyle w:val="21"/>
              <w:spacing w:before="62" w:line="222" w:lineRule="auto"/>
              <w:ind w:left="1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6" w:hRule="atLeast"/>
        </w:trPr>
        <w:tc>
          <w:tcPr>
            <w:tcW w:w="379" w:type="pct"/>
            <w:vAlign w:val="center"/>
          </w:tcPr>
          <w:p>
            <w:pPr>
              <w:spacing w:before="82" w:line="169" w:lineRule="auto"/>
              <w:ind w:left="1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57" w:type="pct"/>
            <w:vAlign w:val="center"/>
          </w:tcPr>
          <w:p>
            <w:pPr>
              <w:pStyle w:val="21"/>
              <w:spacing w:before="113" w:line="210"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详 细 评 审</w:t>
            </w:r>
          </w:p>
        </w:tc>
        <w:tc>
          <w:tcPr>
            <w:tcW w:w="389" w:type="pct"/>
            <w:vAlign w:val="center"/>
          </w:tcPr>
          <w:p>
            <w:pPr>
              <w:pStyle w:val="21"/>
              <w:spacing w:line="240" w:lineRule="auto"/>
              <w:jc w:val="both"/>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实施方案</w:t>
            </w:r>
          </w:p>
        </w:tc>
        <w:tc>
          <w:tcPr>
            <w:tcW w:w="3175" w:type="pct"/>
            <w:shd w:val="clear" w:color="auto" w:fill="auto"/>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供应商针对本项目提供的项目实施方案应当包含以下内容：①项目整体实施方案；②项目进度安排；③供货方案；④质量保障措施；⑤风险控制措施；以上方案内容全面，切合项目实际情况，完全满足要求并保障项目顺利实施得</w:t>
            </w:r>
            <w:r>
              <w:rPr>
                <w:rFonts w:hint="eastAsia" w:cs="宋体"/>
                <w:b w:val="0"/>
                <w:bCs w:val="0"/>
                <w:color w:val="auto"/>
                <w:spacing w:val="4"/>
                <w:sz w:val="21"/>
                <w:szCs w:val="21"/>
                <w:highlight w:val="none"/>
                <w:lang w:val="en-US" w:eastAsia="zh-CN"/>
              </w:rPr>
              <w:t>15</w:t>
            </w:r>
            <w:r>
              <w:rPr>
                <w:rFonts w:hint="eastAsia" w:ascii="宋体" w:hAnsi="宋体" w:eastAsia="宋体" w:cs="宋体"/>
                <w:b w:val="0"/>
                <w:bCs w:val="0"/>
                <w:color w:val="auto"/>
                <w:spacing w:val="4"/>
                <w:sz w:val="21"/>
                <w:szCs w:val="21"/>
                <w:highlight w:val="none"/>
                <w:lang w:val="en-US" w:eastAsia="zh-CN"/>
              </w:rPr>
              <w:t>分，每有一项缺项或漏项的扣</w:t>
            </w:r>
            <w:r>
              <w:rPr>
                <w:rFonts w:hint="eastAsia" w:cs="宋体"/>
                <w:b w:val="0"/>
                <w:bCs w:val="0"/>
                <w:color w:val="auto"/>
                <w:spacing w:val="4"/>
                <w:sz w:val="21"/>
                <w:szCs w:val="21"/>
                <w:highlight w:val="none"/>
                <w:lang w:val="en-US" w:eastAsia="zh-CN"/>
              </w:rPr>
              <w:t>3</w:t>
            </w:r>
            <w:r>
              <w:rPr>
                <w:rFonts w:hint="eastAsia" w:ascii="宋体" w:hAnsi="宋体" w:eastAsia="宋体" w:cs="宋体"/>
                <w:b w:val="0"/>
                <w:bCs w:val="0"/>
                <w:color w:val="auto"/>
                <w:spacing w:val="4"/>
                <w:sz w:val="21"/>
                <w:szCs w:val="21"/>
                <w:highlight w:val="none"/>
                <w:lang w:val="en-US" w:eastAsia="zh-CN"/>
              </w:rPr>
              <w:t>分；每有一项描述不完整，存在缺陷或漏洞的</w:t>
            </w:r>
            <w:r>
              <w:rPr>
                <w:rFonts w:hint="eastAsia" w:cs="宋体"/>
                <w:b w:val="0"/>
                <w:bCs w:val="0"/>
                <w:color w:val="auto"/>
                <w:spacing w:val="4"/>
                <w:sz w:val="21"/>
                <w:szCs w:val="21"/>
                <w:highlight w:val="none"/>
                <w:lang w:val="en-US" w:eastAsia="zh-CN"/>
              </w:rPr>
              <w:t>1.5</w:t>
            </w:r>
            <w:r>
              <w:rPr>
                <w:rFonts w:hint="eastAsia" w:ascii="宋体" w:hAnsi="宋体" w:eastAsia="宋体" w:cs="宋体"/>
                <w:b w:val="0"/>
                <w:bCs w:val="0"/>
                <w:color w:val="auto"/>
                <w:spacing w:val="4"/>
                <w:sz w:val="21"/>
                <w:szCs w:val="21"/>
                <w:highlight w:val="none"/>
                <w:lang w:val="en-US" w:eastAsia="zh-CN"/>
              </w:rPr>
              <w:t>分，直到扣完为止。未提供不得分。</w:t>
            </w: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注：缺陷或漏洞是指：①存在项目名称及地点区域错误；②各项措施无监督制约机制、方案与项目实施内容不匹配、方案内容只有大标题或内容缺少具体的实施细节、关键节点或相关规范标准错误；③方案内容矛盾或表述前后不一致；④存在进度计划超期、计划违背项目实施时间节点；⑤明显复制其他项目内容等任意一种情形。</w:t>
            </w:r>
          </w:p>
        </w:tc>
        <w:tc>
          <w:tcPr>
            <w:tcW w:w="322" w:type="pct"/>
            <w:vAlign w:val="center"/>
          </w:tcPr>
          <w:p>
            <w:pPr>
              <w:spacing w:before="82" w:line="169" w:lineRule="auto"/>
              <w:jc w:val="center"/>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15</w:t>
            </w:r>
          </w:p>
        </w:tc>
        <w:tc>
          <w:tcPr>
            <w:tcW w:w="376" w:type="pct"/>
            <w:vAlign w:val="center"/>
          </w:tcPr>
          <w:p>
            <w:pPr>
              <w:pStyle w:val="21"/>
              <w:spacing w:before="62" w:line="222" w:lineRule="auto"/>
              <w:ind w:left="1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33" w:hRule="atLeast"/>
        </w:trPr>
        <w:tc>
          <w:tcPr>
            <w:tcW w:w="379" w:type="pct"/>
            <w:vAlign w:val="center"/>
          </w:tcPr>
          <w:p>
            <w:pPr>
              <w:spacing w:before="82" w:line="169" w:lineRule="auto"/>
              <w:ind w:left="11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57" w:type="pct"/>
            <w:vAlign w:val="center"/>
          </w:tcPr>
          <w:p>
            <w:pPr>
              <w:pStyle w:val="21"/>
              <w:spacing w:before="113" w:line="210"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详 细 评 审</w:t>
            </w:r>
          </w:p>
        </w:tc>
        <w:tc>
          <w:tcPr>
            <w:tcW w:w="389" w:type="pct"/>
            <w:vAlign w:val="center"/>
          </w:tcPr>
          <w:p>
            <w:pPr>
              <w:pStyle w:val="21"/>
              <w:spacing w:before="113" w:line="210"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lang w:val="en-US" w:eastAsia="zh-CN"/>
              </w:rPr>
              <w:t>售后服务方案</w:t>
            </w:r>
          </w:p>
        </w:tc>
        <w:tc>
          <w:tcPr>
            <w:tcW w:w="3175" w:type="pct"/>
            <w:vAlign w:val="top"/>
          </w:tcPr>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根据供应商提供的针对本项目的运维服务方案，包含但不限于：①人员配置；②售后服务流程；③售后服务保障措施；④应急响应机制；⑤培训服务方案；以上方案内容全面，切合项目实际情况，完全满足要求并保障项目顺利实施得</w:t>
            </w:r>
            <w:r>
              <w:rPr>
                <w:rFonts w:hint="eastAsia" w:cs="宋体"/>
                <w:b/>
                <w:bCs/>
                <w:color w:val="auto"/>
                <w:spacing w:val="4"/>
                <w:sz w:val="21"/>
                <w:szCs w:val="21"/>
                <w:highlight w:val="none"/>
                <w:lang w:val="en-US" w:eastAsia="zh-CN"/>
              </w:rPr>
              <w:t>15</w:t>
            </w:r>
            <w:r>
              <w:rPr>
                <w:rFonts w:hint="eastAsia" w:ascii="宋体" w:hAnsi="宋体" w:eastAsia="宋体" w:cs="宋体"/>
                <w:b/>
                <w:bCs/>
                <w:color w:val="auto"/>
                <w:spacing w:val="4"/>
                <w:sz w:val="21"/>
                <w:szCs w:val="21"/>
                <w:highlight w:val="none"/>
                <w:lang w:val="en-US" w:eastAsia="zh-CN"/>
              </w:rPr>
              <w:t>分</w:t>
            </w:r>
            <w:r>
              <w:rPr>
                <w:rFonts w:hint="eastAsia" w:ascii="宋体" w:hAnsi="宋体" w:eastAsia="宋体" w:cs="宋体"/>
                <w:b w:val="0"/>
                <w:bCs w:val="0"/>
                <w:color w:val="auto"/>
                <w:spacing w:val="4"/>
                <w:sz w:val="21"/>
                <w:szCs w:val="21"/>
                <w:highlight w:val="none"/>
                <w:lang w:val="en-US" w:eastAsia="zh-CN"/>
              </w:rPr>
              <w:t>，每有一项缺项或漏项的</w:t>
            </w:r>
            <w:r>
              <w:rPr>
                <w:rFonts w:hint="eastAsia" w:ascii="宋体" w:hAnsi="宋体" w:eastAsia="宋体" w:cs="宋体"/>
                <w:b/>
                <w:bCs/>
                <w:color w:val="auto"/>
                <w:spacing w:val="4"/>
                <w:sz w:val="21"/>
                <w:szCs w:val="21"/>
                <w:highlight w:val="none"/>
                <w:lang w:val="en-US" w:eastAsia="zh-CN"/>
              </w:rPr>
              <w:t>扣</w:t>
            </w:r>
            <w:r>
              <w:rPr>
                <w:rFonts w:hint="eastAsia" w:cs="宋体"/>
                <w:b/>
                <w:bCs/>
                <w:color w:val="auto"/>
                <w:spacing w:val="4"/>
                <w:sz w:val="21"/>
                <w:szCs w:val="21"/>
                <w:highlight w:val="none"/>
                <w:lang w:val="en-US" w:eastAsia="zh-CN"/>
              </w:rPr>
              <w:t>3</w:t>
            </w:r>
            <w:r>
              <w:rPr>
                <w:rFonts w:hint="eastAsia" w:ascii="宋体" w:hAnsi="宋体" w:eastAsia="宋体" w:cs="宋体"/>
                <w:b/>
                <w:bCs/>
                <w:color w:val="auto"/>
                <w:spacing w:val="4"/>
                <w:sz w:val="21"/>
                <w:szCs w:val="21"/>
                <w:highlight w:val="none"/>
                <w:lang w:val="en-US" w:eastAsia="zh-CN"/>
              </w:rPr>
              <w:t>分</w:t>
            </w:r>
            <w:r>
              <w:rPr>
                <w:rFonts w:hint="eastAsia" w:ascii="宋体" w:hAnsi="宋体" w:eastAsia="宋体" w:cs="宋体"/>
                <w:b w:val="0"/>
                <w:bCs w:val="0"/>
                <w:color w:val="auto"/>
                <w:spacing w:val="4"/>
                <w:sz w:val="21"/>
                <w:szCs w:val="21"/>
                <w:highlight w:val="none"/>
                <w:lang w:val="en-US" w:eastAsia="zh-CN"/>
              </w:rPr>
              <w:t>，每有一项描述不完整，存在缺陷或漏洞的</w:t>
            </w:r>
            <w:r>
              <w:rPr>
                <w:rFonts w:hint="eastAsia" w:ascii="宋体" w:hAnsi="宋体" w:eastAsia="宋体" w:cs="宋体"/>
                <w:b/>
                <w:bCs/>
                <w:color w:val="auto"/>
                <w:spacing w:val="4"/>
                <w:sz w:val="21"/>
                <w:szCs w:val="21"/>
                <w:highlight w:val="none"/>
                <w:lang w:val="en-US" w:eastAsia="zh-CN"/>
              </w:rPr>
              <w:t>扣</w:t>
            </w:r>
            <w:r>
              <w:rPr>
                <w:rFonts w:hint="eastAsia" w:cs="宋体"/>
                <w:b/>
                <w:bCs/>
                <w:color w:val="auto"/>
                <w:spacing w:val="4"/>
                <w:sz w:val="21"/>
                <w:szCs w:val="21"/>
                <w:highlight w:val="none"/>
                <w:lang w:val="en-US" w:eastAsia="zh-CN"/>
              </w:rPr>
              <w:t>1.5</w:t>
            </w:r>
            <w:r>
              <w:rPr>
                <w:rFonts w:hint="eastAsia" w:ascii="宋体" w:hAnsi="宋体" w:eastAsia="宋体" w:cs="宋体"/>
                <w:b/>
                <w:bCs/>
                <w:color w:val="auto"/>
                <w:spacing w:val="4"/>
                <w:sz w:val="21"/>
                <w:szCs w:val="21"/>
                <w:highlight w:val="none"/>
                <w:lang w:val="en-US" w:eastAsia="zh-CN"/>
              </w:rPr>
              <w:t>分</w:t>
            </w:r>
            <w:r>
              <w:rPr>
                <w:rFonts w:hint="eastAsia" w:ascii="宋体" w:hAnsi="宋体" w:eastAsia="宋体" w:cs="宋体"/>
                <w:b w:val="0"/>
                <w:bCs w:val="0"/>
                <w:color w:val="auto"/>
                <w:spacing w:val="4"/>
                <w:sz w:val="21"/>
                <w:szCs w:val="21"/>
                <w:highlight w:val="none"/>
                <w:lang w:val="en-US" w:eastAsia="zh-CN"/>
              </w:rPr>
              <w:t>，扣完为止。未提供不得分。</w:t>
            </w:r>
          </w:p>
          <w:p>
            <w:pPr>
              <w:pStyle w:val="24"/>
              <w:keepNext w:val="0"/>
              <w:keepLines w:val="0"/>
              <w:pageBreakBefore w:val="0"/>
              <w:widowControl/>
              <w:kinsoku w:val="0"/>
              <w:wordWrap/>
              <w:overflowPunct/>
              <w:topLinePunct w:val="0"/>
              <w:autoSpaceDE w:val="0"/>
              <w:autoSpaceDN w:val="0"/>
              <w:bidi w:val="0"/>
              <w:adjustRightInd w:val="0"/>
              <w:snapToGrid w:val="0"/>
              <w:spacing w:line="240" w:lineRule="auto"/>
              <w:ind w:left="113" w:right="108"/>
              <w:textAlignment w:val="baseline"/>
              <w:rPr>
                <w:rFonts w:hint="eastAsia" w:ascii="宋体" w:hAnsi="宋体" w:eastAsia="宋体" w:cs="宋体"/>
                <w:b/>
                <w:bCs/>
                <w:color w:val="auto"/>
                <w:szCs w:val="21"/>
                <w:highlight w:val="none"/>
              </w:rPr>
            </w:pPr>
            <w:r>
              <w:rPr>
                <w:rFonts w:hint="eastAsia" w:ascii="宋体" w:hAnsi="宋体" w:eastAsia="宋体" w:cs="宋体"/>
                <w:b w:val="0"/>
                <w:bCs w:val="0"/>
                <w:color w:val="auto"/>
                <w:spacing w:val="4"/>
                <w:sz w:val="21"/>
                <w:szCs w:val="21"/>
                <w:highlight w:val="none"/>
                <w:lang w:val="en-US" w:eastAsia="zh-CN"/>
              </w:rPr>
              <w:t>注：缺陷或漏洞是指：①存在项目名称及地点区域错误；②人员岗位职责不清晰或交叉混乱、人员专业与项目岗位要求不匹配；③应急响应时效不切实际；④措施无监督制约机制、培训方案与项目实施内容不匹配、方案内容只有大标题或内容缺少具体的实施细节、关键节点或相关规范标准错误；⑤明显复制其他项目内容等任意一种情形。</w:t>
            </w:r>
          </w:p>
        </w:tc>
        <w:tc>
          <w:tcPr>
            <w:tcW w:w="322" w:type="pct"/>
            <w:vAlign w:val="center"/>
          </w:tcPr>
          <w:p>
            <w:pPr>
              <w:spacing w:before="82" w:line="169" w:lineRule="auto"/>
              <w:jc w:val="center"/>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15</w:t>
            </w:r>
          </w:p>
        </w:tc>
        <w:tc>
          <w:tcPr>
            <w:tcW w:w="376" w:type="pct"/>
            <w:vAlign w:val="center"/>
          </w:tcPr>
          <w:p>
            <w:pPr>
              <w:pStyle w:val="21"/>
              <w:spacing w:before="62" w:line="222" w:lineRule="auto"/>
              <w:ind w:left="1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trPr>
        <w:tc>
          <w:tcPr>
            <w:tcW w:w="379" w:type="pct"/>
            <w:vAlign w:val="center"/>
          </w:tcPr>
          <w:p>
            <w:pPr>
              <w:spacing w:before="82" w:line="169" w:lineRule="auto"/>
              <w:ind w:left="112"/>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4</w:t>
            </w:r>
          </w:p>
        </w:tc>
        <w:tc>
          <w:tcPr>
            <w:tcW w:w="357" w:type="pct"/>
            <w:vAlign w:val="center"/>
          </w:tcPr>
          <w:p>
            <w:pPr>
              <w:pStyle w:val="21"/>
              <w:spacing w:before="113" w:line="210"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详 细 评 审</w:t>
            </w:r>
          </w:p>
        </w:tc>
        <w:tc>
          <w:tcPr>
            <w:tcW w:w="389" w:type="pct"/>
            <w:vAlign w:val="center"/>
          </w:tcPr>
          <w:p>
            <w:pPr>
              <w:pStyle w:val="21"/>
              <w:spacing w:before="113" w:line="210"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人员配置</w:t>
            </w:r>
          </w:p>
        </w:tc>
        <w:tc>
          <w:tcPr>
            <w:tcW w:w="3175" w:type="pct"/>
            <w:vAlign w:val="top"/>
          </w:tcPr>
          <w:p>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00" w:lineRule="atLeast"/>
              <w:textAlignment w:val="baseline"/>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1.项目负责人（1人）：</w:t>
            </w:r>
            <w:r>
              <w:rPr>
                <w:rFonts w:hint="eastAsia" w:cs="宋体"/>
                <w:b w:val="0"/>
                <w:bCs w:val="0"/>
                <w:snapToGrid w:val="0"/>
                <w:color w:val="auto"/>
                <w:spacing w:val="4"/>
                <w:kern w:val="0"/>
                <w:sz w:val="21"/>
                <w:szCs w:val="21"/>
                <w:highlight w:val="none"/>
                <w:lang w:val="en-US" w:eastAsia="zh-CN" w:bidi="ar-SA"/>
              </w:rPr>
              <w:t>具有</w:t>
            </w:r>
            <w:r>
              <w:rPr>
                <w:rFonts w:hint="eastAsia" w:ascii="宋体" w:hAnsi="宋体" w:eastAsia="宋体" w:cs="宋体"/>
                <w:b w:val="0"/>
                <w:bCs w:val="0"/>
                <w:snapToGrid w:val="0"/>
                <w:color w:val="auto"/>
                <w:spacing w:val="4"/>
                <w:kern w:val="0"/>
                <w:sz w:val="21"/>
                <w:szCs w:val="21"/>
                <w:highlight w:val="none"/>
                <w:lang w:val="en-US" w:eastAsia="zh-CN" w:bidi="ar-SA"/>
              </w:rPr>
              <w:t>省级及以上行政主管部门颁发的信息与通信工程师职称证书的，高级得</w:t>
            </w:r>
            <w:r>
              <w:rPr>
                <w:rFonts w:hint="eastAsia" w:cs="宋体"/>
                <w:b w:val="0"/>
                <w:bCs w:val="0"/>
                <w:snapToGrid w:val="0"/>
                <w:color w:val="auto"/>
                <w:spacing w:val="4"/>
                <w:kern w:val="0"/>
                <w:sz w:val="21"/>
                <w:szCs w:val="21"/>
                <w:highlight w:val="none"/>
                <w:lang w:val="en-US" w:eastAsia="zh-CN" w:bidi="ar-SA"/>
              </w:rPr>
              <w:t>4</w:t>
            </w:r>
            <w:r>
              <w:rPr>
                <w:rFonts w:hint="eastAsia" w:ascii="宋体" w:hAnsi="宋体" w:eastAsia="宋体" w:cs="宋体"/>
                <w:b w:val="0"/>
                <w:bCs w:val="0"/>
                <w:snapToGrid w:val="0"/>
                <w:color w:val="auto"/>
                <w:spacing w:val="4"/>
                <w:kern w:val="0"/>
                <w:sz w:val="21"/>
                <w:szCs w:val="21"/>
                <w:highlight w:val="none"/>
                <w:lang w:val="en-US" w:eastAsia="zh-CN" w:bidi="ar-SA"/>
              </w:rPr>
              <w:t>分</w:t>
            </w:r>
            <w:r>
              <w:rPr>
                <w:rFonts w:hint="eastAsia" w:cs="宋体"/>
                <w:b w:val="0"/>
                <w:bCs w:val="0"/>
                <w:snapToGrid w:val="0"/>
                <w:color w:val="auto"/>
                <w:spacing w:val="4"/>
                <w:kern w:val="0"/>
                <w:sz w:val="21"/>
                <w:szCs w:val="21"/>
                <w:highlight w:val="none"/>
                <w:lang w:val="en-US" w:eastAsia="zh-CN" w:bidi="ar-SA"/>
              </w:rPr>
              <w:t>，</w:t>
            </w:r>
            <w:r>
              <w:rPr>
                <w:rFonts w:hint="eastAsia" w:ascii="宋体" w:hAnsi="宋体" w:eastAsia="宋体" w:cs="宋体"/>
                <w:b w:val="0"/>
                <w:bCs w:val="0"/>
                <w:snapToGrid w:val="0"/>
                <w:color w:val="auto"/>
                <w:spacing w:val="4"/>
                <w:kern w:val="0"/>
                <w:sz w:val="21"/>
                <w:szCs w:val="21"/>
                <w:highlight w:val="none"/>
                <w:lang w:val="en-US" w:eastAsia="zh-CN" w:bidi="ar-SA"/>
              </w:rPr>
              <w:t>中级得</w:t>
            </w:r>
            <w:r>
              <w:rPr>
                <w:rFonts w:hint="eastAsia" w:cs="宋体"/>
                <w:b w:val="0"/>
                <w:bCs w:val="0"/>
                <w:snapToGrid w:val="0"/>
                <w:color w:val="auto"/>
                <w:spacing w:val="4"/>
                <w:kern w:val="0"/>
                <w:sz w:val="21"/>
                <w:szCs w:val="21"/>
                <w:highlight w:val="none"/>
                <w:lang w:val="en-US" w:eastAsia="zh-CN" w:bidi="ar-SA"/>
              </w:rPr>
              <w:t>2</w:t>
            </w:r>
            <w:r>
              <w:rPr>
                <w:rFonts w:hint="eastAsia" w:ascii="宋体" w:hAnsi="宋体" w:eastAsia="宋体" w:cs="宋体"/>
                <w:b w:val="0"/>
                <w:bCs w:val="0"/>
                <w:snapToGrid w:val="0"/>
                <w:color w:val="auto"/>
                <w:spacing w:val="4"/>
                <w:kern w:val="0"/>
                <w:sz w:val="21"/>
                <w:szCs w:val="21"/>
                <w:highlight w:val="none"/>
                <w:lang w:val="en-US" w:eastAsia="zh-CN" w:bidi="ar-SA"/>
              </w:rPr>
              <w:t>分；同时具备ITSS-IT服务项目经理资格证书的，加</w:t>
            </w:r>
            <w:r>
              <w:rPr>
                <w:rFonts w:hint="eastAsia" w:cs="宋体"/>
                <w:b w:val="0"/>
                <w:bCs w:val="0"/>
                <w:snapToGrid w:val="0"/>
                <w:color w:val="auto"/>
                <w:spacing w:val="4"/>
                <w:kern w:val="0"/>
                <w:sz w:val="21"/>
                <w:szCs w:val="21"/>
                <w:highlight w:val="none"/>
                <w:lang w:val="en-US" w:eastAsia="zh-CN" w:bidi="ar-SA"/>
              </w:rPr>
              <w:t>3</w:t>
            </w:r>
            <w:r>
              <w:rPr>
                <w:rFonts w:hint="eastAsia" w:ascii="宋体" w:hAnsi="宋体" w:eastAsia="宋体" w:cs="宋体"/>
                <w:b w:val="0"/>
                <w:bCs w:val="0"/>
                <w:snapToGrid w:val="0"/>
                <w:color w:val="auto"/>
                <w:spacing w:val="4"/>
                <w:kern w:val="0"/>
                <w:sz w:val="21"/>
                <w:szCs w:val="21"/>
                <w:highlight w:val="none"/>
                <w:lang w:val="en-US" w:eastAsia="zh-CN" w:bidi="ar-SA"/>
              </w:rPr>
              <w:t>分；本项最多得</w:t>
            </w:r>
            <w:r>
              <w:rPr>
                <w:rFonts w:hint="eastAsia" w:cs="宋体"/>
                <w:b w:val="0"/>
                <w:bCs w:val="0"/>
                <w:snapToGrid w:val="0"/>
                <w:color w:val="auto"/>
                <w:spacing w:val="4"/>
                <w:kern w:val="0"/>
                <w:sz w:val="21"/>
                <w:szCs w:val="21"/>
                <w:highlight w:val="none"/>
                <w:lang w:val="en-US" w:eastAsia="zh-CN" w:bidi="ar-SA"/>
              </w:rPr>
              <w:t>7</w:t>
            </w:r>
            <w:r>
              <w:rPr>
                <w:rFonts w:hint="eastAsia" w:ascii="宋体" w:hAnsi="宋体" w:eastAsia="宋体" w:cs="宋体"/>
                <w:b w:val="0"/>
                <w:bCs w:val="0"/>
                <w:snapToGrid w:val="0"/>
                <w:color w:val="auto"/>
                <w:spacing w:val="4"/>
                <w:kern w:val="0"/>
                <w:sz w:val="21"/>
                <w:szCs w:val="21"/>
                <w:highlight w:val="none"/>
                <w:lang w:val="en-US" w:eastAsia="zh-CN" w:bidi="ar-SA"/>
              </w:rPr>
              <w:t xml:space="preserve">分。 </w:t>
            </w:r>
          </w:p>
          <w:p>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00" w:lineRule="atLeast"/>
              <w:textAlignment w:val="baseline"/>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2.项目团队人员（不少于3人）：团队成员每1人</w:t>
            </w:r>
            <w:r>
              <w:rPr>
                <w:rFonts w:hint="eastAsia" w:cs="宋体"/>
                <w:b w:val="0"/>
                <w:bCs w:val="0"/>
                <w:snapToGrid w:val="0"/>
                <w:color w:val="auto"/>
                <w:spacing w:val="4"/>
                <w:kern w:val="0"/>
                <w:sz w:val="21"/>
                <w:szCs w:val="21"/>
                <w:highlight w:val="none"/>
                <w:lang w:val="en-US" w:eastAsia="zh-CN" w:bidi="ar-SA"/>
              </w:rPr>
              <w:t>具</w:t>
            </w:r>
            <w:r>
              <w:rPr>
                <w:rFonts w:hint="eastAsia" w:ascii="宋体" w:hAnsi="宋体" w:eastAsia="宋体" w:cs="宋体"/>
                <w:b w:val="0"/>
                <w:bCs w:val="0"/>
                <w:snapToGrid w:val="0"/>
                <w:color w:val="auto"/>
                <w:spacing w:val="4"/>
                <w:kern w:val="0"/>
                <w:sz w:val="21"/>
                <w:szCs w:val="21"/>
                <w:highlight w:val="none"/>
                <w:lang w:val="en-US" w:eastAsia="zh-CN" w:bidi="ar-SA"/>
              </w:rPr>
              <w:t>有IT运维工程师（高级）</w:t>
            </w:r>
            <w:r>
              <w:rPr>
                <w:rFonts w:hint="eastAsia" w:cs="宋体"/>
                <w:b w:val="0"/>
                <w:bCs w:val="0"/>
                <w:snapToGrid w:val="0"/>
                <w:color w:val="auto"/>
                <w:spacing w:val="4"/>
                <w:kern w:val="0"/>
                <w:sz w:val="21"/>
                <w:szCs w:val="21"/>
                <w:highlight w:val="none"/>
                <w:lang w:val="en-US" w:eastAsia="zh-CN" w:bidi="ar-SA"/>
              </w:rPr>
              <w:t>或</w:t>
            </w:r>
            <w:r>
              <w:rPr>
                <w:rFonts w:hint="eastAsia" w:ascii="宋体" w:hAnsi="宋体" w:eastAsia="宋体" w:cs="宋体"/>
                <w:b w:val="0"/>
                <w:bCs w:val="0"/>
                <w:snapToGrid w:val="0"/>
                <w:color w:val="auto"/>
                <w:spacing w:val="4"/>
                <w:kern w:val="0"/>
                <w:sz w:val="21"/>
                <w:szCs w:val="21"/>
                <w:highlight w:val="none"/>
                <w:lang w:val="en-US" w:eastAsia="zh-CN" w:bidi="ar-SA"/>
              </w:rPr>
              <w:t>网络工程师</w:t>
            </w:r>
            <w:r>
              <w:rPr>
                <w:rFonts w:hint="eastAsia" w:cs="宋体"/>
                <w:b w:val="0"/>
                <w:bCs w:val="0"/>
                <w:snapToGrid w:val="0"/>
                <w:color w:val="auto"/>
                <w:spacing w:val="4"/>
                <w:kern w:val="0"/>
                <w:sz w:val="21"/>
                <w:szCs w:val="21"/>
                <w:highlight w:val="none"/>
                <w:lang w:val="en-US" w:eastAsia="zh-CN" w:bidi="ar-SA"/>
              </w:rPr>
              <w:t>或</w:t>
            </w:r>
            <w:r>
              <w:rPr>
                <w:rFonts w:hint="eastAsia" w:ascii="宋体" w:hAnsi="宋体" w:eastAsia="宋体" w:cs="宋体"/>
                <w:b w:val="0"/>
                <w:bCs w:val="0"/>
                <w:snapToGrid w:val="0"/>
                <w:color w:val="auto"/>
                <w:spacing w:val="4"/>
                <w:kern w:val="0"/>
                <w:sz w:val="21"/>
                <w:szCs w:val="21"/>
                <w:highlight w:val="none"/>
                <w:lang w:val="en-US" w:eastAsia="zh-CN" w:bidi="ar-SA"/>
              </w:rPr>
              <w:t>ITSS-IT服务工程师的，得</w:t>
            </w:r>
            <w:r>
              <w:rPr>
                <w:rFonts w:hint="eastAsia" w:cs="宋体"/>
                <w:b w:val="0"/>
                <w:bCs w:val="0"/>
                <w:snapToGrid w:val="0"/>
                <w:color w:val="auto"/>
                <w:spacing w:val="4"/>
                <w:kern w:val="0"/>
                <w:sz w:val="21"/>
                <w:szCs w:val="21"/>
                <w:highlight w:val="none"/>
                <w:lang w:val="en-US" w:eastAsia="zh-CN" w:bidi="ar-SA"/>
              </w:rPr>
              <w:t>1</w:t>
            </w:r>
            <w:r>
              <w:rPr>
                <w:rFonts w:hint="eastAsia" w:ascii="宋体" w:hAnsi="宋体" w:eastAsia="宋体" w:cs="宋体"/>
                <w:b w:val="0"/>
                <w:bCs w:val="0"/>
                <w:snapToGrid w:val="0"/>
                <w:color w:val="auto"/>
                <w:spacing w:val="4"/>
                <w:kern w:val="0"/>
                <w:sz w:val="21"/>
                <w:szCs w:val="21"/>
                <w:highlight w:val="none"/>
                <w:lang w:val="en-US" w:eastAsia="zh-CN" w:bidi="ar-SA"/>
              </w:rPr>
              <w:t>分；本项最多得</w:t>
            </w:r>
            <w:r>
              <w:rPr>
                <w:rFonts w:hint="eastAsia" w:cs="宋体"/>
                <w:b w:val="0"/>
                <w:bCs w:val="0"/>
                <w:snapToGrid w:val="0"/>
                <w:color w:val="auto"/>
                <w:spacing w:val="4"/>
                <w:kern w:val="0"/>
                <w:sz w:val="21"/>
                <w:szCs w:val="21"/>
                <w:highlight w:val="none"/>
                <w:lang w:val="en-US" w:eastAsia="zh-CN" w:bidi="ar-SA"/>
              </w:rPr>
              <w:t>3</w:t>
            </w:r>
            <w:r>
              <w:rPr>
                <w:rFonts w:hint="eastAsia" w:ascii="宋体" w:hAnsi="宋体" w:eastAsia="宋体" w:cs="宋体"/>
                <w:b w:val="0"/>
                <w:bCs w:val="0"/>
                <w:snapToGrid w:val="0"/>
                <w:color w:val="auto"/>
                <w:spacing w:val="4"/>
                <w:kern w:val="0"/>
                <w:sz w:val="21"/>
                <w:szCs w:val="21"/>
                <w:highlight w:val="none"/>
                <w:lang w:val="en-US" w:eastAsia="zh-CN" w:bidi="ar-SA"/>
              </w:rPr>
              <w:t xml:space="preserve">分。 </w:t>
            </w:r>
          </w:p>
          <w:p>
            <w:pPr>
              <w:pStyle w:val="30"/>
              <w:keepNext w:val="0"/>
              <w:keepLines w:val="0"/>
              <w:pageBreakBefore w:val="0"/>
              <w:widowControl/>
              <w:numPr>
                <w:ilvl w:val="0"/>
                <w:numId w:val="0"/>
              </w:numPr>
              <w:kinsoku w:val="0"/>
              <w:wordWrap/>
              <w:overflowPunct/>
              <w:topLinePunct w:val="0"/>
              <w:autoSpaceDE w:val="0"/>
              <w:autoSpaceDN w:val="0"/>
              <w:bidi w:val="0"/>
              <w:adjustRightInd w:val="0"/>
              <w:snapToGrid w:val="0"/>
              <w:spacing w:line="200" w:lineRule="atLeast"/>
              <w:textAlignment w:val="baseline"/>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注：以上人员不重复计分，提供证书复印件及在职证明。</w:t>
            </w:r>
          </w:p>
        </w:tc>
        <w:tc>
          <w:tcPr>
            <w:tcW w:w="322" w:type="pct"/>
            <w:vAlign w:val="center"/>
          </w:tcPr>
          <w:p>
            <w:pPr>
              <w:spacing w:before="82" w:line="169" w:lineRule="auto"/>
              <w:jc w:val="center"/>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10</w:t>
            </w:r>
          </w:p>
        </w:tc>
        <w:tc>
          <w:tcPr>
            <w:tcW w:w="376" w:type="pct"/>
            <w:vAlign w:val="center"/>
          </w:tcPr>
          <w:p>
            <w:pPr>
              <w:pStyle w:val="21"/>
              <w:spacing w:before="62" w:line="222" w:lineRule="auto"/>
              <w:ind w:left="115"/>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698" w:hRule="atLeast"/>
        </w:trPr>
        <w:tc>
          <w:tcPr>
            <w:tcW w:w="379" w:type="pct"/>
            <w:vAlign w:val="center"/>
          </w:tcPr>
          <w:p>
            <w:pPr>
              <w:spacing w:before="82" w:line="169" w:lineRule="auto"/>
              <w:ind w:left="112"/>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5</w:t>
            </w:r>
          </w:p>
        </w:tc>
        <w:tc>
          <w:tcPr>
            <w:tcW w:w="357" w:type="pct"/>
            <w:vAlign w:val="center"/>
          </w:tcPr>
          <w:p>
            <w:pPr>
              <w:pStyle w:val="21"/>
              <w:spacing w:before="113" w:line="210"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详 细 评 审</w:t>
            </w:r>
          </w:p>
        </w:tc>
        <w:tc>
          <w:tcPr>
            <w:tcW w:w="389" w:type="pct"/>
            <w:vAlign w:val="center"/>
          </w:tcPr>
          <w:p>
            <w:pPr>
              <w:pStyle w:val="21"/>
              <w:spacing w:before="113" w:line="210"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履约能力</w:t>
            </w:r>
          </w:p>
        </w:tc>
        <w:tc>
          <w:tcPr>
            <w:tcW w:w="3175" w:type="pct"/>
            <w:vAlign w:val="top"/>
          </w:tcPr>
          <w:p>
            <w:pPr>
              <w:pStyle w:val="30"/>
              <w:numPr>
                <w:ilvl w:val="0"/>
                <w:numId w:val="0"/>
              </w:numPr>
              <w:bidi w:val="0"/>
              <w:ind w:firstLine="436" w:firstLineChars="200"/>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供应商自2021年1月1日至响应文件截止之日具有类似业绩的，每提供一个得</w:t>
            </w:r>
            <w:r>
              <w:rPr>
                <w:rFonts w:hint="eastAsia" w:cs="宋体"/>
                <w:b w:val="0"/>
                <w:bCs w:val="0"/>
                <w:snapToGrid w:val="0"/>
                <w:color w:val="auto"/>
                <w:spacing w:val="4"/>
                <w:kern w:val="0"/>
                <w:sz w:val="21"/>
                <w:szCs w:val="21"/>
                <w:highlight w:val="none"/>
                <w:lang w:val="en-US" w:eastAsia="zh-CN" w:bidi="ar-SA"/>
              </w:rPr>
              <w:t>2.5</w:t>
            </w:r>
            <w:r>
              <w:rPr>
                <w:rFonts w:hint="eastAsia" w:ascii="宋体" w:hAnsi="宋体" w:eastAsia="宋体" w:cs="宋体"/>
                <w:b w:val="0"/>
                <w:bCs w:val="0"/>
                <w:snapToGrid w:val="0"/>
                <w:color w:val="auto"/>
                <w:spacing w:val="4"/>
                <w:kern w:val="0"/>
                <w:sz w:val="21"/>
                <w:szCs w:val="21"/>
                <w:highlight w:val="none"/>
                <w:lang w:val="en-US" w:eastAsia="zh-CN" w:bidi="ar-SA"/>
              </w:rPr>
              <w:t>分，本项最高得</w:t>
            </w:r>
            <w:r>
              <w:rPr>
                <w:rFonts w:hint="eastAsia" w:cs="宋体"/>
                <w:b w:val="0"/>
                <w:bCs w:val="0"/>
                <w:snapToGrid w:val="0"/>
                <w:color w:val="auto"/>
                <w:spacing w:val="4"/>
                <w:kern w:val="0"/>
                <w:sz w:val="21"/>
                <w:szCs w:val="21"/>
                <w:highlight w:val="none"/>
                <w:lang w:val="en-US" w:eastAsia="zh-CN" w:bidi="ar-SA"/>
              </w:rPr>
              <w:t>5</w:t>
            </w:r>
            <w:r>
              <w:rPr>
                <w:rFonts w:hint="eastAsia" w:ascii="宋体" w:hAnsi="宋体" w:eastAsia="宋体" w:cs="宋体"/>
                <w:b w:val="0"/>
                <w:bCs w:val="0"/>
                <w:snapToGrid w:val="0"/>
                <w:color w:val="auto"/>
                <w:spacing w:val="4"/>
                <w:kern w:val="0"/>
                <w:sz w:val="21"/>
                <w:szCs w:val="21"/>
                <w:highlight w:val="none"/>
                <w:lang w:val="en-US" w:eastAsia="zh-CN" w:bidi="ar-SA"/>
              </w:rPr>
              <w:t>分；没有或未提供的不得分。（提供中标（成交）通知书或合同</w:t>
            </w:r>
            <w:r>
              <w:rPr>
                <w:rFonts w:hint="eastAsia" w:cs="宋体"/>
                <w:b w:val="0"/>
                <w:bCs w:val="0"/>
                <w:snapToGrid w:val="0"/>
                <w:color w:val="auto"/>
                <w:spacing w:val="4"/>
                <w:kern w:val="0"/>
                <w:sz w:val="21"/>
                <w:szCs w:val="21"/>
                <w:highlight w:val="none"/>
                <w:lang w:val="en-US" w:eastAsia="zh-CN" w:bidi="ar-SA"/>
              </w:rPr>
              <w:t>扫描</w:t>
            </w:r>
            <w:r>
              <w:rPr>
                <w:rFonts w:hint="eastAsia" w:ascii="宋体" w:hAnsi="宋体" w:eastAsia="宋体" w:cs="宋体"/>
                <w:b w:val="0"/>
                <w:bCs w:val="0"/>
                <w:snapToGrid w:val="0"/>
                <w:color w:val="auto"/>
                <w:spacing w:val="4"/>
                <w:kern w:val="0"/>
                <w:sz w:val="21"/>
                <w:szCs w:val="21"/>
                <w:highlight w:val="none"/>
                <w:lang w:val="en-US" w:eastAsia="zh-CN" w:bidi="ar-SA"/>
              </w:rPr>
              <w:t>件）</w:t>
            </w:r>
          </w:p>
        </w:tc>
        <w:tc>
          <w:tcPr>
            <w:tcW w:w="322" w:type="pct"/>
            <w:vAlign w:val="center"/>
          </w:tcPr>
          <w:p>
            <w:pPr>
              <w:spacing w:before="82" w:line="169"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5</w:t>
            </w:r>
          </w:p>
        </w:tc>
        <w:tc>
          <w:tcPr>
            <w:tcW w:w="376" w:type="pct"/>
            <w:vAlign w:val="center"/>
          </w:tcPr>
          <w:p>
            <w:pPr>
              <w:pStyle w:val="21"/>
              <w:spacing w:before="62" w:line="222" w:lineRule="auto"/>
              <w:ind w:left="115"/>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是</w:t>
            </w:r>
          </w:p>
        </w:tc>
      </w:tr>
    </w:tbl>
    <w:p>
      <w:pPr>
        <w:jc w:val="center"/>
        <w:rPr>
          <w:rFonts w:hint="eastAsia" w:ascii="宋体" w:hAnsi="宋体" w:eastAsia="宋体" w:cs="宋体"/>
          <w:color w:val="auto"/>
        </w:rPr>
      </w:pPr>
    </w:p>
    <w:tbl>
      <w:tblPr>
        <w:tblStyle w:val="20"/>
        <w:tblW w:w="5060"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39"/>
        <w:gridCol w:w="761"/>
        <w:gridCol w:w="754"/>
        <w:gridCol w:w="5736"/>
        <w:gridCol w:w="711"/>
        <w:gridCol w:w="715"/>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40" w:hRule="atLeast"/>
        </w:trPr>
        <w:tc>
          <w:tcPr>
            <w:tcW w:w="342" w:type="pct"/>
            <w:shd w:val="clear" w:color="auto" w:fill="E2E2E2"/>
            <w:vAlign w:val="center"/>
          </w:tcPr>
          <w:p>
            <w:pPr>
              <w:spacing w:line="36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评审项编号</w:t>
            </w:r>
          </w:p>
        </w:tc>
        <w:tc>
          <w:tcPr>
            <w:tcW w:w="408" w:type="pct"/>
            <w:shd w:val="clear" w:color="auto" w:fill="E2E2E2"/>
            <w:vAlign w:val="center"/>
          </w:tcPr>
          <w:p>
            <w:pPr>
              <w:spacing w:line="36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一级评 审项</w:t>
            </w:r>
          </w:p>
        </w:tc>
        <w:tc>
          <w:tcPr>
            <w:tcW w:w="404" w:type="pct"/>
            <w:shd w:val="clear" w:color="auto" w:fill="E2E2E2"/>
            <w:vAlign w:val="center"/>
          </w:tcPr>
          <w:p>
            <w:pPr>
              <w:spacing w:line="36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二级评 审项</w:t>
            </w:r>
          </w:p>
        </w:tc>
        <w:tc>
          <w:tcPr>
            <w:tcW w:w="3079" w:type="pct"/>
            <w:shd w:val="clear" w:color="auto" w:fill="E2E2E2"/>
            <w:vAlign w:val="center"/>
          </w:tcPr>
          <w:p>
            <w:pPr>
              <w:spacing w:line="36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详细要求</w:t>
            </w:r>
          </w:p>
        </w:tc>
        <w:tc>
          <w:tcPr>
            <w:tcW w:w="381" w:type="pct"/>
            <w:shd w:val="clear" w:color="auto" w:fill="E2E2E2"/>
            <w:vAlign w:val="center"/>
          </w:tcPr>
          <w:p>
            <w:pPr>
              <w:spacing w:line="36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分值</w:t>
            </w:r>
          </w:p>
        </w:tc>
        <w:tc>
          <w:tcPr>
            <w:tcW w:w="383" w:type="pct"/>
            <w:shd w:val="clear" w:color="auto" w:fill="E2E2E2"/>
            <w:vAlign w:val="center"/>
          </w:tcPr>
          <w:p>
            <w:pPr>
              <w:spacing w:line="360" w:lineRule="auto"/>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客观评审项</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953" w:hRule="atLeast"/>
        </w:trPr>
        <w:tc>
          <w:tcPr>
            <w:tcW w:w="342" w:type="pct"/>
            <w:vAlign w:val="center"/>
          </w:tcPr>
          <w:p>
            <w:pPr>
              <w:spacing w:before="73" w:line="186"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1</w:t>
            </w:r>
          </w:p>
        </w:tc>
        <w:tc>
          <w:tcPr>
            <w:tcW w:w="408" w:type="pct"/>
            <w:vAlign w:val="center"/>
          </w:tcPr>
          <w:p>
            <w:pPr>
              <w:pStyle w:val="21"/>
              <w:spacing w:before="114" w:line="207"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价格分</w:t>
            </w:r>
          </w:p>
        </w:tc>
        <w:tc>
          <w:tcPr>
            <w:tcW w:w="404" w:type="pct"/>
            <w:vAlign w:val="center"/>
          </w:tcPr>
          <w:p>
            <w:pPr>
              <w:pStyle w:val="21"/>
              <w:spacing w:before="113" w:line="207"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价格分</w:t>
            </w:r>
          </w:p>
        </w:tc>
        <w:tc>
          <w:tcPr>
            <w:tcW w:w="3079" w:type="pct"/>
            <w:vAlign w:val="center"/>
          </w:tcPr>
          <w:p>
            <w:pPr>
              <w:pStyle w:val="30"/>
              <w:bidi w:val="0"/>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满足磋商文件要求且投标价格最低的投标报价作为磋商基准价 ，其价格分为满分。其他供应商的价格分统一按照下列公式计算：磋商报价得分 =（磋商基准价/磋商报价）×30×100%；</w:t>
            </w:r>
          </w:p>
          <w:p>
            <w:pPr>
              <w:pStyle w:val="21"/>
              <w:spacing w:before="100" w:line="232" w:lineRule="auto"/>
              <w:ind w:left="100" w:right="215" w:firstLine="436" w:firstLineChars="200"/>
              <w:jc w:val="center"/>
              <w:rPr>
                <w:rFonts w:hint="eastAsia" w:ascii="宋体" w:hAnsi="宋体" w:eastAsia="宋体" w:cs="宋体"/>
                <w:b w:val="0"/>
                <w:bCs w:val="0"/>
                <w:snapToGrid w:val="0"/>
                <w:color w:val="auto"/>
                <w:spacing w:val="4"/>
                <w:kern w:val="0"/>
                <w:sz w:val="21"/>
                <w:szCs w:val="21"/>
                <w:highlight w:val="none"/>
                <w:lang w:val="en-US" w:eastAsia="zh-CN" w:bidi="ar-SA"/>
              </w:rPr>
            </w:pPr>
          </w:p>
        </w:tc>
        <w:tc>
          <w:tcPr>
            <w:tcW w:w="381" w:type="pct"/>
            <w:vAlign w:val="center"/>
          </w:tcPr>
          <w:p>
            <w:pPr>
              <w:spacing w:before="73" w:line="187"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30</w:t>
            </w:r>
          </w:p>
        </w:tc>
        <w:tc>
          <w:tcPr>
            <w:tcW w:w="383" w:type="pct"/>
            <w:vAlign w:val="center"/>
          </w:tcPr>
          <w:p>
            <w:pPr>
              <w:pStyle w:val="21"/>
              <w:spacing w:before="62" w:line="225" w:lineRule="auto"/>
              <w:jc w:val="center"/>
              <w:rPr>
                <w:rFonts w:hint="eastAsia" w:ascii="宋体" w:hAnsi="宋体" w:eastAsia="宋体" w:cs="宋体"/>
                <w:b w:val="0"/>
                <w:bCs w:val="0"/>
                <w:snapToGrid w:val="0"/>
                <w:color w:val="auto"/>
                <w:spacing w:val="4"/>
                <w:kern w:val="0"/>
                <w:sz w:val="21"/>
                <w:szCs w:val="21"/>
                <w:highlight w:val="none"/>
                <w:lang w:val="en-US" w:eastAsia="zh-CN" w:bidi="ar-SA"/>
              </w:rPr>
            </w:pPr>
            <w:r>
              <w:rPr>
                <w:rFonts w:hint="eastAsia" w:ascii="宋体" w:hAnsi="宋体" w:eastAsia="宋体" w:cs="宋体"/>
                <w:b w:val="0"/>
                <w:bCs w:val="0"/>
                <w:snapToGrid w:val="0"/>
                <w:color w:val="auto"/>
                <w:spacing w:val="4"/>
                <w:kern w:val="0"/>
                <w:sz w:val="21"/>
                <w:szCs w:val="21"/>
                <w:highlight w:val="none"/>
                <w:lang w:val="en-US" w:eastAsia="zh-CN" w:bidi="ar-SA"/>
              </w:rPr>
              <w:t>是</w:t>
            </w:r>
          </w:p>
        </w:tc>
      </w:tr>
    </w:tbl>
    <w:p>
      <w:pPr>
        <w:pStyle w:val="13"/>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价格扣除</w:t>
      </w:r>
    </w:p>
    <w:tbl>
      <w:tblPr>
        <w:tblStyle w:val="14"/>
        <w:tblW w:w="4973" w:type="pct"/>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1"/>
        <w:gridCol w:w="1133"/>
        <w:gridCol w:w="984"/>
        <w:gridCol w:w="939"/>
        <w:gridCol w:w="3764"/>
        <w:gridCol w:w="18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347" w:type="pct"/>
            <w:vAlign w:val="center"/>
          </w:tcPr>
          <w:p>
            <w:pPr>
              <w:spacing w:line="360" w:lineRule="auto"/>
              <w:jc w:val="center"/>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Hans"/>
              </w:rPr>
              <w:t>序号</w:t>
            </w:r>
          </w:p>
        </w:tc>
        <w:tc>
          <w:tcPr>
            <w:tcW w:w="605" w:type="pct"/>
            <w:vAlign w:val="center"/>
          </w:tcPr>
          <w:p>
            <w:pPr>
              <w:spacing w:line="360" w:lineRule="auto"/>
              <w:jc w:val="center"/>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Hans"/>
              </w:rPr>
              <w:t>情形</w:t>
            </w:r>
          </w:p>
        </w:tc>
        <w:tc>
          <w:tcPr>
            <w:tcW w:w="525" w:type="pct"/>
            <w:vAlign w:val="center"/>
          </w:tcPr>
          <w:p>
            <w:pPr>
              <w:spacing w:line="360" w:lineRule="auto"/>
              <w:jc w:val="center"/>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Hans"/>
              </w:rPr>
              <w:t>适用对象</w:t>
            </w:r>
          </w:p>
        </w:tc>
        <w:tc>
          <w:tcPr>
            <w:tcW w:w="501" w:type="pct"/>
            <w:vAlign w:val="center"/>
          </w:tcPr>
          <w:p>
            <w:pPr>
              <w:spacing w:line="360" w:lineRule="auto"/>
              <w:jc w:val="center"/>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Hans"/>
              </w:rPr>
              <w:t>比例</w:t>
            </w:r>
          </w:p>
        </w:tc>
        <w:tc>
          <w:tcPr>
            <w:tcW w:w="2010" w:type="pct"/>
            <w:vAlign w:val="center"/>
          </w:tcPr>
          <w:p>
            <w:pPr>
              <w:spacing w:line="360" w:lineRule="auto"/>
              <w:jc w:val="center"/>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Hans"/>
              </w:rPr>
              <w:t>说明</w:t>
            </w:r>
          </w:p>
        </w:tc>
        <w:tc>
          <w:tcPr>
            <w:tcW w:w="1009" w:type="pct"/>
            <w:vAlign w:val="center"/>
          </w:tcPr>
          <w:p>
            <w:pPr>
              <w:spacing w:line="360" w:lineRule="auto"/>
              <w:jc w:val="center"/>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Hans"/>
              </w:rPr>
              <w:t>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56" w:hRule="atLeast"/>
        </w:trPr>
        <w:tc>
          <w:tcPr>
            <w:tcW w:w="347"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60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小型、微型企业，监狱企业，残疾人福利性单位</w:t>
            </w:r>
          </w:p>
        </w:tc>
        <w:tc>
          <w:tcPr>
            <w:tcW w:w="525"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投标人或联合体成员均为小型、微型企业</w:t>
            </w:r>
          </w:p>
        </w:tc>
        <w:tc>
          <w:tcPr>
            <w:tcW w:w="501"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Hans"/>
              </w:rPr>
              <w:t>.00%</w:t>
            </w:r>
          </w:p>
        </w:tc>
        <w:tc>
          <w:tcPr>
            <w:tcW w:w="2010"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本项目对属于小型和微型企业的供应商的响应报价给予相应百分比的扣除，用扣除后的价格参与评审。残疾人福利性单位视同小型、微型企业，享受同等价格扣除，但同时属于残疾人福利性单位和小微企业的，不重复价格扣除。</w:t>
            </w:r>
          </w:p>
        </w:tc>
        <w:tc>
          <w:tcPr>
            <w:tcW w:w="1009" w:type="pc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分项报价表 中小企业声明函 残疾人福利性单位声明函 报价表 监狱企业的证明文件</w:t>
            </w:r>
          </w:p>
        </w:tc>
      </w:tr>
    </w:tbl>
    <w:p>
      <w:pPr>
        <w:pStyle w:val="8"/>
        <w:rPr>
          <w:rFonts w:hint="eastAsia" w:ascii="宋体" w:hAnsi="宋体" w:eastAsia="宋体" w:cs="宋体"/>
          <w:color w:val="auto"/>
          <w:sz w:val="24"/>
          <w:szCs w:val="24"/>
          <w:highlight w:val="none"/>
        </w:rPr>
      </w:pPr>
    </w:p>
    <w:p>
      <w:pPr>
        <w:pStyle w:val="4"/>
        <w:bidi w:val="0"/>
        <w:rPr>
          <w:rFonts w:hint="eastAsia" w:ascii="宋体" w:hAnsi="宋体" w:eastAsia="宋体" w:cs="宋体"/>
          <w:color w:val="auto"/>
          <w:sz w:val="32"/>
          <w:szCs w:val="32"/>
        </w:rPr>
      </w:pPr>
      <w:r>
        <w:rPr>
          <w:rFonts w:hint="eastAsia" w:ascii="宋体" w:hAnsi="宋体" w:eastAsia="宋体" w:cs="宋体"/>
          <w:color w:val="auto"/>
          <w:sz w:val="32"/>
          <w:szCs w:val="32"/>
        </w:rPr>
        <w:t>五、风险控制措施和替代方案</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Chars="100" w:firstLine="480" w:firstLineChars="200"/>
        <w:jc w:val="both"/>
        <w:textAlignment w:val="auto"/>
        <w:rPr>
          <w:rFonts w:hint="eastAsia" w:ascii="宋体" w:hAnsi="宋体" w:eastAsia="宋体" w:cs="宋体"/>
          <w:snapToGrid/>
          <w:color w:val="auto"/>
          <w:szCs w:val="24"/>
          <w:highlight w:val="none"/>
          <w:shd w:val="clear" w:color="auto" w:fill="FFFFFF"/>
          <w:lang w:val="en-US" w:eastAsia="zh-CN"/>
        </w:rPr>
      </w:pPr>
      <w:r>
        <w:rPr>
          <w:rFonts w:hint="eastAsia" w:ascii="宋体" w:hAnsi="宋体" w:eastAsia="宋体" w:cs="宋体"/>
          <w:snapToGrid/>
          <w:color w:val="auto"/>
          <w:szCs w:val="24"/>
          <w:highlight w:val="none"/>
          <w:shd w:val="clear" w:color="auto" w:fill="FFFFFF"/>
          <w:lang w:val="en-US" w:eastAsia="zh-CN"/>
        </w:rPr>
        <w:t>该采购项目按照《政府采购需求管理办法》第二十五条规定，本项目是否需要组织风险判断、提出处置措施和替代方案：否</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1）国家政策变化风险的应对措施：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2）实施环境变化风险的应对措施：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3）重大技术变化风险的应对措施：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4）预算项目调整风险的应对措施：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5）因质疑投诉影响采购进度风险的应对措施：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6）采购失败风险的应对措施：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7）不按规定签订或者履行合同风险的应对措施：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t>8）出现损害国家利益和社会公共利益情形风险的应对措施：</w:t>
      </w:r>
    </w:p>
    <w:p>
      <w:pPr>
        <w:pStyle w:val="12"/>
        <w:widowControl/>
        <w:kinsoku/>
        <w:wordWrap w:val="0"/>
        <w:autoSpaceDE/>
        <w:autoSpaceDN/>
        <w:adjustRightInd/>
        <w:snapToGrid/>
        <w:spacing w:before="0" w:beforeAutospacing="0" w:after="0" w:afterAutospacing="0" w:line="360" w:lineRule="auto"/>
        <w:ind w:leftChars="100" w:firstLine="480" w:firstLineChars="200"/>
        <w:jc w:val="both"/>
        <w:textAlignment w:val="auto"/>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lang w:val="en-US" w:eastAsia="zh-CN"/>
        </w:rPr>
        <w:t>9）其他采购和合同履行过程的风险及应对措施</w:t>
      </w:r>
      <w:r>
        <w:rPr>
          <w:rFonts w:hint="eastAsia" w:ascii="宋体" w:hAnsi="宋体" w:eastAsia="宋体" w:cs="宋体"/>
          <w:snapToGrid/>
          <w:color w:val="auto"/>
          <w:szCs w:val="24"/>
          <w:highlight w:val="none"/>
          <w:shd w:val="clear" w:color="auto" w:fill="FFFFFF"/>
        </w:rPr>
        <w:t>：</w:t>
      </w:r>
    </w:p>
    <w:p>
      <w:pPr>
        <w:rPr>
          <w:rFonts w:hint="eastAsia" w:ascii="宋体" w:hAnsi="宋体" w:eastAsia="宋体" w:cs="宋体"/>
          <w:snapToGrid/>
          <w:color w:val="auto"/>
          <w:szCs w:val="24"/>
          <w:highlight w:val="none"/>
          <w:shd w:val="clear" w:color="auto" w:fill="FFFFFF"/>
        </w:rPr>
      </w:pPr>
      <w:r>
        <w:rPr>
          <w:rFonts w:hint="eastAsia" w:ascii="宋体" w:hAnsi="宋体" w:eastAsia="宋体" w:cs="宋体"/>
          <w:snapToGrid/>
          <w:color w:val="auto"/>
          <w:szCs w:val="24"/>
          <w:highlight w:val="none"/>
          <w:shd w:val="clear" w:color="auto" w:fill="FFFFFF"/>
        </w:rPr>
        <w:br w:type="page"/>
      </w: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政府采购合同（</w:t>
      </w:r>
      <w:r>
        <w:rPr>
          <w:rFonts w:hint="eastAsia" w:ascii="宋体" w:hAnsi="宋体" w:eastAsia="宋体" w:cs="宋体"/>
          <w:color w:val="auto"/>
          <w:sz w:val="28"/>
          <w:szCs w:val="28"/>
          <w:lang w:eastAsia="zh-CN"/>
        </w:rPr>
        <w:t>货物类草案</w:t>
      </w:r>
      <w:r>
        <w:rPr>
          <w:rFonts w:hint="eastAsia" w:ascii="宋体" w:hAnsi="宋体" w:eastAsia="宋体" w:cs="宋体"/>
          <w:color w:val="auto"/>
          <w:sz w:val="28"/>
          <w:szCs w:val="28"/>
        </w:rPr>
        <w:t>）</w:t>
      </w:r>
    </w:p>
    <w:p>
      <w:pPr>
        <w:spacing w:line="44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政府采购合同编号：</w:t>
      </w:r>
      <w:r>
        <w:rPr>
          <w:rFonts w:hint="eastAsia" w:ascii="宋体" w:hAnsi="宋体" w:eastAsia="宋体" w:cs="宋体"/>
          <w:color w:val="auto"/>
          <w:sz w:val="24"/>
          <w:szCs w:val="24"/>
          <w:highlight w:val="none"/>
          <w:u w:val="single"/>
          <w:lang w:val="en-US" w:eastAsia="zh-CN"/>
        </w:rPr>
        <w:t xml:space="preserve">                           </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履约地点：</w:t>
      </w:r>
      <w:r>
        <w:rPr>
          <w:rFonts w:hint="eastAsia" w:ascii="宋体" w:hAnsi="宋体" w:eastAsia="宋体" w:cs="宋体"/>
          <w:color w:val="auto"/>
          <w:sz w:val="24"/>
          <w:szCs w:val="24"/>
          <w:highlight w:val="none"/>
          <w:u w:val="single"/>
          <w:lang w:eastAsia="zh-CN"/>
        </w:rPr>
        <w:t>汉源县应急管理局</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lang w:eastAsia="zh-CN"/>
        </w:rPr>
        <w:t>汉源县应急管理局</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签订日期：20___年___月___日</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采购人（甲方）：</w:t>
      </w:r>
      <w:r>
        <w:rPr>
          <w:rFonts w:hint="eastAsia" w:ascii="宋体" w:hAnsi="宋体" w:eastAsia="宋体" w:cs="宋体"/>
          <w:color w:val="auto"/>
          <w:sz w:val="24"/>
          <w:szCs w:val="24"/>
          <w:highlight w:val="none"/>
          <w:u w:val="single"/>
          <w:lang w:eastAsia="zh-CN"/>
        </w:rPr>
        <w:t>汉源县应急管理局</w:t>
      </w:r>
    </w:p>
    <w:p>
      <w:pPr>
        <w:spacing w:line="44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供应商(乙方)：__________________</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 《中华人民共和国政府采购法》与项目行业有关的法律法规，以及</w:t>
      </w:r>
      <w:r>
        <w:rPr>
          <w:rFonts w:hint="eastAsia" w:ascii="宋体" w:hAnsi="宋体" w:eastAsia="宋体" w:cs="宋体"/>
          <w:color w:val="auto"/>
          <w:sz w:val="24"/>
          <w:szCs w:val="24"/>
          <w:highlight w:val="none"/>
          <w:u w:val="single"/>
          <w:lang w:eastAsia="zh-CN"/>
        </w:rPr>
        <w:t>汉源县应急卫星通讯装备采购项目</w:t>
      </w:r>
      <w:r>
        <w:rPr>
          <w:rFonts w:hint="eastAsia" w:ascii="宋体" w:hAnsi="宋体" w:eastAsia="宋体" w:cs="宋体"/>
          <w:color w:val="auto"/>
          <w:sz w:val="24"/>
          <w:szCs w:val="24"/>
          <w:highlight w:val="none"/>
        </w:rPr>
        <w:t>的《磋商文件》，乙方的《投标（响应）文件》及《中标（成交）通知书》，甲乙双方同意签订本合同。具体情况及要求如下：</w:t>
      </w:r>
    </w:p>
    <w:p>
      <w:pPr>
        <w:spacing w:line="440" w:lineRule="exact"/>
        <w:ind w:left="902" w:leftChars="200" w:hanging="482" w:hanging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一、标的信息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二、货物要求</w:t>
      </w:r>
    </w:p>
    <w:p>
      <w:pPr>
        <w:spacing w:line="440" w:lineRule="exact"/>
        <w:ind w:left="719" w:leftChars="228" w:hanging="240" w:hanging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1、成交供应商应保证货物是全新、未使用过的合格货物，所涉及到的所有货物必须符合国家相关标准规范的合格要求，且权属清楚，不得侵害他人的知识产权。</w:t>
      </w:r>
    </w:p>
    <w:p>
      <w:pPr>
        <w:spacing w:line="440" w:lineRule="exact"/>
        <w:ind w:left="719" w:leftChars="228" w:hanging="240" w:hanging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2、货物到达采购人要求的地点后，采购人组织对货物进行验收，有一样验收不合格须按要求进行退换直至验收合格方可交货。</w:t>
      </w:r>
    </w:p>
    <w:p>
      <w:pPr>
        <w:spacing w:line="440" w:lineRule="exact"/>
        <w:ind w:left="719" w:leftChars="228" w:hanging="240" w:hanging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包装方式及运输：涉及的商品包装和快递包装，均应符合《商品包装政府采购需求标准（试行）》《快递包装政府采购需求标准（试行）》的要求，包装应适应于远距离运输、防潮、防震、防锈和防野蛮装卸，以确保货物安全无损运抵指定地点。</w:t>
      </w:r>
    </w:p>
    <w:p>
      <w:pPr>
        <w:spacing w:line="440" w:lineRule="exact"/>
        <w:ind w:left="720" w:leftChars="228" w:hanging="241" w:hanging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三、合同定价方式、付款进度和支付方式</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合同支付约定：</w:t>
      </w:r>
    </w:p>
    <w:p>
      <w:pPr>
        <w:spacing w:line="440" w:lineRule="exact"/>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付款条件说明： 签订采购合同后 ，达到付款条件起 5 日内，支付合同总金额的</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.00%。</w:t>
      </w:r>
    </w:p>
    <w:p>
      <w:pPr>
        <w:spacing w:line="440" w:lineRule="exact"/>
        <w:ind w:left="420" w:leftChars="2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付款条件说明： 经采购人验</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 xml:space="preserve">合格后 ，达到付款条件起 10 日内，支付合同总金额的 </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.00%。</w:t>
      </w:r>
    </w:p>
    <w:p>
      <w:pPr>
        <w:spacing w:line="44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四、交货时间、地点和方式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1.交货时间：自签订合同之日起  日</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2.交货地点：采购人指定地点</w:t>
      </w:r>
    </w:p>
    <w:p>
      <w:pPr>
        <w:spacing w:line="440" w:lineRule="exact"/>
        <w:ind w:left="902" w:leftChars="200" w:hanging="482" w:hanging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五、履约保证金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六、验收标准和方法</w:t>
      </w:r>
    </w:p>
    <w:p>
      <w:pPr>
        <w:spacing w:line="440" w:lineRule="exact"/>
        <w:ind w:left="899" w:leftChars="428"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1.采购人在供应商通知履约完毕后7日内进行验收，验收合格，双方签署《验收报</w:t>
      </w:r>
    </w:p>
    <w:p>
      <w:pPr>
        <w:spacing w:line="44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告》。</w:t>
      </w:r>
    </w:p>
    <w:p>
      <w:pPr>
        <w:spacing w:line="440" w:lineRule="exact"/>
        <w:ind w:left="420" w:leftChars="20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验收标准：按国家有关规定以及采购文件的质量要求和技术指标、供应商的响应文件及承诺与本合同约定标准进行验收；采购人与供应商双方如对服务质量要求和技术指标的约定标准有相互抵触或异议的事项，由采购人在采购文件及响应文件中按服务质量要求和技术指标比较优胜的原则确定该项的约定标准进行验收。</w:t>
      </w:r>
    </w:p>
    <w:p>
      <w:pPr>
        <w:spacing w:line="440" w:lineRule="exact"/>
        <w:ind w:left="420" w:leftChars="20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3.采购人无故不进行验收工作并已使用项目履约成果的，视同验收合格。</w:t>
      </w:r>
    </w:p>
    <w:p>
      <w:pPr>
        <w:spacing w:line="440" w:lineRule="exact"/>
        <w:ind w:left="420" w:leftChars="20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4.项目验收结果合格的，供应商凭验收合格证明书办理相关手续；验收结果不合格的，将不予支付采购资金，还可能上报本项目同级财政部门按照政府采购法律法规等有关规定给予行政处罚。</w:t>
      </w:r>
    </w:p>
    <w:p>
      <w:pPr>
        <w:spacing w:line="440" w:lineRule="exact"/>
        <w:ind w:left="420" w:leftChars="20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5.其他未尽事宜应严格按照《财政部关于进一步加强政府采购需求和履约验收管理的指导意见》(财库〔2016〕205号) 、《政府采购需求管理办法》  (财库〔2021〕22号) 、《雅安市财政局关于规范政府采购履约验收工作的通知》  (雅财采〔2021〕50号) 要求进行验收。</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七、甲方的权利和义务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1.甲方有权对合同规定范围内乙方的服务行为进行监督和检查，拥有监管权 。有权定期核对乙方提供服务所配备的人员数量。对甲方认为不合理的部分有权下达整改通知书，并要求乙方限期整改。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2.甲方有权依据双方签订的考评办法对乙方提供的服务进行定期考评。当考评结果未达到标准时，供应商自行承担后果 。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3.负责检查监督乙方管理工作的实施及制度的执行情况。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4.根据本合同规定，按时向乙方支付应付服务费用。  </w:t>
      </w:r>
    </w:p>
    <w:p>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5.国家法律 、法规所规定由甲方承担的其它责任。</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八、乙方的权利和义务</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1.根据本合同的规定向甲方收取相关货物费用。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2.接受项目行业管理部门及政府有关部门的指导，接受甲方的监督。</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3.国家法律、法规所规定由乙方承担的其它责任。</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九、违约责任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乙方必须遵守采购合同并执行合同中的各项规定，保证采购合同的正常履行。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如因乙方工作人员在履行职务过程中的疏忽、失职、过错等故意或者过失原因给甲方造成损失或侵害，包括但不限于甲方本身的财产损失、由此而导致的甲方对任何第三方的法律责任等，乙方对此均应承担全部的赔偿责任。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3.因货物的质量问题发生争议，由质量技术监督部门或其指定的质量鉴定机构进行质量鉴定。货物符合标准的，鉴定费由甲方承担；货物不符合质量标准的，鉴定费由乙方承担。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4.乙方不能交付货或逾期交付货物而违约的，除应及时交足货物外，应向甲方偿付逾期交货部分货款总额的万分之 五 /天的违约金；逾期交货超过 30天，甲方有权终止合同，乙方则应按合同总价的百分之一 的款额向甲方偿付赔偿金，并须全额退还甲方已经付给乙方的货款及其利息。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百分之 一 的赔偿金给甲方。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30向甲方支付违约金并赔偿因此给甲方造成的一切损失。</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乙方偿付的违约金不足以弥补甲方损失的，还应按甲方损失尚未弥补的部分，支付赔偿金给甲方。</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有下列情形之一的，当事人可以解除合同：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 xml:space="preserve">因不可抗力致使不能实现合同目的(由于非供应商或采购人原因，致使合同实质性条款无法实现的) ；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 xml:space="preserve">当事人一方迟延履行主要债务，经催告后在合理期限内仍未履行：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 xml:space="preserve">当事人一方迟延履行债务或者有其他违约行为致使不能实现合同目的；  </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8.4法律规定的其他情形。</w:t>
      </w:r>
    </w:p>
    <w:p>
      <w:pPr>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十、不可抗事件处理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1.在合同有效期内，任何一方因不可抗事件导致不能履行合同，则合同履行期可延长，其延长期与不可抗影响期相同。</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2.受阻一方应在不可抗事件发生后尽快用电话通知对方并于事故发生后XX天内将有关部门出具的证明文件等用特快专递或挂号信寄给对方审阅确认。</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3.不可抗事件延续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天以上，双方应通过友好协商，确定是否继续履行合同。</w:t>
      </w:r>
    </w:p>
    <w:p>
      <w:pPr>
        <w:spacing w:line="420" w:lineRule="exact"/>
        <w:ind w:firstLine="63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十一、解决合同纠纷的方式</w:t>
      </w:r>
    </w:p>
    <w:p>
      <w:pPr>
        <w:spacing w:line="420" w:lineRule="exact"/>
        <w:ind w:firstLine="630"/>
        <w:rPr>
          <w:rFonts w:hint="eastAsia" w:ascii="宋体" w:hAnsi="宋体" w:eastAsia="宋体" w:cs="宋体"/>
          <w:color w:val="auto"/>
          <w:highlight w:val="none"/>
        </w:rPr>
      </w:pPr>
      <w:r>
        <w:rPr>
          <w:rFonts w:hint="eastAsia" w:ascii="宋体" w:hAnsi="宋体" w:eastAsia="宋体" w:cs="宋体"/>
          <w:color w:val="auto"/>
          <w:sz w:val="24"/>
          <w:highlight w:val="none"/>
        </w:rPr>
        <w:t>1、在执行本合同中发生的或与本合同有关的争端，双方应通过有关部门协商解决，经协商在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天内不能达成协议时，</w:t>
      </w:r>
      <w:r>
        <w:rPr>
          <w:rFonts w:hint="eastAsia" w:ascii="宋体" w:hAnsi="宋体" w:eastAsia="宋体" w:cs="宋体"/>
          <w:color w:val="auto"/>
          <w:sz w:val="24"/>
          <w:szCs w:val="24"/>
          <w:highlight w:val="none"/>
          <w:lang w:val="en-US" w:eastAsia="zh-CN"/>
        </w:rPr>
        <w:t>向采购人所在地</w:t>
      </w:r>
      <w:r>
        <w:rPr>
          <w:rFonts w:hint="eastAsia" w:ascii="宋体" w:hAnsi="宋体" w:eastAsia="宋体" w:cs="宋体"/>
          <w:color w:val="auto"/>
          <w:sz w:val="24"/>
          <w:szCs w:val="24"/>
          <w:highlight w:val="none"/>
        </w:rPr>
        <w:t>仲裁委员会</w:t>
      </w:r>
      <w:r>
        <w:rPr>
          <w:rFonts w:hint="eastAsia" w:ascii="宋体" w:hAnsi="宋体" w:eastAsia="宋体" w:cs="宋体"/>
          <w:color w:val="auto"/>
          <w:sz w:val="24"/>
          <w:szCs w:val="24"/>
          <w:highlight w:val="none"/>
          <w:lang w:val="en-US" w:eastAsia="zh-CN"/>
        </w:rPr>
        <w:t>申请</w:t>
      </w:r>
      <w:r>
        <w:rPr>
          <w:rFonts w:hint="eastAsia" w:ascii="宋体" w:hAnsi="宋体" w:eastAsia="宋体" w:cs="宋体"/>
          <w:color w:val="auto"/>
          <w:sz w:val="24"/>
          <w:szCs w:val="24"/>
          <w:highlight w:val="none"/>
        </w:rPr>
        <w:t>仲裁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highlight w:val="none"/>
          <w:lang w:val="en-US" w:eastAsia="zh-CN"/>
        </w:rPr>
        <w:t>向采购人所在地人民法院起诉</w:t>
      </w:r>
      <w:r>
        <w:rPr>
          <w:rFonts w:hint="eastAsia" w:ascii="宋体" w:hAnsi="宋体" w:eastAsia="宋体" w:cs="宋体"/>
          <w:color w:val="auto"/>
          <w:sz w:val="24"/>
          <w:highlight w:val="none"/>
        </w:rPr>
        <w:t xml:space="preserve">。  </w:t>
      </w:r>
    </w:p>
    <w:p>
      <w:pPr>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十二、合同生效及其他</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1.合同经双方法定代表人（或主要负责人）或授权委托代理人签字并加盖公章后生效。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甲方需追加与合同标的相同的货物的，在不改变合同其他条款的前提下，可以与乙方协商签订补充合同，但所有补充合同的采购金额不得超过原合同采购金额的百分之十。补充协议签订后，报政府采购监督管理部门备案，方可作为主合同不可分割的一部分。</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3.本合同一式3份，自双方签章之日起生效。甲方持有1份，乙方持有1份，同级财政部门备案1份，具有同等法律效力。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如有未尽事宜，由双方依法订立补充合同</w:t>
      </w:r>
      <w:r>
        <w:rPr>
          <w:rFonts w:hint="eastAsia" w:ascii="宋体" w:hAnsi="宋体" w:eastAsia="宋体" w:cs="宋体"/>
          <w:color w:val="auto"/>
          <w:sz w:val="24"/>
          <w:szCs w:val="24"/>
          <w:highlight w:val="none"/>
          <w:lang w:eastAsia="zh-CN"/>
        </w:rPr>
        <w:t>。</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textWrapping"/>
      </w:r>
    </w:p>
    <w:p>
      <w:pPr>
        <w:pStyle w:val="28"/>
        <w:rPr>
          <w:rFonts w:hint="eastAsia" w:ascii="宋体" w:hAnsi="宋体" w:eastAsia="宋体" w:cs="宋体"/>
          <w:color w:val="auto"/>
          <w:sz w:val="24"/>
          <w:szCs w:val="24"/>
          <w:highlight w:val="none"/>
        </w:rPr>
      </w:pPr>
    </w:p>
    <w:p>
      <w:pPr>
        <w:pStyle w:val="28"/>
        <w:ind w:firstLine="480"/>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 （盖章）</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pPr>
        <w:pStyle w:val="28"/>
        <w:ind w:firstLine="480"/>
        <w:rPr>
          <w:rFonts w:hint="eastAsia" w:ascii="宋体" w:hAnsi="宋体" w:eastAsia="宋体" w:cs="宋体"/>
          <w:color w:val="auto"/>
          <w:sz w:val="24"/>
          <w:szCs w:val="24"/>
          <w:highlight w:val="none"/>
        </w:rPr>
      </w:pPr>
    </w:p>
    <w:p>
      <w:pPr>
        <w:pStyle w:val="28"/>
        <w:spacing w:after="375"/>
        <w:ind w:firstLine="480"/>
        <w:rPr>
          <w:rFonts w:hint="eastAsia" w:ascii="宋体" w:hAnsi="宋体" w:eastAsia="宋体" w:cs="宋体"/>
          <w:color w:val="auto"/>
          <w:sz w:val="24"/>
          <w:szCs w:val="24"/>
          <w:highlight w:val="none"/>
        </w:rPr>
      </w:pP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乙方：(盖章）</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法定（授权）代表人：</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pPr>
        <w:pStyle w:val="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pPr>
        <w:keepNext w:val="0"/>
        <w:keepLines w:val="0"/>
        <w:pageBreakBefore w:val="0"/>
        <w:widowControl/>
        <w:wordWrap/>
        <w:overflowPunct/>
        <w:topLinePunct w:val="0"/>
        <w:bidi w:val="0"/>
        <w:spacing w:line="440" w:lineRule="exact"/>
        <w:ind w:leftChars="200"/>
        <w:outlineLvl w:val="9"/>
        <w:rPr>
          <w:rStyle w:val="27"/>
          <w:rFonts w:hint="eastAsia" w:ascii="宋体" w:hAnsi="宋体" w:eastAsia="宋体" w:cs="宋体"/>
          <w:b/>
          <w:bCs/>
          <w:color w:val="auto"/>
          <w:sz w:val="24"/>
          <w:szCs w:val="24"/>
          <w:highlight w:val="none"/>
          <w:lang w:val="zh-TW" w:eastAsia="zh-TW"/>
        </w:rPr>
      </w:pPr>
    </w:p>
    <w:p>
      <w:pPr>
        <w:rPr>
          <w:rFonts w:hint="eastAsia" w:ascii="宋体" w:hAnsi="宋体" w:eastAsia="宋体" w:cs="宋体"/>
          <w:color w:val="auto"/>
          <w:highlight w:val="none"/>
        </w:rPr>
      </w:pPr>
      <w:bookmarkStart w:id="0" w:name="_GoBack"/>
      <w:bookmarkEnd w:id="0"/>
    </w:p>
    <w:sectPr>
      <w:headerReference r:id="rId5" w:type="default"/>
      <w:footerReference r:id="rId6" w:type="default"/>
      <w:pgSz w:w="11900" w:h="16840"/>
      <w:pgMar w:top="1378" w:right="1355" w:bottom="1412" w:left="1349" w:header="0" w:footer="0" w:gutter="0"/>
      <w:pgNumType w:fmt="decimal"/>
      <w:cols w:space="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3" w:lineRule="auto"/>
      <w:ind w:left="4807"/>
      <w:rPr>
        <w:rFonts w:hint="default" w:ascii="Lucida Sans Unicode" w:hAnsi="Lucida Sans Unicode" w:eastAsia="Lucida Sans Unicode" w:cs="Lucida Sans Unicode"/>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-101600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65pt;margin-top:-8pt;height:144pt;width:144pt;mso-position-horizontal-relative:margin;mso-wrap-style:none;z-index:251659264;mso-width-relative:page;mso-height-relative:page;" filled="f" stroked="f" coordsize="21600,21600" o:gfxdata="UEsDBAoAAAAAAIdO4kAAAAAAAAAAAAAAAAAEAAAAZHJzL1BLAwQUAAAACACHTuJAFDMdi9gAAAAL&#10;AQAADwAAAGRycy9kb3ducmV2LnhtbE2Py07DMBBF90j8gzVI7Fo7DzUQ4lSiIiyRaFiwdOMhCcR2&#10;ZLtp+HuGFSxn5ujOudV+NRNb0IfRWQnJVgBD2zk92l7CW9ts7oCFqKxWk7Mo4RsD7Ovrq0qV2l3s&#10;Ky7H2DMKsaFUEoYY55Lz0A1oVNi6GS3dPpw3KtLoe669ulC4mXgqxI4bNVr6MKgZDwN2X8ezkXBo&#10;2tYvGPz0js9N9vnymOPTKuXtTSIegEVc4x8Mv/qkDjU5ndzZ6sAmCXl+nxEqYZPsqBQRRVbQ5iQh&#10;LVIBvK74/w71D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QzHYv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p>
    <w:pPr>
      <w:pStyle w:val="8"/>
      <w:spacing w:line="173" w:lineRule="auto"/>
      <w:ind w:left="4807"/>
      <w:rPr>
        <w:rFonts w:hint="default" w:ascii="Lucida Sans Unicode" w:hAnsi="Lucida Sans Unicode" w:eastAsia="Lucida Sans Unicode" w:cs="Lucida Sans Unicode"/>
        <w:sz w:val="24"/>
        <w:szCs w:val="24"/>
        <w:lang w:val="en-US"/>
      </w:rPr>
    </w:pPr>
  </w:p>
  <w:p>
    <w:pPr>
      <w:pStyle w:val="8"/>
      <w:spacing w:line="173" w:lineRule="auto"/>
      <w:ind w:left="4807"/>
      <w:rPr>
        <w:rFonts w:hint="default" w:ascii="Lucida Sans Unicode" w:hAnsi="Lucida Sans Unicode" w:eastAsia="Lucida Sans Unicode" w:cs="Lucida Sans Unicode"/>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31"/>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6"/>
    <w:multiLevelType w:val="multilevel"/>
    <w:tmpl w:val="00000006"/>
    <w:lvl w:ilvl="0" w:tentative="0">
      <w:start w:val="1"/>
      <w:numFmt w:val="chineseCountingThousand"/>
      <w:suff w:val="space"/>
      <w:lvlText w:val="%1、"/>
      <w:lvlJc w:val="left"/>
      <w:pPr>
        <w:ind w:left="0" w:firstLine="0"/>
      </w:pPr>
      <w:rPr>
        <w:rFonts w:hint="eastAsia"/>
        <w:b/>
      </w:rPr>
    </w:lvl>
    <w:lvl w:ilvl="1" w:tentative="0">
      <w:start w:val="1"/>
      <w:numFmt w:val="decimal"/>
      <w:pStyle w:val="5"/>
      <w:isLgl/>
      <w:suff w:val="space"/>
      <w:lvlText w:val="%1.%2"/>
      <w:lvlJc w:val="left"/>
      <w:pPr>
        <w:ind w:left="284" w:firstLine="0"/>
      </w:pPr>
      <w:rPr>
        <w:rFonts w:hint="eastAsia"/>
        <w:spacing w:val="0"/>
        <w:w w:val="100"/>
        <w:kern w:val="21"/>
        <w:position w:val="0"/>
      </w:rPr>
    </w:lvl>
    <w:lvl w:ilvl="2" w:tentative="0">
      <w:start w:val="1"/>
      <w:numFmt w:val="decimal"/>
      <w:pStyle w:val="6"/>
      <w:isLgl/>
      <w:suff w:val="space"/>
      <w:lvlText w:val="%1.%2.%3"/>
      <w:lvlJc w:val="left"/>
      <w:pPr>
        <w:ind w:left="2268"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2">
    <w:nsid w:val="292CA20F"/>
    <w:multiLevelType w:val="singleLevel"/>
    <w:tmpl w:val="292CA20F"/>
    <w:lvl w:ilvl="0" w:tentative="0">
      <w:start w:val="5"/>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JiZGM3YjM1M2NmZGQ3ZmVhYzE2MGU5ODU2OWFhZTcifQ=="/>
  </w:docVars>
  <w:rsids>
    <w:rsidRoot w:val="00000000"/>
    <w:rsid w:val="00396E9F"/>
    <w:rsid w:val="00BB7DD0"/>
    <w:rsid w:val="00ED2C69"/>
    <w:rsid w:val="02353224"/>
    <w:rsid w:val="023C7678"/>
    <w:rsid w:val="02486F7B"/>
    <w:rsid w:val="034474D5"/>
    <w:rsid w:val="03DD012A"/>
    <w:rsid w:val="03F07D98"/>
    <w:rsid w:val="04DC5FB6"/>
    <w:rsid w:val="05B65C8A"/>
    <w:rsid w:val="0639341C"/>
    <w:rsid w:val="071541E2"/>
    <w:rsid w:val="07AF3996"/>
    <w:rsid w:val="082655A6"/>
    <w:rsid w:val="0863758A"/>
    <w:rsid w:val="09013D9D"/>
    <w:rsid w:val="0958172D"/>
    <w:rsid w:val="09E53CA8"/>
    <w:rsid w:val="0A835130"/>
    <w:rsid w:val="0AD63109"/>
    <w:rsid w:val="0B0E005E"/>
    <w:rsid w:val="0B24469B"/>
    <w:rsid w:val="0B964340"/>
    <w:rsid w:val="0CC04D52"/>
    <w:rsid w:val="0CE96B65"/>
    <w:rsid w:val="0F2969F3"/>
    <w:rsid w:val="0F540EF6"/>
    <w:rsid w:val="0F5E3F33"/>
    <w:rsid w:val="112F4D0A"/>
    <w:rsid w:val="11A7409C"/>
    <w:rsid w:val="123031D0"/>
    <w:rsid w:val="129045AB"/>
    <w:rsid w:val="13166A3B"/>
    <w:rsid w:val="134D522C"/>
    <w:rsid w:val="1448764C"/>
    <w:rsid w:val="14C66E09"/>
    <w:rsid w:val="14F509BB"/>
    <w:rsid w:val="16225C7A"/>
    <w:rsid w:val="16A12DD3"/>
    <w:rsid w:val="16C23E70"/>
    <w:rsid w:val="16F7192B"/>
    <w:rsid w:val="17245B0B"/>
    <w:rsid w:val="174F60DA"/>
    <w:rsid w:val="17906B6E"/>
    <w:rsid w:val="17E57705"/>
    <w:rsid w:val="18006575"/>
    <w:rsid w:val="18295228"/>
    <w:rsid w:val="184E7ED6"/>
    <w:rsid w:val="185B5474"/>
    <w:rsid w:val="199E1014"/>
    <w:rsid w:val="1A9F3699"/>
    <w:rsid w:val="1AB42842"/>
    <w:rsid w:val="1CA41A28"/>
    <w:rsid w:val="1CE67C1B"/>
    <w:rsid w:val="1D314531"/>
    <w:rsid w:val="1DC86484"/>
    <w:rsid w:val="1E4C1E76"/>
    <w:rsid w:val="1E9D1099"/>
    <w:rsid w:val="1EA9527E"/>
    <w:rsid w:val="1ED67DE0"/>
    <w:rsid w:val="1F871480"/>
    <w:rsid w:val="210E39CB"/>
    <w:rsid w:val="214521CF"/>
    <w:rsid w:val="214A2DBE"/>
    <w:rsid w:val="214F3A9A"/>
    <w:rsid w:val="21A85C04"/>
    <w:rsid w:val="22E56D95"/>
    <w:rsid w:val="233D40F4"/>
    <w:rsid w:val="236E48CE"/>
    <w:rsid w:val="240F496B"/>
    <w:rsid w:val="249A6EF9"/>
    <w:rsid w:val="24C820E3"/>
    <w:rsid w:val="25D36BEB"/>
    <w:rsid w:val="25D63BD4"/>
    <w:rsid w:val="260073E8"/>
    <w:rsid w:val="265446EA"/>
    <w:rsid w:val="26925C42"/>
    <w:rsid w:val="26BD5A9A"/>
    <w:rsid w:val="271F18A2"/>
    <w:rsid w:val="275B3244"/>
    <w:rsid w:val="279029B7"/>
    <w:rsid w:val="28212E46"/>
    <w:rsid w:val="289447B6"/>
    <w:rsid w:val="295B07E4"/>
    <w:rsid w:val="2ABD076C"/>
    <w:rsid w:val="2AD51C8A"/>
    <w:rsid w:val="2B721A4D"/>
    <w:rsid w:val="2C0201EC"/>
    <w:rsid w:val="2E6D478D"/>
    <w:rsid w:val="2ECE7DF6"/>
    <w:rsid w:val="2F1D4F05"/>
    <w:rsid w:val="2FC27A01"/>
    <w:rsid w:val="30701CB9"/>
    <w:rsid w:val="316E47F0"/>
    <w:rsid w:val="318B536B"/>
    <w:rsid w:val="31954907"/>
    <w:rsid w:val="31A17801"/>
    <w:rsid w:val="32244D4B"/>
    <w:rsid w:val="32CC7242"/>
    <w:rsid w:val="3311127C"/>
    <w:rsid w:val="33201F54"/>
    <w:rsid w:val="337D5124"/>
    <w:rsid w:val="35090A25"/>
    <w:rsid w:val="35175585"/>
    <w:rsid w:val="358C641A"/>
    <w:rsid w:val="35B45316"/>
    <w:rsid w:val="36157644"/>
    <w:rsid w:val="36E70EEC"/>
    <w:rsid w:val="36F972A7"/>
    <w:rsid w:val="370061E7"/>
    <w:rsid w:val="377677F9"/>
    <w:rsid w:val="378B54B2"/>
    <w:rsid w:val="379824DC"/>
    <w:rsid w:val="384653A1"/>
    <w:rsid w:val="385201EA"/>
    <w:rsid w:val="39CE6157"/>
    <w:rsid w:val="3A5A5133"/>
    <w:rsid w:val="3A686949"/>
    <w:rsid w:val="3A86330E"/>
    <w:rsid w:val="3A98381F"/>
    <w:rsid w:val="3AB075BF"/>
    <w:rsid w:val="3AF963C4"/>
    <w:rsid w:val="3B1A4609"/>
    <w:rsid w:val="3B2604DC"/>
    <w:rsid w:val="3B514F48"/>
    <w:rsid w:val="3C0F3F21"/>
    <w:rsid w:val="3C8A3C61"/>
    <w:rsid w:val="3F1010F3"/>
    <w:rsid w:val="3F952E2B"/>
    <w:rsid w:val="4001677D"/>
    <w:rsid w:val="40790A53"/>
    <w:rsid w:val="42017924"/>
    <w:rsid w:val="43987766"/>
    <w:rsid w:val="43C40391"/>
    <w:rsid w:val="43FC6A3B"/>
    <w:rsid w:val="4425738D"/>
    <w:rsid w:val="445A3FF6"/>
    <w:rsid w:val="447A12C7"/>
    <w:rsid w:val="44844C94"/>
    <w:rsid w:val="45111937"/>
    <w:rsid w:val="4538181C"/>
    <w:rsid w:val="453C6991"/>
    <w:rsid w:val="464429C4"/>
    <w:rsid w:val="46845F20"/>
    <w:rsid w:val="469338E1"/>
    <w:rsid w:val="46DE7DEF"/>
    <w:rsid w:val="470E22F4"/>
    <w:rsid w:val="486A560B"/>
    <w:rsid w:val="48C0383A"/>
    <w:rsid w:val="49FE1C7A"/>
    <w:rsid w:val="4A180D81"/>
    <w:rsid w:val="4AF0066D"/>
    <w:rsid w:val="4B5F4790"/>
    <w:rsid w:val="4CAA3CF8"/>
    <w:rsid w:val="4CB34281"/>
    <w:rsid w:val="4E5E5D85"/>
    <w:rsid w:val="4E7604F1"/>
    <w:rsid w:val="4F546CB7"/>
    <w:rsid w:val="4FAE00F3"/>
    <w:rsid w:val="501804D8"/>
    <w:rsid w:val="503970A5"/>
    <w:rsid w:val="506E3F2C"/>
    <w:rsid w:val="50FB065E"/>
    <w:rsid w:val="512478FA"/>
    <w:rsid w:val="52032FB0"/>
    <w:rsid w:val="523C1402"/>
    <w:rsid w:val="54975154"/>
    <w:rsid w:val="54DB7238"/>
    <w:rsid w:val="552F4819"/>
    <w:rsid w:val="57130D34"/>
    <w:rsid w:val="573022A8"/>
    <w:rsid w:val="58DC16DE"/>
    <w:rsid w:val="58FF419C"/>
    <w:rsid w:val="598D0EE3"/>
    <w:rsid w:val="5991283D"/>
    <w:rsid w:val="5A5C5B94"/>
    <w:rsid w:val="5A767910"/>
    <w:rsid w:val="5ACE1EF9"/>
    <w:rsid w:val="5C9F4EFC"/>
    <w:rsid w:val="5CCE3A33"/>
    <w:rsid w:val="5E140B30"/>
    <w:rsid w:val="5E17203D"/>
    <w:rsid w:val="5E2A6E99"/>
    <w:rsid w:val="5EEC5F6E"/>
    <w:rsid w:val="5EF6151A"/>
    <w:rsid w:val="5F440D45"/>
    <w:rsid w:val="5FA258D9"/>
    <w:rsid w:val="5FE80A1A"/>
    <w:rsid w:val="606D7FE8"/>
    <w:rsid w:val="60F115D4"/>
    <w:rsid w:val="61DB57E6"/>
    <w:rsid w:val="62186FF6"/>
    <w:rsid w:val="624D4D56"/>
    <w:rsid w:val="62880814"/>
    <w:rsid w:val="62965E12"/>
    <w:rsid w:val="62D65BCD"/>
    <w:rsid w:val="636A538F"/>
    <w:rsid w:val="63A61A51"/>
    <w:rsid w:val="63D63372"/>
    <w:rsid w:val="63F7658A"/>
    <w:rsid w:val="64236644"/>
    <w:rsid w:val="651A39E8"/>
    <w:rsid w:val="6578736F"/>
    <w:rsid w:val="6686025D"/>
    <w:rsid w:val="67560FB9"/>
    <w:rsid w:val="68892AED"/>
    <w:rsid w:val="68DE6DEB"/>
    <w:rsid w:val="68F92DE1"/>
    <w:rsid w:val="6964415E"/>
    <w:rsid w:val="69684E2D"/>
    <w:rsid w:val="69F70819"/>
    <w:rsid w:val="6A120378"/>
    <w:rsid w:val="6A552E93"/>
    <w:rsid w:val="6C60477E"/>
    <w:rsid w:val="6D892A38"/>
    <w:rsid w:val="6DB63560"/>
    <w:rsid w:val="6DB83646"/>
    <w:rsid w:val="6EA708EC"/>
    <w:rsid w:val="6FA33559"/>
    <w:rsid w:val="6FF751F8"/>
    <w:rsid w:val="703466C7"/>
    <w:rsid w:val="709972E4"/>
    <w:rsid w:val="71184CE6"/>
    <w:rsid w:val="724A133B"/>
    <w:rsid w:val="72923A95"/>
    <w:rsid w:val="732F0C17"/>
    <w:rsid w:val="73310E11"/>
    <w:rsid w:val="735A1725"/>
    <w:rsid w:val="738F694C"/>
    <w:rsid w:val="739F214F"/>
    <w:rsid w:val="742C4ED9"/>
    <w:rsid w:val="74BB7E4B"/>
    <w:rsid w:val="75A47D0A"/>
    <w:rsid w:val="76016C28"/>
    <w:rsid w:val="76A97C51"/>
    <w:rsid w:val="76E955F3"/>
    <w:rsid w:val="77EF1E8D"/>
    <w:rsid w:val="78250553"/>
    <w:rsid w:val="782642CC"/>
    <w:rsid w:val="78866B18"/>
    <w:rsid w:val="78D2328A"/>
    <w:rsid w:val="78E40D03"/>
    <w:rsid w:val="79182674"/>
    <w:rsid w:val="79BF5D47"/>
    <w:rsid w:val="79EA7513"/>
    <w:rsid w:val="7A2E6C62"/>
    <w:rsid w:val="7A44180B"/>
    <w:rsid w:val="7AE61CAF"/>
    <w:rsid w:val="7BB31795"/>
    <w:rsid w:val="7BB816DF"/>
    <w:rsid w:val="7BEB5610"/>
    <w:rsid w:val="7BED65A1"/>
    <w:rsid w:val="7C0B79BA"/>
    <w:rsid w:val="7C0C49F2"/>
    <w:rsid w:val="7C403BCC"/>
    <w:rsid w:val="7C94611C"/>
    <w:rsid w:val="7CCE52A5"/>
    <w:rsid w:val="7D207876"/>
    <w:rsid w:val="7D6C725C"/>
    <w:rsid w:val="7DAA6ED4"/>
    <w:rsid w:val="7E0D3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next w:val="1"/>
    <w:autoRedefine/>
    <w:qFormat/>
    <w:uiPriority w:val="0"/>
    <w:pPr>
      <w:numPr>
        <w:ilvl w:val="1"/>
        <w:numId w:val="1"/>
      </w:numPr>
      <w:snapToGrid w:val="0"/>
      <w:outlineLvl w:val="1"/>
    </w:pPr>
    <w:rPr>
      <w:rFonts w:ascii="微软雅黑" w:hAnsi="微软雅黑" w:eastAsia="微软雅黑" w:cs="Times New Roman"/>
      <w:b/>
      <w:bCs/>
      <w:kern w:val="2"/>
      <w:sz w:val="21"/>
      <w:szCs w:val="32"/>
      <w:lang w:val="en-US" w:eastAsia="zh-CN" w:bidi="ar-SA"/>
    </w:rPr>
  </w:style>
  <w:style w:type="paragraph" w:styleId="6">
    <w:name w:val="heading 3"/>
    <w:next w:val="1"/>
    <w:autoRedefine/>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2"/>
      </w:numPr>
      <w:tabs>
        <w:tab w:val="left" w:pos="0"/>
      </w:tabs>
      <w:spacing w:before="280" w:after="156" w:line="377" w:lineRule="auto"/>
      <w:outlineLvl w:val="4"/>
    </w:pPr>
    <w:rPr>
      <w:rFonts w:eastAsia="黑体"/>
      <w:b/>
      <w:sz w:val="24"/>
      <w:szCs w:val="28"/>
    </w:rPr>
  </w:style>
  <w:style w:type="paragraph" w:customStyle="1" w:styleId="3">
    <w:name w:val="正文（绿盟科技）"/>
    <w:next w:val="1"/>
    <w:autoRedefine/>
    <w:qFormat/>
    <w:uiPriority w:val="0"/>
    <w:pPr>
      <w:spacing w:line="300" w:lineRule="auto"/>
    </w:pPr>
    <w:rPr>
      <w:rFonts w:ascii="Arial" w:hAnsi="Arial" w:eastAsia="宋体" w:cs="黑体"/>
      <w:sz w:val="21"/>
      <w:szCs w:val="21"/>
      <w:lang w:val="en-US" w:eastAsia="zh-CN" w:bidi="ar-SA"/>
    </w:rPr>
  </w:style>
  <w:style w:type="paragraph" w:styleId="7">
    <w:name w:val="annotation text"/>
    <w:basedOn w:val="1"/>
    <w:autoRedefine/>
    <w:qFormat/>
    <w:uiPriority w:val="0"/>
    <w:pPr>
      <w:jc w:val="left"/>
    </w:pPr>
  </w:style>
  <w:style w:type="paragraph" w:styleId="8">
    <w:name w:val="Body Text"/>
    <w:basedOn w:val="1"/>
    <w:next w:val="1"/>
    <w:autoRedefine/>
    <w:qFormat/>
    <w:uiPriority w:val="0"/>
    <w:rPr>
      <w:rFonts w:ascii="宋体" w:hAnsi="宋体" w:eastAsia="宋体" w:cs="宋体"/>
      <w:sz w:val="19"/>
      <w:szCs w:val="19"/>
      <w:lang w:val="en-US" w:eastAsia="en-US" w:bidi="ar-SA"/>
    </w:rPr>
  </w:style>
  <w:style w:type="paragraph" w:styleId="9">
    <w:name w:val="Plain Text"/>
    <w:basedOn w:val="1"/>
    <w:autoRedefine/>
    <w:unhideWhenUsed/>
    <w:qFormat/>
    <w:uiPriority w:val="99"/>
    <w:pPr>
      <w:tabs>
        <w:tab w:val="left" w:pos="0"/>
      </w:tabs>
    </w:pPr>
    <w:rPr>
      <w:rFonts w:ascii="宋体" w:hAnsi="Courier New"/>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8"/>
    <w:autoRedefine/>
    <w:unhideWhenUsed/>
    <w:qFormat/>
    <w:uiPriority w:val="99"/>
    <w:pPr>
      <w:ind w:firstLine="420" w:firstLineChars="100"/>
    </w:pPr>
  </w:style>
  <w:style w:type="paragraph" w:customStyle="1" w:styleId="16">
    <w:name w:val="正文首行缩进 21"/>
    <w:basedOn w:val="17"/>
    <w:autoRedefine/>
    <w:qFormat/>
    <w:uiPriority w:val="0"/>
    <w:pPr>
      <w:ind w:firstLine="420"/>
    </w:pPr>
  </w:style>
  <w:style w:type="paragraph" w:customStyle="1" w:styleId="17">
    <w:name w:val="正文文本缩进1"/>
    <w:basedOn w:val="1"/>
    <w:next w:val="18"/>
    <w:autoRedefine/>
    <w:qFormat/>
    <w:uiPriority w:val="0"/>
    <w:pPr>
      <w:spacing w:line="500" w:lineRule="exact"/>
      <w:ind w:firstLine="880" w:firstLineChars="200"/>
    </w:pPr>
  </w:style>
  <w:style w:type="paragraph" w:customStyle="1" w:styleId="18">
    <w:name w:val="Body Text First Indent 21"/>
    <w:basedOn w:val="19"/>
    <w:next w:val="1"/>
    <w:autoRedefine/>
    <w:qFormat/>
    <w:uiPriority w:val="0"/>
    <w:pPr>
      <w:widowControl/>
      <w:ind w:firstLine="420"/>
    </w:pPr>
    <w:rPr>
      <w:szCs w:val="20"/>
    </w:rPr>
  </w:style>
  <w:style w:type="paragraph" w:customStyle="1" w:styleId="19">
    <w:name w:val="Body Text Indent1"/>
    <w:basedOn w:val="1"/>
    <w:autoRedefine/>
    <w:qFormat/>
    <w:uiPriority w:val="0"/>
    <w:pPr>
      <w:spacing w:line="500" w:lineRule="exact"/>
      <w:ind w:firstLine="880" w:firstLineChars="200"/>
    </w:p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19"/>
      <w:szCs w:val="19"/>
      <w:lang w:val="en-US" w:eastAsia="en-US" w:bidi="ar-SA"/>
    </w:rPr>
  </w:style>
  <w:style w:type="character" w:customStyle="1" w:styleId="22">
    <w:name w:val="font21"/>
    <w:basedOn w:val="15"/>
    <w:autoRedefine/>
    <w:qFormat/>
    <w:uiPriority w:val="0"/>
    <w:rPr>
      <w:rFonts w:hint="default" w:ascii="仿宋_GB2312" w:eastAsia="仿宋_GB2312" w:cs="仿宋_GB2312"/>
      <w:color w:val="000000"/>
      <w:sz w:val="21"/>
      <w:szCs w:val="21"/>
      <w:u w:val="none"/>
    </w:rPr>
  </w:style>
  <w:style w:type="character" w:customStyle="1" w:styleId="23">
    <w:name w:val="font41"/>
    <w:basedOn w:val="15"/>
    <w:autoRedefine/>
    <w:qFormat/>
    <w:uiPriority w:val="0"/>
    <w:rPr>
      <w:rFonts w:hint="eastAsia" w:ascii="宋体" w:hAnsi="宋体" w:eastAsia="宋体" w:cs="宋体"/>
      <w:color w:val="000000"/>
      <w:sz w:val="21"/>
      <w:szCs w:val="21"/>
      <w:u w:val="none"/>
    </w:rPr>
  </w:style>
  <w:style w:type="paragraph" w:customStyle="1" w:styleId="24">
    <w:name w:val="样式1"/>
    <w:basedOn w:val="1"/>
    <w:autoRedefine/>
    <w:qFormat/>
    <w:uiPriority w:val="0"/>
    <w:pPr>
      <w:spacing w:before="105" w:line="440" w:lineRule="exact"/>
      <w:ind w:left="113" w:right="108"/>
    </w:pPr>
    <w:rPr>
      <w:rFonts w:hint="eastAsia" w:ascii="宋体" w:hAnsi="宋体" w:eastAsia="宋体" w:cs="宋体"/>
      <w:spacing w:val="4"/>
      <w:sz w:val="24"/>
      <w:szCs w:val="24"/>
      <w:lang w:eastAsia="zh-CN"/>
    </w:rPr>
  </w:style>
  <w:style w:type="paragraph" w:customStyle="1" w:styleId="25">
    <w:name w:val="样式 首行缩进:  2 字符"/>
    <w:basedOn w:val="1"/>
    <w:autoRedefine/>
    <w:qFormat/>
    <w:uiPriority w:val="0"/>
    <w:pPr>
      <w:spacing w:line="400" w:lineRule="exact"/>
      <w:ind w:firstLine="200" w:firstLineChars="200"/>
    </w:pPr>
    <w:rPr>
      <w:rFonts w:cs="宋体"/>
      <w:sz w:val="24"/>
    </w:rPr>
  </w:style>
  <w:style w:type="paragraph" w:customStyle="1" w:styleId="26">
    <w:name w:val="纯文本1"/>
    <w:autoRedefine/>
    <w:qFormat/>
    <w:uiPriority w:val="0"/>
    <w:pPr>
      <w:framePr w:wrap="around" w:vAnchor="margin" w:hAnchor="text" w:yAlign="top"/>
      <w:widowControl w:val="0"/>
      <w:jc w:val="both"/>
    </w:pPr>
    <w:rPr>
      <w:rFonts w:ascii="宋体" w:hAnsi="宋体" w:eastAsia="宋体" w:cs="宋体"/>
      <w:color w:val="000000"/>
      <w:kern w:val="2"/>
      <w:sz w:val="21"/>
      <w:szCs w:val="21"/>
      <w:lang w:val="en-US" w:eastAsia="zh-CN" w:bidi="ar-SA"/>
    </w:rPr>
  </w:style>
  <w:style w:type="character" w:customStyle="1" w:styleId="27">
    <w:name w:val="无"/>
    <w:autoRedefine/>
    <w:qFormat/>
    <w:uiPriority w:val="0"/>
    <w:rPr>
      <w:rFonts w:ascii="Times New Roman" w:hAnsi="Times New Roman" w:eastAsia="宋体" w:cs="Times New Roman"/>
    </w:rPr>
  </w:style>
  <w:style w:type="paragraph" w:customStyle="1" w:styleId="28">
    <w:name w:val="null3"/>
    <w:autoRedefine/>
    <w:hidden/>
    <w:qFormat/>
    <w:uiPriority w:val="0"/>
    <w:rPr>
      <w:rFonts w:hint="eastAsia" w:asciiTheme="minorHAnsi" w:hAnsiTheme="minorHAnsi" w:eastAsiaTheme="minorEastAsia" w:cstheme="minorBidi"/>
      <w:lang w:val="en-US" w:eastAsia="zh-Hans"/>
    </w:rPr>
  </w:style>
  <w:style w:type="paragraph" w:customStyle="1" w:styleId="29">
    <w:name w:val="Normal Indent1"/>
    <w:basedOn w:val="1"/>
    <w:autoRedefine/>
    <w:qFormat/>
    <w:uiPriority w:val="0"/>
    <w:pPr>
      <w:ind w:firstLine="420"/>
    </w:pPr>
    <w:rPr>
      <w:rFonts w:ascii="Times New Roman"/>
      <w:b/>
      <w:szCs w:val="20"/>
    </w:rPr>
  </w:style>
  <w:style w:type="paragraph" w:customStyle="1" w:styleId="30">
    <w:name w:val="样式2"/>
    <w:basedOn w:val="1"/>
    <w:autoRedefine/>
    <w:qFormat/>
    <w:uiPriority w:val="0"/>
    <w:pPr>
      <w:spacing w:line="500" w:lineRule="atLeast"/>
      <w:ind w:firstLine="436" w:firstLineChars="200"/>
    </w:pPr>
    <w:rPr>
      <w:rFonts w:hint="eastAsia" w:ascii="宋体" w:hAnsi="宋体" w:eastAsia="宋体" w:cs="宋体"/>
      <w:color w:val="auto"/>
      <w:spacing w:val="4"/>
      <w:lang w:eastAsia="zh-CN"/>
    </w:rPr>
  </w:style>
  <w:style w:type="paragraph" w:customStyle="1" w:styleId="31">
    <w:name w:val="15、“一、”二级标题"/>
    <w:basedOn w:val="1"/>
    <w:autoRedefine/>
    <w:qFormat/>
    <w:uiPriority w:val="0"/>
    <w:pPr>
      <w:numPr>
        <w:ilvl w:val="1"/>
        <w:numId w:val="3"/>
      </w:numPr>
      <w:tabs>
        <w:tab w:val="left" w:pos="0"/>
      </w:tabs>
      <w:wordWrap w:val="0"/>
      <w:topLinePunct/>
      <w:ind w:firstLine="803" w:firstLineChars="200"/>
      <w:outlineLvl w:val="1"/>
    </w:pPr>
    <w:rPr>
      <w:rFonts w:ascii="宋体" w:hAnsi="宋体" w:eastAsia="宋体"/>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11053</Words>
  <Characters>11728</Characters>
  <TotalTime>38</TotalTime>
  <ScaleCrop>false</ScaleCrop>
  <LinksUpToDate>false</LinksUpToDate>
  <CharactersWithSpaces>12006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2023-02-17T08:55:00Z</dcterms:created>
  <dc:creator>Administrator</dc:creator>
  <cp:lastModifiedBy>中矩招标</cp:lastModifiedBy>
  <cp:lastPrinted>2024-05-17T01:59:00Z</cp:lastPrinted>
  <dcterms:modified xsi:type="dcterms:W3CDTF">2024-05-17T02:13:55Z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2023-08-14T11:54:40Z</vt:filetime>
  </property>
  <property fmtid="{D5CDD505-2E9C-101B-9397-08002B2CF9AE}" pid="4" name="KSOProductBuildVer">
    <vt:lpwstr>2052-12.1.0.16929</vt:lpwstr>
  </property>
  <property fmtid="{D5CDD505-2E9C-101B-9397-08002B2CF9AE}" pid="5" name="ICV">
    <vt:lpwstr>E9841D60D1AA43B3B46EDB20F1CA4CA4_13</vt:lpwstr>
  </property>
</Properties>
</file>