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bookmarkStart w:id="0" w:name="OLE_LINK1"/>
      <w:r>
        <w:rPr>
          <w:rFonts w:ascii="Times New Roman" w:hAnsi="Times New Roman" w:eastAsia="方正小标宋简体" w:cs="Times New Roman"/>
          <w:bCs/>
          <w:kern w:val="44"/>
          <w:sz w:val="44"/>
          <w:szCs w:val="44"/>
        </w:rPr>
        <w:t>采办计划公告</w:t>
      </w:r>
    </w:p>
    <w:bookmarkEnd w:id="0"/>
    <w:p>
      <w:pPr>
        <w:tabs>
          <w:tab w:val="left" w:pos="993"/>
          <w:tab w:val="left" w:pos="1134"/>
          <w:tab w:val="left" w:pos="1418"/>
        </w:tabs>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采办包名称：</w:t>
      </w:r>
    </w:p>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海油发展-化工品类部-天津院2026-2029年碱式碳酸镍采购专有协议</w:t>
      </w:r>
      <w:r>
        <w:rPr>
          <w:rFonts w:ascii="Times New Roman" w:hAnsi="Times New Roman" w:eastAsia="仿宋_GB2312" w:cs="Times New Roman"/>
          <w:sz w:val="24"/>
          <w:szCs w:val="24"/>
        </w:rPr>
        <w:t>采办计划公</w:t>
      </w:r>
      <w:r>
        <w:rPr>
          <w:rFonts w:hint="eastAsia" w:ascii="Times New Roman" w:hAnsi="Times New Roman" w:eastAsia="仿宋_GB2312" w:cs="Times New Roman"/>
          <w:sz w:val="24"/>
          <w:szCs w:val="24"/>
        </w:rPr>
        <w:t>告</w:t>
      </w:r>
      <w:r>
        <w:rPr>
          <w:rFonts w:ascii="Times New Roman" w:hAnsi="Times New Roman" w:eastAsia="仿宋_GB2312" w:cs="Times New Roman"/>
          <w:sz w:val="24"/>
          <w:szCs w:val="24"/>
        </w:rPr>
        <w:t>如下：</w:t>
      </w:r>
    </w:p>
    <w:tbl>
      <w:tblPr>
        <w:tblStyle w:val="17"/>
        <w:tblW w:w="9917"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076"/>
        <w:gridCol w:w="1840"/>
        <w:gridCol w:w="2016"/>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85" w:type="dxa"/>
            <w:vAlign w:val="center"/>
          </w:tcPr>
          <w:p>
            <w:pPr>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3076" w:type="dxa"/>
            <w:vAlign w:val="center"/>
          </w:tcPr>
          <w:p>
            <w:pPr>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840" w:type="dxa"/>
            <w:vAlign w:val="center"/>
          </w:tcPr>
          <w:p>
            <w:pPr>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2016" w:type="dxa"/>
            <w:vAlign w:val="center"/>
          </w:tcPr>
          <w:p>
            <w:pPr>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tc>
        <w:tc>
          <w:tcPr>
            <w:tcW w:w="2300" w:type="dxa"/>
            <w:vAlign w:val="center"/>
          </w:tcPr>
          <w:p>
            <w:pPr>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85" w:type="dxa"/>
            <w:vAlign w:val="center"/>
          </w:tcPr>
          <w:p>
            <w:pPr>
              <w:adjustRightInd w:val="0"/>
              <w:snapToGrid w:val="0"/>
              <w:ind w:firstLine="240" w:firstLineChars="100"/>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3076" w:type="dxa"/>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天津院2026-2029年碱式碳酸镍采购专有协议</w:t>
            </w:r>
          </w:p>
        </w:tc>
        <w:tc>
          <w:tcPr>
            <w:tcW w:w="1840" w:type="dxa"/>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见附件1</w:t>
            </w:r>
          </w:p>
        </w:tc>
        <w:tc>
          <w:tcPr>
            <w:tcW w:w="2016" w:type="dxa"/>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202</w:t>
            </w:r>
            <w:r>
              <w:rPr>
                <w:rFonts w:hint="eastAsia" w:ascii="Times New Roman" w:hAnsi="Times New Roman" w:eastAsia="仿宋" w:cs="Times New Roman"/>
                <w:kern w:val="0"/>
                <w:sz w:val="24"/>
                <w:szCs w:val="24"/>
                <w:lang w:val="en-US" w:eastAsia="zh-CN"/>
              </w:rPr>
              <w:t>6</w:t>
            </w:r>
            <w:r>
              <w:rPr>
                <w:rFonts w:hint="eastAsia" w:ascii="Times New Roman" w:hAnsi="Times New Roman" w:eastAsia="仿宋" w:cs="Times New Roman"/>
                <w:kern w:val="0"/>
                <w:sz w:val="24"/>
                <w:szCs w:val="24"/>
              </w:rPr>
              <w:t>年</w:t>
            </w:r>
            <w:r>
              <w:rPr>
                <w:rFonts w:hint="eastAsia" w:ascii="Times New Roman" w:hAnsi="Times New Roman" w:eastAsia="仿宋" w:cs="Times New Roman"/>
                <w:kern w:val="0"/>
                <w:sz w:val="24"/>
                <w:szCs w:val="24"/>
                <w:lang w:val="en-US" w:eastAsia="zh-CN"/>
              </w:rPr>
              <w:t>04</w:t>
            </w:r>
            <w:r>
              <w:rPr>
                <w:rFonts w:hint="eastAsia" w:ascii="Times New Roman" w:hAnsi="Times New Roman" w:eastAsia="仿宋" w:cs="Times New Roman"/>
                <w:kern w:val="0"/>
                <w:sz w:val="24"/>
                <w:szCs w:val="24"/>
              </w:rPr>
              <w:t>月</w:t>
            </w:r>
          </w:p>
        </w:tc>
        <w:tc>
          <w:tcPr>
            <w:tcW w:w="2300" w:type="dxa"/>
            <w:vAlign w:val="center"/>
          </w:tcPr>
          <w:p>
            <w:pPr>
              <w:adjustRightInd w:val="0"/>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见附件2</w:t>
            </w:r>
          </w:p>
        </w:tc>
      </w:tr>
    </w:tbl>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本次公告有效期是（</w:t>
      </w:r>
      <w:r>
        <w:rPr>
          <w:rFonts w:hint="eastAsia"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04月02</w:t>
      </w:r>
      <w:r>
        <w:rPr>
          <w:rFonts w:ascii="Times New Roman" w:hAnsi="Times New Roman" w:eastAsia="仿宋_GB2312" w:cs="Times New Roman"/>
          <w:sz w:val="24"/>
          <w:szCs w:val="24"/>
        </w:rPr>
        <w:t>日）至（</w:t>
      </w:r>
      <w:r>
        <w:rPr>
          <w:rFonts w:hint="eastAsia"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04</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10</w:t>
      </w:r>
      <w:r>
        <w:rPr>
          <w:rFonts w:ascii="Times New Roman" w:hAnsi="Times New Roman" w:eastAsia="仿宋_GB2312" w:cs="Times New Roman"/>
          <w:sz w:val="24"/>
          <w:szCs w:val="24"/>
        </w:rPr>
        <w:t>日）止。在此期间，有意参与</w:t>
      </w:r>
      <w:r>
        <w:rPr>
          <w:rFonts w:hint="eastAsia" w:ascii="Times New Roman" w:hAnsi="Times New Roman" w:eastAsia="仿宋_GB2312" w:cs="Times New Roman"/>
          <w:sz w:val="24"/>
          <w:szCs w:val="24"/>
        </w:rPr>
        <w:t>该</w:t>
      </w:r>
      <w:r>
        <w:rPr>
          <w:rFonts w:ascii="Times New Roman" w:hAnsi="Times New Roman" w:eastAsia="仿宋_GB2312" w:cs="Times New Roman"/>
          <w:sz w:val="24"/>
          <w:szCs w:val="24"/>
        </w:rPr>
        <w:t>采办包的系统用户可在集团公司采办系统中提交反馈材料。</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请感兴趣的供应商于202</w:t>
      </w:r>
      <w:r>
        <w:rPr>
          <w:rFonts w:hint="eastAsia" w:ascii="Times New Roman" w:hAnsi="Times New Roman" w:eastAsia="仿宋_GB2312" w:cs="Times New Roman"/>
          <w:sz w:val="24"/>
          <w:szCs w:val="24"/>
          <w:lang w:val="en-US" w:eastAsia="zh-CN"/>
        </w:rPr>
        <w:t>6</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04</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10</w:t>
      </w:r>
      <w:r>
        <w:rPr>
          <w:rFonts w:hint="eastAsia" w:ascii="Times New Roman" w:hAnsi="Times New Roman" w:eastAsia="仿宋_GB2312" w:cs="Times New Roman"/>
          <w:sz w:val="24"/>
          <w:szCs w:val="24"/>
        </w:rPr>
        <w:t>日17:00前，与我方联系人接洽。</w:t>
      </w:r>
    </w:p>
    <w:p>
      <w:pPr>
        <w:tabs>
          <w:tab w:val="left" w:pos="993"/>
          <w:tab w:val="left" w:pos="1134"/>
          <w:tab w:val="left" w:pos="1418"/>
        </w:tabs>
        <w:spacing w:line="6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联系人：闫震          电话：022-25802203  </w:t>
      </w:r>
    </w:p>
    <w:p>
      <w:pPr>
        <w:tabs>
          <w:tab w:val="left" w:pos="993"/>
          <w:tab w:val="left" w:pos="1134"/>
          <w:tab w:val="left" w:pos="1418"/>
        </w:tabs>
        <w:spacing w:line="6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邮箱：yanzhen@cnooc.com.cn</w:t>
      </w:r>
    </w:p>
    <w:p>
      <w:pPr>
        <w:tabs>
          <w:tab w:val="left" w:pos="993"/>
          <w:tab w:val="left" w:pos="1134"/>
          <w:tab w:val="left" w:pos="1418"/>
        </w:tabs>
        <w:spacing w:line="600" w:lineRule="exact"/>
        <w:rPr>
          <w:rFonts w:ascii="Times New Roman" w:hAnsi="Times New Roman" w:eastAsia="仿宋" w:cs="Times New Roman"/>
          <w:sz w:val="24"/>
          <w:szCs w:val="24"/>
        </w:rPr>
      </w:pPr>
      <w:r>
        <w:rPr>
          <w:rFonts w:hint="eastAsia" w:ascii="Times New Roman" w:hAnsi="Times New Roman" w:eastAsia="仿宋_GB2312" w:cs="Times New Roman"/>
          <w:sz w:val="24"/>
          <w:szCs w:val="24"/>
        </w:rPr>
        <w:t xml:space="preserve">如对上述公开内容真实、有效性存疑，请拨打社会监督电话：022-25802262，其他事项不受理。    </w:t>
      </w:r>
    </w:p>
    <w:p>
      <w:pPr>
        <w:tabs>
          <w:tab w:val="left" w:pos="993"/>
          <w:tab w:val="left" w:pos="1134"/>
          <w:tab w:val="left" w:pos="1418"/>
        </w:tabs>
        <w:spacing w:line="600" w:lineRule="exact"/>
        <w:ind w:right="320" w:firstLine="720" w:firstLineChars="300"/>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中海油能源发展股份有限公司采办共享中心</w:t>
      </w:r>
    </w:p>
    <w:p>
      <w:pPr>
        <w:tabs>
          <w:tab w:val="left" w:pos="993"/>
          <w:tab w:val="left" w:pos="1134"/>
          <w:tab w:val="left" w:pos="1418"/>
        </w:tabs>
        <w:spacing w:line="600" w:lineRule="exact"/>
        <w:ind w:right="480" w:firstLine="720" w:firstLineChars="300"/>
        <w:jc w:val="right"/>
        <w:rPr>
          <w:rFonts w:ascii="Times New Roman" w:hAnsi="Times New Roman" w:eastAsia="仿宋_GB2312" w:cs="Times New Roman"/>
          <w:b/>
          <w:sz w:val="24"/>
          <w:szCs w:val="24"/>
        </w:rPr>
      </w:pPr>
      <w:r>
        <w:rPr>
          <w:rFonts w:hint="eastAsia"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04</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02</w:t>
      </w:r>
      <w:r>
        <w:rPr>
          <w:rFonts w:ascii="Times New Roman" w:hAnsi="Times New Roman" w:eastAsia="仿宋_GB2312" w:cs="Times New Roman"/>
          <w:sz w:val="24"/>
          <w:szCs w:val="24"/>
        </w:rPr>
        <w:t xml:space="preserve">日  </w:t>
      </w:r>
    </w:p>
    <w:p>
      <w:pPr>
        <w:rPr>
          <w:rFonts w:hint="eastAsia"/>
        </w:rPr>
      </w:pPr>
      <w:r>
        <w:br w:type="page"/>
      </w:r>
    </w:p>
    <w:p>
      <w:pPr>
        <w:tabs>
          <w:tab w:val="left" w:pos="993"/>
          <w:tab w:val="left" w:pos="1134"/>
          <w:tab w:val="left" w:pos="1418"/>
        </w:tabs>
        <w:spacing w:line="560" w:lineRule="exac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附件1采购范围与主要技术指标</w:t>
      </w:r>
    </w:p>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bookmarkStart w:id="1" w:name="_Toc13248927"/>
      <w:bookmarkStart w:id="2" w:name="_Toc13249324"/>
    </w:p>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r>
        <w:rPr>
          <w:rFonts w:hint="eastAsia" w:ascii="微软雅黑" w:hAnsi="微软雅黑" w:eastAsia="微软雅黑" w:cs="微软雅黑"/>
          <w:b/>
          <w:bCs w:val="0"/>
          <w:color w:val="auto"/>
          <w:sz w:val="28"/>
          <w:szCs w:val="28"/>
        </w:rPr>
        <w:t>一、项目概况及总体要求</w:t>
      </w:r>
      <w:bookmarkEnd w:id="1"/>
      <w:bookmarkEnd w:id="2"/>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仿宋" w:hAnsi="仿宋" w:eastAsia="仿宋" w:cs="仿宋"/>
          <w:bCs/>
          <w:sz w:val="21"/>
          <w:szCs w:val="21"/>
          <w:lang w:val="en-US" w:eastAsia="zh-CN"/>
        </w:rPr>
      </w:pPr>
      <w:r>
        <w:rPr>
          <w:rFonts w:hint="eastAsia" w:ascii="仿宋" w:hAnsi="仿宋" w:eastAsia="仿宋" w:cs="仿宋"/>
          <w:color w:val="auto"/>
          <w:kern w:val="0"/>
          <w:sz w:val="21"/>
          <w:szCs w:val="21"/>
          <w:highlight w:val="none"/>
          <w:lang w:val="en-US" w:eastAsia="zh-CN" w:bidi="ar"/>
        </w:rPr>
        <w:t>天津院催化剂因生产需求需采购碱式碳酸镍，为了更好的保障生产质量和稳定供货，拟采购催化剂生产所需生产原料，拟签订3年年度协议采购</w:t>
      </w:r>
      <w:r>
        <w:rPr>
          <w:rFonts w:hint="eastAsia" w:ascii="仿宋" w:hAnsi="仿宋" w:eastAsia="仿宋" w:cs="仿宋"/>
          <w:bCs/>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本项目部分引用《HG/T 4696-2020 工业碱式碳酸镍》标准。 </w:t>
      </w:r>
    </w:p>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bookmarkStart w:id="3" w:name="_Toc13248928"/>
      <w:bookmarkStart w:id="4" w:name="_Toc13249325"/>
      <w:r>
        <w:rPr>
          <w:rFonts w:hint="eastAsia" w:ascii="微软雅黑" w:hAnsi="微软雅黑" w:eastAsia="微软雅黑" w:cs="微软雅黑"/>
          <w:b/>
          <w:bCs w:val="0"/>
          <w:color w:val="auto"/>
          <w:sz w:val="28"/>
          <w:szCs w:val="28"/>
        </w:rPr>
        <w:t>二、需求一览表</w:t>
      </w:r>
      <w:bookmarkEnd w:id="3"/>
      <w:bookmarkEnd w:id="4"/>
    </w:p>
    <w:tbl>
      <w:tblPr>
        <w:tblStyle w:val="17"/>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48"/>
        <w:gridCol w:w="848"/>
        <w:gridCol w:w="1110"/>
        <w:gridCol w:w="927"/>
        <w:gridCol w:w="2125"/>
        <w:gridCol w:w="1344"/>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0"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rPr>
            </w:pPr>
            <w:bookmarkStart w:id="5" w:name="_Toc13249326"/>
            <w:bookmarkStart w:id="6" w:name="_Toc13248929"/>
            <w:r>
              <w:rPr>
                <w:rFonts w:hint="eastAsia" w:ascii="仿宋" w:hAnsi="仿宋" w:eastAsia="仿宋" w:cs="仿宋"/>
                <w:color w:val="auto"/>
                <w:spacing w:val="0"/>
                <w:sz w:val="21"/>
                <w:szCs w:val="21"/>
              </w:rPr>
              <w:t>序号</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lang w:eastAsia="zh-CN"/>
              </w:rPr>
              <w:t>物料编码</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物资名称</w:t>
            </w:r>
          </w:p>
        </w:tc>
        <w:tc>
          <w:tcPr>
            <w:tcW w:w="1110"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规格型号</w:t>
            </w:r>
          </w:p>
        </w:tc>
        <w:tc>
          <w:tcPr>
            <w:tcW w:w="927"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val="en-US"/>
              </w:rPr>
            </w:pPr>
            <w:r>
              <w:rPr>
                <w:rFonts w:hint="eastAsia" w:ascii="仿宋" w:hAnsi="仿宋" w:eastAsia="仿宋" w:cs="仿宋"/>
                <w:color w:val="auto"/>
                <w:spacing w:val="0"/>
                <w:sz w:val="21"/>
                <w:szCs w:val="21"/>
                <w:lang w:val="en-US" w:eastAsia="zh-CN"/>
              </w:rPr>
              <w:t>三年预计需求量/吨</w:t>
            </w:r>
          </w:p>
        </w:tc>
        <w:tc>
          <w:tcPr>
            <w:tcW w:w="2125"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交货期</w:t>
            </w:r>
          </w:p>
        </w:tc>
        <w:tc>
          <w:tcPr>
            <w:tcW w:w="1344"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交货地点</w:t>
            </w:r>
          </w:p>
        </w:tc>
        <w:tc>
          <w:tcPr>
            <w:tcW w:w="1193"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0"/>
                <w:szCs w:val="20"/>
                <w:lang w:val="en-US" w:eastAsia="zh-CN"/>
              </w:rPr>
              <w:t>最小送货量/吨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00"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bCs w:val="0"/>
                <w:color w:val="auto"/>
                <w:spacing w:val="0"/>
                <w:kern w:val="0"/>
                <w:sz w:val="21"/>
                <w:szCs w:val="21"/>
                <w:highlight w:val="none"/>
                <w:lang w:val="en-US" w:eastAsia="zh-CN"/>
              </w:rPr>
              <w:t>84398856</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lang w:val="en-US" w:eastAsia="zh-CN"/>
              </w:rPr>
              <w:t>碱式碳酸镍</w:t>
            </w:r>
          </w:p>
        </w:tc>
        <w:tc>
          <w:tcPr>
            <w:tcW w:w="1110"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Ni含量≥42%</w:t>
            </w:r>
          </w:p>
        </w:tc>
        <w:tc>
          <w:tcPr>
            <w:tcW w:w="927"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highlight w:val="none"/>
                <w:lang w:val="en-US" w:eastAsia="zh-CN"/>
              </w:rPr>
              <w:t>37吨</w:t>
            </w:r>
          </w:p>
        </w:tc>
        <w:tc>
          <w:tcPr>
            <w:tcW w:w="2125"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highlight w:val="none"/>
                <w:lang w:eastAsia="zh-CN" w:bidi="ar"/>
              </w:rPr>
              <w:t>合同签订后提交订单，订单签署后</w:t>
            </w:r>
            <w:r>
              <w:rPr>
                <w:rFonts w:hint="eastAsia" w:ascii="仿宋" w:hAnsi="仿宋" w:eastAsia="仿宋" w:cs="仿宋"/>
                <w:color w:val="auto"/>
                <w:sz w:val="21"/>
                <w:szCs w:val="21"/>
                <w:highlight w:val="none"/>
                <w:lang w:val="en-US" w:eastAsia="zh-CN" w:bidi="ar"/>
              </w:rPr>
              <w:t>7</w:t>
            </w:r>
            <w:r>
              <w:rPr>
                <w:rFonts w:hint="eastAsia" w:ascii="仿宋" w:hAnsi="仿宋" w:eastAsia="仿宋" w:cs="仿宋"/>
                <w:color w:val="auto"/>
                <w:sz w:val="21"/>
                <w:szCs w:val="21"/>
                <w:highlight w:val="none"/>
                <w:lang w:eastAsia="zh-CN" w:bidi="ar"/>
              </w:rPr>
              <w:t>天内发货，具体以订单为准</w:t>
            </w:r>
          </w:p>
        </w:tc>
        <w:tc>
          <w:tcPr>
            <w:tcW w:w="1344"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strike w:val="0"/>
                <w:dstrike w:val="0"/>
                <w:color w:val="auto"/>
                <w:spacing w:val="0"/>
                <w:sz w:val="21"/>
                <w:szCs w:val="21"/>
                <w:lang w:val="en-US" w:eastAsia="zh-CN"/>
              </w:rPr>
              <w:t>辽宁省</w:t>
            </w:r>
          </w:p>
        </w:tc>
        <w:tc>
          <w:tcPr>
            <w:tcW w:w="1193" w:type="dxa"/>
            <w:noWrap w:val="0"/>
            <w:vAlign w:val="center"/>
          </w:tcPr>
          <w:p>
            <w:pPr>
              <w:pStyle w:val="6"/>
              <w:jc w:val="center"/>
              <w:rPr>
                <w:rFonts w:hint="eastAsia" w:ascii="仿宋" w:hAnsi="仿宋" w:eastAsia="仿宋" w:cs="仿宋"/>
                <w:color w:val="auto"/>
                <w:spacing w:val="2"/>
                <w:kern w:val="0"/>
                <w:sz w:val="21"/>
                <w:szCs w:val="21"/>
                <w:highlight w:val="none"/>
                <w:lang w:val="en-US" w:eastAsia="zh-CN" w:bidi="ar"/>
              </w:rPr>
            </w:pPr>
            <w:r>
              <w:rPr>
                <w:rFonts w:hint="eastAsia" w:ascii="仿宋" w:hAnsi="仿宋" w:eastAsia="仿宋" w:cs="仿宋"/>
                <w:color w:val="auto"/>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00"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2</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bCs w:val="0"/>
                <w:color w:val="auto"/>
                <w:spacing w:val="0"/>
                <w:kern w:val="0"/>
                <w:sz w:val="21"/>
                <w:szCs w:val="21"/>
                <w:highlight w:val="none"/>
                <w:lang w:val="en-US" w:eastAsia="zh-CN"/>
              </w:rPr>
              <w:t>84398856</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碱式碳酸镍</w:t>
            </w:r>
          </w:p>
        </w:tc>
        <w:tc>
          <w:tcPr>
            <w:tcW w:w="1110"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Ni含量≥42%</w:t>
            </w:r>
          </w:p>
        </w:tc>
        <w:tc>
          <w:tcPr>
            <w:tcW w:w="927"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38吨</w:t>
            </w:r>
          </w:p>
        </w:tc>
        <w:tc>
          <w:tcPr>
            <w:tcW w:w="2125"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highlight w:val="none"/>
                <w:lang w:eastAsia="zh-CN" w:bidi="ar"/>
              </w:rPr>
              <w:t>合同签订后提交订单，订单签署后</w:t>
            </w:r>
            <w:r>
              <w:rPr>
                <w:rFonts w:hint="eastAsia" w:ascii="仿宋" w:hAnsi="仿宋" w:eastAsia="仿宋" w:cs="仿宋"/>
                <w:color w:val="auto"/>
                <w:sz w:val="21"/>
                <w:szCs w:val="21"/>
                <w:highlight w:val="none"/>
                <w:lang w:val="en-US" w:eastAsia="zh-CN" w:bidi="ar"/>
              </w:rPr>
              <w:t>7</w:t>
            </w:r>
            <w:r>
              <w:rPr>
                <w:rFonts w:hint="eastAsia" w:ascii="仿宋" w:hAnsi="仿宋" w:eastAsia="仿宋" w:cs="仿宋"/>
                <w:color w:val="auto"/>
                <w:sz w:val="21"/>
                <w:szCs w:val="21"/>
                <w:highlight w:val="none"/>
                <w:lang w:eastAsia="zh-CN" w:bidi="ar"/>
              </w:rPr>
              <w:t>天内发货，具体以订单为准</w:t>
            </w:r>
          </w:p>
        </w:tc>
        <w:tc>
          <w:tcPr>
            <w:tcW w:w="1344"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strike w:val="0"/>
                <w:dstrike w:val="0"/>
                <w:color w:val="auto"/>
                <w:spacing w:val="0"/>
                <w:sz w:val="21"/>
                <w:szCs w:val="21"/>
                <w:lang w:val="en-US" w:eastAsia="zh-CN"/>
              </w:rPr>
            </w:pPr>
            <w:r>
              <w:rPr>
                <w:rFonts w:hint="eastAsia" w:ascii="仿宋" w:hAnsi="仿宋" w:eastAsia="仿宋" w:cs="仿宋"/>
                <w:color w:val="auto"/>
                <w:spacing w:val="0"/>
                <w:sz w:val="21"/>
                <w:szCs w:val="21"/>
                <w:lang w:val="en-US" w:eastAsia="zh-CN"/>
              </w:rPr>
              <w:t>山东省</w:t>
            </w:r>
          </w:p>
        </w:tc>
        <w:tc>
          <w:tcPr>
            <w:tcW w:w="1193" w:type="dxa"/>
            <w:noWrap w:val="0"/>
            <w:vAlign w:val="center"/>
          </w:tcPr>
          <w:p>
            <w:pPr>
              <w:pStyle w:val="6"/>
              <w:jc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00"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3</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bCs w:val="0"/>
                <w:color w:val="auto"/>
                <w:spacing w:val="0"/>
                <w:kern w:val="0"/>
                <w:sz w:val="21"/>
                <w:szCs w:val="21"/>
                <w:highlight w:val="none"/>
                <w:lang w:val="en-US" w:eastAsia="zh-CN"/>
              </w:rPr>
              <w:t>84398856</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碱式碳酸镍</w:t>
            </w:r>
          </w:p>
        </w:tc>
        <w:tc>
          <w:tcPr>
            <w:tcW w:w="1110"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Ni含量≥42%</w:t>
            </w:r>
          </w:p>
        </w:tc>
        <w:tc>
          <w:tcPr>
            <w:tcW w:w="927"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38吨</w:t>
            </w:r>
          </w:p>
        </w:tc>
        <w:tc>
          <w:tcPr>
            <w:tcW w:w="2125"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highlight w:val="none"/>
                <w:lang w:eastAsia="zh-CN" w:bidi="ar"/>
              </w:rPr>
              <w:t>合同签订后提交订单，订单签署后</w:t>
            </w:r>
            <w:r>
              <w:rPr>
                <w:rFonts w:hint="eastAsia" w:ascii="仿宋" w:hAnsi="仿宋" w:eastAsia="仿宋" w:cs="仿宋"/>
                <w:color w:val="auto"/>
                <w:sz w:val="21"/>
                <w:szCs w:val="21"/>
                <w:highlight w:val="none"/>
                <w:lang w:val="en-US" w:eastAsia="zh-CN" w:bidi="ar"/>
              </w:rPr>
              <w:t>7</w:t>
            </w:r>
            <w:r>
              <w:rPr>
                <w:rFonts w:hint="eastAsia" w:ascii="仿宋" w:hAnsi="仿宋" w:eastAsia="仿宋" w:cs="仿宋"/>
                <w:color w:val="auto"/>
                <w:sz w:val="21"/>
                <w:szCs w:val="21"/>
                <w:highlight w:val="none"/>
                <w:lang w:eastAsia="zh-CN" w:bidi="ar"/>
              </w:rPr>
              <w:t>天内发货，具体以订单为准</w:t>
            </w:r>
          </w:p>
        </w:tc>
        <w:tc>
          <w:tcPr>
            <w:tcW w:w="1344"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strike w:val="0"/>
                <w:dstrike w:val="0"/>
                <w:color w:val="auto"/>
                <w:spacing w:val="0"/>
                <w:sz w:val="21"/>
                <w:szCs w:val="21"/>
                <w:lang w:val="en-US" w:eastAsia="zh-CN"/>
              </w:rPr>
            </w:pPr>
            <w:r>
              <w:rPr>
                <w:rFonts w:hint="eastAsia" w:ascii="仿宋" w:hAnsi="仿宋" w:eastAsia="仿宋" w:cs="仿宋"/>
                <w:strike w:val="0"/>
                <w:dstrike w:val="0"/>
                <w:color w:val="auto"/>
                <w:spacing w:val="0"/>
                <w:sz w:val="21"/>
                <w:szCs w:val="21"/>
                <w:lang w:val="en-US" w:eastAsia="zh-CN"/>
              </w:rPr>
              <w:t>江西省</w:t>
            </w:r>
          </w:p>
        </w:tc>
        <w:tc>
          <w:tcPr>
            <w:tcW w:w="1193" w:type="dxa"/>
            <w:noWrap w:val="0"/>
            <w:vAlign w:val="center"/>
          </w:tcPr>
          <w:p>
            <w:pPr>
              <w:pStyle w:val="6"/>
              <w:jc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00" w:type="dxa"/>
            <w:noWrap w:val="0"/>
            <w:vAlign w:val="center"/>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4</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bCs w:val="0"/>
                <w:color w:val="auto"/>
                <w:spacing w:val="0"/>
                <w:kern w:val="0"/>
                <w:sz w:val="21"/>
                <w:szCs w:val="21"/>
                <w:highlight w:val="none"/>
                <w:lang w:val="en-US" w:eastAsia="zh-CN"/>
              </w:rPr>
              <w:t>84398856</w:t>
            </w:r>
          </w:p>
        </w:tc>
        <w:tc>
          <w:tcPr>
            <w:tcW w:w="848"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碱式碳酸镍</w:t>
            </w:r>
          </w:p>
        </w:tc>
        <w:tc>
          <w:tcPr>
            <w:tcW w:w="1110"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Ni含量≥42%</w:t>
            </w:r>
          </w:p>
        </w:tc>
        <w:tc>
          <w:tcPr>
            <w:tcW w:w="927"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37吨</w:t>
            </w:r>
          </w:p>
        </w:tc>
        <w:tc>
          <w:tcPr>
            <w:tcW w:w="2125"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highlight w:val="none"/>
                <w:lang w:eastAsia="zh-CN" w:bidi="ar"/>
              </w:rPr>
              <w:t>合同签订后提交订单，订单签署后</w:t>
            </w:r>
            <w:r>
              <w:rPr>
                <w:rFonts w:hint="eastAsia" w:ascii="仿宋" w:hAnsi="仿宋" w:eastAsia="仿宋" w:cs="仿宋"/>
                <w:color w:val="auto"/>
                <w:sz w:val="21"/>
                <w:szCs w:val="21"/>
                <w:highlight w:val="none"/>
                <w:lang w:val="en-US" w:eastAsia="zh-CN" w:bidi="ar"/>
              </w:rPr>
              <w:t>7</w:t>
            </w:r>
            <w:r>
              <w:rPr>
                <w:rFonts w:hint="eastAsia" w:ascii="仿宋" w:hAnsi="仿宋" w:eastAsia="仿宋" w:cs="仿宋"/>
                <w:color w:val="auto"/>
                <w:sz w:val="21"/>
                <w:szCs w:val="21"/>
                <w:highlight w:val="none"/>
                <w:lang w:eastAsia="zh-CN" w:bidi="ar"/>
              </w:rPr>
              <w:t>天内发货，具体以订单为准</w:t>
            </w:r>
          </w:p>
        </w:tc>
        <w:tc>
          <w:tcPr>
            <w:tcW w:w="1344" w:type="dxa"/>
            <w:noWrap w:val="0"/>
            <w:vAlign w:val="center"/>
          </w:tcPr>
          <w:p>
            <w:pPr>
              <w:pStyle w:val="4"/>
              <w:keepNext w:val="0"/>
              <w:keepLines w:val="0"/>
              <w:pageBreakBefore w:val="0"/>
              <w:kinsoku/>
              <w:wordWrap/>
              <w:overflowPunct/>
              <w:topLinePunct w:val="0"/>
              <w:bidi w:val="0"/>
              <w:adjustRightInd w:val="0"/>
              <w:snapToGrid w:val="0"/>
              <w:spacing w:line="240" w:lineRule="auto"/>
              <w:ind w:right="0"/>
              <w:jc w:val="center"/>
              <w:textAlignment w:val="auto"/>
              <w:rPr>
                <w:rFonts w:hint="eastAsia" w:ascii="仿宋" w:hAnsi="仿宋" w:eastAsia="仿宋" w:cs="仿宋"/>
                <w:strike w:val="0"/>
                <w:dstrike w:val="0"/>
                <w:color w:val="auto"/>
                <w:spacing w:val="0"/>
                <w:sz w:val="21"/>
                <w:szCs w:val="21"/>
                <w:lang w:val="en-US" w:eastAsia="zh-CN"/>
              </w:rPr>
            </w:pPr>
            <w:r>
              <w:rPr>
                <w:rFonts w:hint="eastAsia" w:ascii="仿宋" w:hAnsi="仿宋" w:eastAsia="仿宋" w:cs="仿宋"/>
                <w:strike w:val="0"/>
                <w:dstrike w:val="0"/>
                <w:color w:val="auto"/>
                <w:spacing w:val="0"/>
                <w:sz w:val="21"/>
                <w:szCs w:val="21"/>
                <w:lang w:val="en-US" w:eastAsia="zh-CN"/>
              </w:rPr>
              <w:t>天津市</w:t>
            </w:r>
          </w:p>
        </w:tc>
        <w:tc>
          <w:tcPr>
            <w:tcW w:w="1193" w:type="dxa"/>
            <w:noWrap w:val="0"/>
            <w:vAlign w:val="center"/>
          </w:tcPr>
          <w:p>
            <w:pPr>
              <w:pStyle w:val="6"/>
              <w:jc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0" w:type="dxa"/>
            <w:noWrap w:val="0"/>
            <w:vAlign w:val="top"/>
          </w:tcPr>
          <w:p>
            <w:pPr>
              <w:pStyle w:val="4"/>
              <w:keepNext w:val="0"/>
              <w:keepLines w:val="0"/>
              <w:pageBreakBefore w:val="0"/>
              <w:kinsoku/>
              <w:wordWrap/>
              <w:overflowPunct/>
              <w:topLinePunct w:val="0"/>
              <w:bidi w:val="0"/>
              <w:adjustRightInd w:val="0"/>
              <w:snapToGrid w:val="0"/>
              <w:spacing w:line="312" w:lineRule="auto"/>
              <w:ind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备注</w:t>
            </w:r>
          </w:p>
        </w:tc>
        <w:tc>
          <w:tcPr>
            <w:tcW w:w="8395" w:type="dxa"/>
            <w:gridSpan w:val="7"/>
            <w:noWrap w:val="0"/>
            <w:vAlign w:val="top"/>
          </w:tcPr>
          <w:p>
            <w:pPr>
              <w:pStyle w:val="4"/>
              <w:keepNext w:val="0"/>
              <w:keepLines w:val="0"/>
              <w:pageBreakBefore w:val="0"/>
              <w:widowControl w:val="0"/>
              <w:kinsoku/>
              <w:wordWrap/>
              <w:overflowPunct/>
              <w:topLinePunct w:val="0"/>
              <w:autoSpaceDE/>
              <w:autoSpaceDN/>
              <w:bidi w:val="0"/>
              <w:adjustRightInd w:val="0"/>
              <w:snapToGrid w:val="0"/>
              <w:spacing w:line="312" w:lineRule="auto"/>
              <w:ind w:right="0" w:right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协议有效期3年，签订模式1+1+1</w:t>
            </w:r>
          </w:p>
        </w:tc>
      </w:tr>
    </w:tbl>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r>
        <w:rPr>
          <w:rFonts w:hint="eastAsia" w:ascii="微软雅黑" w:hAnsi="微软雅黑" w:eastAsia="微软雅黑" w:cs="微软雅黑"/>
          <w:b/>
          <w:bCs w:val="0"/>
          <w:color w:val="auto"/>
          <w:sz w:val="28"/>
          <w:szCs w:val="28"/>
        </w:rPr>
        <w:t>三、技术要求</w:t>
      </w:r>
    </w:p>
    <w:p>
      <w:pPr>
        <w:keepNext w:val="0"/>
        <w:keepLines w:val="0"/>
        <w:pageBreakBefore w:val="0"/>
        <w:widowControl/>
        <w:kinsoku/>
        <w:wordWrap/>
        <w:overflowPunct/>
        <w:topLinePunct w:val="0"/>
        <w:bidi w:val="0"/>
        <w:adjustRightInd w:val="0"/>
        <w:snapToGrid w:val="0"/>
        <w:spacing w:line="312" w:lineRule="auto"/>
        <w:ind w:right="0" w:firstLine="420" w:firstLineChars="200"/>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碱式碳酸镍产品符合《</w:t>
      </w:r>
      <w:r>
        <w:rPr>
          <w:rFonts w:hint="eastAsia" w:ascii="仿宋" w:hAnsi="仿宋" w:eastAsia="仿宋" w:cs="仿宋"/>
          <w:sz w:val="21"/>
          <w:szCs w:val="21"/>
          <w:lang w:eastAsia="zh-CN"/>
        </w:rPr>
        <w:t>HG</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T</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4696-2020</w:t>
      </w:r>
      <w:r>
        <w:rPr>
          <w:rFonts w:hint="eastAsia" w:ascii="仿宋" w:hAnsi="仿宋" w:eastAsia="仿宋" w:cs="仿宋"/>
          <w:sz w:val="21"/>
          <w:szCs w:val="21"/>
          <w:lang w:val="en-US" w:eastAsia="zh-CN"/>
        </w:rPr>
        <w:t xml:space="preserve"> 工业碱式碳酸镍</w:t>
      </w:r>
      <w:r>
        <w:rPr>
          <w:rFonts w:hint="eastAsia" w:ascii="仿宋" w:hAnsi="仿宋" w:eastAsia="仿宋" w:cs="仿宋"/>
          <w:color w:val="auto"/>
          <w:spacing w:val="0"/>
          <w:kern w:val="0"/>
          <w:sz w:val="21"/>
          <w:szCs w:val="21"/>
          <w:lang w:val="en-US" w:eastAsia="zh-CN" w:bidi="ar-SA"/>
        </w:rPr>
        <w:t>》规定的Ⅰ类产品技术指标。</w:t>
      </w:r>
    </w:p>
    <w:p>
      <w:pPr>
        <w:pStyle w:val="2"/>
        <w:ind w:firstLine="0" w:firstLineChars="0"/>
        <w:rPr>
          <w:rFonts w:hint="eastAsia" w:ascii="仿宋" w:hAnsi="仿宋" w:eastAsia="仿宋" w:cs="仿宋"/>
          <w:lang w:val="en-US" w:eastAsia="zh-CN"/>
        </w:rPr>
      </w:pP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p>
      <w:pPr>
        <w:pStyle w:val="2"/>
        <w:rPr>
          <w:rFonts w:hint="eastAsia" w:ascii="仿宋" w:hAnsi="仿宋" w:eastAsia="仿宋" w:cs="仿宋"/>
          <w:color w:val="auto"/>
          <w:spacing w:val="0"/>
          <w:kern w:val="0"/>
          <w:sz w:val="21"/>
          <w:szCs w:val="21"/>
          <w:lang w:val="en-US" w:eastAsia="zh-CN" w:bidi="ar-SA"/>
        </w:rPr>
      </w:pPr>
    </w:p>
    <w:p>
      <w:pPr>
        <w:rPr>
          <w:rFonts w:hint="eastAsia" w:ascii="仿宋" w:hAnsi="仿宋" w:eastAsia="仿宋" w:cs="仿宋"/>
          <w:color w:val="auto"/>
          <w:spacing w:val="0"/>
          <w:kern w:val="0"/>
          <w:sz w:val="21"/>
          <w:szCs w:val="21"/>
          <w:lang w:val="en-US" w:eastAsia="zh-CN" w:bidi="ar-SA"/>
        </w:rPr>
      </w:pPr>
    </w:p>
    <w:p>
      <w:pPr>
        <w:pStyle w:val="2"/>
        <w:rPr>
          <w:rFonts w:hint="eastAsia" w:ascii="仿宋" w:hAnsi="仿宋" w:eastAsia="仿宋" w:cs="仿宋"/>
          <w:color w:val="auto"/>
          <w:spacing w:val="0"/>
          <w:kern w:val="0"/>
          <w:sz w:val="21"/>
          <w:szCs w:val="21"/>
          <w:lang w:val="en-US" w:eastAsia="zh-CN" w:bidi="ar-SA"/>
        </w:rPr>
      </w:pPr>
    </w:p>
    <w:p>
      <w:pPr>
        <w:rPr>
          <w:rFonts w:hint="eastAsia" w:ascii="仿宋" w:hAnsi="仿宋" w:eastAsia="仿宋" w:cs="仿宋"/>
          <w:color w:val="auto"/>
          <w:spacing w:val="0"/>
          <w:kern w:val="0"/>
          <w:sz w:val="21"/>
          <w:szCs w:val="21"/>
          <w:lang w:val="en-US" w:eastAsia="zh-CN" w:bidi="ar-SA"/>
        </w:rPr>
      </w:pPr>
    </w:p>
    <w:p>
      <w:pPr>
        <w:pStyle w:val="2"/>
        <w:rPr>
          <w:rFonts w:hint="eastAsia"/>
          <w:lang w:val="en-US" w:eastAsia="zh-CN"/>
        </w:rPr>
      </w:pPr>
    </w:p>
    <w:p>
      <w:pPr>
        <w:keepNext w:val="0"/>
        <w:keepLines w:val="0"/>
        <w:pageBreakBefore w:val="0"/>
        <w:widowControl/>
        <w:kinsoku/>
        <w:wordWrap/>
        <w:overflowPunct/>
        <w:topLinePunct w:val="0"/>
        <w:bidi w:val="0"/>
        <w:adjustRightInd w:val="0"/>
        <w:snapToGrid w:val="0"/>
        <w:spacing w:line="312" w:lineRule="auto"/>
        <w:ind w:right="0" w:firstLine="280" w:firstLineChars="100"/>
        <w:jc w:val="center"/>
        <w:textAlignment w:val="auto"/>
        <w:rPr>
          <w:rFonts w:hint="eastAsia" w:ascii="仿宋" w:hAnsi="仿宋" w:eastAsia="仿宋" w:cs="仿宋"/>
          <w:color w:val="auto"/>
          <w:spacing w:val="0"/>
          <w:kern w:val="0"/>
          <w:sz w:val="28"/>
          <w:szCs w:val="28"/>
          <w:lang w:val="en-US" w:eastAsia="zh-CN" w:bidi="ar-SA"/>
        </w:rPr>
      </w:pPr>
      <w:r>
        <w:rPr>
          <w:rFonts w:hint="eastAsia" w:ascii="仿宋" w:hAnsi="仿宋" w:eastAsia="仿宋" w:cs="仿宋"/>
          <w:color w:val="auto"/>
          <w:spacing w:val="0"/>
          <w:kern w:val="0"/>
          <w:sz w:val="28"/>
          <w:szCs w:val="28"/>
          <w:lang w:val="en-US" w:eastAsia="zh-CN" w:bidi="ar-SA"/>
        </w:rPr>
        <w:t>技术指标要求</w:t>
      </w:r>
    </w:p>
    <w:tbl>
      <w:tblPr>
        <w:tblStyle w:val="16"/>
        <w:tblW w:w="7695" w:type="dxa"/>
        <w:jc w:val="center"/>
        <w:tblLayout w:type="fixed"/>
        <w:tblCellMar>
          <w:top w:w="0" w:type="dxa"/>
          <w:left w:w="108" w:type="dxa"/>
          <w:bottom w:w="0" w:type="dxa"/>
          <w:right w:w="108" w:type="dxa"/>
        </w:tblCellMar>
      </w:tblPr>
      <w:tblGrid>
        <w:gridCol w:w="3387"/>
        <w:gridCol w:w="2112"/>
        <w:gridCol w:w="2196"/>
      </w:tblGrid>
      <w:tr>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bookmarkStart w:id="7" w:name="OLE_LINK3" w:colFirst="0" w:colLast="3"/>
            <w:r>
              <w:rPr>
                <w:rFonts w:hint="eastAsia" w:ascii="仿宋" w:hAnsi="仿宋" w:eastAsia="仿宋" w:cs="仿宋"/>
                <w:color w:val="auto"/>
                <w:spacing w:val="0"/>
                <w:kern w:val="0"/>
                <w:sz w:val="21"/>
                <w:szCs w:val="21"/>
                <w:lang w:val="en-US" w:eastAsia="zh-CN" w:bidi="ar-SA"/>
              </w:rPr>
              <w:t>指标项目</w:t>
            </w:r>
          </w:p>
        </w:tc>
        <w:tc>
          <w:tcPr>
            <w:tcW w:w="211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指标</w:t>
            </w:r>
          </w:p>
        </w:tc>
        <w:tc>
          <w:tcPr>
            <w:tcW w:w="219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检测方法</w:t>
            </w:r>
          </w:p>
        </w:tc>
      </w:tr>
      <w:tr>
        <w:tblPrEx>
          <w:tblCellMar>
            <w:top w:w="0" w:type="dxa"/>
            <w:left w:w="108" w:type="dxa"/>
            <w:bottom w:w="0" w:type="dxa"/>
            <w:right w:w="108" w:type="dxa"/>
          </w:tblCellMar>
        </w:tblPrEx>
        <w:trPr>
          <w:trHeight w:val="270" w:hRule="atLeast"/>
          <w:jc w:val="center"/>
        </w:trPr>
        <w:tc>
          <w:tcPr>
            <w:tcW w:w="338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bookmarkStart w:id="8" w:name="OLE_LINK4" w:colFirst="0" w:colLast="3"/>
            <w:r>
              <w:rPr>
                <w:rFonts w:hint="eastAsia" w:ascii="仿宋" w:hAnsi="仿宋" w:eastAsia="仿宋" w:cs="仿宋"/>
                <w:color w:val="auto"/>
                <w:spacing w:val="0"/>
                <w:kern w:val="0"/>
                <w:sz w:val="21"/>
                <w:szCs w:val="21"/>
                <w:lang w:val="en-US" w:eastAsia="zh-CN" w:bidi="ar-SA"/>
              </w:rPr>
              <w:t>外观</w:t>
            </w:r>
          </w:p>
        </w:tc>
        <w:tc>
          <w:tcPr>
            <w:tcW w:w="211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淡绿色、灰绿色或深绿色粉末</w:t>
            </w:r>
          </w:p>
        </w:tc>
        <w:tc>
          <w:tcPr>
            <w:tcW w:w="2196" w:type="dxa"/>
            <w:vMerge w:val="restart"/>
            <w:tcBorders>
              <w:top w:val="nil"/>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《HG/T 4696-2020 工业碱式碳酸镍》</w:t>
            </w: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 xml:space="preserve"> </w:t>
            </w: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 xml:space="preserve"> </w:t>
            </w:r>
          </w:p>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Ni， w/%</w:t>
            </w:r>
          </w:p>
        </w:tc>
        <w:tc>
          <w:tcPr>
            <w:tcW w:w="211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≥42.0</w:t>
            </w:r>
          </w:p>
        </w:tc>
        <w:tc>
          <w:tcPr>
            <w:tcW w:w="2196"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479" w:hRule="atLeast"/>
          <w:jc w:val="center"/>
        </w:trPr>
        <w:tc>
          <w:tcPr>
            <w:tcW w:w="338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Co， w/%</w:t>
            </w:r>
          </w:p>
        </w:tc>
        <w:tc>
          <w:tcPr>
            <w:tcW w:w="211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 xml:space="preserve">≤0.05    </w:t>
            </w:r>
          </w:p>
        </w:tc>
        <w:tc>
          <w:tcPr>
            <w:tcW w:w="2196"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Cu， w/%</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≤0.0005</w:t>
            </w:r>
          </w:p>
        </w:tc>
        <w:tc>
          <w:tcPr>
            <w:tcW w:w="2196"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Fe， w/%</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≤0.002</w:t>
            </w:r>
          </w:p>
        </w:tc>
        <w:tc>
          <w:tcPr>
            <w:tcW w:w="2196"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Na， w/%</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≤0.03</w:t>
            </w:r>
          </w:p>
        </w:tc>
        <w:tc>
          <w:tcPr>
            <w:tcW w:w="2196"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盐酸不溶物，w/%</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≤0.01</w:t>
            </w:r>
          </w:p>
        </w:tc>
        <w:tc>
          <w:tcPr>
            <w:tcW w:w="2196" w:type="dxa"/>
            <w:vMerge w:val="continue"/>
            <w:tcBorders>
              <w:left w:val="nil"/>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细度（通过75μm试验筛），w%</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≥99.0</w:t>
            </w:r>
          </w:p>
        </w:tc>
        <w:tc>
          <w:tcPr>
            <w:tcW w:w="2196"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p>
        </w:tc>
      </w:tr>
      <w:tr>
        <w:tblPrEx>
          <w:tblCellMar>
            <w:top w:w="0" w:type="dxa"/>
            <w:left w:w="108" w:type="dxa"/>
            <w:bottom w:w="0" w:type="dxa"/>
            <w:right w:w="108" w:type="dxa"/>
          </w:tblCellMar>
        </w:tblPrEx>
        <w:trPr>
          <w:trHeight w:val="270" w:hRule="atLeast"/>
          <w:jc w:val="center"/>
        </w:trPr>
        <w:tc>
          <w:tcPr>
            <w:tcW w:w="33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溶解性</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eastAsia="zh-CN" w:bidi="ar-SA"/>
              </w:rPr>
              <w:t>满足溶解要求</w:t>
            </w:r>
          </w:p>
        </w:tc>
        <w:tc>
          <w:tcPr>
            <w:tcW w:w="21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val="0"/>
              <w:snapToGrid w:val="0"/>
              <w:spacing w:line="312" w:lineRule="auto"/>
              <w:ind w:right="0" w:firstLine="210" w:firstLineChars="100"/>
              <w:jc w:val="center"/>
              <w:textAlignment w:val="auto"/>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pacing w:val="0"/>
                <w:kern w:val="0"/>
                <w:sz w:val="21"/>
                <w:szCs w:val="21"/>
                <w:lang w:val="en-US" w:eastAsia="zh-CN" w:bidi="ar-SA"/>
              </w:rPr>
              <w:t>见镍钼磷溶液溶解试验</w:t>
            </w:r>
          </w:p>
        </w:tc>
      </w:tr>
      <w:bookmarkEnd w:id="7"/>
      <w:bookmarkEnd w:id="8"/>
    </w:tbl>
    <w:p>
      <w:pPr>
        <w:keepNext w:val="0"/>
        <w:keepLines w:val="0"/>
        <w:pageBreakBefore w:val="0"/>
        <w:widowControl/>
        <w:kinsoku/>
        <w:wordWrap/>
        <w:overflowPunct/>
        <w:topLinePunct w:val="0"/>
        <w:bidi w:val="0"/>
        <w:adjustRightInd w:val="0"/>
        <w:snapToGrid w:val="0"/>
        <w:spacing w:line="312" w:lineRule="auto"/>
        <w:ind w:right="0" w:firstLine="0" w:firstLineChars="0"/>
        <w:textAlignment w:val="auto"/>
        <w:rPr>
          <w:rFonts w:hint="eastAsia" w:ascii="仿宋" w:hAnsi="仿宋" w:eastAsia="仿宋" w:cs="仿宋"/>
          <w:color w:val="auto"/>
          <w:spacing w:val="0"/>
          <w:kern w:val="0"/>
          <w:sz w:val="21"/>
          <w:szCs w:val="21"/>
          <w:highlight w:val="none"/>
          <w:lang w:val="en-US" w:eastAsia="zh-CN" w:bidi="ar-SA"/>
        </w:rPr>
      </w:pPr>
    </w:p>
    <w:p>
      <w:pPr>
        <w:pStyle w:val="2"/>
        <w:spacing w:line="360" w:lineRule="auto"/>
        <w:rPr>
          <w:rFonts w:hint="eastAsia" w:ascii="仿宋" w:hAnsi="仿宋" w:eastAsia="仿宋" w:cs="仿宋"/>
          <w:lang w:eastAsia="zh-CN"/>
        </w:rPr>
      </w:pPr>
      <w:r>
        <w:rPr>
          <w:rFonts w:hint="eastAsia" w:ascii="仿宋" w:hAnsi="仿宋" w:eastAsia="仿宋" w:cs="仿宋"/>
          <w:lang w:eastAsia="zh-CN"/>
        </w:rPr>
        <w:t>同时碱式碳酸镍需满足镍钼磷溶液溶解试验溶解性的要求，溶解性必须同时满足两个特定配方，所得溶液澄清透明则视为合格，若出现不溶物，则视为不合格。试验方法如下：</w:t>
      </w:r>
    </w:p>
    <w:p>
      <w:pPr>
        <w:pStyle w:val="2"/>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0"/>
          <w:kern w:val="0"/>
          <w:sz w:val="21"/>
          <w:szCs w:val="21"/>
          <w:highlight w:val="none"/>
          <w:lang w:val="en-US" w:eastAsia="zh-CN" w:bidi="ar-SA"/>
        </w:rPr>
        <w:t>配方一：称取</w:t>
      </w:r>
      <w:r>
        <w:rPr>
          <w:rFonts w:hint="eastAsia" w:ascii="仿宋" w:hAnsi="仿宋" w:eastAsia="仿宋" w:cs="仿宋"/>
          <w:color w:val="auto"/>
          <w:sz w:val="21"/>
          <w:szCs w:val="21"/>
          <w:highlight w:val="none"/>
          <w:lang w:eastAsia="zh-CN"/>
        </w:rPr>
        <w:t>三氧化钼（符合</w:t>
      </w:r>
      <w:r>
        <w:rPr>
          <w:rFonts w:hint="eastAsia" w:ascii="仿宋" w:hAnsi="仿宋" w:eastAsia="仿宋" w:cs="仿宋"/>
          <w:color w:val="auto"/>
          <w:sz w:val="21"/>
          <w:szCs w:val="21"/>
          <w:highlight w:val="none"/>
        </w:rPr>
        <w:t>YST 639-2023纯三氧化钼</w:t>
      </w:r>
      <w:r>
        <w:rPr>
          <w:rFonts w:hint="eastAsia" w:ascii="仿宋" w:hAnsi="仿宋" w:eastAsia="仿宋" w:cs="仿宋"/>
          <w:color w:val="auto"/>
          <w:sz w:val="21"/>
          <w:szCs w:val="21"/>
          <w:highlight w:val="none"/>
          <w:lang w:eastAsia="zh-CN"/>
        </w:rPr>
        <w:t>）24.0克、碱式碳酸镍8.3克、磷酸</w:t>
      </w:r>
      <w:r>
        <w:rPr>
          <w:rFonts w:hint="eastAsia" w:ascii="仿宋" w:hAnsi="仿宋" w:eastAsia="仿宋" w:cs="仿宋"/>
          <w:color w:val="auto"/>
          <w:sz w:val="21"/>
          <w:szCs w:val="21"/>
          <w:highlight w:val="none"/>
          <w:lang w:val="en-US" w:eastAsia="zh-CN"/>
        </w:rPr>
        <w:t>（符合GB/T 2091-2008 工业磷酸中85%磷酸技术要求）</w:t>
      </w:r>
      <w:r>
        <w:rPr>
          <w:rFonts w:hint="eastAsia" w:ascii="仿宋" w:hAnsi="仿宋" w:eastAsia="仿宋" w:cs="仿宋"/>
          <w:color w:val="auto"/>
          <w:sz w:val="21"/>
          <w:szCs w:val="21"/>
          <w:highlight w:val="none"/>
          <w:lang w:eastAsia="zh-CN"/>
        </w:rPr>
        <w:t>4.06克放置于烧杯中，加入适量去离子水配制成50mL溶液。然后进行加热溶解，加热至9</w:t>
      </w:r>
      <w:r>
        <w:rPr>
          <w:rFonts w:hint="eastAsia" w:ascii="仿宋" w:hAnsi="仿宋" w:eastAsia="仿宋" w:cs="仿宋"/>
          <w:color w:val="auto"/>
          <w:sz w:val="21"/>
          <w:szCs w:val="21"/>
          <w:highlight w:val="none"/>
          <w:lang w:val="en-US" w:eastAsia="zh-CN"/>
        </w:rPr>
        <w:t>5±5</w:t>
      </w:r>
      <w:r>
        <w:rPr>
          <w:rFonts w:hint="eastAsia" w:ascii="仿宋" w:hAnsi="仿宋" w:eastAsia="仿宋" w:cs="仿宋"/>
          <w:color w:val="auto"/>
          <w:sz w:val="21"/>
          <w:szCs w:val="21"/>
          <w:highlight w:val="none"/>
          <w:lang w:eastAsia="zh-CN"/>
        </w:rPr>
        <w:t>℃微沸状态下维持半小时，冷却至室温观察溶液是否有不溶物。</w:t>
      </w:r>
    </w:p>
    <w:p>
      <w:pPr>
        <w:keepNext w:val="0"/>
        <w:keepLines w:val="0"/>
        <w:widowControl/>
        <w:suppressLineNumbers w:val="0"/>
        <w:spacing w:line="360" w:lineRule="auto"/>
        <w:ind w:firstLine="420" w:firstLineChars="200"/>
        <w:jc w:val="left"/>
        <w:rPr>
          <w:rFonts w:hint="default" w:ascii="Microsoft YaHei UI" w:hAnsi="Microsoft YaHei UI" w:eastAsia="Microsoft YaHei UI" w:cs="Microsoft YaHei UI"/>
          <w:color w:val="auto"/>
          <w:spacing w:val="0"/>
          <w:kern w:val="0"/>
          <w:sz w:val="21"/>
          <w:szCs w:val="21"/>
          <w:lang w:val="en-US" w:eastAsia="zh-CN" w:bidi="ar-SA"/>
        </w:rPr>
      </w:pPr>
      <w:r>
        <w:rPr>
          <w:rFonts w:hint="eastAsia" w:ascii="仿宋" w:hAnsi="仿宋" w:eastAsia="仿宋" w:cs="仿宋"/>
          <w:color w:val="auto"/>
          <w:sz w:val="21"/>
          <w:szCs w:val="21"/>
          <w:highlight w:val="none"/>
          <w:lang w:eastAsia="zh-CN"/>
        </w:rPr>
        <w:t>配方二：称取三氧化钼（符合</w:t>
      </w:r>
      <w:r>
        <w:rPr>
          <w:rFonts w:hint="eastAsia" w:ascii="仿宋" w:hAnsi="仿宋" w:eastAsia="仿宋" w:cs="仿宋"/>
          <w:color w:val="auto"/>
          <w:sz w:val="21"/>
          <w:szCs w:val="21"/>
          <w:highlight w:val="none"/>
        </w:rPr>
        <w:t>YST 639-2023纯三氧化钼</w:t>
      </w: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克、碱式碳酸镍</w:t>
      </w:r>
      <w:r>
        <w:rPr>
          <w:rFonts w:hint="eastAsia" w:ascii="仿宋" w:hAnsi="仿宋" w:eastAsia="仿宋" w:cs="仿宋"/>
          <w:color w:val="auto"/>
          <w:sz w:val="21"/>
          <w:szCs w:val="21"/>
          <w:highlight w:val="none"/>
          <w:lang w:val="en-US" w:eastAsia="zh-CN"/>
        </w:rPr>
        <w:t>7.4</w:t>
      </w:r>
      <w:r>
        <w:rPr>
          <w:rFonts w:hint="eastAsia" w:ascii="仿宋" w:hAnsi="仿宋" w:eastAsia="仿宋" w:cs="仿宋"/>
          <w:color w:val="auto"/>
          <w:sz w:val="21"/>
          <w:szCs w:val="21"/>
          <w:highlight w:val="none"/>
          <w:lang w:eastAsia="zh-CN"/>
        </w:rPr>
        <w:t>克、磷酸</w:t>
      </w:r>
      <w:r>
        <w:rPr>
          <w:rFonts w:hint="eastAsia" w:ascii="仿宋" w:hAnsi="仿宋" w:eastAsia="仿宋" w:cs="仿宋"/>
          <w:color w:val="auto"/>
          <w:sz w:val="21"/>
          <w:szCs w:val="21"/>
          <w:highlight w:val="none"/>
          <w:lang w:val="en-US" w:eastAsia="zh-CN"/>
        </w:rPr>
        <w:t>（符合GB/T 2091-2008 工业磷酸中85%磷酸技术要求）2.4</w:t>
      </w:r>
      <w:r>
        <w:rPr>
          <w:rFonts w:hint="eastAsia" w:ascii="仿宋" w:hAnsi="仿宋" w:eastAsia="仿宋" w:cs="仿宋"/>
          <w:color w:val="auto"/>
          <w:sz w:val="21"/>
          <w:szCs w:val="21"/>
          <w:highlight w:val="none"/>
          <w:lang w:eastAsia="zh-CN"/>
        </w:rPr>
        <w:t>克放置于烧杯中，加入适量去离子水配制成50mL溶液。然后进行加热溶解，加热至9</w:t>
      </w:r>
      <w:r>
        <w:rPr>
          <w:rFonts w:hint="eastAsia" w:ascii="仿宋" w:hAnsi="仿宋" w:eastAsia="仿宋" w:cs="仿宋"/>
          <w:color w:val="auto"/>
          <w:sz w:val="21"/>
          <w:szCs w:val="21"/>
          <w:highlight w:val="none"/>
          <w:lang w:val="en-US" w:eastAsia="zh-CN"/>
        </w:rPr>
        <w:t>5±5</w:t>
      </w:r>
      <w:r>
        <w:rPr>
          <w:rFonts w:hint="eastAsia" w:ascii="仿宋" w:hAnsi="仿宋" w:eastAsia="仿宋" w:cs="仿宋"/>
          <w:color w:val="auto"/>
          <w:sz w:val="21"/>
          <w:szCs w:val="21"/>
          <w:highlight w:val="none"/>
          <w:lang w:eastAsia="zh-CN"/>
        </w:rPr>
        <w:t>℃微沸状态下维持半小时，冷却至室温观察溶液是否有不溶物。</w:t>
      </w:r>
    </w:p>
    <w:p>
      <w:pPr>
        <w:rPr>
          <w:rFonts w:hint="eastAsia"/>
          <w:lang w:val="en-US" w:eastAsia="zh-CN"/>
        </w:rPr>
      </w:pPr>
    </w:p>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r>
        <w:rPr>
          <w:rFonts w:hint="eastAsia" w:ascii="微软雅黑" w:hAnsi="微软雅黑" w:eastAsia="微软雅黑" w:cs="微软雅黑"/>
          <w:b/>
          <w:bCs w:val="0"/>
          <w:color w:val="auto"/>
          <w:sz w:val="28"/>
          <w:szCs w:val="28"/>
        </w:rPr>
        <w:t>四、检测和试验</w:t>
      </w:r>
    </w:p>
    <w:p>
      <w:pPr>
        <w:widowControl/>
        <w:adjustRightInd w:val="0"/>
        <w:snapToGrid w:val="0"/>
        <w:spacing w:line="312" w:lineRule="auto"/>
        <w:ind w:firstLine="210" w:firstLineChars="100"/>
        <w:rPr>
          <w:rFonts w:hint="eastAsia" w:ascii="仿宋" w:hAnsi="仿宋" w:eastAsia="仿宋" w:cs="仿宋"/>
          <w:color w:val="auto"/>
          <w:spacing w:val="0"/>
          <w:kern w:val="0"/>
          <w:sz w:val="21"/>
          <w:szCs w:val="21"/>
          <w:lang w:val="en-US" w:eastAsia="zh-CN" w:bidi="ar-SA"/>
        </w:rPr>
      </w:pPr>
      <w:r>
        <w:rPr>
          <w:rFonts w:hint="eastAsia" w:ascii="仿宋" w:hAnsi="仿宋" w:eastAsia="仿宋" w:cs="仿宋"/>
          <w:color w:val="auto"/>
          <w:sz w:val="21"/>
          <w:szCs w:val="21"/>
          <w:lang w:eastAsia="zh-CN"/>
        </w:rPr>
        <w:t>产品到货后，由买方按相关标准及内控要求执行抽样检验，具体抽样方案由买方自行确定。</w:t>
      </w:r>
    </w:p>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r>
        <w:rPr>
          <w:rFonts w:hint="eastAsia" w:ascii="微软雅黑" w:hAnsi="微软雅黑" w:eastAsia="微软雅黑" w:cs="微软雅黑"/>
          <w:b/>
          <w:bCs w:val="0"/>
          <w:color w:val="auto"/>
          <w:sz w:val="28"/>
          <w:szCs w:val="28"/>
        </w:rPr>
        <w:t>五、标识、包装、运输和存储</w:t>
      </w:r>
    </w:p>
    <w:p>
      <w:pPr>
        <w:pStyle w:val="4"/>
        <w:keepNext w:val="0"/>
        <w:keepLines w:val="0"/>
        <w:pageBreakBefore w:val="0"/>
        <w:kinsoku/>
        <w:wordWrap/>
        <w:overflowPunct/>
        <w:topLinePunct w:val="0"/>
        <w:bidi w:val="0"/>
        <w:adjustRightInd w:val="0"/>
        <w:snapToGrid w:val="0"/>
        <w:spacing w:line="360" w:lineRule="auto"/>
        <w:ind w:right="0" w:firstLine="428"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 产品标识和包装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包装要求编织袋包装，具体如下：每袋包装量25公斤。附带托盘便于装卸。</w:t>
      </w:r>
    </w:p>
    <w:p>
      <w:pPr>
        <w:pStyle w:val="4"/>
        <w:keepNext w:val="0"/>
        <w:keepLines w:val="0"/>
        <w:pageBreakBefore w:val="0"/>
        <w:kinsoku/>
        <w:wordWrap/>
        <w:overflowPunct/>
        <w:topLinePunct w:val="0"/>
        <w:bidi w:val="0"/>
        <w:adjustRightInd w:val="0"/>
        <w:snapToGrid w:val="0"/>
        <w:spacing w:line="360" w:lineRule="auto"/>
        <w:ind w:right="0" w:firstLine="428"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 产品运输和储存</w:t>
      </w:r>
    </w:p>
    <w:p>
      <w:pPr>
        <w:pStyle w:val="4"/>
        <w:keepNext w:val="0"/>
        <w:keepLines w:val="0"/>
        <w:pageBreakBefore w:val="0"/>
        <w:kinsoku/>
        <w:wordWrap/>
        <w:overflowPunct/>
        <w:topLinePunct w:val="0"/>
        <w:bidi w:val="0"/>
        <w:adjustRightInd w:val="0"/>
        <w:snapToGrid w:val="0"/>
        <w:spacing w:line="360" w:lineRule="auto"/>
        <w:ind w:right="0" w:firstLine="420" w:firstLineChars="200"/>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要求送货上门至</w:t>
      </w:r>
      <w:r>
        <w:rPr>
          <w:rFonts w:hint="eastAsia" w:ascii="仿宋" w:hAnsi="仿宋" w:eastAsia="仿宋" w:cs="仿宋"/>
          <w:color w:val="auto"/>
          <w:spacing w:val="0"/>
          <w:sz w:val="21"/>
          <w:szCs w:val="21"/>
          <w:lang w:eastAsia="zh-CN"/>
        </w:rPr>
        <w:t>买方</w:t>
      </w:r>
      <w:r>
        <w:rPr>
          <w:rFonts w:hint="eastAsia" w:ascii="仿宋" w:hAnsi="仿宋" w:eastAsia="仿宋" w:cs="仿宋"/>
          <w:color w:val="auto"/>
          <w:spacing w:val="0"/>
          <w:sz w:val="21"/>
          <w:szCs w:val="21"/>
        </w:rPr>
        <w:t>指定地点。存放于阴凉干燥处，注意防水、防暴晒。</w:t>
      </w:r>
    </w:p>
    <w:p>
      <w:pPr>
        <w:pStyle w:val="4"/>
        <w:keepNext w:val="0"/>
        <w:keepLines w:val="0"/>
        <w:pageBreakBefore w:val="0"/>
        <w:kinsoku/>
        <w:wordWrap/>
        <w:overflowPunct/>
        <w:topLinePunct w:val="0"/>
        <w:bidi w:val="0"/>
        <w:adjustRightInd w:val="0"/>
        <w:snapToGrid w:val="0"/>
        <w:spacing w:line="360" w:lineRule="auto"/>
        <w:ind w:right="0" w:firstLine="420" w:firstLineChars="200"/>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单次最小送货数量2吨，送货资料（包含但不限于）：送货单（送货单上要注明合同号）、物资出厂检验报告、MSDS。</w:t>
      </w:r>
    </w:p>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r>
        <w:rPr>
          <w:rFonts w:hint="eastAsia" w:ascii="微软雅黑" w:hAnsi="微软雅黑" w:eastAsia="微软雅黑" w:cs="微软雅黑"/>
          <w:b/>
          <w:bCs w:val="0"/>
          <w:color w:val="auto"/>
          <w:sz w:val="28"/>
          <w:szCs w:val="28"/>
        </w:rPr>
        <w:t>六、质量保证</w:t>
      </w:r>
    </w:p>
    <w:p>
      <w:pPr>
        <w:pStyle w:val="2"/>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200"/>
        <w:textAlignment w:val="auto"/>
        <w:rPr>
          <w:rFonts w:hint="eastAsia" w:ascii="仿宋" w:hAnsi="仿宋" w:eastAsia="仿宋" w:cs="仿宋"/>
          <w:color w:val="auto"/>
          <w:highlight w:val="yellow"/>
          <w:lang w:eastAsia="zh-CN"/>
        </w:rPr>
      </w:pPr>
      <w:r>
        <w:rPr>
          <w:rFonts w:hint="eastAsia" w:ascii="仿宋" w:hAnsi="仿宋" w:eastAsia="仿宋" w:cs="仿宋"/>
          <w:color w:val="auto"/>
          <w:highlight w:val="none"/>
          <w:lang w:val="en-US" w:eastAsia="zh-CN"/>
        </w:rPr>
        <w:t>产品质保期，自买方接收货物验收合格之日起质保12个月，</w:t>
      </w:r>
      <w:r>
        <w:rPr>
          <w:rFonts w:hint="eastAsia" w:ascii="仿宋" w:hAnsi="仿宋" w:eastAsia="仿宋" w:cs="仿宋"/>
          <w:color w:val="auto"/>
          <w:highlight w:val="none"/>
          <w:lang w:eastAsia="zh-CN"/>
        </w:rPr>
        <w:t>到货产品</w:t>
      </w:r>
      <w:r>
        <w:rPr>
          <w:rFonts w:hint="eastAsia" w:ascii="仿宋" w:hAnsi="仿宋" w:eastAsia="仿宋" w:cs="仿宋"/>
          <w:color w:val="auto"/>
          <w:highlight w:val="none"/>
          <w:lang w:val="en-US" w:eastAsia="zh-CN"/>
        </w:rPr>
        <w:t>必须满足技术要求中规定的指标要求，如</w:t>
      </w:r>
      <w:r>
        <w:rPr>
          <w:rFonts w:hint="eastAsia" w:ascii="仿宋" w:hAnsi="仿宋" w:eastAsia="仿宋" w:cs="仿宋"/>
          <w:color w:val="auto"/>
          <w:highlight w:val="none"/>
          <w:lang w:eastAsia="zh-CN"/>
        </w:rPr>
        <w:t>质量验收不合格，</w:t>
      </w:r>
      <w:r>
        <w:rPr>
          <w:rFonts w:hint="eastAsia" w:ascii="仿宋" w:hAnsi="仿宋" w:eastAsia="仿宋" w:cs="仿宋"/>
          <w:color w:val="auto"/>
          <w:highlight w:val="none"/>
          <w:lang w:val="en-US" w:eastAsia="zh-CN"/>
        </w:rPr>
        <w:t>卖方应</w:t>
      </w:r>
      <w:r>
        <w:rPr>
          <w:rFonts w:hint="eastAsia" w:ascii="仿宋" w:hAnsi="仿宋" w:eastAsia="仿宋" w:cs="仿宋"/>
          <w:color w:val="auto"/>
          <w:highlight w:val="none"/>
          <w:lang w:eastAsia="zh-CN"/>
        </w:rPr>
        <w:t>无条件退/换货，</w:t>
      </w:r>
      <w:r>
        <w:rPr>
          <w:rFonts w:hint="eastAsia" w:ascii="仿宋" w:hAnsi="仿宋" w:eastAsia="仿宋" w:cs="仿宋"/>
          <w:color w:val="auto"/>
          <w:highlight w:val="none"/>
          <w:lang w:val="en-US" w:eastAsia="zh-CN"/>
        </w:rPr>
        <w:t>退换货7天内完成，由卖方承担运费</w:t>
      </w:r>
      <w:r>
        <w:rPr>
          <w:rFonts w:hint="eastAsia" w:ascii="仿宋" w:hAnsi="仿宋" w:eastAsia="仿宋" w:cs="仿宋"/>
          <w:color w:val="auto"/>
          <w:highlight w:val="none"/>
          <w:lang w:eastAsia="zh-CN"/>
        </w:rPr>
        <w:t>。</w:t>
      </w:r>
    </w:p>
    <w:bookmarkEnd w:id="5"/>
    <w:bookmarkEnd w:id="6"/>
    <w:p>
      <w:pPr>
        <w:keepNext w:val="0"/>
        <w:keepLines w:val="0"/>
        <w:pageBreakBefore w:val="0"/>
        <w:widowControl/>
        <w:kinsoku/>
        <w:wordWrap/>
        <w:overflowPunct/>
        <w:topLinePunct w:val="0"/>
        <w:bidi w:val="0"/>
        <w:adjustRightInd w:val="0"/>
        <w:snapToGrid w:val="0"/>
        <w:spacing w:line="312" w:lineRule="auto"/>
        <w:textAlignment w:val="auto"/>
        <w:rPr>
          <w:rFonts w:hint="eastAsia" w:ascii="微软雅黑" w:hAnsi="微软雅黑" w:eastAsia="微软雅黑" w:cs="微软雅黑"/>
          <w:b/>
          <w:bCs w:val="0"/>
          <w:color w:val="auto"/>
          <w:sz w:val="28"/>
          <w:szCs w:val="28"/>
        </w:rPr>
      </w:pPr>
      <w:bookmarkStart w:id="9" w:name="_Toc13248931"/>
      <w:bookmarkStart w:id="10" w:name="_Toc13249328"/>
      <w:r>
        <w:rPr>
          <w:rFonts w:hint="eastAsia" w:ascii="微软雅黑" w:hAnsi="微软雅黑" w:eastAsia="微软雅黑" w:cs="微软雅黑"/>
          <w:b/>
          <w:bCs w:val="0"/>
          <w:color w:val="auto"/>
          <w:sz w:val="28"/>
          <w:szCs w:val="28"/>
        </w:rPr>
        <w:t>七、其他要求</w:t>
      </w:r>
      <w:bookmarkEnd w:id="9"/>
      <w:bookmarkEnd w:id="10"/>
    </w:p>
    <w:p>
      <w:pPr>
        <w:pStyle w:val="2"/>
        <w:spacing w:line="360" w:lineRule="auto"/>
        <w:ind w:right="115" w:rightChars="55" w:firstLine="199" w:firstLineChars="95"/>
        <w:rPr>
          <w:rFonts w:hint="eastAsia" w:ascii="仿宋" w:hAnsi="仿宋" w:eastAsia="仿宋" w:cs="仿宋"/>
          <w:lang w:val="en-US" w:eastAsia="zh-CN"/>
        </w:rPr>
      </w:pPr>
      <w:r>
        <w:rPr>
          <w:rFonts w:hint="eastAsia" w:ascii="仿宋" w:hAnsi="仿宋" w:eastAsia="仿宋" w:cs="仿宋"/>
          <w:lang w:eastAsia="zh-CN"/>
        </w:rPr>
        <w:t>1、技术联系人：宋国良</w:t>
      </w:r>
      <w:r>
        <w:rPr>
          <w:rFonts w:hint="eastAsia" w:ascii="仿宋" w:hAnsi="仿宋" w:eastAsia="仿宋" w:cs="仿宋"/>
          <w:lang w:val="en-US" w:eastAsia="zh-CN"/>
        </w:rPr>
        <w:t xml:space="preserve"> </w:t>
      </w:r>
      <w:r>
        <w:rPr>
          <w:rFonts w:hint="eastAsia" w:ascii="仿宋" w:hAnsi="仿宋" w:eastAsia="仿宋" w:cs="仿宋"/>
          <w:lang w:eastAsia="zh-CN"/>
        </w:rPr>
        <w:t>1</w:t>
      </w:r>
      <w:r>
        <w:rPr>
          <w:rFonts w:hint="eastAsia" w:ascii="仿宋" w:hAnsi="仿宋" w:eastAsia="仿宋" w:cs="仿宋"/>
          <w:lang w:val="en-US" w:eastAsia="zh-CN"/>
        </w:rPr>
        <w:t>5620379856</w:t>
      </w:r>
    </w:p>
    <w:p>
      <w:pPr>
        <w:pStyle w:val="2"/>
        <w:spacing w:line="360" w:lineRule="auto"/>
        <w:ind w:right="115" w:rightChars="55" w:firstLine="199" w:firstLineChars="95"/>
        <w:rPr>
          <w:rFonts w:hint="eastAsia" w:ascii="仿宋" w:hAnsi="仿宋" w:eastAsia="仿宋" w:cs="仿宋"/>
          <w:lang w:val="en-US" w:eastAsia="zh-CN"/>
        </w:rPr>
      </w:pPr>
      <w:r>
        <w:rPr>
          <w:rFonts w:hint="eastAsia" w:ascii="仿宋" w:hAnsi="仿宋" w:eastAsia="仿宋" w:cs="仿宋"/>
          <w:lang w:eastAsia="zh-CN"/>
        </w:rPr>
        <w:t>2、付款</w:t>
      </w:r>
      <w:r>
        <w:rPr>
          <w:rFonts w:hint="eastAsia" w:ascii="仿宋" w:hAnsi="仿宋" w:eastAsia="仿宋" w:cs="仿宋"/>
          <w:lang w:val="en-US" w:eastAsia="zh-CN"/>
        </w:rPr>
        <w:t>方式：银行电汇、承兑或者两种方式的组合</w:t>
      </w:r>
      <w:r>
        <w:rPr>
          <w:rFonts w:hint="eastAsia" w:ascii="仿宋" w:hAnsi="仿宋" w:eastAsia="仿宋" w:cs="仿宋"/>
          <w:lang w:eastAsia="zh-CN"/>
        </w:rPr>
        <w:t>。</w:t>
      </w:r>
    </w:p>
    <w:p>
      <w:pPr>
        <w:pStyle w:val="2"/>
        <w:spacing w:line="360" w:lineRule="auto"/>
        <w:ind w:right="115" w:rightChars="55" w:firstLine="199" w:firstLineChars="95"/>
        <w:rPr>
          <w:rFonts w:hint="eastAsia" w:ascii="仿宋" w:hAnsi="仿宋" w:eastAsia="仿宋" w:cs="仿宋"/>
          <w:lang w:eastAsia="zh-CN"/>
        </w:rPr>
      </w:pPr>
      <w:r>
        <w:rPr>
          <w:rFonts w:hint="eastAsia" w:ascii="仿宋" w:hAnsi="仿宋" w:eastAsia="仿宋" w:cs="仿宋"/>
          <w:lang w:eastAsia="zh-CN"/>
        </w:rPr>
        <w:t>3、付款周期要求：</w:t>
      </w:r>
      <w:r>
        <w:rPr>
          <w:rFonts w:hint="eastAsia" w:ascii="仿宋" w:hAnsi="仿宋" w:eastAsia="仿宋" w:cs="仿宋"/>
          <w:lang w:val="en-US" w:eastAsia="zh-CN"/>
        </w:rPr>
        <w:t>货到验收合格，</w:t>
      </w:r>
      <w:r>
        <w:rPr>
          <w:rFonts w:hint="eastAsia" w:ascii="仿宋" w:hAnsi="仿宋" w:eastAsia="仿宋" w:cs="仿宋"/>
          <w:lang w:eastAsia="zh-CN"/>
        </w:rPr>
        <w:t>接到发票45</w:t>
      </w:r>
      <w:r>
        <w:rPr>
          <w:rFonts w:hint="eastAsia" w:ascii="仿宋" w:hAnsi="仿宋" w:eastAsia="仿宋" w:cs="仿宋"/>
          <w:lang w:val="en-US" w:eastAsia="zh-CN"/>
        </w:rPr>
        <w:t>日</w:t>
      </w:r>
      <w:r>
        <w:rPr>
          <w:rFonts w:hint="eastAsia" w:ascii="仿宋" w:hAnsi="仿宋" w:eastAsia="仿宋" w:cs="仿宋"/>
          <w:lang w:eastAsia="zh-CN"/>
        </w:rPr>
        <w:t>内付款。</w:t>
      </w:r>
    </w:p>
    <w:p>
      <w:pPr>
        <w:pStyle w:val="2"/>
        <w:spacing w:line="360" w:lineRule="auto"/>
        <w:ind w:right="115" w:rightChars="55" w:firstLine="199" w:firstLineChars="95"/>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发票的开具及寄送：卖方应以“中海油天津化工研究设计院有限公司”为抬头开具税率为13%的增值税专用发票，并寄送至买方经办人。</w:t>
      </w:r>
    </w:p>
    <w:p>
      <w:pPr>
        <w:pStyle w:val="2"/>
        <w:spacing w:line="360" w:lineRule="auto"/>
        <w:ind w:right="115" w:rightChars="55" w:firstLine="199" w:firstLineChars="95"/>
        <w:rPr>
          <w:rFonts w:hint="eastAsia" w:ascii="仿宋" w:hAnsi="仿宋" w:eastAsia="仿宋" w:cs="仿宋"/>
          <w:lang w:val="en-US" w:eastAsia="zh-CN"/>
        </w:rPr>
      </w:pPr>
      <w:r>
        <w:rPr>
          <w:rFonts w:hint="eastAsia" w:ascii="仿宋" w:hAnsi="仿宋" w:eastAsia="仿宋" w:cs="仿宋"/>
          <w:lang w:val="en-US" w:eastAsia="zh-CN"/>
        </w:rPr>
        <w:t>5</w:t>
      </w:r>
      <w:r>
        <w:rPr>
          <w:rFonts w:hint="eastAsia" w:ascii="仿宋" w:hAnsi="仿宋" w:eastAsia="仿宋" w:cs="仿宋"/>
          <w:lang w:eastAsia="zh-CN"/>
        </w:rPr>
        <w:t>、结算方式：</w:t>
      </w:r>
      <w:r>
        <w:rPr>
          <w:rFonts w:hint="eastAsia" w:ascii="仿宋" w:hAnsi="仿宋" w:eastAsia="仿宋" w:cs="仿宋"/>
          <w:lang w:val="en-US" w:eastAsia="zh-CN"/>
        </w:rPr>
        <w:t>按照订单分批结算，货到验收后付款。</w:t>
      </w:r>
    </w:p>
    <w:p>
      <w:pPr>
        <w:pStyle w:val="2"/>
        <w:spacing w:line="360" w:lineRule="auto"/>
        <w:ind w:right="115" w:rightChars="55" w:firstLine="199" w:firstLineChars="95"/>
        <w:rPr>
          <w:rFonts w:hint="eastAsia" w:ascii="仿宋" w:hAnsi="仿宋" w:eastAsia="仿宋" w:cs="仿宋"/>
          <w:highlight w:val="none"/>
          <w:lang w:val="en-US" w:eastAsia="zh-CN"/>
        </w:rPr>
      </w:pPr>
      <w:r>
        <w:rPr>
          <w:rFonts w:hint="eastAsia" w:ascii="仿宋" w:hAnsi="仿宋" w:eastAsia="仿宋" w:cs="仿宋"/>
          <w:spacing w:val="0"/>
          <w:sz w:val="21"/>
          <w:szCs w:val="21"/>
          <w:lang w:val="en-US" w:eastAsia="zh-CN"/>
        </w:rPr>
        <w:t>6、计价方式：推荐采用公式计价，参考</w:t>
      </w:r>
      <w:r>
        <w:rPr>
          <w:rFonts w:hint="eastAsia" w:ascii="仿宋" w:hAnsi="仿宋" w:eastAsia="仿宋" w:cs="仿宋"/>
          <w:highlight w:val="none"/>
          <w:lang w:val="en-US" w:eastAsia="zh-CN"/>
        </w:rPr>
        <w:t>卓创咨询网</w:t>
      </w:r>
      <w:r>
        <w:rPr>
          <w:rFonts w:hint="eastAsia" w:ascii="仿宋" w:hAnsi="仿宋" w:eastAsia="仿宋" w:cs="仿宋"/>
          <w:spacing w:val="0"/>
          <w:sz w:val="21"/>
          <w:szCs w:val="21"/>
          <w:lang w:val="en-US" w:eastAsia="zh-CN"/>
        </w:rPr>
        <w:t>电解镍报价为基准，</w:t>
      </w:r>
      <w:r>
        <w:rPr>
          <w:rFonts w:hint="eastAsia" w:ascii="仿宋" w:hAnsi="仿宋" w:eastAsia="仿宋" w:cs="仿宋"/>
          <w:highlight w:val="none"/>
          <w:lang w:val="en-US" w:eastAsia="zh-CN"/>
        </w:rPr>
        <w:t>定价公式参考网站及基准价格如下：</w:t>
      </w:r>
    </w:p>
    <w:tbl>
      <w:tblPr>
        <w:tblStyle w:val="1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8720" w:type="dxa"/>
            <w:noWrap w:val="0"/>
            <w:vAlign w:val="center"/>
          </w:tcPr>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定价公式如下：</w:t>
            </w:r>
          </w:p>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P = P</w:t>
            </w:r>
            <w:r>
              <w:rPr>
                <w:rFonts w:hint="eastAsia" w:ascii="仿宋" w:hAnsi="仿宋" w:eastAsia="仿宋" w:cs="仿宋"/>
                <w:color w:val="auto"/>
                <w:sz w:val="21"/>
                <w:szCs w:val="21"/>
                <w:lang w:val="en-US" w:eastAsia="zh-CN"/>
              </w:rPr>
              <w:t>x</w:t>
            </w:r>
            <w:r>
              <w:rPr>
                <w:rFonts w:hint="eastAsia" w:ascii="仿宋" w:hAnsi="仿宋" w:eastAsia="仿宋" w:cs="仿宋"/>
                <w:color w:val="auto"/>
                <w:sz w:val="21"/>
                <w:szCs w:val="21"/>
                <w:vertAlign w:val="baseline"/>
                <w:lang w:val="en-US" w:eastAsia="zh-CN"/>
              </w:rPr>
              <w:t>×0.42</w:t>
            </w:r>
            <w:r>
              <w:rPr>
                <w:rFonts w:hint="eastAsia" w:ascii="仿宋" w:hAnsi="仿宋" w:eastAsia="仿宋" w:cs="仿宋"/>
                <w:color w:val="auto"/>
                <w:sz w:val="21"/>
                <w:szCs w:val="21"/>
                <w:lang w:eastAsia="zh-CN"/>
              </w:rPr>
              <w:t xml:space="preserve"> + R</w:t>
            </w:r>
          </w:p>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式中：</w:t>
            </w:r>
          </w:p>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 xml:space="preserve">P： </w:t>
            </w:r>
            <w:r>
              <w:rPr>
                <w:rFonts w:hint="eastAsia" w:ascii="仿宋" w:hAnsi="仿宋" w:eastAsia="仿宋" w:cs="仿宋"/>
                <w:color w:val="auto"/>
                <w:sz w:val="21"/>
                <w:szCs w:val="21"/>
                <w:lang w:val="en-US" w:eastAsia="zh-CN"/>
              </w:rPr>
              <w:t>碱式碳酸镍</w:t>
            </w:r>
            <w:r>
              <w:rPr>
                <w:rFonts w:hint="eastAsia" w:ascii="仿宋" w:hAnsi="仿宋" w:eastAsia="仿宋" w:cs="仿宋"/>
                <w:color w:val="auto"/>
                <w:sz w:val="21"/>
                <w:szCs w:val="21"/>
                <w:lang w:eastAsia="zh-CN"/>
              </w:rPr>
              <w:t>单价(单位：元/吨)</w:t>
            </w:r>
          </w:p>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P</w:t>
            </w:r>
            <w:r>
              <w:rPr>
                <w:rFonts w:hint="eastAsia" w:ascii="仿宋" w:hAnsi="仿宋" w:eastAsia="仿宋" w:cs="仿宋"/>
                <w:color w:val="auto"/>
                <w:sz w:val="21"/>
                <w:szCs w:val="21"/>
                <w:vertAlign w:val="baseline"/>
                <w:lang w:val="en-US" w:eastAsia="zh-CN"/>
              </w:rPr>
              <w:t>x</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电解镍1#，上期所—期货</w:t>
            </w:r>
            <w:r>
              <w:rPr>
                <w:rFonts w:hint="eastAsia" w:ascii="仿宋" w:hAnsi="仿宋" w:eastAsia="仿宋" w:cs="仿宋"/>
                <w:color w:val="auto"/>
                <w:sz w:val="21"/>
                <w:szCs w:val="21"/>
                <w:highlight w:val="none"/>
                <w:lang w:val="en-US" w:eastAsia="zh-CN"/>
              </w:rPr>
              <w:t>收</w:t>
            </w:r>
            <w:r>
              <w:rPr>
                <w:rFonts w:hint="eastAsia" w:ascii="仿宋" w:hAnsi="仿宋" w:eastAsia="仿宋" w:cs="仿宋"/>
                <w:color w:val="auto"/>
                <w:sz w:val="21"/>
                <w:szCs w:val="21"/>
                <w:lang w:val="en-US" w:eastAsia="zh-CN"/>
              </w:rPr>
              <w:t>盘价—</w:t>
            </w:r>
            <w:r>
              <w:rPr>
                <w:rFonts w:hint="eastAsia" w:ascii="仿宋" w:hAnsi="仿宋" w:eastAsia="仿宋" w:cs="仿宋"/>
                <w:color w:val="auto"/>
                <w:sz w:val="21"/>
                <w:szCs w:val="21"/>
                <w:highlight w:val="none"/>
                <w:lang w:val="en-US" w:eastAsia="zh-CN"/>
              </w:rPr>
              <w:t>周</w:t>
            </w:r>
            <w:r>
              <w:rPr>
                <w:rFonts w:hint="eastAsia" w:ascii="仿宋" w:hAnsi="仿宋" w:eastAsia="仿宋" w:cs="仿宋"/>
                <w:color w:val="auto"/>
                <w:sz w:val="21"/>
                <w:szCs w:val="21"/>
                <w:lang w:val="en-US" w:eastAsia="zh-CN"/>
              </w:rPr>
              <w:t>平均</w:t>
            </w:r>
            <w:r>
              <w:rPr>
                <w:rFonts w:hint="eastAsia" w:ascii="仿宋" w:hAnsi="仿宋" w:eastAsia="仿宋" w:cs="仿宋"/>
                <w:color w:val="auto"/>
                <w:sz w:val="21"/>
                <w:szCs w:val="21"/>
                <w:lang w:eastAsia="zh-CN"/>
              </w:rPr>
              <w:t>价(单位：元/吨)。</w:t>
            </w:r>
          </w:p>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以需求单位实际订单时间，</w:t>
            </w:r>
            <w:r>
              <w:rPr>
                <w:rFonts w:hint="eastAsia" w:ascii="仿宋" w:hAnsi="仿宋" w:eastAsia="仿宋" w:cs="仿宋"/>
                <w:color w:val="auto"/>
                <w:sz w:val="21"/>
                <w:szCs w:val="21"/>
                <w:lang w:val="en-US" w:eastAsia="zh-CN"/>
              </w:rPr>
              <w:t>查询上一周平均价，以</w:t>
            </w:r>
            <w:r>
              <w:rPr>
                <w:rFonts w:hint="eastAsia" w:ascii="仿宋" w:hAnsi="仿宋" w:eastAsia="仿宋" w:cs="仿宋"/>
                <w:color w:val="auto"/>
                <w:sz w:val="21"/>
                <w:szCs w:val="21"/>
                <w:lang w:eastAsia="zh-CN"/>
              </w:rPr>
              <w:t>卓创资讯网为准（信息来源：</w:t>
            </w:r>
            <w:r>
              <w:rPr>
                <w:rFonts w:hint="eastAsia" w:ascii="仿宋" w:hAnsi="仿宋" w:eastAsia="仿宋" w:cs="仿宋"/>
                <w:color w:val="auto"/>
                <w:sz w:val="21"/>
                <w:szCs w:val="21"/>
                <w:lang w:eastAsia="zh-CN"/>
              </w:rPr>
              <w:fldChar w:fldCharType="begin"/>
            </w:r>
            <w:r>
              <w:rPr>
                <w:rFonts w:hint="eastAsia" w:ascii="仿宋" w:hAnsi="仿宋" w:eastAsia="仿宋" w:cs="仿宋"/>
                <w:color w:val="auto"/>
                <w:sz w:val="21"/>
                <w:szCs w:val="21"/>
                <w:lang w:eastAsia="zh-CN"/>
              </w:rPr>
              <w:instrText xml:space="preserve"> HYPERLINK "http://www.sci99.com/）。" </w:instrText>
            </w:r>
            <w:r>
              <w:rPr>
                <w:rFonts w:hint="eastAsia" w:ascii="仿宋" w:hAnsi="仿宋" w:eastAsia="仿宋" w:cs="仿宋"/>
                <w:color w:val="auto"/>
                <w:sz w:val="21"/>
                <w:szCs w:val="21"/>
                <w:lang w:eastAsia="zh-CN"/>
              </w:rPr>
              <w:fldChar w:fldCharType="separate"/>
            </w:r>
            <w:r>
              <w:rPr>
                <w:rFonts w:hint="eastAsia" w:ascii="仿宋" w:hAnsi="仿宋" w:eastAsia="仿宋" w:cs="仿宋"/>
                <w:color w:val="auto"/>
                <w:sz w:val="21"/>
                <w:szCs w:val="21"/>
                <w:lang w:eastAsia="zh-CN"/>
              </w:rPr>
              <w:t>http://www.sci99.com/）。</w:t>
            </w:r>
            <w:r>
              <w:rPr>
                <w:rFonts w:hint="eastAsia" w:ascii="仿宋" w:hAnsi="仿宋" w:eastAsia="仿宋" w:cs="仿宋"/>
                <w:color w:val="auto"/>
                <w:sz w:val="21"/>
                <w:szCs w:val="21"/>
                <w:lang w:eastAsia="zh-CN"/>
              </w:rPr>
              <w:fldChar w:fldCharType="end"/>
            </w:r>
          </w:p>
          <w:p>
            <w:pPr>
              <w:widowControl/>
              <w:adjustRightInd w:val="0"/>
              <w:snapToGrid w:val="0"/>
              <w:spacing w:line="312" w:lineRule="auto"/>
              <w:ind w:right="0"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R： 常数。包含供应商的利润、税费等。</w:t>
            </w:r>
          </w:p>
        </w:tc>
      </w:tr>
    </w:tbl>
    <w:p>
      <w:pPr>
        <w:pStyle w:val="4"/>
        <w:numPr>
          <w:ilvl w:val="0"/>
          <w:numId w:val="0"/>
        </w:numPr>
        <w:spacing w:line="360" w:lineRule="auto"/>
        <w:ind w:leftChars="0"/>
        <w:rPr>
          <w:rFonts w:hint="eastAsia" w:ascii="仿宋" w:hAnsi="仿宋" w:eastAsia="仿宋" w:cs="仿宋"/>
          <w:sz w:val="28"/>
          <w:szCs w:val="28"/>
          <w:lang w:val="en-US" w:eastAsia="zh-CN"/>
        </w:rPr>
      </w:pPr>
    </w:p>
    <w:p>
      <w:pPr>
        <w:pStyle w:val="4"/>
        <w:numPr>
          <w:ilvl w:val="0"/>
          <w:numId w:val="0"/>
        </w:numPr>
        <w:spacing w:line="360" w:lineRule="auto"/>
        <w:ind w:leftChars="0"/>
        <w:rPr>
          <w:rFonts w:hint="eastAsia" w:ascii="仿宋" w:hAnsi="仿宋" w:eastAsia="仿宋" w:cs="仿宋"/>
          <w:sz w:val="28"/>
          <w:szCs w:val="28"/>
          <w:lang w:val="en-US" w:eastAsia="zh-CN"/>
        </w:rPr>
      </w:pPr>
    </w:p>
    <w:p>
      <w:pPr>
        <w:pStyle w:val="31"/>
        <w:spacing w:before="120" w:after="120"/>
        <w:outlineLvl w:val="0"/>
        <w:rPr>
          <w:rFonts w:hint="eastAsia" w:ascii="Times New Roman" w:hAnsi="Times New Roman" w:eastAsia="仿宋_GB2312" w:cs="Times New Roman"/>
          <w:sz w:val="32"/>
          <w:szCs w:val="32"/>
        </w:rPr>
      </w:pPr>
    </w:p>
    <w:p>
      <w:pPr>
        <w:pStyle w:val="31"/>
        <w:spacing w:before="120" w:after="120"/>
        <w:outlineLvl w:val="0"/>
        <w:rPr>
          <w:rFonts w:hint="eastAsia" w:ascii="Times New Roman" w:hAnsi="Times New Roman" w:eastAsia="仿宋_GB2312" w:cs="Times New Roman"/>
          <w:sz w:val="32"/>
          <w:szCs w:val="32"/>
        </w:rPr>
      </w:pPr>
    </w:p>
    <w:p>
      <w:pPr>
        <w:pStyle w:val="31"/>
        <w:spacing w:before="120" w:after="12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供应商资质基本要求 </w:t>
      </w:r>
    </w:p>
    <w:tbl>
      <w:tblPr>
        <w:tblStyle w:val="16"/>
        <w:tblW w:w="5052" w:type="pct"/>
        <w:jc w:val="center"/>
        <w:tblLayout w:type="autofit"/>
        <w:tblCellMar>
          <w:top w:w="0" w:type="dxa"/>
          <w:left w:w="0" w:type="dxa"/>
          <w:bottom w:w="0" w:type="dxa"/>
          <w:right w:w="0" w:type="dxa"/>
        </w:tblCellMar>
      </w:tblPr>
      <w:tblGrid>
        <w:gridCol w:w="1320"/>
        <w:gridCol w:w="7086"/>
      </w:tblGrid>
      <w:tr>
        <w:tblPrEx>
          <w:tblCellMar>
            <w:top w:w="0" w:type="dxa"/>
            <w:left w:w="0" w:type="dxa"/>
            <w:bottom w:w="0" w:type="dxa"/>
            <w:right w:w="0" w:type="dxa"/>
          </w:tblCellMar>
        </w:tblPrEx>
        <w:trPr>
          <w:trHeight w:val="231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47"/>
              <w:spacing w:line="300" w:lineRule="exact"/>
              <w:jc w:val="center"/>
              <w:rPr>
                <w:rFonts w:hint="eastAsia" w:ascii="仿宋" w:hAnsi="仿宋" w:eastAsia="仿宋" w:cs="Calibri"/>
                <w:b/>
                <w:bCs/>
                <w:color w:val="FF0000"/>
                <w:sz w:val="21"/>
                <w:szCs w:val="21"/>
                <w:highlight w:val="yellow"/>
                <w:lang w:eastAsia="zh-CN"/>
              </w:rPr>
            </w:pPr>
            <w:r>
              <w:rPr>
                <w:rFonts w:hint="eastAsia" w:ascii="仿宋" w:hAnsi="仿宋" w:eastAsia="仿宋" w:cs="Calibri"/>
                <w:b/>
                <w:bCs/>
                <w:sz w:val="28"/>
                <w:szCs w:val="28"/>
                <w:lang w:eastAsia="zh-CN"/>
              </w:rPr>
              <w:t>资</w:t>
            </w:r>
            <w:r>
              <w:rPr>
                <w:rFonts w:hint="eastAsia" w:ascii="仿宋" w:hAnsi="仿宋" w:eastAsia="仿宋" w:cs="Calibri"/>
                <w:b/>
                <w:bCs/>
                <w:sz w:val="28"/>
                <w:szCs w:val="28"/>
                <w:lang w:val="en-US" w:eastAsia="zh-CN"/>
              </w:rPr>
              <w:t>格</w:t>
            </w:r>
            <w:r>
              <w:rPr>
                <w:rFonts w:hint="eastAsia" w:ascii="仿宋" w:hAnsi="仿宋" w:eastAsia="仿宋" w:cs="Calibri"/>
                <w:b/>
                <w:bCs/>
                <w:sz w:val="28"/>
                <w:szCs w:val="28"/>
                <w:lang w:eastAsia="zh-CN"/>
              </w:rPr>
              <w:t>要求</w:t>
            </w:r>
          </w:p>
          <w:p>
            <w:pPr>
              <w:pStyle w:val="47"/>
              <w:spacing w:line="300" w:lineRule="exact"/>
              <w:jc w:val="center"/>
              <w:rPr>
                <w:rFonts w:hint="eastAsia" w:ascii="仿宋" w:hAnsi="仿宋" w:eastAsia="仿宋" w:cs="Calibri"/>
                <w:sz w:val="21"/>
                <w:szCs w:val="21"/>
                <w:lang w:eastAsia="zh-CN"/>
              </w:rPr>
            </w:pPr>
          </w:p>
        </w:tc>
        <w:tc>
          <w:tcPr>
            <w:tcW w:w="4214" w:type="pct"/>
            <w:tcBorders>
              <w:top w:val="single" w:color="000000" w:sz="4" w:space="0"/>
              <w:left w:val="nil"/>
              <w:bottom w:val="single" w:color="000000" w:sz="4" w:space="0"/>
              <w:right w:val="single" w:color="000000" w:sz="4" w:space="0"/>
            </w:tcBorders>
            <w:vAlign w:val="center"/>
          </w:tcPr>
          <w:p>
            <w:pPr>
              <w:pStyle w:val="47"/>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1.申请人须是中华人民共和国境内注册的独立法人单位，具有合法有效的企业法人营业执照、税务登记证及组织机构代码证或证照合一的营业执照；</w:t>
            </w:r>
          </w:p>
          <w:p>
            <w:pPr>
              <w:pStyle w:val="47"/>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2.申请人须是中华人民共和国境内具有独立承担民事责任能力的法人，或具备国家认可经营资格的其他组织。</w:t>
            </w:r>
          </w:p>
          <w:p>
            <w:pPr>
              <w:pStyle w:val="47"/>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业绩要求：（开标时需进行信息公开）：（1）投标人在（2017年1月1日-投标截止时间之前）以合同签署时间为准 ，至少具有1项已完成供货的</w:t>
            </w:r>
            <w:bookmarkStart w:id="11" w:name="_GoBack"/>
            <w:r>
              <w:rPr>
                <w:rFonts w:hint="eastAsia" w:ascii="仿宋" w:hAnsi="仿宋" w:eastAsia="仿宋" w:cs="仿宋"/>
                <w:sz w:val="24"/>
                <w:szCs w:val="24"/>
                <w:highlight w:val="yellow"/>
                <w:lang w:val="en-US" w:eastAsia="zh-CN"/>
              </w:rPr>
              <w:t>碱式碳酸盐</w:t>
            </w:r>
            <w:bookmarkEnd w:id="11"/>
            <w:r>
              <w:rPr>
                <w:rFonts w:hint="eastAsia" w:ascii="仿宋" w:hAnsi="仿宋" w:eastAsia="仿宋" w:cs="仿宋"/>
                <w:sz w:val="24"/>
                <w:szCs w:val="24"/>
                <w:lang w:eastAsia="zh-CN"/>
              </w:rPr>
              <w:t xml:space="preserve">的供货业绩，并提供相应业绩证明文件（对于单项次合同，完成部分交付的也视为已完成业绩）。（2）投标人提供的业绩证明文件包括：业绩合同、到货验收材料。业绩合同应至少涵盖合同首页、合同签署页、供货名称等内容；到货验收材料应有合同双方签字或盖章。（3）若业绩合同为年度协议，还应至少提供1项完成订单的订单页、及订单相应的到货验收单，年协或单项次合同需要提供一样的验收证明材料。同一个年协合同提供1项及以上订单的均算为1个有效业绩。（4）未提供业绩证明文件或提供的业绩证明文件无法认定上述业绩要求的，视为无效业绩。 </w:t>
            </w:r>
          </w:p>
        </w:tc>
      </w:tr>
    </w:tbl>
    <w:p>
      <w:pPr>
        <w:pStyle w:val="14"/>
        <w:ind w:firstLine="640"/>
        <w:rPr>
          <w:rFonts w:ascii="Times New Roman" w:hAnsi="Times New Roman" w:eastAsia="仿宋_GB2312" w:cs="Times New Roman"/>
          <w:sz w:val="32"/>
          <w:szCs w:val="32"/>
        </w:rPr>
      </w:pPr>
    </w:p>
    <w:p>
      <w:pPr>
        <w:tabs>
          <w:tab w:val="left" w:pos="993"/>
          <w:tab w:val="left" w:pos="1134"/>
          <w:tab w:val="left" w:pos="1418"/>
        </w:tabs>
        <w:spacing w:line="600" w:lineRule="exact"/>
        <w:ind w:firstLine="640" w:firstLineChars="200"/>
        <w:outlineLvl w:val="0"/>
        <w:rPr>
          <w:rFonts w:ascii="Times New Roman" w:hAnsi="Times New Roman" w:eastAsia="仿宋" w:cs="Times New Roman"/>
          <w:kern w:val="0"/>
          <w:sz w:val="24"/>
          <w:szCs w:val="24"/>
        </w:rPr>
      </w:pPr>
      <w:r>
        <w:rPr>
          <w:rFonts w:hint="eastAsia" w:ascii="Times New Roman" w:hAnsi="Times New Roman" w:eastAsia="仿宋_GB2312" w:cs="Times New Roman"/>
          <w:sz w:val="32"/>
          <w:szCs w:val="32"/>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CIDFont+F4">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魏碑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WM2NDRmNDE0OWFjOGY5MmVkZjRlNjA0NjMzMjcifQ=="/>
  </w:docVars>
  <w:rsids>
    <w:rsidRoot w:val="00AE20AB"/>
    <w:rsid w:val="00002844"/>
    <w:rsid w:val="0003340F"/>
    <w:rsid w:val="000B4759"/>
    <w:rsid w:val="002E3C4A"/>
    <w:rsid w:val="004029A6"/>
    <w:rsid w:val="00403A61"/>
    <w:rsid w:val="004C6673"/>
    <w:rsid w:val="00735DDB"/>
    <w:rsid w:val="00783190"/>
    <w:rsid w:val="00A04B47"/>
    <w:rsid w:val="00AE20AB"/>
    <w:rsid w:val="00BC0DA1"/>
    <w:rsid w:val="00C40453"/>
    <w:rsid w:val="00C43A69"/>
    <w:rsid w:val="00C56F07"/>
    <w:rsid w:val="00E22F8A"/>
    <w:rsid w:val="00EA647B"/>
    <w:rsid w:val="00ED277A"/>
    <w:rsid w:val="00F1618E"/>
    <w:rsid w:val="01D065EF"/>
    <w:rsid w:val="03571174"/>
    <w:rsid w:val="065D5161"/>
    <w:rsid w:val="07B31BBD"/>
    <w:rsid w:val="08A55367"/>
    <w:rsid w:val="0ACC6D0D"/>
    <w:rsid w:val="0B8F0D48"/>
    <w:rsid w:val="0C291ADC"/>
    <w:rsid w:val="0D4D5B78"/>
    <w:rsid w:val="0D714A1C"/>
    <w:rsid w:val="0D7B19C1"/>
    <w:rsid w:val="0FC270C4"/>
    <w:rsid w:val="10697A6E"/>
    <w:rsid w:val="10C2608D"/>
    <w:rsid w:val="11EF2364"/>
    <w:rsid w:val="12784FB1"/>
    <w:rsid w:val="137C5044"/>
    <w:rsid w:val="13862438"/>
    <w:rsid w:val="142E5BE0"/>
    <w:rsid w:val="14455E90"/>
    <w:rsid w:val="145E0C1D"/>
    <w:rsid w:val="16352055"/>
    <w:rsid w:val="163753A6"/>
    <w:rsid w:val="16BF04A1"/>
    <w:rsid w:val="172E5757"/>
    <w:rsid w:val="17756E0B"/>
    <w:rsid w:val="191B615D"/>
    <w:rsid w:val="1A7667DD"/>
    <w:rsid w:val="1AA81F13"/>
    <w:rsid w:val="1D9C1407"/>
    <w:rsid w:val="1DDE0AE1"/>
    <w:rsid w:val="1FA612BC"/>
    <w:rsid w:val="22693D06"/>
    <w:rsid w:val="23124F2D"/>
    <w:rsid w:val="23173B06"/>
    <w:rsid w:val="233C56B5"/>
    <w:rsid w:val="257C3CBC"/>
    <w:rsid w:val="2610638F"/>
    <w:rsid w:val="28E120D3"/>
    <w:rsid w:val="296069B8"/>
    <w:rsid w:val="2AC563B9"/>
    <w:rsid w:val="2C1A7A08"/>
    <w:rsid w:val="2D7422D9"/>
    <w:rsid w:val="2DCC6724"/>
    <w:rsid w:val="2DD75885"/>
    <w:rsid w:val="2EB917B1"/>
    <w:rsid w:val="2ED92B7B"/>
    <w:rsid w:val="2EFF5A33"/>
    <w:rsid w:val="31666CCD"/>
    <w:rsid w:val="327B35FC"/>
    <w:rsid w:val="33987048"/>
    <w:rsid w:val="34301D95"/>
    <w:rsid w:val="34632613"/>
    <w:rsid w:val="34B1595D"/>
    <w:rsid w:val="35A51331"/>
    <w:rsid w:val="362F1587"/>
    <w:rsid w:val="37386FD5"/>
    <w:rsid w:val="373C4C31"/>
    <w:rsid w:val="37CF3414"/>
    <w:rsid w:val="380E4447"/>
    <w:rsid w:val="38BC05E1"/>
    <w:rsid w:val="39F56CA1"/>
    <w:rsid w:val="3A9505F0"/>
    <w:rsid w:val="3B2138D9"/>
    <w:rsid w:val="3B5A1665"/>
    <w:rsid w:val="3EF77D63"/>
    <w:rsid w:val="3F4C7B09"/>
    <w:rsid w:val="3FC25F00"/>
    <w:rsid w:val="425F4078"/>
    <w:rsid w:val="43336C6F"/>
    <w:rsid w:val="44CA6AF6"/>
    <w:rsid w:val="46011837"/>
    <w:rsid w:val="46037C0A"/>
    <w:rsid w:val="462D2326"/>
    <w:rsid w:val="470C631D"/>
    <w:rsid w:val="47DC1672"/>
    <w:rsid w:val="481C418E"/>
    <w:rsid w:val="48327186"/>
    <w:rsid w:val="4834297E"/>
    <w:rsid w:val="49A92821"/>
    <w:rsid w:val="4AD242A4"/>
    <w:rsid w:val="4C58511E"/>
    <w:rsid w:val="4C987581"/>
    <w:rsid w:val="4D46031B"/>
    <w:rsid w:val="4E292F25"/>
    <w:rsid w:val="4E726A98"/>
    <w:rsid w:val="4F126DCE"/>
    <w:rsid w:val="4F467068"/>
    <w:rsid w:val="50411939"/>
    <w:rsid w:val="50873F39"/>
    <w:rsid w:val="50FC6088"/>
    <w:rsid w:val="51E93FF6"/>
    <w:rsid w:val="52346892"/>
    <w:rsid w:val="52B65486"/>
    <w:rsid w:val="52E812BE"/>
    <w:rsid w:val="531910E2"/>
    <w:rsid w:val="531C1EB4"/>
    <w:rsid w:val="532037F5"/>
    <w:rsid w:val="53706A9F"/>
    <w:rsid w:val="55502006"/>
    <w:rsid w:val="56331F41"/>
    <w:rsid w:val="566B1387"/>
    <w:rsid w:val="566C5220"/>
    <w:rsid w:val="58383E5F"/>
    <w:rsid w:val="598D6098"/>
    <w:rsid w:val="5A9F5FAD"/>
    <w:rsid w:val="5BB362A0"/>
    <w:rsid w:val="5BE8125C"/>
    <w:rsid w:val="5CD575BA"/>
    <w:rsid w:val="5FA80857"/>
    <w:rsid w:val="61E563A7"/>
    <w:rsid w:val="626052F2"/>
    <w:rsid w:val="635837C1"/>
    <w:rsid w:val="637C74FA"/>
    <w:rsid w:val="64E23E83"/>
    <w:rsid w:val="65122045"/>
    <w:rsid w:val="67056631"/>
    <w:rsid w:val="69634D35"/>
    <w:rsid w:val="6B1177E4"/>
    <w:rsid w:val="6BE765E4"/>
    <w:rsid w:val="6BEF3A36"/>
    <w:rsid w:val="6C062C2F"/>
    <w:rsid w:val="6C241C95"/>
    <w:rsid w:val="6C707288"/>
    <w:rsid w:val="70344EA3"/>
    <w:rsid w:val="74386CEA"/>
    <w:rsid w:val="77F679AF"/>
    <w:rsid w:val="78BC0A04"/>
    <w:rsid w:val="79650947"/>
    <w:rsid w:val="7B4D258A"/>
    <w:rsid w:val="7EEC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1"/>
    <w:pPr>
      <w:spacing w:line="479" w:lineRule="exact"/>
      <w:outlineLvl w:val="1"/>
    </w:pPr>
    <w:rPr>
      <w:rFonts w:ascii="Microsoft YaHei UI" w:hAnsi="Microsoft YaHei UI" w:eastAsia="Microsoft YaHei UI"/>
      <w:spacing w:val="2"/>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firstLine="200" w:firstLineChars="200"/>
    </w:pPr>
    <w:rPr>
      <w:rFonts w:ascii="Microsoft YaHei UI" w:hAnsi="Microsoft YaHei UI" w:eastAsia="Microsoft YaHei UI"/>
      <w:szCs w:val="21"/>
    </w:rPr>
  </w:style>
  <w:style w:type="paragraph" w:styleId="5">
    <w:name w:val="caption"/>
    <w:basedOn w:val="1"/>
    <w:next w:val="1"/>
    <w:qFormat/>
    <w:uiPriority w:val="0"/>
    <w:pPr>
      <w:widowControl/>
    </w:pPr>
    <w:rPr>
      <w:rFonts w:ascii="Calibri" w:hAnsi="Calibri" w:eastAsia="宋体" w:cs="Times New Roman"/>
      <w:b/>
      <w:bCs/>
      <w:color w:val="2DA2BF"/>
      <w:sz w:val="18"/>
      <w:szCs w:val="18"/>
    </w:rPr>
  </w:style>
  <w:style w:type="paragraph" w:styleId="6">
    <w:name w:val="annotation text"/>
    <w:basedOn w:val="1"/>
    <w:semiHidden/>
    <w:unhideWhenUsed/>
    <w:qFormat/>
    <w:uiPriority w:val="99"/>
  </w:style>
  <w:style w:type="paragraph" w:styleId="7">
    <w:name w:val="Body Text Indent"/>
    <w:basedOn w:val="1"/>
    <w:semiHidden/>
    <w:unhideWhenUsed/>
    <w:qFormat/>
    <w:uiPriority w:val="99"/>
    <w:pPr>
      <w:spacing w:after="120"/>
      <w:ind w:left="420" w:leftChars="200"/>
    </w:pPr>
  </w:style>
  <w:style w:type="paragraph" w:styleId="8">
    <w:name w:val="toc 3"/>
    <w:basedOn w:val="1"/>
    <w:next w:val="1"/>
    <w:unhideWhenUsed/>
    <w:qFormat/>
    <w:uiPriority w:val="39"/>
    <w:pPr>
      <w:widowControl/>
      <w:spacing w:after="100" w:line="259" w:lineRule="auto"/>
      <w:ind w:left="440"/>
    </w:pPr>
    <w:rPr>
      <w:rFonts w:cs="Times New Roman"/>
    </w:rPr>
  </w:style>
  <w:style w:type="paragraph" w:styleId="9">
    <w:name w:val="Plain Text"/>
    <w:basedOn w:val="1"/>
    <w:qFormat/>
    <w:uiPriority w:val="99"/>
    <w:rPr>
      <w:rFonts w:ascii="Times New Roman" w:hAnsi="Times New Roman" w:eastAsia="楷体_GB2312" w:cs="Times New Roman"/>
      <w:color w:val="002060"/>
      <w:szCs w:val="21"/>
      <w:lang w:val="zh-CN"/>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pPr>
    <w:rPr>
      <w:rFonts w:cs="Times New Roman"/>
      <w:sz w:val="24"/>
    </w:rPr>
  </w:style>
  <w:style w:type="paragraph" w:styleId="13">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4">
    <w:name w:val="Body Text First Indent"/>
    <w:basedOn w:val="2"/>
    <w:unhideWhenUsed/>
    <w:qFormat/>
    <w:uiPriority w:val="99"/>
    <w:pPr>
      <w:ind w:firstLine="567"/>
    </w:pPr>
  </w:style>
  <w:style w:type="paragraph" w:styleId="15">
    <w:name w:val="Body Text First Indent 2"/>
    <w:basedOn w:val="7"/>
    <w:semiHidden/>
    <w:unhideWhenUsed/>
    <w:qFormat/>
    <w:uiPriority w:val="99"/>
    <w:pPr>
      <w:ind w:firstLine="420" w:firstLineChars="200"/>
    </w:pPr>
  </w:style>
  <w:style w:type="table" w:styleId="17">
    <w:name w:val="Table Grid"/>
    <w:basedOn w:val="1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qFormat/>
    <w:uiPriority w:val="20"/>
    <w:rPr>
      <w:i/>
    </w:rPr>
  </w:style>
  <w:style w:type="character" w:styleId="21">
    <w:name w:val="HTML Definition"/>
    <w:basedOn w:val="18"/>
    <w:semiHidden/>
    <w:unhideWhenUsed/>
    <w:qFormat/>
    <w:uiPriority w:val="99"/>
    <w:rPr>
      <w:i/>
    </w:rPr>
  </w:style>
  <w:style w:type="character" w:styleId="22">
    <w:name w:val="HTML Acronym"/>
    <w:basedOn w:val="18"/>
    <w:semiHidden/>
    <w:unhideWhenUsed/>
    <w:qFormat/>
    <w:uiPriority w:val="99"/>
  </w:style>
  <w:style w:type="character" w:styleId="23">
    <w:name w:val="HTML Variable"/>
    <w:basedOn w:val="18"/>
    <w:semiHidden/>
    <w:unhideWhenUsed/>
    <w:qFormat/>
    <w:uiPriority w:val="99"/>
    <w:rPr>
      <w:i/>
    </w:rPr>
  </w:style>
  <w:style w:type="character" w:styleId="24">
    <w:name w:val="Hyperlink"/>
    <w:basedOn w:val="18"/>
    <w:semiHidden/>
    <w:unhideWhenUsed/>
    <w:qFormat/>
    <w:uiPriority w:val="99"/>
    <w:rPr>
      <w:color w:val="005197"/>
      <w:u w:val="single"/>
    </w:rPr>
  </w:style>
  <w:style w:type="character" w:styleId="25">
    <w:name w:val="HTML Code"/>
    <w:basedOn w:val="18"/>
    <w:semiHidden/>
    <w:unhideWhenUsed/>
    <w:qFormat/>
    <w:uiPriority w:val="99"/>
    <w:rPr>
      <w:rFonts w:ascii="微软雅黑" w:hAnsi="微软雅黑" w:eastAsia="微软雅黑" w:cs="微软雅黑"/>
      <w:sz w:val="18"/>
      <w:szCs w:val="18"/>
    </w:rPr>
  </w:style>
  <w:style w:type="character" w:styleId="26">
    <w:name w:val="HTML Cite"/>
    <w:basedOn w:val="18"/>
    <w:semiHidden/>
    <w:unhideWhenUsed/>
    <w:qFormat/>
    <w:uiPriority w:val="99"/>
    <w:rPr>
      <w:i/>
    </w:rPr>
  </w:style>
  <w:style w:type="paragraph" w:customStyle="1" w:styleId="27">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28">
    <w:name w:val="页眉 字符"/>
    <w:basedOn w:val="18"/>
    <w:link w:val="11"/>
    <w:qFormat/>
    <w:uiPriority w:val="99"/>
    <w:rPr>
      <w:sz w:val="18"/>
      <w:szCs w:val="18"/>
    </w:rPr>
  </w:style>
  <w:style w:type="character" w:customStyle="1" w:styleId="29">
    <w:name w:val="页脚 字符"/>
    <w:basedOn w:val="18"/>
    <w:link w:val="10"/>
    <w:qFormat/>
    <w:uiPriority w:val="99"/>
    <w:rPr>
      <w:sz w:val="18"/>
      <w:szCs w:val="18"/>
    </w:rPr>
  </w:style>
  <w:style w:type="character" w:customStyle="1" w:styleId="30">
    <w:name w:val="fontstyle01"/>
    <w:basedOn w:val="18"/>
    <w:qFormat/>
    <w:uiPriority w:val="0"/>
    <w:rPr>
      <w:rFonts w:hint="default" w:ascii="CIDFont+F4" w:hAnsi="CIDFont+F4"/>
      <w:color w:val="000000"/>
      <w:sz w:val="24"/>
      <w:szCs w:val="24"/>
    </w:rPr>
  </w:style>
  <w:style w:type="paragraph" w:customStyle="1" w:styleId="31">
    <w:name w:val="Default"/>
    <w:qFormat/>
    <w:uiPriority w:val="0"/>
    <w:pPr>
      <w:widowControl w:val="0"/>
      <w:autoSpaceDE w:val="0"/>
      <w:autoSpaceDN w:val="0"/>
      <w:adjustRightInd w:val="0"/>
      <w:spacing w:before="120" w:after="120" w:line="360" w:lineRule="auto"/>
      <w:outlineLvl w:val="0"/>
    </w:pPr>
    <w:rPr>
      <w:rFonts w:ascii="黑体" w:hAnsi="黑体" w:eastAsia="黑体" w:cs="仿宋"/>
      <w:b/>
      <w:bCs/>
      <w:color w:val="000000"/>
      <w:sz w:val="28"/>
      <w:szCs w:val="28"/>
      <w:lang w:val="en-US" w:eastAsia="zh-CN" w:bidi="ar-SA"/>
    </w:rPr>
  </w:style>
  <w:style w:type="paragraph" w:styleId="32">
    <w:name w:val="List Paragraph"/>
    <w:basedOn w:val="1"/>
    <w:qFormat/>
    <w:uiPriority w:val="34"/>
    <w:pPr>
      <w:ind w:firstLine="420" w:firstLineChars="200"/>
    </w:pPr>
  </w:style>
  <w:style w:type="paragraph" w:customStyle="1" w:styleId="33">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paragraph" w:customStyle="1" w:styleId="34">
    <w:name w:val="正文文本1"/>
    <w:basedOn w:val="35"/>
    <w:next w:val="37"/>
    <w:qFormat/>
    <w:uiPriority w:val="0"/>
    <w:pPr>
      <w:ind w:firstLine="200" w:firstLineChars="200"/>
      <w:jc w:val="both"/>
    </w:pPr>
    <w:rPr>
      <w:rFonts w:ascii="Microsoft YaHei UI" w:hAnsi="Microsoft YaHei UI" w:eastAsia="Microsoft YaHei UI"/>
      <w:sz w:val="21"/>
      <w:szCs w:val="21"/>
    </w:rPr>
  </w:style>
  <w:style w:type="paragraph" w:customStyle="1" w:styleId="35">
    <w:name w:val="Normal_1"/>
    <w:next w:val="36"/>
    <w:qFormat/>
    <w:uiPriority w:val="0"/>
    <w:rPr>
      <w:rFonts w:ascii="Arial" w:hAnsi="Arial" w:eastAsia="微软雅黑" w:cs="Times New Roman"/>
      <w:sz w:val="24"/>
      <w:szCs w:val="24"/>
      <w:lang w:val="en-US" w:eastAsia="zh-CN" w:bidi="ar-SA"/>
    </w:rPr>
  </w:style>
  <w:style w:type="paragraph" w:customStyle="1" w:styleId="36">
    <w:name w:val="页脚1"/>
    <w:basedOn w:val="35"/>
    <w:unhideWhenUsed/>
    <w:qFormat/>
    <w:uiPriority w:val="99"/>
    <w:pPr>
      <w:tabs>
        <w:tab w:val="center" w:pos="4153"/>
        <w:tab w:val="right" w:pos="8306"/>
      </w:tabs>
      <w:snapToGrid w:val="0"/>
    </w:pPr>
    <w:rPr>
      <w:sz w:val="18"/>
      <w:szCs w:val="18"/>
    </w:rPr>
  </w:style>
  <w:style w:type="paragraph" w:customStyle="1" w:styleId="37">
    <w:name w:val="目录 21"/>
    <w:basedOn w:val="35"/>
    <w:next w:val="35"/>
    <w:unhideWhenUsed/>
    <w:qFormat/>
    <w:uiPriority w:val="39"/>
    <w:pPr>
      <w:tabs>
        <w:tab w:val="left" w:pos="730"/>
        <w:tab w:val="right" w:leader="dot" w:pos="9355"/>
      </w:tabs>
      <w:ind w:left="284" w:leftChars="129" w:firstLine="154" w:firstLineChars="70"/>
    </w:pPr>
  </w:style>
  <w:style w:type="character" w:customStyle="1" w:styleId="38">
    <w:name w:val="l-btn-text"/>
    <w:basedOn w:val="18"/>
    <w:qFormat/>
    <w:uiPriority w:val="0"/>
  </w:style>
  <w:style w:type="character" w:customStyle="1" w:styleId="39">
    <w:name w:val="checkbox"/>
    <w:basedOn w:val="18"/>
    <w:qFormat/>
    <w:uiPriority w:val="0"/>
  </w:style>
  <w:style w:type="character" w:customStyle="1" w:styleId="40">
    <w:name w:val="l-btn-left"/>
    <w:basedOn w:val="18"/>
    <w:qFormat/>
    <w:uiPriority w:val="0"/>
  </w:style>
  <w:style w:type="character" w:customStyle="1" w:styleId="41">
    <w:name w:val="l-btn-left1"/>
    <w:basedOn w:val="18"/>
    <w:qFormat/>
    <w:uiPriority w:val="0"/>
  </w:style>
  <w:style w:type="character" w:customStyle="1" w:styleId="42">
    <w:name w:val="l-btn-left2"/>
    <w:basedOn w:val="18"/>
    <w:qFormat/>
    <w:uiPriority w:val="0"/>
  </w:style>
  <w:style w:type="character" w:customStyle="1" w:styleId="43">
    <w:name w:val="l-btn-left3"/>
    <w:basedOn w:val="18"/>
    <w:qFormat/>
    <w:uiPriority w:val="0"/>
  </w:style>
  <w:style w:type="character" w:customStyle="1" w:styleId="44">
    <w:name w:val="l-btn-empty"/>
    <w:basedOn w:val="18"/>
    <w:qFormat/>
    <w:uiPriority w:val="0"/>
  </w:style>
  <w:style w:type="paragraph" w:customStyle="1" w:styleId="45">
    <w:name w:val="表格"/>
    <w:basedOn w:val="13"/>
    <w:next w:val="1"/>
    <w:qFormat/>
    <w:uiPriority w:val="0"/>
    <w:pPr>
      <w:spacing w:before="0" w:after="0" w:line="360" w:lineRule="auto"/>
      <w:outlineLvl w:val="9"/>
    </w:pPr>
    <w:rPr>
      <w:rFonts w:ascii="Times New Roman" w:hAnsi="Times New Roman" w:cs="Times New Roman"/>
      <w:b w:val="0"/>
      <w:bCs w:val="0"/>
      <w:sz w:val="21"/>
    </w:rPr>
  </w:style>
  <w:style w:type="paragraph" w:customStyle="1" w:styleId="4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7">
    <w:name w:val="Table Paragraph"/>
    <w:basedOn w:val="1"/>
    <w:qFormat/>
    <w:uiPriority w:val="0"/>
    <w:pPr>
      <w:jc w:val="left"/>
    </w:pPr>
    <w:rPr>
      <w:kern w:val="0"/>
      <w:sz w:val="22"/>
      <w:lang w:eastAsia="en-US"/>
    </w:rPr>
  </w:style>
  <w:style w:type="table" w:customStyle="1" w:styleId="48">
    <w:name w:val="网格表 1 浅色1"/>
    <w:basedOn w:val="16"/>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9">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51">
    <w:name w:val="网格型3"/>
    <w:basedOn w:val="1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Default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正文_0"/>
    <w:next w:val="1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
    <w:name w:val="网格型4"/>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5"/>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样式1"/>
    <w:basedOn w:val="1"/>
    <w:qFormat/>
    <w:uiPriority w:val="0"/>
    <w:pPr>
      <w:jc w:val="both"/>
    </w:pPr>
    <w:rPr>
      <w:rFonts w:hint="eastAsia" w:ascii="Microsoft YaHei UI" w:hAnsi="Microsoft YaHei UI" w:eastAsia="微软雅黑"/>
      <w:szCs w:val="21"/>
    </w:rPr>
  </w:style>
  <w:style w:type="paragraph" w:customStyle="1" w:styleId="60">
    <w:name w:val="第二"/>
    <w:basedOn w:val="1"/>
    <w:qFormat/>
    <w:uiPriority w:val="0"/>
    <w:pPr>
      <w:adjustRightInd w:val="0"/>
      <w:snapToGrid w:val="0"/>
    </w:pPr>
    <w:rPr>
      <w:rFonts w:hint="eastAsia" w:eastAsia="宋体" w:cs="Times New Roman"/>
      <w:b/>
      <w:color w:val="000000"/>
      <w:sz w:val="21"/>
    </w:rPr>
  </w:style>
  <w:style w:type="character" w:customStyle="1" w:styleId="61">
    <w:name w:val="font11"/>
    <w:basedOn w:val="18"/>
    <w:qFormat/>
    <w:uiPriority w:val="0"/>
    <w:rPr>
      <w:rFonts w:hint="eastAsia"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2692</Characters>
  <Lines>22</Lines>
  <Paragraphs>6</Paragraphs>
  <TotalTime>19</TotalTime>
  <ScaleCrop>false</ScaleCrop>
  <LinksUpToDate>false</LinksUpToDate>
  <CharactersWithSpaces>3158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2021-05-19T09:26:00Z</dcterms:created>
  <dc:creator>季云峰/采办项目组/集团公司机关</dc:creator>
  <cp:lastModifiedBy>yanzhen</cp:lastModifiedBy>
  <dcterms:modified xsi:type="dcterms:W3CDTF">2026-04-02T09:08:52Z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ECE656037CA6426BA50E95E35E37621F</vt:lpwstr>
  </property>
</Properties>
</file>