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right="-58"/>
        <w:jc w:val="right"/>
        <w:rPr>
          <w:rFonts w:ascii="方正小标宋_GBK" w:eastAsia="方正小标宋_GBK"/>
          <w:sz w:val="30"/>
          <w:szCs w:val="30"/>
        </w:rPr>
      </w:pPr>
    </w:p>
    <w:p>
      <w:pPr>
        <w:pStyle w:val="2"/>
      </w:pPr>
    </w:p>
    <w:p>
      <w:pPr>
        <w:spacing w:line="360" w:lineRule="auto"/>
        <w:ind w:right="-58"/>
        <w:jc w:val="right"/>
        <w:rPr>
          <w:rFonts w:ascii="方正小标宋_GBK" w:eastAsia="方正小标宋_GBK"/>
          <w:sz w:val="30"/>
          <w:szCs w:val="30"/>
        </w:rPr>
      </w:pPr>
    </w:p>
    <w:p>
      <w:pPr>
        <w:spacing w:line="360" w:lineRule="auto"/>
        <w:ind w:right="-58"/>
        <w:jc w:val="right"/>
        <w:rPr>
          <w:rFonts w:ascii="方正小标宋_GBK" w:eastAsia="方正小标宋_GBK"/>
          <w:sz w:val="30"/>
          <w:szCs w:val="30"/>
        </w:rPr>
      </w:pPr>
    </w:p>
    <w:p>
      <w:pPr>
        <w:snapToGrid w:val="0"/>
        <w:spacing w:line="800" w:lineRule="exact"/>
        <w:jc w:val="center"/>
        <w:rPr>
          <w:rFonts w:hint="eastAsia" w:ascii="方正小标宋_GBK" w:eastAsia="方正小标宋_GBK"/>
          <w:b/>
          <w:sz w:val="44"/>
          <w:szCs w:val="44"/>
          <w:lang w:val="en-US" w:eastAsia="zh-CN"/>
        </w:rPr>
      </w:pPr>
      <w:r>
        <w:rPr>
          <w:rFonts w:hint="eastAsia" w:ascii="方正小标宋_GBK" w:eastAsia="方正小标宋_GBK"/>
          <w:b/>
          <w:sz w:val="44"/>
          <w:szCs w:val="44"/>
          <w:lang w:val="en-US" w:eastAsia="zh-CN"/>
        </w:rPr>
        <w:t>天津市宁河区宁东盛源电力工程有限公司2025年原集体企业第七次施工分包</w:t>
      </w:r>
    </w:p>
    <w:p>
      <w:pPr>
        <w:snapToGrid w:val="0"/>
        <w:spacing w:line="800" w:lineRule="exact"/>
        <w:jc w:val="center"/>
        <w:rPr>
          <w:rFonts w:hint="eastAsia" w:ascii="方正小标宋_GBK" w:eastAsia="方正小标宋_GBK"/>
          <w:b/>
          <w:sz w:val="44"/>
          <w:szCs w:val="44"/>
        </w:rPr>
      </w:pPr>
      <w:r>
        <w:rPr>
          <w:rFonts w:hint="eastAsia" w:ascii="方正小标宋_GBK" w:eastAsia="方正小标宋_GBK"/>
          <w:b/>
          <w:sz w:val="44"/>
          <w:szCs w:val="44"/>
          <w:lang w:val="en-US" w:eastAsia="zh-CN"/>
        </w:rPr>
        <w:t>招标采购</w:t>
      </w:r>
    </w:p>
    <w:p>
      <w:pPr>
        <w:snapToGrid w:val="0"/>
        <w:spacing w:line="800" w:lineRule="exact"/>
        <w:jc w:val="center"/>
        <w:rPr>
          <w:rFonts w:hint="eastAsia" w:ascii="方正小标宋_GBK" w:eastAsia="方正小标宋_GBK"/>
          <w:b/>
          <w:sz w:val="44"/>
          <w:szCs w:val="44"/>
        </w:rPr>
      </w:pPr>
    </w:p>
    <w:p>
      <w:pPr>
        <w:snapToGrid w:val="0"/>
        <w:spacing w:line="700" w:lineRule="exact"/>
        <w:jc w:val="both"/>
        <w:rPr>
          <w:rFonts w:ascii="方正小标宋_GBK" w:eastAsia="方正小标宋_GBK"/>
          <w:b/>
          <w:sz w:val="44"/>
          <w:szCs w:val="44"/>
        </w:rPr>
      </w:pPr>
    </w:p>
    <w:p>
      <w:pPr>
        <w:snapToGrid w:val="0"/>
        <w:spacing w:line="700" w:lineRule="exact"/>
        <w:jc w:val="center"/>
        <w:rPr>
          <w:rFonts w:ascii="方正小标宋_GBK" w:eastAsia="方正小标宋_GBK"/>
          <w:b/>
          <w:sz w:val="44"/>
          <w:szCs w:val="44"/>
        </w:rPr>
      </w:pPr>
      <w:r>
        <w:rPr>
          <w:rFonts w:ascii="方正小标宋_GBK" w:eastAsia="方正小标宋_GBK"/>
          <w:b/>
          <w:sz w:val="44"/>
          <w:szCs w:val="44"/>
        </w:rPr>
        <w:tab/>
      </w:r>
    </w:p>
    <w:p>
      <w:pPr>
        <w:snapToGrid w:val="0"/>
        <w:spacing w:line="800" w:lineRule="exact"/>
        <w:jc w:val="center"/>
        <w:rPr>
          <w:rFonts w:hint="eastAsia" w:ascii="方正小标宋_GBK" w:eastAsia="方正小标宋_GBK"/>
          <w:b/>
          <w:sz w:val="44"/>
          <w:szCs w:val="44"/>
          <w:lang w:val="en-US" w:eastAsia="zh-CN"/>
        </w:rPr>
      </w:pPr>
      <w:r>
        <w:rPr>
          <w:rFonts w:hint="eastAsia" w:ascii="方正小标宋_GBK" w:eastAsia="方正小标宋_GBK"/>
          <w:b/>
          <w:sz w:val="44"/>
          <w:szCs w:val="44"/>
          <w:lang w:val="en-US" w:eastAsia="zh-CN"/>
        </w:rPr>
        <w:t>招标公告</w:t>
      </w:r>
    </w:p>
    <w:p>
      <w:pPr>
        <w:pStyle w:val="2"/>
        <w:rPr>
          <w:rFonts w:hint="eastAsia"/>
        </w:rPr>
      </w:pPr>
    </w:p>
    <w:p>
      <w:pPr>
        <w:pStyle w:val="4"/>
        <w:rPr>
          <w:rFonts w:hint="eastAsia"/>
        </w:rPr>
      </w:pPr>
    </w:p>
    <w:p>
      <w:pPr>
        <w:rPr>
          <w:rFonts w:hint="eastAsia"/>
        </w:rPr>
      </w:pPr>
    </w:p>
    <w:p>
      <w:pPr>
        <w:pStyle w:val="4"/>
        <w:rPr>
          <w:rFonts w:hint="eastAsia"/>
        </w:rPr>
      </w:pPr>
    </w:p>
    <w:p>
      <w:pPr>
        <w:rPr>
          <w:rFonts w:hint="eastAsia"/>
        </w:rPr>
      </w:pPr>
    </w:p>
    <w:p>
      <w:pPr>
        <w:pStyle w:val="7"/>
        <w:rPr>
          <w:rFonts w:hint="eastAsia"/>
        </w:rPr>
      </w:pPr>
    </w:p>
    <w:p>
      <w:pPr>
        <w:pStyle w:val="8"/>
        <w:rPr>
          <w:rFonts w:hint="eastAsia"/>
        </w:rPr>
      </w:pPr>
    </w:p>
    <w:p>
      <w:pPr>
        <w:rPr>
          <w:rFonts w:hint="eastAsia"/>
        </w:rPr>
      </w:pPr>
    </w:p>
    <w:p>
      <w:pPr>
        <w:pStyle w:val="7"/>
        <w:rPr>
          <w:rFonts w:hint="eastAsia"/>
        </w:rPr>
      </w:pPr>
    </w:p>
    <w:p>
      <w:pPr>
        <w:pStyle w:val="2"/>
        <w:rPr>
          <w:rFonts w:hint="eastAsia"/>
        </w:rPr>
      </w:pPr>
    </w:p>
    <w:p>
      <w:pPr>
        <w:pStyle w:val="4"/>
        <w:rPr>
          <w:rFonts w:hint="eastAsia"/>
        </w:rPr>
      </w:pPr>
    </w:p>
    <w:p>
      <w:pPr>
        <w:rPr>
          <w:rFonts w:hint="eastAsia"/>
        </w:rPr>
      </w:pPr>
    </w:p>
    <w:p>
      <w:pPr>
        <w:pStyle w:val="2"/>
        <w:rPr>
          <w:rFonts w:hint="eastAsia"/>
        </w:rPr>
      </w:pPr>
    </w:p>
    <w:p>
      <w:pPr>
        <w:pStyle w:val="4"/>
        <w:rPr>
          <w:rFonts w:hint="eastAsia"/>
        </w:rPr>
      </w:pPr>
    </w:p>
    <w:p>
      <w:pPr>
        <w:adjustRightInd w:val="0"/>
        <w:snapToGrid w:val="0"/>
        <w:ind w:firstLine="3600" w:firstLineChars="1200"/>
        <w:jc w:val="both"/>
        <w:outlineLvl w:val="0"/>
        <w:rPr>
          <w:rFonts w:hint="eastAsia" w:ascii="黑体" w:eastAsia="黑体"/>
          <w:color w:val="auto"/>
          <w:sz w:val="30"/>
          <w:szCs w:val="32"/>
          <w:highlight w:val="none"/>
        </w:rPr>
      </w:pPr>
      <w:bookmarkStart w:id="0" w:name="_Toc129618824"/>
      <w:r>
        <w:rPr>
          <w:rFonts w:hint="eastAsia" w:ascii="黑体" w:eastAsia="黑体"/>
          <w:color w:val="000000" w:themeColor="text1"/>
          <w:sz w:val="30"/>
          <w:szCs w:val="32"/>
          <w:highlight w:val="none"/>
          <w14:textFill>
            <w14:solidFill>
              <w14:schemeClr w14:val="tx1"/>
            </w14:solidFill>
          </w14:textFill>
        </w:rPr>
        <w:t>二〇</w:t>
      </w:r>
      <w:r>
        <w:rPr>
          <w:rFonts w:hint="eastAsia" w:ascii="黑体" w:eastAsia="黑体"/>
          <w:color w:val="auto"/>
          <w:sz w:val="30"/>
          <w:szCs w:val="32"/>
          <w:highlight w:val="none"/>
        </w:rPr>
        <w:t>二</w:t>
      </w:r>
      <w:r>
        <w:rPr>
          <w:rFonts w:hint="eastAsia" w:ascii="黑体" w:eastAsia="黑体"/>
          <w:color w:val="auto"/>
          <w:sz w:val="30"/>
          <w:szCs w:val="32"/>
          <w:highlight w:val="none"/>
          <w:lang w:val="en-US" w:eastAsia="zh-CN"/>
        </w:rPr>
        <w:t>五</w:t>
      </w:r>
      <w:r>
        <w:rPr>
          <w:rFonts w:hint="eastAsia" w:ascii="黑体" w:eastAsia="黑体"/>
          <w:color w:val="auto"/>
          <w:sz w:val="30"/>
          <w:szCs w:val="32"/>
          <w:highlight w:val="none"/>
        </w:rPr>
        <w:t>年</w:t>
      </w:r>
    </w:p>
    <w:p>
      <w:pPr>
        <w:adjustRightInd w:val="0"/>
        <w:snapToGrid w:val="0"/>
        <w:ind w:firstLine="883"/>
        <w:jc w:val="center"/>
        <w:outlineLvl w:val="0"/>
        <w:rPr>
          <w:rFonts w:hint="eastAsia" w:ascii="黑体" w:eastAsia="黑体"/>
          <w:color w:val="auto"/>
          <w:sz w:val="30"/>
          <w:szCs w:val="32"/>
          <w:highlight w:val="none"/>
        </w:rPr>
      </w:pPr>
    </w:p>
    <w:p>
      <w:pPr>
        <w:adjustRightInd w:val="0"/>
        <w:snapToGrid w:val="0"/>
        <w:ind w:firstLine="883"/>
        <w:jc w:val="center"/>
        <w:outlineLvl w:val="0"/>
        <w:rPr>
          <w:rFonts w:hint="eastAsia" w:ascii="黑体" w:eastAsia="黑体"/>
          <w:color w:val="auto"/>
          <w:sz w:val="30"/>
          <w:szCs w:val="32"/>
          <w:highlight w:val="none"/>
        </w:rPr>
      </w:pPr>
    </w:p>
    <w:p>
      <w:pPr>
        <w:adjustRightInd w:val="0"/>
        <w:snapToGrid w:val="0"/>
        <w:ind w:firstLine="883"/>
        <w:jc w:val="center"/>
        <w:outlineLvl w:val="0"/>
        <w:rPr>
          <w:rFonts w:hint="eastAsia" w:ascii="黑体" w:eastAsia="黑体"/>
          <w:color w:val="auto"/>
          <w:sz w:val="30"/>
          <w:szCs w:val="32"/>
          <w:highlight w:val="none"/>
        </w:rPr>
      </w:pPr>
    </w:p>
    <w:p>
      <w:pPr>
        <w:adjustRightInd w:val="0"/>
        <w:snapToGrid w:val="0"/>
        <w:ind w:firstLine="883"/>
        <w:jc w:val="center"/>
        <w:outlineLvl w:val="0"/>
        <w:rPr>
          <w:rFonts w:hint="eastAsia" w:ascii="黑体" w:eastAsia="黑体"/>
          <w:color w:val="auto"/>
          <w:sz w:val="30"/>
          <w:szCs w:val="32"/>
          <w:highlight w:val="none"/>
        </w:rPr>
      </w:pPr>
    </w:p>
    <w:p>
      <w:pPr>
        <w:adjustRightInd w:val="0"/>
        <w:snapToGrid w:val="0"/>
        <w:ind w:firstLine="883"/>
        <w:jc w:val="center"/>
        <w:outlineLvl w:val="0"/>
        <w:rPr>
          <w:rFonts w:hint="eastAsia" w:ascii="黑体" w:eastAsia="黑体"/>
          <w:b/>
          <w:sz w:val="44"/>
          <w:szCs w:val="44"/>
        </w:rPr>
      </w:pPr>
      <w:r>
        <w:rPr>
          <w:rFonts w:hint="eastAsia" w:ascii="黑体" w:eastAsia="黑体"/>
          <w:b/>
          <w:sz w:val="44"/>
          <w:szCs w:val="44"/>
        </w:rPr>
        <w:br w:type="page"/>
      </w:r>
    </w:p>
    <w:bookmarkEnd w:id="0"/>
    <w:p>
      <w:pPr>
        <w:pStyle w:val="9"/>
      </w:pPr>
    </w:p>
    <w:p>
      <w:pPr>
        <w:adjustRightInd w:val="0"/>
        <w:snapToGrid w:val="0"/>
        <w:jc w:val="center"/>
        <w:rPr>
          <w:rFonts w:ascii="黑体" w:eastAsia="黑体"/>
          <w:b/>
          <w:sz w:val="28"/>
          <w:szCs w:val="28"/>
        </w:rPr>
      </w:pPr>
    </w:p>
    <w:p>
      <w:pPr>
        <w:pStyle w:val="18"/>
      </w:pPr>
      <w:bookmarkStart w:id="1" w:name="_Toc62222022"/>
      <w:bookmarkStart w:id="2" w:name="_Toc20279"/>
      <w:bookmarkStart w:id="3" w:name="_Toc62549185"/>
      <w:bookmarkStart w:id="4" w:name="_Toc8652"/>
      <w:bookmarkStart w:id="5" w:name="_Toc5006"/>
      <w:bookmarkStart w:id="6" w:name="_Toc9755"/>
      <w:bookmarkStart w:id="7" w:name="_Toc12620"/>
      <w:bookmarkStart w:id="8" w:name="_Toc8055"/>
      <w:bookmarkStart w:id="9" w:name="_Toc22762"/>
      <w:bookmarkStart w:id="10" w:name="_Toc21360"/>
      <w:bookmarkStart w:id="11" w:name="_Toc129618825"/>
      <w:bookmarkStart w:id="12" w:name="_Toc20072"/>
      <w:bookmarkStart w:id="13" w:name="_Toc62222570"/>
      <w:bookmarkStart w:id="14" w:name="_Toc17013"/>
      <w:bookmarkStart w:id="15" w:name="_Toc62221463"/>
      <w:bookmarkStart w:id="16" w:name="_Toc32260"/>
      <w:bookmarkStart w:id="17" w:name="_Toc9154"/>
      <w:bookmarkStart w:id="18" w:name="_Toc62221754"/>
      <w:bookmarkStart w:id="19" w:name="_Toc15978"/>
      <w:bookmarkStart w:id="20" w:name="_Toc21826"/>
      <w:bookmarkStart w:id="21" w:name="_Toc62549129"/>
      <w:bookmarkStart w:id="22" w:name="_Toc28787"/>
      <w:bookmarkStart w:id="23" w:name="_Toc23777"/>
      <w:bookmarkStart w:id="24" w:name="_Toc32701"/>
      <w:bookmarkStart w:id="25" w:name="_Toc14356"/>
      <w:bookmarkStart w:id="26" w:name="_Toc19963"/>
      <w:bookmarkStart w:id="27" w:name="_Toc26598"/>
      <w:bookmarkStart w:id="28" w:name="_Toc15573"/>
      <w:bookmarkStart w:id="29" w:name="_Toc20669"/>
      <w:bookmarkStart w:id="30" w:name="_Toc6993"/>
      <w:bookmarkStart w:id="31" w:name="_Toc8289"/>
      <w:bookmarkStart w:id="32" w:name="_Toc32233"/>
      <w:bookmarkStart w:id="33" w:name="_Toc2581"/>
      <w:bookmarkStart w:id="34" w:name="_Toc6324"/>
      <w:bookmarkStart w:id="35" w:name="_Toc12304"/>
      <w:bookmarkStart w:id="36" w:name="_Toc4944"/>
      <w:bookmarkStart w:id="37" w:name="_Toc15943"/>
      <w:bookmarkStart w:id="38" w:name="_Toc30351"/>
      <w:bookmarkStart w:id="39" w:name="_Toc27507"/>
      <w:bookmarkStart w:id="40" w:name="_Toc10966"/>
      <w:bookmarkStart w:id="41" w:name="_Toc25646"/>
      <w:bookmarkStart w:id="42" w:name="_Toc32650"/>
      <w:bookmarkStart w:id="43" w:name="_Toc18034"/>
      <w:bookmarkStart w:id="44" w:name="_Toc16717"/>
      <w:bookmarkStart w:id="45" w:name="_Toc8415"/>
      <w:bookmarkStart w:id="46" w:name="_Toc20439"/>
      <w:bookmarkStart w:id="47" w:name="_Toc18557"/>
      <w:bookmarkStart w:id="48" w:name="_Toc24348"/>
      <w:r>
        <w:rPr>
          <w:rFonts w:hint="eastAsia"/>
        </w:rPr>
        <w:t>第一章 招标公告</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pPr>
        <w:adjustRightInd w:val="0"/>
        <w:snapToGrid w:val="0"/>
        <w:jc w:val="center"/>
        <w:rPr>
          <w:rFonts w:ascii="黑体" w:eastAsia="黑体"/>
          <w:b/>
          <w:sz w:val="28"/>
          <w:szCs w:val="28"/>
        </w:rPr>
      </w:pPr>
    </w:p>
    <w:p>
      <w:pPr>
        <w:adjustRightInd w:val="0"/>
        <w:snapToGrid w:val="0"/>
        <w:jc w:val="center"/>
        <w:rPr>
          <w:rFonts w:hint="default" w:ascii="黑体" w:hAnsi="黑体" w:eastAsia="黑体"/>
          <w:bCs/>
          <w:sz w:val="28"/>
          <w:szCs w:val="28"/>
          <w:highlight w:val="none"/>
          <w:lang w:val="en-US" w:eastAsia="zh-CN"/>
        </w:rPr>
      </w:pPr>
      <w:r>
        <w:rPr>
          <w:rFonts w:hint="eastAsia" w:ascii="黑体" w:hAnsi="黑体" w:eastAsia="黑体"/>
          <w:bCs/>
          <w:sz w:val="28"/>
          <w:szCs w:val="28"/>
          <w:highlight w:val="none"/>
        </w:rPr>
        <w:t>天津市宁河区宁东盛源电力工程有限公司2025年原集体企业第七次施工分包招标采购</w:t>
      </w:r>
    </w:p>
    <w:p>
      <w:pPr>
        <w:adjustRightInd w:val="0"/>
        <w:snapToGrid w:val="0"/>
        <w:jc w:val="center"/>
        <w:rPr>
          <w:rFonts w:hint="default" w:ascii="黑体" w:eastAsia="黑体"/>
          <w:sz w:val="24"/>
          <w:szCs w:val="24"/>
          <w:highlight w:val="none"/>
          <w:lang w:val="en-US" w:eastAsia="zh-CN"/>
        </w:rPr>
      </w:pPr>
      <w:r>
        <w:rPr>
          <w:rFonts w:hint="eastAsia" w:ascii="黑体" w:hAnsi="黑体" w:eastAsia="黑体"/>
          <w:bCs/>
          <w:sz w:val="28"/>
          <w:szCs w:val="28"/>
          <w:highlight w:val="none"/>
        </w:rPr>
        <w:t>招标编号：</w:t>
      </w:r>
      <w:r>
        <w:rPr>
          <w:rFonts w:hint="eastAsia" w:ascii="Arial" w:hAnsi="Arial" w:eastAsia="黑体" w:cs="Arial"/>
          <w:bCs/>
          <w:sz w:val="28"/>
          <w:szCs w:val="28"/>
          <w:highlight w:val="none"/>
          <w:lang w:val="en-US" w:eastAsia="zh-CN"/>
        </w:rPr>
        <w:t>CY0325SND507B</w:t>
      </w:r>
    </w:p>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Pr>
        <w:adjustRightInd w:val="0"/>
        <w:snapToGrid w:val="0"/>
        <w:spacing w:beforeLines="-2147483648" w:afterLines="-2147483648" w:line="240" w:lineRule="auto"/>
        <w:outlineLvl w:val="9"/>
        <w:rPr>
          <w:rFonts w:ascii="黑体" w:eastAsia="黑体"/>
          <w:b/>
          <w:sz w:val="24"/>
        </w:rPr>
      </w:pPr>
      <w:bookmarkStart w:id="49" w:name="_bookmark2"/>
      <w:bookmarkEnd w:id="49"/>
      <w:bookmarkStart w:id="50" w:name="_Toc26742"/>
      <w:bookmarkStart w:id="51" w:name="_Toc62551529"/>
      <w:bookmarkStart w:id="52" w:name="_Toc10816"/>
      <w:bookmarkStart w:id="53" w:name="_Toc12492"/>
      <w:bookmarkStart w:id="54" w:name="_Toc129618826"/>
      <w:r>
        <w:rPr>
          <w:rFonts w:hint="eastAsia" w:ascii="黑体" w:eastAsia="黑体" w:cs="宋体"/>
          <w:b/>
          <w:sz w:val="24"/>
          <w:szCs w:val="21"/>
        </w:rPr>
        <w:t>1.招标条件</w:t>
      </w:r>
      <w:bookmarkEnd w:id="50"/>
      <w:bookmarkEnd w:id="51"/>
      <w:bookmarkEnd w:id="52"/>
      <w:bookmarkEnd w:id="53"/>
      <w:bookmarkEnd w:id="54"/>
    </w:p>
    <w:p>
      <w:pPr>
        <w:spacing w:line="400" w:lineRule="exact"/>
        <w:ind w:firstLine="420" w:firstLineChars="200"/>
        <w:rPr>
          <w:color w:val="000000" w:themeColor="text1"/>
          <w:highlight w:val="none"/>
          <w14:textFill>
            <w14:solidFill>
              <w14:schemeClr w14:val="tx1"/>
            </w14:solidFill>
          </w14:textFill>
        </w:rPr>
      </w:pPr>
      <w:r>
        <w:rPr>
          <w:rFonts w:hint="eastAsia"/>
        </w:rPr>
        <w:t>项目建设单位为</w:t>
      </w:r>
      <w:r>
        <w:rPr>
          <w:rFonts w:hint="eastAsia"/>
          <w:u w:val="single"/>
        </w:rPr>
        <w:t>天津市宁河区宁东盛源电力工程有限公司</w:t>
      </w:r>
      <w:r>
        <w:rPr>
          <w:rFonts w:hint="eastAsia"/>
        </w:rPr>
        <w:t>（以下简称“项目单位”），</w:t>
      </w:r>
      <w:r>
        <w:rPr>
          <w:rFonts w:hint="eastAsia" w:ascii="宋体" w:hAnsi="宋体"/>
        </w:rPr>
        <w:t xml:space="preserve"> 项目资金已落实</w:t>
      </w:r>
      <w:r>
        <w:rPr>
          <w:rFonts w:hint="eastAsia"/>
        </w:rPr>
        <w:t>，招标人为</w:t>
      </w:r>
      <w:r>
        <w:rPr>
          <w:rFonts w:hint="eastAsia"/>
          <w:u w:val="single"/>
        </w:rPr>
        <w:t>天津市宁河区宁东盛源电力工程有限公司</w:t>
      </w:r>
      <w:r>
        <w:rPr>
          <w:rFonts w:hint="eastAsia"/>
        </w:rPr>
        <w:t>，并委托</w:t>
      </w:r>
      <w:r>
        <w:rPr>
          <w:rFonts w:hint="eastAsia" w:ascii="宋体" w:hAnsi="宋体"/>
          <w:u w:val="single"/>
        </w:rPr>
        <w:t>天津三源招标有限公司</w:t>
      </w:r>
      <w:r>
        <w:rPr>
          <w:rFonts w:hint="eastAsia"/>
        </w:rPr>
        <w:t>为招标代理机构。项目已具备招标条件，现对该项目进行公开招标。</w:t>
      </w:r>
    </w:p>
    <w:p>
      <w:pPr>
        <w:spacing w:line="400" w:lineRule="exact"/>
        <w:ind w:firstLine="420" w:firstLineChars="200"/>
        <w:rPr>
          <w:rFonts w:hint="eastAsia"/>
          <w:color w:val="auto"/>
          <w:highlight w:val="none"/>
        </w:rPr>
      </w:pPr>
      <w:r>
        <w:rPr>
          <w:rFonts w:hint="eastAsia"/>
          <w:color w:val="auto"/>
          <w:highlight w:val="none"/>
        </w:rPr>
        <w:t>本项目积极响应《中共中央国务院关于开展质量提升行动的指导意见》，倡导潜在投标人用先进标准引领服务质量提升，有效治理质量突出问题，推动形成优质优价的采购机制。</w:t>
      </w:r>
    </w:p>
    <w:p>
      <w:pPr>
        <w:pStyle w:val="7"/>
        <w:numPr>
          <w:ilvl w:val="255"/>
          <w:numId w:val="0"/>
        </w:numPr>
        <w:adjustRightInd w:val="0"/>
        <w:snapToGrid w:val="0"/>
        <w:spacing w:beforeLines="100" w:afterLines="50" w:line="400" w:lineRule="exact"/>
        <w:ind w:firstLine="0"/>
        <w:jc w:val="left"/>
        <w:outlineLvl w:val="1"/>
      </w:pPr>
      <w:bookmarkStart w:id="55" w:name="_bookmark3"/>
      <w:bookmarkEnd w:id="55"/>
      <w:bookmarkStart w:id="56" w:name="_Toc25148"/>
      <w:bookmarkStart w:id="57" w:name="_Toc129618827"/>
      <w:bookmarkStart w:id="58" w:name="_Toc62551530"/>
      <w:bookmarkStart w:id="59" w:name="_Toc21896"/>
      <w:bookmarkStart w:id="60" w:name="_Toc9444"/>
      <w:r>
        <w:rPr>
          <w:rFonts w:hint="eastAsia" w:ascii="黑体" w:eastAsia="黑体" w:cs="宋体"/>
          <w:b/>
          <w:sz w:val="24"/>
          <w:szCs w:val="21"/>
        </w:rPr>
        <w:t>2.</w:t>
      </w:r>
      <w:bookmarkStart w:id="61" w:name="_Hlk129686603"/>
      <w:r>
        <w:rPr>
          <w:rFonts w:hint="eastAsia" w:ascii="黑体" w:eastAsia="黑体" w:cs="宋体"/>
          <w:b/>
          <w:sz w:val="24"/>
          <w:szCs w:val="21"/>
        </w:rPr>
        <w:t>项目概况与招标范围</w:t>
      </w:r>
      <w:bookmarkEnd w:id="56"/>
      <w:bookmarkEnd w:id="57"/>
      <w:bookmarkEnd w:id="58"/>
      <w:bookmarkEnd w:id="59"/>
      <w:bookmarkEnd w:id="60"/>
      <w:bookmarkEnd w:id="61"/>
    </w:p>
    <w:p>
      <w:pPr>
        <w:spacing w:line="400" w:lineRule="exact"/>
        <w:ind w:firstLine="210" w:firstLineChars="100"/>
        <w:rPr>
          <w:rFonts w:hint="eastAsia" w:eastAsia="宋体"/>
          <w:b/>
          <w:sz w:val="24"/>
          <w:lang w:eastAsia="zh-CN"/>
        </w:rPr>
      </w:pPr>
      <w:r>
        <w:rPr>
          <w:rFonts w:hint="eastAsia"/>
          <w:highlight w:val="none"/>
        </w:rPr>
        <w:t>详见招标公告附件</w:t>
      </w:r>
      <w:r>
        <w:rPr>
          <w:rFonts w:hint="eastAsia"/>
          <w:lang w:val="en-US" w:eastAsia="zh-CN"/>
        </w:rPr>
        <w:t>需求一览表</w:t>
      </w:r>
      <w:r>
        <w:rPr>
          <w:rFonts w:hint="eastAsia"/>
          <w:color w:val="auto"/>
          <w:highlight w:val="none"/>
        </w:rPr>
        <w:t>。</w:t>
      </w:r>
    </w:p>
    <w:p>
      <w:pPr>
        <w:numPr>
          <w:ilvl w:val="255"/>
          <w:numId w:val="0"/>
        </w:numPr>
        <w:adjustRightInd w:val="0"/>
        <w:snapToGrid w:val="0"/>
        <w:spacing w:beforeLines="100" w:afterLines="50" w:line="400" w:lineRule="exact"/>
        <w:outlineLvl w:val="1"/>
        <w:rPr>
          <w:rFonts w:ascii="黑体" w:eastAsia="黑体"/>
          <w:b/>
          <w:sz w:val="24"/>
        </w:rPr>
      </w:pPr>
      <w:bookmarkStart w:id="62" w:name="_bookmark4"/>
      <w:bookmarkEnd w:id="62"/>
      <w:bookmarkStart w:id="63" w:name="_Toc10766"/>
      <w:bookmarkStart w:id="64" w:name="_Toc11363"/>
      <w:bookmarkStart w:id="65" w:name="_Toc129618828"/>
      <w:bookmarkStart w:id="66" w:name="_Toc31535"/>
      <w:bookmarkStart w:id="67" w:name="_Toc62551531"/>
      <w:r>
        <w:rPr>
          <w:rFonts w:hint="eastAsia" w:ascii="黑体" w:eastAsia="黑体" w:cs="宋体"/>
          <w:b/>
          <w:sz w:val="24"/>
          <w:szCs w:val="21"/>
        </w:rPr>
        <w:t>3.投标人资格要求</w:t>
      </w:r>
      <w:bookmarkEnd w:id="63"/>
      <w:bookmarkEnd w:id="64"/>
      <w:bookmarkEnd w:id="65"/>
      <w:bookmarkEnd w:id="66"/>
      <w:bookmarkEnd w:id="67"/>
    </w:p>
    <w:p>
      <w:pPr>
        <w:spacing w:line="400" w:lineRule="exact"/>
        <w:ind w:firstLine="420" w:firstLineChars="200"/>
      </w:pPr>
      <w:r>
        <w:rPr>
          <w:rFonts w:hint="eastAsia"/>
        </w:rPr>
        <w:t>3.1 投标人须满足如下通用资格要求：</w:t>
      </w:r>
      <w:r>
        <w:rPr>
          <w:rFonts w:hint="eastAsia"/>
        </w:rPr>
        <w:tab/>
      </w:r>
    </w:p>
    <w:p>
      <w:pPr>
        <w:spacing w:line="400" w:lineRule="exact"/>
        <w:ind w:firstLine="420" w:firstLineChars="200"/>
      </w:pPr>
      <w:r>
        <w:rPr>
          <w:rFonts w:hint="eastAsia"/>
        </w:rPr>
        <w:t>（1）本次招标要求投标人须为中华人民共和国境内依法注册的法人或其他组织，须具备承担所投项目的资格条件；并在人员、设备、资金等方面具有保障如期完成中标项目的能力。</w:t>
      </w:r>
    </w:p>
    <w:p>
      <w:pPr>
        <w:spacing w:line="400" w:lineRule="exact"/>
        <w:ind w:firstLine="420" w:firstLineChars="200"/>
      </w:pPr>
      <w:r>
        <w:rPr>
          <w:rFonts w:hint="eastAsia"/>
        </w:rPr>
        <w:t>（2）法定代表人</w:t>
      </w:r>
      <w:r>
        <w:rPr>
          <w:rFonts w:hint="eastAsia" w:ascii="宋体" w:hAnsi="宋体" w:eastAsia="宋体" w:cs="宋体"/>
          <w:color w:val="auto"/>
          <w:kern w:val="2"/>
          <w:sz w:val="21"/>
          <w:highlight w:val="none"/>
        </w:rPr>
        <w:t>（单位负责人）</w:t>
      </w:r>
      <w:r>
        <w:rPr>
          <w:rFonts w:hint="eastAsia"/>
        </w:rPr>
        <w:t>为同一人或者存在控股、管理关系的不同单位，不得参加同一标包投标或者未划分标包的同一</w:t>
      </w:r>
      <w:r>
        <w:rPr>
          <w:rFonts w:hint="eastAsia"/>
          <w:lang w:val="en-US" w:eastAsia="zh-CN"/>
        </w:rPr>
        <w:t>招标</w:t>
      </w:r>
      <w:r>
        <w:rPr>
          <w:rFonts w:hint="eastAsia"/>
        </w:rPr>
        <w:t>项目投标。</w:t>
      </w:r>
    </w:p>
    <w:p>
      <w:pPr>
        <w:spacing w:line="400" w:lineRule="exact"/>
        <w:ind w:firstLine="420" w:firstLineChars="200"/>
        <w:rPr>
          <w:rFonts w:hint="eastAsia"/>
        </w:rPr>
      </w:pPr>
      <w:r>
        <w:rPr>
          <w:rFonts w:hint="eastAsia"/>
        </w:rPr>
        <w:t>（3）取得国家法律、法规、规章规定的有效许可证。取得招标文件要求的国家强制认证证书。</w:t>
      </w:r>
    </w:p>
    <w:p>
      <w:pPr>
        <w:spacing w:line="400" w:lineRule="exact"/>
        <w:ind w:firstLine="420" w:firstLineChars="200"/>
      </w:pPr>
      <w:r>
        <w:rPr>
          <w:rFonts w:hint="eastAsia"/>
          <w:color w:val="auto"/>
          <w:highlight w:val="none"/>
        </w:rPr>
        <w:t>（4）应有良好的财务状况和商业信用。</w:t>
      </w:r>
    </w:p>
    <w:p>
      <w:pPr>
        <w:spacing w:line="400" w:lineRule="exact"/>
        <w:ind w:firstLine="420" w:firstLineChars="200"/>
      </w:pPr>
      <w:r>
        <w:rPr>
          <w:rFonts w:hint="eastAsia"/>
        </w:rPr>
        <w:t>（</w:t>
      </w:r>
      <w:r>
        <w:rPr>
          <w:rFonts w:hint="eastAsia"/>
          <w:lang w:val="en-US" w:eastAsia="zh-CN"/>
        </w:rPr>
        <w:t>5</w:t>
      </w:r>
      <w:r>
        <w:rPr>
          <w:rFonts w:hint="eastAsia"/>
        </w:rPr>
        <w:t>）根据《</w:t>
      </w:r>
      <w:r>
        <w:rPr>
          <w:rFonts w:hint="eastAsia"/>
          <w:lang w:eastAsia="zh-CN"/>
        </w:rPr>
        <w:t>国家电网有限公司供应商关系管理办法</w:t>
      </w:r>
      <w:r>
        <w:rPr>
          <w:rFonts w:hint="eastAsia"/>
        </w:rPr>
        <w:t>》的规定，投标人存在导致其被暂停中标资格或取消中标资格的不良行为且在处理有效期内的，投标人在投标截止之日</w:t>
      </w:r>
      <w:r>
        <w:rPr>
          <w:rFonts w:hint="eastAsia" w:ascii="宋体" w:hAnsi="宋体" w:eastAsia="宋体" w:cs="宋体"/>
          <w:color w:val="auto"/>
          <w:kern w:val="2"/>
          <w:sz w:val="21"/>
          <w:highlight w:val="none"/>
          <w:lang w:val="en-US"/>
        </w:rPr>
        <w:t>至</w:t>
      </w:r>
      <w:r>
        <w:rPr>
          <w:rFonts w:hint="eastAsia" w:asciiTheme="minorEastAsia" w:hAnsiTheme="minorEastAsia" w:eastAsiaTheme="minorEastAsia" w:cstheme="minorEastAsia"/>
          <w:color w:val="auto"/>
          <w:sz w:val="21"/>
          <w:szCs w:val="22"/>
          <w:highlight w:val="none"/>
        </w:rPr>
        <w:t>中标通知书到达之日前</w:t>
      </w:r>
      <w:r>
        <w:rPr>
          <w:rFonts w:hint="eastAsia"/>
        </w:rPr>
        <w:t>，任一日在《国家电网有限公司关于供应商</w:t>
      </w:r>
      <w:r>
        <w:rPr>
          <w:rFonts w:hint="eastAsia"/>
          <w:highlight w:val="none"/>
        </w:rPr>
        <w:t>不良行为处理情况的通报》</w:t>
      </w:r>
      <w:r>
        <w:rPr>
          <w:rFonts w:hint="eastAsia" w:asciiTheme="minorEastAsia" w:hAnsiTheme="minorEastAsia" w:eastAsiaTheme="minorEastAsia" w:cstheme="minorEastAsia"/>
          <w:color w:val="auto"/>
          <w:sz w:val="21"/>
          <w:szCs w:val="22"/>
          <w:highlight w:val="none"/>
        </w:rPr>
        <w:t>处理期内的均适用不良行为处理结果</w:t>
      </w:r>
      <w:r>
        <w:rPr>
          <w:rFonts w:hint="eastAsia" w:ascii="宋体" w:hAnsi="宋体" w:eastAsia="宋体" w:cs="宋体"/>
          <w:color w:val="auto"/>
          <w:kern w:val="2"/>
          <w:sz w:val="21"/>
          <w:highlight w:val="none"/>
          <w:lang w:val="en-US"/>
        </w:rPr>
        <w:t>。</w:t>
      </w:r>
      <w:r>
        <w:rPr>
          <w:rFonts w:hint="eastAsia"/>
        </w:rPr>
        <w:t>或投标人存在触发《</w:t>
      </w:r>
      <w:r>
        <w:rPr>
          <w:rFonts w:hint="eastAsia"/>
          <w:lang w:eastAsia="zh-CN"/>
        </w:rPr>
        <w:t>国家电网有限公司供应商关系管理办法</w:t>
      </w:r>
      <w:r>
        <w:rPr>
          <w:rFonts w:hint="eastAsia"/>
        </w:rPr>
        <w:t>》</w:t>
      </w:r>
      <w:r>
        <w:rPr>
          <w:rFonts w:hint="eastAsia"/>
          <w:lang w:eastAsia="zh-CN"/>
        </w:rPr>
        <w:t>第六十三条</w:t>
      </w:r>
      <w:r>
        <w:rPr>
          <w:rFonts w:hint="eastAsia" w:ascii="宋体" w:hAnsi="宋体" w:eastAsia="宋体" w:cs="宋体"/>
          <w:color w:val="auto"/>
          <w:kern w:val="2"/>
          <w:sz w:val="21"/>
          <w:highlight w:val="none"/>
          <w:lang w:val="en-US"/>
        </w:rPr>
        <w:t>安全及质量</w:t>
      </w:r>
      <w:r>
        <w:rPr>
          <w:rFonts w:hint="eastAsia"/>
        </w:rPr>
        <w:t>重大问题“熔断机制”情形的，其投标将被否决。</w:t>
      </w:r>
      <w:r>
        <w:rPr>
          <w:rFonts w:hint="eastAsia" w:asciiTheme="minorEastAsia" w:hAnsiTheme="minorEastAsia" w:eastAsiaTheme="minorEastAsia" w:cstheme="minorEastAsia"/>
          <w:color w:val="auto"/>
          <w:sz w:val="21"/>
          <w:szCs w:val="22"/>
          <w:highlight w:val="none"/>
        </w:rPr>
        <w:t>即使投标人在投标截止日尚不存在上述情况，但在中标通知书到达之日前，出现上述情况的，招标人亦有权取消其中标资格。</w:t>
      </w:r>
    </w:p>
    <w:p>
      <w:pPr>
        <w:wordWrap/>
        <w:overflowPunct w:val="0"/>
        <w:adjustRightInd w:val="0"/>
        <w:snapToGrid w:val="0"/>
        <w:spacing w:beforeLines="-2147483648" w:afterLines="-2147483648" w:line="360" w:lineRule="auto"/>
        <w:ind w:firstLine="420" w:firstLineChars="0"/>
        <w:rPr>
          <w:rFonts w:hint="eastAsia" w:ascii="宋体" w:hAnsi="宋体" w:eastAsia="宋体" w:cs="宋体"/>
          <w:color w:val="auto"/>
          <w:sz w:val="21"/>
          <w:szCs w:val="22"/>
          <w:highlight w:val="none"/>
        </w:rPr>
      </w:pPr>
      <w:r>
        <w:rPr>
          <w:rFonts w:hint="eastAsia"/>
        </w:rPr>
        <w:t>（</w:t>
      </w:r>
      <w:r>
        <w:rPr>
          <w:rFonts w:hint="eastAsia"/>
          <w:lang w:val="en-US" w:eastAsia="zh-CN"/>
        </w:rPr>
        <w:t>6</w:t>
      </w:r>
      <w:r>
        <w:rPr>
          <w:rFonts w:hint="eastAsia"/>
        </w:rPr>
        <w:t>）</w:t>
      </w:r>
      <w:r>
        <w:rPr>
          <w:rFonts w:hint="eastAsia" w:asciiTheme="minorEastAsia" w:hAnsiTheme="minorEastAsia" w:eastAsiaTheme="minorEastAsia" w:cstheme="minorEastAsia"/>
          <w:color w:val="auto"/>
          <w:sz w:val="21"/>
          <w:szCs w:val="22"/>
          <w:highlight w:val="none"/>
        </w:rPr>
        <w:t>根据最高人民法院、国家发展改革委、国家铁路局等九部门联合印发的《关于在招标投标活动中对失信被执行人实施联合惩戒的通知》（法〔2016〕285号），投标人不得被人民法院列为失信被执行人。投标人不得存在违法失信行为，不得被“信用中国”网站（www.creditchina.gov.cn）列入严重失信主体名单。即使投标人在开标当日未出现被列入失信被执行人或严重失信主体名单的情形，但在中标通知书到达之日前，存在上述情形的，招标人有权取消其中标资格。</w:t>
      </w:r>
    </w:p>
    <w:p>
      <w:pPr>
        <w:tabs>
          <w:tab w:val="left" w:pos="1134"/>
        </w:tabs>
        <w:wordWrap w:val="0"/>
        <w:adjustRightInd w:val="0"/>
        <w:snapToGrid w:val="0"/>
        <w:spacing w:beforeLines="-2147483648" w:afterLines="-2147483648" w:line="400" w:lineRule="exact"/>
        <w:ind w:firstLine="420" w:firstLineChars="200"/>
        <w:rPr>
          <w:rFonts w:hint="eastAsia" w:ascii="宋体" w:hAnsi="宋体" w:eastAsia="宋体" w:cs="宋体"/>
          <w:color w:val="auto"/>
          <w:sz w:val="21"/>
          <w:szCs w:val="22"/>
          <w:highlight w:val="none"/>
          <w:lang w:eastAsia="zh-CN" w:bidi="ar"/>
        </w:rPr>
      </w:pPr>
      <w:r>
        <w:rPr>
          <w:rFonts w:hint="eastAsia"/>
        </w:rPr>
        <w:t>（</w:t>
      </w:r>
      <w:r>
        <w:rPr>
          <w:rFonts w:hint="eastAsia"/>
          <w:lang w:val="en-US" w:eastAsia="zh-CN"/>
        </w:rPr>
        <w:t>7</w:t>
      </w:r>
      <w:r>
        <w:rPr>
          <w:rFonts w:hint="eastAsia"/>
        </w:rPr>
        <w:t>）</w:t>
      </w:r>
      <w:r>
        <w:rPr>
          <w:rFonts w:hint="eastAsia" w:ascii="宋体" w:hAnsi="宋体" w:eastAsia="宋体" w:cs="宋体"/>
          <w:color w:val="auto"/>
          <w:sz w:val="21"/>
          <w:szCs w:val="22"/>
          <w:highlight w:val="none"/>
        </w:rPr>
        <w:t>投标人不得</w:t>
      </w:r>
      <w:r>
        <w:rPr>
          <w:rFonts w:hint="eastAsia" w:cs="宋体"/>
          <w:color w:val="auto"/>
          <w:szCs w:val="22"/>
          <w:highlight w:val="none"/>
          <w:lang w:bidi="ar"/>
        </w:rPr>
        <w:t>被市场监督管理机关在国家企业信用信息公示系统中列入严重违法失信企业名单或列入经营异常名录信息的。</w:t>
      </w:r>
      <w:r>
        <w:rPr>
          <w:rFonts w:hint="eastAsia" w:ascii="宋体" w:hAnsi="宋体" w:eastAsia="宋体" w:cs="宋体"/>
          <w:color w:val="auto"/>
          <w:sz w:val="21"/>
          <w:szCs w:val="22"/>
          <w:highlight w:val="none"/>
        </w:rPr>
        <w:t>投标人需同时在商务文件中提供在国家企业信用信息公示系统（www.gsxt.gov.cn）查询的，包含“营业执照信息”、“列入严重违法失信企业名单（黑名单）”、“列入经营异常名录信息”、“行政处罚信息”、“清算信息”的查询结果</w:t>
      </w:r>
      <w:r>
        <w:rPr>
          <w:rFonts w:hint="eastAsia" w:ascii="宋体" w:hAnsi="宋体" w:eastAsia="宋体" w:cs="宋体"/>
          <w:color w:val="auto"/>
          <w:highlight w:val="none"/>
        </w:rPr>
        <w:t>（查询日期应在投标截止日前20天内，查询结果应为网站自动生成的PDF文件的电子版）。</w:t>
      </w:r>
      <w:r>
        <w:rPr>
          <w:rFonts w:hint="eastAsia" w:ascii="宋体" w:hAnsi="宋体" w:eastAsia="宋体" w:cs="宋体"/>
          <w:color w:val="auto"/>
          <w:sz w:val="21"/>
          <w:szCs w:val="22"/>
          <w:highlight w:val="none"/>
        </w:rPr>
        <w:t>如投标人未提供企业信用信息公示报告，或提供的报告不符合招标文件规定的格式与内容，或报告内容被评标委员会认定有异议的，投标人的“列入经营异常名录信息”和“列入严重违法失信企业名单（黑名单）信息”以评标委员会在国家企业信用信息公示系统（www.gsxt.gov.cn）查询的结果为准。投标人未提供或提供的企业信用信息公示报告不符合招标文件规定的格式与内容的，评标委员会将会对投标人进行不利评价。投标人提供虚假企业信用信息公示报告的，按照虚假投标进行否决，并根据《国家电网有限公司供应商关系管理办法》进行相应处理。</w:t>
      </w:r>
      <w:r>
        <w:rPr>
          <w:rFonts w:hint="eastAsia" w:ascii="宋体" w:hAnsi="宋体" w:eastAsia="宋体" w:cs="宋体"/>
          <w:color w:val="auto"/>
          <w:highlight w:val="none"/>
          <w:lang w:eastAsia="zh-CN"/>
        </w:rPr>
        <w:t>即使投标人在开标当日未出现被市场监督管理机关列入经营异常名录或严重违法失信企业名单的情形，但在中标通知书到达之日前，存在上述情形的，招标人有权取消其中标资格。</w:t>
      </w:r>
    </w:p>
    <w:p>
      <w:pPr>
        <w:ind w:firstLine="435"/>
        <w:rPr>
          <w:rFonts w:hint="eastAsia" w:eastAsia="宋体"/>
          <w:b/>
          <w:bCs/>
          <w:spacing w:val="7"/>
          <w:szCs w:val="21"/>
          <w:lang w:eastAsia="zh-CN"/>
        </w:rPr>
      </w:pPr>
      <w:r>
        <w:rPr>
          <w:rFonts w:hint="eastAsia" w:ascii="宋体" w:hAnsi="宋体" w:eastAsia="宋体" w:cs="Times New Roman"/>
          <w:color w:val="000000" w:themeColor="text1"/>
          <w:kern w:val="2"/>
          <w:sz w:val="21"/>
          <w:szCs w:val="21"/>
          <w:lang w:val="en-US" w:eastAsia="zh-CN" w:bidi="ar-SA"/>
          <w14:textFill>
            <w14:solidFill>
              <w14:schemeClr w14:val="tx1"/>
            </w14:solidFill>
          </w14:textFill>
        </w:rPr>
        <w:t>（8）</w:t>
      </w:r>
      <w:r>
        <w:rPr>
          <w:rFonts w:hint="eastAsia" w:ascii="宋体" w:hAnsi="宋体" w:cs="Times New Roman"/>
          <w:color w:val="000000" w:themeColor="text1"/>
          <w:kern w:val="2"/>
          <w:sz w:val="21"/>
          <w:szCs w:val="21"/>
          <w:lang w:val="en-US" w:eastAsia="zh-CN" w:bidi="ar-SA"/>
          <w14:textFill>
            <w14:solidFill>
              <w14:schemeClr w14:val="tx1"/>
            </w14:solidFill>
          </w14:textFill>
        </w:rPr>
        <w:t>其他</w:t>
      </w:r>
    </w:p>
    <w:p>
      <w:pPr>
        <w:tabs>
          <w:tab w:val="left" w:pos="1200"/>
          <w:tab w:val="left" w:pos="3112"/>
          <w:tab w:val="left" w:pos="4600"/>
        </w:tabs>
        <w:spacing w:line="400" w:lineRule="exact"/>
        <w:ind w:firstLine="450" w:firstLineChars="200"/>
        <w:rPr>
          <w:b/>
          <w:bCs/>
          <w:spacing w:val="7"/>
          <w:szCs w:val="21"/>
        </w:rPr>
      </w:pPr>
      <w:r>
        <w:rPr>
          <w:rFonts w:hint="default"/>
          <w:b/>
          <w:bCs/>
          <w:spacing w:val="7"/>
          <w:szCs w:val="21"/>
        </w:rPr>
        <w:t>3.2投标人须满足相应招标项目的专用资格要求:</w:t>
      </w:r>
    </w:p>
    <w:p>
      <w:pPr>
        <w:pStyle w:val="2"/>
        <w:wordWrap w:val="0"/>
        <w:spacing w:after="0" w:line="400" w:lineRule="exact"/>
        <w:ind w:left="0" w:leftChars="0" w:firstLineChars="200"/>
      </w:pPr>
      <w:r>
        <w:t>详见</w:t>
      </w:r>
      <w:r>
        <w:rPr>
          <w:rFonts w:hint="eastAsia"/>
        </w:rPr>
        <w:t>招标公告附件</w:t>
      </w:r>
    </w:p>
    <w:p>
      <w:pPr>
        <w:tabs>
          <w:tab w:val="left" w:pos="1200"/>
          <w:tab w:val="left" w:pos="3112"/>
          <w:tab w:val="left" w:pos="4600"/>
        </w:tabs>
        <w:spacing w:line="400" w:lineRule="exact"/>
        <w:ind w:firstLine="450" w:firstLineChars="200"/>
        <w:rPr>
          <w:b/>
          <w:bCs/>
          <w:spacing w:val="7"/>
          <w:szCs w:val="21"/>
        </w:rPr>
      </w:pPr>
      <w:r>
        <w:rPr>
          <w:rFonts w:hint="default"/>
          <w:b/>
          <w:bCs/>
          <w:spacing w:val="7"/>
          <w:szCs w:val="21"/>
        </w:rPr>
        <w:t>3.3除专用资格要求中明确接受联合体投标的项目外，不接受联合体投标。</w:t>
      </w:r>
    </w:p>
    <w:p>
      <w:pPr>
        <w:spacing w:line="400" w:lineRule="exact"/>
        <w:ind w:firstLine="422" w:firstLineChars="200"/>
        <w:rPr>
          <w:b/>
          <w:bCs/>
          <w:highlight w:val="none"/>
        </w:rPr>
      </w:pPr>
      <w:r>
        <w:rPr>
          <w:rFonts w:hint="eastAsia"/>
          <w:b/>
          <w:bCs/>
          <w:highlight w:val="none"/>
        </w:rPr>
        <w:t>3.4如接受联合体投标的，投标人还应遵守以下规定：</w:t>
      </w:r>
    </w:p>
    <w:p>
      <w:pPr>
        <w:spacing w:line="400" w:lineRule="exact"/>
        <w:ind w:firstLine="420" w:firstLineChars="200"/>
        <w:rPr>
          <w:highlight w:val="none"/>
        </w:rPr>
      </w:pPr>
      <w:r>
        <w:rPr>
          <w:rFonts w:hint="eastAsia"/>
          <w:highlight w:val="none"/>
        </w:rPr>
        <w:t>（1）联合体各方均应满足</w:t>
      </w:r>
      <w:r>
        <w:rPr>
          <w:highlight w:val="none"/>
        </w:rPr>
        <w:t>3.1款和3.2款的规定。</w:t>
      </w:r>
    </w:p>
    <w:p>
      <w:pPr>
        <w:spacing w:line="400" w:lineRule="exact"/>
        <w:ind w:firstLine="420" w:firstLineChars="200"/>
        <w:rPr>
          <w:highlight w:val="none"/>
        </w:rPr>
      </w:pPr>
      <w:r>
        <w:rPr>
          <w:rFonts w:hint="eastAsia"/>
          <w:highlight w:val="none"/>
          <w:u w:val="none"/>
        </w:rPr>
        <w:t>（2）联合体各方应按照招标文件提供的格式签订联合体协议书，明确联合体牵头人和</w:t>
      </w:r>
      <w:r>
        <w:rPr>
          <w:rFonts w:hint="eastAsia"/>
          <w:highlight w:val="none"/>
        </w:rPr>
        <w:t>各方的权利义务。</w:t>
      </w:r>
    </w:p>
    <w:p>
      <w:pPr>
        <w:spacing w:line="400" w:lineRule="exact"/>
        <w:ind w:firstLine="420" w:firstLineChars="200"/>
        <w:rPr>
          <w:highlight w:val="none"/>
        </w:rPr>
      </w:pPr>
      <w:r>
        <w:rPr>
          <w:rFonts w:hint="eastAsia"/>
          <w:highlight w:val="none"/>
        </w:rPr>
        <w:t>（3）联合体牵头人代表联合体各方负责获取本项目的招标文件及投标工作。</w:t>
      </w:r>
    </w:p>
    <w:p>
      <w:pPr>
        <w:spacing w:line="400" w:lineRule="exact"/>
        <w:ind w:firstLine="420" w:firstLineChars="200"/>
        <w:rPr>
          <w:highlight w:val="none"/>
        </w:rPr>
      </w:pPr>
      <w:r>
        <w:rPr>
          <w:rFonts w:hint="eastAsia"/>
          <w:highlight w:val="none"/>
        </w:rPr>
        <w:t>（4）由同一专业的单位组成的联合体，按照资质等级较低的单位确定资质等级；不同专业分工由不同单位分别承担的，按照各自的专业资质确定联合体的资质。</w:t>
      </w:r>
    </w:p>
    <w:p>
      <w:pPr>
        <w:spacing w:line="400" w:lineRule="exact"/>
        <w:ind w:firstLine="420" w:firstLineChars="200"/>
        <w:rPr>
          <w:highlight w:val="none"/>
        </w:rPr>
      </w:pPr>
      <w:r>
        <w:rPr>
          <w:rFonts w:hint="eastAsia"/>
          <w:highlight w:val="none"/>
        </w:rPr>
        <w:t>（5）联合体各方不得再以自己名义单独或参加其他联合体在同一标包中投标。</w:t>
      </w:r>
    </w:p>
    <w:p>
      <w:pPr>
        <w:spacing w:line="400" w:lineRule="exact"/>
        <w:ind w:firstLine="422" w:firstLineChars="200"/>
        <w:rPr>
          <w:rFonts w:hint="eastAsia" w:cs="Times New Roman"/>
          <w:b/>
          <w:bCs/>
          <w:highlight w:val="none"/>
        </w:rPr>
      </w:pPr>
      <w:r>
        <w:rPr>
          <w:rFonts w:hint="eastAsia" w:cs="Times New Roman"/>
          <w:b/>
          <w:bCs/>
          <w:highlight w:val="none"/>
        </w:rPr>
        <w:t>3.5除专用资格要求中明确接受代理商投标的项目外，不接受代理商投标。</w:t>
      </w:r>
    </w:p>
    <w:p>
      <w:pPr>
        <w:spacing w:line="400" w:lineRule="exact"/>
        <w:ind w:firstLine="422" w:firstLineChars="200"/>
        <w:rPr>
          <w:rFonts w:hint="eastAsia" w:cs="Times New Roman"/>
          <w:b/>
          <w:bCs/>
          <w:highlight w:val="none"/>
        </w:rPr>
      </w:pPr>
      <w:r>
        <w:rPr>
          <w:rFonts w:hint="eastAsia" w:cs="Times New Roman"/>
          <w:b/>
          <w:bCs/>
          <w:highlight w:val="none"/>
        </w:rPr>
        <w:t>3.6本次招标不接受投标人委托中介机构或者中间人编制投标文件或代行办理投标事宜。</w:t>
      </w:r>
    </w:p>
    <w:p>
      <w:pPr>
        <w:spacing w:line="400" w:lineRule="exact"/>
        <w:ind w:firstLine="422" w:firstLineChars="200"/>
      </w:pPr>
      <w:r>
        <w:rPr>
          <w:rFonts w:hint="eastAsia" w:cs="Times New Roman"/>
          <w:b/>
          <w:bCs/>
          <w:highlight w:val="none"/>
        </w:rPr>
        <w:t>3.7各投标人均可就本次招标的部分或全部标包投标。</w:t>
      </w:r>
    </w:p>
    <w:p>
      <w:pPr>
        <w:adjustRightInd w:val="0"/>
        <w:snapToGrid w:val="0"/>
        <w:spacing w:beforeLines="100" w:afterLines="50" w:line="400" w:lineRule="exact"/>
        <w:outlineLvl w:val="1"/>
        <w:rPr>
          <w:rFonts w:ascii="黑体" w:eastAsia="黑体"/>
          <w:b/>
          <w:sz w:val="24"/>
        </w:rPr>
      </w:pPr>
      <w:bookmarkStart w:id="68" w:name="_Toc129618829"/>
      <w:bookmarkStart w:id="69" w:name="_Toc19223"/>
      <w:bookmarkStart w:id="70" w:name="_Toc18436"/>
      <w:bookmarkStart w:id="71" w:name="_Toc62551532"/>
      <w:bookmarkStart w:id="72" w:name="_Toc12413"/>
      <w:r>
        <w:rPr>
          <w:rFonts w:hint="eastAsia" w:ascii="黑体" w:eastAsia="黑体" w:cs="宋体"/>
          <w:b/>
          <w:sz w:val="24"/>
          <w:szCs w:val="21"/>
        </w:rPr>
        <w:t>4.招标文件的获取</w:t>
      </w:r>
      <w:bookmarkEnd w:id="68"/>
      <w:bookmarkEnd w:id="69"/>
      <w:bookmarkEnd w:id="70"/>
      <w:bookmarkEnd w:id="71"/>
      <w:bookmarkEnd w:id="72"/>
    </w:p>
    <w:p>
      <w:pPr>
        <w:pStyle w:val="21"/>
        <w:tabs>
          <w:tab w:val="left" w:pos="0"/>
        </w:tabs>
        <w:wordWrap w:val="0"/>
        <w:spacing w:line="400" w:lineRule="exact"/>
        <w:ind w:firstLine="430" w:firstLineChars="200"/>
        <w:jc w:val="both"/>
        <w:rPr>
          <w:kern w:val="2"/>
          <w:sz w:val="21"/>
          <w:lang w:val="en-US"/>
        </w:rPr>
      </w:pPr>
      <w:r>
        <w:rPr>
          <w:rFonts w:hint="eastAsia"/>
          <w:b/>
          <w:bCs/>
          <w:spacing w:val="7"/>
          <w:szCs w:val="21"/>
        </w:rPr>
        <w:t>4.1 招标文件（电子文件）免费获取。</w:t>
      </w:r>
    </w:p>
    <w:p>
      <w:pPr>
        <w:pStyle w:val="21"/>
        <w:tabs>
          <w:tab w:val="left" w:pos="0"/>
        </w:tabs>
        <w:wordWrap w:val="0"/>
        <w:spacing w:line="400" w:lineRule="exact"/>
        <w:ind w:firstLine="420" w:firstLineChars="200"/>
        <w:jc w:val="both"/>
        <w:rPr>
          <w:rFonts w:hint="eastAsia"/>
          <w:kern w:val="2"/>
          <w:sz w:val="21"/>
        </w:rPr>
      </w:pPr>
      <w:r>
        <w:rPr>
          <w:kern w:val="2"/>
          <w:sz w:val="21"/>
          <w:lang w:val="en-US"/>
        </w:rPr>
        <w:t>4.</w:t>
      </w:r>
      <w:r>
        <w:rPr>
          <w:rFonts w:hint="eastAsia"/>
          <w:kern w:val="2"/>
          <w:sz w:val="21"/>
          <w:lang w:val="en-US"/>
        </w:rPr>
        <w:t xml:space="preserve">2 </w:t>
      </w:r>
      <w:r>
        <w:rPr>
          <w:kern w:val="2"/>
          <w:sz w:val="21"/>
        </w:rPr>
        <w:t>凡有意参加投标者</w:t>
      </w:r>
      <w:r>
        <w:rPr>
          <w:kern w:val="2"/>
          <w:sz w:val="21"/>
          <w:lang w:val="en-US"/>
        </w:rPr>
        <w:t>，</w:t>
      </w:r>
      <w:r>
        <w:rPr>
          <w:kern w:val="2"/>
          <w:sz w:val="21"/>
        </w:rPr>
        <w:t>请于</w:t>
      </w:r>
      <w:r>
        <w:rPr>
          <w:rFonts w:hint="eastAsia" w:ascii="宋体" w:hAnsi="宋体" w:cs="宋体"/>
          <w:color w:val="FF0000"/>
          <w:u w:val="none"/>
          <w:lang w:val="en-US" w:eastAsia="zh-CN"/>
        </w:rPr>
        <w:t>202</w:t>
      </w:r>
      <w:r>
        <w:rPr>
          <w:rFonts w:hint="eastAsia" w:cs="宋体"/>
          <w:color w:val="FF0000"/>
          <w:u w:val="none"/>
          <w:lang w:val="en-US" w:eastAsia="zh-CN"/>
        </w:rPr>
        <w:t>5</w:t>
      </w:r>
      <w:r>
        <w:rPr>
          <w:rFonts w:hint="eastAsia" w:ascii="宋体" w:hAnsi="宋体" w:eastAsia="宋体" w:cs="宋体"/>
          <w:color w:val="FF0000"/>
          <w:u w:val="none"/>
        </w:rPr>
        <w:t>年</w:t>
      </w:r>
      <w:r>
        <w:rPr>
          <w:rFonts w:hint="eastAsia" w:cs="宋体"/>
          <w:color w:val="FF0000"/>
          <w:u w:val="none"/>
          <w:lang w:val="en-US" w:eastAsia="zh-CN"/>
        </w:rPr>
        <w:t>6</w:t>
      </w:r>
      <w:r>
        <w:rPr>
          <w:rFonts w:hint="eastAsia" w:ascii="宋体" w:hAnsi="宋体" w:eastAsia="宋体" w:cs="宋体"/>
          <w:color w:val="FF0000"/>
          <w:u w:val="none"/>
        </w:rPr>
        <w:t>月</w:t>
      </w:r>
      <w:r>
        <w:rPr>
          <w:rFonts w:hint="eastAsia" w:cs="宋体"/>
          <w:color w:val="FF0000"/>
          <w:u w:val="none"/>
          <w:lang w:val="en-US" w:eastAsia="zh-CN"/>
        </w:rPr>
        <w:t>20</w:t>
      </w:r>
      <w:r>
        <w:rPr>
          <w:rFonts w:hint="eastAsia" w:ascii="宋体" w:hAnsi="宋体" w:eastAsia="宋体" w:cs="宋体"/>
          <w:color w:val="FF0000"/>
          <w:u w:val="none"/>
        </w:rPr>
        <w:t>日</w:t>
      </w:r>
      <w:r>
        <w:rPr>
          <w:rFonts w:hint="eastAsia"/>
          <w:color w:val="FF0000"/>
          <w:u w:val="none"/>
          <w:lang w:val="en-US" w:eastAsia="zh-CN"/>
        </w:rPr>
        <w:t>17</w:t>
      </w:r>
      <w:r>
        <w:rPr>
          <w:rFonts w:hint="eastAsia"/>
          <w:color w:val="FF0000"/>
          <w:u w:val="none"/>
        </w:rPr>
        <w:t>:00至</w:t>
      </w:r>
      <w:r>
        <w:rPr>
          <w:rFonts w:hint="eastAsia" w:ascii="宋体" w:hAnsi="宋体" w:cs="宋体"/>
          <w:color w:val="FF0000"/>
          <w:u w:val="none"/>
          <w:lang w:val="en-US" w:eastAsia="zh-CN"/>
        </w:rPr>
        <w:t>202</w:t>
      </w:r>
      <w:r>
        <w:rPr>
          <w:rFonts w:hint="eastAsia" w:cs="宋体"/>
          <w:color w:val="FF0000"/>
          <w:u w:val="none"/>
          <w:lang w:val="en-US" w:eastAsia="zh-CN"/>
        </w:rPr>
        <w:t>5</w:t>
      </w:r>
      <w:r>
        <w:rPr>
          <w:rFonts w:hint="eastAsia" w:ascii="宋体" w:hAnsi="宋体" w:eastAsia="宋体" w:cs="宋体"/>
          <w:color w:val="FF0000"/>
          <w:u w:val="none"/>
        </w:rPr>
        <w:t>年</w:t>
      </w:r>
      <w:r>
        <w:rPr>
          <w:rFonts w:hint="eastAsia" w:cs="宋体"/>
          <w:color w:val="FF0000"/>
          <w:u w:val="none"/>
          <w:lang w:val="en-US" w:eastAsia="zh-CN"/>
        </w:rPr>
        <w:t>6</w:t>
      </w:r>
      <w:r>
        <w:rPr>
          <w:rFonts w:hint="eastAsia" w:ascii="宋体" w:hAnsi="宋体" w:eastAsia="宋体" w:cs="宋体"/>
          <w:color w:val="FF0000"/>
          <w:u w:val="none"/>
        </w:rPr>
        <w:t>月</w:t>
      </w:r>
      <w:r>
        <w:rPr>
          <w:rFonts w:hint="eastAsia" w:cs="宋体"/>
          <w:color w:val="FF0000"/>
          <w:u w:val="none"/>
          <w:lang w:val="en-US" w:eastAsia="zh-CN"/>
        </w:rPr>
        <w:t>26</w:t>
      </w:r>
      <w:r>
        <w:rPr>
          <w:rFonts w:hint="eastAsia" w:ascii="宋体" w:hAnsi="宋体" w:eastAsia="宋体" w:cs="宋体"/>
          <w:color w:val="FF0000"/>
          <w:u w:val="none"/>
        </w:rPr>
        <w:t>日</w:t>
      </w:r>
      <w:r>
        <w:rPr>
          <w:rFonts w:hint="eastAsia" w:cs="宋体"/>
          <w:color w:val="FF0000"/>
          <w:u w:val="none"/>
          <w:lang w:val="en-US" w:eastAsia="zh-CN"/>
        </w:rPr>
        <w:t>00</w:t>
      </w:r>
      <w:r>
        <w:rPr>
          <w:rFonts w:hint="eastAsia" w:cs="宋体"/>
          <w:color w:val="FF0000"/>
          <w:u w:val="none"/>
          <w:lang w:eastAsia="zh-CN"/>
        </w:rPr>
        <w:t>：</w:t>
      </w:r>
      <w:r>
        <w:rPr>
          <w:rFonts w:hint="eastAsia" w:cs="宋体"/>
          <w:color w:val="FF0000"/>
          <w:u w:val="none"/>
          <w:lang w:val="en-US" w:eastAsia="zh-CN"/>
        </w:rPr>
        <w:t>00</w:t>
      </w:r>
      <w:r>
        <w:rPr>
          <w:kern w:val="2"/>
          <w:sz w:val="21"/>
          <w:lang w:val="en-US"/>
        </w:rPr>
        <w:t>（</w:t>
      </w:r>
      <w:r>
        <w:rPr>
          <w:kern w:val="2"/>
          <w:sz w:val="21"/>
        </w:rPr>
        <w:t>北京时间</w:t>
      </w:r>
      <w:r>
        <w:rPr>
          <w:kern w:val="2"/>
          <w:sz w:val="21"/>
          <w:lang w:val="en-US"/>
        </w:rPr>
        <w:t>，</w:t>
      </w:r>
      <w:r>
        <w:rPr>
          <w:kern w:val="2"/>
          <w:sz w:val="21"/>
        </w:rPr>
        <w:t>下同</w:t>
      </w:r>
      <w:r>
        <w:rPr>
          <w:kern w:val="2"/>
          <w:sz w:val="21"/>
          <w:lang w:val="en-US"/>
        </w:rPr>
        <w:t>），</w:t>
      </w:r>
      <w:r>
        <w:rPr>
          <w:rFonts w:hint="eastAsia"/>
          <w:kern w:val="2"/>
          <w:sz w:val="21"/>
        </w:rPr>
        <w:t>登录招标人招投标交易平台信息系统</w:t>
      </w:r>
      <w:r>
        <w:rPr>
          <w:rFonts w:hint="eastAsia"/>
          <w:color w:val="auto"/>
          <w:kern w:val="2"/>
          <w:sz w:val="21"/>
        </w:rPr>
        <w:t>（</w:t>
      </w:r>
      <w:r>
        <w:rPr>
          <w:rFonts w:hint="eastAsia"/>
          <w:b/>
          <w:color w:val="auto"/>
          <w:kern w:val="2"/>
          <w:sz w:val="21"/>
          <w:highlight w:val="none"/>
        </w:rPr>
        <w:t>国家电网有限公司电子商务平台</w:t>
      </w:r>
      <w:r>
        <w:rPr>
          <w:rFonts w:hint="eastAsia"/>
          <w:color w:val="auto"/>
          <w:sz w:val="21"/>
          <w:szCs w:val="21"/>
          <w:highlight w:val="none"/>
          <w:lang w:val="en-US" w:eastAsia="zh-CN"/>
        </w:rPr>
        <w:t>□</w:t>
      </w:r>
      <w:r>
        <w:rPr>
          <w:rFonts w:hint="eastAsia" w:ascii="宋体" w:hAnsi="宋体"/>
          <w:b/>
          <w:color w:val="auto"/>
          <w:highlight w:val="none"/>
        </w:rPr>
        <w:t>https://ecp.sgcc.com.cn</w:t>
      </w:r>
      <w:r>
        <w:rPr>
          <w:rFonts w:hint="eastAsia" w:ascii="宋体" w:hAnsi="宋体"/>
          <w:b/>
          <w:color w:val="auto"/>
          <w:highlight w:val="none"/>
          <w:lang w:val="en-US" w:eastAsia="zh-CN"/>
        </w:rPr>
        <w:t xml:space="preserve">  </w:t>
      </w:r>
      <w:r>
        <w:rPr>
          <w:rFonts w:hint="eastAsia"/>
          <w:color w:val="auto"/>
          <w:sz w:val="21"/>
          <w:szCs w:val="21"/>
          <w:highlight w:val="none"/>
          <w:lang w:val="en-US" w:eastAsia="zh-CN"/>
        </w:rPr>
        <w:t>☑</w:t>
      </w:r>
      <w:r>
        <w:rPr>
          <w:rFonts w:hint="eastAsia" w:ascii="宋体" w:hAnsi="宋体"/>
          <w:b/>
          <w:color w:val="auto"/>
          <w:highlight w:val="none"/>
        </w:rPr>
        <w:t>https://sgccetp.com.cn</w:t>
      </w:r>
      <w:r>
        <w:rPr>
          <w:rFonts w:hint="eastAsia"/>
          <w:b w:val="0"/>
          <w:color w:val="auto"/>
          <w:kern w:val="2"/>
          <w:sz w:val="21"/>
        </w:rPr>
        <w:t>）</w:t>
      </w:r>
      <w:r>
        <w:rPr>
          <w:rFonts w:hint="eastAsia"/>
          <w:kern w:val="2"/>
          <w:sz w:val="21"/>
        </w:rPr>
        <w:t>获取招标文件</w:t>
      </w:r>
      <w:r>
        <w:rPr>
          <w:rFonts w:hint="eastAsia"/>
          <w:kern w:val="2"/>
          <w:sz w:val="21"/>
          <w:lang w:val="en-US"/>
        </w:rPr>
        <w:t>，</w:t>
      </w:r>
      <w:r>
        <w:rPr>
          <w:rFonts w:hint="eastAsia"/>
          <w:kern w:val="2"/>
          <w:sz w:val="21"/>
        </w:rPr>
        <w:t>并按《电子招标投标办法》等国家法律法规要求</w:t>
      </w:r>
      <w:r>
        <w:rPr>
          <w:rFonts w:hint="eastAsia"/>
          <w:kern w:val="2"/>
          <w:sz w:val="21"/>
          <w:lang w:val="en-US"/>
        </w:rPr>
        <w:t>，</w:t>
      </w:r>
      <w:r>
        <w:rPr>
          <w:rFonts w:hint="eastAsia"/>
          <w:kern w:val="2"/>
          <w:sz w:val="21"/>
        </w:rPr>
        <w:t>到第三方认证机构办理</w:t>
      </w:r>
      <w:r>
        <w:rPr>
          <w:rFonts w:hint="eastAsia"/>
          <w:kern w:val="2"/>
          <w:sz w:val="21"/>
          <w:lang w:val="en-US"/>
        </w:rPr>
        <w:t>CA</w:t>
      </w:r>
      <w:r>
        <w:rPr>
          <w:rFonts w:hint="eastAsia"/>
          <w:kern w:val="2"/>
          <w:sz w:val="21"/>
        </w:rPr>
        <w:t>证书电子钥匙。投标人应妥善保管招标人招投标交易平台信息系统账号和密码，以及CA数字证书和密码，因上述账号、数字证书或密码保管不当造成的损失，由投标人自行承担。</w:t>
      </w:r>
    </w:p>
    <w:p>
      <w:pPr>
        <w:pStyle w:val="21"/>
        <w:tabs>
          <w:tab w:val="left" w:pos="0"/>
        </w:tabs>
        <w:spacing w:line="400" w:lineRule="exact"/>
        <w:ind w:firstLine="420" w:firstLineChars="200"/>
        <w:jc w:val="both"/>
        <w:rPr>
          <w:rFonts w:hint="eastAsia" w:eastAsia="宋体"/>
          <w:kern w:val="2"/>
          <w:sz w:val="21"/>
          <w:lang w:eastAsia="zh-CN"/>
        </w:rPr>
      </w:pPr>
      <w:r>
        <w:rPr>
          <w:rFonts w:hint="eastAsia"/>
          <w:color w:val="auto"/>
          <w:kern w:val="2"/>
          <w:sz w:val="21"/>
          <w:highlight w:val="none"/>
        </w:rPr>
        <w:t>投标人应在招标人招投标交易平台信息系统注册并办理</w:t>
      </w:r>
      <w:r>
        <w:rPr>
          <w:color w:val="auto"/>
          <w:kern w:val="2"/>
          <w:sz w:val="21"/>
          <w:highlight w:val="none"/>
        </w:rPr>
        <w:t>CA</w:t>
      </w:r>
      <w:r>
        <w:rPr>
          <w:rFonts w:hint="eastAsia"/>
          <w:color w:val="auto"/>
          <w:kern w:val="2"/>
          <w:sz w:val="21"/>
          <w:highlight w:val="none"/>
        </w:rPr>
        <w:t>证书电子钥匙方可获取招标文件，电子钥匙的办理流程请登录招标人招投标交易平台信息系统首页“新手指引”→“电子钥匙办理须知及电子钥匙安装包”下载所有文件仔细阅读。电子钥匙的办理需要一定的时间，请潜在投标人高度重视。由于没有及时办理电子钥匙导致获取招标文件失败，由投标人自行承担相关责任。支持电话为：4009915500</w:t>
      </w:r>
    </w:p>
    <w:p>
      <w:pPr>
        <w:pStyle w:val="21"/>
        <w:tabs>
          <w:tab w:val="left" w:pos="0"/>
        </w:tabs>
        <w:spacing w:line="400" w:lineRule="exact"/>
        <w:ind w:firstLine="420" w:firstLineChars="200"/>
        <w:jc w:val="both"/>
        <w:rPr>
          <w:rFonts w:hint="eastAsia"/>
          <w:kern w:val="2"/>
          <w:sz w:val="21"/>
        </w:rPr>
      </w:pPr>
      <w:r>
        <w:rPr>
          <w:rFonts w:hint="eastAsia"/>
          <w:kern w:val="2"/>
          <w:sz w:val="21"/>
        </w:rPr>
        <w:t>4.3</w:t>
      </w:r>
      <w:r>
        <w:rPr>
          <w:rFonts w:hint="eastAsia"/>
          <w:color w:val="auto"/>
          <w:kern w:val="2"/>
          <w:sz w:val="21"/>
          <w:highlight w:val="none"/>
        </w:rPr>
        <w:t>投标人需利用投标工具进行电子投标文件编制。投标工具下载方式：请各投标人在招标人招投标交易平台信息系统首页“下载专区→供应商投标工具”下载并安装。操作手册及注意事项见首页“操作说明→ECP2.0招标采购流程供应商操作手册“或“演示视频→投标工具新U+操作指导视频”。投标工具操作问题联系招标人招投标交易平台信息系统支持服务电话：010-63411000。使用投标工具电脑配置要求：内存大于8GB，64位操作系统。</w:t>
      </w:r>
    </w:p>
    <w:p>
      <w:pPr>
        <w:tabs>
          <w:tab w:val="left" w:pos="1200"/>
          <w:tab w:val="left" w:pos="3112"/>
          <w:tab w:val="left" w:pos="4600"/>
        </w:tabs>
        <w:spacing w:line="400" w:lineRule="exact"/>
        <w:ind w:firstLine="450" w:firstLineChars="200"/>
        <w:rPr>
          <w:rFonts w:hint="eastAsia"/>
          <w:b/>
          <w:bCs/>
          <w:spacing w:val="7"/>
          <w:szCs w:val="21"/>
        </w:rPr>
      </w:pPr>
      <w:r>
        <w:rPr>
          <w:b/>
          <w:bCs/>
          <w:spacing w:val="7"/>
          <w:szCs w:val="21"/>
        </w:rPr>
        <w:t>4.4</w:t>
      </w:r>
      <w:r>
        <w:rPr>
          <w:rFonts w:hint="eastAsia"/>
          <w:b/>
          <w:bCs/>
          <w:spacing w:val="7"/>
          <w:szCs w:val="21"/>
        </w:rPr>
        <w:t>注意事项</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Times New Roman"/>
          <w:color w:val="auto"/>
          <w:szCs w:val="21"/>
          <w:highlight w:val="none"/>
        </w:rPr>
      </w:pPr>
      <w:bookmarkStart w:id="73" w:name="_Toc31762"/>
      <w:bookmarkStart w:id="74" w:name="_Toc30381"/>
      <w:bookmarkStart w:id="75" w:name="_Toc15733"/>
      <w:bookmarkStart w:id="76" w:name="_Toc62551533"/>
      <w:bookmarkStart w:id="77" w:name="_Toc129618830"/>
      <w:r>
        <w:rPr>
          <w:rFonts w:hint="eastAsia" w:ascii="Times New Roman"/>
          <w:color w:val="auto"/>
          <w:szCs w:val="21"/>
          <w:highlight w:val="none"/>
          <w:lang w:eastAsia="zh-CN"/>
        </w:rPr>
        <w:t>（</w:t>
      </w:r>
      <w:r>
        <w:rPr>
          <w:rFonts w:hint="eastAsia" w:ascii="Times New Roman"/>
          <w:color w:val="auto"/>
          <w:szCs w:val="21"/>
          <w:highlight w:val="none"/>
          <w:lang w:val="en-US" w:eastAsia="zh-CN"/>
        </w:rPr>
        <w:t>1</w:t>
      </w:r>
      <w:r>
        <w:rPr>
          <w:rFonts w:hint="eastAsia" w:ascii="Times New Roman"/>
          <w:color w:val="auto"/>
          <w:szCs w:val="21"/>
          <w:highlight w:val="none"/>
          <w:lang w:eastAsia="zh-CN"/>
        </w:rPr>
        <w:t>）</w:t>
      </w:r>
      <w:r>
        <w:rPr>
          <w:rFonts w:ascii="Times New Roman"/>
          <w:color w:val="auto"/>
          <w:szCs w:val="21"/>
          <w:highlight w:val="none"/>
        </w:rPr>
        <w:t>有意参加投标者</w:t>
      </w:r>
      <w:r>
        <w:rPr>
          <w:rFonts w:hint="eastAsia" w:ascii="Times New Roman"/>
          <w:color w:val="auto"/>
          <w:szCs w:val="21"/>
          <w:highlight w:val="none"/>
        </w:rPr>
        <w:t>，</w:t>
      </w:r>
      <w:r>
        <w:rPr>
          <w:rFonts w:hint="eastAsia" w:ascii="Times New Roman"/>
          <w:color w:val="auto"/>
          <w:szCs w:val="21"/>
          <w:highlight w:val="none"/>
          <w:lang w:val="en-US" w:eastAsia="zh-CN"/>
        </w:rPr>
        <w:t>需</w:t>
      </w:r>
      <w:r>
        <w:rPr>
          <w:rFonts w:hint="eastAsia" w:ascii="Times New Roman"/>
          <w:b w:val="0"/>
          <w:bCs w:val="0"/>
          <w:color w:val="auto"/>
          <w:szCs w:val="21"/>
          <w:highlight w:val="none"/>
        </w:rPr>
        <w:t>以分包为单位报名，包内所有项目须全部参加</w:t>
      </w:r>
      <w:r>
        <w:rPr>
          <w:rFonts w:hint="eastAsia" w:ascii="Times New Roman"/>
          <w:color w:val="auto"/>
          <w:szCs w:val="21"/>
          <w:highlight w:val="none"/>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highlight w:val="none"/>
          <w:lang w:eastAsia="zh-CN"/>
        </w:rPr>
      </w:pPr>
      <w:r>
        <w:rPr>
          <w:rFonts w:hint="eastAsia" w:ascii="Times New Roman"/>
          <w:szCs w:val="21"/>
          <w:highlight w:val="none"/>
          <w:lang w:eastAsia="zh-CN"/>
        </w:rPr>
        <w:t>（</w:t>
      </w:r>
      <w:r>
        <w:rPr>
          <w:rFonts w:hint="eastAsia" w:ascii="Times New Roman"/>
          <w:szCs w:val="21"/>
          <w:highlight w:val="none"/>
          <w:lang w:val="en-US" w:eastAsia="zh-CN"/>
        </w:rPr>
        <w:t>2</w:t>
      </w:r>
      <w:r>
        <w:rPr>
          <w:rFonts w:hint="eastAsia" w:ascii="Times New Roman"/>
          <w:szCs w:val="21"/>
          <w:highlight w:val="none"/>
          <w:lang w:eastAsia="zh-CN"/>
        </w:rPr>
        <w:t>）</w:t>
      </w:r>
      <w:r>
        <w:rPr>
          <w:rFonts w:hint="eastAsia" w:ascii="宋体" w:hAnsi="宋体"/>
          <w:color w:val="000000" w:themeColor="text1"/>
          <w:highlight w:val="none"/>
          <w14:textFill>
            <w14:solidFill>
              <w14:schemeClr w14:val="tx1"/>
            </w14:solidFill>
          </w14:textFill>
        </w:rPr>
        <w:t>未按上述时间和方式获取</w:t>
      </w:r>
      <w:r>
        <w:rPr>
          <w:rFonts w:hint="eastAsia" w:ascii="宋体" w:hAnsi="宋体"/>
          <w:color w:val="000000" w:themeColor="text1"/>
          <w:highlight w:val="none"/>
          <w:lang w:val="en-US" w:eastAsia="zh-CN"/>
          <w14:textFill>
            <w14:solidFill>
              <w14:schemeClr w14:val="tx1"/>
            </w14:solidFill>
          </w14:textFill>
        </w:rPr>
        <w:t>招标</w:t>
      </w:r>
      <w:r>
        <w:rPr>
          <w:rFonts w:hint="eastAsia" w:ascii="宋体" w:hAnsi="宋体"/>
          <w:color w:val="000000" w:themeColor="text1"/>
          <w:highlight w:val="none"/>
          <w14:textFill>
            <w14:solidFill>
              <w14:schemeClr w14:val="tx1"/>
            </w14:solidFill>
          </w14:textFill>
        </w:rPr>
        <w:t>文件的，将无法进行后续的</w:t>
      </w:r>
      <w:r>
        <w:rPr>
          <w:rFonts w:hint="eastAsia" w:ascii="宋体" w:hAnsi="宋体"/>
          <w:color w:val="000000" w:themeColor="text1"/>
          <w:highlight w:val="none"/>
          <w:lang w:val="en-US" w:eastAsia="zh-CN"/>
          <w14:textFill>
            <w14:solidFill>
              <w14:schemeClr w14:val="tx1"/>
            </w14:solidFill>
          </w14:textFill>
        </w:rPr>
        <w:t>投标，招标</w:t>
      </w:r>
      <w:r>
        <w:rPr>
          <w:rFonts w:hint="eastAsia" w:ascii="宋体" w:hAnsi="宋体"/>
          <w:color w:val="000000" w:themeColor="text1"/>
          <w:highlight w:val="none"/>
          <w14:textFill>
            <w14:solidFill>
              <w14:schemeClr w14:val="tx1"/>
            </w14:solidFill>
          </w14:textFill>
        </w:rPr>
        <w:t>人将不予受理</w:t>
      </w:r>
      <w:r>
        <w:rPr>
          <w:rFonts w:hint="eastAsia" w:ascii="宋体" w:hAnsi="宋体"/>
          <w:color w:val="000000" w:themeColor="text1"/>
          <w:highlight w:val="none"/>
          <w:lang w:val="en-US" w:eastAsia="zh-CN"/>
          <w14:textFill>
            <w14:solidFill>
              <w14:schemeClr w14:val="tx1"/>
            </w14:solidFill>
          </w14:textFill>
        </w:rPr>
        <w:t>。</w:t>
      </w:r>
    </w:p>
    <w:p>
      <w:pPr>
        <w:adjustRightInd w:val="0"/>
        <w:snapToGrid w:val="0"/>
        <w:spacing w:beforeLines="100" w:afterLines="50" w:line="400" w:lineRule="exact"/>
        <w:outlineLvl w:val="1"/>
        <w:rPr>
          <w:rFonts w:ascii="黑体" w:eastAsia="黑体"/>
          <w:b/>
          <w:sz w:val="24"/>
        </w:rPr>
      </w:pPr>
      <w:r>
        <w:rPr>
          <w:rFonts w:hint="eastAsia" w:ascii="黑体" w:eastAsia="黑体" w:cs="宋体"/>
          <w:b/>
          <w:sz w:val="24"/>
          <w:szCs w:val="21"/>
        </w:rPr>
        <w:t>5.投标文件的</w:t>
      </w:r>
      <w:bookmarkEnd w:id="73"/>
      <w:bookmarkEnd w:id="74"/>
      <w:bookmarkEnd w:id="75"/>
      <w:bookmarkEnd w:id="76"/>
      <w:r>
        <w:rPr>
          <w:rFonts w:hint="eastAsia" w:ascii="黑体" w:eastAsia="黑体" w:cs="宋体"/>
          <w:b/>
          <w:sz w:val="24"/>
          <w:szCs w:val="21"/>
        </w:rPr>
        <w:t>提交</w:t>
      </w:r>
      <w:bookmarkEnd w:id="77"/>
    </w:p>
    <w:p>
      <w:pPr>
        <w:tabs>
          <w:tab w:val="left" w:pos="1200"/>
          <w:tab w:val="left" w:pos="3112"/>
          <w:tab w:val="left" w:pos="4600"/>
        </w:tabs>
        <w:spacing w:line="400" w:lineRule="exact"/>
        <w:ind w:firstLine="448" w:firstLineChars="200"/>
        <w:rPr>
          <w:b/>
          <w:bCs/>
          <w:color w:val="FF0000"/>
          <w:spacing w:val="7"/>
          <w:highlight w:val="none"/>
          <w:u w:val="single"/>
        </w:rPr>
      </w:pPr>
      <w:bookmarkStart w:id="78" w:name="_bookmark7"/>
      <w:bookmarkEnd w:id="78"/>
      <w:r>
        <w:rPr>
          <w:spacing w:val="7"/>
        </w:rPr>
        <w:t xml:space="preserve">5.1 </w:t>
      </w:r>
      <w:r>
        <w:rPr>
          <w:b/>
          <w:bCs/>
          <w:spacing w:val="7"/>
        </w:rPr>
        <w:t>投标文件提交的截止时间（投标截止时间，下同）</w:t>
      </w:r>
      <w:r>
        <w:rPr>
          <w:rFonts w:hint="eastAsia"/>
          <w:b/>
          <w:bCs/>
          <w:spacing w:val="7"/>
        </w:rPr>
        <w:t>为</w:t>
      </w:r>
      <w:r>
        <w:rPr>
          <w:rFonts w:hint="eastAsia"/>
          <w:b/>
          <w:bCs/>
          <w:color w:val="FF0000"/>
          <w:highlight w:val="none"/>
          <w:u w:val="single"/>
          <w:lang w:val="en-US" w:eastAsia="zh-CN"/>
        </w:rPr>
        <w:t>2025</w:t>
      </w:r>
      <w:r>
        <w:rPr>
          <w:b/>
          <w:bCs/>
          <w:color w:val="FF0000"/>
          <w:highlight w:val="none"/>
          <w:u w:val="single"/>
        </w:rPr>
        <w:t>年</w:t>
      </w:r>
      <w:bookmarkStart w:id="79" w:name="OLE_LINK1"/>
      <w:r>
        <w:rPr>
          <w:rFonts w:hint="eastAsia"/>
          <w:b/>
          <w:bCs/>
          <w:color w:val="FF0000"/>
          <w:highlight w:val="none"/>
          <w:u w:val="single"/>
          <w:lang w:val="en-US" w:eastAsia="zh-CN"/>
        </w:rPr>
        <w:t>7月14日</w:t>
      </w:r>
      <w:bookmarkEnd w:id="79"/>
      <w:r>
        <w:rPr>
          <w:rFonts w:hint="eastAsia"/>
          <w:b/>
          <w:bCs/>
          <w:color w:val="FF0000"/>
          <w:highlight w:val="none"/>
          <w:u w:val="single"/>
          <w:lang w:val="en-US" w:eastAsia="zh-CN"/>
        </w:rPr>
        <w:t>08：30</w:t>
      </w:r>
      <w:r>
        <w:rPr>
          <w:b/>
          <w:bCs/>
          <w:color w:val="FF0000"/>
          <w:highlight w:val="none"/>
          <w:u w:val="single"/>
        </w:rPr>
        <w:t>时</w:t>
      </w:r>
      <w:r>
        <w:rPr>
          <w:rFonts w:hint="eastAsia"/>
          <w:b/>
          <w:bCs/>
          <w:color w:val="auto"/>
          <w:spacing w:val="7"/>
          <w:highlight w:val="none"/>
        </w:rPr>
        <w:t>（北京时间）</w:t>
      </w:r>
      <w:r>
        <w:rPr>
          <w:rFonts w:hint="eastAsia"/>
          <w:b/>
          <w:bCs/>
          <w:color w:val="auto"/>
          <w:highlight w:val="none"/>
          <w:u w:val="none"/>
        </w:rPr>
        <w:t>。</w:t>
      </w:r>
    </w:p>
    <w:p>
      <w:pPr>
        <w:tabs>
          <w:tab w:val="left" w:pos="1200"/>
          <w:tab w:val="left" w:pos="3112"/>
          <w:tab w:val="left" w:pos="4600"/>
        </w:tabs>
        <w:spacing w:line="400" w:lineRule="exact"/>
        <w:ind w:firstLine="422" w:firstLineChars="200"/>
        <w:rPr>
          <w:rFonts w:ascii="宋体" w:hAnsi="宋体" w:cs="宋体"/>
          <w:bCs/>
          <w:szCs w:val="21"/>
        </w:rPr>
      </w:pPr>
      <w:r>
        <w:rPr>
          <w:rFonts w:hint="eastAsia" w:ascii="宋体" w:hAnsi="宋体" w:cs="宋体"/>
          <w:b/>
          <w:szCs w:val="21"/>
        </w:rPr>
        <w:t>投标文件提交时间：</w:t>
      </w:r>
      <w:r>
        <w:rPr>
          <w:rFonts w:hint="eastAsia" w:ascii="宋体" w:hAnsi="宋体" w:cs="宋体"/>
          <w:bCs/>
          <w:szCs w:val="21"/>
        </w:rPr>
        <w:t>所有投标文件应当在投标截止时间前递交（提交）招标人。</w:t>
      </w:r>
    </w:p>
    <w:p>
      <w:pPr>
        <w:adjustRightInd w:val="0"/>
        <w:snapToGrid w:val="0"/>
        <w:spacing w:line="400" w:lineRule="exact"/>
        <w:ind w:firstLine="422" w:firstLineChars="200"/>
        <w:rPr>
          <w:b/>
        </w:rPr>
      </w:pPr>
      <w:r>
        <w:rPr>
          <w:rFonts w:hint="eastAsia" w:ascii="宋体" w:hAnsi="宋体" w:cs="宋体"/>
          <w:b/>
          <w:szCs w:val="21"/>
        </w:rPr>
        <w:t>投标文件提交地点：</w:t>
      </w:r>
      <w:r>
        <w:rPr>
          <w:rFonts w:hint="eastAsia"/>
          <w:bCs/>
        </w:rPr>
        <w:t>电子投标文件提交招标人招投标交易平台信息系统。</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szCs w:val="21"/>
          <w:lang w:val="zh-CN"/>
        </w:rPr>
      </w:pPr>
      <w:r>
        <w:rPr>
          <w:rFonts w:hint="eastAsia" w:ascii="宋体" w:hAnsi="宋体" w:eastAsia="宋体" w:cs="宋体"/>
          <w:color w:val="auto"/>
          <w:highlight w:val="none"/>
        </w:rPr>
        <w:t>电子投标文件递交方式详见第六章投标文件格式。如要求全部文件上传</w:t>
      </w:r>
      <w:r>
        <w:rPr>
          <w:rFonts w:hint="eastAsia" w:ascii="宋体" w:hAnsi="宋体" w:cs="宋体"/>
          <w:color w:val="auto"/>
          <w:highlight w:val="none"/>
          <w:lang w:eastAsia="zh-CN"/>
        </w:rPr>
        <w:t>招标人招投标交易平台信息系统</w:t>
      </w:r>
      <w:r>
        <w:rPr>
          <w:rFonts w:hint="eastAsia" w:ascii="宋体" w:hAnsi="宋体" w:eastAsia="宋体" w:cs="宋体"/>
          <w:color w:val="auto"/>
          <w:highlight w:val="none"/>
        </w:rPr>
        <w:t>，投标人仅可通过</w:t>
      </w:r>
      <w:r>
        <w:rPr>
          <w:rFonts w:hint="eastAsia" w:ascii="宋体" w:hAnsi="宋体" w:cs="宋体"/>
          <w:color w:val="auto"/>
          <w:highlight w:val="none"/>
          <w:lang w:eastAsia="zh-CN"/>
        </w:rPr>
        <w:t>招标人招投标交易平台信息系统</w:t>
      </w:r>
      <w:r>
        <w:rPr>
          <w:rFonts w:hint="eastAsia" w:ascii="宋体" w:hAnsi="宋体" w:eastAsia="宋体" w:cs="宋体"/>
          <w:color w:val="auto"/>
          <w:highlight w:val="none"/>
        </w:rPr>
        <w:t>提交全部投标文件；对于受</w:t>
      </w:r>
      <w:r>
        <w:rPr>
          <w:rFonts w:hint="eastAsia" w:ascii="宋体" w:hAnsi="宋体" w:cs="宋体"/>
          <w:color w:val="auto"/>
          <w:highlight w:val="none"/>
          <w:lang w:eastAsia="zh-CN"/>
        </w:rPr>
        <w:t>招标人招投标交易平台信息系统</w:t>
      </w:r>
      <w:r>
        <w:rPr>
          <w:rFonts w:hint="eastAsia" w:ascii="宋体" w:hAnsi="宋体" w:eastAsia="宋体" w:cs="宋体"/>
          <w:color w:val="auto"/>
          <w:highlight w:val="none"/>
        </w:rPr>
        <w:t>容量限制，要求通过网盘递交的文件，投标人需应用投标工具U+商务技术大文件功能加密提交网盘文件，在投标截止时间前完成上传提交。</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Cs w:val="21"/>
          <w:highlight w:val="none"/>
          <w:lang w:val="zh-CN"/>
        </w:rPr>
      </w:pPr>
      <w:r>
        <w:rPr>
          <w:rFonts w:ascii="宋体" w:hAnsi="宋体"/>
          <w:szCs w:val="21"/>
          <w:lang w:val="zh-CN"/>
        </w:rPr>
        <w:t xml:space="preserve">5.2 </w:t>
      </w:r>
      <w:r>
        <w:rPr>
          <w:rFonts w:hint="eastAsia"/>
          <w:color w:val="000000" w:themeColor="text1"/>
          <w:highlight w:val="none"/>
          <w14:textFill>
            <w14:solidFill>
              <w14:schemeClr w14:val="tx1"/>
            </w14:solidFill>
          </w14:textFill>
        </w:rPr>
        <w:t>投标截止时间之前未成功提交至招标人招投标交易平台信息系统的电子投标文件，招标人不予受理。不接受未按规定加密的投标文件及投标文件的修改文件。</w:t>
      </w:r>
      <w:bookmarkStart w:id="80" w:name="_MON_1697628392"/>
      <w:bookmarkEnd w:id="80"/>
      <w:r>
        <w:rPr>
          <w:rFonts w:hint="eastAsia" w:ascii="宋体" w:hAnsi="宋体" w:eastAsia="宋体" w:cs="宋体"/>
          <w:color w:val="000000"/>
          <w:szCs w:val="21"/>
          <w:highlight w:val="none"/>
          <w:lang w:val="zh-CN"/>
        </w:rPr>
        <w:t>不接受邮寄、现场提交等电子提交方式以外的其他方式提交投标文件及投标文件的修改文件。</w:t>
      </w:r>
    </w:p>
    <w:p>
      <w:pPr>
        <w:pStyle w:val="8"/>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Calibri" w:hAnsi="Calibri" w:eastAsia="宋体" w:cs="Times New Roman"/>
          <w:color w:val="000000" w:themeColor="text1"/>
          <w:kern w:val="2"/>
          <w:sz w:val="21"/>
          <w:szCs w:val="24"/>
          <w:highlight w:val="none"/>
          <w:lang w:val="en-US" w:eastAsia="zh-CN" w:bidi="ar-SA"/>
          <w14:textFill>
            <w14:solidFill>
              <w14:schemeClr w14:val="tx1"/>
            </w14:solidFill>
          </w14:textFill>
        </w:rPr>
      </w:pPr>
      <w:r>
        <w:rPr>
          <w:rFonts w:hint="eastAsia" w:ascii="Calibri" w:hAnsi="Calibri" w:eastAsia="宋体" w:cs="Times New Roman"/>
          <w:color w:val="000000" w:themeColor="text1"/>
          <w:kern w:val="2"/>
          <w:sz w:val="21"/>
          <w:szCs w:val="24"/>
          <w:highlight w:val="none"/>
          <w:lang w:val="en-US" w:eastAsia="zh-CN" w:bidi="ar-SA"/>
          <w14:textFill>
            <w14:solidFill>
              <w14:schemeClr w14:val="tx1"/>
            </w14:solidFill>
          </w14:textFill>
        </w:rPr>
        <w:t>成功提交至电子商务平台的报价和上传国网天津电力标书云存储平台（云盘）的投标文件用于评标工作，投标人应保证各版本价格文件的一致性。对于到开标截止时间，电子版文件未发送，招标人不予受理，按未递交投标文件处理。对投标人成功投标及中标带来的风险，由投标人承担。</w:t>
      </w:r>
    </w:p>
    <w:p>
      <w:pPr>
        <w:pStyle w:val="2"/>
        <w:keepNext w:val="0"/>
        <w:keepLines w:val="0"/>
        <w:pageBreakBefore w:val="0"/>
        <w:widowControl w:val="0"/>
        <w:kinsoku/>
        <w:wordWrap/>
        <w:overflowPunct/>
        <w:topLinePunct w:val="0"/>
        <w:autoSpaceDE/>
        <w:autoSpaceDN/>
        <w:bidi w:val="0"/>
        <w:adjustRightInd/>
        <w:snapToGrid/>
        <w:spacing w:after="0" w:line="400" w:lineRule="exact"/>
        <w:ind w:left="0" w:leftChars="0" w:firstLineChars="200"/>
        <w:textAlignment w:val="auto"/>
        <w:rPr>
          <w:rFonts w:hint="eastAsia" w:ascii="宋体" w:hAnsi="宋体"/>
          <w:color w:val="000000" w:themeColor="text1"/>
          <w:highlight w:val="none"/>
          <w:lang w:val="en-US" w:eastAsia="zh-CN"/>
          <w14:textFill>
            <w14:solidFill>
              <w14:schemeClr w14:val="tx1"/>
            </w14:solidFill>
          </w14:textFill>
        </w:rPr>
      </w:pPr>
      <w:r>
        <w:rPr>
          <w:rFonts w:hint="eastAsia" w:ascii="宋体" w:hAnsi="宋体"/>
          <w:b/>
          <w:bCs/>
          <w:color w:val="FF0000"/>
          <w:highlight w:val="none"/>
          <w:lang w:val="en-US" w:eastAsia="zh-CN"/>
        </w:rPr>
        <w:t>投标</w:t>
      </w:r>
      <w:r>
        <w:rPr>
          <w:rFonts w:hint="eastAsia" w:ascii="宋体" w:hAnsi="宋体"/>
          <w:b/>
          <w:bCs/>
          <w:color w:val="FF0000"/>
          <w:highlight w:val="none"/>
        </w:rPr>
        <w:t>文件提交地点</w:t>
      </w:r>
      <w:r>
        <w:rPr>
          <w:rFonts w:hint="eastAsia" w:ascii="宋体" w:hAnsi="宋体"/>
          <w:b/>
          <w:bCs/>
          <w:color w:val="FF0000"/>
          <w:highlight w:val="none"/>
          <w:lang w:val="en-US" w:eastAsia="zh-CN"/>
        </w:rPr>
        <w:t>及方式【以此款为准】</w:t>
      </w:r>
      <w:r>
        <w:rPr>
          <w:rFonts w:hint="eastAsia" w:ascii="宋体" w:hAnsi="宋体"/>
          <w:color w:val="000000" w:themeColor="text1"/>
          <w:highlight w:val="none"/>
          <w14:textFill>
            <w14:solidFill>
              <w14:schemeClr w14:val="tx1"/>
            </w14:solidFill>
          </w14:textFill>
        </w:rPr>
        <w:t>：电子</w:t>
      </w:r>
      <w:r>
        <w:rPr>
          <w:rFonts w:hint="eastAsia" w:ascii="宋体" w:hAnsi="宋体"/>
          <w:color w:val="000000" w:themeColor="text1"/>
          <w:highlight w:val="none"/>
          <w:lang w:val="en-US" w:eastAsia="zh-CN"/>
          <w14:textFill>
            <w14:solidFill>
              <w14:schemeClr w14:val="tx1"/>
            </w14:solidFill>
          </w14:textFill>
        </w:rPr>
        <w:t>投标</w:t>
      </w:r>
      <w:r>
        <w:rPr>
          <w:rFonts w:hint="eastAsia" w:ascii="宋体" w:hAnsi="宋体"/>
          <w:color w:val="000000" w:themeColor="text1"/>
          <w:highlight w:val="none"/>
          <w14:textFill>
            <w14:solidFill>
              <w14:schemeClr w14:val="tx1"/>
            </w14:solidFill>
          </w14:textFill>
        </w:rPr>
        <w:t>文件提交电子商务平台</w:t>
      </w:r>
      <w:r>
        <w:rPr>
          <w:rFonts w:hint="eastAsia" w:ascii="宋体" w:hAnsi="宋体"/>
          <w:color w:val="000000" w:themeColor="text1"/>
          <w:highlight w:val="none"/>
          <w:lang w:eastAsia="zh-CN"/>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加密压缩包上传云盘两种方式同步实施：</w:t>
      </w:r>
    </w:p>
    <w:p>
      <w:pPr>
        <w:spacing w:line="360" w:lineRule="exact"/>
        <w:ind w:firstLine="420" w:firstLineChars="200"/>
        <w:rPr>
          <w:rFonts w:ascii="宋体" w:hAnsi="宋体"/>
        </w:rPr>
      </w:pPr>
      <w:bookmarkStart w:id="81" w:name="_Toc13110"/>
      <w:bookmarkStart w:id="82" w:name="_Toc8013"/>
      <w:bookmarkStart w:id="83" w:name="_Toc129618831"/>
      <w:bookmarkStart w:id="84" w:name="_Toc6640"/>
      <w:bookmarkStart w:id="85" w:name="_Toc62551534"/>
      <w:r>
        <w:rPr>
          <w:rFonts w:hint="eastAsia" w:ascii="宋体" w:hAnsi="宋体"/>
        </w:rPr>
        <w:t>（一）上传云盘方式上传要求</w:t>
      </w:r>
    </w:p>
    <w:p>
      <w:pPr>
        <w:spacing w:line="360" w:lineRule="exact"/>
        <w:ind w:firstLine="420" w:firstLineChars="200"/>
        <w:rPr>
          <w:rFonts w:ascii="宋体" w:hAnsi="宋体"/>
        </w:rPr>
      </w:pPr>
      <w:r>
        <w:rPr>
          <w:rFonts w:hint="eastAsia" w:ascii="宋体" w:hAnsi="宋体"/>
        </w:rPr>
        <w:t>1.电子投标文件包含：开标文件、商务文件、技术文件（</w:t>
      </w:r>
      <w:r>
        <w:rPr>
          <w:rFonts w:hint="eastAsia" w:ascii="宋体" w:hAnsi="宋体"/>
          <w:lang w:val="en-US" w:eastAsia="zh-CN"/>
        </w:rPr>
        <w:t>电子投标文件需按照开标文件、商务文件、技术文件分别编制成独立的</w:t>
      </w:r>
      <w:r>
        <w:rPr>
          <w:rFonts w:hint="eastAsia" w:ascii="宋体" w:hAnsi="宋体"/>
        </w:rPr>
        <w:t>PDF</w:t>
      </w:r>
      <w:r>
        <w:rPr>
          <w:rFonts w:hint="eastAsia" w:ascii="宋体" w:hAnsi="宋体"/>
          <w:lang w:val="en-US" w:eastAsia="zh-CN"/>
        </w:rPr>
        <w:t>格式的</w:t>
      </w:r>
      <w:r>
        <w:rPr>
          <w:rFonts w:hint="eastAsia" w:ascii="宋体" w:hAnsi="宋体"/>
        </w:rPr>
        <w:t>电子投标文件</w:t>
      </w:r>
      <w:r>
        <w:rPr>
          <w:rFonts w:hint="eastAsia" w:ascii="宋体" w:hAnsi="宋体"/>
          <w:lang w:eastAsia="zh-CN"/>
        </w:rPr>
        <w:t>，</w:t>
      </w:r>
      <w:r>
        <w:rPr>
          <w:rFonts w:hint="eastAsia" w:ascii="宋体" w:hAnsi="宋体"/>
        </w:rPr>
        <w:t>须为已签字盖章版彩色扫描件，PDF格式，经压缩后发送）。上传地址：（https://v2.fangcloud.com/collection/2c3fb56e597570b81399956c492483e0）。</w:t>
      </w:r>
      <w:r>
        <w:rPr>
          <w:rFonts w:hint="eastAsia" w:ascii="宋体" w:hAnsi="宋体"/>
          <w:b/>
          <w:color w:val="FF0000"/>
          <w:highlight w:val="yellow"/>
        </w:rPr>
        <w:t>投标人须单独上传一份可编辑版分项报价表（如有）</w:t>
      </w:r>
    </w:p>
    <w:p>
      <w:pPr>
        <w:spacing w:line="360" w:lineRule="exact"/>
        <w:ind w:firstLine="420" w:firstLineChars="200"/>
        <w:rPr>
          <w:rFonts w:ascii="宋体" w:hAnsi="宋体"/>
          <w:highlight w:val="red"/>
        </w:rPr>
      </w:pPr>
      <w:r>
        <w:rPr>
          <w:rFonts w:hint="eastAsia" w:ascii="宋体" w:hAnsi="宋体"/>
          <w:highlight w:val="red"/>
        </w:rPr>
        <w:t>2.电子投标文件命名：</w:t>
      </w:r>
    </w:p>
    <w:p>
      <w:pPr>
        <w:spacing w:line="360" w:lineRule="exact"/>
        <w:ind w:firstLine="420" w:firstLineChars="200"/>
        <w:rPr>
          <w:rFonts w:ascii="宋体" w:hAnsi="宋体"/>
        </w:rPr>
      </w:pPr>
      <w:r>
        <w:rPr>
          <w:rFonts w:hint="eastAsia" w:ascii="宋体" w:hAnsi="宋体"/>
        </w:rPr>
        <w:t>（1）投标人全称+</w:t>
      </w:r>
      <w:r>
        <w:rPr>
          <w:rFonts w:hint="eastAsia" w:ascii="宋体" w:hAnsi="宋体"/>
          <w:lang w:val="en-US" w:eastAsia="zh-CN"/>
        </w:rPr>
        <w:t>分</w:t>
      </w:r>
      <w:r>
        <w:rPr>
          <w:rFonts w:hint="eastAsia" w:ascii="宋体" w:hAnsi="宋体"/>
        </w:rPr>
        <w:t>标</w:t>
      </w:r>
      <w:r>
        <w:rPr>
          <w:rFonts w:hint="eastAsia" w:ascii="宋体" w:hAnsi="宋体"/>
          <w:lang w:val="en-US" w:eastAsia="zh-CN"/>
        </w:rPr>
        <w:t>名称</w:t>
      </w:r>
      <w:r>
        <w:rPr>
          <w:rFonts w:hint="eastAsia" w:ascii="宋体" w:hAnsi="宋体"/>
        </w:rPr>
        <w:t>包号+开标文件。</w:t>
      </w:r>
    </w:p>
    <w:p>
      <w:pPr>
        <w:spacing w:line="360" w:lineRule="exact"/>
        <w:ind w:firstLine="420" w:firstLineChars="200"/>
        <w:rPr>
          <w:rFonts w:ascii="宋体" w:hAnsi="宋体"/>
        </w:rPr>
      </w:pPr>
      <w:r>
        <w:rPr>
          <w:rFonts w:hint="eastAsia" w:ascii="宋体" w:hAnsi="宋体"/>
        </w:rPr>
        <w:t>（2）投标人全称+</w:t>
      </w:r>
      <w:r>
        <w:rPr>
          <w:rFonts w:hint="eastAsia" w:ascii="宋体" w:hAnsi="宋体"/>
          <w:lang w:val="en-US" w:eastAsia="zh-CN"/>
        </w:rPr>
        <w:t>分</w:t>
      </w:r>
      <w:r>
        <w:rPr>
          <w:rFonts w:hint="eastAsia" w:ascii="宋体" w:hAnsi="宋体"/>
        </w:rPr>
        <w:t>标</w:t>
      </w:r>
      <w:r>
        <w:rPr>
          <w:rFonts w:hint="eastAsia" w:ascii="宋体" w:hAnsi="宋体"/>
          <w:lang w:val="en-US" w:eastAsia="zh-CN"/>
        </w:rPr>
        <w:t>名称</w:t>
      </w:r>
      <w:r>
        <w:rPr>
          <w:rFonts w:hint="eastAsia" w:ascii="宋体" w:hAnsi="宋体"/>
        </w:rPr>
        <w:t>包号+商务文件。</w:t>
      </w:r>
    </w:p>
    <w:p>
      <w:pPr>
        <w:spacing w:line="360" w:lineRule="exact"/>
        <w:ind w:firstLine="420" w:firstLineChars="200"/>
        <w:rPr>
          <w:rFonts w:ascii="宋体" w:hAnsi="宋体"/>
        </w:rPr>
      </w:pPr>
      <w:r>
        <w:rPr>
          <w:rFonts w:hint="eastAsia" w:ascii="宋体" w:hAnsi="宋体"/>
        </w:rPr>
        <w:t>（3）投标人全称+</w:t>
      </w:r>
      <w:r>
        <w:rPr>
          <w:rFonts w:hint="eastAsia" w:ascii="宋体" w:hAnsi="宋体"/>
          <w:lang w:val="en-US" w:eastAsia="zh-CN"/>
        </w:rPr>
        <w:t>分</w:t>
      </w:r>
      <w:r>
        <w:rPr>
          <w:rFonts w:hint="eastAsia" w:ascii="宋体" w:hAnsi="宋体"/>
        </w:rPr>
        <w:t>标</w:t>
      </w:r>
      <w:r>
        <w:rPr>
          <w:rFonts w:hint="eastAsia" w:ascii="宋体" w:hAnsi="宋体"/>
          <w:lang w:val="en-US" w:eastAsia="zh-CN"/>
        </w:rPr>
        <w:t>名称</w:t>
      </w:r>
      <w:r>
        <w:rPr>
          <w:rFonts w:hint="eastAsia" w:ascii="宋体" w:hAnsi="宋体"/>
        </w:rPr>
        <w:t>包号+技术文件。</w:t>
      </w:r>
    </w:p>
    <w:p>
      <w:pPr>
        <w:spacing w:line="360" w:lineRule="exact"/>
        <w:ind w:firstLine="420" w:firstLineChars="200"/>
        <w:rPr>
          <w:rFonts w:ascii="宋体" w:hAnsi="宋体"/>
        </w:rPr>
      </w:pPr>
      <w:r>
        <w:rPr>
          <w:rFonts w:hint="eastAsia" w:ascii="宋体" w:hAnsi="宋体"/>
          <w:highlight w:val="red"/>
          <w:lang w:val="en-US" w:eastAsia="zh-CN"/>
        </w:rPr>
        <w:t>3.电子投标文件压缩包命名：</w:t>
      </w:r>
      <w:r>
        <w:rPr>
          <w:rFonts w:hint="eastAsia" w:ascii="宋体" w:hAnsi="宋体"/>
          <w:highlight w:val="red"/>
        </w:rPr>
        <w:t>投标人全称+</w:t>
      </w:r>
      <w:r>
        <w:rPr>
          <w:rFonts w:hint="eastAsia" w:ascii="宋体" w:hAnsi="宋体"/>
          <w:highlight w:val="red"/>
          <w:lang w:val="en-US" w:eastAsia="zh-CN"/>
        </w:rPr>
        <w:t>分</w:t>
      </w:r>
      <w:r>
        <w:rPr>
          <w:rFonts w:hint="eastAsia" w:ascii="宋体" w:hAnsi="宋体"/>
          <w:highlight w:val="red"/>
        </w:rPr>
        <w:t>标</w:t>
      </w:r>
      <w:r>
        <w:rPr>
          <w:rFonts w:hint="eastAsia" w:ascii="宋体" w:hAnsi="宋体"/>
          <w:highlight w:val="red"/>
          <w:lang w:val="en-US" w:eastAsia="zh-CN"/>
        </w:rPr>
        <w:t>名称</w:t>
      </w:r>
      <w:r>
        <w:rPr>
          <w:rFonts w:hint="eastAsia" w:ascii="宋体" w:hAnsi="宋体"/>
          <w:highlight w:val="red"/>
        </w:rPr>
        <w:t>包号</w:t>
      </w:r>
    </w:p>
    <w:p>
      <w:pPr>
        <w:spacing w:line="360" w:lineRule="exact"/>
        <w:ind w:firstLine="420" w:firstLineChars="200"/>
        <w:rPr>
          <w:rFonts w:ascii="宋体" w:hAnsi="宋体"/>
        </w:rPr>
      </w:pPr>
      <w:r>
        <w:rPr>
          <w:rFonts w:hint="eastAsia" w:ascii="宋体" w:hAnsi="宋体"/>
          <w:lang w:val="en-US" w:eastAsia="zh-CN"/>
        </w:rPr>
        <w:t>4</w:t>
      </w:r>
      <w:r>
        <w:rPr>
          <w:rFonts w:hint="eastAsia" w:ascii="宋体" w:hAnsi="宋体"/>
        </w:rPr>
        <w:t>.</w:t>
      </w:r>
      <w:r>
        <w:rPr>
          <w:rFonts w:hint="eastAsia"/>
        </w:rPr>
        <w:t>请投标人于投标截止时间后30分钟内，将解压密码上传至</w:t>
      </w:r>
      <w:r>
        <w:rPr>
          <w:rFonts w:hint="eastAsia" w:ascii="宋体" w:hAnsi="宋体"/>
        </w:rPr>
        <w:t>https://v2.fangcloud.com/collection/ead6b33277</w:t>
      </w:r>
      <w:bookmarkStart w:id="99" w:name="_GoBack"/>
      <w:bookmarkEnd w:id="99"/>
      <w:r>
        <w:rPr>
          <w:rFonts w:hint="eastAsia" w:ascii="宋体" w:hAnsi="宋体"/>
        </w:rPr>
        <w:t>8aa624d596547648895791</w:t>
      </w:r>
      <w:r>
        <w:rPr>
          <w:rFonts w:hint="eastAsia"/>
        </w:rPr>
        <w:t>，</w:t>
      </w:r>
      <w:r>
        <w:rPr>
          <w:rFonts w:hint="eastAsia" w:ascii="宋体" w:hAnsi="宋体"/>
        </w:rPr>
        <w:t>必须注明：（投标人全称+</w:t>
      </w:r>
      <w:r>
        <w:rPr>
          <w:rFonts w:hint="eastAsia" w:ascii="宋体" w:hAnsi="宋体"/>
          <w:lang w:val="en-US" w:eastAsia="zh-CN"/>
        </w:rPr>
        <w:t>分</w:t>
      </w:r>
      <w:r>
        <w:rPr>
          <w:rFonts w:hint="eastAsia" w:ascii="宋体" w:hAnsi="宋体"/>
        </w:rPr>
        <w:t>标</w:t>
      </w:r>
      <w:r>
        <w:rPr>
          <w:rFonts w:hint="eastAsia" w:ascii="宋体" w:hAnsi="宋体"/>
          <w:lang w:val="en-US" w:eastAsia="zh-CN"/>
        </w:rPr>
        <w:t>名称</w:t>
      </w:r>
      <w:r>
        <w:rPr>
          <w:rFonts w:hint="eastAsia" w:ascii="宋体" w:hAnsi="宋体"/>
        </w:rPr>
        <w:t>包号+解压密码），</w:t>
      </w:r>
      <w:r>
        <w:rPr>
          <w:rFonts w:hint="eastAsia"/>
        </w:rPr>
        <w:t>云盘已设置截止时间过时无法上传，投标人未按要求对上传云盘的投标文件加密的或开标前提前发送解密密码的或在规定时间内未发送解密密码的，造成的潜在风险，由投标人自行承担。</w:t>
      </w:r>
    </w:p>
    <w:p>
      <w:pPr>
        <w:spacing w:line="360" w:lineRule="exact"/>
        <w:ind w:firstLine="422" w:firstLineChars="200"/>
        <w:rPr>
          <w:rFonts w:ascii="宋体" w:hAnsi="宋体"/>
          <w:b/>
          <w:color w:val="FF0000"/>
        </w:rPr>
      </w:pPr>
      <w:r>
        <w:rPr>
          <w:rFonts w:hint="eastAsia" w:ascii="宋体" w:hAnsi="宋体"/>
          <w:b/>
          <w:color w:val="FF0000"/>
        </w:rPr>
        <w:t>（二）电子商务平台-电工交易专区报价、资质文件上传要求</w:t>
      </w:r>
    </w:p>
    <w:p>
      <w:pPr>
        <w:spacing w:line="360" w:lineRule="exact"/>
        <w:ind w:firstLine="420" w:firstLineChars="200"/>
        <w:rPr>
          <w:rFonts w:ascii="宋体" w:hAnsi="宋体"/>
        </w:rPr>
      </w:pPr>
      <w:r>
        <w:rPr>
          <w:rFonts w:hint="eastAsia" w:ascii="宋体" w:hAnsi="宋体"/>
        </w:rPr>
        <w:t>投标截止时间为</w:t>
      </w:r>
      <w:r>
        <w:rPr>
          <w:rFonts w:hint="eastAsia" w:ascii="宋体" w:hAnsi="宋体"/>
          <w:color w:val="FF0000"/>
        </w:rPr>
        <w:t>202</w:t>
      </w:r>
      <w:r>
        <w:rPr>
          <w:rFonts w:hint="eastAsia" w:ascii="宋体" w:hAnsi="宋体"/>
          <w:color w:val="FF0000"/>
          <w:lang w:val="en-US" w:eastAsia="zh-CN"/>
        </w:rPr>
        <w:t>5</w:t>
      </w:r>
      <w:r>
        <w:rPr>
          <w:rFonts w:hint="eastAsia" w:ascii="宋体" w:hAnsi="宋体"/>
          <w:color w:val="FF0000"/>
        </w:rPr>
        <w:t>年</w:t>
      </w:r>
      <w:r>
        <w:rPr>
          <w:rFonts w:hint="eastAsia" w:ascii="宋体" w:hAnsi="宋体"/>
          <w:color w:val="FF0000"/>
          <w:lang w:val="en-US" w:eastAsia="zh-CN"/>
        </w:rPr>
        <w:t>7月14日</w:t>
      </w:r>
      <w:r>
        <w:rPr>
          <w:rFonts w:hint="eastAsia" w:ascii="宋体" w:hAnsi="宋体"/>
          <w:color w:val="FF0000"/>
        </w:rPr>
        <w:t>8：30</w:t>
      </w:r>
      <w:r>
        <w:rPr>
          <w:rFonts w:hint="eastAsia" w:ascii="宋体" w:hAnsi="宋体"/>
        </w:rPr>
        <w:t>，电子版文件（包含商务和技术投标文件/报价文件）应于</w:t>
      </w:r>
      <w:r>
        <w:rPr>
          <w:rFonts w:hint="eastAsia" w:ascii="宋体" w:hAnsi="宋体"/>
          <w:color w:val="FF0000"/>
        </w:rPr>
        <w:t>202</w:t>
      </w:r>
      <w:r>
        <w:rPr>
          <w:rFonts w:hint="eastAsia" w:ascii="宋体" w:hAnsi="宋体"/>
          <w:color w:val="FF0000"/>
          <w:lang w:val="en-US" w:eastAsia="zh-CN"/>
        </w:rPr>
        <w:t>5</w:t>
      </w:r>
      <w:r>
        <w:rPr>
          <w:rFonts w:hint="eastAsia" w:ascii="宋体" w:hAnsi="宋体"/>
          <w:color w:val="FF0000"/>
        </w:rPr>
        <w:t>年</w:t>
      </w:r>
      <w:r>
        <w:rPr>
          <w:rFonts w:hint="eastAsia" w:ascii="宋体" w:hAnsi="宋体"/>
          <w:color w:val="FF0000"/>
          <w:lang w:val="en-US" w:eastAsia="zh-CN"/>
        </w:rPr>
        <w:t>7月14日</w:t>
      </w:r>
      <w:r>
        <w:rPr>
          <w:rFonts w:hint="eastAsia" w:ascii="宋体" w:hAnsi="宋体"/>
          <w:color w:val="FF0000"/>
        </w:rPr>
        <w:t>8：30</w:t>
      </w:r>
      <w:r>
        <w:rPr>
          <w:rFonts w:hint="eastAsia" w:ascii="宋体" w:hAnsi="宋体"/>
          <w:b/>
          <w:color w:val="FFFF00"/>
          <w:highlight w:val="red"/>
        </w:rPr>
        <w:t>前利用离线投标工具上传至电子商务平台-电工交易专区[并将下载（二维码版）报价文件胶装在开标文件里]。</w:t>
      </w:r>
      <w:r>
        <w:rPr>
          <w:rFonts w:hint="eastAsia" w:ascii="宋体" w:hAnsi="宋体"/>
        </w:rPr>
        <w:t>（注：技术、商务端口上传相应投标文件目录即可，报价文件端口上传完整报价文件，资质业绩端口无需上传文件</w:t>
      </w:r>
      <w:r>
        <w:rPr>
          <w:rFonts w:hint="eastAsia" w:ascii="宋体" w:hAnsi="宋体"/>
          <w:lang w:eastAsia="zh-CN"/>
        </w:rPr>
        <w:t>。</w:t>
      </w:r>
      <w:r>
        <w:rPr>
          <w:rFonts w:hint="eastAsia" w:ascii="宋体" w:hAnsi="宋体"/>
        </w:rPr>
        <w:t>）</w:t>
      </w:r>
    </w:p>
    <w:p>
      <w:pPr>
        <w:spacing w:line="360" w:lineRule="exact"/>
        <w:ind w:firstLine="420" w:firstLineChars="200"/>
        <w:rPr>
          <w:rFonts w:ascii="宋体" w:hAnsi="宋体"/>
        </w:rPr>
      </w:pPr>
      <w:r>
        <w:rPr>
          <w:rFonts w:hint="eastAsia" w:ascii="宋体" w:hAnsi="宋体"/>
        </w:rPr>
        <w:t>（三）其他</w:t>
      </w:r>
    </w:p>
    <w:p>
      <w:pPr>
        <w:spacing w:line="360" w:lineRule="exact"/>
        <w:ind w:firstLine="420" w:firstLineChars="200"/>
        <w:rPr>
          <w:rFonts w:ascii="宋体" w:hAnsi="宋体"/>
        </w:rPr>
      </w:pPr>
      <w:r>
        <w:rPr>
          <w:rFonts w:hint="eastAsia" w:ascii="宋体" w:hAnsi="宋体"/>
        </w:rPr>
        <w:t>1.电子投标文件未按要求上传至云盘，或逾期发送解密密码的，或者发送的解密密码无法打开投标文件则招标人不予受理，视为投标人未递交。</w:t>
      </w:r>
    </w:p>
    <w:p>
      <w:pPr>
        <w:adjustRightInd w:val="0"/>
        <w:snapToGrid w:val="0"/>
        <w:spacing w:beforeLines="100" w:afterLines="50" w:line="400" w:lineRule="exact"/>
        <w:ind w:firstLine="420" w:firstLineChars="200"/>
        <w:outlineLvl w:val="1"/>
        <w:rPr>
          <w:rFonts w:hint="eastAsia" w:ascii="宋体" w:hAnsi="宋体"/>
        </w:rPr>
      </w:pPr>
      <w:r>
        <w:rPr>
          <w:rFonts w:hint="eastAsia" w:ascii="宋体" w:hAnsi="宋体"/>
        </w:rPr>
        <w:t>2、</w:t>
      </w:r>
      <w:r>
        <w:rPr>
          <w:rFonts w:hint="eastAsia" w:ascii="宋体" w:hAnsi="宋体"/>
          <w:color w:val="FFFF00"/>
          <w:highlight w:val="red"/>
        </w:rPr>
        <w:t>如需替换投标文件，请在投标文件</w:t>
      </w:r>
      <w:r>
        <w:rPr>
          <w:rFonts w:hint="eastAsia" w:ascii="宋体" w:hAnsi="宋体"/>
          <w:color w:val="FFFF00"/>
          <w:highlight w:val="red"/>
          <w:lang w:val="en-US" w:eastAsia="zh-CN"/>
        </w:rPr>
        <w:t>提交</w:t>
      </w:r>
      <w:r>
        <w:rPr>
          <w:rFonts w:hint="eastAsia" w:ascii="宋体" w:hAnsi="宋体"/>
          <w:color w:val="FFFF00"/>
          <w:highlight w:val="red"/>
        </w:rPr>
        <w:t>截止时间前重新上传至指定网址（截止时间202</w:t>
      </w:r>
      <w:r>
        <w:rPr>
          <w:rFonts w:hint="eastAsia" w:ascii="宋体" w:hAnsi="宋体"/>
          <w:color w:val="FFFF00"/>
          <w:highlight w:val="red"/>
          <w:lang w:val="en-US" w:eastAsia="zh-CN"/>
        </w:rPr>
        <w:t>5</w:t>
      </w:r>
      <w:r>
        <w:rPr>
          <w:rFonts w:hint="eastAsia" w:ascii="宋体" w:hAnsi="宋体"/>
          <w:color w:val="FFFF00"/>
          <w:highlight w:val="red"/>
        </w:rPr>
        <w:t>年</w:t>
      </w:r>
      <w:r>
        <w:rPr>
          <w:rFonts w:hint="eastAsia" w:ascii="宋体" w:hAnsi="宋体"/>
          <w:color w:val="FFFF00"/>
          <w:highlight w:val="red"/>
          <w:lang w:val="en-US" w:eastAsia="zh-CN"/>
        </w:rPr>
        <w:t>7月14日</w:t>
      </w:r>
      <w:r>
        <w:rPr>
          <w:rFonts w:hint="eastAsia" w:ascii="宋体" w:hAnsi="宋体"/>
          <w:color w:val="FFFF00"/>
          <w:highlight w:val="red"/>
        </w:rPr>
        <w:t>上午08:30），且所上传电子版名称中注明“以此版为准”</w:t>
      </w:r>
      <w:r>
        <w:rPr>
          <w:rFonts w:hint="eastAsia" w:ascii="宋体" w:hAnsi="宋体"/>
        </w:rPr>
        <w:t>投标人</w:t>
      </w:r>
      <w:r>
        <w:rPr>
          <w:rFonts w:hint="eastAsia" w:ascii="宋体" w:hAnsi="宋体"/>
          <w:lang w:val="en-US" w:eastAsia="zh-CN"/>
        </w:rPr>
        <w:t>提交</w:t>
      </w:r>
      <w:r>
        <w:rPr>
          <w:rFonts w:hint="eastAsia" w:ascii="宋体" w:hAnsi="宋体"/>
        </w:rPr>
        <w:t>两份或多份内容不同的投标文件，且未声明哪一个为最终版本的，代理机构将以投标人在投标截止时间前最后上传指定网址的投标文件作为最终投标文件进行评审，对投标人成功投标及中标带来风险，由投标人承担。</w:t>
      </w:r>
    </w:p>
    <w:p>
      <w:pPr>
        <w:pStyle w:val="2"/>
        <w:ind w:left="0" w:leftChars="0" w:firstLine="420" w:firstLineChars="200"/>
        <w:rPr>
          <w:rFonts w:hint="eastAsia"/>
        </w:rPr>
      </w:pPr>
      <w:r>
        <w:rPr>
          <w:rFonts w:hint="eastAsia" w:ascii="宋体" w:hAnsi="宋体" w:eastAsia="宋体" w:cs="宋体"/>
          <w:color w:val="auto"/>
          <w:szCs w:val="21"/>
          <w:highlight w:val="none"/>
          <w:lang w:val="zh-CN"/>
        </w:rPr>
        <w:t>5.3未按招标公告</w:t>
      </w:r>
      <w:r>
        <w:rPr>
          <w:rFonts w:hint="eastAsia" w:ascii="宋体" w:hAnsi="宋体" w:eastAsia="宋体" w:cs="宋体"/>
          <w:color w:val="auto"/>
          <w:szCs w:val="21"/>
          <w:highlight w:val="none"/>
        </w:rPr>
        <w:t>规定的时间和方式获取并下载招标文件的投标</w:t>
      </w:r>
      <w:r>
        <w:rPr>
          <w:rFonts w:hint="eastAsia" w:ascii="宋体" w:hAnsi="宋体" w:eastAsia="宋体" w:cs="宋体"/>
          <w:color w:val="auto"/>
          <w:szCs w:val="21"/>
          <w:highlight w:val="none"/>
          <w:lang w:val="zh-CN"/>
        </w:rPr>
        <w:t>，招标人将不予受理</w:t>
      </w:r>
      <w:r>
        <w:rPr>
          <w:rFonts w:hint="eastAsia" w:ascii="宋体" w:hAnsi="宋体"/>
          <w:color w:val="auto"/>
          <w:szCs w:val="21"/>
          <w:highlight w:val="none"/>
          <w:lang w:val="zh-CN"/>
        </w:rPr>
        <w:t>。</w:t>
      </w:r>
    </w:p>
    <w:p>
      <w:pPr>
        <w:adjustRightInd w:val="0"/>
        <w:snapToGrid w:val="0"/>
        <w:spacing w:beforeLines="100" w:afterLines="50" w:line="400" w:lineRule="exact"/>
        <w:outlineLvl w:val="1"/>
        <w:rPr>
          <w:rFonts w:ascii="黑体" w:eastAsia="黑体"/>
          <w:b/>
          <w:sz w:val="24"/>
        </w:rPr>
      </w:pPr>
      <w:r>
        <w:rPr>
          <w:rFonts w:hint="eastAsia" w:ascii="黑体" w:eastAsia="黑体" w:cs="宋体"/>
          <w:b/>
          <w:sz w:val="24"/>
          <w:szCs w:val="21"/>
        </w:rPr>
        <w:t>6.发布公告的媒介</w:t>
      </w:r>
      <w:bookmarkEnd w:id="81"/>
      <w:bookmarkEnd w:id="82"/>
      <w:bookmarkEnd w:id="83"/>
      <w:bookmarkEnd w:id="84"/>
      <w:bookmarkEnd w:id="85"/>
    </w:p>
    <w:p>
      <w:pPr>
        <w:adjustRightInd w:val="0"/>
        <w:snapToGrid w:val="0"/>
        <w:spacing w:beforeLines="100" w:afterLines="50" w:line="400" w:lineRule="exact"/>
        <w:ind w:firstLine="420" w:firstLineChars="200"/>
        <w:outlineLvl w:val="1"/>
        <w:rPr>
          <w:rFonts w:hint="eastAsia" w:ascii="黑体" w:eastAsia="黑体" w:cs="宋体"/>
          <w:b/>
          <w:sz w:val="24"/>
          <w:szCs w:val="21"/>
        </w:rPr>
      </w:pPr>
      <w:bookmarkStart w:id="86" w:name="_bookmark8"/>
      <w:bookmarkEnd w:id="86"/>
      <w:bookmarkStart w:id="87" w:name="_Toc27414"/>
      <w:bookmarkStart w:id="88" w:name="_Toc62551535"/>
      <w:bookmarkStart w:id="89" w:name="_Toc9290"/>
      <w:bookmarkStart w:id="90" w:name="_Toc129618832"/>
      <w:bookmarkStart w:id="91" w:name="_Toc23797"/>
      <w:r>
        <w:rPr>
          <w:rFonts w:hint="eastAsia"/>
          <w:color w:val="auto"/>
          <w:kern w:val="2"/>
          <w:sz w:val="21"/>
          <w:highlight w:val="none"/>
        </w:rPr>
        <w:t>本次招标公告在招标人招投标交易平台信息系统、中国招标投标公共服务平台</w:t>
      </w:r>
      <w:r>
        <w:rPr>
          <w:rFonts w:hint="eastAsia"/>
          <w:color w:val="auto"/>
          <w:kern w:val="2"/>
          <w:sz w:val="21"/>
          <w:highlight w:val="none"/>
          <w:lang w:val="en-US"/>
        </w:rPr>
        <w:t>（</w:t>
      </w:r>
      <w:bookmarkStart w:id="92" w:name="_Hlk511312026"/>
      <w:r>
        <w:rPr>
          <w:color w:val="auto"/>
          <w:kern w:val="2"/>
          <w:sz w:val="21"/>
          <w:highlight w:val="none"/>
          <w:lang w:val="en-US"/>
        </w:rPr>
        <w:t>http://www.cebpubservice.com</w:t>
      </w:r>
      <w:bookmarkEnd w:id="92"/>
      <w:r>
        <w:rPr>
          <w:rFonts w:hint="eastAsia"/>
          <w:color w:val="auto"/>
          <w:kern w:val="2"/>
          <w:sz w:val="21"/>
          <w:highlight w:val="none"/>
          <w:lang w:val="en-US"/>
        </w:rPr>
        <w:t>）</w:t>
      </w:r>
      <w:r>
        <w:rPr>
          <w:rFonts w:hint="eastAsia"/>
          <w:color w:val="auto"/>
          <w:kern w:val="2"/>
          <w:sz w:val="21"/>
          <w:highlight w:val="none"/>
        </w:rPr>
        <w:t>上发布。</w:t>
      </w:r>
    </w:p>
    <w:p>
      <w:pPr>
        <w:adjustRightInd w:val="0"/>
        <w:snapToGrid w:val="0"/>
        <w:spacing w:beforeLines="100" w:afterLines="50" w:line="400" w:lineRule="exact"/>
        <w:outlineLvl w:val="1"/>
        <w:rPr>
          <w:rFonts w:ascii="黑体" w:eastAsia="黑体"/>
          <w:b/>
          <w:sz w:val="24"/>
        </w:rPr>
      </w:pPr>
      <w:r>
        <w:rPr>
          <w:rFonts w:hint="eastAsia" w:ascii="黑体" w:eastAsia="黑体" w:cs="宋体"/>
          <w:b/>
          <w:sz w:val="24"/>
          <w:szCs w:val="21"/>
        </w:rPr>
        <w:t>7.联系方式</w:t>
      </w:r>
      <w:bookmarkEnd w:id="87"/>
      <w:bookmarkEnd w:id="88"/>
      <w:bookmarkEnd w:id="89"/>
      <w:bookmarkEnd w:id="90"/>
      <w:bookmarkEnd w:id="91"/>
    </w:p>
    <w:p>
      <w:pPr>
        <w:spacing w:line="360" w:lineRule="exact"/>
        <w:ind w:firstLine="420" w:firstLineChars="200"/>
        <w:rPr>
          <w:rFonts w:ascii="宋体" w:hAnsi="宋体" w:cs="宋体"/>
          <w:szCs w:val="21"/>
          <w:u w:val="none"/>
        </w:rPr>
      </w:pPr>
      <w:r>
        <w:rPr>
          <w:rFonts w:hint="eastAsia" w:ascii="宋体" w:hAnsi="宋体" w:cs="宋体"/>
        </w:rPr>
        <w:t>招标人：天津市宁河区宁东盛源电力工程有限公司</w:t>
      </w:r>
    </w:p>
    <w:p>
      <w:pPr>
        <w:spacing w:line="360" w:lineRule="exact"/>
        <w:ind w:firstLine="420" w:firstLineChars="200"/>
        <w:rPr>
          <w:rFonts w:ascii="宋体" w:hAnsi="宋体" w:cs="宋体"/>
        </w:rPr>
      </w:pPr>
      <w:r>
        <w:rPr>
          <w:rFonts w:hint="eastAsia" w:ascii="宋体" w:hAnsi="宋体" w:cs="宋体"/>
        </w:rPr>
        <w:t>地  址：天津市宁河区经济开发区二经路72号</w:t>
      </w:r>
    </w:p>
    <w:p>
      <w:pPr>
        <w:spacing w:line="360" w:lineRule="exact"/>
        <w:ind w:firstLine="420" w:firstLineChars="200"/>
        <w:rPr>
          <w:rFonts w:hint="eastAsia" w:ascii="宋体" w:hAnsi="宋体" w:cs="宋体"/>
        </w:rPr>
      </w:pPr>
      <w:r>
        <w:rPr>
          <w:rFonts w:hint="eastAsia" w:ascii="宋体" w:hAnsi="宋体" w:cs="宋体"/>
        </w:rPr>
        <w:t>邮  编：300000</w:t>
      </w:r>
    </w:p>
    <w:p>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cs="宋体"/>
          <w:lang w:val="en-US" w:eastAsia="zh-CN"/>
        </w:rPr>
      </w:pPr>
      <w:r>
        <w:rPr>
          <w:rFonts w:hint="eastAsia" w:ascii="宋体" w:hAnsi="宋体" w:cs="宋体"/>
        </w:rPr>
        <w:t>电  话：</w:t>
      </w:r>
      <w:r>
        <w:rPr>
          <w:rFonts w:hint="eastAsia" w:ascii="宋体" w:hAnsi="宋体" w:cs="宋体"/>
          <w:lang w:val="en-US" w:eastAsia="zh-CN"/>
        </w:rPr>
        <w:t>60977090</w:t>
      </w:r>
    </w:p>
    <w:p>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cs="宋体"/>
          <w:lang w:val="en-US" w:eastAsia="zh-CN"/>
        </w:rPr>
      </w:pPr>
    </w:p>
    <w:p>
      <w:pPr>
        <w:pStyle w:val="8"/>
        <w:rPr>
          <w:rFonts w:hint="eastAsia"/>
        </w:rPr>
      </w:pPr>
    </w:p>
    <w:p>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招标代理机构：</w:t>
      </w:r>
      <w:r>
        <w:rPr>
          <w:rFonts w:hint="eastAsia"/>
          <w:color w:val="000000" w:themeColor="text1"/>
          <w:highlight w:val="none"/>
          <w14:textFill>
            <w14:solidFill>
              <w14:schemeClr w14:val="tx1"/>
            </w14:solidFill>
          </w14:textFill>
        </w:rPr>
        <w:t>天津</w:t>
      </w:r>
      <w:r>
        <w:rPr>
          <w:rFonts w:hint="eastAsia"/>
          <w:color w:val="000000" w:themeColor="text1"/>
          <w:highlight w:val="none"/>
          <w:lang w:val="en-US" w:eastAsia="zh-CN"/>
          <w14:textFill>
            <w14:solidFill>
              <w14:schemeClr w14:val="tx1"/>
            </w14:solidFill>
          </w14:textFill>
        </w:rPr>
        <w:t>三源</w:t>
      </w:r>
      <w:r>
        <w:rPr>
          <w:rFonts w:hint="eastAsia"/>
          <w:color w:val="000000" w:themeColor="text1"/>
          <w:highlight w:val="none"/>
          <w14:textFill>
            <w14:solidFill>
              <w14:schemeClr w14:val="tx1"/>
            </w14:solidFill>
          </w14:textFill>
        </w:rPr>
        <w:t>招标有限公司</w:t>
      </w:r>
    </w:p>
    <w:p>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default"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地址：</w:t>
      </w:r>
      <w:r>
        <w:rPr>
          <w:rFonts w:hint="eastAsia" w:ascii="宋体" w:hAnsi="宋体" w:cs="宋体"/>
        </w:rPr>
        <w:t>天津市东丽区华明高新技术产业区华裕路29号1号楼125-130室</w:t>
      </w:r>
    </w:p>
    <w:p>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邮编：</w:t>
      </w:r>
      <w:r>
        <w:rPr>
          <w:rFonts w:hint="eastAsia" w:ascii="宋体" w:hAnsi="宋体" w:cs="宋体"/>
        </w:rPr>
        <w:t>300304</w:t>
      </w:r>
    </w:p>
    <w:p>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招标项目联系人：</w:t>
      </w:r>
      <w:r>
        <w:rPr>
          <w:rFonts w:hint="eastAsia" w:ascii="宋体" w:hAnsi="宋体" w:cs="宋体"/>
          <w:color w:val="000000" w:themeColor="text1"/>
          <w:highlight w:val="none"/>
          <w:lang w:val="en-US" w:eastAsia="zh-CN"/>
          <w14:textFill>
            <w14:solidFill>
              <w14:schemeClr w14:val="tx1"/>
            </w14:solidFill>
          </w14:textFill>
        </w:rPr>
        <w:t>李</w:t>
      </w:r>
      <w:r>
        <w:rPr>
          <w:rFonts w:hint="eastAsia" w:ascii="宋体" w:hAnsi="宋体" w:eastAsia="宋体" w:cs="宋体"/>
          <w:color w:val="000000" w:themeColor="text1"/>
          <w:highlight w:val="none"/>
          <w14:textFill>
            <w14:solidFill>
              <w14:schemeClr w14:val="tx1"/>
            </w14:solidFill>
          </w14:textFill>
        </w:rPr>
        <w:t>女士</w:t>
      </w:r>
    </w:p>
    <w:p>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电话：24452607（工作日时间：8:30-12:00,13:00-17:30）</w:t>
      </w:r>
    </w:p>
    <w:p>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邮箱：</w:t>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HYPERLINK "mailto:syzbykgc@126.com" </w:instrText>
      </w:r>
      <w:r>
        <w:rPr>
          <w:rFonts w:hint="eastAsia" w:ascii="宋体" w:hAnsi="宋体" w:eastAsia="宋体" w:cs="宋体"/>
          <w:color w:val="000000" w:themeColor="text1"/>
          <w:highlight w:val="none"/>
          <w14:textFill>
            <w14:solidFill>
              <w14:schemeClr w14:val="tx1"/>
            </w14:solidFill>
          </w14:textFill>
        </w:rPr>
        <w:fldChar w:fldCharType="separate"/>
      </w:r>
      <w:r>
        <w:rPr>
          <w:rStyle w:val="15"/>
          <w:rFonts w:hint="eastAsia" w:ascii="宋体" w:hAnsi="宋体" w:eastAsia="宋体" w:cs="宋体"/>
          <w:highlight w:val="none"/>
        </w:rPr>
        <w:t>syzbykgc@126.com</w:t>
      </w:r>
      <w:r>
        <w:rPr>
          <w:rFonts w:hint="eastAsia" w:ascii="宋体" w:hAnsi="宋体" w:eastAsia="宋体" w:cs="宋体"/>
          <w:color w:val="000000" w:themeColor="text1"/>
          <w:highlight w:val="none"/>
          <w14:textFill>
            <w14:solidFill>
              <w14:schemeClr w14:val="tx1"/>
            </w14:solidFill>
          </w14:textFill>
        </w:rPr>
        <w:fldChar w:fldCharType="end"/>
      </w:r>
    </w:p>
    <w:p>
      <w:pPr>
        <w:spacing w:line="360" w:lineRule="exact"/>
        <w:ind w:firstLine="420" w:firstLineChars="200"/>
        <w:rPr>
          <w:rFonts w:ascii="宋体" w:hAnsi="宋体" w:cs="宋体"/>
        </w:rPr>
      </w:pPr>
      <w:r>
        <w:rPr>
          <w:rFonts w:hint="eastAsia" w:ascii="宋体" w:hAnsi="宋体" w:cs="宋体"/>
        </w:rPr>
        <w:t xml:space="preserve">财务联系人（办理投标保证金、中标通知书等）：穆女士  </w:t>
      </w:r>
    </w:p>
    <w:p>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default"/>
          <w:lang w:val="en-US" w:eastAsia="zh-CN"/>
        </w:rPr>
      </w:pPr>
      <w:r>
        <w:rPr>
          <w:rFonts w:hint="eastAsia" w:ascii="宋体" w:hAnsi="宋体" w:eastAsia="宋体" w:cs="宋体"/>
          <w:color w:val="000000" w:themeColor="text1"/>
          <w:highlight w:val="none"/>
          <w14:textFill>
            <w14:solidFill>
              <w14:schemeClr w14:val="tx1"/>
            </w14:solidFill>
          </w14:textFill>
        </w:rPr>
        <w:t>财务电话：022-24450607</w:t>
      </w:r>
    </w:p>
    <w:p>
      <w:pPr>
        <w:pStyle w:val="7"/>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highlight w:val="none"/>
        </w:rPr>
        <w:t>（投标文件制作请仔细阅读投标人须知前附表相关要求，对技术规范有疑问请按投标人须知前附表的澄清格式要求在澄清截止时间前，在电子商务平台提出澄清</w:t>
      </w:r>
      <w:r>
        <w:rPr>
          <w:rFonts w:hint="eastAsia"/>
          <w:highlight w:val="none"/>
          <w:lang w:eastAsia="zh-CN"/>
        </w:rPr>
        <w:t>。</w:t>
      </w:r>
      <w:r>
        <w:rPr>
          <w:rFonts w:hint="eastAsia" w:ascii="宋体" w:hAnsi="宋体" w:cs="宋体"/>
          <w:szCs w:val="21"/>
        </w:rPr>
        <w:t>系统问题请联系</w:t>
      </w:r>
      <w:r>
        <w:rPr>
          <w:rFonts w:hint="eastAsia" w:ascii="宋体" w:hAnsi="宋体" w:cs="宋体"/>
          <w:szCs w:val="21"/>
          <w:lang w:eastAsia="zh-CN"/>
        </w:rPr>
        <w:t>平台</w:t>
      </w:r>
      <w:r>
        <w:rPr>
          <w:rFonts w:hint="eastAsia" w:ascii="宋体" w:hAnsi="宋体" w:cs="宋体"/>
          <w:szCs w:val="21"/>
        </w:rPr>
        <w:t>技术支持服务电话：010-63411000</w:t>
      </w:r>
      <w:r>
        <w:rPr>
          <w:rFonts w:hint="eastAsia"/>
          <w:highlight w:val="none"/>
        </w:rPr>
        <w:t>）</w:t>
      </w:r>
    </w:p>
    <w:p>
      <w:pPr>
        <w:spacing w:line="360" w:lineRule="exact"/>
        <w:ind w:firstLine="420" w:firstLineChars="200"/>
        <w:rPr>
          <w:rFonts w:hint="eastAsia" w:ascii="宋体" w:hAnsi="宋体" w:cs="宋体"/>
        </w:rPr>
      </w:pPr>
    </w:p>
    <w:p>
      <w:pPr>
        <w:spacing w:line="360" w:lineRule="exact"/>
        <w:ind w:firstLine="420" w:firstLineChars="200"/>
        <w:rPr>
          <w:rFonts w:ascii="宋体" w:hAnsi="宋体" w:cs="宋体"/>
        </w:rPr>
      </w:pPr>
      <w:r>
        <w:rPr>
          <w:rFonts w:hint="eastAsia" w:ascii="宋体" w:hAnsi="宋体" w:cs="宋体"/>
        </w:rPr>
        <w:t>招标代理服务费支付账号：</w:t>
      </w:r>
    </w:p>
    <w:p>
      <w:pPr>
        <w:spacing w:line="360" w:lineRule="exact"/>
        <w:ind w:firstLine="420" w:firstLineChars="200"/>
        <w:rPr>
          <w:rFonts w:ascii="宋体" w:hAnsi="宋体" w:cs="宋体"/>
        </w:rPr>
      </w:pPr>
      <w:r>
        <w:rPr>
          <w:rFonts w:hint="eastAsia" w:ascii="宋体" w:hAnsi="宋体" w:cs="宋体"/>
        </w:rPr>
        <w:t>收款人名称：天津三源招标有限公司</w:t>
      </w:r>
    </w:p>
    <w:p>
      <w:pPr>
        <w:spacing w:line="360" w:lineRule="exact"/>
        <w:ind w:firstLine="420" w:firstLineChars="200"/>
        <w:rPr>
          <w:rFonts w:ascii="宋体" w:hAnsi="宋体" w:cs="宋体"/>
        </w:rPr>
      </w:pPr>
      <w:r>
        <w:rPr>
          <w:rFonts w:hint="eastAsia" w:ascii="宋体" w:hAnsi="宋体" w:cs="宋体"/>
        </w:rPr>
        <w:t>开户银行：工商银行天津市民族路支行</w:t>
      </w:r>
    </w:p>
    <w:p>
      <w:pPr>
        <w:spacing w:line="360" w:lineRule="exact"/>
        <w:ind w:firstLine="420" w:firstLineChars="200"/>
        <w:rPr>
          <w:rFonts w:ascii="宋体" w:hAnsi="宋体" w:cs="宋体"/>
        </w:rPr>
      </w:pPr>
      <w:r>
        <w:rPr>
          <w:rFonts w:hint="eastAsia" w:ascii="宋体" w:hAnsi="宋体" w:cs="宋体"/>
        </w:rPr>
        <w:t>账号：0302030109300513966</w:t>
      </w:r>
    </w:p>
    <w:p>
      <w:pPr>
        <w:spacing w:line="360" w:lineRule="exact"/>
        <w:ind w:firstLine="420" w:firstLineChars="200"/>
        <w:rPr>
          <w:rFonts w:ascii="宋体" w:hAnsi="宋体" w:cs="宋体"/>
        </w:rPr>
      </w:pPr>
    </w:p>
    <w:p>
      <w:pPr>
        <w:spacing w:line="360" w:lineRule="exact"/>
        <w:ind w:firstLine="420" w:firstLineChars="200"/>
        <w:rPr>
          <w:rFonts w:ascii="宋体" w:hAnsi="宋体" w:cs="宋体"/>
        </w:rPr>
      </w:pPr>
      <w:r>
        <w:rPr>
          <w:rFonts w:hint="eastAsia" w:ascii="宋体" w:hAnsi="宋体" w:cs="宋体"/>
        </w:rPr>
        <w:t>投标保证金账号：</w:t>
      </w:r>
    </w:p>
    <w:p>
      <w:pPr>
        <w:spacing w:line="360" w:lineRule="exact"/>
        <w:ind w:firstLine="420" w:firstLineChars="200"/>
        <w:rPr>
          <w:rFonts w:ascii="宋体" w:hAnsi="宋体" w:cs="宋体"/>
        </w:rPr>
      </w:pPr>
      <w:r>
        <w:rPr>
          <w:rFonts w:hint="eastAsia" w:ascii="宋体" w:hAnsi="宋体" w:cs="宋体"/>
        </w:rPr>
        <w:t>账户名称：天津三源招标有限公司</w:t>
      </w:r>
    </w:p>
    <w:p>
      <w:pPr>
        <w:spacing w:line="360" w:lineRule="exact"/>
        <w:ind w:firstLine="420" w:firstLineChars="200"/>
        <w:rPr>
          <w:rFonts w:ascii="宋体" w:hAnsi="宋体" w:cs="宋体"/>
        </w:rPr>
      </w:pPr>
      <w:r>
        <w:rPr>
          <w:rFonts w:hint="eastAsia" w:ascii="宋体" w:hAnsi="宋体" w:cs="宋体"/>
        </w:rPr>
        <w:t>收款银行：浙商银行天津分行营业部</w:t>
      </w:r>
    </w:p>
    <w:p>
      <w:pPr>
        <w:spacing w:line="400" w:lineRule="exact"/>
        <w:ind w:firstLine="420" w:firstLineChars="200"/>
        <w:rPr>
          <w:rFonts w:hint="eastAsia" w:ascii="宋体" w:hAnsi="宋体" w:eastAsia="宋体" w:cs="宋体"/>
          <w:b w:val="0"/>
          <w:kern w:val="2"/>
          <w:sz w:val="21"/>
          <w:szCs w:val="21"/>
          <w:lang w:val="en-US" w:bidi="ar-SA"/>
        </w:rPr>
      </w:pPr>
      <w:r>
        <w:rPr>
          <w:rFonts w:hint="eastAsia" w:ascii="宋体" w:hAnsi="宋体" w:cs="宋体"/>
        </w:rPr>
        <w:t>银行账号：1100000010120100664919</w:t>
      </w:r>
    </w:p>
    <w:p>
      <w:pPr>
        <w:pStyle w:val="8"/>
      </w:pPr>
    </w:p>
    <w:p>
      <w:pPr>
        <w:adjustRightInd w:val="0"/>
        <w:snapToGrid w:val="0"/>
        <w:spacing w:beforeLines="100" w:afterLines="50" w:line="400" w:lineRule="exact"/>
        <w:outlineLvl w:val="1"/>
        <w:rPr>
          <w:rFonts w:ascii="黑体" w:eastAsia="黑体"/>
          <w:b/>
          <w:sz w:val="24"/>
        </w:rPr>
      </w:pPr>
      <w:bookmarkStart w:id="93" w:name="_Toc4180"/>
      <w:bookmarkStart w:id="94" w:name="_Toc26636"/>
      <w:bookmarkStart w:id="95" w:name="_Toc26113"/>
      <w:bookmarkStart w:id="96" w:name="_Toc62551536"/>
      <w:bookmarkStart w:id="97" w:name="_Toc129618833"/>
      <w:r>
        <w:rPr>
          <w:rFonts w:hint="eastAsia" w:ascii="黑体" w:eastAsia="黑体" w:cs="宋体"/>
          <w:b/>
          <w:sz w:val="24"/>
          <w:szCs w:val="21"/>
        </w:rPr>
        <w:t>8.合规声明</w:t>
      </w:r>
      <w:bookmarkEnd w:id="93"/>
      <w:bookmarkEnd w:id="94"/>
      <w:bookmarkEnd w:id="95"/>
      <w:bookmarkEnd w:id="96"/>
      <w:bookmarkEnd w:id="97"/>
    </w:p>
    <w:p>
      <w:pPr>
        <w:spacing w:line="400" w:lineRule="exact"/>
        <w:ind w:firstLine="567" w:firstLineChars="270"/>
        <w:rPr>
          <w:rFonts w:hint="eastAsia"/>
          <w:color w:val="000000" w:themeColor="text1"/>
          <w:highlight w:val="none"/>
          <w:lang w:eastAsia="zh-CN"/>
          <w14:textFill>
            <w14:solidFill>
              <w14:schemeClr w14:val="tx1"/>
            </w14:solidFill>
          </w14:textFill>
        </w:rPr>
      </w:pPr>
      <w:bookmarkStart w:id="98" w:name="_Toc129618834"/>
      <w:r>
        <w:rPr>
          <w:rFonts w:hint="eastAsia"/>
          <w:color w:val="000000" w:themeColor="text1"/>
          <w:highlight w:val="none"/>
          <w14:textFill>
            <w14:solidFill>
              <w14:schemeClr w14:val="tx1"/>
            </w14:solidFill>
          </w14:textFill>
        </w:rPr>
        <w:t>本招标文件（包括商务部分和技术部分）符合国家现行法律法规规定，若国家颁布新的法律法规或对现有法律法规进行修订，以新施行的法律法规规定为准。本项目行政监督部门为天津市泰能电力开发工程有限公司</w:t>
      </w:r>
      <w:r>
        <w:rPr>
          <w:rFonts w:hint="eastAsia"/>
          <w:color w:val="000000" w:themeColor="text1"/>
          <w:highlight w:val="none"/>
          <w:lang w:eastAsia="zh-CN"/>
          <w14:textFill>
            <w14:solidFill>
              <w14:schemeClr w14:val="tx1"/>
            </w14:solidFill>
          </w14:textFill>
        </w:rPr>
        <w:t>。</w:t>
      </w:r>
    </w:p>
    <w:p>
      <w:pPr>
        <w:adjustRightInd w:val="0"/>
        <w:snapToGrid w:val="0"/>
        <w:spacing w:beforeLines="100" w:afterLines="50" w:line="400" w:lineRule="exact"/>
        <w:outlineLvl w:val="1"/>
        <w:rPr>
          <w:rFonts w:ascii="黑体" w:eastAsia="黑体"/>
          <w:b/>
          <w:sz w:val="24"/>
          <w:szCs w:val="22"/>
        </w:rPr>
      </w:pPr>
      <w:r>
        <w:rPr>
          <w:rFonts w:hint="eastAsia" w:ascii="黑体" w:eastAsia="黑体"/>
          <w:b/>
          <w:sz w:val="24"/>
          <w:szCs w:val="22"/>
        </w:rPr>
        <w:t>9.权利声明</w:t>
      </w:r>
      <w:bookmarkEnd w:id="98"/>
    </w:p>
    <w:p>
      <w:pPr>
        <w:spacing w:line="400" w:lineRule="exact"/>
        <w:ind w:firstLine="567" w:firstLineChars="270"/>
        <w:rPr>
          <w:rFonts w:hint="eastAsia"/>
        </w:rPr>
      </w:pPr>
      <w:r>
        <w:rPr>
          <w:rFonts w:hint="eastAsia"/>
        </w:rPr>
        <w:t>禁止对本招标文件或公示信息（依法必须招标项目的招标公告部分除外）进行任何形式的转载（包括但不限于部分或全文转载、修改后转载）或任何未经书面授权的使用。转载依法必须招标项目的招标公告或公示信息的，不得改变招标公告和公示信息的内容，须注明信息来源，不得用于非法用途。任何单位或个人不得违法转载（包括但不限于改变内容转载、转载不注明来源、遗漏或不及时转载修改或补充内容等）招标公告或公示信息、不得对招标公告或公示信息等内容进行不全面、不准确、不客观地分析或使用，任何单位或个人违法或违反本条规定转载、使用本招标文件或公示信息的，招标人将依法追究法律责任。</w:t>
      </w:r>
    </w:p>
    <w:p>
      <w:pPr>
        <w:pStyle w:val="8"/>
        <w:rPr>
          <w:rFonts w:hint="eastAsia"/>
        </w:rPr>
      </w:pPr>
    </w:p>
    <w:p>
      <w:pPr>
        <w:wordWrap/>
        <w:adjustRightInd w:val="0"/>
        <w:snapToGrid w:val="0"/>
        <w:spacing w:before="240" w:beforeLines="100" w:after="120" w:afterLines="50"/>
        <w:outlineLvl w:val="1"/>
        <w:rPr>
          <w:rFonts w:hint="default" w:ascii="黑体" w:hAnsi="Calibri" w:eastAsia="黑体"/>
          <w:b/>
          <w:sz w:val="24"/>
          <w:lang w:val="en-US" w:eastAsia="zh-CN"/>
        </w:rPr>
      </w:pPr>
      <w:r>
        <w:rPr>
          <w:rFonts w:hint="eastAsia" w:ascii="黑体" w:hAnsi="Calibri" w:eastAsia="黑体"/>
          <w:b/>
          <w:sz w:val="24"/>
          <w:lang w:val="en-US" w:eastAsia="zh-CN"/>
        </w:rPr>
        <w:t>10.重要提示</w:t>
      </w:r>
    </w:p>
    <w:p>
      <w:pPr>
        <w:pStyle w:val="2"/>
        <w:ind w:left="0" w:leftChars="0" w:firstLine="0"/>
        <w:rPr>
          <w:highlight w:val="cyan"/>
        </w:rPr>
      </w:pPr>
      <w:r>
        <w:rPr>
          <w:rFonts w:hint="eastAsia" w:eastAsia="宋体"/>
          <w:lang w:val="en-US" w:eastAsia="zh-CN"/>
        </w:rPr>
        <w:t xml:space="preserve">   </w:t>
      </w:r>
    </w:p>
    <w:tbl>
      <w:tblPr>
        <w:tblStyle w:val="16"/>
        <w:tblW w:w="8654"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57"/>
        <w:gridCol w:w="1092"/>
        <w:gridCol w:w="690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tblHeader/>
          <w:jc w:val="center"/>
        </w:trPr>
        <w:tc>
          <w:tcPr>
            <w:tcW w:w="657" w:type="dxa"/>
            <w:vAlign w:val="center"/>
          </w:tcPr>
          <w:p>
            <w:pPr>
              <w:keepNext w:val="0"/>
              <w:keepLines w:val="0"/>
              <w:widowControl/>
              <w:suppressLineNumbers w:val="0"/>
              <w:snapToGrid w:val="0"/>
              <w:spacing w:before="0" w:beforeAutospacing="0" w:after="0" w:afterAutospacing="0" w:line="312" w:lineRule="auto"/>
              <w:ind w:left="0" w:right="0"/>
              <w:jc w:val="center"/>
              <w:rPr>
                <w:rFonts w:hint="default"/>
                <w:b/>
                <w:sz w:val="18"/>
                <w:szCs w:val="18"/>
                <w:highlight w:val="none"/>
              </w:rPr>
            </w:pPr>
            <w:r>
              <w:rPr>
                <w:rFonts w:hint="default"/>
                <w:b/>
                <w:sz w:val="18"/>
                <w:szCs w:val="18"/>
                <w:highlight w:val="none"/>
              </w:rPr>
              <w:t>序号</w:t>
            </w:r>
          </w:p>
        </w:tc>
        <w:tc>
          <w:tcPr>
            <w:tcW w:w="1092" w:type="dxa"/>
            <w:vAlign w:val="center"/>
          </w:tcPr>
          <w:p>
            <w:pPr>
              <w:keepNext w:val="0"/>
              <w:keepLines w:val="0"/>
              <w:widowControl/>
              <w:suppressLineNumbers w:val="0"/>
              <w:snapToGrid w:val="0"/>
              <w:spacing w:before="0" w:beforeAutospacing="0" w:after="0" w:afterAutospacing="0" w:line="312" w:lineRule="auto"/>
              <w:ind w:left="0" w:right="0"/>
              <w:jc w:val="center"/>
              <w:rPr>
                <w:rFonts w:hint="default"/>
                <w:b/>
                <w:sz w:val="18"/>
                <w:szCs w:val="18"/>
                <w:highlight w:val="none"/>
              </w:rPr>
            </w:pPr>
            <w:r>
              <w:rPr>
                <w:rFonts w:hint="default"/>
                <w:b/>
                <w:sz w:val="18"/>
                <w:szCs w:val="18"/>
                <w:highlight w:val="none"/>
              </w:rPr>
              <w:t>事项</w:t>
            </w:r>
          </w:p>
        </w:tc>
        <w:tc>
          <w:tcPr>
            <w:tcW w:w="6905" w:type="dxa"/>
            <w:vAlign w:val="center"/>
          </w:tcPr>
          <w:p>
            <w:pPr>
              <w:keepNext w:val="0"/>
              <w:keepLines w:val="0"/>
              <w:widowControl/>
              <w:suppressLineNumbers w:val="0"/>
              <w:snapToGrid w:val="0"/>
              <w:spacing w:before="0" w:beforeAutospacing="0" w:after="0" w:afterAutospacing="0" w:line="312" w:lineRule="auto"/>
              <w:ind w:left="0" w:right="0"/>
              <w:jc w:val="center"/>
              <w:rPr>
                <w:rFonts w:hint="default"/>
                <w:b/>
                <w:sz w:val="18"/>
                <w:szCs w:val="18"/>
                <w:highlight w:val="none"/>
              </w:rPr>
            </w:pPr>
            <w:r>
              <w:rPr>
                <w:rFonts w:hint="default"/>
                <w:b/>
                <w:sz w:val="18"/>
                <w:szCs w:val="18"/>
                <w:highlight w:val="none"/>
              </w:rPr>
              <w:t>内              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90" w:hRule="exact"/>
          <w:jc w:val="center"/>
        </w:trPr>
        <w:tc>
          <w:tcPr>
            <w:tcW w:w="657" w:type="dxa"/>
            <w:vAlign w:val="center"/>
          </w:tcPr>
          <w:p>
            <w:pPr>
              <w:keepNext w:val="0"/>
              <w:keepLines w:val="0"/>
              <w:widowControl/>
              <w:suppressLineNumbers w:val="0"/>
              <w:snapToGrid w:val="0"/>
              <w:spacing w:before="0" w:beforeAutospacing="0" w:after="0" w:afterAutospacing="0" w:line="312" w:lineRule="auto"/>
              <w:ind w:left="0" w:right="0"/>
              <w:jc w:val="center"/>
              <w:rPr>
                <w:rFonts w:hint="eastAsia" w:eastAsia="宋体"/>
                <w:sz w:val="18"/>
                <w:szCs w:val="18"/>
                <w:highlight w:val="none"/>
                <w:lang w:eastAsia="zh-CN"/>
              </w:rPr>
            </w:pPr>
            <w:r>
              <w:rPr>
                <w:rFonts w:hint="eastAsia"/>
                <w:sz w:val="18"/>
                <w:szCs w:val="18"/>
                <w:highlight w:val="none"/>
                <w:lang w:val="en-US" w:eastAsia="zh-CN"/>
              </w:rPr>
              <w:t>1</w:t>
            </w:r>
          </w:p>
        </w:tc>
        <w:tc>
          <w:tcPr>
            <w:tcW w:w="1092" w:type="dxa"/>
            <w:vAlign w:val="center"/>
          </w:tcPr>
          <w:p>
            <w:pPr>
              <w:keepNext w:val="0"/>
              <w:keepLines w:val="0"/>
              <w:widowControl/>
              <w:suppressLineNumbers w:val="0"/>
              <w:snapToGrid w:val="0"/>
              <w:spacing w:before="0" w:beforeAutospacing="0" w:after="0" w:afterAutospacing="0" w:line="312" w:lineRule="auto"/>
              <w:ind w:left="0" w:right="0"/>
              <w:jc w:val="center"/>
              <w:rPr>
                <w:rFonts w:hint="default"/>
                <w:sz w:val="18"/>
                <w:szCs w:val="18"/>
                <w:highlight w:val="none"/>
              </w:rPr>
            </w:pPr>
            <w:r>
              <w:rPr>
                <w:rFonts w:hint="eastAsia"/>
                <w:sz w:val="18"/>
                <w:szCs w:val="18"/>
                <w:highlight w:val="none"/>
              </w:rPr>
              <w:t>投标文件格式</w:t>
            </w:r>
          </w:p>
        </w:tc>
        <w:tc>
          <w:tcPr>
            <w:tcW w:w="6905" w:type="dxa"/>
            <w:vAlign w:val="center"/>
          </w:tcPr>
          <w:p>
            <w:pPr>
              <w:keepNext w:val="0"/>
              <w:keepLines w:val="0"/>
              <w:widowControl/>
              <w:suppressLineNumbers w:val="0"/>
              <w:snapToGrid w:val="0"/>
              <w:spacing w:before="0" w:beforeAutospacing="0" w:after="0" w:afterAutospacing="0" w:line="312" w:lineRule="auto"/>
              <w:ind w:left="0" w:right="0"/>
              <w:jc w:val="both"/>
              <w:rPr>
                <w:rFonts w:hint="default"/>
                <w:sz w:val="18"/>
                <w:szCs w:val="18"/>
                <w:highlight w:val="none"/>
              </w:rPr>
            </w:pPr>
            <w:r>
              <w:rPr>
                <w:rFonts w:hint="eastAsia"/>
                <w:sz w:val="18"/>
                <w:szCs w:val="18"/>
                <w:highlight w:val="none"/>
              </w:rPr>
              <w:t>请投标人仔细阅读投标文件格式章节。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90" w:hRule="exact"/>
          <w:jc w:val="center"/>
        </w:trPr>
        <w:tc>
          <w:tcPr>
            <w:tcW w:w="657" w:type="dxa"/>
            <w:vAlign w:val="center"/>
          </w:tcPr>
          <w:p>
            <w:pPr>
              <w:keepNext w:val="0"/>
              <w:keepLines w:val="0"/>
              <w:widowControl/>
              <w:suppressLineNumbers w:val="0"/>
              <w:snapToGrid w:val="0"/>
              <w:spacing w:before="0" w:beforeAutospacing="0" w:after="0" w:afterAutospacing="0" w:line="312" w:lineRule="auto"/>
              <w:ind w:left="0" w:right="0"/>
              <w:jc w:val="center"/>
              <w:rPr>
                <w:rFonts w:hint="eastAsia" w:eastAsia="宋体"/>
                <w:sz w:val="18"/>
                <w:szCs w:val="18"/>
                <w:highlight w:val="none"/>
                <w:lang w:eastAsia="zh-CN"/>
              </w:rPr>
            </w:pPr>
            <w:r>
              <w:rPr>
                <w:rFonts w:hint="eastAsia"/>
                <w:sz w:val="18"/>
                <w:szCs w:val="18"/>
                <w:highlight w:val="none"/>
                <w:lang w:val="en-US" w:eastAsia="zh-CN"/>
              </w:rPr>
              <w:t>2</w:t>
            </w:r>
          </w:p>
        </w:tc>
        <w:tc>
          <w:tcPr>
            <w:tcW w:w="1092" w:type="dxa"/>
            <w:vAlign w:val="center"/>
          </w:tcPr>
          <w:p>
            <w:pPr>
              <w:keepNext w:val="0"/>
              <w:keepLines w:val="0"/>
              <w:widowControl/>
              <w:suppressLineNumbers w:val="0"/>
              <w:snapToGrid w:val="0"/>
              <w:spacing w:before="0" w:beforeAutospacing="0" w:after="0" w:afterAutospacing="0" w:line="312" w:lineRule="auto"/>
              <w:ind w:left="0" w:right="0"/>
              <w:jc w:val="center"/>
              <w:rPr>
                <w:rFonts w:hint="default"/>
                <w:sz w:val="18"/>
                <w:szCs w:val="18"/>
                <w:highlight w:val="none"/>
              </w:rPr>
            </w:pPr>
          </w:p>
        </w:tc>
        <w:tc>
          <w:tcPr>
            <w:tcW w:w="6905" w:type="dxa"/>
            <w:vAlign w:val="center"/>
          </w:tcPr>
          <w:p>
            <w:pPr>
              <w:keepNext w:val="0"/>
              <w:keepLines w:val="0"/>
              <w:widowControl/>
              <w:suppressLineNumbers w:val="0"/>
              <w:snapToGrid w:val="0"/>
              <w:spacing w:before="0" w:beforeAutospacing="0" w:after="0" w:afterAutospacing="0" w:line="312" w:lineRule="auto"/>
              <w:ind w:left="0" w:right="0"/>
              <w:jc w:val="both"/>
              <w:rPr>
                <w:rFonts w:hint="default"/>
                <w:sz w:val="18"/>
                <w:szCs w:val="18"/>
                <w:highlight w:val="none"/>
              </w:rPr>
            </w:pPr>
            <w:r>
              <w:rPr>
                <w:rFonts w:hint="eastAsia"/>
                <w:sz w:val="18"/>
                <w:szCs w:val="18"/>
                <w:highlight w:val="none"/>
              </w:rPr>
              <w:t>技术规范书与招标需求一览表不一致之处，均以招标需求一览表为准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657" w:type="dxa"/>
            <w:vAlign w:val="center"/>
          </w:tcPr>
          <w:p>
            <w:pPr>
              <w:keepNext w:val="0"/>
              <w:keepLines w:val="0"/>
              <w:widowControl/>
              <w:suppressLineNumbers w:val="0"/>
              <w:snapToGrid w:val="0"/>
              <w:spacing w:before="0" w:beforeAutospacing="0" w:after="0" w:afterAutospacing="0" w:line="312" w:lineRule="auto"/>
              <w:ind w:left="0" w:right="0"/>
              <w:jc w:val="center"/>
              <w:rPr>
                <w:rFonts w:hint="eastAsia" w:eastAsia="宋体"/>
                <w:sz w:val="18"/>
                <w:szCs w:val="18"/>
                <w:highlight w:val="none"/>
                <w:lang w:val="en-US" w:eastAsia="zh-CN"/>
              </w:rPr>
            </w:pPr>
            <w:r>
              <w:rPr>
                <w:rFonts w:hint="eastAsia"/>
                <w:sz w:val="18"/>
                <w:szCs w:val="18"/>
                <w:highlight w:val="none"/>
                <w:lang w:val="en-US" w:eastAsia="zh-CN"/>
              </w:rPr>
              <w:t>3</w:t>
            </w:r>
          </w:p>
        </w:tc>
        <w:tc>
          <w:tcPr>
            <w:tcW w:w="1092" w:type="dxa"/>
            <w:vAlign w:val="center"/>
          </w:tcPr>
          <w:p>
            <w:pPr>
              <w:keepNext w:val="0"/>
              <w:keepLines w:val="0"/>
              <w:widowControl/>
              <w:suppressLineNumbers w:val="0"/>
              <w:snapToGrid w:val="0"/>
              <w:spacing w:before="0" w:beforeAutospacing="0" w:after="0" w:afterAutospacing="0" w:line="312" w:lineRule="auto"/>
              <w:ind w:left="0" w:right="0"/>
              <w:jc w:val="both"/>
              <w:rPr>
                <w:rFonts w:hint="default" w:eastAsia="宋体"/>
                <w:sz w:val="18"/>
                <w:szCs w:val="18"/>
                <w:highlight w:val="none"/>
                <w:lang w:val="en-US" w:eastAsia="zh-CN"/>
              </w:rPr>
            </w:pPr>
          </w:p>
        </w:tc>
        <w:tc>
          <w:tcPr>
            <w:tcW w:w="6905" w:type="dxa"/>
            <w:vAlign w:val="center"/>
          </w:tcPr>
          <w:p>
            <w:pPr>
              <w:keepNext w:val="0"/>
              <w:keepLines w:val="0"/>
              <w:widowControl/>
              <w:suppressLineNumbers w:val="0"/>
              <w:snapToGrid w:val="0"/>
              <w:spacing w:before="0" w:beforeAutospacing="0" w:after="0" w:afterAutospacing="0" w:line="312" w:lineRule="auto"/>
              <w:ind w:left="0" w:right="0"/>
              <w:jc w:val="both"/>
              <w:rPr>
                <w:rFonts w:hint="default"/>
                <w:sz w:val="18"/>
                <w:szCs w:val="18"/>
                <w:highlight w:val="none"/>
              </w:rPr>
            </w:pPr>
            <w:r>
              <w:rPr>
                <w:rFonts w:hint="eastAsia" w:eastAsia="宋体" w:cs="Times New Roman"/>
                <w:sz w:val="18"/>
                <w:szCs w:val="18"/>
                <w:highlight w:val="none"/>
                <w:lang w:val="zh-CN"/>
              </w:rPr>
              <w:t>本次开标为系统开标（系统为：</w:t>
            </w:r>
            <w:r>
              <w:rPr>
                <w:rFonts w:hint="eastAsia"/>
                <w:sz w:val="18"/>
                <w:szCs w:val="18"/>
                <w:highlight w:val="none"/>
                <w:lang w:val="zh-CN"/>
              </w:rPr>
              <w:t>电子商务平台https://sgccetp.com.cn</w:t>
            </w:r>
            <w:r>
              <w:rPr>
                <w:rFonts w:hint="eastAsia" w:eastAsia="宋体" w:cs="Times New Roman"/>
                <w:sz w:val="18"/>
                <w:szCs w:val="18"/>
                <w:highlight w:val="none"/>
                <w:lang w:val="zh-CN"/>
              </w:rPr>
              <w:t>），所有报价均以系统数据为准，价格部分未能成功上传ECP2.0，视为弃标。价格上传失败，不进行开标现场价格补录。如上传不成功，请联系电子商务平台运维电话：010-63411000。因价格部分未能成功上传，造成的一切后果，由投标人自行承担。（注：请务必保证电子商务平台中价格部分的成功上传，否则即使递交了云盘投标文件，也无法参与评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657" w:type="dxa"/>
            <w:vAlign w:val="center"/>
          </w:tcPr>
          <w:p>
            <w:pPr>
              <w:keepNext w:val="0"/>
              <w:keepLines w:val="0"/>
              <w:widowControl/>
              <w:suppressLineNumbers w:val="0"/>
              <w:snapToGrid w:val="0"/>
              <w:spacing w:before="0" w:beforeAutospacing="0" w:after="0" w:afterAutospacing="0" w:line="312" w:lineRule="auto"/>
              <w:ind w:left="0" w:right="0"/>
              <w:jc w:val="center"/>
              <w:rPr>
                <w:rFonts w:hint="eastAsia" w:eastAsia="宋体"/>
                <w:sz w:val="18"/>
                <w:szCs w:val="18"/>
                <w:highlight w:val="none"/>
                <w:lang w:val="en-US" w:eastAsia="zh-CN"/>
              </w:rPr>
            </w:pPr>
            <w:r>
              <w:rPr>
                <w:rFonts w:hint="eastAsia"/>
                <w:sz w:val="18"/>
                <w:szCs w:val="18"/>
                <w:highlight w:val="none"/>
                <w:lang w:val="en-US" w:eastAsia="zh-CN"/>
              </w:rPr>
              <w:t>4</w:t>
            </w:r>
          </w:p>
        </w:tc>
        <w:tc>
          <w:tcPr>
            <w:tcW w:w="1092" w:type="dxa"/>
            <w:shd w:val="clear" w:color="auto" w:fill="auto"/>
            <w:vAlign w:val="center"/>
          </w:tcPr>
          <w:p>
            <w:pPr>
              <w:keepNext w:val="0"/>
              <w:keepLines w:val="0"/>
              <w:widowControl/>
              <w:suppressLineNumbers w:val="0"/>
              <w:snapToGrid w:val="0"/>
              <w:spacing w:before="0" w:beforeAutospacing="0" w:after="0" w:afterAutospacing="0" w:line="312" w:lineRule="auto"/>
              <w:ind w:left="0" w:right="0"/>
              <w:jc w:val="both"/>
              <w:rPr>
                <w:rFonts w:hint="eastAsia" w:eastAsia="宋体" w:cs="Times New Roman"/>
                <w:sz w:val="18"/>
                <w:szCs w:val="18"/>
                <w:highlight w:val="none"/>
                <w:lang w:val="en-US" w:eastAsia="zh-CN"/>
              </w:rPr>
            </w:pPr>
            <w:r>
              <w:rPr>
                <w:rFonts w:hint="eastAsia" w:eastAsia="宋体" w:cs="Times New Roman"/>
                <w:sz w:val="18"/>
                <w:szCs w:val="18"/>
                <w:highlight w:val="none"/>
                <w:lang w:val="en-US" w:eastAsia="zh-CN"/>
              </w:rPr>
              <w:t>技术商务文件上传要求</w:t>
            </w:r>
          </w:p>
        </w:tc>
        <w:tc>
          <w:tcPr>
            <w:tcW w:w="6905" w:type="dxa"/>
            <w:shd w:val="clear" w:color="auto" w:fill="auto"/>
            <w:vAlign w:val="center"/>
          </w:tcPr>
          <w:p>
            <w:pPr>
              <w:keepNext w:val="0"/>
              <w:keepLines w:val="0"/>
              <w:widowControl/>
              <w:suppressLineNumbers w:val="0"/>
              <w:snapToGrid w:val="0"/>
              <w:spacing w:before="0" w:beforeAutospacing="0" w:after="0" w:afterAutospacing="0" w:line="312" w:lineRule="auto"/>
              <w:ind w:left="0" w:right="0"/>
              <w:jc w:val="both"/>
              <w:rPr>
                <w:rFonts w:hint="eastAsia" w:eastAsia="宋体" w:cs="Times New Roman"/>
                <w:sz w:val="18"/>
                <w:szCs w:val="18"/>
                <w:highlight w:val="none"/>
                <w:lang w:val="en-US" w:eastAsia="zh-CN"/>
              </w:rPr>
            </w:pPr>
            <w:r>
              <w:rPr>
                <w:rFonts w:hint="eastAsia" w:eastAsia="宋体" w:cs="Times New Roman"/>
                <w:sz w:val="18"/>
                <w:szCs w:val="18"/>
                <w:highlight w:val="none"/>
                <w:lang w:val="zh-CN"/>
              </w:rPr>
              <w:t>电子商务平台中技术、商务端口仅上传相应投标文件目录即可</w:t>
            </w:r>
            <w:r>
              <w:rPr>
                <w:rFonts w:hint="eastAsia" w:eastAsia="宋体" w:cs="Times New Roman"/>
                <w:sz w:val="18"/>
                <w:szCs w:val="18"/>
                <w:highlight w:val="none"/>
                <w:lang w:val="zh-CN" w:eastAsia="zh-CN"/>
              </w:rPr>
              <w:t>（</w:t>
            </w:r>
            <w:r>
              <w:rPr>
                <w:rFonts w:hint="eastAsia" w:eastAsia="宋体" w:cs="Times New Roman"/>
                <w:sz w:val="18"/>
                <w:szCs w:val="18"/>
                <w:highlight w:val="none"/>
                <w:lang w:val="en-US" w:eastAsia="zh-CN"/>
              </w:rPr>
              <w:t>参考</w:t>
            </w:r>
            <w:r>
              <w:rPr>
                <w:rFonts w:hint="eastAsia" w:eastAsia="宋体" w:cs="Times New Roman"/>
                <w:sz w:val="18"/>
                <w:szCs w:val="18"/>
                <w:highlight w:val="none"/>
                <w:lang w:val="zh-CN"/>
              </w:rPr>
              <w:t>投标文件格式章节</w:t>
            </w:r>
            <w:r>
              <w:rPr>
                <w:rFonts w:hint="eastAsia" w:eastAsia="宋体" w:cs="Times New Roman"/>
                <w:sz w:val="18"/>
                <w:szCs w:val="18"/>
                <w:highlight w:val="none"/>
                <w:lang w:val="en-US" w:eastAsia="zh-CN"/>
              </w:rPr>
              <w:t>自拟</w:t>
            </w:r>
            <w:r>
              <w:rPr>
                <w:rFonts w:hint="eastAsia" w:eastAsia="宋体" w:cs="Times New Roman"/>
                <w:sz w:val="18"/>
                <w:szCs w:val="18"/>
                <w:highlight w:val="none"/>
                <w:lang w:val="zh-CN" w:eastAsia="zh-CN"/>
              </w:rPr>
              <w:t>）</w:t>
            </w:r>
            <w:r>
              <w:rPr>
                <w:rFonts w:hint="eastAsia" w:eastAsia="宋体" w:cs="Times New Roman"/>
                <w:sz w:val="18"/>
                <w:szCs w:val="18"/>
                <w:highlight w:val="none"/>
                <w:lang w:val="zh-CN"/>
              </w:rPr>
              <w:t>，价格文件端口上传完整报价文件，资质业绩端口无需上传文件。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657" w:type="dxa"/>
            <w:vAlign w:val="center"/>
          </w:tcPr>
          <w:p>
            <w:pPr>
              <w:keepNext w:val="0"/>
              <w:keepLines w:val="0"/>
              <w:widowControl/>
              <w:suppressLineNumbers w:val="0"/>
              <w:snapToGrid w:val="0"/>
              <w:spacing w:before="0" w:beforeAutospacing="0" w:after="0" w:afterAutospacing="0" w:line="312" w:lineRule="auto"/>
              <w:ind w:left="0" w:right="0"/>
              <w:jc w:val="center"/>
              <w:rPr>
                <w:rFonts w:hint="eastAsia" w:eastAsia="宋体"/>
                <w:sz w:val="18"/>
                <w:szCs w:val="18"/>
                <w:highlight w:val="none"/>
                <w:lang w:eastAsia="zh-CN"/>
              </w:rPr>
            </w:pPr>
            <w:r>
              <w:rPr>
                <w:rFonts w:hint="eastAsia"/>
                <w:sz w:val="18"/>
                <w:szCs w:val="18"/>
                <w:highlight w:val="none"/>
                <w:lang w:val="en-US" w:eastAsia="zh-CN"/>
              </w:rPr>
              <w:t>5</w:t>
            </w:r>
          </w:p>
        </w:tc>
        <w:tc>
          <w:tcPr>
            <w:tcW w:w="1092" w:type="dxa"/>
            <w:vAlign w:val="center"/>
          </w:tcPr>
          <w:p>
            <w:pPr>
              <w:keepNext w:val="0"/>
              <w:keepLines w:val="0"/>
              <w:widowControl/>
              <w:suppressLineNumbers w:val="0"/>
              <w:snapToGrid w:val="0"/>
              <w:spacing w:before="0" w:beforeAutospacing="0" w:after="0" w:afterAutospacing="0" w:line="312" w:lineRule="auto"/>
              <w:ind w:left="0" w:right="0"/>
              <w:jc w:val="center"/>
              <w:rPr>
                <w:rFonts w:hint="default"/>
                <w:sz w:val="18"/>
                <w:szCs w:val="18"/>
                <w:highlight w:val="none"/>
              </w:rPr>
            </w:pPr>
            <w:r>
              <w:rPr>
                <w:rFonts w:hint="eastAsia"/>
                <w:sz w:val="18"/>
                <w:szCs w:val="18"/>
                <w:highlight w:val="none"/>
              </w:rPr>
              <w:t>施工资质</w:t>
            </w:r>
          </w:p>
        </w:tc>
        <w:tc>
          <w:tcPr>
            <w:tcW w:w="6905" w:type="dxa"/>
            <w:vAlign w:val="center"/>
          </w:tcPr>
          <w:p>
            <w:pPr>
              <w:keepNext w:val="0"/>
              <w:keepLines w:val="0"/>
              <w:widowControl/>
              <w:suppressLineNumbers w:val="0"/>
              <w:snapToGrid w:val="0"/>
              <w:spacing w:before="0" w:beforeAutospacing="0" w:after="0" w:afterAutospacing="0" w:line="312" w:lineRule="auto"/>
              <w:ind w:left="0" w:right="0"/>
              <w:jc w:val="both"/>
              <w:rPr>
                <w:rFonts w:hint="default"/>
                <w:sz w:val="18"/>
                <w:szCs w:val="18"/>
                <w:highlight w:val="none"/>
              </w:rPr>
            </w:pPr>
            <w:r>
              <w:rPr>
                <w:rFonts w:hint="eastAsia"/>
                <w:sz w:val="18"/>
                <w:szCs w:val="18"/>
                <w:highlight w:val="none"/>
              </w:rPr>
              <w:t>投标人以施工资质证书参与投标的，必须同时提供在有效期内的安全生产许可证，否则，造成的一切后果，由投标人自行承担。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657" w:type="dxa"/>
            <w:vAlign w:val="center"/>
          </w:tcPr>
          <w:p>
            <w:pPr>
              <w:keepNext w:val="0"/>
              <w:keepLines w:val="0"/>
              <w:widowControl/>
              <w:suppressLineNumbers w:val="0"/>
              <w:snapToGrid w:val="0"/>
              <w:spacing w:before="0" w:beforeAutospacing="0" w:after="0" w:afterAutospacing="0" w:line="312" w:lineRule="auto"/>
              <w:ind w:left="0" w:right="0"/>
              <w:jc w:val="center"/>
              <w:rPr>
                <w:rFonts w:hint="default" w:eastAsia="宋体"/>
                <w:sz w:val="18"/>
                <w:szCs w:val="18"/>
                <w:highlight w:val="none"/>
                <w:lang w:val="en-US" w:eastAsia="zh-CN"/>
              </w:rPr>
            </w:pPr>
            <w:r>
              <w:rPr>
                <w:rFonts w:hint="eastAsia"/>
                <w:sz w:val="18"/>
                <w:szCs w:val="18"/>
                <w:highlight w:val="none"/>
                <w:lang w:val="en-US" w:eastAsia="zh-CN"/>
              </w:rPr>
              <w:t>6</w:t>
            </w:r>
          </w:p>
        </w:tc>
        <w:tc>
          <w:tcPr>
            <w:tcW w:w="1092" w:type="dxa"/>
            <w:vAlign w:val="center"/>
          </w:tcPr>
          <w:p>
            <w:pPr>
              <w:keepNext w:val="0"/>
              <w:keepLines w:val="0"/>
              <w:widowControl/>
              <w:suppressLineNumbers w:val="0"/>
              <w:snapToGrid w:val="0"/>
              <w:spacing w:before="0" w:beforeAutospacing="0" w:after="0" w:afterAutospacing="0" w:line="312" w:lineRule="auto"/>
              <w:ind w:left="0" w:right="0"/>
              <w:jc w:val="center"/>
              <w:rPr>
                <w:rFonts w:hint="default" w:eastAsia="宋体"/>
                <w:sz w:val="18"/>
                <w:szCs w:val="18"/>
                <w:highlight w:val="none"/>
                <w:lang w:val="en-US" w:eastAsia="zh-CN"/>
              </w:rPr>
            </w:pPr>
            <w:r>
              <w:rPr>
                <w:rFonts w:hint="eastAsia"/>
                <w:sz w:val="18"/>
                <w:szCs w:val="18"/>
                <w:highlight w:val="none"/>
                <w:lang w:val="en-US" w:eastAsia="zh-CN"/>
              </w:rPr>
              <w:t>税率要求</w:t>
            </w:r>
          </w:p>
        </w:tc>
        <w:tc>
          <w:tcPr>
            <w:tcW w:w="6905" w:type="dxa"/>
            <w:vAlign w:val="center"/>
          </w:tcPr>
          <w:p>
            <w:pPr>
              <w:keepNext w:val="0"/>
              <w:keepLines w:val="0"/>
              <w:suppressLineNumbers w:val="0"/>
              <w:spacing w:before="0" w:beforeAutospacing="0" w:after="0" w:afterAutospacing="0"/>
              <w:ind w:left="0" w:right="0"/>
              <w:jc w:val="both"/>
              <w:rPr>
                <w:rFonts w:hint="default"/>
                <w:sz w:val="18"/>
                <w:szCs w:val="18"/>
                <w:highlight w:val="none"/>
              </w:rPr>
            </w:pPr>
            <w:r>
              <w:rPr>
                <w:rFonts w:hint="eastAsia"/>
                <w:sz w:val="18"/>
                <w:szCs w:val="18"/>
                <w:highlight w:val="none"/>
                <w:lang w:val="zh-CN"/>
              </w:rPr>
              <w:t>本批次所有项目的税率请参照需求一览表，若电子商务平台中填报税率与需求一览表中不符，将作否决处理。（小规模纳税人</w:t>
            </w:r>
            <w:r>
              <w:rPr>
                <w:rFonts w:hint="eastAsia"/>
                <w:sz w:val="18"/>
                <w:szCs w:val="18"/>
                <w:highlight w:val="none"/>
                <w:lang w:val="en-US" w:eastAsia="zh-CN"/>
              </w:rPr>
              <w:t>除外，但需在投标文件中提供为小规模纳税人的官方佐证材料</w:t>
            </w:r>
            <w:r>
              <w:rPr>
                <w:rFonts w:hint="eastAsia"/>
                <w:sz w:val="18"/>
                <w:szCs w:val="18"/>
                <w:highlight w:val="none"/>
                <w:lang w:val="zh-CN"/>
              </w:rPr>
              <w:t>）</w:t>
            </w:r>
            <w:r>
              <w:rPr>
                <w:rFonts w:hint="eastAsia" w:eastAsia="宋体" w:cs="Times New Roman"/>
                <w:sz w:val="18"/>
                <w:szCs w:val="18"/>
                <w:highlight w:val="none"/>
                <w:lang w:val="en-US" w:eastAsia="zh-CN"/>
              </w:rPr>
              <w:t>如有其它税率优惠政策，请提供</w:t>
            </w:r>
            <w:r>
              <w:rPr>
                <w:rFonts w:hint="eastAsia" w:eastAsia="宋体" w:cs="Times New Roman"/>
                <w:sz w:val="18"/>
                <w:szCs w:val="18"/>
                <w:highlight w:val="none"/>
                <w:lang w:val="zh-CN" w:eastAsia="zh-CN"/>
              </w:rPr>
              <w:t>相关官方证明材料。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657" w:type="dxa"/>
            <w:vAlign w:val="center"/>
          </w:tcPr>
          <w:p>
            <w:pPr>
              <w:keepNext w:val="0"/>
              <w:keepLines w:val="0"/>
              <w:widowControl/>
              <w:suppressLineNumbers w:val="0"/>
              <w:snapToGrid w:val="0"/>
              <w:spacing w:before="0" w:beforeAutospacing="0" w:after="0" w:afterAutospacing="0" w:line="312" w:lineRule="auto"/>
              <w:ind w:left="0" w:right="0"/>
              <w:jc w:val="center"/>
              <w:rPr>
                <w:rFonts w:hint="default"/>
                <w:sz w:val="18"/>
                <w:szCs w:val="18"/>
                <w:highlight w:val="none"/>
                <w:lang w:val="en-US" w:eastAsia="zh-CN"/>
              </w:rPr>
            </w:pPr>
            <w:r>
              <w:rPr>
                <w:rFonts w:hint="eastAsia"/>
                <w:sz w:val="18"/>
                <w:szCs w:val="18"/>
                <w:highlight w:val="none"/>
                <w:lang w:val="en-US" w:eastAsia="zh-CN"/>
              </w:rPr>
              <w:t>7</w:t>
            </w:r>
          </w:p>
        </w:tc>
        <w:tc>
          <w:tcPr>
            <w:tcW w:w="1092" w:type="dxa"/>
            <w:vAlign w:val="center"/>
          </w:tcPr>
          <w:p>
            <w:pPr>
              <w:keepNext w:val="0"/>
              <w:keepLines w:val="0"/>
              <w:widowControl/>
              <w:suppressLineNumbers w:val="0"/>
              <w:snapToGrid w:val="0"/>
              <w:spacing w:before="0" w:beforeAutospacing="0" w:after="0" w:afterAutospacing="0" w:line="312" w:lineRule="auto"/>
              <w:ind w:left="0" w:right="0"/>
              <w:jc w:val="both"/>
              <w:rPr>
                <w:rFonts w:hint="default"/>
                <w:sz w:val="18"/>
                <w:szCs w:val="18"/>
                <w:highlight w:val="none"/>
              </w:rPr>
            </w:pPr>
            <w:r>
              <w:rPr>
                <w:rFonts w:hint="eastAsia"/>
                <w:sz w:val="18"/>
                <w:szCs w:val="18"/>
                <w:highlight w:val="none"/>
                <w:lang w:val="en-US" w:eastAsia="zh-CN"/>
              </w:rPr>
              <w:t>业绩证明材料要求</w:t>
            </w:r>
          </w:p>
        </w:tc>
        <w:tc>
          <w:tcPr>
            <w:tcW w:w="6905" w:type="dxa"/>
            <w:vAlign w:val="center"/>
          </w:tcPr>
          <w:p>
            <w:pPr>
              <w:keepNext w:val="0"/>
              <w:keepLines w:val="0"/>
              <w:widowControl/>
              <w:suppressLineNumbers w:val="0"/>
              <w:snapToGrid w:val="0"/>
              <w:spacing w:before="0" w:beforeAutospacing="0" w:after="0" w:afterAutospacing="0" w:line="312" w:lineRule="auto"/>
              <w:ind w:left="0" w:right="0"/>
              <w:jc w:val="both"/>
              <w:rPr>
                <w:rFonts w:hint="default"/>
                <w:sz w:val="18"/>
                <w:szCs w:val="18"/>
                <w:highlight w:val="none"/>
                <w:lang w:val="en-US" w:eastAsia="zh-CN"/>
              </w:rPr>
            </w:pPr>
            <w:r>
              <w:rPr>
                <w:rFonts w:hint="eastAsia"/>
                <w:sz w:val="18"/>
                <w:szCs w:val="18"/>
                <w:highlight w:val="none"/>
                <w:lang w:val="en-US" w:eastAsia="zh-CN"/>
              </w:rPr>
              <w:t>1.投标人提供的业绩支撑证明材料要求：（1）业绩必须同时提供对应的合同和发票原件的影印件，发票影印件后须附通过国家税务总局全国增值税发票查验平台（网址：https://inv-veri.chinatax.gov.cn/）查验的发票结果截图，“一发票一截图”，未按要求提供对应发票查验结果截图的发票不予认可。所有业绩支撑证明材料内容须保证清晰、可辨认且不得遮盖、涂抹。（2）未提供合同或者发票的业绩为无效业绩。（3）业绩的有效期限以需求一览表中业绩要求的时间期限为准，合同的签订日期和发票的开票日期均应处于业绩要求的时间期限内，否则视为无效业绩。（4）提供的合同无法辨认合同签订日期的，属于关键信息不全，不予认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657" w:type="dxa"/>
            <w:vAlign w:val="center"/>
          </w:tcPr>
          <w:p>
            <w:pPr>
              <w:keepNext w:val="0"/>
              <w:keepLines w:val="0"/>
              <w:widowControl/>
              <w:suppressLineNumbers w:val="0"/>
              <w:snapToGrid w:val="0"/>
              <w:spacing w:before="0" w:beforeAutospacing="0" w:after="0" w:afterAutospacing="0" w:line="312" w:lineRule="auto"/>
              <w:ind w:left="0" w:right="0"/>
              <w:jc w:val="center"/>
              <w:rPr>
                <w:rFonts w:hint="default"/>
                <w:sz w:val="18"/>
                <w:szCs w:val="18"/>
                <w:highlight w:val="none"/>
                <w:lang w:val="en-US" w:eastAsia="zh-CN"/>
              </w:rPr>
            </w:pPr>
            <w:r>
              <w:rPr>
                <w:rFonts w:hint="eastAsia"/>
                <w:sz w:val="18"/>
                <w:szCs w:val="18"/>
                <w:highlight w:val="none"/>
                <w:lang w:val="en-US" w:eastAsia="zh-CN"/>
              </w:rPr>
              <w:t>8</w:t>
            </w:r>
          </w:p>
        </w:tc>
        <w:tc>
          <w:tcPr>
            <w:tcW w:w="1092" w:type="dxa"/>
            <w:vAlign w:val="center"/>
          </w:tcPr>
          <w:p>
            <w:pPr>
              <w:keepNext w:val="0"/>
              <w:keepLines w:val="0"/>
              <w:widowControl/>
              <w:suppressLineNumbers w:val="0"/>
              <w:snapToGrid w:val="0"/>
              <w:spacing w:before="0" w:beforeAutospacing="0" w:after="0" w:afterAutospacing="0" w:line="312" w:lineRule="auto"/>
              <w:ind w:left="0" w:right="0"/>
              <w:jc w:val="center"/>
              <w:rPr>
                <w:rFonts w:hint="eastAsia"/>
                <w:b/>
                <w:bCs/>
                <w:color w:val="FF0000"/>
                <w:sz w:val="18"/>
                <w:szCs w:val="18"/>
                <w:highlight w:val="none"/>
                <w:lang w:val="en-US" w:eastAsia="zh-CN"/>
              </w:rPr>
            </w:pPr>
          </w:p>
        </w:tc>
        <w:tc>
          <w:tcPr>
            <w:tcW w:w="6905" w:type="dxa"/>
            <w:vAlign w:val="center"/>
          </w:tcPr>
          <w:p>
            <w:pPr>
              <w:keepNext w:val="0"/>
              <w:keepLines w:val="0"/>
              <w:suppressLineNumbers w:val="0"/>
              <w:spacing w:before="0" w:beforeAutospacing="0" w:after="0" w:afterAutospacing="0"/>
              <w:ind w:left="0" w:right="0"/>
              <w:rPr>
                <w:rFonts w:hint="eastAsia" w:ascii="宋体" w:hAnsi="宋体" w:eastAsia="宋体" w:cs="宋体"/>
                <w:b/>
                <w:bCs/>
                <w:color w:val="FFFF00"/>
                <w:sz w:val="18"/>
                <w:szCs w:val="18"/>
                <w:highlight w:val="red"/>
              </w:rPr>
            </w:pPr>
            <w:r>
              <w:rPr>
                <w:rFonts w:hint="eastAsia"/>
                <w:sz w:val="18"/>
                <w:szCs w:val="18"/>
                <w:highlight w:val="none"/>
                <w:lang w:val="en-US" w:eastAsia="zh-CN"/>
              </w:rPr>
              <w:t>投标人须提供招标文件要求的资质证书、许可证书、人员资格证书等证书影印件及证书的网上查询截屏（放在对应证书资格证明文件处）。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657" w:type="dxa"/>
            <w:vAlign w:val="center"/>
          </w:tcPr>
          <w:p>
            <w:pPr>
              <w:keepNext w:val="0"/>
              <w:keepLines w:val="0"/>
              <w:widowControl/>
              <w:suppressLineNumbers w:val="0"/>
              <w:snapToGrid w:val="0"/>
              <w:spacing w:before="0" w:beforeAutospacing="0" w:after="0" w:afterAutospacing="0" w:line="312" w:lineRule="auto"/>
              <w:ind w:left="0" w:right="0"/>
              <w:jc w:val="center"/>
              <w:rPr>
                <w:rFonts w:hint="default"/>
                <w:sz w:val="18"/>
                <w:szCs w:val="18"/>
                <w:highlight w:val="none"/>
                <w:lang w:val="en-US" w:eastAsia="zh-CN"/>
              </w:rPr>
            </w:pPr>
            <w:r>
              <w:rPr>
                <w:rFonts w:hint="eastAsia"/>
                <w:sz w:val="18"/>
                <w:szCs w:val="18"/>
                <w:highlight w:val="none"/>
                <w:lang w:val="en-US" w:eastAsia="zh-CN"/>
              </w:rPr>
              <w:t>9</w:t>
            </w:r>
          </w:p>
        </w:tc>
        <w:tc>
          <w:tcPr>
            <w:tcW w:w="1092" w:type="dxa"/>
            <w:vAlign w:val="center"/>
          </w:tcPr>
          <w:p>
            <w:pPr>
              <w:keepNext w:val="0"/>
              <w:keepLines w:val="0"/>
              <w:widowControl/>
              <w:suppressLineNumbers w:val="0"/>
              <w:snapToGrid w:val="0"/>
              <w:spacing w:before="0" w:beforeAutospacing="0" w:after="0" w:afterAutospacing="0" w:line="312" w:lineRule="auto"/>
              <w:ind w:left="0" w:right="0"/>
              <w:jc w:val="center"/>
              <w:rPr>
                <w:rFonts w:hint="eastAsia"/>
                <w:b/>
                <w:bCs/>
                <w:color w:val="FF0000"/>
                <w:sz w:val="18"/>
                <w:szCs w:val="18"/>
                <w:highlight w:val="none"/>
                <w:lang w:val="en-US" w:eastAsia="zh-CN"/>
              </w:rPr>
            </w:pPr>
            <w:r>
              <w:rPr>
                <w:rFonts w:hint="eastAsia" w:ascii="宋体" w:hAnsi="宋体"/>
                <w:b/>
                <w:color w:val="FF0000"/>
              </w:rPr>
              <w:t>投标人基本信息收集表（</w:t>
            </w:r>
            <w:r>
              <w:rPr>
                <w:rFonts w:hint="eastAsia" w:cs="Calibri"/>
                <w:b/>
                <w:color w:val="FF0000"/>
              </w:rPr>
              <w:t>excel</w:t>
            </w:r>
            <w:r>
              <w:rPr>
                <w:rFonts w:hint="eastAsia" w:ascii="宋体" w:hAnsi="宋体"/>
                <w:b/>
                <w:color w:val="FF0000"/>
              </w:rPr>
              <w:t>）</w:t>
            </w:r>
          </w:p>
        </w:tc>
        <w:tc>
          <w:tcPr>
            <w:tcW w:w="6905" w:type="dxa"/>
            <w:vAlign w:val="center"/>
          </w:tcPr>
          <w:p>
            <w:pPr>
              <w:keepNext w:val="0"/>
              <w:keepLines w:val="0"/>
              <w:suppressLineNumbers w:val="0"/>
              <w:spacing w:before="0" w:beforeAutospacing="0" w:after="0" w:afterAutospacing="0"/>
              <w:ind w:left="0" w:right="0"/>
              <w:rPr>
                <w:rFonts w:hint="eastAsia" w:ascii="宋体" w:hAnsi="宋体" w:eastAsia="宋体" w:cs="宋体"/>
                <w:b/>
                <w:bCs/>
                <w:color w:val="FFFF00"/>
                <w:sz w:val="18"/>
                <w:szCs w:val="18"/>
                <w:highlight w:val="red"/>
              </w:rPr>
            </w:pPr>
            <w:r>
              <w:rPr>
                <w:rFonts w:hint="eastAsia" w:ascii="宋体" w:hAnsi="宋体"/>
                <w:b/>
                <w:color w:val="FF0000"/>
              </w:rPr>
              <w:t>请投标人于</w:t>
            </w:r>
            <w:r>
              <w:rPr>
                <w:rFonts w:hint="eastAsia" w:cs="Calibri"/>
                <w:b/>
                <w:color w:val="FF0000"/>
              </w:rPr>
              <w:t>202</w:t>
            </w:r>
            <w:r>
              <w:rPr>
                <w:rFonts w:hint="eastAsia" w:cs="Calibri"/>
                <w:b/>
                <w:color w:val="FF0000"/>
                <w:lang w:val="en-US" w:eastAsia="zh-CN"/>
              </w:rPr>
              <w:t>5</w:t>
            </w:r>
            <w:r>
              <w:rPr>
                <w:rFonts w:hint="eastAsia" w:ascii="宋体" w:hAnsi="宋体"/>
                <w:b/>
                <w:color w:val="FF0000"/>
              </w:rPr>
              <w:t>年</w:t>
            </w:r>
            <w:r>
              <w:rPr>
                <w:rFonts w:hint="eastAsia" w:cs="Calibri"/>
                <w:b/>
                <w:color w:val="FF0000"/>
                <w:lang w:val="en-US" w:eastAsia="zh-CN"/>
              </w:rPr>
              <w:t>7月14日</w:t>
            </w:r>
            <w:r>
              <w:rPr>
                <w:rFonts w:hint="eastAsia" w:cs="Calibri"/>
                <w:b/>
                <w:color w:val="FF0000"/>
              </w:rPr>
              <w:t>08:30</w:t>
            </w:r>
            <w:r>
              <w:rPr>
                <w:rFonts w:hint="eastAsia" w:ascii="宋体" w:hAnsi="宋体"/>
                <w:b/>
                <w:color w:val="FF0000"/>
              </w:rPr>
              <w:t>前单独发送至：</w:t>
            </w:r>
            <w:r>
              <w:rPr>
                <w:rFonts w:hint="eastAsia" w:cs="Calibri"/>
                <w:b/>
                <w:color w:val="FF0000"/>
                <w:u w:val="single"/>
              </w:rPr>
              <w:t>https://v2.fangcloud.com/collection/fba03290ef8040e44c14d998c4fedcde</w:t>
            </w:r>
            <w:r>
              <w:rPr>
                <w:rFonts w:hint="eastAsia" w:ascii="宋体" w:hAnsi="宋体"/>
                <w:b/>
                <w:color w:val="FF0000"/>
              </w:rPr>
              <w:t>（投标人须将企业基本信息填入，纸质文件不需提供，并确保表中信息与投标文件中相关证明材料信息一致）</w:t>
            </w:r>
          </w:p>
        </w:tc>
      </w:tr>
    </w:tbl>
    <w:p>
      <w:pPr>
        <w:pStyle w:val="2"/>
        <w:ind w:left="0" w:leftChars="0" w:firstLine="0"/>
        <w:rPr>
          <w:highlight w:val="cyan"/>
        </w:rPr>
      </w:pPr>
    </w:p>
    <w:p>
      <w:pPr>
        <w:pStyle w:val="21"/>
        <w:spacing w:line="400" w:lineRule="exact"/>
        <w:ind w:firstLine="420" w:firstLineChars="200"/>
        <w:jc w:val="right"/>
        <w:rPr>
          <w:rFonts w:cs="Arial"/>
          <w:sz w:val="21"/>
          <w:lang w:val="en-US"/>
        </w:rPr>
        <w:sectPr>
          <w:headerReference r:id="rId3" w:type="default"/>
          <w:footerReference r:id="rId4" w:type="default"/>
          <w:pgSz w:w="11906" w:h="16838"/>
          <w:pgMar w:top="1134" w:right="1800" w:bottom="1134" w:left="1800" w:header="850" w:footer="992" w:gutter="0"/>
          <w:cols w:space="720" w:num="1"/>
          <w:docGrid w:linePitch="319" w:charSpace="0"/>
        </w:sectPr>
      </w:pPr>
      <w:r>
        <w:rPr>
          <w:rFonts w:hint="eastAsia"/>
          <w:kern w:val="2"/>
          <w:sz w:val="21"/>
          <w:lang w:val="en-US" w:eastAsia="zh-CN"/>
        </w:rPr>
        <w:t>2025</w:t>
      </w:r>
      <w:r>
        <w:rPr>
          <w:kern w:val="2"/>
          <w:sz w:val="21"/>
          <w:lang w:val="en-US"/>
        </w:rPr>
        <w:t>年</w:t>
      </w:r>
      <w:r>
        <w:rPr>
          <w:rFonts w:hint="eastAsia"/>
          <w:kern w:val="2"/>
          <w:sz w:val="21"/>
          <w:lang w:val="en-US" w:eastAsia="zh-CN"/>
        </w:rPr>
        <w:t>6月20</w:t>
      </w:r>
      <w:r>
        <w:rPr>
          <w:kern w:val="2"/>
          <w:sz w:val="21"/>
          <w:lang w:val="en-US"/>
        </w:rPr>
        <w:t>日</w:t>
      </w:r>
      <w:r>
        <w:rPr>
          <w:rFonts w:cs="Arial"/>
          <w:sz w:val="21"/>
          <w:lang w:val="en-US"/>
        </w:rPr>
        <w:t xml:space="preserve"> </w:t>
      </w:r>
    </w:p>
    <w:p>
      <w:pPr>
        <w:pStyle w:val="2"/>
        <w:widowControl/>
        <w:adjustRightInd w:val="0"/>
        <w:snapToGrid w:val="0"/>
        <w:spacing w:line="400" w:lineRule="exact"/>
        <w:ind w:left="0" w:leftChars="0" w:firstLine="0"/>
        <w:jc w:val="left"/>
        <w:rPr>
          <w:rFonts w:ascii="黑体" w:hAnsi="黑体" w:eastAsia="黑体" w:cs="黑体"/>
          <w:b/>
          <w:bCs/>
          <w:sz w:val="24"/>
        </w:rPr>
      </w:pPr>
      <w:r>
        <w:rPr>
          <w:rFonts w:hint="eastAsia" w:ascii="黑体" w:hAnsi="黑体" w:eastAsia="黑体" w:cs="黑体"/>
          <w:b/>
          <w:bCs/>
          <w:sz w:val="24"/>
        </w:rPr>
        <w:t>招标公告附件</w:t>
      </w:r>
    </w:p>
    <w:p>
      <w:pPr>
        <w:spacing w:before="156" w:beforeLines="50" w:line="460" w:lineRule="exact"/>
        <w:jc w:val="left"/>
        <w:outlineLvl w:val="1"/>
        <w:rPr>
          <w:rFonts w:hint="eastAsia"/>
        </w:rPr>
        <w:sectPr>
          <w:pgSz w:w="11906" w:h="16838"/>
          <w:pgMar w:top="1440" w:right="1800" w:bottom="1440" w:left="1800" w:header="851" w:footer="992" w:gutter="0"/>
          <w:cols w:space="425" w:num="1"/>
          <w:docGrid w:type="lines" w:linePitch="312" w:charSpace="0"/>
        </w:sectPr>
      </w:pPr>
      <w:r>
        <w:rPr>
          <w:rFonts w:hint="eastAsia" w:ascii="黑体" w:hAnsi="宋体" w:eastAsia="黑体"/>
          <w:b/>
          <w:bCs/>
          <w:sz w:val="24"/>
          <w:szCs w:val="28"/>
          <w:highlight w:val="none"/>
        </w:rPr>
        <w:t>招标需求一览表</w:t>
      </w:r>
    </w:p>
    <w:p>
      <w:pPr>
        <w:pStyle w:val="8"/>
        <w:rPr>
          <w:rFonts w:hint="eastAsia"/>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53" w:right="53"/>
      <w:jc w:val="center"/>
    </w:pPr>
    <w:r>
      <w:fldChar w:fldCharType="begin"/>
    </w:r>
    <w:r>
      <w:instrText xml:space="preserve">PAGE   \* MERGEFORMAT</w:instrText>
    </w:r>
    <w:r>
      <w:fldChar w:fldCharType="separate"/>
    </w:r>
    <w:r>
      <w:rPr>
        <w:lang w:val="zh-CN"/>
      </w:rPr>
      <w:t>72</w:t>
    </w:r>
    <w:r>
      <w:fldChar w:fldCharType="end"/>
    </w:r>
  </w:p>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jZDIyNTM1Njk3NWY5MjQzNTFkNTAwOTk0ZTFkMDUifQ=="/>
    <w:docVar w:name="KSO_WPS_MARK_KEY" w:val="b3901f3a-ddfd-4899-83e2-06cff9b3d7a9"/>
  </w:docVars>
  <w:rsids>
    <w:rsidRoot w:val="235E223B"/>
    <w:rsid w:val="01905B81"/>
    <w:rsid w:val="01A476BC"/>
    <w:rsid w:val="023A15B6"/>
    <w:rsid w:val="027F3023"/>
    <w:rsid w:val="02A8291F"/>
    <w:rsid w:val="03FF1D1E"/>
    <w:rsid w:val="073637F9"/>
    <w:rsid w:val="0AFB3396"/>
    <w:rsid w:val="0BA31B02"/>
    <w:rsid w:val="0BB16B66"/>
    <w:rsid w:val="0EA9669B"/>
    <w:rsid w:val="0F573232"/>
    <w:rsid w:val="0FE06988"/>
    <w:rsid w:val="11292782"/>
    <w:rsid w:val="116E78A1"/>
    <w:rsid w:val="12CD65CB"/>
    <w:rsid w:val="12D11402"/>
    <w:rsid w:val="1AC17DD7"/>
    <w:rsid w:val="1E1C5BE5"/>
    <w:rsid w:val="1E670371"/>
    <w:rsid w:val="1F42538B"/>
    <w:rsid w:val="1F5B3B85"/>
    <w:rsid w:val="215C7C31"/>
    <w:rsid w:val="235E223B"/>
    <w:rsid w:val="23950F46"/>
    <w:rsid w:val="24784F20"/>
    <w:rsid w:val="24AB1EC1"/>
    <w:rsid w:val="25A1590D"/>
    <w:rsid w:val="25A246E2"/>
    <w:rsid w:val="269D17FE"/>
    <w:rsid w:val="27317A88"/>
    <w:rsid w:val="27FF3C5C"/>
    <w:rsid w:val="29FF7652"/>
    <w:rsid w:val="2ACF0723"/>
    <w:rsid w:val="2B182E6C"/>
    <w:rsid w:val="2CCB70C0"/>
    <w:rsid w:val="2D4A775D"/>
    <w:rsid w:val="2DEF56C4"/>
    <w:rsid w:val="2EA12224"/>
    <w:rsid w:val="2F9A32D8"/>
    <w:rsid w:val="30816635"/>
    <w:rsid w:val="32C25506"/>
    <w:rsid w:val="35A12657"/>
    <w:rsid w:val="365F4CB9"/>
    <w:rsid w:val="38504125"/>
    <w:rsid w:val="3B6C1BFC"/>
    <w:rsid w:val="3CD04C9C"/>
    <w:rsid w:val="3EB54A77"/>
    <w:rsid w:val="3F5431DA"/>
    <w:rsid w:val="41003186"/>
    <w:rsid w:val="413A026E"/>
    <w:rsid w:val="42151025"/>
    <w:rsid w:val="424D3071"/>
    <w:rsid w:val="43C0465D"/>
    <w:rsid w:val="4510132D"/>
    <w:rsid w:val="46BF20B4"/>
    <w:rsid w:val="475E4227"/>
    <w:rsid w:val="47FE17F4"/>
    <w:rsid w:val="48A97537"/>
    <w:rsid w:val="48FD584B"/>
    <w:rsid w:val="49CC6B84"/>
    <w:rsid w:val="4C36611E"/>
    <w:rsid w:val="4F8527BE"/>
    <w:rsid w:val="50531820"/>
    <w:rsid w:val="54A067F2"/>
    <w:rsid w:val="550E0699"/>
    <w:rsid w:val="56D37E00"/>
    <w:rsid w:val="5A9C550B"/>
    <w:rsid w:val="5C120264"/>
    <w:rsid w:val="5C7D5F8B"/>
    <w:rsid w:val="5D442C64"/>
    <w:rsid w:val="5E331B30"/>
    <w:rsid w:val="5E776384"/>
    <w:rsid w:val="6059267E"/>
    <w:rsid w:val="60697925"/>
    <w:rsid w:val="60E5134B"/>
    <w:rsid w:val="62072641"/>
    <w:rsid w:val="623C6054"/>
    <w:rsid w:val="631F1A5C"/>
    <w:rsid w:val="64B707CE"/>
    <w:rsid w:val="683F3A37"/>
    <w:rsid w:val="68937277"/>
    <w:rsid w:val="68C74CFE"/>
    <w:rsid w:val="6B815811"/>
    <w:rsid w:val="6BCF626D"/>
    <w:rsid w:val="6BE071F2"/>
    <w:rsid w:val="6ED05B7A"/>
    <w:rsid w:val="6F3338E9"/>
    <w:rsid w:val="702F0DE7"/>
    <w:rsid w:val="707657A2"/>
    <w:rsid w:val="71483664"/>
    <w:rsid w:val="71695D1D"/>
    <w:rsid w:val="71810C1C"/>
    <w:rsid w:val="71D622E1"/>
    <w:rsid w:val="7E4B68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6">
    <w:name w:val="heading 2"/>
    <w:basedOn w:val="1"/>
    <w:next w:val="1"/>
    <w:qFormat/>
    <w:uiPriority w:val="0"/>
    <w:pPr>
      <w:keepNext/>
      <w:keepLines/>
      <w:spacing w:before="260" w:after="260" w:line="416" w:lineRule="auto"/>
      <w:outlineLvl w:val="1"/>
    </w:pPr>
    <w:rPr>
      <w:rFonts w:ascii="Arial" w:hAnsi="Arial"/>
      <w:b/>
      <w:bCs/>
      <w:szCs w:val="32"/>
    </w:rPr>
  </w:style>
  <w:style w:type="character" w:default="1" w:styleId="14">
    <w:name w:val="Default Paragraph Font"/>
    <w:semiHidden/>
    <w:qFormat/>
    <w:uiPriority w:val="0"/>
  </w:style>
  <w:style w:type="table" w:default="1" w:styleId="16">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Layout w:type="fixed"/>
      <w:tblCellMar>
        <w:top w:w="0" w:type="dxa"/>
        <w:left w:w="108" w:type="dxa"/>
        <w:bottom w:w="0" w:type="dxa"/>
        <w:right w:w="108" w:type="dxa"/>
      </w:tblCellMar>
    </w:tblPr>
  </w:style>
  <w:style w:type="paragraph" w:styleId="2">
    <w:name w:val="Body Text First Indent 2"/>
    <w:basedOn w:val="3"/>
    <w:next w:val="4"/>
    <w:qFormat/>
    <w:uiPriority w:val="0"/>
    <w:pPr>
      <w:ind w:firstLine="420"/>
    </w:pPr>
  </w:style>
  <w:style w:type="paragraph" w:styleId="3">
    <w:name w:val="Body Text Indent"/>
    <w:basedOn w:val="1"/>
    <w:qFormat/>
    <w:uiPriority w:val="0"/>
    <w:pPr>
      <w:spacing w:after="120"/>
      <w:ind w:left="420" w:leftChars="200"/>
    </w:pPr>
  </w:style>
  <w:style w:type="paragraph" w:customStyle="1" w:styleId="4">
    <w:name w:val="表格文字"/>
    <w:basedOn w:val="5"/>
    <w:next w:val="1"/>
    <w:qFormat/>
    <w:uiPriority w:val="0"/>
    <w:pPr>
      <w:ind w:firstLine="0" w:firstLineChars="0"/>
      <w:jc w:val="center"/>
    </w:pPr>
    <w:rPr>
      <w:szCs w:val="20"/>
    </w:rPr>
  </w:style>
  <w:style w:type="paragraph" w:styleId="5">
    <w:name w:val="List"/>
    <w:basedOn w:val="1"/>
    <w:qFormat/>
    <w:uiPriority w:val="0"/>
    <w:pPr>
      <w:ind w:left="200" w:hanging="200" w:hangingChars="200"/>
      <w:contextualSpacing/>
    </w:pPr>
  </w:style>
  <w:style w:type="paragraph" w:styleId="7">
    <w:name w:val="Normal Indent"/>
    <w:basedOn w:val="1"/>
    <w:next w:val="8"/>
    <w:qFormat/>
    <w:uiPriority w:val="0"/>
    <w:pPr>
      <w:ind w:firstLine="420"/>
    </w:pPr>
    <w:rPr>
      <w:rFonts w:ascii="Times New Roman" w:hAnsi="Times New Roman"/>
    </w:rPr>
  </w:style>
  <w:style w:type="paragraph" w:styleId="8">
    <w:name w:val="Body Text"/>
    <w:basedOn w:val="1"/>
    <w:next w:val="1"/>
    <w:qFormat/>
    <w:uiPriority w:val="0"/>
    <w:pPr>
      <w:spacing w:after="120"/>
    </w:pPr>
  </w:style>
  <w:style w:type="paragraph" w:styleId="9">
    <w:name w:val="Document Map"/>
    <w:basedOn w:val="1"/>
    <w:unhideWhenUsed/>
    <w:qFormat/>
    <w:uiPriority w:val="0"/>
    <w:rPr>
      <w:rFonts w:ascii="Microsoft YaHei UI" w:eastAsia="Microsoft YaHei UI"/>
      <w:sz w:val="18"/>
      <w:szCs w:val="18"/>
    </w:rPr>
  </w:style>
  <w:style w:type="paragraph" w:styleId="10">
    <w:name w:val="annotation text"/>
    <w:basedOn w:val="1"/>
    <w:qFormat/>
    <w:uiPriority w:val="0"/>
    <w:pPr>
      <w:jc w:val="left"/>
    </w:pPr>
  </w:style>
  <w:style w:type="paragraph" w:styleId="11">
    <w:name w:val="footer"/>
    <w:basedOn w:val="1"/>
    <w:qFormat/>
    <w:uiPriority w:val="99"/>
    <w:pPr>
      <w:tabs>
        <w:tab w:val="center" w:pos="4153"/>
        <w:tab w:val="right" w:pos="8306"/>
      </w:tabs>
      <w:snapToGrid w:val="0"/>
      <w:jc w:val="left"/>
    </w:pPr>
    <w:rPr>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3">
    <w:name w:val="Normal (Web)"/>
    <w:basedOn w:val="1"/>
    <w:qFormat/>
    <w:uiPriority w:val="0"/>
    <w:rPr>
      <w:sz w:val="24"/>
    </w:rPr>
  </w:style>
  <w:style w:type="character" w:styleId="15">
    <w:name w:val="Hyperlink"/>
    <w:qFormat/>
    <w:uiPriority w:val="99"/>
    <w:rPr>
      <w:color w:val="0000FF"/>
      <w:u w:val="single"/>
    </w:rPr>
  </w:style>
  <w:style w:type="paragraph" w:customStyle="1" w:styleId="17">
    <w:name w:val="列出段落7"/>
    <w:basedOn w:val="1"/>
    <w:qFormat/>
    <w:uiPriority w:val="0"/>
    <w:pPr>
      <w:ind w:left="400" w:firstLine="420"/>
    </w:pPr>
  </w:style>
  <w:style w:type="paragraph" w:customStyle="1" w:styleId="18">
    <w:name w:val="样式8"/>
    <w:basedOn w:val="19"/>
    <w:qFormat/>
    <w:uiPriority w:val="1"/>
  </w:style>
  <w:style w:type="paragraph" w:customStyle="1" w:styleId="19">
    <w:name w:val="一级标题"/>
    <w:basedOn w:val="1"/>
    <w:qFormat/>
    <w:uiPriority w:val="0"/>
    <w:pPr>
      <w:adjustRightInd w:val="0"/>
      <w:snapToGrid w:val="0"/>
      <w:jc w:val="center"/>
      <w:outlineLvl w:val="0"/>
    </w:pPr>
    <w:rPr>
      <w:rFonts w:ascii="黑体" w:eastAsia="黑体"/>
      <w:b/>
      <w:sz w:val="28"/>
      <w:szCs w:val="28"/>
    </w:rPr>
  </w:style>
  <w:style w:type="paragraph" w:styleId="20">
    <w:name w:val="List Paragraph"/>
    <w:basedOn w:val="1"/>
    <w:qFormat/>
    <w:uiPriority w:val="99"/>
    <w:pPr>
      <w:ind w:firstLine="420" w:firstLineChars="200"/>
    </w:pPr>
  </w:style>
  <w:style w:type="paragraph" w:customStyle="1" w:styleId="21">
    <w:name w:val="正文文本2"/>
    <w:basedOn w:val="1"/>
    <w:qFormat/>
    <w:uiPriority w:val="0"/>
    <w:pPr>
      <w:autoSpaceDE w:val="0"/>
      <w:autoSpaceDN w:val="0"/>
      <w:jc w:val="left"/>
    </w:pPr>
    <w:rPr>
      <w:rFonts w:ascii="宋体" w:hAnsi="宋体"/>
      <w:kern w:val="0"/>
      <w:sz w:val="20"/>
      <w:szCs w:val="21"/>
      <w:lang w:val="zh-CN"/>
    </w:rPr>
  </w:style>
  <w:style w:type="character" w:customStyle="1" w:styleId="22">
    <w:name w:val="font41"/>
    <w:basedOn w:val="14"/>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5630</Words>
  <Characters>6314</Characters>
  <Lines>0</Lines>
  <Paragraphs>0</Paragraphs>
  <TotalTime>0</TotalTime>
  <ScaleCrop>false</ScaleCrop>
  <LinksUpToDate>false</LinksUpToDate>
  <CharactersWithSpaces>6351</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2024-08-28T06:22:00Z</dcterms:created>
  <dc:creator>wz</dc:creator>
  <cp:lastModifiedBy>LXC</cp:lastModifiedBy>
  <dcterms:modified xsi:type="dcterms:W3CDTF">2025-06-19T05:50:47Z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5260A792159B4C3AB15A7E980E955829_12</vt:lpwstr>
  </property>
  <property fmtid="{D5CDD505-2E9C-101B-9397-08002B2CF9AE}" pid="4" name="KSOTemplateDocerSaveRecord">
    <vt:lpwstr>eyJoZGlkIjoiZGUxOGIxNWFkODMwN2NlMjUwYzQwMGNmOGE4NDUxMTUifQ==</vt:lpwstr>
  </property>
</Properties>
</file>