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4"/>
        <w:jc w:val="right"/>
        <w:rPr>
          <w:rFonts w:hint="eastAsia" w:ascii="微软雅黑" w:hAnsi="微软雅黑" w:eastAsia="微软雅黑" w:cs="微软雅黑"/>
          <w:b/>
          <w:sz w:val="18"/>
          <w:szCs w:val="18"/>
          <w:lang w:eastAsia="zh-CN"/>
        </w:rPr>
      </w:pPr>
    </w:p>
    <w:p>
      <w:pPr>
        <w:ind w:right="84"/>
        <w:jc w:val="right"/>
        <w:rPr>
          <w:rFonts w:hint="eastAsia" w:ascii="微软雅黑" w:hAnsi="微软雅黑" w:eastAsia="微软雅黑" w:cs="微软雅黑"/>
          <w:b/>
          <w:sz w:val="18"/>
          <w:szCs w:val="18"/>
          <w:lang w:eastAsia="zh-CN"/>
        </w:rPr>
      </w:pPr>
    </w:p>
    <w:p>
      <w:pPr>
        <w:autoSpaceDE w:val="0"/>
        <w:autoSpaceDN w:val="0"/>
        <w:spacing w:before="120" w:after="120"/>
        <w:ind w:right="-20"/>
        <w:jc w:val="center"/>
        <w:rPr>
          <w:rFonts w:hint="eastAsia" w:ascii="微软雅黑" w:hAnsi="微软雅黑" w:eastAsia="微软雅黑" w:cs="微软雅黑"/>
          <w:b/>
          <w:spacing w:val="2"/>
          <w:w w:val="99"/>
          <w:sz w:val="52"/>
          <w:szCs w:val="52"/>
          <w:lang w:eastAsia="zh-CN"/>
        </w:rPr>
      </w:pPr>
      <w:r>
        <w:rPr>
          <w:rFonts w:hint="eastAsia" w:ascii="微软雅黑" w:hAnsi="微软雅黑" w:eastAsia="微软雅黑" w:cs="微软雅黑"/>
          <w:b/>
          <w:spacing w:val="2"/>
          <w:w w:val="99"/>
          <w:sz w:val="52"/>
          <w:szCs w:val="52"/>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hint="eastAsia" w:ascii="微软雅黑" w:hAnsi="微软雅黑" w:eastAsia="微软雅黑" w:cs="微软雅黑"/>
          <w:b/>
          <w:spacing w:val="2"/>
          <w:w w:val="99"/>
          <w:sz w:val="52"/>
          <w:szCs w:val="52"/>
          <w:lang w:eastAsia="zh-CN"/>
        </w:rPr>
      </w:pPr>
    </w:p>
    <w:p>
      <w:pPr>
        <w:autoSpaceDE w:val="0"/>
        <w:autoSpaceDN w:val="0"/>
        <w:spacing w:before="120" w:after="120"/>
        <w:ind w:right="-20"/>
        <w:jc w:val="center"/>
        <w:rPr>
          <w:rFonts w:hint="eastAsia" w:ascii="微软雅黑" w:hAnsi="微软雅黑" w:eastAsia="微软雅黑" w:cs="微软雅黑"/>
          <w:b/>
          <w:spacing w:val="2"/>
          <w:w w:val="99"/>
          <w:sz w:val="52"/>
          <w:szCs w:val="52"/>
          <w:lang w:eastAsia="zh-CN"/>
        </w:rPr>
      </w:pPr>
    </w:p>
    <w:p>
      <w:pPr>
        <w:jc w:val="center"/>
        <w:rPr>
          <w:rFonts w:hint="eastAsia" w:ascii="微软雅黑" w:hAnsi="微软雅黑" w:eastAsia="微软雅黑" w:cs="微软雅黑"/>
          <w:spacing w:val="2"/>
          <w:w w:val="99"/>
          <w:sz w:val="52"/>
          <w:szCs w:val="52"/>
          <w:lang w:eastAsia="zh-CN"/>
        </w:rPr>
      </w:pPr>
      <w:r>
        <w:rPr>
          <w:rFonts w:hint="eastAsia" w:ascii="微软雅黑" w:hAnsi="微软雅黑" w:eastAsia="微软雅黑" w:cs="微软雅黑"/>
          <w:spacing w:val="2"/>
          <w:w w:val="99"/>
          <w:sz w:val="52"/>
          <w:szCs w:val="52"/>
          <w:lang w:eastAsia="zh-CN"/>
        </w:rPr>
        <w:t>中海油能源发展股份有限公司</w:t>
      </w:r>
    </w:p>
    <w:p>
      <w:pPr>
        <w:jc w:val="center"/>
        <w:rPr>
          <w:rFonts w:hint="eastAsia" w:ascii="微软雅黑" w:hAnsi="微软雅黑" w:eastAsia="微软雅黑" w:cs="微软雅黑"/>
          <w:b/>
          <w:spacing w:val="2"/>
          <w:w w:val="99"/>
          <w:sz w:val="52"/>
          <w:szCs w:val="52"/>
          <w:lang w:eastAsia="zh-CN"/>
        </w:rPr>
      </w:pPr>
    </w:p>
    <w:p>
      <w:pPr>
        <w:jc w:val="center"/>
        <w:rPr>
          <w:rFonts w:hint="eastAsia" w:ascii="微软雅黑" w:hAnsi="微软雅黑" w:eastAsia="微软雅黑" w:cs="微软雅黑"/>
          <w:spacing w:val="2"/>
          <w:w w:val="99"/>
          <w:sz w:val="48"/>
          <w:szCs w:val="52"/>
          <w:u w:val="single"/>
          <w:lang w:eastAsia="zh-CN"/>
        </w:rPr>
      </w:pPr>
      <w:r>
        <w:rPr>
          <w:rFonts w:hint="eastAsia" w:ascii="微软雅黑" w:hAnsi="微软雅黑" w:eastAsia="微软雅黑" w:cs="微软雅黑"/>
          <w:spacing w:val="2"/>
          <w:w w:val="99"/>
          <w:sz w:val="48"/>
          <w:szCs w:val="52"/>
          <w:u w:val="single"/>
          <w:lang w:eastAsia="zh-CN"/>
        </w:rPr>
        <w:t>水力振荡器租赁服务年度协议</w:t>
      </w:r>
    </w:p>
    <w:p>
      <w:pPr>
        <w:jc w:val="center"/>
        <w:rPr>
          <w:rFonts w:hint="eastAsia" w:ascii="微软雅黑" w:hAnsi="微软雅黑" w:eastAsia="微软雅黑" w:cs="微软雅黑"/>
          <w:b/>
          <w:spacing w:val="2"/>
          <w:w w:val="99"/>
          <w:sz w:val="52"/>
          <w:szCs w:val="52"/>
          <w:lang w:eastAsia="zh-CN"/>
        </w:rPr>
      </w:pPr>
      <w:r>
        <w:rPr>
          <w:rFonts w:hint="eastAsia" w:ascii="微软雅黑" w:hAnsi="微软雅黑" w:eastAsia="微软雅黑" w:cs="微软雅黑"/>
          <w:b/>
          <w:spacing w:val="2"/>
          <w:w w:val="99"/>
          <w:sz w:val="52"/>
          <w:szCs w:val="52"/>
          <w:lang w:eastAsia="zh-CN"/>
        </w:rPr>
        <w:t>采购技术要求书</w:t>
      </w:r>
    </w:p>
    <w:p>
      <w:pPr>
        <w:jc w:val="center"/>
        <w:rPr>
          <w:rFonts w:hint="eastAsia" w:ascii="微软雅黑" w:hAnsi="微软雅黑" w:eastAsia="微软雅黑" w:cs="微软雅黑"/>
          <w:b/>
          <w:spacing w:val="2"/>
          <w:w w:val="99"/>
          <w:sz w:val="52"/>
          <w:szCs w:val="52"/>
          <w:lang w:eastAsia="zh-CN"/>
        </w:rPr>
      </w:pPr>
    </w:p>
    <w:p>
      <w:pPr>
        <w:pStyle w:val="3"/>
        <w:rPr>
          <w:rFonts w:hint="eastAsia" w:ascii="微软雅黑" w:hAnsi="微软雅黑" w:eastAsia="微软雅黑" w:cs="微软雅黑"/>
          <w:b/>
          <w:w w:val="99"/>
          <w:sz w:val="44"/>
          <w:szCs w:val="44"/>
        </w:rPr>
      </w:pPr>
    </w:p>
    <w:p>
      <w:pPr>
        <w:autoSpaceDE w:val="0"/>
        <w:autoSpaceDN w:val="0"/>
        <w:spacing w:before="120" w:after="120" w:line="720" w:lineRule="auto"/>
        <w:ind w:right="-20"/>
        <w:rPr>
          <w:rFonts w:hint="eastAsia" w:ascii="微软雅黑" w:hAnsi="微软雅黑" w:eastAsia="微软雅黑" w:cs="微软雅黑"/>
          <w:spacing w:val="2"/>
          <w:w w:val="99"/>
          <w:sz w:val="36"/>
          <w:szCs w:val="36"/>
          <w:lang w:eastAsia="zh-CN"/>
        </w:rPr>
      </w:pPr>
      <w:r>
        <w:rPr>
          <w:rFonts w:hint="eastAsia" w:ascii="微软雅黑" w:hAnsi="微软雅黑" w:eastAsia="微软雅黑" w:cs="微软雅黑"/>
          <w:spacing w:val="2"/>
          <w:w w:val="99"/>
          <w:sz w:val="36"/>
          <w:szCs w:val="36"/>
          <w:lang w:eastAsia="zh-CN"/>
        </w:rPr>
        <w:t xml:space="preserve">           </w:t>
      </w:r>
    </w:p>
    <w:p>
      <w:pPr>
        <w:widowControl/>
        <w:rPr>
          <w:rFonts w:hint="eastAsia" w:ascii="微软雅黑" w:hAnsi="微软雅黑" w:eastAsia="微软雅黑" w:cs="微软雅黑"/>
          <w:b/>
          <w:sz w:val="32"/>
          <w:szCs w:val="32"/>
          <w:lang w:eastAsia="zh-CN"/>
        </w:rPr>
      </w:pPr>
      <w:r>
        <w:rPr>
          <w:rFonts w:hint="eastAsia" w:ascii="微软雅黑" w:hAnsi="微软雅黑" w:eastAsia="微软雅黑" w:cs="微软雅黑"/>
          <w:b/>
          <w:sz w:val="32"/>
          <w:szCs w:val="32"/>
          <w:lang w:eastAsia="zh-CN"/>
        </w:rPr>
        <w:br w:type="page"/>
      </w:r>
    </w:p>
    <w:p>
      <w:pPr>
        <w:pStyle w:val="28"/>
        <w:spacing w:line="360" w:lineRule="auto"/>
        <w:rPr>
          <w:rFonts w:hint="eastAsia" w:ascii="微软雅黑" w:hAnsi="微软雅黑" w:eastAsia="微软雅黑" w:cs="微软雅黑"/>
          <w:kern w:val="0"/>
          <w:szCs w:val="21"/>
        </w:rPr>
      </w:pPr>
      <w:bookmarkStart w:id="0" w:name="_Toc13249324"/>
      <w:bookmarkStart w:id="1" w:name="_Toc13248927"/>
      <w:r>
        <w:rPr>
          <w:rFonts w:hint="eastAsia" w:ascii="微软雅黑" w:hAnsi="微软雅黑" w:eastAsia="微软雅黑" w:cs="微软雅黑"/>
          <w:kern w:val="0"/>
          <w:szCs w:val="21"/>
        </w:rPr>
        <w:t>本技术要求描述了中海油能源发展股份有限公司工程技术分公司（简称工程技术）对水力振荡器租赁服务年度协议的要求，乙方在投标及后续质量保障工作中应严格遵循。</w:t>
      </w:r>
    </w:p>
    <w:p>
      <w:pPr>
        <w:pStyle w:val="3"/>
        <w:rPr>
          <w:rFonts w:hint="eastAsia" w:ascii="微软雅黑" w:hAnsi="微软雅黑" w:eastAsia="微软雅黑" w:cs="微软雅黑"/>
        </w:rPr>
      </w:pPr>
      <w:r>
        <w:rPr>
          <w:rFonts w:hint="eastAsia" w:ascii="微软雅黑" w:hAnsi="微软雅黑" w:eastAsia="微软雅黑" w:cs="微软雅黑"/>
        </w:rPr>
        <w:t>一、项目概况及总体要求</w:t>
      </w:r>
      <w:bookmarkEnd w:id="0"/>
      <w:bookmarkEnd w:id="1"/>
    </w:p>
    <w:p>
      <w:pPr>
        <w:spacing w:before="2" w:line="100" w:lineRule="exact"/>
        <w:rPr>
          <w:rFonts w:hint="eastAsia" w:ascii="微软雅黑" w:hAnsi="微软雅黑" w:eastAsia="微软雅黑" w:cs="微软雅黑"/>
          <w:sz w:val="10"/>
          <w:szCs w:val="10"/>
          <w:lang w:eastAsia="zh-CN"/>
        </w:rPr>
      </w:pPr>
    </w:p>
    <w:p>
      <w:pPr>
        <w:pStyle w:val="28"/>
        <w:spacing w:line="360" w:lineRule="auto"/>
        <w:rPr>
          <w:rFonts w:hint="eastAsia" w:ascii="微软雅黑" w:hAnsi="微软雅黑" w:eastAsia="微软雅黑" w:cs="微软雅黑"/>
          <w:kern w:val="0"/>
          <w:szCs w:val="21"/>
        </w:rPr>
      </w:pPr>
      <w:r>
        <w:rPr>
          <w:rFonts w:ascii="微软雅黑" w:hAnsi="微软雅黑" w:eastAsia="微软雅黑" w:cs="微软雅黑"/>
          <w:kern w:val="0"/>
          <w:szCs w:val="21"/>
        </w:rPr>
        <w:t>在全球能源需求持续攀升的大背景下，油田勘探开发逐步朝着更深层领域迈进，大位移井、水平井的开发力度不断加大。随着钻井深度和复杂度的提升，井底托压问题成为制约钻井效率与质量的关键瓶颈，极大影响钻压有效传递，导致机械钻速降低、钻井周期延长，甚至引发井下事故，增加勘探开发成本与风险。</w:t>
      </w:r>
      <w:r>
        <w:rPr>
          <w:rFonts w:hint="eastAsia" w:ascii="微软雅黑" w:hAnsi="微软雅黑" w:eastAsia="微软雅黑" w:cs="微软雅黑"/>
          <w:kern w:val="0"/>
          <w:szCs w:val="21"/>
        </w:rPr>
        <w:t>水力振荡器依靠钻井液驱动，利用自身结构特点，产生轴向高频振动，带动底部钻具蠕动，将底部钻具与井壁之间的静摩擦转变为动摩擦，降低摩擦系数，从而解决滑动托压问题，提高滑动钻进效率。</w:t>
      </w:r>
    </w:p>
    <w:p>
      <w:pPr>
        <w:pStyle w:val="28"/>
        <w:spacing w:line="360" w:lineRule="auto"/>
        <w:rPr>
          <w:rFonts w:hint="eastAsia" w:ascii="微软雅黑" w:hAnsi="微软雅黑" w:eastAsia="微软雅黑" w:cs="微软雅黑"/>
          <w:kern w:val="0"/>
          <w:szCs w:val="21"/>
        </w:rPr>
      </w:pPr>
      <w:r>
        <w:rPr>
          <w:rFonts w:hint="eastAsia" w:ascii="微软雅黑" w:hAnsi="微软雅黑" w:eastAsia="微软雅黑" w:cs="微软雅黑"/>
          <w:kern w:val="0"/>
          <w:szCs w:val="21"/>
        </w:rPr>
        <w:t>随着大斜度、水平及超深井井型的逐年增多，钻井作业中对定向钻进摩阻降低需求越来越旺盛，因此计划签订水力振荡器租赁服务年度协议，并根据实际作业需求进行动员。</w:t>
      </w:r>
    </w:p>
    <w:p>
      <w:pPr>
        <w:pStyle w:val="6"/>
        <w:tabs>
          <w:tab w:val="left" w:pos="142"/>
        </w:tabs>
        <w:spacing w:line="282" w:lineRule="auto"/>
        <w:ind w:right="11" w:firstLine="428"/>
        <w:rPr>
          <w:rFonts w:hint="eastAsia" w:ascii="微软雅黑" w:hAnsi="微软雅黑" w:eastAsia="微软雅黑"/>
          <w:spacing w:val="2"/>
          <w:lang w:eastAsia="zh-CN"/>
        </w:rPr>
      </w:pPr>
      <w:r>
        <w:rPr>
          <w:rFonts w:hint="eastAsia" w:ascii="微软雅黑" w:hAnsi="微软雅黑" w:eastAsia="微软雅黑"/>
          <w:spacing w:val="2"/>
          <w:lang w:eastAsia="zh-CN"/>
        </w:rPr>
        <w:t>本项目申请签订3年年度协议，采用“1+1+1”方式。</w:t>
      </w:r>
    </w:p>
    <w:p>
      <w:pPr>
        <w:pStyle w:val="28"/>
        <w:spacing w:line="360" w:lineRule="auto"/>
        <w:ind w:firstLine="428"/>
        <w:rPr>
          <w:rFonts w:hint="eastAsia" w:ascii="微软雅黑" w:hAnsi="微软雅黑" w:eastAsia="微软雅黑" w:cs="微软雅黑"/>
        </w:rPr>
      </w:pPr>
      <w:r>
        <w:rPr>
          <w:rFonts w:hint="eastAsia" w:ascii="微软雅黑" w:hAnsi="微软雅黑" w:eastAsia="微软雅黑"/>
          <w:spacing w:val="2"/>
        </w:rPr>
        <w:t>标准引用情况概述：本次需求部分引用</w:t>
      </w:r>
      <w:r>
        <w:rPr>
          <w:rFonts w:hint="eastAsia" w:ascii="微软雅黑" w:hAnsi="微软雅黑" w:eastAsia="微软雅黑" w:cs="微软雅黑"/>
        </w:rPr>
        <w:t>《中国海油采购标准化体系建设 螺纹加工服务》（CGBZ090-2021）、《中国海油采购标准化体系建设 水力振荡器及其配件》（CGBZ168-2021）、《中国海油采购标准化体系建设 磷化加工服务》（CGBZ092-2021）。</w:t>
      </w:r>
    </w:p>
    <w:p>
      <w:pPr>
        <w:pStyle w:val="28"/>
        <w:spacing w:line="360" w:lineRule="auto"/>
        <w:ind w:firstLine="428"/>
        <w:rPr>
          <w:rFonts w:hint="eastAsia" w:ascii="微软雅黑" w:hAnsi="微软雅黑" w:eastAsia="微软雅黑" w:cs="微软雅黑"/>
          <w:b/>
          <w:bCs/>
        </w:rPr>
      </w:pPr>
      <w:r>
        <w:rPr>
          <w:rFonts w:hint="eastAsia" w:ascii="微软雅黑" w:hAnsi="微软雅黑" w:eastAsia="微软雅黑" w:cs="微软雅黑"/>
          <w:b/>
          <w:bCs/>
        </w:rPr>
        <w:t>★本采购引用的标准，投标单位应满足标准内容要求，引用标准如下：</w:t>
      </w:r>
    </w:p>
    <w:p>
      <w:pPr>
        <w:pStyle w:val="28"/>
        <w:spacing w:line="360" w:lineRule="auto"/>
        <w:ind w:firstLine="428"/>
        <w:rPr>
          <w:rFonts w:hint="eastAsia" w:ascii="微软雅黑" w:hAnsi="微软雅黑" w:eastAsia="微软雅黑" w:cs="微软雅黑"/>
          <w:b/>
          <w:bCs/>
        </w:rPr>
      </w:pPr>
      <w:r>
        <w:rPr>
          <w:rFonts w:hint="eastAsia" w:ascii="微软雅黑" w:hAnsi="微软雅黑" w:eastAsia="微软雅黑" w:cs="微软雅黑"/>
          <w:b/>
          <w:bCs/>
        </w:rPr>
        <w:t>《中国海油采购标准化体系建设 水力振荡器及其配件》（CGBZ168-2021）</w:t>
      </w:r>
    </w:p>
    <w:p>
      <w:pPr>
        <w:pStyle w:val="28"/>
        <w:spacing w:line="360" w:lineRule="auto"/>
        <w:ind w:firstLine="428"/>
        <w:rPr>
          <w:rFonts w:hint="eastAsia" w:ascii="微软雅黑" w:hAnsi="微软雅黑" w:eastAsia="微软雅黑" w:cs="微软雅黑"/>
          <w:b/>
          <w:bCs/>
        </w:rPr>
      </w:pPr>
      <w:r>
        <w:rPr>
          <w:rFonts w:hint="eastAsia" w:ascii="微软雅黑" w:hAnsi="微软雅黑" w:eastAsia="微软雅黑" w:cs="微软雅黑"/>
          <w:b/>
          <w:bCs/>
        </w:rPr>
        <w:t>6 检测和试验</w:t>
      </w:r>
    </w:p>
    <w:p>
      <w:pPr>
        <w:pStyle w:val="28"/>
        <w:spacing w:line="360" w:lineRule="auto"/>
        <w:ind w:firstLine="428"/>
        <w:rPr>
          <w:rFonts w:hint="eastAsia" w:ascii="微软雅黑" w:hAnsi="微软雅黑" w:eastAsia="微软雅黑" w:cs="微软雅黑"/>
          <w:b/>
          <w:bCs/>
        </w:rPr>
      </w:pPr>
      <w:r>
        <w:rPr>
          <w:rFonts w:hint="eastAsia" w:ascii="微软雅黑" w:hAnsi="微软雅黑" w:eastAsia="微软雅黑" w:cs="微软雅黑"/>
          <w:b/>
          <w:bCs/>
        </w:rPr>
        <w:t>6.1需提供全新产品，保证所有工具及配件由具有相关资质的质检人员进行全面检查，保证其尺寸精度及光洁度等质量要求，符合工具使用标准。</w:t>
      </w:r>
    </w:p>
    <w:p>
      <w:pPr>
        <w:pStyle w:val="28"/>
        <w:spacing w:line="360" w:lineRule="auto"/>
        <w:ind w:firstLine="428"/>
        <w:rPr>
          <w:rFonts w:hint="eastAsia" w:ascii="微软雅黑" w:hAnsi="微软雅黑" w:eastAsia="微软雅黑" w:cs="微软雅黑"/>
          <w:b/>
          <w:bCs/>
        </w:rPr>
      </w:pPr>
      <w:r>
        <w:rPr>
          <w:rFonts w:hint="eastAsia" w:ascii="微软雅黑" w:hAnsi="微软雅黑" w:eastAsia="微软雅黑" w:cs="微软雅黑"/>
          <w:b/>
          <w:bCs/>
        </w:rPr>
        <w:t>6.2要求工具采用等强度设计，保证工具使用安全可靠。在技术文件中分别详述各工具所达到的材料机械性能参数等。</w:t>
      </w:r>
    </w:p>
    <w:p>
      <w:pPr>
        <w:pStyle w:val="28"/>
        <w:spacing w:line="360" w:lineRule="auto"/>
        <w:ind w:firstLine="428"/>
        <w:rPr>
          <w:rFonts w:hint="eastAsia" w:ascii="微软雅黑" w:hAnsi="微软雅黑" w:eastAsia="微软雅黑" w:cs="微软雅黑"/>
          <w:b/>
          <w:bCs/>
        </w:rPr>
      </w:pPr>
      <w:r>
        <w:rPr>
          <w:rFonts w:hint="eastAsia" w:ascii="微软雅黑" w:hAnsi="微软雅黑" w:eastAsia="微软雅黑" w:cs="微软雅黑"/>
          <w:b/>
          <w:bCs/>
        </w:rPr>
        <w:t>6.3买方所投标工具须为成熟产品，不接受试验产品或未经现场应用验证的产品。</w:t>
      </w:r>
    </w:p>
    <w:p>
      <w:pPr>
        <w:pStyle w:val="28"/>
        <w:spacing w:line="360" w:lineRule="auto"/>
        <w:ind w:firstLine="428"/>
        <w:rPr>
          <w:rFonts w:hint="eastAsia" w:ascii="微软雅黑" w:hAnsi="微软雅黑" w:eastAsia="微软雅黑" w:cs="微软雅黑"/>
          <w:b/>
          <w:bCs/>
        </w:rPr>
      </w:pPr>
      <w:r>
        <w:rPr>
          <w:rFonts w:hint="eastAsia" w:ascii="微软雅黑" w:hAnsi="微软雅黑" w:eastAsia="微软雅黑" w:cs="微软雅黑"/>
          <w:b/>
          <w:bCs/>
        </w:rPr>
        <w:t>6.4严格按照双方审核并认可的图纸进行加工，若有不同意见需要经双方确认后才能加工。</w:t>
      </w:r>
    </w:p>
    <w:p>
      <w:pPr>
        <w:pStyle w:val="3"/>
        <w:rPr>
          <w:rFonts w:hint="eastAsia" w:ascii="微软雅黑" w:hAnsi="微软雅黑" w:eastAsia="微软雅黑" w:cs="微软雅黑"/>
        </w:rPr>
      </w:pPr>
      <w:bookmarkStart w:id="2" w:name="_Toc13248928"/>
      <w:bookmarkStart w:id="3" w:name="_Toc13249325"/>
      <w:r>
        <w:rPr>
          <w:rFonts w:hint="eastAsia" w:ascii="微软雅黑" w:hAnsi="微软雅黑" w:eastAsia="微软雅黑" w:cs="微软雅黑"/>
        </w:rPr>
        <w:t>二、服务内容和范围</w:t>
      </w:r>
      <w:bookmarkEnd w:id="2"/>
      <w:bookmarkEnd w:id="3"/>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1、服务内容</w:t>
      </w:r>
    </w:p>
    <w:p>
      <w:pPr>
        <w:pStyle w:val="28"/>
        <w:spacing w:line="360" w:lineRule="auto"/>
        <w:rPr>
          <w:rFonts w:hint="eastAsia" w:ascii="微软雅黑" w:hAnsi="微软雅黑" w:eastAsia="微软雅黑"/>
          <w:kern w:val="0"/>
          <w:szCs w:val="21"/>
        </w:rPr>
      </w:pPr>
      <w:r>
        <w:rPr>
          <w:rFonts w:hint="eastAsia" w:ascii="微软雅黑" w:hAnsi="微软雅黑" w:eastAsia="微软雅黑"/>
          <w:kern w:val="0"/>
          <w:szCs w:val="21"/>
        </w:rPr>
        <w:t>乙方提供满足作业需要的水力振荡器并提供相关技术支持服务，此次水力振荡器租赁计费形式为租赁日费及维修费。</w:t>
      </w:r>
      <w:bookmarkStart w:id="6" w:name="_GoBack"/>
      <w:bookmarkEnd w:id="6"/>
    </w:p>
    <w:p>
      <w:pPr>
        <w:pStyle w:val="6"/>
        <w:numPr>
          <w:ilvl w:val="0"/>
          <w:numId w:val="1"/>
        </w:numPr>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工作量清单</w:t>
      </w:r>
    </w:p>
    <w:p>
      <w:pPr>
        <w:pStyle w:val="6"/>
        <w:spacing w:line="257" w:lineRule="auto"/>
        <w:ind w:right="121" w:rightChars="55" w:firstLine="420"/>
        <w:rPr>
          <w:rFonts w:hint="eastAsia" w:ascii="微软雅黑" w:hAnsi="微软雅黑" w:eastAsia="微软雅黑" w:cs="微软雅黑"/>
          <w:lang w:eastAsia="zh-CN"/>
        </w:rPr>
      </w:pPr>
      <w:r>
        <w:rPr>
          <w:rFonts w:hint="eastAsia"/>
          <w:lang w:eastAsia="zh-CN"/>
        </w:rPr>
        <w:t>以下为预计3年工作量，实际以具体作业量为准，并按实际工作量结算，且结算不超过本合同总金额。</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03"/>
        <w:gridCol w:w="2742"/>
        <w:gridCol w:w="1007"/>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noWrap/>
            <w:vAlign w:val="center"/>
          </w:tcPr>
          <w:p>
            <w:pPr>
              <w:widowControl/>
              <w:jc w:val="center"/>
              <w:rPr>
                <w:rFonts w:hint="eastAsia" w:ascii="微软雅黑" w:hAnsi="微软雅黑" w:eastAsia="微软雅黑"/>
                <w:b/>
                <w:bCs/>
                <w:sz w:val="18"/>
                <w:szCs w:val="18"/>
              </w:rPr>
            </w:pPr>
            <w:r>
              <w:rPr>
                <w:rFonts w:hint="eastAsia" w:ascii="微软雅黑" w:hAnsi="微软雅黑" w:eastAsia="微软雅黑"/>
                <w:b/>
                <w:bCs/>
                <w:sz w:val="18"/>
                <w:szCs w:val="18"/>
              </w:rPr>
              <w:t>服务名称</w:t>
            </w:r>
          </w:p>
        </w:tc>
        <w:tc>
          <w:tcPr>
            <w:tcW w:w="1609" w:type="pct"/>
            <w:shd w:val="clear" w:color="auto" w:fill="auto"/>
            <w:noWrap/>
            <w:vAlign w:val="center"/>
          </w:tcPr>
          <w:p>
            <w:pPr>
              <w:widowControl/>
              <w:jc w:val="center"/>
              <w:rPr>
                <w:rFonts w:hint="eastAsia" w:ascii="微软雅黑" w:hAnsi="微软雅黑" w:eastAsia="微软雅黑"/>
                <w:b/>
                <w:bCs/>
                <w:sz w:val="18"/>
                <w:szCs w:val="18"/>
              </w:rPr>
            </w:pPr>
            <w:r>
              <w:rPr>
                <w:rFonts w:hint="eastAsia" w:ascii="微软雅黑" w:hAnsi="微软雅黑" w:eastAsia="微软雅黑"/>
                <w:b/>
                <w:bCs/>
                <w:sz w:val="18"/>
                <w:szCs w:val="18"/>
              </w:rPr>
              <w:t>规格及型号</w:t>
            </w:r>
            <w:r>
              <w:rPr>
                <w:rFonts w:ascii="微软雅黑" w:hAnsi="微软雅黑" w:eastAsia="微软雅黑"/>
                <w:b/>
                <w:bCs/>
                <w:sz w:val="18"/>
                <w:szCs w:val="18"/>
              </w:rPr>
              <w:t>_</w:t>
            </w:r>
            <w:r>
              <w:rPr>
                <w:rFonts w:hint="eastAsia" w:ascii="微软雅黑" w:hAnsi="微软雅黑" w:eastAsia="微软雅黑"/>
                <w:b/>
                <w:bCs/>
                <w:sz w:val="18"/>
                <w:szCs w:val="18"/>
              </w:rPr>
              <w:t>服务要求</w:t>
            </w:r>
          </w:p>
        </w:tc>
        <w:tc>
          <w:tcPr>
            <w:tcW w:w="591" w:type="pct"/>
            <w:shd w:val="clear" w:color="auto" w:fill="auto"/>
            <w:noWrap/>
            <w:vAlign w:val="center"/>
          </w:tcPr>
          <w:p>
            <w:pPr>
              <w:widowControl/>
              <w:jc w:val="center"/>
              <w:rPr>
                <w:rFonts w:hint="eastAsia" w:ascii="微软雅黑" w:hAnsi="微软雅黑" w:eastAsia="微软雅黑"/>
                <w:b/>
                <w:bCs/>
                <w:sz w:val="18"/>
                <w:szCs w:val="18"/>
              </w:rPr>
            </w:pPr>
            <w:r>
              <w:rPr>
                <w:rFonts w:hint="eastAsia" w:ascii="微软雅黑" w:hAnsi="微软雅黑" w:eastAsia="微软雅黑"/>
                <w:b/>
                <w:bCs/>
                <w:sz w:val="18"/>
                <w:szCs w:val="18"/>
              </w:rPr>
              <w:t>单位</w:t>
            </w:r>
          </w:p>
        </w:tc>
        <w:tc>
          <w:tcPr>
            <w:tcW w:w="745" w:type="pct"/>
            <w:shd w:val="clear" w:color="auto" w:fill="auto"/>
            <w:noWrap/>
            <w:vAlign w:val="center"/>
          </w:tcPr>
          <w:p>
            <w:pPr>
              <w:widowControl/>
              <w:jc w:val="center"/>
              <w:rPr>
                <w:rFonts w:hint="eastAsia" w:ascii="微软雅黑" w:hAnsi="微软雅黑" w:eastAsia="微软雅黑"/>
                <w:b/>
                <w:bCs/>
                <w:sz w:val="18"/>
                <w:szCs w:val="18"/>
              </w:rPr>
            </w:pPr>
            <w:r>
              <w:rPr>
                <w:rFonts w:hint="eastAsia" w:ascii="微软雅黑" w:hAnsi="微软雅黑" w:eastAsia="微软雅黑"/>
                <w:b/>
                <w:bCs/>
                <w:sz w:val="18"/>
                <w:szCs w:val="18"/>
              </w:rPr>
              <w:t>预计数量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color w:val="000000"/>
              </w:rPr>
              <w:t>水力振荡器租赁日费</w:t>
            </w:r>
          </w:p>
        </w:tc>
        <w:tc>
          <w:tcPr>
            <w:tcW w:w="1609" w:type="pct"/>
            <w:shd w:val="clear" w:color="auto" w:fill="auto"/>
            <w:vAlign w:val="center"/>
          </w:tcPr>
          <w:p>
            <w:pPr>
              <w:widowControl/>
              <w:jc w:val="center"/>
              <w:textAlignment w:val="center"/>
              <w:rPr>
                <w:color w:val="000000"/>
              </w:rPr>
            </w:pPr>
            <w:r>
              <w:rPr>
                <w:rFonts w:hint="eastAsia"/>
                <w:color w:val="000000"/>
              </w:rPr>
              <w:t>8"</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sz w:val="18"/>
                <w:szCs w:val="18"/>
                <w:lang w:eastAsia="zh-CN"/>
              </w:rPr>
            </w:pPr>
            <w:r>
              <w:rPr>
                <w:rFonts w:hint="eastAsia"/>
                <w:color w:val="000000"/>
              </w:rPr>
              <w:t>水力振荡器待命费</w:t>
            </w:r>
          </w:p>
        </w:tc>
        <w:tc>
          <w:tcPr>
            <w:tcW w:w="1609" w:type="pct"/>
            <w:shd w:val="clear" w:color="auto" w:fill="auto"/>
            <w:vAlign w:val="center"/>
          </w:tcPr>
          <w:p>
            <w:pPr>
              <w:widowControl/>
              <w:jc w:val="center"/>
              <w:textAlignment w:val="center"/>
              <w:rPr>
                <w:color w:val="000000"/>
              </w:rPr>
            </w:pPr>
            <w:r>
              <w:rPr>
                <w:rFonts w:hint="eastAsia"/>
                <w:color w:val="000000"/>
              </w:rPr>
              <w:t>8"</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bidi="ar"/>
              </w:rPr>
            </w:pPr>
            <w:r>
              <w:rPr>
                <w:rFonts w:hint="eastAsia"/>
                <w:color w:val="000000"/>
              </w:rPr>
              <w:t>水力振荡器租赁日费</w:t>
            </w:r>
          </w:p>
        </w:tc>
        <w:tc>
          <w:tcPr>
            <w:tcW w:w="1609" w:type="pct"/>
            <w:shd w:val="clear" w:color="auto" w:fill="auto"/>
            <w:vAlign w:val="center"/>
          </w:tcPr>
          <w:p>
            <w:pPr>
              <w:widowControl/>
              <w:jc w:val="center"/>
              <w:textAlignment w:val="center"/>
              <w:rPr>
                <w:color w:val="000000"/>
              </w:rPr>
            </w:pPr>
            <w:r>
              <w:rPr>
                <w:rFonts w:hint="eastAsia"/>
                <w:color w:val="000000"/>
              </w:rPr>
              <w:t>6-</w:t>
            </w:r>
            <w:r>
              <w:rPr>
                <w:rFonts w:hint="eastAsia"/>
                <w:color w:val="000000"/>
                <w:lang w:eastAsia="zh-CN"/>
              </w:rPr>
              <w:t>3</w:t>
            </w:r>
            <w:r>
              <w:rPr>
                <w:rFonts w:hint="eastAsia"/>
                <w:color w:val="000000"/>
              </w:rPr>
              <w:t>/</w:t>
            </w:r>
            <w:r>
              <w:rPr>
                <w:rFonts w:hint="eastAsia"/>
                <w:color w:val="000000"/>
                <w:lang w:eastAsia="zh-CN"/>
              </w:rPr>
              <w:t>4</w:t>
            </w:r>
            <w:r>
              <w:rPr>
                <w:rFonts w:hint="eastAsia"/>
                <w:color w:val="000000"/>
              </w:rPr>
              <w:t>"</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bidi="ar"/>
              </w:rPr>
            </w:pPr>
            <w:r>
              <w:rPr>
                <w:rFonts w:hint="eastAsia"/>
                <w:color w:val="000000"/>
              </w:rPr>
              <w:t>水力振荡器待命费</w:t>
            </w:r>
          </w:p>
        </w:tc>
        <w:tc>
          <w:tcPr>
            <w:tcW w:w="1609" w:type="pct"/>
            <w:shd w:val="clear" w:color="auto" w:fill="auto"/>
            <w:vAlign w:val="center"/>
          </w:tcPr>
          <w:p>
            <w:pPr>
              <w:widowControl/>
              <w:jc w:val="center"/>
              <w:textAlignment w:val="center"/>
              <w:rPr>
                <w:color w:val="000000"/>
              </w:rPr>
            </w:pPr>
            <w:r>
              <w:rPr>
                <w:rFonts w:hint="eastAsia"/>
                <w:color w:val="000000"/>
              </w:rPr>
              <w:t>6-</w:t>
            </w:r>
            <w:r>
              <w:rPr>
                <w:rFonts w:hint="eastAsia"/>
                <w:color w:val="000000"/>
                <w:lang w:eastAsia="zh-CN"/>
              </w:rPr>
              <w:t>3</w:t>
            </w:r>
            <w:r>
              <w:rPr>
                <w:rFonts w:hint="eastAsia"/>
                <w:color w:val="000000"/>
              </w:rPr>
              <w:t>/</w:t>
            </w:r>
            <w:r>
              <w:rPr>
                <w:rFonts w:hint="eastAsia"/>
                <w:color w:val="000000"/>
                <w:lang w:eastAsia="zh-CN"/>
              </w:rPr>
              <w:t>4</w:t>
            </w:r>
            <w:r>
              <w:rPr>
                <w:rFonts w:hint="eastAsia"/>
                <w:color w:val="000000"/>
              </w:rPr>
              <w:t>"</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225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bidi="ar"/>
              </w:rPr>
            </w:pPr>
            <w:r>
              <w:rPr>
                <w:rFonts w:hint="eastAsia"/>
                <w:color w:val="000000"/>
                <w:lang w:eastAsia="zh-CN"/>
              </w:rPr>
              <w:t>零压耗水力振荡器租赁日费</w:t>
            </w:r>
          </w:p>
        </w:tc>
        <w:tc>
          <w:tcPr>
            <w:tcW w:w="1609" w:type="pct"/>
            <w:shd w:val="clear" w:color="auto" w:fill="auto"/>
            <w:vAlign w:val="center"/>
          </w:tcPr>
          <w:p>
            <w:pPr>
              <w:widowControl/>
              <w:jc w:val="center"/>
              <w:textAlignment w:val="center"/>
              <w:rPr>
                <w:color w:val="000000"/>
              </w:rPr>
            </w:pPr>
            <w:r>
              <w:rPr>
                <w:rFonts w:hint="eastAsia"/>
                <w:color w:val="000000"/>
              </w:rPr>
              <w:t>6-</w:t>
            </w:r>
            <w:r>
              <w:rPr>
                <w:rFonts w:hint="eastAsia"/>
                <w:color w:val="000000"/>
                <w:lang w:eastAsia="zh-CN"/>
              </w:rPr>
              <w:t>1</w:t>
            </w:r>
            <w:r>
              <w:rPr>
                <w:rFonts w:hint="eastAsia"/>
                <w:color w:val="000000"/>
              </w:rPr>
              <w:t>/</w:t>
            </w:r>
            <w:r>
              <w:rPr>
                <w:rFonts w:hint="eastAsia"/>
                <w:color w:val="000000"/>
                <w:lang w:eastAsia="zh-CN"/>
              </w:rPr>
              <w:t>2</w:t>
            </w:r>
            <w:r>
              <w:rPr>
                <w:rFonts w:hint="eastAsia"/>
                <w:color w:val="000000"/>
              </w:rPr>
              <w:t>"</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bidi="ar"/>
              </w:rPr>
            </w:pPr>
            <w:r>
              <w:rPr>
                <w:rFonts w:hint="eastAsia"/>
                <w:color w:val="000000"/>
                <w:lang w:eastAsia="zh-CN"/>
              </w:rPr>
              <w:t>零压耗水力振荡器待命费</w:t>
            </w:r>
          </w:p>
        </w:tc>
        <w:tc>
          <w:tcPr>
            <w:tcW w:w="1609" w:type="pct"/>
            <w:shd w:val="clear" w:color="auto" w:fill="auto"/>
            <w:vAlign w:val="center"/>
          </w:tcPr>
          <w:p>
            <w:pPr>
              <w:widowControl/>
              <w:jc w:val="center"/>
              <w:textAlignment w:val="center"/>
              <w:rPr>
                <w:color w:val="000000"/>
              </w:rPr>
            </w:pPr>
            <w:r>
              <w:rPr>
                <w:rFonts w:hint="eastAsia"/>
                <w:color w:val="000000"/>
              </w:rPr>
              <w:t>6-</w:t>
            </w:r>
            <w:r>
              <w:rPr>
                <w:rFonts w:hint="eastAsia"/>
                <w:color w:val="000000"/>
                <w:lang w:eastAsia="zh-CN"/>
              </w:rPr>
              <w:t>1</w:t>
            </w:r>
            <w:r>
              <w:rPr>
                <w:rFonts w:hint="eastAsia"/>
                <w:color w:val="000000"/>
              </w:rPr>
              <w:t>/</w:t>
            </w:r>
            <w:r>
              <w:rPr>
                <w:rFonts w:hint="eastAsia"/>
                <w:color w:val="000000"/>
                <w:lang w:eastAsia="zh-CN"/>
              </w:rPr>
              <w:t>2</w:t>
            </w:r>
            <w:r>
              <w:rPr>
                <w:rFonts w:hint="eastAsia"/>
                <w:color w:val="000000"/>
              </w:rPr>
              <w:t>"</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225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bidi="ar"/>
              </w:rPr>
            </w:pPr>
            <w:r>
              <w:rPr>
                <w:rFonts w:hint="eastAsia"/>
                <w:color w:val="000000"/>
                <w:lang w:eastAsia="zh-CN"/>
              </w:rPr>
              <w:t>蛇形水力振荡器租赁日费</w:t>
            </w:r>
          </w:p>
        </w:tc>
        <w:tc>
          <w:tcPr>
            <w:tcW w:w="1609" w:type="pct"/>
            <w:shd w:val="clear" w:color="auto" w:fill="auto"/>
            <w:vAlign w:val="center"/>
          </w:tcPr>
          <w:p>
            <w:pPr>
              <w:widowControl/>
              <w:jc w:val="center"/>
              <w:textAlignment w:val="center"/>
              <w:rPr>
                <w:color w:val="000000"/>
              </w:rPr>
            </w:pPr>
            <w:r>
              <w:rPr>
                <w:rFonts w:hint="eastAsia"/>
                <w:color w:val="000000"/>
              </w:rPr>
              <w:t>8"</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1400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bidi="ar"/>
              </w:rPr>
            </w:pPr>
            <w:r>
              <w:rPr>
                <w:rFonts w:hint="eastAsia"/>
                <w:color w:val="000000"/>
                <w:lang w:eastAsia="zh-CN"/>
              </w:rPr>
              <w:t>蛇形水力振荡器待命费</w:t>
            </w:r>
          </w:p>
        </w:tc>
        <w:tc>
          <w:tcPr>
            <w:tcW w:w="1609" w:type="pct"/>
            <w:shd w:val="clear" w:color="auto" w:fill="auto"/>
            <w:vAlign w:val="center"/>
          </w:tcPr>
          <w:p>
            <w:pPr>
              <w:widowControl/>
              <w:jc w:val="center"/>
              <w:textAlignment w:val="center"/>
              <w:rPr>
                <w:color w:val="000000"/>
              </w:rPr>
            </w:pPr>
            <w:r>
              <w:rPr>
                <w:rFonts w:hint="eastAsia"/>
                <w:color w:val="000000"/>
              </w:rPr>
              <w:t>8"</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4200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bidi="ar"/>
              </w:rPr>
            </w:pPr>
            <w:r>
              <w:rPr>
                <w:rFonts w:hint="eastAsia"/>
                <w:color w:val="000000"/>
                <w:lang w:eastAsia="zh-CN"/>
              </w:rPr>
              <w:t>蛇形水力振荡器租赁日费</w:t>
            </w:r>
          </w:p>
        </w:tc>
        <w:tc>
          <w:tcPr>
            <w:tcW w:w="1609" w:type="pct"/>
            <w:shd w:val="clear" w:color="auto" w:fill="auto"/>
            <w:vAlign w:val="center"/>
          </w:tcPr>
          <w:p>
            <w:pPr>
              <w:widowControl/>
              <w:jc w:val="center"/>
              <w:textAlignment w:val="center"/>
              <w:rPr>
                <w:color w:val="000000"/>
              </w:rPr>
            </w:pPr>
            <w:r>
              <w:rPr>
                <w:rFonts w:hint="eastAsia"/>
                <w:color w:val="000000"/>
              </w:rPr>
              <w:t>6-</w:t>
            </w:r>
            <w:r>
              <w:rPr>
                <w:rFonts w:hint="eastAsia"/>
                <w:color w:val="000000"/>
                <w:lang w:eastAsia="zh-CN"/>
              </w:rPr>
              <w:t>1</w:t>
            </w:r>
            <w:r>
              <w:rPr>
                <w:rFonts w:hint="eastAsia"/>
                <w:color w:val="000000"/>
              </w:rPr>
              <w:t>/</w:t>
            </w:r>
            <w:r>
              <w:rPr>
                <w:rFonts w:hint="eastAsia"/>
                <w:color w:val="000000"/>
                <w:lang w:eastAsia="zh-CN"/>
              </w:rPr>
              <w:t>2</w:t>
            </w:r>
            <w:r>
              <w:rPr>
                <w:rFonts w:hint="eastAsia"/>
                <w:color w:val="000000"/>
              </w:rPr>
              <w:t>"</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5" w:type="pct"/>
            <w:shd w:val="clear" w:color="auto" w:fill="auto"/>
            <w:vAlign w:val="center"/>
          </w:tcPr>
          <w:p>
            <w:pPr>
              <w:widowControl/>
              <w:jc w:val="center"/>
              <w:textAlignment w:val="center"/>
              <w:rPr>
                <w:rFonts w:hint="eastAsia" w:ascii="微软雅黑" w:hAnsi="微软雅黑" w:eastAsia="微软雅黑" w:cs="微软雅黑"/>
                <w:color w:val="000000"/>
                <w:sz w:val="18"/>
                <w:szCs w:val="18"/>
                <w:lang w:eastAsia="zh-CN" w:bidi="ar"/>
              </w:rPr>
            </w:pPr>
            <w:r>
              <w:rPr>
                <w:rFonts w:hint="eastAsia"/>
                <w:color w:val="000000"/>
                <w:lang w:eastAsia="zh-CN"/>
              </w:rPr>
              <w:t>蛇形水力振荡器待命费</w:t>
            </w:r>
          </w:p>
        </w:tc>
        <w:tc>
          <w:tcPr>
            <w:tcW w:w="1609" w:type="pct"/>
            <w:shd w:val="clear" w:color="auto" w:fill="auto"/>
            <w:vAlign w:val="center"/>
          </w:tcPr>
          <w:p>
            <w:pPr>
              <w:widowControl/>
              <w:jc w:val="center"/>
              <w:textAlignment w:val="center"/>
              <w:rPr>
                <w:color w:val="000000"/>
              </w:rPr>
            </w:pPr>
            <w:r>
              <w:rPr>
                <w:rFonts w:hint="eastAsia"/>
                <w:color w:val="000000"/>
              </w:rPr>
              <w:t>6-</w:t>
            </w:r>
            <w:r>
              <w:rPr>
                <w:rFonts w:hint="eastAsia"/>
                <w:color w:val="000000"/>
                <w:lang w:eastAsia="zh-CN"/>
              </w:rPr>
              <w:t>1</w:t>
            </w:r>
            <w:r>
              <w:rPr>
                <w:rFonts w:hint="eastAsia"/>
                <w:color w:val="000000"/>
              </w:rPr>
              <w:t>/</w:t>
            </w:r>
            <w:r>
              <w:rPr>
                <w:rFonts w:hint="eastAsia"/>
                <w:color w:val="000000"/>
                <w:lang w:eastAsia="zh-CN"/>
              </w:rPr>
              <w:t>2</w:t>
            </w:r>
            <w:r>
              <w:rPr>
                <w:rFonts w:hint="eastAsia"/>
                <w:color w:val="000000"/>
              </w:rPr>
              <w:t>"</w:t>
            </w:r>
          </w:p>
        </w:tc>
        <w:tc>
          <w:tcPr>
            <w:tcW w:w="591" w:type="pct"/>
            <w:shd w:val="clear" w:color="auto" w:fill="auto"/>
            <w:vAlign w:val="center"/>
          </w:tcPr>
          <w:p>
            <w:pPr>
              <w:widowControl/>
              <w:jc w:val="center"/>
              <w:textAlignment w:val="center"/>
              <w:rPr>
                <w:color w:val="000000"/>
              </w:rPr>
            </w:pPr>
            <w:r>
              <w:rPr>
                <w:rFonts w:hint="eastAsia"/>
                <w:color w:val="000000"/>
              </w:rPr>
              <w:t>套·天</w:t>
            </w:r>
          </w:p>
        </w:tc>
        <w:tc>
          <w:tcPr>
            <w:tcW w:w="1233" w:type="dxa"/>
            <w:shd w:val="clear" w:color="auto" w:fill="auto"/>
            <w:noWrap/>
            <w:vAlign w:val="center"/>
          </w:tcPr>
          <w:p>
            <w:pPr>
              <w:widowControl/>
              <w:jc w:val="center"/>
              <w:textAlignment w:val="center"/>
              <w:rPr>
                <w:color w:val="000000"/>
              </w:rPr>
            </w:pPr>
            <w:r>
              <w:rPr>
                <w:rFonts w:hint="eastAsia"/>
                <w:color w:val="000000"/>
                <w:lang w:eastAsia="zh-CN"/>
              </w:rPr>
              <w:t>1650</w:t>
            </w:r>
          </w:p>
        </w:tc>
      </w:tr>
    </w:tbl>
    <w:p>
      <w:pPr>
        <w:pStyle w:val="6"/>
        <w:spacing w:line="257" w:lineRule="auto"/>
        <w:ind w:right="121" w:rightChars="55" w:firstLine="531" w:firstLineChars="295"/>
        <w:rPr>
          <w:rFonts w:hint="eastAsia" w:ascii="微软雅黑" w:hAnsi="微软雅黑" w:eastAsia="微软雅黑" w:cs="微软雅黑"/>
          <w:lang w:eastAsia="zh-CN"/>
        </w:rPr>
      </w:pPr>
      <w:r>
        <w:rPr>
          <w:rFonts w:hint="eastAsia" w:ascii="微软雅黑" w:hAnsi="微软雅黑" w:eastAsia="微软雅黑" w:cs="微软雅黑"/>
          <w:color w:val="000000"/>
          <w:sz w:val="18"/>
          <w:szCs w:val="18"/>
          <w:lang w:eastAsia="zh-CN" w:bidi="ar"/>
        </w:rPr>
        <w:t>备注：清单中的水力振荡器需满足现场作业需求，包含动力部分及振荡部分。</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3、服务地点</w:t>
      </w:r>
    </w:p>
    <w:p>
      <w:pPr>
        <w:pStyle w:val="28"/>
        <w:spacing w:line="360" w:lineRule="auto"/>
        <w:rPr>
          <w:rFonts w:hint="eastAsia" w:ascii="微软雅黑" w:hAnsi="微软雅黑" w:eastAsia="微软雅黑" w:cs="微软雅黑"/>
          <w:color w:val="FF0000"/>
          <w:kern w:val="0"/>
          <w:szCs w:val="21"/>
        </w:rPr>
      </w:pPr>
      <w:r>
        <w:rPr>
          <w:rFonts w:hint="eastAsia" w:ascii="微软雅黑" w:hAnsi="微软雅黑" w:eastAsia="微软雅黑" w:cs="微软雅黑"/>
          <w:kern w:val="0"/>
          <w:szCs w:val="21"/>
        </w:rPr>
        <w:t>国内海洋海域和陆地区域，以渤海海域为主，具体以甲方通知为准。</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4、服务期限</w:t>
      </w:r>
    </w:p>
    <w:p>
      <w:pPr>
        <w:pStyle w:val="28"/>
        <w:spacing w:line="360" w:lineRule="auto"/>
        <w:rPr>
          <w:rFonts w:hint="eastAsia" w:ascii="Microsoft YaHei UI" w:hAnsi="Microsoft YaHei UI" w:eastAsia="Microsoft YaHei UI"/>
          <w:kern w:val="0"/>
          <w:szCs w:val="21"/>
        </w:rPr>
      </w:pPr>
      <w:bookmarkStart w:id="4" w:name="_Toc13248929"/>
      <w:bookmarkStart w:id="5" w:name="_Toc13249326"/>
      <w:r>
        <w:rPr>
          <w:rFonts w:hint="eastAsia" w:ascii="Microsoft YaHei UI" w:hAnsi="Microsoft YaHei UI" w:eastAsia="Microsoft YaHei UI"/>
          <w:kern w:val="0"/>
          <w:szCs w:val="21"/>
        </w:rPr>
        <w:t>（</w:t>
      </w:r>
      <w:r>
        <w:rPr>
          <w:rFonts w:ascii="Microsoft YaHei UI" w:hAnsi="Microsoft YaHei UI" w:eastAsia="Microsoft YaHei UI"/>
          <w:kern w:val="0"/>
          <w:szCs w:val="21"/>
        </w:rPr>
        <w:t>1</w:t>
      </w:r>
      <w:r>
        <w:rPr>
          <w:rFonts w:hint="eastAsia" w:ascii="Microsoft YaHei UI" w:hAnsi="Microsoft YaHei UI" w:eastAsia="Microsoft YaHei UI"/>
          <w:kern w:val="0"/>
          <w:szCs w:val="21"/>
        </w:rPr>
        <w:t>）合同签订后，按作业井次进行工具动复员。</w:t>
      </w:r>
    </w:p>
    <w:p>
      <w:pPr>
        <w:pStyle w:val="28"/>
        <w:spacing w:line="360" w:lineRule="auto"/>
        <w:rPr>
          <w:rFonts w:hint="eastAsia" w:ascii="Microsoft YaHei UI" w:hAnsi="Microsoft YaHei UI" w:eastAsia="Microsoft YaHei UI"/>
          <w:kern w:val="0"/>
          <w:szCs w:val="21"/>
        </w:rPr>
      </w:pPr>
      <w:r>
        <w:rPr>
          <w:rFonts w:hint="eastAsia" w:ascii="Microsoft YaHei UI" w:hAnsi="Microsoft YaHei UI" w:eastAsia="Microsoft YaHei UI"/>
          <w:kern w:val="0"/>
          <w:szCs w:val="21"/>
        </w:rPr>
        <w:t>（2）租赁日费周期为从工具离开码头计算至工具返回码头截止，不满一天按照一天核算。</w:t>
      </w:r>
    </w:p>
    <w:p>
      <w:pPr>
        <w:pStyle w:val="28"/>
        <w:spacing w:line="360" w:lineRule="auto"/>
        <w:rPr>
          <w:rFonts w:hint="eastAsia" w:ascii="Microsoft YaHei UI" w:hAnsi="Microsoft YaHei UI" w:eastAsia="Microsoft YaHei UI"/>
          <w:color w:val="000000" w:themeColor="text1"/>
          <w:kern w:val="0"/>
          <w:szCs w:val="21"/>
          <w14:textFill>
            <w14:solidFill>
              <w14:schemeClr w14:val="tx1"/>
            </w14:solidFill>
          </w14:textFill>
        </w:rPr>
      </w:pPr>
      <w:r>
        <w:rPr>
          <w:rFonts w:hint="eastAsia" w:ascii="Microsoft YaHei UI" w:hAnsi="Microsoft YaHei UI" w:eastAsia="Microsoft YaHei UI"/>
          <w:kern w:val="0"/>
          <w:szCs w:val="21"/>
        </w:rPr>
        <w:t>（3）</w:t>
      </w:r>
      <w:r>
        <w:rPr>
          <w:rFonts w:hint="eastAsia" w:ascii="Microsoft YaHei UI" w:hAnsi="Microsoft YaHei UI" w:eastAsia="Microsoft YaHei UI"/>
          <w:color w:val="000000" w:themeColor="text1"/>
          <w:kern w:val="0"/>
          <w:szCs w:val="21"/>
          <w14:textFill>
            <w14:solidFill>
              <w14:schemeClr w14:val="tx1"/>
            </w14:solidFill>
          </w14:textFill>
        </w:rPr>
        <w:t>水力振荡器提供一套备用服务工具，备用水力振荡器不收取日费，备用水力振荡器若使用则可收取维修费。</w:t>
      </w:r>
    </w:p>
    <w:p>
      <w:pPr>
        <w:pStyle w:val="28"/>
        <w:spacing w:line="360" w:lineRule="auto"/>
        <w:rPr>
          <w:rFonts w:hint="eastAsia" w:ascii="Microsoft YaHei UI" w:hAnsi="Microsoft YaHei UI" w:eastAsia="Microsoft YaHei UI"/>
          <w:kern w:val="0"/>
          <w:szCs w:val="21"/>
        </w:rPr>
      </w:pPr>
      <w:r>
        <w:rPr>
          <w:rFonts w:hint="eastAsia" w:ascii="Microsoft YaHei UI" w:hAnsi="Microsoft YaHei UI" w:eastAsia="Microsoft YaHei UI"/>
          <w:kern w:val="0"/>
          <w:szCs w:val="21"/>
        </w:rPr>
        <w:t>（4）如合同到期仍有在进行的订单或作业，合同期限自动顺延至作业结束之日。</w:t>
      </w:r>
    </w:p>
    <w:p>
      <w:pPr>
        <w:pStyle w:val="3"/>
        <w:rPr>
          <w:rFonts w:hint="eastAsia" w:ascii="微软雅黑" w:hAnsi="微软雅黑" w:eastAsia="微软雅黑" w:cs="微软雅黑"/>
        </w:rPr>
      </w:pPr>
      <w:r>
        <w:rPr>
          <w:rFonts w:hint="eastAsia" w:ascii="微软雅黑" w:hAnsi="微软雅黑" w:eastAsia="微软雅黑" w:cs="微软雅黑"/>
        </w:rPr>
        <w:t>三、执行标准/规范</w:t>
      </w:r>
    </w:p>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乙方所投标工具的加工制造应满足包括但不限于以下标准，如乙方所执行的标准高于或等同于以下标准的其它标准也是可以被接受。</w:t>
      </w:r>
    </w:p>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乙方所提供工具应满足钻井作业现场对水力振荡器的基本要求。</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81"/>
        <w:gridCol w:w="49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01" w:type="pct"/>
            <w:shd w:val="clear" w:color="auto" w:fill="auto"/>
            <w:vAlign w:val="center"/>
          </w:tcPr>
          <w:p>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标准号</w:t>
            </w:r>
          </w:p>
        </w:tc>
        <w:tc>
          <w:tcPr>
            <w:tcW w:w="2898" w:type="pct"/>
            <w:shd w:val="clear" w:color="auto" w:fill="auto"/>
            <w:vAlign w:val="center"/>
          </w:tcPr>
          <w:p>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标准名称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01" w:type="pct"/>
            <w:vAlign w:val="center"/>
          </w:tcPr>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CGBZ090-2021</w:t>
            </w:r>
          </w:p>
        </w:tc>
        <w:tc>
          <w:tcPr>
            <w:tcW w:w="2898" w:type="pct"/>
          </w:tcPr>
          <w:p>
            <w:pPr>
              <w:tabs>
                <w:tab w:val="left" w:pos="1620"/>
              </w:tabs>
              <w:spacing w:line="360" w:lineRule="auto"/>
              <w:jc w:val="center"/>
              <w:rPr>
                <w:rFonts w:hint="eastAsia" w:ascii="微软雅黑" w:hAnsi="微软雅黑" w:eastAsia="微软雅黑" w:cs="微软雅黑"/>
                <w:bCs/>
                <w:sz w:val="18"/>
                <w:szCs w:val="18"/>
                <w:lang w:eastAsia="zh-CN"/>
              </w:rPr>
            </w:pPr>
            <w:r>
              <w:rPr>
                <w:rFonts w:hint="eastAsia" w:ascii="微软雅黑" w:hAnsi="微软雅黑" w:eastAsia="微软雅黑" w:cs="微软雅黑"/>
                <w:sz w:val="18"/>
                <w:szCs w:val="18"/>
                <w:lang w:eastAsia="zh-CN"/>
              </w:rPr>
              <w:t>中国海油采购标准化体系建设 螺纹加工服务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01" w:type="pct"/>
            <w:vAlign w:val="center"/>
          </w:tcPr>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CGBZ168-2021</w:t>
            </w:r>
          </w:p>
        </w:tc>
        <w:tc>
          <w:tcPr>
            <w:tcW w:w="2898" w:type="pct"/>
          </w:tcPr>
          <w:p>
            <w:pPr>
              <w:tabs>
                <w:tab w:val="left" w:pos="1620"/>
              </w:tabs>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中国海油采购标准体系建设 水力振荡器及其配件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01" w:type="pct"/>
            <w:vAlign w:val="center"/>
          </w:tcPr>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CGBZ092-2021</w:t>
            </w:r>
          </w:p>
        </w:tc>
        <w:tc>
          <w:tcPr>
            <w:tcW w:w="2898" w:type="pct"/>
          </w:tcPr>
          <w:p>
            <w:pPr>
              <w:tabs>
                <w:tab w:val="left" w:pos="1620"/>
              </w:tabs>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中国海油采购标准化体系建设 磷化加工服务</w:t>
            </w:r>
          </w:p>
        </w:tc>
      </w:tr>
    </w:tbl>
    <w:p>
      <w:pPr>
        <w:pStyle w:val="3"/>
        <w:rPr>
          <w:rFonts w:hint="eastAsia" w:ascii="微软雅黑" w:hAnsi="微软雅黑" w:eastAsia="微软雅黑" w:cs="微软雅黑"/>
        </w:rPr>
      </w:pPr>
      <w:r>
        <w:rPr>
          <w:rFonts w:hint="eastAsia" w:ascii="微软雅黑" w:hAnsi="微软雅黑" w:eastAsia="微软雅黑" w:cs="微软雅黑"/>
        </w:rPr>
        <w:t>四、服务要求</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1、总体要求</w:t>
      </w:r>
    </w:p>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（1）乙方所提供的工具必须进行质量检测并提供相应的质检报告。</w:t>
      </w:r>
    </w:p>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（2）乙方中标后所提供的工具必须为新工具或新维保工具，并保证所有货物由专门质检人员进行全面细致检查，保证质量，符合工具使用标准要求。</w:t>
      </w:r>
    </w:p>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3）要求在投标文件中提供产品手册等技术文件，技术文件中要求详述投标产品的性能、结构特点。乙方所提供的技术文件是现场作业的重要指导文件，中标后作为合同文本的重要组成部分，虚假或不实信息应按合同相关条款进行处罚。</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2、设计/施工方案要求：</w:t>
      </w:r>
    </w:p>
    <w:p>
      <w:pPr>
        <w:pStyle w:val="6"/>
        <w:spacing w:line="257" w:lineRule="auto"/>
        <w:ind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乙方须按照甲方要求在规定时间内提供审核签字版的设计/施工方案。</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3、服务具体要求</w:t>
      </w:r>
    </w:p>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（1）水力振荡器技术参数</w:t>
      </w:r>
    </w:p>
    <w:tbl>
      <w:tblPr>
        <w:tblStyle w:val="15"/>
        <w:tblW w:w="4999" w:type="pct"/>
        <w:jc w:val="center"/>
        <w:tblLayout w:type="autofit"/>
        <w:tblCellMar>
          <w:top w:w="0" w:type="dxa"/>
          <w:left w:w="108" w:type="dxa"/>
          <w:bottom w:w="0" w:type="dxa"/>
          <w:right w:w="108" w:type="dxa"/>
        </w:tblCellMar>
      </w:tblPr>
      <w:tblGrid>
        <w:gridCol w:w="2964"/>
        <w:gridCol w:w="2647"/>
        <w:gridCol w:w="2909"/>
      </w:tblGrid>
      <w:tr>
        <w:tblPrEx>
          <w:tblCellMar>
            <w:top w:w="0" w:type="dxa"/>
            <w:left w:w="108" w:type="dxa"/>
            <w:bottom w:w="0" w:type="dxa"/>
            <w:right w:w="108" w:type="dxa"/>
          </w:tblCellMar>
        </w:tblPrEx>
        <w:trPr>
          <w:trHeight w:val="553" w:hRule="atLeast"/>
          <w:jc w:val="center"/>
        </w:trPr>
        <w:tc>
          <w:tcPr>
            <w:tcW w:w="1739" w:type="pct"/>
            <w:tcBorders>
              <w:top w:val="single" w:color="auto" w:sz="12" w:space="0"/>
              <w:left w:val="single" w:color="auto" w:sz="12"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工具尺寸</w:t>
            </w:r>
          </w:p>
        </w:tc>
        <w:tc>
          <w:tcPr>
            <w:tcW w:w="1553" w:type="pct"/>
            <w:tcBorders>
              <w:top w:val="single" w:color="auto" w:sz="12"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6-3/4</w:t>
            </w:r>
            <w:r>
              <w:rPr>
                <w:rFonts w:hint="eastAsia" w:ascii="微软雅黑" w:hAnsi="微软雅黑" w:eastAsia="微软雅黑" w:cs="微软雅黑"/>
                <w:sz w:val="18"/>
                <w:szCs w:val="18"/>
              </w:rPr>
              <w:t>"</w:t>
            </w:r>
          </w:p>
        </w:tc>
        <w:tc>
          <w:tcPr>
            <w:tcW w:w="1707" w:type="pct"/>
            <w:tcBorders>
              <w:top w:val="single" w:color="auto" w:sz="12" w:space="0"/>
              <w:left w:val="single" w:color="auto" w:sz="6" w:space="0"/>
              <w:bottom w:val="single" w:color="auto" w:sz="6" w:space="0"/>
              <w:right w:val="single" w:color="auto" w:sz="12"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8</w:t>
            </w:r>
            <w:r>
              <w:rPr>
                <w:rFonts w:hint="eastAsia" w:ascii="微软雅黑" w:hAnsi="微软雅黑" w:eastAsia="微软雅黑" w:cs="微软雅黑"/>
                <w:sz w:val="18"/>
                <w:szCs w:val="18"/>
              </w:rPr>
              <w:t>"</w:t>
            </w:r>
          </w:p>
        </w:tc>
      </w:tr>
      <w:tr>
        <w:tblPrEx>
          <w:tblCellMar>
            <w:top w:w="0" w:type="dxa"/>
            <w:left w:w="108" w:type="dxa"/>
            <w:bottom w:w="0" w:type="dxa"/>
            <w:right w:w="108" w:type="dxa"/>
          </w:tblCellMar>
        </w:tblPrEx>
        <w:trPr>
          <w:trHeight w:val="467" w:hRule="atLeast"/>
          <w:jc w:val="center"/>
        </w:trPr>
        <w:tc>
          <w:tcPr>
            <w:tcW w:w="1739"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作业排量范围（L/min）</w:t>
            </w:r>
          </w:p>
        </w:tc>
        <w:tc>
          <w:tcPr>
            <w:tcW w:w="1553"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1500-2270</w:t>
            </w:r>
          </w:p>
        </w:tc>
        <w:tc>
          <w:tcPr>
            <w:tcW w:w="1707" w:type="pct"/>
            <w:tcBorders>
              <w:top w:val="single" w:color="auto" w:sz="6" w:space="0"/>
              <w:left w:val="single" w:color="auto" w:sz="6" w:space="0"/>
              <w:bottom w:val="single" w:color="auto" w:sz="6" w:space="0"/>
              <w:right w:val="single" w:color="auto" w:sz="12"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1890-3780</w:t>
            </w:r>
          </w:p>
        </w:tc>
      </w:tr>
      <w:tr>
        <w:tblPrEx>
          <w:tblCellMar>
            <w:top w:w="0" w:type="dxa"/>
            <w:left w:w="108" w:type="dxa"/>
            <w:bottom w:w="0" w:type="dxa"/>
            <w:right w:w="108" w:type="dxa"/>
          </w:tblCellMar>
        </w:tblPrEx>
        <w:trPr>
          <w:trHeight w:val="459" w:hRule="atLeast"/>
          <w:jc w:val="center"/>
        </w:trPr>
        <w:tc>
          <w:tcPr>
            <w:tcW w:w="1739"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工作频率范围（Hz）</w:t>
            </w:r>
          </w:p>
        </w:tc>
        <w:tc>
          <w:tcPr>
            <w:tcW w:w="1553"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16-17</w:t>
            </w:r>
          </w:p>
        </w:tc>
        <w:tc>
          <w:tcPr>
            <w:tcW w:w="1707" w:type="pct"/>
            <w:tcBorders>
              <w:top w:val="single" w:color="auto" w:sz="6" w:space="0"/>
              <w:left w:val="single" w:color="auto" w:sz="6" w:space="0"/>
              <w:bottom w:val="single" w:color="auto" w:sz="6" w:space="0"/>
              <w:right w:val="single" w:color="auto" w:sz="12"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16</w:t>
            </w:r>
          </w:p>
        </w:tc>
      </w:tr>
      <w:tr>
        <w:tblPrEx>
          <w:tblCellMar>
            <w:top w:w="0" w:type="dxa"/>
            <w:left w:w="108" w:type="dxa"/>
            <w:bottom w:w="0" w:type="dxa"/>
            <w:right w:w="108" w:type="dxa"/>
          </w:tblCellMar>
        </w:tblPrEx>
        <w:trPr>
          <w:trHeight w:val="459" w:hRule="atLeast"/>
          <w:jc w:val="center"/>
        </w:trPr>
        <w:tc>
          <w:tcPr>
            <w:tcW w:w="1739"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★压耗（psi）</w:t>
            </w:r>
          </w:p>
        </w:tc>
        <w:tc>
          <w:tcPr>
            <w:tcW w:w="1553"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≤600</w:t>
            </w:r>
          </w:p>
        </w:tc>
        <w:tc>
          <w:tcPr>
            <w:tcW w:w="1707" w:type="pct"/>
            <w:tcBorders>
              <w:top w:val="single" w:color="auto" w:sz="6" w:space="0"/>
              <w:left w:val="single" w:color="auto" w:sz="6" w:space="0"/>
              <w:bottom w:val="single" w:color="auto" w:sz="6" w:space="0"/>
              <w:right w:val="single" w:color="auto" w:sz="12"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≤600</w:t>
            </w:r>
          </w:p>
        </w:tc>
      </w:tr>
      <w:tr>
        <w:tblPrEx>
          <w:tblCellMar>
            <w:top w:w="0" w:type="dxa"/>
            <w:left w:w="108" w:type="dxa"/>
            <w:bottom w:w="0" w:type="dxa"/>
            <w:right w:w="108" w:type="dxa"/>
          </w:tblCellMar>
        </w:tblPrEx>
        <w:trPr>
          <w:trHeight w:val="455" w:hRule="atLeast"/>
          <w:jc w:val="center"/>
        </w:trPr>
        <w:tc>
          <w:tcPr>
            <w:tcW w:w="1739"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★最高耐温（℃）</w:t>
            </w:r>
          </w:p>
        </w:tc>
        <w:tc>
          <w:tcPr>
            <w:tcW w:w="1553"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≥160</w:t>
            </w:r>
          </w:p>
        </w:tc>
        <w:tc>
          <w:tcPr>
            <w:tcW w:w="1707" w:type="pct"/>
            <w:tcBorders>
              <w:top w:val="single" w:color="auto" w:sz="6" w:space="0"/>
              <w:left w:val="single" w:color="auto" w:sz="6" w:space="0"/>
              <w:bottom w:val="single" w:color="auto" w:sz="6" w:space="0"/>
              <w:right w:val="single" w:color="auto" w:sz="12"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≥160</w:t>
            </w:r>
          </w:p>
        </w:tc>
      </w:tr>
      <w:tr>
        <w:tblPrEx>
          <w:tblCellMar>
            <w:top w:w="0" w:type="dxa"/>
            <w:left w:w="108" w:type="dxa"/>
            <w:bottom w:w="0" w:type="dxa"/>
            <w:right w:w="108" w:type="dxa"/>
          </w:tblCellMar>
        </w:tblPrEx>
        <w:trPr>
          <w:trHeight w:val="463" w:hRule="atLeast"/>
          <w:jc w:val="center"/>
        </w:trPr>
        <w:tc>
          <w:tcPr>
            <w:tcW w:w="1739"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工具抗扭lb.ft</w:t>
            </w:r>
          </w:p>
        </w:tc>
        <w:tc>
          <w:tcPr>
            <w:tcW w:w="1553"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≥43350</w:t>
            </w:r>
          </w:p>
        </w:tc>
        <w:tc>
          <w:tcPr>
            <w:tcW w:w="1707" w:type="pct"/>
            <w:tcBorders>
              <w:top w:val="single" w:color="auto" w:sz="6" w:space="0"/>
              <w:left w:val="single" w:color="auto" w:sz="6" w:space="0"/>
              <w:bottom w:val="single" w:color="auto" w:sz="6" w:space="0"/>
              <w:right w:val="single" w:color="auto" w:sz="12" w:space="0"/>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≥74550</w:t>
            </w:r>
          </w:p>
        </w:tc>
      </w:tr>
      <w:tr>
        <w:tblPrEx>
          <w:tblCellMar>
            <w:top w:w="0" w:type="dxa"/>
            <w:left w:w="108" w:type="dxa"/>
            <w:bottom w:w="0" w:type="dxa"/>
            <w:right w:w="108" w:type="dxa"/>
          </w:tblCellMar>
        </w:tblPrEx>
        <w:trPr>
          <w:trHeight w:val="463" w:hRule="atLeast"/>
          <w:jc w:val="center"/>
        </w:trPr>
        <w:tc>
          <w:tcPr>
            <w:tcW w:w="1739"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工具抗拉T</w:t>
            </w:r>
          </w:p>
        </w:tc>
        <w:tc>
          <w:tcPr>
            <w:tcW w:w="1553"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≥268</w:t>
            </w:r>
          </w:p>
        </w:tc>
        <w:tc>
          <w:tcPr>
            <w:tcW w:w="1707" w:type="pct"/>
            <w:tcBorders>
              <w:top w:val="single" w:color="auto" w:sz="6" w:space="0"/>
              <w:left w:val="single" w:color="auto" w:sz="6" w:space="0"/>
              <w:bottom w:val="single" w:color="auto" w:sz="6" w:space="0"/>
              <w:right w:val="single" w:color="auto" w:sz="12"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≥392</w:t>
            </w:r>
          </w:p>
        </w:tc>
      </w:tr>
      <w:tr>
        <w:tblPrEx>
          <w:tblCellMar>
            <w:top w:w="0" w:type="dxa"/>
            <w:left w:w="108" w:type="dxa"/>
            <w:bottom w:w="0" w:type="dxa"/>
            <w:right w:w="108" w:type="dxa"/>
          </w:tblCellMar>
        </w:tblPrEx>
        <w:trPr>
          <w:trHeight w:val="463" w:hRule="atLeast"/>
          <w:jc w:val="center"/>
        </w:trPr>
        <w:tc>
          <w:tcPr>
            <w:tcW w:w="1739" w:type="pct"/>
            <w:tcBorders>
              <w:top w:val="single" w:color="auto" w:sz="6" w:space="0"/>
              <w:left w:val="single" w:color="auto" w:sz="12" w:space="0"/>
              <w:bottom w:val="single" w:color="auto" w:sz="12"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连接螺纹</w:t>
            </w:r>
          </w:p>
        </w:tc>
        <w:tc>
          <w:tcPr>
            <w:tcW w:w="1553" w:type="pct"/>
            <w:tcBorders>
              <w:top w:val="single" w:color="auto" w:sz="6" w:space="0"/>
              <w:left w:val="single" w:color="auto" w:sz="6" w:space="0"/>
              <w:bottom w:val="single" w:color="auto" w:sz="12" w:space="0"/>
              <w:right w:val="single" w:color="auto" w:sz="6"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4-1/2”IF</w:t>
            </w:r>
          </w:p>
        </w:tc>
        <w:tc>
          <w:tcPr>
            <w:tcW w:w="1707" w:type="pct"/>
            <w:tcBorders>
              <w:top w:val="single" w:color="auto" w:sz="6" w:space="0"/>
              <w:left w:val="single" w:color="auto" w:sz="6" w:space="0"/>
              <w:bottom w:val="single" w:color="auto" w:sz="12" w:space="0"/>
              <w:right w:val="single" w:color="auto" w:sz="12" w:space="0"/>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6-5/8”REG</w:t>
            </w:r>
          </w:p>
        </w:tc>
      </w:tr>
    </w:tbl>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（2）零压耗水力振荡器技术参数</w:t>
      </w:r>
    </w:p>
    <w:tbl>
      <w:tblPr>
        <w:tblStyle w:val="1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69"/>
        <w:gridCol w:w="4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46"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工具尺寸</w:t>
            </w:r>
          </w:p>
        </w:tc>
        <w:tc>
          <w:tcPr>
            <w:tcW w:w="2553"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6"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作业排量范围（L/min）</w:t>
            </w:r>
          </w:p>
        </w:tc>
        <w:tc>
          <w:tcPr>
            <w:tcW w:w="2553"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1700-2800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46"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工作频率范围（Hz）</w:t>
            </w:r>
          </w:p>
        </w:tc>
        <w:tc>
          <w:tcPr>
            <w:tcW w:w="2553"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46"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★压耗（psi）</w:t>
            </w:r>
          </w:p>
        </w:tc>
        <w:tc>
          <w:tcPr>
            <w:tcW w:w="2553"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46"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★最高耐温（℃）</w:t>
            </w:r>
          </w:p>
        </w:tc>
        <w:tc>
          <w:tcPr>
            <w:tcW w:w="2553"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6"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工具抗扭lb.ft</w:t>
            </w:r>
          </w:p>
        </w:tc>
        <w:tc>
          <w:tcPr>
            <w:tcW w:w="2553"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≥59000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6"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工具抗拉T</w:t>
            </w:r>
          </w:p>
        </w:tc>
        <w:tc>
          <w:tcPr>
            <w:tcW w:w="2553"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≥358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6"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连接螺纹</w:t>
            </w:r>
          </w:p>
        </w:tc>
        <w:tc>
          <w:tcPr>
            <w:tcW w:w="2553"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4-1/2”IF</w:t>
            </w:r>
          </w:p>
        </w:tc>
      </w:tr>
    </w:tbl>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（3）蛇形水力振荡器技术参数</w:t>
      </w:r>
    </w:p>
    <w:tbl>
      <w:tblPr>
        <w:tblStyle w:val="1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59"/>
        <w:gridCol w:w="2880"/>
        <w:gridCol w:w="28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9"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工具尺寸</w:t>
            </w:r>
          </w:p>
        </w:tc>
        <w:tc>
          <w:tcPr>
            <w:tcW w:w="1690" w:type="pct"/>
            <w:tcBorders>
              <w:tl2br w:val="nil"/>
              <w:tr2bl w:val="nil"/>
            </w:tcBorders>
            <w:shd w:val="clear" w:color="auto" w:fill="auto"/>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r>
              <w:rPr>
                <w:rFonts w:hint="eastAsia" w:ascii="微软雅黑" w:hAnsi="微软雅黑" w:eastAsia="微软雅黑" w:cs="微软雅黑"/>
                <w:sz w:val="18"/>
                <w:szCs w:val="18"/>
                <w:lang w:eastAsia="zh-CN"/>
              </w:rPr>
              <w:t>1</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2</w:t>
            </w:r>
            <w:r>
              <w:rPr>
                <w:rFonts w:hint="eastAsia" w:ascii="微软雅黑" w:hAnsi="微软雅黑" w:eastAsia="微软雅黑" w:cs="微软雅黑"/>
                <w:sz w:val="18"/>
                <w:szCs w:val="18"/>
              </w:rPr>
              <w:t>”</w:t>
            </w:r>
          </w:p>
        </w:tc>
        <w:tc>
          <w:tcPr>
            <w:tcW w:w="1690"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8</w:t>
            </w:r>
            <w:r>
              <w:rPr>
                <w:rFonts w:hint="eastAsia" w:ascii="微软雅黑" w:hAnsi="微软雅黑" w:eastAsia="微软雅黑" w:cs="微软雅黑"/>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9"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作业排量范围（L/min）</w:t>
            </w:r>
          </w:p>
        </w:tc>
        <w:tc>
          <w:tcPr>
            <w:tcW w:w="1690" w:type="pct"/>
            <w:tcBorders>
              <w:tl2br w:val="nil"/>
              <w:tr2bl w:val="nil"/>
            </w:tcBorders>
            <w:shd w:val="clear" w:color="auto" w:fill="auto"/>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1800-2700</w:t>
            </w:r>
          </w:p>
        </w:tc>
        <w:tc>
          <w:tcPr>
            <w:tcW w:w="1690"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3000-4800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19"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★工作频率范围（Hz）</w:t>
            </w:r>
          </w:p>
        </w:tc>
        <w:tc>
          <w:tcPr>
            <w:tcW w:w="1690" w:type="pct"/>
            <w:tcBorders>
              <w:tl2br w:val="nil"/>
              <w:tr2bl w:val="nil"/>
            </w:tcBorders>
            <w:shd w:val="clear" w:color="auto" w:fill="auto"/>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30-70</w:t>
            </w:r>
          </w:p>
        </w:tc>
        <w:tc>
          <w:tcPr>
            <w:tcW w:w="1690"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40-60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19"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★压耗（psi）</w:t>
            </w:r>
          </w:p>
        </w:tc>
        <w:tc>
          <w:tcPr>
            <w:tcW w:w="1690" w:type="pct"/>
            <w:tcBorders>
              <w:tl2br w:val="nil"/>
              <w:tr2bl w:val="nil"/>
            </w:tcBorders>
            <w:shd w:val="clear" w:color="auto" w:fill="auto"/>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≤370</w:t>
            </w:r>
          </w:p>
        </w:tc>
        <w:tc>
          <w:tcPr>
            <w:tcW w:w="1690"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≤480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5" w:hRule="atLeast"/>
          <w:jc w:val="center"/>
        </w:trPr>
        <w:tc>
          <w:tcPr>
            <w:tcW w:w="1619"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★最高耐温（℃）</w:t>
            </w:r>
          </w:p>
        </w:tc>
        <w:tc>
          <w:tcPr>
            <w:tcW w:w="1690" w:type="pct"/>
            <w:tcBorders>
              <w:tl2br w:val="nil"/>
              <w:tr2bl w:val="nil"/>
            </w:tcBorders>
            <w:shd w:val="clear" w:color="auto" w:fill="auto"/>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≥180</w:t>
            </w:r>
          </w:p>
        </w:tc>
        <w:tc>
          <w:tcPr>
            <w:tcW w:w="1690"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3" w:hRule="atLeast"/>
          <w:jc w:val="center"/>
        </w:trPr>
        <w:tc>
          <w:tcPr>
            <w:tcW w:w="1619" w:type="pct"/>
            <w:tcBorders>
              <w:tl2br w:val="nil"/>
              <w:tr2bl w:val="nil"/>
            </w:tcBorders>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工具抗扭lb.ft</w:t>
            </w:r>
          </w:p>
        </w:tc>
        <w:tc>
          <w:tcPr>
            <w:tcW w:w="1690" w:type="pct"/>
            <w:tcBorders>
              <w:tl2br w:val="nil"/>
              <w:tr2bl w:val="nil"/>
            </w:tcBorders>
            <w:shd w:val="clear" w:color="auto" w:fill="auto"/>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87000</w:t>
            </w:r>
          </w:p>
        </w:tc>
        <w:tc>
          <w:tcPr>
            <w:tcW w:w="1690"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191800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19"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工具抗拉T</w:t>
            </w:r>
          </w:p>
        </w:tc>
        <w:tc>
          <w:tcPr>
            <w:tcW w:w="1690" w:type="pct"/>
            <w:tcBorders>
              <w:tl2br w:val="nil"/>
              <w:tr2bl w:val="nil"/>
            </w:tcBorders>
            <w:shd w:val="clear" w:color="auto" w:fill="auto"/>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275</w:t>
            </w:r>
          </w:p>
        </w:tc>
        <w:tc>
          <w:tcPr>
            <w:tcW w:w="1690"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428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19"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连接螺纹</w:t>
            </w:r>
          </w:p>
        </w:tc>
        <w:tc>
          <w:tcPr>
            <w:tcW w:w="1690" w:type="pct"/>
            <w:tcBorders>
              <w:tl2br w:val="nil"/>
              <w:tr2bl w:val="nil"/>
            </w:tcBorders>
            <w:shd w:val="clear" w:color="auto" w:fill="auto"/>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4-1/2”IF</w:t>
            </w:r>
          </w:p>
        </w:tc>
        <w:tc>
          <w:tcPr>
            <w:tcW w:w="1690" w:type="pct"/>
            <w:tcBorders>
              <w:tl2br w:val="nil"/>
              <w:tr2bl w:val="nil"/>
            </w:tcBorders>
            <w:vAlign w:val="center"/>
          </w:tcPr>
          <w:p>
            <w:pPr>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6-5/8”REG</w:t>
            </w:r>
          </w:p>
        </w:tc>
      </w:tr>
    </w:tbl>
    <w:p>
      <w:pPr>
        <w:pStyle w:val="6"/>
        <w:spacing w:line="360" w:lineRule="auto"/>
        <w:ind w:right="121" w:rightChars="55" w:firstLine="420"/>
        <w:rPr>
          <w:rFonts w:hint="eastAsia"/>
          <w:lang w:eastAsia="zh-CN"/>
        </w:rPr>
      </w:pPr>
      <w:r>
        <w:rPr>
          <w:rFonts w:hint="eastAsia"/>
          <w:lang w:eastAsia="zh-CN"/>
        </w:rPr>
        <w:t>（4）乙方须提供工具密封圈最高耐温报告以证明工具最高耐温满足要求。</w:t>
      </w:r>
    </w:p>
    <w:p>
      <w:pPr>
        <w:pStyle w:val="6"/>
        <w:spacing w:line="360" w:lineRule="auto"/>
        <w:ind w:right="121" w:rightChars="55" w:firstLine="420"/>
        <w:rPr>
          <w:rFonts w:hint="eastAsia"/>
          <w:lang w:eastAsia="zh-CN"/>
        </w:rPr>
      </w:pPr>
      <w:r>
        <w:rPr>
          <w:rFonts w:hint="eastAsia"/>
          <w:lang w:eastAsia="zh-CN"/>
        </w:rPr>
        <w:t>（5）乙方所提供的产品须满足《中国海油采购标准化体系建设 水力振荡器及其配件》（CGBZ168-2021）中使用条件的要求：</w:t>
      </w:r>
    </w:p>
    <w:p>
      <w:pPr>
        <w:pStyle w:val="6"/>
        <w:spacing w:line="360" w:lineRule="auto"/>
        <w:ind w:right="121" w:rightChars="55" w:firstLine="420"/>
        <w:rPr>
          <w:rFonts w:hint="eastAsia"/>
          <w:lang w:eastAsia="zh-CN"/>
        </w:rPr>
      </w:pPr>
      <w:r>
        <w:rPr>
          <w:rFonts w:hint="eastAsia"/>
          <w:lang w:eastAsia="zh-CN"/>
        </w:rPr>
        <w:t>6-1/2"水力振荡器单次循环时间不低于200小时，8"水力振荡器单次循环时间不低于300小时。乙方须提供产品手册或其他有效证明材料。</w:t>
      </w:r>
    </w:p>
    <w:p>
      <w:pPr>
        <w:pStyle w:val="6"/>
        <w:spacing w:line="360" w:lineRule="auto"/>
        <w:ind w:right="121" w:rightChars="55" w:firstLine="420"/>
        <w:rPr>
          <w:rFonts w:hint="eastAsia"/>
          <w:i/>
          <w:iCs/>
          <w:lang w:eastAsia="zh-CN"/>
        </w:rPr>
      </w:pPr>
      <w:r>
        <w:rPr>
          <w:rFonts w:hint="eastAsia" w:ascii="汉仪叶叶相思体简" w:hAnsi="汉仪叶叶相思体简" w:eastAsia="汉仪叶叶相思体简" w:cs="汉仪叶叶相思体简"/>
          <w:lang w:eastAsia="zh-CN"/>
        </w:rPr>
        <w:t>★</w:t>
      </w:r>
      <w:r>
        <w:rPr>
          <w:rFonts w:hint="eastAsia"/>
          <w:lang w:eastAsia="zh-CN"/>
        </w:rPr>
        <w:t>（6）乙方须具备工具安装位置软件理论计算能力，并按甲方要求提供现场作业方案设计。</w:t>
      </w:r>
      <w:r>
        <w:rPr>
          <w:rFonts w:hint="eastAsia"/>
          <w:i/>
          <w:iCs/>
          <w:lang w:eastAsia="zh-CN"/>
        </w:rPr>
        <w:t>（投标方在投标技术文件中须提供工具安装位置软件理论计算的历史方案或模拟计算方案等有效证明材料）</w:t>
      </w:r>
    </w:p>
    <w:p>
      <w:pPr>
        <w:pStyle w:val="6"/>
        <w:spacing w:line="360" w:lineRule="auto"/>
        <w:ind w:right="121" w:rightChars="55" w:firstLine="420"/>
        <w:rPr>
          <w:rFonts w:hint="eastAsia"/>
          <w:lang w:eastAsia="zh-CN"/>
        </w:rPr>
      </w:pPr>
      <w:r>
        <w:rPr>
          <w:rFonts w:hint="eastAsia" w:ascii="汉仪叶叶相思体简" w:hAnsi="汉仪叶叶相思体简" w:eastAsia="汉仪叶叶相思体简" w:cs="汉仪叶叶相思体简"/>
          <w:lang w:eastAsia="zh-CN"/>
        </w:rPr>
        <w:t>★</w:t>
      </w:r>
      <w:r>
        <w:rPr>
          <w:rFonts w:hint="eastAsia"/>
          <w:lang w:eastAsia="zh-CN"/>
        </w:rPr>
        <w:t>（7）乙方提供水力振荡器须为双级增压结构。</w:t>
      </w:r>
    </w:p>
    <w:p>
      <w:pPr>
        <w:pStyle w:val="6"/>
        <w:spacing w:line="360" w:lineRule="auto"/>
        <w:ind w:right="121" w:rightChars="55" w:firstLine="420"/>
        <w:rPr>
          <w:rFonts w:hint="eastAsia" w:ascii="汉仪叶叶相思体简" w:hAnsi="汉仪叶叶相思体简" w:eastAsia="汉仪叶叶相思体简" w:cs="汉仪叶叶相思体简"/>
          <w:lang w:eastAsia="zh-CN"/>
        </w:rPr>
      </w:pPr>
      <w:r>
        <w:rPr>
          <w:rFonts w:hint="eastAsia" w:ascii="汉仪叶叶相思体简" w:hAnsi="汉仪叶叶相思体简" w:eastAsia="汉仪叶叶相思体简" w:cs="汉仪叶叶相思体简"/>
          <w:lang w:eastAsia="zh-CN"/>
        </w:rPr>
        <w:t>★（8）乙方提供的蛇形水力振荡器应为径向震动，对顶驱和定向井仪器无损伤，震动波频率平滑，对定向仪器等井下仪器无干扰。</w:t>
      </w:r>
    </w:p>
    <w:p>
      <w:pPr>
        <w:pStyle w:val="6"/>
        <w:spacing w:line="360" w:lineRule="auto"/>
        <w:ind w:right="121" w:rightChars="55" w:firstLine="420"/>
        <w:rPr>
          <w:rFonts w:hint="eastAsia" w:ascii="汉仪叶叶相思体简" w:hAnsi="汉仪叶叶相思体简" w:eastAsia="汉仪叶叶相思体简" w:cs="汉仪叶叶相思体简"/>
          <w:lang w:eastAsia="zh-CN"/>
        </w:rPr>
      </w:pPr>
      <w:r>
        <w:rPr>
          <w:rFonts w:hint="eastAsia" w:ascii="汉仪叶叶相思体简" w:hAnsi="汉仪叶叶相思体简" w:eastAsia="汉仪叶叶相思体简" w:cs="汉仪叶叶相思体简"/>
          <w:lang w:eastAsia="zh-CN"/>
        </w:rPr>
        <w:t>★（9）乙方提供的蛇形水力振荡器需同时兼容油基泥浆和水基泥浆体系，并具备高温高压工况适应性。其耐温性能应不低于180℃，且需在额定工作压力下保持结构完整性和功能稳定性。</w:t>
      </w:r>
    </w:p>
    <w:p>
      <w:pPr>
        <w:pStyle w:val="6"/>
        <w:spacing w:line="360" w:lineRule="auto"/>
        <w:ind w:right="121" w:rightChars="55" w:firstLine="420"/>
        <w:rPr>
          <w:rFonts w:hint="eastAsia"/>
          <w:lang w:eastAsia="zh-CN"/>
        </w:rPr>
      </w:pPr>
      <w:r>
        <w:rPr>
          <w:rFonts w:hint="eastAsia"/>
          <w:lang w:eastAsia="zh-CN"/>
        </w:rPr>
        <w:t>（10）乙方所提供的产品须满足《中国海油采购标准化体系建设 螺纹加工服务》（CGBZ090-2021）技术要求中的部分要求：</w:t>
      </w:r>
    </w:p>
    <w:p>
      <w:pPr>
        <w:pStyle w:val="6"/>
        <w:spacing w:line="257" w:lineRule="auto"/>
        <w:ind w:right="121" w:rightChars="55" w:firstLine="615" w:firstLineChars="293"/>
        <w:rPr>
          <w:rFonts w:hint="eastAsia"/>
          <w:lang w:eastAsia="zh-CN"/>
        </w:rPr>
      </w:pPr>
      <w:r>
        <w:rPr>
          <w:rFonts w:hint="eastAsia"/>
          <w:lang w:eastAsia="zh-CN"/>
        </w:rPr>
        <w:t>在有效连接范围以内的螺纹部分，无明显的撕裂、刀痕、磨痕、台肩或破坏连续性的任何缺欠。</w:t>
      </w:r>
    </w:p>
    <w:p>
      <w:pPr>
        <w:pStyle w:val="6"/>
        <w:spacing w:line="257" w:lineRule="auto"/>
        <w:ind w:right="121" w:rightChars="55" w:firstLine="615" w:firstLineChars="293"/>
        <w:rPr>
          <w:rFonts w:hint="eastAsia"/>
          <w:lang w:eastAsia="zh-CN"/>
        </w:rPr>
      </w:pPr>
      <w:r>
        <w:rPr>
          <w:rFonts w:hint="eastAsia"/>
          <w:lang w:eastAsia="zh-CN"/>
        </w:rPr>
        <w:t>螺纹表面应不存在能使内螺纹保护涂层剥落或损伤啮合面的明显凸点。</w:t>
      </w:r>
    </w:p>
    <w:p>
      <w:pPr>
        <w:pStyle w:val="6"/>
        <w:spacing w:line="257" w:lineRule="auto"/>
        <w:ind w:right="121" w:rightChars="55" w:firstLine="615" w:firstLineChars="293"/>
        <w:rPr>
          <w:rFonts w:hint="eastAsia"/>
          <w:lang w:eastAsia="zh-CN"/>
        </w:rPr>
      </w:pPr>
      <w:r>
        <w:rPr>
          <w:rFonts w:hint="eastAsia"/>
          <w:lang w:eastAsia="zh-CN"/>
        </w:rPr>
        <w:t>外螺纹倒角应在360°圆周上完整形成，且没有损伤螺纹的毛刺和卷边。</w:t>
      </w:r>
    </w:p>
    <w:p>
      <w:pPr>
        <w:pStyle w:val="6"/>
        <w:spacing w:line="257" w:lineRule="auto"/>
        <w:ind w:right="121" w:rightChars="55" w:firstLine="615" w:firstLineChars="293"/>
        <w:rPr>
          <w:rFonts w:hint="eastAsia"/>
          <w:lang w:eastAsia="zh-CN"/>
        </w:rPr>
      </w:pPr>
      <w:r>
        <w:rPr>
          <w:rFonts w:hint="eastAsia"/>
          <w:lang w:eastAsia="zh-CN"/>
        </w:rPr>
        <w:t>起始螺纹应在倒角面上形成。倒角面上的尖角毛刺应去除。</w:t>
      </w:r>
    </w:p>
    <w:p>
      <w:pPr>
        <w:pStyle w:val="6"/>
        <w:spacing w:line="257" w:lineRule="auto"/>
        <w:ind w:right="121" w:rightChars="55" w:firstLine="615" w:firstLineChars="293"/>
        <w:rPr>
          <w:rFonts w:hint="eastAsia"/>
          <w:lang w:eastAsia="zh-CN"/>
        </w:rPr>
      </w:pPr>
      <w:r>
        <w:rPr>
          <w:rFonts w:hint="eastAsia"/>
          <w:lang w:eastAsia="zh-CN"/>
        </w:rPr>
        <w:t>螺纹的表面处理不允许有表层氧化、镀层脱落、过析晶粒附着、锈蚀斑痕、杂质残留等缺欠。</w:t>
      </w:r>
    </w:p>
    <w:p>
      <w:pPr>
        <w:pStyle w:val="6"/>
        <w:spacing w:line="360" w:lineRule="auto"/>
        <w:ind w:right="121" w:rightChars="55" w:firstLine="420"/>
        <w:rPr>
          <w:rFonts w:hint="eastAsia"/>
          <w:lang w:eastAsia="zh-CN"/>
        </w:rPr>
      </w:pPr>
      <w:r>
        <w:rPr>
          <w:rFonts w:hint="eastAsia"/>
          <w:lang w:eastAsia="zh-CN"/>
        </w:rPr>
        <w:t>（11）乙方所提供的产品须满足《中国海油采购标准化体系建设 磷化加工服务》（CGBZ092-2021）技术要求中的部分要求：</w:t>
      </w:r>
    </w:p>
    <w:p>
      <w:pPr>
        <w:pStyle w:val="6"/>
        <w:spacing w:line="257" w:lineRule="auto"/>
        <w:ind w:right="121" w:rightChars="55" w:firstLine="615" w:firstLineChars="293"/>
        <w:rPr>
          <w:rFonts w:hint="eastAsia"/>
          <w:lang w:eastAsia="zh-CN"/>
        </w:rPr>
      </w:pPr>
      <w:r>
        <w:rPr>
          <w:rFonts w:hint="eastAsia"/>
          <w:lang w:eastAsia="zh-CN"/>
        </w:rPr>
        <w:t>磷化的工件表面颜色应为灰色—深灰色，分布均匀，并覆盖整个表面，表面无外观损伤，无生锈问题。</w:t>
      </w:r>
    </w:p>
    <w:p>
      <w:pPr>
        <w:pStyle w:val="6"/>
        <w:spacing w:line="257" w:lineRule="auto"/>
        <w:ind w:right="121" w:rightChars="55" w:firstLine="615" w:firstLineChars="293"/>
        <w:rPr>
          <w:rFonts w:hint="eastAsia"/>
          <w:lang w:eastAsia="zh-CN"/>
        </w:rPr>
      </w:pPr>
      <w:r>
        <w:rPr>
          <w:rFonts w:hint="eastAsia"/>
          <w:lang w:eastAsia="zh-CN"/>
        </w:rPr>
        <w:t>磷化膜应颜色一致，晶粒度适中，有较强的附着力。</w:t>
      </w:r>
    </w:p>
    <w:p>
      <w:pPr>
        <w:pStyle w:val="6"/>
        <w:spacing w:line="257" w:lineRule="auto"/>
        <w:ind w:right="121" w:rightChars="55" w:firstLine="615" w:firstLineChars="293"/>
        <w:rPr>
          <w:rFonts w:hint="eastAsia"/>
          <w:lang w:eastAsia="zh-CN"/>
        </w:rPr>
      </w:pPr>
      <w:r>
        <w:rPr>
          <w:rFonts w:hint="eastAsia"/>
          <w:lang w:eastAsia="zh-CN"/>
        </w:rPr>
        <w:t>用测厚仪测量磷化厚度在18~25um。</w:t>
      </w:r>
    </w:p>
    <w:p>
      <w:pPr>
        <w:pStyle w:val="6"/>
        <w:spacing w:line="257" w:lineRule="auto"/>
        <w:ind w:right="121" w:rightChars="55" w:firstLine="615" w:firstLineChars="293"/>
        <w:rPr>
          <w:rFonts w:hint="eastAsia"/>
          <w:lang w:eastAsia="zh-CN"/>
        </w:rPr>
      </w:pPr>
      <w:r>
        <w:rPr>
          <w:rFonts w:hint="eastAsia"/>
          <w:lang w:eastAsia="zh-CN"/>
        </w:rPr>
        <w:t>提供检验报告或产品合格证。</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4、工作界面要求：</w:t>
      </w:r>
    </w:p>
    <w:p>
      <w:pPr>
        <w:pStyle w:val="6"/>
        <w:spacing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（1）乙方提供工具租赁服务，甲方自有工程师独立完成现场作业，乙方负责为甲方培训熟练的操作人员。</w:t>
      </w:r>
    </w:p>
    <w:p>
      <w:pPr>
        <w:pStyle w:val="6"/>
        <w:spacing w:before="156" w:beforeLines="50"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（2）乙方负责将所租赁工具运输到甲方指定地点，并在作业完成后回收工具，无动复员费用。</w:t>
      </w:r>
    </w:p>
    <w:p>
      <w:pPr>
        <w:pStyle w:val="6"/>
        <w:spacing w:line="360"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5、培训要求：</w:t>
      </w:r>
    </w:p>
    <w:p>
      <w:pPr>
        <w:pStyle w:val="6"/>
        <w:spacing w:before="156" w:beforeLines="50" w:line="360"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在合同有效期内，乙方有义务为甲方工程师提供免费培训，培训内容包含甲方要求以及乙方认为有利于甲方正确使用产品的技术指导相关内容包含但不限于：操作规程、异常情况处理、使用环境因素或参数的判断等。</w:t>
      </w:r>
    </w:p>
    <w:p>
      <w:pPr>
        <w:pStyle w:val="3"/>
        <w:rPr>
          <w:rFonts w:hint="eastAsia" w:ascii="微软雅黑" w:hAnsi="微软雅黑" w:eastAsia="微软雅黑" w:cs="微软雅黑"/>
          <w:bCs/>
        </w:rPr>
      </w:pPr>
      <w:r>
        <w:rPr>
          <w:rFonts w:hint="eastAsia" w:ascii="微软雅黑" w:hAnsi="微软雅黑" w:eastAsia="微软雅黑" w:cs="微软雅黑"/>
        </w:rPr>
        <w:t>五、</w:t>
      </w:r>
      <w:r>
        <w:rPr>
          <w:rFonts w:hint="eastAsia" w:ascii="微软雅黑" w:hAnsi="微软雅黑" w:eastAsia="微软雅黑" w:cs="微软雅黑"/>
          <w:bCs/>
        </w:rPr>
        <w:t>配备资源要求</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1、为避免工具在运输过程中对本体、花键轴、螺纹等可能造成的损伤，工具必须配有相应的防护措施，保证所租赁工具的完好性。</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2、乙方应当免费提供2-3名专业技术人员，要求至少有5年相关工作经验，须提供社保证明，为甲方提供现场使用指导，服务内容包括：方案推荐与解释、效果评估、资料统计分析及其它相关技术服务。</w:t>
      </w:r>
    </w:p>
    <w:p>
      <w:pPr>
        <w:pStyle w:val="7"/>
        <w:ind w:left="0"/>
        <w:outlineLvl w:val="0"/>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六、服务进度跟踪</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1、乙方有责任、有义务协助甲方跟踪工具租赁状态，并及时更新工具租赁台账。</w:t>
      </w:r>
    </w:p>
    <w:p>
      <w:pPr>
        <w:pStyle w:val="6"/>
        <w:spacing w:line="257" w:lineRule="auto"/>
        <w:ind w:right="121" w:rightChars="55" w:firstLine="420"/>
        <w:rPr>
          <w:rFonts w:hint="eastAsia"/>
          <w:lang w:eastAsia="zh-CN"/>
        </w:rPr>
      </w:pPr>
      <w:r>
        <w:rPr>
          <w:rFonts w:hint="eastAsia"/>
          <w:lang w:eastAsia="zh-CN"/>
        </w:rPr>
        <w:t>2、乙方整理、汇总已完工的工具租赁项目，并及时提交给甲方。</w:t>
      </w:r>
    </w:p>
    <w:p>
      <w:pPr>
        <w:pStyle w:val="7"/>
        <w:ind w:left="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七、服务及验收标准</w:t>
      </w:r>
    </w:p>
    <w:p>
      <w:pPr>
        <w:pStyle w:val="7"/>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1、乙方所提供工具规格尺寸、数量与委托一致，技术参数满足技术要求。</w:t>
      </w:r>
    </w:p>
    <w:p>
      <w:pPr>
        <w:pStyle w:val="6"/>
        <w:spacing w:line="360" w:lineRule="auto"/>
        <w:ind w:right="121" w:rightChars="55" w:firstLine="420"/>
        <w:rPr>
          <w:rFonts w:hint="eastAsia" w:ascii="微软雅黑" w:hAnsi="微软雅黑" w:eastAsia="微软雅黑" w:cs="微软雅黑"/>
          <w:color w:val="FF0000"/>
          <w:lang w:eastAsia="zh-CN"/>
        </w:rPr>
      </w:pPr>
      <w:r>
        <w:rPr>
          <w:rFonts w:hint="eastAsia" w:ascii="微软雅黑" w:hAnsi="微软雅黑" w:eastAsia="微软雅黑" w:cs="微软雅黑"/>
          <w:lang w:eastAsia="zh-CN"/>
        </w:rPr>
        <w:t>2、提供产品说明书、产品打捞尺寸图等指导性文件。</w:t>
      </w:r>
    </w:p>
    <w:p>
      <w:pPr>
        <w:pStyle w:val="7"/>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3、乙方所提供工具在现场使用过程中能够有效降低定向滑动钻进托压、减少钻进辅助时间等功能，无任何质量问题。</w:t>
      </w:r>
    </w:p>
    <w:p>
      <w:pPr>
        <w:pStyle w:val="7"/>
        <w:ind w:left="0"/>
        <w:outlineLvl w:val="0"/>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八、质量保证</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1.质量监督、驻厂监造、质量巡查</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1.1 质量监督：甲方根据乙方实际供货质量，开展质量监督，验证乙方质量管理体系运行的有效性，确保乙方有能力提供符合合同技术要求的产品。</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1.2 驻厂监造：甲方向乙方发出采购订单后，根据乙方实际生产进度，安排技术人员和质量人员对本批次工具进行现场监督和检验，确保本批次产品加工过程质量符合合同技术要求。</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1.3 质量巡查：甲方不定期组织技术人员和质量人员对产品生产过程中的关键技术指标进行现场巡查和见证，确保关键工序能力满足合同技术要求。</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2.质量索赔</w:t>
      </w:r>
    </w:p>
    <w:tbl>
      <w:tblPr>
        <w:tblStyle w:val="16"/>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163"/>
        <w:gridCol w:w="1528"/>
        <w:gridCol w:w="2131"/>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3"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序号</w:t>
            </w:r>
          </w:p>
        </w:tc>
        <w:tc>
          <w:tcPr>
            <w:tcW w:w="1163"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问题类别</w:t>
            </w:r>
          </w:p>
        </w:tc>
        <w:tc>
          <w:tcPr>
            <w:tcW w:w="1528"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问题类型</w:t>
            </w:r>
          </w:p>
        </w:tc>
        <w:tc>
          <w:tcPr>
            <w:tcW w:w="2131"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定义</w:t>
            </w:r>
          </w:p>
        </w:tc>
        <w:tc>
          <w:tcPr>
            <w:tcW w:w="3082"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赔偿标准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3" w:type="dxa"/>
            <w:vMerge w:val="restart"/>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1</w:t>
            </w:r>
          </w:p>
        </w:tc>
        <w:tc>
          <w:tcPr>
            <w:tcW w:w="1163" w:type="dxa"/>
            <w:vMerge w:val="restart"/>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设备类</w:t>
            </w:r>
          </w:p>
        </w:tc>
        <w:tc>
          <w:tcPr>
            <w:tcW w:w="1528"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设备性能不达标</w:t>
            </w:r>
          </w:p>
        </w:tc>
        <w:tc>
          <w:tcPr>
            <w:tcW w:w="2131"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设备关键参数不符合现场作业要求</w:t>
            </w:r>
          </w:p>
        </w:tc>
        <w:tc>
          <w:tcPr>
            <w:tcW w:w="3082" w:type="dxa"/>
            <w:vAlign w:val="center"/>
          </w:tcPr>
          <w:p>
            <w:pPr>
              <w:numPr>
                <w:ilvl w:val="0"/>
                <w:numId w:val="2"/>
              </w:num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按设备日租金的10%收取违约金</w:t>
            </w:r>
          </w:p>
          <w:p>
            <w:pPr>
              <w:numPr>
                <w:ilvl w:val="0"/>
                <w:numId w:val="2"/>
              </w:num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立即更换设备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16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528"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设备故障频发</w:t>
            </w:r>
          </w:p>
        </w:tc>
        <w:tc>
          <w:tcPr>
            <w:tcW w:w="2131"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租赁期内同一设备故障次数超过3次每月</w:t>
            </w:r>
          </w:p>
        </w:tc>
        <w:tc>
          <w:tcPr>
            <w:tcW w:w="3082" w:type="dxa"/>
            <w:vAlign w:val="center"/>
          </w:tcPr>
          <w:p>
            <w:pPr>
              <w:numPr>
                <w:ilvl w:val="0"/>
                <w:numId w:val="3"/>
              </w:num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每次故障扣除当日租金的20%</w:t>
            </w:r>
          </w:p>
          <w:p>
            <w:pPr>
              <w:numPr>
                <w:ilvl w:val="0"/>
                <w:numId w:val="3"/>
              </w:num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故障超限后免收当日租金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16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528"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配件缺失或损坏</w:t>
            </w:r>
          </w:p>
        </w:tc>
        <w:tc>
          <w:tcPr>
            <w:tcW w:w="2131"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未提供备用配件或关键配件损坏影响使用</w:t>
            </w:r>
          </w:p>
        </w:tc>
        <w:tc>
          <w:tcPr>
            <w:tcW w:w="3082" w:type="dxa"/>
            <w:vAlign w:val="center"/>
          </w:tcPr>
          <w:p>
            <w:pPr>
              <w:numPr>
                <w:ilvl w:val="0"/>
                <w:numId w:val="4"/>
              </w:num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立即补齐配件并支付订单金额10%的违约金</w:t>
            </w:r>
          </w:p>
          <w:p>
            <w:pPr>
              <w:numPr>
                <w:ilvl w:val="0"/>
                <w:numId w:val="4"/>
              </w:num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延误期间免收租金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16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528"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设备安全隐患</w:t>
            </w:r>
          </w:p>
        </w:tc>
        <w:tc>
          <w:tcPr>
            <w:tcW w:w="2131"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设备存在漏电等安全风险</w:t>
            </w:r>
          </w:p>
        </w:tc>
        <w:tc>
          <w:tcPr>
            <w:tcW w:w="3082" w:type="dxa"/>
            <w:vAlign w:val="center"/>
          </w:tcPr>
          <w:p>
            <w:pPr>
              <w:numPr>
                <w:ilvl w:val="0"/>
                <w:numId w:val="5"/>
              </w:num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立即停用设备并更换</w:t>
            </w:r>
          </w:p>
          <w:p>
            <w:pPr>
              <w:numPr>
                <w:ilvl w:val="0"/>
                <w:numId w:val="5"/>
              </w:num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按核定损失承担相关费用，如无法核定损失，则处罚本次订单金额的30%。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3" w:type="dxa"/>
            <w:vMerge w:val="restart"/>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2</w:t>
            </w:r>
          </w:p>
        </w:tc>
        <w:tc>
          <w:tcPr>
            <w:tcW w:w="1163" w:type="dxa"/>
            <w:vMerge w:val="restart"/>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人员类</w:t>
            </w:r>
          </w:p>
        </w:tc>
        <w:tc>
          <w:tcPr>
            <w:tcW w:w="1528"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人员技能不足</w:t>
            </w:r>
          </w:p>
        </w:tc>
        <w:tc>
          <w:tcPr>
            <w:tcW w:w="2131"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人员专业能力不达标，无法完成工作任务</w:t>
            </w:r>
          </w:p>
        </w:tc>
        <w:tc>
          <w:tcPr>
            <w:tcW w:w="3082" w:type="dxa"/>
            <w:vAlign w:val="center"/>
          </w:tcPr>
          <w:p>
            <w:pP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1.供方需在3日内更换人员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16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528"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违规操作</w:t>
            </w:r>
          </w:p>
        </w:tc>
        <w:tc>
          <w:tcPr>
            <w:tcW w:w="2131"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违反甲方安全规定或操作规程流程导致事故</w:t>
            </w:r>
          </w:p>
        </w:tc>
        <w:tc>
          <w:tcPr>
            <w:tcW w:w="3082" w:type="dxa"/>
            <w:vAlign w:val="center"/>
          </w:tcPr>
          <w:p>
            <w:pPr>
              <w:jc w:val="both"/>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按核定损失承担相关费用，如无法核定损失，则处罚本次订单金额的30%。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163" w:type="dxa"/>
            <w:vMerge w:val="continue"/>
            <w:vAlign w:val="center"/>
          </w:tcPr>
          <w:p>
            <w:pPr>
              <w:jc w:val="center"/>
              <w:rPr>
                <w:rFonts w:hint="eastAsia" w:ascii="微软雅黑" w:hAnsi="微软雅黑" w:eastAsia="微软雅黑" w:cs="微软雅黑"/>
                <w:color w:val="161616"/>
                <w:sz w:val="18"/>
                <w:szCs w:val="18"/>
                <w:lang w:eastAsia="zh-CN"/>
              </w:rPr>
            </w:pPr>
          </w:p>
        </w:tc>
        <w:tc>
          <w:tcPr>
            <w:tcW w:w="1528"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服务态度恶劣</w:t>
            </w:r>
          </w:p>
        </w:tc>
        <w:tc>
          <w:tcPr>
            <w:tcW w:w="2131" w:type="dxa"/>
            <w:vAlign w:val="center"/>
          </w:tcPr>
          <w:p>
            <w:pPr>
              <w:jc w:val="center"/>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因服务态度恶劣、消极怠工等引发投诉</w:t>
            </w:r>
          </w:p>
        </w:tc>
        <w:tc>
          <w:tcPr>
            <w:tcW w:w="3082" w:type="dxa"/>
            <w:vAlign w:val="center"/>
          </w:tcPr>
          <w:p>
            <w:pPr>
              <w:numPr>
                <w:ilvl w:val="0"/>
                <w:numId w:val="6"/>
              </w:numPr>
              <w:jc w:val="both"/>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按次扣除当日人员服务费的10%。</w:t>
            </w:r>
          </w:p>
          <w:p>
            <w:pPr>
              <w:numPr>
                <w:ilvl w:val="0"/>
                <w:numId w:val="6"/>
              </w:numPr>
              <w:jc w:val="both"/>
              <w:rPr>
                <w:rFonts w:hint="eastAsia" w:ascii="微软雅黑" w:hAnsi="微软雅黑" w:eastAsia="微软雅黑" w:cs="微软雅黑"/>
                <w:color w:val="161616"/>
                <w:sz w:val="18"/>
                <w:szCs w:val="18"/>
                <w:lang w:eastAsia="zh-CN"/>
              </w:rPr>
            </w:pPr>
            <w:r>
              <w:rPr>
                <w:rFonts w:hint="eastAsia" w:ascii="微软雅黑" w:hAnsi="微软雅黑" w:eastAsia="微软雅黑" w:cs="微软雅黑"/>
                <w:color w:val="161616"/>
                <w:sz w:val="18"/>
                <w:szCs w:val="18"/>
                <w:lang w:eastAsia="zh-CN"/>
              </w:rPr>
              <w:t>累计3次免收当日全部服务费。</w:t>
            </w:r>
          </w:p>
        </w:tc>
      </w:tr>
    </w:tbl>
    <w:p>
      <w:pPr>
        <w:pStyle w:val="6"/>
        <w:spacing w:line="257" w:lineRule="auto"/>
        <w:ind w:right="121" w:rightChars="55" w:firstLine="0"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3.可追溯性要求</w:t>
      </w:r>
    </w:p>
    <w:p>
      <w:pPr>
        <w:pStyle w:val="6"/>
        <w:spacing w:line="257" w:lineRule="auto"/>
        <w:ind w:right="121" w:rightChars="55" w:firstLine="420"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3.1 乙方应按照甲方的产品标识管理要求对所交付的产品进行标识，以满足产品的可追溯性要求。</w:t>
      </w:r>
    </w:p>
    <w:p>
      <w:pPr>
        <w:pStyle w:val="6"/>
        <w:spacing w:line="257" w:lineRule="auto"/>
        <w:ind w:right="121" w:rightChars="55" w:firstLine="420"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3.2 乙方对其生产制造过程进行可追溯性管理，确保生产过程各个工序满足可追溯要求。</w:t>
      </w:r>
    </w:p>
    <w:p>
      <w:pPr>
        <w:pStyle w:val="25"/>
        <w:spacing w:before="120" w:after="120"/>
        <w:outlineLvl w:val="0"/>
        <w:rPr>
          <w:rFonts w:hint="eastAsia"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rPr>
        <w:t>九、其他要求</w:t>
      </w:r>
    </w:p>
    <w:p>
      <w:pPr>
        <w:pStyle w:val="6"/>
        <w:numPr>
          <w:ilvl w:val="0"/>
          <w:numId w:val="7"/>
        </w:numPr>
        <w:ind w:firstLine="420"/>
        <w:rPr>
          <w:rFonts w:hint="eastAsia"/>
          <w:lang w:eastAsia="zh-CN"/>
        </w:rPr>
      </w:pPr>
      <w:r>
        <w:rPr>
          <w:rFonts w:hint="eastAsia"/>
          <w:lang w:eastAsia="zh-CN"/>
        </w:rPr>
        <w:t>技术联系人：</w:t>
      </w:r>
      <w:r>
        <w:rPr>
          <w:rFonts w:hint="eastAsia"/>
          <w:lang w:val="en-US" w:eastAsia="zh-CN"/>
        </w:rPr>
        <w:t>---</w:t>
      </w:r>
    </w:p>
    <w:p>
      <w:pPr>
        <w:pStyle w:val="6"/>
        <w:numPr>
          <w:ilvl w:val="0"/>
          <w:numId w:val="7"/>
        </w:numPr>
        <w:spacing w:line="257" w:lineRule="auto"/>
        <w:ind w:right="119"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付款方式要求：银行电汇；</w:t>
      </w:r>
    </w:p>
    <w:p>
      <w:pPr>
        <w:pStyle w:val="6"/>
        <w:numPr>
          <w:ilvl w:val="0"/>
          <w:numId w:val="7"/>
        </w:numPr>
        <w:spacing w:line="257" w:lineRule="auto"/>
        <w:ind w:right="119"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付款周期要求：接到发票45天内付款；</w:t>
      </w:r>
    </w:p>
    <w:p>
      <w:pPr>
        <w:pStyle w:val="6"/>
        <w:numPr>
          <w:ilvl w:val="0"/>
          <w:numId w:val="7"/>
        </w:numPr>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交货期限：乙方须承诺收到甲方委托（邮件或电话）后2天内交货至甲方要求的指定地点。</w:t>
      </w:r>
      <w:bookmarkEnd w:id="4"/>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汉仪叶叶相思体简">
    <w:altName w:val="微软雅黑"/>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82A0"/>
    <w:multiLevelType w:val="singleLevel"/>
    <w:tmpl w:val="900482A0"/>
    <w:lvl w:ilvl="0" w:tentative="0">
      <w:start w:val="1"/>
      <w:numFmt w:val="decimal"/>
      <w:lvlText w:val="%1."/>
      <w:lvlJc w:val="left"/>
      <w:pPr>
        <w:tabs>
          <w:tab w:val="left" w:pos="312"/>
        </w:tabs>
      </w:pPr>
    </w:lvl>
  </w:abstractNum>
  <w:abstractNum w:abstractNumId="1">
    <w:nsid w:val="AB7FED50"/>
    <w:multiLevelType w:val="singleLevel"/>
    <w:tmpl w:val="AB7FED50"/>
    <w:lvl w:ilvl="0" w:tentative="0">
      <w:start w:val="1"/>
      <w:numFmt w:val="decimal"/>
      <w:lvlText w:val="%1."/>
      <w:lvlJc w:val="left"/>
      <w:pPr>
        <w:tabs>
          <w:tab w:val="left" w:pos="312"/>
        </w:tabs>
      </w:pPr>
    </w:lvl>
  </w:abstractNum>
  <w:abstractNum w:abstractNumId="2">
    <w:nsid w:val="BFD948DE"/>
    <w:multiLevelType w:val="singleLevel"/>
    <w:tmpl w:val="BFD948DE"/>
    <w:lvl w:ilvl="0" w:tentative="0">
      <w:start w:val="1"/>
      <w:numFmt w:val="decimal"/>
      <w:lvlText w:val="%1."/>
      <w:lvlJc w:val="left"/>
      <w:pPr>
        <w:tabs>
          <w:tab w:val="left" w:pos="312"/>
        </w:tabs>
      </w:pPr>
    </w:lvl>
  </w:abstractNum>
  <w:abstractNum w:abstractNumId="3">
    <w:nsid w:val="EF19C8EC"/>
    <w:multiLevelType w:val="singleLevel"/>
    <w:tmpl w:val="EF19C8EC"/>
    <w:lvl w:ilvl="0" w:tentative="0">
      <w:start w:val="1"/>
      <w:numFmt w:val="decimal"/>
      <w:lvlText w:val="%1."/>
      <w:lvlJc w:val="left"/>
      <w:pPr>
        <w:tabs>
          <w:tab w:val="left" w:pos="312"/>
        </w:tabs>
      </w:pPr>
    </w:lvl>
  </w:abstractNum>
  <w:abstractNum w:abstractNumId="4">
    <w:nsid w:val="15396E74"/>
    <w:multiLevelType w:val="singleLevel"/>
    <w:tmpl w:val="15396E74"/>
    <w:lvl w:ilvl="0" w:tentative="0">
      <w:start w:val="1"/>
      <w:numFmt w:val="decimal"/>
      <w:suff w:val="space"/>
      <w:lvlText w:val="%1."/>
      <w:lvlJc w:val="left"/>
    </w:lvl>
  </w:abstractNum>
  <w:abstractNum w:abstractNumId="5">
    <w:nsid w:val="1977C078"/>
    <w:multiLevelType w:val="singleLevel"/>
    <w:tmpl w:val="1977C078"/>
    <w:lvl w:ilvl="0" w:tentative="0">
      <w:start w:val="1"/>
      <w:numFmt w:val="decimal"/>
      <w:lvlText w:val="%1."/>
      <w:lvlJc w:val="left"/>
      <w:pPr>
        <w:tabs>
          <w:tab w:val="left" w:pos="312"/>
        </w:tabs>
      </w:pPr>
    </w:lvl>
  </w:abstractNum>
  <w:abstractNum w:abstractNumId="6">
    <w:nsid w:val="696EE1E7"/>
    <w:multiLevelType w:val="singleLevel"/>
    <w:tmpl w:val="696EE1E7"/>
    <w:lvl w:ilvl="0" w:tentative="0">
      <w:start w:val="2"/>
      <w:numFmt w:val="decimal"/>
      <w:suff w:val="nothing"/>
      <w:lvlText w:val="%1、"/>
      <w:lvlJc w:val="left"/>
    </w:lvl>
  </w:abstractNum>
  <w:num w:numId="1">
    <w:abstractNumId w:val="6"/>
  </w:num>
  <w:num w:numId="2">
    <w:abstractNumId w:val="3"/>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9C0"/>
    <w:rsid w:val="000141AF"/>
    <w:rsid w:val="00016CF8"/>
    <w:rsid w:val="00016EAA"/>
    <w:rsid w:val="00016ECA"/>
    <w:rsid w:val="00025EF6"/>
    <w:rsid w:val="00033D12"/>
    <w:rsid w:val="00042CD9"/>
    <w:rsid w:val="0004420D"/>
    <w:rsid w:val="00045459"/>
    <w:rsid w:val="00052A25"/>
    <w:rsid w:val="00060A78"/>
    <w:rsid w:val="00064CD1"/>
    <w:rsid w:val="000654B5"/>
    <w:rsid w:val="0006574C"/>
    <w:rsid w:val="000677BE"/>
    <w:rsid w:val="00067F60"/>
    <w:rsid w:val="00070B36"/>
    <w:rsid w:val="00073953"/>
    <w:rsid w:val="00077BDE"/>
    <w:rsid w:val="000925CE"/>
    <w:rsid w:val="00093D98"/>
    <w:rsid w:val="00096BF8"/>
    <w:rsid w:val="000A18F1"/>
    <w:rsid w:val="000A5B2F"/>
    <w:rsid w:val="000B0FB8"/>
    <w:rsid w:val="000B13DA"/>
    <w:rsid w:val="000B35BD"/>
    <w:rsid w:val="000C1168"/>
    <w:rsid w:val="000C3CDF"/>
    <w:rsid w:val="000D43A5"/>
    <w:rsid w:val="00110ABB"/>
    <w:rsid w:val="0011446A"/>
    <w:rsid w:val="00117360"/>
    <w:rsid w:val="00117CEA"/>
    <w:rsid w:val="00121BCC"/>
    <w:rsid w:val="00122EE9"/>
    <w:rsid w:val="00124417"/>
    <w:rsid w:val="00126F47"/>
    <w:rsid w:val="00130BEC"/>
    <w:rsid w:val="00155803"/>
    <w:rsid w:val="00161C4C"/>
    <w:rsid w:val="001644CF"/>
    <w:rsid w:val="00171333"/>
    <w:rsid w:val="00172A27"/>
    <w:rsid w:val="001749BB"/>
    <w:rsid w:val="00174F9A"/>
    <w:rsid w:val="001934C9"/>
    <w:rsid w:val="001B3054"/>
    <w:rsid w:val="001E6BB0"/>
    <w:rsid w:val="001F3990"/>
    <w:rsid w:val="00214139"/>
    <w:rsid w:val="002159E2"/>
    <w:rsid w:val="00220369"/>
    <w:rsid w:val="002217C9"/>
    <w:rsid w:val="00223D6A"/>
    <w:rsid w:val="00225BBE"/>
    <w:rsid w:val="00225D9B"/>
    <w:rsid w:val="00237A31"/>
    <w:rsid w:val="0024573D"/>
    <w:rsid w:val="002712E7"/>
    <w:rsid w:val="00271EA9"/>
    <w:rsid w:val="00275140"/>
    <w:rsid w:val="0028341E"/>
    <w:rsid w:val="0028505D"/>
    <w:rsid w:val="00286D75"/>
    <w:rsid w:val="00296DCB"/>
    <w:rsid w:val="002979DA"/>
    <w:rsid w:val="002B167A"/>
    <w:rsid w:val="002B4EA4"/>
    <w:rsid w:val="002B756F"/>
    <w:rsid w:val="002C46B0"/>
    <w:rsid w:val="002C4981"/>
    <w:rsid w:val="002C4D7F"/>
    <w:rsid w:val="002D291B"/>
    <w:rsid w:val="002E453A"/>
    <w:rsid w:val="002F3ED8"/>
    <w:rsid w:val="00303AA8"/>
    <w:rsid w:val="003063D7"/>
    <w:rsid w:val="003157CA"/>
    <w:rsid w:val="00337104"/>
    <w:rsid w:val="0034147B"/>
    <w:rsid w:val="00343E98"/>
    <w:rsid w:val="00363444"/>
    <w:rsid w:val="00363859"/>
    <w:rsid w:val="00377C5A"/>
    <w:rsid w:val="0038167E"/>
    <w:rsid w:val="003B0AF1"/>
    <w:rsid w:val="003C5970"/>
    <w:rsid w:val="003C6C39"/>
    <w:rsid w:val="003C74FD"/>
    <w:rsid w:val="003D6489"/>
    <w:rsid w:val="003F3035"/>
    <w:rsid w:val="00407E15"/>
    <w:rsid w:val="00425C91"/>
    <w:rsid w:val="00425E02"/>
    <w:rsid w:val="00434D09"/>
    <w:rsid w:val="00444330"/>
    <w:rsid w:val="00451BE2"/>
    <w:rsid w:val="00451FB8"/>
    <w:rsid w:val="0045732B"/>
    <w:rsid w:val="00461D35"/>
    <w:rsid w:val="0048033F"/>
    <w:rsid w:val="00480C72"/>
    <w:rsid w:val="00481F47"/>
    <w:rsid w:val="004860C8"/>
    <w:rsid w:val="00486770"/>
    <w:rsid w:val="00490437"/>
    <w:rsid w:val="004A2615"/>
    <w:rsid w:val="004A3192"/>
    <w:rsid w:val="004C5022"/>
    <w:rsid w:val="004C5E4C"/>
    <w:rsid w:val="004C65D6"/>
    <w:rsid w:val="004C70E7"/>
    <w:rsid w:val="004D0B1A"/>
    <w:rsid w:val="004F1885"/>
    <w:rsid w:val="004F621D"/>
    <w:rsid w:val="005008DB"/>
    <w:rsid w:val="00501D7A"/>
    <w:rsid w:val="00502349"/>
    <w:rsid w:val="00504168"/>
    <w:rsid w:val="005061F4"/>
    <w:rsid w:val="005254A6"/>
    <w:rsid w:val="00530430"/>
    <w:rsid w:val="005315D0"/>
    <w:rsid w:val="0054287A"/>
    <w:rsid w:val="00550166"/>
    <w:rsid w:val="005560B6"/>
    <w:rsid w:val="00571B42"/>
    <w:rsid w:val="00573640"/>
    <w:rsid w:val="0058358F"/>
    <w:rsid w:val="00584B46"/>
    <w:rsid w:val="005B2F1E"/>
    <w:rsid w:val="005C4D27"/>
    <w:rsid w:val="005D0B41"/>
    <w:rsid w:val="005D5D3A"/>
    <w:rsid w:val="005E4C12"/>
    <w:rsid w:val="005E56EC"/>
    <w:rsid w:val="005F153B"/>
    <w:rsid w:val="0060567D"/>
    <w:rsid w:val="00607A4A"/>
    <w:rsid w:val="0061081C"/>
    <w:rsid w:val="00622779"/>
    <w:rsid w:val="00637AF4"/>
    <w:rsid w:val="006465CE"/>
    <w:rsid w:val="00656A31"/>
    <w:rsid w:val="00656ED2"/>
    <w:rsid w:val="00667005"/>
    <w:rsid w:val="0067030C"/>
    <w:rsid w:val="00672E0F"/>
    <w:rsid w:val="00673C41"/>
    <w:rsid w:val="00690120"/>
    <w:rsid w:val="006B5A85"/>
    <w:rsid w:val="006C2FB3"/>
    <w:rsid w:val="006D5DD8"/>
    <w:rsid w:val="006F7BFC"/>
    <w:rsid w:val="00701CC4"/>
    <w:rsid w:val="007075DE"/>
    <w:rsid w:val="00712796"/>
    <w:rsid w:val="00723A5A"/>
    <w:rsid w:val="007301A6"/>
    <w:rsid w:val="00756B52"/>
    <w:rsid w:val="0076436B"/>
    <w:rsid w:val="00772DF6"/>
    <w:rsid w:val="007730E3"/>
    <w:rsid w:val="00784A0D"/>
    <w:rsid w:val="007915F3"/>
    <w:rsid w:val="00795250"/>
    <w:rsid w:val="007A76EA"/>
    <w:rsid w:val="007B0546"/>
    <w:rsid w:val="007C7E87"/>
    <w:rsid w:val="007E114E"/>
    <w:rsid w:val="007E331A"/>
    <w:rsid w:val="0081241A"/>
    <w:rsid w:val="00817829"/>
    <w:rsid w:val="00820494"/>
    <w:rsid w:val="00824CC6"/>
    <w:rsid w:val="00830077"/>
    <w:rsid w:val="00834BD4"/>
    <w:rsid w:val="00836004"/>
    <w:rsid w:val="00847AF0"/>
    <w:rsid w:val="008622FB"/>
    <w:rsid w:val="00865270"/>
    <w:rsid w:val="00874122"/>
    <w:rsid w:val="008744CE"/>
    <w:rsid w:val="00885A7E"/>
    <w:rsid w:val="008951A5"/>
    <w:rsid w:val="008B4B78"/>
    <w:rsid w:val="008C02A2"/>
    <w:rsid w:val="008D5344"/>
    <w:rsid w:val="008E5374"/>
    <w:rsid w:val="008F1C33"/>
    <w:rsid w:val="008F3F65"/>
    <w:rsid w:val="009015DB"/>
    <w:rsid w:val="00904764"/>
    <w:rsid w:val="00905930"/>
    <w:rsid w:val="009433C3"/>
    <w:rsid w:val="00944239"/>
    <w:rsid w:val="0094592B"/>
    <w:rsid w:val="009465CA"/>
    <w:rsid w:val="00952EFF"/>
    <w:rsid w:val="00966F6D"/>
    <w:rsid w:val="00976DB9"/>
    <w:rsid w:val="00984CB0"/>
    <w:rsid w:val="009A20F6"/>
    <w:rsid w:val="009A2D10"/>
    <w:rsid w:val="009A4EEF"/>
    <w:rsid w:val="009B3AF8"/>
    <w:rsid w:val="009B442A"/>
    <w:rsid w:val="009C2FD5"/>
    <w:rsid w:val="009D397D"/>
    <w:rsid w:val="009E4420"/>
    <w:rsid w:val="009E4533"/>
    <w:rsid w:val="009F2FC3"/>
    <w:rsid w:val="009F3D9E"/>
    <w:rsid w:val="00A04859"/>
    <w:rsid w:val="00A05B96"/>
    <w:rsid w:val="00A24ED9"/>
    <w:rsid w:val="00A30979"/>
    <w:rsid w:val="00A319E4"/>
    <w:rsid w:val="00A349AC"/>
    <w:rsid w:val="00A54BC5"/>
    <w:rsid w:val="00A55E65"/>
    <w:rsid w:val="00A611CE"/>
    <w:rsid w:val="00A625BA"/>
    <w:rsid w:val="00A65EF2"/>
    <w:rsid w:val="00A67F61"/>
    <w:rsid w:val="00A83675"/>
    <w:rsid w:val="00A87023"/>
    <w:rsid w:val="00A92E58"/>
    <w:rsid w:val="00AA2EF6"/>
    <w:rsid w:val="00AA45FB"/>
    <w:rsid w:val="00AB3140"/>
    <w:rsid w:val="00AB5566"/>
    <w:rsid w:val="00AC0BC9"/>
    <w:rsid w:val="00AC1505"/>
    <w:rsid w:val="00AC44E5"/>
    <w:rsid w:val="00AC4CD7"/>
    <w:rsid w:val="00AD2E6F"/>
    <w:rsid w:val="00AD7737"/>
    <w:rsid w:val="00AF29FA"/>
    <w:rsid w:val="00AF4EA1"/>
    <w:rsid w:val="00AF7529"/>
    <w:rsid w:val="00B145E5"/>
    <w:rsid w:val="00B15418"/>
    <w:rsid w:val="00B169DC"/>
    <w:rsid w:val="00B22675"/>
    <w:rsid w:val="00B34324"/>
    <w:rsid w:val="00B34B78"/>
    <w:rsid w:val="00B41A27"/>
    <w:rsid w:val="00B42F84"/>
    <w:rsid w:val="00B46A5C"/>
    <w:rsid w:val="00B51CAF"/>
    <w:rsid w:val="00B535C0"/>
    <w:rsid w:val="00B53B98"/>
    <w:rsid w:val="00B62ACE"/>
    <w:rsid w:val="00B637DC"/>
    <w:rsid w:val="00B71963"/>
    <w:rsid w:val="00B759F5"/>
    <w:rsid w:val="00B76DE7"/>
    <w:rsid w:val="00B82355"/>
    <w:rsid w:val="00B8383B"/>
    <w:rsid w:val="00B85D3A"/>
    <w:rsid w:val="00B90902"/>
    <w:rsid w:val="00BC2591"/>
    <w:rsid w:val="00BC274C"/>
    <w:rsid w:val="00BC2863"/>
    <w:rsid w:val="00BD114A"/>
    <w:rsid w:val="00BD5E8A"/>
    <w:rsid w:val="00BE4441"/>
    <w:rsid w:val="00C26DAB"/>
    <w:rsid w:val="00C31B66"/>
    <w:rsid w:val="00C374A8"/>
    <w:rsid w:val="00C421EB"/>
    <w:rsid w:val="00C42B3F"/>
    <w:rsid w:val="00C45A7D"/>
    <w:rsid w:val="00C50EF3"/>
    <w:rsid w:val="00C55A2E"/>
    <w:rsid w:val="00C601C5"/>
    <w:rsid w:val="00C6402B"/>
    <w:rsid w:val="00C715E3"/>
    <w:rsid w:val="00C855ED"/>
    <w:rsid w:val="00C923B1"/>
    <w:rsid w:val="00C94546"/>
    <w:rsid w:val="00C95F51"/>
    <w:rsid w:val="00CA157F"/>
    <w:rsid w:val="00CA367A"/>
    <w:rsid w:val="00CA78C0"/>
    <w:rsid w:val="00CA7A53"/>
    <w:rsid w:val="00CB1D5F"/>
    <w:rsid w:val="00CB4728"/>
    <w:rsid w:val="00CC46BF"/>
    <w:rsid w:val="00CD0B3D"/>
    <w:rsid w:val="00CD71B5"/>
    <w:rsid w:val="00CF7FFB"/>
    <w:rsid w:val="00D005D1"/>
    <w:rsid w:val="00D12E0D"/>
    <w:rsid w:val="00D33C3A"/>
    <w:rsid w:val="00D42B37"/>
    <w:rsid w:val="00D43E70"/>
    <w:rsid w:val="00D44C1B"/>
    <w:rsid w:val="00D513AA"/>
    <w:rsid w:val="00D52F8B"/>
    <w:rsid w:val="00D53CAF"/>
    <w:rsid w:val="00D54CDC"/>
    <w:rsid w:val="00D571E7"/>
    <w:rsid w:val="00D60C31"/>
    <w:rsid w:val="00D71A5D"/>
    <w:rsid w:val="00D75ECA"/>
    <w:rsid w:val="00D77D94"/>
    <w:rsid w:val="00D8570B"/>
    <w:rsid w:val="00D87702"/>
    <w:rsid w:val="00D954B4"/>
    <w:rsid w:val="00D97F58"/>
    <w:rsid w:val="00DA61B5"/>
    <w:rsid w:val="00DC2827"/>
    <w:rsid w:val="00DD112D"/>
    <w:rsid w:val="00DD351D"/>
    <w:rsid w:val="00DD495F"/>
    <w:rsid w:val="00DD75E0"/>
    <w:rsid w:val="00DE450C"/>
    <w:rsid w:val="00DE46B5"/>
    <w:rsid w:val="00DF071B"/>
    <w:rsid w:val="00DF3E0E"/>
    <w:rsid w:val="00DF6BAC"/>
    <w:rsid w:val="00E10B3F"/>
    <w:rsid w:val="00E15A18"/>
    <w:rsid w:val="00E20A37"/>
    <w:rsid w:val="00E24D6D"/>
    <w:rsid w:val="00E53396"/>
    <w:rsid w:val="00E53CCA"/>
    <w:rsid w:val="00E73715"/>
    <w:rsid w:val="00E74A3B"/>
    <w:rsid w:val="00E93769"/>
    <w:rsid w:val="00E971DF"/>
    <w:rsid w:val="00EA43A2"/>
    <w:rsid w:val="00EC75DA"/>
    <w:rsid w:val="00EE0FBF"/>
    <w:rsid w:val="00EE6793"/>
    <w:rsid w:val="00EE7360"/>
    <w:rsid w:val="00EF03D6"/>
    <w:rsid w:val="00EF61D1"/>
    <w:rsid w:val="00F00E55"/>
    <w:rsid w:val="00F22AEF"/>
    <w:rsid w:val="00F256CB"/>
    <w:rsid w:val="00F40215"/>
    <w:rsid w:val="00F500ED"/>
    <w:rsid w:val="00F539EC"/>
    <w:rsid w:val="00F53EF9"/>
    <w:rsid w:val="00F56B3E"/>
    <w:rsid w:val="00F65223"/>
    <w:rsid w:val="00F72ADB"/>
    <w:rsid w:val="00F77DF2"/>
    <w:rsid w:val="00F84DC2"/>
    <w:rsid w:val="00F925F9"/>
    <w:rsid w:val="00F9413B"/>
    <w:rsid w:val="00F96F38"/>
    <w:rsid w:val="00F97EB9"/>
    <w:rsid w:val="00FA09A3"/>
    <w:rsid w:val="00FB1A79"/>
    <w:rsid w:val="00FD23ED"/>
    <w:rsid w:val="00FD3CC0"/>
    <w:rsid w:val="00FE1555"/>
    <w:rsid w:val="00FE2CB1"/>
    <w:rsid w:val="00FE7161"/>
    <w:rsid w:val="00FE7D89"/>
    <w:rsid w:val="00FF0E7D"/>
    <w:rsid w:val="01D930CA"/>
    <w:rsid w:val="02515F99"/>
    <w:rsid w:val="03A37961"/>
    <w:rsid w:val="0486022F"/>
    <w:rsid w:val="05B30398"/>
    <w:rsid w:val="05F85130"/>
    <w:rsid w:val="063B02BA"/>
    <w:rsid w:val="06D84848"/>
    <w:rsid w:val="07D843EB"/>
    <w:rsid w:val="08377C87"/>
    <w:rsid w:val="0885360A"/>
    <w:rsid w:val="08A75354"/>
    <w:rsid w:val="090F4430"/>
    <w:rsid w:val="09745F8E"/>
    <w:rsid w:val="09E27CC3"/>
    <w:rsid w:val="0A061774"/>
    <w:rsid w:val="0A2B5473"/>
    <w:rsid w:val="0B2D1126"/>
    <w:rsid w:val="0D60461B"/>
    <w:rsid w:val="0D71743E"/>
    <w:rsid w:val="0FD54405"/>
    <w:rsid w:val="10714724"/>
    <w:rsid w:val="11D8727D"/>
    <w:rsid w:val="1241657B"/>
    <w:rsid w:val="126D37D5"/>
    <w:rsid w:val="12B1333A"/>
    <w:rsid w:val="12F01CE1"/>
    <w:rsid w:val="14E6349A"/>
    <w:rsid w:val="16711F23"/>
    <w:rsid w:val="16773CA9"/>
    <w:rsid w:val="17802877"/>
    <w:rsid w:val="17807FD9"/>
    <w:rsid w:val="17D372F8"/>
    <w:rsid w:val="17D631C0"/>
    <w:rsid w:val="186804FE"/>
    <w:rsid w:val="196D4E5C"/>
    <w:rsid w:val="1A152A80"/>
    <w:rsid w:val="1A602415"/>
    <w:rsid w:val="1BFDD3D1"/>
    <w:rsid w:val="1D75262F"/>
    <w:rsid w:val="1DAE331A"/>
    <w:rsid w:val="1E316435"/>
    <w:rsid w:val="1EA41923"/>
    <w:rsid w:val="1F5D6901"/>
    <w:rsid w:val="214023A9"/>
    <w:rsid w:val="22171E35"/>
    <w:rsid w:val="23600585"/>
    <w:rsid w:val="248576BD"/>
    <w:rsid w:val="249F0722"/>
    <w:rsid w:val="24DE75C5"/>
    <w:rsid w:val="26D03473"/>
    <w:rsid w:val="29DE5F6C"/>
    <w:rsid w:val="2A320DD4"/>
    <w:rsid w:val="2B927288"/>
    <w:rsid w:val="2BFD4865"/>
    <w:rsid w:val="2C365F7D"/>
    <w:rsid w:val="2D4C7674"/>
    <w:rsid w:val="2E927BA7"/>
    <w:rsid w:val="2FBC19B7"/>
    <w:rsid w:val="30C62CAD"/>
    <w:rsid w:val="30F2145C"/>
    <w:rsid w:val="31680513"/>
    <w:rsid w:val="32F12C1B"/>
    <w:rsid w:val="33B71258"/>
    <w:rsid w:val="33B93071"/>
    <w:rsid w:val="358365E2"/>
    <w:rsid w:val="35E00984"/>
    <w:rsid w:val="3645204E"/>
    <w:rsid w:val="3647300C"/>
    <w:rsid w:val="370B539E"/>
    <w:rsid w:val="371659CC"/>
    <w:rsid w:val="37D25EA1"/>
    <w:rsid w:val="392E4963"/>
    <w:rsid w:val="394E50E7"/>
    <w:rsid w:val="3A603455"/>
    <w:rsid w:val="3A9A190D"/>
    <w:rsid w:val="3AA3293D"/>
    <w:rsid w:val="3AF31824"/>
    <w:rsid w:val="3C735138"/>
    <w:rsid w:val="3CF21A10"/>
    <w:rsid w:val="3D0E0C2E"/>
    <w:rsid w:val="3D2A5514"/>
    <w:rsid w:val="3EF86066"/>
    <w:rsid w:val="4028679D"/>
    <w:rsid w:val="407D7E1D"/>
    <w:rsid w:val="40CB0B39"/>
    <w:rsid w:val="41610750"/>
    <w:rsid w:val="43617493"/>
    <w:rsid w:val="43913772"/>
    <w:rsid w:val="439F4236"/>
    <w:rsid w:val="45EE6EF4"/>
    <w:rsid w:val="483F425C"/>
    <w:rsid w:val="492837C0"/>
    <w:rsid w:val="49B23805"/>
    <w:rsid w:val="4AA5610F"/>
    <w:rsid w:val="4B316407"/>
    <w:rsid w:val="4D5B6923"/>
    <w:rsid w:val="4DD82C21"/>
    <w:rsid w:val="4DDA5F64"/>
    <w:rsid w:val="4F171731"/>
    <w:rsid w:val="502A5888"/>
    <w:rsid w:val="51155195"/>
    <w:rsid w:val="514968E8"/>
    <w:rsid w:val="5185576A"/>
    <w:rsid w:val="5206707C"/>
    <w:rsid w:val="52FD541E"/>
    <w:rsid w:val="52FF0538"/>
    <w:rsid w:val="540B4401"/>
    <w:rsid w:val="55637B0D"/>
    <w:rsid w:val="56A74653"/>
    <w:rsid w:val="56B55F32"/>
    <w:rsid w:val="58A92834"/>
    <w:rsid w:val="59043881"/>
    <w:rsid w:val="59BD5D32"/>
    <w:rsid w:val="59E843B0"/>
    <w:rsid w:val="5A833B8D"/>
    <w:rsid w:val="5AC33DC7"/>
    <w:rsid w:val="5AE14981"/>
    <w:rsid w:val="5B6A43F3"/>
    <w:rsid w:val="5CFB51D5"/>
    <w:rsid w:val="611E4CE6"/>
    <w:rsid w:val="61521A3B"/>
    <w:rsid w:val="632772B9"/>
    <w:rsid w:val="633750A3"/>
    <w:rsid w:val="64D963EB"/>
    <w:rsid w:val="681A1327"/>
    <w:rsid w:val="69037F33"/>
    <w:rsid w:val="699917CC"/>
    <w:rsid w:val="699A04FD"/>
    <w:rsid w:val="6B247867"/>
    <w:rsid w:val="6BF837D6"/>
    <w:rsid w:val="6CCD5026"/>
    <w:rsid w:val="6DAB4267"/>
    <w:rsid w:val="6E4D2CED"/>
    <w:rsid w:val="6F486E51"/>
    <w:rsid w:val="6F9B2015"/>
    <w:rsid w:val="73053D7B"/>
    <w:rsid w:val="75395D0D"/>
    <w:rsid w:val="755E328D"/>
    <w:rsid w:val="75A0590A"/>
    <w:rsid w:val="75F16C4F"/>
    <w:rsid w:val="791F64A0"/>
    <w:rsid w:val="79C27653"/>
    <w:rsid w:val="79D6350F"/>
    <w:rsid w:val="7A8747DF"/>
    <w:rsid w:val="7B5754EB"/>
    <w:rsid w:val="7E131A04"/>
    <w:rsid w:val="7E836506"/>
    <w:rsid w:val="9DB1AB71"/>
    <w:rsid w:val="DFEFF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1"/>
    <w:semiHidden/>
    <w:unhideWhenUsed/>
    <w:qFormat/>
    <w:uiPriority w:val="99"/>
  </w:style>
  <w:style w:type="paragraph" w:styleId="6">
    <w:name w:val="Body Text"/>
    <w:basedOn w:val="1"/>
    <w:link w:val="22"/>
    <w:qFormat/>
    <w:uiPriority w:val="1"/>
    <w:pPr>
      <w:ind w:firstLine="200" w:firstLineChars="200"/>
      <w:jc w:val="both"/>
    </w:pPr>
    <w:rPr>
      <w:rFonts w:ascii="Microsoft YaHei UI" w:hAnsi="Microsoft YaHei UI" w:eastAsia="Microsoft YaHei UI"/>
      <w:sz w:val="21"/>
      <w:szCs w:val="21"/>
    </w:rPr>
  </w:style>
  <w:style w:type="paragraph" w:styleId="7">
    <w:name w:val="toc 3"/>
    <w:basedOn w:val="1"/>
    <w:next w:val="1"/>
    <w:unhideWhenUsed/>
    <w:qFormat/>
    <w:uiPriority w:val="39"/>
    <w:pPr>
      <w:widowControl/>
      <w:spacing w:after="100" w:line="259" w:lineRule="auto"/>
      <w:ind w:left="440"/>
    </w:pPr>
    <w:rPr>
      <w:rFonts w:cs="Times New Roman"/>
      <w:lang w:eastAsia="zh-CN"/>
    </w:rPr>
  </w:style>
  <w:style w:type="paragraph" w:styleId="8">
    <w:name w:val="Balloon Text"/>
    <w:basedOn w:val="1"/>
    <w:link w:val="30"/>
    <w:semiHidden/>
    <w:unhideWhenUsed/>
    <w:qFormat/>
    <w:uiPriority w:val="99"/>
    <w:rPr>
      <w:sz w:val="18"/>
      <w:szCs w:val="18"/>
    </w:rPr>
  </w:style>
  <w:style w:type="paragraph" w:styleId="9">
    <w:name w:val="footer"/>
    <w:basedOn w:val="1"/>
    <w:link w:val="27"/>
    <w:unhideWhenUsed/>
    <w:qFormat/>
    <w:uiPriority w:val="99"/>
    <w:pPr>
      <w:tabs>
        <w:tab w:val="center" w:pos="4153"/>
        <w:tab w:val="right" w:pos="8306"/>
      </w:tabs>
      <w:snapToGrid w:val="0"/>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pPr>
    <w:rPr>
      <w:rFonts w:cs="Times New Roman"/>
      <w:lang w:eastAsia="zh-CN"/>
    </w:rPr>
  </w:style>
  <w:style w:type="paragraph" w:styleId="12">
    <w:name w:val="Subtitle"/>
    <w:basedOn w:val="1"/>
    <w:next w:val="1"/>
    <w:link w:val="29"/>
    <w:qFormat/>
    <w:uiPriority w:val="0"/>
    <w:pPr>
      <w:spacing w:before="240" w:after="60" w:line="312" w:lineRule="auto"/>
      <w:jc w:val="center"/>
      <w:outlineLvl w:val="1"/>
    </w:pPr>
    <w:rPr>
      <w:rFonts w:ascii="Cambria" w:hAnsi="Cambria" w:eastAsia="宋体" w:cs="Times New Roman"/>
      <w:b/>
      <w:bCs/>
      <w:kern w:val="28"/>
      <w:sz w:val="32"/>
      <w:szCs w:val="32"/>
      <w:lang w:eastAsia="zh-CN"/>
    </w:rPr>
  </w:style>
  <w:style w:type="paragraph" w:styleId="13">
    <w:name w:val="toc 2"/>
    <w:basedOn w:val="1"/>
    <w:next w:val="1"/>
    <w:semiHidden/>
    <w:unhideWhenUsed/>
    <w:qFormat/>
    <w:uiPriority w:val="39"/>
    <w:pPr>
      <w:ind w:left="420" w:leftChars="200"/>
    </w:pPr>
  </w:style>
  <w:style w:type="paragraph" w:styleId="14">
    <w:name w:val="annotation subject"/>
    <w:basedOn w:val="5"/>
    <w:next w:val="5"/>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annotation reference"/>
    <w:basedOn w:val="17"/>
    <w:semiHidden/>
    <w:unhideWhenUsed/>
    <w:qFormat/>
    <w:uiPriority w:val="99"/>
    <w:rPr>
      <w:sz w:val="21"/>
      <w:szCs w:val="21"/>
    </w:rPr>
  </w:style>
  <w:style w:type="character" w:customStyle="1" w:styleId="20">
    <w:name w:val="标题 2 字符"/>
    <w:basedOn w:val="17"/>
    <w:link w:val="3"/>
    <w:qFormat/>
    <w:uiPriority w:val="1"/>
    <w:rPr>
      <w:rFonts w:ascii="Microsoft YaHei UI" w:hAnsi="Microsoft YaHei UI" w:eastAsia="Microsoft YaHei UI"/>
      <w:spacing w:val="2"/>
      <w:kern w:val="0"/>
      <w:sz w:val="32"/>
      <w:szCs w:val="32"/>
    </w:rPr>
  </w:style>
  <w:style w:type="table" w:customStyle="1" w:styleId="21">
    <w:name w:val="Table Normal1"/>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
    <w:name w:val="正文文本 字符"/>
    <w:basedOn w:val="17"/>
    <w:link w:val="6"/>
    <w:qFormat/>
    <w:uiPriority w:val="1"/>
    <w:rPr>
      <w:rFonts w:ascii="Microsoft YaHei UI" w:hAnsi="Microsoft YaHei UI" w:eastAsia="Microsoft YaHei UI"/>
      <w:kern w:val="0"/>
      <w:szCs w:val="21"/>
      <w:lang w:eastAsia="en-US"/>
    </w:rPr>
  </w:style>
  <w:style w:type="paragraph" w:customStyle="1" w:styleId="2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Table Paragraph"/>
    <w:basedOn w:val="1"/>
    <w:qFormat/>
    <w:uiPriority w:val="1"/>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6">
    <w:name w:val="页眉 字符"/>
    <w:basedOn w:val="17"/>
    <w:link w:val="10"/>
    <w:qFormat/>
    <w:uiPriority w:val="99"/>
    <w:rPr>
      <w:kern w:val="0"/>
      <w:sz w:val="18"/>
      <w:szCs w:val="18"/>
      <w:lang w:eastAsia="en-US"/>
    </w:rPr>
  </w:style>
  <w:style w:type="character" w:customStyle="1" w:styleId="27">
    <w:name w:val="页脚 字符"/>
    <w:basedOn w:val="17"/>
    <w:link w:val="9"/>
    <w:qFormat/>
    <w:uiPriority w:val="99"/>
    <w:rPr>
      <w:kern w:val="0"/>
      <w:sz w:val="18"/>
      <w:szCs w:val="18"/>
      <w:lang w:eastAsia="en-US"/>
    </w:rPr>
  </w:style>
  <w:style w:type="paragraph" w:styleId="28">
    <w:name w:val="List Paragraph"/>
    <w:basedOn w:val="1"/>
    <w:qFormat/>
    <w:uiPriority w:val="34"/>
    <w:pPr>
      <w:ind w:firstLine="420" w:firstLineChars="200"/>
      <w:jc w:val="both"/>
    </w:pPr>
    <w:rPr>
      <w:kern w:val="2"/>
      <w:sz w:val="21"/>
      <w:lang w:eastAsia="zh-CN"/>
    </w:rPr>
  </w:style>
  <w:style w:type="character" w:customStyle="1" w:styleId="29">
    <w:name w:val="副标题 字符"/>
    <w:basedOn w:val="17"/>
    <w:link w:val="12"/>
    <w:qFormat/>
    <w:uiPriority w:val="0"/>
    <w:rPr>
      <w:rFonts w:ascii="Cambria" w:hAnsi="Cambria" w:eastAsia="宋体" w:cs="Times New Roman"/>
      <w:b/>
      <w:bCs/>
      <w:kern w:val="28"/>
      <w:sz w:val="32"/>
      <w:szCs w:val="32"/>
    </w:rPr>
  </w:style>
  <w:style w:type="character" w:customStyle="1" w:styleId="30">
    <w:name w:val="批注框文本 字符"/>
    <w:basedOn w:val="17"/>
    <w:link w:val="8"/>
    <w:semiHidden/>
    <w:qFormat/>
    <w:uiPriority w:val="99"/>
    <w:rPr>
      <w:kern w:val="0"/>
      <w:sz w:val="18"/>
      <w:szCs w:val="18"/>
      <w:lang w:eastAsia="en-US"/>
    </w:rPr>
  </w:style>
  <w:style w:type="character" w:customStyle="1" w:styleId="31">
    <w:name w:val="批注文字 字符"/>
    <w:basedOn w:val="17"/>
    <w:link w:val="5"/>
    <w:semiHidden/>
    <w:qFormat/>
    <w:uiPriority w:val="99"/>
    <w:rPr>
      <w:kern w:val="0"/>
      <w:sz w:val="22"/>
      <w:lang w:eastAsia="en-US"/>
    </w:rPr>
  </w:style>
  <w:style w:type="character" w:customStyle="1" w:styleId="32">
    <w:name w:val="批注主题 字符"/>
    <w:basedOn w:val="31"/>
    <w:link w:val="14"/>
    <w:semiHidden/>
    <w:qFormat/>
    <w:uiPriority w:val="99"/>
    <w:rPr>
      <w:b/>
      <w:bCs/>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2192</Words>
  <Characters>2412</Characters>
  <Lines>185</Lines>
  <Paragraphs>255</Paragraphs>
  <TotalTime>5</TotalTime>
  <ScaleCrop>false</ScaleCrop>
  <LinksUpToDate>false</LinksUpToDate>
  <CharactersWithSpaces>4349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2020-12-24T00:59:00Z</dcterms:created>
  <dc:creator>王琴</dc:creator>
  <cp:lastModifiedBy>Administrator</cp:lastModifiedBy>
  <cp:lastPrinted>2022-05-12T10:22:00Z</cp:lastPrinted>
  <dcterms:modified xsi:type="dcterms:W3CDTF">2025-09-25T09:11:00Z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94E2EFF59FD94E87B891B6F47512AE18</vt:lpwstr>
  </property>
</Properties>
</file>