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ascii="黑体" w:hAnsi="黑体" w:eastAsia="黑体"/>
          <w:b/>
          <w:bCs/>
          <w:color w:val="FF0000"/>
          <w:spacing w:val="80"/>
          <w:sz w:val="44"/>
          <w:szCs w:val="44"/>
        </w:rPr>
      </w:pPr>
      <w:r>
        <w:rPr>
          <w:rFonts w:hint="eastAsia" w:ascii="黑体" w:hAnsi="黑体" w:eastAsia="黑体"/>
          <w:b/>
          <w:bCs/>
          <w:color w:val="FF0000"/>
          <w:spacing w:val="80"/>
          <w:sz w:val="44"/>
          <w:szCs w:val="44"/>
        </w:rPr>
        <w:t>（货物网上竞采电子反拍法）</w:t>
      </w:r>
    </w:p>
    <w:p>
      <w:pPr>
        <w:jc w:val="center"/>
        <w:outlineLvl w:val="0"/>
        <w:rPr>
          <w:rFonts w:ascii="黑体" w:hAnsi="黑体" w:eastAsia="黑体"/>
          <w:b/>
          <w:bCs/>
          <w:color w:val="FF0000"/>
          <w:spacing w:val="80"/>
          <w:sz w:val="44"/>
          <w:szCs w:val="44"/>
        </w:rPr>
      </w:pPr>
    </w:p>
    <w:p>
      <w:pPr>
        <w:jc w:val="center"/>
        <w:outlineLvl w:val="0"/>
        <w:rPr>
          <w:rFonts w:ascii="方正小标宋_GBK" w:hAnsi="方正小标宋_GBK" w:eastAsia="方正小标宋_GBK" w:cs="方正小标宋_GBK"/>
          <w:spacing w:val="80"/>
          <w:sz w:val="96"/>
          <w:szCs w:val="96"/>
        </w:rPr>
      </w:pPr>
      <w:bookmarkStart w:id="0" w:name="_Toc3463"/>
      <w:bookmarkStart w:id="1" w:name="_Toc18881"/>
      <w:bookmarkStart w:id="2" w:name="_Toc18159"/>
      <w:bookmarkStart w:id="3" w:name="_Toc317775175"/>
      <w:bookmarkStart w:id="4" w:name="_Toc7625"/>
      <w:bookmarkStart w:id="5" w:name="_Toc26820"/>
      <w:bookmarkStart w:id="6" w:name="_Toc12808"/>
      <w:bookmarkStart w:id="7" w:name="_Toc313893526"/>
      <w:bookmarkStart w:id="8" w:name="_Toc25458"/>
    </w:p>
    <w:p>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货物网上竞采文件</w:t>
      </w:r>
    </w:p>
    <w:p>
      <w:pPr>
        <w:spacing w:line="700" w:lineRule="exact"/>
        <w:ind w:left="3435" w:leftChars="557" w:hanging="2265" w:hangingChars="708"/>
        <w:rPr>
          <w:rFonts w:ascii="方正小标宋_GBK" w:hAnsi="方正小标宋_GBK" w:eastAsia="方正小标宋_GBK" w:cs="方正小标宋_GBK"/>
          <w:sz w:val="32"/>
          <w:szCs w:val="32"/>
        </w:rPr>
      </w:pPr>
    </w:p>
    <w:p>
      <w:pPr>
        <w:pStyle w:val="68"/>
        <w:rPr>
          <w:rFonts w:ascii="方正小标宋_GBK" w:hAnsi="方正小标宋_GBK" w:eastAsia="方正小标宋_GBK" w:cs="方正小标宋_GBK"/>
          <w:sz w:val="32"/>
          <w:szCs w:val="32"/>
        </w:rPr>
      </w:pPr>
    </w:p>
    <w:p>
      <w:pPr>
        <w:pStyle w:val="68"/>
        <w:rPr>
          <w:rFonts w:ascii="方正小标宋_GBK" w:hAnsi="方正小标宋_GBK" w:eastAsia="方正小标宋_GBK" w:cs="方正小标宋_GBK"/>
          <w:sz w:val="32"/>
          <w:szCs w:val="32"/>
        </w:rPr>
      </w:pPr>
    </w:p>
    <w:p>
      <w:pPr>
        <w:spacing w:line="700" w:lineRule="exact"/>
        <w:ind w:left="3435" w:leftChars="557" w:hanging="2265" w:hangingChars="708"/>
        <w:rPr>
          <w:rFonts w:ascii="方正小标宋_GBK" w:hAnsi="方正小标宋_GBK" w:eastAsia="方正小标宋_GBK" w:cs="方正小标宋_GBK"/>
          <w:sz w:val="32"/>
          <w:szCs w:val="32"/>
        </w:rPr>
      </w:pPr>
    </w:p>
    <w:p>
      <w:pPr>
        <w:spacing w:line="700" w:lineRule="exact"/>
        <w:ind w:left="3435" w:leftChars="557" w:hanging="2265" w:hangingChars="708"/>
        <w:rPr>
          <w:rFonts w:ascii="方正小标宋_GBK" w:hAnsi="方正小标宋_GBK" w:eastAsia="方正小标宋_GBK" w:cs="方正小标宋_GBK"/>
          <w:sz w:val="32"/>
          <w:szCs w:val="32"/>
        </w:rPr>
      </w:pPr>
    </w:p>
    <w:p>
      <w:pPr>
        <w:spacing w:line="360" w:lineRule="auto"/>
        <w:ind w:left="3435" w:leftChars="557" w:hanging="2265" w:hangingChars="708"/>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eastAsia="zh-CN"/>
        </w:rPr>
        <w:t>照明线缆</w:t>
      </w:r>
      <w:r>
        <w:rPr>
          <w:rFonts w:hint="eastAsia" w:ascii="方正小标宋_GBK" w:hAnsi="方正小标宋_GBK" w:eastAsia="方正小标宋_GBK" w:cs="方正小标宋_GBK"/>
          <w:sz w:val="32"/>
          <w:szCs w:val="32"/>
        </w:rPr>
        <w:t>采购项目</w:t>
      </w:r>
    </w:p>
    <w:p>
      <w:pPr>
        <w:spacing w:line="360" w:lineRule="auto"/>
        <w:ind w:left="3435" w:leftChars="557" w:hanging="2265" w:hangingChars="708"/>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采购单位：重庆市合川区市政设施事务中心</w:t>
      </w:r>
    </w:p>
    <w:p>
      <w:pPr>
        <w:spacing w:line="700" w:lineRule="exact"/>
        <w:ind w:left="3435" w:leftChars="557" w:hanging="2265" w:hangingChars="708"/>
        <w:rPr>
          <w:rFonts w:ascii="方正小标宋_GBK" w:hAnsi="方正小标宋_GBK" w:eastAsia="方正小标宋_GBK" w:cs="方正小标宋_GBK"/>
          <w:sz w:val="32"/>
          <w:szCs w:val="32"/>
        </w:rPr>
      </w:pPr>
    </w:p>
    <w:p>
      <w:pPr>
        <w:spacing w:line="700" w:lineRule="exact"/>
        <w:ind w:left="3435" w:leftChars="557" w:hanging="2265" w:hangingChars="708"/>
        <w:rPr>
          <w:rFonts w:ascii="方正小标宋_GBK" w:hAnsi="方正小标宋_GBK" w:eastAsia="方正小标宋_GBK" w:cs="方正小标宋_GBK"/>
          <w:sz w:val="32"/>
          <w:szCs w:val="32"/>
        </w:rPr>
      </w:pPr>
    </w:p>
    <w:p>
      <w:pPr>
        <w:spacing w:line="700" w:lineRule="exact"/>
        <w:ind w:left="3435" w:leftChars="557" w:hanging="2265" w:hangingChars="708"/>
        <w:rPr>
          <w:rFonts w:ascii="方正小标宋_GBK" w:hAnsi="方正小标宋_GBK" w:eastAsia="方正小标宋_GBK" w:cs="方正小标宋_GBK"/>
          <w:sz w:val="32"/>
          <w:szCs w:val="32"/>
        </w:rPr>
      </w:pPr>
    </w:p>
    <w:p>
      <w:pPr>
        <w:spacing w:line="700" w:lineRule="exact"/>
        <w:ind w:left="3435" w:leftChars="557" w:hanging="2265" w:hangingChars="708"/>
        <w:rPr>
          <w:rFonts w:ascii="方正小标宋_GBK" w:hAnsi="方正小标宋_GBK" w:eastAsia="方正小标宋_GBK" w:cs="方正小标宋_GBK"/>
          <w:sz w:val="32"/>
          <w:szCs w:val="32"/>
        </w:rPr>
      </w:pPr>
    </w:p>
    <w:p>
      <w:pPr>
        <w:spacing w:line="700" w:lineRule="exact"/>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eastAsia="zh-CN"/>
        </w:rPr>
        <w:t>十</w:t>
      </w:r>
      <w:r>
        <w:rPr>
          <w:rFonts w:hint="eastAsia" w:ascii="方正小标宋_GBK" w:hAnsi="方正小标宋_GBK" w:eastAsia="方正小标宋_GBK" w:cs="方正小标宋_GBK"/>
          <w:sz w:val="32"/>
          <w:szCs w:val="32"/>
          <w:highlight w:val="none"/>
        </w:rPr>
        <w:t>月</w:t>
      </w:r>
    </w:p>
    <w:p>
      <w:pPr>
        <w:spacing w:line="700" w:lineRule="exact"/>
        <w:ind w:left="3435" w:leftChars="557" w:hanging="2265" w:hangingChars="708"/>
        <w:rPr>
          <w:rFonts w:ascii="方正小标宋_GBK" w:hAnsi="方正小标宋_GBK" w:eastAsia="方正小标宋_GBK" w:cs="方正小标宋_GBK"/>
          <w:sz w:val="32"/>
          <w:szCs w:val="32"/>
          <w:highlight w:val="yellow"/>
        </w:rPr>
      </w:pPr>
    </w:p>
    <w:p>
      <w:pPr>
        <w:widowControl/>
        <w:jc w:val="left"/>
        <w:rPr>
          <w:rFonts w:ascii="宋体" w:hAnsi="宋体" w:cs="宋体"/>
          <w:b/>
          <w:sz w:val="24"/>
          <w:szCs w:val="24"/>
        </w:rPr>
      </w:pPr>
      <w:r>
        <w:rPr>
          <w:rFonts w:ascii="宋体" w:hAnsi="宋体" w:cs="宋体"/>
          <w:sz w:val="24"/>
          <w:szCs w:val="24"/>
        </w:rPr>
        <w:br w:type="page"/>
      </w:r>
    </w:p>
    <w:p>
      <w:pPr>
        <w:pStyle w:val="5"/>
        <w:spacing w:before="0" w:after="0" w:line="312" w:lineRule="auto"/>
        <w:jc w:val="center"/>
        <w:rPr>
          <w:rFonts w:ascii="宋体" w:hAnsi="宋体" w:cs="宋体"/>
          <w:sz w:val="24"/>
          <w:szCs w:val="24"/>
        </w:rPr>
      </w:pPr>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一、采购内容</w:t>
      </w:r>
      <w:bookmarkEnd w:id="0"/>
      <w:bookmarkEnd w:id="1"/>
      <w:bookmarkEnd w:id="2"/>
      <w:bookmarkEnd w:id="3"/>
      <w:bookmarkEnd w:id="4"/>
      <w:bookmarkEnd w:id="5"/>
      <w:bookmarkEnd w:id="6"/>
      <w:bookmarkEnd w:id="7"/>
      <w:bookmarkEnd w:id="8"/>
    </w:p>
    <w:tbl>
      <w:tblPr>
        <w:tblStyle w:val="5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tc>
        <w:tc>
          <w:tcPr>
            <w:tcW w:w="1746"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采购预算</w:t>
            </w:r>
          </w:p>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（元）</w:t>
            </w:r>
          </w:p>
        </w:tc>
        <w:tc>
          <w:tcPr>
            <w:tcW w:w="1903" w:type="dxa"/>
            <w:tcBorders>
              <w:top w:val="single" w:color="auto" w:sz="4" w:space="0"/>
              <w:left w:val="single" w:color="auto" w:sz="4" w:space="0"/>
              <w:right w:val="single" w:color="auto" w:sz="4" w:space="0"/>
            </w:tcBorders>
            <w:noWrap w:val="0"/>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资金来源</w:t>
            </w:r>
          </w:p>
        </w:tc>
        <w:tc>
          <w:tcPr>
            <w:tcW w:w="1231" w:type="dxa"/>
            <w:tcBorders>
              <w:top w:val="single" w:color="auto" w:sz="4" w:space="0"/>
              <w:left w:val="single" w:color="auto" w:sz="4" w:space="0"/>
              <w:right w:val="single" w:color="auto" w:sz="4" w:space="0"/>
            </w:tcBorders>
            <w:noWrap w:val="0"/>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仿宋_GB2312" w:hAnsi="仿宋_GB2312" w:eastAsia="仿宋_GB2312" w:cs="仿宋_GB2312"/>
                <w:color w:val="FF0000"/>
                <w:kern w:val="0"/>
                <w:sz w:val="32"/>
                <w:szCs w:val="32"/>
                <w:highlight w:val="yellow"/>
              </w:rPr>
            </w:pPr>
            <w:bookmarkStart w:id="9" w:name="_Hlk344477914"/>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照明线缆</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采购项目</w:t>
            </w:r>
          </w:p>
        </w:tc>
        <w:tc>
          <w:tcPr>
            <w:tcW w:w="1746"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default"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none"/>
                <w:lang w:val="en-US" w:eastAsia="zh-CN"/>
              </w:rPr>
              <w:t>12345.00</w:t>
            </w:r>
          </w:p>
        </w:tc>
        <w:tc>
          <w:tcPr>
            <w:tcW w:w="1903"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财政预算</w:t>
            </w:r>
          </w:p>
          <w:p>
            <w:pPr>
              <w:pStyle w:val="68"/>
              <w:jc w:val="center"/>
              <w:rPr>
                <w:rFonts w:hint="eastAsia"/>
                <w:lang w:eastAsia="zh-CN"/>
              </w:rPr>
            </w:pPr>
            <w:r>
              <w:rPr>
                <w:rFonts w:hint="eastAsia" w:ascii="仿宋_GB2312" w:hAnsi="仿宋_GB2312" w:eastAsia="仿宋_GB2312" w:cs="仿宋_GB2312"/>
                <w:color w:val="auto"/>
                <w:sz w:val="32"/>
                <w:szCs w:val="32"/>
                <w:highlight w:val="none"/>
              </w:rPr>
              <w:t>资金</w:t>
            </w:r>
          </w:p>
        </w:tc>
        <w:tc>
          <w:tcPr>
            <w:tcW w:w="1231" w:type="dxa"/>
            <w:tcBorders>
              <w:top w:val="single" w:color="auto" w:sz="4" w:space="0"/>
              <w:left w:val="single" w:color="auto" w:sz="4" w:space="0"/>
              <w:right w:val="single" w:color="auto" w:sz="4" w:space="0"/>
            </w:tcBorders>
            <w:noWrap w:val="0"/>
            <w:vAlign w:val="center"/>
          </w:tcPr>
          <w:p>
            <w:pPr>
              <w:spacing w:line="360" w:lineRule="auto"/>
              <w:rPr>
                <w:rFonts w:ascii="仿宋_GB2312" w:hAnsi="仿宋_GB2312" w:eastAsia="仿宋_GB2312" w:cs="仿宋_GB2312"/>
                <w:b/>
                <w:sz w:val="32"/>
                <w:szCs w:val="32"/>
              </w:rPr>
            </w:pPr>
          </w:p>
        </w:tc>
      </w:tr>
      <w:bookmarkEnd w:id="9"/>
    </w:tbl>
    <w:p>
      <w:pPr>
        <w:pStyle w:val="5"/>
        <w:spacing w:before="0" w:after="0" w:line="360" w:lineRule="auto"/>
        <w:rPr>
          <w:rFonts w:ascii="宋体" w:hAnsi="宋体" w:cs="宋体"/>
          <w:sz w:val="24"/>
          <w:szCs w:val="24"/>
        </w:rPr>
      </w:pPr>
      <w:bookmarkStart w:id="10" w:name="_Toc1790"/>
      <w:bookmarkStart w:id="11" w:name="_Toc22399"/>
      <w:bookmarkStart w:id="12" w:name="_Toc19437"/>
      <w:bookmarkStart w:id="13" w:name="_Toc6462"/>
      <w:bookmarkStart w:id="14" w:name="_Toc15576"/>
      <w:bookmarkStart w:id="15" w:name="_Toc25190"/>
      <w:bookmarkStart w:id="16" w:name="_Toc15727"/>
      <w:bookmarkStart w:id="17" w:name="_Toc373860293"/>
      <w:bookmarkStart w:id="18" w:name="_Toc317775178"/>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二、</w:t>
      </w:r>
      <w:bookmarkEnd w:id="10"/>
      <w:bookmarkEnd w:id="11"/>
      <w:bookmarkEnd w:id="12"/>
      <w:bookmarkEnd w:id="13"/>
      <w:bookmarkEnd w:id="14"/>
      <w:bookmarkEnd w:id="15"/>
      <w:bookmarkEnd w:id="16"/>
      <w:r>
        <w:rPr>
          <w:rFonts w:hint="eastAsia" w:ascii="黑体" w:hAnsi="黑体" w:eastAsia="黑体" w:cs="黑体"/>
          <w:szCs w:val="32"/>
        </w:rPr>
        <w:t>供应商资格条件</w:t>
      </w:r>
    </w:p>
    <w:p>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w:t>
      </w:r>
    </w:p>
    <w:p>
      <w:pPr>
        <w:snapToGrid w:val="0"/>
        <w:spacing w:line="360" w:lineRule="auto"/>
        <w:ind w:firstLine="640" w:firstLineChars="200"/>
        <w:rPr>
          <w:rFonts w:hint="eastAsia" w:ascii="仿宋_GB2312" w:hAnsi="仿宋_GB2312" w:eastAsia="仿宋_GB2312" w:cs="仿宋_GB2312"/>
          <w:b/>
          <w:bCs/>
          <w:i/>
          <w:iCs/>
          <w:color w:val="FF0000"/>
          <w:sz w:val="32"/>
          <w:szCs w:val="32"/>
          <w:u w:val="single"/>
          <w:lang w:eastAsia="zh-CN"/>
        </w:rPr>
      </w:pPr>
      <w:r>
        <w:rPr>
          <w:rFonts w:hint="eastAsia" w:ascii="仿宋_GB2312" w:hAnsi="仿宋_GB2312" w:eastAsia="仿宋_GB2312" w:cs="仿宋_GB2312"/>
          <w:sz w:val="32"/>
          <w:szCs w:val="32"/>
        </w:rPr>
        <w:t>（二）本项目的特定资格要求：</w:t>
      </w:r>
      <w:bookmarkEnd w:id="17"/>
      <w:bookmarkEnd w:id="18"/>
      <w:r>
        <w:rPr>
          <w:rFonts w:hint="eastAsia" w:ascii="仿宋_GB2312" w:hAnsi="仿宋_GB2312" w:eastAsia="仿宋_GB2312" w:cs="仿宋_GB2312"/>
          <w:sz w:val="32"/>
          <w:szCs w:val="32"/>
          <w:lang w:eastAsia="zh-CN"/>
        </w:rPr>
        <w:t>无</w:t>
      </w:r>
    </w:p>
    <w:p>
      <w:pPr>
        <w:pStyle w:val="5"/>
        <w:spacing w:before="0" w:after="0" w:line="360" w:lineRule="auto"/>
        <w:ind w:firstLine="643" w:firstLineChars="200"/>
        <w:rPr>
          <w:rFonts w:hint="eastAsia" w:ascii="黑体" w:hAnsi="黑体" w:eastAsia="黑体" w:cs="黑体"/>
          <w:szCs w:val="32"/>
        </w:rPr>
      </w:pPr>
      <w:r>
        <w:rPr>
          <w:rFonts w:hint="eastAsia" w:ascii="黑体" w:hAnsi="黑体" w:eastAsia="黑体" w:cs="黑体"/>
          <w:szCs w:val="32"/>
        </w:rPr>
        <w:t>三、</w:t>
      </w:r>
      <w:r>
        <w:rPr>
          <w:rFonts w:hint="eastAsia" w:ascii="黑体" w:hAnsi="黑体" w:eastAsia="黑体" w:cs="黑体"/>
          <w:szCs w:val="32"/>
          <w:highlight w:val="none"/>
        </w:rPr>
        <w:t>采购需求清单</w:t>
      </w:r>
    </w:p>
    <w:tbl>
      <w:tblPr>
        <w:tblStyle w:val="58"/>
        <w:tblW w:w="5000" w:type="pct"/>
        <w:tblInd w:w="0" w:type="dxa"/>
        <w:tblLayout w:type="fixed"/>
        <w:tblCellMar>
          <w:top w:w="0" w:type="dxa"/>
          <w:left w:w="108" w:type="dxa"/>
          <w:bottom w:w="0" w:type="dxa"/>
          <w:right w:w="108" w:type="dxa"/>
        </w:tblCellMar>
      </w:tblPr>
      <w:tblGrid>
        <w:gridCol w:w="655"/>
        <w:gridCol w:w="1939"/>
        <w:gridCol w:w="2707"/>
        <w:gridCol w:w="658"/>
        <w:gridCol w:w="720"/>
        <w:gridCol w:w="879"/>
        <w:gridCol w:w="876"/>
        <w:gridCol w:w="1194"/>
      </w:tblGrid>
      <w:tr>
        <w:tblPrEx>
          <w:tblCellMar>
            <w:top w:w="0" w:type="dxa"/>
            <w:left w:w="108" w:type="dxa"/>
            <w:bottom w:w="0" w:type="dxa"/>
            <w:right w:w="108" w:type="dxa"/>
          </w:tblCellMar>
        </w:tblPrEx>
        <w:trPr>
          <w:trHeight w:val="450" w:hRule="atLeast"/>
        </w:trPr>
        <w:tc>
          <w:tcPr>
            <w:tcW w:w="5000" w:type="pct"/>
            <w:gridSpan w:val="8"/>
            <w:tcBorders>
              <w:top w:val="nil"/>
              <w:left w:val="nil"/>
              <w:bottom w:val="nil"/>
              <w:right w:val="nil"/>
            </w:tcBorders>
            <w:noWrap/>
            <w:vAlign w:val="center"/>
          </w:tcPr>
          <w:p>
            <w:pPr>
              <w:widowControl/>
              <w:jc w:val="center"/>
              <w:rPr>
                <w:rFonts w:hint="eastAsia" w:ascii="宋体" w:hAnsi="宋体" w:eastAsia="宋体" w:cs="宋体"/>
                <w:b/>
                <w:bCs/>
                <w:color w:val="000000"/>
                <w:kern w:val="0"/>
                <w:sz w:val="36"/>
                <w:szCs w:val="36"/>
                <w:highlight w:val="yellow"/>
                <w:lang w:val="en-US" w:eastAsia="zh-CN"/>
              </w:rPr>
            </w:pPr>
            <w:r>
              <w:rPr>
                <w:rFonts w:hint="eastAsia" w:ascii="宋体" w:hAnsi="宋体" w:cs="宋体"/>
                <w:b/>
                <w:bCs/>
                <w:color w:val="000000"/>
                <w:kern w:val="0"/>
                <w:sz w:val="36"/>
                <w:szCs w:val="36"/>
                <w:highlight w:val="none"/>
                <w:lang w:eastAsia="zh-CN"/>
              </w:rPr>
              <w:t>照明线缆</w:t>
            </w:r>
            <w:r>
              <w:rPr>
                <w:rFonts w:hint="eastAsia" w:ascii="宋体" w:hAnsi="宋体" w:cs="宋体"/>
                <w:b/>
                <w:bCs/>
                <w:color w:val="000000"/>
                <w:kern w:val="0"/>
                <w:sz w:val="36"/>
                <w:szCs w:val="36"/>
                <w:highlight w:val="none"/>
              </w:rPr>
              <w:t>材料</w:t>
            </w:r>
            <w:r>
              <w:rPr>
                <w:rFonts w:hint="eastAsia" w:ascii="宋体" w:hAnsi="宋体" w:cs="宋体"/>
                <w:b/>
                <w:bCs/>
                <w:color w:val="000000"/>
                <w:kern w:val="0"/>
                <w:sz w:val="36"/>
                <w:szCs w:val="36"/>
                <w:highlight w:val="none"/>
                <w:lang w:val="en-US" w:eastAsia="zh-CN"/>
              </w:rPr>
              <w:t>清单</w:t>
            </w:r>
          </w:p>
        </w:tc>
      </w:tr>
      <w:tr>
        <w:tblPrEx>
          <w:tblCellMar>
            <w:top w:w="0" w:type="dxa"/>
            <w:left w:w="108" w:type="dxa"/>
            <w:bottom w:w="0" w:type="dxa"/>
            <w:right w:w="108" w:type="dxa"/>
          </w:tblCellMar>
        </w:tblPrEx>
        <w:trPr>
          <w:trHeight w:val="270" w:hRule="atLeast"/>
        </w:trPr>
        <w:tc>
          <w:tcPr>
            <w:tcW w:w="340"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c>
          <w:tcPr>
            <w:tcW w:w="1006"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c>
          <w:tcPr>
            <w:tcW w:w="1405"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c>
          <w:tcPr>
            <w:tcW w:w="341"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c>
          <w:tcPr>
            <w:tcW w:w="373"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c>
          <w:tcPr>
            <w:tcW w:w="456"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c>
          <w:tcPr>
            <w:tcW w:w="454"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c>
          <w:tcPr>
            <w:tcW w:w="620" w:type="pct"/>
            <w:tcBorders>
              <w:top w:val="nil"/>
              <w:left w:val="nil"/>
              <w:bottom w:val="nil"/>
              <w:right w:val="nil"/>
            </w:tcBorders>
            <w:noWrap/>
            <w:vAlign w:val="center"/>
          </w:tcPr>
          <w:p>
            <w:pPr>
              <w:widowControl/>
              <w:jc w:val="left"/>
              <w:rPr>
                <w:rFonts w:ascii="宋体" w:hAnsi="宋体" w:cs="宋体"/>
                <w:color w:val="000000"/>
                <w:kern w:val="0"/>
                <w:sz w:val="22"/>
                <w:szCs w:val="22"/>
                <w:highlight w:val="yellow"/>
              </w:rPr>
            </w:pPr>
          </w:p>
        </w:tc>
      </w:tr>
      <w:tr>
        <w:tblPrEx>
          <w:tblCellMar>
            <w:top w:w="0" w:type="dxa"/>
            <w:left w:w="108" w:type="dxa"/>
            <w:bottom w:w="0" w:type="dxa"/>
            <w:right w:w="108" w:type="dxa"/>
          </w:tblCellMar>
        </w:tblPrEx>
        <w:trPr>
          <w:trHeight w:val="669" w:hRule="atLeast"/>
        </w:trPr>
        <w:tc>
          <w:tcPr>
            <w:tcW w:w="34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序号</w:t>
            </w:r>
          </w:p>
        </w:tc>
        <w:tc>
          <w:tcPr>
            <w:tcW w:w="100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材料名称</w:t>
            </w:r>
          </w:p>
        </w:tc>
        <w:tc>
          <w:tcPr>
            <w:tcW w:w="1405"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规格型号</w:t>
            </w:r>
          </w:p>
        </w:tc>
        <w:tc>
          <w:tcPr>
            <w:tcW w:w="341"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单位</w:t>
            </w:r>
          </w:p>
        </w:tc>
        <w:tc>
          <w:tcPr>
            <w:tcW w:w="37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数量</w:t>
            </w:r>
          </w:p>
        </w:tc>
        <w:tc>
          <w:tcPr>
            <w:tcW w:w="456"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最高单</w:t>
            </w:r>
            <w:r>
              <w:rPr>
                <w:rFonts w:hint="eastAsia" w:ascii="宋体" w:hAnsi="宋体" w:cs="宋体"/>
                <w:color w:val="000000"/>
                <w:kern w:val="0"/>
                <w:sz w:val="22"/>
                <w:szCs w:val="22"/>
                <w:highlight w:val="none"/>
              </w:rPr>
              <w:t>价(元）</w:t>
            </w:r>
          </w:p>
        </w:tc>
        <w:tc>
          <w:tcPr>
            <w:tcW w:w="454"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最高</w:t>
            </w:r>
            <w:r>
              <w:rPr>
                <w:rFonts w:hint="eastAsia" w:ascii="宋体" w:hAnsi="宋体" w:cs="宋体"/>
                <w:color w:val="000000"/>
                <w:kern w:val="0"/>
                <w:sz w:val="22"/>
                <w:szCs w:val="22"/>
                <w:highlight w:val="none"/>
              </w:rPr>
              <w:t>合价（元）</w:t>
            </w:r>
          </w:p>
        </w:tc>
        <w:tc>
          <w:tcPr>
            <w:tcW w:w="620"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备注</w:t>
            </w:r>
          </w:p>
        </w:tc>
      </w:tr>
      <w:tr>
        <w:tblPrEx>
          <w:tblCellMar>
            <w:top w:w="0" w:type="dxa"/>
            <w:left w:w="108" w:type="dxa"/>
            <w:bottom w:w="0" w:type="dxa"/>
            <w:right w:w="108" w:type="dxa"/>
          </w:tblCellMar>
        </w:tblPrEx>
        <w:trPr>
          <w:trHeight w:val="906" w:hRule="atLeast"/>
        </w:trPr>
        <w:tc>
          <w:tcPr>
            <w:tcW w:w="34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0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铜芯橡套线缆</w:t>
            </w:r>
          </w:p>
        </w:tc>
        <w:tc>
          <w:tcPr>
            <w:tcW w:w="1405" w:type="pct"/>
            <w:tcBorders>
              <w:top w:val="nil"/>
              <w:left w:val="nil"/>
              <w:bottom w:val="single" w:color="auto" w:sz="4" w:space="0"/>
              <w:right w:val="single" w:color="auto" w:sz="4" w:space="0"/>
            </w:tcBorders>
            <w:noWrap/>
            <w:vAlign w:val="center"/>
          </w:tcPr>
          <w:p>
            <w:pPr>
              <w:pStyle w:val="68"/>
              <w:keepNext w:val="0"/>
              <w:keepLines w:val="0"/>
              <w:pageBreakBefore w:val="0"/>
              <w:widowControl w:val="0"/>
              <w:numPr>
                <w:ilvl w:val="0"/>
                <w:numId w:val="0"/>
              </w:numPr>
              <w:kinsoku/>
              <w:wordWrap/>
              <w:overflowPunct/>
              <w:topLinePunct w:val="0"/>
              <w:autoSpaceDE w:val="0"/>
              <w:autoSpaceDN w:val="0"/>
              <w:bidi w:val="0"/>
              <w:adjustRightInd w:val="0"/>
              <w:snapToGrid/>
              <w:ind w:left="440" w:hanging="440" w:hangingChars="200"/>
              <w:jc w:val="both"/>
              <w:textAlignment w:val="auto"/>
              <w:rPr>
                <w:rFonts w:hint="eastAsia" w:hAnsi="宋体" w:cs="宋体"/>
                <w:color w:val="000000"/>
                <w:kern w:val="0"/>
                <w:sz w:val="22"/>
                <w:szCs w:val="22"/>
                <w:highlight w:val="none"/>
                <w:lang w:val="en-US" w:eastAsia="zh-CN" w:bidi="ar-SA"/>
              </w:rPr>
            </w:pPr>
            <w:r>
              <w:rPr>
                <w:rFonts w:hint="eastAsia" w:hAnsi="宋体" w:cs="宋体"/>
                <w:color w:val="000000"/>
                <w:kern w:val="0"/>
                <w:sz w:val="22"/>
                <w:szCs w:val="22"/>
                <w:highlight w:val="none"/>
                <w:lang w:val="en-US" w:eastAsia="zh-CN" w:bidi="ar-SA"/>
              </w:rPr>
              <w:t>品牌：渝丰、科宝、玉兔（其中之一）</w:t>
            </w:r>
          </w:p>
          <w:p>
            <w:pPr>
              <w:pStyle w:val="68"/>
              <w:keepNext w:val="0"/>
              <w:keepLines w:val="0"/>
              <w:pageBreakBefore w:val="0"/>
              <w:widowControl w:val="0"/>
              <w:numPr>
                <w:ilvl w:val="0"/>
                <w:numId w:val="0"/>
              </w:numPr>
              <w:kinsoku/>
              <w:wordWrap/>
              <w:overflowPunct/>
              <w:topLinePunct w:val="0"/>
              <w:autoSpaceDE w:val="0"/>
              <w:autoSpaceDN w:val="0"/>
              <w:bidi w:val="0"/>
              <w:adjustRightInd w:val="0"/>
              <w:snapToGrid/>
              <w:jc w:val="both"/>
              <w:textAlignment w:val="auto"/>
              <w:rPr>
                <w:rFonts w:hint="default" w:hAnsi="宋体" w:cs="宋体"/>
                <w:color w:val="000000"/>
                <w:kern w:val="0"/>
                <w:sz w:val="22"/>
                <w:szCs w:val="22"/>
                <w:highlight w:val="none"/>
                <w:lang w:val="en-US" w:eastAsia="zh-CN" w:bidi="ar-SA"/>
              </w:rPr>
            </w:pPr>
            <w:r>
              <w:rPr>
                <w:rFonts w:hint="eastAsia" w:hAnsi="宋体" w:cs="宋体"/>
                <w:color w:val="000000"/>
                <w:kern w:val="0"/>
                <w:sz w:val="22"/>
                <w:szCs w:val="22"/>
                <w:highlight w:val="none"/>
                <w:lang w:val="en-US" w:eastAsia="zh-CN" w:bidi="ar-SA"/>
              </w:rPr>
              <w:t>型号：YC3*10+1*6</w:t>
            </w:r>
          </w:p>
        </w:tc>
        <w:tc>
          <w:tcPr>
            <w:tcW w:w="341" w:type="pct"/>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米</w:t>
            </w:r>
          </w:p>
        </w:tc>
        <w:tc>
          <w:tcPr>
            <w:tcW w:w="373" w:type="pct"/>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300</w:t>
            </w:r>
          </w:p>
        </w:tc>
        <w:tc>
          <w:tcPr>
            <w:tcW w:w="456" w:type="pct"/>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30.7</w:t>
            </w:r>
          </w:p>
        </w:tc>
        <w:tc>
          <w:tcPr>
            <w:tcW w:w="454" w:type="pct"/>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9210</w:t>
            </w:r>
          </w:p>
        </w:tc>
        <w:tc>
          <w:tcPr>
            <w:tcW w:w="62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kern w:val="0"/>
                <w:sz w:val="22"/>
                <w:szCs w:val="22"/>
                <w:highlight w:val="none"/>
                <w:lang w:val="en-US" w:eastAsia="zh-CN"/>
              </w:rPr>
            </w:pPr>
          </w:p>
        </w:tc>
      </w:tr>
      <w:tr>
        <w:tblPrEx>
          <w:tblCellMar>
            <w:top w:w="0" w:type="dxa"/>
            <w:left w:w="108" w:type="dxa"/>
            <w:bottom w:w="0" w:type="dxa"/>
            <w:right w:w="108" w:type="dxa"/>
          </w:tblCellMar>
        </w:tblPrEx>
        <w:trPr>
          <w:trHeight w:val="741" w:hRule="atLeast"/>
        </w:trPr>
        <w:tc>
          <w:tcPr>
            <w:tcW w:w="340"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w:t>
            </w:r>
          </w:p>
        </w:tc>
        <w:tc>
          <w:tcPr>
            <w:tcW w:w="1006"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铜芯橡套线缆</w:t>
            </w:r>
          </w:p>
        </w:tc>
        <w:tc>
          <w:tcPr>
            <w:tcW w:w="1405" w:type="pct"/>
            <w:tcBorders>
              <w:top w:val="nil"/>
              <w:left w:val="nil"/>
              <w:bottom w:val="single" w:color="auto" w:sz="4" w:space="0"/>
              <w:right w:val="single" w:color="auto" w:sz="4" w:space="0"/>
            </w:tcBorders>
            <w:noWrap/>
            <w:vAlign w:val="center"/>
          </w:tcPr>
          <w:p>
            <w:pPr>
              <w:pStyle w:val="68"/>
              <w:keepNext w:val="0"/>
              <w:keepLines w:val="0"/>
              <w:pageBreakBefore w:val="0"/>
              <w:widowControl w:val="0"/>
              <w:numPr>
                <w:ilvl w:val="0"/>
                <w:numId w:val="0"/>
              </w:numPr>
              <w:kinsoku/>
              <w:wordWrap/>
              <w:overflowPunct/>
              <w:topLinePunct w:val="0"/>
              <w:autoSpaceDE w:val="0"/>
              <w:autoSpaceDN w:val="0"/>
              <w:bidi w:val="0"/>
              <w:adjustRightInd w:val="0"/>
              <w:snapToGrid/>
              <w:ind w:left="440" w:hanging="440" w:hangingChars="200"/>
              <w:jc w:val="both"/>
              <w:textAlignment w:val="auto"/>
              <w:rPr>
                <w:rFonts w:hint="eastAsia" w:ascii="宋体" w:hAnsi="宋体" w:eastAsia="宋体" w:cs="宋体"/>
                <w:color w:val="000000"/>
                <w:kern w:val="0"/>
                <w:sz w:val="22"/>
                <w:szCs w:val="22"/>
                <w:highlight w:val="none"/>
                <w:lang w:val="en-US" w:eastAsia="zh-CN" w:bidi="ar-SA"/>
              </w:rPr>
            </w:pPr>
            <w:r>
              <w:rPr>
                <w:rFonts w:hint="eastAsia" w:hAnsi="宋体" w:cs="宋体"/>
                <w:color w:val="000000"/>
                <w:kern w:val="0"/>
                <w:sz w:val="22"/>
                <w:szCs w:val="22"/>
                <w:highlight w:val="none"/>
                <w:lang w:val="en-US" w:eastAsia="zh-CN" w:bidi="ar-SA"/>
              </w:rPr>
              <w:t>品牌：渝丰、科宝、玉兔</w:t>
            </w:r>
            <w:bookmarkStart w:id="33" w:name="_GoBack"/>
            <w:bookmarkEnd w:id="33"/>
            <w:r>
              <w:rPr>
                <w:rFonts w:hint="eastAsia" w:hAnsi="宋体" w:cs="宋体"/>
                <w:color w:val="000000"/>
                <w:kern w:val="0"/>
                <w:sz w:val="22"/>
                <w:szCs w:val="22"/>
                <w:highlight w:val="none"/>
                <w:lang w:val="en-US" w:eastAsia="zh-CN" w:bidi="ar-SA"/>
              </w:rPr>
              <w:t>（其中之一）</w:t>
            </w:r>
          </w:p>
          <w:p>
            <w:pPr>
              <w:pStyle w:val="68"/>
              <w:keepNext w:val="0"/>
              <w:keepLines w:val="0"/>
              <w:pageBreakBefore w:val="0"/>
              <w:widowControl w:val="0"/>
              <w:numPr>
                <w:ilvl w:val="0"/>
                <w:numId w:val="0"/>
              </w:numPr>
              <w:kinsoku/>
              <w:wordWrap/>
              <w:overflowPunct/>
              <w:topLinePunct w:val="0"/>
              <w:autoSpaceDE w:val="0"/>
              <w:autoSpaceDN w:val="0"/>
              <w:bidi w:val="0"/>
              <w:adjustRightInd w:val="0"/>
              <w:snapToGrid/>
              <w:jc w:val="both"/>
              <w:textAlignment w:val="auto"/>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型号：YC3*2.5</w:t>
            </w:r>
          </w:p>
        </w:tc>
        <w:tc>
          <w:tcPr>
            <w:tcW w:w="341"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米</w:t>
            </w:r>
          </w:p>
        </w:tc>
        <w:tc>
          <w:tcPr>
            <w:tcW w:w="373" w:type="pct"/>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500</w:t>
            </w:r>
          </w:p>
        </w:tc>
        <w:tc>
          <w:tcPr>
            <w:tcW w:w="456" w:type="pct"/>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6.27</w:t>
            </w:r>
          </w:p>
        </w:tc>
        <w:tc>
          <w:tcPr>
            <w:tcW w:w="454" w:type="pct"/>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3135</w:t>
            </w:r>
          </w:p>
        </w:tc>
        <w:tc>
          <w:tcPr>
            <w:tcW w:w="62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kern w:val="0"/>
                <w:sz w:val="22"/>
                <w:szCs w:val="22"/>
                <w:highlight w:val="none"/>
                <w:lang w:val="en-US" w:eastAsia="zh-CN"/>
              </w:rPr>
            </w:pPr>
          </w:p>
        </w:tc>
      </w:tr>
      <w:tr>
        <w:tblPrEx>
          <w:tblCellMar>
            <w:top w:w="0" w:type="dxa"/>
            <w:left w:w="108" w:type="dxa"/>
            <w:bottom w:w="0" w:type="dxa"/>
            <w:right w:w="108" w:type="dxa"/>
          </w:tblCellMar>
        </w:tblPrEx>
        <w:trPr>
          <w:cantSplit/>
          <w:trHeight w:val="567" w:hRule="atLeast"/>
        </w:trPr>
        <w:tc>
          <w:tcPr>
            <w:tcW w:w="340" w:type="pct"/>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w:t>
            </w:r>
          </w:p>
        </w:tc>
        <w:tc>
          <w:tcPr>
            <w:tcW w:w="100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合计</w:t>
            </w:r>
          </w:p>
        </w:tc>
        <w:tc>
          <w:tcPr>
            <w:tcW w:w="1405"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41"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73"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56" w:type="pct"/>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54" w:type="pct"/>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12345</w:t>
            </w:r>
          </w:p>
        </w:tc>
        <w:tc>
          <w:tcPr>
            <w:tcW w:w="62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bl>
    <w:p>
      <w:pPr>
        <w:pStyle w:val="5"/>
        <w:spacing w:before="0" w:after="0" w:line="360" w:lineRule="auto"/>
        <w:rPr>
          <w:rFonts w:hint="eastAsia" w:ascii="黑体" w:hAnsi="黑体" w:eastAsia="黑体" w:cs="黑体"/>
          <w:szCs w:val="32"/>
        </w:rPr>
      </w:pPr>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四、质量保证及售后服务要求</w:t>
      </w:r>
    </w:p>
    <w:p>
      <w:pPr>
        <w:snapToGrid w:val="0"/>
        <w:spacing w:line="360"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（一）质量保证：供应商所供</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铜芯橡套线缆</w:t>
      </w:r>
      <w:r>
        <w:rPr>
          <w:rFonts w:hint="eastAsia" w:ascii="仿宋_GB2312" w:hAnsi="仿宋_GB2312" w:eastAsia="仿宋_GB2312" w:cs="仿宋_GB2312"/>
          <w:color w:val="000000" w:themeColor="text1"/>
          <w:kern w:val="0"/>
          <w:sz w:val="32"/>
          <w:szCs w:val="32"/>
          <w14:textFill>
            <w14:solidFill>
              <w14:schemeClr w14:val="tx1"/>
            </w14:solidFill>
          </w14:textFill>
        </w:rPr>
        <w:t>必须质量保证3年及以上，在质保期内出现质量问题供应商负责更换。质保期自产品验收之日起计算，否则采购方有权拒收。同时因产品质量问题给对方造成一切损失由供应商承担。</w:t>
      </w:r>
    </w:p>
    <w:p>
      <w:pPr>
        <w:snapToGrid w:val="0"/>
        <w:spacing w:line="360"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（二）供应商所供产品名称、规格、数量、质量要求、生产企业与竞采文件要求相符。 </w:t>
      </w:r>
    </w:p>
    <w:p>
      <w:pPr>
        <w:snapToGrid w:val="0"/>
        <w:spacing w:line="360"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（三）产品的质量要求：符合采购方质量要求以及现行国家相关标准及规范要求。所供产品质量等级为合格品，供应商供货时应随产品附出厂合格证，并具有品牌防伪标识。</w:t>
      </w:r>
    </w:p>
    <w:p>
      <w:pPr>
        <w:snapToGrid w:val="0"/>
        <w:spacing w:line="360"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（四）成交供应商须免费提供现场技术培训与技术支持。</w:t>
      </w:r>
    </w:p>
    <w:p>
      <w:pPr>
        <w:snapToGrid w:val="0"/>
        <w:spacing w:line="360"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（五）用户遇到使用及技术问题，电话咨询不能解决的，成交供应商或制造商应在2小时内采取相应响应措施；无法在2小时内解决的，应在24小时内派出专业人员进行技术支持。</w:t>
      </w:r>
    </w:p>
    <w:p>
      <w:pPr>
        <w:pStyle w:val="5"/>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五、交货期限及地点</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（一）交货时间</w:t>
      </w:r>
    </w:p>
    <w:p>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color w:val="FF0000"/>
          <w:sz w:val="32"/>
          <w:szCs w:val="32"/>
          <w:u w:val="single"/>
        </w:rPr>
        <w:t xml:space="preserve"> 7 </w:t>
      </w:r>
      <w:r>
        <w:rPr>
          <w:rFonts w:hint="eastAsia" w:ascii="仿宋_GB2312" w:hAnsi="仿宋_GB2312" w:eastAsia="仿宋_GB2312" w:cs="仿宋_GB2312"/>
          <w:sz w:val="32"/>
          <w:szCs w:val="32"/>
        </w:rPr>
        <w:t>个工作日。</w:t>
      </w:r>
    </w:p>
    <w:p>
      <w:pPr>
        <w:numPr>
          <w:ilvl w:val="0"/>
          <w:numId w:val="13"/>
        </w:num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交货地点</w:t>
      </w:r>
    </w:p>
    <w:p>
      <w:pPr>
        <w:pStyle w:val="5"/>
        <w:spacing w:before="0" w:after="0" w:line="360" w:lineRule="auto"/>
        <w:ind w:left="638" w:leftChars="304" w:firstLine="0" w:firstLineChars="0"/>
        <w:rPr>
          <w:rFonts w:ascii="黑体" w:hAnsi="黑体" w:eastAsia="黑体" w:cs="黑体"/>
          <w:szCs w:val="32"/>
        </w:rPr>
      </w:pPr>
      <w:r>
        <w:rPr>
          <w:rFonts w:hint="eastAsia" w:ascii="仿宋_GB2312" w:hAnsi="仿宋_GB2312" w:eastAsia="仿宋_GB2312" w:cs="仿宋_GB2312"/>
          <w:b w:val="0"/>
          <w:kern w:val="2"/>
          <w:sz w:val="32"/>
          <w:szCs w:val="32"/>
          <w:lang w:val="en-US" w:eastAsia="zh-CN" w:bidi="ar-SA"/>
        </w:rPr>
        <w:t>重庆市合川区涪江四桥下（涪滨西路新图书馆公交车站对面）</w:t>
      </w:r>
      <w:r>
        <w:rPr>
          <w:rFonts w:hint="eastAsia" w:ascii="黑体" w:hAnsi="黑体" w:eastAsia="黑体" w:cs="黑体"/>
          <w:szCs w:val="32"/>
        </w:rPr>
        <w:t>六、验货方式</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（一）货物到达现场后，成交供应商应在使用单位人员在场情况下当面开箱，共同清点、检查外观，作出开箱记录，双方签字确认。</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（二）成交供应商应保证货物到达采购人所在地完好无损，如有缺漏、损坏，由供应商负责调换、补齐或赔偿。</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（三）成交供应商应提供完备的技术资料、装箱单和合格证等，并派遣专业技术人员进行现场指导。验收合格条件如下：</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1、产品技术参数与采购合同一致，性能指标达到国家规定的标准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和采购方的要求</w:t>
      </w:r>
      <w:r>
        <w:rPr>
          <w:rFonts w:hint="eastAsia" w:ascii="仿宋_GB2312" w:hAnsi="仿宋_GB2312" w:eastAsia="仿宋_GB2312" w:cs="仿宋_GB2312"/>
          <w:color w:val="auto"/>
          <w:sz w:val="32"/>
          <w:szCs w:val="32"/>
        </w:rPr>
        <w:t>。</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2、货物技术资料、装箱单、合格证等资料齐全。</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3、在规定时间内完成交货并验收，并经采购人确认。</w:t>
      </w:r>
    </w:p>
    <w:p>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4、采购人随机抽取的样品检测结果为合格。</w:t>
      </w:r>
    </w:p>
    <w:p>
      <w:pPr>
        <w:pStyle w:val="68"/>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如验收为不合格的产品，全部退货，由供应商承担相关损失</w:t>
      </w:r>
      <w:r>
        <w:rPr>
          <w:rFonts w:hint="eastAsia" w:ascii="仿宋_GB2312" w:hAnsi="仿宋_GB2312" w:eastAsia="仿宋_GB2312" w:cs="仿宋_GB2312"/>
          <w:color w:val="auto"/>
          <w:kern w:val="2"/>
          <w:sz w:val="32"/>
          <w:szCs w:val="32"/>
          <w:lang w:eastAsia="zh-CN"/>
        </w:rPr>
        <w:t>，并取消其中标资格</w:t>
      </w:r>
      <w:r>
        <w:rPr>
          <w:rFonts w:hint="eastAsia" w:ascii="仿宋_GB2312" w:hAnsi="仿宋_GB2312" w:eastAsia="仿宋_GB2312" w:cs="仿宋_GB2312"/>
          <w:color w:val="auto"/>
          <w:kern w:val="2"/>
          <w:sz w:val="32"/>
          <w:szCs w:val="32"/>
        </w:rPr>
        <w:t>。</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（四）产品在用户掌握使用技术要领，使用符合要求后，才作为最终验收。</w:t>
      </w:r>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七、报价要求</w:t>
      </w:r>
    </w:p>
    <w:p>
      <w:pPr>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项目采用</w:t>
      </w:r>
      <w:r>
        <w:rPr>
          <w:rFonts w:hint="eastAsia" w:ascii="仿宋_GB2312" w:hAnsi="仿宋_GB2312" w:eastAsia="仿宋_GB2312" w:cs="仿宋_GB2312"/>
          <w:sz w:val="32"/>
          <w:szCs w:val="32"/>
          <w:lang w:eastAsia="zh-CN"/>
        </w:rPr>
        <w:t>“电子反拍”</w:t>
      </w:r>
      <w:r>
        <w:rPr>
          <w:rFonts w:hint="eastAsia" w:ascii="仿宋_GB2312" w:hAnsi="仿宋_GB2312" w:eastAsia="仿宋_GB2312" w:cs="仿宋_GB2312"/>
          <w:sz w:val="32"/>
          <w:szCs w:val="32"/>
        </w:rPr>
        <w:t>采购方式，供应商</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在本项目规定的报价有效时间段内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在线上传资格</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响应文件并完成初始报价后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进入反</w:t>
      </w:r>
      <w:r>
        <w:rPr>
          <w:rFonts w:hint="eastAsia" w:ascii="仿宋_GB2312" w:hAnsi="仿宋_GB2312" w:eastAsia="仿宋_GB2312" w:cs="仿宋_GB2312"/>
          <w:sz w:val="32"/>
          <w:szCs w:val="32"/>
          <w:lang w:eastAsia="zh-CN"/>
        </w:rPr>
        <w:t>拍</w:t>
      </w:r>
      <w:r>
        <w:rPr>
          <w:rFonts w:hint="eastAsia" w:ascii="仿宋_GB2312" w:hAnsi="仿宋_GB2312" w:eastAsia="仿宋_GB2312" w:cs="仿宋_GB2312"/>
          <w:sz w:val="32"/>
          <w:szCs w:val="32"/>
        </w:rPr>
        <w:t>大厅参与多次匿名公开竞价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降价基数为20</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，每一次报价需按降价基数的整数倍调减，最后提交的竞拍价将作为最终报价</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（二）本次报价为人民币报价，包含：货物费、运输费、装卸费、税费（含关税）等所有费用。</w:t>
      </w:r>
    </w:p>
    <w:p>
      <w:pPr>
        <w:pStyle w:val="2"/>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lang w:eastAsia="zh-CN"/>
        </w:rPr>
      </w:pPr>
      <w:r>
        <w:rPr>
          <w:rFonts w:hint="eastAsia" w:hAnsi="仿宋_GB2312" w:cs="仿宋_GB2312"/>
          <w:sz w:val="32"/>
          <w:szCs w:val="32"/>
          <w:lang w:eastAsia="zh-CN"/>
        </w:rPr>
        <w:t>（三）供应商报价时所提交的产品品牌，未在采购人提供的产品品牌之内的，视为无效报价。</w:t>
      </w:r>
    </w:p>
    <w:p>
      <w:pPr>
        <w:pStyle w:val="5"/>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ascii="黑体" w:hAnsi="黑体" w:eastAsia="黑体" w:cs="黑体"/>
          <w:szCs w:val="32"/>
        </w:rPr>
      </w:pPr>
      <w:r>
        <w:rPr>
          <w:rFonts w:hint="eastAsia" w:ascii="黑体" w:hAnsi="黑体" w:eastAsia="黑体" w:cs="黑体"/>
          <w:szCs w:val="32"/>
        </w:rPr>
        <w:t>八、供应商响应文件要求</w:t>
      </w:r>
    </w:p>
    <w:p>
      <w:pPr>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供应商必须在平台上按要求上传响应文件，未按要求提供的视为无效供应商。</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盖鲜章的《报价函》《明细报价表》各1份。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必要）</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其中应包含法定代表人身份证复印件</w:t>
      </w:r>
      <w:r>
        <w:rPr>
          <w:rFonts w:hint="eastAsia" w:ascii="仿宋_GB2312" w:hAnsi="仿宋_GB2312" w:eastAsia="仿宋_GB2312" w:cs="仿宋_GB2312"/>
          <w:sz w:val="32"/>
          <w:szCs w:val="32"/>
        </w:rPr>
        <w:t>。若法定代表人委托他人投标，</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提供盖鲜章的《法定代表人授权委托书》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w:t>
      </w:r>
      <w:r>
        <w:rPr>
          <w:rFonts w:hint="eastAsia" w:ascii="仿宋_GB2312" w:hAnsi="仿宋_GB2312" w:eastAsia="仿宋_GB2312" w:cs="仿宋_GB2312"/>
          <w:sz w:val="32"/>
          <w:szCs w:val="32"/>
        </w:rPr>
        <w:t>法定代表人及被授权人身份</w:t>
      </w:r>
      <w:r>
        <w:rPr>
          <w:rFonts w:hint="eastAsia" w:ascii="仿宋_GB2312" w:hAnsi="仿宋_GB2312" w:eastAsia="仿宋_GB2312" w:cs="仿宋_GB2312"/>
          <w:color w:val="auto"/>
          <w:sz w:val="32"/>
          <w:szCs w:val="32"/>
        </w:rPr>
        <w:t>证复印件各1份。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必要）</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盖鲜章的基本资格条件承诺函。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必要）</w:t>
      </w:r>
    </w:p>
    <w:p>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营业执照、基本存款账户信息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必要）</w:t>
      </w:r>
    </w:p>
    <w:p>
      <w:pPr>
        <w:pStyle w:val="68"/>
        <w:keepNext w:val="0"/>
        <w:keepLines w:val="0"/>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5.国家权威检测机构产品抽检测合格报告或正规渠道进货发票或清单证明（如为生产厂家可不需要此项）（必须提供其一）。</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（二）提交文件的要求</w:t>
      </w:r>
    </w:p>
    <w:p>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供应商线上报名、报价时需上传盖鲜章后的电子文档一份。</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供应商在系统中的报价与响应文件中的报价不一致时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系统中供应商的</w:t>
      </w:r>
      <w:r>
        <w:rPr>
          <w:rFonts w:hint="eastAsia" w:ascii="仿宋_GB2312" w:hAnsi="仿宋_GB2312" w:eastAsia="仿宋_GB2312" w:cs="仿宋_GB2312"/>
          <w:sz w:val="32"/>
          <w:szCs w:val="32"/>
          <w:lang w:val="en-US" w:eastAsia="zh-CN"/>
        </w:rPr>
        <w:t>最低</w:t>
      </w:r>
      <w:r>
        <w:rPr>
          <w:rFonts w:hint="eastAsia" w:ascii="仿宋_GB2312" w:hAnsi="仿宋_GB2312" w:eastAsia="仿宋_GB2312" w:cs="仿宋_GB2312"/>
          <w:sz w:val="32"/>
          <w:szCs w:val="32"/>
          <w:lang w:eastAsia="zh-Hans"/>
        </w:rPr>
        <w:t>报价作为评判依据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lang w:eastAsia="zh-CN"/>
        </w:rPr>
        <w:t>系统上的</w:t>
      </w:r>
      <w:r>
        <w:rPr>
          <w:rFonts w:hint="eastAsia" w:ascii="仿宋_GB2312" w:hAnsi="仿宋_GB2312" w:eastAsia="仿宋_GB2312" w:cs="仿宋_GB2312"/>
          <w:sz w:val="32"/>
          <w:szCs w:val="32"/>
          <w:lang w:val="en-US" w:eastAsia="zh-CN"/>
        </w:rPr>
        <w:t>每一轮</w:t>
      </w:r>
      <w:r>
        <w:rPr>
          <w:rFonts w:hint="eastAsia" w:ascii="仿宋_GB2312" w:hAnsi="仿宋_GB2312" w:eastAsia="仿宋_GB2312" w:cs="仿宋_GB2312"/>
          <w:sz w:val="32"/>
          <w:szCs w:val="32"/>
          <w:lang w:eastAsia="zh-CN"/>
        </w:rPr>
        <w:t>报价要小于等于响应文件报价函中的</w:t>
      </w:r>
      <w:r>
        <w:rPr>
          <w:rFonts w:hint="eastAsia" w:ascii="仿宋_GB2312" w:hAnsi="仿宋_GB2312" w:eastAsia="仿宋_GB2312" w:cs="仿宋_GB2312"/>
          <w:sz w:val="32"/>
          <w:szCs w:val="32"/>
          <w:lang w:val="en-US" w:eastAsia="zh-CN"/>
        </w:rPr>
        <w:t>金额,否则视为无效报价</w:t>
      </w:r>
      <w:r>
        <w:rPr>
          <w:rFonts w:hint="eastAsia" w:ascii="仿宋_GB2312" w:hAnsi="仿宋_GB2312" w:eastAsia="仿宋_GB2312" w:cs="仿宋_GB2312"/>
          <w:sz w:val="32"/>
          <w:szCs w:val="32"/>
        </w:rPr>
        <w:t>。</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供应商只能有一个有效报价，供应商只能以自己单位名义提交响应文件。</w:t>
      </w:r>
    </w:p>
    <w:p>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4. 供应商制作的响应文件电子文档，须按照要求制作，规定签字、盖章的地方必须按规定签字、盖章，上传的文件需字迹清晰，未按要求制作响应文件的作废标处理。</w:t>
      </w:r>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九、成交规则</w:t>
      </w:r>
    </w:p>
    <w:p>
      <w:pPr>
        <w:spacing w:line="360" w:lineRule="auto"/>
        <w:ind w:firstLine="640" w:firstLineChars="200"/>
        <w:rPr>
          <w:rFonts w:hint="default" w:ascii="仿宋_GB2312" w:hAnsi="仿宋_GB2312" w:eastAsia="仿宋_GB2312" w:cs="仿宋_GB2312"/>
          <w:b/>
          <w:bCs/>
          <w:i/>
          <w:iCs/>
          <w:color w:val="FF0000"/>
          <w:sz w:val="32"/>
          <w:szCs w:val="32"/>
          <w:u w:val="single"/>
          <w:lang w:val="en-US" w:eastAsia="zh-CN"/>
        </w:rPr>
      </w:pPr>
      <w:r>
        <w:rPr>
          <w:rFonts w:hint="eastAsia" w:ascii="仿宋_GB2312" w:hAnsi="仿宋_GB2312" w:eastAsia="仿宋_GB2312" w:cs="仿宋_GB2312"/>
          <w:sz w:val="32"/>
          <w:szCs w:val="32"/>
        </w:rPr>
        <w:t>采购人在符合审查的供应商中，手动确认报价最低的成为成交供应商。</w:t>
      </w:r>
      <w:r>
        <w:rPr>
          <w:rFonts w:hint="eastAsia" w:ascii="仿宋_GB2312" w:hAnsi="仿宋_GB2312" w:eastAsia="仿宋_GB2312" w:cs="仿宋_GB2312"/>
          <w:sz w:val="32"/>
          <w:szCs w:val="32"/>
          <w:lang w:val="en-US" w:eastAsia="zh-CN"/>
        </w:rPr>
        <w:t>最低报价相同出现并列时，以报价时间的先后顺序确定成交供应商。</w:t>
      </w:r>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十、付款方式</w:t>
      </w:r>
    </w:p>
    <w:p>
      <w:pPr>
        <w:snapToGrid w:val="0"/>
        <w:spacing w:line="360" w:lineRule="auto"/>
        <w:ind w:firstLine="420"/>
        <w:rPr>
          <w:rFonts w:hint="default" w:ascii="仿宋_GB2312" w:hAnsi="仿宋_GB2312" w:eastAsia="仿宋_GB2312" w:cs="仿宋_GB2312"/>
          <w:b w:val="0"/>
          <w:bCs w:val="0"/>
          <w:i w:val="0"/>
          <w:iCs w:val="0"/>
          <w:color w:val="auto"/>
          <w:sz w:val="32"/>
          <w:szCs w:val="32"/>
          <w:u w:val="none"/>
          <w:lang w:val="en-US" w:eastAsia="zh-CN"/>
        </w:rPr>
      </w:pPr>
      <w:r>
        <w:rPr>
          <w:rFonts w:hint="eastAsia" w:ascii="仿宋_GB2312" w:hAnsi="仿宋_GB2312" w:eastAsia="仿宋_GB2312" w:cs="仿宋_GB2312"/>
          <w:b w:val="0"/>
          <w:bCs w:val="0"/>
          <w:i w:val="0"/>
          <w:iCs w:val="0"/>
          <w:color w:val="auto"/>
          <w:sz w:val="32"/>
          <w:szCs w:val="32"/>
          <w:u w:val="none"/>
          <w:lang w:val="en-US" w:eastAsia="zh-CN"/>
        </w:rPr>
        <w:t>货物验收合格后一次性转账付款。</w:t>
      </w:r>
    </w:p>
    <w:p>
      <w:pPr>
        <w:pStyle w:val="5"/>
        <w:spacing w:before="0" w:after="0" w:line="360" w:lineRule="auto"/>
        <w:ind w:firstLine="643" w:firstLineChars="200"/>
        <w:rPr>
          <w:rFonts w:ascii="黑体" w:hAnsi="黑体" w:eastAsia="黑体" w:cs="黑体"/>
          <w:szCs w:val="32"/>
        </w:rPr>
      </w:pPr>
      <w:bookmarkStart w:id="19" w:name="_Toc9654"/>
      <w:bookmarkStart w:id="20" w:name="_Toc3475"/>
      <w:bookmarkStart w:id="21" w:name="_Toc27955"/>
      <w:bookmarkStart w:id="22" w:name="_Toc11828"/>
      <w:bookmarkStart w:id="23" w:name="_Toc25886"/>
      <w:bookmarkStart w:id="24" w:name="_Toc20778"/>
      <w:bookmarkStart w:id="25" w:name="_Toc5085"/>
      <w:bookmarkStart w:id="26" w:name="_Toc9027"/>
      <w:bookmarkStart w:id="27" w:name="_Toc13969"/>
      <w:bookmarkStart w:id="28" w:name="_Toc19730"/>
      <w:bookmarkStart w:id="29" w:name="_Toc31315"/>
      <w:bookmarkStart w:id="30" w:name="_Toc14778"/>
      <w:bookmarkStart w:id="31" w:name="_Toc25516"/>
      <w:bookmarkStart w:id="32" w:name="_Toc15478"/>
      <w:r>
        <w:rPr>
          <w:rFonts w:hint="eastAsia" w:ascii="黑体" w:hAnsi="黑体" w:eastAsia="黑体" w:cs="黑体"/>
          <w:szCs w:val="32"/>
        </w:rPr>
        <w:t>十一、联系方式</w:t>
      </w:r>
      <w:bookmarkEnd w:id="19"/>
      <w:bookmarkEnd w:id="20"/>
      <w:bookmarkEnd w:id="21"/>
      <w:bookmarkEnd w:id="22"/>
      <w:bookmarkEnd w:id="23"/>
      <w:bookmarkEnd w:id="24"/>
      <w:bookmarkEnd w:id="25"/>
    </w:p>
    <w:p>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val="en-US" w:eastAsia="zh-CN"/>
        </w:rPr>
        <w:t>重庆市合川区市政设施事务中心</w:t>
      </w:r>
    </w:p>
    <w:p>
      <w:pPr>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黄老师</w:t>
      </w:r>
    </w:p>
    <w:p>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42860708</w:t>
      </w:r>
    </w:p>
    <w:p>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重庆市合川区沙北路94号</w:t>
      </w:r>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十二、</w:t>
      </w:r>
      <w:bookmarkEnd w:id="26"/>
      <w:bookmarkEnd w:id="27"/>
      <w:bookmarkEnd w:id="28"/>
      <w:bookmarkEnd w:id="29"/>
      <w:bookmarkEnd w:id="30"/>
      <w:bookmarkEnd w:id="31"/>
      <w:bookmarkEnd w:id="32"/>
      <w:r>
        <w:rPr>
          <w:rFonts w:hint="eastAsia" w:ascii="黑体" w:hAnsi="黑体" w:eastAsia="黑体" w:cs="黑体"/>
          <w:szCs w:val="32"/>
        </w:rPr>
        <w:t>其它有关规定</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凡有意参加此项目的供应商，请于公告发布之日起至报价截止时间之前，在重庆市政府采购云平台网上竞采下载查看本项目竞采文件，无论供应商下载查看与否，均视为已知晓所有实质性要求内容。</w:t>
      </w:r>
    </w:p>
    <w:p>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000000"/>
          <w:sz w:val="32"/>
          <w:szCs w:val="32"/>
        </w:rPr>
        <w:t>供应商应于报价开始前</w:t>
      </w:r>
      <w:r>
        <w:rPr>
          <w:rFonts w:hint="eastAsia" w:ascii="仿宋_GB2312" w:hAnsi="仿宋_GB2312" w:eastAsia="仿宋_GB2312" w:cs="仿宋_GB2312"/>
          <w:color w:val="000000"/>
          <w:sz w:val="32"/>
          <w:szCs w:val="32"/>
        </w:rPr>
        <w:t>完成政府采购网账号注册、政采云账号关联等操作</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提前学习网上竞采操作手册并检查账号是否可用</w:t>
      </w:r>
      <w:r>
        <w:rPr>
          <w:rFonts w:ascii="仿宋_GB2312" w:hAnsi="仿宋_GB2312" w:eastAsia="仿宋_GB2312" w:cs="仿宋_GB2312"/>
          <w:color w:val="000000"/>
          <w:sz w:val="32"/>
          <w:szCs w:val="32"/>
        </w:rPr>
        <w:t>，</w:t>
      </w:r>
      <w:r>
        <w:rPr>
          <w:rFonts w:hint="eastAsia" w:ascii="仿宋_GB2312" w:hAnsi="仿宋_GB2312" w:eastAsia="仿宋_GB2312" w:cs="仿宋_GB2312"/>
          <w:sz w:val="32"/>
          <w:szCs w:val="32"/>
        </w:rPr>
        <w:t>遇到操作问题请及时咨询手册中的客服电话，如因账号注册关联、操作不熟练等原因导致供应商未成功报价，责任由供应商自行承担。</w:t>
      </w:r>
    </w:p>
    <w:p>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《网上竞采自行采购操作手册（供应商）》、《单点登录账号绑定操作手册》详见</w:t>
      </w:r>
      <w:r>
        <w:fldChar w:fldCharType="begin"/>
      </w:r>
      <w:r>
        <w:instrText xml:space="preserve"> HYPERLINK "https://xj.ccgp-chongqing.gov.cn/ge/content/yptczzn/list" </w:instrText>
      </w:r>
      <w:r>
        <w:fldChar w:fldCharType="separate"/>
      </w:r>
      <w:r>
        <w:rPr>
          <w:rStyle w:val="65"/>
          <w:rFonts w:hint="eastAsia" w:ascii="仿宋_GB2312" w:hAnsi="仿宋_GB2312" w:eastAsia="仿宋_GB2312" w:cs="仿宋_GB2312"/>
          <w:sz w:val="32"/>
          <w:szCs w:val="32"/>
        </w:rPr>
        <w:t>https://xj.ccgp-chongqing.gov.cn/ge/content/yptczzn/list</w:t>
      </w:r>
      <w:r>
        <w:rPr>
          <w:rStyle w:val="65"/>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pPr>
        <w:spacing w:line="360" w:lineRule="auto"/>
        <w:ind w:firstLine="640" w:firstLineChars="200"/>
        <w:rPr>
          <w:rFonts w:hint="eastAsia" w:ascii="方正小标宋_GBK" w:eastAsia="方正小标宋_GBK"/>
          <w:sz w:val="44"/>
          <w:szCs w:val="44"/>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其他未尽事宜由双方在采购合同中详细约定。</w:t>
      </w:r>
    </w:p>
    <w:p>
      <w:pPr>
        <w:pStyle w:val="68"/>
        <w:rPr>
          <w:rFonts w:hint="eastAsia"/>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pPr>
      <w:r>
        <w:rPr>
          <w:rFonts w:hint="eastAsia" w:ascii="方正小标宋_GBK" w:eastAsia="方正小标宋_GBK"/>
          <w:sz w:val="44"/>
          <w:szCs w:val="44"/>
        </w:rPr>
        <w:t>供应商编制响应文件要求</w:t>
      </w:r>
    </w:p>
    <w:p>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pPr>
        <w:snapToGrid w:val="0"/>
        <w:ind w:firstLine="420"/>
        <w:rPr>
          <w:rFonts w:hint="default" w:ascii="宋体" w:hAnsi="宋体" w:eastAsia="仿宋_GB2312" w:cs="宋体"/>
          <w:color w:val="FF0000"/>
          <w:sz w:val="24"/>
          <w:szCs w:val="24"/>
          <w:lang w:val="en-US" w:eastAsia="zh-CN"/>
        </w:rPr>
      </w:pPr>
      <w:r>
        <w:rPr>
          <w:rFonts w:hint="eastAsia" w:ascii="仿宋_GB2312" w:hAnsi="仿宋_GB2312" w:eastAsia="仿宋_GB2312" w:cs="仿宋_GB2312"/>
          <w:sz w:val="32"/>
          <w:szCs w:val="32"/>
        </w:rPr>
        <w:t>（一）报价函</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必要）</w:t>
      </w:r>
    </w:p>
    <w:p>
      <w:pPr>
        <w:pStyle w:val="5"/>
        <w:spacing w:before="0" w:after="0" w:line="240" w:lineRule="auto"/>
        <w:jc w:val="center"/>
        <w:rPr>
          <w:rFonts w:ascii="黑体" w:hAnsi="黑体" w:eastAsia="黑体" w:cs="黑体"/>
          <w:szCs w:val="32"/>
        </w:rPr>
      </w:pPr>
      <w:r>
        <w:rPr>
          <w:rFonts w:hint="eastAsia" w:ascii="黑体" w:hAnsi="黑体" w:eastAsia="黑体" w:cs="黑体"/>
          <w:szCs w:val="32"/>
        </w:rPr>
        <w:t>报 价 函</w:t>
      </w:r>
    </w:p>
    <w:p/>
    <w:p/>
    <w:p>
      <w:pPr>
        <w:spacing w:line="360" w:lineRule="auto"/>
        <w:rPr>
          <w:rStyle w:val="65"/>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65"/>
          <w:rFonts w:hint="eastAsia" w:ascii="仿宋_GB2312" w:hAnsi="仿宋_GB2312" w:eastAsia="仿宋_GB2312" w:cs="仿宋_GB2312"/>
          <w:color w:val="auto"/>
          <w:sz w:val="32"/>
          <w:szCs w:val="32"/>
        </w:rPr>
        <w:t>（采购单位名称）：</w:t>
      </w:r>
    </w:p>
    <w:p>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我方收到</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（项目名称）的竞采文件，经详细研究，决定参加该项目。</w:t>
      </w:r>
    </w:p>
    <w:p>
      <w:pPr>
        <w:spacing w:line="360" w:lineRule="auto"/>
        <w:ind w:firstLine="640" w:firstLineChars="200"/>
        <w:rPr>
          <w:rStyle w:val="65"/>
          <w:rFonts w:ascii="仿宋_GB2312" w:hAnsi="仿宋_GB2312" w:eastAsia="仿宋_GB2312" w:cs="仿宋_GB2312"/>
          <w:sz w:val="32"/>
          <w:szCs w:val="32"/>
        </w:rPr>
      </w:pPr>
      <w:r>
        <w:rPr>
          <w:rStyle w:val="65"/>
          <w:rFonts w:ascii="仿宋_GB2312" w:hAnsi="仿宋_GB2312" w:eastAsia="仿宋_GB2312" w:cs="仿宋_GB2312"/>
          <w:sz w:val="32"/>
          <w:szCs w:val="32"/>
        </w:rPr>
        <w:t>1</w:t>
      </w:r>
      <w:r>
        <w:rPr>
          <w:rStyle w:val="65"/>
          <w:rFonts w:hint="eastAsia" w:ascii="仿宋_GB2312" w:hAnsi="仿宋_GB2312" w:eastAsia="仿宋_GB2312" w:cs="仿宋_GB2312"/>
          <w:sz w:val="32"/>
          <w:szCs w:val="32"/>
          <w:lang w:eastAsia="zh-Hans"/>
        </w:rPr>
        <w:t>.</w:t>
      </w:r>
      <w:r>
        <w:rPr>
          <w:rStyle w:val="65"/>
          <w:rFonts w:hint="eastAsia" w:ascii="仿宋_GB2312" w:hAnsi="仿宋_GB2312" w:eastAsia="仿宋_GB2312" w:cs="仿宋_GB2312"/>
          <w:sz w:val="32"/>
          <w:szCs w:val="32"/>
        </w:rPr>
        <w:t>愿意按照竞采文件中的一切要求，提供本项目的商品、及服务，报价为人民币大写：</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元整；人民币小写</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元。</w:t>
      </w:r>
    </w:p>
    <w:p>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2</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我方现提交的响应文件为：</w:t>
      </w:r>
      <w:r>
        <w:rPr>
          <w:rStyle w:val="65"/>
          <w:rFonts w:hint="eastAsia" w:ascii="仿宋_GB2312" w:hAnsi="仿宋_GB2312" w:eastAsia="仿宋_GB2312" w:cs="仿宋_GB2312"/>
          <w:color w:val="FF0000"/>
          <w:sz w:val="32"/>
          <w:szCs w:val="32"/>
        </w:rPr>
        <w:t>响应文件正本壹份</w:t>
      </w:r>
      <w:r>
        <w:rPr>
          <w:rStyle w:val="65"/>
          <w:rFonts w:hint="eastAsia" w:ascii="仿宋_GB2312" w:hAnsi="仿宋_GB2312" w:eastAsia="仿宋_GB2312" w:cs="仿宋_GB2312"/>
          <w:sz w:val="32"/>
          <w:szCs w:val="32"/>
        </w:rPr>
        <w:t>。</w:t>
      </w:r>
    </w:p>
    <w:p>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3</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我方承诺：本次报价的有效期为</w:t>
      </w:r>
      <w:r>
        <w:rPr>
          <w:rStyle w:val="65"/>
          <w:rFonts w:hint="eastAsia" w:ascii="仿宋_GB2312" w:hAnsi="仿宋_GB2312" w:eastAsia="仿宋_GB2312" w:cs="仿宋_GB2312"/>
          <w:color w:val="FF0000"/>
          <w:sz w:val="32"/>
          <w:szCs w:val="32"/>
        </w:rPr>
        <w:t>90</w:t>
      </w:r>
      <w:r>
        <w:rPr>
          <w:rStyle w:val="65"/>
          <w:rFonts w:hint="eastAsia" w:ascii="仿宋_GB2312" w:hAnsi="仿宋_GB2312" w:eastAsia="仿宋_GB2312" w:cs="仿宋_GB2312"/>
          <w:sz w:val="32"/>
          <w:szCs w:val="32"/>
        </w:rPr>
        <w:t>天。</w:t>
      </w:r>
      <w:r>
        <w:rPr>
          <w:rFonts w:hint="eastAsia" w:ascii="仿宋_GB2312" w:hAnsi="仿宋_GB2312" w:eastAsia="仿宋_GB2312" w:cs="仿宋_GB2312"/>
          <w:b/>
          <w:bCs/>
          <w:i/>
          <w:iCs/>
          <w:color w:val="FF0000"/>
          <w:sz w:val="32"/>
          <w:szCs w:val="32"/>
          <w:u w:val="single"/>
        </w:rPr>
        <w:t>（请采购人自行完善）</w:t>
      </w:r>
    </w:p>
    <w:p>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4</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我方完全理解和接受竞采文件的一切规定、要求和评审办法。</w:t>
      </w:r>
    </w:p>
    <w:p>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5</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在整个采购过程中，我方若有违规行为，愿意接受重庆市政府采购云平台相关管理方的</w:t>
      </w:r>
      <w:r>
        <w:rPr>
          <w:rStyle w:val="65"/>
          <w:rFonts w:hint="eastAsia" w:ascii="仿宋_GB2312" w:hAnsi="仿宋_GB2312" w:eastAsia="仿宋_GB2312" w:cs="仿宋_GB2312"/>
          <w:sz w:val="32"/>
          <w:szCs w:val="32"/>
          <w:lang w:eastAsia="zh-Hans"/>
        </w:rPr>
        <w:t>处</w:t>
      </w:r>
      <w:r>
        <w:rPr>
          <w:rStyle w:val="65"/>
          <w:rFonts w:hint="eastAsia" w:ascii="仿宋_GB2312" w:hAnsi="仿宋_GB2312" w:eastAsia="仿宋_GB2312" w:cs="仿宋_GB2312"/>
          <w:sz w:val="32"/>
          <w:szCs w:val="32"/>
        </w:rPr>
        <w:t>罚。</w:t>
      </w:r>
    </w:p>
    <w:p>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6</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7</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我方理解，最低报价不是成交的唯一条件。</w:t>
      </w:r>
    </w:p>
    <w:p>
      <w:pPr>
        <w:pStyle w:val="68"/>
        <w:spacing w:line="360" w:lineRule="auto"/>
      </w:pPr>
    </w:p>
    <w:p>
      <w:pPr>
        <w:ind w:firstLine="640" w:firstLineChars="200"/>
        <w:jc w:val="right"/>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供应商名称（公章）：</w:t>
      </w:r>
    </w:p>
    <w:p>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Style w:val="65"/>
          <w:rFonts w:ascii="仿宋_GB2312" w:hAnsi="仿宋_GB2312" w:eastAsia="仿宋_GB2312" w:cs="仿宋_GB2312"/>
          <w:sz w:val="32"/>
          <w:szCs w:val="32"/>
        </w:rPr>
        <w:t xml:space="preserve">                                  </w:t>
      </w:r>
      <w:r>
        <w:rPr>
          <w:rStyle w:val="65"/>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pPr>
        <w:snapToGrid w:val="0"/>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（二）明细报价表</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必要）</w:t>
      </w:r>
      <w:r>
        <w:rPr>
          <w:rFonts w:hint="eastAsia" w:ascii="仿宋_GB2312" w:hAnsi="仿宋_GB2312" w:eastAsia="仿宋_GB2312" w:cs="仿宋_GB2312"/>
          <w:sz w:val="32"/>
          <w:szCs w:val="32"/>
        </w:rPr>
        <w:t xml:space="preserve">  </w:t>
      </w:r>
      <w:r>
        <w:rPr>
          <w:rFonts w:hint="eastAsia" w:ascii="方正仿宋_GBK" w:hAnsi="宋体" w:eastAsia="方正仿宋_GBK" w:cs="方正仿宋_GBK"/>
          <w:sz w:val="24"/>
          <w:szCs w:val="24"/>
        </w:rPr>
        <w:t xml:space="preserve">     </w:t>
      </w:r>
    </w:p>
    <w:p>
      <w:pPr>
        <w:pStyle w:val="5"/>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pStyle w:val="5"/>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r>
        <w:rPr>
          <w:rFonts w:hint="eastAsia" w:ascii="仿宋_GB2312" w:hAnsi="仿宋_GB2312" w:eastAsia="仿宋_GB2312" w:cs="仿宋_GB2312"/>
          <w:i/>
          <w:iCs/>
          <w:color w:val="FF0000"/>
          <w:szCs w:val="32"/>
          <w:u w:val="single"/>
        </w:rPr>
        <w:t xml:space="preserve">（请采购人自行修改本表） </w:t>
      </w:r>
    </w:p>
    <w:p>
      <w:pPr>
        <w:pStyle w:val="5"/>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58"/>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产品名称</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单位</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品牌及产地</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制造商名称</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规格型号</w:t>
            </w:r>
          </w:p>
        </w:tc>
        <w:tc>
          <w:tcPr>
            <w:tcW w:w="992" w:type="dxa"/>
            <w:tcBorders>
              <w:top w:val="single" w:color="auto" w:sz="4" w:space="0"/>
              <w:left w:val="nil"/>
              <w:bottom w:val="single" w:color="auto" w:sz="4" w:space="0"/>
              <w:right w:val="single" w:color="auto" w:sz="4" w:space="0"/>
            </w:tcBorders>
            <w:noWrap w:val="0"/>
            <w:vAlign w:val="center"/>
          </w:tcPr>
          <w:p>
            <w:pPr>
              <w:pStyle w:val="32"/>
              <w:widowControl/>
              <w:jc w:val="center"/>
              <w:rPr>
                <w:rFonts w:ascii="方正仿宋_GBK" w:hAnsi="宋体" w:eastAsia="方正仿宋_GBK" w:cs="宋体"/>
                <w:b/>
                <w:bCs/>
                <w:kern w:val="0"/>
                <w:szCs w:val="28"/>
                <w:lang w:val="en-US" w:eastAsia="zh-CN"/>
              </w:rPr>
            </w:pPr>
            <w:r>
              <w:rPr>
                <w:rFonts w:hint="eastAsia" w:ascii="方正仿宋_GBK" w:hAnsi="宋体" w:eastAsia="方正仿宋_GBK" w:cs="宋体"/>
                <w:b/>
                <w:bCs/>
                <w:kern w:val="0"/>
                <w:szCs w:val="28"/>
                <w:lang w:val="en-US" w:eastAsia="zh-CN"/>
              </w:rPr>
              <w:t>单价</w:t>
            </w:r>
          </w:p>
          <w:p>
            <w:pPr>
              <w:pStyle w:val="32"/>
              <w:widowControl/>
              <w:jc w:val="center"/>
              <w:rPr>
                <w:rFonts w:ascii="仿宋_GB2312" w:hAnsi="仿宋_GB2312" w:eastAsia="仿宋_GB2312" w:cs="仿宋_GB2312"/>
                <w:b/>
                <w:bCs/>
                <w:kern w:val="0"/>
                <w:szCs w:val="28"/>
                <w:lang w:val="en-US" w:eastAsia="zh-CN"/>
              </w:rPr>
            </w:pPr>
            <w:r>
              <w:rPr>
                <w:rFonts w:hint="eastAsia" w:ascii="方正仿宋_GBK" w:hAnsi="宋体" w:eastAsia="方正仿宋_GBK" w:cs="宋体"/>
                <w:b/>
                <w:bCs/>
                <w:kern w:val="0"/>
                <w:szCs w:val="28"/>
                <w:lang w:val="en-US" w:eastAsia="zh-CN"/>
              </w:rPr>
              <w:t>（元）</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合计</w:t>
            </w:r>
          </w:p>
          <w:p>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noWrap w:val="0"/>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noWrap w:val="0"/>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合计（元）</w:t>
            </w:r>
          </w:p>
        </w:tc>
        <w:tc>
          <w:tcPr>
            <w:tcW w:w="992" w:type="dxa"/>
            <w:tcBorders>
              <w:top w:val="single" w:color="auto" w:sz="4" w:space="0"/>
              <w:left w:val="nil"/>
              <w:bottom w:val="single" w:color="auto" w:sz="4" w:space="0"/>
              <w:right w:val="single" w:color="auto" w:sz="4" w:space="0"/>
            </w:tcBorders>
            <w:noWrap w:val="0"/>
            <w:vAlign w:val="top"/>
          </w:tcPr>
          <w:p>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p>
        </w:tc>
      </w:tr>
    </w:tbl>
    <w:p>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pStyle w:val="253"/>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pPr>
        <w:pStyle w:val="5"/>
        <w:spacing w:line="360" w:lineRule="auto"/>
        <w:rPr>
          <w:rFonts w:ascii="方正仿宋_GBK" w:hAnsi="方正仿宋_GBK" w:eastAsia="方正仿宋_GBK" w:cs="Arial"/>
        </w:rPr>
      </w:pPr>
      <w:r>
        <w:br w:type="page"/>
      </w:r>
    </w:p>
    <w:p>
      <w:pPr>
        <w:tabs>
          <w:tab w:val="left" w:pos="6300"/>
        </w:tabs>
        <w:snapToGrid w:val="0"/>
        <w:spacing w:line="360" w:lineRule="auto"/>
        <w:ind w:firstLine="643" w:firstLineChars="200"/>
        <w:jc w:val="left"/>
        <w:rPr>
          <w:rFonts w:hint="default" w:ascii="宋体" w:hAnsi="宋体" w:eastAsia="仿宋_GB2312" w:cs="宋体"/>
          <w:b/>
          <w:bCs/>
          <w:color w:val="FF0000"/>
          <w:sz w:val="24"/>
          <w:szCs w:val="24"/>
          <w:lang w:val="en-US" w:eastAsia="zh-CN"/>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必要）</w:t>
      </w:r>
    </w:p>
    <w:p>
      <w:pPr>
        <w:tabs>
          <w:tab w:val="left" w:pos="6300"/>
        </w:tabs>
        <w:snapToGrid w:val="0"/>
        <w:spacing w:line="360" w:lineRule="auto"/>
        <w:jc w:val="center"/>
        <w:rPr>
          <w:rFonts w:ascii="宋体" w:hAnsi="宋体" w:cs="宋体"/>
          <w:b/>
          <w:bCs/>
          <w:sz w:val="24"/>
          <w:szCs w:val="24"/>
        </w:rPr>
      </w:pP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68"/>
        <w:spacing w:line="360" w:lineRule="auto"/>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pPr>
        <w:pStyle w:val="5"/>
        <w:spacing w:line="360" w:lineRule="auto"/>
      </w:pPr>
    </w:p>
    <w:p>
      <w:pPr>
        <w:rPr>
          <w:rFonts w:ascii="宋体" w:hAnsi="宋体" w:cs="宋体"/>
          <w:sz w:val="24"/>
          <w:szCs w:val="24"/>
        </w:rPr>
      </w:pPr>
      <w:r>
        <w:rPr>
          <w:rFonts w:ascii="宋体" w:hAnsi="宋体" w:cs="宋体"/>
          <w:sz w:val="24"/>
          <w:szCs w:val="24"/>
        </w:rPr>
        <w:br w:type="page"/>
      </w:r>
    </w:p>
    <w:p>
      <w:pPr>
        <w:pStyle w:val="68"/>
      </w:pP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5"/>
        <w:spacing w:line="360" w:lineRule="auto"/>
      </w:pPr>
      <w:r>
        <w:br w:type="page"/>
      </w:r>
    </w:p>
    <w:p>
      <w:pPr>
        <w:tabs>
          <w:tab w:val="left" w:pos="6300"/>
        </w:tabs>
        <w:snapToGrid w:val="0"/>
        <w:spacing w:line="360" w:lineRule="auto"/>
        <w:ind w:firstLine="643" w:firstLineChars="200"/>
        <w:jc w:val="left"/>
        <w:rPr>
          <w:rFonts w:hint="default" w:ascii="宋体" w:hAnsi="宋体" w:eastAsia="仿宋_GB2312" w:cs="宋体"/>
          <w:b/>
          <w:bCs/>
          <w:color w:val="FF0000"/>
          <w:sz w:val="24"/>
          <w:szCs w:val="24"/>
          <w:lang w:val="en-US" w:eastAsia="zh-CN"/>
        </w:rPr>
      </w:pPr>
      <w:r>
        <w:rPr>
          <w:rFonts w:hint="eastAsia" w:ascii="黑体" w:hAnsi="黑体" w:eastAsia="黑体" w:cs="黑体"/>
          <w:b/>
          <w:sz w:val="32"/>
          <w:szCs w:val="32"/>
          <w:lang w:eastAsia="zh-Hans"/>
        </w:rPr>
        <w:t>三</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必要）</w:t>
      </w:r>
    </w:p>
    <w:p>
      <w:pPr>
        <w:tabs>
          <w:tab w:val="left" w:pos="6300"/>
        </w:tabs>
        <w:snapToGrid w:val="0"/>
        <w:spacing w:line="360" w:lineRule="auto"/>
        <w:ind w:firstLine="643" w:firstLineChars="200"/>
        <w:rPr>
          <w:rFonts w:ascii="黑体" w:hAnsi="黑体" w:eastAsia="黑体" w:cs="黑体"/>
          <w:b/>
          <w:sz w:val="32"/>
          <w:szCs w:val="32"/>
        </w:rPr>
      </w:pPr>
    </w:p>
    <w:p>
      <w:pPr>
        <w:pStyle w:val="68"/>
      </w:pPr>
    </w:p>
    <w:p>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68"/>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tabs>
          <w:tab w:val="left" w:pos="6300"/>
        </w:tabs>
        <w:snapToGrid w:val="0"/>
        <w:spacing w:line="360" w:lineRule="auto"/>
        <w:ind w:firstLine="643" w:firstLineChars="200"/>
        <w:jc w:val="left"/>
        <w:rPr>
          <w:rFonts w:hint="default" w:ascii="宋体" w:hAnsi="宋体" w:eastAsia="仿宋_GB2312" w:cs="宋体"/>
          <w:b/>
          <w:bCs/>
          <w:color w:val="FF0000"/>
          <w:sz w:val="24"/>
          <w:szCs w:val="24"/>
          <w:lang w:val="en-US" w:eastAsia="zh-CN"/>
        </w:rPr>
      </w:pPr>
      <w:r>
        <w:rPr>
          <w:rFonts w:hint="eastAsia" w:ascii="黑体" w:hAnsi="黑体" w:eastAsia="黑体" w:cs="黑体"/>
          <w:b/>
          <w:sz w:val="32"/>
          <w:szCs w:val="32"/>
          <w:lang w:val="en-US" w:eastAsia="zh-CN"/>
        </w:rPr>
        <w:t>四、营业执照、基本存款账户证明</w:t>
      </w:r>
      <w:r>
        <w:rPr>
          <w:rFonts w:hint="eastAsia" w:ascii="黑体" w:hAnsi="黑体" w:eastAsia="黑体" w:cs="黑体"/>
          <w:b/>
          <w:sz w:val="32"/>
          <w:szCs w:val="32"/>
          <w:lang w:eastAsia="zh-Hans"/>
        </w:rPr>
        <w:t>。</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必要）</w:t>
      </w:r>
    </w:p>
    <w:p>
      <w:pPr>
        <w:tabs>
          <w:tab w:val="left" w:pos="6300"/>
        </w:tabs>
        <w:snapToGrid w:val="0"/>
        <w:spacing w:line="360" w:lineRule="auto"/>
        <w:ind w:firstLine="643" w:firstLineChars="200"/>
        <w:rPr>
          <w:rFonts w:hint="eastAsia" w:ascii="黑体" w:hAnsi="黑体" w:eastAsia="黑体" w:cs="黑体"/>
          <w:b/>
          <w:sz w:val="32"/>
          <w:szCs w:val="32"/>
          <w:lang w:eastAsia="zh-Hans"/>
        </w:rPr>
      </w:pPr>
    </w:p>
    <w:p>
      <w:pPr>
        <w:tabs>
          <w:tab w:val="left" w:pos="6300"/>
        </w:tabs>
        <w:snapToGrid w:val="0"/>
        <w:spacing w:line="360" w:lineRule="auto"/>
        <w:ind w:right="480" w:firstLine="570"/>
        <w:jc w:val="right"/>
        <w:rPr>
          <w:rFonts w:ascii="宋体" w:hAnsi="宋体" w:cs="宋体"/>
          <w:sz w:val="24"/>
          <w:szCs w:val="24"/>
        </w:rPr>
      </w:pPr>
    </w:p>
    <w:p>
      <w:pPr>
        <w:pStyle w:val="5"/>
        <w:spacing w:line="360" w:lineRule="auto"/>
      </w:pPr>
    </w:p>
    <w:p>
      <w:pPr>
        <w:spacing w:line="360" w:lineRule="auto"/>
      </w:pPr>
    </w:p>
    <w:p>
      <w:pPr>
        <w:pStyle w:val="5"/>
        <w:spacing w:line="360" w:lineRule="auto"/>
      </w:pPr>
    </w:p>
    <w:p>
      <w:pPr>
        <w:spacing w:line="360" w:lineRule="auto"/>
      </w:pPr>
    </w:p>
    <w:p>
      <w:pPr>
        <w:pStyle w:val="5"/>
        <w:spacing w:line="360" w:lineRule="auto"/>
      </w:pPr>
    </w:p>
    <w:p>
      <w:pPr>
        <w:spacing w:line="360" w:lineRule="auto"/>
      </w:pPr>
    </w:p>
    <w:p>
      <w:pPr>
        <w:pStyle w:val="5"/>
        <w:spacing w:line="360" w:lineRule="auto"/>
      </w:pPr>
    </w:p>
    <w:p>
      <w:pPr>
        <w:spacing w:line="360" w:lineRule="auto"/>
      </w:pPr>
    </w:p>
    <w:p>
      <w:pPr>
        <w:pStyle w:val="5"/>
        <w:spacing w:line="360" w:lineRule="auto"/>
      </w:pPr>
    </w:p>
    <w:p>
      <w:pPr>
        <w:spacing w:line="360" w:lineRule="auto"/>
      </w:pPr>
    </w:p>
    <w:p>
      <w:pPr>
        <w:pStyle w:val="5"/>
        <w:spacing w:line="360" w:lineRule="auto"/>
      </w:pPr>
    </w:p>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ind w:firstLine="643" w:firstLineChars="200"/>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五、国家权威检测机构产品抽检测合格报告或正规渠道进货发票或清单证明</w:t>
      </w:r>
      <w:r>
        <w:rPr>
          <w:rFonts w:hint="eastAsia" w:ascii="仿宋_GB2312" w:hAnsi="仿宋_GB2312" w:eastAsia="仿宋_GB2312" w:cs="仿宋_GB2312"/>
          <w:color w:val="auto"/>
          <w:sz w:val="32"/>
          <w:szCs w:val="32"/>
          <w:lang w:val="en-US" w:eastAsia="zh-CN"/>
        </w:rPr>
        <w:t>（如为生产厂家可不需要此项）</w:t>
      </w:r>
      <w:r>
        <w:rPr>
          <w:rFonts w:hint="eastAsia" w:ascii="黑体" w:hAnsi="黑体" w:eastAsia="黑体" w:cs="黑体"/>
          <w:b/>
          <w:color w:val="FF0000"/>
          <w:sz w:val="32"/>
          <w:szCs w:val="32"/>
          <w:lang w:val="en-US" w:eastAsia="zh-CN"/>
        </w:rPr>
        <w:t>（必须提供其一）</w:t>
      </w:r>
      <w:r>
        <w:rPr>
          <w:rFonts w:hint="eastAsia" w:ascii="黑体" w:hAnsi="黑体" w:eastAsia="黑体" w:cs="黑体"/>
          <w:b/>
          <w:sz w:val="32"/>
          <w:szCs w:val="32"/>
          <w:lang w:val="en-US" w:eastAsia="zh-CN"/>
        </w:rPr>
        <w:t>。</w:t>
      </w:r>
    </w:p>
    <w:p>
      <w:pPr>
        <w:pStyle w:val="5"/>
        <w:spacing w:line="360" w:lineRule="auto"/>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pStyle w:val="68"/>
      </w:pPr>
    </w:p>
    <w:p>
      <w:pPr>
        <w:spacing w:line="360" w:lineRule="auto"/>
      </w:pPr>
    </w:p>
    <w:p>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rPr>
          <w:rFonts w:ascii="仿宋_GB2312" w:hAnsi="仿宋_GB2312" w:eastAsia="仿宋_GB2312" w:cs="仿宋_GB2312"/>
          <w:sz w:val="32"/>
          <w:szCs w:val="32"/>
        </w:rPr>
      </w:pPr>
    </w:p>
    <w:p>
      <w:pPr>
        <w:tabs>
          <w:tab w:val="left" w:pos="6300"/>
        </w:tabs>
        <w:snapToGrid w:val="0"/>
        <w:spacing w:line="360" w:lineRule="auto"/>
        <w:ind w:right="480"/>
        <w:jc w:val="center"/>
        <w:rPr>
          <w:rFonts w:ascii="宋体" w:hAnsi="宋体" w:cs="宋体"/>
          <w:sz w:val="24"/>
          <w:szCs w:val="24"/>
        </w:rPr>
      </w:pPr>
      <w:r>
        <w:rPr>
          <w:rFonts w:hint="eastAsia" w:ascii="仿宋_GB2312" w:hAnsi="仿宋_GB2312" w:eastAsia="仿宋_GB2312" w:cs="仿宋_GB2312"/>
          <w:sz w:val="32"/>
          <w:szCs w:val="32"/>
        </w:rPr>
        <w:t>（结束）</w:t>
      </w:r>
    </w:p>
    <w:sectPr>
      <w:footerReference r:id="rId5"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20B0604020202020204"/>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4020202020204"/>
    <w:charset w:val="86"/>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FZ/uRI1AgAAYQQAAA4AAAAAAAAAAQAgAAAAIAEAAGRycy9lMm9Eb2MueG1s&#10;UEsFBgAAAAAGAAYAWQEAAMcFA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3603A"/>
    <w:multiLevelType w:val="singleLevel"/>
    <w:tmpl w:val="87B3603A"/>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
  </w:num>
  <w:num w:numId="3">
    <w:abstractNumId w:val="10"/>
  </w:num>
  <w:num w:numId="4">
    <w:abstractNumId w:val="6"/>
  </w:num>
  <w:num w:numId="5">
    <w:abstractNumId w:val="2"/>
  </w:num>
  <w:num w:numId="6">
    <w:abstractNumId w:val="9"/>
  </w:num>
  <w:num w:numId="7">
    <w:abstractNumId w:val="11"/>
  </w:num>
  <w:num w:numId="8">
    <w:abstractNumId w:val="3"/>
  </w:num>
  <w:num w:numId="9">
    <w:abstractNumId w:val="7"/>
  </w:num>
  <w:num w:numId="10">
    <w:abstractNumId w:val="12"/>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YTE0MmNhYThhZWNiN2E4NTYxYzkxYWFiMjAwM2YifQ=="/>
  </w:docVars>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E68AE"/>
    <w:rsid w:val="002F2847"/>
    <w:rsid w:val="002F5C86"/>
    <w:rsid w:val="00313FC6"/>
    <w:rsid w:val="00314FE1"/>
    <w:rsid w:val="00316DF3"/>
    <w:rsid w:val="00330491"/>
    <w:rsid w:val="003332D6"/>
    <w:rsid w:val="00333713"/>
    <w:rsid w:val="0033562A"/>
    <w:rsid w:val="003453EB"/>
    <w:rsid w:val="00354476"/>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047B"/>
    <w:rsid w:val="004C55B8"/>
    <w:rsid w:val="004D15E1"/>
    <w:rsid w:val="004D4610"/>
    <w:rsid w:val="00507899"/>
    <w:rsid w:val="005106F8"/>
    <w:rsid w:val="00521F48"/>
    <w:rsid w:val="00525466"/>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B79B8"/>
    <w:rsid w:val="007D57AF"/>
    <w:rsid w:val="007E13BD"/>
    <w:rsid w:val="007E1D36"/>
    <w:rsid w:val="007F2A53"/>
    <w:rsid w:val="00854CC0"/>
    <w:rsid w:val="00854ED3"/>
    <w:rsid w:val="00862785"/>
    <w:rsid w:val="00872901"/>
    <w:rsid w:val="008825DA"/>
    <w:rsid w:val="008937A6"/>
    <w:rsid w:val="00894E75"/>
    <w:rsid w:val="00897072"/>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4683"/>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4305"/>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266A"/>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92A7A"/>
    <w:rsid w:val="00EB6C11"/>
    <w:rsid w:val="00ED535E"/>
    <w:rsid w:val="00ED6923"/>
    <w:rsid w:val="00F10101"/>
    <w:rsid w:val="00F62179"/>
    <w:rsid w:val="00F91500"/>
    <w:rsid w:val="00FC7767"/>
    <w:rsid w:val="00FD14FB"/>
    <w:rsid w:val="00FD2836"/>
    <w:rsid w:val="00FF7DDB"/>
    <w:rsid w:val="00FF7FDC"/>
    <w:rsid w:val="01341610"/>
    <w:rsid w:val="04066FA8"/>
    <w:rsid w:val="04370C62"/>
    <w:rsid w:val="07610150"/>
    <w:rsid w:val="07CB16A1"/>
    <w:rsid w:val="08AD39CC"/>
    <w:rsid w:val="08ED3546"/>
    <w:rsid w:val="0AC15133"/>
    <w:rsid w:val="0BAA1613"/>
    <w:rsid w:val="0CFF215F"/>
    <w:rsid w:val="0D50007C"/>
    <w:rsid w:val="0D7E6450"/>
    <w:rsid w:val="0EFE3F6B"/>
    <w:rsid w:val="101E0686"/>
    <w:rsid w:val="118108DF"/>
    <w:rsid w:val="12786154"/>
    <w:rsid w:val="13024E81"/>
    <w:rsid w:val="13AE7D5A"/>
    <w:rsid w:val="141B0041"/>
    <w:rsid w:val="14DE79ED"/>
    <w:rsid w:val="176B2C78"/>
    <w:rsid w:val="18D72D4C"/>
    <w:rsid w:val="18DD095C"/>
    <w:rsid w:val="198E4EFC"/>
    <w:rsid w:val="1B4F7C88"/>
    <w:rsid w:val="1C0E01AF"/>
    <w:rsid w:val="1F2D6F61"/>
    <w:rsid w:val="1FCE3DC4"/>
    <w:rsid w:val="21246E87"/>
    <w:rsid w:val="24127095"/>
    <w:rsid w:val="243335F1"/>
    <w:rsid w:val="24341072"/>
    <w:rsid w:val="263F135E"/>
    <w:rsid w:val="27A12394"/>
    <w:rsid w:val="28AF7462"/>
    <w:rsid w:val="29DB09B9"/>
    <w:rsid w:val="2A9A00C1"/>
    <w:rsid w:val="2BB3023F"/>
    <w:rsid w:val="2D373745"/>
    <w:rsid w:val="2D8A23C4"/>
    <w:rsid w:val="2EA023E0"/>
    <w:rsid w:val="2FC254E7"/>
    <w:rsid w:val="303625DF"/>
    <w:rsid w:val="30CA6936"/>
    <w:rsid w:val="30E363AE"/>
    <w:rsid w:val="31D874D8"/>
    <w:rsid w:val="324F08FE"/>
    <w:rsid w:val="324F1398"/>
    <w:rsid w:val="34CC3626"/>
    <w:rsid w:val="350B68E2"/>
    <w:rsid w:val="375C7661"/>
    <w:rsid w:val="385F61F4"/>
    <w:rsid w:val="39D961DF"/>
    <w:rsid w:val="3B12644C"/>
    <w:rsid w:val="3B405B81"/>
    <w:rsid w:val="3BE72081"/>
    <w:rsid w:val="3C4839DA"/>
    <w:rsid w:val="3C7B6B05"/>
    <w:rsid w:val="3D1A7CCD"/>
    <w:rsid w:val="3D76443E"/>
    <w:rsid w:val="3E0E3A98"/>
    <w:rsid w:val="3ED1739E"/>
    <w:rsid w:val="3EDB7D99"/>
    <w:rsid w:val="3FCD46EF"/>
    <w:rsid w:val="411B1F4A"/>
    <w:rsid w:val="413E58EB"/>
    <w:rsid w:val="414B00CA"/>
    <w:rsid w:val="41B44B58"/>
    <w:rsid w:val="41DC3526"/>
    <w:rsid w:val="42EB057D"/>
    <w:rsid w:val="43260821"/>
    <w:rsid w:val="451F03F8"/>
    <w:rsid w:val="45FB04BF"/>
    <w:rsid w:val="4663778A"/>
    <w:rsid w:val="47D4626B"/>
    <w:rsid w:val="48AA5E76"/>
    <w:rsid w:val="48C66C00"/>
    <w:rsid w:val="4A7D39FB"/>
    <w:rsid w:val="4AB467A0"/>
    <w:rsid w:val="4B89359B"/>
    <w:rsid w:val="4BC9209C"/>
    <w:rsid w:val="4BE52F91"/>
    <w:rsid w:val="4CB52E10"/>
    <w:rsid w:val="4D8971C2"/>
    <w:rsid w:val="4DF844BD"/>
    <w:rsid w:val="4E99569F"/>
    <w:rsid w:val="4F927AE7"/>
    <w:rsid w:val="50811214"/>
    <w:rsid w:val="50F13DB0"/>
    <w:rsid w:val="525C48B7"/>
    <w:rsid w:val="539825A5"/>
    <w:rsid w:val="54AA5FF5"/>
    <w:rsid w:val="55FC7B08"/>
    <w:rsid w:val="56925E96"/>
    <w:rsid w:val="56C87715"/>
    <w:rsid w:val="5A401E1F"/>
    <w:rsid w:val="5A9515D1"/>
    <w:rsid w:val="5ABA5A03"/>
    <w:rsid w:val="5B8C0E98"/>
    <w:rsid w:val="5BFDB513"/>
    <w:rsid w:val="5CFC551B"/>
    <w:rsid w:val="5F6B7519"/>
    <w:rsid w:val="61932143"/>
    <w:rsid w:val="61C21F70"/>
    <w:rsid w:val="626671FB"/>
    <w:rsid w:val="632308B3"/>
    <w:rsid w:val="639635F7"/>
    <w:rsid w:val="64BB76D0"/>
    <w:rsid w:val="65526949"/>
    <w:rsid w:val="65F91B55"/>
    <w:rsid w:val="67B15328"/>
    <w:rsid w:val="68916794"/>
    <w:rsid w:val="69966B04"/>
    <w:rsid w:val="6A877ABB"/>
    <w:rsid w:val="6AAD1694"/>
    <w:rsid w:val="6DFA7DEC"/>
    <w:rsid w:val="6F5B2BA5"/>
    <w:rsid w:val="6F812B82"/>
    <w:rsid w:val="71287CA7"/>
    <w:rsid w:val="7183443D"/>
    <w:rsid w:val="73A73AB4"/>
    <w:rsid w:val="7510572D"/>
    <w:rsid w:val="751E519F"/>
    <w:rsid w:val="76DB3120"/>
    <w:rsid w:val="7726509A"/>
    <w:rsid w:val="783E31F8"/>
    <w:rsid w:val="78415C6A"/>
    <w:rsid w:val="7927265A"/>
    <w:rsid w:val="7B214D90"/>
    <w:rsid w:val="7B5909EE"/>
    <w:rsid w:val="7C7C0612"/>
    <w:rsid w:val="7DAB6BB7"/>
    <w:rsid w:val="7E54716E"/>
    <w:rsid w:val="7E8A2A32"/>
    <w:rsid w:val="7EA52354"/>
    <w:rsid w:val="7EF45957"/>
    <w:rsid w:val="7F385D1E"/>
    <w:rsid w:val="7F417FD4"/>
    <w:rsid w:val="7F733C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9"/>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70"/>
    <w:qFormat/>
    <w:uiPriority w:val="0"/>
    <w:pPr>
      <w:keepNext/>
      <w:keepLines/>
      <w:spacing w:before="260" w:after="260" w:line="413" w:lineRule="auto"/>
      <w:outlineLvl w:val="2"/>
    </w:pPr>
    <w:rPr>
      <w:rFonts w:ascii="Times New Roman" w:hAnsi="Times New Roman"/>
      <w:b/>
      <w:sz w:val="32"/>
      <w:szCs w:val="20"/>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rFonts w:ascii="Times New Roman" w:hAnsi="Times New Roman"/>
      <w:kern w:val="0"/>
      <w:sz w:val="24"/>
      <w:szCs w:val="20"/>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72"/>
    <w:qFormat/>
    <w:uiPriority w:val="0"/>
    <w:pPr>
      <w:spacing w:line="700" w:lineRule="exact"/>
      <w:ind w:left="960"/>
    </w:pPr>
    <w:rPr>
      <w:rFonts w:ascii="Times New Roman" w:hAnsi="Times New Roman"/>
      <w:sz w:val="44"/>
      <w:szCs w:val="20"/>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3"/>
    <w:qFormat/>
    <w:uiPriority w:val="99"/>
    <w:rPr>
      <w:rFonts w:ascii="宋体" w:hAnsi="Courier New"/>
      <w:szCs w:val="20"/>
    </w:rPr>
  </w:style>
  <w:style w:type="paragraph" w:styleId="31">
    <w:name w:val="toc 8"/>
    <w:basedOn w:val="1"/>
    <w:next w:val="1"/>
    <w:qFormat/>
    <w:uiPriority w:val="0"/>
    <w:pPr>
      <w:ind w:left="2940" w:leftChars="1400"/>
    </w:pPr>
  </w:style>
  <w:style w:type="paragraph" w:styleId="32">
    <w:name w:val="Date"/>
    <w:basedOn w:val="1"/>
    <w:next w:val="1"/>
    <w:link w:val="74"/>
    <w:qFormat/>
    <w:uiPriority w:val="99"/>
    <w:rPr>
      <w:rFonts w:ascii="Times New Roman" w:hAnsi="Times New Roman"/>
      <w:sz w:val="28"/>
      <w:szCs w:val="20"/>
    </w:rPr>
  </w:style>
  <w:style w:type="paragraph" w:styleId="33">
    <w:name w:val="Body Text Indent 2"/>
    <w:basedOn w:val="1"/>
    <w:link w:val="75"/>
    <w:qFormat/>
    <w:uiPriority w:val="0"/>
    <w:pPr>
      <w:snapToGrid w:val="0"/>
      <w:spacing w:line="560" w:lineRule="atLeast"/>
      <w:ind w:firstLine="540"/>
    </w:pPr>
    <w:rPr>
      <w:rFonts w:ascii="Times New Roman" w:hAnsi="Times New Roman"/>
      <w:sz w:val="28"/>
      <w:szCs w:val="20"/>
    </w:rPr>
  </w:style>
  <w:style w:type="paragraph" w:styleId="34">
    <w:name w:val="Balloon Text"/>
    <w:basedOn w:val="1"/>
    <w:qFormat/>
    <w:uiPriority w:val="0"/>
    <w:rPr>
      <w:sz w:val="18"/>
    </w:rPr>
  </w:style>
  <w:style w:type="paragraph" w:styleId="35">
    <w:name w:val="footer"/>
    <w:basedOn w:val="1"/>
    <w:link w:val="76"/>
    <w:qFormat/>
    <w:uiPriority w:val="99"/>
    <w:pPr>
      <w:tabs>
        <w:tab w:val="center" w:pos="4153"/>
        <w:tab w:val="right" w:pos="8306"/>
      </w:tabs>
      <w:snapToGrid w:val="0"/>
      <w:jc w:val="left"/>
    </w:pPr>
    <w:rPr>
      <w:rFonts w:ascii="Times New Roman" w:hAnsi="Times New Roman"/>
      <w:sz w:val="18"/>
      <w:szCs w:val="20"/>
    </w:rPr>
  </w:style>
  <w:style w:type="paragraph" w:styleId="36">
    <w:name w:val="header"/>
    <w:basedOn w:val="1"/>
    <w:link w:val="77"/>
    <w:qFormat/>
    <w:uiPriority w:val="99"/>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8"/>
    <w:qFormat/>
    <w:uiPriority w:val="0"/>
    <w:pPr>
      <w:spacing w:line="360" w:lineRule="auto"/>
    </w:pPr>
    <w:rPr>
      <w:rFonts w:ascii="Times New Roman" w:hAnsi="Times New Roman"/>
      <w:sz w:val="18"/>
      <w:szCs w:val="20"/>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link w:val="79"/>
    <w:qFormat/>
    <w:uiPriority w:val="0"/>
    <w:pPr>
      <w:adjustRightInd/>
      <w:spacing w:line="240" w:lineRule="auto"/>
      <w:textAlignment w:val="auto"/>
    </w:pPr>
  </w:style>
  <w:style w:type="paragraph" w:styleId="55">
    <w:name w:val="Body Text First Indent"/>
    <w:basedOn w:val="2"/>
    <w:next w:val="56"/>
    <w:qFormat/>
    <w:uiPriority w:val="0"/>
    <w:pPr>
      <w:spacing w:line="360" w:lineRule="auto"/>
      <w:ind w:firstLine="420"/>
    </w:pPr>
    <w:rPr>
      <w:rFonts w:ascii="宋体" w:hAnsi="宋体"/>
      <w:sz w:val="24"/>
    </w:rPr>
  </w:style>
  <w:style w:type="paragraph" w:customStyle="1" w:styleId="5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styleId="57">
    <w:name w:val="Body Text First Indent 2"/>
    <w:basedOn w:val="23"/>
    <w:link w:val="80"/>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标题 2 Char"/>
    <w:link w:val="4"/>
    <w:qFormat/>
    <w:uiPriority w:val="0"/>
    <w:rPr>
      <w:rFonts w:ascii="Arial" w:hAnsi="Arial" w:eastAsia="黑体"/>
      <w:b/>
      <w:kern w:val="2"/>
      <w:sz w:val="32"/>
    </w:rPr>
  </w:style>
  <w:style w:type="character" w:customStyle="1" w:styleId="70">
    <w:name w:val="标题 3 Char"/>
    <w:link w:val="5"/>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正文文本缩进 Char"/>
    <w:link w:val="23"/>
    <w:qFormat/>
    <w:uiPriority w:val="0"/>
    <w:rPr>
      <w:kern w:val="2"/>
      <w:sz w:val="44"/>
    </w:rPr>
  </w:style>
  <w:style w:type="character" w:customStyle="1" w:styleId="73">
    <w:name w:val="纯文本 Char"/>
    <w:link w:val="30"/>
    <w:qFormat/>
    <w:locked/>
    <w:uiPriority w:val="99"/>
    <w:rPr>
      <w:rFonts w:ascii="宋体" w:hAnsi="Courier New"/>
      <w:kern w:val="2"/>
      <w:sz w:val="21"/>
    </w:rPr>
  </w:style>
  <w:style w:type="character" w:customStyle="1" w:styleId="74">
    <w:name w:val="日期 Char"/>
    <w:link w:val="32"/>
    <w:qFormat/>
    <w:uiPriority w:val="99"/>
    <w:rPr>
      <w:kern w:val="2"/>
      <w:sz w:val="28"/>
    </w:rPr>
  </w:style>
  <w:style w:type="character" w:customStyle="1" w:styleId="75">
    <w:name w:val="正文文本缩进 2 Char"/>
    <w:link w:val="33"/>
    <w:qFormat/>
    <w:uiPriority w:val="0"/>
    <w:rPr>
      <w:kern w:val="2"/>
      <w:sz w:val="28"/>
    </w:rPr>
  </w:style>
  <w:style w:type="character" w:customStyle="1" w:styleId="76">
    <w:name w:val="页脚 Char"/>
    <w:link w:val="35"/>
    <w:qFormat/>
    <w:uiPriority w:val="99"/>
    <w:rPr>
      <w:kern w:val="2"/>
      <w:sz w:val="18"/>
    </w:rPr>
  </w:style>
  <w:style w:type="character" w:customStyle="1" w:styleId="77">
    <w:name w:val="页眉 Char"/>
    <w:link w:val="36"/>
    <w:qFormat/>
    <w:uiPriority w:val="99"/>
    <w:rPr>
      <w:kern w:val="2"/>
      <w:sz w:val="18"/>
    </w:rPr>
  </w:style>
  <w:style w:type="character" w:customStyle="1" w:styleId="78">
    <w:name w:val="脚注文本 Char"/>
    <w:link w:val="40"/>
    <w:qFormat/>
    <w:uiPriority w:val="0"/>
    <w:rPr>
      <w:kern w:val="2"/>
      <w:sz w:val="18"/>
    </w:rPr>
  </w:style>
  <w:style w:type="character" w:customStyle="1" w:styleId="79">
    <w:name w:val="批注主题 Char"/>
    <w:basedOn w:val="71"/>
    <w:link w:val="54"/>
    <w:qFormat/>
    <w:uiPriority w:val="0"/>
    <w:rPr>
      <w:sz w:val="24"/>
    </w:rPr>
  </w:style>
  <w:style w:type="character" w:customStyle="1" w:styleId="80">
    <w:name w:val="正文首行缩进 2 Char"/>
    <w:basedOn w:val="72"/>
    <w:link w:val="57"/>
    <w:qFormat/>
    <w:uiPriority w:val="0"/>
    <w:rPr>
      <w:kern w:val="2"/>
      <w:sz w:val="44"/>
    </w:rPr>
  </w:style>
  <w:style w:type="character" w:customStyle="1" w:styleId="81">
    <w:name w:val="Char Char6"/>
    <w:qFormat/>
    <w:uiPriority w:val="0"/>
    <w:rPr>
      <w:rFonts w:ascii="仿宋_GB2312" w:eastAsia="仿宋_GB2312"/>
      <w:kern w:val="2"/>
      <w:sz w:val="32"/>
    </w:rPr>
  </w:style>
  <w:style w:type="character" w:customStyle="1" w:styleId="82">
    <w:name w:val="Char Char2"/>
    <w:qFormat/>
    <w:uiPriority w:val="0"/>
    <w:rPr>
      <w:rFonts w:eastAsia="宋体"/>
      <w:kern w:val="2"/>
      <w:sz w:val="18"/>
      <w:lang w:val="en-US" w:eastAsia="zh-CN"/>
    </w:rPr>
  </w:style>
  <w:style w:type="character" w:customStyle="1" w:styleId="83">
    <w:name w:val="Char Char"/>
    <w:qFormat/>
    <w:uiPriority w:val="0"/>
    <w:rPr>
      <w:rFonts w:ascii="宋体" w:hAnsi="宋体" w:eastAsia="宋体"/>
      <w:kern w:val="2"/>
      <w:sz w:val="24"/>
      <w:lang w:val="en-US" w:eastAsia="zh-CN" w:bidi="ar-SA"/>
    </w:rPr>
  </w:style>
  <w:style w:type="character" w:customStyle="1" w:styleId="84">
    <w:name w:val="Table Text Char"/>
    <w:qFormat/>
    <w:uiPriority w:val="0"/>
    <w:rPr>
      <w:rFonts w:ascii="Arial" w:hAnsi="Arial"/>
      <w:kern w:val="2"/>
      <w:sz w:val="18"/>
      <w:lang w:val="en-US" w:eastAsia="zh-CN" w:bidi="ar-SA"/>
    </w:rPr>
  </w:style>
  <w:style w:type="character" w:customStyle="1" w:styleId="85">
    <w:name w:val="标书正文:  0.74 厘米 Char1"/>
    <w:qFormat/>
    <w:uiPriority w:val="0"/>
    <w:rPr>
      <w:rFonts w:eastAsia="宋体"/>
      <w:kern w:val="2"/>
      <w:sz w:val="24"/>
      <w:lang w:val="en-US" w:eastAsia="zh-CN"/>
    </w:rPr>
  </w:style>
  <w:style w:type="character" w:customStyle="1" w:styleId="86">
    <w:name w:val="Char Char11"/>
    <w:qFormat/>
    <w:uiPriority w:val="0"/>
    <w:rPr>
      <w:rFonts w:ascii="宋体"/>
      <w:kern w:val="2"/>
      <w:sz w:val="28"/>
    </w:rPr>
  </w:style>
  <w:style w:type="character" w:customStyle="1" w:styleId="87">
    <w:name w:val="Char Char7"/>
    <w:qFormat/>
    <w:uiPriority w:val="0"/>
    <w:rPr>
      <w:rFonts w:ascii="宋体" w:hAnsi="宋体" w:eastAsia="宋体"/>
      <w:kern w:val="2"/>
      <w:sz w:val="28"/>
    </w:rPr>
  </w:style>
  <w:style w:type="character" w:customStyle="1" w:styleId="88">
    <w:name w:val="文字 Char"/>
    <w:qFormat/>
    <w:uiPriority w:val="0"/>
    <w:rPr>
      <w:rFonts w:ascii="宋体"/>
      <w:kern w:val="2"/>
      <w:sz w:val="28"/>
    </w:rPr>
  </w:style>
  <w:style w:type="character" w:customStyle="1" w:styleId="89">
    <w:name w:val="Char Char5"/>
    <w:qFormat/>
    <w:uiPriority w:val="0"/>
    <w:rPr>
      <w:rFonts w:ascii="Arial" w:hAnsi="Arial" w:eastAsia="宋体"/>
      <w:b/>
      <w:smallCaps/>
      <w:kern w:val="28"/>
      <w:sz w:val="36"/>
      <w:lang w:val="en-US" w:eastAsia="en-US"/>
    </w:rPr>
  </w:style>
  <w:style w:type="character" w:customStyle="1" w:styleId="90">
    <w:name w:val="font61"/>
    <w:qFormat/>
    <w:uiPriority w:val="0"/>
    <w:rPr>
      <w:rFonts w:hint="eastAsia" w:ascii="微软雅黑" w:hAnsi="微软雅黑" w:eastAsia="微软雅黑" w:cs="微软雅黑"/>
      <w:color w:val="000000"/>
      <w:sz w:val="24"/>
      <w:szCs w:val="24"/>
      <w:u w:val="none"/>
    </w:rPr>
  </w:style>
  <w:style w:type="character" w:customStyle="1" w:styleId="91">
    <w:name w:val="title_emph1"/>
    <w:qFormat/>
    <w:uiPriority w:val="0"/>
    <w:rPr>
      <w:rFonts w:hint="default" w:ascii="Arial" w:hAnsi="Arial"/>
      <w:b/>
      <w:sz w:val="20"/>
    </w:rPr>
  </w:style>
  <w:style w:type="character" w:customStyle="1" w:styleId="92">
    <w:name w:val="Comment Text Char"/>
    <w:semiHidden/>
    <w:qFormat/>
    <w:locked/>
    <w:uiPriority w:val="0"/>
    <w:rPr>
      <w:rFonts w:ascii="Times New Roman" w:hAnsi="Times New Roman" w:cs="Times New Roman"/>
      <w:sz w:val="20"/>
      <w:szCs w:val="20"/>
    </w:rPr>
  </w:style>
  <w:style w:type="character" w:customStyle="1" w:styleId="93">
    <w:name w:val="v151"/>
    <w:qFormat/>
    <w:uiPriority w:val="0"/>
    <w:rPr>
      <w:sz w:val="18"/>
    </w:rPr>
  </w:style>
  <w:style w:type="character" w:customStyle="1" w:styleId="94">
    <w:name w:val="font1"/>
    <w:qFormat/>
    <w:uiPriority w:val="0"/>
    <w:rPr>
      <w:color w:val="000000"/>
      <w:sz w:val="18"/>
    </w:rPr>
  </w:style>
  <w:style w:type="character" w:customStyle="1" w:styleId="95">
    <w:name w:val="Char Char Char Char Char Char Char Char Char"/>
    <w:qFormat/>
    <w:uiPriority w:val="0"/>
    <w:rPr>
      <w:rFonts w:ascii="宋体" w:hAnsi="宋体" w:eastAsia="宋体"/>
      <w:kern w:val="2"/>
      <w:sz w:val="24"/>
      <w:lang w:val="en-US" w:eastAsia="zh-CN" w:bidi="ar-SA"/>
    </w:rPr>
  </w:style>
  <w:style w:type="character" w:customStyle="1" w:styleId="96">
    <w:name w:val="Table Text Char Char Char Char"/>
    <w:link w:val="97"/>
    <w:qFormat/>
    <w:uiPriority w:val="0"/>
    <w:rPr>
      <w:rFonts w:ascii="Arial" w:hAnsi="Arial"/>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H2 Char"/>
    <w:qFormat/>
    <w:uiPriority w:val="0"/>
    <w:rPr>
      <w:rFonts w:ascii="Arial" w:hAnsi="Arial" w:eastAsia="宋体"/>
      <w:kern w:val="2"/>
      <w:sz w:val="28"/>
      <w:lang w:val="en-US" w:eastAsia="zh-CN"/>
    </w:rPr>
  </w:style>
  <w:style w:type="character" w:customStyle="1" w:styleId="99">
    <w:name w:val="top-det1"/>
    <w:qFormat/>
    <w:uiPriority w:val="0"/>
    <w:rPr>
      <w:b/>
      <w:color w:val="000000"/>
    </w:rPr>
  </w:style>
  <w:style w:type="character" w:customStyle="1" w:styleId="100">
    <w:name w:val="批注文字 字符"/>
    <w:qFormat/>
    <w:uiPriority w:val="0"/>
    <w:rPr>
      <w:sz w:val="24"/>
    </w:rPr>
  </w:style>
  <w:style w:type="character" w:customStyle="1" w:styleId="101">
    <w:name w:val="crowed11"/>
    <w:qFormat/>
    <w:uiPriority w:val="0"/>
    <w:rPr>
      <w:rFonts w:hint="default"/>
      <w:sz w:val="24"/>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标题 2 字符"/>
    <w:qFormat/>
    <w:uiPriority w:val="99"/>
    <w:rPr>
      <w:rFonts w:ascii="Arial" w:hAnsi="Arial" w:eastAsia="黑体"/>
      <w:b/>
      <w:kern w:val="2"/>
      <w:sz w:val="32"/>
    </w:rPr>
  </w:style>
  <w:style w:type="character" w:customStyle="1" w:styleId="104">
    <w:name w:val="Table Heading Char Char"/>
    <w:qFormat/>
    <w:uiPriority w:val="0"/>
    <w:rPr>
      <w:rFonts w:ascii="Arial" w:hAnsi="Arial" w:eastAsia="黑体"/>
      <w:kern w:val="2"/>
      <w:sz w:val="18"/>
      <w:lang w:val="en-US" w:eastAsia="zh-CN"/>
    </w:rPr>
  </w:style>
  <w:style w:type="character" w:customStyle="1" w:styleId="105">
    <w:name w:val="文字 Char Char"/>
    <w:link w:val="106"/>
    <w:qFormat/>
    <w:uiPriority w:val="0"/>
    <w:rPr>
      <w:rFonts w:ascii="宋体"/>
      <w:kern w:val="2"/>
      <w:sz w:val="28"/>
    </w:rPr>
  </w:style>
  <w:style w:type="paragraph" w:customStyle="1" w:styleId="106">
    <w:name w:val="文字"/>
    <w:basedOn w:val="1"/>
    <w:link w:val="105"/>
    <w:qFormat/>
    <w:uiPriority w:val="0"/>
    <w:pPr>
      <w:tabs>
        <w:tab w:val="left" w:pos="8520"/>
      </w:tabs>
      <w:spacing w:line="312" w:lineRule="auto"/>
      <w:ind w:right="-210" w:firstLine="556"/>
    </w:pPr>
    <w:rPr>
      <w:rFonts w:ascii="宋体" w:hAnsi="Times New Roman"/>
      <w:sz w:val="28"/>
      <w:szCs w:val="20"/>
    </w:rPr>
  </w:style>
  <w:style w:type="character" w:customStyle="1" w:styleId="107">
    <w:name w:val="样式 宋体"/>
    <w:qFormat/>
    <w:uiPriority w:val="0"/>
    <w:rPr>
      <w:rFonts w:ascii="宋体" w:hAnsi="宋体" w:eastAsia="宋体"/>
      <w:sz w:val="28"/>
    </w:rPr>
  </w:style>
  <w:style w:type="character" w:customStyle="1" w:styleId="108">
    <w:name w:val="正文 + 三号 Char"/>
    <w:qFormat/>
    <w:uiPriority w:val="0"/>
    <w:rPr>
      <w:rFonts w:eastAsia="宋体"/>
      <w:kern w:val="2"/>
      <w:sz w:val="21"/>
      <w:lang w:val="en-US" w:eastAsia="zh-CN"/>
    </w:rPr>
  </w:style>
  <w:style w:type="character" w:customStyle="1" w:styleId="109">
    <w:name w:val="小 Char"/>
    <w:qFormat/>
    <w:uiPriority w:val="0"/>
    <w:rPr>
      <w:rFonts w:ascii="宋体" w:hAnsi="Courier New" w:eastAsia="宋体"/>
      <w:kern w:val="2"/>
      <w:sz w:val="21"/>
      <w:lang w:val="en-US" w:eastAsia="zh-CN" w:bidi="ar-SA"/>
    </w:rPr>
  </w:style>
  <w:style w:type="character" w:customStyle="1" w:styleId="110">
    <w:name w:val="标题 3 字符"/>
    <w:qFormat/>
    <w:uiPriority w:val="0"/>
    <w:rPr>
      <w:rFonts w:eastAsia="宋体"/>
      <w:b/>
      <w:kern w:val="2"/>
      <w:sz w:val="32"/>
      <w:lang w:val="en-US" w:eastAsia="zh-CN"/>
    </w:rPr>
  </w:style>
  <w:style w:type="character" w:customStyle="1" w:styleId="111">
    <w:name w:val="content-white1"/>
    <w:qFormat/>
    <w:uiPriority w:val="0"/>
    <w:rPr>
      <w:color w:val="auto"/>
      <w:sz w:val="18"/>
      <w:u w:val="none"/>
    </w:rPr>
  </w:style>
  <w:style w:type="character" w:customStyle="1" w:styleId="112">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8"/>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rPr>
  </w:style>
  <w:style w:type="paragraph" w:customStyle="1" w:styleId="125">
    <w:name w:val="样式 宋体 五号 行距: 单倍行距"/>
    <w:basedOn w:val="1"/>
    <w:qFormat/>
    <w:uiPriority w:val="0"/>
    <w:pPr>
      <w:adjustRightInd w:val="0"/>
      <w:jc w:val="left"/>
    </w:pPr>
    <w:rPr>
      <w:rFonts w:ascii="宋体" w:hAnsi="宋体"/>
      <w:kern w:val="0"/>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3"/>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3"/>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3"/>
    <w:qFormat/>
    <w:uiPriority w:val="0"/>
    <w:pPr>
      <w:spacing w:before="60" w:after="60" w:line="360" w:lineRule="auto"/>
      <w:ind w:left="0" w:firstLine="482"/>
    </w:pPr>
    <w:rPr>
      <w:rFonts w:ascii="Arial" w:hAnsi="Arial"/>
      <w:sz w:val="24"/>
    </w:rPr>
  </w:style>
  <w:style w:type="paragraph" w:customStyle="1" w:styleId="142">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0"/>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rPr>
  </w:style>
  <w:style w:type="paragraph" w:customStyle="1" w:styleId="162">
    <w:name w:val="列表项目"/>
    <w:basedOn w:val="1"/>
    <w:qFormat/>
    <w:uiPriority w:val="0"/>
    <w:pPr>
      <w:tabs>
        <w:tab w:val="left" w:pos="420"/>
      </w:tabs>
      <w:spacing w:line="288" w:lineRule="auto"/>
      <w:ind w:left="840" w:leftChars="200" w:hanging="420" w:hangingChars="200"/>
    </w:pPr>
  </w:style>
  <w:style w:type="paragraph" w:customStyle="1" w:styleId="163">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70">
    <w:name w:val="1"/>
    <w:basedOn w:val="1"/>
    <w:next w:val="30"/>
    <w:qFormat/>
    <w:uiPriority w:val="0"/>
    <w:rPr>
      <w:rFonts w:ascii="宋体" w:hAnsi="Courier New"/>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ilvl w:val="0"/>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rPr>
  </w:style>
  <w:style w:type="paragraph" w:customStyle="1" w:styleId="192">
    <w:name w:val="样式 宋体 五号 两端对齐 行距: 单倍行距"/>
    <w:basedOn w:val="1"/>
    <w:qFormat/>
    <w:uiPriority w:val="0"/>
    <w:pPr>
      <w:adjustRightInd w:val="0"/>
      <w:textAlignment w:val="baseline"/>
    </w:pPr>
    <w:rPr>
      <w:rFonts w:ascii="宋体" w:hAnsi="宋体"/>
      <w:kern w:val="0"/>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6"/>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style>
  <w:style w:type="paragraph" w:customStyle="1" w:styleId="202">
    <w:name w:val="Style Heading 3h3Heading 3 - oldLevel 3 HeadH3level_3PIM 3se..."/>
    <w:basedOn w:val="5"/>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6"/>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style>
  <w:style w:type="paragraph" w:customStyle="1" w:styleId="229">
    <w:name w:val="摘要"/>
    <w:basedOn w:val="1"/>
    <w:next w:val="4"/>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2">
    <w:name w:val="Table Contents"/>
    <w:basedOn w:val="2"/>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style>
  <w:style w:type="paragraph" w:customStyle="1" w:styleId="237">
    <w:name w:val="Char Char Char Char Char Char Char1"/>
    <w:basedOn w:val="18"/>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6"/>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5"/>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2">
    <w:name w:val="未处理的提及1"/>
    <w:basedOn w:val="60"/>
    <w:qFormat/>
    <w:uiPriority w:val="0"/>
    <w:rPr>
      <w:color w:val="605E5C"/>
      <w:shd w:val="clear" w:color="auto" w:fill="E1DFDD"/>
    </w:rPr>
  </w:style>
  <w:style w:type="paragraph" w:customStyle="1" w:styleId="253">
    <w:name w:val="目录 11"/>
    <w:basedOn w:val="1"/>
    <w:next w:val="1"/>
    <w:qFormat/>
    <w:uiPriority w:val="0"/>
    <w:pPr>
      <w:jc w:val="center"/>
    </w:pPr>
    <w:rPr>
      <w:sz w:val="30"/>
      <w:szCs w:val="30"/>
    </w:rPr>
  </w:style>
  <w:style w:type="paragraph" w:customStyle="1" w:styleId="254">
    <w:name w:val="p1"/>
    <w:basedOn w:val="1"/>
    <w:qFormat/>
    <w:uiPriority w:val="0"/>
    <w:pPr>
      <w:jc w:val="left"/>
    </w:pPr>
    <w:rPr>
      <w:rFonts w:ascii="PingFang SC" w:hAnsi="PingFang SC" w:eastAsia="PingFang SC"/>
      <w:color w:val="121416"/>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14</Pages>
  <Words>3296</Words>
  <Characters>3522</Characters>
  <Lines>63</Lines>
  <Paragraphs>17</Paragraphs>
  <TotalTime>1</TotalTime>
  <ScaleCrop>false</ScaleCrop>
  <LinksUpToDate>false</LinksUpToDate>
  <CharactersWithSpaces>4116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biubiubiu</cp:lastModifiedBy>
  <cp:lastPrinted>2025-02-28T04:03:00Z</cp:lastPrinted>
  <dcterms:modified xsi:type="dcterms:W3CDTF">2025-10-16T03:31:20Z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338AAC1810D9472C844DD381C26748C1_13</vt:lpwstr>
  </property>
</Properties>
</file>