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报价清单</w:t>
      </w:r>
    </w:p>
    <w:tbl>
      <w:tblPr>
        <w:tblStyle w:val="5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952"/>
        <w:gridCol w:w="2267"/>
        <w:gridCol w:w="36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4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最高投标单价（万元）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法律意见书、合法性说明</w:t>
            </w:r>
          </w:p>
        </w:tc>
        <w:tc>
          <w:tcPr>
            <w:tcW w:w="6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4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律师函</w:t>
            </w:r>
          </w:p>
        </w:tc>
        <w:tc>
          <w:tcPr>
            <w:tcW w:w="6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4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法律尽职调查</w:t>
            </w:r>
          </w:p>
        </w:tc>
        <w:tc>
          <w:tcPr>
            <w:tcW w:w="6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代理不涉及财产关系的民事、行政案件</w:t>
            </w:r>
          </w:p>
        </w:tc>
        <w:tc>
          <w:tcPr>
            <w:tcW w:w="1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一般案件</w:t>
            </w:r>
          </w:p>
        </w:tc>
        <w:tc>
          <w:tcPr>
            <w:tcW w:w="6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对公司有重大影响的案件</w:t>
            </w:r>
          </w:p>
        </w:tc>
        <w:tc>
          <w:tcPr>
            <w:tcW w:w="6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案情特别复杂或在自治区有重大影响的案件</w:t>
            </w:r>
          </w:p>
        </w:tc>
        <w:tc>
          <w:tcPr>
            <w:tcW w:w="6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4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递交诉讼案件申诉材料</w:t>
            </w:r>
          </w:p>
        </w:tc>
        <w:tc>
          <w:tcPr>
            <w:tcW w:w="6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涉及财产关系的民事案件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u w:val="single"/>
                <w:lang w:val="en-US" w:eastAsia="zh-CN" w:bidi="ar"/>
              </w:rPr>
              <w:t>(不参与报价）</w:t>
            </w:r>
          </w:p>
        </w:tc>
        <w:tc>
          <w:tcPr>
            <w:tcW w:w="1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标的额1万元（含1万元）以下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标的额1万元以上10万元以下（含十万元）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代理费＝标的额×5%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标的额10万元以上50万元以下（含50万元）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代理费＝标的额×4%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标的额50万元以上100万元以下（含100万元）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代理费＝标的额×3%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标的额100万元以上500万元以下（含500万元）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代理费＝标的额×1%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标的额500万元以上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</w:tbl>
    <w:p>
      <w:pPr>
        <w:jc w:val="center"/>
        <w:rPr>
          <w:rFonts w:hint="default"/>
          <w:lang w:val="en-US" w:eastAsia="zh-CN"/>
        </w:rPr>
      </w:pPr>
      <w:bookmarkStart w:id="0" w:name="_GoBack"/>
      <w:bookmarkEnd w:id="0"/>
    </w:p>
    <w:p>
      <w:pPr>
        <w:rPr>
          <w:rFonts w:hint="default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注：序号6不参与报价，按后期实际发生案件据实结算。</w:t>
      </w: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jZjQyNzFlN2Q0MjA2NjQ0YTAxZjU4ODZjMDk3MzcifQ=="/>
  </w:docVars>
  <w:rsids>
    <w:rsidRoot w:val="00000000"/>
    <w:rsid w:val="41255254"/>
    <w:rsid w:val="7C88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560" w:firstLineChars="200"/>
      <w:jc w:val="left"/>
    </w:pPr>
  </w:style>
  <w:style w:type="paragraph" w:styleId="3">
    <w:name w:val="Body Text"/>
    <w:basedOn w:val="1"/>
    <w:next w:val="4"/>
    <w:unhideWhenUsed/>
    <w:qFormat/>
    <w:uiPriority w:val="99"/>
    <w:pPr>
      <w:spacing w:after="120"/>
    </w:pPr>
    <w:rPr>
      <w:kern w:val="0"/>
      <w:sz w:val="20"/>
      <w:szCs w:val="24"/>
    </w:rPr>
  </w:style>
  <w:style w:type="paragraph" w:styleId="4">
    <w:name w:val="Body Text 2"/>
    <w:basedOn w:val="1"/>
    <w:qFormat/>
    <w:uiPriority w:val="0"/>
    <w:rPr>
      <w:rFonts w:ascii="宋体" w:hAnsi="宋体" w:eastAsia="宋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2023-10-17T09:45:40Z</dcterms:created>
  <dc:creator>Administrator</dc:creator>
  <cp:lastModifiedBy>你今天快乐了吗</cp:lastModifiedBy>
  <dcterms:modified xsi:type="dcterms:W3CDTF">2023-10-17T09:46:48Z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729AC6127ABB4CB9915269A5D85F57B4_12</vt:lpwstr>
  </property>
</Properties>
</file>