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jc w:val="center"/>
        <w:rPr>
          <w:rFonts w:hint="eastAsia" w:ascii="华文新魏" w:hAnsi="华文新魏" w:eastAsia="微软雅黑" w:cs="华文新魏"/>
          <w:b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  <w:t>诸暨市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  <w:lang w:eastAsia="zh-CN"/>
        </w:rPr>
        <w:t>陈宅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  <w:lang w:val="en-US" w:eastAsia="zh-CN"/>
        </w:rPr>
        <w:t>镇中心学校教师节福利采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  <w:t>购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  <w:lang w:eastAsia="zh-CN"/>
        </w:rPr>
        <w:t>商务要求</w:t>
      </w:r>
    </w:p>
    <w:p>
      <w:pPr>
        <w:numPr>
          <w:ilvl w:val="0"/>
          <w:numId w:val="1"/>
        </w:numPr>
        <w:spacing w:beforeLines="0" w:afterLines="0" w:line="360" w:lineRule="auto"/>
        <w:ind w:firstLine="482" w:firstLineChars="200"/>
        <w:rPr>
          <w:rFonts w:hint="default"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4"/>
          <w:lang w:bidi="ar"/>
        </w:rPr>
        <w:t>采购内容</w:t>
      </w:r>
    </w:p>
    <w:tbl>
      <w:tblPr>
        <w:tblStyle w:val="5"/>
        <w:tblW w:w="9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076"/>
        <w:gridCol w:w="2996"/>
        <w:gridCol w:w="851"/>
        <w:gridCol w:w="1033"/>
        <w:gridCol w:w="935"/>
        <w:gridCol w:w="950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货物名称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型号规格等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控制单价（元）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小计（元）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参考图例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40" w:lineRule="atLeas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京贾 JG-MT4150 休闲毯/毛毯/绒毯珊瑚绒小毯子卷毯小被子午睡毯空调毯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left"/>
              <w:textAlignment w:val="top"/>
              <w:rPr>
                <w:color w:val="9B9B9B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9B9B9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产品尺寸（长*宽） (cm)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197AFF" w:sz="6" w:space="0"/>
                <w:left w:val="single" w:color="197AFF" w:sz="6" w:space="15"/>
                <w:bottom w:val="single" w:color="197AFF" w:sz="6" w:space="0"/>
                <w:right w:val="single" w:color="197AFF" w:sz="6" w:space="15"/>
              </w:pBdr>
              <w:spacing w:before="0" w:beforeAutospacing="0" w:after="180" w:afterAutospacing="0" w:line="420" w:lineRule="atLeast"/>
              <w:ind w:left="0" w:right="180"/>
              <w:jc w:val="center"/>
              <w:textAlignment w:val="center"/>
              <w:rPr>
                <w:color w:val="40404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85*100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橙色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76300" cy="876300"/>
                  <wp:effectExtent l="0" t="0" r="0" b="0"/>
                  <wp:docPr id="3" name="图片 3" descr="SKU-08-卡通卷毯(面包胡萝卜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KU-08-卡通卷毯(面包胡萝卜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40" w:lineRule="atLeast"/>
              <w:rPr>
                <w:rFonts w:hint="eastAsia" w:ascii="宋体" w:hAnsi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97AFF"/>
                <w:spacing w:val="0"/>
                <w:sz w:val="18"/>
                <w:szCs w:val="18"/>
                <w:u w:val="none"/>
                <w:bdr w:val="none" w:color="auto" w:sz="0" w:space="0"/>
                <w:shd w:val="clear" w:fill="E8F1FF"/>
              </w:rPr>
              <w:fldChar w:fldCharType="begin"/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97AFF"/>
                <w:spacing w:val="0"/>
                <w:sz w:val="18"/>
                <w:szCs w:val="18"/>
                <w:u w:val="none"/>
                <w:bdr w:val="none" w:color="auto" w:sz="0" w:space="0"/>
                <w:shd w:val="clear" w:fill="E8F1FF"/>
              </w:rPr>
              <w:instrText xml:space="preserve"> HYPERLINK "https://www.zcygov.cn/items/2649028005734342?utm=cart.2967d90d.0.d00004.f0440f30863b11f09b54d1fa652e7cd7" \o "犇本 BWB04 316不锈钢智能温显咖啡保温杯 商务礼品礼盒伴手礼物" \t "https://www.zcygov.cn/cart-index/_blank" </w:instrTex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97AFF"/>
                <w:spacing w:val="0"/>
                <w:sz w:val="18"/>
                <w:szCs w:val="18"/>
                <w:u w:val="none"/>
                <w:bdr w:val="none" w:color="auto" w:sz="0" w:space="0"/>
                <w:shd w:val="clear" w:fill="E8F1FF"/>
              </w:rPr>
              <w:fldChar w:fldCharType="separate"/>
            </w:r>
            <w:r>
              <w:rPr>
                <w:rStyle w:val="7"/>
                <w:rFonts w:hint="default" w:ascii="Segoe UI" w:hAnsi="Segoe UI" w:eastAsia="Segoe UI" w:cs="Segoe UI"/>
                <w:i w:val="0"/>
                <w:iCs w:val="0"/>
                <w:caps w:val="0"/>
                <w:color w:val="197AFF"/>
                <w:spacing w:val="0"/>
                <w:sz w:val="18"/>
                <w:szCs w:val="18"/>
                <w:u w:val="none"/>
                <w:bdr w:val="none" w:color="auto" w:sz="0" w:space="0"/>
                <w:shd w:val="clear" w:fill="E8F1FF"/>
              </w:rPr>
              <w:t>犇本 BWB04 316不锈钢智能温显咖啡保温杯 商务礼品礼盒伴手礼物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97AFF"/>
                <w:spacing w:val="0"/>
                <w:sz w:val="18"/>
                <w:szCs w:val="18"/>
                <w:u w:val="none"/>
                <w:bdr w:val="none" w:color="auto" w:sz="0" w:space="0"/>
                <w:shd w:val="clear" w:fill="E8F1FF"/>
              </w:rPr>
              <w:fldChar w:fldCharType="end"/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</w:pPr>
            <w:r>
              <w:t>·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内胆材质316不锈钢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rPr>
                <w:rFonts w:hint="default"/>
              </w:rPr>
            </w:pPr>
            <w:r>
              <w:rPr>
                <w:rFonts w:hint="default"/>
              </w:rPr>
              <w:t>·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保温时间 (h)4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rPr>
                <w:rFonts w:hint="default"/>
              </w:rPr>
            </w:pPr>
            <w:r>
              <w:rPr>
                <w:rFonts w:hint="default"/>
              </w:rPr>
              <w:t>·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主体材质316不锈钢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rPr>
                <w:rFonts w:hint="default"/>
              </w:rPr>
            </w:pPr>
            <w:r>
              <w:rPr>
                <w:rFonts w:hint="default"/>
              </w:rPr>
              <w:t>·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产品尺寸（长*宽*高） (cm)160*79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0" w:afterAutospacing="0"/>
              <w:ind w:left="0" w:right="0" w:firstLine="0"/>
              <w:rPr>
                <w:rFonts w:hint="default"/>
              </w:rPr>
            </w:pPr>
            <w:r>
              <w:rPr>
                <w:rFonts w:hint="default"/>
              </w:rPr>
              <w:t>·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承受温度范围150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橙色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1、316屏显咖啡杯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颈椎按摩仪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雨伞一把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4、磁吸无线充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2990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82650" cy="882650"/>
                  <wp:effectExtent l="0" t="0" r="12700" b="12700"/>
                  <wp:docPr id="2" name="图片 2" descr="87f75b8c-bd50-4a60-a342-d7831f0517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f75b8c-bd50-4a60-a342-d7831f0517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"/>
        </w:numPr>
        <w:spacing w:beforeLines="0" w:afterLines="0" w:line="360" w:lineRule="auto"/>
        <w:ind w:firstLine="482" w:firstLineChars="200"/>
        <w:rPr>
          <w:rFonts w:hint="default" w:ascii="宋体" w:hAnsi="Times New Roman"/>
          <w:b/>
          <w:sz w:val="24"/>
          <w:szCs w:val="24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4"/>
          <w:lang w:bidi="ar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质量要求：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采购产品为原装合格产品,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可防伪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条码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查询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正品溯源。产品包装完好。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交货地点与方式：中标方需在中标确认后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个工作日内安排专人负责免费供货到诸暨市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陈宅中心学校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指定位置，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陈宅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镇小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（陈宅镇文卫路3号）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要求送货上门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，不接受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自取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快递包裹。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三、实质性响应：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1、本项目采购的商品，中标方报价应包含货物、运输、人员工资、税费、保险等本项目实施完成的所有费用。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2、中标方必须按照本次竞价单规定的商品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品牌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、规格等供货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待验收合格后再确认成交。验收不合格则本次竞价作无效处理。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本项目所有商品，保质期内出现质量问题(包括发现所供产品非原厂正品)，应免费更换。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4、中标方必须满足所有本次采购商务要求，否则作竞价无效处理。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5、中标方参加本次竞价，即视为完全了解、明白并同意本次竞价所有要求，一旦发现有虚假响应情况，即使确认成交，也将被取消供货资格。采购人有权追究中标方责任并向有关部门投诉等。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四、验收与付款：合同生效及到货后，按照相关质量标准、技术规范要求等，采购人组织人员对货物进行验收。验收合格后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个月内付给合同总价的100％。</w:t>
      </w:r>
    </w:p>
    <w:p>
      <w:pPr>
        <w:pStyle w:val="3"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</w:pPr>
    </w:p>
    <w:p>
      <w:pPr>
        <w:pStyle w:val="3"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</w:pPr>
    </w:p>
    <w:p>
      <w:pPr>
        <w:pStyle w:val="3"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</w:pPr>
    </w:p>
    <w:p>
      <w:pPr>
        <w:pStyle w:val="3"/>
        <w:jc w:val="righ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诸暨市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陈宅镇中心学校</w:t>
      </w:r>
    </w:p>
    <w:p>
      <w:pPr>
        <w:pStyle w:val="3"/>
        <w:jc w:val="center"/>
        <w:rPr>
          <w:rFonts w:hint="default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5年8月31日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5A1ED"/>
    <w:multiLevelType w:val="multilevel"/>
    <w:tmpl w:val="9995A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381804B3"/>
    <w:multiLevelType w:val="singleLevel"/>
    <w:tmpl w:val="381804B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03C1119"/>
    <w:multiLevelType w:val="singleLevel"/>
    <w:tmpl w:val="603C11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32369"/>
    <w:rsid w:val="2EA8540F"/>
    <w:rsid w:val="631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default"/>
      <w:kern w:val="0"/>
      <w:sz w:val="21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2025-08-31T02:52:00Z</dcterms:created>
  <dc:creator>user</dc:creator>
  <cp:lastModifiedBy>user</cp:lastModifiedBy>
  <dcterms:modified xsi:type="dcterms:W3CDTF">2025-08-31T08:06:16Z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A2F1729CE53C4B36B098082CC3E1DA87</vt:lpwstr>
  </property>
</Properties>
</file>