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734" w:rightChars="262" w:firstLine="0" w:firstLineChars="0"/>
        <w:jc w:val="center"/>
        <w:rPr>
          <w:rFonts w:hint="eastAsia" w:ascii="宋体" w:hAnsi="宋体" w:eastAsia="宋体" w:cs="宋体"/>
          <w:sz w:val="32"/>
          <w:szCs w:val="36"/>
          <w:highlight w:val="none"/>
        </w:rPr>
      </w:pPr>
      <w:r>
        <w:rPr>
          <w:rFonts w:hint="eastAsia" w:ascii="宋体" w:hAnsi="宋体" w:eastAsia="宋体" w:cs="宋体"/>
          <w:b/>
          <w:bCs/>
          <w:sz w:val="32"/>
          <w:szCs w:val="22"/>
          <w:highlight w:val="none"/>
        </w:rPr>
        <w:t>工作内容及要求</w:t>
      </w:r>
    </w:p>
    <w:p>
      <w:pPr>
        <w:numPr>
          <w:ilvl w:val="0"/>
          <w:numId w:val="1"/>
        </w:numPr>
        <w:snapToGrid w:val="0"/>
        <w:spacing w:line="360" w:lineRule="auto"/>
        <w:ind w:left="0" w:leftChars="0" w:firstLine="0" w:firstLineChars="0"/>
        <w:outlineLvl w:val="1"/>
        <w:rPr>
          <w:rFonts w:hint="eastAsia" w:ascii="宋体" w:hAnsi="宋体" w:eastAsia="宋体" w:cs="宋体"/>
          <w:b/>
          <w:bCs/>
          <w:sz w:val="24"/>
          <w:highlight w:val="none"/>
        </w:rPr>
      </w:pPr>
      <w:r>
        <w:rPr>
          <w:rFonts w:hint="eastAsia" w:ascii="宋体" w:hAnsi="宋体" w:eastAsia="宋体" w:cs="宋体"/>
          <w:b/>
          <w:bCs/>
          <w:sz w:val="24"/>
          <w:highlight w:val="none"/>
        </w:rPr>
        <w:t>项目简介</w:t>
      </w:r>
    </w:p>
    <w:p>
      <w:pPr>
        <w:numPr>
          <w:ilvl w:val="0"/>
          <w:numId w:val="0"/>
        </w:numPr>
        <w:snapToGrid w:val="0"/>
        <w:spacing w:line="360" w:lineRule="auto"/>
        <w:ind w:leftChars="0" w:firstLine="420" w:firstLineChars="0"/>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根据《液化天然气加气机检定规程》（JJG1114-2015）规定，为满足中海石油气电集团有限责任公司华北分公司（以下简称华北分公司）下属项目单位北京能源</w:t>
      </w:r>
      <w:bookmarkStart w:id="0" w:name="_GoBack"/>
      <w:bookmarkEnd w:id="0"/>
      <w:r>
        <w:rPr>
          <w:rFonts w:hint="eastAsia" w:ascii="宋体" w:hAnsi="宋体" w:eastAsia="宋体" w:cs="宋体"/>
          <w:sz w:val="24"/>
          <w:szCs w:val="24"/>
          <w:highlight w:val="none"/>
          <w:lang w:val="en-US" w:eastAsia="zh-CN"/>
        </w:rPr>
        <w:t>LNG加气站的运营需求，现拟对2025-2028年度LNG加气机检定进行采购，本合同将由中海石油气电集团有限责任公司华北分公司下属项目单位根据实际需要分别与应答人签订合同。</w:t>
      </w:r>
    </w:p>
    <w:p>
      <w:pPr>
        <w:numPr>
          <w:ilvl w:val="0"/>
          <w:numId w:val="1"/>
        </w:numPr>
        <w:snapToGrid w:val="0"/>
        <w:ind w:firstLine="0" w:firstLineChars="0"/>
        <w:outlineLvl w:val="1"/>
        <w:rPr>
          <w:rFonts w:hint="eastAsia"/>
          <w:highlight w:val="none"/>
        </w:rPr>
      </w:pPr>
      <w:r>
        <w:rPr>
          <w:rFonts w:hint="eastAsia" w:ascii="宋体" w:hAnsi="宋体" w:eastAsia="宋体" w:cs="宋体"/>
          <w:b/>
          <w:bCs/>
          <w:sz w:val="24"/>
          <w:highlight w:val="none"/>
          <w:lang w:val="en-US" w:eastAsia="zh-CN"/>
        </w:rPr>
        <w:t>功能描述</w:t>
      </w:r>
    </w:p>
    <w:p>
      <w:pPr>
        <w:pStyle w:val="7"/>
        <w:ind w:left="0" w:leftChars="0" w:firstLine="480" w:firstLineChars="200"/>
        <w:rPr>
          <w:rFonts w:hint="default" w:eastAsia="仿宋_GB2312"/>
          <w:highlight w:val="none"/>
          <w:lang w:val="en-US" w:eastAsia="zh-CN"/>
        </w:rPr>
      </w:pPr>
      <w:r>
        <w:rPr>
          <w:rFonts w:hint="eastAsia" w:eastAsia="宋体" w:cs="宋体"/>
          <w:highlight w:val="none"/>
          <w:lang w:val="en-US" w:eastAsia="zh-CN"/>
        </w:rPr>
        <w:t>为保障加气站计量计算准确性和交易公平性，</w:t>
      </w:r>
      <w:r>
        <w:rPr>
          <w:rFonts w:hint="eastAsia" w:ascii="宋体" w:hAnsi="宋体" w:eastAsia="宋体" w:cs="宋体"/>
          <w:highlight w:val="none"/>
          <w:lang w:val="en-US" w:eastAsia="zh-CN"/>
        </w:rPr>
        <w:t>满足华北分公司所属单位各加气站</w:t>
      </w:r>
      <w:r>
        <w:rPr>
          <w:rFonts w:hint="eastAsia" w:ascii="宋体" w:hAnsi="宋体" w:eastAsia="宋体" w:cs="宋体"/>
          <w:szCs w:val="24"/>
          <w:highlight w:val="none"/>
          <w:lang w:val="en-US" w:eastAsia="zh-CN"/>
        </w:rPr>
        <w:t>LNG</w:t>
      </w:r>
      <w:r>
        <w:rPr>
          <w:rFonts w:hint="eastAsia" w:eastAsia="宋体" w:cs="宋体"/>
          <w:szCs w:val="24"/>
          <w:highlight w:val="none"/>
          <w:lang w:val="en-US" w:eastAsia="zh-CN"/>
        </w:rPr>
        <w:t>加气机检定</w:t>
      </w:r>
      <w:r>
        <w:rPr>
          <w:rFonts w:hint="eastAsia" w:ascii="宋体" w:hAnsi="宋体" w:eastAsia="宋体" w:cs="宋体"/>
          <w:szCs w:val="24"/>
          <w:highlight w:val="none"/>
          <w:lang w:val="en-US" w:eastAsia="zh-CN"/>
        </w:rPr>
        <w:t>需求</w:t>
      </w:r>
      <w:r>
        <w:rPr>
          <w:rFonts w:hint="eastAsia" w:eastAsia="宋体" w:cs="宋体"/>
          <w:szCs w:val="24"/>
          <w:highlight w:val="none"/>
          <w:lang w:val="en-US" w:eastAsia="zh-CN"/>
        </w:rPr>
        <w:t>，现需对LNG加气机检定服务进行采办</w:t>
      </w:r>
      <w:r>
        <w:rPr>
          <w:rFonts w:hint="eastAsia" w:ascii="宋体" w:hAnsi="宋体" w:eastAsia="宋体" w:cs="宋体"/>
          <w:highlight w:val="none"/>
          <w:lang w:val="en-US" w:eastAsia="zh-CN"/>
        </w:rPr>
        <w:t>。</w:t>
      </w:r>
    </w:p>
    <w:p>
      <w:pPr>
        <w:numPr>
          <w:ilvl w:val="0"/>
          <w:numId w:val="1"/>
        </w:numPr>
        <w:snapToGrid w:val="0"/>
        <w:ind w:firstLine="0" w:firstLineChars="0"/>
        <w:outlineLvl w:val="1"/>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工作标准</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93" w:after="93" w:line="360" w:lineRule="auto"/>
        <w:textAlignment w:val="auto"/>
        <w:rPr>
          <w:rFonts w:hint="eastAsia" w:ascii="宋体" w:hAnsi="宋体" w:eastAsia="宋体" w:cs="Times New Roman"/>
          <w:kern w:val="2"/>
          <w:sz w:val="24"/>
          <w:szCs w:val="24"/>
          <w:highlight w:val="none"/>
          <w:lang w:val="zh-CN" w:eastAsia="zh-CN" w:bidi="ar-SA"/>
        </w:rPr>
      </w:pPr>
      <w:r>
        <w:rPr>
          <w:rFonts w:hint="eastAsia" w:ascii="宋体" w:hAnsi="宋体" w:eastAsia="宋体" w:cs="宋体"/>
          <w:sz w:val="24"/>
          <w:szCs w:val="24"/>
          <w:highlight w:val="none"/>
          <w:lang w:val="en-US" w:eastAsia="zh-CN"/>
        </w:rPr>
        <w:t>根据《液化天然气加气机检定规程》（JJG1114-2015）规定中要求开展加气站的首次检定和后续检定</w:t>
      </w:r>
      <w:r>
        <w:rPr>
          <w:rFonts w:hint="eastAsia" w:ascii="宋体" w:hAnsi="宋体" w:eastAsia="宋体" w:cs="Times New Roman"/>
          <w:kern w:val="2"/>
          <w:sz w:val="24"/>
          <w:szCs w:val="24"/>
          <w:highlight w:val="none"/>
          <w:lang w:val="zh-CN" w:eastAsia="zh-CN" w:bidi="ar-SA"/>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93" w:after="93"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检定服务内容主要包括：最大允许误差、计量重复性、误差调整、封印设置等。</w:t>
      </w:r>
    </w:p>
    <w:p>
      <w:pPr>
        <w:keepNext w:val="0"/>
        <w:keepLines w:val="0"/>
        <w:pageBreakBefore w:val="0"/>
        <w:widowControl w:val="0"/>
        <w:tabs>
          <w:tab w:val="left" w:pos="420"/>
        </w:tabs>
        <w:kinsoku/>
        <w:wordWrap/>
        <w:overflowPunct/>
        <w:topLinePunct w:val="0"/>
        <w:autoSpaceDE/>
        <w:autoSpaceDN/>
        <w:bidi w:val="0"/>
        <w:spacing w:line="360" w:lineRule="auto"/>
        <w:textAlignment w:val="auto"/>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3.加气机的最大允许误差为±1.5%，测量重复性不超过0.5%，经检定合格后，出具检定合格证书</w:t>
      </w:r>
      <w:r>
        <w:rPr>
          <w:rFonts w:hint="eastAsia" w:ascii="宋体" w:hAnsi="宋体" w:eastAsia="宋体"/>
          <w:sz w:val="24"/>
          <w:highlight w:val="none"/>
          <w:lang w:eastAsia="zh-CN"/>
        </w:rPr>
        <w:t>。</w:t>
      </w:r>
      <w:r>
        <w:rPr>
          <w:rFonts w:hint="eastAsia" w:ascii="宋体" w:hAnsi="宋体" w:eastAsia="宋体"/>
          <w:sz w:val="24"/>
          <w:szCs w:val="24"/>
          <w:highlight w:val="none"/>
          <w:lang w:val="en-US" w:eastAsia="zh-CN"/>
        </w:rPr>
        <w:t>对检定误差较大或检定不合格的加气机，进行误差调整，使其符合</w:t>
      </w:r>
      <w:r>
        <w:rPr>
          <w:rFonts w:hint="eastAsia" w:ascii="宋体" w:hAnsi="宋体" w:eastAsia="宋体" w:cs="宋体"/>
          <w:sz w:val="24"/>
          <w:szCs w:val="24"/>
          <w:highlight w:val="none"/>
          <w:lang w:val="en-US" w:eastAsia="zh-CN"/>
        </w:rPr>
        <w:t>《液化天然气加气机检定规程》（JJG1114-2015）规定中要求</w:t>
      </w:r>
      <w:r>
        <w:rPr>
          <w:rFonts w:hint="eastAsia" w:ascii="宋体" w:hAnsi="宋体" w:eastAsia="宋体"/>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93" w:after="93" w:line="360" w:lineRule="auto"/>
        <w:ind w:firstLine="480" w:firstLineChars="200"/>
        <w:textAlignment w:val="auto"/>
        <w:rPr>
          <w:rFonts w:hint="eastAsia" w:ascii="宋体" w:hAnsi="宋体" w:eastAsia="宋体"/>
          <w:sz w:val="24"/>
          <w:szCs w:val="24"/>
          <w:highlight w:val="none"/>
          <w:lang w:eastAsia="zh-CN"/>
        </w:rPr>
      </w:pPr>
      <w:r>
        <w:rPr>
          <w:rFonts w:hint="eastAsia" w:ascii="宋体" w:hAnsi="宋体" w:eastAsia="宋体" w:cs="宋体"/>
          <w:sz w:val="24"/>
          <w:szCs w:val="24"/>
          <w:highlight w:val="none"/>
          <w:lang w:val="en-US" w:eastAsia="zh-CN"/>
        </w:rPr>
        <w:t>4.检定过程中使用的检定装置应符合《液化天然气加气机检定规程》（JJG1114-2015）中，对检定装置的要求。</w:t>
      </w:r>
    </w:p>
    <w:p>
      <w:pPr>
        <w:numPr>
          <w:ilvl w:val="0"/>
          <w:numId w:val="1"/>
        </w:numPr>
        <w:snapToGrid w:val="0"/>
        <w:ind w:firstLine="0" w:firstLineChars="0"/>
        <w:outlineLvl w:val="1"/>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供货范围</w:t>
      </w:r>
    </w:p>
    <w:p>
      <w:pPr>
        <w:pStyle w:val="2"/>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kern w:val="0"/>
          <w:sz w:val="24"/>
          <w:szCs w:val="22"/>
          <w:highlight w:val="none"/>
          <w:lang w:val="en-US" w:eastAsia="zh-CN" w:bidi="ar-SA"/>
        </w:rPr>
        <w:t>（1）采购人与应答人的工作界面划分</w:t>
      </w:r>
    </w:p>
    <w:p>
      <w:pPr>
        <w:pStyle w:val="12"/>
        <w:spacing w:line="288" w:lineRule="auto"/>
        <w:ind w:firstLine="480"/>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kern w:val="0"/>
          <w:sz w:val="24"/>
          <w:szCs w:val="22"/>
          <w:highlight w:val="none"/>
          <w:lang w:val="en-US" w:eastAsia="zh-CN" w:bidi="ar-SA"/>
        </w:rPr>
        <w:t>采购人：根据自身要求提出采购需求。</w:t>
      </w:r>
    </w:p>
    <w:p>
      <w:pPr>
        <w:pStyle w:val="12"/>
        <w:spacing w:line="360" w:lineRule="auto"/>
        <w:ind w:firstLine="480"/>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kern w:val="0"/>
          <w:sz w:val="24"/>
          <w:szCs w:val="22"/>
          <w:highlight w:val="none"/>
          <w:lang w:val="en-US" w:eastAsia="zh-CN" w:bidi="ar-SA"/>
        </w:rPr>
        <w:t>应答人：</w:t>
      </w:r>
    </w:p>
    <w:p>
      <w:pPr>
        <w:pStyle w:val="12"/>
        <w:spacing w:line="360" w:lineRule="auto"/>
        <w:ind w:firstLine="480"/>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kern w:val="0"/>
          <w:sz w:val="24"/>
          <w:szCs w:val="22"/>
          <w:highlight w:val="none"/>
          <w:lang w:val="en-US" w:eastAsia="zh-CN" w:bidi="ar-SA"/>
        </w:rPr>
        <w:t>1、依据工作标准要求，配备检定人员开展检定服务工作，并出具能够完全反映设备现有状况的检定证书；</w:t>
      </w:r>
    </w:p>
    <w:p>
      <w:pPr>
        <w:pStyle w:val="12"/>
        <w:spacing w:line="360" w:lineRule="auto"/>
        <w:ind w:firstLine="480"/>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kern w:val="0"/>
          <w:sz w:val="24"/>
          <w:szCs w:val="22"/>
          <w:highlight w:val="none"/>
          <w:lang w:val="en-US" w:eastAsia="zh-CN" w:bidi="ar-SA"/>
        </w:rPr>
        <w:t>2、检定证书应当完整、真实、准确，能完全反映设备现有状况；</w:t>
      </w:r>
    </w:p>
    <w:p>
      <w:pPr>
        <w:pStyle w:val="12"/>
        <w:spacing w:line="360" w:lineRule="auto"/>
        <w:ind w:firstLine="480"/>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kern w:val="0"/>
          <w:sz w:val="24"/>
          <w:szCs w:val="22"/>
          <w:highlight w:val="none"/>
          <w:lang w:val="en-US" w:eastAsia="zh-CN" w:bidi="ar-SA"/>
        </w:rPr>
        <w:t>3、因采购人加气机故障等原因无法完成检定的，则不收取相应费用，最终按完成检定实际数量结算；</w:t>
      </w:r>
    </w:p>
    <w:p>
      <w:pPr>
        <w:pStyle w:val="12"/>
        <w:spacing w:line="360" w:lineRule="auto"/>
        <w:ind w:firstLine="480"/>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kern w:val="0"/>
          <w:sz w:val="24"/>
          <w:szCs w:val="22"/>
          <w:highlight w:val="none"/>
          <w:lang w:val="en-US" w:eastAsia="zh-CN" w:bidi="ar-SA"/>
        </w:rPr>
        <w:t>4、检定期间所涉及的食宿、差旅、往返运费等均由应答人负责。</w:t>
      </w:r>
    </w:p>
    <w:p>
      <w:pPr>
        <w:pStyle w:val="2"/>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kern w:val="0"/>
          <w:sz w:val="24"/>
          <w:szCs w:val="22"/>
          <w:highlight w:val="none"/>
          <w:lang w:val="en-US" w:eastAsia="zh-CN" w:bidi="ar-SA"/>
        </w:rPr>
        <w:t>（2）应答人最终交付的成果清单</w:t>
      </w:r>
    </w:p>
    <w:p>
      <w:pPr>
        <w:pStyle w:val="12"/>
        <w:ind w:left="0" w:leftChars="0" w:firstLine="480" w:firstLineChars="0"/>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kern w:val="0"/>
          <w:sz w:val="24"/>
          <w:szCs w:val="22"/>
          <w:highlight w:val="none"/>
          <w:lang w:val="en-US" w:eastAsia="zh-CN" w:bidi="ar-SA"/>
        </w:rPr>
        <w:t>提供满足采购人要求的检定服务，并出具符合计量管理要求的检定证书。</w:t>
      </w:r>
    </w:p>
    <w:p>
      <w:pPr>
        <w:numPr>
          <w:ilvl w:val="0"/>
          <w:numId w:val="1"/>
        </w:numPr>
        <w:snapToGrid w:val="0"/>
        <w:ind w:firstLine="0" w:firstLineChars="0"/>
        <w:outlineLvl w:val="1"/>
        <w:rPr>
          <w:rFonts w:hint="default"/>
          <w:sz w:val="24"/>
          <w:szCs w:val="24"/>
          <w:highlight w:val="none"/>
          <w:lang w:val="en-US" w:eastAsia="zh-CN"/>
        </w:rPr>
      </w:pPr>
      <w:r>
        <w:rPr>
          <w:rFonts w:hint="eastAsia" w:ascii="宋体" w:hAnsi="宋体" w:eastAsia="宋体" w:cs="宋体"/>
          <w:b/>
          <w:bCs/>
          <w:sz w:val="24"/>
          <w:szCs w:val="24"/>
          <w:highlight w:val="none"/>
          <w:lang w:val="en-US" w:eastAsia="zh-CN"/>
        </w:rPr>
        <w:t>工作量清单</w:t>
      </w:r>
    </w:p>
    <w:tbl>
      <w:tblPr>
        <w:tblStyle w:val="10"/>
        <w:tblW w:w="8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8"/>
        <w:gridCol w:w="1808"/>
        <w:gridCol w:w="764"/>
        <w:gridCol w:w="826"/>
        <w:gridCol w:w="1273"/>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078"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场站</w:t>
            </w:r>
          </w:p>
        </w:tc>
        <w:tc>
          <w:tcPr>
            <w:tcW w:w="180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设备名称</w:t>
            </w:r>
          </w:p>
        </w:tc>
        <w:tc>
          <w:tcPr>
            <w:tcW w:w="764"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826"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273"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检定周期</w:t>
            </w:r>
          </w:p>
        </w:tc>
        <w:tc>
          <w:tcPr>
            <w:tcW w:w="1418"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官庄加气站</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LNG加气机</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6个月</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4机6枪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西韩加气站</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LNG加气机</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6个月</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4机4枪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2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高寺台加气站</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LNG加气机</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6个月</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2机2枪</w:t>
            </w:r>
          </w:p>
        </w:tc>
      </w:tr>
    </w:tbl>
    <w:p>
      <w:pPr>
        <w:ind w:firstLine="0" w:firstLineChars="0"/>
        <w:rPr>
          <w:highlight w:val="none"/>
        </w:rPr>
      </w:pPr>
      <w:r>
        <w:rPr>
          <w:rFonts w:hint="eastAsia" w:ascii="宋体" w:hAnsi="宋体" w:eastAsia="宋体" w:cs="宋体"/>
          <w:sz w:val="21"/>
          <w:szCs w:val="21"/>
          <w:highlight w:val="none"/>
          <w:lang w:val="en-US" w:eastAsia="zh-CN"/>
        </w:rPr>
        <w:t>其他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以上</w:t>
      </w:r>
      <w:r>
        <w:rPr>
          <w:rFonts w:hint="eastAsia" w:ascii="宋体" w:hAnsi="宋体" w:eastAsia="宋体" w:cs="宋体"/>
          <w:sz w:val="21"/>
          <w:szCs w:val="21"/>
          <w:highlight w:val="none"/>
          <w:lang w:val="zh-CN" w:eastAsia="zh-CN"/>
        </w:rPr>
        <w:t>采购</w:t>
      </w:r>
      <w:r>
        <w:rPr>
          <w:rFonts w:hint="eastAsia" w:ascii="宋体" w:hAnsi="宋体" w:eastAsia="宋体" w:cs="宋体"/>
          <w:sz w:val="21"/>
          <w:szCs w:val="21"/>
          <w:highlight w:val="none"/>
          <w:lang w:eastAsia="zh-CN"/>
        </w:rPr>
        <w:t>数量为预估数量，以实际订单量为准，买方不承诺最低</w:t>
      </w:r>
      <w:r>
        <w:rPr>
          <w:rFonts w:hint="eastAsia" w:ascii="宋体" w:hAnsi="宋体" w:eastAsia="宋体" w:cs="宋体"/>
          <w:sz w:val="21"/>
          <w:szCs w:val="21"/>
          <w:highlight w:val="none"/>
          <w:lang w:val="en-US" w:eastAsia="zh-CN"/>
        </w:rPr>
        <w:t>采购量</w:t>
      </w:r>
      <w:r>
        <w:rPr>
          <w:rFonts w:hint="eastAsia" w:ascii="宋体" w:hAnsi="宋体" w:eastAsia="宋体" w:cs="宋体"/>
          <w:sz w:val="21"/>
          <w:szCs w:val="21"/>
          <w:highlight w:val="none"/>
          <w:lang w:eastAsia="zh-CN"/>
        </w:rPr>
        <w:t>。</w:t>
      </w:r>
    </w:p>
    <w:p>
      <w:pPr>
        <w:pStyle w:val="2"/>
        <w:ind w:left="0" w:leftChars="0" w:firstLine="0" w:firstLineChars="0"/>
        <w:rPr>
          <w:rFonts w:hint="default"/>
          <w:highlight w:val="none"/>
          <w:lang w:val="en-US" w:eastAsia="zh-CN"/>
        </w:rPr>
      </w:pPr>
    </w:p>
    <w:p>
      <w:pPr>
        <w:numPr>
          <w:ilvl w:val="0"/>
          <w:numId w:val="1"/>
        </w:numPr>
        <w:snapToGrid w:val="0"/>
        <w:ind w:firstLine="0" w:firstLineChars="0"/>
        <w:outlineLvl w:val="1"/>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服务期及里程碑计划</w:t>
      </w:r>
    </w:p>
    <w:p>
      <w:pPr>
        <w:numPr>
          <w:ilvl w:val="0"/>
          <w:numId w:val="0"/>
        </w:numPr>
        <w:snapToGrid w:val="0"/>
        <w:ind w:firstLine="480" w:firstLineChars="0"/>
        <w:outlineLvl w:val="1"/>
        <w:rPr>
          <w:rFonts w:hint="eastAsia" w:ascii="宋体" w:hAnsi="宋体" w:eastAsia="宋体" w:cs="宋体"/>
          <w:iCs/>
          <w:kern w:val="0"/>
          <w:sz w:val="24"/>
          <w:szCs w:val="20"/>
          <w:highlight w:val="none"/>
          <w:lang w:val="en-US" w:eastAsia="zh-CN"/>
        </w:rPr>
      </w:pPr>
      <w:r>
        <w:rPr>
          <w:rFonts w:hint="eastAsia" w:ascii="宋体" w:hAnsi="宋体" w:eastAsia="宋体" w:cs="宋体"/>
          <w:sz w:val="24"/>
          <w:highlight w:val="none"/>
          <w:lang w:val="en-US" w:eastAsia="zh-CN"/>
        </w:rPr>
        <w:t>本项目供货期为3年</w:t>
      </w:r>
      <w:r>
        <w:rPr>
          <w:rFonts w:hint="eastAsia" w:ascii="宋体" w:hAnsi="宋体" w:eastAsia="宋体" w:cs="宋体"/>
          <w:iCs/>
          <w:kern w:val="0"/>
          <w:sz w:val="24"/>
          <w:szCs w:val="20"/>
          <w:highlight w:val="none"/>
          <w:lang w:val="en-US" w:eastAsia="zh-CN"/>
        </w:rPr>
        <w:t>，采用1+1+1年模式签订合同，即在每一年度合同期到期前，采购人对应答人进行履约评价，若评价合格，采购人有权根据实际需求决定继续履行或终止本合同，并书面通知应答人，每年度以此类推。如评价不合格，采购人有权终止合同。</w:t>
      </w:r>
    </w:p>
    <w:p>
      <w:pPr>
        <w:numPr>
          <w:ilvl w:val="0"/>
          <w:numId w:val="0"/>
        </w:numPr>
        <w:snapToGrid w:val="0"/>
        <w:spacing w:line="360" w:lineRule="auto"/>
        <w:ind w:firstLine="480" w:firstLineChars="0"/>
        <w:outlineLvl w:val="1"/>
        <w:rPr>
          <w:rFonts w:hint="eastAsia" w:ascii="宋体" w:hAnsi="宋体" w:eastAsia="宋体" w:cs="宋体"/>
          <w:sz w:val="24"/>
          <w:szCs w:val="22"/>
          <w:highlight w:val="none"/>
          <w:lang w:val="en-US" w:eastAsia="zh-CN" w:bidi="ar"/>
        </w:rPr>
      </w:pPr>
      <w:r>
        <w:rPr>
          <w:rFonts w:hint="eastAsia" w:ascii="宋体" w:hAnsi="宋体" w:eastAsia="宋体" w:cs="宋体"/>
          <w:i w:val="0"/>
          <w:iCs w:val="0"/>
          <w:kern w:val="2"/>
          <w:sz w:val="24"/>
          <w:szCs w:val="22"/>
          <w:highlight w:val="none"/>
          <w:lang w:val="en-US" w:eastAsia="zh-CN"/>
        </w:rPr>
        <w:t>合同服务期内，采购人根据自身需求向应答人发出需求订单，应答人在收到需求订单后15个工作日内</w:t>
      </w:r>
      <w:r>
        <w:rPr>
          <w:rFonts w:hint="eastAsia" w:ascii="Times New Roman" w:hAnsi="Times New Roman" w:eastAsia="宋体" w:cs="Times New Roman"/>
          <w:kern w:val="2"/>
          <w:sz w:val="24"/>
          <w:szCs w:val="24"/>
          <w:highlight w:val="none"/>
          <w:lang w:val="zh-CN" w:eastAsia="zh-CN" w:bidi="ar-SA"/>
        </w:rPr>
        <w:t>到达</w:t>
      </w:r>
      <w:r>
        <w:rPr>
          <w:rFonts w:hint="eastAsia" w:ascii="Times New Roman" w:hAnsi="Times New Roman" w:eastAsia="宋体" w:cs="Times New Roman"/>
          <w:kern w:val="2"/>
          <w:sz w:val="24"/>
          <w:szCs w:val="24"/>
          <w:highlight w:val="none"/>
          <w:lang w:val="en-US" w:eastAsia="zh-CN" w:bidi="ar-SA"/>
        </w:rPr>
        <w:t>指定</w:t>
      </w:r>
      <w:r>
        <w:rPr>
          <w:rFonts w:hint="eastAsia" w:ascii="Times New Roman" w:hAnsi="Times New Roman" w:eastAsia="宋体" w:cs="Times New Roman"/>
          <w:kern w:val="2"/>
          <w:sz w:val="24"/>
          <w:szCs w:val="24"/>
          <w:highlight w:val="none"/>
          <w:lang w:val="zh-CN" w:eastAsia="zh-CN" w:bidi="ar-SA"/>
        </w:rPr>
        <w:t>地点</w:t>
      </w:r>
      <w:r>
        <w:rPr>
          <w:rFonts w:hint="eastAsia" w:ascii="Times New Roman" w:hAnsi="Times New Roman" w:eastAsia="宋体" w:cs="Times New Roman"/>
          <w:kern w:val="2"/>
          <w:sz w:val="24"/>
          <w:szCs w:val="24"/>
          <w:highlight w:val="none"/>
          <w:lang w:val="en-US" w:eastAsia="zh-CN" w:bidi="ar-SA"/>
        </w:rPr>
        <w:t>开展服务</w:t>
      </w:r>
      <w:r>
        <w:rPr>
          <w:rFonts w:hint="eastAsia" w:ascii="宋体" w:hAnsi="宋体" w:eastAsia="宋体" w:cs="宋体"/>
          <w:kern w:val="2"/>
          <w:sz w:val="24"/>
          <w:szCs w:val="22"/>
          <w:highlight w:val="none"/>
          <w:lang w:val="en-US" w:eastAsia="zh-CN" w:bidi="ar"/>
        </w:rPr>
        <w:t>。</w:t>
      </w:r>
    </w:p>
    <w:p>
      <w:pPr>
        <w:pStyle w:val="13"/>
        <w:rPr>
          <w:rFonts w:hint="default"/>
          <w:highlight w:val="none"/>
          <w:lang w:val="en-US" w:eastAsia="zh-CN"/>
        </w:rPr>
      </w:pPr>
    </w:p>
    <w:p>
      <w:pPr>
        <w:numPr>
          <w:ilvl w:val="0"/>
          <w:numId w:val="1"/>
        </w:numPr>
        <w:snapToGrid w:val="0"/>
        <w:ind w:firstLine="0" w:firstLineChars="0"/>
        <w:outlineLvl w:val="1"/>
        <w:rPr>
          <w:rFonts w:hint="default"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交付形式</w:t>
      </w:r>
    </w:p>
    <w:p>
      <w:pPr>
        <w:numPr>
          <w:ilvl w:val="0"/>
          <w:numId w:val="0"/>
        </w:numPr>
        <w:snapToGrid w:val="0"/>
        <w:ind w:firstLine="480" w:firstLineChars="200"/>
        <w:outlineLvl w:val="1"/>
        <w:rPr>
          <w:rFonts w:hint="eastAsia" w:ascii="宋体" w:hAnsi="宋体" w:eastAsia="宋体" w:cs="宋体"/>
          <w:b w:val="0"/>
          <w:bCs w:val="0"/>
          <w:kern w:val="0"/>
          <w:sz w:val="24"/>
          <w:szCs w:val="20"/>
          <w:highlight w:val="none"/>
          <w:lang w:val="en-US" w:eastAsia="zh-CN"/>
        </w:rPr>
      </w:pPr>
      <w:r>
        <w:rPr>
          <w:rFonts w:hint="eastAsia" w:ascii="宋体" w:hAnsi="宋体" w:eastAsia="宋体" w:cs="宋体"/>
          <w:b w:val="0"/>
          <w:bCs w:val="0"/>
          <w:kern w:val="0"/>
          <w:sz w:val="24"/>
          <w:szCs w:val="20"/>
          <w:highlight w:val="none"/>
          <w:lang w:val="en-US" w:eastAsia="zh-CN"/>
        </w:rPr>
        <w:t>交货地点包括但不限于：</w:t>
      </w:r>
    </w:p>
    <w:tbl>
      <w:tblPr>
        <w:tblStyle w:val="10"/>
        <w:tblW w:w="9207"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82"/>
        <w:gridCol w:w="6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2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76"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站点名称</w:t>
            </w:r>
          </w:p>
        </w:tc>
        <w:tc>
          <w:tcPr>
            <w:tcW w:w="6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2"/>
                <w:sz w:val="21"/>
                <w:szCs w:val="21"/>
                <w:highlight w:val="none"/>
                <w:u w:val="none"/>
                <w:lang w:val="en-US" w:eastAsia="zh-CN" w:bidi="ar-SA"/>
              </w:rPr>
              <w:t>服务地点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2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color w:val="000000"/>
                <w:kern w:val="0"/>
                <w:sz w:val="24"/>
                <w:szCs w:val="24"/>
                <w:highlight w:val="none"/>
                <w:u w:val="none"/>
                <w:lang w:bidi="ar"/>
              </w:rPr>
            </w:pPr>
            <w:r>
              <w:rPr>
                <w:rFonts w:hint="eastAsia" w:ascii="宋体" w:hAnsi="宋体" w:eastAsia="宋体" w:cs="宋体"/>
                <w:color w:val="000000"/>
                <w:kern w:val="0"/>
                <w:sz w:val="24"/>
                <w:szCs w:val="24"/>
                <w:highlight w:val="none"/>
                <w:u w:val="none"/>
                <w:lang w:val="en-US" w:eastAsia="zh-CN" w:bidi="ar"/>
              </w:rPr>
              <w:t>西韩加气站</w:t>
            </w:r>
          </w:p>
        </w:tc>
        <w:tc>
          <w:tcPr>
            <w:tcW w:w="6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24"/>
                <w:szCs w:val="24"/>
                <w:highlight w:val="none"/>
                <w:u w:val="none"/>
                <w:lang w:bidi="ar"/>
              </w:rPr>
            </w:pPr>
            <w:r>
              <w:rPr>
                <w:rFonts w:hint="eastAsia" w:ascii="宋体" w:hAnsi="宋体" w:eastAsia="宋体" w:cs="宋体"/>
                <w:color w:val="000000"/>
                <w:kern w:val="0"/>
                <w:sz w:val="24"/>
                <w:szCs w:val="24"/>
                <w:highlight w:val="none"/>
                <w:u w:val="none"/>
                <w:lang w:val="en-US" w:eastAsia="zh-CN" w:bidi="ar"/>
              </w:rPr>
              <w:t>河北省石家庄市高邑县107国道中海油加气站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2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color w:val="000000"/>
                <w:kern w:val="0"/>
                <w:sz w:val="24"/>
                <w:szCs w:val="24"/>
                <w:highlight w:val="none"/>
                <w:u w:val="none"/>
                <w:lang w:bidi="ar"/>
              </w:rPr>
            </w:pPr>
            <w:r>
              <w:rPr>
                <w:rFonts w:hint="eastAsia" w:ascii="宋体" w:hAnsi="宋体" w:eastAsia="宋体" w:cs="宋体"/>
                <w:color w:val="000000"/>
                <w:kern w:val="0"/>
                <w:sz w:val="24"/>
                <w:szCs w:val="24"/>
                <w:highlight w:val="none"/>
                <w:u w:val="none"/>
                <w:lang w:val="en-US" w:eastAsia="zh-CN" w:bidi="ar"/>
              </w:rPr>
              <w:t>官庄加气站</w:t>
            </w:r>
          </w:p>
        </w:tc>
        <w:tc>
          <w:tcPr>
            <w:tcW w:w="6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color w:val="000000"/>
                <w:kern w:val="0"/>
                <w:sz w:val="24"/>
                <w:szCs w:val="24"/>
                <w:highlight w:val="none"/>
                <w:u w:val="none"/>
                <w:lang w:bidi="ar"/>
              </w:rPr>
            </w:pPr>
            <w:r>
              <w:rPr>
                <w:rFonts w:hint="eastAsia" w:ascii="宋体" w:hAnsi="宋体" w:eastAsia="宋体" w:cs="宋体"/>
                <w:color w:val="000000"/>
                <w:kern w:val="0"/>
                <w:sz w:val="24"/>
                <w:szCs w:val="24"/>
                <w:highlight w:val="none"/>
                <w:u w:val="none"/>
                <w:lang w:val="en-US" w:eastAsia="zh-CN" w:bidi="ar"/>
              </w:rPr>
              <w:t>河北省衡水市武邑县106国道东侧中海油加气站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2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高寺台加气站</w:t>
            </w:r>
          </w:p>
        </w:tc>
        <w:tc>
          <w:tcPr>
            <w:tcW w:w="6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河北省承德市承德县高寺台镇高寺台大桥南侧1幢</w:t>
            </w:r>
          </w:p>
        </w:tc>
      </w:tr>
    </w:tbl>
    <w:p>
      <w:pPr>
        <w:pStyle w:val="7"/>
        <w:ind w:left="0" w:leftChars="0" w:firstLine="480" w:firstLineChars="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lang w:val="en-US" w:eastAsia="zh-CN"/>
        </w:rPr>
        <w:t>采购人采购的省份内指定的其他地址</w:t>
      </w:r>
      <w:r>
        <w:rPr>
          <w:rFonts w:hint="eastAsia" w:eastAsia="宋体" w:cs="宋体"/>
          <w:kern w:val="0"/>
          <w:sz w:val="24"/>
          <w:szCs w:val="20"/>
          <w:highlight w:val="none"/>
          <w:lang w:val="en-US" w:eastAsia="zh-CN"/>
        </w:rPr>
        <w:t>，</w:t>
      </w:r>
      <w:r>
        <w:rPr>
          <w:rFonts w:hint="eastAsia" w:eastAsia="宋体" w:cs="Times New Roman"/>
          <w:b w:val="0"/>
          <w:bCs w:val="0"/>
          <w:i w:val="0"/>
          <w:iCs w:val="0"/>
          <w:kern w:val="2"/>
          <w:sz w:val="24"/>
          <w:szCs w:val="24"/>
          <w:highlight w:val="none"/>
          <w:lang w:val="en-US" w:eastAsia="zh-CN" w:bidi="ar-SA"/>
        </w:rPr>
        <w:t>服务地点</w:t>
      </w:r>
      <w:r>
        <w:rPr>
          <w:rFonts w:hint="eastAsia" w:ascii="宋体" w:hAnsi="宋体" w:eastAsia="宋体" w:cs="Times New Roman"/>
          <w:b w:val="0"/>
          <w:bCs w:val="0"/>
          <w:i w:val="0"/>
          <w:iCs w:val="0"/>
          <w:kern w:val="2"/>
          <w:sz w:val="24"/>
          <w:szCs w:val="24"/>
          <w:highlight w:val="none"/>
          <w:lang w:val="en-US" w:eastAsia="zh-CN" w:bidi="ar-SA"/>
        </w:rPr>
        <w:t>根据实际经营情况，站点数量及</w:t>
      </w:r>
      <w:r>
        <w:rPr>
          <w:rFonts w:hint="eastAsia" w:eastAsia="宋体" w:cs="Times New Roman"/>
          <w:b w:val="0"/>
          <w:bCs w:val="0"/>
          <w:i w:val="0"/>
          <w:iCs w:val="0"/>
          <w:kern w:val="2"/>
          <w:sz w:val="24"/>
          <w:szCs w:val="24"/>
          <w:highlight w:val="none"/>
          <w:lang w:val="en-US" w:eastAsia="zh-CN" w:bidi="ar-SA"/>
        </w:rPr>
        <w:t>服务</w:t>
      </w:r>
      <w:r>
        <w:rPr>
          <w:rFonts w:hint="eastAsia" w:ascii="宋体" w:hAnsi="宋体" w:eastAsia="宋体" w:cs="Times New Roman"/>
          <w:b w:val="0"/>
          <w:bCs w:val="0"/>
          <w:i w:val="0"/>
          <w:iCs w:val="0"/>
          <w:kern w:val="2"/>
          <w:sz w:val="24"/>
          <w:szCs w:val="24"/>
          <w:highlight w:val="none"/>
          <w:lang w:val="en-US" w:eastAsia="zh-CN" w:bidi="ar-SA"/>
        </w:rPr>
        <w:t>地点可调整。</w:t>
      </w:r>
    </w:p>
    <w:p>
      <w:pPr>
        <w:numPr>
          <w:ilvl w:val="0"/>
          <w:numId w:val="1"/>
        </w:numPr>
        <w:snapToGrid w:val="0"/>
        <w:ind w:firstLine="0" w:firstLineChars="0"/>
        <w:outlineLvl w:val="1"/>
        <w:rPr>
          <w:rFonts w:hint="eastAsia" w:ascii="宋体" w:hAnsi="宋体" w:eastAsia="宋体" w:cs="宋体"/>
          <w:b w:val="0"/>
          <w:bCs w:val="0"/>
          <w:sz w:val="24"/>
          <w:highlight w:val="none"/>
          <w:lang w:val="en-US" w:eastAsia="zh-CN"/>
        </w:rPr>
      </w:pPr>
      <w:r>
        <w:rPr>
          <w:rFonts w:hint="eastAsia" w:ascii="宋体" w:hAnsi="宋体" w:eastAsia="宋体" w:cs="宋体"/>
          <w:b/>
          <w:bCs/>
          <w:sz w:val="24"/>
          <w:highlight w:val="none"/>
          <w:lang w:val="en-US" w:eastAsia="zh-CN"/>
        </w:rPr>
        <w:t>验收方式及验收标准</w:t>
      </w:r>
    </w:p>
    <w:p>
      <w:pPr>
        <w:numPr>
          <w:ilvl w:val="0"/>
          <w:numId w:val="0"/>
        </w:numPr>
        <w:ind w:left="0" w:leftChars="0" w:firstLine="480" w:firstLineChars="200"/>
        <w:outlineLvl w:val="1"/>
      </w:pPr>
      <w:r>
        <w:rPr>
          <w:rFonts w:hint="eastAsia" w:ascii="宋体" w:hAnsi="宋体" w:eastAsia="宋体" w:cs="宋体"/>
          <w:kern w:val="0"/>
          <w:sz w:val="24"/>
          <w:szCs w:val="20"/>
          <w:highlight w:val="none"/>
        </w:rPr>
        <w:t>在收到所检定</w:t>
      </w:r>
      <w:r>
        <w:rPr>
          <w:rFonts w:hint="eastAsia" w:ascii="宋体" w:hAnsi="宋体" w:eastAsia="宋体" w:cs="宋体"/>
          <w:kern w:val="0"/>
          <w:sz w:val="24"/>
          <w:szCs w:val="20"/>
          <w:highlight w:val="none"/>
          <w:lang w:val="en-US" w:eastAsia="zh-CN"/>
        </w:rPr>
        <w:t>LNG加气机</w:t>
      </w:r>
      <w:r>
        <w:rPr>
          <w:rFonts w:hint="eastAsia" w:ascii="宋体" w:hAnsi="宋体" w:eastAsia="宋体" w:cs="宋体"/>
          <w:kern w:val="0"/>
          <w:sz w:val="24"/>
          <w:szCs w:val="20"/>
          <w:highlight w:val="none"/>
        </w:rPr>
        <w:t>的能够完全反映设备现有状况相关证书以及完成在属地直属</w:t>
      </w:r>
      <w:r>
        <w:rPr>
          <w:rFonts w:hint="eastAsia" w:ascii="宋体" w:hAnsi="宋体" w:eastAsia="宋体" w:cs="宋体"/>
          <w:kern w:val="0"/>
          <w:sz w:val="24"/>
          <w:szCs w:val="20"/>
          <w:highlight w:val="none"/>
          <w:lang w:val="en-US" w:eastAsia="zh-CN"/>
        </w:rPr>
        <w:t>计量</w:t>
      </w:r>
      <w:r>
        <w:rPr>
          <w:rFonts w:hint="eastAsia" w:ascii="宋体" w:hAnsi="宋体" w:eastAsia="宋体" w:cs="宋体"/>
          <w:kern w:val="0"/>
          <w:sz w:val="24"/>
          <w:szCs w:val="20"/>
          <w:highlight w:val="none"/>
        </w:rPr>
        <w:t>部门备案，并开具有效发票后，支付相应款项</w:t>
      </w:r>
      <w:r>
        <w:rPr>
          <w:rFonts w:hint="eastAsia" w:ascii="宋体" w:hAnsi="宋体" w:eastAsia="宋体" w:cs="宋体"/>
          <w:kern w:val="0"/>
          <w:sz w:val="24"/>
          <w:szCs w:val="20"/>
          <w:highlight w:val="none"/>
          <w:lang w:eastAsia="zh-CN"/>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5E4695"/>
    <w:multiLevelType w:val="singleLevel"/>
    <w:tmpl w:val="505E4695"/>
    <w:lvl w:ilvl="0" w:tentative="0">
      <w:start w:val="1"/>
      <w:numFmt w:val="chineseCounting"/>
      <w:suff w:val="nothing"/>
      <w:lvlText w:val="%1、"/>
      <w:lvlJc w:val="left"/>
      <w:pPr>
        <w:ind w:left="0" w:firstLine="420"/>
      </w:pPr>
      <w:rPr>
        <w:rFonts w:hint="eastAsia" w:ascii="宋体" w:hAnsi="宋体" w:eastAsia="宋体" w:cs="宋体"/>
        <w:b/>
        <w:bCs/>
      </w:rPr>
    </w:lvl>
  </w:abstractNum>
  <w:abstractNum w:abstractNumId="1">
    <w:nsid w:val="72DFC781"/>
    <w:multiLevelType w:val="singleLevel"/>
    <w:tmpl w:val="72DFC78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209CC"/>
    <w:rsid w:val="6DC9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_GB2312" w:cs="Times New Roman"/>
      <w:kern w:val="2"/>
      <w:sz w:val="28"/>
      <w:szCs w:val="2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val="0"/>
      <w:overflowPunct/>
      <w:autoSpaceDE/>
      <w:autoSpaceDN/>
      <w:adjustRightInd/>
      <w:spacing w:after="120"/>
      <w:ind w:firstLine="420" w:firstLineChars="100"/>
      <w:jc w:val="both"/>
      <w:textAlignment w:val="auto"/>
    </w:pPr>
    <w:rPr>
      <w:rFonts w:ascii="Calibri" w:hAnsi="Calibri" w:eastAsia="宋体" w:cs="宋体"/>
      <w:kern w:val="2"/>
      <w:sz w:val="21"/>
      <w:szCs w:val="22"/>
    </w:rPr>
  </w:style>
  <w:style w:type="paragraph" w:styleId="3">
    <w:name w:val="Body Text"/>
    <w:basedOn w:val="1"/>
    <w:next w:val="1"/>
    <w:qFormat/>
    <w:uiPriority w:val="0"/>
    <w:pPr>
      <w:widowControl/>
      <w:overflowPunct w:val="0"/>
      <w:autoSpaceDE w:val="0"/>
      <w:autoSpaceDN w:val="0"/>
      <w:adjustRightInd w:val="0"/>
      <w:jc w:val="left"/>
      <w:textAlignment w:val="baseline"/>
    </w:pPr>
    <w:rPr>
      <w:rFonts w:ascii="楷体" w:eastAsia="楷体"/>
      <w:i/>
      <w:iCs/>
      <w:kern w:val="0"/>
      <w:sz w:val="20"/>
      <w:szCs w:val="20"/>
    </w:rPr>
  </w:style>
  <w:style w:type="paragraph" w:styleId="4">
    <w:name w:val="toc 6"/>
    <w:basedOn w:val="1"/>
    <w:next w:val="1"/>
    <w:qFormat/>
    <w:uiPriority w:val="0"/>
    <w:pPr>
      <w:widowControl/>
      <w:overflowPunct w:val="0"/>
      <w:autoSpaceDE w:val="0"/>
      <w:autoSpaceDN w:val="0"/>
      <w:adjustRightInd w:val="0"/>
      <w:ind w:left="1000"/>
      <w:jc w:val="left"/>
      <w:textAlignment w:val="baseline"/>
    </w:pPr>
    <w:rPr>
      <w:rFonts w:ascii="Times New Roman" w:hAnsi="Times New Roman" w:cs="Times New Roman"/>
      <w:kern w:val="0"/>
      <w:sz w:val="18"/>
      <w:szCs w:val="20"/>
      <w:lang w:eastAsia="en-US"/>
    </w:rPr>
  </w:style>
  <w:style w:type="paragraph" w:styleId="5">
    <w:name w:val="Body Text Indent"/>
    <w:basedOn w:val="1"/>
    <w:qFormat/>
    <w:uiPriority w:val="99"/>
    <w:pPr>
      <w:snapToGrid w:val="0"/>
      <w:spacing w:line="324" w:lineRule="auto"/>
      <w:ind w:left="848" w:leftChars="404" w:firstLine="480" w:firstLineChars="200"/>
    </w:pPr>
    <w:rPr>
      <w:rFonts w:ascii="宋体" w:hAnsi="宋体"/>
      <w:iCs/>
      <w:kern w:val="0"/>
      <w:sz w:val="24"/>
      <w:szCs w:val="20"/>
    </w:rPr>
  </w:style>
  <w:style w:type="paragraph" w:styleId="6">
    <w:name w:val="footer"/>
    <w:basedOn w:val="1"/>
    <w:unhideWhenUsed/>
    <w:qFormat/>
    <w:uiPriority w:val="99"/>
    <w:pPr>
      <w:tabs>
        <w:tab w:val="center" w:pos="4153"/>
        <w:tab w:val="right" w:pos="8306"/>
      </w:tabs>
      <w:snapToGrid w:val="0"/>
      <w:spacing w:line="240" w:lineRule="auto"/>
      <w:ind w:firstLine="0" w:firstLineChars="0"/>
      <w:jc w:val="left"/>
    </w:pPr>
    <w:rPr>
      <w:rFonts w:ascii="Calibri" w:hAnsi="Calibri" w:eastAsia="宋体" w:cs="Times New Roman"/>
      <w:sz w:val="18"/>
      <w:szCs w:val="18"/>
    </w:rPr>
  </w:style>
  <w:style w:type="paragraph" w:styleId="7">
    <w:name w:val="Body Text First Indent 2"/>
    <w:basedOn w:val="5"/>
    <w:next w:val="8"/>
    <w:qFormat/>
    <w:uiPriority w:val="0"/>
    <w:pPr>
      <w:widowControl/>
      <w:spacing w:after="120" w:line="360" w:lineRule="auto"/>
      <w:ind w:left="420" w:firstLine="210"/>
      <w:jc w:val="left"/>
    </w:pPr>
  </w:style>
  <w:style w:type="paragraph" w:customStyle="1" w:styleId="8">
    <w:name w:val="Body Text"/>
    <w:basedOn w:val="9"/>
    <w:next w:val="2"/>
    <w:qFormat/>
    <w:uiPriority w:val="0"/>
    <w:pPr>
      <w:widowControl/>
      <w:overflowPunct w:val="0"/>
      <w:autoSpaceDE w:val="0"/>
      <w:autoSpaceDN w:val="0"/>
      <w:adjustRightInd w:val="0"/>
      <w:jc w:val="left"/>
      <w:textAlignment w:val="baseline"/>
    </w:pPr>
    <w:rPr>
      <w:rFonts w:ascii="楷体" w:hAnsi="Times New Roman" w:eastAsia="楷体" w:cs="Times New Roman"/>
      <w:i/>
      <w:iCs/>
      <w:kern w:val="0"/>
      <w:sz w:val="20"/>
      <w:szCs w:val="20"/>
    </w:rPr>
  </w:style>
  <w:style w:type="paragraph" w:customStyle="1" w:styleId="9">
    <w:name w:val="Normal_0"/>
    <w:next w:val="7"/>
    <w:qFormat/>
    <w:uiPriority w:val="0"/>
    <w:pPr>
      <w:widowControl w:val="0"/>
      <w:jc w:val="both"/>
    </w:pPr>
    <w:rPr>
      <w:rFonts w:ascii="Calibri" w:hAnsi="Calibri" w:eastAsia="宋体" w:cs="宋体"/>
      <w:kern w:val="2"/>
      <w:sz w:val="21"/>
      <w:szCs w:val="22"/>
      <w:lang w:val="en-US" w:eastAsia="zh-CN" w:bidi="ar-SA"/>
    </w:rPr>
  </w:style>
  <w:style w:type="paragraph" w:styleId="12">
    <w:name w:val="List Paragraph"/>
    <w:basedOn w:val="1"/>
    <w:qFormat/>
    <w:uiPriority w:val="34"/>
    <w:pPr>
      <w:widowControl/>
      <w:overflowPunct w:val="0"/>
      <w:autoSpaceDE w:val="0"/>
      <w:autoSpaceDN w:val="0"/>
      <w:adjustRightInd w:val="0"/>
      <w:ind w:firstLine="420" w:firstLineChars="200"/>
      <w:jc w:val="left"/>
      <w:textAlignment w:val="baseline"/>
    </w:pPr>
    <w:rPr>
      <w:kern w:val="0"/>
      <w:sz w:val="20"/>
      <w:szCs w:val="20"/>
      <w:lang w:eastAsia="en-US"/>
    </w:rPr>
  </w:style>
  <w:style w:type="paragraph" w:customStyle="1" w:styleId="13">
    <w:name w:val="TOC 6"/>
    <w:basedOn w:val="9"/>
    <w:next w:val="9"/>
    <w:qFormat/>
    <w:uiPriority w:val="0"/>
    <w:pPr>
      <w:widowControl/>
      <w:overflowPunct w:val="0"/>
      <w:autoSpaceDE w:val="0"/>
      <w:autoSpaceDN w:val="0"/>
      <w:adjustRightInd w:val="0"/>
      <w:ind w:left="1000"/>
      <w:jc w:val="left"/>
      <w:textAlignment w:val="baseline"/>
    </w:pPr>
    <w:rPr>
      <w:rFonts w:ascii="Times New Roman" w:hAnsi="Times New Roman" w:cs="Times New Roman"/>
      <w:kern w:val="0"/>
      <w:sz w:val="18"/>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2025-12-26T04:59:34Z</dcterms:created>
  <dc:creator>user</dc:creator>
  <cp:lastModifiedBy>戚海燕</cp:lastModifiedBy>
  <dcterms:modified xsi:type="dcterms:W3CDTF">2025-12-26T05:00:49Z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65421C6513C5441A8CD6911DD5B2ACAE</vt:lpwstr>
  </property>
</Properties>
</file>