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供应商不能简单照搬照抄磋商文件项目需求说明中的技术、商务要求，必须作实事求是的响应。如供应商提供的货物和服务同采购人提出的项目需求说明中的技术、商务要求不同的，必须在《商务部分正负偏离表》和《技术部分正负偏离表》上明示。</w:t>
      </w:r>
    </w:p>
    <w:p>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cs="宋体"/>
          <w:b/>
          <w:color w:val="auto"/>
          <w:sz w:val="28"/>
          <w:szCs w:val="28"/>
        </w:rPr>
      </w:pPr>
      <w:r>
        <w:rPr>
          <w:rFonts w:hint="eastAsia" w:ascii="宋体" w:hAnsi="宋体" w:cs="宋体"/>
          <w:b/>
          <w:bCs/>
          <w:color w:val="auto"/>
          <w:sz w:val="28"/>
          <w:szCs w:val="28"/>
        </w:rPr>
        <w:t>其内容包含：</w:t>
      </w:r>
    </w:p>
    <w:p>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ascii="宋体" w:hAnsi="宋体" w:cs="宋体"/>
          <w:b/>
          <w:bCs/>
          <w:color w:val="auto"/>
          <w:sz w:val="28"/>
          <w:szCs w:val="28"/>
        </w:rPr>
      </w:pPr>
      <w:r>
        <w:rPr>
          <w:rFonts w:hint="eastAsia" w:ascii="宋体" w:hAnsi="宋体" w:cs="宋体"/>
          <w:b/>
          <w:bCs/>
          <w:color w:val="auto"/>
          <w:sz w:val="28"/>
          <w:szCs w:val="28"/>
        </w:rPr>
        <w:t>（一）主要目标</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ascii="宋体" w:hAnsi="宋体" w:cs="宋体"/>
          <w:color w:val="auto"/>
          <w:sz w:val="28"/>
          <w:szCs w:val="28"/>
        </w:rPr>
      </w:pPr>
      <w:r>
        <w:rPr>
          <w:rFonts w:hint="eastAsia" w:ascii="宋体" w:hAnsi="宋体" w:cs="宋体"/>
          <w:color w:val="auto"/>
          <w:sz w:val="28"/>
          <w:szCs w:val="28"/>
        </w:rPr>
        <w:t>在综合分析海门区村庄发展条件和潜力基础上，结合上版镇村布局规划的实施评估，按照因地制宜、分类引导的原则，将全区现状自然村庄划分为集聚提升类村庄、特色保护类村庄、城郊融合类村庄、搬迁撤并类村庄和其他一般村庄，明确各类村庄布局，统筹各类基础设施和公共服务设施配置，保护耕地和永久基本农田、生态保护红线，促进土地节约集约利用。</w:t>
      </w:r>
    </w:p>
    <w:p>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ascii="宋体" w:hAnsi="宋体" w:cs="宋体"/>
          <w:b/>
          <w:bCs/>
          <w:color w:val="auto"/>
          <w:sz w:val="28"/>
          <w:szCs w:val="28"/>
        </w:rPr>
      </w:pPr>
      <w:r>
        <w:rPr>
          <w:rFonts w:hint="eastAsia" w:ascii="宋体" w:hAnsi="宋体" w:cs="宋体"/>
          <w:b/>
          <w:bCs/>
          <w:color w:val="auto"/>
          <w:sz w:val="28"/>
          <w:szCs w:val="28"/>
        </w:rPr>
        <w:t>（二）规划依据</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（1）政策文件</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《中央农办农业农村部自然资源部国家发展改革委财政部关于统筹推进村庄规划工作的意见》（农规发〔2019〕1号）</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《自然资源部办公厅关于进一步做好村庄规划工作的意见》（自然资办发〔2020〕57号）</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《省委省政府关于做好2023年全面推进乡村振兴重点工作的实施意见》（苏发〔2023〕1号）</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《省委办公厅省政府办公厅关于进一步规范村庄撤并工作的通知》（苏办发〔2021〕20号）</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其他国家和省关于乡村振兴、乡村规划的政策文件</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（2）相关规划</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南通市海门区国土空间总体规划</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南通市海门区现行镇村布局规划</w:t>
      </w:r>
    </w:p>
    <w:p>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其他有关规划</w:t>
      </w:r>
    </w:p>
    <w:p>
      <w:pPr>
        <w:keepNext w:val="0"/>
        <w:keepLines w:val="0"/>
        <w:pageBreakBefore w:val="0"/>
        <w:widowControl/>
        <w:kinsoku/>
        <w:wordWrap/>
        <w:overflowPunct/>
        <w:topLinePunct w:val="0"/>
        <w:autoSpaceDE/>
        <w:autoSpaceDN/>
        <w:bidi w:val="0"/>
        <w:spacing w:line="360" w:lineRule="auto"/>
        <w:ind w:firstLine="562" w:firstLineChars="200"/>
        <w:jc w:val="left"/>
        <w:textAlignment w:val="auto"/>
        <w:rPr>
          <w:rFonts w:ascii="宋体" w:hAnsi="宋体" w:cs="宋体"/>
          <w:b/>
          <w:bCs/>
          <w:color w:val="auto"/>
          <w:sz w:val="28"/>
          <w:szCs w:val="28"/>
        </w:rPr>
      </w:pPr>
      <w:r>
        <w:rPr>
          <w:rFonts w:hint="eastAsia" w:ascii="宋体" w:hAnsi="宋体" w:cs="宋体"/>
          <w:b/>
          <w:bCs/>
          <w:color w:val="auto"/>
          <w:sz w:val="28"/>
          <w:szCs w:val="28"/>
        </w:rPr>
        <w:t>（三）项目工作流程</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hint="eastAsia" w:ascii="宋体" w:hAnsi="宋体" w:cs="宋体"/>
          <w:color w:val="auto"/>
          <w:sz w:val="28"/>
          <w:szCs w:val="28"/>
        </w:rPr>
      </w:pPr>
      <w:r>
        <w:rPr>
          <w:rFonts w:hint="eastAsia" w:ascii="宋体" w:hAnsi="宋体" w:cs="宋体"/>
          <w:color w:val="auto"/>
          <w:sz w:val="28"/>
          <w:szCs w:val="28"/>
        </w:rPr>
        <w:t>按照“村级酝酿、乡镇统筹、市县批准、省厅汇总”的程序，推进镇村布局规划编制、审批、汇交工作。原则上按照现状调查、县域协调、镇村酝酿、部门校核、市县审批和省级汇交等6个流程开展工作，各地也可结合实际优化流程。</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（1）现状调查</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hint="eastAsia" w:ascii="宋体" w:hAnsi="宋体" w:cs="宋体"/>
          <w:color w:val="auto"/>
          <w:sz w:val="28"/>
          <w:szCs w:val="28"/>
        </w:rPr>
      </w:pPr>
      <w:r>
        <w:rPr>
          <w:rFonts w:hint="eastAsia" w:ascii="宋体" w:hAnsi="宋体" w:cs="宋体"/>
          <w:color w:val="auto"/>
          <w:sz w:val="28"/>
          <w:szCs w:val="28"/>
        </w:rPr>
        <w:t>通过现状调查（含农民意愿摸底调查）分析和现行规划实施评估，准确把握乡村发展现状、发展阶段和存在问题，重点关注乡村人口、乡村产业、乡村建设、村庄特色、村庄设施等方面内容。</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（2）县域协调</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在海门全区层面根据国土空间总体规划，明确分区乡村发展策略，统筹重大设施布局和基本公共服务设施配置标准，细化村庄分类技术和政策要求，指导各乡镇规划编制。</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（3）镇村酝酿</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hint="eastAsia" w:ascii="宋体" w:hAnsi="宋体" w:cs="宋体"/>
          <w:color w:val="auto"/>
          <w:sz w:val="28"/>
          <w:szCs w:val="28"/>
        </w:rPr>
      </w:pPr>
      <w:r>
        <w:rPr>
          <w:rFonts w:hint="eastAsia" w:ascii="宋体" w:hAnsi="宋体" w:cs="宋体"/>
          <w:color w:val="auto"/>
          <w:sz w:val="28"/>
          <w:szCs w:val="28"/>
        </w:rPr>
        <w:t>乡镇人民政府、城区街道办事处按照县域统筹要求，结合村庄发展实际，组织镇村干部、群众充分酝酿讨论达成共识后，形成村庄分类和布局初步方案。</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（4）部门校核</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hint="eastAsia" w:ascii="宋体" w:hAnsi="宋体" w:cs="宋体"/>
          <w:color w:val="auto"/>
          <w:sz w:val="28"/>
          <w:szCs w:val="28"/>
        </w:rPr>
      </w:pPr>
      <w:r>
        <w:rPr>
          <w:rFonts w:hint="eastAsia" w:ascii="宋体" w:hAnsi="宋体" w:cs="宋体"/>
          <w:color w:val="auto"/>
          <w:sz w:val="28"/>
          <w:szCs w:val="28"/>
        </w:rPr>
        <w:t>海门区自然资源主管部门会同有关部门，组织对乡镇、街道形成的初步方案进行校核，经修改完善后形成报批方案。</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（5）市县审批</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hint="eastAsia" w:ascii="宋体" w:hAnsi="宋体" w:cs="宋体"/>
          <w:color w:val="auto"/>
          <w:sz w:val="28"/>
          <w:szCs w:val="28"/>
        </w:rPr>
      </w:pPr>
      <w:r>
        <w:rPr>
          <w:rFonts w:hint="eastAsia" w:ascii="宋体" w:hAnsi="宋体" w:cs="宋体"/>
          <w:color w:val="auto"/>
          <w:sz w:val="28"/>
          <w:szCs w:val="28"/>
        </w:rPr>
        <w:t>规划成果原则上由海门区自然资源主管部门组织技术审查，报所在地市县人民政府批准。</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（6）省级汇交</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hint="eastAsia" w:ascii="宋体" w:hAnsi="宋体" w:cs="宋体"/>
          <w:color w:val="auto"/>
          <w:sz w:val="28"/>
          <w:szCs w:val="28"/>
        </w:rPr>
      </w:pPr>
      <w:r>
        <w:rPr>
          <w:rFonts w:hint="eastAsia" w:ascii="宋体" w:hAnsi="宋体" w:cs="宋体"/>
          <w:color w:val="auto"/>
          <w:sz w:val="28"/>
          <w:szCs w:val="28"/>
        </w:rPr>
        <w:t>规划批复后由县级自然资源主管部门按规定程序上报省自然资源厅进行成果汇交，并向社会公布。</w:t>
      </w:r>
    </w:p>
    <w:p>
      <w:pPr>
        <w:keepNext w:val="0"/>
        <w:keepLines w:val="0"/>
        <w:pageBreakBefore w:val="0"/>
        <w:widowControl/>
        <w:kinsoku/>
        <w:wordWrap/>
        <w:overflowPunct/>
        <w:topLinePunct w:val="0"/>
        <w:autoSpaceDE/>
        <w:autoSpaceDN/>
        <w:bidi w:val="0"/>
        <w:spacing w:line="360" w:lineRule="auto"/>
        <w:ind w:firstLine="562" w:firstLineChars="200"/>
        <w:jc w:val="left"/>
        <w:textAlignment w:val="auto"/>
        <w:rPr>
          <w:rFonts w:ascii="宋体" w:hAnsi="宋体" w:cs="宋体"/>
          <w:b/>
          <w:bCs/>
          <w:color w:val="auto"/>
          <w:sz w:val="28"/>
          <w:szCs w:val="28"/>
        </w:rPr>
      </w:pPr>
      <w:r>
        <w:rPr>
          <w:rFonts w:hint="eastAsia" w:ascii="宋体" w:hAnsi="宋体" w:cs="宋体"/>
          <w:b/>
          <w:bCs/>
          <w:color w:val="auto"/>
          <w:sz w:val="28"/>
          <w:szCs w:val="28"/>
        </w:rPr>
        <w:t>（四）项目内容</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（1）分析人口演变趋势</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在新型城镇化和乡村振兴协同推进的背景下，结合南通市国土空间总体规划确定的各项发展目标，深入分析海门全域城乡空间格局与人口迁移变化趋势，明确未来乡村空间演变趋势和优化方向。根据相关农民意愿摸底调查，围绕到 2035 年国土空间布局全面优化的总体目标，合理预测乡村进城、入镇、留乡（村）的人口比例和空间分布。</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（2）加强县域统筹谋划</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依据南通市国土空间总体规划，衔接“三区三线”划定成果，加强全域统筹谋划和城乡融合发展，合理确定海门城区、各乡镇、不同类型村庄在国土空间开发保护格局和城镇村体系中的定位和作用。落实乡村产业发展、耕地和永久基本农田保护、生态保护、公共资源配置、基础设施建设、风貌特色塑造等相关要求，明确不同空间地域内村庄分类和布局原则要求。</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（3）明确自然村庄分类</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按照国家、省乡村振兴要求，在综合分析研究村庄发展条件和潜力基础上，将现状自然村庄因地制宜划分为集聚提升类村庄、特色保护类村庄、城郊融合类村庄、搬迁撤并类村庄和其他一般村庄。其中，前三类属于规划发展村庄，是未来乡村振兴、留乡人口集聚、开展乡村建设的主要空间载体，其规模和布局要充分考虑农民生产、生活习惯和乡村公共服务配套成本。生态保护红线内不得设置规划发展村庄。</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（4）分类引导乡村建设</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坚持“规划引领、分类引导”，分类推进村庄规划建设和整治提升。总体上要把规划发展村庄作为实施乡村建设行动、建设宜居宜业和美乡村、完善乡村公共服务设施配套和基础设施建设的重要支持对象，制定相应的规划实施保障措施，促进涉农资金、项目、用地等资源要素向规划发展村庄倾斜，优先保障规划发展村庄的合理建设用地需求，优先推进教育、体育、卫生等公共服务设施向规划发展村庄覆盖，提高规划发展村庄基本公共服务水平。</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（5）完善公共设施配套</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按照城乡融合发展和基本公共服务均等化、标准化的要求，参照《社区生活圈规划技术指南》（TD/T1062-2021）等国家和省相关规定，统筹考虑政府公共财力、村庄规模、公共服务设施服务半径等，合理确定符合地方实际的乡村地区公共服务设施配置标准或要求。要遵循保障民生、服务均等、城乡统筹、高效集约的原则，乡村地区公共服务设施优先在集聚提升类、特色保护类、城郊融合类村庄集中配置。其他一般村庄原则上不新增公共服务设施，但应保证基本公共服务能够覆盖。搬迁撤并类村庄原则上不再新建公共服务设施。各地公共服务设施配置的具体要求，可根据国家、省有关标准规范和政策文件要求，结合本地实际在镇村布局规划中细化确定，也可单独制定地方乡村公共服务设施配置相关政策文件。</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（6）加强乡村特色塑造</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hint="eastAsia" w:ascii="宋体" w:hAnsi="宋体" w:cs="宋体"/>
          <w:color w:val="auto"/>
          <w:sz w:val="28"/>
          <w:szCs w:val="28"/>
        </w:rPr>
      </w:pPr>
      <w:r>
        <w:rPr>
          <w:rFonts w:hint="eastAsia" w:ascii="宋体" w:hAnsi="宋体" w:cs="宋体"/>
          <w:color w:val="auto"/>
          <w:sz w:val="28"/>
          <w:szCs w:val="28"/>
        </w:rPr>
        <w:t>挖掘整理自然环境优美、历史文化资源丰富、传统空间格局和街巷肌理鲜明、特色产业发展前景良好的现状村庄，建立不同类型、不同层级的“特色保护类村庄”管控名录，保护好历史文化名村和传统村落，留住乡愁记忆。在原有形态上改扩建的村庄要注重挖掘、保护和彰显历史文化特色，延续传统空间格局和街巷肌理，保护乡土文化和乡村风貌，同时注入产业发展活力，让“乡愁有所寄”。</w:t>
      </w:r>
    </w:p>
    <w:p>
      <w:pPr>
        <w:keepNext w:val="0"/>
        <w:keepLines w:val="0"/>
        <w:pageBreakBefore w:val="0"/>
        <w:widowControl/>
        <w:kinsoku/>
        <w:wordWrap/>
        <w:overflowPunct/>
        <w:topLinePunct w:val="0"/>
        <w:autoSpaceDE/>
        <w:autoSpaceDN/>
        <w:bidi w:val="0"/>
        <w:spacing w:line="360" w:lineRule="auto"/>
        <w:ind w:firstLine="562" w:firstLineChars="200"/>
        <w:jc w:val="left"/>
        <w:textAlignment w:val="auto"/>
        <w:rPr>
          <w:rFonts w:ascii="宋体" w:hAnsi="宋体" w:cs="宋体"/>
          <w:b/>
          <w:bCs/>
          <w:color w:val="auto"/>
          <w:sz w:val="28"/>
          <w:szCs w:val="28"/>
        </w:rPr>
      </w:pPr>
      <w:r>
        <w:rPr>
          <w:rFonts w:hint="eastAsia" w:ascii="宋体" w:hAnsi="宋体" w:cs="宋体"/>
          <w:b/>
          <w:bCs/>
          <w:color w:val="auto"/>
          <w:sz w:val="28"/>
          <w:szCs w:val="28"/>
        </w:rPr>
        <w:t>（五）成果要求</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包含文本、图纸和数据库，以及必要的规划说明；还应提供备案使用的数据库。</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（1）规划文本</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hint="eastAsia" w:ascii="宋体" w:hAnsi="宋体" w:cs="宋体"/>
          <w:color w:val="auto"/>
          <w:sz w:val="28"/>
          <w:szCs w:val="28"/>
        </w:rPr>
      </w:pPr>
      <w:r>
        <w:rPr>
          <w:rFonts w:hint="eastAsia" w:ascii="宋体" w:hAnsi="宋体" w:cs="宋体"/>
          <w:color w:val="auto"/>
          <w:sz w:val="28"/>
          <w:szCs w:val="28"/>
        </w:rPr>
        <w:t>规划文本可包括海门区乡村发展目标、村庄分类布局、分类引导要求、公共设施配套、规划实施保障措施等内容，以及必要的统计表格</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规划说明除了对文本和图纸的补充说明外，还可包含乡村现状调查、现行规划实施评估、与相关规划衔接等内容。</w:t>
      </w:r>
      <w:r>
        <w:rPr>
          <w:rFonts w:ascii="宋体" w:hAnsi="宋体" w:cs="宋体"/>
          <w:color w:val="auto"/>
          <w:sz w:val="28"/>
          <w:szCs w:val="28"/>
        </w:rPr>
        <w:cr/>
      </w:r>
      <w:r>
        <w:rPr>
          <w:rFonts w:hint="eastAsia" w:ascii="宋体" w:hAnsi="宋体" w:cs="宋体"/>
          <w:color w:val="auto"/>
          <w:sz w:val="28"/>
          <w:szCs w:val="28"/>
        </w:rPr>
        <w:t xml:space="preserve">    （2）规划图纸</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规划图纸包括村庄布局现状图、村庄布局规划图，有需要的可增加近期规划图。</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（3）数据库</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hint="eastAsia" w:ascii="宋体" w:hAnsi="宋体" w:cs="宋体"/>
          <w:color w:val="auto"/>
          <w:sz w:val="28"/>
          <w:szCs w:val="28"/>
        </w:rPr>
      </w:pPr>
      <w:r>
        <w:rPr>
          <w:rFonts w:hint="eastAsia" w:ascii="宋体" w:hAnsi="宋体" w:cs="宋体"/>
          <w:color w:val="auto"/>
          <w:sz w:val="28"/>
          <w:szCs w:val="28"/>
        </w:rPr>
        <w:t>提交的空间数据库：ArcGIS mdb地理数据库或者shapefile文件。</w:t>
      </w:r>
    </w:p>
    <w:p>
      <w:pPr>
        <w:keepNext w:val="0"/>
        <w:keepLines w:val="0"/>
        <w:pageBreakBefore w:val="0"/>
        <w:widowControl/>
        <w:kinsoku/>
        <w:wordWrap/>
        <w:overflowPunct/>
        <w:topLinePunct w:val="0"/>
        <w:autoSpaceDE/>
        <w:autoSpaceDN/>
        <w:bidi w:val="0"/>
        <w:spacing w:line="360" w:lineRule="auto"/>
        <w:ind w:firstLine="562" w:firstLineChars="200"/>
        <w:jc w:val="left"/>
        <w:textAlignment w:val="auto"/>
        <w:rPr>
          <w:rFonts w:ascii="宋体" w:hAnsi="宋体" w:cs="宋体"/>
          <w:b/>
          <w:color w:val="auto"/>
          <w:sz w:val="28"/>
          <w:szCs w:val="28"/>
        </w:rPr>
      </w:pPr>
      <w:r>
        <w:rPr>
          <w:rFonts w:hint="eastAsia" w:ascii="宋体" w:hAnsi="宋体" w:cs="宋体"/>
          <w:b/>
          <w:color w:val="auto"/>
          <w:sz w:val="28"/>
          <w:szCs w:val="28"/>
        </w:rPr>
        <w:t>（六）项目期限</w:t>
      </w:r>
    </w:p>
    <w:p>
      <w:pPr>
        <w:keepNext w:val="0"/>
        <w:keepLines w:val="0"/>
        <w:pageBreakBefore w:val="0"/>
        <w:widowControl/>
        <w:kinsoku/>
        <w:wordWrap/>
        <w:overflowPunct/>
        <w:topLinePunct w:val="0"/>
        <w:autoSpaceDE/>
        <w:autoSpaceDN/>
        <w:bidi w:val="0"/>
        <w:spacing w:line="360" w:lineRule="auto"/>
        <w:ind w:firstLine="560" w:firstLineChars="200"/>
        <w:jc w:val="left"/>
        <w:textAlignment w:val="auto"/>
        <w:rPr>
          <w:rFonts w:hint="eastAsia" w:ascii="宋体" w:hAnsi="宋体" w:cs="宋体"/>
          <w:color w:val="auto"/>
          <w:sz w:val="28"/>
          <w:szCs w:val="28"/>
        </w:rPr>
      </w:pPr>
      <w:r>
        <w:rPr>
          <w:rFonts w:hint="eastAsia" w:ascii="宋体" w:hAnsi="宋体" w:cs="宋体"/>
          <w:color w:val="auto"/>
          <w:sz w:val="28"/>
          <w:szCs w:val="28"/>
        </w:rPr>
        <w:t>合同签订日起至2024年12月。</w:t>
      </w:r>
    </w:p>
    <w:p>
      <w:pPr>
        <w:keepNext w:val="0"/>
        <w:keepLines w:val="0"/>
        <w:pageBreakBefore w:val="0"/>
        <w:widowControl/>
        <w:kinsoku/>
        <w:wordWrap/>
        <w:overflowPunct/>
        <w:topLinePunct w:val="0"/>
        <w:autoSpaceDE/>
        <w:autoSpaceDN/>
        <w:bidi w:val="0"/>
        <w:spacing w:line="360" w:lineRule="auto"/>
        <w:ind w:firstLine="562" w:firstLineChars="200"/>
        <w:jc w:val="left"/>
        <w:textAlignment w:val="auto"/>
        <w:rPr>
          <w:rFonts w:ascii="FZFangSong-Z02" w:hAnsi="FZFangSong-Z02" w:eastAsia="FZFangSong-Z02" w:cs="FZFangSong-Z02"/>
          <w:b/>
          <w:bCs/>
          <w:color w:val="auto"/>
          <w:kern w:val="0"/>
          <w:sz w:val="28"/>
          <w:szCs w:val="28"/>
          <w:lang w:bidi="ar"/>
        </w:rPr>
      </w:pPr>
      <w:r>
        <w:rPr>
          <w:rFonts w:hint="eastAsia" w:ascii="宋体" w:hAnsi="宋体" w:cs="宋体"/>
          <w:b/>
          <w:bCs/>
          <w:color w:val="auto"/>
          <w:kern w:val="0"/>
          <w:sz w:val="28"/>
          <w:szCs w:val="28"/>
          <w:lang w:bidi="ar"/>
        </w:rPr>
        <w:t>（</w:t>
      </w:r>
      <w:r>
        <w:rPr>
          <w:rFonts w:hint="eastAsia" w:ascii="宋体" w:hAnsi="宋体" w:cs="宋体"/>
          <w:b/>
          <w:bCs/>
          <w:color w:val="auto"/>
          <w:kern w:val="0"/>
          <w:sz w:val="28"/>
          <w:szCs w:val="28"/>
          <w:lang w:eastAsia="zh-CN" w:bidi="ar"/>
        </w:rPr>
        <w:t>七</w:t>
      </w:r>
      <w:r>
        <w:rPr>
          <w:rFonts w:ascii="FZFangSong-Z02" w:hAnsi="FZFangSong-Z02" w:eastAsia="FZFangSong-Z02" w:cs="FZFangSong-Z02"/>
          <w:b/>
          <w:bCs/>
          <w:color w:val="auto"/>
          <w:kern w:val="0"/>
          <w:sz w:val="28"/>
          <w:szCs w:val="28"/>
          <w:lang w:bidi="ar"/>
        </w:rPr>
        <w:t>）合同条款</w:t>
      </w:r>
    </w:p>
    <w:p>
      <w:pPr>
        <w:keepNext w:val="0"/>
        <w:keepLines w:val="0"/>
        <w:pageBreakBefore w:val="0"/>
        <w:kinsoku/>
        <w:wordWrap/>
        <w:overflowPunct/>
        <w:topLinePunct w:val="0"/>
        <w:autoSpaceDE/>
        <w:autoSpaceDN/>
        <w:bidi w:val="0"/>
        <w:spacing w:line="360" w:lineRule="auto"/>
        <w:ind w:firstLine="566" w:firstLineChars="236"/>
        <w:textAlignment w:val="auto"/>
        <w:rPr>
          <w:rFonts w:ascii="宋体" w:hAnsi="宋体" w:cs="宋体"/>
          <w:color w:val="auto"/>
          <w:sz w:val="28"/>
          <w:szCs w:val="28"/>
        </w:rPr>
      </w:pPr>
      <w:r>
        <w:rPr>
          <w:rFonts w:ascii="宋体" w:hAnsi="宋体" w:cs="宋体"/>
          <w:color w:val="auto"/>
          <w:sz w:val="24"/>
          <w:u w:val="single"/>
          <w:lang w:val="zh-CN"/>
        </w:rPr>
        <w:t xml:space="preserve"> </w:t>
      </w:r>
      <w:r>
        <w:rPr>
          <w:rFonts w:ascii="宋体" w:hAnsi="宋体" w:cs="宋体"/>
          <w:color w:val="auto"/>
          <w:sz w:val="28"/>
          <w:szCs w:val="28"/>
          <w:u w:val="single"/>
          <w:lang w:val="zh-CN"/>
        </w:rPr>
        <w:t xml:space="preserve">       </w:t>
      </w:r>
      <w:r>
        <w:rPr>
          <w:rFonts w:hint="eastAsia" w:ascii="宋体" w:hAnsi="宋体" w:cs="宋体"/>
          <w:color w:val="auto"/>
          <w:sz w:val="28"/>
          <w:szCs w:val="28"/>
          <w:lang w:val="zh-CN"/>
        </w:rPr>
        <w:t>年</w:t>
      </w:r>
      <w:r>
        <w:rPr>
          <w:rFonts w:hint="eastAsia" w:ascii="宋体" w:hAnsi="宋体" w:cs="宋体"/>
          <w:color w:val="auto"/>
          <w:sz w:val="28"/>
          <w:szCs w:val="28"/>
          <w:u w:val="single"/>
          <w:lang w:val="zh-CN"/>
        </w:rPr>
        <w:t xml:space="preserve">    </w:t>
      </w:r>
      <w:r>
        <w:rPr>
          <w:rFonts w:hint="eastAsia" w:ascii="宋体" w:hAnsi="宋体" w:cs="宋体"/>
          <w:color w:val="auto"/>
          <w:sz w:val="28"/>
          <w:szCs w:val="28"/>
          <w:lang w:val="zh-CN"/>
        </w:rPr>
        <w:t>月</w:t>
      </w:r>
      <w:r>
        <w:rPr>
          <w:rFonts w:hint="eastAsia" w:ascii="宋体" w:hAnsi="宋体" w:cs="宋体"/>
          <w:color w:val="auto"/>
          <w:sz w:val="28"/>
          <w:szCs w:val="28"/>
          <w:u w:val="single"/>
          <w:lang w:val="zh-CN"/>
        </w:rPr>
        <w:t xml:space="preserve">    </w:t>
      </w:r>
      <w:r>
        <w:rPr>
          <w:rFonts w:hint="eastAsia" w:ascii="宋体" w:hAnsi="宋体" w:cs="宋体"/>
          <w:color w:val="auto"/>
          <w:sz w:val="28"/>
          <w:szCs w:val="28"/>
          <w:lang w:val="zh-CN"/>
        </w:rPr>
        <w:t>日</w:t>
      </w:r>
      <w:r>
        <w:rPr>
          <w:rFonts w:hint="eastAsia" w:ascii="宋体" w:hAnsi="宋体" w:cs="宋体"/>
          <w:color w:val="auto"/>
          <w:sz w:val="28"/>
          <w:szCs w:val="28"/>
        </w:rPr>
        <w:t>，</w:t>
      </w:r>
      <w:r>
        <w:rPr>
          <w:rFonts w:hint="eastAsia" w:ascii="宋体" w:hAnsi="宋体" w:cs="宋体"/>
          <w:color w:val="auto"/>
          <w:sz w:val="28"/>
          <w:szCs w:val="28"/>
          <w:u w:val="single"/>
        </w:rPr>
        <w:t xml:space="preserve">            </w:t>
      </w:r>
      <w:r>
        <w:rPr>
          <w:rFonts w:hint="eastAsia" w:ascii="宋体" w:hAnsi="宋体" w:cs="宋体"/>
          <w:color w:val="auto"/>
          <w:sz w:val="28"/>
          <w:szCs w:val="28"/>
        </w:rPr>
        <w:t>以</w:t>
      </w:r>
      <w:r>
        <w:rPr>
          <w:rFonts w:hint="eastAsia" w:ascii="宋体" w:hAnsi="宋体" w:cs="宋体"/>
          <w:color w:val="auto"/>
          <w:sz w:val="28"/>
          <w:szCs w:val="28"/>
          <w:u w:val="single"/>
        </w:rPr>
        <w:t xml:space="preserve">竞争性磋商的采购方式 </w:t>
      </w:r>
      <w:r>
        <w:rPr>
          <w:rFonts w:hint="eastAsia" w:ascii="宋体" w:hAnsi="宋体" w:cs="宋体"/>
          <w:color w:val="auto"/>
          <w:sz w:val="28"/>
          <w:szCs w:val="28"/>
        </w:rPr>
        <w:t>对</w:t>
      </w:r>
      <w:r>
        <w:rPr>
          <w:rFonts w:hint="eastAsia" w:ascii="宋体" w:hAnsi="宋体" w:cs="宋体"/>
          <w:color w:val="auto"/>
          <w:sz w:val="28"/>
          <w:szCs w:val="28"/>
          <w:u w:val="single"/>
        </w:rPr>
        <w:t>南通市海门自然资源和规划局采购南通市海门区镇村布局规划（2023版）项目</w:t>
      </w:r>
      <w:r>
        <w:rPr>
          <w:rFonts w:hint="eastAsia" w:ascii="宋体" w:hAnsi="宋体" w:cs="宋体"/>
          <w:color w:val="auto"/>
          <w:sz w:val="28"/>
          <w:szCs w:val="28"/>
        </w:rPr>
        <w:t>进行了采购。经评标委员会评审，确定</w:t>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r>
        <w:rPr>
          <w:rFonts w:hint="eastAsia" w:ascii="宋体" w:hAnsi="宋体" w:cs="宋体"/>
          <w:color w:val="auto"/>
          <w:sz w:val="28"/>
          <w:szCs w:val="28"/>
          <w:u w:val="single"/>
        </w:rPr>
        <w:t>（中标供应商名称）</w:t>
      </w:r>
      <w:r>
        <w:rPr>
          <w:rFonts w:hint="eastAsia" w:ascii="宋体" w:hAnsi="宋体" w:cs="宋体"/>
          <w:color w:val="auto"/>
          <w:sz w:val="28"/>
          <w:szCs w:val="28"/>
        </w:rPr>
        <w:t>为该项目中标供应商，按照采购文件确定的事项签订本合同。</w:t>
      </w:r>
    </w:p>
    <w:p>
      <w:pPr>
        <w:keepNext w:val="0"/>
        <w:keepLines w:val="0"/>
        <w:pageBreakBefore w:val="0"/>
        <w:kinsoku/>
        <w:wordWrap/>
        <w:overflowPunct/>
        <w:topLinePunct w:val="0"/>
        <w:autoSpaceDE/>
        <w:autoSpaceDN/>
        <w:bidi w:val="0"/>
        <w:spacing w:line="360" w:lineRule="auto"/>
        <w:ind w:firstLine="560" w:firstLineChars="200"/>
        <w:textAlignment w:val="auto"/>
        <w:rPr>
          <w:rFonts w:ascii="宋体" w:hAnsi="宋体" w:cs="宋体"/>
          <w:color w:val="auto"/>
          <w:sz w:val="28"/>
          <w:szCs w:val="28"/>
        </w:rPr>
      </w:pPr>
      <w:r>
        <w:rPr>
          <w:rFonts w:hint="eastAsia" w:ascii="宋体" w:hAnsi="宋体" w:cs="宋体"/>
          <w:color w:val="auto"/>
          <w:sz w:val="28"/>
          <w:szCs w:val="28"/>
          <w:lang w:val="zh-CN"/>
        </w:rPr>
        <w:t>根据《中华人民共和国民法典》《中华人民共和国政府采购法》等相关法律法规之规定，按照平等、自愿、公平和诚实信用的原则，经</w:t>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lang w:val="zh-CN"/>
        </w:rPr>
        <w:t>(以下简称：甲方)和</w:t>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r>
        <w:rPr>
          <w:rFonts w:hint="eastAsia" w:ascii="宋体" w:hAnsi="宋体" w:cs="宋体"/>
          <w:color w:val="auto"/>
          <w:sz w:val="28"/>
          <w:szCs w:val="28"/>
          <w:u w:val="single"/>
        </w:rPr>
        <w:t>（中标供应商名称）</w:t>
      </w:r>
      <w:r>
        <w:rPr>
          <w:rFonts w:hint="eastAsia" w:ascii="宋体" w:hAnsi="宋体" w:cs="宋体"/>
          <w:color w:val="auto"/>
          <w:sz w:val="28"/>
          <w:szCs w:val="28"/>
          <w:lang w:val="zh-CN"/>
        </w:rPr>
        <w:t>(以下简称：乙方)协商一致，约定以下合同</w:t>
      </w:r>
      <w:r>
        <w:rPr>
          <w:rFonts w:hint="eastAsia" w:ascii="宋体" w:hAnsi="宋体" w:cs="宋体"/>
          <w:color w:val="auto"/>
          <w:sz w:val="28"/>
          <w:szCs w:val="28"/>
        </w:rPr>
        <w:t>条款，以兹共同遵守、全面履行。</w:t>
      </w:r>
    </w:p>
    <w:p>
      <w:pPr>
        <w:keepNext w:val="0"/>
        <w:keepLines w:val="0"/>
        <w:pageBreakBefore w:val="0"/>
        <w:kinsoku/>
        <w:wordWrap/>
        <w:overflowPunct/>
        <w:topLinePunct w:val="0"/>
        <w:autoSpaceDE/>
        <w:autoSpaceDN/>
        <w:bidi w:val="0"/>
        <w:spacing w:line="360" w:lineRule="auto"/>
        <w:ind w:firstLine="562" w:firstLineChars="200"/>
        <w:textAlignment w:val="auto"/>
        <w:rPr>
          <w:rFonts w:ascii="宋体" w:hAnsi="宋体" w:cs="宋体"/>
          <w:color w:val="auto"/>
          <w:sz w:val="28"/>
          <w:szCs w:val="28"/>
        </w:rPr>
      </w:pPr>
      <w:bookmarkStart w:id="0" w:name="_Toc28855"/>
      <w:bookmarkStart w:id="1" w:name="_Toc15367"/>
      <w:bookmarkStart w:id="2" w:name="_Toc20421"/>
      <w:bookmarkStart w:id="3" w:name="_Toc19273"/>
      <w:bookmarkStart w:id="4" w:name="_Toc22967"/>
      <w:r>
        <w:rPr>
          <w:rFonts w:hint="eastAsia" w:ascii="宋体" w:hAnsi="宋体" w:cs="宋体"/>
          <w:b/>
          <w:color w:val="auto"/>
          <w:sz w:val="28"/>
          <w:szCs w:val="28"/>
        </w:rPr>
        <w:t>1.1 合同组成部分</w:t>
      </w:r>
      <w:bookmarkEnd w:id="0"/>
      <w:bookmarkEnd w:id="1"/>
      <w:bookmarkEnd w:id="2"/>
      <w:bookmarkEnd w:id="3"/>
      <w:bookmarkEnd w:id="4"/>
    </w:p>
    <w:p>
      <w:pPr>
        <w:keepNext w:val="0"/>
        <w:keepLines w:val="0"/>
        <w:pageBreakBefore w:val="0"/>
        <w:kinsoku/>
        <w:wordWrap/>
        <w:overflowPunct/>
        <w:topLinePunct w:val="0"/>
        <w:autoSpaceDE/>
        <w:autoSpaceDN/>
        <w:bidi w:val="0"/>
        <w:spacing w:line="360" w:lineRule="auto"/>
        <w:ind w:firstLine="560" w:firstLineChars="200"/>
        <w:textAlignment w:val="auto"/>
        <w:rPr>
          <w:rFonts w:ascii="宋体" w:hAnsi="宋体" w:cs="宋体"/>
          <w:color w:val="auto"/>
          <w:sz w:val="28"/>
          <w:szCs w:val="28"/>
        </w:rPr>
      </w:pPr>
      <w:r>
        <w:rPr>
          <w:rFonts w:hint="eastAsia" w:ascii="宋体" w:hAnsi="宋体" w:cs="宋体"/>
          <w:color w:val="auto"/>
          <w:sz w:val="28"/>
          <w:szCs w:val="28"/>
        </w:rPr>
        <w:t>下列文件为本合同的组成部分，并构成一个整体，需综合解释、相互补充。如果下列文件内容出现不一致的情形，那么在保证按照采购文件确定的事项的前提下，组成本合同的多个文件的优先适用顺序如下：</w:t>
      </w:r>
    </w:p>
    <w:p>
      <w:pPr>
        <w:keepNext w:val="0"/>
        <w:keepLines w:val="0"/>
        <w:pageBreakBefore w:val="0"/>
        <w:kinsoku/>
        <w:wordWrap/>
        <w:overflowPunct/>
        <w:topLinePunct w:val="0"/>
        <w:autoSpaceDE/>
        <w:autoSpaceDN/>
        <w:bidi w:val="0"/>
        <w:spacing w:line="360" w:lineRule="auto"/>
        <w:ind w:firstLine="560" w:firstLineChars="200"/>
        <w:textAlignment w:val="auto"/>
        <w:rPr>
          <w:rFonts w:ascii="宋体" w:hAnsi="宋体" w:cs="宋体"/>
          <w:color w:val="auto"/>
          <w:sz w:val="28"/>
          <w:szCs w:val="28"/>
        </w:rPr>
      </w:pPr>
      <w:r>
        <w:rPr>
          <w:rFonts w:hint="eastAsia" w:ascii="宋体" w:hAnsi="宋体" w:cs="宋体"/>
          <w:color w:val="auto"/>
          <w:sz w:val="28"/>
          <w:szCs w:val="28"/>
        </w:rPr>
        <w:t>1.1.1 本合同及其补充合同、变更协议；</w:t>
      </w:r>
    </w:p>
    <w:p>
      <w:pPr>
        <w:keepNext w:val="0"/>
        <w:keepLines w:val="0"/>
        <w:pageBreakBefore w:val="0"/>
        <w:kinsoku/>
        <w:wordWrap/>
        <w:overflowPunct/>
        <w:topLinePunct w:val="0"/>
        <w:autoSpaceDE/>
        <w:autoSpaceDN/>
        <w:bidi w:val="0"/>
        <w:spacing w:line="360" w:lineRule="auto"/>
        <w:ind w:firstLine="560" w:firstLineChars="200"/>
        <w:textAlignment w:val="auto"/>
        <w:rPr>
          <w:rFonts w:ascii="宋体" w:hAnsi="宋体" w:cs="宋体"/>
          <w:color w:val="auto"/>
          <w:sz w:val="28"/>
          <w:szCs w:val="28"/>
        </w:rPr>
      </w:pPr>
      <w:r>
        <w:rPr>
          <w:rFonts w:hint="eastAsia" w:ascii="宋体" w:hAnsi="宋体" w:cs="宋体"/>
          <w:color w:val="auto"/>
          <w:sz w:val="28"/>
          <w:szCs w:val="28"/>
        </w:rPr>
        <w:t>1.1.2 中标通知书；</w:t>
      </w:r>
    </w:p>
    <w:p>
      <w:pPr>
        <w:keepNext w:val="0"/>
        <w:keepLines w:val="0"/>
        <w:pageBreakBefore w:val="0"/>
        <w:kinsoku/>
        <w:wordWrap/>
        <w:overflowPunct/>
        <w:topLinePunct w:val="0"/>
        <w:autoSpaceDE/>
        <w:autoSpaceDN/>
        <w:bidi w:val="0"/>
        <w:spacing w:line="360" w:lineRule="auto"/>
        <w:ind w:firstLine="560" w:firstLineChars="200"/>
        <w:textAlignment w:val="auto"/>
        <w:rPr>
          <w:rFonts w:ascii="宋体" w:hAnsi="宋体" w:cs="宋体"/>
          <w:color w:val="auto"/>
          <w:sz w:val="28"/>
          <w:szCs w:val="28"/>
        </w:rPr>
      </w:pPr>
      <w:r>
        <w:rPr>
          <w:rFonts w:hint="eastAsia" w:ascii="宋体" w:hAnsi="宋体" w:cs="宋体"/>
          <w:color w:val="auto"/>
          <w:sz w:val="28"/>
          <w:szCs w:val="28"/>
        </w:rPr>
        <w:t>1.1.3 投标文件（含澄清或者说明文件）；</w:t>
      </w:r>
    </w:p>
    <w:p>
      <w:pPr>
        <w:keepNext w:val="0"/>
        <w:keepLines w:val="0"/>
        <w:pageBreakBefore w:val="0"/>
        <w:kinsoku/>
        <w:wordWrap/>
        <w:overflowPunct/>
        <w:topLinePunct w:val="0"/>
        <w:autoSpaceDE/>
        <w:autoSpaceDN/>
        <w:bidi w:val="0"/>
        <w:spacing w:line="360" w:lineRule="auto"/>
        <w:ind w:firstLine="560" w:firstLineChars="200"/>
        <w:textAlignment w:val="auto"/>
        <w:rPr>
          <w:rFonts w:ascii="宋体" w:hAnsi="宋体" w:cs="宋体"/>
          <w:color w:val="auto"/>
          <w:sz w:val="28"/>
          <w:szCs w:val="28"/>
        </w:rPr>
      </w:pPr>
      <w:r>
        <w:rPr>
          <w:rFonts w:hint="eastAsia" w:ascii="宋体" w:hAnsi="宋体" w:cs="宋体"/>
          <w:color w:val="auto"/>
          <w:sz w:val="28"/>
          <w:szCs w:val="28"/>
        </w:rPr>
        <w:t>1.1.4 招标文件（含澄清或者修改文件）；</w:t>
      </w:r>
    </w:p>
    <w:p>
      <w:pPr>
        <w:keepNext w:val="0"/>
        <w:keepLines w:val="0"/>
        <w:pageBreakBefore w:val="0"/>
        <w:kinsoku/>
        <w:wordWrap/>
        <w:overflowPunct/>
        <w:topLinePunct w:val="0"/>
        <w:autoSpaceDE/>
        <w:autoSpaceDN/>
        <w:bidi w:val="0"/>
        <w:spacing w:line="360" w:lineRule="auto"/>
        <w:ind w:firstLine="560" w:firstLineChars="200"/>
        <w:textAlignment w:val="auto"/>
        <w:rPr>
          <w:rFonts w:ascii="宋体" w:hAnsi="宋体" w:cs="宋体"/>
          <w:color w:val="auto"/>
          <w:sz w:val="28"/>
          <w:szCs w:val="28"/>
        </w:rPr>
      </w:pPr>
      <w:r>
        <w:rPr>
          <w:rFonts w:hint="eastAsia" w:ascii="宋体" w:hAnsi="宋体" w:cs="宋体"/>
          <w:color w:val="auto"/>
          <w:sz w:val="28"/>
          <w:szCs w:val="28"/>
        </w:rPr>
        <w:t>1.1.5 其他相关采购文件。</w:t>
      </w:r>
    </w:p>
    <w:p>
      <w:pPr>
        <w:keepNext w:val="0"/>
        <w:keepLines w:val="0"/>
        <w:pageBreakBefore w:val="0"/>
        <w:kinsoku/>
        <w:wordWrap/>
        <w:overflowPunct/>
        <w:topLinePunct w:val="0"/>
        <w:autoSpaceDE/>
        <w:autoSpaceDN/>
        <w:bidi w:val="0"/>
        <w:spacing w:line="360" w:lineRule="auto"/>
        <w:ind w:firstLine="562" w:firstLineChars="200"/>
        <w:textAlignment w:val="auto"/>
        <w:rPr>
          <w:rFonts w:ascii="宋体" w:hAnsi="宋体" w:cs="宋体"/>
          <w:b/>
          <w:color w:val="auto"/>
          <w:sz w:val="28"/>
          <w:szCs w:val="28"/>
        </w:rPr>
      </w:pPr>
      <w:bookmarkStart w:id="5" w:name="_Toc22185"/>
      <w:bookmarkStart w:id="6" w:name="_Toc6311"/>
      <w:bookmarkStart w:id="7" w:name="_Toc18585"/>
      <w:bookmarkStart w:id="8" w:name="_Toc2918"/>
      <w:bookmarkStart w:id="9" w:name="_Toc6773"/>
      <w:r>
        <w:rPr>
          <w:rFonts w:hint="eastAsia" w:ascii="宋体" w:hAnsi="宋体" w:cs="宋体"/>
          <w:b/>
          <w:color w:val="auto"/>
          <w:sz w:val="28"/>
          <w:szCs w:val="28"/>
        </w:rPr>
        <w:t>1.2 标的</w:t>
      </w:r>
      <w:bookmarkEnd w:id="5"/>
      <w:bookmarkEnd w:id="6"/>
      <w:bookmarkEnd w:id="7"/>
      <w:bookmarkEnd w:id="8"/>
      <w:bookmarkEnd w:id="9"/>
    </w:p>
    <w:p>
      <w:pPr>
        <w:keepNext w:val="0"/>
        <w:keepLines w:val="0"/>
        <w:pageBreakBefore w:val="0"/>
        <w:kinsoku/>
        <w:wordWrap/>
        <w:overflowPunct/>
        <w:topLinePunct w:val="0"/>
        <w:autoSpaceDE/>
        <w:autoSpaceDN/>
        <w:bidi w:val="0"/>
        <w:spacing w:line="360" w:lineRule="auto"/>
        <w:ind w:firstLine="560" w:firstLineChars="200"/>
        <w:textAlignment w:val="auto"/>
        <w:rPr>
          <w:rFonts w:ascii="宋体" w:hAnsi="宋体" w:cs="宋体"/>
          <w:color w:val="auto"/>
          <w:sz w:val="28"/>
          <w:szCs w:val="28"/>
        </w:rPr>
      </w:pPr>
      <w:r>
        <w:rPr>
          <w:rFonts w:hint="eastAsia" w:ascii="宋体" w:hAnsi="宋体" w:cs="宋体"/>
          <w:color w:val="auto"/>
          <w:sz w:val="28"/>
          <w:szCs w:val="28"/>
        </w:rPr>
        <w:t>1.2.1 标的名称：</w:t>
      </w:r>
      <w:r>
        <w:rPr>
          <w:rFonts w:hint="eastAsia" w:ascii="宋体" w:hAnsi="宋体" w:cs="宋体"/>
          <w:color w:val="auto"/>
          <w:sz w:val="28"/>
          <w:szCs w:val="28"/>
          <w:u w:val="single"/>
        </w:rPr>
        <w:t>南通市海门自然资源和规划局采购南通市海门区镇村布局规划（2023版）项目；</w:t>
      </w:r>
    </w:p>
    <w:p>
      <w:pPr>
        <w:keepNext w:val="0"/>
        <w:keepLines w:val="0"/>
        <w:pageBreakBefore w:val="0"/>
        <w:kinsoku/>
        <w:wordWrap/>
        <w:overflowPunct/>
        <w:topLinePunct w:val="0"/>
        <w:autoSpaceDE/>
        <w:autoSpaceDN/>
        <w:bidi w:val="0"/>
        <w:spacing w:line="360" w:lineRule="auto"/>
        <w:ind w:firstLine="560" w:firstLineChars="200"/>
        <w:textAlignment w:val="auto"/>
        <w:rPr>
          <w:rFonts w:ascii="宋体" w:hAnsi="宋体" w:cs="宋体"/>
          <w:color w:val="auto"/>
          <w:sz w:val="28"/>
          <w:szCs w:val="28"/>
          <w:u w:val="single"/>
        </w:rPr>
      </w:pPr>
      <w:r>
        <w:rPr>
          <w:rFonts w:hint="eastAsia" w:ascii="宋体" w:hAnsi="宋体" w:cs="宋体"/>
          <w:color w:val="auto"/>
          <w:sz w:val="28"/>
          <w:szCs w:val="28"/>
        </w:rPr>
        <w:t>1</w:t>
      </w:r>
      <w:r>
        <w:rPr>
          <w:rFonts w:ascii="宋体" w:hAnsi="宋体" w:cs="宋体"/>
          <w:color w:val="auto"/>
          <w:sz w:val="28"/>
          <w:szCs w:val="28"/>
        </w:rPr>
        <w:t xml:space="preserve">.2.2 </w:t>
      </w:r>
      <w:r>
        <w:rPr>
          <w:rFonts w:hint="eastAsia" w:ascii="宋体" w:hAnsi="宋体" w:cs="宋体"/>
          <w:color w:val="auto"/>
          <w:sz w:val="28"/>
          <w:szCs w:val="28"/>
        </w:rPr>
        <w:t>标的内容：</w:t>
      </w:r>
      <w:r>
        <w:rPr>
          <w:rFonts w:hint="eastAsia" w:ascii="宋体" w:hAnsi="宋体" w:cs="宋体"/>
          <w:color w:val="auto"/>
          <w:sz w:val="28"/>
          <w:szCs w:val="28"/>
          <w:u w:val="single"/>
        </w:rPr>
        <w:t>按照国家、省市要求，编制南通市海门区镇村布局规划（2023版）。在综合分析村庄发展条件和潜力基础上，结合必要的规划实施评估，按照因地制宜、分类引导的原则，将现状自然村庄1划分为集聚提升类村庄、特色保护类村庄、城郊融合类村庄、搬迁撤并类村庄和其他一般村庄，明确各类村庄布局，统筹各类基础设施和公共服务设施配置，保护耕地和永久基本农田、生态保护红线，促进土地节约集约利用。</w:t>
      </w:r>
    </w:p>
    <w:p>
      <w:pPr>
        <w:keepNext w:val="0"/>
        <w:keepLines w:val="0"/>
        <w:pageBreakBefore w:val="0"/>
        <w:kinsoku/>
        <w:wordWrap/>
        <w:overflowPunct/>
        <w:topLinePunct w:val="0"/>
        <w:autoSpaceDE/>
        <w:autoSpaceDN/>
        <w:bidi w:val="0"/>
        <w:spacing w:line="360" w:lineRule="auto"/>
        <w:ind w:firstLine="560" w:firstLineChars="200"/>
        <w:textAlignment w:val="auto"/>
        <w:rPr>
          <w:rFonts w:ascii="宋体" w:hAnsi="宋体" w:cs="宋体"/>
          <w:color w:val="auto"/>
          <w:sz w:val="28"/>
          <w:szCs w:val="28"/>
        </w:rPr>
      </w:pPr>
      <w:r>
        <w:rPr>
          <w:rFonts w:hint="eastAsia" w:ascii="宋体" w:hAnsi="宋体" w:cs="宋体"/>
          <w:color w:val="auto"/>
          <w:sz w:val="28"/>
          <w:szCs w:val="28"/>
        </w:rPr>
        <w:t>1.2.3 标的范围：</w:t>
      </w:r>
      <w:r>
        <w:rPr>
          <w:rFonts w:hint="eastAsia" w:ascii="宋体" w:hAnsi="宋体" w:cs="宋体"/>
          <w:color w:val="auto"/>
          <w:sz w:val="28"/>
          <w:szCs w:val="28"/>
          <w:u w:val="single"/>
        </w:rPr>
        <w:t>南通市海门区全域；</w:t>
      </w:r>
    </w:p>
    <w:p>
      <w:pPr>
        <w:keepNext w:val="0"/>
        <w:keepLines w:val="0"/>
        <w:pageBreakBefore w:val="0"/>
        <w:kinsoku/>
        <w:wordWrap/>
        <w:overflowPunct/>
        <w:topLinePunct w:val="0"/>
        <w:autoSpaceDE/>
        <w:autoSpaceDN/>
        <w:bidi w:val="0"/>
        <w:spacing w:line="360" w:lineRule="auto"/>
        <w:ind w:firstLine="560" w:firstLineChars="200"/>
        <w:textAlignment w:val="auto"/>
        <w:rPr>
          <w:rFonts w:ascii="宋体" w:hAnsi="宋体" w:cs="宋体"/>
          <w:color w:val="auto"/>
          <w:sz w:val="28"/>
          <w:szCs w:val="28"/>
        </w:rPr>
      </w:pPr>
      <w:r>
        <w:rPr>
          <w:rFonts w:hint="eastAsia" w:ascii="宋体" w:hAnsi="宋体" w:cs="宋体"/>
          <w:color w:val="auto"/>
          <w:sz w:val="28"/>
          <w:szCs w:val="28"/>
        </w:rPr>
        <w:t>1.2.</w:t>
      </w:r>
      <w:r>
        <w:rPr>
          <w:rFonts w:ascii="宋体" w:hAnsi="宋体" w:cs="宋体"/>
          <w:color w:val="auto"/>
          <w:sz w:val="28"/>
          <w:szCs w:val="28"/>
        </w:rPr>
        <w:t>4</w:t>
      </w:r>
      <w:r>
        <w:rPr>
          <w:rFonts w:hint="eastAsia" w:ascii="宋体" w:hAnsi="宋体" w:cs="宋体"/>
          <w:color w:val="auto"/>
          <w:sz w:val="28"/>
          <w:szCs w:val="28"/>
        </w:rPr>
        <w:t xml:space="preserve"> 标的数量：提交规划设计的最终成果</w:t>
      </w:r>
      <w:r>
        <w:rPr>
          <w:rFonts w:hint="eastAsia" w:ascii="宋体" w:hAnsi="宋体" w:cs="宋体"/>
          <w:color w:val="auto"/>
          <w:sz w:val="28"/>
          <w:szCs w:val="28"/>
          <w:u w:val="single"/>
        </w:rPr>
        <w:t xml:space="preserve"> 陆 </w:t>
      </w:r>
      <w:r>
        <w:rPr>
          <w:rFonts w:hint="eastAsia" w:ascii="宋体" w:hAnsi="宋体" w:cs="宋体"/>
          <w:color w:val="auto"/>
          <w:sz w:val="28"/>
          <w:szCs w:val="28"/>
        </w:rPr>
        <w:t>套，甲方如需增加成果份数，则按规定费用另计。</w:t>
      </w:r>
    </w:p>
    <w:p>
      <w:pPr>
        <w:keepNext w:val="0"/>
        <w:keepLines w:val="0"/>
        <w:pageBreakBefore w:val="0"/>
        <w:kinsoku/>
        <w:wordWrap/>
        <w:overflowPunct/>
        <w:topLinePunct w:val="0"/>
        <w:autoSpaceDE/>
        <w:autoSpaceDN/>
        <w:bidi w:val="0"/>
        <w:spacing w:line="360" w:lineRule="auto"/>
        <w:ind w:firstLine="560" w:firstLineChars="200"/>
        <w:textAlignment w:val="auto"/>
        <w:rPr>
          <w:rFonts w:ascii="宋体" w:hAnsi="宋体" w:cs="宋体"/>
          <w:color w:val="auto"/>
          <w:sz w:val="28"/>
          <w:szCs w:val="28"/>
        </w:rPr>
      </w:pPr>
      <w:r>
        <w:rPr>
          <w:rFonts w:hint="eastAsia" w:ascii="宋体" w:hAnsi="宋体" w:cs="宋体"/>
          <w:color w:val="auto"/>
          <w:sz w:val="28"/>
          <w:szCs w:val="28"/>
        </w:rPr>
        <w:t>1.2.</w:t>
      </w:r>
      <w:r>
        <w:rPr>
          <w:rFonts w:ascii="宋体" w:hAnsi="宋体" w:cs="宋体"/>
          <w:color w:val="auto"/>
          <w:sz w:val="28"/>
          <w:szCs w:val="28"/>
        </w:rPr>
        <w:t>5</w:t>
      </w:r>
      <w:r>
        <w:rPr>
          <w:rFonts w:hint="eastAsia" w:ascii="宋体" w:hAnsi="宋体" w:cs="宋体"/>
          <w:color w:val="auto"/>
          <w:sz w:val="28"/>
          <w:szCs w:val="28"/>
        </w:rPr>
        <w:t xml:space="preserve"> 标的质量：</w:t>
      </w:r>
      <w:r>
        <w:rPr>
          <w:rFonts w:hint="eastAsia" w:ascii="宋体" w:hAnsi="宋体" w:cs="宋体"/>
          <w:color w:val="auto"/>
          <w:sz w:val="28"/>
          <w:szCs w:val="28"/>
          <w:u w:val="single"/>
        </w:rPr>
        <w:t xml:space="preserve"> 规划需符合国家、省、市相关规范与要求，设计方案科学、合理，满足可持续性发展的要求。</w:t>
      </w:r>
      <w:r>
        <w:rPr>
          <w:rFonts w:hint="eastAsia" w:ascii="宋体" w:hAnsi="宋体" w:cs="宋体"/>
          <w:color w:val="auto"/>
          <w:sz w:val="28"/>
          <w:szCs w:val="28"/>
        </w:rPr>
        <w:t xml:space="preserve"> </w:t>
      </w:r>
    </w:p>
    <w:p>
      <w:pPr>
        <w:keepNext w:val="0"/>
        <w:keepLines w:val="0"/>
        <w:pageBreakBefore w:val="0"/>
        <w:kinsoku/>
        <w:wordWrap/>
        <w:overflowPunct/>
        <w:topLinePunct w:val="0"/>
        <w:autoSpaceDE/>
        <w:autoSpaceDN/>
        <w:bidi w:val="0"/>
        <w:spacing w:line="360" w:lineRule="auto"/>
        <w:ind w:firstLine="560" w:firstLineChars="200"/>
        <w:textAlignment w:val="auto"/>
        <w:rPr>
          <w:rFonts w:ascii="宋体" w:hAnsi="宋体" w:cs="宋体"/>
          <w:color w:val="auto"/>
          <w:sz w:val="28"/>
          <w:szCs w:val="28"/>
        </w:rPr>
      </w:pPr>
      <w:r>
        <w:rPr>
          <w:rFonts w:ascii="宋体" w:hAnsi="宋体" w:cs="宋体"/>
          <w:color w:val="auto"/>
          <w:sz w:val="28"/>
          <w:szCs w:val="28"/>
        </w:rPr>
        <w:t xml:space="preserve">1.2.6 </w:t>
      </w:r>
      <w:r>
        <w:rPr>
          <w:rFonts w:hint="eastAsia" w:ascii="宋体" w:hAnsi="宋体" w:cs="宋体"/>
          <w:color w:val="auto"/>
          <w:sz w:val="28"/>
          <w:szCs w:val="28"/>
        </w:rPr>
        <w:t>标的主要图纸</w:t>
      </w:r>
    </w:p>
    <w:p>
      <w:pPr>
        <w:keepNext w:val="0"/>
        <w:keepLines w:val="0"/>
        <w:pageBreakBefore w:val="0"/>
        <w:numPr>
          <w:ilvl w:val="0"/>
          <w:numId w:val="1"/>
        </w:numPr>
        <w:tabs>
          <w:tab w:val="left" w:pos="1080"/>
          <w:tab w:val="clear" w:pos="1500"/>
        </w:tabs>
        <w:kinsoku/>
        <w:wordWrap/>
        <w:overflowPunct/>
        <w:topLinePunct w:val="0"/>
        <w:autoSpaceDE/>
        <w:autoSpaceDN/>
        <w:bidi w:val="0"/>
        <w:spacing w:line="360" w:lineRule="auto"/>
        <w:textAlignment w:val="auto"/>
        <w:rPr>
          <w:rFonts w:ascii="宋体" w:hAnsi="宋体"/>
          <w:color w:val="auto"/>
          <w:sz w:val="28"/>
          <w:szCs w:val="28"/>
          <w:u w:val="single"/>
        </w:rPr>
      </w:pPr>
      <w:r>
        <w:rPr>
          <w:rFonts w:hint="eastAsia" w:ascii="宋体" w:hAnsi="宋体"/>
          <w:color w:val="auto"/>
          <w:sz w:val="28"/>
          <w:szCs w:val="28"/>
          <w:u w:val="single"/>
        </w:rPr>
        <w:t>村庄布局现状图</w:t>
      </w:r>
    </w:p>
    <w:p>
      <w:pPr>
        <w:keepNext w:val="0"/>
        <w:keepLines w:val="0"/>
        <w:pageBreakBefore w:val="0"/>
        <w:numPr>
          <w:ilvl w:val="0"/>
          <w:numId w:val="1"/>
        </w:numPr>
        <w:tabs>
          <w:tab w:val="left" w:pos="1080"/>
          <w:tab w:val="clear" w:pos="1500"/>
        </w:tabs>
        <w:kinsoku/>
        <w:wordWrap/>
        <w:overflowPunct/>
        <w:topLinePunct w:val="0"/>
        <w:autoSpaceDE/>
        <w:autoSpaceDN/>
        <w:bidi w:val="0"/>
        <w:spacing w:line="360" w:lineRule="auto"/>
        <w:textAlignment w:val="auto"/>
        <w:rPr>
          <w:rFonts w:ascii="宋体" w:hAnsi="宋体"/>
          <w:color w:val="auto"/>
          <w:sz w:val="28"/>
          <w:szCs w:val="28"/>
          <w:u w:val="single"/>
        </w:rPr>
      </w:pPr>
      <w:r>
        <w:rPr>
          <w:rFonts w:hint="eastAsia" w:ascii="宋体" w:hAnsi="宋体"/>
          <w:color w:val="auto"/>
          <w:sz w:val="28"/>
          <w:szCs w:val="28"/>
          <w:u w:val="single"/>
        </w:rPr>
        <w:t xml:space="preserve">村庄布局规划图 </w:t>
      </w:r>
    </w:p>
    <w:p>
      <w:pPr>
        <w:keepNext w:val="0"/>
        <w:keepLines w:val="0"/>
        <w:pageBreakBefore w:val="0"/>
        <w:numPr>
          <w:ilvl w:val="0"/>
          <w:numId w:val="1"/>
        </w:numPr>
        <w:tabs>
          <w:tab w:val="left" w:pos="1080"/>
          <w:tab w:val="clear" w:pos="1500"/>
        </w:tabs>
        <w:kinsoku/>
        <w:wordWrap/>
        <w:overflowPunct/>
        <w:topLinePunct w:val="0"/>
        <w:autoSpaceDE/>
        <w:autoSpaceDN/>
        <w:bidi w:val="0"/>
        <w:spacing w:line="360" w:lineRule="auto"/>
        <w:textAlignment w:val="auto"/>
        <w:rPr>
          <w:rFonts w:ascii="宋体" w:hAnsi="宋体"/>
          <w:color w:val="auto"/>
          <w:sz w:val="28"/>
          <w:szCs w:val="28"/>
          <w:u w:val="single"/>
        </w:rPr>
      </w:pPr>
      <w:r>
        <w:rPr>
          <w:rFonts w:hint="eastAsia" w:ascii="宋体" w:hAnsi="宋体"/>
          <w:color w:val="auto"/>
          <w:sz w:val="28"/>
          <w:szCs w:val="28"/>
          <w:u w:val="single"/>
        </w:rPr>
        <w:t>近期规划图</w:t>
      </w:r>
    </w:p>
    <w:p>
      <w:pPr>
        <w:keepNext w:val="0"/>
        <w:keepLines w:val="0"/>
        <w:pageBreakBefore w:val="0"/>
        <w:kinsoku/>
        <w:wordWrap/>
        <w:overflowPunct/>
        <w:topLinePunct w:val="0"/>
        <w:autoSpaceDE/>
        <w:autoSpaceDN/>
        <w:bidi w:val="0"/>
        <w:spacing w:line="360" w:lineRule="auto"/>
        <w:ind w:firstLine="562" w:firstLineChars="200"/>
        <w:textAlignment w:val="auto"/>
        <w:rPr>
          <w:rFonts w:ascii="宋体" w:hAnsi="宋体" w:cs="宋体"/>
          <w:b/>
          <w:color w:val="auto"/>
          <w:sz w:val="28"/>
          <w:szCs w:val="28"/>
        </w:rPr>
      </w:pPr>
      <w:bookmarkStart w:id="10" w:name="_Toc5635"/>
      <w:bookmarkStart w:id="11" w:name="_Toc21124"/>
      <w:bookmarkStart w:id="12" w:name="_Toc1386"/>
      <w:bookmarkStart w:id="13" w:name="_Toc13918"/>
      <w:bookmarkStart w:id="14" w:name="_Toc4929"/>
      <w:r>
        <w:rPr>
          <w:rFonts w:hint="eastAsia" w:ascii="宋体" w:hAnsi="宋体" w:cs="宋体"/>
          <w:b/>
          <w:color w:val="auto"/>
          <w:sz w:val="28"/>
          <w:szCs w:val="28"/>
        </w:rPr>
        <w:t>1.3 价款</w:t>
      </w:r>
      <w:bookmarkEnd w:id="10"/>
      <w:bookmarkEnd w:id="11"/>
      <w:bookmarkEnd w:id="12"/>
      <w:bookmarkEnd w:id="13"/>
      <w:bookmarkEnd w:id="14"/>
    </w:p>
    <w:p>
      <w:pPr>
        <w:keepNext w:val="0"/>
        <w:keepLines w:val="0"/>
        <w:pageBreakBefore w:val="0"/>
        <w:kinsoku/>
        <w:wordWrap/>
        <w:overflowPunct/>
        <w:topLinePunct w:val="0"/>
        <w:autoSpaceDE/>
        <w:autoSpaceDN/>
        <w:bidi w:val="0"/>
        <w:spacing w:line="360" w:lineRule="auto"/>
        <w:ind w:firstLine="560" w:firstLineChars="200"/>
        <w:textAlignment w:val="auto"/>
        <w:rPr>
          <w:rFonts w:ascii="宋体" w:hAnsi="宋体" w:cs="宋体"/>
          <w:color w:val="auto"/>
          <w:sz w:val="28"/>
          <w:szCs w:val="28"/>
        </w:rPr>
      </w:pPr>
      <w:r>
        <w:rPr>
          <w:rFonts w:hint="eastAsia" w:ascii="宋体" w:hAnsi="宋体" w:cs="宋体"/>
          <w:color w:val="auto"/>
          <w:sz w:val="28"/>
          <w:szCs w:val="28"/>
        </w:rPr>
        <w:t>本合同总价为：</w:t>
      </w:r>
      <w:r>
        <w:rPr>
          <w:rFonts w:hint="eastAsia"/>
          <w:color w:val="auto"/>
          <w:sz w:val="28"/>
          <w:szCs w:val="28"/>
          <w:u w:val="single"/>
        </w:rPr>
        <w:t>人民币         万元整（￥        元）</w:t>
      </w:r>
      <w:r>
        <w:rPr>
          <w:rFonts w:hint="eastAsia" w:ascii="宋体" w:hAnsi="宋体" w:cs="宋体"/>
          <w:color w:val="auto"/>
          <w:sz w:val="28"/>
          <w:szCs w:val="28"/>
        </w:rPr>
        <w:t>。</w:t>
      </w:r>
    </w:p>
    <w:p>
      <w:pPr>
        <w:keepNext w:val="0"/>
        <w:keepLines w:val="0"/>
        <w:pageBreakBefore w:val="0"/>
        <w:kinsoku/>
        <w:wordWrap/>
        <w:overflowPunct/>
        <w:topLinePunct w:val="0"/>
        <w:autoSpaceDE/>
        <w:autoSpaceDN/>
        <w:bidi w:val="0"/>
        <w:spacing w:line="360" w:lineRule="auto"/>
        <w:ind w:firstLine="562" w:firstLineChars="200"/>
        <w:textAlignment w:val="auto"/>
        <w:rPr>
          <w:rFonts w:ascii="宋体" w:hAnsi="宋体" w:cs="宋体"/>
          <w:b/>
          <w:color w:val="auto"/>
          <w:sz w:val="28"/>
          <w:szCs w:val="28"/>
        </w:rPr>
      </w:pPr>
      <w:bookmarkStart w:id="15" w:name="_Toc3654"/>
      <w:bookmarkStart w:id="16" w:name="_Toc30506"/>
      <w:bookmarkStart w:id="17" w:name="_Toc14993"/>
      <w:bookmarkStart w:id="18" w:name="_Toc26916"/>
      <w:bookmarkStart w:id="19" w:name="_Toc30158"/>
      <w:r>
        <w:rPr>
          <w:rFonts w:hint="eastAsia" w:ascii="宋体" w:hAnsi="宋体" w:cs="宋体"/>
          <w:b/>
          <w:color w:val="auto"/>
          <w:sz w:val="28"/>
          <w:szCs w:val="28"/>
        </w:rPr>
        <w:t>1.4 付款方式和发票开具方式</w:t>
      </w:r>
      <w:bookmarkEnd w:id="15"/>
      <w:bookmarkEnd w:id="16"/>
      <w:bookmarkEnd w:id="17"/>
      <w:bookmarkEnd w:id="18"/>
      <w:bookmarkEnd w:id="19"/>
    </w:p>
    <w:p>
      <w:pPr>
        <w:keepNext w:val="0"/>
        <w:keepLines w:val="0"/>
        <w:pageBreakBefore w:val="0"/>
        <w:kinsoku/>
        <w:wordWrap/>
        <w:overflowPunct/>
        <w:topLinePunct w:val="0"/>
        <w:autoSpaceDE/>
        <w:autoSpaceDN/>
        <w:bidi w:val="0"/>
        <w:spacing w:line="360" w:lineRule="auto"/>
        <w:ind w:firstLine="560" w:firstLineChars="200"/>
        <w:textAlignment w:val="auto"/>
        <w:rPr>
          <w:rFonts w:ascii="宋体" w:hAnsi="宋体" w:cs="宋体"/>
          <w:color w:val="auto"/>
          <w:sz w:val="28"/>
          <w:szCs w:val="28"/>
          <w:u w:val="single"/>
        </w:rPr>
      </w:pPr>
      <w:r>
        <w:rPr>
          <w:rFonts w:hint="eastAsia" w:ascii="宋体" w:hAnsi="宋体" w:cs="宋体"/>
          <w:color w:val="auto"/>
          <w:sz w:val="28"/>
          <w:szCs w:val="28"/>
        </w:rPr>
        <w:t>1.4.1付款方式：</w:t>
      </w:r>
    </w:p>
    <w:p>
      <w:pPr>
        <w:keepNext w:val="0"/>
        <w:keepLines w:val="0"/>
        <w:pageBreakBefore w:val="0"/>
        <w:kinsoku/>
        <w:wordWrap/>
        <w:overflowPunct/>
        <w:topLinePunct w:val="0"/>
        <w:autoSpaceDE/>
        <w:autoSpaceDN/>
        <w:bidi w:val="0"/>
        <w:spacing w:line="360" w:lineRule="auto"/>
        <w:ind w:firstLine="560" w:firstLineChars="200"/>
        <w:textAlignment w:val="auto"/>
        <w:rPr>
          <w:rFonts w:ascii="宋体" w:hAnsi="宋体" w:cs="宋体"/>
          <w:color w:val="auto"/>
          <w:sz w:val="28"/>
          <w:szCs w:val="28"/>
          <w:u w:val="single"/>
        </w:rPr>
      </w:pPr>
      <w:r>
        <w:rPr>
          <w:rFonts w:hint="eastAsia" w:ascii="宋体" w:hAnsi="宋体" w:cs="宋体"/>
          <w:color w:val="auto"/>
          <w:sz w:val="28"/>
          <w:szCs w:val="28"/>
          <w:u w:val="single"/>
        </w:rPr>
        <w:t>（1）完成中间成果后五个工作日内，各区镇按下表比例支付</w:t>
      </w:r>
      <w:r>
        <w:rPr>
          <w:rFonts w:ascii="宋体" w:hAnsi="宋体" w:cs="宋体"/>
          <w:color w:val="auto"/>
          <w:sz w:val="28"/>
          <w:szCs w:val="28"/>
          <w:u w:val="single"/>
        </w:rPr>
        <w:t>70</w:t>
      </w:r>
      <w:r>
        <w:rPr>
          <w:rFonts w:hint="eastAsia" w:ascii="宋体" w:hAnsi="宋体" w:cs="宋体"/>
          <w:color w:val="auto"/>
          <w:sz w:val="28"/>
          <w:szCs w:val="28"/>
          <w:u w:val="single"/>
        </w:rPr>
        <w:t>％的规划设计费，即      万元整（￥          元）；</w:t>
      </w:r>
    </w:p>
    <w:p>
      <w:pPr>
        <w:keepNext w:val="0"/>
        <w:keepLines w:val="0"/>
        <w:pageBreakBefore w:val="0"/>
        <w:kinsoku/>
        <w:wordWrap/>
        <w:overflowPunct/>
        <w:topLinePunct w:val="0"/>
        <w:autoSpaceDE/>
        <w:autoSpaceDN/>
        <w:bidi w:val="0"/>
        <w:spacing w:line="360" w:lineRule="auto"/>
        <w:ind w:firstLine="560" w:firstLineChars="200"/>
        <w:textAlignment w:val="auto"/>
        <w:rPr>
          <w:rFonts w:ascii="宋体" w:hAnsi="宋体" w:cs="宋体"/>
          <w:color w:val="auto"/>
          <w:sz w:val="28"/>
          <w:szCs w:val="28"/>
          <w:u w:val="single"/>
        </w:rPr>
      </w:pPr>
      <w:r>
        <w:rPr>
          <w:rFonts w:hint="eastAsia" w:ascii="宋体" w:hAnsi="宋体" w:cs="宋体"/>
          <w:color w:val="auto"/>
          <w:sz w:val="28"/>
          <w:szCs w:val="28"/>
          <w:u w:val="single"/>
        </w:rPr>
        <w:t>（</w:t>
      </w:r>
      <w:r>
        <w:rPr>
          <w:rFonts w:ascii="宋体" w:hAnsi="宋体" w:cs="宋体"/>
          <w:color w:val="auto"/>
          <w:sz w:val="28"/>
          <w:szCs w:val="28"/>
          <w:u w:val="single"/>
        </w:rPr>
        <w:t>2</w:t>
      </w:r>
      <w:r>
        <w:rPr>
          <w:rFonts w:hint="eastAsia" w:ascii="宋体" w:hAnsi="宋体" w:cs="宋体"/>
          <w:color w:val="auto"/>
          <w:sz w:val="28"/>
          <w:szCs w:val="28"/>
          <w:u w:val="single"/>
        </w:rPr>
        <w:t>）成果通过省级备案并提交最终成果后五个工作日内，各区镇按下表比例支付</w:t>
      </w:r>
      <w:r>
        <w:rPr>
          <w:rFonts w:ascii="宋体" w:hAnsi="宋体" w:cs="宋体"/>
          <w:color w:val="auto"/>
          <w:sz w:val="28"/>
          <w:szCs w:val="28"/>
          <w:u w:val="single"/>
        </w:rPr>
        <w:t>30</w:t>
      </w:r>
      <w:r>
        <w:rPr>
          <w:rFonts w:hint="eastAsia" w:ascii="宋体" w:hAnsi="宋体" w:cs="宋体"/>
          <w:color w:val="auto"/>
          <w:sz w:val="28"/>
          <w:szCs w:val="28"/>
          <w:u w:val="single"/>
        </w:rPr>
        <w:t>％的规划设计费，即   万元整（￥       元）；</w:t>
      </w:r>
    </w:p>
    <w:p>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color w:val="auto"/>
          <w:sz w:val="28"/>
          <w:szCs w:val="28"/>
        </w:rPr>
      </w:pPr>
      <w:r>
        <w:rPr>
          <w:rFonts w:hint="eastAsia" w:ascii="宋体" w:hAnsi="宋体"/>
          <w:color w:val="auto"/>
          <w:sz w:val="28"/>
          <w:szCs w:val="28"/>
        </w:rPr>
        <w:t>如因甲方提交基础资料时间或乙方提交初步方案后支付规划编制费用时间延误，则提交相应规划成果时间顺延。</w:t>
      </w:r>
    </w:p>
    <w:tbl>
      <w:tblPr>
        <w:tblStyle w:val="2"/>
        <w:tblW w:w="9929" w:type="dxa"/>
        <w:tblInd w:w="93" w:type="dxa"/>
        <w:tblLayout w:type="autofit"/>
        <w:tblCellMar>
          <w:top w:w="0" w:type="dxa"/>
          <w:left w:w="108" w:type="dxa"/>
          <w:bottom w:w="0" w:type="dxa"/>
          <w:right w:w="108" w:type="dxa"/>
        </w:tblCellMar>
      </w:tblPr>
      <w:tblGrid>
        <w:gridCol w:w="1710"/>
        <w:gridCol w:w="1725"/>
        <w:gridCol w:w="1725"/>
        <w:gridCol w:w="1725"/>
        <w:gridCol w:w="1725"/>
        <w:gridCol w:w="1319"/>
      </w:tblGrid>
      <w:tr>
        <w:tblPrEx>
          <w:tblCellMar>
            <w:top w:w="0" w:type="dxa"/>
            <w:left w:w="108" w:type="dxa"/>
            <w:bottom w:w="0" w:type="dxa"/>
            <w:right w:w="108" w:type="dxa"/>
          </w:tblCellMar>
        </w:tblPrEx>
        <w:trPr>
          <w:trHeight w:val="540" w:hRule="atLeast"/>
        </w:trPr>
        <w:tc>
          <w:tcPr>
            <w:tcW w:w="17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2"/>
                <w:szCs w:val="22"/>
              </w:rPr>
            </w:pPr>
            <w:r>
              <w:rPr>
                <w:rFonts w:hint="eastAsia" w:ascii="宋体" w:hAnsi="宋体" w:cs="宋体"/>
                <w:b/>
                <w:bCs/>
                <w:color w:val="auto"/>
                <w:kern w:val="0"/>
                <w:sz w:val="22"/>
                <w:szCs w:val="22"/>
                <w:lang w:bidi="ar"/>
              </w:rPr>
              <w:t>乡镇</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2"/>
                <w:szCs w:val="22"/>
              </w:rPr>
            </w:pPr>
            <w:r>
              <w:rPr>
                <w:rFonts w:hint="eastAsia" w:ascii="宋体" w:hAnsi="宋体" w:cs="宋体"/>
                <w:b/>
                <w:bCs/>
                <w:color w:val="auto"/>
                <w:kern w:val="0"/>
                <w:sz w:val="22"/>
                <w:szCs w:val="22"/>
                <w:lang w:bidi="ar"/>
              </w:rPr>
              <w:t>行政村个数</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2"/>
                <w:szCs w:val="22"/>
              </w:rPr>
            </w:pPr>
            <w:r>
              <w:rPr>
                <w:rFonts w:hint="eastAsia" w:ascii="宋体" w:hAnsi="宋体" w:cs="宋体"/>
                <w:b/>
                <w:bCs/>
                <w:color w:val="auto"/>
                <w:kern w:val="0"/>
                <w:sz w:val="22"/>
                <w:szCs w:val="22"/>
                <w:lang w:bidi="ar"/>
              </w:rPr>
              <w:t>付款比例</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2"/>
                <w:szCs w:val="22"/>
              </w:rPr>
            </w:pPr>
            <w:r>
              <w:rPr>
                <w:rFonts w:hint="eastAsia" w:ascii="宋体" w:hAnsi="宋体" w:cs="宋体"/>
                <w:b/>
                <w:bCs/>
                <w:color w:val="auto"/>
                <w:kern w:val="0"/>
                <w:sz w:val="22"/>
                <w:szCs w:val="22"/>
                <w:lang w:bidi="ar"/>
              </w:rPr>
              <w:t>70%费用</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2"/>
                <w:szCs w:val="22"/>
              </w:rPr>
            </w:pPr>
            <w:r>
              <w:rPr>
                <w:rFonts w:hint="eastAsia" w:ascii="宋体" w:hAnsi="宋体" w:cs="宋体"/>
                <w:b/>
                <w:bCs/>
                <w:color w:val="auto"/>
                <w:kern w:val="0"/>
                <w:sz w:val="22"/>
                <w:szCs w:val="22"/>
                <w:lang w:bidi="ar"/>
              </w:rPr>
              <w:t>30%费用</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 w:val="22"/>
                <w:szCs w:val="22"/>
              </w:rPr>
            </w:pPr>
            <w:r>
              <w:rPr>
                <w:rFonts w:hint="eastAsia" w:ascii="宋体" w:hAnsi="宋体" w:cs="宋体"/>
                <w:b/>
                <w:bCs/>
                <w:color w:val="auto"/>
                <w:kern w:val="0"/>
                <w:sz w:val="22"/>
                <w:szCs w:val="22"/>
                <w:lang w:bidi="ar"/>
              </w:rPr>
              <w:t>合计</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开发区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c>
          <w:tcPr>
            <w:tcW w:w="131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三厂街道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c>
          <w:tcPr>
            <w:tcW w:w="131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临江新区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c>
          <w:tcPr>
            <w:tcW w:w="131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海门港新区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c>
          <w:tcPr>
            <w:tcW w:w="131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三星镇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c>
          <w:tcPr>
            <w:tcW w:w="131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正余镇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c>
          <w:tcPr>
            <w:tcW w:w="131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常乐镇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c>
          <w:tcPr>
            <w:tcW w:w="131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四甲镇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c>
          <w:tcPr>
            <w:tcW w:w="131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悦来镇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c>
          <w:tcPr>
            <w:tcW w:w="131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余东镇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c>
          <w:tcPr>
            <w:tcW w:w="131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海永镇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c>
          <w:tcPr>
            <w:tcW w:w="131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总计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c>
          <w:tcPr>
            <w:tcW w:w="131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szCs w:val="22"/>
              </w:rPr>
            </w:pPr>
          </w:p>
        </w:tc>
      </w:tr>
    </w:tbl>
    <w:p>
      <w:pPr>
        <w:keepNext w:val="0"/>
        <w:keepLines w:val="0"/>
        <w:pageBreakBefore w:val="0"/>
        <w:widowControl w:val="0"/>
        <w:kinsoku/>
        <w:wordWrap/>
        <w:overflowPunct/>
        <w:topLinePunct w:val="0"/>
        <w:bidi w:val="0"/>
        <w:snapToGrid/>
        <w:spacing w:line="360" w:lineRule="auto"/>
        <w:ind w:firstLine="560" w:firstLineChars="200"/>
        <w:textAlignment w:val="auto"/>
        <w:rPr>
          <w:rFonts w:ascii="宋体" w:hAnsi="宋体" w:cs="宋体"/>
          <w:color w:val="auto"/>
          <w:sz w:val="28"/>
          <w:szCs w:val="28"/>
        </w:rPr>
      </w:pPr>
      <w:r>
        <w:rPr>
          <w:rFonts w:hint="eastAsia" w:ascii="宋体" w:hAnsi="宋体" w:cs="宋体"/>
          <w:color w:val="auto"/>
          <w:sz w:val="28"/>
          <w:szCs w:val="28"/>
        </w:rPr>
        <w:t>1.4.</w:t>
      </w:r>
      <w:r>
        <w:rPr>
          <w:rFonts w:ascii="宋体" w:hAnsi="宋体" w:cs="宋体"/>
          <w:color w:val="auto"/>
          <w:sz w:val="28"/>
          <w:szCs w:val="28"/>
        </w:rPr>
        <w:t>2</w:t>
      </w:r>
      <w:r>
        <w:rPr>
          <w:rFonts w:hint="eastAsia" w:ascii="宋体" w:hAnsi="宋体" w:cs="宋体"/>
          <w:color w:val="auto"/>
          <w:sz w:val="28"/>
          <w:szCs w:val="28"/>
        </w:rPr>
        <w:t xml:space="preserve"> 发票开具方式：</w:t>
      </w:r>
      <w:r>
        <w:rPr>
          <w:rFonts w:hint="eastAsia" w:ascii="宋体" w:hAnsi="宋体" w:cs="宋体"/>
          <w:color w:val="auto"/>
          <w:sz w:val="28"/>
          <w:szCs w:val="28"/>
          <w:u w:val="single"/>
        </w:rPr>
        <w:t>按照业主方提供信息开具发票</w:t>
      </w:r>
      <w:r>
        <w:rPr>
          <w:rFonts w:hint="eastAsia" w:ascii="宋体" w:hAnsi="宋体" w:cs="宋体"/>
          <w:color w:val="auto"/>
          <w:sz w:val="28"/>
          <w:szCs w:val="28"/>
        </w:rPr>
        <w:t>。</w:t>
      </w:r>
    </w:p>
    <w:p>
      <w:pPr>
        <w:keepNext w:val="0"/>
        <w:keepLines w:val="0"/>
        <w:pageBreakBefore w:val="0"/>
        <w:widowControl w:val="0"/>
        <w:kinsoku/>
        <w:wordWrap/>
        <w:overflowPunct/>
        <w:topLinePunct w:val="0"/>
        <w:bidi w:val="0"/>
        <w:snapToGrid/>
        <w:spacing w:line="360" w:lineRule="auto"/>
        <w:ind w:firstLine="562" w:firstLineChars="200"/>
        <w:textAlignment w:val="auto"/>
        <w:rPr>
          <w:rFonts w:ascii="宋体" w:hAnsi="宋体" w:cs="宋体"/>
          <w:b/>
          <w:color w:val="auto"/>
          <w:sz w:val="28"/>
          <w:szCs w:val="28"/>
        </w:rPr>
      </w:pPr>
      <w:bookmarkStart w:id="20" w:name="_Toc8772"/>
      <w:bookmarkStart w:id="21" w:name="_Toc4760"/>
      <w:bookmarkStart w:id="22" w:name="_Toc11108"/>
      <w:bookmarkStart w:id="23" w:name="_Toc3625"/>
      <w:bookmarkStart w:id="24" w:name="_Toc31421"/>
      <w:r>
        <w:rPr>
          <w:rFonts w:hint="eastAsia" w:ascii="宋体" w:hAnsi="宋体" w:cs="宋体"/>
          <w:b/>
          <w:color w:val="auto"/>
          <w:sz w:val="28"/>
          <w:szCs w:val="28"/>
        </w:rPr>
        <w:t>1.5 履行期限、地点和方式</w:t>
      </w:r>
      <w:bookmarkEnd w:id="20"/>
      <w:bookmarkEnd w:id="21"/>
      <w:bookmarkEnd w:id="22"/>
      <w:bookmarkEnd w:id="23"/>
      <w:bookmarkEnd w:id="24"/>
    </w:p>
    <w:p>
      <w:pPr>
        <w:keepNext w:val="0"/>
        <w:keepLines w:val="0"/>
        <w:pageBreakBefore w:val="0"/>
        <w:widowControl w:val="0"/>
        <w:kinsoku/>
        <w:wordWrap/>
        <w:overflowPunct/>
        <w:topLinePunct w:val="0"/>
        <w:bidi w:val="0"/>
        <w:snapToGrid/>
        <w:spacing w:line="360" w:lineRule="auto"/>
        <w:ind w:firstLine="560" w:firstLineChars="200"/>
        <w:textAlignment w:val="auto"/>
        <w:rPr>
          <w:rFonts w:ascii="宋体" w:hAnsi="宋体" w:cs="宋体"/>
          <w:color w:val="auto"/>
          <w:sz w:val="28"/>
          <w:szCs w:val="28"/>
          <w:u w:val="single"/>
        </w:rPr>
      </w:pPr>
      <w:r>
        <w:rPr>
          <w:rFonts w:hint="eastAsia" w:ascii="宋体" w:hAnsi="宋体" w:cs="宋体"/>
          <w:color w:val="auto"/>
          <w:sz w:val="28"/>
          <w:szCs w:val="28"/>
        </w:rPr>
        <w:t>1.5.1 履行期限：</w:t>
      </w:r>
      <w:r>
        <w:rPr>
          <w:rFonts w:ascii="宋体" w:hAnsi="宋体" w:cs="宋体"/>
          <w:color w:val="auto"/>
          <w:sz w:val="28"/>
          <w:szCs w:val="28"/>
          <w:u w:val="single"/>
        </w:rPr>
        <w:t xml:space="preserve"> </w:t>
      </w:r>
      <w:r>
        <w:rPr>
          <w:rFonts w:hint="eastAsia" w:ascii="宋体" w:hAnsi="宋体" w:cs="宋体"/>
          <w:color w:val="auto"/>
          <w:sz w:val="28"/>
          <w:szCs w:val="28"/>
          <w:u w:val="single"/>
        </w:rPr>
        <w:t>合同签订日起至2</w:t>
      </w:r>
      <w:r>
        <w:rPr>
          <w:rFonts w:ascii="宋体" w:hAnsi="宋体" w:cs="宋体"/>
          <w:color w:val="auto"/>
          <w:sz w:val="28"/>
          <w:szCs w:val="28"/>
          <w:u w:val="single"/>
        </w:rPr>
        <w:t>024</w:t>
      </w:r>
      <w:r>
        <w:rPr>
          <w:rFonts w:hint="eastAsia" w:ascii="宋体" w:hAnsi="宋体" w:cs="宋体"/>
          <w:color w:val="auto"/>
          <w:sz w:val="28"/>
          <w:szCs w:val="28"/>
          <w:u w:val="single"/>
        </w:rPr>
        <w:t>年1</w:t>
      </w:r>
      <w:r>
        <w:rPr>
          <w:rFonts w:ascii="宋体" w:hAnsi="宋体" w:cs="宋体"/>
          <w:color w:val="auto"/>
          <w:sz w:val="28"/>
          <w:szCs w:val="28"/>
          <w:u w:val="single"/>
        </w:rPr>
        <w:t>2</w:t>
      </w:r>
      <w:r>
        <w:rPr>
          <w:rFonts w:hint="eastAsia" w:ascii="宋体" w:hAnsi="宋体" w:cs="宋体"/>
          <w:color w:val="auto"/>
          <w:sz w:val="28"/>
          <w:szCs w:val="28"/>
          <w:u w:val="single"/>
        </w:rPr>
        <w:t>月</w:t>
      </w:r>
      <w:r>
        <w:rPr>
          <w:rFonts w:hint="eastAsia" w:ascii="宋体" w:hAnsi="宋体" w:cs="宋体"/>
          <w:color w:val="auto"/>
          <w:sz w:val="28"/>
          <w:szCs w:val="28"/>
        </w:rPr>
        <w:t>；</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宋体" w:hAnsi="宋体" w:cs="宋体"/>
          <w:color w:val="auto"/>
          <w:sz w:val="28"/>
          <w:szCs w:val="28"/>
        </w:rPr>
      </w:pPr>
      <w:r>
        <w:rPr>
          <w:rFonts w:hint="eastAsia" w:ascii="宋体" w:hAnsi="宋体" w:cs="宋体"/>
          <w:color w:val="auto"/>
          <w:sz w:val="28"/>
          <w:szCs w:val="28"/>
        </w:rPr>
        <w:t>1.5.2 履行地点：</w:t>
      </w:r>
      <w:r>
        <w:rPr>
          <w:rFonts w:hint="eastAsia" w:ascii="宋体" w:hAnsi="宋体" w:cs="宋体"/>
          <w:color w:val="auto"/>
          <w:sz w:val="28"/>
          <w:szCs w:val="28"/>
          <w:u w:val="single"/>
        </w:rPr>
        <w:t xml:space="preserve"> 南通市海门区 </w:t>
      </w:r>
      <w:r>
        <w:rPr>
          <w:rFonts w:hint="eastAsia" w:ascii="宋体" w:hAnsi="宋体" w:cs="宋体"/>
          <w:color w:val="auto"/>
          <w:sz w:val="28"/>
          <w:szCs w:val="28"/>
        </w:rPr>
        <w:t>；</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宋体" w:hAnsi="宋体" w:cs="宋体"/>
          <w:color w:val="auto"/>
          <w:sz w:val="28"/>
          <w:szCs w:val="28"/>
        </w:rPr>
      </w:pPr>
      <w:r>
        <w:rPr>
          <w:rFonts w:hint="eastAsia" w:ascii="宋体" w:hAnsi="宋体" w:cs="宋体"/>
          <w:color w:val="auto"/>
          <w:sz w:val="28"/>
          <w:szCs w:val="28"/>
        </w:rPr>
        <w:t>1.5.3 履行方式：</w:t>
      </w:r>
      <w:r>
        <w:rPr>
          <w:rFonts w:hint="eastAsia" w:ascii="宋体" w:hAnsi="宋体" w:cs="宋体"/>
          <w:color w:val="auto"/>
          <w:sz w:val="28"/>
          <w:szCs w:val="28"/>
          <w:u w:val="single"/>
        </w:rPr>
        <w:t>按照国家标准、行业相关标准履行</w:t>
      </w:r>
      <w:r>
        <w:rPr>
          <w:rFonts w:hint="eastAsia" w:ascii="宋体" w:hAnsi="宋体" w:cs="宋体"/>
          <w:color w:val="auto"/>
          <w:sz w:val="28"/>
          <w:szCs w:val="28"/>
        </w:rPr>
        <w:t>。</w:t>
      </w:r>
    </w:p>
    <w:p>
      <w:pPr>
        <w:keepNext w:val="0"/>
        <w:keepLines w:val="0"/>
        <w:pageBreakBefore w:val="0"/>
        <w:widowControl w:val="0"/>
        <w:kinsoku/>
        <w:wordWrap/>
        <w:overflowPunct/>
        <w:topLinePunct w:val="0"/>
        <w:bidi w:val="0"/>
        <w:snapToGrid/>
        <w:spacing w:line="360" w:lineRule="auto"/>
        <w:ind w:firstLine="562" w:firstLineChars="200"/>
        <w:textAlignment w:val="auto"/>
        <w:rPr>
          <w:rFonts w:ascii="宋体" w:hAnsi="宋体" w:cs="宋体"/>
          <w:b/>
          <w:color w:val="auto"/>
          <w:sz w:val="28"/>
          <w:szCs w:val="28"/>
        </w:rPr>
      </w:pPr>
      <w:bookmarkStart w:id="25" w:name="_Toc24662"/>
      <w:bookmarkStart w:id="26" w:name="_Toc5698"/>
      <w:bookmarkStart w:id="27" w:name="_Toc8586"/>
      <w:bookmarkStart w:id="28" w:name="_Toc3079"/>
      <w:bookmarkStart w:id="29" w:name="_Toc2375"/>
      <w:r>
        <w:rPr>
          <w:rFonts w:hint="eastAsia" w:ascii="宋体" w:hAnsi="宋体" w:cs="宋体"/>
          <w:b/>
          <w:color w:val="auto"/>
          <w:sz w:val="28"/>
          <w:szCs w:val="28"/>
        </w:rPr>
        <w:t>1.6 知识产权约定：</w:t>
      </w:r>
    </w:p>
    <w:p>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ascii="宋体" w:hAnsi="宋体" w:cs="宋体"/>
          <w:color w:val="auto"/>
          <w:kern w:val="0"/>
          <w:sz w:val="28"/>
          <w:szCs w:val="28"/>
        </w:rPr>
      </w:pPr>
      <w:r>
        <w:rPr>
          <w:rFonts w:hint="eastAsia" w:ascii="宋体" w:hAnsi="宋体" w:cs="宋体"/>
          <w:color w:val="auto"/>
          <w:sz w:val="28"/>
          <w:szCs w:val="28"/>
        </w:rPr>
        <w:t xml:space="preserve">1.6.1 </w:t>
      </w:r>
      <w:r>
        <w:rPr>
          <w:rFonts w:ascii="宋体" w:hAnsi="宋体" w:cs="宋体"/>
          <w:color w:val="auto"/>
          <w:kern w:val="0"/>
          <w:sz w:val="28"/>
          <w:szCs w:val="28"/>
        </w:rPr>
        <w:t>甲方提供给</w:t>
      </w:r>
      <w:r>
        <w:rPr>
          <w:rFonts w:hint="eastAsia" w:ascii="宋体" w:hAnsi="宋体" w:cs="宋体"/>
          <w:color w:val="auto"/>
          <w:kern w:val="0"/>
          <w:sz w:val="28"/>
          <w:szCs w:val="28"/>
        </w:rPr>
        <w:t>乙方</w:t>
      </w:r>
      <w:r>
        <w:rPr>
          <w:rFonts w:ascii="宋体" w:hAnsi="宋体" w:cs="宋体"/>
          <w:color w:val="auto"/>
          <w:kern w:val="0"/>
          <w:sz w:val="28"/>
          <w:szCs w:val="28"/>
        </w:rPr>
        <w:t>的图纸、甲方为实施工程自行编制或委托编制的技术</w:t>
      </w:r>
      <w:r>
        <w:rPr>
          <w:rFonts w:hint="eastAsia" w:ascii="宋体" w:hAnsi="宋体" w:cs="宋体"/>
          <w:color w:val="auto"/>
          <w:kern w:val="0"/>
          <w:sz w:val="28"/>
          <w:szCs w:val="28"/>
        </w:rPr>
        <w:t>规格书</w:t>
      </w:r>
      <w:r>
        <w:rPr>
          <w:rFonts w:ascii="宋体" w:hAnsi="宋体" w:cs="宋体"/>
          <w:color w:val="auto"/>
          <w:kern w:val="0"/>
          <w:sz w:val="28"/>
          <w:szCs w:val="28"/>
        </w:rPr>
        <w:t>以及反映甲方要求的或其他类似性质的文件的著作权属于甲方，</w:t>
      </w:r>
      <w:r>
        <w:rPr>
          <w:rFonts w:hint="eastAsia" w:ascii="宋体" w:hAnsi="宋体" w:cs="宋体"/>
          <w:color w:val="auto"/>
          <w:kern w:val="0"/>
          <w:sz w:val="28"/>
          <w:szCs w:val="28"/>
        </w:rPr>
        <w:t>乙方</w:t>
      </w:r>
      <w:r>
        <w:rPr>
          <w:rFonts w:ascii="宋体" w:hAnsi="宋体" w:cs="宋体"/>
          <w:color w:val="auto"/>
          <w:kern w:val="0"/>
          <w:sz w:val="28"/>
          <w:szCs w:val="28"/>
        </w:rPr>
        <w:t>可以为实现合同目的而复制、使用此类文件，但不能用于与合同无关的其他事项。</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0"/>
        <w:rPr>
          <w:bCs/>
          <w:color w:val="auto"/>
          <w:sz w:val="28"/>
          <w:szCs w:val="28"/>
        </w:rPr>
      </w:pPr>
      <w:r>
        <w:rPr>
          <w:rFonts w:hint="eastAsia" w:ascii="宋体" w:hAnsi="宋体" w:cs="宋体"/>
          <w:color w:val="auto"/>
          <w:sz w:val="28"/>
          <w:szCs w:val="28"/>
        </w:rPr>
        <w:t xml:space="preserve">1.6.2 </w:t>
      </w:r>
      <w:r>
        <w:rPr>
          <w:rFonts w:hint="eastAsia"/>
          <w:bCs/>
          <w:color w:val="auto"/>
          <w:sz w:val="28"/>
          <w:szCs w:val="28"/>
        </w:rPr>
        <w:t>甲方将委托设计的所有费用结算完毕后，甲方拥有设计方案的所有权、使用权和修改权；未被甲方采用的方案，其知识产权归乙方所有。</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0"/>
        <w:rPr>
          <w:bCs/>
          <w:color w:val="auto"/>
          <w:sz w:val="28"/>
          <w:szCs w:val="28"/>
        </w:rPr>
      </w:pPr>
      <w:r>
        <w:rPr>
          <w:rFonts w:hint="eastAsia" w:ascii="宋体" w:hAnsi="宋体" w:cs="宋体"/>
          <w:color w:val="auto"/>
          <w:sz w:val="28"/>
          <w:szCs w:val="28"/>
        </w:rPr>
        <w:t>1.6.3</w:t>
      </w:r>
      <w:r>
        <w:rPr>
          <w:rFonts w:hint="eastAsia" w:ascii="宋体" w:hAnsi="宋体" w:cs="宋体"/>
          <w:color w:val="auto"/>
          <w:kern w:val="0"/>
          <w:sz w:val="28"/>
          <w:szCs w:val="28"/>
        </w:rPr>
        <w:t>双方</w:t>
      </w:r>
      <w:r>
        <w:rPr>
          <w:rFonts w:hint="eastAsia"/>
          <w:bCs/>
          <w:color w:val="auto"/>
          <w:sz w:val="28"/>
          <w:szCs w:val="28"/>
        </w:rPr>
        <w:t>均</w:t>
      </w:r>
      <w:r>
        <w:rPr>
          <w:bCs/>
          <w:color w:val="auto"/>
          <w:sz w:val="28"/>
          <w:szCs w:val="28"/>
        </w:rPr>
        <w:t>保证在履行合同过程中不侵犯对方及第三方的知识产权。</w:t>
      </w:r>
      <w:r>
        <w:rPr>
          <w:rFonts w:hint="eastAsia"/>
          <w:bCs/>
          <w:color w:val="auto"/>
          <w:sz w:val="28"/>
          <w:szCs w:val="28"/>
        </w:rPr>
        <w:t>未经对方同意，任何一方均不得对对方的资料及文件擅自修改、复制或向第三人转让或用于本合同项目外的项目。如发生以上情况，泄密方承担一切由此引起的后果并承担赔偿责任。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ascii="宋体" w:hAnsi="宋体" w:cs="宋体"/>
          <w:color w:val="auto"/>
          <w:kern w:val="0"/>
          <w:sz w:val="28"/>
          <w:szCs w:val="28"/>
        </w:rPr>
      </w:pPr>
      <w:r>
        <w:rPr>
          <w:rFonts w:hint="eastAsia" w:ascii="宋体" w:hAnsi="宋体" w:cs="宋体"/>
          <w:color w:val="auto"/>
          <w:sz w:val="28"/>
          <w:szCs w:val="28"/>
        </w:rPr>
        <w:t xml:space="preserve">1.6.4 </w:t>
      </w:r>
      <w:r>
        <w:rPr>
          <w:rFonts w:hint="eastAsia" w:ascii="宋体" w:hAnsi="宋体" w:cs="宋体"/>
          <w:color w:val="auto"/>
          <w:kern w:val="0"/>
          <w:sz w:val="28"/>
          <w:szCs w:val="28"/>
        </w:rPr>
        <w:t>乙方</w:t>
      </w:r>
      <w:r>
        <w:rPr>
          <w:rFonts w:ascii="宋体" w:hAnsi="宋体" w:cs="宋体"/>
          <w:color w:val="auto"/>
          <w:kern w:val="0"/>
          <w:sz w:val="28"/>
          <w:szCs w:val="28"/>
        </w:rPr>
        <w:t>在</w:t>
      </w:r>
      <w:r>
        <w:rPr>
          <w:rFonts w:hint="eastAsia" w:ascii="宋体" w:hAnsi="宋体" w:cs="宋体"/>
          <w:color w:val="auto"/>
          <w:kern w:val="0"/>
          <w:sz w:val="28"/>
          <w:szCs w:val="28"/>
        </w:rPr>
        <w:t>设计</w:t>
      </w:r>
      <w:r>
        <w:rPr>
          <w:rFonts w:ascii="宋体" w:hAnsi="宋体" w:cs="宋体"/>
          <w:color w:val="auto"/>
          <w:kern w:val="0"/>
          <w:sz w:val="28"/>
          <w:szCs w:val="28"/>
        </w:rPr>
        <w:t>时，因侵犯他人的专利权或其他知识产权所引起的责任，由</w:t>
      </w:r>
      <w:r>
        <w:rPr>
          <w:rFonts w:hint="eastAsia" w:ascii="宋体" w:hAnsi="宋体" w:cs="宋体"/>
          <w:color w:val="auto"/>
          <w:kern w:val="0"/>
          <w:sz w:val="28"/>
          <w:szCs w:val="28"/>
        </w:rPr>
        <w:t>乙方</w:t>
      </w:r>
      <w:r>
        <w:rPr>
          <w:rFonts w:ascii="宋体" w:hAnsi="宋体" w:cs="宋体"/>
          <w:color w:val="auto"/>
          <w:kern w:val="0"/>
          <w:sz w:val="28"/>
          <w:szCs w:val="28"/>
        </w:rPr>
        <w:t>承担；因</w:t>
      </w:r>
      <w:r>
        <w:rPr>
          <w:rFonts w:hint="eastAsia" w:ascii="宋体" w:hAnsi="宋体" w:cs="宋体"/>
          <w:color w:val="auto"/>
          <w:kern w:val="0"/>
          <w:sz w:val="28"/>
          <w:szCs w:val="28"/>
        </w:rPr>
        <w:t>甲方</w:t>
      </w:r>
      <w:r>
        <w:rPr>
          <w:rFonts w:ascii="宋体" w:hAnsi="宋体" w:cs="宋体"/>
          <w:color w:val="auto"/>
          <w:kern w:val="0"/>
          <w:sz w:val="28"/>
          <w:szCs w:val="28"/>
        </w:rPr>
        <w:t>提供的</w:t>
      </w:r>
      <w:r>
        <w:rPr>
          <w:rFonts w:hint="eastAsia" w:ascii="宋体" w:hAnsi="宋体" w:cs="宋体"/>
          <w:color w:val="auto"/>
          <w:kern w:val="0"/>
          <w:sz w:val="28"/>
          <w:szCs w:val="28"/>
        </w:rPr>
        <w:t>基础资料</w:t>
      </w:r>
      <w:r>
        <w:rPr>
          <w:rFonts w:ascii="宋体" w:hAnsi="宋体" w:cs="宋体"/>
          <w:color w:val="auto"/>
          <w:kern w:val="0"/>
          <w:sz w:val="28"/>
          <w:szCs w:val="28"/>
        </w:rPr>
        <w:t>导致侵权的，由</w:t>
      </w:r>
      <w:r>
        <w:rPr>
          <w:rFonts w:hint="eastAsia" w:ascii="宋体" w:hAnsi="宋体" w:cs="宋体"/>
          <w:color w:val="auto"/>
          <w:kern w:val="0"/>
          <w:sz w:val="28"/>
          <w:szCs w:val="28"/>
        </w:rPr>
        <w:t>甲方</w:t>
      </w:r>
      <w:r>
        <w:rPr>
          <w:rFonts w:ascii="宋体" w:hAnsi="宋体" w:cs="宋体"/>
          <w:color w:val="auto"/>
          <w:kern w:val="0"/>
          <w:sz w:val="28"/>
          <w:szCs w:val="28"/>
        </w:rPr>
        <w:t>承担责任。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ascii="宋体" w:hAnsi="宋体" w:cs="宋体"/>
          <w:color w:val="auto"/>
          <w:kern w:val="0"/>
          <w:sz w:val="28"/>
          <w:szCs w:val="28"/>
        </w:rPr>
      </w:pPr>
      <w:r>
        <w:rPr>
          <w:rFonts w:hint="eastAsia" w:ascii="宋体" w:hAnsi="宋体" w:cs="宋体"/>
          <w:color w:val="auto"/>
          <w:sz w:val="28"/>
          <w:szCs w:val="28"/>
        </w:rPr>
        <w:t xml:space="preserve">1.6.5 </w:t>
      </w:r>
      <w:r>
        <w:rPr>
          <w:rFonts w:hint="eastAsia" w:ascii="宋体" w:hAnsi="宋体" w:cs="宋体"/>
          <w:color w:val="auto"/>
          <w:kern w:val="0"/>
          <w:sz w:val="28"/>
          <w:szCs w:val="28"/>
        </w:rPr>
        <w:t>设计项目完成之后，双方均有权在不损害对方利益和保密约定的前提下，在自己宣传用的印刷品或其他出版物上，或申报奖项时等情形下使用有关项目的文字和图片材料。</w:t>
      </w:r>
    </w:p>
    <w:p>
      <w:pPr>
        <w:keepNext w:val="0"/>
        <w:keepLines w:val="0"/>
        <w:pageBreakBefore w:val="0"/>
        <w:widowControl w:val="0"/>
        <w:kinsoku/>
        <w:wordWrap/>
        <w:overflowPunct/>
        <w:topLinePunct w:val="0"/>
        <w:bidi w:val="0"/>
        <w:snapToGrid/>
        <w:spacing w:line="360" w:lineRule="auto"/>
        <w:ind w:firstLine="562" w:firstLineChars="200"/>
        <w:textAlignment w:val="auto"/>
        <w:rPr>
          <w:rFonts w:ascii="宋体" w:hAnsi="宋体" w:cs="宋体"/>
          <w:color w:val="auto"/>
          <w:sz w:val="28"/>
          <w:szCs w:val="28"/>
          <w:u w:val="single"/>
        </w:rPr>
      </w:pPr>
      <w:r>
        <w:rPr>
          <w:rFonts w:hint="eastAsia" w:ascii="宋体" w:hAnsi="宋体" w:cs="宋体"/>
          <w:b/>
          <w:color w:val="auto"/>
          <w:sz w:val="28"/>
          <w:szCs w:val="28"/>
        </w:rPr>
        <w:t>1.7 违约责任</w:t>
      </w:r>
      <w:bookmarkEnd w:id="25"/>
      <w:bookmarkEnd w:id="26"/>
      <w:bookmarkEnd w:id="27"/>
      <w:bookmarkEnd w:id="28"/>
      <w:bookmarkEnd w:id="29"/>
    </w:p>
    <w:p>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ascii="宋体" w:hAnsi="宋体" w:cs="宋体"/>
          <w:color w:val="auto"/>
          <w:kern w:val="0"/>
          <w:sz w:val="28"/>
          <w:szCs w:val="28"/>
        </w:rPr>
      </w:pPr>
      <w:r>
        <w:rPr>
          <w:rFonts w:hint="eastAsia" w:ascii="宋体" w:hAnsi="宋体" w:cs="宋体"/>
          <w:color w:val="auto"/>
          <w:sz w:val="28"/>
          <w:szCs w:val="28"/>
        </w:rPr>
        <w:t xml:space="preserve">1.7.1 </w:t>
      </w:r>
      <w:r>
        <w:rPr>
          <w:rFonts w:hint="eastAsia" w:ascii="宋体" w:hAnsi="宋体" w:cs="宋体"/>
          <w:color w:val="auto"/>
          <w:kern w:val="0"/>
          <w:sz w:val="28"/>
          <w:szCs w:val="28"/>
        </w:rPr>
        <w:t>合同生效后，甲方因非乙方原因要求终止或解除合同，乙方未开始设计工作的，不退还甲方已付的设计费；已开始设计工作的，甲方应按照乙方已完成的实际工作量计算设计费。</w:t>
      </w:r>
    </w:p>
    <w:p>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ascii="宋体" w:hAnsi="宋体" w:cs="宋体"/>
          <w:color w:val="auto"/>
          <w:kern w:val="0"/>
          <w:sz w:val="28"/>
          <w:szCs w:val="28"/>
        </w:rPr>
      </w:pPr>
      <w:r>
        <w:rPr>
          <w:rFonts w:hint="eastAsia" w:ascii="宋体" w:hAnsi="宋体" w:cs="宋体"/>
          <w:color w:val="auto"/>
          <w:sz w:val="28"/>
          <w:szCs w:val="28"/>
        </w:rPr>
        <w:t xml:space="preserve">1.7.2 </w:t>
      </w:r>
      <w:r>
        <w:rPr>
          <w:rFonts w:hint="eastAsia" w:ascii="宋体" w:hAnsi="宋体" w:cs="宋体"/>
          <w:color w:val="auto"/>
          <w:kern w:val="0"/>
          <w:sz w:val="28"/>
          <w:szCs w:val="28"/>
        </w:rPr>
        <w:t>甲方未按合同约定的金额和期限向乙方支付设计费的，逾期超过15天时，乙方有权书面通知甲方中止设计工作。自中止设计工作之日起15天内甲方支付相应费用的，乙方应及时根据甲方要求恢复设计工作；自中止设计工作之日起超过15天后甲方支付相应费用的，乙方有权确定重新恢复设计工作的时间，且设计周期相应延长。</w:t>
      </w:r>
    </w:p>
    <w:p>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ascii="宋体" w:hAnsi="宋体" w:cs="宋体"/>
          <w:color w:val="auto"/>
          <w:kern w:val="0"/>
          <w:sz w:val="28"/>
          <w:szCs w:val="28"/>
        </w:rPr>
      </w:pPr>
      <w:r>
        <w:rPr>
          <w:rFonts w:hint="eastAsia" w:ascii="宋体" w:hAnsi="宋体" w:cs="宋体"/>
          <w:color w:val="auto"/>
          <w:sz w:val="28"/>
          <w:szCs w:val="28"/>
        </w:rPr>
        <w:t xml:space="preserve">1.7.3 </w:t>
      </w:r>
      <w:r>
        <w:rPr>
          <w:rFonts w:hint="eastAsia" w:ascii="宋体" w:hAnsi="宋体" w:cs="宋体"/>
          <w:color w:val="auto"/>
          <w:kern w:val="0"/>
          <w:sz w:val="28"/>
          <w:szCs w:val="28"/>
        </w:rPr>
        <w:t>合同生效后，乙方</w:t>
      </w:r>
      <w:r>
        <w:rPr>
          <w:rFonts w:hint="eastAsia" w:ascii="宋体" w:hAnsi="宋体" w:cs="宋体"/>
          <w:color w:val="auto"/>
          <w:kern w:val="0"/>
          <w:sz w:val="28"/>
          <w:szCs w:val="28"/>
          <w:lang w:eastAsia="zh-CN"/>
        </w:rPr>
        <w:t>非因不可抗力的原因</w:t>
      </w:r>
      <w:r>
        <w:rPr>
          <w:rFonts w:hint="eastAsia" w:ascii="宋体" w:hAnsi="宋体" w:cs="宋体"/>
          <w:color w:val="auto"/>
          <w:kern w:val="0"/>
          <w:sz w:val="28"/>
          <w:szCs w:val="28"/>
        </w:rPr>
        <w:t>要求终止或解除合同，乙方应按甲方已支付的设计费金额双倍返还给甲方，但不超过合同</w:t>
      </w:r>
      <w:r>
        <w:rPr>
          <w:rFonts w:hint="eastAsia" w:ascii="宋体" w:hAnsi="宋体" w:cs="宋体"/>
          <w:color w:val="auto"/>
          <w:kern w:val="0"/>
          <w:sz w:val="28"/>
          <w:szCs w:val="28"/>
          <w:lang w:eastAsia="zh-CN"/>
        </w:rPr>
        <w:t>总</w:t>
      </w:r>
      <w:r>
        <w:rPr>
          <w:rFonts w:hint="eastAsia" w:ascii="宋体" w:hAnsi="宋体" w:cs="宋体"/>
          <w:color w:val="auto"/>
          <w:kern w:val="0"/>
          <w:sz w:val="28"/>
          <w:szCs w:val="28"/>
        </w:rPr>
        <w:t>额的30</w:t>
      </w:r>
      <w:r>
        <w:rPr>
          <w:rFonts w:ascii="宋体" w:hAnsi="宋体" w:cs="宋体"/>
          <w:color w:val="auto"/>
          <w:kern w:val="0"/>
          <w:sz w:val="28"/>
          <w:szCs w:val="28"/>
        </w:rPr>
        <w:t>%</w:t>
      </w:r>
      <w:r>
        <w:rPr>
          <w:rFonts w:hint="eastAsia" w:ascii="宋体" w:hAnsi="宋体" w:cs="宋体"/>
          <w:color w:val="auto"/>
          <w:kern w:val="0"/>
          <w:sz w:val="28"/>
          <w:szCs w:val="28"/>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ascii="宋体" w:hAnsi="宋体" w:cs="宋体"/>
          <w:color w:val="auto"/>
          <w:kern w:val="0"/>
          <w:sz w:val="28"/>
          <w:szCs w:val="28"/>
        </w:rPr>
      </w:pPr>
      <w:r>
        <w:rPr>
          <w:rFonts w:hint="eastAsia" w:ascii="宋体" w:hAnsi="宋体" w:cs="宋体"/>
          <w:color w:val="auto"/>
          <w:sz w:val="28"/>
          <w:szCs w:val="28"/>
        </w:rPr>
        <w:t xml:space="preserve">1.7.4 </w:t>
      </w:r>
      <w:r>
        <w:rPr>
          <w:rFonts w:hint="eastAsia" w:ascii="宋体" w:hAnsi="宋体" w:cs="宋体"/>
          <w:color w:val="auto"/>
          <w:kern w:val="0"/>
          <w:sz w:val="28"/>
          <w:szCs w:val="28"/>
        </w:rPr>
        <w:t>由于乙方原因，未按合同约定的时间交付设计文件的，则需按照逾期一日支付合同总金额万分之五的标准向甲方支付违约金，前述违约金经双方确认后可在甲方应付设计费中扣减。</w:t>
      </w:r>
      <w:r>
        <w:rPr>
          <w:rFonts w:hint="eastAsia" w:ascii="宋体" w:hAnsi="宋体" w:cs="宋体"/>
          <w:color w:val="auto"/>
          <w:kern w:val="0"/>
          <w:sz w:val="28"/>
          <w:szCs w:val="28"/>
          <w:lang w:val="en-US" w:eastAsia="zh-Hans"/>
        </w:rPr>
        <w:t>逾期</w:t>
      </w:r>
      <w:r>
        <w:rPr>
          <w:rFonts w:hint="eastAsia" w:ascii="宋体" w:hAnsi="宋体" w:cs="宋体"/>
          <w:color w:val="auto"/>
          <w:kern w:val="0"/>
          <w:sz w:val="28"/>
          <w:szCs w:val="28"/>
        </w:rPr>
        <w:t>超过15天</w:t>
      </w:r>
      <w:r>
        <w:rPr>
          <w:rFonts w:hint="eastAsia" w:ascii="宋体" w:hAnsi="宋体" w:cs="宋体"/>
          <w:color w:val="auto"/>
          <w:kern w:val="0"/>
          <w:sz w:val="28"/>
          <w:szCs w:val="28"/>
          <w:lang w:val="en-US" w:eastAsia="zh-Hans"/>
        </w:rPr>
        <w:t>的</w:t>
      </w:r>
      <w:r>
        <w:rPr>
          <w:rFonts w:hint="default" w:ascii="宋体" w:hAnsi="宋体" w:cs="宋体"/>
          <w:color w:val="auto"/>
          <w:kern w:val="0"/>
          <w:sz w:val="28"/>
          <w:szCs w:val="28"/>
          <w:lang w:eastAsia="zh-Hans"/>
        </w:rPr>
        <w:t>，</w:t>
      </w:r>
      <w:r>
        <w:rPr>
          <w:rFonts w:hint="eastAsia" w:ascii="宋体" w:hAnsi="宋体" w:cs="宋体"/>
          <w:color w:val="auto"/>
          <w:kern w:val="0"/>
          <w:sz w:val="28"/>
          <w:szCs w:val="28"/>
          <w:lang w:val="en-US" w:eastAsia="zh-Hans"/>
        </w:rPr>
        <w:t>甲方有权根据具体情况决定是否解除合同</w:t>
      </w:r>
      <w:r>
        <w:rPr>
          <w:rFonts w:hint="default" w:ascii="宋体" w:hAnsi="宋体" w:cs="宋体"/>
          <w:color w:val="auto"/>
          <w:kern w:val="0"/>
          <w:sz w:val="28"/>
          <w:szCs w:val="28"/>
          <w:lang w:eastAsia="zh-Hans"/>
        </w:rPr>
        <w:t>。</w:t>
      </w:r>
    </w:p>
    <w:p>
      <w:pPr>
        <w:keepNext w:val="0"/>
        <w:keepLines w:val="0"/>
        <w:pageBreakBefore w:val="0"/>
        <w:widowControl w:val="0"/>
        <w:kinsoku/>
        <w:wordWrap/>
        <w:overflowPunct/>
        <w:topLinePunct w:val="0"/>
        <w:bidi w:val="0"/>
        <w:snapToGrid/>
        <w:spacing w:line="360" w:lineRule="auto"/>
        <w:ind w:firstLine="562" w:firstLineChars="200"/>
        <w:textAlignment w:val="auto"/>
        <w:rPr>
          <w:rFonts w:ascii="宋体" w:hAnsi="宋体" w:cs="宋体"/>
          <w:b/>
          <w:color w:val="auto"/>
          <w:sz w:val="28"/>
          <w:szCs w:val="28"/>
        </w:rPr>
      </w:pPr>
      <w:bookmarkStart w:id="30" w:name="_Toc18683"/>
      <w:bookmarkStart w:id="31" w:name="_Toc26807"/>
      <w:bookmarkStart w:id="32" w:name="_Toc32454"/>
      <w:bookmarkStart w:id="33" w:name="_Toc30329"/>
      <w:bookmarkStart w:id="34" w:name="_Toc9497"/>
      <w:r>
        <w:rPr>
          <w:rFonts w:hint="eastAsia" w:ascii="宋体" w:hAnsi="宋体" w:cs="宋体"/>
          <w:b/>
          <w:color w:val="auto"/>
          <w:sz w:val="28"/>
          <w:szCs w:val="28"/>
        </w:rPr>
        <w:t>1.8 其它事项</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0"/>
        <w:rPr>
          <w:bCs/>
          <w:color w:val="auto"/>
          <w:sz w:val="28"/>
          <w:szCs w:val="28"/>
        </w:rPr>
      </w:pPr>
      <w:r>
        <w:rPr>
          <w:rFonts w:hint="eastAsia" w:ascii="宋体" w:hAnsi="宋体" w:cs="宋体"/>
          <w:color w:val="auto"/>
          <w:sz w:val="28"/>
          <w:szCs w:val="28"/>
        </w:rPr>
        <w:t>1.8.1</w:t>
      </w:r>
      <w:r>
        <w:rPr>
          <w:rFonts w:hint="eastAsia" w:ascii="宋体" w:hAnsi="宋体"/>
          <w:color w:val="auto"/>
          <w:sz w:val="28"/>
          <w:szCs w:val="28"/>
        </w:rPr>
        <w:t>乙方提交全套规划方案后，参加有关上级鉴定及根据鉴定结论负责不超出原定计划任务书范围的必要补充，如超出本合同之外的工作服务，甲方另行支付乙方费用，具体费用由双方另行约定</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0"/>
        <w:rPr>
          <w:color w:val="auto"/>
          <w:sz w:val="28"/>
          <w:szCs w:val="28"/>
        </w:rPr>
      </w:pPr>
      <w:r>
        <w:rPr>
          <w:rFonts w:hint="eastAsia" w:ascii="宋体" w:hAnsi="宋体" w:cs="宋体"/>
          <w:color w:val="auto"/>
          <w:sz w:val="28"/>
          <w:szCs w:val="28"/>
        </w:rPr>
        <w:t xml:space="preserve">1.8.2 </w:t>
      </w:r>
      <w:r>
        <w:rPr>
          <w:rFonts w:hint="eastAsia"/>
          <w:color w:val="auto"/>
          <w:sz w:val="28"/>
          <w:szCs w:val="28"/>
        </w:rPr>
        <w:t>规划阶段，甲方需进行对外调研、考察的，所需费用由甲方承担。</w:t>
      </w:r>
    </w:p>
    <w:p>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eastAsia="仿宋_GB2312"/>
          <w:color w:val="auto"/>
          <w:kern w:val="0"/>
          <w:sz w:val="28"/>
          <w:szCs w:val="28"/>
        </w:rPr>
      </w:pPr>
      <w:r>
        <w:rPr>
          <w:rFonts w:hint="eastAsia" w:ascii="宋体" w:hAnsi="宋体" w:cs="宋体"/>
          <w:color w:val="auto"/>
          <w:sz w:val="28"/>
          <w:szCs w:val="28"/>
        </w:rPr>
        <w:t xml:space="preserve">1.8.3 </w:t>
      </w:r>
      <w:r>
        <w:rPr>
          <w:rFonts w:hint="eastAsia"/>
          <w:color w:val="auto"/>
          <w:sz w:val="28"/>
          <w:szCs w:val="28"/>
        </w:rPr>
        <w:t>不可抗力引起的后果及造成的损失由合同当事人按照法律规定及合同约定各自承担。</w:t>
      </w:r>
      <w:r>
        <w:rPr>
          <w:color w:val="auto"/>
          <w:sz w:val="28"/>
          <w:szCs w:val="28"/>
        </w:rPr>
        <w:t>不可抗力发生前已完</w:t>
      </w:r>
      <w:r>
        <w:rPr>
          <w:rFonts w:hint="eastAsia"/>
          <w:color w:val="auto"/>
          <w:sz w:val="28"/>
          <w:szCs w:val="28"/>
        </w:rPr>
        <w:t>成的</w:t>
      </w:r>
      <w:r>
        <w:rPr>
          <w:color w:val="auto"/>
          <w:sz w:val="28"/>
          <w:szCs w:val="28"/>
        </w:rPr>
        <w:t>工程</w:t>
      </w:r>
      <w:r>
        <w:rPr>
          <w:rFonts w:hint="eastAsia"/>
          <w:color w:val="auto"/>
          <w:sz w:val="28"/>
          <w:szCs w:val="28"/>
        </w:rPr>
        <w:t>设计</w:t>
      </w:r>
      <w:r>
        <w:rPr>
          <w:color w:val="auto"/>
          <w:sz w:val="28"/>
          <w:szCs w:val="28"/>
        </w:rPr>
        <w:t>应当按照合同约定进行</w:t>
      </w:r>
      <w:r>
        <w:rPr>
          <w:rFonts w:hint="eastAsia"/>
          <w:color w:val="auto"/>
          <w:sz w:val="28"/>
          <w:szCs w:val="28"/>
        </w:rPr>
        <w:t>支付</w:t>
      </w:r>
      <w:r>
        <w:rPr>
          <w:color w:val="auto"/>
          <w:sz w:val="28"/>
          <w:szCs w:val="28"/>
        </w:rPr>
        <w:t>。</w:t>
      </w:r>
    </w:p>
    <w:p>
      <w:pPr>
        <w:keepNext w:val="0"/>
        <w:keepLines w:val="0"/>
        <w:pageBreakBefore w:val="0"/>
        <w:widowControl w:val="0"/>
        <w:kinsoku/>
        <w:wordWrap/>
        <w:overflowPunct/>
        <w:topLinePunct w:val="0"/>
        <w:bidi w:val="0"/>
        <w:snapToGrid/>
        <w:spacing w:line="360" w:lineRule="auto"/>
        <w:ind w:firstLine="560" w:firstLineChars="200"/>
        <w:textAlignment w:val="auto"/>
        <w:rPr>
          <w:bCs/>
          <w:color w:val="auto"/>
          <w:sz w:val="28"/>
          <w:szCs w:val="28"/>
        </w:rPr>
      </w:pPr>
      <w:r>
        <w:rPr>
          <w:rFonts w:hint="eastAsia" w:ascii="宋体" w:hAnsi="宋体" w:cs="宋体"/>
          <w:color w:val="auto"/>
          <w:sz w:val="28"/>
          <w:szCs w:val="28"/>
        </w:rPr>
        <w:t xml:space="preserve">1.8.4 </w:t>
      </w:r>
      <w:r>
        <w:rPr>
          <w:rFonts w:hint="eastAsia"/>
          <w:bCs/>
          <w:color w:val="auto"/>
          <w:sz w:val="28"/>
          <w:szCs w:val="28"/>
        </w:rPr>
        <w:t>本合同未尽事宜，双方可签订补充协议，作为附件，补充协议与本合同具有同等效力。</w:t>
      </w:r>
    </w:p>
    <w:p>
      <w:pPr>
        <w:keepNext w:val="0"/>
        <w:keepLines w:val="0"/>
        <w:pageBreakBefore w:val="0"/>
        <w:widowControl w:val="0"/>
        <w:kinsoku/>
        <w:wordWrap/>
        <w:overflowPunct/>
        <w:topLinePunct w:val="0"/>
        <w:bidi w:val="0"/>
        <w:snapToGrid/>
        <w:spacing w:line="360" w:lineRule="auto"/>
        <w:ind w:firstLine="562" w:firstLineChars="200"/>
        <w:textAlignment w:val="auto"/>
        <w:rPr>
          <w:rFonts w:ascii="宋体" w:hAnsi="宋体" w:cs="宋体"/>
          <w:b/>
          <w:color w:val="auto"/>
          <w:sz w:val="28"/>
          <w:szCs w:val="28"/>
        </w:rPr>
      </w:pPr>
      <w:r>
        <w:rPr>
          <w:rFonts w:hint="eastAsia" w:ascii="宋体" w:hAnsi="宋体" w:cs="宋体"/>
          <w:b/>
          <w:color w:val="auto"/>
          <w:sz w:val="28"/>
          <w:szCs w:val="28"/>
        </w:rPr>
        <w:t>1.9 合同争议的解决</w:t>
      </w:r>
      <w:bookmarkEnd w:id="30"/>
      <w:bookmarkEnd w:id="31"/>
      <w:bookmarkEnd w:id="32"/>
      <w:bookmarkEnd w:id="33"/>
      <w:bookmarkEnd w:id="34"/>
    </w:p>
    <w:p>
      <w:pPr>
        <w:keepNext w:val="0"/>
        <w:keepLines w:val="0"/>
        <w:pageBreakBefore w:val="0"/>
        <w:widowControl w:val="0"/>
        <w:kinsoku/>
        <w:wordWrap/>
        <w:overflowPunct/>
        <w:topLinePunct w:val="0"/>
        <w:bidi w:val="0"/>
        <w:snapToGrid/>
        <w:spacing w:line="360" w:lineRule="auto"/>
        <w:ind w:firstLine="560" w:firstLineChars="200"/>
        <w:textAlignment w:val="auto"/>
        <w:rPr>
          <w:rFonts w:ascii="宋体" w:hAnsi="宋体" w:cs="宋体"/>
          <w:color w:val="auto"/>
          <w:sz w:val="28"/>
          <w:szCs w:val="28"/>
        </w:rPr>
      </w:pPr>
      <w:r>
        <w:rPr>
          <w:rFonts w:hint="eastAsia" w:ascii="宋体" w:hAnsi="宋体" w:cs="宋体"/>
          <w:color w:val="auto"/>
          <w:sz w:val="28"/>
          <w:szCs w:val="28"/>
        </w:rPr>
        <w:t>本合同履行过程中发生的任何争议，双方当事人均可通过和解或者调解解决；不愿和解、调解或者和解、调解不成的，可以选择下列第</w:t>
      </w:r>
      <w:r>
        <w:rPr>
          <w:rFonts w:hint="eastAsia" w:ascii="宋体" w:hAnsi="宋体" w:cs="宋体"/>
          <w:color w:val="auto"/>
          <w:sz w:val="28"/>
          <w:szCs w:val="28"/>
          <w:u w:val="single"/>
        </w:rPr>
        <w:t xml:space="preserve">  2  </w:t>
      </w:r>
      <w:r>
        <w:rPr>
          <w:rFonts w:hint="eastAsia" w:ascii="宋体" w:hAnsi="宋体" w:cs="宋体"/>
          <w:color w:val="auto"/>
          <w:sz w:val="28"/>
          <w:szCs w:val="28"/>
        </w:rPr>
        <w:t>种方式解决：</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宋体" w:hAnsi="宋体" w:cs="宋体"/>
          <w:color w:val="auto"/>
          <w:sz w:val="28"/>
          <w:szCs w:val="28"/>
        </w:rPr>
      </w:pPr>
      <w:r>
        <w:rPr>
          <w:rFonts w:hint="eastAsia" w:ascii="宋体" w:hAnsi="宋体" w:cs="宋体"/>
          <w:color w:val="auto"/>
          <w:sz w:val="28"/>
          <w:szCs w:val="28"/>
        </w:rPr>
        <w:t>①争议提交甲方所在地仲裁委员会依申请仲裁时其现行有效的仲裁规则裁决；</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宋体" w:hAnsi="宋体" w:cs="宋体"/>
          <w:color w:val="auto"/>
          <w:sz w:val="28"/>
          <w:szCs w:val="28"/>
        </w:rPr>
      </w:pPr>
      <w:r>
        <w:rPr>
          <w:rFonts w:hint="eastAsia" w:ascii="宋体" w:hAnsi="宋体" w:cs="宋体"/>
          <w:color w:val="auto"/>
          <w:sz w:val="28"/>
          <w:szCs w:val="28"/>
        </w:rPr>
        <w:t>②向甲方所在地人民法院起诉。</w:t>
      </w:r>
    </w:p>
    <w:p>
      <w:pPr>
        <w:keepNext w:val="0"/>
        <w:keepLines w:val="0"/>
        <w:pageBreakBefore w:val="0"/>
        <w:widowControl w:val="0"/>
        <w:kinsoku/>
        <w:wordWrap/>
        <w:overflowPunct/>
        <w:topLinePunct w:val="0"/>
        <w:bidi w:val="0"/>
        <w:snapToGrid/>
        <w:spacing w:line="360" w:lineRule="auto"/>
        <w:ind w:firstLine="562" w:firstLineChars="200"/>
        <w:textAlignment w:val="auto"/>
        <w:rPr>
          <w:rFonts w:ascii="宋体" w:hAnsi="宋体" w:cs="宋体"/>
          <w:color w:val="auto"/>
          <w:sz w:val="28"/>
          <w:szCs w:val="28"/>
        </w:rPr>
      </w:pPr>
      <w:bookmarkStart w:id="35" w:name="_Toc12273"/>
      <w:bookmarkStart w:id="36" w:name="_Toc23784"/>
      <w:bookmarkStart w:id="37" w:name="_Toc26227"/>
      <w:bookmarkStart w:id="38" w:name="_Toc16417"/>
      <w:bookmarkStart w:id="39" w:name="_Toc15827"/>
      <w:r>
        <w:rPr>
          <w:rFonts w:hint="eastAsia" w:ascii="宋体" w:hAnsi="宋体" w:cs="宋体"/>
          <w:b/>
          <w:color w:val="auto"/>
          <w:sz w:val="28"/>
          <w:szCs w:val="28"/>
        </w:rPr>
        <w:t xml:space="preserve">2.0 </w:t>
      </w:r>
      <w:bookmarkEnd w:id="35"/>
      <w:bookmarkEnd w:id="36"/>
      <w:bookmarkEnd w:id="37"/>
      <w:bookmarkEnd w:id="38"/>
      <w:bookmarkEnd w:id="39"/>
      <w:r>
        <w:rPr>
          <w:rFonts w:hint="eastAsia" w:ascii="宋体" w:hAnsi="宋体" w:cs="宋体"/>
          <w:color w:val="auto"/>
          <w:sz w:val="28"/>
          <w:szCs w:val="28"/>
        </w:rPr>
        <w:t>本</w:t>
      </w:r>
      <w:r>
        <w:rPr>
          <w:b/>
          <w:bCs/>
          <w:color w:val="auto"/>
          <w:sz w:val="28"/>
          <w:szCs w:val="28"/>
        </w:rPr>
        <w:t>合同</w:t>
      </w:r>
      <w:r>
        <w:rPr>
          <w:rFonts w:hint="eastAsia"/>
          <w:b/>
          <w:bCs/>
          <w:color w:val="auto"/>
          <w:sz w:val="28"/>
          <w:szCs w:val="28"/>
        </w:rPr>
        <w:t>经</w:t>
      </w:r>
      <w:r>
        <w:rPr>
          <w:b/>
          <w:bCs/>
          <w:color w:val="auto"/>
          <w:sz w:val="28"/>
          <w:szCs w:val="28"/>
        </w:rPr>
        <w:t>双方签字盖章</w:t>
      </w:r>
      <w:r>
        <w:rPr>
          <w:rFonts w:hint="eastAsia" w:ascii="宋体" w:hAnsi="宋体"/>
          <w:b/>
          <w:bCs/>
          <w:color w:val="auto"/>
          <w:sz w:val="28"/>
          <w:szCs w:val="28"/>
        </w:rPr>
        <w:t>后即日起</w:t>
      </w:r>
      <w:r>
        <w:rPr>
          <w:b/>
          <w:bCs/>
          <w:color w:val="auto"/>
          <w:sz w:val="28"/>
          <w:szCs w:val="28"/>
        </w:rPr>
        <w:t>生效，正本</w:t>
      </w:r>
      <w:r>
        <w:rPr>
          <w:b/>
          <w:bCs/>
          <w:color w:val="auto"/>
          <w:sz w:val="28"/>
          <w:szCs w:val="28"/>
          <w:u w:val="single"/>
        </w:rPr>
        <w:t>壹式</w:t>
      </w:r>
      <w:r>
        <w:rPr>
          <w:rFonts w:hint="eastAsia"/>
          <w:b/>
          <w:bCs/>
          <w:color w:val="auto"/>
          <w:sz w:val="28"/>
          <w:szCs w:val="28"/>
          <w:u w:val="single"/>
        </w:rPr>
        <w:t>肆</w:t>
      </w:r>
      <w:r>
        <w:rPr>
          <w:b/>
          <w:bCs/>
          <w:color w:val="auto"/>
          <w:sz w:val="28"/>
          <w:szCs w:val="28"/>
          <w:u w:val="single"/>
        </w:rPr>
        <w:t>份，甲乙双方各执</w:t>
      </w:r>
      <w:r>
        <w:rPr>
          <w:rFonts w:hint="eastAsia"/>
          <w:b/>
          <w:bCs/>
          <w:color w:val="auto"/>
          <w:sz w:val="28"/>
          <w:szCs w:val="28"/>
          <w:u w:val="single"/>
        </w:rPr>
        <w:t>贰</w:t>
      </w:r>
      <w:r>
        <w:rPr>
          <w:b/>
          <w:bCs/>
          <w:color w:val="auto"/>
          <w:sz w:val="28"/>
          <w:szCs w:val="28"/>
          <w:u w:val="single"/>
        </w:rPr>
        <w:t>份，</w:t>
      </w:r>
      <w:r>
        <w:rPr>
          <w:b/>
          <w:bCs/>
          <w:color w:val="auto"/>
          <w:sz w:val="28"/>
          <w:szCs w:val="28"/>
        </w:rPr>
        <w:t>具有同等法律效力。</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ascii="宋体" w:hAnsi="宋体" w:cs="宋体"/>
          <w:color w:val="auto"/>
          <w:sz w:val="28"/>
          <w:szCs w:val="28"/>
        </w:rPr>
      </w:pPr>
    </w:p>
    <w:p>
      <w:pPr>
        <w:keepNext w:val="0"/>
        <w:keepLines w:val="0"/>
        <w:pageBreakBefore w:val="0"/>
        <w:widowControl w:val="0"/>
        <w:kinsoku/>
        <w:wordWrap/>
        <w:overflowPunct/>
        <w:topLinePunct w:val="0"/>
        <w:bidi w:val="0"/>
        <w:snapToGrid/>
        <w:spacing w:line="360" w:lineRule="auto"/>
        <w:ind w:firstLine="560" w:firstLineChars="200"/>
        <w:textAlignment w:val="auto"/>
        <w:rPr>
          <w:color w:val="auto"/>
          <w:sz w:val="28"/>
          <w:szCs w:val="28"/>
        </w:rPr>
      </w:pPr>
      <w:r>
        <w:rPr>
          <w:color w:val="auto"/>
          <w:sz w:val="28"/>
          <w:szCs w:val="28"/>
        </w:rPr>
        <w:t>甲方（盖章）：                     乙方（盖章）:</w:t>
      </w:r>
    </w:p>
    <w:p>
      <w:pPr>
        <w:keepNext w:val="0"/>
        <w:keepLines w:val="0"/>
        <w:pageBreakBefore w:val="0"/>
        <w:widowControl w:val="0"/>
        <w:kinsoku/>
        <w:wordWrap/>
        <w:overflowPunct/>
        <w:topLinePunct w:val="0"/>
        <w:bidi w:val="0"/>
        <w:snapToGrid/>
        <w:spacing w:line="360" w:lineRule="auto"/>
        <w:ind w:firstLine="560" w:firstLineChars="200"/>
        <w:textAlignment w:val="auto"/>
        <w:rPr>
          <w:color w:val="auto"/>
          <w:sz w:val="28"/>
          <w:szCs w:val="28"/>
        </w:rPr>
      </w:pPr>
    </w:p>
    <w:p>
      <w:pPr>
        <w:keepNext w:val="0"/>
        <w:keepLines w:val="0"/>
        <w:pageBreakBefore w:val="0"/>
        <w:widowControl w:val="0"/>
        <w:kinsoku/>
        <w:wordWrap/>
        <w:overflowPunct/>
        <w:topLinePunct w:val="0"/>
        <w:bidi w:val="0"/>
        <w:snapToGrid/>
        <w:spacing w:line="360" w:lineRule="auto"/>
        <w:ind w:firstLine="560" w:firstLineChars="200"/>
        <w:textAlignment w:val="auto"/>
        <w:rPr>
          <w:color w:val="auto"/>
          <w:sz w:val="28"/>
          <w:szCs w:val="28"/>
        </w:rPr>
      </w:pPr>
      <w:r>
        <w:rPr>
          <w:color w:val="auto"/>
          <w:sz w:val="28"/>
          <w:szCs w:val="28"/>
        </w:rPr>
        <w:t>法定代表人：                      法定代表人：</w:t>
      </w:r>
    </w:p>
    <w:p>
      <w:pPr>
        <w:keepNext w:val="0"/>
        <w:keepLines w:val="0"/>
        <w:pageBreakBefore w:val="0"/>
        <w:widowControl w:val="0"/>
        <w:kinsoku/>
        <w:wordWrap/>
        <w:overflowPunct/>
        <w:topLinePunct w:val="0"/>
        <w:bidi w:val="0"/>
        <w:snapToGrid/>
        <w:spacing w:line="360" w:lineRule="auto"/>
        <w:ind w:firstLine="560" w:firstLineChars="200"/>
        <w:textAlignment w:val="auto"/>
        <w:rPr>
          <w:color w:val="auto"/>
          <w:sz w:val="28"/>
          <w:szCs w:val="28"/>
        </w:rPr>
      </w:pPr>
    </w:p>
    <w:p>
      <w:pPr>
        <w:keepNext w:val="0"/>
        <w:keepLines w:val="0"/>
        <w:pageBreakBefore w:val="0"/>
        <w:widowControl w:val="0"/>
        <w:kinsoku/>
        <w:wordWrap/>
        <w:overflowPunct/>
        <w:topLinePunct w:val="0"/>
        <w:bidi w:val="0"/>
        <w:snapToGrid/>
        <w:spacing w:line="360" w:lineRule="auto"/>
        <w:ind w:firstLine="560" w:firstLineChars="200"/>
        <w:textAlignment w:val="auto"/>
        <w:rPr>
          <w:color w:val="auto"/>
          <w:sz w:val="28"/>
          <w:szCs w:val="28"/>
        </w:rPr>
      </w:pPr>
      <w:r>
        <w:rPr>
          <w:color w:val="auto"/>
          <w:sz w:val="28"/>
          <w:szCs w:val="28"/>
        </w:rPr>
        <w:t>签订合同代表：                    签订合同代表：</w:t>
      </w:r>
    </w:p>
    <w:p>
      <w:pPr>
        <w:keepNext w:val="0"/>
        <w:keepLines w:val="0"/>
        <w:pageBreakBefore w:val="0"/>
        <w:widowControl w:val="0"/>
        <w:kinsoku/>
        <w:wordWrap/>
        <w:overflowPunct/>
        <w:topLinePunct w:val="0"/>
        <w:bidi w:val="0"/>
        <w:snapToGrid/>
        <w:spacing w:line="360" w:lineRule="auto"/>
        <w:ind w:firstLine="560" w:firstLineChars="200"/>
        <w:textAlignment w:val="auto"/>
        <w:rPr>
          <w:color w:val="auto"/>
          <w:sz w:val="28"/>
          <w:szCs w:val="28"/>
        </w:rPr>
      </w:pPr>
    </w:p>
    <w:p>
      <w:pPr>
        <w:keepNext w:val="0"/>
        <w:keepLines w:val="0"/>
        <w:pageBreakBefore w:val="0"/>
        <w:widowControl w:val="0"/>
        <w:kinsoku/>
        <w:wordWrap/>
        <w:overflowPunct/>
        <w:topLinePunct w:val="0"/>
        <w:bidi w:val="0"/>
        <w:snapToGrid/>
        <w:spacing w:line="360" w:lineRule="auto"/>
        <w:ind w:firstLine="560" w:firstLineChars="200"/>
        <w:textAlignment w:val="auto"/>
        <w:rPr>
          <w:color w:val="auto"/>
          <w:sz w:val="28"/>
          <w:szCs w:val="28"/>
        </w:rPr>
      </w:pPr>
      <w:r>
        <w:rPr>
          <w:color w:val="auto"/>
          <w:sz w:val="28"/>
          <w:szCs w:val="28"/>
        </w:rPr>
        <w:t>联系人：                          联系人：</w:t>
      </w:r>
    </w:p>
    <w:p>
      <w:pPr>
        <w:keepNext w:val="0"/>
        <w:keepLines w:val="0"/>
        <w:pageBreakBefore w:val="0"/>
        <w:widowControl w:val="0"/>
        <w:kinsoku/>
        <w:wordWrap/>
        <w:overflowPunct/>
        <w:topLinePunct w:val="0"/>
        <w:bidi w:val="0"/>
        <w:snapToGrid/>
        <w:spacing w:line="360" w:lineRule="auto"/>
        <w:ind w:left="6639" w:leftChars="228" w:hanging="6160" w:hangingChars="2200"/>
        <w:textAlignment w:val="auto"/>
        <w:rPr>
          <w:color w:val="auto"/>
          <w:sz w:val="28"/>
          <w:szCs w:val="28"/>
        </w:rPr>
      </w:pPr>
      <w:r>
        <w:rPr>
          <w:color w:val="auto"/>
          <w:sz w:val="28"/>
          <w:szCs w:val="28"/>
        </w:rPr>
        <w:t xml:space="preserve">单位地址：                        单位地址： </w:t>
      </w:r>
    </w:p>
    <w:p>
      <w:pPr>
        <w:keepNext w:val="0"/>
        <w:keepLines w:val="0"/>
        <w:pageBreakBefore w:val="0"/>
        <w:widowControl w:val="0"/>
        <w:kinsoku/>
        <w:wordWrap/>
        <w:overflowPunct/>
        <w:topLinePunct w:val="0"/>
        <w:bidi w:val="0"/>
        <w:snapToGrid/>
        <w:spacing w:line="360" w:lineRule="auto"/>
        <w:ind w:left="5799" w:leftChars="228" w:hanging="5320" w:hangingChars="1900"/>
        <w:textAlignment w:val="auto"/>
        <w:rPr>
          <w:color w:val="auto"/>
          <w:sz w:val="28"/>
          <w:szCs w:val="28"/>
        </w:rPr>
      </w:pPr>
      <w:r>
        <w:rPr>
          <w:color w:val="auto"/>
          <w:sz w:val="28"/>
          <w:szCs w:val="28"/>
        </w:rPr>
        <w:t>邮政编码：                        邮政编码：</w:t>
      </w:r>
    </w:p>
    <w:p>
      <w:pPr>
        <w:keepNext w:val="0"/>
        <w:keepLines w:val="0"/>
        <w:pageBreakBefore w:val="0"/>
        <w:widowControl w:val="0"/>
        <w:kinsoku/>
        <w:wordWrap/>
        <w:overflowPunct/>
        <w:topLinePunct w:val="0"/>
        <w:bidi w:val="0"/>
        <w:snapToGrid/>
        <w:spacing w:line="360" w:lineRule="auto"/>
        <w:ind w:left="5799" w:leftChars="228" w:hanging="5320" w:hangingChars="1900"/>
        <w:textAlignment w:val="auto"/>
        <w:rPr>
          <w:color w:val="auto"/>
          <w:sz w:val="28"/>
          <w:szCs w:val="28"/>
        </w:rPr>
      </w:pPr>
      <w:r>
        <w:rPr>
          <w:color w:val="auto"/>
          <w:sz w:val="28"/>
          <w:szCs w:val="28"/>
        </w:rPr>
        <w:t>电话号码：                        电话号码：</w:t>
      </w:r>
    </w:p>
    <w:p>
      <w:pPr>
        <w:keepNext w:val="0"/>
        <w:keepLines w:val="0"/>
        <w:pageBreakBefore w:val="0"/>
        <w:widowControl w:val="0"/>
        <w:kinsoku/>
        <w:wordWrap/>
        <w:overflowPunct/>
        <w:topLinePunct w:val="0"/>
        <w:bidi w:val="0"/>
        <w:snapToGrid/>
        <w:spacing w:line="360" w:lineRule="auto"/>
        <w:ind w:left="5799" w:leftChars="228" w:hanging="5320" w:hangingChars="1900"/>
        <w:textAlignment w:val="auto"/>
        <w:rPr>
          <w:color w:val="auto"/>
          <w:sz w:val="28"/>
          <w:szCs w:val="28"/>
        </w:rPr>
      </w:pPr>
      <w:r>
        <w:rPr>
          <w:color w:val="auto"/>
          <w:sz w:val="28"/>
          <w:szCs w:val="28"/>
        </w:rPr>
        <w:t>传真号码：                        传真号码：</w:t>
      </w:r>
    </w:p>
    <w:p>
      <w:pPr>
        <w:keepNext w:val="0"/>
        <w:keepLines w:val="0"/>
        <w:pageBreakBefore w:val="0"/>
        <w:widowControl w:val="0"/>
        <w:kinsoku/>
        <w:wordWrap/>
        <w:overflowPunct/>
        <w:topLinePunct w:val="0"/>
        <w:bidi w:val="0"/>
        <w:snapToGrid/>
        <w:spacing w:line="360" w:lineRule="auto"/>
        <w:ind w:left="5799" w:leftChars="228" w:hanging="5320" w:hangingChars="1900"/>
        <w:jc w:val="left"/>
        <w:textAlignment w:val="auto"/>
        <w:rPr>
          <w:color w:val="auto"/>
          <w:sz w:val="28"/>
          <w:szCs w:val="28"/>
        </w:rPr>
      </w:pPr>
      <w:r>
        <w:rPr>
          <w:color w:val="auto"/>
          <w:sz w:val="28"/>
          <w:szCs w:val="28"/>
        </w:rPr>
        <w:t xml:space="preserve">开户银行：             </w:t>
      </w:r>
      <w:r>
        <w:rPr>
          <w:rFonts w:hint="eastAsia"/>
          <w:color w:val="auto"/>
          <w:sz w:val="28"/>
          <w:szCs w:val="28"/>
        </w:rPr>
        <w:t xml:space="preserve">           </w:t>
      </w:r>
      <w:r>
        <w:rPr>
          <w:color w:val="auto"/>
          <w:sz w:val="28"/>
          <w:szCs w:val="28"/>
        </w:rPr>
        <w:t>开户银行：</w:t>
      </w:r>
    </w:p>
    <w:p>
      <w:pPr>
        <w:keepNext w:val="0"/>
        <w:keepLines w:val="0"/>
        <w:pageBreakBefore w:val="0"/>
        <w:widowControl w:val="0"/>
        <w:kinsoku/>
        <w:wordWrap/>
        <w:overflowPunct/>
        <w:topLinePunct w:val="0"/>
        <w:bidi w:val="0"/>
        <w:snapToGrid/>
        <w:spacing w:line="360" w:lineRule="auto"/>
        <w:ind w:left="5799" w:leftChars="228" w:hanging="5320" w:hangingChars="1900"/>
        <w:textAlignment w:val="auto"/>
        <w:rPr>
          <w:color w:val="auto"/>
          <w:sz w:val="28"/>
          <w:szCs w:val="28"/>
        </w:rPr>
      </w:pPr>
      <w:r>
        <w:rPr>
          <w:color w:val="auto"/>
          <w:sz w:val="28"/>
          <w:szCs w:val="28"/>
        </w:rPr>
        <w:t xml:space="preserve">                                  银行账号：</w:t>
      </w:r>
    </w:p>
    <w:p>
      <w:bookmarkStart w:id="40" w:name="_GoBack"/>
      <w:bookmarkEnd w:id="4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FangSong-Z02">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CF1A8D"/>
    <w:multiLevelType w:val="multilevel"/>
    <w:tmpl w:val="43CF1A8D"/>
    <w:lvl w:ilvl="0" w:tentative="0">
      <w:start w:val="1"/>
      <w:numFmt w:val="decimal"/>
      <w:lvlText w:val="（%1）"/>
      <w:lvlJc w:val="left"/>
      <w:pPr>
        <w:tabs>
          <w:tab w:val="left" w:pos="1500"/>
        </w:tabs>
        <w:ind w:left="1500" w:hanging="10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OTQwMDNmMDFlZGFmYjE3ZDMwMjE4ODk1OGJjNTQifQ=="/>
  </w:docVars>
  <w:rsids>
    <w:rsidRoot w:val="277A45B3"/>
    <w:rsid w:val="277A4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2024-01-10T06:58:00Z</dcterms:created>
  <dc:creator>Administrator</dc:creator>
  <cp:lastModifiedBy>Administrator</cp:lastModifiedBy>
  <dcterms:modified xsi:type="dcterms:W3CDTF">2024-01-10T06:59:30Z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9E8FE2613D2A4C3E9CF9D7BED6269894_11</vt:lpwstr>
  </property>
</Properties>
</file>