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600" w:lineRule="exact"/>
        <w:ind w:right="-313" w:rightChars="-149"/>
        <w:rPr>
          <w:rFonts w:hint="default" w:eastAsia="方正小标宋简体" w:cs="宋体" w:asciiTheme="minorAscii" w:hAnsiTheme="minorAscii"/>
          <w:b w:val="0"/>
          <w:bCs w:val="0"/>
          <w:color w:val="auto"/>
          <w:sz w:val="32"/>
          <w:szCs w:val="32"/>
        </w:rPr>
      </w:pPr>
      <w:r>
        <w:rPr>
          <w:rFonts w:hint="default" w:eastAsia="方正小标宋简体" w:cs="Rockwell" w:asciiTheme="minorAscii" w:hAnsiTheme="minorAscii"/>
          <w:b w:val="0"/>
          <w:bCs w:val="0"/>
          <w:color w:val="auto"/>
          <w:sz w:val="32"/>
          <w:szCs w:val="32"/>
          <w:lang w:val="en-US" w:eastAsia="zh-CN"/>
        </w:rPr>
        <w:t>资源分析</w:t>
      </w:r>
      <w:r>
        <w:rPr>
          <w:rFonts w:hint="default" w:eastAsia="方正小标宋简体" w:cs="Rockwell" w:asciiTheme="minorAscii" w:hAnsiTheme="minorAscii"/>
          <w:b w:val="0"/>
          <w:bCs w:val="0"/>
          <w:color w:val="auto"/>
          <w:sz w:val="32"/>
          <w:szCs w:val="32"/>
        </w:rPr>
        <w:t>报告</w:t>
      </w:r>
    </w:p>
    <w:p>
      <w:pPr>
        <w:ind w:right="-313" w:rightChars="-149"/>
        <w:rPr>
          <w:color w:val="auto"/>
        </w:rPr>
      </w:pP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right="-313" w:rightChars="-149"/>
        <w:textAlignment w:val="auto"/>
        <w:rPr>
          <w:rFonts w:hint="eastAsia" w:ascii="等线" w:hAnsi="等线" w:eastAsia="等线" w:cs="等线"/>
          <w:b/>
          <w:bCs/>
          <w:color w:val="auto"/>
          <w:sz w:val="22"/>
          <w:szCs w:val="22"/>
        </w:rPr>
      </w:pPr>
      <w:r>
        <w:rPr>
          <w:rFonts w:hint="eastAsia" w:ascii="等线" w:hAnsi="等线" w:eastAsia="等线" w:cs="等线"/>
          <w:b/>
          <w:bCs/>
          <w:color w:val="auto"/>
          <w:sz w:val="22"/>
          <w:szCs w:val="22"/>
          <w:lang w:val="en-US" w:eastAsia="zh-CN"/>
        </w:rPr>
        <w:t>一、</w:t>
      </w:r>
      <w:r>
        <w:rPr>
          <w:rFonts w:hint="eastAsia" w:ascii="等线" w:hAnsi="等线" w:eastAsia="等线" w:cs="等线"/>
          <w:b/>
          <w:bCs/>
          <w:color w:val="auto"/>
          <w:sz w:val="22"/>
          <w:szCs w:val="22"/>
          <w:lang w:eastAsia="zh-CN"/>
        </w:rPr>
        <w:t>采购</w:t>
      </w:r>
      <w:r>
        <w:rPr>
          <w:rFonts w:hint="eastAsia" w:ascii="等线" w:hAnsi="等线" w:eastAsia="等线" w:cs="等线"/>
          <w:b/>
          <w:bCs/>
          <w:color w:val="auto"/>
          <w:sz w:val="22"/>
          <w:szCs w:val="22"/>
        </w:rPr>
        <w:t>计划中</w:t>
      </w:r>
      <w:r>
        <w:rPr>
          <w:rFonts w:hint="eastAsia" w:ascii="等线" w:hAnsi="等线" w:eastAsia="等线" w:cs="等线"/>
          <w:b/>
          <w:bCs/>
          <w:color w:val="auto"/>
          <w:sz w:val="22"/>
          <w:szCs w:val="22"/>
          <w:lang w:eastAsia="zh-CN"/>
        </w:rPr>
        <w:t>采购</w:t>
      </w:r>
      <w:r>
        <w:rPr>
          <w:rFonts w:hint="eastAsia" w:ascii="等线" w:hAnsi="等线" w:eastAsia="等线" w:cs="等线"/>
          <w:b/>
          <w:bCs/>
          <w:color w:val="auto"/>
          <w:sz w:val="22"/>
          <w:szCs w:val="22"/>
        </w:rPr>
        <w:t>包信息公示内容：</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textAlignment w:val="auto"/>
        <w:rPr>
          <w:rFonts w:hint="eastAsia" w:ascii="等线" w:hAnsi="等线" w:eastAsia="等线" w:cs="等线"/>
          <w:color w:val="auto"/>
          <w:sz w:val="22"/>
          <w:szCs w:val="22"/>
        </w:rPr>
      </w:pPr>
      <w:r>
        <w:rPr>
          <w:rFonts w:hint="eastAsia" w:ascii="等线" w:hAnsi="等线" w:eastAsia="等线" w:cs="等线"/>
          <w:color w:val="auto"/>
          <w:sz w:val="22"/>
          <w:szCs w:val="22"/>
          <w:lang w:val="en-US" w:eastAsia="zh-CN"/>
        </w:rPr>
        <w:t xml:space="preserve">1.1 </w:t>
      </w:r>
      <w:r>
        <w:rPr>
          <w:rFonts w:hint="eastAsia" w:ascii="等线" w:hAnsi="等线" w:eastAsia="等线" w:cs="等线"/>
          <w:color w:val="auto"/>
          <w:sz w:val="22"/>
          <w:szCs w:val="22"/>
          <w:lang w:eastAsia="zh-CN"/>
        </w:rPr>
        <w:t>采购</w:t>
      </w:r>
      <w:r>
        <w:rPr>
          <w:rFonts w:hint="eastAsia" w:ascii="等线" w:hAnsi="等线" w:eastAsia="等线" w:cs="等线"/>
          <w:color w:val="auto"/>
          <w:sz w:val="22"/>
          <w:szCs w:val="22"/>
        </w:rPr>
        <w:t>包名称</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textAlignment w:val="auto"/>
        <w:rPr>
          <w:rFonts w:hint="eastAsia" w:ascii="等线" w:hAnsi="等线" w:eastAsia="等线" w:cs="等线"/>
          <w:color w:val="auto"/>
          <w:sz w:val="22"/>
          <w:szCs w:val="22"/>
          <w:lang w:eastAsia="zh-CN"/>
        </w:rPr>
      </w:pPr>
      <w:r>
        <w:rPr>
          <w:rFonts w:hint="eastAsia" w:ascii="等线" w:hAnsi="等线" w:eastAsia="等线" w:cs="等线"/>
          <w:color w:val="auto"/>
          <w:sz w:val="22"/>
          <w:szCs w:val="22"/>
          <w:lang w:eastAsia="zh-CN"/>
        </w:rPr>
        <w:t>海油发展-湛江区域中心-装备技术公司南方区域海水提升泵及消防泵一体化维修调试技术服务</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textAlignment w:val="auto"/>
        <w:rPr>
          <w:rFonts w:hint="eastAsia" w:ascii="等线" w:hAnsi="等线" w:eastAsia="等线" w:cs="等线"/>
          <w:color w:val="auto"/>
          <w:sz w:val="22"/>
          <w:szCs w:val="22"/>
          <w:lang w:val="en-US" w:eastAsia="zh-CN"/>
        </w:rPr>
      </w:pPr>
      <w:r>
        <w:rPr>
          <w:rFonts w:hint="eastAsia" w:ascii="等线" w:hAnsi="等线" w:eastAsia="等线" w:cs="等线"/>
          <w:color w:val="auto"/>
          <w:sz w:val="22"/>
          <w:szCs w:val="22"/>
          <w:lang w:val="en-US" w:eastAsia="zh-CN"/>
        </w:rPr>
        <w:t>1.2 信息公示时间</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firstLine="440" w:firstLineChars="200"/>
        <w:textAlignment w:val="auto"/>
        <w:rPr>
          <w:rFonts w:hint="eastAsia" w:ascii="等线" w:hAnsi="等线" w:eastAsia="等线" w:cs="等线"/>
          <w:color w:val="auto"/>
          <w:sz w:val="22"/>
          <w:szCs w:val="22"/>
          <w:lang w:val="en-US" w:eastAsia="zh-CN"/>
        </w:rPr>
      </w:pPr>
      <w:r>
        <w:rPr>
          <w:rFonts w:hint="eastAsia" w:ascii="等线" w:hAnsi="等线" w:eastAsia="等线" w:cs="等线"/>
          <w:color w:val="auto"/>
          <w:sz w:val="22"/>
          <w:szCs w:val="22"/>
          <w:lang w:val="en-US" w:eastAsia="zh-CN"/>
        </w:rPr>
        <w:t>2025年1月6日至1月12日</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textAlignment w:val="auto"/>
        <w:rPr>
          <w:rFonts w:hint="eastAsia" w:ascii="等线" w:hAnsi="等线" w:eastAsia="等线" w:cs="等线"/>
          <w:color w:val="auto"/>
          <w:sz w:val="22"/>
          <w:szCs w:val="22"/>
          <w:lang w:eastAsia="zh-CN"/>
        </w:rPr>
      </w:pPr>
      <w:r>
        <w:rPr>
          <w:rFonts w:hint="eastAsia" w:ascii="等线" w:hAnsi="等线" w:eastAsia="等线" w:cs="等线"/>
          <w:color w:val="auto"/>
          <w:sz w:val="22"/>
          <w:szCs w:val="22"/>
          <w:lang w:val="en-US" w:eastAsia="zh-CN"/>
        </w:rPr>
        <w:t>1.3</w:t>
      </w:r>
      <w:r>
        <w:rPr>
          <w:rFonts w:hint="eastAsia" w:ascii="等线" w:hAnsi="等线" w:eastAsia="等线" w:cs="等线"/>
          <w:color w:val="auto"/>
          <w:sz w:val="22"/>
          <w:szCs w:val="22"/>
          <w:lang w:eastAsia="zh-CN"/>
        </w:rPr>
        <w:t>预计发标时间</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19" w:right="-313" w:rightChars="-149"/>
        <w:textAlignment w:val="auto"/>
        <w:rPr>
          <w:rFonts w:hint="eastAsia" w:ascii="等线" w:hAnsi="等线" w:eastAsia="等线" w:cs="等线"/>
          <w:color w:val="auto"/>
          <w:sz w:val="22"/>
          <w:szCs w:val="22"/>
          <w:lang w:eastAsia="zh-CN"/>
        </w:rPr>
      </w:pPr>
      <w:r>
        <w:rPr>
          <w:rFonts w:hint="eastAsia" w:ascii="等线" w:hAnsi="等线" w:eastAsia="等线" w:cs="等线"/>
          <w:color w:val="auto"/>
          <w:sz w:val="22"/>
          <w:szCs w:val="22"/>
          <w:lang w:eastAsia="zh-CN"/>
        </w:rPr>
        <w:t xml:space="preserve">     202</w:t>
      </w:r>
      <w:r>
        <w:rPr>
          <w:rFonts w:hint="eastAsia" w:ascii="等线" w:hAnsi="等线" w:eastAsia="等线" w:cs="等线"/>
          <w:color w:val="auto"/>
          <w:sz w:val="22"/>
          <w:szCs w:val="22"/>
          <w:lang w:val="en-US" w:eastAsia="zh-CN"/>
        </w:rPr>
        <w:t>5</w:t>
      </w:r>
      <w:r>
        <w:rPr>
          <w:rFonts w:hint="eastAsia" w:ascii="等线" w:hAnsi="等线" w:eastAsia="等线" w:cs="等线"/>
          <w:color w:val="auto"/>
          <w:sz w:val="22"/>
          <w:szCs w:val="22"/>
          <w:lang w:eastAsia="zh-CN"/>
        </w:rPr>
        <w:t>年</w:t>
      </w:r>
      <w:r>
        <w:rPr>
          <w:rFonts w:hint="eastAsia" w:ascii="等线" w:hAnsi="等线" w:eastAsia="等线" w:cs="等线"/>
          <w:color w:val="auto"/>
          <w:sz w:val="22"/>
          <w:szCs w:val="22"/>
          <w:lang w:val="en-US" w:eastAsia="zh-CN"/>
        </w:rPr>
        <w:t>2</w:t>
      </w:r>
      <w:r>
        <w:rPr>
          <w:rFonts w:hint="eastAsia" w:ascii="等线" w:hAnsi="等线" w:eastAsia="等线" w:cs="等线"/>
          <w:color w:val="auto"/>
          <w:sz w:val="22"/>
          <w:szCs w:val="22"/>
          <w:lang w:eastAsia="zh-CN"/>
        </w:rPr>
        <w:t>月</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420" w:lineRule="exact"/>
        <w:ind w:left="-40" w:leftChars="-19" w:right="-313" w:rightChars="-149" w:firstLine="40" w:firstLineChars="18"/>
        <w:textAlignment w:val="auto"/>
        <w:rPr>
          <w:rFonts w:hint="eastAsia" w:ascii="等线" w:hAnsi="等线" w:eastAsia="等线" w:cs="等线"/>
          <w:b/>
          <w:bCs/>
          <w:color w:val="auto"/>
          <w:sz w:val="22"/>
          <w:szCs w:val="22"/>
        </w:rPr>
      </w:pPr>
      <w:r>
        <w:rPr>
          <w:rFonts w:hint="eastAsia" w:ascii="等线" w:hAnsi="等线" w:eastAsia="等线" w:cs="等线"/>
          <w:b/>
          <w:bCs/>
          <w:color w:val="auto"/>
          <w:sz w:val="22"/>
          <w:szCs w:val="22"/>
        </w:rPr>
        <w:t>范围与主要技术指标</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313" w:rightChars="-149"/>
        <w:textAlignment w:val="auto"/>
        <w:rPr>
          <w:rFonts w:hint="eastAsia" w:ascii="等线" w:hAnsi="等线" w:eastAsia="等线" w:cs="等线"/>
          <w:b/>
          <w:bCs/>
          <w:color w:val="auto"/>
          <w:sz w:val="22"/>
          <w:szCs w:val="22"/>
          <w:lang w:val="en-US" w:eastAsia="zh-CN"/>
        </w:rPr>
      </w:pPr>
      <w:r>
        <w:rPr>
          <w:rFonts w:hint="eastAsia" w:ascii="等线" w:hAnsi="等线" w:eastAsia="等线" w:cs="等线"/>
          <w:b/>
          <w:bCs/>
          <w:color w:val="auto"/>
          <w:sz w:val="22"/>
          <w:szCs w:val="22"/>
          <w:lang w:val="en-US" w:eastAsia="zh-CN"/>
        </w:rPr>
        <w:t>2.1 工作范围</w:t>
      </w:r>
    </w:p>
    <w:p>
      <w:pPr>
        <w:pStyle w:val="5"/>
        <w:pageBreakBefore w:val="0"/>
        <w:kinsoku/>
        <w:wordWrap/>
        <w:overflowPunct/>
        <w:topLinePunct w:val="0"/>
        <w:autoSpaceDE/>
        <w:autoSpaceDN/>
        <w:bidi w:val="0"/>
        <w:adjustRightInd/>
        <w:snapToGrid/>
        <w:spacing w:beforeLines="0" w:afterLines="0" w:line="400" w:lineRule="exact"/>
        <w:ind w:right="115" w:rightChars="55" w:firstLine="360"/>
        <w:textAlignment w:val="auto"/>
        <w:rPr>
          <w:rFonts w:hint="eastAsia" w:ascii="等线" w:hAnsi="等线" w:eastAsia="等线" w:cs="等线"/>
          <w:color w:val="auto"/>
          <w:sz w:val="21"/>
          <w:szCs w:val="21"/>
          <w:lang w:eastAsia="zh-CN"/>
        </w:rPr>
      </w:pPr>
      <w:r>
        <w:rPr>
          <w:rFonts w:hint="eastAsia" w:ascii="等线" w:hAnsi="等线" w:eastAsia="等线" w:cs="等线"/>
          <w:color w:val="auto"/>
          <w:sz w:val="21"/>
          <w:szCs w:val="21"/>
          <w:lang w:eastAsia="zh-CN"/>
        </w:rPr>
        <w:t>海水提升泵、消防泵对于保证平台正常的生产起着至关重要的作用，为保证</w:t>
      </w:r>
      <w:r>
        <w:rPr>
          <w:rFonts w:hint="eastAsia" w:ascii="等线" w:hAnsi="等线" w:eastAsia="等线" w:cs="等线"/>
          <w:color w:val="auto"/>
          <w:sz w:val="21"/>
          <w:szCs w:val="21"/>
          <w:lang w:val="en-US" w:eastAsia="zh-CN"/>
        </w:rPr>
        <w:t>南方片区</w:t>
      </w:r>
      <w:r>
        <w:rPr>
          <w:rFonts w:hint="eastAsia" w:ascii="等线" w:hAnsi="等线" w:eastAsia="等线" w:cs="等线"/>
          <w:color w:val="auto"/>
          <w:sz w:val="21"/>
          <w:szCs w:val="21"/>
          <w:lang w:eastAsia="zh-CN"/>
        </w:rPr>
        <w:t>平台海水提升泵、消防泵的正常使用，</w:t>
      </w:r>
      <w:r>
        <w:rPr>
          <w:rFonts w:hint="eastAsia" w:ascii="等线" w:hAnsi="等线" w:eastAsia="等线" w:cs="等线"/>
          <w:color w:val="auto"/>
          <w:sz w:val="21"/>
          <w:szCs w:val="21"/>
          <w:lang w:val="en-US" w:eastAsia="zh-CN"/>
        </w:rPr>
        <w:t>甲方</w:t>
      </w:r>
      <w:r>
        <w:rPr>
          <w:rFonts w:hint="eastAsia" w:ascii="等线" w:hAnsi="等线" w:eastAsia="等线" w:cs="等线"/>
          <w:color w:val="auto"/>
          <w:sz w:val="21"/>
          <w:szCs w:val="21"/>
          <w:lang w:eastAsia="zh-CN"/>
        </w:rPr>
        <w:t>要求定期对上述撬块进行年度检查，故障检修等工作；因涉及的配件采购周期较长，海水提升泵及消防泵维修技术要求高；故需对这些上述服务及配件进行年度协议采购，以提高响应速度，应对突发故障及相关维修的配件要求。</w:t>
      </w:r>
    </w:p>
    <w:p>
      <w:pPr>
        <w:pStyle w:val="5"/>
        <w:pageBreakBefore w:val="0"/>
        <w:kinsoku/>
        <w:wordWrap/>
        <w:overflowPunct/>
        <w:topLinePunct w:val="0"/>
        <w:autoSpaceDE/>
        <w:autoSpaceDN/>
        <w:bidi w:val="0"/>
        <w:adjustRightInd/>
        <w:snapToGrid/>
        <w:spacing w:beforeLines="0" w:afterLines="0" w:line="400" w:lineRule="exact"/>
        <w:ind w:right="115" w:rightChars="55" w:firstLine="360"/>
        <w:textAlignment w:val="auto"/>
        <w:rPr>
          <w:rFonts w:hint="eastAsia" w:ascii="等线" w:hAnsi="等线" w:eastAsia="等线" w:cs="等线"/>
          <w:color w:val="auto"/>
          <w:sz w:val="21"/>
          <w:szCs w:val="21"/>
          <w:lang w:eastAsia="zh-CN"/>
        </w:rPr>
      </w:pPr>
      <w:r>
        <w:rPr>
          <w:rFonts w:hint="eastAsia" w:ascii="等线" w:hAnsi="等线" w:eastAsia="等线" w:cs="等线"/>
          <w:color w:val="auto"/>
          <w:sz w:val="21"/>
          <w:szCs w:val="21"/>
          <w:lang w:eastAsia="zh-CN"/>
        </w:rPr>
        <w:t>本次涉及海水提升泵：品牌：Floway 参数：型号：28-MKM  转速：985转/分 流量：10500加仑/分  扬程：78米</w:t>
      </w:r>
    </w:p>
    <w:p>
      <w:pPr>
        <w:pStyle w:val="5"/>
        <w:pageBreakBefore w:val="0"/>
        <w:kinsoku/>
        <w:wordWrap/>
        <w:overflowPunct/>
        <w:topLinePunct w:val="0"/>
        <w:autoSpaceDE/>
        <w:autoSpaceDN/>
        <w:bidi w:val="0"/>
        <w:adjustRightInd/>
        <w:snapToGrid/>
        <w:spacing w:beforeLines="0" w:afterLines="0" w:line="400" w:lineRule="exact"/>
        <w:ind w:right="115" w:rightChars="55" w:firstLine="360"/>
        <w:textAlignment w:val="auto"/>
        <w:rPr>
          <w:rFonts w:hint="eastAsia" w:ascii="等线" w:hAnsi="等线" w:eastAsia="等线" w:cs="等线"/>
          <w:color w:val="auto"/>
          <w:sz w:val="21"/>
          <w:szCs w:val="21"/>
          <w:lang w:eastAsia="zh-CN"/>
        </w:rPr>
      </w:pPr>
      <w:r>
        <w:rPr>
          <w:rFonts w:hint="eastAsia" w:ascii="等线" w:hAnsi="等线" w:eastAsia="等线" w:cs="等线"/>
          <w:color w:val="auto"/>
          <w:sz w:val="21"/>
          <w:szCs w:val="21"/>
          <w:lang w:eastAsia="zh-CN"/>
        </w:rPr>
        <w:t>消防泵：品牌：Floway  参数：型号：16-MKM  转速：1770转/分 流量：2500加仑/分  扬程：40米。</w:t>
      </w:r>
    </w:p>
    <w:p>
      <w:pPr>
        <w:pStyle w:val="5"/>
        <w:pageBreakBefore w:val="0"/>
        <w:kinsoku/>
        <w:wordWrap/>
        <w:overflowPunct/>
        <w:topLinePunct w:val="0"/>
        <w:autoSpaceDE/>
        <w:autoSpaceDN/>
        <w:bidi w:val="0"/>
        <w:adjustRightInd/>
        <w:snapToGrid/>
        <w:spacing w:beforeLines="0" w:afterLines="0" w:line="400" w:lineRule="exact"/>
        <w:ind w:right="115" w:rightChars="55" w:firstLine="0" w:firstLineChars="0"/>
        <w:textAlignment w:val="auto"/>
        <w:rPr>
          <w:rFonts w:hint="eastAsia" w:ascii="等线" w:hAnsi="等线" w:eastAsia="等线" w:cs="等线"/>
          <w:color w:val="auto"/>
          <w:sz w:val="21"/>
          <w:szCs w:val="21"/>
          <w:lang w:eastAsia="zh-CN"/>
        </w:rPr>
      </w:pPr>
      <w:r>
        <w:rPr>
          <w:rFonts w:hint="eastAsia" w:ascii="等线" w:hAnsi="等线" w:eastAsia="等线" w:cs="等线"/>
          <w:color w:val="auto"/>
          <w:sz w:val="21"/>
          <w:szCs w:val="21"/>
          <w:lang w:eastAsia="zh-CN"/>
        </w:rPr>
        <w:t>2.2：工作量清单：</w:t>
      </w:r>
    </w:p>
    <w:p>
      <w:pPr>
        <w:rPr>
          <w:rFonts w:hint="eastAsia" w:ascii="等线" w:hAnsi="等线" w:eastAsia="等线" w:cs="等线"/>
          <w:lang w:eastAsia="zh-CN"/>
        </w:rPr>
      </w:pPr>
      <w:r>
        <w:rPr>
          <w:rFonts w:hint="eastAsia" w:ascii="等线" w:hAnsi="等线" w:eastAsia="等线" w:cs="等线"/>
          <w:lang w:eastAsia="zh-CN"/>
        </w:rPr>
        <w:t>2.</w:t>
      </w:r>
      <w:r>
        <w:rPr>
          <w:rFonts w:hint="eastAsia" w:ascii="等线" w:hAnsi="等线" w:eastAsia="等线" w:cs="等线"/>
          <w:lang w:val="en-US" w:eastAsia="zh-CN"/>
        </w:rPr>
        <w:t>2.1</w:t>
      </w:r>
      <w:r>
        <w:rPr>
          <w:rFonts w:hint="eastAsia" w:ascii="等线" w:hAnsi="等线" w:eastAsia="等线" w:cs="等线"/>
          <w:lang w:eastAsia="zh-CN"/>
        </w:rPr>
        <w:t xml:space="preserve"> 服务项目</w:t>
      </w:r>
    </w:p>
    <w:tbl>
      <w:tblPr>
        <w:tblStyle w:val="11"/>
        <w:tblW w:w="56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556"/>
        <w:gridCol w:w="717"/>
        <w:gridCol w:w="737"/>
        <w:gridCol w:w="3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bidi="ar-SA"/>
              </w:rPr>
              <w:t>序号</w:t>
            </w:r>
          </w:p>
        </w:tc>
        <w:tc>
          <w:tcPr>
            <w:tcW w:w="2003"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Style w:val="13"/>
                <w:rFonts w:hint="eastAsia" w:ascii="等线" w:hAnsi="等线" w:eastAsia="等线" w:cs="等线"/>
                <w:color w:val="auto"/>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bidi="ar-SA"/>
              </w:rPr>
              <w:t>服 务 项 目</w:t>
            </w:r>
          </w:p>
        </w:tc>
        <w:tc>
          <w:tcPr>
            <w:tcW w:w="403"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bidi="ar-SA"/>
              </w:rPr>
              <w:t>单位</w:t>
            </w:r>
          </w:p>
        </w:tc>
        <w:tc>
          <w:tcPr>
            <w:tcW w:w="415"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bidi="ar-SA"/>
              </w:rPr>
              <w:t>数量</w:t>
            </w:r>
          </w:p>
        </w:tc>
        <w:tc>
          <w:tcPr>
            <w:tcW w:w="1818"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海水泵泵碗复合橡胶套更换服务</w:t>
            </w:r>
          </w:p>
        </w:tc>
        <w:tc>
          <w:tcPr>
            <w:tcW w:w="403" w:type="pct"/>
            <w:noWrap w:val="0"/>
            <w:vAlign w:val="center"/>
          </w:tcPr>
          <w:p>
            <w:pPr>
              <w:pStyle w:val="25"/>
              <w:keepLines w:val="0"/>
              <w:pageBreakBefore w:val="0"/>
              <w:widowControl/>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45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58" w:type="pct"/>
            <w:noWrap w:val="0"/>
            <w:vAlign w:val="center"/>
          </w:tcPr>
          <w:p>
            <w:pPr>
              <w:pStyle w:val="25"/>
              <w:keepLines w:val="0"/>
              <w:pageBreakBefore w:val="0"/>
              <w:widowControl/>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海水泵泵碗铜套更换服务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海水泵盘根轴套更换服务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15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海水泵半圆键更换服务</w:t>
            </w:r>
          </w:p>
        </w:tc>
        <w:tc>
          <w:tcPr>
            <w:tcW w:w="403" w:type="pct"/>
            <w:noWrap w:val="0"/>
            <w:vAlign w:val="center"/>
          </w:tcPr>
          <w:p>
            <w:pPr>
              <w:keepLines w:val="0"/>
              <w:pageBreakBefore w:val="0"/>
              <w:widowControl/>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50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海水泵叶轮键更换服务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50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海水泵上泵碗更换服务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10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海水泵中、下泵碗键更换服务</w:t>
            </w:r>
          </w:p>
        </w:tc>
        <w:tc>
          <w:tcPr>
            <w:tcW w:w="403" w:type="pct"/>
            <w:noWrap w:val="0"/>
            <w:vAlign w:val="center"/>
          </w:tcPr>
          <w:p>
            <w:pPr>
              <w:keepLines w:val="0"/>
              <w:pageBreakBefore w:val="0"/>
              <w:widowControl/>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10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海水泵叶轮更换服务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海水泵叶轮口环更换服务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海水泵泵碗口环更换服务</w:t>
            </w:r>
          </w:p>
        </w:tc>
        <w:tc>
          <w:tcPr>
            <w:tcW w:w="403" w:type="pct"/>
            <w:noWrap w:val="0"/>
            <w:vAlign w:val="center"/>
          </w:tcPr>
          <w:p>
            <w:pPr>
              <w:keepLines w:val="0"/>
              <w:pageBreakBefore w:val="0"/>
              <w:widowControl/>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海水泵叶轮压盖更换服务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50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海水泵压盖螺栓更换服务</w:t>
            </w:r>
          </w:p>
        </w:tc>
        <w:tc>
          <w:tcPr>
            <w:tcW w:w="403"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u w:val="none"/>
                <w:lang w:val="en-US" w:eastAsia="zh-CN" w:bidi="ar"/>
              </w:rPr>
              <w:t>90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海水泵主轴更换服务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22</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海水泵吸头更换服务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10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w:t>
            </w:r>
            <w:r>
              <w:rPr>
                <w:rStyle w:val="13"/>
                <w:rFonts w:hint="eastAsia" w:ascii="等线" w:hAnsi="等线" w:eastAsia="等线" w:cs="等线"/>
                <w:color w:val="auto"/>
                <w:sz w:val="20"/>
                <w:szCs w:val="18"/>
                <w:highlight w:val="none"/>
              </w:rPr>
              <w:t>泵碗连接螺栓</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8"/>
                <w:szCs w:val="18"/>
                <w:u w:val="none"/>
                <w:lang w:val="en-US" w:eastAsia="zh-CN" w:bidi="ar"/>
              </w:rPr>
              <w:t>90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海水泵扶正器更换服务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rPr>
            </w:pPr>
            <w:r>
              <w:rPr>
                <w:rStyle w:val="13"/>
                <w:rFonts w:hint="eastAsia" w:ascii="等线" w:hAnsi="等线" w:eastAsia="等线" w:cs="等线"/>
                <w:color w:val="auto"/>
                <w:sz w:val="20"/>
                <w:szCs w:val="18"/>
                <w:highlight w:val="none"/>
                <w:lang w:val="en-US" w:eastAsia="zh-CN"/>
              </w:rPr>
              <w:t>海水泵扶正器胶套更换服务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40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消防泵泵碗更换服务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22</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消防泵吸头丝堵更换服务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消防泵吸头口环更换服务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12</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消防泵扶正器更换服务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15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消防泵泵轴更换服务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消防泵吸头铜更换服务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消防泵泵碗铜套更换服务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消防泵泵碗口环更换服务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消防泵叶轮键更换服务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60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消防泵盘根轴套更换服务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消防泵盘根铜套更换服务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消防泵叶轮锥套更换服务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40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消防泵叶轮口环更换服务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消防泵叶轮更换服务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22</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消防泵石墨套更换服务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45</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消防泵石墨套锁簧更换服务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60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消防泵吸头更换服务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18"/>
                <w:highlight w:val="none"/>
                <w:lang w:val="en-US" w:eastAsia="zh-CN"/>
              </w:rPr>
              <w:t>消防泵防砂罩更换服务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40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海水过滤器刮板组合件</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海水过滤器螺栓</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u w:val="none"/>
                <w:lang w:val="en-US" w:eastAsia="zh-CN" w:bidi="ar"/>
              </w:rPr>
              <w:t>90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海水过滤器丝杆</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6"/>
                <w:szCs w:val="16"/>
                <w:u w:val="none"/>
                <w:lang w:val="en-US" w:eastAsia="zh-CN" w:bidi="ar"/>
              </w:rPr>
              <w:t>30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海水过滤器螺母</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u w:val="none"/>
                <w:lang w:val="en-US" w:eastAsia="zh-CN" w:bidi="ar"/>
              </w:rPr>
              <w:t>90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海水过滤器靴块</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40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Fonts w:hint="eastAsia" w:ascii="等线" w:hAnsi="等线" w:eastAsia="等线" w:cs="等线"/>
                <w:color w:val="auto"/>
                <w:kern w:val="2"/>
                <w:sz w:val="18"/>
                <w:szCs w:val="18"/>
                <w:highlight w:val="none"/>
                <w:lang w:val="en-US" w:eastAsia="zh-CN" w:bidi="ar-SA"/>
              </w:rPr>
              <w:t>海水过滤器网架</w:t>
            </w:r>
            <w:r>
              <w:rPr>
                <w:rStyle w:val="13"/>
                <w:rFonts w:hint="eastAsia" w:ascii="等线" w:hAnsi="等线" w:eastAsia="等线" w:cs="等线"/>
                <w:color w:val="auto"/>
                <w:sz w:val="20"/>
                <w:szCs w:val="18"/>
                <w:highlight w:val="none"/>
                <w:lang w:val="en-US" w:eastAsia="zh-CN"/>
              </w:rPr>
              <w:t>更换服务</w:t>
            </w:r>
          </w:p>
        </w:tc>
        <w:tc>
          <w:tcPr>
            <w:tcW w:w="403"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18"/>
                <w:szCs w:val="18"/>
                <w:highlight w:val="none"/>
              </w:rPr>
            </w:pPr>
            <w:r>
              <w:rPr>
                <w:rStyle w:val="13"/>
                <w:rFonts w:hint="eastAsia" w:ascii="等线" w:hAnsi="等线" w:eastAsia="等线" w:cs="等线"/>
                <w:color w:val="auto"/>
                <w:sz w:val="18"/>
                <w:szCs w:val="18"/>
                <w:highlight w:val="none"/>
                <w:lang w:val="en-US" w:eastAsia="zh-CN"/>
              </w:rPr>
              <w:t>项</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8"/>
                <w:szCs w:val="18"/>
                <w:highlight w:val="none"/>
                <w:u w:val="none"/>
                <w:lang w:val="en-US" w:eastAsia="zh-CN" w:bidi="ar"/>
              </w:rPr>
              <w:t>提供维修所需的全部工具及配件，包含陆地运输及测试服务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58" w:type="pct"/>
            <w:noWrap w:val="0"/>
            <w:vAlign w:val="center"/>
          </w:tcPr>
          <w:p>
            <w:pPr>
              <w:pStyle w:val="25"/>
              <w:keepLines w:val="0"/>
              <w:pageBreakBefore w:val="0"/>
              <w:numPr>
                <w:ilvl w:val="0"/>
                <w:numId w:val="2"/>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0"/>
                <w:szCs w:val="18"/>
                <w:highlight w:val="none"/>
                <w:lang w:val="en-US" w:eastAsia="zh-CN"/>
              </w:rPr>
            </w:pPr>
          </w:p>
        </w:tc>
        <w:tc>
          <w:tcPr>
            <w:tcW w:w="2003" w:type="pct"/>
            <w:noWrap w:val="0"/>
            <w:vAlign w:val="center"/>
          </w:tcPr>
          <w:p>
            <w:pPr>
              <w:pStyle w:val="25"/>
              <w:keepLines w:val="0"/>
              <w:pageBreakBefore w:val="0"/>
              <w:kinsoku/>
              <w:wordWrap/>
              <w:topLinePunct w:val="0"/>
              <w:bidi w:val="0"/>
              <w:snapToGrid/>
              <w:spacing w:line="400" w:lineRule="exact"/>
              <w:jc w:val="center"/>
              <w:rPr>
                <w:rFonts w:hint="eastAsia" w:ascii="等线" w:hAnsi="等线" w:eastAsia="等线" w:cs="等线"/>
                <w:color w:val="auto"/>
                <w:kern w:val="2"/>
                <w:sz w:val="18"/>
                <w:szCs w:val="18"/>
                <w:highlight w:val="none"/>
                <w:lang w:val="en-US" w:eastAsia="zh-CN" w:bidi="ar-SA"/>
              </w:rPr>
            </w:pPr>
            <w:r>
              <w:rPr>
                <w:rStyle w:val="13"/>
                <w:rFonts w:hint="eastAsia" w:ascii="等线" w:hAnsi="等线" w:eastAsia="等线" w:cs="等线"/>
                <w:color w:val="auto"/>
                <w:sz w:val="20"/>
                <w:szCs w:val="20"/>
                <w:highlight w:val="none"/>
                <w:lang w:val="en-US" w:eastAsia="zh-CN" w:bidi="ar-SA"/>
              </w:rPr>
              <w:t>海水提升泵及消防泵拆装维修（海上）技术服务</w:t>
            </w:r>
          </w:p>
        </w:tc>
        <w:tc>
          <w:tcPr>
            <w:tcW w:w="403"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18"/>
                <w:highlight w:val="none"/>
                <w:lang w:val="en-US" w:eastAsia="zh-CN"/>
              </w:rPr>
            </w:pPr>
            <w:r>
              <w:rPr>
                <w:rStyle w:val="13"/>
                <w:rFonts w:hint="eastAsia" w:ascii="等线" w:hAnsi="等线" w:eastAsia="等线" w:cs="等线"/>
                <w:color w:val="auto"/>
                <w:sz w:val="20"/>
                <w:szCs w:val="18"/>
                <w:highlight w:val="none"/>
                <w:lang w:val="en-US" w:eastAsia="zh-CN"/>
              </w:rPr>
              <w:t>天</w:t>
            </w:r>
          </w:p>
        </w:tc>
        <w:tc>
          <w:tcPr>
            <w:tcW w:w="415"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Fonts w:hint="eastAsia" w:ascii="等线" w:hAnsi="等线" w:eastAsia="等线" w:cs="等线"/>
                <w:i w:val="0"/>
                <w:iCs w:val="0"/>
                <w:color w:val="auto"/>
                <w:kern w:val="0"/>
                <w:sz w:val="16"/>
                <w:szCs w:val="16"/>
                <w:u w:val="none"/>
                <w:lang w:val="en-US" w:eastAsia="zh-CN" w:bidi="ar"/>
              </w:rPr>
              <w:t>120</w:t>
            </w:r>
          </w:p>
        </w:tc>
        <w:tc>
          <w:tcPr>
            <w:tcW w:w="18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18"/>
                <w:szCs w:val="18"/>
                <w:highlight w:val="none"/>
                <w:lang w:val="en-US" w:eastAsia="zh-CN"/>
              </w:rPr>
            </w:pPr>
            <w:r>
              <w:rPr>
                <w:rStyle w:val="13"/>
                <w:rFonts w:hint="eastAsia" w:ascii="等线" w:hAnsi="等线" w:eastAsia="等线" w:cs="等线"/>
                <w:color w:val="auto"/>
                <w:sz w:val="18"/>
                <w:szCs w:val="18"/>
                <w:highlight w:val="none"/>
                <w:lang w:val="en-US" w:eastAsia="zh-CN"/>
              </w:rPr>
              <w:t>海上工作时间为12小时</w:t>
            </w:r>
          </w:p>
        </w:tc>
      </w:tr>
    </w:tbl>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right="115" w:rightChars="55"/>
        <w:textAlignment w:val="auto"/>
        <w:rPr>
          <w:rFonts w:hint="eastAsia" w:ascii="等线" w:hAnsi="等线" w:eastAsia="等线" w:cs="等线"/>
          <w:color w:val="auto"/>
          <w:sz w:val="22"/>
          <w:szCs w:val="22"/>
          <w:lang w:val="en-US" w:eastAsia="zh-CN"/>
        </w:rPr>
      </w:pPr>
      <w:r>
        <w:rPr>
          <w:rFonts w:hint="eastAsia" w:ascii="等线" w:hAnsi="等线" w:eastAsia="等线" w:cs="等线"/>
          <w:color w:val="auto"/>
          <w:sz w:val="22"/>
          <w:szCs w:val="22"/>
          <w:lang w:val="en-US" w:eastAsia="zh-CN"/>
        </w:rPr>
        <w:t>2.2.2配件清单</w:t>
      </w:r>
    </w:p>
    <w:p>
      <w:pPr>
        <w:rPr>
          <w:rFonts w:hint="eastAsia" w:ascii="等线" w:hAnsi="等线" w:eastAsia="等线" w:cs="等线"/>
          <w:lang w:val="en-US" w:eastAsia="zh-CN"/>
        </w:rPr>
      </w:pPr>
    </w:p>
    <w:tbl>
      <w:tblPr>
        <w:tblStyle w:val="11"/>
        <w:tblW w:w="5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049"/>
        <w:gridCol w:w="692"/>
        <w:gridCol w:w="666"/>
        <w:gridCol w:w="2176"/>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6"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序号</w:t>
            </w:r>
          </w:p>
        </w:tc>
        <w:tc>
          <w:tcPr>
            <w:tcW w:w="1706"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配件清单</w:t>
            </w:r>
          </w:p>
        </w:tc>
        <w:tc>
          <w:tcPr>
            <w:tcW w:w="387"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单位</w:t>
            </w:r>
          </w:p>
        </w:tc>
        <w:tc>
          <w:tcPr>
            <w:tcW w:w="372"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数量</w:t>
            </w:r>
          </w:p>
        </w:tc>
        <w:tc>
          <w:tcPr>
            <w:tcW w:w="1218"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规格描述</w:t>
            </w:r>
          </w:p>
        </w:tc>
        <w:tc>
          <w:tcPr>
            <w:tcW w:w="957" w:type="pct"/>
            <w:noWrap w:val="0"/>
            <w:vAlign w:val="center"/>
          </w:tcPr>
          <w:p>
            <w:pPr>
              <w:pStyle w:val="24"/>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Style w:val="13"/>
                <w:rFonts w:hint="eastAsia" w:ascii="等线" w:hAnsi="等线" w:eastAsia="等线" w:cs="等线"/>
                <w:color w:val="auto"/>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w:t>
            </w:r>
            <w:r>
              <w:rPr>
                <w:rStyle w:val="13"/>
                <w:rFonts w:hint="eastAsia" w:ascii="等线" w:hAnsi="等线" w:eastAsia="等线" w:cs="等线"/>
                <w:color w:val="auto"/>
                <w:sz w:val="21"/>
                <w:szCs w:val="20"/>
                <w:highlight w:val="none"/>
              </w:rPr>
              <w:t>六角锁紧螺丝</w:t>
            </w:r>
          </w:p>
        </w:tc>
        <w:tc>
          <w:tcPr>
            <w:tcW w:w="387" w:type="pct"/>
            <w:noWrap w:val="0"/>
            <w:vAlign w:val="center"/>
          </w:tcPr>
          <w:p>
            <w:pPr>
              <w:pStyle w:val="25"/>
              <w:keepLines w:val="0"/>
              <w:pageBreakBefore w:val="0"/>
              <w:widowControl/>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Fonts w:hint="eastAsia" w:ascii="等线" w:hAnsi="等线" w:eastAsia="等线" w:cs="等线"/>
                <w:i w:val="0"/>
                <w:iCs w:val="0"/>
                <w:color w:val="auto"/>
                <w:kern w:val="0"/>
                <w:sz w:val="20"/>
                <w:szCs w:val="20"/>
                <w:u w:val="none"/>
                <w:lang w:val="en-US" w:eastAsia="zh-CN" w:bidi="ar"/>
              </w:rPr>
              <w:t>40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20"/>
                <w:szCs w:val="20"/>
                <w:highlight w:val="none"/>
                <w:u w:val="none"/>
                <w:lang w:val="en-US" w:eastAsia="zh-CN" w:bidi="ar"/>
              </w:rPr>
              <w:t>3/8in-16*15\K500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56" w:type="pct"/>
            <w:noWrap w:val="0"/>
            <w:vAlign w:val="center"/>
          </w:tcPr>
          <w:p>
            <w:pPr>
              <w:pStyle w:val="25"/>
              <w:keepLines w:val="0"/>
              <w:pageBreakBefore w:val="0"/>
              <w:widowControl/>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w:t>
            </w:r>
            <w:r>
              <w:rPr>
                <w:rStyle w:val="13"/>
                <w:rFonts w:hint="eastAsia" w:ascii="等线" w:hAnsi="等线" w:eastAsia="等线" w:cs="等线"/>
                <w:color w:val="auto"/>
                <w:sz w:val="21"/>
                <w:szCs w:val="20"/>
                <w:highlight w:val="none"/>
              </w:rPr>
              <w:t>传动头轴</w:t>
            </w:r>
          </w:p>
        </w:tc>
        <w:tc>
          <w:tcPr>
            <w:tcW w:w="387"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20"/>
                <w:highlight w:val="none"/>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Fonts w:hint="eastAsia" w:ascii="等线" w:hAnsi="等线" w:eastAsia="等线" w:cs="等线"/>
                <w:i w:val="0"/>
                <w:iCs w:val="0"/>
                <w:color w:val="auto"/>
                <w:kern w:val="0"/>
                <w:sz w:val="20"/>
                <w:szCs w:val="20"/>
                <w:u w:val="none"/>
                <w:lang w:val="en-US" w:eastAsia="zh-CN" w:bidi="ar"/>
              </w:rPr>
              <w:t>8</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Style w:val="13"/>
                <w:rFonts w:hint="eastAsia" w:ascii="等线" w:hAnsi="等线" w:eastAsia="等线" w:cs="等线"/>
                <w:color w:val="auto"/>
                <w:sz w:val="20"/>
                <w:szCs w:val="20"/>
                <w:highlight w:val="none"/>
                <w:lang w:val="en-US" w:eastAsia="zh-CN"/>
              </w:rPr>
              <w:t>φ74.6*1311\K500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rPr>
            </w:pPr>
            <w:r>
              <w:rPr>
                <w:rStyle w:val="13"/>
                <w:rFonts w:hint="eastAsia" w:ascii="等线" w:hAnsi="等线" w:eastAsia="等线" w:cs="等线"/>
                <w:color w:val="auto"/>
                <w:sz w:val="21"/>
                <w:szCs w:val="20"/>
                <w:highlight w:val="none"/>
                <w:lang w:val="en-US" w:eastAsia="zh-CN"/>
              </w:rPr>
              <w:t>海水泵上键</w:t>
            </w:r>
          </w:p>
        </w:tc>
        <w:tc>
          <w:tcPr>
            <w:tcW w:w="387" w:type="pct"/>
            <w:noWrap w:val="0"/>
            <w:vAlign w:val="center"/>
          </w:tcPr>
          <w:p>
            <w:pPr>
              <w:keepLines w:val="0"/>
              <w:pageBreakBefore w:val="0"/>
              <w:kinsoku/>
              <w:wordWrap/>
              <w:topLinePunct w:val="0"/>
              <w:bidi w:val="0"/>
              <w:snapToGrid/>
              <w:spacing w:line="400" w:lineRule="exact"/>
              <w:jc w:val="center"/>
              <w:rPr>
                <w:rStyle w:val="13"/>
                <w:rFonts w:hint="eastAsia" w:ascii="等线" w:hAnsi="等线" w:eastAsia="等线" w:cs="等线"/>
                <w:color w:val="auto"/>
                <w:sz w:val="20"/>
                <w:szCs w:val="20"/>
                <w:highlight w:val="none"/>
                <w:lang w:val="en-US"/>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Fonts w:hint="eastAsia" w:ascii="等线" w:hAnsi="等线" w:eastAsia="等线" w:cs="等线"/>
                <w:i w:val="0"/>
                <w:iCs w:val="0"/>
                <w:color w:val="auto"/>
                <w:kern w:val="0"/>
                <w:sz w:val="20"/>
                <w:szCs w:val="20"/>
                <w:u w:val="none"/>
                <w:lang w:val="en-US" w:eastAsia="zh-CN" w:bidi="ar"/>
              </w:rPr>
              <w:t>25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Style w:val="13"/>
                <w:rFonts w:hint="eastAsia" w:ascii="等线" w:hAnsi="等线" w:eastAsia="等线" w:cs="等线"/>
                <w:color w:val="auto"/>
                <w:sz w:val="16"/>
                <w:szCs w:val="16"/>
                <w:highlight w:val="none"/>
                <w:lang w:val="en-US" w:eastAsia="zh-CN"/>
              </w:rPr>
              <w:t>76.2*15.875*15.875\K500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海水泵下键</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25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Style w:val="13"/>
                <w:rFonts w:hint="eastAsia" w:ascii="等线" w:hAnsi="等线" w:eastAsia="等线" w:cs="等线"/>
                <w:color w:val="auto"/>
                <w:sz w:val="20"/>
                <w:szCs w:val="20"/>
                <w:highlight w:val="none"/>
                <w:lang w:val="en-US" w:eastAsia="zh-CN"/>
              </w:rPr>
            </w:pPr>
            <w:r>
              <w:rPr>
                <w:rStyle w:val="13"/>
                <w:rFonts w:hint="eastAsia" w:ascii="等线" w:hAnsi="等线" w:eastAsia="等线" w:cs="等线"/>
                <w:color w:val="auto"/>
                <w:sz w:val="16"/>
                <w:szCs w:val="16"/>
                <w:highlight w:val="none"/>
                <w:lang w:val="en-US" w:eastAsia="zh-CN"/>
              </w:rPr>
              <w:t>85.725*15.875*25.4\K500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海水泵对分键</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20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φ68.072*38.2\K500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海水泵联轴器</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10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φ104.775*203.2\K500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海水泵传动长轴</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8</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φ68.262*3048\K500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海水泵扬水管连接螺栓</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1in-8*130\K500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海水泵扬水管连接螺母</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1in-8*22\K500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消防泵传动长轴</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8</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φ42.862*3048\K500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w:t>
            </w:r>
            <w:r>
              <w:rPr>
                <w:rFonts w:hint="eastAsia" w:ascii="等线" w:hAnsi="等线" w:eastAsia="等线" w:cs="等线"/>
                <w:color w:val="auto"/>
                <w:kern w:val="2"/>
                <w:sz w:val="20"/>
                <w:szCs w:val="20"/>
                <w:highlight w:val="none"/>
                <w:lang w:val="en-US" w:eastAsia="zh-CN" w:bidi="ar-SA"/>
              </w:rPr>
              <w:t>传动底轴</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8</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φ42.862*1524\K500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消防泵顶轴</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8</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φ42.862*2712\K500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消防泵螺栓1 3/4in</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5/8in-11*1 3/4in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消防泵螺栓3 1/2in</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5/8in-11*3 1/2in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消防泵螺栓4 1/2in</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5/8in-11*4 1/2in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消防泵螺栓5 1/2in</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5/8in-11*5 1/2in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消防泵螺母</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5/8in-11\K500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消防泵平垫片</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5/8in*1/8in\K500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消防泵勾键</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25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57.25*9.525*16\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w:t>
            </w:r>
            <w:r>
              <w:rPr>
                <w:rFonts w:hint="eastAsia" w:ascii="等线" w:hAnsi="等线" w:eastAsia="等线" w:cs="等线"/>
                <w:color w:val="auto"/>
                <w:kern w:val="2"/>
                <w:sz w:val="20"/>
                <w:szCs w:val="20"/>
                <w:highlight w:val="none"/>
                <w:lang w:val="en-US" w:eastAsia="zh-CN" w:bidi="ar-SA"/>
              </w:rPr>
              <w:t>平键</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40</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57.25*9.525*9.525 \K500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w:t>
            </w:r>
            <w:r>
              <w:rPr>
                <w:rFonts w:hint="eastAsia" w:ascii="等线" w:hAnsi="等线" w:eastAsia="等线" w:cs="等线"/>
                <w:color w:val="auto"/>
                <w:kern w:val="2"/>
                <w:sz w:val="20"/>
                <w:szCs w:val="20"/>
                <w:highlight w:val="none"/>
                <w:lang w:val="en-US" w:eastAsia="zh-CN" w:bidi="ar-SA"/>
              </w:rPr>
              <w:t>联轴器</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15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φ68.5*149.225\K500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Style w:val="13"/>
                <w:rFonts w:hint="eastAsia" w:ascii="等线" w:hAnsi="等线" w:eastAsia="等线" w:cs="等线"/>
                <w:color w:val="auto"/>
                <w:sz w:val="21"/>
                <w:szCs w:val="20"/>
                <w:highlight w:val="none"/>
                <w:lang w:val="en-US" w:eastAsia="zh-CN"/>
              </w:rPr>
              <w:t>消防泵</w:t>
            </w:r>
            <w:r>
              <w:rPr>
                <w:rFonts w:hint="eastAsia" w:ascii="等线" w:hAnsi="等线" w:eastAsia="等线" w:cs="等线"/>
                <w:color w:val="auto"/>
                <w:kern w:val="2"/>
                <w:sz w:val="20"/>
                <w:szCs w:val="20"/>
                <w:highlight w:val="none"/>
                <w:lang w:val="en-US" w:eastAsia="zh-CN" w:bidi="ar-SA"/>
              </w:rPr>
              <w:t>泵轴对分键</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25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φ42.862*38.1\K500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56" w:type="pct"/>
            <w:noWrap w:val="0"/>
            <w:vAlign w:val="center"/>
          </w:tcPr>
          <w:p>
            <w:pPr>
              <w:pStyle w:val="25"/>
              <w:keepLines w:val="0"/>
              <w:pageBreakBefore w:val="0"/>
              <w:numPr>
                <w:ilvl w:val="0"/>
                <w:numId w:val="3"/>
              </w:numPr>
              <w:kinsoku/>
              <w:wordWrap/>
              <w:topLinePunct w:val="0"/>
              <w:bidi w:val="0"/>
              <w:snapToGrid/>
              <w:spacing w:line="400" w:lineRule="exact"/>
              <w:ind w:left="425" w:leftChars="0" w:hanging="425" w:firstLineChars="0"/>
              <w:jc w:val="center"/>
              <w:rPr>
                <w:rStyle w:val="13"/>
                <w:rFonts w:hint="eastAsia" w:ascii="等线" w:hAnsi="等线" w:eastAsia="等线" w:cs="等线"/>
                <w:color w:val="auto"/>
                <w:sz w:val="21"/>
                <w:szCs w:val="20"/>
                <w:highlight w:val="none"/>
              </w:rPr>
            </w:pPr>
          </w:p>
        </w:tc>
        <w:tc>
          <w:tcPr>
            <w:tcW w:w="1706" w:type="pct"/>
            <w:noWrap w:val="0"/>
            <w:vAlign w:val="center"/>
          </w:tcPr>
          <w:p>
            <w:pPr>
              <w:pStyle w:val="25"/>
              <w:keepLines w:val="0"/>
              <w:pageBreakBefore w:val="0"/>
              <w:kinsoku/>
              <w:wordWrap/>
              <w:topLinePunct w:val="0"/>
              <w:bidi w:val="0"/>
              <w:snapToGrid/>
              <w:spacing w:line="400" w:lineRule="exact"/>
              <w:jc w:val="center"/>
              <w:rPr>
                <w:rStyle w:val="13"/>
                <w:rFonts w:hint="eastAsia" w:ascii="等线" w:hAnsi="等线" w:eastAsia="等线" w:cs="等线"/>
                <w:color w:val="auto"/>
                <w:sz w:val="21"/>
                <w:szCs w:val="20"/>
                <w:highlight w:val="none"/>
                <w:lang w:val="en-US" w:eastAsia="zh-CN"/>
              </w:rPr>
            </w:pPr>
            <w:r>
              <w:rPr>
                <w:rFonts w:hint="eastAsia" w:ascii="等线" w:hAnsi="等线" w:eastAsia="等线" w:cs="等线"/>
                <w:color w:val="auto"/>
                <w:kern w:val="2"/>
                <w:sz w:val="20"/>
                <w:szCs w:val="20"/>
                <w:highlight w:val="none"/>
                <w:lang w:val="en-US" w:eastAsia="zh-CN" w:bidi="ar-SA"/>
              </w:rPr>
              <w:t>海水过滤器轴</w:t>
            </w:r>
          </w:p>
        </w:tc>
        <w:tc>
          <w:tcPr>
            <w:tcW w:w="387" w:type="pct"/>
            <w:noWrap w:val="0"/>
            <w:vAlign w:val="center"/>
          </w:tcPr>
          <w:p>
            <w:pPr>
              <w:keepLines w:val="0"/>
              <w:pageBreakBefore w:val="0"/>
              <w:kinsoku/>
              <w:wordWrap/>
              <w:topLinePunct w:val="0"/>
              <w:bidi w:val="0"/>
              <w:snapToGrid/>
              <w:spacing w:line="400" w:lineRule="exact"/>
              <w:jc w:val="center"/>
              <w:rPr>
                <w:rFonts w:hint="eastAsia" w:ascii="等线" w:hAnsi="等线" w:eastAsia="等线" w:cs="等线"/>
                <w:color w:val="auto"/>
                <w:kern w:val="2"/>
                <w:sz w:val="20"/>
                <w:szCs w:val="20"/>
                <w:highlight w:val="none"/>
                <w:lang w:val="en-US" w:eastAsia="zh-CN" w:bidi="ar-SA"/>
              </w:rPr>
            </w:pPr>
            <w:r>
              <w:rPr>
                <w:rStyle w:val="13"/>
                <w:rFonts w:hint="eastAsia" w:ascii="等线" w:hAnsi="等线" w:eastAsia="等线" w:cs="等线"/>
                <w:color w:val="auto"/>
                <w:sz w:val="20"/>
                <w:szCs w:val="20"/>
                <w:highlight w:val="none"/>
                <w:lang w:val="en-US" w:eastAsia="zh-CN"/>
              </w:rPr>
              <w:t>个</w:t>
            </w:r>
          </w:p>
        </w:tc>
        <w:tc>
          <w:tcPr>
            <w:tcW w:w="372"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20"/>
                <w:szCs w:val="20"/>
                <w:highlight w:val="none"/>
                <w:lang w:val="en-US" w:eastAsia="zh-CN" w:bidi="ar-SA"/>
              </w:rPr>
            </w:pPr>
            <w:r>
              <w:rPr>
                <w:rFonts w:hint="eastAsia" w:ascii="等线" w:hAnsi="等线" w:eastAsia="等线" w:cs="等线"/>
                <w:i w:val="0"/>
                <w:iCs w:val="0"/>
                <w:color w:val="auto"/>
                <w:kern w:val="0"/>
                <w:sz w:val="20"/>
                <w:szCs w:val="20"/>
                <w:u w:val="none"/>
                <w:lang w:val="en-US" w:eastAsia="zh-CN" w:bidi="ar"/>
              </w:rPr>
              <w:t>15</w:t>
            </w:r>
          </w:p>
        </w:tc>
        <w:tc>
          <w:tcPr>
            <w:tcW w:w="1218"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color w:val="auto"/>
                <w:kern w:val="2"/>
                <w:sz w:val="16"/>
                <w:szCs w:val="16"/>
                <w:highlight w:val="none"/>
                <w:lang w:val="en-US" w:eastAsia="zh-CN" w:bidi="ar-SA"/>
              </w:rPr>
            </w:pPr>
            <w:r>
              <w:rPr>
                <w:rFonts w:hint="eastAsia" w:ascii="等线" w:hAnsi="等线" w:eastAsia="等线" w:cs="等线"/>
                <w:color w:val="auto"/>
                <w:kern w:val="2"/>
                <w:sz w:val="16"/>
                <w:szCs w:val="16"/>
                <w:highlight w:val="none"/>
                <w:lang w:val="en-US" w:eastAsia="zh-CN" w:bidi="ar-SA"/>
              </w:rPr>
              <w:t>φ47.5*698.8\K500</w:t>
            </w:r>
          </w:p>
        </w:tc>
        <w:tc>
          <w:tcPr>
            <w:tcW w:w="957" w:type="pct"/>
            <w:noWrap w:val="0"/>
            <w:vAlign w:val="center"/>
          </w:tcPr>
          <w:p>
            <w:pPr>
              <w:keepNext w:val="0"/>
              <w:keepLines w:val="0"/>
              <w:pageBreakBefore w:val="0"/>
              <w:widowControl/>
              <w:suppressLineNumbers w:val="0"/>
              <w:kinsoku/>
              <w:wordWrap/>
              <w:topLinePunct w:val="0"/>
              <w:bidi w:val="0"/>
              <w:snapToGrid/>
              <w:spacing w:line="400" w:lineRule="exact"/>
              <w:jc w:val="center"/>
              <w:textAlignment w:val="center"/>
              <w:rPr>
                <w:rFonts w:hint="eastAsia" w:ascii="等线" w:hAnsi="等线" w:eastAsia="等线" w:cs="等线"/>
                <w:i w:val="0"/>
                <w:iCs w:val="0"/>
                <w:color w:val="auto"/>
                <w:kern w:val="0"/>
                <w:sz w:val="20"/>
                <w:szCs w:val="20"/>
                <w:highlight w:val="none"/>
                <w:u w:val="none"/>
                <w:lang w:val="en-US" w:eastAsia="zh-CN" w:bidi="ar"/>
              </w:rPr>
            </w:pPr>
            <w:r>
              <w:rPr>
                <w:rFonts w:hint="eastAsia" w:ascii="等线" w:hAnsi="等线" w:eastAsia="等线" w:cs="等线"/>
                <w:i w:val="0"/>
                <w:iCs w:val="0"/>
                <w:color w:val="auto"/>
                <w:kern w:val="0"/>
                <w:sz w:val="16"/>
                <w:szCs w:val="16"/>
                <w:highlight w:val="none"/>
                <w:u w:val="none"/>
                <w:lang w:val="en-US" w:eastAsia="zh-CN" w:bidi="ar"/>
              </w:rPr>
              <w:t>包含包装及陆地运输</w:t>
            </w:r>
          </w:p>
        </w:tc>
      </w:tr>
    </w:tbl>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right="115" w:rightChars="55"/>
        <w:textAlignment w:val="auto"/>
        <w:rPr>
          <w:rFonts w:hint="eastAsia" w:ascii="等线" w:hAnsi="等线" w:eastAsia="等线" w:cs="等线"/>
          <w:color w:val="auto"/>
          <w:sz w:val="22"/>
          <w:szCs w:val="22"/>
          <w:lang w:eastAsia="zh-CN"/>
        </w:rPr>
      </w:pPr>
      <w:r>
        <w:rPr>
          <w:rFonts w:hint="eastAsia" w:ascii="等线" w:hAnsi="等线" w:eastAsia="等线" w:cs="等线"/>
          <w:color w:val="auto"/>
          <w:sz w:val="22"/>
          <w:szCs w:val="22"/>
          <w:lang w:val="en-US" w:eastAsia="zh-CN"/>
        </w:rPr>
        <w:t xml:space="preserve">2.3 </w:t>
      </w:r>
      <w:r>
        <w:rPr>
          <w:rFonts w:hint="eastAsia" w:ascii="等线" w:hAnsi="等线" w:eastAsia="等线" w:cs="等线"/>
          <w:color w:val="auto"/>
          <w:sz w:val="22"/>
          <w:szCs w:val="22"/>
          <w:lang w:eastAsia="zh-CN"/>
        </w:rPr>
        <w:t>主要维修内容如下：</w:t>
      </w:r>
    </w:p>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right="115" w:rightChars="55"/>
        <w:textAlignment w:val="auto"/>
        <w:rPr>
          <w:rFonts w:hint="eastAsia" w:ascii="等线" w:hAnsi="等线" w:eastAsia="等线" w:cs="等线"/>
          <w:color w:val="auto"/>
          <w:sz w:val="22"/>
          <w:szCs w:val="22"/>
          <w:lang w:eastAsia="zh-CN"/>
        </w:rPr>
      </w:pPr>
      <w:r>
        <w:rPr>
          <w:rFonts w:hint="eastAsia" w:ascii="等线" w:hAnsi="等线" w:eastAsia="等线" w:cs="等线"/>
          <w:color w:val="auto"/>
          <w:sz w:val="22"/>
          <w:szCs w:val="22"/>
          <w:lang w:eastAsia="zh-CN"/>
        </w:rPr>
        <w:t>从海水提升泵或消防泵的主电机连接处开始拆解，随后逐级拆解扬水管连接部分，按照拆解顺序做好位置标记，分类放置后对扬水管连接处进行渗透检测，发现问题后返回陆地维修厂内进行超声或X射线进一步检测；对扶正器的金属密封面、胶套处进行渗透检测，发现裂纹或损伤必须进行更换或修复；胶套拆解后，测量内径尺寸，超过Floway出具的操作手册中要求的间隙值立即更换；扬水管连接螺栓螺母等均进行渗透检测，发现裂纹或损伤必须进行更换，直至把泵头从海下提升至平台，再拆解掉端部过滤网并同步对过滤网进行清洗检测，出现腐蚀或损伤需返回陆地维修厂内维修。然后把整体泵头运至陆地维修厂内进行逐级拆解，解体后对所有零部件进行清洗、测量、无损检测，出现裂纹、腐蚀或磨损后不满足图纸要求及原厂Floway出具的操作手册要求的零部件全部进行更换，更换后先进行主轴及叶轮组的静、动平衡检测，调试合格后再拆解进行整体组装，并记录所有装配配合尺寸，数据需满足原厂原厂Floway出具操作手册要求，完成后形成一份维修报告提供平台。随后运至平台进行回装，直至最终与主动力电机连接好为止。</w:t>
      </w:r>
    </w:p>
    <w:p>
      <w:pPr>
        <w:pStyle w:val="5"/>
        <w:pageBreakBefore w:val="0"/>
        <w:kinsoku/>
        <w:wordWrap/>
        <w:overflowPunct/>
        <w:topLinePunct w:val="0"/>
        <w:autoSpaceDE/>
        <w:autoSpaceDN/>
        <w:bidi w:val="0"/>
        <w:spacing w:beforeLines="0" w:afterLines="0" w:line="400" w:lineRule="exact"/>
        <w:ind w:right="115" w:rightChars="55" w:firstLine="0" w:firstLineChars="0"/>
        <w:textAlignment w:val="auto"/>
        <w:rPr>
          <w:rFonts w:hint="eastAsia" w:ascii="仿宋" w:hAnsi="仿宋" w:eastAsia="仿宋" w:cs="仿宋"/>
          <w:color w:val="auto"/>
          <w:sz w:val="18"/>
          <w:szCs w:val="18"/>
          <w:lang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color w:val="auto"/>
          <w:sz w:val="22"/>
          <w:szCs w:val="24"/>
        </w:rPr>
      </w:pPr>
      <w:r>
        <w:rPr>
          <w:rFonts w:hint="eastAsia"/>
          <w:b/>
          <w:bCs/>
          <w:color w:val="auto"/>
          <w:sz w:val="22"/>
          <w:szCs w:val="24"/>
          <w:lang w:val="en-US" w:eastAsia="zh-CN"/>
        </w:rPr>
        <w:t>三、</w:t>
      </w:r>
      <w:r>
        <w:rPr>
          <w:rFonts w:hint="eastAsia"/>
          <w:b/>
          <w:bCs/>
          <w:color w:val="auto"/>
          <w:sz w:val="22"/>
          <w:szCs w:val="24"/>
        </w:rPr>
        <w:t>供应商资质基本要求</w:t>
      </w:r>
    </w:p>
    <w:tbl>
      <w:tblPr>
        <w:tblStyle w:val="11"/>
        <w:tblW w:w="6132" w:type="pct"/>
        <w:jc w:val="center"/>
        <w:tblLayout w:type="autofit"/>
        <w:tblCellMar>
          <w:top w:w="0" w:type="dxa"/>
          <w:left w:w="0" w:type="dxa"/>
          <w:bottom w:w="0" w:type="dxa"/>
          <w:right w:w="0" w:type="dxa"/>
        </w:tblCellMar>
      </w:tblPr>
      <w:tblGrid>
        <w:gridCol w:w="564"/>
        <w:gridCol w:w="492"/>
        <w:gridCol w:w="1878"/>
        <w:gridCol w:w="6480"/>
      </w:tblGrid>
      <w:tr>
        <w:tblPrEx>
          <w:tblCellMar>
            <w:top w:w="0" w:type="dxa"/>
            <w:left w:w="0" w:type="dxa"/>
            <w:bottom w:w="0" w:type="dxa"/>
            <w:right w:w="0" w:type="dxa"/>
          </w:tblCellMar>
        </w:tblPrEx>
        <w:trPr>
          <w:trHeight w:val="397" w:hRule="atLeast"/>
          <w:jc w:val="center"/>
        </w:trPr>
        <w:tc>
          <w:tcPr>
            <w:tcW w:w="561" w:type="pct"/>
            <w:gridSpan w:val="2"/>
            <w:tcBorders>
              <w:top w:val="single" w:color="000000" w:sz="4" w:space="0"/>
              <w:left w:val="single" w:color="000000" w:sz="4" w:space="0"/>
              <w:bottom w:val="single" w:color="000000" w:sz="4" w:space="0"/>
              <w:right w:val="single" w:color="000000" w:sz="4" w:space="0"/>
            </w:tcBorders>
            <w:vAlign w:val="center"/>
          </w:tcPr>
          <w:p>
            <w:pPr>
              <w:pStyle w:val="18"/>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序号</w:t>
            </w:r>
          </w:p>
        </w:tc>
        <w:tc>
          <w:tcPr>
            <w:tcW w:w="997" w:type="pct"/>
            <w:tcBorders>
              <w:top w:val="single" w:color="000000" w:sz="4" w:space="0"/>
              <w:left w:val="nil"/>
              <w:bottom w:val="single" w:color="000000" w:sz="4" w:space="0"/>
              <w:right w:val="single" w:color="000000" w:sz="4" w:space="0"/>
            </w:tcBorders>
            <w:vAlign w:val="center"/>
          </w:tcPr>
          <w:p>
            <w:pPr>
              <w:pStyle w:val="18"/>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内容</w:t>
            </w:r>
          </w:p>
        </w:tc>
        <w:tc>
          <w:tcPr>
            <w:tcW w:w="3441" w:type="pct"/>
            <w:tcBorders>
              <w:top w:val="single" w:color="000000" w:sz="4" w:space="0"/>
              <w:left w:val="nil"/>
              <w:bottom w:val="single" w:color="000000" w:sz="4" w:space="0"/>
              <w:right w:val="single" w:color="000000" w:sz="4" w:space="0"/>
            </w:tcBorders>
            <w:vAlign w:val="center"/>
          </w:tcPr>
          <w:p>
            <w:pPr>
              <w:pStyle w:val="18"/>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标准</w:t>
            </w:r>
          </w:p>
        </w:tc>
      </w:tr>
      <w:tr>
        <w:tblPrEx>
          <w:tblCellMar>
            <w:top w:w="0" w:type="dxa"/>
            <w:left w:w="0" w:type="dxa"/>
            <w:bottom w:w="0" w:type="dxa"/>
            <w:right w:w="0" w:type="dxa"/>
          </w:tblCellMar>
        </w:tblPrEx>
        <w:trPr>
          <w:trHeight w:val="90" w:hRule="atLeast"/>
          <w:jc w:val="center"/>
        </w:trPr>
        <w:tc>
          <w:tcPr>
            <w:tcW w:w="300" w:type="pct"/>
            <w:vMerge w:val="restart"/>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60" w:type="pct"/>
            <w:vMerge w:val="restart"/>
            <w:tcBorders>
              <w:left w:val="single" w:color="000000" w:sz="6" w:space="0"/>
              <w:right w:val="single" w:color="000000" w:sz="6" w:space="0"/>
            </w:tcBorders>
            <w:vAlign w:val="center"/>
          </w:tcPr>
          <w:p>
            <w:pPr>
              <w:pStyle w:val="18"/>
              <w:spacing w:line="300" w:lineRule="exact"/>
              <w:jc w:val="center"/>
              <w:rPr>
                <w:rFonts w:ascii="仿宋" w:hAnsi="仿宋" w:eastAsia="仿宋" w:cs="Calibri"/>
                <w:bCs/>
                <w:sz w:val="21"/>
                <w:szCs w:val="21"/>
                <w:lang w:eastAsia="zh-CN"/>
              </w:rPr>
            </w:pPr>
          </w:p>
        </w:tc>
        <w:tc>
          <w:tcPr>
            <w:tcW w:w="997" w:type="pct"/>
            <w:tcBorders>
              <w:top w:val="single" w:color="000000" w:sz="4" w:space="0"/>
              <w:left w:val="single" w:color="000000" w:sz="6" w:space="0"/>
              <w:bottom w:val="single" w:color="auto" w:sz="4" w:space="0"/>
              <w:right w:val="single" w:color="000000" w:sz="4" w:space="0"/>
            </w:tcBorders>
            <w:vAlign w:val="center"/>
          </w:tcPr>
          <w:p>
            <w:pPr>
              <w:pStyle w:val="18"/>
              <w:spacing w:line="300" w:lineRule="exact"/>
              <w:jc w:val="left"/>
              <w:rPr>
                <w:rFonts w:ascii="仿宋" w:hAnsi="仿宋" w:eastAsia="仿宋" w:cs="Calibri"/>
                <w:bCs/>
                <w:color w:val="auto"/>
                <w:sz w:val="21"/>
                <w:szCs w:val="21"/>
                <w:highlight w:val="none"/>
                <w:lang w:eastAsia="zh-CN"/>
              </w:rPr>
            </w:pPr>
            <w:r>
              <w:rPr>
                <w:rFonts w:hint="eastAsia" w:ascii="仿宋" w:hAnsi="仿宋" w:eastAsia="仿宋" w:cs="Calibri"/>
                <w:bCs/>
                <w:color w:val="auto"/>
                <w:sz w:val="21"/>
                <w:szCs w:val="21"/>
                <w:highlight w:val="none"/>
                <w:lang w:eastAsia="zh-CN"/>
              </w:rPr>
              <w:t>★资质要求</w:t>
            </w:r>
          </w:p>
        </w:tc>
        <w:tc>
          <w:tcPr>
            <w:tcW w:w="3441" w:type="pct"/>
            <w:tcBorders>
              <w:top w:val="single" w:color="000000" w:sz="4" w:space="0"/>
              <w:left w:val="nil"/>
              <w:bottom w:val="single" w:color="auto" w:sz="4" w:space="0"/>
              <w:right w:val="single" w:color="000000" w:sz="4" w:space="0"/>
            </w:tcBorders>
            <w:vAlign w:val="center"/>
          </w:tcPr>
          <w:p>
            <w:pPr>
              <w:pStyle w:val="18"/>
              <w:jc w:val="both"/>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一、资质要求</w:t>
            </w:r>
          </w:p>
          <w:p>
            <w:pPr>
              <w:pStyle w:val="1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1.营业执照：投标人须是中华人民共和国境内具有独立承担民事责任能力的法人，或具备国家认可经营资格的其他组织。 （1）投标人为企业的，应具有合法有效的企业法人营业执照、税务登记证及组织机构代码证或证照合一的营业执照； （2）投标人为分公司的，应具有合法有效的营业执照、税务登记证及组织机构代码证或证照合一的营业执照和总公司合法授权书。总公司与分支机构只可一家参与投标，同时参与投标视为投标无效。</w:t>
            </w:r>
          </w:p>
          <w:p>
            <w:pPr>
              <w:pStyle w:val="1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.专业资质要求(如涉及)</w:t>
            </w:r>
          </w:p>
          <w:p>
            <w:pPr>
              <w:pStyle w:val="1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.体系要求。</w:t>
            </w:r>
          </w:p>
        </w:tc>
      </w:tr>
      <w:tr>
        <w:tblPrEx>
          <w:tblCellMar>
            <w:top w:w="0" w:type="dxa"/>
            <w:left w:w="0" w:type="dxa"/>
            <w:bottom w:w="0" w:type="dxa"/>
            <w:right w:w="0" w:type="dxa"/>
          </w:tblCellMar>
        </w:tblPrEx>
        <w:trPr>
          <w:trHeight w:val="638" w:hRule="atLeast"/>
          <w:jc w:val="center"/>
        </w:trPr>
        <w:tc>
          <w:tcPr>
            <w:tcW w:w="300"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60" w:type="pct"/>
            <w:vMerge w:val="continue"/>
            <w:tcBorders>
              <w:left w:val="single" w:color="000000" w:sz="6" w:space="0"/>
              <w:right w:val="single" w:color="000000" w:sz="6" w:space="0"/>
            </w:tcBorders>
            <w:vAlign w:val="center"/>
          </w:tcPr>
          <w:p>
            <w:pPr>
              <w:pStyle w:val="18"/>
              <w:spacing w:line="300" w:lineRule="exact"/>
              <w:jc w:val="center"/>
              <w:rPr>
                <w:rFonts w:ascii="仿宋" w:hAnsi="仿宋" w:eastAsia="仿宋" w:cs="Calibri"/>
                <w:bCs/>
                <w:sz w:val="21"/>
                <w:szCs w:val="21"/>
                <w:lang w:eastAsia="zh-CN"/>
              </w:rPr>
            </w:pPr>
          </w:p>
        </w:tc>
        <w:tc>
          <w:tcPr>
            <w:tcW w:w="997" w:type="pct"/>
            <w:tcBorders>
              <w:top w:val="single" w:color="auto" w:sz="4" w:space="0"/>
              <w:left w:val="single" w:color="000000" w:sz="6" w:space="0"/>
              <w:bottom w:val="single" w:color="auto" w:sz="4" w:space="0"/>
              <w:right w:val="single" w:color="000000" w:sz="4" w:space="0"/>
            </w:tcBorders>
            <w:vAlign w:val="center"/>
          </w:tcPr>
          <w:p>
            <w:pPr>
              <w:pStyle w:val="18"/>
              <w:spacing w:line="300" w:lineRule="exact"/>
              <w:jc w:val="left"/>
              <w:rPr>
                <w:rFonts w:hint="eastAsia" w:ascii="仿宋" w:hAnsi="仿宋" w:eastAsia="仿宋" w:cs="Calibri"/>
                <w:bCs/>
                <w:color w:val="auto"/>
                <w:sz w:val="21"/>
                <w:szCs w:val="21"/>
                <w:highlight w:val="none"/>
                <w:lang w:eastAsia="zh-CN"/>
              </w:rPr>
            </w:pPr>
            <w:r>
              <w:rPr>
                <w:rFonts w:hint="eastAsia" w:ascii="仿宋" w:hAnsi="仿宋" w:eastAsia="仿宋" w:cs="Calibri"/>
                <w:bCs/>
                <w:color w:val="auto"/>
                <w:sz w:val="21"/>
                <w:szCs w:val="21"/>
                <w:highlight w:val="none"/>
                <w:lang w:eastAsia="zh-CN"/>
              </w:rPr>
              <w:t>★</w:t>
            </w:r>
            <w:r>
              <w:rPr>
                <w:rFonts w:hint="eastAsia" w:ascii="仿宋" w:hAnsi="仿宋" w:eastAsia="仿宋" w:cs="仿宋"/>
                <w:color w:val="auto"/>
                <w:sz w:val="21"/>
                <w:szCs w:val="21"/>
                <w:highlight w:val="none"/>
                <w:lang w:eastAsia="zh-CN"/>
              </w:rPr>
              <w:t>信誉要求</w:t>
            </w:r>
          </w:p>
        </w:tc>
        <w:tc>
          <w:tcPr>
            <w:tcW w:w="3441" w:type="pct"/>
            <w:tcBorders>
              <w:top w:val="single" w:color="auto" w:sz="4" w:space="0"/>
              <w:left w:val="nil"/>
              <w:bottom w:val="single" w:color="auto" w:sz="4" w:space="0"/>
              <w:right w:val="single" w:color="000000" w:sz="4" w:space="0"/>
            </w:tcBorders>
            <w:vAlign w:val="center"/>
          </w:tcPr>
          <w:p>
            <w:pPr>
              <w:pStyle w:val="18"/>
              <w:jc w:val="both"/>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二、信誉要求：</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highlight w:val="none"/>
                <w:lang w:eastAsia="zh-CN"/>
              </w:rPr>
              <w:t>1.</w:t>
            </w:r>
            <w:r>
              <w:rPr>
                <w:rFonts w:hint="eastAsia" w:ascii="仿宋" w:hAnsi="仿宋" w:eastAsia="仿宋" w:cs="仿宋"/>
                <w:color w:val="auto"/>
                <w:sz w:val="21"/>
                <w:szCs w:val="21"/>
                <w:lang w:eastAsia="zh-CN"/>
              </w:rPr>
              <w:t>.应答人不得是最高人民法院在“信用中国”网站（www.creditchina.gov.cn）或各级法院列入失信被执行人名单</w:t>
            </w:r>
            <w:r>
              <w:rPr>
                <w:rFonts w:hint="eastAsia" w:ascii="仿宋" w:hAnsi="仿宋" w:eastAsia="仿宋" w:cs="仿宋"/>
                <w:b/>
                <w:bCs/>
                <w:color w:val="auto"/>
                <w:sz w:val="21"/>
                <w:szCs w:val="21"/>
                <w:lang w:eastAsia="zh-CN"/>
              </w:rPr>
              <w:t>（应附查询结果复印件并加盖单位章）</w:t>
            </w:r>
            <w:r>
              <w:rPr>
                <w:rFonts w:hint="eastAsia" w:ascii="仿宋" w:hAnsi="仿宋" w:eastAsia="仿宋" w:cs="仿宋"/>
                <w:color w:val="auto"/>
                <w:sz w:val="21"/>
                <w:szCs w:val="21"/>
                <w:lang w:eastAsia="zh-CN"/>
              </w:rPr>
              <w:t>；</w:t>
            </w:r>
          </w:p>
          <w:p>
            <w:pPr>
              <w:pStyle w:val="18"/>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lang w:eastAsia="zh-CN"/>
              </w:rPr>
              <w:t>.近</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年（20</w:t>
            </w:r>
            <w:r>
              <w:rPr>
                <w:rFonts w:hint="eastAsia" w:ascii="仿宋" w:hAnsi="仿宋" w:eastAsia="仿宋" w:cs="仿宋"/>
                <w:color w:val="auto"/>
                <w:sz w:val="21"/>
                <w:szCs w:val="21"/>
                <w:lang w:val="en-US" w:eastAsia="zh-CN"/>
              </w:rPr>
              <w:t>21</w:t>
            </w:r>
            <w:r>
              <w:rPr>
                <w:rFonts w:hint="eastAsia" w:ascii="仿宋" w:hAnsi="仿宋" w:eastAsia="仿宋" w:cs="仿宋"/>
                <w:color w:val="auto"/>
                <w:sz w:val="21"/>
                <w:szCs w:val="21"/>
                <w:lang w:eastAsia="zh-CN"/>
              </w:rPr>
              <w:t>年</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lang w:eastAsia="zh-CN"/>
              </w:rPr>
              <w:t>月</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lang w:eastAsia="zh-CN"/>
              </w:rPr>
              <w:t>日-报价截止日前）内应答人或其法定代表人、拟委任的项目负责人不得有行贿犯罪行为</w:t>
            </w:r>
            <w:r>
              <w:rPr>
                <w:rFonts w:hint="eastAsia" w:ascii="仿宋" w:hAnsi="仿宋" w:eastAsia="仿宋" w:cs="仿宋"/>
                <w:b/>
                <w:bCs/>
                <w:color w:val="auto"/>
                <w:sz w:val="21"/>
                <w:szCs w:val="21"/>
                <w:lang w:eastAsia="zh-CN"/>
              </w:rPr>
              <w:t>（应附查询结果复印件并加盖单位章，查询网站为“中国裁判文书网”http://wenshu.court.gov.cn）</w:t>
            </w:r>
            <w:r>
              <w:rPr>
                <w:rFonts w:hint="eastAsia" w:ascii="仿宋" w:hAnsi="仿宋" w:eastAsia="仿宋" w:cs="仿宋"/>
                <w:color w:val="auto"/>
                <w:sz w:val="21"/>
                <w:szCs w:val="21"/>
                <w:lang w:eastAsia="zh-CN"/>
              </w:rPr>
              <w:t>；</w:t>
            </w:r>
          </w:p>
          <w:p>
            <w:pPr>
              <w:pStyle w:val="18"/>
              <w:numPr>
                <w:ilvl w:val="0"/>
                <w:numId w:val="0"/>
              </w:numPr>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应答人不得被工商行政管理机关在全国企业信用信息公示系统（http://www.gsxt.gov.cn）中列入严重违法失信企业名单</w:t>
            </w:r>
            <w:r>
              <w:rPr>
                <w:rFonts w:hint="eastAsia" w:ascii="仿宋" w:hAnsi="仿宋" w:eastAsia="仿宋" w:cs="仿宋"/>
                <w:b/>
                <w:bCs/>
                <w:color w:val="auto"/>
                <w:sz w:val="21"/>
                <w:szCs w:val="21"/>
                <w:lang w:eastAsia="zh-CN"/>
              </w:rPr>
              <w:t>（应附查询结果复印件并加盖单位章）</w:t>
            </w:r>
            <w:r>
              <w:rPr>
                <w:rFonts w:hint="eastAsia" w:ascii="仿宋" w:hAnsi="仿宋" w:eastAsia="仿宋" w:cs="仿宋"/>
                <w:color w:val="auto"/>
                <w:sz w:val="21"/>
                <w:szCs w:val="21"/>
                <w:lang w:eastAsia="zh-CN"/>
              </w:rPr>
              <w:t>；</w:t>
            </w:r>
          </w:p>
          <w:p>
            <w:pPr>
              <w:pStyle w:val="1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4.应答人</w:t>
            </w:r>
            <w:r>
              <w:rPr>
                <w:rFonts w:hint="eastAsia" w:ascii="仿宋" w:hAnsi="仿宋" w:eastAsia="仿宋" w:cs="仿宋"/>
                <w:color w:val="auto"/>
                <w:sz w:val="21"/>
                <w:szCs w:val="21"/>
                <w:highlight w:val="none"/>
                <w:lang w:eastAsia="zh-CN"/>
              </w:rPr>
              <w:t>与本采购项目其他应答人不得存在控股关系或管理关系、单位负责人为同一人的情形。</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lang w:eastAsia="zh-CN"/>
              </w:rPr>
              <w:t>、应答人在《中国海洋石油集团有限公司采办业务管理与交易系统》填报供应商注册信息，并在注册审核通过后，方可具备参与采办业务的基本资格，未通过注册审核的应答人应答均视为无效。</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lang w:eastAsia="zh-CN"/>
              </w:rPr>
              <w:t>、应答人应在应答文件中提供其公司章程或其他能够体现出资人、股东信息的法定文件，作为评标/评审时的依据。</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lang w:eastAsia="zh-CN"/>
              </w:rPr>
              <w:t>、应答人承诺：中国海油在职员工（不含正式派出的）未有在投标人单位担任股东、法人代表、董事、监事和其他任职人员的情形。</w:t>
            </w:r>
          </w:p>
          <w:p>
            <w:pPr>
              <w:pStyle w:val="18"/>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lang w:eastAsia="zh-CN"/>
              </w:rPr>
              <w:t>、应答人承诺：与本采购项目其他应答人不存在控股关系或管理关系、单位负责人为同一人的情形。；</w:t>
            </w:r>
          </w:p>
        </w:tc>
      </w:tr>
      <w:tr>
        <w:tblPrEx>
          <w:tblCellMar>
            <w:top w:w="0" w:type="dxa"/>
            <w:left w:w="0" w:type="dxa"/>
            <w:bottom w:w="0" w:type="dxa"/>
            <w:right w:w="0" w:type="dxa"/>
          </w:tblCellMar>
        </w:tblPrEx>
        <w:trPr>
          <w:trHeight w:val="326" w:hRule="atLeast"/>
          <w:jc w:val="center"/>
        </w:trPr>
        <w:tc>
          <w:tcPr>
            <w:tcW w:w="300"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60" w:type="pct"/>
            <w:vMerge w:val="continue"/>
            <w:tcBorders>
              <w:left w:val="single" w:color="000000" w:sz="6" w:space="0"/>
              <w:right w:val="single" w:color="000000" w:sz="6" w:space="0"/>
            </w:tcBorders>
            <w:vAlign w:val="center"/>
          </w:tcPr>
          <w:p>
            <w:pPr>
              <w:pStyle w:val="18"/>
              <w:spacing w:line="300" w:lineRule="exact"/>
              <w:jc w:val="center"/>
              <w:rPr>
                <w:rFonts w:ascii="仿宋" w:hAnsi="仿宋" w:eastAsia="仿宋" w:cs="Calibri"/>
                <w:bCs/>
                <w:sz w:val="21"/>
                <w:szCs w:val="21"/>
                <w:lang w:eastAsia="zh-CN"/>
              </w:rPr>
            </w:pPr>
          </w:p>
        </w:tc>
        <w:tc>
          <w:tcPr>
            <w:tcW w:w="1876" w:type="dxa"/>
            <w:tcBorders>
              <w:top w:val="single" w:color="auto" w:sz="4" w:space="0"/>
              <w:left w:val="single" w:color="000000" w:sz="6" w:space="0"/>
              <w:bottom w:val="single" w:color="000000" w:sz="4" w:space="0"/>
              <w:right w:val="single" w:color="000000" w:sz="4" w:space="0"/>
            </w:tcBorders>
            <w:vAlign w:val="center"/>
          </w:tcPr>
          <w:p>
            <w:pPr>
              <w:pStyle w:val="18"/>
              <w:spacing w:line="300" w:lineRule="exact"/>
              <w:jc w:val="left"/>
              <w:rPr>
                <w:rFonts w:hint="eastAsia" w:ascii="仿宋" w:hAnsi="仿宋" w:eastAsia="仿宋" w:cs="Calibri"/>
                <w:bCs/>
                <w:color w:val="auto"/>
                <w:sz w:val="21"/>
                <w:szCs w:val="21"/>
                <w:highlight w:val="none"/>
                <w:lang w:eastAsia="zh-CN"/>
              </w:rPr>
            </w:pPr>
            <w:r>
              <w:rPr>
                <w:rFonts w:hint="eastAsia" w:ascii="仿宋" w:hAnsi="仿宋" w:eastAsia="仿宋" w:cs="Calibri"/>
                <w:bCs/>
                <w:color w:val="auto"/>
                <w:sz w:val="21"/>
                <w:szCs w:val="21"/>
                <w:highlight w:val="none"/>
                <w:lang w:eastAsia="zh-CN"/>
              </w:rPr>
              <w:t>应答人或应答人所提供的第三方不得存在的其他情形</w:t>
            </w:r>
          </w:p>
        </w:tc>
        <w:tc>
          <w:tcPr>
            <w:tcW w:w="6471" w:type="dxa"/>
            <w:tcBorders>
              <w:top w:val="single" w:color="auto" w:sz="4" w:space="0"/>
              <w:left w:val="nil"/>
              <w:bottom w:val="single" w:color="000000" w:sz="4" w:space="0"/>
              <w:right w:val="single" w:color="000000" w:sz="4" w:space="0"/>
            </w:tcBorders>
            <w:vAlign w:val="center"/>
          </w:tcPr>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（1）被中国海洋石油集团有限公司在集团范围内进行风险提示，且在中国海洋石油集团有限公司采办信息系统中被采购冻结，进入调查程序的；</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（2）被中国海洋石油集团有限公司处以“取消投标资格”及以上处罚，且仍在处罚期内或处罚期满但在系统中的供应商档案中的“档案状态”为“采购冻结”、“业务状态”为“冻结”的；</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（3）被</w:t>
            </w:r>
            <w:r>
              <w:rPr>
                <w:rFonts w:hint="eastAsia" w:ascii="仿宋" w:hAnsi="仿宋" w:eastAsia="仿宋" w:cs="仿宋"/>
                <w:color w:val="auto"/>
                <w:sz w:val="21"/>
                <w:szCs w:val="21"/>
                <w:lang w:val="en-US" w:eastAsia="zh-CN"/>
              </w:rPr>
              <w:t>采购</w:t>
            </w:r>
            <w:r>
              <w:rPr>
                <w:rFonts w:hint="eastAsia" w:ascii="仿宋" w:hAnsi="仿宋" w:eastAsia="仿宋" w:cs="仿宋"/>
                <w:color w:val="auto"/>
                <w:sz w:val="21"/>
                <w:szCs w:val="21"/>
                <w:lang w:eastAsia="zh-CN"/>
              </w:rPr>
              <w:t>人所属单位处以“取消投标资格”及以上处罚，且仍在处罚期内或处罚期满但在系统中的供应商档案中的“业务状态”为冻结的；</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（4）应答人未在系统中领购询价文件；</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（5）询价文件中规定的环境管理体系认证、质量管理体系认证、健康安全管理体系认证和国家强制产品认证等相关否决事项，应在中国国家认证认可监督管理委员会网站（</w:t>
            </w:r>
            <w:r>
              <w:rPr>
                <w:rFonts w:hint="eastAsia" w:ascii="仿宋" w:hAnsi="仿宋" w:eastAsia="仿宋" w:cs="仿宋"/>
                <w:color w:val="auto"/>
                <w:sz w:val="21"/>
                <w:szCs w:val="21"/>
                <w:lang w:eastAsia="zh-CN"/>
              </w:rPr>
              <w:fldChar w:fldCharType="begin"/>
            </w:r>
            <w:r>
              <w:rPr>
                <w:rFonts w:hint="eastAsia" w:ascii="仿宋" w:hAnsi="仿宋" w:eastAsia="仿宋" w:cs="仿宋"/>
                <w:color w:val="auto"/>
                <w:sz w:val="21"/>
                <w:szCs w:val="21"/>
                <w:lang w:eastAsia="zh-CN"/>
              </w:rPr>
              <w:instrText xml:space="preserve"> HYPERLINK "http://www.cnca.gov.cn）核实" </w:instrText>
            </w:r>
            <w:r>
              <w:rPr>
                <w:rFonts w:hint="eastAsia" w:ascii="仿宋" w:hAnsi="仿宋" w:eastAsia="仿宋" w:cs="仿宋"/>
                <w:color w:val="auto"/>
                <w:sz w:val="21"/>
                <w:szCs w:val="21"/>
                <w:lang w:eastAsia="zh-CN"/>
              </w:rPr>
              <w:fldChar w:fldCharType="separate"/>
            </w:r>
            <w:r>
              <w:rPr>
                <w:rFonts w:hint="eastAsia" w:ascii="仿宋" w:hAnsi="仿宋" w:eastAsia="仿宋" w:cs="仿宋"/>
                <w:color w:val="auto"/>
                <w:sz w:val="21"/>
                <w:szCs w:val="21"/>
                <w:lang w:eastAsia="zh-CN"/>
              </w:rPr>
              <w:t>http://www.cnca.gov.cn）核实</w:t>
            </w:r>
            <w:r>
              <w:rPr>
                <w:rFonts w:hint="eastAsia" w:ascii="仿宋" w:hAnsi="仿宋" w:eastAsia="仿宋" w:cs="仿宋"/>
                <w:color w:val="auto"/>
                <w:sz w:val="21"/>
                <w:szCs w:val="21"/>
                <w:lang w:eastAsia="zh-CN"/>
              </w:rPr>
              <w:fldChar w:fldCharType="end"/>
            </w:r>
            <w:r>
              <w:rPr>
                <w:rFonts w:hint="eastAsia" w:ascii="仿宋" w:hAnsi="仿宋" w:eastAsia="仿宋" w:cs="仿宋"/>
                <w:color w:val="auto"/>
                <w:sz w:val="21"/>
                <w:szCs w:val="21"/>
                <w:lang w:eastAsia="zh-CN"/>
              </w:rPr>
              <w:t>；</w:t>
            </w:r>
          </w:p>
          <w:p>
            <w:pPr>
              <w:pStyle w:val="18"/>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lang w:eastAsia="zh-CN"/>
              </w:rPr>
              <w:t>）中国海油在职员工（不含正式派出的）有在投标人单位担任股东、法人代表、董事、监事和其他任职人员的情形；</w:t>
            </w:r>
          </w:p>
          <w:p>
            <w:pPr>
              <w:pStyle w:val="18"/>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lang w:eastAsia="zh-CN"/>
              </w:rPr>
              <w:t>）应答人与本采购项目其他应答人存在控股关系或管理关系、单位负责人为同一人的情形。</w:t>
            </w:r>
          </w:p>
        </w:tc>
      </w:tr>
      <w:tr>
        <w:tblPrEx>
          <w:tblCellMar>
            <w:top w:w="0" w:type="dxa"/>
            <w:left w:w="0" w:type="dxa"/>
            <w:bottom w:w="0" w:type="dxa"/>
            <w:right w:w="0" w:type="dxa"/>
          </w:tblCellMar>
        </w:tblPrEx>
        <w:trPr>
          <w:trHeight w:val="2535" w:hRule="atLeast"/>
          <w:jc w:val="center"/>
        </w:trPr>
        <w:tc>
          <w:tcPr>
            <w:tcW w:w="300"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60" w:type="pct"/>
            <w:vMerge w:val="continue"/>
            <w:tcBorders>
              <w:left w:val="single" w:color="000000" w:sz="6" w:space="0"/>
              <w:right w:val="single" w:color="000000" w:sz="6" w:space="0"/>
            </w:tcBorders>
            <w:vAlign w:val="center"/>
          </w:tcPr>
          <w:p>
            <w:pPr>
              <w:pStyle w:val="18"/>
              <w:spacing w:line="300" w:lineRule="exact"/>
              <w:jc w:val="center"/>
              <w:rPr>
                <w:rFonts w:ascii="仿宋" w:hAnsi="仿宋" w:eastAsia="仿宋" w:cs="Calibri"/>
                <w:bCs/>
                <w:sz w:val="21"/>
                <w:szCs w:val="21"/>
                <w:lang w:eastAsia="zh-CN"/>
              </w:rPr>
            </w:pPr>
          </w:p>
        </w:tc>
        <w:tc>
          <w:tcPr>
            <w:tcW w:w="997" w:type="pct"/>
            <w:tcBorders>
              <w:top w:val="single" w:color="000000" w:sz="4" w:space="0"/>
              <w:left w:val="single" w:color="000000" w:sz="6" w:space="0"/>
              <w:right w:val="single" w:color="000000" w:sz="4" w:space="0"/>
            </w:tcBorders>
            <w:vAlign w:val="center"/>
          </w:tcPr>
          <w:p>
            <w:pPr>
              <w:pStyle w:val="18"/>
              <w:spacing w:line="300" w:lineRule="exact"/>
              <w:jc w:val="left"/>
              <w:rPr>
                <w:rFonts w:hint="eastAsia" w:ascii="仿宋" w:hAnsi="仿宋" w:eastAsia="仿宋" w:cs="Calibri"/>
                <w:bCs/>
                <w:color w:val="auto"/>
                <w:sz w:val="21"/>
                <w:szCs w:val="21"/>
                <w:highlight w:val="none"/>
                <w:lang w:eastAsia="zh-CN"/>
              </w:rPr>
            </w:pPr>
            <w:r>
              <w:rPr>
                <w:rFonts w:hint="eastAsia" w:ascii="仿宋" w:hAnsi="仿宋" w:eastAsia="仿宋" w:cs="仿宋"/>
                <w:color w:val="auto"/>
                <w:sz w:val="21"/>
                <w:szCs w:val="21"/>
                <w:lang w:val="en-US" w:eastAsia="zh-CN"/>
              </w:rPr>
              <w:t>★</w:t>
            </w:r>
            <w:r>
              <w:rPr>
                <w:rFonts w:hint="eastAsia" w:ascii="仿宋" w:hAnsi="仿宋" w:eastAsia="仿宋" w:cs="仿宋"/>
                <w:bCs/>
                <w:color w:val="auto"/>
                <w:sz w:val="21"/>
                <w:szCs w:val="21"/>
                <w:lang w:eastAsia="zh-CN"/>
              </w:rPr>
              <w:t>业绩要求</w:t>
            </w:r>
          </w:p>
        </w:tc>
        <w:tc>
          <w:tcPr>
            <w:tcW w:w="3441" w:type="pct"/>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right="1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服务类：</w:t>
            </w:r>
          </w:p>
          <w:p>
            <w:pPr>
              <w:pStyle w:val="4"/>
              <w:spacing w:line="240" w:lineRule="auto"/>
              <w:ind w:right="11" w:rightChars="0" w:firstLine="210" w:firstLineChars="100"/>
              <w:jc w:val="left"/>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A、供应商在近</w:t>
            </w: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rPr>
              <w:t>年（20</w:t>
            </w:r>
            <w:r>
              <w:rPr>
                <w:rFonts w:hint="eastAsia" w:ascii="仿宋" w:hAnsi="仿宋" w:eastAsia="仿宋" w:cs="仿宋"/>
                <w:color w:val="auto"/>
                <w:sz w:val="21"/>
                <w:szCs w:val="21"/>
                <w:highlight w:val="none"/>
                <w:lang w:val="en-US" w:eastAsia="zh-CN"/>
              </w:rPr>
              <w:t>21</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日-递交响应文件截止）内至少具有</w:t>
            </w:r>
            <w:r>
              <w:rPr>
                <w:rFonts w:hint="eastAsia" w:ascii="仿宋" w:hAnsi="仿宋" w:eastAsia="仿宋" w:cs="仿宋"/>
                <w:color w:val="auto"/>
                <w:sz w:val="21"/>
                <w:szCs w:val="21"/>
                <w:highlight w:val="none"/>
                <w:lang w:val="en-US" w:eastAsia="zh-CN"/>
              </w:rPr>
              <w:t>至少 1 项已完工的海水提升泵或消防泵或离心泵的维修业绩，并提供相应业绩证明文件</w:t>
            </w:r>
            <w:r>
              <w:rPr>
                <w:rFonts w:hint="eastAsia" w:ascii="仿宋" w:hAnsi="仿宋" w:eastAsia="仿宋" w:cs="仿宋"/>
                <w:color w:val="auto"/>
                <w:sz w:val="21"/>
                <w:szCs w:val="21"/>
                <w:highlight w:val="none"/>
              </w:rPr>
              <w:t>，并提供相应业绩证明文件。提供的业绩证明文件包括：</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）具有法律效力的业绩合同、2）</w:t>
            </w:r>
            <w:r>
              <w:rPr>
                <w:rFonts w:hint="eastAsia" w:ascii="仿宋" w:hAnsi="仿宋" w:eastAsia="仿宋" w:cs="仿宋"/>
                <w:color w:val="auto"/>
                <w:sz w:val="21"/>
                <w:szCs w:val="21"/>
                <w:highlight w:val="none"/>
                <w:lang w:val="en-US" w:eastAsia="zh-CN"/>
              </w:rPr>
              <w:t>合同</w:t>
            </w:r>
            <w:r>
              <w:rPr>
                <w:rFonts w:hint="eastAsia" w:ascii="仿宋" w:hAnsi="仿宋" w:eastAsia="仿宋" w:cs="仿宋"/>
                <w:color w:val="auto"/>
                <w:sz w:val="21"/>
                <w:szCs w:val="21"/>
                <w:highlight w:val="none"/>
              </w:rPr>
              <w:t>所对应的结算发票</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highlight w:val="none"/>
                <w:lang w:val="en-US" w:eastAsia="zh-CN"/>
              </w:rPr>
              <w:t>国家税务总局全国增值税发票查验平台的发票查验截图</w:t>
            </w:r>
            <w:r>
              <w:rPr>
                <w:rFonts w:hint="eastAsia" w:ascii="仿宋" w:hAnsi="仿宋" w:eastAsia="仿宋" w:cs="仿宋"/>
                <w:color w:val="auto"/>
                <w:sz w:val="21"/>
                <w:szCs w:val="21"/>
                <w:highlight w:val="none"/>
              </w:rPr>
              <w:t>。】</w:t>
            </w:r>
            <w:r>
              <w:rPr>
                <w:rFonts w:hint="eastAsia" w:ascii="仿宋" w:hAnsi="仿宋" w:eastAsia="仿宋" w:cs="仿宋"/>
                <w:b/>
                <w:bCs/>
                <w:color w:val="auto"/>
                <w:sz w:val="21"/>
                <w:szCs w:val="21"/>
                <w:highlight w:val="none"/>
              </w:rPr>
              <w:t>（提示：提供的业绩证明材料必须完全涵盖以上内容，否则视为无效业绩，缺少任何1项都将影响评审结果）</w:t>
            </w:r>
          </w:p>
        </w:tc>
      </w:tr>
      <w:tr>
        <w:tblPrEx>
          <w:tblCellMar>
            <w:top w:w="0" w:type="dxa"/>
            <w:left w:w="0" w:type="dxa"/>
            <w:bottom w:w="0" w:type="dxa"/>
            <w:right w:w="0" w:type="dxa"/>
          </w:tblCellMar>
        </w:tblPrEx>
        <w:trPr>
          <w:trHeight w:val="619" w:hRule="atLeast"/>
          <w:jc w:val="center"/>
        </w:trPr>
        <w:tc>
          <w:tcPr>
            <w:tcW w:w="300" w:type="pct"/>
            <w:vMerge w:val="continue"/>
            <w:tcBorders>
              <w:left w:val="single" w:color="000000" w:sz="6" w:space="0"/>
              <w:bottom w:val="single" w:color="auto" w:sz="4" w:space="0"/>
              <w:right w:val="single" w:color="000000" w:sz="6" w:space="0"/>
            </w:tcBorders>
            <w:vAlign w:val="center"/>
          </w:tcPr>
          <w:p>
            <w:pPr>
              <w:spacing w:line="300" w:lineRule="exact"/>
              <w:jc w:val="center"/>
              <w:rPr>
                <w:rFonts w:ascii="仿宋" w:hAnsi="仿宋" w:eastAsia="仿宋" w:cs="Calibri"/>
                <w:bCs/>
                <w:kern w:val="0"/>
                <w:szCs w:val="21"/>
              </w:rPr>
            </w:pPr>
          </w:p>
        </w:tc>
        <w:tc>
          <w:tcPr>
            <w:tcW w:w="260" w:type="pct"/>
            <w:vMerge w:val="continue"/>
            <w:tcBorders>
              <w:left w:val="single" w:color="000000" w:sz="6" w:space="0"/>
              <w:bottom w:val="single" w:color="auto" w:sz="4" w:space="0"/>
              <w:right w:val="single" w:color="000000" w:sz="6" w:space="0"/>
            </w:tcBorders>
            <w:vAlign w:val="center"/>
          </w:tcPr>
          <w:p>
            <w:pPr>
              <w:pStyle w:val="18"/>
              <w:spacing w:line="300" w:lineRule="exact"/>
              <w:jc w:val="center"/>
              <w:rPr>
                <w:rFonts w:ascii="仿宋" w:hAnsi="仿宋" w:eastAsia="仿宋" w:cs="Calibri"/>
                <w:bCs/>
                <w:sz w:val="21"/>
                <w:szCs w:val="21"/>
                <w:lang w:eastAsia="zh-CN"/>
              </w:rPr>
            </w:pPr>
          </w:p>
        </w:tc>
        <w:tc>
          <w:tcPr>
            <w:tcW w:w="997" w:type="pct"/>
            <w:tcBorders>
              <w:top w:val="single" w:color="000000" w:sz="4" w:space="0"/>
              <w:left w:val="single" w:color="000000" w:sz="6" w:space="0"/>
              <w:bottom w:val="single" w:color="000000" w:sz="4" w:space="0"/>
              <w:right w:val="single" w:color="000000" w:sz="4" w:space="0"/>
            </w:tcBorders>
            <w:vAlign w:val="center"/>
          </w:tcPr>
          <w:p>
            <w:pPr>
              <w:pStyle w:val="18"/>
              <w:spacing w:line="300" w:lineRule="exact"/>
              <w:jc w:val="left"/>
              <w:rPr>
                <w:rFonts w:hint="default" w:ascii="仿宋" w:hAnsi="仿宋" w:eastAsia="仿宋" w:cs="Calibri"/>
                <w:bCs/>
                <w:color w:val="auto"/>
                <w:sz w:val="21"/>
                <w:szCs w:val="21"/>
                <w:highlight w:val="none"/>
                <w:lang w:val="en-US" w:eastAsia="zh-CN"/>
              </w:rPr>
            </w:pPr>
            <w:r>
              <w:rPr>
                <w:rFonts w:hint="eastAsia" w:ascii="仿宋" w:hAnsi="仿宋" w:eastAsia="仿宋" w:cs="Calibri"/>
                <w:bCs/>
                <w:color w:val="auto"/>
                <w:sz w:val="21"/>
                <w:szCs w:val="21"/>
                <w:highlight w:val="none"/>
                <w:lang w:eastAsia="zh-CN"/>
              </w:rPr>
              <w:t>★</w:t>
            </w:r>
            <w:r>
              <w:rPr>
                <w:rFonts w:hint="eastAsia" w:ascii="仿宋" w:hAnsi="仿宋" w:eastAsia="仿宋" w:cs="Calibri"/>
                <w:bCs/>
                <w:color w:val="auto"/>
                <w:sz w:val="21"/>
                <w:szCs w:val="21"/>
                <w:highlight w:val="none"/>
                <w:lang w:val="en-US" w:eastAsia="zh-CN"/>
              </w:rPr>
              <w:t>付款方式</w:t>
            </w:r>
          </w:p>
        </w:tc>
        <w:tc>
          <w:tcPr>
            <w:tcW w:w="3441" w:type="pct"/>
            <w:tcBorders>
              <w:top w:val="single" w:color="000000" w:sz="4" w:space="0"/>
              <w:left w:val="nil"/>
              <w:bottom w:val="single" w:color="000000" w:sz="4" w:space="0"/>
              <w:right w:val="single" w:color="000000" w:sz="4" w:space="0"/>
            </w:tcBorders>
            <w:vAlign w:val="center"/>
          </w:tcPr>
          <w:p>
            <w:pPr>
              <w:spacing w:line="240" w:lineRule="auto"/>
              <w:ind w:left="105" w:leftChars="50"/>
              <w:jc w:val="left"/>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付款方式为先货（服务）后款。</w:t>
            </w:r>
          </w:p>
        </w:tc>
      </w:tr>
    </w:tbl>
    <w:p>
      <w:pPr>
        <w:pStyle w:val="17"/>
        <w:numPr>
          <w:ilvl w:val="0"/>
          <w:numId w:val="0"/>
        </w:numPr>
        <w:spacing w:line="600" w:lineRule="exact"/>
        <w:ind w:left="418" w:leftChars="0" w:right="-313" w:rightChars="-149" w:hanging="418" w:hangingChars="190"/>
        <w:rPr>
          <w:rFonts w:hint="eastAsia" w:ascii="等线" w:hAnsi="等线" w:eastAsia="等线" w:cs="等线"/>
          <w:b/>
          <w:bCs/>
          <w:color w:val="auto"/>
          <w:sz w:val="22"/>
          <w:szCs w:val="22"/>
        </w:rPr>
      </w:pPr>
      <w:r>
        <w:rPr>
          <w:rFonts w:hint="eastAsia" w:ascii="等线" w:hAnsi="等线" w:eastAsia="等线" w:cs="等线"/>
          <w:b/>
          <w:bCs/>
          <w:color w:val="auto"/>
          <w:sz w:val="22"/>
          <w:szCs w:val="22"/>
          <w:lang w:val="en-US" w:eastAsia="zh-CN"/>
        </w:rPr>
        <w:t>四、</w:t>
      </w:r>
      <w:r>
        <w:rPr>
          <w:rFonts w:hint="eastAsia" w:ascii="等线" w:hAnsi="等线" w:eastAsia="等线" w:cs="等线"/>
          <w:b/>
          <w:bCs/>
          <w:color w:val="auto"/>
          <w:sz w:val="22"/>
          <w:szCs w:val="22"/>
          <w:lang w:eastAsia="zh-CN"/>
        </w:rPr>
        <w:t>采购</w:t>
      </w:r>
      <w:r>
        <w:rPr>
          <w:rFonts w:hint="eastAsia" w:ascii="等线" w:hAnsi="等线" w:eastAsia="等线" w:cs="等线"/>
          <w:b/>
          <w:bCs/>
          <w:color w:val="auto"/>
          <w:sz w:val="22"/>
          <w:szCs w:val="22"/>
        </w:rPr>
        <w:t>包信息公示期间市场反馈情况：</w:t>
      </w:r>
    </w:p>
    <w:p>
      <w:pPr>
        <w:pStyle w:val="17"/>
        <w:spacing w:line="560" w:lineRule="exact"/>
        <w:ind w:left="0" w:leftChars="0" w:right="-313" w:rightChars="-149" w:firstLine="0" w:firstLineChars="0"/>
        <w:rPr>
          <w:rFonts w:hint="eastAsia" w:ascii="等线" w:hAnsi="等线" w:eastAsia="等线" w:cs="等线"/>
          <w:iCs/>
          <w:color w:val="auto"/>
          <w:sz w:val="22"/>
          <w:szCs w:val="22"/>
          <w:lang w:eastAsia="zh-CN"/>
        </w:rPr>
      </w:pPr>
      <w:r>
        <w:rPr>
          <w:rFonts w:hint="eastAsia" w:ascii="等线" w:hAnsi="等线" w:eastAsia="等线" w:cs="等线"/>
          <w:iCs/>
          <w:color w:val="auto"/>
          <w:sz w:val="22"/>
          <w:szCs w:val="22"/>
          <w:lang w:val="en-US" w:eastAsia="zh-CN"/>
        </w:rPr>
        <w:t>信息公示期间供应商反馈情况如下（</w:t>
      </w:r>
      <w:r>
        <w:rPr>
          <w:rFonts w:hint="eastAsia" w:ascii="等线" w:hAnsi="等线" w:eastAsia="等线" w:cs="等线"/>
          <w:iCs/>
          <w:color w:val="auto"/>
          <w:sz w:val="22"/>
          <w:szCs w:val="22"/>
          <w:lang w:eastAsia="zh-CN"/>
        </w:rPr>
        <w:t>采购</w:t>
      </w:r>
      <w:r>
        <w:rPr>
          <w:rFonts w:hint="eastAsia" w:ascii="等线" w:hAnsi="等线" w:eastAsia="等线" w:cs="等线"/>
          <w:iCs/>
          <w:color w:val="auto"/>
          <w:sz w:val="22"/>
          <w:szCs w:val="22"/>
        </w:rPr>
        <w:t>计划公告供应商意见反馈”截图</w:t>
      </w:r>
      <w:r>
        <w:rPr>
          <w:rFonts w:hint="eastAsia" w:ascii="等线" w:hAnsi="等线" w:eastAsia="等线" w:cs="等线"/>
          <w:iCs/>
          <w:color w:val="auto"/>
          <w:sz w:val="22"/>
          <w:szCs w:val="22"/>
          <w:lang w:eastAsia="zh-CN"/>
        </w:rPr>
        <w:t>）：</w:t>
      </w:r>
    </w:p>
    <w:p>
      <w:pPr>
        <w:pStyle w:val="17"/>
        <w:spacing w:line="560" w:lineRule="exact"/>
        <w:ind w:left="0" w:leftChars="0" w:right="-313" w:rightChars="-149" w:firstLine="0" w:firstLineChars="0"/>
        <w:rPr>
          <w:rFonts w:hint="eastAsia" w:ascii="等线" w:hAnsi="等线" w:eastAsia="等线" w:cs="等线"/>
          <w:b/>
          <w:bCs/>
          <w:color w:val="auto"/>
          <w:sz w:val="22"/>
          <w:szCs w:val="22"/>
          <w:highlight w:val="none"/>
        </w:rPr>
      </w:pPr>
      <w:r>
        <w:rPr>
          <w:rFonts w:hint="eastAsia" w:ascii="等线" w:hAnsi="等线" w:eastAsia="等线" w:cs="等线"/>
          <w:b/>
          <w:bCs/>
          <w:color w:val="auto"/>
          <w:sz w:val="22"/>
          <w:szCs w:val="22"/>
          <w:highlight w:val="none"/>
        </w:rPr>
        <w:t>有意向合作的供应商情况分析：</w:t>
      </w:r>
      <w:r>
        <w:rPr>
          <w:rFonts w:hint="eastAsia" w:ascii="等线" w:hAnsi="等线" w:eastAsia="等线" w:cs="等线"/>
          <w:b/>
          <w:bCs/>
          <w:color w:val="auto"/>
          <w:sz w:val="22"/>
          <w:szCs w:val="22"/>
          <w:highlight w:val="none"/>
          <w:lang w:eastAsia="zh-CN"/>
        </w:rPr>
        <w:drawing>
          <wp:anchor distT="0" distB="0" distL="114300" distR="114300" simplePos="0" relativeHeight="251659264" behindDoc="0" locked="0" layoutInCell="1" allowOverlap="1">
            <wp:simplePos x="0" y="0"/>
            <wp:positionH relativeFrom="column">
              <wp:posOffset>-9525</wp:posOffset>
            </wp:positionH>
            <wp:positionV relativeFrom="paragraph">
              <wp:posOffset>38100</wp:posOffset>
            </wp:positionV>
            <wp:extent cx="4853940" cy="2494915"/>
            <wp:effectExtent l="0" t="0" r="3810" b="635"/>
            <wp:wrapSquare wrapText="bothSides"/>
            <wp:docPr id="2" name="图片 2" descr="捕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捕获"/>
                    <pic:cNvPicPr>
                      <a:picLocks noChangeAspect="1"/>
                    </pic:cNvPicPr>
                  </pic:nvPicPr>
                  <pic:blipFill>
                    <a:blip r:embed="rId8"/>
                    <a:stretch>
                      <a:fillRect/>
                    </a:stretch>
                  </pic:blipFill>
                  <pic:spPr>
                    <a:xfrm>
                      <a:off x="0" y="0"/>
                      <a:ext cx="4853940" cy="2494915"/>
                    </a:xfrm>
                    <a:prstGeom prst="rect">
                      <a:avLst/>
                    </a:prstGeom>
                  </pic:spPr>
                </pic:pic>
              </a:graphicData>
            </a:graphic>
          </wp:anchor>
        </w:drawing>
      </w:r>
    </w:p>
    <w:p>
      <w:pPr>
        <w:pStyle w:val="17"/>
        <w:numPr>
          <w:ilvl w:val="0"/>
          <w:numId w:val="4"/>
        </w:numPr>
        <w:spacing w:line="560" w:lineRule="exact"/>
        <w:ind w:left="0" w:leftChars="0" w:right="-313" w:rightChars="-149" w:firstLine="0" w:firstLineChars="0"/>
        <w:rPr>
          <w:rFonts w:hint="eastAsia" w:ascii="等线" w:hAnsi="等线" w:eastAsia="等线" w:cs="等线"/>
          <w:iCs/>
          <w:color w:val="auto"/>
          <w:sz w:val="22"/>
          <w:szCs w:val="22"/>
          <w:highlight w:val="none"/>
          <w:lang w:val="en-US" w:eastAsia="zh-CN"/>
        </w:rPr>
      </w:pPr>
      <w:r>
        <w:rPr>
          <w:rFonts w:hint="eastAsia" w:ascii="等线" w:hAnsi="等线" w:eastAsia="等线" w:cs="等线"/>
          <w:iCs/>
          <w:color w:val="auto"/>
          <w:sz w:val="22"/>
          <w:szCs w:val="22"/>
          <w:highlight w:val="none"/>
          <w:lang w:val="en-US" w:eastAsia="zh-CN"/>
        </w:rPr>
        <w:t>合规情况评估：是否属于受控供应商，失信被执行人等情况</w:t>
      </w:r>
    </w:p>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left"/>
        <w:textAlignment w:val="auto"/>
        <w:rPr>
          <w:rFonts w:hint="eastAsia" w:ascii="等线" w:hAnsi="等线" w:eastAsia="等线" w:cs="等线"/>
          <w:bCs/>
          <w:color w:val="auto"/>
          <w:kern w:val="0"/>
          <w:sz w:val="22"/>
          <w:szCs w:val="22"/>
          <w:highlight w:val="none"/>
          <w:lang w:val="en-US" w:eastAsia="zh-CN"/>
        </w:rPr>
      </w:pPr>
      <w:r>
        <w:rPr>
          <w:rFonts w:hint="eastAsia" w:ascii="等线" w:hAnsi="等线" w:eastAsia="等线" w:cs="等线"/>
          <w:bCs/>
          <w:color w:val="auto"/>
          <w:kern w:val="0"/>
          <w:sz w:val="22"/>
          <w:szCs w:val="22"/>
          <w:highlight w:val="none"/>
          <w:lang w:val="en-US" w:eastAsia="zh-CN"/>
        </w:rPr>
        <w:t>经查该以上初步审核合格的4家供应商均为非受控供应商，均可作为潜在供应商。</w:t>
      </w:r>
    </w:p>
    <w:p>
      <w:pPr>
        <w:pStyle w:val="17"/>
        <w:numPr>
          <w:ilvl w:val="0"/>
          <w:numId w:val="0"/>
        </w:numPr>
        <w:spacing w:line="560" w:lineRule="exact"/>
        <w:ind w:leftChars="0" w:right="-313" w:rightChars="-149"/>
        <w:rPr>
          <w:rFonts w:hint="eastAsia" w:ascii="等线" w:hAnsi="等线" w:eastAsia="等线" w:cs="等线"/>
          <w:iCs/>
          <w:color w:val="auto"/>
          <w:sz w:val="22"/>
          <w:szCs w:val="22"/>
          <w:highlight w:val="none"/>
          <w:lang w:val="en-US" w:eastAsia="zh-CN"/>
        </w:rPr>
      </w:pPr>
      <w:r>
        <w:rPr>
          <w:rFonts w:hint="eastAsia" w:ascii="等线" w:hAnsi="等线" w:eastAsia="等线" w:cs="等线"/>
          <w:color w:val="auto"/>
          <w:sz w:val="22"/>
          <w:szCs w:val="22"/>
          <w:lang w:val="en-US" w:eastAsia="zh-CN"/>
        </w:rPr>
        <w:t>2、</w:t>
      </w:r>
      <w:r>
        <w:rPr>
          <w:rFonts w:hint="eastAsia" w:ascii="等线" w:hAnsi="等线" w:eastAsia="等线" w:cs="等线"/>
          <w:iCs/>
          <w:color w:val="auto"/>
          <w:sz w:val="22"/>
          <w:szCs w:val="22"/>
          <w:highlight w:val="none"/>
          <w:lang w:val="en-US" w:eastAsia="zh-CN"/>
        </w:rPr>
        <w:t>综合能力评估：资质情况、业绩情况等信息核查</w:t>
      </w:r>
    </w:p>
    <w:tbl>
      <w:tblPr>
        <w:tblStyle w:val="12"/>
        <w:tblW w:w="8356"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090"/>
        <w:gridCol w:w="1167"/>
        <w:gridCol w:w="1167"/>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
                <w:bCs w:val="0"/>
                <w:color w:val="auto"/>
                <w:kern w:val="0"/>
                <w:sz w:val="22"/>
                <w:szCs w:val="22"/>
                <w:highlight w:val="none"/>
                <w:vertAlign w:val="baseline"/>
                <w:lang w:val="en-US" w:eastAsia="zh-CN"/>
              </w:rPr>
            </w:pPr>
            <w:r>
              <w:rPr>
                <w:rFonts w:hint="eastAsia" w:ascii="等线" w:hAnsi="等线" w:eastAsia="等线" w:cs="等线"/>
                <w:b/>
                <w:bCs w:val="0"/>
                <w:color w:val="auto"/>
                <w:kern w:val="0"/>
                <w:sz w:val="22"/>
                <w:szCs w:val="22"/>
                <w:highlight w:val="none"/>
                <w:vertAlign w:val="baseline"/>
                <w:lang w:val="en-US" w:eastAsia="zh-CN"/>
              </w:rPr>
              <w:t>序号</w:t>
            </w:r>
          </w:p>
        </w:tc>
        <w:tc>
          <w:tcPr>
            <w:tcW w:w="4090"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
                <w:bCs w:val="0"/>
                <w:color w:val="auto"/>
                <w:kern w:val="0"/>
                <w:sz w:val="22"/>
                <w:szCs w:val="22"/>
                <w:highlight w:val="none"/>
                <w:vertAlign w:val="baseline"/>
                <w:lang w:val="en-US" w:eastAsia="zh-CN"/>
              </w:rPr>
            </w:pPr>
            <w:r>
              <w:rPr>
                <w:rFonts w:hint="eastAsia" w:ascii="等线" w:hAnsi="等线" w:eastAsia="等线" w:cs="等线"/>
                <w:b/>
                <w:bCs w:val="0"/>
                <w:color w:val="auto"/>
                <w:kern w:val="0"/>
                <w:sz w:val="22"/>
                <w:szCs w:val="22"/>
                <w:highlight w:val="none"/>
                <w:vertAlign w:val="baseline"/>
                <w:lang w:val="en-US" w:eastAsia="zh-CN"/>
              </w:rPr>
              <w:t>供应商名称</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等线" w:hAnsi="等线" w:eastAsia="等线" w:cs="等线"/>
                <w:b/>
                <w:bCs w:val="0"/>
                <w:color w:val="auto"/>
                <w:kern w:val="0"/>
                <w:sz w:val="22"/>
                <w:szCs w:val="22"/>
                <w:highlight w:val="none"/>
                <w:vertAlign w:val="baseline"/>
                <w:lang w:val="en-US" w:eastAsia="zh-CN"/>
              </w:rPr>
            </w:pPr>
            <w:r>
              <w:rPr>
                <w:rFonts w:hint="eastAsia" w:ascii="等线" w:hAnsi="等线" w:eastAsia="等线" w:cs="等线"/>
                <w:b/>
                <w:bCs w:val="0"/>
                <w:color w:val="auto"/>
                <w:kern w:val="0"/>
                <w:sz w:val="22"/>
                <w:szCs w:val="22"/>
                <w:highlight w:val="none"/>
                <w:vertAlign w:val="baseline"/>
                <w:lang w:val="en-US" w:eastAsia="zh-CN"/>
              </w:rPr>
              <w:t>体系认证</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
                <w:bCs w:val="0"/>
                <w:color w:val="auto"/>
                <w:kern w:val="0"/>
                <w:sz w:val="22"/>
                <w:szCs w:val="22"/>
                <w:highlight w:val="none"/>
                <w:vertAlign w:val="baseline"/>
                <w:lang w:val="en-US" w:eastAsia="zh-CN"/>
              </w:rPr>
            </w:pPr>
            <w:r>
              <w:rPr>
                <w:rFonts w:hint="eastAsia" w:ascii="等线" w:hAnsi="等线" w:eastAsia="等线" w:cs="等线"/>
                <w:b/>
                <w:bCs w:val="0"/>
                <w:color w:val="auto"/>
                <w:kern w:val="0"/>
                <w:sz w:val="22"/>
                <w:szCs w:val="22"/>
                <w:highlight w:val="none"/>
                <w:vertAlign w:val="baseline"/>
                <w:lang w:val="en-US" w:eastAsia="zh-CN"/>
              </w:rPr>
              <w:t>业绩</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
                <w:bCs w:val="0"/>
                <w:color w:val="auto"/>
                <w:kern w:val="0"/>
                <w:sz w:val="22"/>
                <w:szCs w:val="22"/>
                <w:highlight w:val="none"/>
                <w:vertAlign w:val="baseline"/>
                <w:lang w:val="en-US" w:eastAsia="zh-CN"/>
              </w:rPr>
            </w:pPr>
            <w:r>
              <w:rPr>
                <w:rFonts w:hint="eastAsia" w:ascii="等线" w:hAnsi="等线" w:eastAsia="等线" w:cs="等线"/>
                <w:b/>
                <w:bCs w:val="0"/>
                <w:color w:val="auto"/>
                <w:kern w:val="0"/>
                <w:sz w:val="22"/>
                <w:szCs w:val="22"/>
                <w:highlight w:val="none"/>
                <w:vertAlign w:val="baseline"/>
                <w:lang w:val="en-US"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65" w:type="dxa"/>
            <w:vAlign w:val="center"/>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bookmarkStart w:id="0" w:name="OLE_LINK2" w:colFirst="1" w:colLast="1"/>
            <w:r>
              <w:rPr>
                <w:rFonts w:hint="eastAsia" w:ascii="等线" w:hAnsi="等线" w:eastAsia="等线" w:cs="等线"/>
                <w:bCs/>
                <w:color w:val="auto"/>
                <w:kern w:val="0"/>
                <w:sz w:val="24"/>
                <w:szCs w:val="24"/>
                <w:highlight w:val="none"/>
                <w:vertAlign w:val="baseline"/>
                <w:lang w:val="en-US" w:eastAsia="zh-CN"/>
              </w:rPr>
              <w:t>1</w:t>
            </w:r>
          </w:p>
        </w:tc>
        <w:tc>
          <w:tcPr>
            <w:tcW w:w="4090" w:type="dxa"/>
            <w:vAlign w:val="center"/>
          </w:tcPr>
          <w:p>
            <w:pPr>
              <w:spacing w:beforeLines="0" w:afterLines="0"/>
              <w:rPr>
                <w:rFonts w:hint="eastAsia" w:ascii="等线" w:hAnsi="等线" w:eastAsia="等线" w:cs="等线"/>
                <w:color w:val="auto"/>
                <w:kern w:val="2"/>
                <w:sz w:val="24"/>
                <w:szCs w:val="32"/>
                <w:lang w:val="en-US" w:eastAsia="zh-CN" w:bidi="ar-SA"/>
              </w:rPr>
            </w:pPr>
            <w:r>
              <w:rPr>
                <w:rFonts w:hint="eastAsia" w:ascii="等线" w:hAnsi="等线" w:eastAsia="等线" w:cs="等线"/>
                <w:sz w:val="22"/>
                <w:szCs w:val="28"/>
              </w:rPr>
              <w:t>广东达华斯克科技有限公司</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0"/>
                <w:szCs w:val="20"/>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2</w:t>
            </w:r>
          </w:p>
        </w:tc>
        <w:tc>
          <w:tcPr>
            <w:tcW w:w="4090" w:type="dxa"/>
            <w:vAlign w:val="center"/>
          </w:tcPr>
          <w:p>
            <w:pPr>
              <w:spacing w:beforeLines="0" w:afterLines="0"/>
              <w:rPr>
                <w:rFonts w:hint="eastAsia" w:ascii="等线" w:hAnsi="等线" w:eastAsia="等线" w:cs="等线"/>
                <w:color w:val="auto"/>
                <w:kern w:val="2"/>
                <w:sz w:val="24"/>
                <w:szCs w:val="32"/>
                <w:lang w:val="en-US" w:eastAsia="zh-CN" w:bidi="ar-SA"/>
              </w:rPr>
            </w:pPr>
            <w:r>
              <w:rPr>
                <w:rFonts w:hint="eastAsia" w:ascii="等线" w:hAnsi="等线" w:eastAsia="等线" w:cs="等线"/>
                <w:sz w:val="22"/>
                <w:szCs w:val="28"/>
              </w:rPr>
              <w:t>湛江市赛福特实业有限公司</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0"/>
                <w:szCs w:val="20"/>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3</w:t>
            </w:r>
          </w:p>
        </w:tc>
        <w:tc>
          <w:tcPr>
            <w:tcW w:w="4090" w:type="dxa"/>
            <w:vAlign w:val="center"/>
          </w:tcPr>
          <w:p>
            <w:pPr>
              <w:spacing w:beforeLines="0" w:afterLines="0"/>
              <w:rPr>
                <w:rFonts w:hint="eastAsia" w:ascii="等线" w:hAnsi="等线" w:eastAsia="等线" w:cs="等线"/>
                <w:color w:val="auto"/>
                <w:kern w:val="2"/>
                <w:sz w:val="24"/>
                <w:szCs w:val="32"/>
                <w:lang w:val="en-US" w:eastAsia="zh-CN" w:bidi="ar-SA"/>
              </w:rPr>
            </w:pPr>
            <w:r>
              <w:rPr>
                <w:rFonts w:hint="eastAsia" w:ascii="等线" w:hAnsi="等线" w:eastAsia="等线" w:cs="等线"/>
                <w:sz w:val="22"/>
                <w:szCs w:val="28"/>
              </w:rPr>
              <w:t>青岛太平洋海洋工程（深圳）有限公司</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c>
          <w:tcPr>
            <w:tcW w:w="1167" w:type="dxa"/>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1"/>
                <w:szCs w:val="21"/>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4</w:t>
            </w:r>
          </w:p>
        </w:tc>
        <w:tc>
          <w:tcPr>
            <w:tcW w:w="4090" w:type="dxa"/>
            <w:vAlign w:val="center"/>
          </w:tcPr>
          <w:p>
            <w:pPr>
              <w:spacing w:beforeLines="0" w:afterLines="0"/>
              <w:jc w:val="both"/>
              <w:rPr>
                <w:rFonts w:hint="eastAsia" w:ascii="等线" w:hAnsi="等线" w:eastAsia="等线" w:cs="等线"/>
                <w:color w:val="auto"/>
                <w:kern w:val="2"/>
                <w:sz w:val="24"/>
                <w:szCs w:val="32"/>
                <w:lang w:val="en-US" w:eastAsia="zh-CN" w:bidi="ar-SA"/>
              </w:rPr>
            </w:pPr>
            <w:r>
              <w:rPr>
                <w:rFonts w:hint="eastAsia" w:ascii="等线" w:hAnsi="等线" w:eastAsia="等线" w:cs="等线"/>
                <w:sz w:val="22"/>
                <w:szCs w:val="28"/>
              </w:rPr>
              <w:t>沈阳创研石化泵制造有限公司</w:t>
            </w:r>
          </w:p>
        </w:tc>
        <w:tc>
          <w:tcPr>
            <w:tcW w:w="1167" w:type="dxa"/>
            <w:vAlign w:val="top"/>
          </w:tcPr>
          <w:p>
            <w:pPr>
              <w:pStyle w:val="17"/>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等线" w:hAnsi="等线" w:eastAsia="等线" w:cs="等线"/>
                <w:bCs/>
                <w:color w:val="auto"/>
                <w:kern w:val="0"/>
                <w:sz w:val="24"/>
                <w:szCs w:val="24"/>
                <w:highlight w:val="none"/>
                <w:vertAlign w:val="baseline"/>
                <w:lang w:val="en-US" w:eastAsia="zh-CN" w:bidi="ar-SA"/>
              </w:rPr>
            </w:pPr>
            <w:r>
              <w:rPr>
                <w:rFonts w:hint="eastAsia" w:ascii="等线" w:hAnsi="等线" w:eastAsia="等线" w:cs="等线"/>
                <w:bCs/>
                <w:color w:val="auto"/>
                <w:kern w:val="0"/>
                <w:sz w:val="24"/>
                <w:szCs w:val="24"/>
                <w:highlight w:val="none"/>
                <w:vertAlign w:val="baseline"/>
                <w:lang w:val="en-US" w:eastAsia="zh-CN"/>
              </w:rPr>
              <w:t>√</w:t>
            </w:r>
          </w:p>
        </w:tc>
        <w:tc>
          <w:tcPr>
            <w:tcW w:w="1167" w:type="dxa"/>
            <w:vAlign w:val="top"/>
          </w:tcPr>
          <w:p>
            <w:pPr>
              <w:pStyle w:val="17"/>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eastAsia" w:ascii="等线" w:hAnsi="等线" w:eastAsia="等线" w:cs="等线"/>
                <w:bCs/>
                <w:color w:val="auto"/>
                <w:kern w:val="0"/>
                <w:sz w:val="24"/>
                <w:szCs w:val="24"/>
                <w:highlight w:val="none"/>
                <w:vertAlign w:val="baseline"/>
                <w:lang w:val="en-US" w:eastAsia="zh-CN" w:bidi="ar-SA"/>
              </w:rPr>
            </w:pPr>
            <w:r>
              <w:rPr>
                <w:rFonts w:hint="eastAsia" w:ascii="等线" w:hAnsi="等线" w:eastAsia="等线" w:cs="等线"/>
                <w:bCs/>
                <w:color w:val="auto"/>
                <w:kern w:val="0"/>
                <w:sz w:val="24"/>
                <w:szCs w:val="24"/>
                <w:highlight w:val="none"/>
                <w:vertAlign w:val="baseline"/>
                <w:lang w:val="en-US" w:eastAsia="zh-CN"/>
              </w:rPr>
              <w:t>√</w:t>
            </w:r>
          </w:p>
        </w:tc>
        <w:tc>
          <w:tcPr>
            <w:tcW w:w="1167" w:type="dxa"/>
            <w:vAlign w:val="top"/>
          </w:tcPr>
          <w:p>
            <w:pPr>
              <w:pStyle w:val="17"/>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等线" w:hAnsi="等线" w:eastAsia="等线" w:cs="等线"/>
                <w:bCs/>
                <w:color w:val="auto"/>
                <w:kern w:val="0"/>
                <w:sz w:val="21"/>
                <w:szCs w:val="21"/>
                <w:highlight w:val="none"/>
                <w:vertAlign w:val="baseline"/>
                <w:lang w:val="en-US" w:eastAsia="zh-CN"/>
              </w:rPr>
            </w:pPr>
            <w:r>
              <w:rPr>
                <w:rFonts w:hint="eastAsia" w:ascii="等线" w:hAnsi="等线" w:eastAsia="等线" w:cs="等线"/>
                <w:bCs/>
                <w:color w:val="auto"/>
                <w:kern w:val="0"/>
                <w:sz w:val="24"/>
                <w:szCs w:val="24"/>
                <w:highlight w:val="none"/>
                <w:vertAlign w:val="baseline"/>
                <w:lang w:val="en-US" w:eastAsia="zh-CN"/>
              </w:rPr>
              <w:t>√</w:t>
            </w:r>
          </w:p>
        </w:tc>
      </w:tr>
      <w:bookmarkEnd w:id="0"/>
    </w:tbl>
    <w:p>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Fonts w:hint="eastAsia" w:ascii="等线" w:hAnsi="等线" w:eastAsia="等线" w:cs="等线"/>
          <w:b w:val="0"/>
          <w:bCs/>
          <w:color w:val="auto"/>
          <w:sz w:val="24"/>
          <w:szCs w:val="24"/>
          <w:highlight w:val="none"/>
          <w:lang w:val="en-US" w:eastAsia="zh-CN"/>
        </w:rPr>
      </w:pPr>
      <w:r>
        <w:rPr>
          <w:rFonts w:hint="eastAsia" w:ascii="等线" w:hAnsi="等线" w:eastAsia="等线" w:cs="等线"/>
          <w:b w:val="0"/>
          <w:bCs/>
          <w:color w:val="auto"/>
          <w:sz w:val="24"/>
          <w:szCs w:val="24"/>
          <w:highlight w:val="none"/>
          <w:lang w:val="en-US" w:eastAsia="zh-CN"/>
        </w:rPr>
        <w:t>以上初步审核合格的4家供应商均为非受控供应商，均可作为潜在供应商。</w:t>
      </w:r>
    </w:p>
    <w:p>
      <w:pPr>
        <w:pStyle w:val="17"/>
        <w:numPr>
          <w:ilvl w:val="0"/>
          <w:numId w:val="0"/>
        </w:numPr>
        <w:spacing w:line="600" w:lineRule="exact"/>
        <w:ind w:left="420" w:leftChars="0" w:right="-313" w:rightChars="-149"/>
        <w:rPr>
          <w:rFonts w:hint="eastAsia" w:ascii="等线" w:hAnsi="等线" w:eastAsia="等线" w:cs="等线"/>
          <w:b/>
          <w:bCs/>
          <w:color w:val="auto"/>
          <w:sz w:val="22"/>
          <w:szCs w:val="22"/>
        </w:rPr>
      </w:pPr>
      <w:r>
        <w:rPr>
          <w:rFonts w:hint="eastAsia" w:ascii="等线" w:hAnsi="等线" w:eastAsia="等线" w:cs="等线"/>
          <w:b/>
          <w:bCs/>
          <w:color w:val="auto"/>
          <w:sz w:val="21"/>
          <w:szCs w:val="21"/>
          <w:lang w:val="en-US" w:eastAsia="zh-CN"/>
        </w:rPr>
        <w:t>五、</w:t>
      </w:r>
      <w:r>
        <w:rPr>
          <w:rFonts w:hint="eastAsia" w:ascii="等线" w:hAnsi="等线" w:eastAsia="等线" w:cs="等线"/>
          <w:b/>
          <w:bCs/>
          <w:color w:val="auto"/>
          <w:sz w:val="21"/>
          <w:szCs w:val="21"/>
        </w:rPr>
        <w:t>市场现状分析：</w:t>
      </w:r>
    </w:p>
    <w:p>
      <w:pPr>
        <w:pStyle w:val="17"/>
        <w:keepNext w:val="0"/>
        <w:keepLines w:val="0"/>
        <w:pageBreakBefore w:val="0"/>
        <w:widowControl w:val="0"/>
        <w:kinsoku/>
        <w:wordWrap/>
        <w:overflowPunct/>
        <w:topLinePunct w:val="0"/>
        <w:autoSpaceDE/>
        <w:autoSpaceDN/>
        <w:bidi w:val="0"/>
        <w:adjustRightInd/>
        <w:snapToGrid/>
        <w:spacing w:line="400" w:lineRule="exact"/>
        <w:ind w:right="-313" w:rightChars="-149"/>
        <w:textAlignment w:val="auto"/>
        <w:rPr>
          <w:rFonts w:hint="eastAsia" w:ascii="等线" w:hAnsi="等线" w:eastAsia="等线" w:cs="等线"/>
          <w:i/>
          <w:color w:val="auto"/>
          <w:sz w:val="22"/>
          <w:szCs w:val="22"/>
        </w:rPr>
      </w:pPr>
      <w:r>
        <w:rPr>
          <w:rFonts w:hint="eastAsia" w:ascii="等线" w:hAnsi="等线" w:eastAsia="等线" w:cs="等线"/>
          <w:i w:val="0"/>
          <w:iCs/>
          <w:color w:val="auto"/>
          <w:sz w:val="22"/>
          <w:szCs w:val="22"/>
          <w:lang w:val="en-US" w:eastAsia="zh-CN"/>
        </w:rPr>
        <w:t>本项目为装备技术公司南方区域海水提升泵及消防泵一体化维修调试技术服务，经采办计划公示及需求单位推荐，供应商资源能满足公开招标采办竞争的要求</w:t>
      </w:r>
      <w:r>
        <w:rPr>
          <w:rFonts w:hint="eastAsia" w:ascii="等线" w:hAnsi="等线" w:eastAsia="等线" w:cs="等线"/>
          <w:i w:val="0"/>
          <w:iCs/>
          <w:color w:val="auto"/>
          <w:sz w:val="22"/>
          <w:szCs w:val="2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right="-313" w:rightChars="-149"/>
        <w:textAlignment w:val="auto"/>
        <w:rPr>
          <w:rFonts w:hint="eastAsia" w:ascii="等线" w:hAnsi="等线" w:eastAsia="等线" w:cs="等线"/>
          <w:b/>
          <w:bCs/>
          <w:color w:val="auto"/>
          <w:sz w:val="22"/>
          <w:szCs w:val="22"/>
        </w:rPr>
      </w:pPr>
      <w:r>
        <w:rPr>
          <w:rFonts w:hint="eastAsia" w:ascii="等线" w:hAnsi="等线" w:eastAsia="等线" w:cs="等线"/>
          <w:b/>
          <w:bCs/>
          <w:color w:val="auto"/>
          <w:sz w:val="22"/>
          <w:szCs w:val="22"/>
          <w:lang w:val="en-US" w:eastAsia="zh-CN"/>
        </w:rPr>
        <w:t>六、</w:t>
      </w:r>
      <w:r>
        <w:rPr>
          <w:rFonts w:hint="eastAsia" w:ascii="等线" w:hAnsi="等线" w:eastAsia="等线" w:cs="等线"/>
          <w:b/>
          <w:bCs/>
          <w:color w:val="auto"/>
          <w:sz w:val="22"/>
          <w:szCs w:val="22"/>
        </w:rPr>
        <w:t>选择的</w:t>
      </w:r>
      <w:r>
        <w:rPr>
          <w:rFonts w:hint="eastAsia" w:ascii="等线" w:hAnsi="等线" w:eastAsia="等线" w:cs="等线"/>
          <w:b/>
          <w:bCs/>
          <w:color w:val="auto"/>
          <w:sz w:val="22"/>
          <w:szCs w:val="22"/>
          <w:lang w:eastAsia="zh-CN"/>
        </w:rPr>
        <w:t>采购</w:t>
      </w:r>
      <w:r>
        <w:rPr>
          <w:rFonts w:hint="eastAsia" w:ascii="等线" w:hAnsi="等线" w:eastAsia="等线" w:cs="等线"/>
          <w:b/>
          <w:bCs/>
          <w:color w:val="auto"/>
          <w:sz w:val="22"/>
          <w:szCs w:val="22"/>
        </w:rPr>
        <w:t>方式及理由：</w:t>
      </w:r>
    </w:p>
    <w:p>
      <w:pPr>
        <w:pStyle w:val="17"/>
        <w:keepNext w:val="0"/>
        <w:keepLines w:val="0"/>
        <w:pageBreakBefore w:val="0"/>
        <w:widowControl w:val="0"/>
        <w:kinsoku/>
        <w:wordWrap/>
        <w:overflowPunct/>
        <w:topLinePunct w:val="0"/>
        <w:autoSpaceDE/>
        <w:autoSpaceDN/>
        <w:bidi w:val="0"/>
        <w:adjustRightInd/>
        <w:snapToGrid/>
        <w:spacing w:line="400" w:lineRule="exact"/>
        <w:ind w:right="-313" w:rightChars="-149"/>
        <w:textAlignment w:val="auto"/>
        <w:rPr>
          <w:rFonts w:hint="eastAsia" w:ascii="等线" w:hAnsi="等线" w:eastAsia="等线" w:cs="等线"/>
          <w:i w:val="0"/>
          <w:iCs/>
          <w:color w:val="auto"/>
          <w:sz w:val="22"/>
          <w:szCs w:val="22"/>
          <w:lang w:val="en-US" w:eastAsia="zh-CN"/>
        </w:rPr>
      </w:pPr>
      <w:r>
        <w:rPr>
          <w:rFonts w:hint="eastAsia" w:ascii="等线" w:hAnsi="等线" w:eastAsia="等线" w:cs="等线"/>
          <w:i w:val="0"/>
          <w:iCs/>
          <w:color w:val="auto"/>
          <w:sz w:val="22"/>
          <w:szCs w:val="22"/>
          <w:lang w:val="en-US" w:eastAsia="zh-CN"/>
        </w:rPr>
        <w:t>鉴于通过采办信息公开寻找采办供应商资源情况，本次拟通过</w:t>
      </w:r>
      <w:r>
        <w:rPr>
          <w:rFonts w:hint="eastAsia" w:ascii="等线" w:hAnsi="等线" w:eastAsia="等线" w:cs="等线"/>
          <w:b/>
          <w:bCs/>
          <w:i w:val="0"/>
          <w:iCs/>
          <w:color w:val="auto"/>
          <w:sz w:val="22"/>
          <w:szCs w:val="22"/>
          <w:lang w:val="en-US" w:eastAsia="zh-CN"/>
        </w:rPr>
        <w:t>公开招标</w:t>
      </w:r>
      <w:r>
        <w:rPr>
          <w:rFonts w:hint="eastAsia" w:ascii="等线" w:hAnsi="等线" w:eastAsia="等线" w:cs="等线"/>
          <w:i w:val="0"/>
          <w:iCs/>
          <w:color w:val="auto"/>
          <w:sz w:val="22"/>
          <w:szCs w:val="22"/>
          <w:lang w:val="en-US" w:eastAsia="zh-CN"/>
        </w:rPr>
        <w:t>，引入更多社会资源参与竞争，有利于进一步实现降本。</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right="-313" w:rightChars="-149"/>
        <w:textAlignment w:val="auto"/>
        <w:rPr>
          <w:rFonts w:hint="eastAsia" w:ascii="等线" w:hAnsi="等线" w:eastAsia="等线" w:cs="等线"/>
          <w:b/>
          <w:bCs/>
          <w:color w:val="auto"/>
          <w:sz w:val="22"/>
          <w:szCs w:val="22"/>
        </w:rPr>
      </w:pPr>
      <w:r>
        <w:rPr>
          <w:rFonts w:hint="eastAsia" w:ascii="等线" w:hAnsi="等线" w:eastAsia="等线" w:cs="等线"/>
          <w:b/>
          <w:bCs/>
          <w:color w:val="auto"/>
          <w:sz w:val="22"/>
          <w:szCs w:val="22"/>
          <w:lang w:val="en-US" w:eastAsia="zh-CN"/>
        </w:rPr>
        <w:t>七、</w:t>
      </w:r>
      <w:r>
        <w:rPr>
          <w:rFonts w:hint="eastAsia" w:ascii="等线" w:hAnsi="等线" w:eastAsia="等线" w:cs="等线"/>
          <w:b/>
          <w:bCs/>
          <w:color w:val="auto"/>
          <w:sz w:val="22"/>
          <w:szCs w:val="22"/>
        </w:rPr>
        <w:t>其他：</w:t>
      </w:r>
    </w:p>
    <w:p>
      <w:pPr>
        <w:pStyle w:val="17"/>
        <w:keepNext w:val="0"/>
        <w:keepLines w:val="0"/>
        <w:pageBreakBefore w:val="0"/>
        <w:widowControl w:val="0"/>
        <w:kinsoku/>
        <w:wordWrap/>
        <w:overflowPunct/>
        <w:topLinePunct w:val="0"/>
        <w:autoSpaceDE/>
        <w:autoSpaceDN/>
        <w:bidi w:val="0"/>
        <w:adjustRightInd/>
        <w:snapToGrid/>
        <w:spacing w:line="400" w:lineRule="exact"/>
        <w:ind w:right="-313" w:rightChars="-149"/>
        <w:textAlignment w:val="auto"/>
        <w:rPr>
          <w:rFonts w:hint="eastAsia" w:ascii="等线" w:hAnsi="等线" w:eastAsia="等线" w:cs="等线"/>
          <w:iCs/>
          <w:color w:val="auto"/>
          <w:sz w:val="22"/>
          <w:szCs w:val="22"/>
          <w:lang w:val="en-US"/>
        </w:rPr>
      </w:pPr>
      <w:r>
        <w:rPr>
          <w:rFonts w:hint="eastAsia" w:ascii="等线" w:hAnsi="等线" w:eastAsia="等线" w:cs="等线"/>
          <w:iCs/>
          <w:color w:val="auto"/>
          <w:sz w:val="22"/>
          <w:szCs w:val="22"/>
          <w:lang w:val="en-US" w:eastAsia="zh-CN"/>
        </w:rPr>
        <w:t>无。</w:t>
      </w:r>
    </w:p>
    <w:p>
      <w:pPr>
        <w:pStyle w:val="17"/>
        <w:spacing w:line="460" w:lineRule="exact"/>
        <w:ind w:left="0" w:leftChars="0" w:right="-313" w:rightChars="-149" w:firstLine="0" w:firstLineChars="0"/>
        <w:rPr>
          <w:rFonts w:hint="eastAsia" w:ascii="仿宋_GB2312" w:hAnsi="仿宋_GB2312" w:eastAsia="仿宋_GB2312" w:cs="仿宋_GB2312"/>
          <w:b/>
          <w:bCs/>
          <w:color w:val="auto"/>
          <w:sz w:val="32"/>
          <w:szCs w:val="32"/>
          <w:lang w:val="en-US" w:eastAsia="zh-CN"/>
        </w:rPr>
      </w:pPr>
      <w:bookmarkStart w:id="1" w:name="_GoBack"/>
      <w:bookmarkEnd w:id="1"/>
    </w:p>
    <w:p>
      <w:pPr>
        <w:pStyle w:val="17"/>
        <w:spacing w:line="460" w:lineRule="exact"/>
        <w:ind w:left="0" w:leftChars="0" w:right="-313" w:rightChars="-149" w:firstLine="0" w:firstLineChars="0"/>
        <w:rPr>
          <w:rFonts w:hint="eastAsia" w:ascii="仿宋_GB2312" w:hAnsi="仿宋_GB2312" w:eastAsia="仿宋_GB2312" w:cs="仿宋_GB2312"/>
          <w:b/>
          <w:bCs/>
          <w:color w:val="auto"/>
          <w:sz w:val="32"/>
          <w:szCs w:val="32"/>
          <w:lang w:val="en-US" w:eastAsia="zh-CN"/>
        </w:rPr>
      </w:pPr>
    </w:p>
    <w:p>
      <w:pPr>
        <w:pStyle w:val="17"/>
        <w:spacing w:line="460" w:lineRule="exact"/>
        <w:ind w:left="0" w:leftChars="0" w:right="-313" w:rightChars="-149" w:firstLine="0" w:firstLineChars="0"/>
        <w:rPr>
          <w:rFonts w:hint="eastAsia" w:ascii="仿宋_GB2312" w:hAnsi="仿宋_GB2312" w:eastAsia="仿宋_GB2312" w:cs="仿宋_GB2312"/>
          <w:b/>
          <w:bCs/>
          <w:color w:val="auto"/>
          <w:sz w:val="32"/>
          <w:szCs w:val="32"/>
          <w:lang w:val="en-US" w:eastAsia="zh-CN"/>
        </w:rPr>
      </w:pPr>
    </w:p>
    <w:p>
      <w:pPr>
        <w:pStyle w:val="17"/>
        <w:spacing w:line="460" w:lineRule="exact"/>
        <w:ind w:left="0" w:leftChars="0" w:right="-313" w:rightChars="-149" w:firstLine="0" w:firstLineChars="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品类工程师：           品类部/区域分中心经理</w:t>
      </w:r>
      <w:r>
        <w:rPr>
          <w:rFonts w:hint="eastAsia" w:ascii="仿宋_GB2312" w:hAnsi="仿宋_GB2312" w:eastAsia="仿宋_GB2312" w:cs="仿宋_GB2312"/>
          <w:b/>
          <w:bCs/>
          <w:color w:val="auto"/>
          <w:sz w:val="32"/>
          <w:szCs w:val="32"/>
        </w:rPr>
        <w:t>：</w:t>
      </w:r>
    </w:p>
    <w:p>
      <w:pPr>
        <w:pStyle w:val="17"/>
        <w:spacing w:line="460" w:lineRule="exact"/>
        <w:ind w:right="-313" w:rightChars="-149" w:firstLine="3213" w:firstLineChars="1000"/>
        <w:rPr>
          <w:rFonts w:ascii="仿宋_GB2312" w:hAnsi="仿宋_GB2312" w:eastAsia="仿宋_GB2312" w:cs="仿宋_GB2312"/>
          <w:b/>
          <w:bCs/>
          <w:color w:val="auto"/>
          <w:sz w:val="32"/>
          <w:szCs w:val="32"/>
        </w:rPr>
      </w:pPr>
    </w:p>
    <w:p>
      <w:pPr>
        <w:pStyle w:val="17"/>
        <w:spacing w:line="460" w:lineRule="exact"/>
        <w:ind w:right="-313" w:rightChars="-149"/>
        <w:jc w:val="both"/>
        <w:rPr>
          <w:rFonts w:hint="eastAsia" w:asciiTheme="minorEastAsia" w:hAnsiTheme="minorEastAsia"/>
          <w:iCs/>
          <w:color w:val="auto"/>
          <w:sz w:val="24"/>
        </w:rPr>
      </w:pPr>
      <w:r>
        <w:rPr>
          <w:rFonts w:hint="eastAsia" w:ascii="仿宋_GB2312" w:hAnsi="仿宋_GB2312" w:eastAsia="仿宋_GB2312" w:cs="仿宋_GB2312"/>
          <w:b/>
          <w:bCs/>
          <w:color w:val="auto"/>
          <w:sz w:val="32"/>
          <w:szCs w:val="32"/>
        </w:rPr>
        <w:t>年   月   日</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年   月   日</w:t>
      </w:r>
    </w:p>
    <w:sectPr>
      <w:headerReference r:id="rId5" w:type="default"/>
      <w:footerReference r:id="rId6" w:type="default"/>
      <w:pgSz w:w="11906" w:h="16838"/>
      <w:pgMar w:top="1440" w:right="1800" w:bottom="1440" w:left="244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Rockwell">
    <w:altName w:val="Segoe Print"/>
    <w:panose1 w:val="02060603020205020403"/>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94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94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val="en-US"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23.2pt;mso-position-horizontal:center;mso-position-horizontal-relative:margin;z-index:251660288;mso-width-relative:page;mso-height-relative:page;" filled="f" stroked="f" coordsize="21600,21600" o:gfxdata="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aqoJPUAAAABAEAAA8AAAAAAAAAAQAgAAAAIgAAAGRycy9kb3ducmV2Lnht&#10;bFBLAQIUABQAAAAIAIdO4kCrCLkONgIAAGIEAAAOAAAAAAAAAAEAIAAAACMBAABkcnMvZTJvRG9j&#10;LnhtbFBLBQYAAAAABgAGAFkBAADLBQAAAAA=&#10;">
              <v:fill on="f" focussize="0,0"/>
              <v:stroke on="f" weight="0.5pt"/>
              <v:imagedata o:title=""/>
              <o:lock v:ext="edit" aspectratio="f"/>
              <v:textbox inset="0mm,0mm,0mm,0mm" style="mso-fit-shape-to-text:t;">
                <w:txbxContent>
                  <w:p>
                    <w:pPr>
                      <w:pStyle w:val="7"/>
                      <w:rPr>
                        <w:rFonts w:hint="eastAsia" w:eastAsiaTheme="minorEastAsia"/>
                        <w:lang w:val="en-US"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5E3FF"/>
    <w:multiLevelType w:val="singleLevel"/>
    <w:tmpl w:val="9C85E3FF"/>
    <w:lvl w:ilvl="0" w:tentative="0">
      <w:start w:val="1"/>
      <w:numFmt w:val="decimal"/>
      <w:lvlText w:val="%1."/>
      <w:lvlJc w:val="left"/>
      <w:pPr>
        <w:ind w:left="425" w:hanging="425"/>
      </w:pPr>
      <w:rPr>
        <w:rFonts w:hint="default"/>
      </w:rPr>
    </w:lvl>
  </w:abstractNum>
  <w:abstractNum w:abstractNumId="1">
    <w:nsid w:val="2B4E1A2B"/>
    <w:multiLevelType w:val="singleLevel"/>
    <w:tmpl w:val="2B4E1A2B"/>
    <w:lvl w:ilvl="0" w:tentative="0">
      <w:start w:val="1"/>
      <w:numFmt w:val="decimal"/>
      <w:suff w:val="nothing"/>
      <w:lvlText w:val="%1、"/>
      <w:lvlJc w:val="left"/>
    </w:lvl>
  </w:abstractNum>
  <w:abstractNum w:abstractNumId="2">
    <w:nsid w:val="341FD1A4"/>
    <w:multiLevelType w:val="singleLevel"/>
    <w:tmpl w:val="341FD1A4"/>
    <w:lvl w:ilvl="0" w:tentative="0">
      <w:start w:val="1"/>
      <w:numFmt w:val="decimal"/>
      <w:lvlText w:val="%1."/>
      <w:lvlJc w:val="left"/>
      <w:pPr>
        <w:ind w:left="425" w:hanging="425"/>
      </w:pPr>
      <w:rPr>
        <w:rFonts w:hint="default"/>
      </w:rPr>
    </w:lvl>
  </w:abstractNum>
  <w:abstractNum w:abstractNumId="3">
    <w:nsid w:val="3721FAAF"/>
    <w:multiLevelType w:val="singleLevel"/>
    <w:tmpl w:val="3721FAAF"/>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687A"/>
    <w:rsid w:val="00071916"/>
    <w:rsid w:val="000C6FB5"/>
    <w:rsid w:val="000E5093"/>
    <w:rsid w:val="000F0892"/>
    <w:rsid w:val="001C5865"/>
    <w:rsid w:val="0024508C"/>
    <w:rsid w:val="00327292"/>
    <w:rsid w:val="00364D87"/>
    <w:rsid w:val="003A41B7"/>
    <w:rsid w:val="003A6E42"/>
    <w:rsid w:val="004626F0"/>
    <w:rsid w:val="004F7E43"/>
    <w:rsid w:val="005C6B22"/>
    <w:rsid w:val="006E1B72"/>
    <w:rsid w:val="00746BE6"/>
    <w:rsid w:val="00755294"/>
    <w:rsid w:val="007A1604"/>
    <w:rsid w:val="008B0558"/>
    <w:rsid w:val="009A73FB"/>
    <w:rsid w:val="009F7FB8"/>
    <w:rsid w:val="00BB5F6C"/>
    <w:rsid w:val="00BC3CA5"/>
    <w:rsid w:val="00EA0AC2"/>
    <w:rsid w:val="00F07F50"/>
    <w:rsid w:val="00F85391"/>
    <w:rsid w:val="01A377BE"/>
    <w:rsid w:val="03D5604D"/>
    <w:rsid w:val="080F2115"/>
    <w:rsid w:val="09D37932"/>
    <w:rsid w:val="0CA4414E"/>
    <w:rsid w:val="0EB97ECA"/>
    <w:rsid w:val="0EF94C46"/>
    <w:rsid w:val="0FB513D3"/>
    <w:rsid w:val="10FE7A13"/>
    <w:rsid w:val="11F83C51"/>
    <w:rsid w:val="126E3B4A"/>
    <w:rsid w:val="14903F9D"/>
    <w:rsid w:val="174B5FC7"/>
    <w:rsid w:val="17B00BFC"/>
    <w:rsid w:val="17F8313F"/>
    <w:rsid w:val="18294323"/>
    <w:rsid w:val="1B463EEC"/>
    <w:rsid w:val="1CB30D7A"/>
    <w:rsid w:val="1F065EF2"/>
    <w:rsid w:val="1F854242"/>
    <w:rsid w:val="1F8B5FCD"/>
    <w:rsid w:val="1FA0768A"/>
    <w:rsid w:val="20C55EB6"/>
    <w:rsid w:val="20F125B4"/>
    <w:rsid w:val="2152325D"/>
    <w:rsid w:val="21783778"/>
    <w:rsid w:val="21CC0099"/>
    <w:rsid w:val="229D5AD9"/>
    <w:rsid w:val="240F4A0E"/>
    <w:rsid w:val="262A77FA"/>
    <w:rsid w:val="26301D08"/>
    <w:rsid w:val="2849078B"/>
    <w:rsid w:val="292B0E6A"/>
    <w:rsid w:val="2A6D43FF"/>
    <w:rsid w:val="2BEA2D4A"/>
    <w:rsid w:val="2D450101"/>
    <w:rsid w:val="2D970507"/>
    <w:rsid w:val="2DB549F6"/>
    <w:rsid w:val="30B874B7"/>
    <w:rsid w:val="31692F57"/>
    <w:rsid w:val="32DB0F7C"/>
    <w:rsid w:val="339473AA"/>
    <w:rsid w:val="34B1070E"/>
    <w:rsid w:val="358815A1"/>
    <w:rsid w:val="38045A76"/>
    <w:rsid w:val="3AA54601"/>
    <w:rsid w:val="3AC042E4"/>
    <w:rsid w:val="3B714A68"/>
    <w:rsid w:val="3C800243"/>
    <w:rsid w:val="3CB62362"/>
    <w:rsid w:val="3EAE35D1"/>
    <w:rsid w:val="3F2960B0"/>
    <w:rsid w:val="42D33086"/>
    <w:rsid w:val="432A5FEB"/>
    <w:rsid w:val="43AE4C45"/>
    <w:rsid w:val="43B2241F"/>
    <w:rsid w:val="44567346"/>
    <w:rsid w:val="4805280F"/>
    <w:rsid w:val="4812529F"/>
    <w:rsid w:val="49276B72"/>
    <w:rsid w:val="4BF24220"/>
    <w:rsid w:val="4C093EE6"/>
    <w:rsid w:val="4C6D3B5E"/>
    <w:rsid w:val="5026588C"/>
    <w:rsid w:val="53D61700"/>
    <w:rsid w:val="540826E2"/>
    <w:rsid w:val="54646564"/>
    <w:rsid w:val="5520295B"/>
    <w:rsid w:val="557B4484"/>
    <w:rsid w:val="562444E6"/>
    <w:rsid w:val="56E968A5"/>
    <w:rsid w:val="58591F7E"/>
    <w:rsid w:val="589874E2"/>
    <w:rsid w:val="58E63F76"/>
    <w:rsid w:val="599C5873"/>
    <w:rsid w:val="59DF5872"/>
    <w:rsid w:val="5B5873B4"/>
    <w:rsid w:val="5D973ECD"/>
    <w:rsid w:val="5E237E43"/>
    <w:rsid w:val="604F1079"/>
    <w:rsid w:val="60D1764E"/>
    <w:rsid w:val="62001846"/>
    <w:rsid w:val="632F219A"/>
    <w:rsid w:val="63512AAE"/>
    <w:rsid w:val="63C01834"/>
    <w:rsid w:val="6443110A"/>
    <w:rsid w:val="645E38EF"/>
    <w:rsid w:val="654F7FE5"/>
    <w:rsid w:val="659C0042"/>
    <w:rsid w:val="661434FB"/>
    <w:rsid w:val="6614616A"/>
    <w:rsid w:val="6659496D"/>
    <w:rsid w:val="66F949BE"/>
    <w:rsid w:val="699A504F"/>
    <w:rsid w:val="69FE51A8"/>
    <w:rsid w:val="6B7E3F6B"/>
    <w:rsid w:val="6CEE7645"/>
    <w:rsid w:val="6D6E1218"/>
    <w:rsid w:val="6DF032CD"/>
    <w:rsid w:val="6EE3048C"/>
    <w:rsid w:val="71FC3825"/>
    <w:rsid w:val="72450106"/>
    <w:rsid w:val="743A102B"/>
    <w:rsid w:val="74F8738F"/>
    <w:rsid w:val="75D25441"/>
    <w:rsid w:val="76AF1F36"/>
    <w:rsid w:val="776A0701"/>
    <w:rsid w:val="77D17B83"/>
    <w:rsid w:val="79A76B20"/>
    <w:rsid w:val="7A1A6487"/>
    <w:rsid w:val="7A5A69CD"/>
    <w:rsid w:val="7B3F5DDB"/>
    <w:rsid w:val="7BC71AFC"/>
    <w:rsid w:val="7BC7718C"/>
    <w:rsid w:val="7C0534EC"/>
    <w:rsid w:val="7C9F2D20"/>
    <w:rsid w:val="7D397F1D"/>
    <w:rsid w:val="7F970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lang w:val="zh-CN" w:eastAsia="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annotation text"/>
    <w:basedOn w:val="1"/>
    <w:unhideWhenUsed/>
    <w:qFormat/>
    <w:uiPriority w:val="99"/>
    <w:pPr>
      <w:jc w:val="left"/>
    </w:pPr>
  </w:style>
  <w:style w:type="paragraph" w:styleId="5">
    <w:name w:val="Body Text"/>
    <w:basedOn w:val="1"/>
    <w:next w:val="1"/>
    <w:unhideWhenUsed/>
    <w:qFormat/>
    <w:uiPriority w:val="1"/>
    <w:pPr>
      <w:spacing w:beforeLines="0" w:afterLines="0"/>
      <w:ind w:firstLine="200" w:firstLineChars="200"/>
    </w:pPr>
    <w:rPr>
      <w:rFonts w:hint="eastAsia" w:ascii="Microsoft YaHei UI" w:hAnsi="Microsoft YaHei UI" w:eastAsia="Microsoft YaHei UI"/>
      <w:kern w:val="0"/>
      <w:sz w:val="21"/>
      <w:szCs w:val="21"/>
      <w:lang w:eastAsia="en-US"/>
    </w:rPr>
  </w:style>
  <w:style w:type="paragraph" w:styleId="6">
    <w:name w:val="Body Text Indent"/>
    <w:basedOn w:val="1"/>
    <w:unhideWhenUsed/>
    <w:qFormat/>
    <w:uiPriority w:val="0"/>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Body Text First Indent 2"/>
    <w:basedOn w:val="6"/>
    <w:unhideWhenUsed/>
    <w:qFormat/>
    <w:uiPriority w:val="99"/>
    <w:pPr>
      <w:ind w:firstLine="420" w:firstLineChars="200"/>
    </w:p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4">
    <w:name w:val="默认段落字体 Para Char"/>
    <w:basedOn w:val="1"/>
    <w:next w:val="15"/>
    <w:qFormat/>
    <w:uiPriority w:val="0"/>
    <w:pPr>
      <w:spacing w:before="80" w:after="80" w:line="360" w:lineRule="auto"/>
    </w:pPr>
    <w:rPr>
      <w:sz w:val="24"/>
    </w:rPr>
  </w:style>
  <w:style w:type="paragraph" w:customStyle="1" w:styleId="15">
    <w:name w:val="Normal_1"/>
    <w:next w:val="1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标题 Char"/>
    <w:basedOn w:val="13"/>
    <w:link w:val="9"/>
    <w:qFormat/>
    <w:uiPriority w:val="10"/>
    <w:rPr>
      <w:rFonts w:asciiTheme="majorHAnsi" w:hAnsiTheme="majorHAnsi" w:eastAsiaTheme="majorEastAsia" w:cstheme="majorBidi"/>
      <w:b/>
      <w:bCs/>
      <w:sz w:val="32"/>
      <w:szCs w:val="32"/>
    </w:rPr>
  </w:style>
  <w:style w:type="paragraph" w:styleId="17">
    <w:name w:val="List Paragraph"/>
    <w:basedOn w:val="1"/>
    <w:qFormat/>
    <w:uiPriority w:val="34"/>
    <w:pPr>
      <w:ind w:firstLine="420" w:firstLineChars="200"/>
    </w:pPr>
  </w:style>
  <w:style w:type="paragraph" w:customStyle="1" w:styleId="18">
    <w:name w:val="Table Paragraph"/>
    <w:basedOn w:val="1"/>
    <w:qFormat/>
    <w:uiPriority w:val="0"/>
    <w:pPr>
      <w:jc w:val="left"/>
    </w:pPr>
    <w:rPr>
      <w:kern w:val="0"/>
      <w:sz w:val="22"/>
      <w:lang w:eastAsia="en-US"/>
    </w:rPr>
  </w:style>
  <w:style w:type="character" w:customStyle="1" w:styleId="19">
    <w:name w:val="font51"/>
    <w:basedOn w:val="13"/>
    <w:qFormat/>
    <w:uiPriority w:val="0"/>
    <w:rPr>
      <w:rFonts w:hint="eastAsia" w:ascii="宋体" w:hAnsi="宋体" w:eastAsia="宋体" w:cs="宋体"/>
      <w:color w:val="000000"/>
      <w:sz w:val="18"/>
      <w:szCs w:val="18"/>
      <w:u w:val="none"/>
    </w:rPr>
  </w:style>
  <w:style w:type="character" w:customStyle="1" w:styleId="20">
    <w:name w:val="font101"/>
    <w:basedOn w:val="13"/>
    <w:qFormat/>
    <w:uiPriority w:val="0"/>
    <w:rPr>
      <w:rFonts w:hint="eastAsia" w:ascii="宋体" w:hAnsi="宋体" w:eastAsia="宋体" w:cs="宋体"/>
      <w:color w:val="000000"/>
      <w:sz w:val="22"/>
      <w:szCs w:val="22"/>
      <w:u w:val="none"/>
    </w:rPr>
  </w:style>
  <w:style w:type="character" w:customStyle="1" w:styleId="21">
    <w:name w:val="font41"/>
    <w:basedOn w:val="13"/>
    <w:qFormat/>
    <w:uiPriority w:val="0"/>
    <w:rPr>
      <w:rFonts w:hint="default" w:ascii="Times New Roman" w:hAnsi="Times New Roman" w:cs="Times New Roman"/>
      <w:color w:val="000000"/>
      <w:sz w:val="20"/>
      <w:szCs w:val="20"/>
      <w:u w:val="none"/>
    </w:rPr>
  </w:style>
  <w:style w:type="character" w:customStyle="1" w:styleId="22">
    <w:name w:val="font31"/>
    <w:basedOn w:val="13"/>
    <w:unhideWhenUsed/>
    <w:qFormat/>
    <w:uiPriority w:val="0"/>
    <w:rPr>
      <w:rFonts w:hint="default" w:ascii="宋体" w:hAnsi="宋体" w:eastAsia="宋体" w:cs="宋体"/>
      <w:color w:val="000000"/>
      <w:sz w:val="18"/>
      <w:szCs w:val="18"/>
    </w:rPr>
  </w:style>
  <w:style w:type="paragraph" w:customStyle="1" w:styleId="2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4">
    <w:name w:val="List Paragraph1"/>
    <w:basedOn w:val="15"/>
    <w:qFormat/>
    <w:uiPriority w:val="34"/>
    <w:pPr>
      <w:widowControl/>
      <w:overflowPunct w:val="0"/>
      <w:autoSpaceDE w:val="0"/>
      <w:autoSpaceDN w:val="0"/>
      <w:adjustRightInd w:val="0"/>
      <w:ind w:firstLine="420" w:firstLineChars="200"/>
      <w:jc w:val="left"/>
      <w:textAlignment w:val="baseline"/>
    </w:pPr>
    <w:rPr>
      <w:rFonts w:ascii="Calibri" w:hAnsi="Calibri" w:eastAsia="宋体" w:cs="Times New Roman"/>
      <w:kern w:val="0"/>
      <w:sz w:val="20"/>
      <w:szCs w:val="20"/>
      <w:lang w:eastAsia="en-US"/>
    </w:rPr>
  </w:style>
  <w:style w:type="paragraph" w:customStyle="1" w:styleId="25">
    <w:name w:val="正文_1"/>
    <w:qFormat/>
    <w:uiPriority w:val="0"/>
    <w:pPr>
      <w:widowControl w:val="0"/>
      <w:ind w:right="5" w:rightChars="5"/>
    </w:pPr>
    <w:rPr>
      <w:rFonts w:ascii="Cambria Math" w:hAnsi="Cambria Math" w:eastAsia="Calibri" w:cs="Cambria Math"/>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4756</Words>
  <Characters>5388</Characters>
  <Lines>1</Lines>
  <Paragraphs>1</Paragraphs>
  <TotalTime>80</TotalTime>
  <ScaleCrop>false</ScaleCrop>
  <LinksUpToDate>false</LinksUpToDate>
  <CharactersWithSpaces>5472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2022-02-25T08:36:00Z</dcterms:created>
  <dc:creator>文典/物资装备部/集团公司机关</dc:creator>
  <cp:lastModifiedBy>安全锋</cp:lastModifiedBy>
  <cp:lastPrinted>2025-01-22T03:19:46Z</cp:lastPrinted>
  <dcterms:modified xsi:type="dcterms:W3CDTF">2025-01-22T04:38:47Z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17AF4862B8E648A3871DDFF7FE893B64</vt:lpwstr>
  </property>
</Properties>
</file>