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b/>
          <w:bCs/>
          <w:sz w:val="52"/>
          <w:szCs w:val="52"/>
        </w:rPr>
      </w:pPr>
      <w:r>
        <w:rPr>
          <w:rFonts w:hint="eastAsia"/>
          <w:b/>
          <w:bCs/>
          <w:sz w:val="52"/>
          <w:szCs w:val="52"/>
        </w:rPr>
        <w:t>本溪钢铁（集团）设备工程有限公司</w:t>
      </w:r>
    </w:p>
    <w:p>
      <w:pPr>
        <w:jc w:val="center"/>
        <w:outlineLvl w:val="0"/>
        <w:rPr>
          <w:rFonts w:hint="eastAsia" w:ascii="仿宋" w:hAnsi="仿宋" w:eastAsia="仿宋" w:cs="仿宋"/>
          <w:bCs/>
          <w:sz w:val="44"/>
          <w:szCs w:val="44"/>
          <w:lang w:val="en-US" w:eastAsia="zh-CN"/>
        </w:rPr>
      </w:pPr>
      <w:r>
        <w:rPr>
          <w:rFonts w:hint="eastAsia" w:ascii="仿宋" w:hAnsi="仿宋" w:eastAsia="仿宋" w:cs="仿宋"/>
          <w:bCs/>
          <w:sz w:val="44"/>
          <w:szCs w:val="44"/>
          <w:lang w:val="en-US" w:eastAsia="zh-CN"/>
        </w:rPr>
        <w:t>北营炼铁总厂360、400m2烧结机除尘系统改造项目</w:t>
      </w:r>
    </w:p>
    <w:p>
      <w:pPr>
        <w:jc w:val="center"/>
        <w:outlineLvl w:val="0"/>
        <w:rPr>
          <w:rFonts w:eastAsia="仿宋"/>
          <w:b/>
          <w:sz w:val="44"/>
          <w:szCs w:val="44"/>
        </w:rPr>
      </w:pPr>
      <w:r>
        <w:rPr>
          <w:rFonts w:hint="eastAsia" w:ascii="仿宋" w:hAnsi="仿宋" w:eastAsia="仿宋" w:cs="仿宋"/>
          <w:bCs/>
          <w:sz w:val="44"/>
          <w:szCs w:val="44"/>
          <w:lang w:val="en-US" w:eastAsia="zh-CN"/>
        </w:rPr>
        <w:t>备件</w:t>
      </w:r>
      <w:r>
        <w:rPr>
          <w:rFonts w:hint="eastAsia" w:ascii="仿宋" w:hAnsi="仿宋" w:eastAsia="仿宋" w:cs="仿宋"/>
          <w:bCs/>
          <w:sz w:val="44"/>
          <w:szCs w:val="44"/>
        </w:rPr>
        <w:t>招标采购</w:t>
      </w:r>
    </w:p>
    <w:p>
      <w:pPr>
        <w:jc w:val="center"/>
        <w:outlineLvl w:val="0"/>
        <w:rPr>
          <w:rFonts w:ascii="仿宋" w:hAnsi="仿宋" w:eastAsia="仿宋" w:cs="仿宋"/>
          <w:b/>
          <w:sz w:val="96"/>
          <w:szCs w:val="44"/>
        </w:rPr>
      </w:pPr>
    </w:p>
    <w:p>
      <w:pPr>
        <w:jc w:val="center"/>
        <w:outlineLvl w:val="0"/>
        <w:rPr>
          <w:rFonts w:ascii="仿宋" w:hAnsi="仿宋" w:eastAsia="仿宋" w:cs="仿宋"/>
          <w:b/>
          <w:sz w:val="96"/>
          <w:szCs w:val="44"/>
        </w:rPr>
      </w:pPr>
      <w:r>
        <w:rPr>
          <w:rFonts w:hint="eastAsia" w:ascii="仿宋" w:hAnsi="仿宋" w:eastAsia="仿宋" w:cs="仿宋"/>
          <w:b/>
          <w:sz w:val="96"/>
          <w:szCs w:val="44"/>
        </w:rPr>
        <w:t>技</w:t>
      </w:r>
    </w:p>
    <w:p>
      <w:pPr>
        <w:jc w:val="center"/>
        <w:outlineLvl w:val="0"/>
        <w:rPr>
          <w:rFonts w:ascii="仿宋" w:hAnsi="仿宋" w:eastAsia="仿宋" w:cs="仿宋"/>
          <w:b/>
          <w:sz w:val="96"/>
          <w:szCs w:val="44"/>
        </w:rPr>
      </w:pPr>
      <w:r>
        <w:rPr>
          <w:rFonts w:hint="eastAsia" w:ascii="仿宋" w:hAnsi="仿宋" w:eastAsia="仿宋" w:cs="仿宋"/>
          <w:b/>
          <w:sz w:val="96"/>
          <w:szCs w:val="44"/>
        </w:rPr>
        <w:t>术</w:t>
      </w:r>
    </w:p>
    <w:p>
      <w:pPr>
        <w:jc w:val="center"/>
        <w:outlineLvl w:val="0"/>
        <w:rPr>
          <w:rFonts w:ascii="仿宋" w:hAnsi="仿宋" w:eastAsia="仿宋" w:cs="仿宋"/>
          <w:b/>
          <w:sz w:val="96"/>
          <w:szCs w:val="44"/>
        </w:rPr>
      </w:pPr>
      <w:r>
        <w:rPr>
          <w:rFonts w:hint="eastAsia" w:ascii="仿宋" w:hAnsi="仿宋" w:eastAsia="仿宋" w:cs="仿宋"/>
          <w:b/>
          <w:sz w:val="96"/>
          <w:szCs w:val="44"/>
        </w:rPr>
        <w:t>协</w:t>
      </w:r>
    </w:p>
    <w:p>
      <w:pPr>
        <w:jc w:val="center"/>
        <w:outlineLvl w:val="0"/>
        <w:rPr>
          <w:rFonts w:ascii="仿宋" w:hAnsi="仿宋" w:eastAsia="仿宋" w:cs="仿宋"/>
          <w:b/>
          <w:sz w:val="96"/>
          <w:szCs w:val="44"/>
        </w:rPr>
      </w:pPr>
      <w:r>
        <w:rPr>
          <w:rFonts w:hint="eastAsia" w:ascii="仿宋" w:hAnsi="仿宋" w:eastAsia="仿宋" w:cs="仿宋"/>
          <w:b/>
          <w:sz w:val="96"/>
          <w:szCs w:val="44"/>
        </w:rPr>
        <w:t>议</w:t>
      </w:r>
    </w:p>
    <w:p>
      <w:pPr>
        <w:jc w:val="center"/>
        <w:rPr>
          <w:rFonts w:ascii="宋体" w:cs="宋体"/>
          <w:b/>
          <w:sz w:val="32"/>
          <w:szCs w:val="32"/>
        </w:rPr>
      </w:pPr>
    </w:p>
    <w:p>
      <w:pPr>
        <w:spacing w:line="440" w:lineRule="exact"/>
        <w:rPr>
          <w:sz w:val="28"/>
        </w:rPr>
      </w:pPr>
    </w:p>
    <w:p>
      <w:pPr>
        <w:spacing w:line="440" w:lineRule="exact"/>
        <w:rPr>
          <w:sz w:val="28"/>
        </w:rPr>
      </w:pPr>
    </w:p>
    <w:p>
      <w:pPr>
        <w:spacing w:line="440" w:lineRule="exact"/>
        <w:rPr>
          <w:sz w:val="28"/>
        </w:rPr>
      </w:pPr>
    </w:p>
    <w:p>
      <w:pPr>
        <w:spacing w:line="440" w:lineRule="exact"/>
        <w:rPr>
          <w:sz w:val="28"/>
        </w:rPr>
      </w:pPr>
    </w:p>
    <w:p>
      <w:pPr>
        <w:spacing w:line="440" w:lineRule="exact"/>
        <w:jc w:val="center"/>
        <w:rPr>
          <w:rFonts w:ascii="宋体" w:cs="宋体"/>
          <w:b/>
          <w:sz w:val="36"/>
          <w:szCs w:val="36"/>
        </w:rPr>
      </w:pPr>
      <w:r>
        <w:rPr>
          <w:rFonts w:hint="eastAsia" w:ascii="宋体" w:hAnsi="宋体" w:cs="宋体"/>
          <w:b/>
          <w:sz w:val="36"/>
          <w:szCs w:val="36"/>
        </w:rPr>
        <w:t>二〇二</w:t>
      </w:r>
      <w:r>
        <w:rPr>
          <w:rFonts w:hint="eastAsia" w:ascii="宋体" w:hAnsi="宋体" w:cs="宋体"/>
          <w:b/>
          <w:sz w:val="36"/>
          <w:szCs w:val="36"/>
          <w:lang w:eastAsia="zh-CN"/>
        </w:rPr>
        <w:t>四</w:t>
      </w:r>
      <w:r>
        <w:rPr>
          <w:rFonts w:hint="eastAsia" w:ascii="宋体" w:hAnsi="宋体" w:cs="宋体"/>
          <w:b/>
          <w:sz w:val="36"/>
          <w:szCs w:val="36"/>
        </w:rPr>
        <w:t>年</w:t>
      </w:r>
      <w:r>
        <w:rPr>
          <w:rFonts w:hint="eastAsia" w:ascii="宋体" w:hAnsi="宋体" w:cs="宋体"/>
          <w:b/>
          <w:sz w:val="36"/>
          <w:szCs w:val="36"/>
          <w:lang w:val="en-US" w:eastAsia="zh-CN"/>
        </w:rPr>
        <w:t>七</w:t>
      </w:r>
      <w:r>
        <w:rPr>
          <w:rFonts w:hint="eastAsia" w:ascii="宋体" w:hAnsi="宋体" w:cs="宋体"/>
          <w:b/>
          <w:sz w:val="36"/>
          <w:szCs w:val="36"/>
        </w:rPr>
        <w:t>月</w:t>
      </w:r>
    </w:p>
    <w:p>
      <w:pPr>
        <w:spacing w:line="440" w:lineRule="exact"/>
        <w:jc w:val="center"/>
        <w:rPr>
          <w:rFonts w:ascii="宋体" w:cs="宋体"/>
          <w:b/>
          <w:sz w:val="36"/>
          <w:szCs w:val="36"/>
        </w:rPr>
      </w:pPr>
    </w:p>
    <w:p>
      <w:pPr>
        <w:spacing w:line="440" w:lineRule="exact"/>
        <w:jc w:val="center"/>
        <w:rPr>
          <w:rFonts w:ascii="宋体" w:cs="宋体"/>
          <w:b/>
          <w:sz w:val="36"/>
          <w:szCs w:val="36"/>
        </w:rPr>
      </w:pPr>
    </w:p>
    <w:p>
      <w:pPr>
        <w:spacing w:line="360" w:lineRule="auto"/>
        <w:jc w:val="center"/>
        <w:outlineLvl w:val="0"/>
        <w:rPr>
          <w:rFonts w:ascii="仿宋" w:hAnsi="仿宋" w:eastAsia="仿宋" w:cs="仿宋"/>
          <w:b/>
          <w:sz w:val="32"/>
          <w:szCs w:val="32"/>
        </w:rPr>
      </w:pPr>
    </w:p>
    <w:p>
      <w:pPr>
        <w:spacing w:line="360" w:lineRule="auto"/>
        <w:jc w:val="center"/>
        <w:outlineLvl w:val="0"/>
        <w:rPr>
          <w:rFonts w:hint="eastAsia" w:ascii="仿宋" w:hAnsi="仿宋" w:eastAsia="仿宋" w:cs="仿宋"/>
          <w:b/>
          <w:sz w:val="36"/>
          <w:szCs w:val="36"/>
          <w:lang w:val="en-US" w:eastAsia="zh-CN"/>
        </w:rPr>
      </w:pPr>
      <w:bookmarkStart w:id="1" w:name="_GoBack"/>
      <w:r>
        <w:rPr>
          <w:rFonts w:hint="eastAsia" w:ascii="仿宋" w:hAnsi="仿宋" w:eastAsia="仿宋" w:cs="仿宋"/>
          <w:b/>
          <w:sz w:val="36"/>
          <w:szCs w:val="36"/>
          <w:lang w:val="en-US" w:eastAsia="zh-CN"/>
        </w:rPr>
        <w:t>北营炼铁总厂360、400m2烧结机除尘系统改造项目</w:t>
      </w:r>
      <w:bookmarkEnd w:id="1"/>
    </w:p>
    <w:p>
      <w:pPr>
        <w:spacing w:line="360" w:lineRule="auto"/>
        <w:jc w:val="center"/>
        <w:outlineLvl w:val="0"/>
        <w:rPr>
          <w:rFonts w:hint="eastAsia" w:ascii="仿宋" w:hAnsi="仿宋" w:eastAsia="仿宋" w:cs="仿宋"/>
          <w:b/>
          <w:sz w:val="36"/>
          <w:szCs w:val="36"/>
        </w:rPr>
      </w:pPr>
      <w:r>
        <w:rPr>
          <w:rFonts w:hint="eastAsia" w:ascii="仿宋" w:hAnsi="仿宋" w:eastAsia="仿宋" w:cs="仿宋"/>
          <w:b/>
          <w:sz w:val="36"/>
          <w:szCs w:val="36"/>
          <w:lang w:val="en-US" w:eastAsia="zh-CN"/>
        </w:rPr>
        <w:t>备件</w:t>
      </w:r>
      <w:r>
        <w:rPr>
          <w:rFonts w:hint="eastAsia" w:ascii="仿宋" w:hAnsi="仿宋" w:eastAsia="仿宋" w:cs="仿宋"/>
          <w:b/>
          <w:sz w:val="36"/>
          <w:szCs w:val="36"/>
        </w:rPr>
        <w:t>招标采购技术协议</w:t>
      </w:r>
    </w:p>
    <w:p>
      <w:pPr>
        <w:keepNext w:val="0"/>
        <w:keepLines w:val="0"/>
        <w:pageBreakBefore w:val="0"/>
        <w:widowControl w:val="0"/>
        <w:numPr>
          <w:ilvl w:val="0"/>
          <w:numId w:val="1"/>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总则</w:t>
      </w:r>
      <w:r>
        <w:rPr>
          <w:rFonts w:hint="eastAsia" w:ascii="仿宋" w:hAnsi="仿宋" w:eastAsia="仿宋" w:cs="仿宋"/>
          <w:sz w:val="32"/>
          <w:szCs w:val="32"/>
        </w:rPr>
        <w:t>：</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1、本技术协议仅指设备的主要要求，不应作为完整的详细要求及标准进行设计制造。</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2、所有设计制造保证符合本协议中的有关要求和国家有关规范、规定的要求。若图纸、国家有关规范、规定同技术协议中要求冲突，则应按严格的要求执行。</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3、承揽方对所提供的技术和设备质量负责，包括协作和合作制造部分。</w:t>
      </w:r>
    </w:p>
    <w:p>
      <w:pPr>
        <w:keepNext w:val="0"/>
        <w:keepLines w:val="0"/>
        <w:pageBreakBefore w:val="0"/>
        <w:widowControl w:val="0"/>
        <w:kinsoku/>
        <w:wordWrap/>
        <w:overflowPunct/>
        <w:topLinePunct w:val="0"/>
        <w:autoSpaceDE/>
        <w:autoSpaceDN/>
        <w:bidi w:val="0"/>
        <w:adjustRightInd/>
        <w:spacing w:line="460" w:lineRule="exact"/>
        <w:ind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4、承揽方具备生产相同或相似产品的历史，同时对产品正常运行情况、售后服务情况提供书面说明及用户清单。</w:t>
      </w:r>
    </w:p>
    <w:p>
      <w:pPr>
        <w:keepNext w:val="0"/>
        <w:keepLines w:val="0"/>
        <w:pageBreakBefore w:val="0"/>
        <w:widowControl w:val="0"/>
        <w:kinsoku/>
        <w:wordWrap/>
        <w:overflowPunct/>
        <w:topLinePunct w:val="0"/>
        <w:autoSpaceDE/>
        <w:autoSpaceDN/>
        <w:bidi w:val="0"/>
        <w:adjustRightInd/>
        <w:spacing w:line="460" w:lineRule="exact"/>
        <w:ind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5、严禁使用含有石棉等有毒有害物质的产品和材料。</w:t>
      </w:r>
    </w:p>
    <w:p>
      <w:pPr>
        <w:keepNext w:val="0"/>
        <w:keepLines w:val="0"/>
        <w:pageBreakBefore w:val="0"/>
        <w:widowControl w:val="0"/>
        <w:kinsoku/>
        <w:wordWrap/>
        <w:overflowPunct/>
        <w:topLinePunct w:val="0"/>
        <w:autoSpaceDE/>
        <w:autoSpaceDN/>
        <w:bidi w:val="0"/>
        <w:adjustRightInd/>
        <w:spacing w:line="460" w:lineRule="exact"/>
        <w:ind w:firstLine="64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6、经供需双方友好协商，对2024年北营炼铁总厂360、400m2烧结机除尘系统改造项目备件采购，对采购质量、服务及其他要求，达成本协议。</w:t>
      </w:r>
    </w:p>
    <w:p>
      <w:pPr>
        <w:keepNext w:val="0"/>
        <w:keepLines w:val="0"/>
        <w:pageBreakBefore w:val="0"/>
        <w:widowControl w:val="0"/>
        <w:numPr>
          <w:ilvl w:val="0"/>
          <w:numId w:val="1"/>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工况条件：</w:t>
      </w:r>
    </w:p>
    <w:p>
      <w:pPr>
        <w:keepNext w:val="0"/>
        <w:keepLines w:val="0"/>
        <w:pageBreakBefore w:val="0"/>
        <w:widowControl w:val="0"/>
        <w:kinsoku/>
        <w:wordWrap/>
        <w:overflowPunct/>
        <w:topLinePunct w:val="0"/>
        <w:autoSpaceDE/>
        <w:autoSpaceDN/>
        <w:bidi w:val="0"/>
        <w:adjustRightInd/>
        <w:spacing w:line="460" w:lineRule="exact"/>
        <w:ind w:firstLine="640"/>
        <w:jc w:val="left"/>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设备作业环境：露天、多尘、</w:t>
      </w:r>
    </w:p>
    <w:p>
      <w:pPr>
        <w:keepNext w:val="0"/>
        <w:keepLines w:val="0"/>
        <w:pageBreakBefore w:val="0"/>
        <w:widowControl w:val="0"/>
        <w:numPr>
          <w:ilvl w:val="0"/>
          <w:numId w:val="1"/>
        </w:numPr>
        <w:kinsoku/>
        <w:wordWrap/>
        <w:overflowPunct/>
        <w:topLinePunct w:val="0"/>
        <w:autoSpaceDE/>
        <w:autoSpaceDN/>
        <w:bidi w:val="0"/>
        <w:adjustRightInd/>
        <w:spacing w:line="4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寿命要求：</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质量保修期为6年。</w:t>
      </w:r>
    </w:p>
    <w:p>
      <w:pPr>
        <w:keepNext w:val="0"/>
        <w:keepLines w:val="0"/>
        <w:pageBreakBefore w:val="0"/>
        <w:widowControl w:val="0"/>
        <w:numPr>
          <w:ilvl w:val="0"/>
          <w:numId w:val="1"/>
        </w:numPr>
        <w:kinsoku/>
        <w:wordWrap/>
        <w:overflowPunct/>
        <w:topLinePunct w:val="0"/>
        <w:autoSpaceDE/>
        <w:autoSpaceDN/>
        <w:bidi w:val="0"/>
        <w:adjustRightInd/>
        <w:spacing w:line="460" w:lineRule="exact"/>
        <w:ind w:left="0" w:leftChars="0" w:firstLine="640" w:firstLineChars="200"/>
        <w:jc w:val="both"/>
        <w:textAlignment w:val="auto"/>
        <w:rPr>
          <w:rFonts w:hint="eastAsia" w:ascii="仿宋" w:hAnsi="仿宋" w:eastAsia="仿宋" w:cs="仿宋"/>
          <w:sz w:val="32"/>
          <w:szCs w:val="32"/>
        </w:rPr>
      </w:pPr>
      <w:r>
        <w:rPr>
          <w:rFonts w:hint="eastAsia" w:ascii="仿宋" w:hAnsi="仿宋" w:eastAsia="仿宋" w:cs="仿宋"/>
          <w:sz w:val="32"/>
          <w:szCs w:val="32"/>
        </w:rPr>
        <w:t>供货范围及明细：</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供货范围</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阀门本体（电动蝶阀含驱动装置）；阀门两端带配对法兰、密封垫片、紧固件。</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承揽方对所提供设备的质量、使用性能、供货的完整性负责。</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承揽方应随主机提供设备施工安装和调试运行中所需的调试易损件。</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color w:val="FF0000"/>
          <w:sz w:val="32"/>
          <w:szCs w:val="32"/>
          <w:lang w:val="en-US" w:eastAsia="zh-CN"/>
        </w:rPr>
      </w:pPr>
      <w:r>
        <w:rPr>
          <w:rFonts w:hint="eastAsia" w:ascii="仿宋" w:hAnsi="仿宋" w:eastAsia="仿宋" w:cs="仿宋"/>
          <w:sz w:val="32"/>
          <w:szCs w:val="32"/>
          <w:lang w:val="en-US" w:eastAsia="zh-CN"/>
        </w:rPr>
        <w:t>承揽方在设备的安装、调试阶段应提供现场指导人员的服务。</w:t>
      </w:r>
      <w:r>
        <w:rPr>
          <w:rFonts w:hint="eastAsia" w:ascii="仿宋" w:hAnsi="仿宋" w:eastAsia="仿宋" w:cs="仿宋"/>
          <w:color w:val="FF000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pacing w:line="460" w:lineRule="exact"/>
        <w:jc w:val="both"/>
        <w:textAlignment w:val="auto"/>
        <w:outlineLvl w:val="1"/>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设备供货表：</w:t>
      </w:r>
    </w:p>
    <w:tbl>
      <w:tblPr>
        <w:tblStyle w:val="13"/>
        <w:tblW w:w="106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2"/>
        <w:gridCol w:w="3207"/>
        <w:gridCol w:w="888"/>
        <w:gridCol w:w="5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名称</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bookmarkStart w:id="0" w:name="_Hlk145323992"/>
            <w:r>
              <w:rPr>
                <w:rFonts w:hint="eastAsia" w:ascii="仿宋" w:hAnsi="仿宋" w:eastAsia="仿宋" w:cs="仿宋"/>
                <w:kern w:val="28"/>
                <w:sz w:val="28"/>
                <w:szCs w:val="28"/>
              </w:rPr>
              <w:t>1</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φ</w:t>
            </w:r>
            <w:r>
              <w:rPr>
                <w:rFonts w:hint="eastAsia" w:ascii="仿宋" w:hAnsi="仿宋" w:eastAsia="仿宋" w:cs="仿宋"/>
                <w:kern w:val="28"/>
                <w:sz w:val="28"/>
                <w:szCs w:val="28"/>
                <w:lang w:val="en-US" w:eastAsia="zh-CN"/>
              </w:rPr>
              <w:t>1008</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 xml:space="preserve"> </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eastAsia="zh-CN"/>
              </w:rPr>
            </w:pPr>
            <w:r>
              <w:rPr>
                <w:rFonts w:hint="eastAsia" w:ascii="仿宋" w:hAnsi="仿宋" w:eastAsia="仿宋" w:cs="仿宋"/>
                <w:kern w:val="28"/>
                <w:sz w:val="28"/>
                <w:szCs w:val="28"/>
                <w:lang w:val="en-US" w:eastAsia="zh-CN"/>
              </w:rPr>
              <w:t>2</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切换阀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r>
              <w:rPr>
                <w:rFonts w:hint="eastAsia" w:ascii="仿宋" w:hAnsi="仿宋" w:eastAsia="仿宋" w:cs="仿宋"/>
                <w:kern w:val="28"/>
                <w:sz w:val="28"/>
                <w:szCs w:val="28"/>
                <w:lang w:val="en-US" w:eastAsia="zh-CN"/>
              </w:rPr>
              <w:t>（</w:t>
            </w:r>
            <w:r>
              <w:rPr>
                <w:rFonts w:hint="eastAsia" w:ascii="仿宋" w:hAnsi="仿宋" w:eastAsia="仿宋" w:cs="仿宋"/>
                <w:kern w:val="28"/>
                <w:sz w:val="28"/>
                <w:szCs w:val="28"/>
              </w:rPr>
              <w:t>φ</w:t>
            </w:r>
            <w:r>
              <w:rPr>
                <w:rFonts w:hint="eastAsia" w:ascii="仿宋" w:hAnsi="仿宋" w:eastAsia="仿宋" w:cs="仿宋"/>
                <w:kern w:val="28"/>
                <w:sz w:val="28"/>
                <w:szCs w:val="28"/>
                <w:lang w:val="en-US" w:eastAsia="zh-CN"/>
              </w:rPr>
              <w:t>648）</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lang w:val="en-US" w:eastAsia="zh-CN"/>
              </w:rPr>
              <w:t>3</w:t>
            </w:r>
          </w:p>
        </w:tc>
        <w:tc>
          <w:tcPr>
            <w:tcW w:w="5812"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切换阀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电动蝶阀内径φ</w:t>
            </w:r>
            <w:r>
              <w:rPr>
                <w:rFonts w:hint="eastAsia" w:ascii="仿宋" w:hAnsi="仿宋" w:eastAsia="仿宋" w:cs="仿宋"/>
                <w:kern w:val="28"/>
                <w:sz w:val="28"/>
                <w:szCs w:val="28"/>
                <w:lang w:val="en-US" w:eastAsia="zh-CN"/>
              </w:rPr>
              <w:t>547</w:t>
            </w:r>
            <w:r>
              <w:rPr>
                <w:rFonts w:hint="eastAsia" w:ascii="仿宋" w:hAnsi="仿宋" w:eastAsia="仿宋" w:cs="仿宋"/>
                <w:kern w:val="28"/>
                <w:sz w:val="28"/>
                <w:szCs w:val="28"/>
              </w:rPr>
              <w:t>）</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eastAsia="zh-CN"/>
              </w:rPr>
            </w:pPr>
            <w:r>
              <w:rPr>
                <w:rFonts w:hint="eastAsia" w:ascii="仿宋" w:hAnsi="仿宋" w:eastAsia="仿宋" w:cs="仿宋"/>
                <w:kern w:val="28"/>
                <w:sz w:val="28"/>
                <w:szCs w:val="28"/>
                <w:lang w:val="en-US" w:eastAsia="zh-CN"/>
              </w:rPr>
              <w:t>8</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切换阀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4</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φ750</w:t>
            </w:r>
            <w:r>
              <w:rPr>
                <w:rFonts w:hint="eastAsia" w:ascii="仿宋" w:hAnsi="仿宋" w:eastAsia="仿宋" w:cs="仿宋"/>
                <w:kern w:val="28"/>
                <w:sz w:val="28"/>
                <w:szCs w:val="28"/>
                <w:lang w:eastAsia="zh-CN"/>
              </w:rPr>
              <w:t>）</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2</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5</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φ1100</w:t>
            </w:r>
            <w:r>
              <w:rPr>
                <w:rFonts w:hint="eastAsia" w:ascii="仿宋" w:hAnsi="仿宋" w:eastAsia="仿宋" w:cs="仿宋"/>
                <w:kern w:val="28"/>
                <w:sz w:val="28"/>
                <w:szCs w:val="28"/>
                <w:lang w:eastAsia="zh-CN"/>
              </w:rPr>
              <w:t>）</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2</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6</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电动插板阀</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φ1100</w:t>
            </w:r>
            <w:r>
              <w:rPr>
                <w:rFonts w:hint="eastAsia" w:ascii="仿宋" w:hAnsi="仿宋" w:eastAsia="仿宋" w:cs="仿宋"/>
                <w:kern w:val="28"/>
                <w:sz w:val="28"/>
                <w:szCs w:val="28"/>
                <w:lang w:eastAsia="zh-CN"/>
              </w:rPr>
              <w:t>）</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2</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开关阀，带开关位置信号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7</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φ750</w:t>
            </w:r>
            <w:r>
              <w:rPr>
                <w:rFonts w:hint="eastAsia" w:ascii="仿宋" w:hAnsi="仿宋" w:eastAsia="仿宋" w:cs="仿宋"/>
                <w:kern w:val="28"/>
                <w:sz w:val="28"/>
                <w:szCs w:val="28"/>
                <w:lang w:eastAsia="zh-CN"/>
              </w:rPr>
              <w:t>）</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2</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8</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φ1100</w:t>
            </w:r>
            <w:r>
              <w:rPr>
                <w:rFonts w:hint="eastAsia" w:ascii="仿宋" w:hAnsi="仿宋" w:eastAsia="仿宋" w:cs="仿宋"/>
                <w:kern w:val="28"/>
                <w:sz w:val="28"/>
                <w:szCs w:val="28"/>
                <w:lang w:eastAsia="zh-CN"/>
              </w:rPr>
              <w:t>）</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2</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9</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电动插板阀</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φ1100</w:t>
            </w:r>
            <w:r>
              <w:rPr>
                <w:rFonts w:hint="eastAsia" w:ascii="仿宋" w:hAnsi="仿宋" w:eastAsia="仿宋" w:cs="仿宋"/>
                <w:kern w:val="28"/>
                <w:sz w:val="28"/>
                <w:szCs w:val="28"/>
                <w:lang w:eastAsia="zh-CN"/>
              </w:rPr>
              <w:t>）</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2</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1"/>
                <w:szCs w:val="21"/>
              </w:rPr>
              <w:t>开关阀，电机需比正常选型加大一档配备，带开关位置信号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10</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手动蝶阀</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φ1100</w:t>
            </w:r>
            <w:r>
              <w:rPr>
                <w:rFonts w:hint="eastAsia" w:ascii="仿宋" w:hAnsi="仿宋" w:eastAsia="仿宋" w:cs="仿宋"/>
                <w:kern w:val="28"/>
                <w:sz w:val="28"/>
                <w:szCs w:val="28"/>
                <w:lang w:eastAsia="zh-CN"/>
              </w:rPr>
              <w:t>）</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1</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11</w:t>
            </w: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切断阀590x440(长x宽)</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2</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阀门高度≤200mm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p>
        </w:tc>
        <w:tc>
          <w:tcPr>
            <w:tcW w:w="320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eastAsia="zh-CN"/>
              </w:rPr>
            </w:pPr>
            <w:r>
              <w:rPr>
                <w:rFonts w:hint="eastAsia" w:ascii="仿宋" w:hAnsi="仿宋" w:eastAsia="仿宋" w:cs="仿宋"/>
                <w:kern w:val="28"/>
                <w:sz w:val="28"/>
                <w:szCs w:val="28"/>
                <w:lang w:eastAsia="zh-CN"/>
              </w:rPr>
              <w:t>合计</w:t>
            </w:r>
          </w:p>
        </w:tc>
        <w:tc>
          <w:tcPr>
            <w:tcW w:w="888"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lang w:val="en-US" w:eastAsia="zh-CN"/>
              </w:rPr>
            </w:pPr>
            <w:r>
              <w:rPr>
                <w:rFonts w:hint="eastAsia" w:ascii="仿宋" w:hAnsi="仿宋" w:eastAsia="仿宋" w:cs="仿宋"/>
                <w:kern w:val="28"/>
                <w:sz w:val="28"/>
                <w:szCs w:val="28"/>
                <w:lang w:val="en-US" w:eastAsia="zh-CN"/>
              </w:rPr>
              <w:t>28</w:t>
            </w:r>
          </w:p>
        </w:tc>
        <w:tc>
          <w:tcPr>
            <w:tcW w:w="581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p>
        </w:tc>
      </w:tr>
      <w:bookmarkEnd w:id="0"/>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4.1基本技术、结构参数</w:t>
      </w: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4.1.1燃料预筛分及粗破碎室电动蝶阀</w:t>
      </w:r>
    </w:p>
    <w:tbl>
      <w:tblPr>
        <w:tblStyle w:val="13"/>
        <w:tblW w:w="36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663"/>
        <w:gridCol w:w="35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设备规格</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φ1008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含燃料粉尘空气（</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8g/m³）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工作压力(MPa)</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过流介质温度(℃)</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常温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泄漏率(%)</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控制方式</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电动、手动（带操作手轮）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电机防护等级</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阀门启闭时间(s)</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电压等级(V)</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连接形式</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法兰(法兰内径φ1024)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结构形式</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斜板式或直板式(带密封面)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密封方式</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阀体材料</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电动机构</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开关型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轴承</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数量（台）</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c>
          <w:tcPr>
            <w:tcW w:w="246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切换阀</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4.1.2燃料细破碎室电动蝶阀</w:t>
      </w:r>
    </w:p>
    <w:tbl>
      <w:tblPr>
        <w:tblStyle w:val="13"/>
        <w:tblW w:w="362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0"/>
        <w:gridCol w:w="47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设备规格</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φ648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含燃料粉尘空气（</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8g/m³）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工作压力(MPa)</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过流介质温度(℃)</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常温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泄漏率(%)</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控制方式</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电动、手动（带操作手轮）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电机防护等级</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阀门启闭时间(s)</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电压等级(V)</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连接形式</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法兰(法兰内径φ664)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结构形式</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斜板式或直板式(带密封面)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密封方式</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阀体材料</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电动机构</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开关型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轴承</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数量（台）</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c>
          <w:tcPr>
            <w:tcW w:w="328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切换阀</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4.1.3配料室电动蝶阀</w:t>
      </w:r>
    </w:p>
    <w:tbl>
      <w:tblPr>
        <w:tblStyle w:val="13"/>
        <w:tblW w:w="338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28"/>
        <w:gridCol w:w="4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设备规格</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φ547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含配料粉尘空气（</w:t>
            </w:r>
            <w:r>
              <w:rPr>
                <w:rFonts w:hint="eastAsia" w:ascii="仿宋" w:hAnsi="仿宋" w:eastAsia="仿宋" w:cs="仿宋"/>
                <w:kern w:val="28"/>
                <w:sz w:val="28"/>
                <w:szCs w:val="28"/>
                <w:lang w:eastAsia="zh-CN"/>
              </w:rPr>
              <w:t>～</w:t>
            </w:r>
            <w:r>
              <w:rPr>
                <w:rFonts w:hint="eastAsia" w:ascii="仿宋" w:hAnsi="仿宋" w:eastAsia="仿宋" w:cs="仿宋"/>
                <w:kern w:val="28"/>
                <w:sz w:val="28"/>
                <w:szCs w:val="28"/>
              </w:rPr>
              <w:t>8g/m³）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工作压力(MPa)</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过流介质温度(℃)</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 xml:space="preserve"> 常温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泄漏率(%)</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控制方式</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电动、手动（带操作手轮）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电机防护等级</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阀门启闭时间(s)</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电压等级(V)</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连接形式</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法兰(法兰内径φ561)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结构形式</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斜板式或直板式(带密封面)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密封方式</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阀体材料</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电动机构</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开关型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轴承</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数量（台）</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74"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c>
          <w:tcPr>
            <w:tcW w:w="3125" w:type="pct"/>
            <w:noWrap w:val="0"/>
            <w:vAlign w:val="center"/>
          </w:tcPr>
          <w:p>
            <w:pPr>
              <w:keepNext w:val="0"/>
              <w:keepLines w:val="0"/>
              <w:pageBreakBefore w:val="0"/>
              <w:widowControl w:val="0"/>
              <w:kinsoku/>
              <w:wordWrap/>
              <w:overflowPunct/>
              <w:topLinePunct w:val="0"/>
              <w:autoSpaceDE/>
              <w:autoSpaceDN/>
              <w:bidi w:val="0"/>
              <w:adjustRightInd/>
              <w:snapToGrid w:val="0"/>
              <w:spacing w:line="38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切换阀</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4.1.4 400m2烧结机新建一混二混干法除尘系统电动蝶阀/插板阀</w:t>
      </w:r>
    </w:p>
    <w:tbl>
      <w:tblPr>
        <w:tblStyle w:val="13"/>
        <w:tblW w:w="55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2446"/>
        <w:gridCol w:w="2422"/>
        <w:gridCol w:w="40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p>
        </w:tc>
        <w:tc>
          <w:tcPr>
            <w:tcW w:w="1097" w:type="pct"/>
            <w:noWrap w:val="0"/>
            <w:vAlign w:val="top"/>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p>
        </w:tc>
        <w:tc>
          <w:tcPr>
            <w:tcW w:w="1829" w:type="pct"/>
            <w:noWrap w:val="0"/>
            <w:vAlign w:val="top"/>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电动插板阀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设备规格</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φ750</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φ1100</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烧结粉尘（3g/m³）</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烧结配料粉尘（8g/m³）</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18"/>
                <w:szCs w:val="18"/>
              </w:rPr>
              <w:t>烧结混合机（含生石灰、水蒸气）粉尘（</w:t>
            </w:r>
            <w:r>
              <w:rPr>
                <w:rFonts w:hint="eastAsia" w:ascii="仿宋" w:hAnsi="仿宋" w:eastAsia="仿宋" w:cs="仿宋"/>
                <w:kern w:val="28"/>
                <w:sz w:val="18"/>
                <w:szCs w:val="18"/>
                <w:lang w:eastAsia="zh-CN"/>
              </w:rPr>
              <w:t>～</w:t>
            </w:r>
            <w:r>
              <w:rPr>
                <w:rFonts w:hint="eastAsia" w:ascii="仿宋" w:hAnsi="仿宋" w:eastAsia="仿宋" w:cs="仿宋"/>
                <w:kern w:val="28"/>
                <w:sz w:val="18"/>
                <w:szCs w:val="18"/>
              </w:rPr>
              <w:t>5g/m³）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工作压力(MPa)</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1"/>
                <w:szCs w:val="21"/>
              </w:rPr>
              <w:t>过流介质温度(℃)</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 xml:space="preserve"> ≤350</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≤200</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泄漏率(%)</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控制方式</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电动、手动（带操作手轮）</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电动、手动（带操作手轮）</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电动、手动（带操作手轮）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电机防护等级</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1"/>
                <w:szCs w:val="21"/>
              </w:rPr>
              <w:t>阀门启闭时间(s)</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电压等级(V)</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连接形式</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法兰(法兰内径φ766)</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法兰(法兰内径φ1116)</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法兰(法兰内径φ1116)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结构形式</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18"/>
                <w:szCs w:val="18"/>
              </w:rPr>
            </w:pPr>
            <w:r>
              <w:rPr>
                <w:rFonts w:hint="eastAsia" w:ascii="仿宋" w:hAnsi="仿宋" w:eastAsia="仿宋" w:cs="仿宋"/>
                <w:kern w:val="28"/>
                <w:sz w:val="18"/>
                <w:szCs w:val="18"/>
              </w:rPr>
              <w:t>斜板式或直板式(带密封面)</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18"/>
                <w:szCs w:val="18"/>
              </w:rPr>
            </w:pPr>
            <w:r>
              <w:rPr>
                <w:rFonts w:hint="eastAsia" w:ascii="仿宋" w:hAnsi="仿宋" w:eastAsia="仿宋" w:cs="仿宋"/>
                <w:kern w:val="28"/>
                <w:sz w:val="18"/>
                <w:szCs w:val="18"/>
              </w:rPr>
              <w:t>斜板式或直板式(带密封面)</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插板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密封方式</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阀体材料</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电动机构</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调节型</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调节型</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1"/>
                <w:szCs w:val="21"/>
              </w:rPr>
              <w:t>开关阀，电机需比正常选型加大一档配备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轴承</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数量（台）</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4"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c>
          <w:tcPr>
            <w:tcW w:w="1108"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调节阀</w:t>
            </w:r>
          </w:p>
        </w:tc>
        <w:tc>
          <w:tcPr>
            <w:tcW w:w="10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调节阀</w:t>
            </w:r>
          </w:p>
        </w:tc>
        <w:tc>
          <w:tcPr>
            <w:tcW w:w="1829"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开关阀，带开关位置信号</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4.1.5 360m2烧结机新建一混二混干法除尘系统电动蝶阀/插板阀</w:t>
      </w:r>
    </w:p>
    <w:tbl>
      <w:tblPr>
        <w:tblStyle w:val="13"/>
        <w:tblW w:w="560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6"/>
        <w:gridCol w:w="2899"/>
        <w:gridCol w:w="2562"/>
        <w:gridCol w:w="3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p>
        </w:tc>
        <w:tc>
          <w:tcPr>
            <w:tcW w:w="1146" w:type="pct"/>
            <w:noWrap w:val="0"/>
            <w:vAlign w:val="top"/>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电动蝶阀</w:t>
            </w:r>
          </w:p>
        </w:tc>
        <w:tc>
          <w:tcPr>
            <w:tcW w:w="1519" w:type="pct"/>
            <w:noWrap w:val="0"/>
            <w:vAlign w:val="top"/>
          </w:tcPr>
          <w:p>
            <w:pPr>
              <w:keepNext w:val="0"/>
              <w:keepLines w:val="0"/>
              <w:pageBreakBefore w:val="0"/>
              <w:widowControl w:val="0"/>
              <w:kinsoku/>
              <w:wordWrap/>
              <w:overflowPunct/>
              <w:topLinePunct w:val="0"/>
              <w:autoSpaceDE/>
              <w:autoSpaceDN/>
              <w:bidi w:val="0"/>
              <w:adjustRightInd/>
              <w:snapToGrid w:val="0"/>
              <w:spacing w:line="4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电动插板阀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设备规格</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φ750</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φ1100</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烧结粉尘（3g/m³）</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烧结配料粉尘（8g/m³）</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15"/>
                <w:szCs w:val="15"/>
              </w:rPr>
              <w:t>烧结混合机（含生石灰、水蒸气）粉尘（</w:t>
            </w:r>
            <w:r>
              <w:rPr>
                <w:rFonts w:hint="eastAsia" w:ascii="仿宋" w:hAnsi="仿宋" w:eastAsia="仿宋" w:cs="仿宋"/>
                <w:kern w:val="28"/>
                <w:sz w:val="15"/>
                <w:szCs w:val="15"/>
                <w:lang w:eastAsia="zh-CN"/>
              </w:rPr>
              <w:t>～</w:t>
            </w:r>
            <w:r>
              <w:rPr>
                <w:rFonts w:hint="eastAsia" w:ascii="仿宋" w:hAnsi="仿宋" w:eastAsia="仿宋" w:cs="仿宋"/>
                <w:kern w:val="28"/>
                <w:sz w:val="15"/>
                <w:szCs w:val="15"/>
              </w:rPr>
              <w:t>5g/m³）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工作压力(MPa)</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color w:val="0000FF"/>
                <w:kern w:val="28"/>
                <w:sz w:val="28"/>
                <w:szCs w:val="28"/>
                <w:highlight w:val="green"/>
              </w:rPr>
              <w:t>＜0.1</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4"/>
                <w:szCs w:val="24"/>
              </w:rPr>
              <w:t>过流介质温度(℃)</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 xml:space="preserve"> ≤350</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≤200</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泄漏率(%)</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控制方式</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电动、手动（带操作手轮）</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电动、手动（带操作手轮）</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电动、手动（带操作手轮）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电机防护等级</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IP54户外式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阀门启闭时间(s)</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电压等级(V)</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连接形式</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法兰(法兰内径φ766)</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1"/>
                <w:szCs w:val="21"/>
              </w:rPr>
              <w:t>法兰(法兰内径φ1116)</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法兰(法兰内径φ1116)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结构形式</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21"/>
                <w:szCs w:val="21"/>
              </w:rPr>
              <w:t>斜板式或直板式(带密封面)</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1"/>
                <w:szCs w:val="21"/>
              </w:rPr>
            </w:pPr>
            <w:r>
              <w:rPr>
                <w:rFonts w:hint="eastAsia" w:ascii="仿宋" w:hAnsi="仿宋" w:eastAsia="仿宋" w:cs="仿宋"/>
                <w:kern w:val="28"/>
                <w:sz w:val="18"/>
                <w:szCs w:val="18"/>
              </w:rPr>
              <w:t>斜板式或直板式(带密封面)</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插板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密封方式</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阀体材料</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电动机构</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调节型</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调节型</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开关型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轴承</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数量（台）</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c>
          <w:tcPr>
            <w:tcW w:w="1297"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调节阀</w:t>
            </w:r>
          </w:p>
        </w:tc>
        <w:tc>
          <w:tcPr>
            <w:tcW w:w="1146"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调节阀</w:t>
            </w:r>
          </w:p>
        </w:tc>
        <w:tc>
          <w:tcPr>
            <w:tcW w:w="151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11"/>
                <w:szCs w:val="11"/>
              </w:rPr>
              <w:t>开关阀，电机需比正常选型加大一档配备，带开关位置信号</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4.1.6 400m2烧结新建机尾灰仓手动蝶阀</w:t>
      </w:r>
    </w:p>
    <w:tbl>
      <w:tblPr>
        <w:tblStyle w:val="13"/>
        <w:tblW w:w="355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6"/>
        <w:gridCol w:w="46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设备规格</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φ1100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烧结配料、机尾粉尘（12g/m³）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工作压力(MPa)</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过流介质温度(℃)</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 xml:space="preserve"> 常温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泄漏率(%)</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控制方式</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手动（带操作手轮）涡轮</w:t>
            </w:r>
            <w:r>
              <w:rPr>
                <w:rFonts w:hint="eastAsia" w:ascii="仿宋" w:hAnsi="仿宋" w:eastAsia="仿宋" w:cs="仿宋"/>
                <w:kern w:val="28"/>
                <w:sz w:val="28"/>
                <w:szCs w:val="28"/>
                <w:lang w:eastAsia="zh-CN"/>
              </w:rPr>
              <w:t>蜗杆</w:t>
            </w:r>
            <w:r>
              <w:rPr>
                <w:rFonts w:hint="eastAsia" w:ascii="仿宋" w:hAnsi="仿宋" w:eastAsia="仿宋" w:cs="仿宋"/>
                <w:kern w:val="28"/>
                <w:sz w:val="28"/>
                <w:szCs w:val="28"/>
              </w:rPr>
              <w:t>装置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连接形式</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法兰(法兰内径φ1116)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结构形式</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斜板式或直板式(带密封面)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密封方式</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阀体材料</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轴承</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数量（台）</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c>
          <w:tcPr>
            <w:tcW w:w="326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p>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4.1.7 400m2烧结新建机尾除尘刮板输送机切断阀</w:t>
      </w:r>
    </w:p>
    <w:tbl>
      <w:tblPr>
        <w:tblStyle w:val="13"/>
        <w:tblW w:w="44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79"/>
        <w:gridCol w:w="51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序号</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设备规格</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 xml:space="preserve">590x440(长x宽)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烧结机尾粉尘（12g/m³）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工作压力(MPa)</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过流介质温度(℃)</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 xml:space="preserve"> ≤120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泄漏率(%)</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控制方式</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电动、手动（带操作手轮）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连接形式</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法兰(法兰内径600x450（长x宽）)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结构形式</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插板（防卡料设计）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密封方式</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硬密封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阀体材料</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锰钢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轴承</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自润滑复合轴承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数量（台）</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08"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备注</w:t>
            </w:r>
          </w:p>
        </w:tc>
        <w:tc>
          <w:tcPr>
            <w:tcW w:w="2891"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kern w:val="28"/>
                <w:sz w:val="28"/>
                <w:szCs w:val="28"/>
              </w:rPr>
            </w:pPr>
            <w:r>
              <w:rPr>
                <w:rFonts w:hint="eastAsia" w:ascii="仿宋" w:hAnsi="仿宋" w:eastAsia="仿宋" w:cs="仿宋"/>
                <w:kern w:val="28"/>
                <w:sz w:val="28"/>
                <w:szCs w:val="28"/>
              </w:rPr>
              <w:t>阀门高度≤200mm</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4.2技术要求</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4.2.1</w:t>
      </w:r>
      <w:r>
        <w:rPr>
          <w:rFonts w:hint="eastAsia" w:ascii="仿宋" w:hAnsi="仿宋" w:eastAsia="仿宋" w:cs="仿宋"/>
          <w:sz w:val="32"/>
          <w:szCs w:val="32"/>
          <w:highlight w:val="none"/>
        </w:rPr>
        <w:t>开关型电动蝶阀配智能型电动执行器，工作电压选择AC380V，电动执行器要求带远程/就地、开到位、关到位、开过扭矩、关过扭矩位置和故障信号输出；带开阀、关阀、停止操作按钮，以及远程开阀、关阀、停止无源输入接点。合同签订后，请及时返资电动执行器的电负荷功率、端子接线图和说明书。调节型电动蝶阀要求带阀门开度位置信号输出，阀门本体能显示开度。</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4.2.2</w:t>
      </w:r>
      <w:r>
        <w:rPr>
          <w:rFonts w:hint="eastAsia" w:ascii="仿宋" w:hAnsi="仿宋" w:eastAsia="仿宋" w:cs="仿宋"/>
          <w:sz w:val="32"/>
          <w:szCs w:val="32"/>
          <w:highlight w:val="none"/>
        </w:rPr>
        <w:t>电动蝶阀的电动执行器的功率、输出扭矩的选择需与阀门的机械特性相匹配。电力驱动装置要求具备防尘、防水的功能；</w:t>
      </w:r>
    </w:p>
    <w:p>
      <w:pPr>
        <w:keepNext w:val="0"/>
        <w:keepLines w:val="0"/>
        <w:pageBreakBefore w:val="0"/>
        <w:widowControl w:val="0"/>
        <w:numPr>
          <w:ilvl w:val="0"/>
          <w:numId w:val="0"/>
        </w:numPr>
        <w:kinsoku/>
        <w:wordWrap/>
        <w:overflowPunct/>
        <w:topLinePunct w:val="0"/>
        <w:autoSpaceDE/>
        <w:autoSpaceDN/>
        <w:bidi w:val="0"/>
        <w:adjustRightInd/>
        <w:spacing w:line="460" w:lineRule="exac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 xml:space="preserve">    4.2.3</w:t>
      </w:r>
      <w:r>
        <w:rPr>
          <w:rFonts w:hint="eastAsia" w:ascii="仿宋" w:hAnsi="仿宋" w:eastAsia="仿宋" w:cs="仿宋"/>
          <w:sz w:val="32"/>
          <w:szCs w:val="32"/>
          <w:highlight w:val="none"/>
        </w:rPr>
        <w:t>电动蝶阀的电动执行器自带手动操作面板，面板上有“就地”和“远程”选择旋钮，有开阀，关阀操作旋钮（按钮）和开到位、关到位、故障指示灯。电动执行器具有“就地”和“远程”功能选择。在“就地”模式时，在电动蝶阀本体开、闭电动蝶阀。在“远程”模式时，由主DCS控制系统发出开启（关闭）信号，电动蝶阀开启（关闭）。相关交接信号至少包含以下信号（但不限于）：“就地/中控”，“开到位”，“关到位”，“故障”等反馈信号，以及“开启（关闭）”等运行指令。以上信号均要求无源接点（AC250V,3ADC30V,0.5A），电气控制盒要求留有</w:t>
      </w:r>
      <w:r>
        <w:rPr>
          <w:rFonts w:hint="eastAsia" w:ascii="仿宋" w:hAnsi="仿宋" w:eastAsia="仿宋" w:cs="仿宋"/>
          <w:sz w:val="32"/>
          <w:szCs w:val="32"/>
          <w:highlight w:val="none"/>
          <w:lang w:eastAsia="zh-CN"/>
        </w:rPr>
        <w:t>接收</w:t>
      </w:r>
      <w:r>
        <w:rPr>
          <w:rFonts w:hint="eastAsia" w:ascii="仿宋" w:hAnsi="仿宋" w:eastAsia="仿宋" w:cs="仿宋"/>
          <w:sz w:val="32"/>
          <w:szCs w:val="32"/>
          <w:highlight w:val="none"/>
        </w:rPr>
        <w:t>外控信号的接口端子排；</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4.2.4</w:t>
      </w:r>
      <w:r>
        <w:rPr>
          <w:rFonts w:hint="eastAsia" w:ascii="仿宋" w:hAnsi="仿宋" w:eastAsia="仿宋" w:cs="仿宋"/>
          <w:sz w:val="32"/>
          <w:szCs w:val="32"/>
          <w:highlight w:val="none"/>
        </w:rPr>
        <w:t>阀门各关键组件(包括阀体、密封材料、电动装置、位置开关、电气信号、阀门叶片、</w:t>
      </w:r>
      <w:r>
        <w:rPr>
          <w:rFonts w:hint="eastAsia" w:ascii="仿宋" w:hAnsi="仿宋" w:eastAsia="仿宋" w:cs="仿宋"/>
          <w:sz w:val="32"/>
          <w:szCs w:val="32"/>
          <w:highlight w:val="none"/>
          <w:lang w:eastAsia="zh-CN"/>
        </w:rPr>
        <w:t>阀杆</w:t>
      </w:r>
      <w:r>
        <w:rPr>
          <w:rFonts w:hint="eastAsia" w:ascii="仿宋" w:hAnsi="仿宋" w:eastAsia="仿宋" w:cs="仿宋"/>
          <w:sz w:val="32"/>
          <w:szCs w:val="32"/>
          <w:highlight w:val="none"/>
        </w:rPr>
        <w:t>、轴承等)应有6年以上的使用寿命，并保证在6年内不得出现阀门开启、关闭不严的现象；</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4.2.5</w:t>
      </w:r>
      <w:r>
        <w:rPr>
          <w:rFonts w:hint="eastAsia" w:ascii="仿宋" w:hAnsi="仿宋" w:eastAsia="仿宋" w:cs="仿宋"/>
          <w:sz w:val="32"/>
          <w:szCs w:val="32"/>
          <w:highlight w:val="none"/>
        </w:rPr>
        <w:t>电动及手动操作要求灵活可靠，阀门要求采用蜗轮蜗杆传动，传动件密封性好；</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 xml:space="preserve">4.2.6 </w:t>
      </w:r>
      <w:r>
        <w:rPr>
          <w:rFonts w:hint="eastAsia" w:ascii="仿宋" w:hAnsi="仿宋" w:eastAsia="仿宋" w:cs="仿宋"/>
          <w:sz w:val="32"/>
          <w:szCs w:val="32"/>
          <w:highlight w:val="none"/>
        </w:rPr>
        <w:t>400m2/360m2烧结新建一混二混干法除尘系统电动插板阀需满足一定的刚度与强度要求。需保证在管道热膨胀下能够正常开启（如有不清楚可与招标方联系）。</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4.2.7</w:t>
      </w:r>
      <w:r>
        <w:rPr>
          <w:rFonts w:hint="eastAsia" w:ascii="仿宋" w:hAnsi="仿宋" w:eastAsia="仿宋" w:cs="仿宋"/>
          <w:sz w:val="32"/>
          <w:szCs w:val="32"/>
          <w:highlight w:val="none"/>
        </w:rPr>
        <w:t>设备制作及采用技术符合国家标准要求；</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4.2.8</w:t>
      </w:r>
      <w:r>
        <w:rPr>
          <w:rFonts w:hint="eastAsia" w:ascii="仿宋" w:hAnsi="仿宋" w:eastAsia="仿宋" w:cs="仿宋"/>
          <w:sz w:val="32"/>
          <w:szCs w:val="32"/>
          <w:highlight w:val="none"/>
        </w:rPr>
        <w:t>满足制造及检验条件；</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4.2.9</w:t>
      </w:r>
      <w:r>
        <w:rPr>
          <w:rFonts w:hint="eastAsia" w:ascii="仿宋" w:hAnsi="仿宋" w:eastAsia="仿宋" w:cs="仿宋"/>
          <w:sz w:val="32"/>
          <w:szCs w:val="32"/>
          <w:highlight w:val="none"/>
        </w:rPr>
        <w:t xml:space="preserve">电机能效等级不低于《电动机能效限定值及能效等级》（GB18613-2020）的二级要求，电机防护等级：IP54，F级； </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4.2.10</w:t>
      </w:r>
      <w:r>
        <w:rPr>
          <w:rFonts w:hint="eastAsia" w:ascii="仿宋" w:hAnsi="仿宋" w:eastAsia="仿宋" w:cs="仿宋"/>
          <w:sz w:val="32"/>
          <w:szCs w:val="32"/>
          <w:highlight w:val="none"/>
        </w:rPr>
        <w:t>阀门需考虑北方冬季生产情况，选型及防护等级需满足现场恶劣环境条件（阀门安装地区的城市极端最高、最低温度；粉尘等）下能正常工作。</w:t>
      </w:r>
    </w:p>
    <w:p>
      <w:pPr>
        <w:keepNext w:val="0"/>
        <w:keepLines w:val="0"/>
        <w:pageBreakBefore w:val="0"/>
        <w:widowControl w:val="0"/>
        <w:numPr>
          <w:ilvl w:val="0"/>
          <w:numId w:val="0"/>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4.2.11</w:t>
      </w:r>
      <w:r>
        <w:rPr>
          <w:rFonts w:hint="eastAsia" w:ascii="仿宋" w:hAnsi="仿宋" w:eastAsia="仿宋" w:cs="仿宋"/>
          <w:sz w:val="32"/>
          <w:szCs w:val="32"/>
          <w:highlight w:val="none"/>
        </w:rPr>
        <w:t>交货产品及所附技术文件符合国家相关标准和要求。</w:t>
      </w:r>
    </w:p>
    <w:p>
      <w:pPr>
        <w:keepNext w:val="0"/>
        <w:keepLines w:val="0"/>
        <w:pageBreakBefore w:val="0"/>
        <w:widowControl w:val="0"/>
        <w:numPr>
          <w:ilvl w:val="0"/>
          <w:numId w:val="2"/>
        </w:numPr>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相关标准：</w:t>
      </w:r>
    </w:p>
    <w:tbl>
      <w:tblPr>
        <w:tblStyle w:val="13"/>
        <w:tblW w:w="43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
        <w:gridCol w:w="5635"/>
        <w:gridCol w:w="2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blHeader/>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序号</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标 准 名 称</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840" w:firstLineChars="3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标准号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1</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重型机械通用技术条件</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JB/T5000-2007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2</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机械设备安装工程施工及验收通用规范</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GB/T50231-2009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3</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焊缝质量评定标准</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GB/T12469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4</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滚动轴承与轴和外壳的配合</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GB/T275-93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5</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重型机械通用技术条件</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JB/T5000-2007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1" w:hRule="atLeast"/>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6</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焊缝射线探伤通用技术条件</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GB/3323-89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7</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一般工程用铸造碳钢件</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GB/T11352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459"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left"/>
              <w:textAlignment w:val="auto"/>
              <w:rPr>
                <w:rFonts w:hint="eastAsia" w:ascii="仿宋" w:hAnsi="仿宋" w:eastAsia="仿宋" w:cs="仿宋"/>
                <w:b w:val="0"/>
                <w:bCs/>
                <w:sz w:val="28"/>
                <w:szCs w:val="28"/>
                <w:lang w:eastAsia="zh-CN"/>
              </w:rPr>
            </w:pPr>
            <w:r>
              <w:rPr>
                <w:rFonts w:hint="eastAsia" w:ascii="仿宋" w:hAnsi="仿宋" w:eastAsia="仿宋" w:cs="仿宋"/>
                <w:b w:val="0"/>
                <w:bCs/>
                <w:sz w:val="28"/>
                <w:szCs w:val="28"/>
                <w:lang w:val="en-US" w:eastAsia="zh-CN"/>
              </w:rPr>
              <w:t>8</w:t>
            </w:r>
          </w:p>
        </w:tc>
        <w:tc>
          <w:tcPr>
            <w:tcW w:w="32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ind w:firstLine="560" w:firstLineChars="200"/>
              <w:jc w:val="left"/>
              <w:textAlignment w:val="auto"/>
              <w:rPr>
                <w:rFonts w:hint="eastAsia" w:ascii="仿宋" w:hAnsi="仿宋" w:eastAsia="仿宋" w:cs="仿宋"/>
                <w:b w:val="0"/>
                <w:bCs/>
                <w:sz w:val="28"/>
                <w:szCs w:val="28"/>
              </w:rPr>
            </w:pPr>
            <w:r>
              <w:rPr>
                <w:rFonts w:hint="eastAsia" w:ascii="仿宋" w:hAnsi="仿宋" w:eastAsia="仿宋" w:cs="仿宋"/>
                <w:b w:val="0"/>
                <w:bCs/>
                <w:sz w:val="28"/>
                <w:szCs w:val="28"/>
              </w:rPr>
              <w:t>无损检测渗透检测</w:t>
            </w:r>
          </w:p>
        </w:tc>
        <w:tc>
          <w:tcPr>
            <w:tcW w:w="1320" w:type="pct"/>
            <w:noWrap w:val="0"/>
            <w:vAlign w:val="center"/>
          </w:tcPr>
          <w:p>
            <w:pPr>
              <w:keepNext w:val="0"/>
              <w:keepLines w:val="0"/>
              <w:pageBreakBefore w:val="0"/>
              <w:widowControl w:val="0"/>
              <w:kinsoku/>
              <w:wordWrap/>
              <w:overflowPunct/>
              <w:topLinePunct w:val="0"/>
              <w:autoSpaceDE/>
              <w:autoSpaceDN/>
              <w:bidi w:val="0"/>
              <w:adjustRightInd/>
              <w:snapToGrid w:val="0"/>
              <w:spacing w:line="360" w:lineRule="exact"/>
              <w:jc w:val="center"/>
              <w:textAlignment w:val="auto"/>
              <w:rPr>
                <w:rFonts w:hint="eastAsia" w:ascii="仿宋" w:hAnsi="仿宋" w:eastAsia="仿宋" w:cs="仿宋"/>
                <w:b w:val="0"/>
                <w:bCs/>
                <w:sz w:val="28"/>
                <w:szCs w:val="28"/>
              </w:rPr>
            </w:pPr>
            <w:r>
              <w:rPr>
                <w:rFonts w:hint="eastAsia" w:ascii="仿宋" w:hAnsi="仿宋" w:eastAsia="仿宋" w:cs="仿宋"/>
                <w:b w:val="0"/>
                <w:bCs/>
                <w:sz w:val="28"/>
                <w:szCs w:val="28"/>
              </w:rPr>
              <w:t>JB/T 9218</w:t>
            </w:r>
          </w:p>
        </w:tc>
      </w:tr>
    </w:tbl>
    <w:p>
      <w:pPr>
        <w:keepNext w:val="0"/>
        <w:keepLines w:val="0"/>
        <w:pageBreakBefore w:val="0"/>
        <w:widowControl w:val="0"/>
        <w:numPr>
          <w:ilvl w:val="0"/>
          <w:numId w:val="2"/>
        </w:numPr>
        <w:kinsoku/>
        <w:wordWrap/>
        <w:overflowPunct/>
        <w:topLinePunct w:val="0"/>
        <w:autoSpaceDE/>
        <w:autoSpaceDN/>
        <w:bidi w:val="0"/>
        <w:adjustRightInd/>
        <w:spacing w:line="460" w:lineRule="exact"/>
        <w:ind w:left="0" w:leftChars="0" w:firstLine="640" w:firstLineChars="200"/>
        <w:textAlignment w:val="auto"/>
        <w:rPr>
          <w:rFonts w:hint="eastAsia" w:ascii="仿宋" w:hAnsi="仿宋" w:eastAsia="仿宋" w:cs="仿宋"/>
          <w:bCs/>
          <w:color w:val="000000"/>
          <w:sz w:val="32"/>
          <w:szCs w:val="32"/>
          <w:lang w:val="en-US" w:eastAsia="zh-CN"/>
        </w:rPr>
      </w:pPr>
      <w:r>
        <w:rPr>
          <w:rFonts w:hint="eastAsia" w:ascii="仿宋" w:hAnsi="仿宋" w:eastAsia="仿宋" w:cs="仿宋"/>
          <w:bCs/>
          <w:color w:val="000000"/>
          <w:sz w:val="32"/>
          <w:szCs w:val="32"/>
          <w:lang w:val="en-US" w:eastAsia="zh-CN"/>
        </w:rPr>
        <w:t>主要设备设计院推荐供货商清单：</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97"/>
        <w:gridCol w:w="49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restart"/>
            <w:vAlign w:val="center"/>
          </w:tcPr>
          <w:p>
            <w:pPr>
              <w:keepNext w:val="0"/>
              <w:keepLines w:val="0"/>
              <w:pageBreakBefore w:val="0"/>
              <w:widowControl w:val="0"/>
              <w:tabs>
                <w:tab w:val="left" w:pos="2951"/>
              </w:tabs>
              <w:kinsoku/>
              <w:wordWrap/>
              <w:overflowPunct/>
              <w:topLinePunct w:val="0"/>
              <w:autoSpaceDE/>
              <w:autoSpaceDN/>
              <w:bidi w:val="0"/>
              <w:adjustRightInd/>
              <w:snapToGrid/>
              <w:spacing w:line="360" w:lineRule="exact"/>
              <w:jc w:val="center"/>
              <w:textAlignment w:val="auto"/>
              <w:rPr>
                <w:rFonts w:hint="default"/>
                <w:lang w:val="en-US" w:eastAsia="zh-CN"/>
              </w:rPr>
            </w:pPr>
            <w:r>
              <w:rPr>
                <w:rFonts w:hint="eastAsia" w:ascii="仿宋" w:hAnsi="仿宋" w:eastAsia="仿宋" w:cs="仿宋"/>
                <w:i w:val="0"/>
                <w:iCs w:val="0"/>
                <w:color w:val="auto"/>
                <w:sz w:val="32"/>
                <w:szCs w:val="32"/>
                <w:u w:val="none"/>
                <w:lang w:val="en-US" w:eastAsia="zh-CN"/>
              </w:rPr>
              <w:t>阀门品牌</w:t>
            </w: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江苏神通阀门股份有限公司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大众阀门集团能源股份有限公司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上海双高阀门（集团）有限公司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上海特一阀门制造有限公司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金峰流体科技集团有限公司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石家庄先楚核能装备股份有限公司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restart"/>
            <w:vAlign w:val="center"/>
          </w:tcPr>
          <w:p>
            <w:pPr>
              <w:keepNext w:val="0"/>
              <w:keepLines w:val="0"/>
              <w:pageBreakBefore w:val="0"/>
              <w:widowControl w:val="0"/>
              <w:tabs>
                <w:tab w:val="left" w:pos="3611"/>
              </w:tabs>
              <w:kinsoku/>
              <w:wordWrap/>
              <w:overflowPunct/>
              <w:topLinePunct w:val="0"/>
              <w:autoSpaceDE/>
              <w:autoSpaceDN/>
              <w:bidi w:val="0"/>
              <w:adjustRightInd/>
              <w:snapToGrid/>
              <w:spacing w:line="360" w:lineRule="exact"/>
              <w:jc w:val="center"/>
              <w:textAlignment w:val="auto"/>
              <w:rPr>
                <w:rFonts w:hint="eastAsia" w:ascii="Times New Roman" w:hAnsi="Times New Roman" w:eastAsia="宋体" w:cs="Times New Roman"/>
                <w:kern w:val="2"/>
                <w:sz w:val="21"/>
                <w:lang w:val="en-US" w:eastAsia="zh-CN" w:bidi="ar-SA"/>
              </w:rPr>
            </w:pPr>
            <w:r>
              <w:rPr>
                <w:rFonts w:hint="eastAsia" w:ascii="仿宋" w:hAnsi="仿宋" w:eastAsia="仿宋" w:cs="仿宋"/>
                <w:i w:val="0"/>
                <w:iCs w:val="0"/>
                <w:color w:val="auto"/>
                <w:kern w:val="0"/>
                <w:sz w:val="32"/>
                <w:szCs w:val="32"/>
                <w:u w:val="none"/>
                <w:lang w:val="en-US" w:eastAsia="zh-CN" w:bidi="ar"/>
              </w:rPr>
              <w:t>执行器品牌</w:t>
            </w: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上海澳托克数字仪器有限公司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鞍山拜尔自控有限公司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97" w:type="dxa"/>
            <w:vMerge w:val="continue"/>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32"/>
                <w:szCs w:val="32"/>
                <w:vertAlign w:val="baseline"/>
                <w:lang w:val="en-US" w:eastAsia="zh-CN"/>
              </w:rPr>
            </w:pPr>
          </w:p>
        </w:tc>
        <w:tc>
          <w:tcPr>
            <w:tcW w:w="4982" w:type="dxa"/>
          </w:tcPr>
          <w:p>
            <w:pPr>
              <w:keepNext w:val="0"/>
              <w:keepLines w:val="0"/>
              <w:pageBreakBefore w:val="0"/>
              <w:widowControl w:val="0"/>
              <w:numPr>
                <w:ilvl w:val="0"/>
                <w:numId w:val="0"/>
              </w:numPr>
              <w:kinsoku/>
              <w:wordWrap/>
              <w:overflowPunct/>
              <w:topLinePunct w:val="0"/>
              <w:autoSpaceDE/>
              <w:autoSpaceDN/>
              <w:bidi w:val="0"/>
              <w:adjustRightInd/>
              <w:snapToGrid/>
              <w:spacing w:line="360" w:lineRule="exact"/>
              <w:textAlignment w:val="auto"/>
              <w:rPr>
                <w:rFonts w:hint="eastAsia" w:ascii="仿宋" w:hAnsi="仿宋" w:eastAsia="仿宋" w:cs="仿宋"/>
                <w:bCs/>
                <w:color w:val="000000"/>
                <w:sz w:val="28"/>
                <w:szCs w:val="28"/>
                <w:vertAlign w:val="baseline"/>
                <w:lang w:val="en-US" w:eastAsia="zh-CN"/>
              </w:rPr>
            </w:pPr>
            <w:r>
              <w:rPr>
                <w:rFonts w:hint="eastAsia" w:ascii="仿宋" w:hAnsi="仿宋" w:eastAsia="仿宋" w:cs="仿宋"/>
                <w:i w:val="0"/>
                <w:iCs w:val="0"/>
                <w:color w:val="auto"/>
                <w:kern w:val="0"/>
                <w:sz w:val="28"/>
                <w:szCs w:val="28"/>
                <w:u w:val="none"/>
                <w:lang w:val="en-US" w:eastAsia="zh-CN" w:bidi="ar"/>
              </w:rPr>
              <w:t>重庆川仪自动化股份有限公司</w:t>
            </w:r>
          </w:p>
        </w:tc>
      </w:tr>
    </w:tbl>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color w:val="000000"/>
          <w:sz w:val="32"/>
          <w:szCs w:val="32"/>
        </w:rPr>
      </w:pPr>
      <w:r>
        <w:rPr>
          <w:rFonts w:hint="eastAsia" w:ascii="仿宋" w:hAnsi="仿宋" w:eastAsia="仿宋" w:cs="仿宋"/>
          <w:bCs/>
          <w:color w:val="000000"/>
          <w:sz w:val="32"/>
          <w:szCs w:val="32"/>
          <w:lang w:eastAsia="zh-CN"/>
        </w:rPr>
        <w:t>七</w:t>
      </w:r>
      <w:r>
        <w:rPr>
          <w:rFonts w:hint="eastAsia" w:ascii="仿宋" w:hAnsi="仿宋" w:eastAsia="仿宋" w:cs="仿宋"/>
          <w:bCs/>
          <w:color w:val="000000"/>
          <w:sz w:val="32"/>
          <w:szCs w:val="32"/>
        </w:rPr>
        <w:t>、 资料交付：</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1、承揽方提供给定作方的设计文件、技术资料、技术支持内容：设备订货清单及规格书（WORD），非标设备外形图（CAD2004）等。</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2、其他资料（可编辑版电子文件）：文本、设备表、操作说明、三电功能规格书电子版。</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3、相关图纸及设备资料等：合同生效后3周内全部返回。</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4、承揽方应按照本项目《供应商数字化交付规定》要求，提供对应的模型、图纸和文档等相关资料。</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eastAsia="zh-CN"/>
        </w:rPr>
        <w:t>八</w:t>
      </w:r>
      <w:r>
        <w:rPr>
          <w:rFonts w:hint="eastAsia" w:ascii="仿宋" w:hAnsi="仿宋" w:eastAsia="仿宋" w:cs="仿宋"/>
          <w:bCs/>
          <w:sz w:val="32"/>
          <w:szCs w:val="32"/>
        </w:rPr>
        <w:t>、设备监制、检验、验收：</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1）设备到达甲方现场后由甲方人员组织设备验货、乙方所供设备除电气部分外，全部进行现场称重，如超大件，乙方提前告知甲方，按照甲方对超大件称重的方案进行称重。</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val="en-US" w:eastAsia="zh-CN"/>
        </w:rPr>
        <w:t>2）所有外购设备，必须保证持有原厂铭牌，如发现乙方顶替或替换铭牌，甲方有权进行拒收，并对其进行按照合同处罚。</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eastAsia="zh-CN"/>
        </w:rPr>
        <w:t>九</w:t>
      </w:r>
      <w:r>
        <w:rPr>
          <w:rFonts w:hint="eastAsia" w:ascii="仿宋" w:hAnsi="仿宋" w:eastAsia="仿宋" w:cs="仿宋"/>
          <w:bCs/>
          <w:sz w:val="32"/>
          <w:szCs w:val="32"/>
        </w:rPr>
        <w:t>、涂漆、包装、运输：</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rPr>
        <w:t>涂漆</w:t>
      </w:r>
      <w:r>
        <w:rPr>
          <w:rFonts w:hint="eastAsia" w:ascii="仿宋" w:hAnsi="仿宋" w:eastAsia="仿宋" w:cs="仿宋"/>
          <w:bCs/>
          <w:sz w:val="32"/>
          <w:szCs w:val="32"/>
          <w:lang w:eastAsia="zh-CN"/>
        </w:rPr>
        <w:t>：</w:t>
      </w:r>
      <w:r>
        <w:rPr>
          <w:rFonts w:hint="eastAsia" w:ascii="仿宋" w:hAnsi="仿宋" w:eastAsia="仿宋" w:cs="仿宋"/>
          <w:bCs/>
          <w:sz w:val="32"/>
          <w:szCs w:val="32"/>
          <w:lang w:val="en-US" w:eastAsia="zh-CN"/>
        </w:rPr>
        <w:t>承揽方应根据定作方提供的工厂设计统一技术规定中关于涂装的统一规定制订相关设备涂装工艺并据此进行施工，设备颜色按有关统一技术规定执行。</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1）涂料的选择，应根据大气腐蚀性等级、使用条件、使用部位的重要性、施工的可操作性，结合涂料的耐腐蚀性能、涂料的供应状况等综合确定。</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2）每批产品提供具有各主检项目的出厂合格证。</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3）所有的涂料喷涂完成后，由乙方提供第三方漆膜厚度检测报告。</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4）设备的包装应能满足长途运输、多次搬运及存储的需要。包装要坚固、牢靠、防腐、防潮、防盗。裸露件应有铁牌标签。</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5）安装、调试用的易损件、特殊吊具、专用工具等，应单独装箱，并在箱体上注明主机名称和安装调试易损件字样。</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6）由于包装不善或标记不清所造成的设备丢失、缺损、发霉、锈蚀、受潮和错发等问题，乙方负责修理、补充或更换。</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7）每个包装箱内及箱外均应附装箱清单，附产品合格证一份，定期交付甲方。</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8）各设备的组装件和零部件应在其明显处做出醒目的编号和标志。</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9）设备的标牌内容包括：制造厂家、设计单位、产品名称、产品型号或主要技术参数、制造日期等。</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eastAsia="zh-CN"/>
        </w:rPr>
        <w:t>十</w:t>
      </w:r>
      <w:r>
        <w:rPr>
          <w:rFonts w:hint="eastAsia" w:ascii="仿宋" w:hAnsi="仿宋" w:eastAsia="仿宋" w:cs="仿宋"/>
          <w:bCs/>
          <w:sz w:val="32"/>
          <w:szCs w:val="32"/>
        </w:rPr>
        <w:t>、售后服务：</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免费的技术服务和支持。</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1）承揽方对系统带负荷试运行过程跟踪管理，操作由定作方人员进行，承揽方免费为用户培训设备管理、运行及维护人员。</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2）在系统运行过程中，如出现问题，承揽方承诺在接到定作方通知后在8小时给予答复，在接到定作方书面通知后，相关人员在24小时内提出解决方案。</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lang w:val="en-US" w:eastAsia="zh-CN"/>
        </w:rPr>
      </w:pPr>
      <w:r>
        <w:rPr>
          <w:rFonts w:hint="eastAsia" w:ascii="仿宋" w:hAnsi="仿宋" w:eastAsia="仿宋" w:cs="仿宋"/>
          <w:bCs/>
          <w:sz w:val="32"/>
          <w:szCs w:val="32"/>
          <w:lang w:val="en-US" w:eastAsia="zh-CN"/>
        </w:rPr>
        <w:t>3）设备在使用期间，承揽方须及时提供业主所提出的技术服务要求。在定作方将设备移交给业主方投入运行后，业主方与定作方拥有同等权力，承揽方有义务为业主提供免费的技术服务和支持。</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lang w:val="en-US" w:eastAsia="zh-CN"/>
        </w:rPr>
        <w:t>4）设备调试验收合格后（系统功能及技术指标均达到技术协议及现场使用要求）计算，质保期6年。在质保期内，承揽方对由于工艺设计、制造及材料缺陷而发生的任何不足或故障，负责设备更换或维修所发生的一切费用由承揽方承担。同时相应地延长质保期的时间。因定作方使用原因造成的费用由定作方承担。</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十</w:t>
      </w:r>
      <w:r>
        <w:rPr>
          <w:rFonts w:hint="eastAsia" w:ascii="仿宋" w:hAnsi="仿宋" w:eastAsia="仿宋" w:cs="仿宋"/>
          <w:bCs/>
          <w:sz w:val="32"/>
          <w:szCs w:val="32"/>
          <w:lang w:eastAsia="zh-CN"/>
        </w:rPr>
        <w:t>一</w:t>
      </w:r>
      <w:r>
        <w:rPr>
          <w:rFonts w:hint="eastAsia" w:ascii="仿宋" w:hAnsi="仿宋" w:eastAsia="仿宋" w:cs="仿宋"/>
          <w:bCs/>
          <w:sz w:val="32"/>
          <w:szCs w:val="32"/>
        </w:rPr>
        <w:t>、质量异议：</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设备制造过程中，定作方可派员在制造厂对设备的制造过程进行监督，并可参与承揽方的检验工作。承揽方应解答参检人员提出的疑问，满足参检人员提出的核查有关质量标准规范、相关技术文件、图纸技术条件及有关中间加工工艺流程记录单等要求，应认真对待业主和定作方提出的意见，并迅速采取措施，解决存在的质量问题；问题解决后，方可进行下道制造工序。如业主和买卖双方有异议且不能达成共识，应请业主和买卖双方认可的第三方仲裁。</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承揽方应按照确认后的设计图纸进行生产，保证满足本协议的技术要求，工序间的检验和最终检验相结合，自检和联合检验相结合，确保设备质量。</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焊缝质量控制除执行国家相关标准规定之外，还需执行本工程相关统一规定。</w:t>
      </w:r>
    </w:p>
    <w:p>
      <w:pPr>
        <w:keepNext w:val="0"/>
        <w:keepLines w:val="0"/>
        <w:pageBreakBefore w:val="0"/>
        <w:widowControl w:val="0"/>
        <w:kinsoku/>
        <w:wordWrap/>
        <w:overflowPunct/>
        <w:topLinePunct w:val="0"/>
        <w:autoSpaceDE/>
        <w:autoSpaceDN/>
        <w:bidi w:val="0"/>
        <w:adjustRightInd/>
        <w:spacing w:line="460" w:lineRule="exact"/>
        <w:ind w:firstLine="640" w:firstLineChars="200"/>
        <w:textAlignment w:val="auto"/>
        <w:rPr>
          <w:rFonts w:hint="eastAsia" w:ascii="仿宋" w:hAnsi="仿宋" w:eastAsia="仿宋" w:cs="仿宋"/>
          <w:bCs/>
          <w:sz w:val="32"/>
          <w:szCs w:val="32"/>
        </w:rPr>
      </w:pPr>
      <w:r>
        <w:rPr>
          <w:rFonts w:hint="eastAsia" w:ascii="仿宋" w:hAnsi="仿宋" w:eastAsia="仿宋" w:cs="仿宋"/>
          <w:bCs/>
          <w:sz w:val="32"/>
          <w:szCs w:val="32"/>
        </w:rPr>
        <w:t>十</w:t>
      </w:r>
      <w:r>
        <w:rPr>
          <w:rFonts w:hint="eastAsia" w:ascii="仿宋" w:hAnsi="仿宋" w:eastAsia="仿宋" w:cs="仿宋"/>
          <w:bCs/>
          <w:sz w:val="32"/>
          <w:szCs w:val="32"/>
          <w:lang w:eastAsia="zh-CN"/>
        </w:rPr>
        <w:t>二</w:t>
      </w:r>
      <w:r>
        <w:rPr>
          <w:rFonts w:hint="eastAsia" w:ascii="仿宋" w:hAnsi="仿宋" w:eastAsia="仿宋" w:cs="仿宋"/>
          <w:bCs/>
          <w:sz w:val="32"/>
          <w:szCs w:val="32"/>
        </w:rPr>
        <w:t>、</w:t>
      </w:r>
      <w:r>
        <w:rPr>
          <w:rFonts w:hint="eastAsia" w:ascii="仿宋" w:hAnsi="仿宋" w:eastAsia="仿宋" w:cs="仿宋"/>
          <w:bCs/>
          <w:sz w:val="32"/>
          <w:szCs w:val="32"/>
          <w:lang w:eastAsia="zh-CN"/>
        </w:rPr>
        <w:t>其他</w:t>
      </w:r>
      <w:r>
        <w:rPr>
          <w:rFonts w:hint="eastAsia" w:ascii="仿宋" w:hAnsi="仿宋" w:eastAsia="仿宋" w:cs="仿宋"/>
          <w:bCs/>
          <w:sz w:val="32"/>
          <w:szCs w:val="32"/>
        </w:rPr>
        <w:t>说明：</w:t>
      </w:r>
    </w:p>
    <w:p>
      <w:pPr>
        <w:keepNext w:val="0"/>
        <w:keepLines w:val="0"/>
        <w:pageBreakBefore w:val="0"/>
        <w:widowControl w:val="0"/>
        <w:kinsoku/>
        <w:wordWrap/>
        <w:overflowPunct/>
        <w:topLinePunct w:val="0"/>
        <w:autoSpaceDE/>
        <w:autoSpaceDN/>
        <w:bidi w:val="0"/>
        <w:adjustRightInd/>
        <w:spacing w:line="460" w:lineRule="exact"/>
        <w:ind w:firstLine="800" w:firstLineChars="250"/>
        <w:textAlignment w:val="auto"/>
        <w:rPr>
          <w:rFonts w:hint="eastAsia" w:ascii="仿宋" w:hAnsi="仿宋" w:eastAsia="仿宋" w:cs="仿宋"/>
          <w:bCs/>
          <w:sz w:val="32"/>
          <w:szCs w:val="32"/>
        </w:rPr>
      </w:pPr>
      <w:r>
        <w:rPr>
          <w:rFonts w:hint="eastAsia" w:ascii="仿宋" w:hAnsi="仿宋" w:eastAsia="仿宋" w:cs="仿宋"/>
          <w:bCs/>
          <w:sz w:val="32"/>
          <w:szCs w:val="32"/>
        </w:rPr>
        <w:t>1、本协议为合同的附件，与合同具有同等的法律效力。</w:t>
      </w:r>
    </w:p>
    <w:p>
      <w:pPr>
        <w:keepNext w:val="0"/>
        <w:keepLines w:val="0"/>
        <w:pageBreakBefore w:val="0"/>
        <w:widowControl w:val="0"/>
        <w:kinsoku/>
        <w:wordWrap/>
        <w:overflowPunct/>
        <w:topLinePunct w:val="0"/>
        <w:autoSpaceDE/>
        <w:autoSpaceDN/>
        <w:bidi w:val="0"/>
        <w:adjustRightInd/>
        <w:spacing w:line="460" w:lineRule="exact"/>
        <w:ind w:firstLine="800" w:firstLineChars="250"/>
        <w:textAlignment w:val="auto"/>
        <w:rPr>
          <w:rFonts w:hint="eastAsia" w:ascii="仿宋" w:hAnsi="仿宋" w:eastAsia="仿宋" w:cs="仿宋"/>
          <w:bCs/>
          <w:sz w:val="32"/>
          <w:szCs w:val="32"/>
        </w:rPr>
      </w:pPr>
      <w:r>
        <w:rPr>
          <w:rFonts w:hint="eastAsia" w:ascii="仿宋" w:hAnsi="仿宋" w:eastAsia="仿宋" w:cs="仿宋"/>
          <w:bCs/>
          <w:sz w:val="32"/>
          <w:szCs w:val="32"/>
        </w:rPr>
        <w:t>2、如有未尽事宜，由双方协商解决。</w:t>
      </w:r>
    </w:p>
    <w:p>
      <w:pPr>
        <w:keepNext w:val="0"/>
        <w:keepLines w:val="0"/>
        <w:pageBreakBefore w:val="0"/>
        <w:widowControl w:val="0"/>
        <w:kinsoku/>
        <w:wordWrap/>
        <w:overflowPunct/>
        <w:topLinePunct w:val="0"/>
        <w:autoSpaceDE/>
        <w:autoSpaceDN/>
        <w:bidi w:val="0"/>
        <w:adjustRightInd/>
        <w:spacing w:line="460" w:lineRule="exact"/>
        <w:ind w:firstLine="800" w:firstLineChars="250"/>
        <w:textAlignment w:val="auto"/>
        <w:rPr>
          <w:rFonts w:hint="eastAsia" w:ascii="仿宋" w:hAnsi="仿宋" w:eastAsia="仿宋" w:cs="仿宋"/>
          <w:bCs/>
          <w:sz w:val="32"/>
          <w:szCs w:val="32"/>
        </w:rPr>
      </w:pPr>
      <w:r>
        <w:rPr>
          <w:rFonts w:hint="eastAsia" w:ascii="仿宋" w:hAnsi="仿宋" w:eastAsia="仿宋" w:cs="仿宋"/>
          <w:bCs/>
          <w:sz w:val="32"/>
          <w:szCs w:val="32"/>
        </w:rPr>
        <w:t>3、本协议一式两份，经签字盖章生效。</w:t>
      </w:r>
    </w:p>
    <w:p>
      <w:pPr>
        <w:jc w:val="left"/>
        <w:rPr>
          <w:rFonts w:hint="eastAsia" w:ascii="仿宋" w:hAnsi="仿宋" w:eastAsia="仿宋" w:cs="仿宋"/>
          <w:bCs/>
          <w:color w:val="000000"/>
          <w:sz w:val="32"/>
          <w:szCs w:val="32"/>
        </w:rPr>
      </w:pPr>
    </w:p>
    <w:p>
      <w:pPr>
        <w:rPr>
          <w:rFonts w:hint="eastAsia" w:ascii="仿宋" w:hAnsi="仿宋" w:eastAsia="仿宋" w:cs="仿宋"/>
          <w:bCs/>
          <w:sz w:val="32"/>
          <w:szCs w:val="32"/>
        </w:rPr>
      </w:pPr>
    </w:p>
    <w:tbl>
      <w:tblPr>
        <w:tblStyle w:val="14"/>
        <w:tblpPr w:leftFromText="180" w:rightFromText="180" w:vertAnchor="text" w:horzAnchor="page" w:tblpX="1414" w:tblpY="23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69"/>
        <w:gridCol w:w="46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9" w:hRule="atLeast"/>
        </w:trPr>
        <w:tc>
          <w:tcPr>
            <w:tcW w:w="4669" w:type="dxa"/>
          </w:tcPr>
          <w:p>
            <w:pPr>
              <w:spacing w:line="440" w:lineRule="exact"/>
              <w:jc w:val="center"/>
              <w:rPr>
                <w:rFonts w:ascii="宋体" w:hAnsi="宋体" w:cs="宋体"/>
                <w:b/>
                <w:bCs/>
                <w:sz w:val="28"/>
                <w:szCs w:val="28"/>
              </w:rPr>
            </w:pPr>
            <w:r>
              <w:rPr>
                <w:rFonts w:hint="eastAsia" w:ascii="宋体" w:hAnsi="宋体" w:cs="宋体"/>
                <w:b/>
                <w:bCs/>
                <w:sz w:val="28"/>
                <w:szCs w:val="28"/>
              </w:rPr>
              <w:t>需方全称（公章）</w:t>
            </w:r>
          </w:p>
          <w:p>
            <w:pPr>
              <w:spacing w:line="440" w:lineRule="exact"/>
              <w:jc w:val="center"/>
              <w:rPr>
                <w:rFonts w:ascii="宋体" w:hAnsi="宋体" w:cs="宋体"/>
                <w:b/>
                <w:bCs/>
                <w:sz w:val="28"/>
                <w:szCs w:val="28"/>
              </w:rPr>
            </w:pPr>
          </w:p>
          <w:p>
            <w:pPr>
              <w:jc w:val="center"/>
              <w:outlineLvl w:val="0"/>
              <w:rPr>
                <w:b/>
                <w:bCs/>
                <w:szCs w:val="22"/>
              </w:rPr>
            </w:pPr>
            <w:r>
              <w:rPr>
                <w:rFonts w:hint="eastAsia"/>
                <w:b/>
                <w:bCs/>
                <w:szCs w:val="22"/>
              </w:rPr>
              <w:t>本溪钢铁（集团）设备工程有限公司</w:t>
            </w: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p>
          <w:p>
            <w:pPr>
              <w:rPr>
                <w:rFonts w:ascii="宋体" w:hAnsi="宋体" w:cs="宋体"/>
                <w:sz w:val="28"/>
                <w:szCs w:val="28"/>
              </w:rPr>
            </w:pPr>
            <w:r>
              <w:rPr>
                <w:rFonts w:hint="eastAsia" w:ascii="宋体" w:hAnsi="宋体" w:cs="宋体"/>
                <w:sz w:val="28"/>
                <w:szCs w:val="28"/>
              </w:rPr>
              <w:t>负责人：</w:t>
            </w:r>
          </w:p>
          <w:p>
            <w:pPr>
              <w:rPr>
                <w:rFonts w:ascii="宋体" w:hAnsi="宋体" w:cs="宋体"/>
                <w:sz w:val="28"/>
                <w:szCs w:val="28"/>
              </w:rPr>
            </w:pPr>
          </w:p>
          <w:p>
            <w:pPr>
              <w:ind w:firstLine="1120" w:firstLineChars="400"/>
              <w:jc w:val="center"/>
              <w:rPr>
                <w:rFonts w:ascii="宋体" w:hAnsi="宋体" w:cs="宋体"/>
                <w:sz w:val="28"/>
                <w:szCs w:val="28"/>
              </w:rPr>
            </w:pPr>
            <w:r>
              <w:rPr>
                <w:rFonts w:ascii="宋体" w:hAnsi="宋体" w:cs="宋体"/>
                <w:sz w:val="28"/>
                <w:szCs w:val="28"/>
              </w:rPr>
              <w:t>202</w:t>
            </w:r>
            <w:r>
              <w:rPr>
                <w:rFonts w:hint="eastAsia" w:ascii="宋体" w:hAnsi="宋体" w:cs="宋体"/>
                <w:sz w:val="28"/>
                <w:szCs w:val="28"/>
                <w:lang w:val="en-US" w:eastAsia="zh-CN"/>
              </w:rPr>
              <w:t>4</w:t>
            </w:r>
            <w:r>
              <w:rPr>
                <w:rFonts w:hint="eastAsia" w:ascii="宋体" w:hAnsi="宋体" w:cs="宋体"/>
                <w:sz w:val="28"/>
                <w:szCs w:val="28"/>
              </w:rPr>
              <w:t>年</w:t>
            </w:r>
            <w:r>
              <w:rPr>
                <w:rFonts w:ascii="宋体" w:hAnsi="宋体" w:cs="宋体"/>
                <w:sz w:val="28"/>
                <w:szCs w:val="28"/>
              </w:rPr>
              <w:t>__</w:t>
            </w:r>
            <w:r>
              <w:rPr>
                <w:rFonts w:hint="eastAsia" w:ascii="宋体" w:hAnsi="宋体" w:cs="宋体"/>
                <w:sz w:val="28"/>
                <w:szCs w:val="28"/>
              </w:rPr>
              <w:t>月</w:t>
            </w:r>
            <w:r>
              <w:rPr>
                <w:rFonts w:ascii="宋体" w:hAnsi="宋体" w:cs="宋体"/>
                <w:sz w:val="28"/>
                <w:szCs w:val="28"/>
              </w:rPr>
              <w:t>__</w:t>
            </w:r>
            <w:r>
              <w:rPr>
                <w:rFonts w:hint="eastAsia" w:ascii="宋体" w:hAnsi="宋体" w:cs="宋体"/>
                <w:sz w:val="28"/>
                <w:szCs w:val="28"/>
              </w:rPr>
              <w:t>日</w:t>
            </w:r>
          </w:p>
        </w:tc>
        <w:tc>
          <w:tcPr>
            <w:tcW w:w="4670" w:type="dxa"/>
          </w:tcPr>
          <w:p>
            <w:pPr>
              <w:spacing w:line="440" w:lineRule="exact"/>
              <w:jc w:val="center"/>
              <w:rPr>
                <w:rFonts w:ascii="宋体" w:hAnsi="宋体" w:cs="宋体"/>
                <w:b/>
                <w:bCs/>
                <w:sz w:val="28"/>
                <w:szCs w:val="28"/>
              </w:rPr>
            </w:pPr>
            <w:r>
              <w:rPr>
                <w:rFonts w:hint="eastAsia" w:ascii="宋体" w:hAnsi="宋体" w:cs="宋体"/>
                <w:b/>
                <w:bCs/>
                <w:sz w:val="28"/>
                <w:szCs w:val="28"/>
              </w:rPr>
              <w:t>供方全称（手写加盖公章）</w:t>
            </w:r>
          </w:p>
          <w:p>
            <w:pPr>
              <w:rPr>
                <w:rFonts w:ascii="宋体" w:hAnsi="宋体" w:cs="宋体"/>
                <w:bCs/>
                <w:sz w:val="28"/>
                <w:szCs w:val="28"/>
              </w:rPr>
            </w:pPr>
          </w:p>
          <w:p>
            <w:pPr>
              <w:rPr>
                <w:rFonts w:ascii="宋体" w:hAnsi="宋体" w:cs="宋体"/>
                <w:bCs/>
                <w:sz w:val="28"/>
                <w:szCs w:val="28"/>
                <w:u w:val="single"/>
              </w:rPr>
            </w:pPr>
            <w:r>
              <w:rPr>
                <w:rFonts w:hint="eastAsia" w:ascii="宋体" w:hAnsi="宋体" w:cs="宋体"/>
                <w:bCs/>
                <w:sz w:val="28"/>
                <w:szCs w:val="28"/>
              </w:rPr>
              <w:t xml:space="preserve">    </w:t>
            </w:r>
            <w:r>
              <w:rPr>
                <w:rFonts w:hint="eastAsia" w:ascii="宋体" w:hAnsi="宋体" w:cs="宋体"/>
                <w:bCs/>
                <w:sz w:val="28"/>
                <w:szCs w:val="28"/>
                <w:u w:val="single"/>
              </w:rPr>
              <w:t xml:space="preserve">                         </w:t>
            </w:r>
          </w:p>
          <w:p>
            <w:pPr>
              <w:rPr>
                <w:rFonts w:ascii="宋体" w:hAnsi="宋体" w:cs="宋体"/>
                <w:bCs/>
                <w:sz w:val="28"/>
                <w:szCs w:val="28"/>
                <w:u w:val="single"/>
              </w:rPr>
            </w:pPr>
          </w:p>
          <w:p>
            <w:pPr>
              <w:rPr>
                <w:rFonts w:ascii="宋体" w:hAnsi="宋体" w:cs="宋体"/>
                <w:bCs/>
                <w:sz w:val="28"/>
                <w:szCs w:val="28"/>
                <w:u w:val="single"/>
              </w:rPr>
            </w:pPr>
            <w:r>
              <w:rPr>
                <w:rFonts w:hint="eastAsia" w:ascii="宋体" w:hAnsi="宋体" w:cs="宋体"/>
                <w:bCs/>
                <w:sz w:val="28"/>
                <w:szCs w:val="28"/>
              </w:rPr>
              <w:t xml:space="preserve">    </w:t>
            </w:r>
            <w:r>
              <w:rPr>
                <w:rFonts w:hint="eastAsia" w:ascii="宋体" w:hAnsi="宋体" w:cs="宋体"/>
                <w:bCs/>
                <w:sz w:val="28"/>
                <w:szCs w:val="28"/>
                <w:u w:val="single"/>
              </w:rPr>
              <w:t xml:space="preserve">                         </w:t>
            </w:r>
          </w:p>
          <w:p>
            <w:pPr>
              <w:rPr>
                <w:rFonts w:ascii="宋体" w:hAnsi="宋体" w:cs="宋体"/>
                <w:bCs/>
                <w:sz w:val="28"/>
                <w:szCs w:val="28"/>
                <w:u w:val="single"/>
              </w:rPr>
            </w:pPr>
          </w:p>
          <w:p>
            <w:pPr>
              <w:rPr>
                <w:rFonts w:ascii="宋体" w:hAnsi="宋体" w:cs="宋体"/>
                <w:bCs/>
                <w:sz w:val="28"/>
                <w:szCs w:val="28"/>
              </w:rPr>
            </w:pPr>
            <w:r>
              <w:rPr>
                <w:rFonts w:hint="eastAsia" w:ascii="宋体" w:hAnsi="宋体" w:cs="宋体"/>
                <w:bCs/>
                <w:sz w:val="28"/>
                <w:szCs w:val="28"/>
              </w:rPr>
              <w:t>负责人：</w:t>
            </w:r>
          </w:p>
          <w:p>
            <w:pPr>
              <w:rPr>
                <w:rFonts w:ascii="宋体" w:hAnsi="宋体" w:cs="宋体"/>
                <w:bCs/>
                <w:sz w:val="28"/>
                <w:szCs w:val="28"/>
              </w:rPr>
            </w:pPr>
          </w:p>
          <w:p>
            <w:pPr>
              <w:ind w:firstLine="1400" w:firstLineChars="500"/>
              <w:jc w:val="center"/>
              <w:rPr>
                <w:rFonts w:ascii="宋体" w:hAnsi="宋体" w:cs="宋体"/>
                <w:bCs/>
                <w:sz w:val="28"/>
                <w:szCs w:val="28"/>
              </w:rPr>
            </w:pPr>
            <w:r>
              <w:rPr>
                <w:rFonts w:ascii="宋体" w:hAnsi="宋体" w:cs="宋体"/>
                <w:sz w:val="28"/>
                <w:szCs w:val="28"/>
              </w:rPr>
              <w:t>202</w:t>
            </w:r>
            <w:r>
              <w:rPr>
                <w:rFonts w:hint="eastAsia" w:ascii="宋体" w:hAnsi="宋体" w:cs="宋体"/>
                <w:sz w:val="28"/>
                <w:szCs w:val="28"/>
                <w:lang w:val="en-US" w:eastAsia="zh-CN"/>
              </w:rPr>
              <w:t>4</w:t>
            </w:r>
            <w:r>
              <w:rPr>
                <w:rFonts w:hint="eastAsia" w:ascii="宋体" w:hAnsi="宋体" w:cs="宋体"/>
                <w:sz w:val="28"/>
                <w:szCs w:val="28"/>
              </w:rPr>
              <w:t>年</w:t>
            </w:r>
            <w:r>
              <w:rPr>
                <w:rFonts w:ascii="宋体" w:hAnsi="宋体" w:cs="宋体"/>
                <w:sz w:val="28"/>
                <w:szCs w:val="28"/>
              </w:rPr>
              <w:t>__</w:t>
            </w:r>
            <w:r>
              <w:rPr>
                <w:rFonts w:hint="eastAsia" w:ascii="宋体" w:hAnsi="宋体" w:cs="宋体"/>
                <w:sz w:val="28"/>
                <w:szCs w:val="28"/>
              </w:rPr>
              <w:t>月</w:t>
            </w:r>
            <w:r>
              <w:rPr>
                <w:rFonts w:ascii="宋体" w:hAnsi="宋体" w:cs="宋体"/>
                <w:sz w:val="28"/>
                <w:szCs w:val="28"/>
              </w:rPr>
              <w:t>__</w:t>
            </w:r>
            <w:r>
              <w:rPr>
                <w:rFonts w:hint="eastAsia" w:ascii="宋体" w:hAnsi="宋体" w:cs="宋体"/>
                <w:sz w:val="28"/>
                <w:szCs w:val="28"/>
              </w:rPr>
              <w:t>日</w:t>
            </w:r>
          </w:p>
        </w:tc>
      </w:tr>
    </w:tbl>
    <w:p>
      <w:pPr>
        <w:spacing w:line="440" w:lineRule="exact"/>
        <w:rPr>
          <w:rFonts w:ascii="宋体" w:cs="宋体"/>
          <w:color w:val="000000"/>
          <w:sz w:val="28"/>
          <w:szCs w:val="28"/>
        </w:rPr>
      </w:pPr>
    </w:p>
    <w:sectPr>
      <w:headerReference r:id="rId3" w:type="default"/>
      <w:footerReference r:id="rId4" w:type="default"/>
      <w:pgSz w:w="11907" w:h="15876"/>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mc:AlternateContent>
        <mc:Choice Requires="wps">
          <w:drawing>
            <wp:anchor distT="0" distB="0" distL="114300" distR="114300" simplePos="0" relativeHeight="251660288" behindDoc="0" locked="0" layoutInCell="1" allowOverlap="1">
              <wp:simplePos x="0" y="0"/>
              <wp:positionH relativeFrom="column">
                <wp:posOffset>12700</wp:posOffset>
              </wp:positionH>
              <wp:positionV relativeFrom="paragraph">
                <wp:posOffset>-84455</wp:posOffset>
              </wp:positionV>
              <wp:extent cx="6198235" cy="635"/>
              <wp:effectExtent l="0" t="13970" r="12065" b="23495"/>
              <wp:wrapNone/>
              <wp:docPr id="2" name="直线 1027"/>
              <wp:cNvGraphicFramePr/>
              <a:graphic xmlns:a="http://schemas.openxmlformats.org/drawingml/2006/main">
                <a:graphicData uri="http://schemas.microsoft.com/office/word/2010/wordprocessingShape">
                  <wps:wsp>
                    <wps:cNvCnPr/>
                    <wps:spPr>
                      <a:xfrm>
                        <a:off x="0" y="0"/>
                        <a:ext cx="6198235" cy="635"/>
                      </a:xfrm>
                      <a:prstGeom prst="line">
                        <a:avLst/>
                      </a:prstGeom>
                      <a:ln w="28575" cap="flat" cmpd="dbl">
                        <a:solidFill>
                          <a:srgbClr val="000000"/>
                        </a:solidFill>
                        <a:prstDash val="solid"/>
                        <a:headEnd type="none" w="med" len="med"/>
                        <a:tailEnd type="none" w="med" len="med"/>
                      </a:ln>
                    </wps:spPr>
                    <wps:bodyPr/>
                  </wps:wsp>
                </a:graphicData>
              </a:graphic>
            </wp:anchor>
          </w:drawing>
        </mc:Choice>
        <mc:Fallback>
          <w:pict>
            <v:line id="直线 1027" o:spid="_x0000_s1026" o:spt="20" style="position:absolute;left:0pt;margin-left:1pt;margin-top:-6.65pt;height:0.05pt;width:488.05pt;z-index:251660288;mso-width-relative:page;mso-height-relative:page;" filled="f" stroked="t" coordsize="21600,21600" o:gfxdata="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nNBOr2AAAAAkB&#10;AAAPAAAAAAAAAAEAIAAAACIAAABkcnMvZG93bnJldi54bWxQSwECFAAUAAAACACHTuJA3yoJreIB&#10;AADVAwAADgAAAAAAAAABACAAAAAnAQAAZHJzL2Uyb0RvYy54bWxQSwUGAAAAAAYABgBZAQAAewUA&#10;AAAA&#10;">
              <v:fill on="f" focussize="0,0"/>
              <v:stroke weight="2.25pt" color="#000000" linestyle="thinThin" joinstyle="round"/>
              <v:imagedata o:title=""/>
              <o:lock v:ext="edit" aspectratio="f"/>
            </v:line>
          </w:pict>
        </mc:Fallback>
      </mc:AlternateContent>
    </w:r>
    <w:r>
      <w:rPr>
        <w:rFonts w:hint="eastAsia"/>
        <w:kern w:val="0"/>
      </w:rPr>
      <w:t>第</w:t>
    </w:r>
    <w:r>
      <w:rPr>
        <w:kern w:val="0"/>
      </w:rPr>
      <w:fldChar w:fldCharType="begin"/>
    </w:r>
    <w:r>
      <w:rPr>
        <w:kern w:val="0"/>
      </w:rPr>
      <w:instrText xml:space="preserve"> PAGE </w:instrText>
    </w:r>
    <w:r>
      <w:rPr>
        <w:kern w:val="0"/>
      </w:rPr>
      <w:fldChar w:fldCharType="separate"/>
    </w:r>
    <w:r>
      <w:rPr>
        <w:kern w:val="0"/>
      </w:rPr>
      <w:t>2</w:t>
    </w:r>
    <w:r>
      <w:rPr>
        <w:kern w:val="0"/>
      </w:rPr>
      <w:fldChar w:fldCharType="end"/>
    </w:r>
    <w:r>
      <w:rPr>
        <w:rFonts w:hint="eastAsia"/>
        <w:kern w:val="0"/>
      </w:rPr>
      <w:t>页共</w:t>
    </w:r>
    <w:r>
      <w:rPr>
        <w:kern w:val="0"/>
      </w:rPr>
      <w:fldChar w:fldCharType="begin"/>
    </w:r>
    <w:r>
      <w:rPr>
        <w:kern w:val="0"/>
      </w:rPr>
      <w:instrText xml:space="preserve"> NUMPAGES </w:instrText>
    </w:r>
    <w:r>
      <w:rPr>
        <w:kern w:val="0"/>
      </w:rPr>
      <w:fldChar w:fldCharType="separate"/>
    </w:r>
    <w:r>
      <w:rPr>
        <w:kern w:val="0"/>
      </w:rPr>
      <w:t>7</w:t>
    </w:r>
    <w:r>
      <w:rPr>
        <w:kern w:val="0"/>
      </w:rPr>
      <w:fldChar w:fldCharType="end"/>
    </w:r>
    <w:r>
      <w:rPr>
        <w:rFonts w:hint="eastAsia"/>
        <w:kern w:val="0"/>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outlineLvl w:val="0"/>
      <w:rPr>
        <w:b/>
        <w:sz w:val="18"/>
        <w:szCs w:val="18"/>
      </w:rPr>
    </w:pPr>
    <w:r>
      <w:rPr>
        <w:sz w:val="18"/>
        <w:szCs w:val="18"/>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364490</wp:posOffset>
              </wp:positionV>
              <wp:extent cx="6198235" cy="635"/>
              <wp:effectExtent l="0" t="13970" r="12065" b="23495"/>
              <wp:wrapNone/>
              <wp:docPr id="1" name="直线 1026"/>
              <wp:cNvGraphicFramePr/>
              <a:graphic xmlns:a="http://schemas.openxmlformats.org/drawingml/2006/main">
                <a:graphicData uri="http://schemas.microsoft.com/office/word/2010/wordprocessingShape">
                  <wps:wsp>
                    <wps:cNvCnPr/>
                    <wps:spPr>
                      <a:xfrm>
                        <a:off x="0" y="0"/>
                        <a:ext cx="6198235" cy="635"/>
                      </a:xfrm>
                      <a:prstGeom prst="line">
                        <a:avLst/>
                      </a:prstGeom>
                      <a:ln w="28575" cap="flat" cmpd="dbl">
                        <a:solidFill>
                          <a:srgbClr val="000000"/>
                        </a:solidFill>
                        <a:prstDash val="solid"/>
                        <a:headEnd type="none" w="med" len="med"/>
                        <a:tailEnd type="none" w="med" len="med"/>
                      </a:ln>
                    </wps:spPr>
                    <wps:bodyPr/>
                  </wps:wsp>
                </a:graphicData>
              </a:graphic>
            </wp:anchor>
          </w:drawing>
        </mc:Choice>
        <mc:Fallback>
          <w:pict>
            <v:line id="直线 1026" o:spid="_x0000_s1026" o:spt="20" style="position:absolute;left:0pt;margin-left:0pt;margin-top:28.7pt;height:0.05pt;width:488.05pt;z-index:251659264;mso-width-relative:page;mso-height-relative:page;" filled="f" stroked="t" coordsize="21600,21600" o:gfxdata="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fxuqQ9YAAAAGAQAA&#10;DwAAAAAAAAABACAAAAAiAAAAZHJzL2Rvd25yZXYueG1sUEsBAhQAFAAAAAgAh07iQH8DFffiAQAA&#10;1QMAAA4AAAAAAAAAAQAgAAAAJQEAAGRycy9lMm9Eb2MueG1sUEsFBgAAAAAGAAYAWQEAAHkFAAAA&#10;AA==&#10;">
              <v:fill on="f" focussize="0,0"/>
              <v:stroke weight="2.25pt" color="#000000" linestyle="thinThin" joinstyle="round"/>
              <v:imagedata o:title=""/>
              <o:lock v:ext="edit" aspectratio="f"/>
            </v:line>
          </w:pict>
        </mc:Fallback>
      </mc:AlternateContent>
    </w:r>
    <w:r>
      <w:rPr>
        <w:rFonts w:hint="eastAsia"/>
        <w:b/>
        <w:bCs/>
        <w:sz w:val="18"/>
        <w:szCs w:val="18"/>
      </w:rPr>
      <w:t>本溪钢铁（集团）设备工程有限公司北营炼铁总厂360、400m2烧结机除尘系统改造项</w:t>
    </w:r>
    <w:r>
      <w:rPr>
        <w:rFonts w:hint="eastAsia"/>
        <w:b/>
        <w:bCs/>
        <w:sz w:val="18"/>
        <w:szCs w:val="18"/>
        <w:lang w:eastAsia="zh-CN"/>
      </w:rPr>
      <w:t>目</w:t>
    </w:r>
    <w:r>
      <w:rPr>
        <w:rFonts w:hint="eastAsia"/>
        <w:b/>
        <w:sz w:val="18"/>
        <w:szCs w:val="18"/>
        <w:lang w:val="en-US" w:eastAsia="zh-CN"/>
      </w:rPr>
      <w:t>备件</w:t>
    </w:r>
    <w:r>
      <w:rPr>
        <w:rFonts w:hint="eastAsia"/>
        <w:b/>
        <w:sz w:val="18"/>
        <w:szCs w:val="18"/>
      </w:rPr>
      <w:t>招标采购技术规格书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257AFE6"/>
    <w:multiLevelType w:val="singleLevel"/>
    <w:tmpl w:val="4257AFE6"/>
    <w:lvl w:ilvl="0" w:tentative="0">
      <w:start w:val="5"/>
      <w:numFmt w:val="chineseCounting"/>
      <w:suff w:val="nothing"/>
      <w:lvlText w:val="%1、"/>
      <w:lvlJc w:val="left"/>
      <w:rPr>
        <w:rFonts w:hint="eastAsia"/>
      </w:rPr>
    </w:lvl>
  </w:abstractNum>
  <w:abstractNum w:abstractNumId="1">
    <w:nsid w:val="44D6FFF8"/>
    <w:multiLevelType w:val="singleLevel"/>
    <w:tmpl w:val="44D6FFF8"/>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NotTrackMoves/>
  <w:documentProtection w:enforcement="0"/>
  <w:defaultTabStop w:val="425"/>
  <w:drawingGridHorizontalSpacing w:val="105"/>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QyMDQzY2QyMGZiOGM0YWVkZTJiNzU0ODU2NzZhNjcifQ=="/>
  </w:docVars>
  <w:rsids>
    <w:rsidRoot w:val="00172A27"/>
    <w:rsid w:val="00001EB2"/>
    <w:rsid w:val="000047D7"/>
    <w:rsid w:val="00011DD4"/>
    <w:rsid w:val="00014808"/>
    <w:rsid w:val="00016F9F"/>
    <w:rsid w:val="00023350"/>
    <w:rsid w:val="0003785E"/>
    <w:rsid w:val="00053A9F"/>
    <w:rsid w:val="00062457"/>
    <w:rsid w:val="00071338"/>
    <w:rsid w:val="000758ED"/>
    <w:rsid w:val="000C42AE"/>
    <w:rsid w:val="001031B0"/>
    <w:rsid w:val="001056AB"/>
    <w:rsid w:val="00114991"/>
    <w:rsid w:val="00120AE0"/>
    <w:rsid w:val="00121C8A"/>
    <w:rsid w:val="00125764"/>
    <w:rsid w:val="0012615C"/>
    <w:rsid w:val="0013228B"/>
    <w:rsid w:val="001471A8"/>
    <w:rsid w:val="00153AF9"/>
    <w:rsid w:val="00172A27"/>
    <w:rsid w:val="00174A13"/>
    <w:rsid w:val="00180B32"/>
    <w:rsid w:val="00184539"/>
    <w:rsid w:val="00184E0A"/>
    <w:rsid w:val="001A3687"/>
    <w:rsid w:val="001A6DD2"/>
    <w:rsid w:val="001B1A65"/>
    <w:rsid w:val="001B3C20"/>
    <w:rsid w:val="001F4DD4"/>
    <w:rsid w:val="002070EE"/>
    <w:rsid w:val="002275EF"/>
    <w:rsid w:val="00227E6D"/>
    <w:rsid w:val="002306ED"/>
    <w:rsid w:val="002419B1"/>
    <w:rsid w:val="002434C5"/>
    <w:rsid w:val="00257378"/>
    <w:rsid w:val="0026492B"/>
    <w:rsid w:val="0027667F"/>
    <w:rsid w:val="00277372"/>
    <w:rsid w:val="00285280"/>
    <w:rsid w:val="00295A33"/>
    <w:rsid w:val="002963A4"/>
    <w:rsid w:val="002A7AFD"/>
    <w:rsid w:val="002B1FC1"/>
    <w:rsid w:val="002B5424"/>
    <w:rsid w:val="002C55A9"/>
    <w:rsid w:val="002D392E"/>
    <w:rsid w:val="002E1D95"/>
    <w:rsid w:val="002E53DB"/>
    <w:rsid w:val="002E7AEC"/>
    <w:rsid w:val="002F3E8B"/>
    <w:rsid w:val="002F44DA"/>
    <w:rsid w:val="002F5B7F"/>
    <w:rsid w:val="00313797"/>
    <w:rsid w:val="003167EE"/>
    <w:rsid w:val="003213FF"/>
    <w:rsid w:val="003334C1"/>
    <w:rsid w:val="00342513"/>
    <w:rsid w:val="00361447"/>
    <w:rsid w:val="00364D68"/>
    <w:rsid w:val="00376290"/>
    <w:rsid w:val="003B3C52"/>
    <w:rsid w:val="003D55D7"/>
    <w:rsid w:val="003E0117"/>
    <w:rsid w:val="00402B10"/>
    <w:rsid w:val="004038A3"/>
    <w:rsid w:val="004173EB"/>
    <w:rsid w:val="0043423F"/>
    <w:rsid w:val="004356FF"/>
    <w:rsid w:val="00442D30"/>
    <w:rsid w:val="00443048"/>
    <w:rsid w:val="00444A25"/>
    <w:rsid w:val="004532B3"/>
    <w:rsid w:val="0045491F"/>
    <w:rsid w:val="00464732"/>
    <w:rsid w:val="00466BDD"/>
    <w:rsid w:val="00477FF5"/>
    <w:rsid w:val="004A2B64"/>
    <w:rsid w:val="004B0EC2"/>
    <w:rsid w:val="004B3B36"/>
    <w:rsid w:val="004C40A0"/>
    <w:rsid w:val="004D6B54"/>
    <w:rsid w:val="004E2437"/>
    <w:rsid w:val="004E3485"/>
    <w:rsid w:val="004E601A"/>
    <w:rsid w:val="004F312D"/>
    <w:rsid w:val="004F53D1"/>
    <w:rsid w:val="00500335"/>
    <w:rsid w:val="005140B0"/>
    <w:rsid w:val="00514A83"/>
    <w:rsid w:val="00515A0D"/>
    <w:rsid w:val="0054021B"/>
    <w:rsid w:val="00547BAE"/>
    <w:rsid w:val="00567E31"/>
    <w:rsid w:val="00570343"/>
    <w:rsid w:val="00587CEC"/>
    <w:rsid w:val="00596435"/>
    <w:rsid w:val="005A7615"/>
    <w:rsid w:val="005B12D9"/>
    <w:rsid w:val="005B7043"/>
    <w:rsid w:val="005C1062"/>
    <w:rsid w:val="005C7097"/>
    <w:rsid w:val="005D033C"/>
    <w:rsid w:val="005D1033"/>
    <w:rsid w:val="005E14D3"/>
    <w:rsid w:val="005E5641"/>
    <w:rsid w:val="005E6ACC"/>
    <w:rsid w:val="006125B1"/>
    <w:rsid w:val="00613CC8"/>
    <w:rsid w:val="006140A3"/>
    <w:rsid w:val="00623421"/>
    <w:rsid w:val="00632699"/>
    <w:rsid w:val="00637025"/>
    <w:rsid w:val="0064733B"/>
    <w:rsid w:val="0065071F"/>
    <w:rsid w:val="006551C4"/>
    <w:rsid w:val="00655B5E"/>
    <w:rsid w:val="00662556"/>
    <w:rsid w:val="00692350"/>
    <w:rsid w:val="006A53BC"/>
    <w:rsid w:val="006C604F"/>
    <w:rsid w:val="006F0E94"/>
    <w:rsid w:val="006F6D81"/>
    <w:rsid w:val="007005AA"/>
    <w:rsid w:val="00707249"/>
    <w:rsid w:val="00732C0B"/>
    <w:rsid w:val="007357E3"/>
    <w:rsid w:val="007412C3"/>
    <w:rsid w:val="00747896"/>
    <w:rsid w:val="00752BCD"/>
    <w:rsid w:val="00757A8C"/>
    <w:rsid w:val="00760F4B"/>
    <w:rsid w:val="00761FDF"/>
    <w:rsid w:val="00784FB2"/>
    <w:rsid w:val="00790991"/>
    <w:rsid w:val="00796326"/>
    <w:rsid w:val="007B3182"/>
    <w:rsid w:val="007B7D2C"/>
    <w:rsid w:val="007C449F"/>
    <w:rsid w:val="007D14CA"/>
    <w:rsid w:val="007D152E"/>
    <w:rsid w:val="007D67CD"/>
    <w:rsid w:val="007D7422"/>
    <w:rsid w:val="007E1213"/>
    <w:rsid w:val="007F1AC4"/>
    <w:rsid w:val="0080344F"/>
    <w:rsid w:val="00810AE3"/>
    <w:rsid w:val="00825A2C"/>
    <w:rsid w:val="00825A4E"/>
    <w:rsid w:val="008349E2"/>
    <w:rsid w:val="00834A80"/>
    <w:rsid w:val="00870F9B"/>
    <w:rsid w:val="00875B3F"/>
    <w:rsid w:val="0088373B"/>
    <w:rsid w:val="00891A75"/>
    <w:rsid w:val="00892197"/>
    <w:rsid w:val="008A3D06"/>
    <w:rsid w:val="008B42C9"/>
    <w:rsid w:val="008D6DF9"/>
    <w:rsid w:val="008D76CE"/>
    <w:rsid w:val="008E21D7"/>
    <w:rsid w:val="00915A7B"/>
    <w:rsid w:val="0091757B"/>
    <w:rsid w:val="00917A79"/>
    <w:rsid w:val="00924E5D"/>
    <w:rsid w:val="00930086"/>
    <w:rsid w:val="0093076E"/>
    <w:rsid w:val="009603E2"/>
    <w:rsid w:val="00977CF3"/>
    <w:rsid w:val="009843B8"/>
    <w:rsid w:val="00992B58"/>
    <w:rsid w:val="009C0A51"/>
    <w:rsid w:val="009D1301"/>
    <w:rsid w:val="009D4462"/>
    <w:rsid w:val="009D7CF9"/>
    <w:rsid w:val="009F6FEB"/>
    <w:rsid w:val="00A015CF"/>
    <w:rsid w:val="00A175EC"/>
    <w:rsid w:val="00A25A09"/>
    <w:rsid w:val="00A30715"/>
    <w:rsid w:val="00A37ED2"/>
    <w:rsid w:val="00A71AE3"/>
    <w:rsid w:val="00A77960"/>
    <w:rsid w:val="00A835C2"/>
    <w:rsid w:val="00A84439"/>
    <w:rsid w:val="00A90799"/>
    <w:rsid w:val="00A92005"/>
    <w:rsid w:val="00A92F03"/>
    <w:rsid w:val="00A94961"/>
    <w:rsid w:val="00AA687B"/>
    <w:rsid w:val="00AB2DEB"/>
    <w:rsid w:val="00AB5401"/>
    <w:rsid w:val="00AE0517"/>
    <w:rsid w:val="00AF1D2C"/>
    <w:rsid w:val="00AF2D26"/>
    <w:rsid w:val="00B11F7A"/>
    <w:rsid w:val="00B13AEF"/>
    <w:rsid w:val="00B21040"/>
    <w:rsid w:val="00B4398B"/>
    <w:rsid w:val="00B504D3"/>
    <w:rsid w:val="00B75BAA"/>
    <w:rsid w:val="00BA0C79"/>
    <w:rsid w:val="00BA753C"/>
    <w:rsid w:val="00BE2C27"/>
    <w:rsid w:val="00BE58B4"/>
    <w:rsid w:val="00BF12E1"/>
    <w:rsid w:val="00C2408B"/>
    <w:rsid w:val="00C46D78"/>
    <w:rsid w:val="00C54769"/>
    <w:rsid w:val="00C640F3"/>
    <w:rsid w:val="00C7403E"/>
    <w:rsid w:val="00C774A2"/>
    <w:rsid w:val="00C900C7"/>
    <w:rsid w:val="00CA3D59"/>
    <w:rsid w:val="00CA3E98"/>
    <w:rsid w:val="00CB69F3"/>
    <w:rsid w:val="00CC252E"/>
    <w:rsid w:val="00CD18DF"/>
    <w:rsid w:val="00CD3725"/>
    <w:rsid w:val="00CE6BD8"/>
    <w:rsid w:val="00CF08A8"/>
    <w:rsid w:val="00CF094C"/>
    <w:rsid w:val="00CF627B"/>
    <w:rsid w:val="00D20E60"/>
    <w:rsid w:val="00D27857"/>
    <w:rsid w:val="00D44AF8"/>
    <w:rsid w:val="00D56805"/>
    <w:rsid w:val="00D63C25"/>
    <w:rsid w:val="00D66C15"/>
    <w:rsid w:val="00D72DEF"/>
    <w:rsid w:val="00D760A4"/>
    <w:rsid w:val="00DB00DD"/>
    <w:rsid w:val="00DB4D20"/>
    <w:rsid w:val="00DC0F13"/>
    <w:rsid w:val="00DC14E7"/>
    <w:rsid w:val="00DE1491"/>
    <w:rsid w:val="00DE3DE9"/>
    <w:rsid w:val="00DE5CF3"/>
    <w:rsid w:val="00DE6282"/>
    <w:rsid w:val="00DE6C88"/>
    <w:rsid w:val="00E0269D"/>
    <w:rsid w:val="00E07CC8"/>
    <w:rsid w:val="00E33992"/>
    <w:rsid w:val="00E42A71"/>
    <w:rsid w:val="00E468F7"/>
    <w:rsid w:val="00E5114D"/>
    <w:rsid w:val="00E53C42"/>
    <w:rsid w:val="00E60BF6"/>
    <w:rsid w:val="00E705CE"/>
    <w:rsid w:val="00E7554B"/>
    <w:rsid w:val="00E8510F"/>
    <w:rsid w:val="00E948D6"/>
    <w:rsid w:val="00EA1794"/>
    <w:rsid w:val="00EC7402"/>
    <w:rsid w:val="00ED35C9"/>
    <w:rsid w:val="00EE02CE"/>
    <w:rsid w:val="00EE6FE8"/>
    <w:rsid w:val="00EF4763"/>
    <w:rsid w:val="00F02A44"/>
    <w:rsid w:val="00F10FC6"/>
    <w:rsid w:val="00F41022"/>
    <w:rsid w:val="00F47514"/>
    <w:rsid w:val="00F5621D"/>
    <w:rsid w:val="00F609E8"/>
    <w:rsid w:val="00F718C8"/>
    <w:rsid w:val="00F969BA"/>
    <w:rsid w:val="00FC1CF5"/>
    <w:rsid w:val="00FD49BA"/>
    <w:rsid w:val="00FD7A3D"/>
    <w:rsid w:val="01261906"/>
    <w:rsid w:val="0148601E"/>
    <w:rsid w:val="01913A92"/>
    <w:rsid w:val="024D48C4"/>
    <w:rsid w:val="051B22E1"/>
    <w:rsid w:val="065957CF"/>
    <w:rsid w:val="06C929F2"/>
    <w:rsid w:val="06E321E9"/>
    <w:rsid w:val="070C2980"/>
    <w:rsid w:val="08700967"/>
    <w:rsid w:val="092332BA"/>
    <w:rsid w:val="0ACE04B9"/>
    <w:rsid w:val="0BFF62CB"/>
    <w:rsid w:val="0C2422CC"/>
    <w:rsid w:val="0D7724A2"/>
    <w:rsid w:val="0F17529E"/>
    <w:rsid w:val="11E935E7"/>
    <w:rsid w:val="13045D71"/>
    <w:rsid w:val="13643BFB"/>
    <w:rsid w:val="142735BC"/>
    <w:rsid w:val="16A67F22"/>
    <w:rsid w:val="17884AD8"/>
    <w:rsid w:val="180C0990"/>
    <w:rsid w:val="18870DA6"/>
    <w:rsid w:val="18915F0A"/>
    <w:rsid w:val="195C56C2"/>
    <w:rsid w:val="19F267AD"/>
    <w:rsid w:val="1A9E3960"/>
    <w:rsid w:val="1AF613B7"/>
    <w:rsid w:val="1C517D11"/>
    <w:rsid w:val="1D0E3E0F"/>
    <w:rsid w:val="1F8F0078"/>
    <w:rsid w:val="20753BC5"/>
    <w:rsid w:val="21F46A7B"/>
    <w:rsid w:val="22266AF2"/>
    <w:rsid w:val="22E74C46"/>
    <w:rsid w:val="233D1A22"/>
    <w:rsid w:val="23AF10B8"/>
    <w:rsid w:val="244771A0"/>
    <w:rsid w:val="24764216"/>
    <w:rsid w:val="25E2106C"/>
    <w:rsid w:val="25F21827"/>
    <w:rsid w:val="267455C5"/>
    <w:rsid w:val="27326B6A"/>
    <w:rsid w:val="273B7477"/>
    <w:rsid w:val="284C5E8F"/>
    <w:rsid w:val="29F2408E"/>
    <w:rsid w:val="2A794DB3"/>
    <w:rsid w:val="2B5113A1"/>
    <w:rsid w:val="2CA1657B"/>
    <w:rsid w:val="2CEE6791"/>
    <w:rsid w:val="2D1A7B15"/>
    <w:rsid w:val="2DB206F1"/>
    <w:rsid w:val="2E0D4B1C"/>
    <w:rsid w:val="2F51409E"/>
    <w:rsid w:val="2F5F0488"/>
    <w:rsid w:val="2F6E7EF6"/>
    <w:rsid w:val="30D933D9"/>
    <w:rsid w:val="316038BB"/>
    <w:rsid w:val="31660624"/>
    <w:rsid w:val="32CF3C8A"/>
    <w:rsid w:val="32E043F7"/>
    <w:rsid w:val="331F66A6"/>
    <w:rsid w:val="33FC28C4"/>
    <w:rsid w:val="355F1393"/>
    <w:rsid w:val="35B46971"/>
    <w:rsid w:val="36AE6DEC"/>
    <w:rsid w:val="36EE683F"/>
    <w:rsid w:val="37FA16D0"/>
    <w:rsid w:val="38D102DC"/>
    <w:rsid w:val="38D7229A"/>
    <w:rsid w:val="391638A8"/>
    <w:rsid w:val="39A92798"/>
    <w:rsid w:val="39FB19AF"/>
    <w:rsid w:val="3A92771D"/>
    <w:rsid w:val="3CC06686"/>
    <w:rsid w:val="3DB14232"/>
    <w:rsid w:val="3EA85757"/>
    <w:rsid w:val="3F2B0B43"/>
    <w:rsid w:val="3FBF1820"/>
    <w:rsid w:val="412330A7"/>
    <w:rsid w:val="41397F2C"/>
    <w:rsid w:val="41405083"/>
    <w:rsid w:val="41D266FA"/>
    <w:rsid w:val="42B005E6"/>
    <w:rsid w:val="4389695C"/>
    <w:rsid w:val="45567EB9"/>
    <w:rsid w:val="45A46466"/>
    <w:rsid w:val="45E1072A"/>
    <w:rsid w:val="46A01050"/>
    <w:rsid w:val="48C270D2"/>
    <w:rsid w:val="491F37AB"/>
    <w:rsid w:val="4A1F59E3"/>
    <w:rsid w:val="4A32753C"/>
    <w:rsid w:val="4A351591"/>
    <w:rsid w:val="4A7752FB"/>
    <w:rsid w:val="4A834233"/>
    <w:rsid w:val="4B93198F"/>
    <w:rsid w:val="4BE522F5"/>
    <w:rsid w:val="4BEE2622"/>
    <w:rsid w:val="4C65248C"/>
    <w:rsid w:val="4D017F28"/>
    <w:rsid w:val="4D401171"/>
    <w:rsid w:val="4DCC5938"/>
    <w:rsid w:val="4E4E163B"/>
    <w:rsid w:val="4EDF36A4"/>
    <w:rsid w:val="4F616B58"/>
    <w:rsid w:val="5187285A"/>
    <w:rsid w:val="51E71C90"/>
    <w:rsid w:val="546C0F4B"/>
    <w:rsid w:val="54714E2C"/>
    <w:rsid w:val="54EF48F8"/>
    <w:rsid w:val="554345F1"/>
    <w:rsid w:val="57C117A6"/>
    <w:rsid w:val="58022C3B"/>
    <w:rsid w:val="594D4AA8"/>
    <w:rsid w:val="59822CDE"/>
    <w:rsid w:val="5A932473"/>
    <w:rsid w:val="5D286394"/>
    <w:rsid w:val="60460585"/>
    <w:rsid w:val="608A71FD"/>
    <w:rsid w:val="60B103B2"/>
    <w:rsid w:val="62A33EED"/>
    <w:rsid w:val="636A7455"/>
    <w:rsid w:val="649A4A6D"/>
    <w:rsid w:val="65494790"/>
    <w:rsid w:val="66644D88"/>
    <w:rsid w:val="6675009D"/>
    <w:rsid w:val="68CC2B47"/>
    <w:rsid w:val="6AB210F1"/>
    <w:rsid w:val="6B2902D7"/>
    <w:rsid w:val="6BA7029D"/>
    <w:rsid w:val="6C024327"/>
    <w:rsid w:val="6C147583"/>
    <w:rsid w:val="6D663A57"/>
    <w:rsid w:val="6E9021E5"/>
    <w:rsid w:val="6EDD2B6C"/>
    <w:rsid w:val="6F0C6839"/>
    <w:rsid w:val="6F8101B1"/>
    <w:rsid w:val="702F0E56"/>
    <w:rsid w:val="70531ED5"/>
    <w:rsid w:val="71024C41"/>
    <w:rsid w:val="71893027"/>
    <w:rsid w:val="722E76FF"/>
    <w:rsid w:val="72614B6B"/>
    <w:rsid w:val="726D7377"/>
    <w:rsid w:val="72E05C60"/>
    <w:rsid w:val="74197FD9"/>
    <w:rsid w:val="77532AFB"/>
    <w:rsid w:val="780776B4"/>
    <w:rsid w:val="78081DAA"/>
    <w:rsid w:val="788411A3"/>
    <w:rsid w:val="7A3D312E"/>
    <w:rsid w:val="7B305657"/>
    <w:rsid w:val="7C5A7913"/>
    <w:rsid w:val="7EB048EF"/>
    <w:rsid w:val="7EF43FBD"/>
    <w:rsid w:val="7F4038B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iPriority="39" w:name="toc 1" w:locked="1"/>
    <w:lsdException w:uiPriority="39" w:name="toc 2" w:locked="1"/>
    <w:lsdException w:uiPriority="39"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uiPriority="99" w:name="index heading" w:locked="1"/>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10" w:semiHidden="0" w:name="Title" w:locked="1"/>
    <w:lsdException w:uiPriority="99" w:name="Closing" w:locked="1"/>
    <w:lsdException w:uiPriority="99" w:name="Signature" w:locked="1"/>
    <w:lsdException w:qFormat="1" w:uiPriority="1" w:name="Default Paragraph Font"/>
    <w:lsdException w:uiPriority="99" w:name="Body Text" w:locked="1"/>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qFormat="1" w:unhideWhenUsed="0" w:uiPriority="99" w:semiHidden="0" w:name="Body Text Indent 2"/>
    <w:lsdException w:uiPriority="99" w:name="Body Text Indent 3" w:locked="1"/>
    <w:lsdException w:uiPriority="99" w:name="Block Text" w:locked="1"/>
    <w:lsdException w:uiPriority="99" w:name="Hyperlink" w:locked="1"/>
    <w:lsdException w:uiPriority="99" w:name="FollowedHyperlink" w:locked="1"/>
    <w:lsdException w:qFormat="1" w:unhideWhenUsed="0" w:uiPriority="22" w:semiHidden="0" w:name="Strong" w:locked="1"/>
    <w:lsdException w:qFormat="1" w:unhideWhenUsed="0" w:uiPriority="20" w:semiHidden="0" w:name="Emphasis" w:locked="1"/>
    <w:lsdException w:qFormat="1" w:unhideWhenUsed="0" w:uiPriority="99" w:name="Document Map"/>
    <w:lsdException w:uiPriority="99" w:name="Plain Text" w:locked="1"/>
    <w:lsdException w:uiPriority="99" w:name="E-mail Signature" w:locked="1"/>
    <w:lsdException w:uiPriority="99" w:name="Normal (Web)" w:locked="1"/>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nhideWhenUsed="0" w:uiPriority="99" w:semiHidden="0" w:name="Balloon Text"/>
    <w:lsdException w:qFormat="1" w:unhideWhenUsed="0" w:uiPriority="99" w:semiHidden="0" w:name="Table Grid"/>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7"/>
    <w:qFormat/>
    <w:uiPriority w:val="99"/>
    <w:pPr>
      <w:keepNext/>
      <w:keepLines/>
      <w:spacing w:before="340" w:after="330" w:line="578" w:lineRule="auto"/>
      <w:outlineLvl w:val="0"/>
    </w:pPr>
    <w:rPr>
      <w:b/>
      <w:kern w:val="44"/>
      <w:sz w:val="44"/>
    </w:rPr>
  </w:style>
  <w:style w:type="paragraph" w:styleId="3">
    <w:name w:val="heading 2"/>
    <w:basedOn w:val="1"/>
    <w:next w:val="4"/>
    <w:link w:val="18"/>
    <w:autoRedefine/>
    <w:qFormat/>
    <w:uiPriority w:val="99"/>
    <w:pPr>
      <w:keepNext/>
      <w:keepLines/>
      <w:spacing w:before="260" w:after="260" w:line="416" w:lineRule="auto"/>
      <w:outlineLvl w:val="1"/>
    </w:pPr>
    <w:rPr>
      <w:rFonts w:ascii="Arial" w:hAnsi="Arial" w:eastAsia="黑体"/>
      <w:b/>
      <w:sz w:val="32"/>
    </w:rPr>
  </w:style>
  <w:style w:type="paragraph" w:styleId="5">
    <w:name w:val="heading 3"/>
    <w:basedOn w:val="1"/>
    <w:next w:val="1"/>
    <w:link w:val="19"/>
    <w:qFormat/>
    <w:uiPriority w:val="99"/>
    <w:pPr>
      <w:keepNext/>
      <w:keepLines/>
      <w:adjustRightInd w:val="0"/>
      <w:spacing w:before="260" w:after="260" w:line="416" w:lineRule="atLeast"/>
      <w:ind w:firstLine="3080"/>
      <w:jc w:val="left"/>
      <w:textAlignment w:val="baseline"/>
      <w:outlineLvl w:val="2"/>
    </w:pPr>
    <w:rPr>
      <w:b/>
      <w:kern w:val="0"/>
      <w:sz w:val="32"/>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4">
    <w:name w:val="Normal Indent"/>
    <w:basedOn w:val="1"/>
    <w:autoRedefine/>
    <w:qFormat/>
    <w:uiPriority w:val="99"/>
    <w:pPr>
      <w:ind w:firstLine="420"/>
    </w:pPr>
  </w:style>
  <w:style w:type="paragraph" w:styleId="6">
    <w:name w:val="Document Map"/>
    <w:basedOn w:val="1"/>
    <w:link w:val="20"/>
    <w:autoRedefine/>
    <w:semiHidden/>
    <w:qFormat/>
    <w:uiPriority w:val="99"/>
    <w:pPr>
      <w:shd w:val="clear" w:color="auto" w:fill="000080"/>
    </w:pPr>
  </w:style>
  <w:style w:type="paragraph" w:styleId="7">
    <w:name w:val="annotation text"/>
    <w:basedOn w:val="1"/>
    <w:link w:val="21"/>
    <w:autoRedefine/>
    <w:semiHidden/>
    <w:qFormat/>
    <w:uiPriority w:val="99"/>
    <w:pPr>
      <w:adjustRightInd w:val="0"/>
      <w:spacing w:line="540" w:lineRule="atLeast"/>
      <w:jc w:val="left"/>
      <w:textAlignment w:val="baseline"/>
    </w:pPr>
    <w:rPr>
      <w:kern w:val="0"/>
      <w:sz w:val="28"/>
    </w:rPr>
  </w:style>
  <w:style w:type="paragraph" w:styleId="8">
    <w:name w:val="Body Text Indent"/>
    <w:basedOn w:val="1"/>
    <w:link w:val="22"/>
    <w:autoRedefine/>
    <w:qFormat/>
    <w:uiPriority w:val="99"/>
    <w:pPr>
      <w:ind w:left="525"/>
    </w:pPr>
    <w:rPr>
      <w:sz w:val="28"/>
    </w:rPr>
  </w:style>
  <w:style w:type="paragraph" w:styleId="9">
    <w:name w:val="Body Text Indent 2"/>
    <w:basedOn w:val="1"/>
    <w:link w:val="23"/>
    <w:autoRedefine/>
    <w:qFormat/>
    <w:uiPriority w:val="99"/>
    <w:pPr>
      <w:ind w:left="315"/>
    </w:pPr>
    <w:rPr>
      <w:sz w:val="28"/>
    </w:rPr>
  </w:style>
  <w:style w:type="paragraph" w:styleId="10">
    <w:name w:val="Balloon Text"/>
    <w:basedOn w:val="1"/>
    <w:link w:val="24"/>
    <w:autoRedefine/>
    <w:qFormat/>
    <w:uiPriority w:val="99"/>
    <w:rPr>
      <w:sz w:val="18"/>
      <w:szCs w:val="18"/>
    </w:rPr>
  </w:style>
  <w:style w:type="paragraph" w:styleId="11">
    <w:name w:val="footer"/>
    <w:basedOn w:val="1"/>
    <w:link w:val="25"/>
    <w:autoRedefine/>
    <w:qFormat/>
    <w:uiPriority w:val="99"/>
    <w:pPr>
      <w:tabs>
        <w:tab w:val="center" w:pos="4153"/>
        <w:tab w:val="right" w:pos="8306"/>
      </w:tabs>
      <w:snapToGrid w:val="0"/>
      <w:jc w:val="left"/>
    </w:pPr>
    <w:rPr>
      <w:sz w:val="18"/>
    </w:rPr>
  </w:style>
  <w:style w:type="paragraph" w:styleId="12">
    <w:name w:val="header"/>
    <w:basedOn w:val="1"/>
    <w:link w:val="26"/>
    <w:autoRedefine/>
    <w:qFormat/>
    <w:uiPriority w:val="99"/>
    <w:pPr>
      <w:pBdr>
        <w:bottom w:val="single" w:color="auto" w:sz="6" w:space="1"/>
      </w:pBdr>
      <w:tabs>
        <w:tab w:val="center" w:pos="4153"/>
        <w:tab w:val="right" w:pos="8306"/>
      </w:tabs>
      <w:snapToGrid w:val="0"/>
      <w:jc w:val="center"/>
    </w:pPr>
    <w:rPr>
      <w:sz w:val="18"/>
    </w:rPr>
  </w:style>
  <w:style w:type="table" w:styleId="14">
    <w:name w:val="Table Grid"/>
    <w:basedOn w:val="13"/>
    <w:autoRedefine/>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page number"/>
    <w:basedOn w:val="15"/>
    <w:autoRedefine/>
    <w:qFormat/>
    <w:uiPriority w:val="99"/>
    <w:rPr>
      <w:rFonts w:cs="Times New Roman"/>
    </w:rPr>
  </w:style>
  <w:style w:type="character" w:customStyle="1" w:styleId="17">
    <w:name w:val="标题 1 字符"/>
    <w:basedOn w:val="15"/>
    <w:link w:val="2"/>
    <w:autoRedefine/>
    <w:qFormat/>
    <w:locked/>
    <w:uiPriority w:val="99"/>
    <w:rPr>
      <w:rFonts w:eastAsia="宋体" w:cs="Times New Roman"/>
      <w:b/>
      <w:kern w:val="44"/>
      <w:sz w:val="44"/>
      <w:lang w:val="en-US" w:eastAsia="zh-CN" w:bidi="ar-SA"/>
    </w:rPr>
  </w:style>
  <w:style w:type="character" w:customStyle="1" w:styleId="18">
    <w:name w:val="标题 2 字符"/>
    <w:basedOn w:val="15"/>
    <w:link w:val="3"/>
    <w:autoRedefine/>
    <w:qFormat/>
    <w:locked/>
    <w:uiPriority w:val="99"/>
    <w:rPr>
      <w:rFonts w:ascii="Arial" w:hAnsi="Arial" w:eastAsia="黑体" w:cs="Times New Roman"/>
      <w:b/>
      <w:kern w:val="2"/>
      <w:sz w:val="32"/>
      <w:lang w:val="en-US" w:eastAsia="zh-CN" w:bidi="ar-SA"/>
    </w:rPr>
  </w:style>
  <w:style w:type="character" w:customStyle="1" w:styleId="19">
    <w:name w:val="标题 3 字符"/>
    <w:basedOn w:val="15"/>
    <w:link w:val="5"/>
    <w:autoRedefine/>
    <w:semiHidden/>
    <w:qFormat/>
    <w:locked/>
    <w:uiPriority w:val="99"/>
    <w:rPr>
      <w:rFonts w:cs="Times New Roman"/>
      <w:b/>
      <w:bCs/>
      <w:sz w:val="32"/>
      <w:szCs w:val="32"/>
    </w:rPr>
  </w:style>
  <w:style w:type="character" w:customStyle="1" w:styleId="20">
    <w:name w:val="文档结构图 字符"/>
    <w:basedOn w:val="15"/>
    <w:link w:val="6"/>
    <w:autoRedefine/>
    <w:semiHidden/>
    <w:qFormat/>
    <w:locked/>
    <w:uiPriority w:val="99"/>
    <w:rPr>
      <w:rFonts w:cs="Times New Roman"/>
      <w:sz w:val="2"/>
    </w:rPr>
  </w:style>
  <w:style w:type="character" w:customStyle="1" w:styleId="21">
    <w:name w:val="批注文字 字符"/>
    <w:basedOn w:val="15"/>
    <w:link w:val="7"/>
    <w:autoRedefine/>
    <w:semiHidden/>
    <w:qFormat/>
    <w:locked/>
    <w:uiPriority w:val="99"/>
    <w:rPr>
      <w:rFonts w:cs="Times New Roman"/>
      <w:sz w:val="20"/>
      <w:szCs w:val="20"/>
    </w:rPr>
  </w:style>
  <w:style w:type="character" w:customStyle="1" w:styleId="22">
    <w:name w:val="正文文本缩进 字符"/>
    <w:basedOn w:val="15"/>
    <w:link w:val="8"/>
    <w:autoRedefine/>
    <w:semiHidden/>
    <w:qFormat/>
    <w:locked/>
    <w:uiPriority w:val="99"/>
    <w:rPr>
      <w:rFonts w:cs="Times New Roman"/>
      <w:sz w:val="20"/>
      <w:szCs w:val="20"/>
    </w:rPr>
  </w:style>
  <w:style w:type="character" w:customStyle="1" w:styleId="23">
    <w:name w:val="正文文本缩进 2 字符"/>
    <w:basedOn w:val="15"/>
    <w:link w:val="9"/>
    <w:autoRedefine/>
    <w:semiHidden/>
    <w:qFormat/>
    <w:locked/>
    <w:uiPriority w:val="99"/>
    <w:rPr>
      <w:rFonts w:cs="Times New Roman"/>
      <w:sz w:val="20"/>
      <w:szCs w:val="20"/>
    </w:rPr>
  </w:style>
  <w:style w:type="character" w:customStyle="1" w:styleId="24">
    <w:name w:val="批注框文本 字符"/>
    <w:basedOn w:val="15"/>
    <w:link w:val="10"/>
    <w:autoRedefine/>
    <w:qFormat/>
    <w:locked/>
    <w:uiPriority w:val="99"/>
    <w:rPr>
      <w:rFonts w:cs="Times New Roman"/>
      <w:kern w:val="2"/>
      <w:sz w:val="18"/>
      <w:szCs w:val="18"/>
    </w:rPr>
  </w:style>
  <w:style w:type="character" w:customStyle="1" w:styleId="25">
    <w:name w:val="页脚 字符"/>
    <w:basedOn w:val="15"/>
    <w:link w:val="11"/>
    <w:autoRedefine/>
    <w:semiHidden/>
    <w:qFormat/>
    <w:locked/>
    <w:uiPriority w:val="99"/>
    <w:rPr>
      <w:rFonts w:cs="Times New Roman"/>
      <w:sz w:val="18"/>
      <w:szCs w:val="18"/>
    </w:rPr>
  </w:style>
  <w:style w:type="character" w:customStyle="1" w:styleId="26">
    <w:name w:val="页眉 字符"/>
    <w:basedOn w:val="15"/>
    <w:link w:val="12"/>
    <w:autoRedefine/>
    <w:semiHidden/>
    <w:qFormat/>
    <w:locked/>
    <w:uiPriority w:val="99"/>
    <w:rPr>
      <w:rFonts w:cs="Times New Roman"/>
      <w:sz w:val="18"/>
      <w:szCs w:val="18"/>
    </w:rPr>
  </w:style>
  <w:style w:type="paragraph" w:customStyle="1" w:styleId="27">
    <w:name w:val="封面标题"/>
    <w:basedOn w:val="1"/>
    <w:next w:val="1"/>
    <w:autoRedefine/>
    <w:qFormat/>
    <w:uiPriority w:val="99"/>
    <w:pPr>
      <w:tabs>
        <w:tab w:val="center" w:pos="6804"/>
        <w:tab w:val="right" w:pos="7371"/>
      </w:tabs>
      <w:overflowPunct w:val="0"/>
      <w:adjustRightInd w:val="0"/>
      <w:spacing w:line="360" w:lineRule="auto"/>
      <w:jc w:val="center"/>
      <w:textAlignment w:val="baseline"/>
    </w:pPr>
    <w:rPr>
      <w:rFonts w:ascii="Arial" w:eastAsia="黑体"/>
      <w:color w:val="FF0000"/>
      <w:spacing w:val="20"/>
      <w:kern w:val="52"/>
      <w:sz w:val="72"/>
    </w:rPr>
  </w:style>
  <w:style w:type="paragraph" w:customStyle="1" w:styleId="28">
    <w:name w:val="列出段落1"/>
    <w:basedOn w:val="1"/>
    <w:autoRedefine/>
    <w:qFormat/>
    <w:uiPriority w:val="99"/>
    <w:pPr>
      <w:ind w:firstLine="420" w:firstLineChars="200"/>
    </w:pPr>
  </w:style>
  <w:style w:type="paragraph" w:customStyle="1" w:styleId="29">
    <w:name w:val="BodyText"/>
    <w:basedOn w:val="1"/>
    <w:autoRedefine/>
    <w:qFormat/>
    <w:uiPriority w:val="0"/>
    <w:pPr>
      <w:widowControl/>
      <w:spacing w:after="120" w:line="240" w:lineRule="auto"/>
    </w:pPr>
    <w:rPr>
      <w:sz w:val="24"/>
      <w:szCs w:val="24"/>
      <w:lang w:eastAsia="zh-CN"/>
    </w:rPr>
  </w:style>
  <w:style w:type="character" w:customStyle="1" w:styleId="30">
    <w:name w:val="font41"/>
    <w:basedOn w:val="15"/>
    <w:autoRedefine/>
    <w:qFormat/>
    <w:uiPriority w:val="0"/>
    <w:rPr>
      <w:rFonts w:hint="eastAsia" w:ascii="仿宋" w:hAnsi="仿宋" w:eastAsia="仿宋" w:cs="仿宋"/>
      <w:color w:val="000000"/>
      <w:sz w:val="18"/>
      <w:szCs w:val="18"/>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12</Pages>
  <Words>4893</Words>
  <Characters>5501</Characters>
  <Lines>9</Lines>
  <Paragraphs>2</Paragraphs>
  <TotalTime>31</TotalTime>
  <ScaleCrop>false</ScaleCrop>
  <LinksUpToDate>false</LinksUpToDate>
  <CharactersWithSpaces>5608</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2023-04-17T09:33:00Z</dcterms:created>
  <dc:creator>a</dc:creator>
  <cp:lastModifiedBy>李楠</cp:lastModifiedBy>
  <cp:lastPrinted>2023-01-10T00:40:00Z</cp:lastPrinted>
  <dcterms:modified xsi:type="dcterms:W3CDTF">2024-07-17T10:16:22Z</dcterms:modified>
  <dc:title>项目编号：1 初冷器（E-1101）</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A164037093B94891A74ACA49763FA5B2_13</vt:lpwstr>
  </property>
</Properties>
</file>