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EF015">
      <w:pPr>
        <w:pStyle w:val="2"/>
        <w:keepNext w:val="0"/>
        <w:adjustRightInd w:val="0"/>
        <w:snapToGrid w:val="0"/>
        <w:spacing w:before="156" w:beforeLines="50" w:line="360" w:lineRule="auto"/>
        <w:rPr>
          <w:rFonts w:hint="eastAsia" w:ascii="黑体" w:hAnsi="华文中宋" w:eastAsia="黑体"/>
          <w:sz w:val="32"/>
          <w:szCs w:val="32"/>
        </w:rPr>
      </w:pPr>
      <w:bookmarkStart w:id="0" w:name="_Toc256000036"/>
      <w:bookmarkStart w:id="14" w:name="_GoBack"/>
      <w:bookmarkEnd w:id="14"/>
      <w:r>
        <w:rPr>
          <w:rFonts w:hint="eastAsia" w:ascii="黑体" w:hAnsi="华文中宋" w:eastAsia="黑体"/>
          <w:sz w:val="32"/>
          <w:szCs w:val="32"/>
          <w:highlight w:val="white"/>
        </w:rPr>
        <w:t>采购需求</w:t>
      </w:r>
      <w:bookmarkEnd w:id="0"/>
    </w:p>
    <w:p w14:paraId="436C5019">
      <w:pPr>
        <w:rPr>
          <w:highlight w:val="red"/>
        </w:rPr>
      </w:pPr>
      <w:bookmarkStart w:id="1" w:name="EB7e86397f7a344b7e95f10c3c1c0c0ddc"/>
    </w:p>
    <w:p w14:paraId="46A51057">
      <w:pPr>
        <w:pStyle w:val="24"/>
        <w:keepNext/>
        <w:keepLines/>
        <w:widowControl w:val="0"/>
        <w:adjustRightInd w:val="0"/>
        <w:snapToGrid w:val="0"/>
        <w:spacing w:before="156" w:beforeLines="50" w:line="360" w:lineRule="auto"/>
        <w:jc w:val="center"/>
        <w:outlineLvl w:val="1"/>
        <w:rPr>
          <w:rStyle w:val="18"/>
          <w:rFonts w:hint="eastAsia" w:ascii="黑体" w:hAnsi="黑体" w:eastAsia="黑体" w:cs="Times New Roman"/>
          <w:b/>
          <w:bCs/>
          <w:color w:val="auto"/>
          <w:kern w:val="2"/>
          <w:sz w:val="52"/>
          <w:szCs w:val="52"/>
          <w:lang w:val="en-US" w:eastAsia="zh-CN" w:bidi="ar-SA"/>
        </w:rPr>
      </w:pPr>
      <w:bookmarkStart w:id="2" w:name="_Toc256000037"/>
      <w:bookmarkStart w:id="3" w:name="_Toc15490"/>
      <w:r>
        <w:rPr>
          <w:rStyle w:val="18"/>
          <w:rFonts w:hint="eastAsia" w:ascii="黑体" w:hAnsi="黑体" w:eastAsia="黑体" w:cs="Times New Roman"/>
          <w:b/>
          <w:bCs/>
          <w:color w:val="auto"/>
          <w:kern w:val="2"/>
          <w:sz w:val="28"/>
          <w:szCs w:val="28"/>
          <w:lang w:val="en-US" w:eastAsia="zh-CN" w:bidi="ar-SA"/>
        </w:rPr>
        <w:t>第一节 采购清单一览表</w:t>
      </w:r>
      <w:bookmarkEnd w:id="2"/>
      <w:bookmarkEnd w:id="3"/>
    </w:p>
    <w:tbl>
      <w:tblPr>
        <w:tblStyle w:val="17"/>
        <w:tblW w:w="889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647"/>
        <w:gridCol w:w="1633"/>
        <w:gridCol w:w="767"/>
        <w:gridCol w:w="900"/>
        <w:gridCol w:w="4521"/>
      </w:tblGrid>
      <w:tr w14:paraId="25F2B8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05" w:hRule="atLeast"/>
        </w:trPr>
        <w:tc>
          <w:tcPr>
            <w:tcW w:w="429" w:type="dxa"/>
            <w:noWrap w:val="0"/>
            <w:vAlign w:val="center"/>
          </w:tcPr>
          <w:p w14:paraId="120B6342">
            <w:pPr>
              <w:pStyle w:val="24"/>
              <w:adjustRightInd w:val="0"/>
              <w:snapToGrid w:val="0"/>
              <w:spacing w:line="360" w:lineRule="auto"/>
              <w:jc w:val="center"/>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 xml:space="preserve">包号 </w:t>
            </w:r>
          </w:p>
        </w:tc>
        <w:tc>
          <w:tcPr>
            <w:tcW w:w="647" w:type="dxa"/>
            <w:noWrap w:val="0"/>
            <w:vAlign w:val="center"/>
          </w:tcPr>
          <w:p w14:paraId="7F6C810D">
            <w:pPr>
              <w:pStyle w:val="24"/>
              <w:adjustRightInd w:val="0"/>
              <w:snapToGrid w:val="0"/>
              <w:spacing w:line="360" w:lineRule="auto"/>
              <w:jc w:val="center"/>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包名称</w:t>
            </w:r>
          </w:p>
        </w:tc>
        <w:tc>
          <w:tcPr>
            <w:tcW w:w="1633" w:type="dxa"/>
            <w:noWrap w:val="0"/>
            <w:vAlign w:val="center"/>
          </w:tcPr>
          <w:p w14:paraId="47C357DD">
            <w:pPr>
              <w:pStyle w:val="24"/>
              <w:adjustRightInd w:val="0"/>
              <w:snapToGrid w:val="0"/>
              <w:spacing w:line="360" w:lineRule="auto"/>
              <w:jc w:val="center"/>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分项项目名称</w:t>
            </w:r>
          </w:p>
          <w:p w14:paraId="067AC62E">
            <w:pPr>
              <w:pStyle w:val="24"/>
              <w:adjustRightInd w:val="0"/>
              <w:snapToGrid w:val="0"/>
              <w:spacing w:line="360" w:lineRule="auto"/>
              <w:jc w:val="center"/>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（条目号/品目名称）</w:t>
            </w:r>
          </w:p>
        </w:tc>
        <w:tc>
          <w:tcPr>
            <w:tcW w:w="767" w:type="dxa"/>
            <w:noWrap w:val="0"/>
            <w:vAlign w:val="center"/>
          </w:tcPr>
          <w:p w14:paraId="42FFD660">
            <w:pPr>
              <w:pStyle w:val="24"/>
              <w:adjustRightInd w:val="0"/>
              <w:snapToGrid w:val="0"/>
              <w:spacing w:line="360" w:lineRule="auto"/>
              <w:jc w:val="center"/>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数量</w:t>
            </w:r>
          </w:p>
          <w:p w14:paraId="3ECA55C2">
            <w:pPr>
              <w:pStyle w:val="24"/>
              <w:adjustRightInd w:val="0"/>
              <w:snapToGrid w:val="0"/>
              <w:spacing w:line="360" w:lineRule="auto"/>
              <w:jc w:val="center"/>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（台套）</w:t>
            </w:r>
          </w:p>
        </w:tc>
        <w:tc>
          <w:tcPr>
            <w:tcW w:w="900" w:type="dxa"/>
            <w:noWrap w:val="0"/>
            <w:vAlign w:val="center"/>
          </w:tcPr>
          <w:p w14:paraId="4CC05D72">
            <w:pPr>
              <w:pStyle w:val="24"/>
              <w:adjustRightInd w:val="0"/>
              <w:snapToGrid w:val="0"/>
              <w:spacing w:line="360" w:lineRule="auto"/>
              <w:jc w:val="center"/>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最高限价</w:t>
            </w:r>
          </w:p>
          <w:p w14:paraId="36D5CDD4">
            <w:pPr>
              <w:pStyle w:val="24"/>
              <w:adjustRightInd w:val="0"/>
              <w:snapToGrid w:val="0"/>
              <w:spacing w:before="156" w:beforeLines="50" w:line="360" w:lineRule="auto"/>
              <w:jc w:val="center"/>
              <w:rPr>
                <w:rStyle w:val="18"/>
                <w:rFonts w:ascii="Times New Roman" w:hAnsi="Times New Roman" w:eastAsia="宋体" w:cs="Times New Roman"/>
                <w:color w:val="auto"/>
                <w:szCs w:val="21"/>
              </w:rPr>
            </w:pPr>
          </w:p>
        </w:tc>
        <w:tc>
          <w:tcPr>
            <w:tcW w:w="4521" w:type="dxa"/>
            <w:noWrap w:val="0"/>
            <w:vAlign w:val="center"/>
          </w:tcPr>
          <w:p w14:paraId="434C8EF6">
            <w:pPr>
              <w:pStyle w:val="24"/>
              <w:adjustRightInd w:val="0"/>
              <w:snapToGrid w:val="0"/>
              <w:spacing w:line="360" w:lineRule="auto"/>
              <w:jc w:val="center"/>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备注（服务年限或交货时间等）</w:t>
            </w:r>
          </w:p>
        </w:tc>
      </w:tr>
      <w:tr w14:paraId="7ADAE3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381" w:hRule="exact"/>
        </w:trPr>
        <w:tc>
          <w:tcPr>
            <w:tcW w:w="429" w:type="dxa"/>
            <w:vMerge w:val="restart"/>
            <w:noWrap w:val="0"/>
            <w:vAlign w:val="top"/>
          </w:tcPr>
          <w:p w14:paraId="4825DFC1">
            <w:pPr>
              <w:pStyle w:val="24"/>
              <w:adjustRightInd w:val="0"/>
              <w:snapToGrid w:val="0"/>
              <w:spacing w:before="156" w:beforeLines="50" w:line="360" w:lineRule="auto"/>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1</w:t>
            </w:r>
          </w:p>
        </w:tc>
        <w:tc>
          <w:tcPr>
            <w:tcW w:w="647" w:type="dxa"/>
            <w:vMerge w:val="restart"/>
            <w:noWrap w:val="0"/>
            <w:vAlign w:val="top"/>
          </w:tcPr>
          <w:p w14:paraId="046AEA72">
            <w:pPr>
              <w:pStyle w:val="24"/>
              <w:adjustRightInd w:val="0"/>
              <w:snapToGrid w:val="0"/>
              <w:spacing w:before="156" w:beforeLines="50" w:line="360" w:lineRule="auto"/>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电子商务专业群教学资源库非文本资源制作服务项目</w:t>
            </w:r>
          </w:p>
          <w:p w14:paraId="7E05D27A">
            <w:pPr>
              <w:pStyle w:val="24"/>
              <w:adjustRightInd w:val="0"/>
              <w:snapToGrid w:val="0"/>
              <w:spacing w:before="156" w:beforeLines="50" w:line="360" w:lineRule="auto"/>
              <w:rPr>
                <w:rStyle w:val="18"/>
                <w:rFonts w:ascii="Times New Roman" w:hAnsi="Times New Roman" w:eastAsia="宋体" w:cs="Times New Roman"/>
                <w:color w:val="auto"/>
                <w:szCs w:val="21"/>
              </w:rPr>
            </w:pPr>
          </w:p>
        </w:tc>
        <w:tc>
          <w:tcPr>
            <w:tcW w:w="1633" w:type="dxa"/>
            <w:noWrap w:val="0"/>
            <w:vAlign w:val="top"/>
          </w:tcPr>
          <w:p w14:paraId="42E44B83">
            <w:pPr>
              <w:pStyle w:val="24"/>
              <w:adjustRightInd w:val="0"/>
              <w:snapToGrid w:val="0"/>
              <w:spacing w:before="156" w:beforeLines="50" w:line="360" w:lineRule="auto"/>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课程资源制作</w:t>
            </w:r>
          </w:p>
        </w:tc>
        <w:tc>
          <w:tcPr>
            <w:tcW w:w="767" w:type="dxa"/>
            <w:noWrap w:val="0"/>
            <w:vAlign w:val="top"/>
          </w:tcPr>
          <w:p w14:paraId="62BD2AD7">
            <w:pPr>
              <w:pStyle w:val="24"/>
              <w:adjustRightInd w:val="0"/>
              <w:snapToGrid w:val="0"/>
              <w:spacing w:before="156" w:beforeLines="50" w:line="360" w:lineRule="auto"/>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1</w:t>
            </w:r>
          </w:p>
        </w:tc>
        <w:tc>
          <w:tcPr>
            <w:tcW w:w="900" w:type="dxa"/>
            <w:vMerge w:val="restart"/>
            <w:noWrap w:val="0"/>
            <w:vAlign w:val="top"/>
          </w:tcPr>
          <w:p w14:paraId="648674E9">
            <w:pPr>
              <w:pStyle w:val="24"/>
              <w:adjustRightInd w:val="0"/>
              <w:snapToGrid w:val="0"/>
              <w:spacing w:before="156" w:beforeLines="50" w:line="360" w:lineRule="auto"/>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3000000.00元</w:t>
            </w:r>
          </w:p>
        </w:tc>
        <w:tc>
          <w:tcPr>
            <w:tcW w:w="4521" w:type="dxa"/>
            <w:noWrap w:val="0"/>
            <w:vAlign w:val="top"/>
          </w:tcPr>
          <w:p w14:paraId="165ACFBE">
            <w:pPr>
              <w:pStyle w:val="24"/>
              <w:adjustRightInd w:val="0"/>
              <w:snapToGrid w:val="0"/>
              <w:spacing w:before="156" w:beforeLines="50" w:line="360" w:lineRule="auto"/>
              <w:jc w:val="left"/>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合同签订后50天内完成项目整体交付。其中课程资源制作在验收合格后一年内，因课程内容更新等原因需更新课程资源，中标人须提供占课程资源10%以内的拍摄或者修改服务；电子商务科技馆、视频智能化创作平台、动画智能化创作平台、数字人智能化创作平台在验收合格后提供五年升级服务（以上费用投标人须计入投标报价中，采购人不再支付任何其他费用）。</w:t>
            </w:r>
          </w:p>
        </w:tc>
      </w:tr>
      <w:tr w14:paraId="44311A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313" w:hRule="exact"/>
        </w:trPr>
        <w:tc>
          <w:tcPr>
            <w:tcW w:w="429" w:type="dxa"/>
            <w:vMerge w:val="continue"/>
            <w:noWrap w:val="0"/>
            <w:vAlign w:val="top"/>
          </w:tcPr>
          <w:p w14:paraId="4FAA9EE7">
            <w:pPr>
              <w:pStyle w:val="24"/>
              <w:adjustRightInd w:val="0"/>
              <w:snapToGrid w:val="0"/>
              <w:spacing w:before="156" w:beforeLines="50" w:line="360" w:lineRule="auto"/>
              <w:rPr>
                <w:rStyle w:val="18"/>
                <w:rFonts w:ascii="Times New Roman" w:hAnsi="Times New Roman" w:eastAsia="宋体" w:cs="Times New Roman"/>
                <w:color w:val="auto"/>
                <w:szCs w:val="21"/>
              </w:rPr>
            </w:pPr>
          </w:p>
        </w:tc>
        <w:tc>
          <w:tcPr>
            <w:tcW w:w="647" w:type="dxa"/>
            <w:vMerge w:val="continue"/>
            <w:noWrap w:val="0"/>
            <w:vAlign w:val="top"/>
          </w:tcPr>
          <w:p w14:paraId="18BCC230">
            <w:pPr>
              <w:pStyle w:val="24"/>
              <w:adjustRightInd w:val="0"/>
              <w:snapToGrid w:val="0"/>
              <w:spacing w:before="156" w:beforeLines="50" w:line="360" w:lineRule="auto"/>
              <w:rPr>
                <w:rStyle w:val="18"/>
                <w:rFonts w:ascii="Times New Roman" w:hAnsi="Times New Roman" w:eastAsia="宋体" w:cs="Times New Roman"/>
                <w:color w:val="auto"/>
                <w:szCs w:val="21"/>
              </w:rPr>
            </w:pPr>
          </w:p>
        </w:tc>
        <w:tc>
          <w:tcPr>
            <w:tcW w:w="1633" w:type="dxa"/>
            <w:noWrap w:val="0"/>
            <w:vAlign w:val="top"/>
          </w:tcPr>
          <w:p w14:paraId="55C3100B">
            <w:pPr>
              <w:pStyle w:val="24"/>
              <w:adjustRightInd w:val="0"/>
              <w:snapToGrid w:val="0"/>
              <w:spacing w:before="156" w:beforeLines="50" w:line="360" w:lineRule="auto"/>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电子商务科技馆</w:t>
            </w:r>
          </w:p>
        </w:tc>
        <w:tc>
          <w:tcPr>
            <w:tcW w:w="767" w:type="dxa"/>
            <w:noWrap w:val="0"/>
            <w:vAlign w:val="top"/>
          </w:tcPr>
          <w:p w14:paraId="05ED47DF">
            <w:pPr>
              <w:pStyle w:val="24"/>
              <w:adjustRightInd w:val="0"/>
              <w:snapToGrid w:val="0"/>
              <w:spacing w:before="156" w:beforeLines="50" w:line="360" w:lineRule="auto"/>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1</w:t>
            </w:r>
          </w:p>
        </w:tc>
        <w:tc>
          <w:tcPr>
            <w:tcW w:w="900" w:type="dxa"/>
            <w:vMerge w:val="continue"/>
            <w:noWrap w:val="0"/>
            <w:vAlign w:val="top"/>
          </w:tcPr>
          <w:p w14:paraId="5A2F2076">
            <w:pPr>
              <w:pStyle w:val="24"/>
              <w:adjustRightInd w:val="0"/>
              <w:snapToGrid w:val="0"/>
              <w:spacing w:before="156" w:beforeLines="50" w:line="360" w:lineRule="auto"/>
              <w:rPr>
                <w:rStyle w:val="18"/>
                <w:rFonts w:ascii="Times New Roman" w:hAnsi="Times New Roman" w:eastAsia="宋体" w:cs="Times New Roman"/>
                <w:color w:val="auto"/>
                <w:szCs w:val="21"/>
              </w:rPr>
            </w:pPr>
          </w:p>
        </w:tc>
        <w:tc>
          <w:tcPr>
            <w:tcW w:w="4521" w:type="dxa"/>
            <w:noWrap w:val="0"/>
            <w:vAlign w:val="top"/>
          </w:tcPr>
          <w:p w14:paraId="719BE9DF">
            <w:pPr>
              <w:pStyle w:val="24"/>
              <w:adjustRightInd w:val="0"/>
              <w:snapToGrid w:val="0"/>
              <w:spacing w:before="156" w:beforeLines="50" w:line="360" w:lineRule="auto"/>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合同签订后50天内完成项目整体交付。其中课程资源制作在验收合格后一年内，因课程内容更新等原因需更新课程资源，中标人须提供占课程资源10%以内的拍摄或者修改服务；电子商务科技馆、视频智能化创作平台、动画智能化创作平台、数字人智能化创作平台在验收合格后提供五年升级服务（以上费用投标人须计入投标报价中，采购人不再支付任何其他费用）。</w:t>
            </w:r>
          </w:p>
        </w:tc>
      </w:tr>
      <w:tr w14:paraId="55A63B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340" w:hRule="exact"/>
        </w:trPr>
        <w:tc>
          <w:tcPr>
            <w:tcW w:w="429" w:type="dxa"/>
            <w:vMerge w:val="continue"/>
            <w:noWrap w:val="0"/>
            <w:vAlign w:val="top"/>
          </w:tcPr>
          <w:p w14:paraId="347D4D4C">
            <w:pPr>
              <w:pStyle w:val="24"/>
              <w:adjustRightInd w:val="0"/>
              <w:snapToGrid w:val="0"/>
              <w:spacing w:before="156" w:beforeLines="50" w:line="360" w:lineRule="auto"/>
              <w:rPr>
                <w:rStyle w:val="18"/>
                <w:rFonts w:ascii="Times New Roman" w:hAnsi="Times New Roman" w:eastAsia="宋体" w:cs="Times New Roman"/>
                <w:color w:val="auto"/>
                <w:szCs w:val="21"/>
              </w:rPr>
            </w:pPr>
          </w:p>
        </w:tc>
        <w:tc>
          <w:tcPr>
            <w:tcW w:w="647" w:type="dxa"/>
            <w:vMerge w:val="continue"/>
            <w:noWrap w:val="0"/>
            <w:vAlign w:val="top"/>
          </w:tcPr>
          <w:p w14:paraId="6CBC2224">
            <w:pPr>
              <w:pStyle w:val="24"/>
              <w:adjustRightInd w:val="0"/>
              <w:snapToGrid w:val="0"/>
              <w:spacing w:before="156" w:beforeLines="50" w:line="360" w:lineRule="auto"/>
              <w:rPr>
                <w:rStyle w:val="18"/>
                <w:rFonts w:ascii="Times New Roman" w:hAnsi="Times New Roman" w:eastAsia="宋体" w:cs="Times New Roman"/>
                <w:color w:val="auto"/>
                <w:szCs w:val="21"/>
              </w:rPr>
            </w:pPr>
          </w:p>
        </w:tc>
        <w:tc>
          <w:tcPr>
            <w:tcW w:w="1633" w:type="dxa"/>
            <w:noWrap w:val="0"/>
            <w:vAlign w:val="top"/>
          </w:tcPr>
          <w:p w14:paraId="465BCD75">
            <w:pPr>
              <w:pStyle w:val="24"/>
              <w:adjustRightInd w:val="0"/>
              <w:snapToGrid w:val="0"/>
              <w:spacing w:before="156" w:beforeLines="50" w:line="360" w:lineRule="auto"/>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视频智能化创作平台</w:t>
            </w:r>
          </w:p>
        </w:tc>
        <w:tc>
          <w:tcPr>
            <w:tcW w:w="767" w:type="dxa"/>
            <w:noWrap w:val="0"/>
            <w:vAlign w:val="top"/>
          </w:tcPr>
          <w:p w14:paraId="5CFEA9AA">
            <w:pPr>
              <w:pStyle w:val="24"/>
              <w:adjustRightInd w:val="0"/>
              <w:snapToGrid w:val="0"/>
              <w:spacing w:before="156" w:beforeLines="50" w:line="360" w:lineRule="auto"/>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1</w:t>
            </w:r>
          </w:p>
        </w:tc>
        <w:tc>
          <w:tcPr>
            <w:tcW w:w="900" w:type="dxa"/>
            <w:vMerge w:val="continue"/>
            <w:noWrap w:val="0"/>
            <w:vAlign w:val="top"/>
          </w:tcPr>
          <w:p w14:paraId="53573F21">
            <w:pPr>
              <w:pStyle w:val="24"/>
              <w:adjustRightInd w:val="0"/>
              <w:snapToGrid w:val="0"/>
              <w:spacing w:before="156" w:beforeLines="50" w:line="360" w:lineRule="auto"/>
              <w:rPr>
                <w:rStyle w:val="18"/>
                <w:rFonts w:ascii="Times New Roman" w:hAnsi="Times New Roman" w:eastAsia="宋体" w:cs="Times New Roman"/>
                <w:color w:val="auto"/>
                <w:szCs w:val="21"/>
              </w:rPr>
            </w:pPr>
          </w:p>
        </w:tc>
        <w:tc>
          <w:tcPr>
            <w:tcW w:w="4521" w:type="dxa"/>
            <w:noWrap w:val="0"/>
            <w:vAlign w:val="top"/>
          </w:tcPr>
          <w:p w14:paraId="0957B5EE">
            <w:pPr>
              <w:pStyle w:val="24"/>
              <w:adjustRightInd w:val="0"/>
              <w:snapToGrid w:val="0"/>
              <w:spacing w:before="156" w:beforeLines="50" w:line="360" w:lineRule="auto"/>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合同签订后50天内完成项目整体交付。其中课程资源制作在验收合格后一年内，因课程内容更新等原因需更新课程资源，中标人须提供占课程资源10%以内的拍摄或者修改服务；电子商务科技馆、视频智能化创作平台、动画智能化创作平台、数字人智能化创作平台在验收合格后提供五年升级服务（以上费用投标人须计入投标报价中，采购人不再支付任何其他费用）。</w:t>
            </w:r>
          </w:p>
        </w:tc>
      </w:tr>
      <w:tr w14:paraId="618B50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7" w:hRule="exact"/>
        </w:trPr>
        <w:tc>
          <w:tcPr>
            <w:tcW w:w="429" w:type="dxa"/>
            <w:vMerge w:val="continue"/>
            <w:noWrap w:val="0"/>
            <w:vAlign w:val="top"/>
          </w:tcPr>
          <w:p w14:paraId="33CA5487">
            <w:pPr>
              <w:pStyle w:val="24"/>
              <w:adjustRightInd w:val="0"/>
              <w:snapToGrid w:val="0"/>
              <w:spacing w:before="156" w:beforeLines="50" w:line="360" w:lineRule="auto"/>
              <w:rPr>
                <w:rStyle w:val="18"/>
                <w:rFonts w:ascii="Times New Roman" w:hAnsi="Times New Roman" w:eastAsia="宋体" w:cs="Times New Roman"/>
                <w:color w:val="auto"/>
                <w:szCs w:val="21"/>
              </w:rPr>
            </w:pPr>
          </w:p>
        </w:tc>
        <w:tc>
          <w:tcPr>
            <w:tcW w:w="647" w:type="dxa"/>
            <w:vMerge w:val="continue"/>
            <w:noWrap w:val="0"/>
            <w:vAlign w:val="top"/>
          </w:tcPr>
          <w:p w14:paraId="0357EFCE">
            <w:pPr>
              <w:pStyle w:val="24"/>
              <w:adjustRightInd w:val="0"/>
              <w:snapToGrid w:val="0"/>
              <w:spacing w:before="156" w:beforeLines="50" w:line="360" w:lineRule="auto"/>
              <w:rPr>
                <w:rStyle w:val="18"/>
                <w:rFonts w:ascii="Times New Roman" w:hAnsi="Times New Roman" w:eastAsia="宋体" w:cs="Times New Roman"/>
                <w:color w:val="auto"/>
                <w:szCs w:val="21"/>
              </w:rPr>
            </w:pPr>
          </w:p>
        </w:tc>
        <w:tc>
          <w:tcPr>
            <w:tcW w:w="1633" w:type="dxa"/>
            <w:noWrap w:val="0"/>
            <w:vAlign w:val="top"/>
          </w:tcPr>
          <w:p w14:paraId="73289B44">
            <w:pPr>
              <w:pStyle w:val="24"/>
              <w:adjustRightInd w:val="0"/>
              <w:snapToGrid w:val="0"/>
              <w:spacing w:before="156" w:beforeLines="50" w:line="360" w:lineRule="auto"/>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动画智能化创作平台</w:t>
            </w:r>
          </w:p>
        </w:tc>
        <w:tc>
          <w:tcPr>
            <w:tcW w:w="767" w:type="dxa"/>
            <w:noWrap w:val="0"/>
            <w:vAlign w:val="top"/>
          </w:tcPr>
          <w:p w14:paraId="6F1C5975">
            <w:pPr>
              <w:pStyle w:val="24"/>
              <w:adjustRightInd w:val="0"/>
              <w:snapToGrid w:val="0"/>
              <w:spacing w:before="156" w:beforeLines="50" w:line="360" w:lineRule="auto"/>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1</w:t>
            </w:r>
          </w:p>
        </w:tc>
        <w:tc>
          <w:tcPr>
            <w:tcW w:w="900" w:type="dxa"/>
            <w:vMerge w:val="continue"/>
            <w:noWrap w:val="0"/>
            <w:vAlign w:val="top"/>
          </w:tcPr>
          <w:p w14:paraId="20B42995">
            <w:pPr>
              <w:pStyle w:val="24"/>
              <w:adjustRightInd w:val="0"/>
              <w:snapToGrid w:val="0"/>
              <w:spacing w:before="156" w:beforeLines="50" w:line="360" w:lineRule="auto"/>
              <w:rPr>
                <w:rStyle w:val="18"/>
                <w:rFonts w:ascii="Times New Roman" w:hAnsi="Times New Roman" w:eastAsia="宋体" w:cs="Times New Roman"/>
                <w:color w:val="auto"/>
                <w:szCs w:val="21"/>
              </w:rPr>
            </w:pPr>
          </w:p>
        </w:tc>
        <w:tc>
          <w:tcPr>
            <w:tcW w:w="4521" w:type="dxa"/>
            <w:noWrap w:val="0"/>
            <w:vAlign w:val="top"/>
          </w:tcPr>
          <w:p w14:paraId="70C8D828">
            <w:pPr>
              <w:pStyle w:val="24"/>
              <w:adjustRightInd w:val="0"/>
              <w:snapToGrid w:val="0"/>
              <w:spacing w:before="156" w:beforeLines="50" w:line="360" w:lineRule="auto"/>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合同签订后50天内完成项目整体交付。其中课程资源制作在验收合格后一年内，因课程内容更新等原因需更新课程资源，中标人须提供占课程资源10%以内的拍摄或者修改服务；电子商务科技馆、视频智能化创作平台、动画智能化创作平台、数字人智能化创作平台在验收合格后提供五年升级服务（以上费用投标人须计入投标报价中，采购人不再支付任何其他费用）。</w:t>
            </w:r>
          </w:p>
        </w:tc>
      </w:tr>
      <w:tr w14:paraId="02FFEC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272" w:hRule="exact"/>
        </w:trPr>
        <w:tc>
          <w:tcPr>
            <w:tcW w:w="429" w:type="dxa"/>
            <w:vMerge w:val="continue"/>
            <w:noWrap w:val="0"/>
            <w:vAlign w:val="top"/>
          </w:tcPr>
          <w:p w14:paraId="72BAB953">
            <w:pPr>
              <w:pStyle w:val="24"/>
              <w:adjustRightInd w:val="0"/>
              <w:snapToGrid w:val="0"/>
              <w:spacing w:before="156" w:beforeLines="50" w:line="360" w:lineRule="auto"/>
              <w:rPr>
                <w:rStyle w:val="18"/>
                <w:rFonts w:ascii="Times New Roman" w:hAnsi="Times New Roman" w:eastAsia="宋体" w:cs="Times New Roman"/>
                <w:color w:val="auto"/>
                <w:szCs w:val="21"/>
              </w:rPr>
            </w:pPr>
          </w:p>
        </w:tc>
        <w:tc>
          <w:tcPr>
            <w:tcW w:w="647" w:type="dxa"/>
            <w:vMerge w:val="continue"/>
            <w:noWrap w:val="0"/>
            <w:vAlign w:val="top"/>
          </w:tcPr>
          <w:p w14:paraId="5B123BFC">
            <w:pPr>
              <w:pStyle w:val="24"/>
              <w:adjustRightInd w:val="0"/>
              <w:snapToGrid w:val="0"/>
              <w:spacing w:before="156" w:beforeLines="50" w:line="360" w:lineRule="auto"/>
              <w:rPr>
                <w:rStyle w:val="18"/>
                <w:rFonts w:ascii="Times New Roman" w:hAnsi="Times New Roman" w:eastAsia="宋体" w:cs="Times New Roman"/>
                <w:color w:val="auto"/>
                <w:szCs w:val="21"/>
              </w:rPr>
            </w:pPr>
          </w:p>
        </w:tc>
        <w:tc>
          <w:tcPr>
            <w:tcW w:w="1633" w:type="dxa"/>
            <w:noWrap w:val="0"/>
            <w:vAlign w:val="top"/>
          </w:tcPr>
          <w:p w14:paraId="62760687">
            <w:pPr>
              <w:pStyle w:val="24"/>
              <w:adjustRightInd w:val="0"/>
              <w:snapToGrid w:val="0"/>
              <w:spacing w:before="156" w:beforeLines="50" w:line="360" w:lineRule="auto"/>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数字人智能化创作平台</w:t>
            </w:r>
          </w:p>
        </w:tc>
        <w:tc>
          <w:tcPr>
            <w:tcW w:w="767" w:type="dxa"/>
            <w:tcBorders>
              <w:bottom w:val="single" w:color="auto" w:sz="4" w:space="0"/>
            </w:tcBorders>
            <w:noWrap w:val="0"/>
            <w:vAlign w:val="top"/>
          </w:tcPr>
          <w:p w14:paraId="76508DA3">
            <w:pPr>
              <w:pStyle w:val="24"/>
              <w:adjustRightInd w:val="0"/>
              <w:snapToGrid w:val="0"/>
              <w:spacing w:before="156" w:beforeLines="50" w:line="360" w:lineRule="auto"/>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1</w:t>
            </w:r>
          </w:p>
        </w:tc>
        <w:tc>
          <w:tcPr>
            <w:tcW w:w="900" w:type="dxa"/>
            <w:vMerge w:val="continue"/>
            <w:tcBorders>
              <w:bottom w:val="single" w:color="auto" w:sz="4" w:space="0"/>
            </w:tcBorders>
            <w:noWrap w:val="0"/>
            <w:vAlign w:val="top"/>
          </w:tcPr>
          <w:p w14:paraId="7C5EF73C">
            <w:pPr>
              <w:pStyle w:val="24"/>
              <w:adjustRightInd w:val="0"/>
              <w:snapToGrid w:val="0"/>
              <w:spacing w:before="156" w:beforeLines="50" w:line="360" w:lineRule="auto"/>
              <w:rPr>
                <w:rStyle w:val="18"/>
                <w:rFonts w:ascii="Times New Roman" w:hAnsi="Times New Roman" w:eastAsia="宋体" w:cs="Times New Roman"/>
                <w:color w:val="auto"/>
                <w:szCs w:val="21"/>
              </w:rPr>
            </w:pPr>
          </w:p>
        </w:tc>
        <w:tc>
          <w:tcPr>
            <w:tcW w:w="4521" w:type="dxa"/>
            <w:noWrap w:val="0"/>
            <w:vAlign w:val="top"/>
          </w:tcPr>
          <w:p w14:paraId="544F689A">
            <w:pPr>
              <w:pStyle w:val="24"/>
              <w:adjustRightInd w:val="0"/>
              <w:snapToGrid w:val="0"/>
              <w:spacing w:before="156" w:beforeLines="50" w:line="360" w:lineRule="auto"/>
              <w:rPr>
                <w:rStyle w:val="18"/>
                <w:rFonts w:ascii="Times New Roman" w:hAnsi="Times New Roman" w:eastAsia="宋体" w:cs="Times New Roman"/>
                <w:color w:val="auto"/>
                <w:szCs w:val="21"/>
              </w:rPr>
            </w:pPr>
            <w:r>
              <w:rPr>
                <w:rStyle w:val="18"/>
                <w:rFonts w:hint="eastAsia" w:ascii="Times New Roman" w:hAnsi="Times New Roman" w:eastAsia="宋体" w:cs="Times New Roman"/>
                <w:color w:val="auto"/>
                <w:szCs w:val="21"/>
              </w:rPr>
              <w:t>合同签订后50天内完成项目整体交付。其中课程资源制作在验收合格后一年内，因课程内容更新等原因需更新课程资源，中标人须提供占课程资源10%以内的拍摄或者修改服务；电子商务科技馆、视频智能化创作平台、动画智能化创作平台、数字人智能化创作平台在验收合格后提供五年升级服务（以上费用投标人须计入投标报价中，采购人不再支付任何其他费用）。</w:t>
            </w:r>
          </w:p>
        </w:tc>
      </w:tr>
    </w:tbl>
    <w:p w14:paraId="3DC47BAC">
      <w:pPr>
        <w:pStyle w:val="24"/>
        <w:adjustRightInd w:val="0"/>
        <w:snapToGrid w:val="0"/>
        <w:spacing w:before="156" w:beforeLines="50" w:line="360" w:lineRule="auto"/>
        <w:rPr>
          <w:rStyle w:val="18"/>
          <w:rFonts w:hint="eastAsia" w:ascii="宋体" w:hAnsi="宋体" w:eastAsia="宋体" w:cs="Times New Roman"/>
          <w:color w:val="auto"/>
          <w:szCs w:val="21"/>
        </w:rPr>
      </w:pPr>
      <w:r>
        <w:rPr>
          <w:rStyle w:val="18"/>
          <w:rFonts w:hint="eastAsia" w:ascii="宋体" w:hAnsi="宋体" w:eastAsia="宋体" w:cs="Times New Roman"/>
          <w:color w:val="auto"/>
          <w:szCs w:val="21"/>
        </w:rPr>
        <w:t>注：1、“包”为最小合同单位（最小投标单位）。服务中有货物的每“包”内容应细化到“品目”（如果分品目的）。</w:t>
      </w:r>
    </w:p>
    <w:p w14:paraId="0B850BE5">
      <w:pPr>
        <w:pStyle w:val="24"/>
        <w:adjustRightInd w:val="0"/>
        <w:snapToGrid w:val="0"/>
        <w:spacing w:before="156" w:beforeLines="50" w:line="360" w:lineRule="auto"/>
        <w:ind w:firstLine="420" w:firstLineChars="200"/>
        <w:rPr>
          <w:rStyle w:val="18"/>
          <w:rFonts w:hint="eastAsia" w:ascii="宋体" w:hAnsi="宋体" w:eastAsia="宋体" w:cs="Times New Roman"/>
          <w:color w:val="auto"/>
          <w:szCs w:val="21"/>
        </w:rPr>
      </w:pPr>
      <w:r>
        <w:rPr>
          <w:rStyle w:val="18"/>
          <w:rFonts w:hint="eastAsia" w:ascii="宋体" w:hAnsi="宋体" w:eastAsia="宋体" w:cs="Times New Roman"/>
          <w:color w:val="auto"/>
          <w:szCs w:val="21"/>
        </w:rPr>
        <w:t>2、投标人必须对一个完整、独立的包进行投标，不得仅对一个包中的部分品目投标，否则</w:t>
      </w:r>
      <w:r>
        <w:rPr>
          <w:rStyle w:val="18"/>
          <w:rFonts w:hint="eastAsia" w:ascii="宋体" w:hAnsi="宋体" w:eastAsia="宋体" w:cs="Times New Roman"/>
          <w:b/>
          <w:color w:val="auto"/>
          <w:szCs w:val="21"/>
        </w:rPr>
        <w:t>投标无效。</w:t>
      </w:r>
    </w:p>
    <w:p w14:paraId="18131B2C">
      <w:pPr>
        <w:pStyle w:val="24"/>
        <w:adjustRightInd w:val="0"/>
        <w:snapToGrid w:val="0"/>
        <w:spacing w:before="156" w:beforeLines="50" w:line="360" w:lineRule="auto"/>
        <w:ind w:firstLine="420" w:firstLineChars="200"/>
        <w:rPr>
          <w:rStyle w:val="18"/>
          <w:rFonts w:hint="eastAsia" w:ascii="宋体" w:hAnsi="宋体" w:eastAsia="宋体" w:cs="宋体"/>
          <w:color w:val="auto"/>
          <w:kern w:val="0"/>
          <w:szCs w:val="21"/>
        </w:rPr>
      </w:pPr>
      <w:r>
        <w:rPr>
          <w:rStyle w:val="18"/>
          <w:rFonts w:hint="eastAsia" w:ascii="宋体" w:hAnsi="宋体" w:eastAsia="宋体" w:cs="Times New Roman"/>
          <w:color w:val="auto"/>
          <w:szCs w:val="21"/>
        </w:rPr>
        <w:t>3、货物的主要技术参数或规格：</w:t>
      </w:r>
      <w:r>
        <w:rPr>
          <w:rStyle w:val="18"/>
          <w:rFonts w:ascii="宋体" w:hAnsi="宋体" w:eastAsia="宋体" w:cs="宋体"/>
          <w:color w:val="auto"/>
          <w:kern w:val="0"/>
          <w:szCs w:val="21"/>
        </w:rPr>
        <w:t>详见“技术要求”中的具体技术参数</w:t>
      </w:r>
      <w:r>
        <w:rPr>
          <w:rStyle w:val="18"/>
          <w:rFonts w:hint="eastAsia" w:ascii="宋体" w:hAnsi="宋体" w:eastAsia="宋体" w:cs="宋体"/>
          <w:color w:val="auto"/>
          <w:kern w:val="0"/>
          <w:szCs w:val="21"/>
        </w:rPr>
        <w:t>。</w:t>
      </w:r>
    </w:p>
    <w:p w14:paraId="30724A35">
      <w:pPr>
        <w:pStyle w:val="24"/>
        <w:adjustRightInd w:val="0"/>
        <w:snapToGrid w:val="0"/>
        <w:spacing w:before="156" w:beforeLines="50" w:line="360" w:lineRule="auto"/>
        <w:ind w:firstLine="420"/>
        <w:rPr>
          <w:rStyle w:val="18"/>
          <w:rFonts w:hint="eastAsia" w:ascii="宋体" w:hAnsi="宋体" w:eastAsia="宋体" w:cs="宋体"/>
          <w:color w:val="auto"/>
          <w:kern w:val="0"/>
          <w:szCs w:val="21"/>
        </w:rPr>
      </w:pPr>
      <w:r>
        <w:rPr>
          <w:rStyle w:val="18"/>
          <w:rFonts w:hint="eastAsia" w:ascii="宋体" w:hAnsi="宋体" w:eastAsia="宋体" w:cs="宋体"/>
          <w:color w:val="auto"/>
          <w:kern w:val="0"/>
          <w:szCs w:val="21"/>
        </w:rPr>
        <w:t>4、在课程验收合格后一年内，如果因课程内容更新等原因需更新课程资源，中标人须提供占课程资源10%以内的拍摄或者修改服务。电子商务科技馆、视频智能化创作平台、动画智能化创作平台、数字人智能化创作平台在验收合格后提供五年升级服务</w:t>
      </w:r>
      <w:r>
        <w:rPr>
          <w:rStyle w:val="18"/>
          <w:rFonts w:hint="eastAsia" w:ascii="Times New Roman" w:hAnsi="Times New Roman" w:eastAsia="宋体" w:cs="Times New Roman"/>
          <w:color w:val="auto"/>
          <w:szCs w:val="21"/>
        </w:rPr>
        <w:t>（以上费用投标人须计入投标报价中，采购人不再支付任何其他费用）</w:t>
      </w:r>
      <w:r>
        <w:rPr>
          <w:rStyle w:val="18"/>
          <w:rFonts w:hint="eastAsia" w:ascii="宋体" w:hAnsi="宋体" w:eastAsia="宋体" w:cs="宋体"/>
          <w:color w:val="auto"/>
          <w:kern w:val="0"/>
          <w:szCs w:val="21"/>
        </w:rPr>
        <w:t>。</w:t>
      </w:r>
    </w:p>
    <w:p w14:paraId="56BC61E6">
      <w:pPr>
        <w:pStyle w:val="25"/>
        <w:rPr>
          <w:rStyle w:val="18"/>
          <w:color w:val="auto"/>
        </w:rPr>
      </w:pPr>
    </w:p>
    <w:p w14:paraId="10EED8D8">
      <w:pPr>
        <w:pStyle w:val="24"/>
        <w:adjustRightInd w:val="0"/>
        <w:snapToGrid w:val="0"/>
        <w:spacing w:before="156" w:beforeLines="50" w:line="360" w:lineRule="auto"/>
        <w:ind w:firstLine="420" w:firstLineChars="200"/>
        <w:rPr>
          <w:rStyle w:val="18"/>
          <w:rFonts w:hint="eastAsia" w:ascii="宋体" w:hAnsi="宋体" w:eastAsia="宋体" w:cs="宋体"/>
          <w:color w:val="auto"/>
          <w:kern w:val="0"/>
          <w:szCs w:val="21"/>
        </w:rPr>
      </w:pPr>
      <w:r>
        <w:rPr>
          <w:rStyle w:val="18"/>
          <w:rFonts w:hint="eastAsia" w:ascii="宋体" w:hAnsi="宋体" w:eastAsia="宋体" w:cs="宋体"/>
          <w:bCs/>
          <w:color w:val="auto"/>
          <w:kern w:val="0"/>
          <w:szCs w:val="21"/>
        </w:rPr>
        <w:t>5、服务中有货物的投标人应</w:t>
      </w:r>
      <w:r>
        <w:rPr>
          <w:rStyle w:val="18"/>
          <w:rFonts w:hint="eastAsia" w:ascii="宋体" w:hAnsi="宋体" w:eastAsia="宋体" w:cs="宋体"/>
          <w:color w:val="auto"/>
          <w:kern w:val="0"/>
          <w:szCs w:val="21"/>
        </w:rPr>
        <w:t>在投标文件《分项报价明细表》中按</w:t>
      </w:r>
      <w:r>
        <w:rPr>
          <w:rStyle w:val="18"/>
          <w:rFonts w:hint="eastAsia" w:ascii="宋体" w:hAnsi="宋体" w:eastAsia="宋体" w:cs="Times New Roman"/>
          <w:color w:val="auto"/>
          <w:szCs w:val="21"/>
        </w:rPr>
        <w:t>分项项目名称（包括</w:t>
      </w:r>
      <w:r>
        <w:rPr>
          <w:rStyle w:val="18"/>
          <w:rFonts w:hint="eastAsia" w:ascii="宋体" w:hAnsi="宋体" w:eastAsia="宋体" w:cs="宋体"/>
          <w:color w:val="auto"/>
          <w:kern w:val="0"/>
          <w:szCs w:val="21"/>
        </w:rPr>
        <w:t>条目号/品目名称）顺序逐项填写，且每个品目中的条目均需按招标文件规定报价。如有缺项、漏项，其</w:t>
      </w:r>
      <w:r>
        <w:rPr>
          <w:rStyle w:val="18"/>
          <w:rFonts w:hint="eastAsia" w:ascii="宋体" w:hAnsi="宋体" w:eastAsia="宋体" w:cs="宋体"/>
          <w:b/>
          <w:color w:val="auto"/>
          <w:kern w:val="0"/>
          <w:szCs w:val="21"/>
        </w:rPr>
        <w:t>投标无效</w:t>
      </w:r>
      <w:r>
        <w:rPr>
          <w:rStyle w:val="18"/>
          <w:rFonts w:hint="eastAsia" w:ascii="宋体" w:hAnsi="宋体" w:eastAsia="宋体" w:cs="宋体"/>
          <w:color w:val="auto"/>
          <w:kern w:val="0"/>
          <w:szCs w:val="21"/>
        </w:rPr>
        <w:t>。</w:t>
      </w:r>
    </w:p>
    <w:p w14:paraId="6869314C">
      <w:pPr>
        <w:pStyle w:val="25"/>
        <w:rPr>
          <w:rStyle w:val="18"/>
          <w:color w:val="auto"/>
        </w:rPr>
      </w:pPr>
    </w:p>
    <w:p w14:paraId="27615735">
      <w:pPr>
        <w:pStyle w:val="24"/>
        <w:adjustRightInd w:val="0"/>
        <w:snapToGrid w:val="0"/>
        <w:spacing w:before="156" w:beforeLines="50" w:line="360" w:lineRule="auto"/>
        <w:rPr>
          <w:rStyle w:val="18"/>
          <w:rFonts w:hint="eastAsia" w:ascii="宋体" w:hAnsi="宋体" w:eastAsia="宋体" w:cs="宋体"/>
          <w:color w:val="auto"/>
          <w:kern w:val="0"/>
          <w:szCs w:val="21"/>
        </w:rPr>
      </w:pPr>
    </w:p>
    <w:p w14:paraId="667EA036">
      <w:pPr>
        <w:pStyle w:val="24"/>
        <w:keepNext/>
        <w:keepLines/>
        <w:widowControl w:val="0"/>
        <w:adjustRightInd w:val="0"/>
        <w:snapToGrid w:val="0"/>
        <w:spacing w:before="156" w:beforeLines="50" w:line="360" w:lineRule="auto"/>
        <w:jc w:val="center"/>
        <w:outlineLvl w:val="1"/>
        <w:rPr>
          <w:rStyle w:val="18"/>
          <w:rFonts w:hint="eastAsia" w:ascii="黑体" w:hAnsi="黑体" w:eastAsia="黑体" w:cs="Times New Roman"/>
          <w:b/>
          <w:bCs/>
          <w:color w:val="auto"/>
          <w:kern w:val="2"/>
          <w:sz w:val="28"/>
          <w:szCs w:val="28"/>
          <w:lang w:val="en-US" w:eastAsia="zh-CN" w:bidi="ar-SA"/>
        </w:rPr>
      </w:pPr>
      <w:bookmarkStart w:id="4" w:name="_Toc8212"/>
      <w:bookmarkStart w:id="5" w:name="_Toc256000038"/>
      <w:r>
        <w:rPr>
          <w:rStyle w:val="18"/>
          <w:rFonts w:hint="eastAsia" w:ascii="黑体" w:hAnsi="黑体" w:eastAsia="黑体" w:cs="Times New Roman"/>
          <w:b/>
          <w:bCs/>
          <w:color w:val="auto"/>
          <w:kern w:val="2"/>
          <w:sz w:val="28"/>
          <w:szCs w:val="28"/>
          <w:lang w:val="en-US" w:eastAsia="zh-CN" w:bidi="ar-SA"/>
        </w:rPr>
        <w:t xml:space="preserve">第二节 </w:t>
      </w:r>
      <w:r>
        <w:rPr>
          <w:rStyle w:val="18"/>
          <w:rFonts w:ascii="黑体" w:hAnsi="黑体" w:eastAsia="黑体" w:cs="Times New Roman"/>
          <w:b/>
          <w:bCs/>
          <w:color w:val="auto"/>
          <w:kern w:val="2"/>
          <w:sz w:val="28"/>
          <w:szCs w:val="28"/>
          <w:lang w:val="en-US" w:eastAsia="zh-CN" w:bidi="ar-SA"/>
        </w:rPr>
        <w:t>技术要求</w:t>
      </w:r>
      <w:bookmarkEnd w:id="4"/>
      <w:bookmarkEnd w:id="5"/>
    </w:p>
    <w:p w14:paraId="68182E9B">
      <w:pPr>
        <w:pStyle w:val="27"/>
        <w:spacing w:line="240" w:lineRule="auto"/>
        <w:rPr>
          <w:rStyle w:val="18"/>
          <w:color w:val="auto"/>
        </w:rPr>
      </w:pPr>
      <w:bookmarkStart w:id="6" w:name="_Toc256000039"/>
      <w:r>
        <w:rPr>
          <w:rStyle w:val="18"/>
          <w:rFonts w:hint="eastAsia" w:ascii="黑体" w:hAnsi="黑体" w:eastAsia="黑体"/>
          <w:color w:val="auto"/>
          <w:sz w:val="24"/>
        </w:rPr>
        <w:t>一、采购项目名称：</w:t>
      </w:r>
      <w:bookmarkEnd w:id="6"/>
    </w:p>
    <w:p w14:paraId="32B47C5B">
      <w:pPr>
        <w:pStyle w:val="24"/>
        <w:widowControl/>
        <w:jc w:val="left"/>
        <w:rPr>
          <w:rStyle w:val="18"/>
          <w:rFonts w:hint="eastAsia" w:ascii="宋体" w:hAnsi="宋体" w:eastAsia="宋体" w:cs="宋体"/>
          <w:color w:val="auto"/>
          <w:sz w:val="24"/>
          <w:szCs w:val="24"/>
        </w:rPr>
      </w:pPr>
      <w:r>
        <w:rPr>
          <w:rStyle w:val="18"/>
          <w:rFonts w:hint="eastAsia" w:ascii="宋体" w:hAnsi="宋体" w:eastAsia="宋体" w:cs="宋体"/>
          <w:color w:val="auto"/>
          <w:sz w:val="24"/>
          <w:szCs w:val="24"/>
        </w:rPr>
        <w:t>电子商务专业群教学资源库非文本资源制作服务项目</w:t>
      </w:r>
    </w:p>
    <w:p w14:paraId="4E3BF2E6">
      <w:pPr>
        <w:pStyle w:val="27"/>
        <w:spacing w:line="240" w:lineRule="auto"/>
        <w:rPr>
          <w:rStyle w:val="18"/>
          <w:color w:val="auto"/>
        </w:rPr>
      </w:pPr>
      <w:bookmarkStart w:id="7" w:name="_Toc256000040"/>
      <w:r>
        <w:rPr>
          <w:rStyle w:val="18"/>
          <w:rFonts w:hint="eastAsia" w:ascii="黑体" w:hAnsi="黑体" w:eastAsia="黑体"/>
          <w:color w:val="auto"/>
          <w:sz w:val="24"/>
        </w:rPr>
        <w:t>二、</w:t>
      </w:r>
      <w:r>
        <w:rPr>
          <w:rStyle w:val="18"/>
          <w:rFonts w:hint="eastAsia" w:ascii="宋体" w:hAnsi="宋体" w:cs="宋体"/>
          <w:color w:val="auto"/>
          <w:kern w:val="0"/>
          <w:sz w:val="24"/>
        </w:rPr>
        <w:t>项目内容</w:t>
      </w:r>
      <w:bookmarkEnd w:id="7"/>
    </w:p>
    <w:p w14:paraId="434458DC">
      <w:pPr>
        <w:pStyle w:val="24"/>
        <w:adjustRightInd w:val="0"/>
        <w:snapToGrid w:val="0"/>
        <w:rPr>
          <w:rStyle w:val="18"/>
          <w:rFonts w:hint="eastAsia" w:ascii="宋体" w:hAnsi="宋体" w:eastAsia="宋体" w:cs="宋体"/>
          <w:color w:val="auto"/>
          <w:sz w:val="24"/>
          <w:szCs w:val="24"/>
        </w:rPr>
      </w:pPr>
      <w:r>
        <w:rPr>
          <w:rStyle w:val="18"/>
          <w:rFonts w:hint="eastAsia" w:ascii="宋体" w:hAnsi="宋体" w:eastAsia="宋体" w:cs="宋体"/>
          <w:color w:val="auto"/>
          <w:sz w:val="24"/>
          <w:szCs w:val="24"/>
        </w:rPr>
        <w:t>本项目计划采购由课程资源制作（共制作32门课程，含6680个非文本资源，其中动画制作616个资源、视频制作1868个资源、微课拍摄1346个资源、音频制作1316个资源、虚仿制作52个资源）、电子商务科技馆、视频智能化创作平台、动画智能化创作平台、数字人智能化创作平台等内容组成的电子商务专业群教学资源库非文本资源制作服务项目，总预算费用为300万元。</w:t>
      </w:r>
    </w:p>
    <w:p w14:paraId="017C5A2F">
      <w:pPr>
        <w:pStyle w:val="27"/>
        <w:spacing w:after="0"/>
        <w:rPr>
          <w:rStyle w:val="18"/>
          <w:color w:val="auto"/>
        </w:rPr>
      </w:pPr>
      <w:bookmarkStart w:id="8" w:name="_Toc256000041"/>
      <w:r>
        <w:rPr>
          <w:rStyle w:val="18"/>
          <w:rFonts w:hint="eastAsia" w:ascii="宋体" w:hAnsi="宋体" w:cs="宋体"/>
          <w:color w:val="auto"/>
          <w:kern w:val="0"/>
          <w:sz w:val="24"/>
        </w:rPr>
        <w:t>三、技术要求</w:t>
      </w:r>
      <w:bookmarkEnd w:id="8"/>
    </w:p>
    <w:tbl>
      <w:tblPr>
        <w:tblStyle w:val="17"/>
        <w:tblW w:w="8387" w:type="dxa"/>
        <w:tblInd w:w="93" w:type="dxa"/>
        <w:tblLayout w:type="fixed"/>
        <w:tblCellMar>
          <w:top w:w="0" w:type="dxa"/>
          <w:left w:w="108" w:type="dxa"/>
          <w:bottom w:w="0" w:type="dxa"/>
          <w:right w:w="108" w:type="dxa"/>
        </w:tblCellMar>
      </w:tblPr>
      <w:tblGrid>
        <w:gridCol w:w="354"/>
        <w:gridCol w:w="350"/>
        <w:gridCol w:w="350"/>
        <w:gridCol w:w="417"/>
        <w:gridCol w:w="6491"/>
        <w:gridCol w:w="425"/>
      </w:tblGrid>
      <w:tr w14:paraId="467AA81F">
        <w:tblPrEx>
          <w:tblCellMar>
            <w:top w:w="0" w:type="dxa"/>
            <w:left w:w="108" w:type="dxa"/>
            <w:bottom w:w="0" w:type="dxa"/>
            <w:right w:w="108" w:type="dxa"/>
          </w:tblCellMar>
        </w:tblPrEx>
        <w:trPr>
          <w:trHeight w:val="540" w:hRule="atLeast"/>
        </w:trPr>
        <w:tc>
          <w:tcPr>
            <w:tcW w:w="354" w:type="dxa"/>
            <w:tcBorders>
              <w:top w:val="single" w:color="000000" w:sz="4" w:space="0"/>
              <w:left w:val="single" w:color="000000" w:sz="4" w:space="0"/>
              <w:bottom w:val="single" w:color="000000" w:sz="4" w:space="0"/>
              <w:right w:val="single" w:color="000000" w:sz="4" w:space="0"/>
            </w:tcBorders>
            <w:noWrap/>
            <w:vAlign w:val="center"/>
          </w:tcPr>
          <w:p w14:paraId="5FE99845">
            <w:pPr>
              <w:pStyle w:val="24"/>
              <w:widowControl/>
              <w:jc w:val="center"/>
              <w:textAlignment w:val="center"/>
              <w:rPr>
                <w:rStyle w:val="18"/>
                <w:rFonts w:hint="eastAsia" w:ascii="宋体" w:hAnsi="宋体" w:eastAsia="宋体" w:cs="宋体"/>
                <w:b/>
                <w:bCs/>
                <w:color w:val="auto"/>
                <w:sz w:val="22"/>
                <w:szCs w:val="22"/>
              </w:rPr>
            </w:pPr>
            <w:r>
              <w:rPr>
                <w:rStyle w:val="18"/>
                <w:rFonts w:hint="eastAsia" w:ascii="宋体" w:hAnsi="宋体" w:eastAsia="宋体" w:cs="宋体"/>
                <w:b/>
                <w:bCs/>
                <w:color w:val="auto"/>
                <w:kern w:val="0"/>
                <w:sz w:val="22"/>
                <w:szCs w:val="22"/>
              </w:rPr>
              <w:t>序号</w:t>
            </w:r>
          </w:p>
        </w:tc>
        <w:tc>
          <w:tcPr>
            <w:tcW w:w="350" w:type="dxa"/>
            <w:tcBorders>
              <w:top w:val="single" w:color="000000" w:sz="4" w:space="0"/>
              <w:left w:val="single" w:color="000000" w:sz="4" w:space="0"/>
              <w:bottom w:val="single" w:color="000000" w:sz="4" w:space="0"/>
              <w:right w:val="single" w:color="000000" w:sz="4" w:space="0"/>
            </w:tcBorders>
            <w:noWrap/>
            <w:vAlign w:val="center"/>
          </w:tcPr>
          <w:p w14:paraId="160C74A6">
            <w:pPr>
              <w:pStyle w:val="24"/>
              <w:widowControl/>
              <w:jc w:val="center"/>
              <w:textAlignment w:val="center"/>
              <w:rPr>
                <w:rStyle w:val="18"/>
                <w:rFonts w:hint="eastAsia" w:ascii="宋体" w:hAnsi="宋体" w:eastAsia="宋体" w:cs="宋体"/>
                <w:b/>
                <w:bCs/>
                <w:color w:val="auto"/>
                <w:sz w:val="22"/>
                <w:szCs w:val="22"/>
              </w:rPr>
            </w:pPr>
            <w:r>
              <w:rPr>
                <w:rStyle w:val="18"/>
                <w:rFonts w:hint="eastAsia" w:ascii="宋体" w:hAnsi="宋体" w:eastAsia="宋体" w:cs="宋体"/>
                <w:b/>
                <w:bCs/>
                <w:color w:val="auto"/>
                <w:kern w:val="0"/>
                <w:sz w:val="22"/>
                <w:szCs w:val="22"/>
              </w:rPr>
              <w:t>名称</w:t>
            </w:r>
          </w:p>
        </w:tc>
        <w:tc>
          <w:tcPr>
            <w:tcW w:w="350" w:type="dxa"/>
            <w:tcBorders>
              <w:top w:val="single" w:color="000000" w:sz="4" w:space="0"/>
              <w:left w:val="single" w:color="000000" w:sz="4" w:space="0"/>
              <w:bottom w:val="single" w:color="000000" w:sz="4" w:space="0"/>
              <w:right w:val="single" w:color="000000" w:sz="4" w:space="0"/>
            </w:tcBorders>
            <w:noWrap/>
            <w:vAlign w:val="center"/>
          </w:tcPr>
          <w:p w14:paraId="24A340C4">
            <w:pPr>
              <w:pStyle w:val="24"/>
              <w:widowControl/>
              <w:jc w:val="center"/>
              <w:textAlignment w:val="center"/>
              <w:rPr>
                <w:rStyle w:val="18"/>
                <w:rFonts w:hint="eastAsia" w:ascii="宋体" w:hAnsi="宋体" w:eastAsia="宋体" w:cs="宋体"/>
                <w:b/>
                <w:bCs/>
                <w:color w:val="auto"/>
                <w:sz w:val="22"/>
                <w:szCs w:val="22"/>
              </w:rPr>
            </w:pPr>
            <w:r>
              <w:rPr>
                <w:rStyle w:val="18"/>
                <w:rFonts w:hint="eastAsia" w:ascii="宋体" w:hAnsi="宋体" w:eastAsia="宋体" w:cs="宋体"/>
                <w:b/>
                <w:bCs/>
                <w:color w:val="auto"/>
                <w:kern w:val="0"/>
                <w:sz w:val="22"/>
                <w:szCs w:val="22"/>
              </w:rPr>
              <w:t>单位</w:t>
            </w:r>
          </w:p>
        </w:tc>
        <w:tc>
          <w:tcPr>
            <w:tcW w:w="417" w:type="dxa"/>
            <w:tcBorders>
              <w:top w:val="single" w:color="000000" w:sz="4" w:space="0"/>
              <w:left w:val="single" w:color="000000" w:sz="4" w:space="0"/>
              <w:bottom w:val="single" w:color="000000" w:sz="4" w:space="0"/>
              <w:right w:val="single" w:color="000000" w:sz="4" w:space="0"/>
            </w:tcBorders>
            <w:noWrap/>
            <w:vAlign w:val="center"/>
          </w:tcPr>
          <w:p w14:paraId="7EBBFCAE">
            <w:pPr>
              <w:pStyle w:val="24"/>
              <w:widowControl/>
              <w:jc w:val="center"/>
              <w:textAlignment w:val="center"/>
              <w:rPr>
                <w:rStyle w:val="18"/>
                <w:rFonts w:hint="eastAsia" w:ascii="宋体" w:hAnsi="宋体" w:eastAsia="宋体" w:cs="宋体"/>
                <w:b/>
                <w:bCs/>
                <w:color w:val="auto"/>
                <w:sz w:val="22"/>
                <w:szCs w:val="22"/>
              </w:rPr>
            </w:pPr>
            <w:r>
              <w:rPr>
                <w:rStyle w:val="18"/>
                <w:rFonts w:hint="eastAsia" w:ascii="宋体" w:hAnsi="宋体" w:eastAsia="宋体" w:cs="宋体"/>
                <w:b/>
                <w:bCs/>
                <w:color w:val="auto"/>
                <w:kern w:val="0"/>
                <w:sz w:val="22"/>
                <w:szCs w:val="22"/>
              </w:rPr>
              <w:t>数量</w:t>
            </w:r>
          </w:p>
        </w:tc>
        <w:tc>
          <w:tcPr>
            <w:tcW w:w="6491" w:type="dxa"/>
            <w:tcBorders>
              <w:top w:val="single" w:color="000000" w:sz="4" w:space="0"/>
              <w:left w:val="single" w:color="000000" w:sz="4" w:space="0"/>
              <w:bottom w:val="single" w:color="000000" w:sz="4" w:space="0"/>
              <w:right w:val="single" w:color="000000" w:sz="4" w:space="0"/>
            </w:tcBorders>
            <w:noWrap/>
            <w:vAlign w:val="center"/>
          </w:tcPr>
          <w:p w14:paraId="7D5B2419">
            <w:pPr>
              <w:pStyle w:val="24"/>
              <w:widowControl/>
              <w:jc w:val="center"/>
              <w:textAlignment w:val="center"/>
              <w:rPr>
                <w:rStyle w:val="18"/>
                <w:rFonts w:hint="eastAsia" w:ascii="宋体" w:hAnsi="宋体" w:eastAsia="宋体" w:cs="宋体"/>
                <w:b/>
                <w:bCs/>
                <w:color w:val="auto"/>
                <w:sz w:val="22"/>
                <w:szCs w:val="22"/>
              </w:rPr>
            </w:pPr>
            <w:r>
              <w:rPr>
                <w:rStyle w:val="18"/>
                <w:rFonts w:hint="eastAsia" w:ascii="宋体" w:hAnsi="宋体" w:eastAsia="宋体" w:cs="宋体"/>
                <w:b/>
                <w:bCs/>
                <w:color w:val="auto"/>
                <w:kern w:val="0"/>
                <w:sz w:val="22"/>
                <w:szCs w:val="22"/>
              </w:rPr>
              <w:t>参   数</w:t>
            </w: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5686049D">
            <w:pPr>
              <w:pStyle w:val="24"/>
              <w:widowControl/>
              <w:jc w:val="center"/>
              <w:textAlignment w:val="center"/>
              <w:rPr>
                <w:rStyle w:val="18"/>
                <w:rFonts w:hint="eastAsia" w:ascii="宋体" w:hAnsi="宋体" w:eastAsia="宋体" w:cs="宋体"/>
                <w:b/>
                <w:bCs/>
                <w:color w:val="auto"/>
                <w:sz w:val="22"/>
                <w:szCs w:val="22"/>
              </w:rPr>
            </w:pPr>
            <w:r>
              <w:rPr>
                <w:rStyle w:val="18"/>
                <w:rFonts w:hint="eastAsia" w:ascii="宋体" w:hAnsi="宋体" w:eastAsia="宋体" w:cs="宋体"/>
                <w:b/>
                <w:bCs/>
                <w:color w:val="auto"/>
                <w:kern w:val="0"/>
                <w:sz w:val="22"/>
                <w:szCs w:val="22"/>
              </w:rPr>
              <w:t>备注</w:t>
            </w:r>
          </w:p>
        </w:tc>
      </w:tr>
      <w:tr w14:paraId="4989BEEC">
        <w:tblPrEx>
          <w:tblCellMar>
            <w:top w:w="0" w:type="dxa"/>
            <w:left w:w="108" w:type="dxa"/>
            <w:bottom w:w="0" w:type="dxa"/>
            <w:right w:w="108" w:type="dxa"/>
          </w:tblCellMar>
        </w:tblPrEx>
        <w:trPr>
          <w:trHeight w:val="8190" w:hRule="atLeast"/>
        </w:trPr>
        <w:tc>
          <w:tcPr>
            <w:tcW w:w="354" w:type="dxa"/>
            <w:tcBorders>
              <w:top w:val="single" w:color="000000" w:sz="4" w:space="0"/>
              <w:left w:val="single" w:color="000000" w:sz="4" w:space="0"/>
              <w:bottom w:val="single" w:color="000000" w:sz="4" w:space="0"/>
              <w:right w:val="single" w:color="000000" w:sz="4" w:space="0"/>
            </w:tcBorders>
            <w:noWrap/>
            <w:vAlign w:val="center"/>
          </w:tcPr>
          <w:p w14:paraId="39A1E2D9">
            <w:pPr>
              <w:pStyle w:val="24"/>
              <w:widowControl/>
              <w:jc w:val="righ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1</w:t>
            </w:r>
          </w:p>
        </w:tc>
        <w:tc>
          <w:tcPr>
            <w:tcW w:w="350" w:type="dxa"/>
            <w:tcBorders>
              <w:top w:val="single" w:color="000000" w:sz="4" w:space="0"/>
              <w:left w:val="single" w:color="000000" w:sz="4" w:space="0"/>
              <w:bottom w:val="single" w:color="000000" w:sz="4" w:space="0"/>
              <w:right w:val="single" w:color="000000" w:sz="4" w:space="0"/>
            </w:tcBorders>
            <w:noWrap/>
            <w:vAlign w:val="center"/>
          </w:tcPr>
          <w:p w14:paraId="4028E90A">
            <w:pPr>
              <w:pStyle w:val="24"/>
              <w:widowControl/>
              <w:jc w:val="lef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课程资源制作</w:t>
            </w:r>
          </w:p>
        </w:tc>
        <w:tc>
          <w:tcPr>
            <w:tcW w:w="350" w:type="dxa"/>
            <w:tcBorders>
              <w:top w:val="single" w:color="000000" w:sz="4" w:space="0"/>
              <w:left w:val="single" w:color="000000" w:sz="4" w:space="0"/>
              <w:bottom w:val="single" w:color="000000" w:sz="4" w:space="0"/>
              <w:right w:val="single" w:color="000000" w:sz="4" w:space="0"/>
            </w:tcBorders>
            <w:noWrap/>
            <w:vAlign w:val="center"/>
          </w:tcPr>
          <w:p w14:paraId="1B1A6DC3">
            <w:pPr>
              <w:pStyle w:val="24"/>
              <w:widowControl/>
              <w:jc w:val="center"/>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项</w:t>
            </w:r>
          </w:p>
        </w:tc>
        <w:tc>
          <w:tcPr>
            <w:tcW w:w="417" w:type="dxa"/>
            <w:tcBorders>
              <w:top w:val="single" w:color="000000" w:sz="4" w:space="0"/>
              <w:left w:val="single" w:color="000000" w:sz="4" w:space="0"/>
              <w:bottom w:val="single" w:color="000000" w:sz="4" w:space="0"/>
              <w:right w:val="single" w:color="000000" w:sz="4" w:space="0"/>
            </w:tcBorders>
            <w:noWrap/>
            <w:vAlign w:val="center"/>
          </w:tcPr>
          <w:p w14:paraId="2C4F8835">
            <w:pPr>
              <w:pStyle w:val="24"/>
              <w:widowControl/>
              <w:jc w:val="center"/>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1</w:t>
            </w:r>
          </w:p>
        </w:tc>
        <w:tc>
          <w:tcPr>
            <w:tcW w:w="6491" w:type="dxa"/>
            <w:tcBorders>
              <w:top w:val="single" w:color="000000" w:sz="4" w:space="0"/>
              <w:left w:val="single" w:color="000000" w:sz="4" w:space="0"/>
              <w:bottom w:val="single" w:color="000000" w:sz="4" w:space="0"/>
              <w:right w:val="single" w:color="000000" w:sz="4" w:space="0"/>
            </w:tcBorders>
            <w:noWrap w:val="0"/>
            <w:vAlign w:val="center"/>
          </w:tcPr>
          <w:p w14:paraId="18798584">
            <w:pPr>
              <w:pStyle w:val="24"/>
              <w:widowControl/>
              <w:jc w:val="lef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本项共制作32门课程，含6680个非文本资源，其中动画制作616个资源、视频制作1868个资源、微课拍摄1346个资源、音频制作1316个资源、虚仿制作52个资源。</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1.动画制作资源参数</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总体要求：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a)根据建设需要，供应商与负责人一起确定动画制作方式，提供多种的制作模式供课程负责人选择；</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b)负责人提供教学设计脚本，供应商的专业人员主动和课程负责教师沟通，协助负责人制作动画脚本。根据教学内容的特点，按照教学设计脚本的要求制作必要的动画效果等；</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c)根据课程动画特色和学校要求，为动画制作片头片尾；</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d)制作团队要求专业的动画制作人员。</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技术要求：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a)内容符合我国法律法规，尊重民族风俗习惯，不存在版权争议，若其中包含少数民族或外国语言文字信息，应遵循其原内容完整性，使用原语言进行处理，成品动画需实时显示相关字幕，能按需方指定要求剪辑，按需要设定背景音乐或背景音效，有明确的版权标识信息，动画配音要有字幕，使用规范汉字，音频与动画有良好的同步；</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b)以动画方式展示工作原理和流程，动画表现方式不能过于单调；动画内容中用到的位图必须画面清晰，不能有图像过于模糊等现象出现（特效除外），所有动画中背景需按照分镜需要来制作或使用；动画画面不能出现错位、组件缺损、跳帧、少帧等明显漏洞；视线要有跟随，画面自然、合理；主要角色要完全按照人设规范绘制，其余出场人物的造型和数量可根据分镜自行发挥创作，但风格要与主角保持统一；动画内容中出现文字，要求清晰，不能出现多字、少字、错字、别字、实心字、乱码等情况；</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c)根据给定的材料，设计案例、情节和人物形象，制作教学演示动画文件；并提供人设源文件；</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d)情节合情合理，能够帮助学员理解课程内容；动画表现细腻；</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e)动画连续性强、节奏合适，帧和帧之间有较强的关联性；</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f)动画的开始要有醒目的标题，标题要能够体现动画所表现的内容。</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g)动画帧速设置：25帧/秒；画面尺寸：宽度1280像素*高度720像素；</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h)动画配音应清晰、无噪音，声音悦耳，音量适中；</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i)音频文件最低为采样频率22.05kHz、16位、双声道，支持混音处理；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j)音频压缩采用AAC（MPEG4Part3）格式；</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k)动画中如果有文字，文字要醒目，文字的字体、字号与内容协调，字体颜色避免与背景色相近；</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l)动画色彩造型应和谐，画面简洁清晰，界面友好，交互设计合理，操作简单；</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m)动画连续，节奏合适，帧和帧之间的关联性要强；</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n)动画如果有背景音乐，背景音乐音量不宜过大，音乐与内容相符；</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o)动画演播过程要流畅，动画时长不少于40秒，静止画面时间不超过3秒钟；</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p)应设置暂停与播放控制按钮，当动画时间较长时应设置进度拖动条。</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q)动画采用SWF或MP4格式，能够在网络环境中正常播放；清晰度不低于：1280*720；动画输出成品符合16:9宽屏标准。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r)所有动画均需要交付动画源工程文件。</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2.视频制作资源参数</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总体要求：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a)根据建设需要，供应商与负责人一起确定视频制作方式和需求，提供多种的制作模式供课程负责人选择；</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b)供应商的专业人员主动和负责教师沟通，根据教学内容的特点，制定视频制作的规划及工作步骤，按照教学设计的要求制作一定的图、表等素材内容及必要的过渡效果等，并对素材内容进行美化修改；</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c)根据制作计划，按照不同的场景、要求进行准备，以及调整中涉及到需要拍摄等等事宜，和老师确定准备材料。与老师沟通说明调整要求，并协助提供着装意见；</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d)视频制作过程中，始终保持和学校的良性沟通，认真听取学校意见，配合学校对视频效果的要求，积极合理地运用特效等多种手段；</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e)根据资源库建设要求，为视频制作片头片尾。</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技术要求：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a)供应商专业技术人员依照项目要求，对负责人提供的视频内容按规范进行制作处理。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b)供应商负责视频资源的制作包括剪辑、添加片头片尾设计、增效、字幕添加等相关工作。根据上述工作性质要求供应商提供后期制作系统需包含以下节目包装能力：动态跟踪、掩膜/遮罩、蒙版等作为子特技包含在所有特技里。</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c)视频特效制作采用后期编辑软件AfterEffects、3dsmax、maya、flash等软件制作。</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d)视频内容整体长度均匀隔断分布，采购人Logo角标并放置于视频左上角位置。</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e)视频封装要求：采用MP4格式封装,或者根据采购人要求FLV格式封装。</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f)其他要求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i.整个视频制作过程和视频不得出现有广告嫌疑或与内容无关的标识等内容。</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ii.所有视音频文件和相应的资源文件以及视频与字幕合成的视音频文件请拷贝到可靠的媒介（如移动硬盘或者U盘等）须交付采购人，并随媒介附上纸质内容清单（标记学校名称、视频名称、时长等相关元数据信息）。</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iii.所有制作视频资源的视音频及相关素材，须向采购人提供完整的源文件。</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3.微课拍摄资源参数</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总体要求：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a)根据建设需要，供应商与负责人一起确定微课制作方式和需求，提供多种的制作模式供课程负责人选择；</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b)课程负责人提供课程的大纲、单元教学设计脚本及教学课件（PPT等），供应商的专业人员主动和负责教师沟通，协助负责人制作脚本。根据教学内容的特点，按照教学设计脚本的要求制作一定的图、表及必要的过渡效果等，并对配套的PPT进行美化修改；</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c)根据制作计划，按照不同的场景、要求进行前期准备，配合老师进行拍摄需求的准备，确定准备材料，与老师沟通说明拍摄要求，并协助提供着装意见；</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d)视频制作过程中，要配合学校对视频效果的要求，积极合理地运用特效等多种手段；始终保持和学校的良性沟通，认真听取学校意见，积极提出合理化建议；</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e)根据课程特色和学校要求，为微课视频制作片头片尾，每个微课视频不少于5分钟；</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f)制作团队要求专业的视频制作人员。</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技术要求：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a)全片图像同步性能稳定，不出现空画面。画面无明显抖动跳跃、摇晃、倾斜、虚焦、噪点、色彩突变等现象，编辑点处图像稳定；</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b)视频图像信噪比不低于55dB，无明显杂波；</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c)视频压缩采用H.264/AVC（MPEG-4Part10）编码、不包含字幕的MP4格式。动态码流的最高码率不高于2500Kbps，最低码率不得低于1024Kbps；</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d)视频采用高清16:9，分辨率设定为1920*1080，在同一课程中，各讲的视频分辨率和画幅的宽高比应统一，不得混用；</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e)视频帧率为25-30帧/秒。扫描方式采用逐行扫描；</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f)音频压缩采用H.264/AAC（MPEG4Part3）格式编码，采样率不低于48KHz，音频码流率不低于128Kbps，音频信噪比不低于48db；</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g)声音和画面要求同步，无交流声或其他杂音等缺陷；</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h)伴音清晰、饱满、圆润，无失真、噪声杂音干扰、音量忽大忽小现象。解说声与现场声无明显比例失调，解说声与背景音乐无明显比例失调；</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i)要使用符合国家标准的规范字，不出现繁体字、异体字（国家规定的除外）、错别字；字幕的字体、大小、色彩搭配、摆放位置、停留时间、出入屏方式力求与其他要素（画面、解说词、音乐）配合适当，不能破坏原有画面；</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j)视频统一采用MP4格式提交，同时提供原始视频工程文件。</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4.音频制作资源参数</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总体要求：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a)根据资源库建设需求，供应商与课程负责人密切合作，确定音频制作方式及需求，提供多种制作模式供负责人选择。</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b)脚本编制与沟通协作：课程负责人提供课程大纲、单元教学设计脚本及相关教学材料，供应商的专业音频制作人员与课程负责人主动沟通，协助完成音频脚本的编制。根据课程内容和教学设计的要求，制作相应的音频素材，并协助优化。</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c)前期准备与拍摄配合：按照制作计划，进行场景设置和音频录制的准备工作。供应商需与教师保持良好沟通，确认录制要求，协助提供设备设置、声学环境调整等建议。</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d)录制过程支持：在音频录制过程中，供应商应按照学校的需求和音频制作要求，配合教师进行录制，确保录音质量符合课程标准。供应商应积极听取学校的意见，并提出合理化建议。</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e)音频后期处理与效果优化：根据课程的特点和需求，供应商负责完成音频的后期处理，包括降噪、均衡、混音及特效等，并保证音频清晰自然。</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f)制作团队配置：制作团队需配备专业音频制作人员，以确保项目高效进行和高质量交付。</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技术要求：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a)音频录制质量：音频录制过程中，音质稳定、无杂音和噪声，保证音频信噪比不低于48dB，录音设备需具备高灵敏度、低失真性能。</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b)音频编码规范：音频压缩采用MP3/WAV格式编码，采样率不低于48kHz，音频码流率不低于128kbps，确保音质符合标准。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c)音频同步与无失真：录制的音频文件需与视频同步，无延迟或不同步现象。音频解说与背景音乐无明显比例失调，声音饱满、圆润，无失真、噪声或音量忽大忽小的现象。</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d)音频格式及交付：所有音频文件需采用MP3或WAV格式提交，并同时提供原始的音频工程文件，确保可供后续修改和再编辑使用。</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5.虚仿制作资源参数</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总体要求：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a)需求确定与制作方式选择：供应商应与课程负责人紧密合作，确定虚拟仿真制作的方式及需求，提供多种制作模式供课程负责人选择，并依据课程的特点定制虚拟仿真场景。</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b)脚本编制与内容设计：课程负责人提供课程大纲、单元教学设计脚本及相关教学材料，供应商的专业人员与负责人进行充分沟通，协助编写虚拟仿真脚本。根据教学设计要求，设计相应的虚拟场景、交互元素及过渡效果，并优化教学素材。</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c)前期准备与场景搭建：根据制作计划，供应商负责进行虚拟仿真场景的搭建及前期准备。供应商需配合课程负责人确定场景需求，提供建议并确保所有素材、设备、软件等准备充分。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d)制作过程与效果优化：在虚拟仿真制作过程中，供应商需根据学校的要求和虚拟仿真效果，合理运用特效、物理引擎和交互设计，确保仿真效果符合课程标准。供应商应保持与学校的有效沟通，认真听取意见并提出合理化建议。</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e)虚拟仿真特效与互动设计：根据课程特点，供应商需为仿真场景设计相应的交互功能和特效效果，确保用户能够通过虚拟仿真进行有效的学习和互动。每个虚拟仿真场景需包含互动元素和多种反馈机制。</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f)制作团队配置：制作团队需配备专业虚拟仿真设计与开发人员，确保项目高效推进及高质量完成。</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技术要求：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a)虚拟仿真画面质量：虚拟仿真场景需保证画面质量稳定，图像无明显的失真、抖动或色彩突变等现象，场景中模型及物件的细节需精细呈现。</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b)互动与操作响应：虚拟仿真场景中的互动元素需保证流畅性，响应时间应小于200ms，确保用户在操作时无延迟或卡顿现象。</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c)仿真系统兼容性：虚拟仿真系统需具备良好的兼容性，支持主流操作系统（Windows、macOS等）及多种浏览器环境（Chrome、Firefox等）。虚拟仿真内容应支持通过Web端或应用程序运行。</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d)仿真效果与优化：场景中的物理引擎应符合真实世界的物理规律，确保物体的运动、碰撞等仿真效果真实。供应商需提供性能优化措施，保证仿真场景在运行中稳定且无卡顿。</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e)声音与画面同步：仿真中的声音效果需与画面同步，确保背景音效、操作提示音与用户互动行为一致，提供逼真的仿真体验。</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f)多种语言支持与规范字使用：虚拟仿真内容需支持多种语言切换，特别是亚洲语言，符合国家职业教育资源出口政策。所有显示的文字需符合国家标准，不得出现繁体字、异体字及错别字。</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g)交付格式与工程文件：所有虚拟仿真场景需以3D引擎项目文件和可运行程序形式提交，同时提供原始工程文件，确保项目后期的修改与再编辑。</w:t>
            </w: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3F7AF574">
            <w:pPr>
              <w:pStyle w:val="24"/>
              <w:rPr>
                <w:rStyle w:val="18"/>
                <w:rFonts w:hint="eastAsia" w:ascii="宋体" w:hAnsi="宋体" w:eastAsia="宋体" w:cs="宋体"/>
                <w:color w:val="auto"/>
                <w:sz w:val="22"/>
                <w:szCs w:val="22"/>
              </w:rPr>
            </w:pPr>
          </w:p>
        </w:tc>
      </w:tr>
      <w:tr w14:paraId="02123947">
        <w:tblPrEx>
          <w:tblCellMar>
            <w:top w:w="0" w:type="dxa"/>
            <w:left w:w="108" w:type="dxa"/>
            <w:bottom w:w="0" w:type="dxa"/>
            <w:right w:w="108" w:type="dxa"/>
          </w:tblCellMar>
        </w:tblPrEx>
        <w:trPr>
          <w:trHeight w:val="654" w:hRule="atLeast"/>
        </w:trPr>
        <w:tc>
          <w:tcPr>
            <w:tcW w:w="354" w:type="dxa"/>
            <w:tcBorders>
              <w:top w:val="single" w:color="000000" w:sz="4" w:space="0"/>
              <w:left w:val="single" w:color="000000" w:sz="4" w:space="0"/>
              <w:bottom w:val="single" w:color="000000" w:sz="4" w:space="0"/>
              <w:right w:val="single" w:color="000000" w:sz="4" w:space="0"/>
            </w:tcBorders>
            <w:noWrap/>
            <w:vAlign w:val="center"/>
          </w:tcPr>
          <w:p w14:paraId="61F8DCA0">
            <w:pPr>
              <w:pStyle w:val="24"/>
              <w:widowControl/>
              <w:jc w:val="center"/>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2</w:t>
            </w:r>
          </w:p>
        </w:tc>
        <w:tc>
          <w:tcPr>
            <w:tcW w:w="350" w:type="dxa"/>
            <w:tcBorders>
              <w:top w:val="single" w:color="000000" w:sz="4" w:space="0"/>
              <w:left w:val="single" w:color="000000" w:sz="4" w:space="0"/>
              <w:bottom w:val="single" w:color="000000" w:sz="4" w:space="0"/>
              <w:right w:val="single" w:color="000000" w:sz="4" w:space="0"/>
            </w:tcBorders>
            <w:noWrap/>
            <w:vAlign w:val="center"/>
          </w:tcPr>
          <w:p w14:paraId="4EC6827D">
            <w:pPr>
              <w:pStyle w:val="24"/>
              <w:widowControl/>
              <w:jc w:val="center"/>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电子商务科技馆</w:t>
            </w:r>
          </w:p>
        </w:tc>
        <w:tc>
          <w:tcPr>
            <w:tcW w:w="350" w:type="dxa"/>
            <w:tcBorders>
              <w:top w:val="single" w:color="000000" w:sz="4" w:space="0"/>
              <w:left w:val="single" w:color="000000" w:sz="4" w:space="0"/>
              <w:bottom w:val="single" w:color="000000" w:sz="4" w:space="0"/>
              <w:right w:val="single" w:color="000000" w:sz="4" w:space="0"/>
            </w:tcBorders>
            <w:noWrap/>
            <w:vAlign w:val="center"/>
          </w:tcPr>
          <w:p w14:paraId="4D03CB49">
            <w:pPr>
              <w:pStyle w:val="24"/>
              <w:widowControl/>
              <w:jc w:val="lef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项</w:t>
            </w:r>
          </w:p>
        </w:tc>
        <w:tc>
          <w:tcPr>
            <w:tcW w:w="417" w:type="dxa"/>
            <w:tcBorders>
              <w:top w:val="single" w:color="000000" w:sz="4" w:space="0"/>
              <w:left w:val="single" w:color="000000" w:sz="4" w:space="0"/>
              <w:bottom w:val="single" w:color="000000" w:sz="4" w:space="0"/>
              <w:right w:val="single" w:color="000000" w:sz="4" w:space="0"/>
            </w:tcBorders>
            <w:noWrap/>
            <w:vAlign w:val="center"/>
          </w:tcPr>
          <w:p w14:paraId="7BCD315E">
            <w:pPr>
              <w:pStyle w:val="24"/>
              <w:widowControl/>
              <w:jc w:val="righ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1</w:t>
            </w:r>
          </w:p>
        </w:tc>
        <w:tc>
          <w:tcPr>
            <w:tcW w:w="6491" w:type="dxa"/>
            <w:tcBorders>
              <w:top w:val="single" w:color="000000" w:sz="4" w:space="0"/>
              <w:left w:val="single" w:color="000000" w:sz="4" w:space="0"/>
              <w:bottom w:val="single" w:color="000000" w:sz="4" w:space="0"/>
              <w:right w:val="single" w:color="000000" w:sz="4" w:space="0"/>
            </w:tcBorders>
            <w:noWrap w:val="0"/>
            <w:vAlign w:val="center"/>
          </w:tcPr>
          <w:p w14:paraId="55E97998">
            <w:pPr>
              <w:pStyle w:val="24"/>
              <w:widowControl/>
              <w:jc w:val="lef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一、电子商务科技馆介绍</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1.职业技能竞赛展馆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包括电子商务技能、国际经济与贸易技能竞赛等赛项的省赛及国赛规程、题库、标准等相关资源。</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将展馆规划为5个大区域并按浏览顺序介绍：</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省赛规程展示区：首站是展示省精彩赛事瞬间的10块大屏幕，增进对省级竞赛的理解。</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国赛互动展览区：之后是5个大屏幕和互动模拟，让用户亲身体验全国级别的竞赛激情。</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题库访问区：继续前行，20个历年竞赛题目，可以按时间浏览。</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2.职业评价展馆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包括电子商务师的技能等级评定、评价标准、流程等相关资讯。</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将展馆规划为3个大区域并按浏览顺序介绍：</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技能等级评定展区：入口处8个展示点详细介绍电子商务师的各级技能评定方法和成功案例。</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评价标准展示墙：沿途的10个展示点清晰阐释关键的评价标准和方法。</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评价流程动态图：展馆深处的5个动态图解和互动展示清楚展现从评估到认证的全过程。</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3.行业资讯展馆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汇集数字经济、电子商务、跨境电商等相关行业相关政策法规、行业报告、热点资讯、科技前沿，包含国家、地方政府发布的商业相关政策；数字经济、电子商务行业发展报告；商业新闻、行业发展动态及电子商务教育的前沿资讯；行业新技术、科研成果、科技创新资讯等。助力电子商务专业群人才培养目标定位，开阔学生及相关行业人员的视野。</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将展馆规划为3个大区域并按浏览顺序介绍：</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政策法规更新中心：首先是15项最新政策法规的实时更新屏幕，提供专业解读和即时洞察。</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行业报告分析区：中途20份详尽的行业报告和市场分析，供深度学习和洞察。</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科技前沿体验站：末端10个展示创新技术及其应用资源，提供沉浸式体验。</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4.标准规范展馆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涵盖技术标准、技能抽查标准及题库、职业标准、课程标准、行业标准、师德标准以及行业规范等，另外涵盖行业企业阿里巴巴、京东商城、拼多多等商城的入驻条件、规则及电子商务行业的法律法规等各类标准。面向商务活动的业务标准和面向支撑体系的支撑体系标准，监督管理类标准，还包括电子商务服务质量、发展评价和标准符合性测试等方面的内容。</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将展馆规划为4个大区域并按浏览顺序介绍：</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技术标准详解区：一开始的10个展示点通过实际操作和案例直观展示电商相关的技术标准。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职业与课程标准指南：15个详细解说电商行业职业角色和课程设置标准的指导点。</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行业标准：15个详细解说电商行业标准的指导点。</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师德标准研讨区：静谧一角的定期研讨和讲座，讨论和强调教师职责和行为规范。</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5.电商数字化展览展馆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立足数字技术下消费升级、场景升级、服务升级、体验升级等；</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数字商业产业新形态，创新性采用人工智能、人机交互、大数据等；</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领先技术，搭建包含生活区、商业区、行政区、贸易区、展示区等；</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丰富多元的虚拟数字商业场景，采用3D 渲染、AI、大数据、NLP等技术，真实再现企业生产经营流程，还原数字化岗位工作内容，构建数字化生活情景，帮助学生在虚拟生动的学习体验中轻松掌握数字商业技能，全面提升数字素养，主动适应未来数字商业岗位需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将展馆规划为3个大区域并按浏览顺序介绍：</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数字技术应用展区：开始的10个展示点详细展示AI和大数据在电商的应用。</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虚拟商业场景体验室：5个3D渲染的商业场景区提供全方位的沉浸式体验。</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学习体验升级中心：深处的5个子展馆浏览最新教育技术，提升学习的趣味性和实用性。</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1)数据分析与应用企业任务子展馆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提供相关实训任务，包含数据分析助理、数据分析专员、数据分析经理等三个阶段岗位实训内容的展板浏览。</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2)数字素养企业任务子展馆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提供信息与媒介素养、交流与协作素养、数字内容创作、数字安全、问题解决、数字伦理道德等相关任务的展板浏览。</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3)社群运营企业任务子展馆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提供社群构建、社群裂变、社群维护、社群转化、数据分析等任务内容的展板浏览。</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4)电商运营企业实训任务子展馆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包含店铺装修、订单管理、网店营销、客户服务、数据分析等任务的展板浏览。</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5)市场营销企业任务子展馆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提供调研组卷、选品分析、人群画像、视觉营销、SWOT 分析、网络广告分析等任务内容的展板浏览。</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二、技术参数</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1.系统采用当前流行的技术架构，采用JAVA或者C#语言开发；支持最新的HTML5标准，支持响应式布局，多浏览器兼容。</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2.系统可以设置管理员、参观学习者两类用户。</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3.系统支持资源搜索，可以方便定向查找资源。</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4.系统资源包括文档、图形图像、音视频等类型，每一类型的技术标准如下：</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A:文档要求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（1）文本文稿均采用通用的媒体类型，包括：DOC、DOCX、PDF等，文件制作版本不低于当前主流版本，文档编辑工具为OFFICE2013以上。</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（2）文本正文设定文章标题，文章标题放在正文内第一行居中的位置，各级标题设置正确，同一级标题使用同样的样式，文本结构清晰，按照具体标准执行。</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B：图形图像</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（1）图形图像应采用主流通用格式，包括：JPG（图形图像压缩格式文件）、PNG（可移植网络图形格式）、GIF（图像互换格式文件）、DWG（AutoCAD图形文件）、WMF（图元文件）等。</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（2）彩色图像颜色数应不低于32位色，灰度图像的灰度级应不低于256级，可以为单色。</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（3）屏幕分辨率以1280×720为基础（最大1920*1080），扫描图像的扫描分辨率不低于150dpi，彩色扫描图像的扫描分辨率不低于300dpi。</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（4）图像内容应清晰可辨识，无水印，内容完整，不需要借助额外的设备即可辨认图形图像资源所需要表达的主体内容。</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C：视频要求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拍摄要求：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（1）视频素材的影像质量需选择高清制式（1080P）。</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2）制定统一的设备参数标准（快门、光圈等），拍摄地点使用无透明窗户的室内，统一使用拍摄专用的照明设备进行补光，确保每一段视频素材画面的色彩、曝光、白平衡完全一致，确保本项目所制作的视频画面风格保持一致。</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（3）声音要求由专业配音师采用指向型专业级别话筒配备专业录音机，保障素材的高品质音质，确保素材伴音清晰、饱满，无交流声或其他杂音等缺陷。</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制作要求：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由专业的视频制作团队使用非线性编辑软件premiere、final cut pro以及片头特效软件AE,3D 制作。视频压缩应采用H.264编码方式，码流率不低于2048kbps。帧速率25fps，画面应采用16:9模式。视频成品的输出应选择MP4（常用封装格式）、M4V（苹果设备常用格式，相当于MP4）、FLV（移动设备常用格式）等其他常见的主流封装格式，保证教师能够在日常教学中正常使用。</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D: 动画要求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（1）动画脚本能够清楚的反映制作内容的真实情况，且具有一定的趣味性。</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（2）动画开始应有醒目的、意义明确的标题，标题要能够充分体现动画所表现的内容。</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（3）动画画面应简洁、清晰、流畅，且对主频2GHz的电脑CPU资源占用率低于30%。</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（4）动画中的文字应醒目，文字的字体、字号应与动画的正题风格相符，字体颜色需避免与背景色相近。</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（5）应聘请专业配音人员对动画进行配音、解说，配音要求普通话标准，咬字清楚，声音悦耳，音量适当，快慢适度。</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5.版权说明：制作后的版权归甲方，制作方需要保障所使用的素材已取得商业授权。</w:t>
            </w: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30C47141">
            <w:pPr>
              <w:pStyle w:val="24"/>
              <w:rPr>
                <w:rStyle w:val="18"/>
                <w:rFonts w:hint="eastAsia" w:ascii="宋体" w:hAnsi="宋体" w:eastAsia="宋体" w:cs="宋体"/>
                <w:color w:val="auto"/>
                <w:sz w:val="22"/>
                <w:szCs w:val="22"/>
              </w:rPr>
            </w:pPr>
          </w:p>
        </w:tc>
      </w:tr>
      <w:tr w14:paraId="237AD103">
        <w:tblPrEx>
          <w:tblCellMar>
            <w:top w:w="0" w:type="dxa"/>
            <w:left w:w="108" w:type="dxa"/>
            <w:bottom w:w="0" w:type="dxa"/>
            <w:right w:w="108" w:type="dxa"/>
          </w:tblCellMar>
        </w:tblPrEx>
        <w:trPr>
          <w:trHeight w:val="654" w:hRule="atLeast"/>
        </w:trPr>
        <w:tc>
          <w:tcPr>
            <w:tcW w:w="354" w:type="dxa"/>
            <w:tcBorders>
              <w:top w:val="single" w:color="000000" w:sz="4" w:space="0"/>
              <w:left w:val="single" w:color="000000" w:sz="4" w:space="0"/>
              <w:bottom w:val="single" w:color="000000" w:sz="4" w:space="0"/>
              <w:right w:val="single" w:color="000000" w:sz="4" w:space="0"/>
            </w:tcBorders>
            <w:noWrap/>
            <w:vAlign w:val="center"/>
          </w:tcPr>
          <w:p w14:paraId="6D0DA015">
            <w:pPr>
              <w:pStyle w:val="24"/>
              <w:widowControl/>
              <w:jc w:val="righ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3</w:t>
            </w:r>
          </w:p>
        </w:tc>
        <w:tc>
          <w:tcPr>
            <w:tcW w:w="350" w:type="dxa"/>
            <w:tcBorders>
              <w:top w:val="single" w:color="000000" w:sz="4" w:space="0"/>
              <w:left w:val="single" w:color="000000" w:sz="4" w:space="0"/>
              <w:bottom w:val="single" w:color="000000" w:sz="4" w:space="0"/>
              <w:right w:val="single" w:color="000000" w:sz="4" w:space="0"/>
            </w:tcBorders>
            <w:noWrap/>
            <w:vAlign w:val="center"/>
          </w:tcPr>
          <w:p w14:paraId="16671CA8">
            <w:pPr>
              <w:pStyle w:val="24"/>
              <w:widowControl/>
              <w:jc w:val="lef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视频智能化创作平台</w:t>
            </w:r>
          </w:p>
        </w:tc>
        <w:tc>
          <w:tcPr>
            <w:tcW w:w="350" w:type="dxa"/>
            <w:tcBorders>
              <w:top w:val="single" w:color="000000" w:sz="4" w:space="0"/>
              <w:left w:val="single" w:color="000000" w:sz="4" w:space="0"/>
              <w:bottom w:val="single" w:color="000000" w:sz="4" w:space="0"/>
              <w:right w:val="single" w:color="000000" w:sz="4" w:space="0"/>
            </w:tcBorders>
            <w:noWrap/>
            <w:vAlign w:val="center"/>
          </w:tcPr>
          <w:p w14:paraId="5743521B">
            <w:pPr>
              <w:pStyle w:val="24"/>
              <w:widowControl/>
              <w:jc w:val="lef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项</w:t>
            </w:r>
          </w:p>
        </w:tc>
        <w:tc>
          <w:tcPr>
            <w:tcW w:w="417" w:type="dxa"/>
            <w:tcBorders>
              <w:top w:val="single" w:color="000000" w:sz="4" w:space="0"/>
              <w:left w:val="single" w:color="000000" w:sz="4" w:space="0"/>
              <w:bottom w:val="single" w:color="000000" w:sz="4" w:space="0"/>
              <w:right w:val="single" w:color="000000" w:sz="4" w:space="0"/>
            </w:tcBorders>
            <w:noWrap/>
            <w:vAlign w:val="center"/>
          </w:tcPr>
          <w:p w14:paraId="68B97D64">
            <w:pPr>
              <w:pStyle w:val="24"/>
              <w:widowControl/>
              <w:jc w:val="righ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1</w:t>
            </w:r>
          </w:p>
        </w:tc>
        <w:tc>
          <w:tcPr>
            <w:tcW w:w="6491" w:type="dxa"/>
            <w:tcBorders>
              <w:top w:val="single" w:color="000000" w:sz="4" w:space="0"/>
              <w:left w:val="single" w:color="000000" w:sz="4" w:space="0"/>
              <w:bottom w:val="single" w:color="000000" w:sz="4" w:space="0"/>
              <w:right w:val="single" w:color="000000" w:sz="4" w:space="0"/>
            </w:tcBorders>
            <w:noWrap w:val="0"/>
            <w:vAlign w:val="center"/>
          </w:tcPr>
          <w:p w14:paraId="3163C675">
            <w:pPr>
              <w:pStyle w:val="24"/>
              <w:widowControl/>
              <w:jc w:val="lef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1.具体功能要求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1)基础功能</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多场景组合支持：平台支持将多个不同场景灵活组合为一个完整的视频工程，教师可以根据课程内容灵活设置不同场景，支持逐帧时间轴控制，确保每个场景的细节展现。每个场景的时长、动效、过渡效果可以灵活调整，极大地增强了视频的表达力和连贯性。</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时间轴支持：时间轴编辑功能让教师可以精确控制视频中的各类素材的展示时间和动效时间，平台还支持智能化的时间轴推荐布局，基于AI分析视频结构，自动为复杂的时间线设置优化，减少人工操作的复杂性。</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基础动效支持：内置丰富的基础动画效果，包括渐变、缩放、旋转、移动、淡入淡出等，且动效参数可根据用户需求自定义，支持自由组合，形成个性化的视觉呈现。</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素材样式设置：支持对导入的图片、文本、视频、动画等素材进行样式设置，提供丰富的编辑工具，可调整大小、颜色、透明度、边框、阴影等细节。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图层设置：支持多图层叠加，用户可根据需求调整图层顺序，灵活控制元素的层级关系，提供图层的锁定、隐藏、复制、合并等功能，方便用户管理复杂的项目。</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背景设置：平台支持多种背景设置，包括纯色背景、渐变背景、图片背景和视频背景，提供丰富的素材库供用户选择，同时支持上传自定义背景。</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2)</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★素材管理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素材类型支持：平台不仅支持图片、文字、视频、动画等常规素材的导入，还支持导入传统Flash等动态素材，提供强大的兼容性，确保用户可以灵活使用各种素材创作资源。</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智能化素材管理：平台提供素材库分类和管理功能，支持素材的快速检索、标签化管理，智能化推荐功能还可以根据用户当前项目的需求自动推荐最合适的素材。</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3)多场景支持</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场景分段制作：平台支持将复杂的视频项目按场景分段制作，用户可以自由调整每个场景的顺序和时长，并通过智能化功能在不同场景间实现自然的过渡效果。平台还提供多场景布局模板，基于AI分析项目内容，为教师自动生成场景布局建议。</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4)脚本导入</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智能脚本解析：用户可以导入Word脚本，平台基于自然语言处理技术，智能提取文本和对话信息，自动匹配视频或动画的内容结构，并生成与脚本对应的动态效果。脚本中的关键词和情境信息会通过AI分析，匹配相应的场景动画、表情动作等，使视频内容更具连贯性和逻辑性。</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5)</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★课件导入</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智能课件解析：用户可以导入PPT课件，平台自动分析每一页的内容，包括形状、文字、图表、动效等信息。通过AI技术，平台能够智能化地将这些元素转化为视频或动画场景，并根据用户需求自动生成连贯的视觉效果。</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6)</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★AI分析</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智能推荐与布局优化：平台不仅可以根据当前项目中的素材内容、场景布局、屏幕元素等进行分析，还能基于AI技术进行相似度匹配，自动推荐与项目风格相符的创作素材和视觉布局。此功能极大提高了教师创作资源的效率，且支持多种创作风格的智能匹配。</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基于相似度推荐创作素材：平台可以根据项目内容推荐最适合的动画、图像或其他素材，使得资源创作更加轻松。</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内容提炼与总结：AI技术会自动提取脚本或课件的关键信息，帮助用户提炼核心内容，并生成合适的视觉结构。</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版式布局生成：基于AI的版式推荐功能会根据用户的需求智能生成不同风格的版式布局，以供选择和调整。</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7)</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★AI多向多语翻译</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多种语言翻译支持：平台支持将场景中的文字智能翻译为指定语言的文本，涵盖包括英语、法语、德语、日语、韩语，以及亚洲其他语言如泰语、越南语、印尼语、柬埔寨语、老挝语、马来语、菲律宾语等。用户可以在多种语言之间进行无缝切换，且支持语法和语言逻辑的自动优化，确保翻译内容准确。</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8)</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★AI从文本到配音</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智能语音合成：平台支持将多种语言文本自动转换为配音，提供多种不同的音色选择，包括多种类型声音。用户还可以调节语速、语调等参数，确保配音符合课程的节奏和风格。</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9)</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★AI从声音中提取文本</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语音转文本：平台支持对多种语言配音或原始视频素材中的语音进行智能提取，并自动生成对应的文本内容，确保视频内容可以轻松地转换为文字格式，便于后期编辑与调整。</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10)</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★AI字幕</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自动生成与匹配字幕：平台可以自动从导入视频中提取语音并生成多种语言字幕，支持用户上传字幕文件，平台会自动进行字幕匹配。字幕不仅可以与视频内容内嵌，还支持导出为独立的SRT、VTT、ASS等常用字幕格式，支持多种语言字幕文件的生成。</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11)片头片尾模板</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智能片头片尾生成：平台提供多种片头片尾模板，用户只需输入必要文本信息，系统将智能化生成精美的片头片尾效果，确保视频整体视觉效果专业化。</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12)</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★视频模板库</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多样化视频模板库：平台根据职业教育的不同专业和课程性质，提供多样化的视频模板，用户可以根据实际需求自由组合这些模板，快速生成符合特定课程需求的视频资源。</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13)</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★虚拟角色</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智能虚拟教师：平台内置多种虚拟教师角色，能够在视频中担任智能讲解员，提升课程的互动性和趣味性。</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14)虚拟角色定制服务</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定制化虚拟角色服务：平台提供虚拟角色形象定制服务，根据教师上传的照片，由平台方安排美术设计师定制绘制符合实际需求的拟真虚拟角色，确保课程内容独特且个性化。</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15)</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★商用素材库</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版权安全素材库：平台提供丰富的商用素材库，包括基础形状、卡通元素、虚拟场景等，确保教师在创作过程中使用的素材无版权风险，符合国家级资源库的版权要求。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16)背景音乐音效</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丰富的音频资源：平台内置大量的背景音乐和音效，用户可自由选择，所有音频素材均为版权安全内容，保证视频作品的合法合规性。</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17)动画动效支持</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多种动效支持：平台支持对导入的素材应用丰富的动效，如旋转、缩放、移动等，动效参数可自定义并与时间轴编辑功能无缝结合，使得动画效果更加灵活和丰富。</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18)台标徽标支持</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定制化台标与徽标设计：平台根据采购方的资源库特点，提供专属的台标和徽标素材及动态效果，提升视频的品牌感和辨识度。</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19)</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★智能抠像</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绿幕/蓝幕抠像支持：平台提供专业的绿幕/蓝幕抠像功能，用户可以轻松将虚拟角色或者人像与实际视频背景融合，配合平台提供的虚拟场景集，打造高质量的虚拟现实视频。</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20)批量操作管理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批量编辑功能：平台支持对多个视频项目进行统一操作，如批量更换片头片尾、背景音乐、设定标题等，大幅提升教师管理多个项目时的效率，减少重复性劳动。</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21)</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★资源处理工具箱</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文档格式转换：支持主流文档格式互相转换，如doc、docx、pdf、xls、xlsx、ppt、pptx等等。</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图片格式转换：支持主流图片格式互相转换，如jpg、jpeg、png、gif、bmp、tiff、webp、svg、heic等等。</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视频格式转换：支持主流视频格式互相转换，如mp4、avi、mkv、mov、wmv、flv、webm、avchd、3gp、mpeg等等。</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音频格式转换：支持主流音频格式互相转换，如mp3、wav、aac、flac、ogg、wma、m4a、alac、aiff、opus等等。</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三维模型格式转换：支持主流三维模型互相转换，如obj、fbx、stl、dae、3ds、blend、ply、gltf、glb、vrml等等。</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22) 素材识别电子化处理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支持从上述文档、图片中提取文本内容；并形成电子文档；</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支持从手写拍照文件、复印扫描件、普通拍照件中识别出文本信息，提取并形成电子文档；</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支持将扫描件的PDF文档识别后自动转换为可编辑的PDF文档。</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23)视频发布标准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符合国家标准：平台生成的视频严格符合最新版的国家级专业教学资源库视频发布标准，确保资源能够顺利通过审核并符合政策要求。</w:t>
            </w: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44B89578">
            <w:pPr>
              <w:pStyle w:val="24"/>
              <w:rPr>
                <w:rStyle w:val="18"/>
                <w:rFonts w:hint="eastAsia" w:ascii="宋体" w:hAnsi="宋体" w:eastAsia="宋体" w:cs="宋体"/>
                <w:color w:val="auto"/>
                <w:sz w:val="22"/>
                <w:szCs w:val="22"/>
              </w:rPr>
            </w:pPr>
          </w:p>
        </w:tc>
      </w:tr>
      <w:tr w14:paraId="600ECA55">
        <w:tblPrEx>
          <w:tblCellMar>
            <w:top w:w="0" w:type="dxa"/>
            <w:left w:w="108" w:type="dxa"/>
            <w:bottom w:w="0" w:type="dxa"/>
            <w:right w:w="108" w:type="dxa"/>
          </w:tblCellMar>
        </w:tblPrEx>
        <w:trPr>
          <w:trHeight w:val="2846" w:hRule="atLeast"/>
        </w:trPr>
        <w:tc>
          <w:tcPr>
            <w:tcW w:w="354" w:type="dxa"/>
            <w:tcBorders>
              <w:top w:val="single" w:color="000000" w:sz="4" w:space="0"/>
              <w:left w:val="single" w:color="000000" w:sz="4" w:space="0"/>
              <w:bottom w:val="single" w:color="000000" w:sz="4" w:space="0"/>
              <w:right w:val="single" w:color="000000" w:sz="4" w:space="0"/>
            </w:tcBorders>
            <w:noWrap/>
            <w:vAlign w:val="center"/>
          </w:tcPr>
          <w:p w14:paraId="781E1C87">
            <w:pPr>
              <w:pStyle w:val="24"/>
              <w:widowControl/>
              <w:jc w:val="righ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4</w:t>
            </w:r>
          </w:p>
        </w:tc>
        <w:tc>
          <w:tcPr>
            <w:tcW w:w="350" w:type="dxa"/>
            <w:tcBorders>
              <w:top w:val="single" w:color="000000" w:sz="4" w:space="0"/>
              <w:left w:val="single" w:color="000000" w:sz="4" w:space="0"/>
              <w:bottom w:val="single" w:color="000000" w:sz="4" w:space="0"/>
              <w:right w:val="single" w:color="000000" w:sz="4" w:space="0"/>
            </w:tcBorders>
            <w:noWrap/>
            <w:vAlign w:val="center"/>
          </w:tcPr>
          <w:p w14:paraId="32F2F57C">
            <w:pPr>
              <w:pStyle w:val="24"/>
              <w:widowControl/>
              <w:jc w:val="lef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动画智能化创作平台</w:t>
            </w:r>
          </w:p>
        </w:tc>
        <w:tc>
          <w:tcPr>
            <w:tcW w:w="350" w:type="dxa"/>
            <w:tcBorders>
              <w:top w:val="single" w:color="000000" w:sz="4" w:space="0"/>
              <w:left w:val="single" w:color="000000" w:sz="4" w:space="0"/>
              <w:bottom w:val="single" w:color="000000" w:sz="4" w:space="0"/>
              <w:right w:val="single" w:color="000000" w:sz="4" w:space="0"/>
            </w:tcBorders>
            <w:noWrap/>
            <w:vAlign w:val="center"/>
          </w:tcPr>
          <w:p w14:paraId="1ED09338">
            <w:pPr>
              <w:pStyle w:val="24"/>
              <w:widowControl/>
              <w:jc w:val="lef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项</w:t>
            </w:r>
          </w:p>
        </w:tc>
        <w:tc>
          <w:tcPr>
            <w:tcW w:w="417" w:type="dxa"/>
            <w:tcBorders>
              <w:top w:val="single" w:color="000000" w:sz="4" w:space="0"/>
              <w:left w:val="single" w:color="000000" w:sz="4" w:space="0"/>
              <w:bottom w:val="single" w:color="000000" w:sz="4" w:space="0"/>
              <w:right w:val="single" w:color="000000" w:sz="4" w:space="0"/>
            </w:tcBorders>
            <w:noWrap/>
            <w:vAlign w:val="center"/>
          </w:tcPr>
          <w:p w14:paraId="530DEF61">
            <w:pPr>
              <w:pStyle w:val="24"/>
              <w:widowControl/>
              <w:jc w:val="righ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1</w:t>
            </w:r>
          </w:p>
        </w:tc>
        <w:tc>
          <w:tcPr>
            <w:tcW w:w="6491" w:type="dxa"/>
            <w:tcBorders>
              <w:top w:val="single" w:color="000000" w:sz="4" w:space="0"/>
              <w:left w:val="single" w:color="000000" w:sz="4" w:space="0"/>
              <w:bottom w:val="single" w:color="000000" w:sz="4" w:space="0"/>
              <w:right w:val="single" w:color="000000" w:sz="4" w:space="0"/>
            </w:tcBorders>
            <w:noWrap w:val="0"/>
            <w:vAlign w:val="center"/>
          </w:tcPr>
          <w:p w14:paraId="1BE426A0">
            <w:pPr>
              <w:pStyle w:val="24"/>
              <w:widowControl/>
              <w:jc w:val="lef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1.具体功能要求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1)基础功能</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多场景动画组合：平台支持将多个不同的动画场景灵活组合为一个完整的项目，教师可以根据课程内容进行场景设置，支持逐帧时间轴控制，确保每个场景的细节呈现。场景切换、动效和时长智能调整，增强动画的连贯性和表现力。</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智能化时间轴编辑：平台提供时间轴编辑功能，精确控制动画素材的展示顺序与动效时间，并通过AI智能分析动画结构，推荐最佳时间线布局，简化操作。</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高级动画动效支持：内置丰富的动画效果，包括旋转、缩放、移动等，动效参数可自由组合使用，且与动画情节紧密结合，确保表现效果个性化。</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图层管理与素材编辑：平台提供多图层管理功能，用户可以调整素材层级关系，并通过详细的样式设置（如大小、颜色、透明度等）精细控制动画元素。</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背景设置：平台支持多种背景设置，包括纯色背景、渐变背景、图片背景和视频背景，提供丰富的素材库供用户选择，同时支持上传自定义背景。</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2)</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★多样化素材管理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平台提供素材库分类和管理功能，支持素材的快速检索、标签化管理，智能化推荐功能还可以根据用户当前项目的需求自动推荐最合适的素材。</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平台不仅支持图片、文字、视频、动画等常规素材的导入，还支持导入传统Flash等动态素材，提供强大的兼容性，确保用户可以灵活使用各种素材创作资源。</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3)多场景组合设计</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支持将复杂的动画项目按场景分段制作，用户可以自由调整每个场景的顺序和时长，并通过智能化功能在不同场景间实现自然的过渡效果。平台还提供多场景布局模板，基于AI分析项目内容，为教师自动生成场景布局建议。</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4)智能脚本解析与动画生成</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用户可以导入Word脚本，平台基于自然语言处理技术，智能提取文本和对话信息，自动匹配视频或动画的内容结构，并生成与脚本对应的动态效果。脚本中的关键词和情境信息会通过AI分析，匹配相应的场景动画、表情动作等，使视频内容更具连贯性和逻辑性。</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5)</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★PPT课件智能解析</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平台支持PPT课件导入，自动分析课件每一页的内容，包括形状、文字、图表、动效等信息并生成相应动画场景，基于AI技术无缝转化动效与布局，帮助教师快速完成课件转化。</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6)</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★AI智能素材推荐与布局优化</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平台可以根据当前项目中的素材内容、场景布局、屏幕元素等进行分析，还能基于AI技术进行相似度匹配，自动推荐与项目风格相符的创作素材和视觉布局，提升制作效率。</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平台可以根据项目内容推荐最适合的动画、图像或其他素材，使得资源创作更加轻松。</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AI技术会自动提取脚本或课件的关键信息，帮助用户提炼核心内容，并生成合适的视觉结构。</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基于AI的版式推荐功能会根据用户的需求智能生成不同风格的版式布局，以供选择和调整。</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7)</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★多种语言智能翻译支持</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支持将场景中的文字智能翻译为指定语言的文本，涵盖包括英语、法语、德语、日语、韩语，以及亚洲其他语言如泰语、越南语、印尼语、柬埔寨语、老挝语、马来语、菲律宾语等。用户可以在多种语言之间进行无缝切换，且支持语法和语言逻辑的自动优化，确保翻译内容准确。</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8)</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★智能语音合成与多语配音</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支持智能化语音合成，将多种语言文本转换为多种音色配音，并提供个性化的语速、语调调整功能。提供多种不同的音色选择，包含多种类型声音。用户还可以调节语速、语调等参数，确保配音符合动画的节奏和风格。</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9)</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★自动字幕生成与同步</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平台自动生成多种语言字幕，并与动画内容精准匹配，还支持导出为独立的SRT、VTT、ASS等常用字幕格式，支持多种语言字幕文件的生成。</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10)</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★动画角色支持</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平台内置多种动画角色（包括动物角色），能够在视频中担任智能讲解员，并支持通过AI生成个性化的2D动画形象，提升课程的互动性和趣味性。</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11)动画角色定制服务</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平台提供动画角色形象定制服务，根据教师上传的照片，由平台方安排美术设计师定制绘制符合实际需求的拟真卡通角色，确保课程内容独特且个性化。</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12)</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★动画模板库</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平台根据职业教育的不同专业和课程性质，提供多样化的动画模板，用户可以根据实际需求自由组合这些模板，快速生成符合特定课程需求的动画资源。</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13)</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★商用素材库</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平台提供经过版权审核的商用素材库，确保教师在动画制作过程中无版权纠纷。包括基础形状、卡通元素、虚拟场景等，符合国家级资源库的版权要求。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14)</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★智能抠像</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平台提供专业的绿幕和蓝幕抠像功能，能够将导入的绿幕蓝幕素材抠像后与真实场景无缝结合，制作高质量的动画。</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15)背景音乐音效</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平台内置大量的背景音乐和音效，用户可自由选择，所有音频素材均为版权安全内容，保证视频作品的合法合规性。</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16)丰富动效与动画控制</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平台支持多种动效的自定义与调整，通过时间轴精确控制动效展示，确保动画更加灵活生动。</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17)定制化台标与徽标设计</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平台支持为每个项目定制专属台标与徽标，提升资源库的品牌感与辨识度。</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18)片头片尾智能生成</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通过智能算法，平台能够生成专业化的片头和片尾效果，确保动画的整体视觉质量。</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19)批量编辑与管理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支持对多个动画项目进行批量操作，大幅减少教师重复操作的工作量。</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20)批量操作管理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平台支持对多个动画项目进行统一操作，如批量更换片头片尾、背景音乐、设定标题等，大幅提升教师管理多个项目时的效率，减少重复性劳动。</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21)版本管理与维护支持</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平台允许教师对同一项目进行多次编辑，生成不同语言或版本的动画，满足职业教育中多次调整和不同需求的要求。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平台支持动画项目的多版本管理，确保资源库中的动画能够根据不同需求进行持续维护与更新。</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平台支持动画项目的跨平台导出，确保项目能够在视频创作平台上无缝使用，实现持续编辑与维护。</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22)动画发布标准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平台生成的动画严格符合最新版的国家级专业教学资源库视频发布标准，确保资源能够顺利通过审核并符合政策要求。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23)</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★干净格式输出</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支持将工程导出为MP4最终合成视频；</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支持将工程导出为绿幕背景视频；</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支持将工程导出为蓝幕背景视频；</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支持将工程导出为MOV透明背景视频；</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可供视频创作平台二次加工使用。</w:t>
            </w: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13DD79ED">
            <w:pPr>
              <w:pStyle w:val="24"/>
              <w:rPr>
                <w:rStyle w:val="18"/>
                <w:rFonts w:hint="eastAsia" w:ascii="宋体" w:hAnsi="宋体" w:eastAsia="宋体" w:cs="宋体"/>
                <w:color w:val="auto"/>
                <w:sz w:val="22"/>
                <w:szCs w:val="22"/>
              </w:rPr>
            </w:pPr>
          </w:p>
        </w:tc>
      </w:tr>
      <w:tr w14:paraId="42A7470E">
        <w:tblPrEx>
          <w:tblCellMar>
            <w:top w:w="0" w:type="dxa"/>
            <w:left w:w="108" w:type="dxa"/>
            <w:bottom w:w="0" w:type="dxa"/>
            <w:right w:w="108" w:type="dxa"/>
          </w:tblCellMar>
        </w:tblPrEx>
        <w:trPr>
          <w:trHeight w:val="5373" w:hRule="atLeast"/>
        </w:trPr>
        <w:tc>
          <w:tcPr>
            <w:tcW w:w="354" w:type="dxa"/>
            <w:tcBorders>
              <w:top w:val="single" w:color="000000" w:sz="4" w:space="0"/>
              <w:left w:val="single" w:color="000000" w:sz="4" w:space="0"/>
              <w:bottom w:val="single" w:color="000000" w:sz="4" w:space="0"/>
              <w:right w:val="single" w:color="000000" w:sz="4" w:space="0"/>
            </w:tcBorders>
            <w:noWrap/>
            <w:vAlign w:val="center"/>
          </w:tcPr>
          <w:p w14:paraId="38F95907">
            <w:pPr>
              <w:pStyle w:val="24"/>
              <w:widowControl/>
              <w:jc w:val="righ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5</w:t>
            </w:r>
          </w:p>
        </w:tc>
        <w:tc>
          <w:tcPr>
            <w:tcW w:w="350" w:type="dxa"/>
            <w:tcBorders>
              <w:top w:val="single" w:color="000000" w:sz="4" w:space="0"/>
              <w:left w:val="single" w:color="000000" w:sz="4" w:space="0"/>
              <w:bottom w:val="single" w:color="000000" w:sz="4" w:space="0"/>
              <w:right w:val="single" w:color="000000" w:sz="4" w:space="0"/>
            </w:tcBorders>
            <w:noWrap/>
            <w:vAlign w:val="center"/>
          </w:tcPr>
          <w:p w14:paraId="6378AA52">
            <w:pPr>
              <w:pStyle w:val="24"/>
              <w:widowControl/>
              <w:jc w:val="lef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数字人智能化创作平台</w:t>
            </w:r>
          </w:p>
        </w:tc>
        <w:tc>
          <w:tcPr>
            <w:tcW w:w="350" w:type="dxa"/>
            <w:tcBorders>
              <w:top w:val="single" w:color="000000" w:sz="4" w:space="0"/>
              <w:left w:val="single" w:color="000000" w:sz="4" w:space="0"/>
              <w:bottom w:val="single" w:color="000000" w:sz="4" w:space="0"/>
              <w:right w:val="single" w:color="000000" w:sz="4" w:space="0"/>
            </w:tcBorders>
            <w:noWrap/>
            <w:vAlign w:val="center"/>
          </w:tcPr>
          <w:p w14:paraId="763B1057">
            <w:pPr>
              <w:pStyle w:val="24"/>
              <w:widowControl/>
              <w:jc w:val="lef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项</w:t>
            </w:r>
          </w:p>
        </w:tc>
        <w:tc>
          <w:tcPr>
            <w:tcW w:w="417" w:type="dxa"/>
            <w:tcBorders>
              <w:top w:val="single" w:color="000000" w:sz="4" w:space="0"/>
              <w:left w:val="single" w:color="000000" w:sz="4" w:space="0"/>
              <w:bottom w:val="single" w:color="000000" w:sz="4" w:space="0"/>
              <w:right w:val="single" w:color="000000" w:sz="4" w:space="0"/>
            </w:tcBorders>
            <w:noWrap/>
            <w:vAlign w:val="center"/>
          </w:tcPr>
          <w:p w14:paraId="7502D2BE">
            <w:pPr>
              <w:pStyle w:val="24"/>
              <w:widowControl/>
              <w:jc w:val="righ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1</w:t>
            </w:r>
          </w:p>
        </w:tc>
        <w:tc>
          <w:tcPr>
            <w:tcW w:w="6491" w:type="dxa"/>
            <w:tcBorders>
              <w:top w:val="single" w:color="000000" w:sz="4" w:space="0"/>
              <w:left w:val="single" w:color="000000" w:sz="4" w:space="0"/>
              <w:bottom w:val="single" w:color="000000" w:sz="4" w:space="0"/>
              <w:right w:val="single" w:color="000000" w:sz="4" w:space="0"/>
            </w:tcBorders>
            <w:noWrap w:val="0"/>
            <w:vAlign w:val="center"/>
          </w:tcPr>
          <w:p w14:paraId="69307096">
            <w:pPr>
              <w:pStyle w:val="24"/>
              <w:widowControl/>
              <w:jc w:val="left"/>
              <w:textAlignment w:val="center"/>
              <w:rPr>
                <w:rStyle w:val="18"/>
                <w:rFonts w:hint="eastAsia" w:ascii="宋体" w:hAnsi="宋体" w:eastAsia="宋体" w:cs="宋体"/>
                <w:color w:val="auto"/>
                <w:sz w:val="22"/>
                <w:szCs w:val="22"/>
              </w:rPr>
            </w:pPr>
            <w:r>
              <w:rPr>
                <w:rStyle w:val="18"/>
                <w:rFonts w:hint="eastAsia" w:ascii="宋体" w:hAnsi="宋体" w:eastAsia="宋体" w:cs="宋体"/>
                <w:color w:val="auto"/>
                <w:kern w:val="0"/>
                <w:sz w:val="22"/>
                <w:szCs w:val="22"/>
              </w:rPr>
              <w:t>1.具体参数要求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1)多场景组合支持</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支持创建和组合多个虚拟场景，教师可通过不同的虚拟环境设置讲解内容，使数字人能够在多种场景下灵活展示课程内容。平台支持逐帧时间轴控制，每个场景的虚拟环境、道具、效果等都可灵活调整，增强了数字人的表达力和情境性。</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2)智能时间轴编辑</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时间轴编辑功能让教师可以精确控制数字人的动作时间和演讲时间，平台还支持基于AI的时间轴智能布局，自动优化复杂时间线上的数字人，从而减少人工操作的负担，并为教学视频提供自然且流畅的动作过渡效果。</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3)</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★场景与背景支持</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平台提供多种虚拟场景模板和背景，包括3D场景、互动式虚拟教室、实景照片背景等，教师可以根据课程需求选择适当的背景。</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4)智能素材管理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平台不仅支持导入常规图片、文本、视频等素材，还兼容多种虚拟场景文件格式，平台的智能化素材管理功能帮助教师快速找到所需素材，自动匹配场景，提升工作效率。</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5)智能脚本解析</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平台支持Word、PPT等脚本文件的导入，并能自动解析其中的内容，将内容与数字人的语音进行同步，自动生成合适的动作表演。</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6)</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★AI数字人语音生成</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平台支持多语种的语音合成，数字人可根据教师输入的文本自动生成配音，支持调节音调、语速等，提供多种不同的音色选择，包含多种类型声音，确保配音符合课程的节奏和风格。</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涵盖包括英语、法语、德语、日语、韩语，以及亚洲其他语言如泰语、越南语、印尼语、柬埔寨语、老挝语、马来语、菲律宾语等，确保课程可以面向更广泛的国际学生群体。</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7)</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★多种语言字幕与自动生成</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自动从语音内容生成字幕，并支持多种语言字幕的智能生成，涵盖包括英语、法语、德语、日语、韩语，以及亚洲其他语言如泰语、越南语、印尼语、柬埔寨语、老挝语、马来语、菲律宾语等，教师可以通过简单操作生成不同语言的字幕文件，确保教学内容能够面向国际化传播。</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8)智能多版本生成与支持多次编辑</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平台支持在同一教学项目内生成多个版本，不仅能够为教师创建不同语言版本的数字人，还支持多次编辑，确保在资源库建设期间内根据反馈进行不同需求的版本调整。</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9)</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★AI智能翻译支持</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支持将虚拟人配音所需文本中的文字智能翻译为指定语言的文本，涵盖包括英语、法语、德语、日语、韩语，以及亚洲其他语言如泰语、越南语、印尼语、柬埔寨语、老挝语、马来语、菲律宾语等。用户可以在多种语言之间进行无缝切换，且支持语法和语言逻辑的自动优化，确保翻译内容准确。</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10)</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★数字人角色库</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平台内置多个职业、性别、年龄段的数字人，可以直接使用；</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可以轻松使用这些数字人形成讲解类、对话类等等内容。</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11)</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★数字人角色定制</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当教师不想使用平台内置的数字人时；</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支持教师上传个人照片，根据照片生成定制的数字人，使其更加符合实际课程需求。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支持教师上传个人视频，根据视频生成定制的数字人，使其更加符合实际课程需求。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12) ★智能抠像</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平台提供专业的绿幕和蓝幕抠像功能，能够将教师以前制作的绿幕蓝幕素材抠像后与真实场景无缝结合，制作高质量的数字人。</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13) 商用素材库与版权支持</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平台内置丰富的商用素材库，包括场景、背景、道具、音效、背景音乐等等，所有素材均为无版权风险的内容，确保教师在创作过程中不会遇到版权问题。</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14)</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★数字人定制与升级服务</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平台提供长期的数字人升级和定制服务，根据职业院校的需求，我们可以对已有数字人进行更新，添加新的功能和形象元素，确保数字人内容的持续更新与维护，提供灵活的升级支持。</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15)项目管理与批量操作</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平台支持对多个项目进行管理，提供批量操作功能，教师可以一次性对多个项目进行更新，如批量更换数字人形象、调整字幕、修改语音等，极大减少了重复操作的时间。</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16)视频发布标准</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平台生成的数字人视频严格符合最新版的国家级专业教学资源库视频发布标准，确保资源能够顺利通过审核并符合政策要求。</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17)</w:t>
            </w:r>
            <w:r>
              <w:rPr>
                <w:rStyle w:val="18"/>
                <w:rFonts w:hint="eastAsia" w:ascii="Times New Roman" w:hAnsi="Times New Roman" w:eastAsia="宋体" w:cs="Times New Roman"/>
                <w:color w:val="auto"/>
                <w:szCs w:val="24"/>
              </w:rPr>
              <w:t xml:space="preserve"> </w:t>
            </w:r>
            <w:r>
              <w:rPr>
                <w:rStyle w:val="18"/>
                <w:rFonts w:hint="eastAsia" w:ascii="宋体" w:hAnsi="宋体" w:eastAsia="宋体" w:cs="宋体"/>
                <w:color w:val="auto"/>
                <w:kern w:val="0"/>
                <w:sz w:val="22"/>
                <w:szCs w:val="22"/>
              </w:rPr>
              <w:t>★干净格式输出</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支持将工程导出为MP4最终合成视频；</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支持将工程导出为绿幕背景视频；</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支持将工程导出为蓝幕背景视频；</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支持将工程导出为MOV透明背景视频；</w:t>
            </w:r>
            <w:r>
              <w:rPr>
                <w:rStyle w:val="18"/>
                <w:rFonts w:hint="eastAsia" w:ascii="宋体" w:hAnsi="宋体" w:eastAsia="宋体" w:cs="宋体"/>
                <w:color w:val="auto"/>
                <w:kern w:val="0"/>
                <w:sz w:val="22"/>
                <w:szCs w:val="22"/>
              </w:rPr>
              <w:br w:type="textWrapping"/>
            </w:r>
            <w:r>
              <w:rPr>
                <w:rStyle w:val="18"/>
                <w:rFonts w:hint="eastAsia" w:ascii="宋体" w:hAnsi="宋体" w:eastAsia="宋体" w:cs="宋体"/>
                <w:color w:val="auto"/>
                <w:kern w:val="0"/>
                <w:sz w:val="22"/>
                <w:szCs w:val="22"/>
              </w:rPr>
              <w:t>可供视频创作平台二次加工使用。</w:t>
            </w: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27D1E13A">
            <w:pPr>
              <w:pStyle w:val="24"/>
              <w:rPr>
                <w:rStyle w:val="18"/>
                <w:rFonts w:hint="eastAsia" w:ascii="宋体" w:hAnsi="宋体" w:eastAsia="宋体" w:cs="宋体"/>
                <w:color w:val="auto"/>
                <w:sz w:val="22"/>
                <w:szCs w:val="22"/>
              </w:rPr>
            </w:pPr>
          </w:p>
        </w:tc>
      </w:tr>
    </w:tbl>
    <w:p w14:paraId="179B98DA">
      <w:pPr>
        <w:pStyle w:val="26"/>
        <w:ind w:left="0" w:leftChars="0"/>
        <w:jc w:val="left"/>
        <w:rPr>
          <w:rStyle w:val="18"/>
          <w:color w:val="auto"/>
        </w:rPr>
      </w:pPr>
    </w:p>
    <w:p w14:paraId="19F4FB6C">
      <w:pPr>
        <w:pStyle w:val="26"/>
        <w:ind w:left="0" w:leftChars="0"/>
        <w:jc w:val="left"/>
        <w:rPr>
          <w:rStyle w:val="18"/>
          <w:color w:val="auto"/>
          <w:highlight w:val="none"/>
        </w:rPr>
      </w:pPr>
      <w:r>
        <w:rPr>
          <w:rStyle w:val="18"/>
          <w:rFonts w:hint="eastAsia"/>
          <w:color w:val="auto"/>
        </w:rPr>
        <w:t>以上标星功能参数，需要提供截图，并加盖投标人公章。在中标后两个工作日内，前往采购人指定地点进行实质</w:t>
      </w:r>
      <w:r>
        <w:rPr>
          <w:rStyle w:val="18"/>
          <w:rFonts w:hint="eastAsia"/>
          <w:color w:val="auto"/>
          <w:highlight w:val="none"/>
        </w:rPr>
        <w:t>性功能演示。演示要求使用真实平台、且平台功能完整，若未能按要求演示或未按时到场演示，视为虚假响应，采购人有权取消中标人中标资格并要求补偿经济损失，并同时保留法律诉讼权利。如若取消中标人中标资格，采购人有权决定由第二中标候选人成为新的中标人。</w:t>
      </w:r>
    </w:p>
    <w:p w14:paraId="3D5B4C2C">
      <w:pPr>
        <w:pStyle w:val="25"/>
        <w:rPr>
          <w:rStyle w:val="18"/>
          <w:color w:val="auto"/>
          <w:highlight w:val="none"/>
        </w:rPr>
      </w:pPr>
      <w:r>
        <w:rPr>
          <w:rStyle w:val="18"/>
          <w:rFonts w:hint="eastAsia"/>
          <w:color w:val="auto"/>
          <w:highlight w:val="none"/>
        </w:rPr>
        <w:t>注：投标人需保证中标后所供产品及软件完全满足采购需求，使用顺畅不卡顿，否则采购人有权要求中标人在指定时间内修改或重新制作，并由中标人承担由此发生的一切费用和损失。若多次修改或重新制作后，效果仍不能让采购人满意，采购人有权取消其中标资格并要求补偿经济损失，并同时保留法律诉讼权利。</w:t>
      </w:r>
    </w:p>
    <w:p w14:paraId="1F0C6DD0">
      <w:pPr>
        <w:pStyle w:val="27"/>
        <w:spacing w:line="240" w:lineRule="auto"/>
        <w:rPr>
          <w:rStyle w:val="18"/>
          <w:color w:val="auto"/>
          <w:highlight w:val="none"/>
        </w:rPr>
      </w:pPr>
      <w:bookmarkStart w:id="9" w:name="_Toc256000042"/>
      <w:r>
        <w:rPr>
          <w:rStyle w:val="18"/>
          <w:rFonts w:hint="eastAsia" w:ascii="黑体" w:hAnsi="黑体" w:eastAsia="黑体"/>
          <w:b w:val="0"/>
          <w:bCs w:val="0"/>
          <w:color w:val="auto"/>
          <w:sz w:val="24"/>
          <w:highlight w:val="none"/>
        </w:rPr>
        <w:t>四</w:t>
      </w:r>
      <w:r>
        <w:rPr>
          <w:rStyle w:val="18"/>
          <w:rFonts w:hint="eastAsia" w:ascii="黑体" w:hAnsi="黑体" w:eastAsia="黑体"/>
          <w:color w:val="auto"/>
          <w:sz w:val="24"/>
          <w:highlight w:val="none"/>
        </w:rPr>
        <w:t>、商务要求</w:t>
      </w:r>
      <w:bookmarkEnd w:id="9"/>
    </w:p>
    <w:p w14:paraId="00EC09E9">
      <w:pPr>
        <w:pStyle w:val="24"/>
        <w:ind w:firstLine="480" w:firstLineChars="200"/>
        <w:rPr>
          <w:rStyle w:val="18"/>
          <w:rFonts w:hint="eastAsia" w:ascii="黑体" w:hAnsi="黑体" w:eastAsia="黑体" w:cs="Times New Roman"/>
          <w:color w:val="auto"/>
          <w:sz w:val="24"/>
          <w:szCs w:val="24"/>
          <w:highlight w:val="none"/>
        </w:rPr>
      </w:pPr>
      <w:r>
        <w:rPr>
          <w:rStyle w:val="18"/>
          <w:rFonts w:hint="eastAsia" w:ascii="黑体" w:hAnsi="黑体" w:eastAsia="黑体" w:cs="Times New Roman"/>
          <w:color w:val="auto"/>
          <w:sz w:val="24"/>
          <w:szCs w:val="24"/>
          <w:highlight w:val="none"/>
        </w:rPr>
        <w:t>（一）整体服务方案</w:t>
      </w:r>
    </w:p>
    <w:p w14:paraId="684545BA">
      <w:pPr>
        <w:pStyle w:val="24"/>
        <w:ind w:left="358" w:firstLine="420" w:firstLineChars="200"/>
        <w:rPr>
          <w:rStyle w:val="18"/>
          <w:rFonts w:hint="eastAsia" w:ascii="宋体" w:hAnsi="宋体" w:eastAsia="宋体" w:cs="宋体"/>
          <w:color w:val="auto"/>
          <w:szCs w:val="21"/>
          <w:highlight w:val="none"/>
        </w:rPr>
      </w:pPr>
      <w:r>
        <w:rPr>
          <w:rStyle w:val="18"/>
          <w:rFonts w:hint="eastAsia" w:ascii="宋体" w:hAnsi="宋体" w:eastAsia="宋体" w:cs="宋体"/>
          <w:color w:val="auto"/>
          <w:szCs w:val="21"/>
          <w:highlight w:val="none"/>
        </w:rPr>
        <w:t>供应商对本项目提供的服务方案，内容包含但不限于对项目的理解、设计沟通机制，系统内容、框架搭建，模型制作，后期制作、返工机制，项目进度，要求内容完整全面、介绍详细、描述清晰、科学合理、有针对性。</w:t>
      </w:r>
    </w:p>
    <w:p w14:paraId="196A6FE2">
      <w:pPr>
        <w:pStyle w:val="24"/>
        <w:ind w:firstLine="420"/>
        <w:rPr>
          <w:rStyle w:val="18"/>
          <w:rFonts w:hint="eastAsia" w:ascii="黑体" w:hAnsi="黑体" w:eastAsia="黑体" w:cs="Times New Roman"/>
          <w:color w:val="auto"/>
          <w:sz w:val="24"/>
          <w:szCs w:val="24"/>
          <w:highlight w:val="none"/>
        </w:rPr>
      </w:pPr>
      <w:r>
        <w:rPr>
          <w:rStyle w:val="18"/>
          <w:rFonts w:hint="eastAsia" w:ascii="黑体" w:hAnsi="黑体" w:eastAsia="黑体" w:cs="Times New Roman"/>
          <w:color w:val="auto"/>
          <w:sz w:val="24"/>
          <w:szCs w:val="24"/>
          <w:highlight w:val="none"/>
        </w:rPr>
        <w:t>（二）视频演示</w:t>
      </w:r>
    </w:p>
    <w:p w14:paraId="46B29E3F">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2.1 电子商务科技馆演示：</w:t>
      </w:r>
    </w:p>
    <w:p w14:paraId="0D86D494">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(1) 职业技能竞赛展馆：演示省赛规程展示区、国赛互动展览区和题库访问区。</w:t>
      </w:r>
    </w:p>
    <w:p w14:paraId="285C10F4">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(2) 职业评价展馆：演示技能等级评定展区、评价标准展示墙和评价流程动态图。</w:t>
      </w:r>
    </w:p>
    <w:p w14:paraId="08B22882">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(3) 行业资讯展馆：演示政策法规更新中心、行业报告分析区和科技前沿体验站。</w:t>
      </w:r>
    </w:p>
    <w:p w14:paraId="27AF7623">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(4) 标准规范展馆：演示技术标准详解区、职业与课程标准指南、行业标准展示区和师德标准研究区。</w:t>
      </w:r>
    </w:p>
    <w:p w14:paraId="5F324A96">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(5) 电商数字化展览馆：演示数据分析与应用企业任务子展馆、数字素养企业任务子展馆、社群运营企业任务子展馆、电商运营企业实训任务子展馆和市场营销企业任务子展馆五个子展馆。</w:t>
      </w:r>
    </w:p>
    <w:p w14:paraId="553904A0">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2.2 视频智能化创作平台功能演示：</w:t>
      </w:r>
    </w:p>
    <w:p w14:paraId="1CFAD9E7">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(1) 素材管理和PPT课件导入生成视频：平台支持导入图片、文字、视频、动画和Flash等多种素材，具有强大兼容性和智能素材管理功能。用户导入PPT后，平台通过AI分析内容，将其转化为可二次编辑的元素，同时保持原PPT的排版、动画和转场效果。</w:t>
      </w:r>
    </w:p>
    <w:p w14:paraId="0B7E1527">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(2) AI智能创作和多向多语翻译：平台通过AI技术分析项目素材、场景和屏幕元素，自动推荐符合风格的素材和视觉布局。根据项目内容推荐动画和图像，提取脚本关键信息生成视觉结构和不同风格的版式布局供选择和调整。平台支持将文字智能翻译为多种语言，涵盖英语、法语、德语、日语、韩语及泰语、越南语、印尼语、柬埔寨语、老挝语、马来语、菲律宾语等多种亚洲语言。</w:t>
      </w:r>
    </w:p>
    <w:p w14:paraId="6E4C8704">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(3) ★AI从文本生成配音、从声音中提取文本和支持配音自动生成字幕：平台支持多种语言文本自动转换为配音，提供多种音色选择，还可以调节语速和语调，确保配音符合课程节奏和风格。平台可以智能提取视频语音，生成文本，便于后期编辑调整。能自动生成多种语言字幕，支持用户上传字幕文件自动匹配。</w:t>
      </w:r>
    </w:p>
    <w:p w14:paraId="23DE09CF">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(4) 多样化的视频模板库和虚拟角色：平台根据不同专业和课程提供多样化视频模板，用户可以自由组合，快速生成符合课程需求的视频。同时内置多种虚拟教师角色，可以在视频中担任智能讲解员，增强课程的互动性和趣味性。</w:t>
      </w:r>
    </w:p>
    <w:p w14:paraId="5DEED573">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(5) ★智能抠像和丰富的商用素材库：平台提供专业的绿幕/蓝幕抠像功能，让用户可以轻松融合虚拟角色与实际视频背景，打造虚拟现实视频。提供丰富的商用素材库，满足资源库的版权要求。</w:t>
      </w:r>
    </w:p>
    <w:p w14:paraId="27257163">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(6) ★资源处理工具箱和素材识别电子化处理功能：平台自带的资源处理工具箱支持主流文档格式互相转换、图片格式互相转换、视频格式互相转换、音频格式互相转换和三维模型格式互相转换。素材识别电子化处理功能支持从文档和图片中提取文本内容，生成电子文档；同时，能够识别手写拍照文件、复印扫描件和普通拍照件中的文本信息，提取文本生成电子文档；还支持将扫描版PDF文档识别并自动转换为可编辑的PDF文档。</w:t>
      </w:r>
    </w:p>
    <w:p w14:paraId="10192470">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2.3 动画智能化创作平台功能演示：</w:t>
      </w:r>
    </w:p>
    <w:p w14:paraId="43A1B868">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(1) 多样化素材管理和PPT课件智能解析：平台提供素材库分类和管理功能，支持快速检索、标签化管理和智能推荐素材。支持导入图片、文字、视频、动画和Flash等动态素材。支持PPT课件导入，自动分析内容生成动画场景，通过AI技术无缝转化动效与布局，帮助教师快速转换课件为动画视频。</w:t>
      </w:r>
    </w:p>
    <w:p w14:paraId="1BD6BF58">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(2) AI智能素材推荐与布局优化：平台使用AI技术分析项目素材、场景和屏幕元素，自动推荐符合风格的创作素材和视觉布局，提高创作效率。根据项目内容推荐合适的动画、图像或其它素材。智能生成不同风格的版式布局供选择和调整。</w:t>
      </w:r>
    </w:p>
    <w:p w14:paraId="3C12C579">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(3) 多种语言智能翻译支持和自动字幕生成与同步：支持将场景文字智能翻译为英语、法语、德语、日语、韩语、泰语、越南语、印尼语、柬埔寨语、老挝语、马来语、菲律宾语等多种语言。支持自动生成精准匹配动画内容的多语字幕。</w:t>
      </w:r>
    </w:p>
    <w:p w14:paraId="5C79F85A">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(4) ★动画角色支持、动画模板库和智能语音合成与多语配音：平台内置多种动画角色，可作为智能讲解员，增强课程互动性和趣味性。根据不同专业和课程，提供多样化动画模板，可自由组合快速生成动画资源。支持智能语音合成多种语言文本，转换为多种音色配音，提供语速和语调调整，包括多种声音选择，确保配音符合动画的风格。</w:t>
      </w:r>
    </w:p>
    <w:p w14:paraId="23C8A28B">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(5) 商用素材库、专业智能抠像功能和干净视频格式输出：平台提供经过版权审核的商用素材库，满足资源库的版权要求。提供专业的绿幕和蓝幕抠像功能。支持将工程导出MP4、绿幕/蓝幕背景和MOV透明背景等视频。</w:t>
      </w:r>
    </w:p>
    <w:p w14:paraId="2598587F">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2.4 数字人智能化创作平台功能演示：</w:t>
      </w:r>
    </w:p>
    <w:p w14:paraId="395A2312">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(1) 场景与背景支持：平台提供多种虚拟场景模板和背景，包括3D场景、互动式虚拟教室和实景照片背景，教师可以根据课程需求选择适合的背景。</w:t>
      </w:r>
    </w:p>
    <w:p w14:paraId="285AA96F">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(2) ★ AI数字人语音生成、多种语言字幕与自动生成和AI智能翻译支持：平台的数字人可以根据输入文本自动生成配音，支持包括英语、法语、德语及日语、韩语、泰语、越南语、印尼语、柬埔寨语、老挝语、马来语、菲律宾语等多语种合成。支持语音自动生成多种语言字幕。</w:t>
      </w:r>
    </w:p>
    <w:p w14:paraId="2B22A3A2">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(3) ★数字人角色库、数字人角色定制、数字人定制与升级服务：平台内置多种职业、性别和年龄段的数字人，可轻松生成讲解和对话类内容视频。教师可以上传个人照片或视频定制数字人。支持使用教师语音生成定制数字人。平台还会根据学校需求更新数字人，提供升级和定制服务，确保内容持续更新，提供升级支持。</w:t>
      </w:r>
    </w:p>
    <w:p w14:paraId="1D362E21">
      <w:pPr>
        <w:pStyle w:val="24"/>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(4) 智能抠像和干净格式输出：平台提供专业的绿幕和蓝幕抠像功能，可将教师的绿幕和蓝幕素材抠像后与真实场景无缝结合，打造高质量数字人视频。支持将工程导出MP4、绿幕/蓝幕背景和MOV透明背景等视频。</w:t>
      </w:r>
    </w:p>
    <w:p w14:paraId="3FE0B84B">
      <w:pPr>
        <w:pStyle w:val="24"/>
        <w:tabs>
          <w:tab w:val="left" w:pos="1260"/>
          <w:tab w:val="left" w:pos="2338"/>
        </w:tabs>
        <w:adjustRightInd w:val="0"/>
        <w:snapToGrid w:val="0"/>
        <w:ind w:firstLine="420" w:firstLineChars="200"/>
        <w:rPr>
          <w:rStyle w:val="18"/>
          <w:rFonts w:hint="eastAsia" w:ascii="宋体" w:hAnsi="宋体" w:eastAsia="宋体" w:cs="宋体"/>
          <w:bCs/>
          <w:color w:val="auto"/>
          <w:kern w:val="0"/>
          <w:szCs w:val="21"/>
          <w:highlight w:val="none"/>
        </w:rPr>
      </w:pPr>
      <w:r>
        <w:rPr>
          <w:rStyle w:val="18"/>
          <w:rFonts w:hint="eastAsia" w:ascii="宋体" w:hAnsi="宋体" w:eastAsia="宋体" w:cs="宋体"/>
          <w:bCs/>
          <w:color w:val="auto"/>
          <w:kern w:val="0"/>
          <w:szCs w:val="21"/>
          <w:highlight w:val="none"/>
        </w:rPr>
        <w:t>投标人需按本项“视频演示”要求，录制全部演示内容，并逐条演示，若演示不完整或未演示，则视为不响应；本项内容录制为一个演示视频，以附件形式上传，投标文件及视频总容量限200M内,格式为MP4格式。视频格式需投标人与湖南省公共资源交易中心技术支持自行沟通，现场无法演示的视为未提交演示资料。</w:t>
      </w:r>
    </w:p>
    <w:p w14:paraId="3F4CEDB4">
      <w:pPr>
        <w:pStyle w:val="24"/>
        <w:rPr>
          <w:rStyle w:val="18"/>
          <w:rFonts w:ascii="Times New Roman" w:hAnsi="Times New Roman" w:eastAsia="宋体" w:cs="Times New Roman"/>
          <w:color w:val="auto"/>
          <w:szCs w:val="24"/>
          <w:highlight w:val="none"/>
        </w:rPr>
      </w:pPr>
    </w:p>
    <w:p w14:paraId="5DA6C11A">
      <w:pPr>
        <w:pStyle w:val="25"/>
        <w:rPr>
          <w:rStyle w:val="18"/>
          <w:color w:val="auto"/>
          <w:highlight w:val="none"/>
        </w:rPr>
      </w:pPr>
      <w:r>
        <w:rPr>
          <w:rStyle w:val="18"/>
          <w:rFonts w:hint="eastAsia"/>
          <w:color w:val="auto"/>
          <w:highlight w:val="none"/>
        </w:rPr>
        <w:t>注：中标后供应商需在两个工作日内到采购人指定地点对本项要求演示的功能参数进行现场演示，演示要求使用真实平台、且平台功能完整，若未能按要求演示或未按时到场演示，采购人有权取消本次中标人的中标资格，并要求补偿经济损失，并同时保留法律诉讼权利。如若取消中标人中标资格，采购人有权决定由第二中标候选人成为新的中标人。</w:t>
      </w:r>
    </w:p>
    <w:p w14:paraId="0D48B11E">
      <w:pPr>
        <w:pStyle w:val="24"/>
        <w:ind w:firstLine="420"/>
        <w:rPr>
          <w:rStyle w:val="18"/>
          <w:rFonts w:hint="eastAsia" w:ascii="黑体" w:hAnsi="黑体" w:eastAsia="黑体" w:cs="Times New Roman"/>
          <w:color w:val="auto"/>
          <w:sz w:val="24"/>
          <w:szCs w:val="24"/>
          <w:highlight w:val="none"/>
        </w:rPr>
      </w:pPr>
      <w:r>
        <w:rPr>
          <w:rStyle w:val="18"/>
          <w:rFonts w:hint="eastAsia" w:ascii="黑体" w:hAnsi="黑体" w:eastAsia="黑体" w:cs="Times New Roman"/>
          <w:color w:val="auto"/>
          <w:sz w:val="24"/>
          <w:szCs w:val="24"/>
          <w:highlight w:val="none"/>
        </w:rPr>
        <w:t>（三）交付要求</w:t>
      </w:r>
    </w:p>
    <w:p w14:paraId="7D25544F">
      <w:pPr>
        <w:pStyle w:val="25"/>
        <w:spacing w:after="0"/>
        <w:ind w:left="420" w:firstLine="420"/>
        <w:rPr>
          <w:rStyle w:val="18"/>
          <w:color w:val="auto"/>
          <w:highlight w:val="none"/>
        </w:rPr>
      </w:pPr>
      <w:r>
        <w:rPr>
          <w:rStyle w:val="18"/>
          <w:rFonts w:hint="eastAsia"/>
          <w:color w:val="auto"/>
          <w:highlight w:val="none"/>
        </w:rPr>
        <w:t>3.1 中标人须加强安装的组织管理，所有人员须遵守有关规章制度。</w:t>
      </w:r>
    </w:p>
    <w:p w14:paraId="76C4290F">
      <w:pPr>
        <w:pStyle w:val="25"/>
        <w:spacing w:after="0"/>
        <w:ind w:left="420" w:firstLine="420"/>
        <w:jc w:val="left"/>
        <w:rPr>
          <w:rStyle w:val="18"/>
          <w:color w:val="auto"/>
          <w:highlight w:val="none"/>
        </w:rPr>
      </w:pPr>
      <w:r>
        <w:rPr>
          <w:rStyle w:val="18"/>
          <w:rFonts w:hint="eastAsia"/>
          <w:color w:val="auto"/>
          <w:highlight w:val="none"/>
        </w:rPr>
        <w:t>3.2 项目完成后，中标人应将项目有关的全部资料，包括产品资料、技术文档等，移交采购人。</w:t>
      </w:r>
    </w:p>
    <w:p w14:paraId="4AE5349A">
      <w:pPr>
        <w:pStyle w:val="25"/>
        <w:spacing w:after="0"/>
        <w:ind w:left="420" w:firstLine="420"/>
        <w:jc w:val="left"/>
        <w:rPr>
          <w:rStyle w:val="18"/>
          <w:color w:val="auto"/>
          <w:highlight w:val="none"/>
        </w:rPr>
      </w:pPr>
      <w:r>
        <w:rPr>
          <w:rStyle w:val="18"/>
          <w:rFonts w:hint="eastAsia"/>
          <w:color w:val="auto"/>
          <w:highlight w:val="none"/>
        </w:rPr>
        <w:t>3.3 电子商务科技馆、视频智能化创作平台、动画智能化创作平台、数字人智能化创作平台需在合同签订后</w:t>
      </w:r>
      <w:r>
        <w:rPr>
          <w:rStyle w:val="18"/>
          <w:color w:val="auto"/>
          <w:highlight w:val="none"/>
        </w:rPr>
        <w:t>10</w:t>
      </w:r>
      <w:r>
        <w:rPr>
          <w:rStyle w:val="18"/>
          <w:rFonts w:hint="eastAsia"/>
          <w:color w:val="auto"/>
          <w:highlight w:val="none"/>
        </w:rPr>
        <w:t>天内完成部署，并安装调试合格。</w:t>
      </w:r>
      <w:r>
        <w:rPr>
          <w:rStyle w:val="18"/>
          <w:rFonts w:hint="eastAsia"/>
          <w:color w:val="auto"/>
          <w:szCs w:val="21"/>
          <w:highlight w:val="none"/>
        </w:rPr>
        <w:t>课程资源制作需在签订合同后50天内完成。</w:t>
      </w:r>
    </w:p>
    <w:p w14:paraId="5A7F8D5C">
      <w:pPr>
        <w:pStyle w:val="25"/>
        <w:spacing w:after="0"/>
        <w:ind w:left="420" w:firstLine="420"/>
        <w:jc w:val="left"/>
        <w:rPr>
          <w:rStyle w:val="18"/>
          <w:color w:val="auto"/>
          <w:highlight w:val="none"/>
        </w:rPr>
      </w:pPr>
      <w:r>
        <w:rPr>
          <w:rStyle w:val="18"/>
          <w:rFonts w:hint="eastAsia"/>
          <w:color w:val="auto"/>
          <w:highlight w:val="none"/>
        </w:rPr>
        <w:t>3.4 地点与方式：中标人将货物运送到采购人指定地点。</w:t>
      </w:r>
    </w:p>
    <w:p w14:paraId="6E145DC4">
      <w:pPr>
        <w:pStyle w:val="25"/>
        <w:spacing w:after="0"/>
        <w:ind w:left="420" w:firstLine="420"/>
        <w:rPr>
          <w:rStyle w:val="18"/>
          <w:color w:val="auto"/>
          <w:highlight w:val="none"/>
        </w:rPr>
      </w:pPr>
      <w:r>
        <w:rPr>
          <w:rStyle w:val="18"/>
          <w:rFonts w:hint="eastAsia"/>
          <w:color w:val="auto"/>
          <w:highlight w:val="none"/>
        </w:rPr>
        <w:t>3.5 交货方式：货到甲方指定校内安装位置，包括安装、调试、培训及验收及格（交钥匙项目）</w:t>
      </w:r>
    </w:p>
    <w:p w14:paraId="1B3292A4">
      <w:pPr>
        <w:pStyle w:val="25"/>
        <w:ind w:left="420" w:firstLine="420"/>
        <w:rPr>
          <w:rStyle w:val="18"/>
          <w:color w:val="auto"/>
          <w:highlight w:val="none"/>
        </w:rPr>
      </w:pPr>
      <w:r>
        <w:rPr>
          <w:rStyle w:val="18"/>
          <w:rFonts w:hint="eastAsia"/>
          <w:color w:val="auto"/>
          <w:highlight w:val="none"/>
        </w:rPr>
        <w:t>3.6如若签订合同后，因为中标人原因不能按时履约，采购人有权取消其中标资格并要求补偿经济损失，并同时保留法律诉讼权利。如若取消中标人中标资格，采购人有权决定由第二中标候选人成为新的中标人。</w:t>
      </w:r>
    </w:p>
    <w:p w14:paraId="15751C66">
      <w:pPr>
        <w:pStyle w:val="27"/>
        <w:spacing w:line="240" w:lineRule="auto"/>
        <w:rPr>
          <w:rStyle w:val="18"/>
          <w:color w:val="auto"/>
          <w:highlight w:val="none"/>
        </w:rPr>
      </w:pPr>
      <w:bookmarkStart w:id="10" w:name="_Toc256000043"/>
      <w:r>
        <w:rPr>
          <w:rStyle w:val="18"/>
          <w:rFonts w:hint="eastAsia" w:ascii="黑体" w:hAnsi="黑体" w:eastAsia="黑体"/>
          <w:b w:val="0"/>
          <w:bCs w:val="0"/>
          <w:color w:val="auto"/>
          <w:sz w:val="24"/>
          <w:highlight w:val="none"/>
        </w:rPr>
        <w:t>五</w:t>
      </w:r>
      <w:r>
        <w:rPr>
          <w:rStyle w:val="18"/>
          <w:rFonts w:hint="eastAsia" w:ascii="黑体" w:hAnsi="黑体" w:eastAsia="黑体"/>
          <w:color w:val="auto"/>
          <w:sz w:val="24"/>
          <w:highlight w:val="none"/>
        </w:rPr>
        <w:t>、服务期限及付款</w:t>
      </w:r>
      <w:bookmarkEnd w:id="10"/>
    </w:p>
    <w:p w14:paraId="6DC7C49C">
      <w:pPr>
        <w:pStyle w:val="24"/>
        <w:ind w:firstLine="420" w:firstLineChars="200"/>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一）服务期限：合同签订后50天内完成项目整体交付。其中课程资源制作在验收合格后一年内，因课程内容更新等原因需更新课程资源，中标人须提供占课程资源10%以内的拍摄或者修改服务；电子商务科技馆、视频智能化创作平台、动画智能化创作平台、数字人智能化创作平台在验收合格后提供五年升级服务（以上费用投标人须计入投标报价中，采购人不再支付任何其他费用）</w:t>
      </w:r>
      <w:r>
        <w:rPr>
          <w:rStyle w:val="18"/>
          <w:rFonts w:ascii="Times New Roman" w:hAnsi="Times New Roman" w:eastAsia="宋体" w:cs="Times New Roman"/>
          <w:color w:val="auto"/>
          <w:szCs w:val="24"/>
          <w:highlight w:val="none"/>
        </w:rPr>
        <w:t>。</w:t>
      </w:r>
    </w:p>
    <w:p w14:paraId="5A958203">
      <w:pPr>
        <w:pStyle w:val="24"/>
        <w:ind w:firstLine="420" w:firstLineChars="200"/>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（二）</w:t>
      </w:r>
      <w:r>
        <w:rPr>
          <w:rStyle w:val="18"/>
          <w:rFonts w:ascii="Times New Roman" w:hAnsi="Times New Roman" w:eastAsia="宋体" w:cs="Times New Roman"/>
          <w:color w:val="auto"/>
          <w:szCs w:val="24"/>
          <w:highlight w:val="none"/>
        </w:rPr>
        <w:t>付款方式</w:t>
      </w:r>
    </w:p>
    <w:p w14:paraId="7554F8D5">
      <w:pPr>
        <w:pStyle w:val="24"/>
        <w:ind w:firstLine="420" w:firstLineChars="200"/>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本项目采取阶段验收，电子商务科技馆、视频智能化创作平台、动画智能化创作平台、数字人智能化创作平台要求在合同签订后</w:t>
      </w:r>
      <w:r>
        <w:rPr>
          <w:rStyle w:val="18"/>
          <w:rFonts w:ascii="Times New Roman" w:hAnsi="Times New Roman" w:eastAsia="宋体" w:cs="Times New Roman"/>
          <w:color w:val="auto"/>
          <w:szCs w:val="24"/>
          <w:highlight w:val="none"/>
        </w:rPr>
        <w:t>10</w:t>
      </w:r>
      <w:r>
        <w:rPr>
          <w:rStyle w:val="18"/>
          <w:rFonts w:hint="eastAsia" w:ascii="Times New Roman" w:hAnsi="Times New Roman" w:eastAsia="宋体" w:cs="Times New Roman"/>
          <w:color w:val="auto"/>
          <w:szCs w:val="24"/>
          <w:highlight w:val="none"/>
        </w:rPr>
        <w:t>天内完成部署，并安装调试合格后，经采购人组织验收合格后，根据合同支付该部分产品或服务款项。项目整体验收合格后，采购人向中标人</w:t>
      </w:r>
      <w:r>
        <w:rPr>
          <w:rStyle w:val="18"/>
          <w:rFonts w:ascii="Times New Roman" w:hAnsi="Times New Roman" w:eastAsia="宋体" w:cs="Times New Roman"/>
          <w:color w:val="auto"/>
          <w:szCs w:val="24"/>
          <w:highlight w:val="none"/>
        </w:rPr>
        <w:t>支付</w:t>
      </w:r>
      <w:r>
        <w:rPr>
          <w:rStyle w:val="18"/>
          <w:rFonts w:hint="eastAsia" w:ascii="Times New Roman" w:hAnsi="Times New Roman" w:eastAsia="宋体" w:cs="Times New Roman"/>
          <w:color w:val="auto"/>
          <w:szCs w:val="24"/>
          <w:highlight w:val="none"/>
        </w:rPr>
        <w:t>项目全部剩余款项。</w:t>
      </w:r>
    </w:p>
    <w:p w14:paraId="6BF460D7">
      <w:pPr>
        <w:pStyle w:val="24"/>
        <w:ind w:firstLine="420" w:firstLineChars="200"/>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项目合同签订后，中标人向采购人支付总</w:t>
      </w:r>
      <w:r>
        <w:rPr>
          <w:rStyle w:val="18"/>
          <w:rFonts w:ascii="Times New Roman" w:hAnsi="Times New Roman" w:eastAsia="宋体" w:cs="Times New Roman"/>
          <w:color w:val="auto"/>
          <w:szCs w:val="24"/>
          <w:highlight w:val="none"/>
        </w:rPr>
        <w:t>合同</w:t>
      </w:r>
      <w:r>
        <w:rPr>
          <w:rStyle w:val="18"/>
          <w:rFonts w:hint="eastAsia" w:ascii="Times New Roman" w:hAnsi="Times New Roman" w:eastAsia="宋体" w:cs="Times New Roman"/>
          <w:color w:val="auto"/>
          <w:szCs w:val="24"/>
          <w:highlight w:val="none"/>
        </w:rPr>
        <w:t>款的</w:t>
      </w:r>
      <w:r>
        <w:rPr>
          <w:rStyle w:val="18"/>
          <w:rFonts w:ascii="Times New Roman" w:hAnsi="Times New Roman" w:eastAsia="宋体" w:cs="Times New Roman"/>
          <w:color w:val="auto"/>
          <w:szCs w:val="24"/>
          <w:highlight w:val="none"/>
        </w:rPr>
        <w:t>5%</w:t>
      </w:r>
      <w:r>
        <w:rPr>
          <w:rStyle w:val="18"/>
          <w:rFonts w:hint="eastAsia" w:ascii="Times New Roman" w:hAnsi="Times New Roman" w:eastAsia="宋体" w:cs="Times New Roman"/>
          <w:color w:val="auto"/>
          <w:szCs w:val="24"/>
          <w:highlight w:val="none"/>
        </w:rPr>
        <w:t>作为履约保证金，在项目验收合格一年后，</w:t>
      </w:r>
      <w:r>
        <w:rPr>
          <w:rStyle w:val="18"/>
          <w:rFonts w:ascii="Times New Roman" w:hAnsi="Times New Roman" w:eastAsia="宋体" w:cs="Times New Roman"/>
          <w:color w:val="auto"/>
          <w:szCs w:val="24"/>
          <w:highlight w:val="none"/>
        </w:rPr>
        <w:t>无质量问题和其它争议</w:t>
      </w:r>
      <w:r>
        <w:rPr>
          <w:rStyle w:val="18"/>
          <w:rFonts w:hint="eastAsia" w:ascii="Times New Roman" w:hAnsi="Times New Roman" w:eastAsia="宋体" w:cs="Times New Roman"/>
          <w:color w:val="auto"/>
          <w:szCs w:val="24"/>
          <w:highlight w:val="none"/>
        </w:rPr>
        <w:t>，采购人则</w:t>
      </w:r>
      <w:r>
        <w:rPr>
          <w:rStyle w:val="18"/>
          <w:rFonts w:ascii="Times New Roman" w:hAnsi="Times New Roman" w:eastAsia="宋体" w:cs="Times New Roman"/>
          <w:color w:val="auto"/>
          <w:szCs w:val="24"/>
          <w:highlight w:val="none"/>
        </w:rPr>
        <w:t>一次性</w:t>
      </w:r>
      <w:r>
        <w:rPr>
          <w:rStyle w:val="18"/>
          <w:rFonts w:hint="eastAsia" w:ascii="Times New Roman" w:hAnsi="Times New Roman" w:eastAsia="宋体" w:cs="Times New Roman"/>
          <w:color w:val="auto"/>
          <w:szCs w:val="24"/>
          <w:highlight w:val="none"/>
        </w:rPr>
        <w:t>向中标人返还全部履约保证金</w:t>
      </w:r>
      <w:r>
        <w:rPr>
          <w:rStyle w:val="18"/>
          <w:rFonts w:ascii="Times New Roman" w:hAnsi="Times New Roman" w:eastAsia="宋体" w:cs="Times New Roman"/>
          <w:color w:val="auto"/>
          <w:szCs w:val="24"/>
          <w:highlight w:val="none"/>
        </w:rPr>
        <w:t>（无息）。</w:t>
      </w:r>
    </w:p>
    <w:p w14:paraId="28D78DF1">
      <w:pPr>
        <w:pStyle w:val="27"/>
        <w:spacing w:line="240" w:lineRule="auto"/>
        <w:rPr>
          <w:rStyle w:val="18"/>
          <w:color w:val="auto"/>
          <w:highlight w:val="none"/>
        </w:rPr>
      </w:pPr>
      <w:bookmarkStart w:id="11" w:name="_Toc256000044"/>
      <w:r>
        <w:rPr>
          <w:rStyle w:val="18"/>
          <w:rFonts w:hint="eastAsia" w:ascii="黑体" w:hAnsi="黑体" w:eastAsia="黑体"/>
          <w:b w:val="0"/>
          <w:bCs w:val="0"/>
          <w:color w:val="auto"/>
          <w:sz w:val="24"/>
          <w:highlight w:val="none"/>
        </w:rPr>
        <w:t>六</w:t>
      </w:r>
      <w:r>
        <w:rPr>
          <w:rStyle w:val="18"/>
          <w:rFonts w:hint="eastAsia" w:ascii="黑体" w:hAnsi="黑体" w:eastAsia="黑体"/>
          <w:color w:val="auto"/>
          <w:sz w:val="24"/>
          <w:highlight w:val="none"/>
        </w:rPr>
        <w:t>、其他要求</w:t>
      </w:r>
      <w:bookmarkEnd w:id="11"/>
    </w:p>
    <w:p w14:paraId="33A5A268">
      <w:pPr>
        <w:pStyle w:val="24"/>
        <w:ind w:firstLine="420" w:firstLineChars="200"/>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（一）质保期内售后服务：数据资产管理作为学院信息化建设的核心生产力，投标人须在质保期内针对数据资产提供体系维护/运营服务；</w:t>
      </w:r>
    </w:p>
    <w:p w14:paraId="2E9826DB">
      <w:pPr>
        <w:pStyle w:val="24"/>
        <w:ind w:firstLine="420" w:firstLineChars="200"/>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二）投标方必须配备专门的技术服务人员，所有问题须在1小时内响应，日常需提供24小时的电话服务，若远程服务不能解决问题的，需在2小时内到达现场服务；若出现重大问题影响系统正常使用的情况需在1小时内到达现场。</w:t>
      </w:r>
    </w:p>
    <w:p w14:paraId="4BFFAF5E">
      <w:pPr>
        <w:pStyle w:val="24"/>
        <w:ind w:firstLine="420" w:firstLineChars="200"/>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（三）投标方须在质保期内提供每年4次的巡检服务，及时发现系统存在的风险并解决排除并提供巡检报告，保障系统的正常运行，具体时间可以由采购单位指定。</w:t>
      </w:r>
    </w:p>
    <w:p w14:paraId="11246C76">
      <w:pPr>
        <w:pStyle w:val="24"/>
        <w:ind w:firstLine="420"/>
        <w:rPr>
          <w:rStyle w:val="18"/>
          <w:rFonts w:ascii="Times New Roman" w:hAnsi="Times New Roman" w:eastAsia="宋体" w:cs="Times New Roman"/>
          <w:color w:val="auto"/>
          <w:szCs w:val="24"/>
          <w:highlight w:val="none"/>
        </w:rPr>
      </w:pPr>
      <w:r>
        <w:rPr>
          <w:rStyle w:val="18"/>
          <w:rFonts w:hint="eastAsia" w:ascii="Times New Roman" w:hAnsi="Times New Roman" w:eastAsia="宋体" w:cs="Times New Roman"/>
          <w:color w:val="auto"/>
          <w:szCs w:val="24"/>
          <w:highlight w:val="none"/>
        </w:rPr>
        <w:t>（四）本项目采用费用包干方式，投标人应根据项目要求和现场情况，详细列明项目所需的服务及可能发生的材料，以及产品运输保险保管、质保期保修维护等所有人工、管理、财务等费用，投标人需把所有可能发生的费用计入投标报价中，如一旦中标，在项目实施中出现任何遗漏，均由中标人负责，采购人不再支付任何费用。</w:t>
      </w:r>
    </w:p>
    <w:p w14:paraId="4603FBF5">
      <w:pPr>
        <w:pStyle w:val="24"/>
        <w:ind w:firstLine="480" w:firstLineChars="200"/>
        <w:rPr>
          <w:rStyle w:val="18"/>
          <w:rFonts w:hint="eastAsia" w:ascii="黑体" w:hAnsi="黑体" w:eastAsia="黑体" w:cs="Times New Roman"/>
          <w:color w:val="auto"/>
          <w:sz w:val="24"/>
          <w:szCs w:val="24"/>
          <w:highlight w:val="none"/>
        </w:rPr>
      </w:pPr>
    </w:p>
    <w:p w14:paraId="554E84E4">
      <w:pPr>
        <w:pStyle w:val="24"/>
        <w:ind w:firstLine="422" w:firstLineChars="200"/>
        <w:rPr>
          <w:rStyle w:val="18"/>
          <w:rFonts w:hint="eastAsia" w:ascii="宋体" w:hAnsi="宋体" w:eastAsia="宋体" w:cs="宋体"/>
          <w:b/>
          <w:bCs/>
          <w:color w:val="auto"/>
          <w:szCs w:val="24"/>
          <w:highlight w:val="none"/>
        </w:rPr>
      </w:pPr>
      <w:r>
        <w:rPr>
          <w:rStyle w:val="18"/>
          <w:rFonts w:hint="eastAsia" w:ascii="宋体" w:hAnsi="宋体" w:eastAsia="宋体" w:cs="宋体"/>
          <w:b/>
          <w:bCs/>
          <w:color w:val="auto"/>
          <w:szCs w:val="24"/>
          <w:highlight w:val="none"/>
        </w:rPr>
        <w:t>对于上述项目要求，投标人应在投标文件中进行回应，作出承诺及说明。</w:t>
      </w:r>
    </w:p>
    <w:p w14:paraId="44C20564">
      <w:pPr>
        <w:pStyle w:val="25"/>
        <w:rPr>
          <w:rStyle w:val="18"/>
          <w:color w:val="auto"/>
          <w:highlight w:val="none"/>
        </w:rPr>
      </w:pPr>
    </w:p>
    <w:p w14:paraId="771E0C12">
      <w:pPr>
        <w:pStyle w:val="25"/>
        <w:rPr>
          <w:rStyle w:val="18"/>
          <w:rFonts w:hint="eastAsia" w:ascii="黑体" w:hAnsi="黑体" w:eastAsia="黑体"/>
          <w:b/>
          <w:bCs/>
          <w:color w:val="auto"/>
          <w:sz w:val="24"/>
          <w:highlight w:val="none"/>
        </w:rPr>
      </w:pPr>
    </w:p>
    <w:p w14:paraId="26E86FD8">
      <w:pPr>
        <w:pStyle w:val="28"/>
        <w:adjustRightInd w:val="0"/>
        <w:snapToGrid w:val="0"/>
        <w:spacing w:line="360" w:lineRule="auto"/>
        <w:jc w:val="center"/>
        <w:outlineLvl w:val="1"/>
        <w:rPr>
          <w:rStyle w:val="18"/>
          <w:color w:val="auto"/>
          <w:highlight w:val="none"/>
        </w:rPr>
      </w:pPr>
      <w:bookmarkStart w:id="12" w:name="_Toc4258"/>
      <w:bookmarkStart w:id="13" w:name="_Toc256000045"/>
      <w:r>
        <w:rPr>
          <w:rStyle w:val="18"/>
          <w:rFonts w:hint="eastAsia" w:ascii="黑体" w:hAnsi="华文中宋" w:eastAsia="黑体"/>
          <w:b/>
          <w:color w:val="auto"/>
          <w:sz w:val="32"/>
          <w:szCs w:val="32"/>
          <w:highlight w:val="none"/>
        </w:rPr>
        <w:t>第三节 商务要求</w:t>
      </w:r>
      <w:bookmarkEnd w:id="12"/>
      <w:bookmarkEnd w:id="13"/>
    </w:p>
    <w:p w14:paraId="0900E4BC">
      <w:pPr>
        <w:pStyle w:val="24"/>
        <w:widowControl/>
        <w:spacing w:before="240" w:after="240"/>
        <w:jc w:val="left"/>
        <w:rPr>
          <w:rStyle w:val="18"/>
          <w:rFonts w:hint="eastAsia" w:ascii="宋体" w:hAnsi="宋体" w:eastAsia="宋体" w:cs="宋体"/>
          <w:color w:val="auto"/>
          <w:spacing w:val="30"/>
          <w:kern w:val="0"/>
          <w:szCs w:val="21"/>
          <w:highlight w:val="none"/>
        </w:rPr>
      </w:pPr>
      <w:r>
        <w:rPr>
          <w:rStyle w:val="18"/>
          <w:rFonts w:ascii="宋体" w:hAnsi="宋体" w:eastAsia="宋体" w:cs="宋体"/>
          <w:color w:val="auto"/>
          <w:spacing w:val="30"/>
          <w:kern w:val="0"/>
          <w:szCs w:val="21"/>
          <w:highlight w:val="none"/>
        </w:rPr>
        <w:t>一、主要商务要求</w:t>
      </w:r>
    </w:p>
    <w:tbl>
      <w:tblPr>
        <w:tblStyle w:val="17"/>
        <w:tblW w:w="7307"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3"/>
        <w:gridCol w:w="5464"/>
      </w:tblGrid>
      <w:tr w14:paraId="40C42F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843" w:type="dxa"/>
            <w:noWrap w:val="0"/>
            <w:vAlign w:val="center"/>
          </w:tcPr>
          <w:p w14:paraId="5209340F">
            <w:pPr>
              <w:pStyle w:val="24"/>
              <w:widowControl/>
              <w:spacing w:before="240" w:after="240"/>
              <w:jc w:val="left"/>
              <w:rPr>
                <w:rStyle w:val="18"/>
                <w:rFonts w:hint="eastAsia" w:ascii="宋体" w:hAnsi="宋体" w:eastAsia="宋体" w:cs="宋体"/>
                <w:color w:val="auto"/>
                <w:spacing w:val="30"/>
                <w:kern w:val="0"/>
                <w:szCs w:val="21"/>
                <w:highlight w:val="none"/>
              </w:rPr>
            </w:pPr>
            <w:r>
              <w:rPr>
                <w:rStyle w:val="18"/>
                <w:rFonts w:hint="eastAsia" w:ascii="宋体" w:hAnsi="宋体" w:eastAsia="宋体" w:cs="宋体"/>
                <w:color w:val="auto"/>
                <w:spacing w:val="30"/>
                <w:kern w:val="0"/>
                <w:szCs w:val="21"/>
                <w:highlight w:val="none"/>
              </w:rPr>
              <w:t xml:space="preserve">甲方名称、地址 </w:t>
            </w:r>
          </w:p>
        </w:tc>
        <w:tc>
          <w:tcPr>
            <w:tcW w:w="5464" w:type="dxa"/>
            <w:noWrap w:val="0"/>
            <w:vAlign w:val="center"/>
          </w:tcPr>
          <w:p w14:paraId="5F0CFC2E">
            <w:pPr>
              <w:pStyle w:val="24"/>
              <w:widowControl/>
              <w:spacing w:before="240" w:after="240"/>
              <w:jc w:val="left"/>
              <w:rPr>
                <w:rStyle w:val="18"/>
                <w:rFonts w:hint="eastAsia" w:ascii="宋体" w:hAnsi="宋体" w:eastAsia="宋体" w:cs="宋体"/>
                <w:color w:val="auto"/>
                <w:spacing w:val="30"/>
                <w:kern w:val="0"/>
                <w:szCs w:val="21"/>
                <w:highlight w:val="none"/>
                <w:u w:val="single"/>
              </w:rPr>
            </w:pPr>
            <w:r>
              <w:rPr>
                <w:rStyle w:val="18"/>
                <w:rFonts w:hint="eastAsia" w:ascii="宋体" w:hAnsi="宋体" w:eastAsia="宋体" w:cs="宋体"/>
                <w:color w:val="auto"/>
                <w:spacing w:val="30"/>
                <w:kern w:val="0"/>
                <w:szCs w:val="21"/>
                <w:highlight w:val="none"/>
              </w:rPr>
              <w:t>名称：</w:t>
            </w:r>
            <w:r>
              <w:rPr>
                <w:rStyle w:val="18"/>
                <w:rFonts w:hint="eastAsia" w:ascii="宋体" w:hAnsi="宋体" w:eastAsia="宋体" w:cs="Times New Roman"/>
                <w:color w:val="auto"/>
                <w:kern w:val="0"/>
                <w:szCs w:val="21"/>
                <w:highlight w:val="none"/>
                <w:u w:val="single"/>
              </w:rPr>
              <w:t xml:space="preserve"> 长沙民政职业技术学院 </w:t>
            </w:r>
          </w:p>
          <w:p w14:paraId="34A69EE7">
            <w:pPr>
              <w:pStyle w:val="24"/>
              <w:widowControl/>
              <w:spacing w:before="240" w:after="240"/>
              <w:jc w:val="left"/>
              <w:rPr>
                <w:rStyle w:val="18"/>
                <w:rFonts w:hint="eastAsia" w:ascii="宋体" w:hAnsi="宋体" w:eastAsia="宋体" w:cs="宋体"/>
                <w:color w:val="auto"/>
                <w:spacing w:val="30"/>
                <w:kern w:val="0"/>
                <w:szCs w:val="21"/>
                <w:highlight w:val="none"/>
              </w:rPr>
            </w:pPr>
            <w:r>
              <w:rPr>
                <w:rStyle w:val="18"/>
                <w:rFonts w:hint="eastAsia" w:ascii="宋体" w:hAnsi="宋体" w:eastAsia="宋体" w:cs="宋体"/>
                <w:color w:val="auto"/>
                <w:spacing w:val="30"/>
                <w:kern w:val="0"/>
                <w:szCs w:val="21"/>
                <w:highlight w:val="none"/>
              </w:rPr>
              <w:t>地址：</w:t>
            </w:r>
            <w:r>
              <w:rPr>
                <w:rStyle w:val="18"/>
                <w:rFonts w:hint="eastAsia" w:ascii="宋体" w:hAnsi="宋体" w:eastAsia="宋体" w:cs="宋体"/>
                <w:color w:val="auto"/>
                <w:kern w:val="1"/>
                <w:szCs w:val="21"/>
                <w:highlight w:val="none"/>
                <w:u w:val="single"/>
              </w:rPr>
              <w:t>长沙市雨花区香樟路22号</w:t>
            </w:r>
          </w:p>
        </w:tc>
      </w:tr>
      <w:tr w14:paraId="4521AB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843" w:type="dxa"/>
            <w:noWrap w:val="0"/>
            <w:vAlign w:val="center"/>
          </w:tcPr>
          <w:p w14:paraId="0B6C204D">
            <w:pPr>
              <w:pStyle w:val="24"/>
              <w:widowControl/>
              <w:spacing w:before="240" w:after="240"/>
              <w:jc w:val="left"/>
              <w:rPr>
                <w:rStyle w:val="18"/>
                <w:rFonts w:hint="eastAsia" w:ascii="宋体" w:hAnsi="宋体" w:eastAsia="宋体" w:cs="宋体"/>
                <w:color w:val="auto"/>
                <w:spacing w:val="30"/>
                <w:kern w:val="0"/>
                <w:szCs w:val="21"/>
                <w:highlight w:val="none"/>
              </w:rPr>
            </w:pPr>
            <w:r>
              <w:rPr>
                <w:rStyle w:val="18"/>
                <w:rFonts w:hint="eastAsia" w:ascii="宋体" w:hAnsi="宋体" w:eastAsia="宋体" w:cs="宋体"/>
                <w:color w:val="auto"/>
                <w:spacing w:val="30"/>
                <w:kern w:val="0"/>
                <w:szCs w:val="21"/>
                <w:highlight w:val="none"/>
              </w:rPr>
              <w:t>项目现场</w:t>
            </w:r>
          </w:p>
        </w:tc>
        <w:tc>
          <w:tcPr>
            <w:tcW w:w="5464" w:type="dxa"/>
            <w:noWrap w:val="0"/>
            <w:vAlign w:val="center"/>
          </w:tcPr>
          <w:p w14:paraId="44074ABF">
            <w:pPr>
              <w:pStyle w:val="24"/>
              <w:widowControl/>
              <w:spacing w:before="240" w:after="240"/>
              <w:jc w:val="left"/>
              <w:rPr>
                <w:rStyle w:val="18"/>
                <w:rFonts w:hint="eastAsia" w:ascii="宋体" w:hAnsi="宋体" w:eastAsia="宋体" w:cs="宋体"/>
                <w:color w:val="auto"/>
                <w:spacing w:val="30"/>
                <w:kern w:val="0"/>
                <w:szCs w:val="21"/>
                <w:highlight w:val="none"/>
                <w:u w:val="single"/>
              </w:rPr>
            </w:pPr>
            <w:r>
              <w:rPr>
                <w:rStyle w:val="18"/>
                <w:rFonts w:hint="eastAsia" w:ascii="宋体" w:hAnsi="宋体" w:eastAsia="宋体" w:cs="Times New Roman"/>
                <w:color w:val="auto"/>
                <w:kern w:val="0"/>
                <w:szCs w:val="21"/>
                <w:highlight w:val="none"/>
                <w:u w:val="single"/>
              </w:rPr>
              <w:t>采购人指定地点</w:t>
            </w:r>
          </w:p>
        </w:tc>
      </w:tr>
      <w:tr w14:paraId="68A550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843" w:type="dxa"/>
            <w:noWrap w:val="0"/>
            <w:vAlign w:val="center"/>
          </w:tcPr>
          <w:p w14:paraId="238D40C8">
            <w:pPr>
              <w:pStyle w:val="24"/>
              <w:widowControl/>
              <w:spacing w:before="240" w:after="240"/>
              <w:jc w:val="left"/>
              <w:rPr>
                <w:rStyle w:val="18"/>
                <w:rFonts w:hint="eastAsia" w:ascii="宋体" w:hAnsi="宋体" w:eastAsia="宋体" w:cs="宋体"/>
                <w:color w:val="auto"/>
                <w:spacing w:val="30"/>
                <w:kern w:val="0"/>
                <w:szCs w:val="21"/>
                <w:highlight w:val="none"/>
              </w:rPr>
            </w:pPr>
            <w:r>
              <w:rPr>
                <w:rStyle w:val="18"/>
                <w:rFonts w:hint="eastAsia" w:ascii="宋体" w:hAnsi="宋体" w:eastAsia="宋体" w:cs="宋体"/>
                <w:color w:val="auto"/>
                <w:spacing w:val="30"/>
                <w:kern w:val="0"/>
                <w:szCs w:val="21"/>
                <w:highlight w:val="none"/>
              </w:rPr>
              <w:t>履行合同的时间、地点及方式</w:t>
            </w:r>
          </w:p>
        </w:tc>
        <w:tc>
          <w:tcPr>
            <w:tcW w:w="5464" w:type="dxa"/>
            <w:noWrap w:val="0"/>
            <w:vAlign w:val="center"/>
          </w:tcPr>
          <w:p w14:paraId="2FF701D6">
            <w:pPr>
              <w:pStyle w:val="24"/>
              <w:widowControl/>
              <w:spacing w:before="240" w:after="240"/>
              <w:jc w:val="left"/>
              <w:rPr>
                <w:rStyle w:val="18"/>
                <w:rFonts w:hint="eastAsia" w:ascii="宋体" w:hAnsi="宋体" w:eastAsia="宋体" w:cs="Times New Roman"/>
                <w:color w:val="auto"/>
                <w:kern w:val="0"/>
                <w:szCs w:val="21"/>
                <w:highlight w:val="none"/>
                <w:u w:val="single"/>
              </w:rPr>
            </w:pPr>
            <w:r>
              <w:rPr>
                <w:rStyle w:val="18"/>
                <w:rFonts w:hint="eastAsia" w:ascii="宋体" w:hAnsi="宋体" w:eastAsia="宋体" w:cs="宋体"/>
                <w:color w:val="auto"/>
                <w:spacing w:val="30"/>
                <w:kern w:val="0"/>
                <w:szCs w:val="21"/>
                <w:highlight w:val="none"/>
              </w:rPr>
              <w:t>交货时间：</w:t>
            </w:r>
            <w:r>
              <w:rPr>
                <w:rStyle w:val="18"/>
                <w:rFonts w:hint="eastAsia" w:ascii="宋体" w:hAnsi="宋体" w:eastAsia="宋体" w:cs="Times New Roman"/>
                <w:color w:val="auto"/>
                <w:kern w:val="0"/>
                <w:szCs w:val="21"/>
                <w:highlight w:val="none"/>
                <w:u w:val="single"/>
              </w:rPr>
              <w:t>详见第二节技术要求</w:t>
            </w:r>
          </w:p>
          <w:p w14:paraId="7D10DFF7">
            <w:pPr>
              <w:pStyle w:val="24"/>
              <w:widowControl/>
              <w:spacing w:before="240" w:after="240"/>
              <w:jc w:val="left"/>
              <w:rPr>
                <w:rStyle w:val="18"/>
                <w:rFonts w:hint="eastAsia" w:ascii="宋体" w:hAnsi="宋体" w:eastAsia="宋体" w:cs="宋体"/>
                <w:color w:val="auto"/>
                <w:spacing w:val="30"/>
                <w:kern w:val="0"/>
                <w:szCs w:val="21"/>
                <w:highlight w:val="none"/>
              </w:rPr>
            </w:pPr>
            <w:r>
              <w:rPr>
                <w:rStyle w:val="18"/>
                <w:rFonts w:hint="eastAsia" w:ascii="宋体" w:hAnsi="宋体" w:eastAsia="宋体" w:cs="宋体"/>
                <w:color w:val="auto"/>
                <w:spacing w:val="30"/>
                <w:kern w:val="0"/>
                <w:szCs w:val="21"/>
                <w:highlight w:val="none"/>
              </w:rPr>
              <w:t>交货地点：</w:t>
            </w:r>
            <w:r>
              <w:rPr>
                <w:rStyle w:val="18"/>
                <w:rFonts w:hint="eastAsia" w:ascii="宋体" w:hAnsi="宋体" w:eastAsia="宋体" w:cs="Times New Roman"/>
                <w:color w:val="auto"/>
                <w:kern w:val="0"/>
                <w:szCs w:val="21"/>
                <w:highlight w:val="none"/>
                <w:u w:val="single"/>
              </w:rPr>
              <w:t>详见第二节技术要求</w:t>
            </w:r>
          </w:p>
          <w:p w14:paraId="55E90DB4">
            <w:pPr>
              <w:pStyle w:val="24"/>
              <w:widowControl/>
              <w:spacing w:before="240" w:after="240"/>
              <w:jc w:val="left"/>
              <w:rPr>
                <w:rStyle w:val="18"/>
                <w:rFonts w:hint="eastAsia" w:ascii="宋体" w:hAnsi="宋体" w:eastAsia="宋体" w:cs="宋体"/>
                <w:color w:val="auto"/>
                <w:spacing w:val="30"/>
                <w:kern w:val="0"/>
                <w:szCs w:val="21"/>
                <w:highlight w:val="none"/>
              </w:rPr>
            </w:pPr>
            <w:r>
              <w:rPr>
                <w:rStyle w:val="18"/>
                <w:rFonts w:hint="eastAsia" w:ascii="宋体" w:hAnsi="宋体" w:eastAsia="宋体" w:cs="宋体"/>
                <w:color w:val="auto"/>
                <w:spacing w:val="30"/>
                <w:kern w:val="0"/>
                <w:szCs w:val="21"/>
                <w:highlight w:val="none"/>
              </w:rPr>
              <w:t>交货方式：</w:t>
            </w:r>
            <w:r>
              <w:rPr>
                <w:rStyle w:val="18"/>
                <w:rFonts w:hint="eastAsia" w:ascii="宋体" w:hAnsi="宋体" w:eastAsia="宋体" w:cs="Times New Roman"/>
                <w:color w:val="auto"/>
                <w:kern w:val="0"/>
                <w:szCs w:val="21"/>
                <w:highlight w:val="none"/>
                <w:u w:val="single"/>
              </w:rPr>
              <w:t>详见第二节技术要求</w:t>
            </w:r>
          </w:p>
        </w:tc>
      </w:tr>
      <w:tr w14:paraId="0F77FE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5" w:hRule="atLeast"/>
        </w:trPr>
        <w:tc>
          <w:tcPr>
            <w:tcW w:w="1843" w:type="dxa"/>
            <w:noWrap w:val="0"/>
            <w:vAlign w:val="center"/>
          </w:tcPr>
          <w:p w14:paraId="050D58ED">
            <w:pPr>
              <w:pStyle w:val="24"/>
              <w:widowControl/>
              <w:spacing w:before="240" w:after="240"/>
              <w:jc w:val="left"/>
              <w:rPr>
                <w:rStyle w:val="18"/>
                <w:rFonts w:hint="eastAsia" w:ascii="宋体" w:hAnsi="宋体" w:eastAsia="宋体" w:cs="宋体"/>
                <w:color w:val="auto"/>
                <w:spacing w:val="30"/>
                <w:kern w:val="0"/>
                <w:szCs w:val="21"/>
                <w:highlight w:val="none"/>
              </w:rPr>
            </w:pPr>
            <w:r>
              <w:rPr>
                <w:rStyle w:val="18"/>
                <w:rFonts w:hint="eastAsia" w:ascii="宋体" w:hAnsi="宋体" w:eastAsia="宋体" w:cs="宋体"/>
                <w:color w:val="auto"/>
                <w:spacing w:val="30"/>
                <w:kern w:val="0"/>
                <w:szCs w:val="21"/>
                <w:highlight w:val="none"/>
              </w:rPr>
              <w:t>质量保证期（服务期限）</w:t>
            </w:r>
          </w:p>
        </w:tc>
        <w:tc>
          <w:tcPr>
            <w:tcW w:w="5464" w:type="dxa"/>
            <w:noWrap w:val="0"/>
            <w:vAlign w:val="center"/>
          </w:tcPr>
          <w:p w14:paraId="69C38BF3">
            <w:pPr>
              <w:pStyle w:val="24"/>
              <w:widowControl/>
              <w:spacing w:before="240" w:after="240"/>
              <w:jc w:val="left"/>
              <w:rPr>
                <w:rStyle w:val="18"/>
                <w:rFonts w:hint="eastAsia" w:ascii="宋体" w:hAnsi="宋体" w:eastAsia="宋体" w:cs="宋体"/>
                <w:color w:val="auto"/>
                <w:spacing w:val="30"/>
                <w:kern w:val="0"/>
                <w:szCs w:val="21"/>
                <w:highlight w:val="none"/>
                <w:u w:val="single"/>
              </w:rPr>
            </w:pPr>
            <w:r>
              <w:rPr>
                <w:rStyle w:val="18"/>
                <w:rFonts w:hint="eastAsia" w:ascii="宋体" w:hAnsi="宋体" w:eastAsia="宋体" w:cs="Times New Roman"/>
                <w:color w:val="auto"/>
                <w:kern w:val="0"/>
                <w:szCs w:val="21"/>
                <w:highlight w:val="none"/>
                <w:u w:val="single"/>
              </w:rPr>
              <w:t>详见第二节技术要求</w:t>
            </w:r>
          </w:p>
        </w:tc>
      </w:tr>
      <w:tr w14:paraId="59212C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trPr>
        <w:tc>
          <w:tcPr>
            <w:tcW w:w="1843" w:type="dxa"/>
            <w:noWrap w:val="0"/>
            <w:vAlign w:val="center"/>
          </w:tcPr>
          <w:p w14:paraId="73B0F35D">
            <w:pPr>
              <w:pStyle w:val="24"/>
              <w:widowControl/>
              <w:spacing w:before="240" w:after="240"/>
              <w:jc w:val="left"/>
              <w:rPr>
                <w:rStyle w:val="18"/>
                <w:rFonts w:hint="eastAsia" w:ascii="宋体" w:hAnsi="宋体" w:eastAsia="宋体" w:cs="宋体"/>
                <w:color w:val="auto"/>
                <w:spacing w:val="30"/>
                <w:kern w:val="0"/>
                <w:szCs w:val="21"/>
                <w:highlight w:val="none"/>
              </w:rPr>
            </w:pPr>
            <w:r>
              <w:rPr>
                <w:rStyle w:val="18"/>
                <w:rFonts w:hint="eastAsia" w:ascii="宋体" w:hAnsi="宋体" w:eastAsia="宋体" w:cs="宋体"/>
                <w:color w:val="auto"/>
                <w:spacing w:val="30"/>
                <w:kern w:val="0"/>
                <w:szCs w:val="21"/>
                <w:highlight w:val="none"/>
              </w:rPr>
              <w:t>响应时间</w:t>
            </w:r>
          </w:p>
        </w:tc>
        <w:tc>
          <w:tcPr>
            <w:tcW w:w="5464" w:type="dxa"/>
            <w:noWrap w:val="0"/>
            <w:vAlign w:val="center"/>
          </w:tcPr>
          <w:p w14:paraId="60FBC95B">
            <w:pPr>
              <w:pStyle w:val="24"/>
              <w:widowControl/>
              <w:spacing w:before="240" w:after="240"/>
              <w:jc w:val="left"/>
              <w:rPr>
                <w:rStyle w:val="18"/>
                <w:rFonts w:hint="eastAsia" w:ascii="宋体" w:hAnsi="宋体" w:eastAsia="宋体" w:cs="宋体"/>
                <w:color w:val="auto"/>
                <w:spacing w:val="30"/>
                <w:kern w:val="0"/>
                <w:szCs w:val="21"/>
                <w:highlight w:val="none"/>
                <w:u w:val="single"/>
              </w:rPr>
            </w:pPr>
            <w:r>
              <w:rPr>
                <w:rStyle w:val="18"/>
                <w:rFonts w:hint="eastAsia" w:ascii="宋体" w:hAnsi="宋体" w:eastAsia="宋体" w:cs="Times New Roman"/>
                <w:color w:val="auto"/>
                <w:kern w:val="0"/>
                <w:szCs w:val="21"/>
                <w:highlight w:val="none"/>
                <w:u w:val="single"/>
              </w:rPr>
              <w:t>详见第二节技术要求</w:t>
            </w:r>
          </w:p>
        </w:tc>
      </w:tr>
      <w:tr w14:paraId="6ACF23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843" w:type="dxa"/>
            <w:noWrap w:val="0"/>
            <w:vAlign w:val="center"/>
          </w:tcPr>
          <w:p w14:paraId="576DAAB5">
            <w:pPr>
              <w:pStyle w:val="24"/>
              <w:widowControl/>
              <w:spacing w:before="240" w:after="240"/>
              <w:jc w:val="left"/>
              <w:rPr>
                <w:rStyle w:val="18"/>
                <w:rFonts w:hint="eastAsia" w:ascii="宋体" w:hAnsi="宋体" w:eastAsia="宋体" w:cs="宋体"/>
                <w:color w:val="auto"/>
                <w:spacing w:val="30"/>
                <w:kern w:val="0"/>
                <w:szCs w:val="21"/>
                <w:highlight w:val="none"/>
              </w:rPr>
            </w:pPr>
            <w:r>
              <w:rPr>
                <w:rStyle w:val="18"/>
                <w:rFonts w:hint="eastAsia" w:ascii="宋体" w:hAnsi="宋体" w:eastAsia="宋体" w:cs="宋体"/>
                <w:color w:val="auto"/>
                <w:spacing w:val="30"/>
                <w:kern w:val="0"/>
                <w:szCs w:val="21"/>
                <w:highlight w:val="none"/>
              </w:rPr>
              <w:t>合同价款支付方式</w:t>
            </w:r>
            <w:r>
              <w:rPr>
                <w:rStyle w:val="18"/>
                <w:rFonts w:hint="eastAsia" w:ascii="宋体" w:hAnsi="宋体" w:eastAsia="宋体" w:cs="宋体"/>
                <w:bCs/>
                <w:color w:val="auto"/>
                <w:spacing w:val="30"/>
                <w:kern w:val="0"/>
                <w:szCs w:val="21"/>
                <w:highlight w:val="none"/>
              </w:rPr>
              <w:t>和条件</w:t>
            </w:r>
          </w:p>
        </w:tc>
        <w:tc>
          <w:tcPr>
            <w:tcW w:w="5464" w:type="dxa"/>
            <w:noWrap w:val="0"/>
            <w:vAlign w:val="center"/>
          </w:tcPr>
          <w:p w14:paraId="291335BF">
            <w:pPr>
              <w:pStyle w:val="24"/>
              <w:widowControl/>
              <w:spacing w:before="240" w:after="240"/>
              <w:jc w:val="left"/>
              <w:rPr>
                <w:rStyle w:val="18"/>
                <w:rFonts w:hint="eastAsia" w:ascii="宋体" w:hAnsi="宋体" w:eastAsia="宋体" w:cs="宋体"/>
                <w:color w:val="auto"/>
                <w:spacing w:val="30"/>
                <w:kern w:val="0"/>
                <w:szCs w:val="21"/>
                <w:highlight w:val="none"/>
                <w:u w:val="single"/>
              </w:rPr>
            </w:pPr>
            <w:r>
              <w:rPr>
                <w:rStyle w:val="18"/>
                <w:rFonts w:hint="eastAsia" w:ascii="宋体" w:hAnsi="宋体" w:eastAsia="宋体" w:cs="宋体"/>
                <w:color w:val="auto"/>
                <w:spacing w:val="30"/>
                <w:kern w:val="0"/>
                <w:szCs w:val="21"/>
                <w:highlight w:val="none"/>
              </w:rPr>
              <w:t>支付方式：☑国库支付□自行支付□其它</w:t>
            </w:r>
          </w:p>
          <w:p w14:paraId="0CE22816">
            <w:pPr>
              <w:pStyle w:val="24"/>
              <w:widowControl/>
              <w:spacing w:before="240" w:after="240"/>
              <w:jc w:val="left"/>
              <w:rPr>
                <w:rStyle w:val="18"/>
                <w:rFonts w:hint="eastAsia" w:ascii="宋体" w:hAnsi="宋体" w:eastAsia="宋体" w:cs="宋体"/>
                <w:color w:val="auto"/>
                <w:spacing w:val="30"/>
                <w:kern w:val="0"/>
                <w:szCs w:val="21"/>
                <w:highlight w:val="none"/>
              </w:rPr>
            </w:pPr>
            <w:r>
              <w:rPr>
                <w:rStyle w:val="18"/>
                <w:rFonts w:hint="eastAsia" w:ascii="宋体" w:hAnsi="宋体" w:eastAsia="宋体" w:cs="宋体"/>
                <w:color w:val="auto"/>
                <w:spacing w:val="30"/>
                <w:kern w:val="0"/>
                <w:szCs w:val="21"/>
                <w:highlight w:val="none"/>
              </w:rPr>
              <w:t>支付条件：</w:t>
            </w:r>
            <w:r>
              <w:rPr>
                <w:rStyle w:val="18"/>
                <w:rFonts w:hint="eastAsia" w:ascii="宋体" w:hAnsi="宋体" w:eastAsia="宋体" w:cs="Times New Roman"/>
                <w:color w:val="auto"/>
                <w:kern w:val="0"/>
                <w:szCs w:val="21"/>
                <w:highlight w:val="none"/>
                <w:u w:val="single"/>
              </w:rPr>
              <w:t>详见第二节技术要求</w:t>
            </w:r>
          </w:p>
        </w:tc>
      </w:tr>
      <w:tr w14:paraId="304A62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843" w:type="dxa"/>
            <w:noWrap w:val="0"/>
            <w:vAlign w:val="center"/>
          </w:tcPr>
          <w:p w14:paraId="5C99E987">
            <w:pPr>
              <w:pStyle w:val="24"/>
              <w:widowControl/>
              <w:spacing w:before="240" w:after="240"/>
              <w:jc w:val="left"/>
              <w:rPr>
                <w:rStyle w:val="18"/>
                <w:rFonts w:hint="eastAsia" w:ascii="宋体" w:hAnsi="宋体" w:eastAsia="宋体" w:cs="宋体"/>
                <w:color w:val="auto"/>
                <w:spacing w:val="30"/>
                <w:kern w:val="0"/>
                <w:szCs w:val="21"/>
                <w:highlight w:val="none"/>
              </w:rPr>
            </w:pPr>
            <w:r>
              <w:rPr>
                <w:rStyle w:val="18"/>
                <w:rFonts w:hint="eastAsia" w:ascii="宋体" w:hAnsi="宋体" w:eastAsia="宋体" w:cs="宋体"/>
                <w:color w:val="auto"/>
                <w:spacing w:val="30"/>
                <w:kern w:val="0"/>
                <w:szCs w:val="21"/>
                <w:highlight w:val="none"/>
              </w:rPr>
              <w:t>乙方提供的其他服务</w:t>
            </w:r>
          </w:p>
        </w:tc>
        <w:tc>
          <w:tcPr>
            <w:tcW w:w="5464" w:type="dxa"/>
            <w:noWrap w:val="0"/>
            <w:vAlign w:val="center"/>
          </w:tcPr>
          <w:p w14:paraId="185D0565">
            <w:pPr>
              <w:pStyle w:val="24"/>
              <w:widowControl/>
              <w:spacing w:before="240" w:after="240"/>
              <w:jc w:val="left"/>
              <w:rPr>
                <w:rStyle w:val="18"/>
                <w:rFonts w:hint="eastAsia" w:ascii="宋体" w:hAnsi="宋体" w:eastAsia="宋体" w:cs="宋体"/>
                <w:color w:val="auto"/>
                <w:spacing w:val="30"/>
                <w:kern w:val="0"/>
                <w:szCs w:val="21"/>
                <w:highlight w:val="none"/>
              </w:rPr>
            </w:pPr>
            <w:r>
              <w:rPr>
                <w:rStyle w:val="18"/>
                <w:rFonts w:hint="eastAsia" w:ascii="宋体" w:hAnsi="宋体" w:eastAsia="宋体" w:cs="Times New Roman"/>
                <w:color w:val="auto"/>
                <w:kern w:val="0"/>
                <w:szCs w:val="21"/>
                <w:highlight w:val="none"/>
                <w:u w:val="single"/>
              </w:rPr>
              <w:t xml:space="preserve"> 详见第二节技术要求 </w:t>
            </w:r>
          </w:p>
        </w:tc>
      </w:tr>
      <w:tr w14:paraId="3E9E6E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843" w:type="dxa"/>
            <w:noWrap w:val="0"/>
            <w:vAlign w:val="center"/>
          </w:tcPr>
          <w:p w14:paraId="06765009">
            <w:pPr>
              <w:pStyle w:val="24"/>
              <w:widowControl/>
              <w:spacing w:before="240" w:after="240"/>
              <w:jc w:val="left"/>
              <w:rPr>
                <w:rStyle w:val="18"/>
                <w:rFonts w:hint="eastAsia" w:ascii="宋体" w:hAnsi="宋体" w:eastAsia="宋体" w:cs="宋体"/>
                <w:bCs/>
                <w:color w:val="auto"/>
                <w:spacing w:val="30"/>
                <w:kern w:val="0"/>
                <w:szCs w:val="21"/>
                <w:highlight w:val="none"/>
              </w:rPr>
            </w:pPr>
            <w:r>
              <w:rPr>
                <w:rStyle w:val="18"/>
                <w:rFonts w:hint="eastAsia" w:ascii="宋体" w:hAnsi="宋体" w:eastAsia="宋体" w:cs="宋体"/>
                <w:color w:val="auto"/>
                <w:spacing w:val="30"/>
                <w:kern w:val="0"/>
                <w:szCs w:val="21"/>
                <w:highlight w:val="none"/>
              </w:rPr>
              <w:t>解决争议的方式</w:t>
            </w:r>
          </w:p>
        </w:tc>
        <w:tc>
          <w:tcPr>
            <w:tcW w:w="5464" w:type="dxa"/>
            <w:noWrap w:val="0"/>
            <w:vAlign w:val="center"/>
          </w:tcPr>
          <w:p w14:paraId="603C889D">
            <w:pPr>
              <w:pStyle w:val="24"/>
              <w:widowControl/>
              <w:spacing w:before="240" w:after="240"/>
              <w:jc w:val="left"/>
              <w:rPr>
                <w:rStyle w:val="18"/>
                <w:rFonts w:hint="eastAsia" w:ascii="宋体" w:hAnsi="宋体" w:eastAsia="宋体" w:cs="宋体"/>
                <w:color w:val="auto"/>
                <w:spacing w:val="30"/>
                <w:kern w:val="0"/>
                <w:szCs w:val="21"/>
                <w:highlight w:val="none"/>
              </w:rPr>
            </w:pPr>
            <w:r>
              <w:rPr>
                <w:rStyle w:val="18"/>
                <w:rFonts w:hint="eastAsia" w:ascii="宋体" w:hAnsi="宋体" w:eastAsia="宋体" w:cs="宋体"/>
                <w:color w:val="auto"/>
                <w:spacing w:val="30"/>
                <w:kern w:val="0"/>
                <w:szCs w:val="21"/>
                <w:highlight w:val="none"/>
              </w:rPr>
              <w:t xml:space="preserve">☑ 诉讼 </w:t>
            </w:r>
            <w:r>
              <w:rPr>
                <w:rStyle w:val="18"/>
                <w:rFonts w:hint="eastAsia" w:ascii="宋体" w:hAnsi="宋体" w:eastAsia="宋体" w:cs="宋体"/>
                <w:color w:val="auto"/>
                <w:szCs w:val="21"/>
                <w:highlight w:val="none"/>
              </w:rPr>
              <w:t>在采购人所在地人民法院提起诉讼。</w:t>
            </w:r>
          </w:p>
          <w:p w14:paraId="62402E15">
            <w:pPr>
              <w:pStyle w:val="24"/>
              <w:widowControl/>
              <w:spacing w:before="240" w:after="240"/>
              <w:jc w:val="left"/>
              <w:rPr>
                <w:rStyle w:val="18"/>
                <w:rFonts w:hint="eastAsia" w:ascii="宋体" w:hAnsi="宋体" w:eastAsia="宋体" w:cs="宋体"/>
                <w:color w:val="auto"/>
                <w:spacing w:val="30"/>
                <w:kern w:val="0"/>
                <w:szCs w:val="21"/>
                <w:highlight w:val="none"/>
              </w:rPr>
            </w:pPr>
            <w:r>
              <w:rPr>
                <w:rStyle w:val="18"/>
                <w:rFonts w:hint="eastAsia" w:ascii="宋体" w:hAnsi="宋体" w:eastAsia="宋体" w:cs="宋体"/>
                <w:color w:val="auto"/>
                <w:spacing w:val="30"/>
                <w:kern w:val="0"/>
                <w:szCs w:val="21"/>
                <w:highlight w:val="none"/>
              </w:rPr>
              <w:t>□ 仲裁</w:t>
            </w:r>
          </w:p>
        </w:tc>
      </w:tr>
      <w:tr w14:paraId="63E4DD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843" w:type="dxa"/>
            <w:noWrap w:val="0"/>
            <w:vAlign w:val="center"/>
          </w:tcPr>
          <w:p w14:paraId="25C10A4F">
            <w:pPr>
              <w:pStyle w:val="24"/>
              <w:widowControl/>
              <w:spacing w:before="240" w:after="240"/>
              <w:jc w:val="left"/>
              <w:rPr>
                <w:rStyle w:val="18"/>
                <w:rFonts w:hint="eastAsia" w:ascii="宋体" w:hAnsi="宋体" w:eastAsia="宋体" w:cs="宋体"/>
                <w:color w:val="auto"/>
                <w:spacing w:val="30"/>
                <w:kern w:val="0"/>
                <w:szCs w:val="21"/>
                <w:highlight w:val="none"/>
              </w:rPr>
            </w:pPr>
            <w:r>
              <w:rPr>
                <w:rStyle w:val="18"/>
                <w:rFonts w:hint="eastAsia" w:ascii="宋体" w:hAnsi="宋体" w:eastAsia="宋体" w:cs="宋体"/>
                <w:bCs/>
                <w:color w:val="auto"/>
                <w:spacing w:val="30"/>
                <w:kern w:val="0"/>
                <w:szCs w:val="21"/>
                <w:highlight w:val="none"/>
              </w:rPr>
              <w:t>合同未尽事项</w:t>
            </w:r>
          </w:p>
        </w:tc>
        <w:tc>
          <w:tcPr>
            <w:tcW w:w="5464" w:type="dxa"/>
            <w:noWrap w:val="0"/>
            <w:vAlign w:val="center"/>
          </w:tcPr>
          <w:p w14:paraId="4E6EA8C5">
            <w:pPr>
              <w:pStyle w:val="24"/>
              <w:widowControl/>
              <w:spacing w:before="240" w:after="240"/>
              <w:jc w:val="left"/>
              <w:rPr>
                <w:rStyle w:val="18"/>
                <w:rFonts w:hint="eastAsia" w:ascii="宋体" w:hAnsi="宋体" w:eastAsia="宋体" w:cs="宋体"/>
                <w:color w:val="auto"/>
                <w:spacing w:val="30"/>
                <w:kern w:val="0"/>
                <w:szCs w:val="21"/>
                <w:highlight w:val="none"/>
                <w:u w:val="single"/>
              </w:rPr>
            </w:pPr>
            <w:r>
              <w:rPr>
                <w:rStyle w:val="18"/>
                <w:rFonts w:hint="eastAsia" w:ascii="宋体" w:hAnsi="宋体" w:eastAsia="宋体" w:cs="Times New Roman"/>
                <w:color w:val="auto"/>
                <w:kern w:val="0"/>
                <w:szCs w:val="21"/>
                <w:highlight w:val="none"/>
                <w:u w:val="single"/>
              </w:rPr>
              <w:t xml:space="preserve">  详见第二节技术要求 </w:t>
            </w:r>
          </w:p>
        </w:tc>
      </w:tr>
    </w:tbl>
    <w:p w14:paraId="3AA7FAED">
      <w:pPr>
        <w:pStyle w:val="24"/>
        <w:widowControl/>
        <w:numPr>
          <w:ilvl w:val="0"/>
          <w:numId w:val="1"/>
        </w:numPr>
        <w:spacing w:before="240" w:after="240"/>
        <w:jc w:val="left"/>
        <w:rPr>
          <w:rStyle w:val="18"/>
          <w:rFonts w:hint="eastAsia" w:ascii="宋体" w:hAnsi="宋体" w:eastAsia="宋体" w:cs="宋体"/>
          <w:color w:val="auto"/>
          <w:spacing w:val="30"/>
          <w:kern w:val="0"/>
          <w:szCs w:val="21"/>
          <w:highlight w:val="none"/>
        </w:rPr>
      </w:pPr>
      <w:r>
        <w:rPr>
          <w:rStyle w:val="18"/>
          <w:rFonts w:hint="eastAsia" w:ascii="宋体" w:hAnsi="宋体" w:eastAsia="宋体" w:cs="宋体"/>
          <w:color w:val="auto"/>
          <w:spacing w:val="30"/>
          <w:kern w:val="0"/>
          <w:szCs w:val="21"/>
          <w:highlight w:val="none"/>
        </w:rPr>
        <w:t>其它商务</w:t>
      </w:r>
      <w:r>
        <w:rPr>
          <w:rStyle w:val="18"/>
          <w:rFonts w:ascii="宋体" w:hAnsi="宋体" w:eastAsia="宋体" w:cs="宋体"/>
          <w:color w:val="auto"/>
          <w:spacing w:val="30"/>
          <w:kern w:val="0"/>
          <w:szCs w:val="21"/>
          <w:highlight w:val="none"/>
        </w:rPr>
        <w:t>要求</w:t>
      </w:r>
    </w:p>
    <w:p w14:paraId="051AA5E7">
      <w:pPr>
        <w:pStyle w:val="24"/>
        <w:widowControl/>
        <w:spacing w:before="240" w:after="240"/>
        <w:jc w:val="left"/>
        <w:rPr>
          <w:rStyle w:val="18"/>
          <w:rFonts w:hint="eastAsia" w:ascii="宋体" w:hAnsi="宋体" w:eastAsia="宋体" w:cs="宋体"/>
          <w:color w:val="auto"/>
          <w:spacing w:val="30"/>
          <w:kern w:val="0"/>
          <w:szCs w:val="21"/>
          <w:highlight w:val="none"/>
        </w:rPr>
      </w:pPr>
      <w:r>
        <w:rPr>
          <w:rStyle w:val="18"/>
          <w:rFonts w:hint="eastAsia" w:ascii="宋体" w:hAnsi="宋体" w:eastAsia="宋体" w:cs="宋体"/>
          <w:color w:val="auto"/>
          <w:spacing w:val="30"/>
          <w:kern w:val="0"/>
          <w:szCs w:val="21"/>
          <w:highlight w:val="none"/>
        </w:rPr>
        <w:t>无。</w:t>
      </w:r>
    </w:p>
    <w:p w14:paraId="7FFA8BE1">
      <w:r>
        <w:rPr>
          <w:rFonts w:hint="eastAsia"/>
          <w:color w:val="000080"/>
          <w:sz w:val="20"/>
          <w:highlight w:val="white"/>
        </w:rPr>
        <w:t xml:space="preserve"> </w:t>
      </w:r>
      <w:bookmarkEnd w:id="1"/>
      <w:r>
        <w:rPr>
          <w:rFonts w:ascii="黑体" w:hAnsi="华文中宋" w:eastAsia="黑体"/>
          <w:b/>
          <w:bCs/>
          <w:sz w:val="28"/>
          <w:szCs w:val="28"/>
          <w:highlight w:val="white"/>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SimSun-ExtB"/>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imSun-ExtB">
    <w:panose1 w:val="02010609060101010101"/>
    <w:charset w:val="86"/>
    <w:family w:val="auto"/>
    <w:pitch w:val="default"/>
    <w:sig w:usb0="00000001" w:usb1="02000000" w:usb2="00000000"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9958A4"/>
    <w:multiLevelType w:val="singleLevel"/>
    <w:tmpl w:val="7C9958A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2YTlhNzYzYmIwNTRjMGEyZWZiODIxYWY3N2U5MDcifQ=="/>
  </w:docVars>
  <w:rsids>
    <w:rsidRoot w:val="73380A67"/>
    <w:rsid w:val="00AE30B0"/>
    <w:rsid w:val="012D2791"/>
    <w:rsid w:val="01341807"/>
    <w:rsid w:val="013F3111"/>
    <w:rsid w:val="01475ACE"/>
    <w:rsid w:val="02000F22"/>
    <w:rsid w:val="02186A33"/>
    <w:rsid w:val="022E44A8"/>
    <w:rsid w:val="02866E43"/>
    <w:rsid w:val="02C24DBA"/>
    <w:rsid w:val="032E7468"/>
    <w:rsid w:val="03E8503A"/>
    <w:rsid w:val="04185410"/>
    <w:rsid w:val="04622348"/>
    <w:rsid w:val="046917C8"/>
    <w:rsid w:val="04841C5D"/>
    <w:rsid w:val="04A46CA4"/>
    <w:rsid w:val="05545C97"/>
    <w:rsid w:val="05616943"/>
    <w:rsid w:val="05E5445E"/>
    <w:rsid w:val="06A3767D"/>
    <w:rsid w:val="07820A2E"/>
    <w:rsid w:val="07961D7F"/>
    <w:rsid w:val="089A716B"/>
    <w:rsid w:val="08D94642"/>
    <w:rsid w:val="0913264A"/>
    <w:rsid w:val="096E57C7"/>
    <w:rsid w:val="0A9F4195"/>
    <w:rsid w:val="0ADA6B99"/>
    <w:rsid w:val="0B7C6285"/>
    <w:rsid w:val="0B7F42FD"/>
    <w:rsid w:val="0B892750"/>
    <w:rsid w:val="0C201171"/>
    <w:rsid w:val="0C7041F5"/>
    <w:rsid w:val="0CCC648D"/>
    <w:rsid w:val="0CE60609"/>
    <w:rsid w:val="0D3F3A0E"/>
    <w:rsid w:val="0DB22432"/>
    <w:rsid w:val="0E3F5167"/>
    <w:rsid w:val="0E615611"/>
    <w:rsid w:val="0E8813E4"/>
    <w:rsid w:val="0EA3277B"/>
    <w:rsid w:val="0F35576D"/>
    <w:rsid w:val="0F71665B"/>
    <w:rsid w:val="0FB4208E"/>
    <w:rsid w:val="0FBE0EFF"/>
    <w:rsid w:val="100F0C6F"/>
    <w:rsid w:val="101B6CAF"/>
    <w:rsid w:val="11040A12"/>
    <w:rsid w:val="111B02EE"/>
    <w:rsid w:val="11E3705D"/>
    <w:rsid w:val="11F95807"/>
    <w:rsid w:val="120D52C6"/>
    <w:rsid w:val="126433BC"/>
    <w:rsid w:val="12842942"/>
    <w:rsid w:val="12A254D1"/>
    <w:rsid w:val="12BB58E4"/>
    <w:rsid w:val="13314232"/>
    <w:rsid w:val="137D73E6"/>
    <w:rsid w:val="13E61BB5"/>
    <w:rsid w:val="1432321E"/>
    <w:rsid w:val="14521DA1"/>
    <w:rsid w:val="14DD0A89"/>
    <w:rsid w:val="15104696"/>
    <w:rsid w:val="155953E1"/>
    <w:rsid w:val="15DB44F0"/>
    <w:rsid w:val="15E57946"/>
    <w:rsid w:val="16142B3E"/>
    <w:rsid w:val="16315EBE"/>
    <w:rsid w:val="17AE7E79"/>
    <w:rsid w:val="1979234B"/>
    <w:rsid w:val="19986715"/>
    <w:rsid w:val="19E80F89"/>
    <w:rsid w:val="1A6A0924"/>
    <w:rsid w:val="1AAC4E51"/>
    <w:rsid w:val="1AB80A34"/>
    <w:rsid w:val="1CF57C45"/>
    <w:rsid w:val="1D7F08B9"/>
    <w:rsid w:val="1DA31EB7"/>
    <w:rsid w:val="1DB272BE"/>
    <w:rsid w:val="1E1939CB"/>
    <w:rsid w:val="1E831280"/>
    <w:rsid w:val="1EE658E4"/>
    <w:rsid w:val="1EFA68EA"/>
    <w:rsid w:val="1F2438EE"/>
    <w:rsid w:val="1F6B4868"/>
    <w:rsid w:val="20F66BCA"/>
    <w:rsid w:val="213616EF"/>
    <w:rsid w:val="21D97B35"/>
    <w:rsid w:val="22124DF5"/>
    <w:rsid w:val="223C6316"/>
    <w:rsid w:val="22743E6E"/>
    <w:rsid w:val="22D243EC"/>
    <w:rsid w:val="23024E6A"/>
    <w:rsid w:val="23A0431E"/>
    <w:rsid w:val="23AC1E3A"/>
    <w:rsid w:val="24087CB6"/>
    <w:rsid w:val="241A3E7B"/>
    <w:rsid w:val="24257892"/>
    <w:rsid w:val="244B1B1F"/>
    <w:rsid w:val="24572958"/>
    <w:rsid w:val="245D7FFB"/>
    <w:rsid w:val="24C93A12"/>
    <w:rsid w:val="24CD1BC1"/>
    <w:rsid w:val="24D30047"/>
    <w:rsid w:val="26202C71"/>
    <w:rsid w:val="26B828F8"/>
    <w:rsid w:val="26CA5239"/>
    <w:rsid w:val="272F56A6"/>
    <w:rsid w:val="279C6222"/>
    <w:rsid w:val="27BA5D13"/>
    <w:rsid w:val="28052748"/>
    <w:rsid w:val="286214DB"/>
    <w:rsid w:val="28D013C6"/>
    <w:rsid w:val="28F8243E"/>
    <w:rsid w:val="2959425F"/>
    <w:rsid w:val="29BF76E2"/>
    <w:rsid w:val="29E26E64"/>
    <w:rsid w:val="2A0C65CE"/>
    <w:rsid w:val="2A706411"/>
    <w:rsid w:val="2A915A0E"/>
    <w:rsid w:val="2B30238E"/>
    <w:rsid w:val="2B404781"/>
    <w:rsid w:val="2B755792"/>
    <w:rsid w:val="2BAE17CE"/>
    <w:rsid w:val="2BBD04C8"/>
    <w:rsid w:val="2BE5357A"/>
    <w:rsid w:val="2C6A7186"/>
    <w:rsid w:val="2CB230DE"/>
    <w:rsid w:val="2D5C1736"/>
    <w:rsid w:val="2DD74825"/>
    <w:rsid w:val="2E3157D5"/>
    <w:rsid w:val="2EAD4823"/>
    <w:rsid w:val="2F810A25"/>
    <w:rsid w:val="306B04F2"/>
    <w:rsid w:val="30877043"/>
    <w:rsid w:val="314609FB"/>
    <w:rsid w:val="3198380B"/>
    <w:rsid w:val="323A7E12"/>
    <w:rsid w:val="329763CD"/>
    <w:rsid w:val="32FC03F7"/>
    <w:rsid w:val="336E667D"/>
    <w:rsid w:val="33847A0D"/>
    <w:rsid w:val="33C024F3"/>
    <w:rsid w:val="33F47ECB"/>
    <w:rsid w:val="34781990"/>
    <w:rsid w:val="34A21B15"/>
    <w:rsid w:val="34B90224"/>
    <w:rsid w:val="34DD37D9"/>
    <w:rsid w:val="35470F7B"/>
    <w:rsid w:val="35784503"/>
    <w:rsid w:val="357B2363"/>
    <w:rsid w:val="35DB35B0"/>
    <w:rsid w:val="35EA1EB9"/>
    <w:rsid w:val="35EB5A1D"/>
    <w:rsid w:val="36C31297"/>
    <w:rsid w:val="36F97AC8"/>
    <w:rsid w:val="379B7FF3"/>
    <w:rsid w:val="381F09FB"/>
    <w:rsid w:val="39272B6C"/>
    <w:rsid w:val="396066F9"/>
    <w:rsid w:val="396F0447"/>
    <w:rsid w:val="39BF2A01"/>
    <w:rsid w:val="3A405BBE"/>
    <w:rsid w:val="3A63223A"/>
    <w:rsid w:val="3B0C1DA7"/>
    <w:rsid w:val="3B39238D"/>
    <w:rsid w:val="3B8E0B5B"/>
    <w:rsid w:val="3BC27434"/>
    <w:rsid w:val="3C541977"/>
    <w:rsid w:val="3C5F6A31"/>
    <w:rsid w:val="3D0777F5"/>
    <w:rsid w:val="3D7D667C"/>
    <w:rsid w:val="3D9170BE"/>
    <w:rsid w:val="3DB809E6"/>
    <w:rsid w:val="3DBF38C1"/>
    <w:rsid w:val="3E342B4A"/>
    <w:rsid w:val="3ECE409C"/>
    <w:rsid w:val="3F3A1267"/>
    <w:rsid w:val="40102959"/>
    <w:rsid w:val="40BB12FE"/>
    <w:rsid w:val="40EF2A79"/>
    <w:rsid w:val="41960FC2"/>
    <w:rsid w:val="422E56D6"/>
    <w:rsid w:val="42825A3B"/>
    <w:rsid w:val="42DF22D7"/>
    <w:rsid w:val="42DF77A4"/>
    <w:rsid w:val="42E323B4"/>
    <w:rsid w:val="44613C8E"/>
    <w:rsid w:val="44661ADD"/>
    <w:rsid w:val="449A7907"/>
    <w:rsid w:val="44B10FA9"/>
    <w:rsid w:val="44DA134B"/>
    <w:rsid w:val="44DA312A"/>
    <w:rsid w:val="44F95512"/>
    <w:rsid w:val="4515296F"/>
    <w:rsid w:val="45EC0586"/>
    <w:rsid w:val="46B34549"/>
    <w:rsid w:val="47433201"/>
    <w:rsid w:val="47B71D42"/>
    <w:rsid w:val="481E3C44"/>
    <w:rsid w:val="48427A97"/>
    <w:rsid w:val="48455C99"/>
    <w:rsid w:val="48B23078"/>
    <w:rsid w:val="48F6180D"/>
    <w:rsid w:val="48FE626C"/>
    <w:rsid w:val="490411EA"/>
    <w:rsid w:val="49E32D94"/>
    <w:rsid w:val="4B3D65EE"/>
    <w:rsid w:val="4B6F27DD"/>
    <w:rsid w:val="4BC828FD"/>
    <w:rsid w:val="4BEC0C9A"/>
    <w:rsid w:val="4CFB4D44"/>
    <w:rsid w:val="4D9D4ACC"/>
    <w:rsid w:val="4E694A00"/>
    <w:rsid w:val="4ED07B3E"/>
    <w:rsid w:val="4EF7020E"/>
    <w:rsid w:val="4EFE194E"/>
    <w:rsid w:val="4FA165E0"/>
    <w:rsid w:val="4FC43323"/>
    <w:rsid w:val="509815D6"/>
    <w:rsid w:val="50A43A3C"/>
    <w:rsid w:val="530B1288"/>
    <w:rsid w:val="533B56AA"/>
    <w:rsid w:val="535B1907"/>
    <w:rsid w:val="5383656E"/>
    <w:rsid w:val="53E44857"/>
    <w:rsid w:val="5409646C"/>
    <w:rsid w:val="544C505E"/>
    <w:rsid w:val="55243733"/>
    <w:rsid w:val="56025B8C"/>
    <w:rsid w:val="5639752B"/>
    <w:rsid w:val="566D14D9"/>
    <w:rsid w:val="56716E93"/>
    <w:rsid w:val="570E6CD9"/>
    <w:rsid w:val="576B22D6"/>
    <w:rsid w:val="57803478"/>
    <w:rsid w:val="57985433"/>
    <w:rsid w:val="57C40D63"/>
    <w:rsid w:val="57D52899"/>
    <w:rsid w:val="58197B05"/>
    <w:rsid w:val="587B3DC3"/>
    <w:rsid w:val="58C148A4"/>
    <w:rsid w:val="595E6596"/>
    <w:rsid w:val="597D6C7A"/>
    <w:rsid w:val="59CC1FA9"/>
    <w:rsid w:val="5A345019"/>
    <w:rsid w:val="5A97728D"/>
    <w:rsid w:val="5AB11C14"/>
    <w:rsid w:val="5B256A07"/>
    <w:rsid w:val="5C384E7D"/>
    <w:rsid w:val="5D057255"/>
    <w:rsid w:val="5DDF6561"/>
    <w:rsid w:val="5E43111E"/>
    <w:rsid w:val="5E571F54"/>
    <w:rsid w:val="5E895E64"/>
    <w:rsid w:val="5ED56562"/>
    <w:rsid w:val="5F236821"/>
    <w:rsid w:val="5F915705"/>
    <w:rsid w:val="5F9245B5"/>
    <w:rsid w:val="603F6AFB"/>
    <w:rsid w:val="607602AB"/>
    <w:rsid w:val="609F0AA8"/>
    <w:rsid w:val="60C93AC4"/>
    <w:rsid w:val="60CA0849"/>
    <w:rsid w:val="60D858A8"/>
    <w:rsid w:val="61994561"/>
    <w:rsid w:val="61CB00C3"/>
    <w:rsid w:val="61F210FF"/>
    <w:rsid w:val="62BB4B46"/>
    <w:rsid w:val="63405B3C"/>
    <w:rsid w:val="63605D9D"/>
    <w:rsid w:val="64730770"/>
    <w:rsid w:val="654F46C0"/>
    <w:rsid w:val="6598225B"/>
    <w:rsid w:val="65BE2C69"/>
    <w:rsid w:val="65DD39D4"/>
    <w:rsid w:val="671E340E"/>
    <w:rsid w:val="67313CD0"/>
    <w:rsid w:val="67472418"/>
    <w:rsid w:val="67D77C40"/>
    <w:rsid w:val="685D5E1B"/>
    <w:rsid w:val="69257CB8"/>
    <w:rsid w:val="69567B1D"/>
    <w:rsid w:val="696E178E"/>
    <w:rsid w:val="69B9677B"/>
    <w:rsid w:val="69E3747F"/>
    <w:rsid w:val="69E82A3F"/>
    <w:rsid w:val="6AA14E96"/>
    <w:rsid w:val="6B7C0D55"/>
    <w:rsid w:val="6BE753C5"/>
    <w:rsid w:val="6CB41F7C"/>
    <w:rsid w:val="6D4D75F2"/>
    <w:rsid w:val="6DDF3A15"/>
    <w:rsid w:val="6DF25480"/>
    <w:rsid w:val="6DF57072"/>
    <w:rsid w:val="6E275B54"/>
    <w:rsid w:val="6F8A51C7"/>
    <w:rsid w:val="6FC62C21"/>
    <w:rsid w:val="6FE06545"/>
    <w:rsid w:val="70C04097"/>
    <w:rsid w:val="70FF1FB5"/>
    <w:rsid w:val="71A83818"/>
    <w:rsid w:val="71F53401"/>
    <w:rsid w:val="72B92C0D"/>
    <w:rsid w:val="72C415F0"/>
    <w:rsid w:val="73380A67"/>
    <w:rsid w:val="734D50D9"/>
    <w:rsid w:val="73B057E9"/>
    <w:rsid w:val="73DD7494"/>
    <w:rsid w:val="74714964"/>
    <w:rsid w:val="74DE5F6D"/>
    <w:rsid w:val="754775F1"/>
    <w:rsid w:val="75587EE6"/>
    <w:rsid w:val="75AC4804"/>
    <w:rsid w:val="76280ABF"/>
    <w:rsid w:val="763639DD"/>
    <w:rsid w:val="767328A5"/>
    <w:rsid w:val="769024C5"/>
    <w:rsid w:val="76F43F8E"/>
    <w:rsid w:val="77C8615C"/>
    <w:rsid w:val="785E75C1"/>
    <w:rsid w:val="788953E4"/>
    <w:rsid w:val="78D36DE8"/>
    <w:rsid w:val="78E94215"/>
    <w:rsid w:val="792910CF"/>
    <w:rsid w:val="79404F19"/>
    <w:rsid w:val="79425135"/>
    <w:rsid w:val="7999298D"/>
    <w:rsid w:val="7A7E12F3"/>
    <w:rsid w:val="7AB11CCE"/>
    <w:rsid w:val="7AE53FCA"/>
    <w:rsid w:val="7B413143"/>
    <w:rsid w:val="7B943C00"/>
    <w:rsid w:val="7BCA0824"/>
    <w:rsid w:val="7BCE7035"/>
    <w:rsid w:val="7C280EA0"/>
    <w:rsid w:val="7C3F1B77"/>
    <w:rsid w:val="7C6B0520"/>
    <w:rsid w:val="7C7422A2"/>
    <w:rsid w:val="7C7A0297"/>
    <w:rsid w:val="7CEC1490"/>
    <w:rsid w:val="7D7D3AEB"/>
    <w:rsid w:val="7D8F1AD4"/>
    <w:rsid w:val="7EAA40ED"/>
    <w:rsid w:val="7EF178A5"/>
    <w:rsid w:val="7F390D88"/>
    <w:rsid w:val="7F691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3"/>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9"/>
    <w:autoRedefine/>
    <w:qFormat/>
    <w:uiPriority w:val="0"/>
    <w:pPr>
      <w:keepNext/>
      <w:keepLines/>
      <w:spacing w:beforeLines="0" w:beforeAutospacing="0" w:afterLines="0" w:afterAutospacing="0" w:line="360" w:lineRule="auto"/>
      <w:ind w:firstLine="0" w:firstLineChars="0"/>
      <w:jc w:val="center"/>
      <w:outlineLvl w:val="0"/>
    </w:pPr>
    <w:rPr>
      <w:b/>
      <w:kern w:val="44"/>
      <w:sz w:val="44"/>
    </w:rPr>
  </w:style>
  <w:style w:type="paragraph" w:styleId="3">
    <w:name w:val="heading 2"/>
    <w:basedOn w:val="1"/>
    <w:next w:val="1"/>
    <w:link w:val="21"/>
    <w:autoRedefine/>
    <w:semiHidden/>
    <w:unhideWhenUsed/>
    <w:qFormat/>
    <w:uiPriority w:val="0"/>
    <w:pPr>
      <w:keepNext/>
      <w:keepLines/>
      <w:spacing w:line="360" w:lineRule="auto"/>
      <w:ind w:firstLine="0" w:firstLineChars="0"/>
      <w:jc w:val="center"/>
      <w:outlineLvl w:val="1"/>
    </w:pPr>
    <w:rPr>
      <w:rFonts w:ascii="Arial" w:hAnsi="Arial"/>
      <w:b/>
      <w:sz w:val="36"/>
    </w:rPr>
  </w:style>
  <w:style w:type="paragraph" w:styleId="4">
    <w:name w:val="heading 3"/>
    <w:basedOn w:val="1"/>
    <w:next w:val="1"/>
    <w:link w:val="20"/>
    <w:semiHidden/>
    <w:unhideWhenUsed/>
    <w:qFormat/>
    <w:uiPriority w:val="0"/>
    <w:pPr>
      <w:keepNext/>
      <w:keepLines/>
      <w:spacing w:line="360" w:lineRule="auto"/>
      <w:ind w:firstLine="0" w:firstLineChars="0"/>
      <w:jc w:val="center"/>
      <w:outlineLvl w:val="2"/>
    </w:pPr>
    <w:rPr>
      <w:b/>
      <w:bCs/>
      <w:sz w:val="32"/>
      <w:szCs w:val="32"/>
    </w:rPr>
  </w:style>
  <w:style w:type="paragraph" w:styleId="5">
    <w:name w:val="heading 4"/>
    <w:basedOn w:val="1"/>
    <w:next w:val="1"/>
    <w:link w:val="22"/>
    <w:autoRedefine/>
    <w:semiHidden/>
    <w:unhideWhenUsed/>
    <w:qFormat/>
    <w:uiPriority w:val="0"/>
    <w:pPr>
      <w:keepNext/>
      <w:keepLines/>
      <w:spacing w:line="360" w:lineRule="auto"/>
      <w:ind w:firstLine="0" w:firstLineChars="0"/>
      <w:jc w:val="center"/>
      <w:outlineLvl w:val="3"/>
    </w:pPr>
    <w:rPr>
      <w:rFonts w:asciiTheme="majorAscii" w:hAnsiTheme="majorAscii" w:cstheme="majorBidi"/>
      <w:b/>
      <w:bCs/>
      <w:sz w:val="30"/>
      <w:szCs w:val="28"/>
    </w:rPr>
  </w:style>
  <w:style w:type="paragraph" w:styleId="6">
    <w:name w:val="heading 5"/>
    <w:basedOn w:val="1"/>
    <w:next w:val="1"/>
    <w:autoRedefine/>
    <w:semiHidden/>
    <w:unhideWhenUsed/>
    <w:qFormat/>
    <w:uiPriority w:val="0"/>
    <w:pPr>
      <w:keepNext/>
      <w:keepLines/>
      <w:spacing w:beforeLines="0" w:beforeAutospacing="0" w:afterLines="0" w:afterAutospacing="0" w:line="372" w:lineRule="auto"/>
      <w:ind w:firstLine="0" w:firstLineChars="0"/>
      <w:jc w:val="center"/>
      <w:outlineLvl w:val="4"/>
    </w:pPr>
    <w:rPr>
      <w:rFonts w:ascii="Times New Roman" w:hAnsi="Times New Roman" w:eastAsia="宋体" w:cs="Times New Roman"/>
      <w:b/>
      <w:sz w:val="24"/>
    </w:rPr>
  </w:style>
  <w:style w:type="character" w:default="1" w:styleId="18">
    <w:name w:val="Default Paragraph Font"/>
    <w:semiHidden/>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styleId="7">
    <w:name w:val="Normal Indent"/>
    <w:basedOn w:val="1"/>
    <w:autoRedefine/>
    <w:qFormat/>
    <w:uiPriority w:val="0"/>
    <w:pPr>
      <w:ind w:firstLine="420" w:firstLineChars="200"/>
    </w:pPr>
  </w:style>
  <w:style w:type="paragraph" w:styleId="8">
    <w:name w:val="Body Text"/>
    <w:basedOn w:val="1"/>
    <w:next w:val="9"/>
    <w:autoRedefine/>
    <w:qFormat/>
    <w:uiPriority w:val="0"/>
    <w:pPr>
      <w:spacing w:after="120"/>
    </w:pPr>
    <w:rPr>
      <w:rFonts w:ascii="Calibri" w:hAnsi="Calibri" w:eastAsia="宋体"/>
    </w:rPr>
  </w:style>
  <w:style w:type="paragraph" w:styleId="9">
    <w:name w:val="Plain Text"/>
    <w:basedOn w:val="1"/>
    <w:autoRedefine/>
    <w:qFormat/>
    <w:uiPriority w:val="0"/>
    <w:rPr>
      <w:rFonts w:ascii="宋体" w:hAnsi="Courier New"/>
    </w:rPr>
  </w:style>
  <w:style w:type="paragraph" w:styleId="10">
    <w:name w:val="Body Text Indent"/>
    <w:basedOn w:val="1"/>
    <w:autoRedefine/>
    <w:qFormat/>
    <w:uiPriority w:val="0"/>
    <w:pPr>
      <w:spacing w:after="120" w:afterLines="0" w:afterAutospacing="0"/>
      <w:ind w:left="420" w:leftChars="200"/>
    </w:pPr>
  </w:style>
  <w:style w:type="paragraph" w:styleId="11">
    <w:name w:val="Block Text"/>
    <w:basedOn w:val="1"/>
    <w:qFormat/>
    <w:uiPriority w:val="0"/>
    <w:pPr>
      <w:spacing w:after="120" w:afterLines="0" w:afterAutospacing="0"/>
      <w:ind w:left="1440" w:leftChars="700" w:rightChars="700"/>
    </w:pPr>
  </w:style>
  <w:style w:type="paragraph" w:styleId="1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rPr>
      <w:sz w:val="28"/>
    </w:rPr>
  </w:style>
  <w:style w:type="paragraph" w:styleId="14">
    <w:name w:val="Title"/>
    <w:basedOn w:val="1"/>
    <w:autoRedefine/>
    <w:qFormat/>
    <w:uiPriority w:val="0"/>
    <w:pPr>
      <w:spacing w:before="240" w:beforeLines="0" w:beforeAutospacing="0" w:after="60" w:afterLines="0" w:afterAutospacing="0"/>
      <w:jc w:val="center"/>
      <w:outlineLvl w:val="0"/>
    </w:pPr>
    <w:rPr>
      <w:rFonts w:ascii="Arial" w:hAnsi="Arial"/>
      <w:b/>
      <w:sz w:val="32"/>
    </w:rPr>
  </w:style>
  <w:style w:type="paragraph" w:styleId="15">
    <w:name w:val="Body Text First Indent"/>
    <w:basedOn w:val="8"/>
    <w:autoRedefine/>
    <w:qFormat/>
    <w:uiPriority w:val="0"/>
    <w:pPr>
      <w:ind w:firstLine="420" w:firstLineChars="100"/>
    </w:pPr>
  </w:style>
  <w:style w:type="paragraph" w:styleId="16">
    <w:name w:val="Body Text First Indent 2"/>
    <w:basedOn w:val="10"/>
    <w:autoRedefine/>
    <w:qFormat/>
    <w:uiPriority w:val="0"/>
    <w:pPr>
      <w:ind w:firstLine="420" w:firstLineChars="200"/>
    </w:pPr>
  </w:style>
  <w:style w:type="character" w:customStyle="1" w:styleId="19">
    <w:name w:val="标题 1 Char"/>
    <w:link w:val="2"/>
    <w:autoRedefine/>
    <w:qFormat/>
    <w:uiPriority w:val="0"/>
    <w:rPr>
      <w:rFonts w:ascii="Times New Roman" w:hAnsi="Times New Roman" w:eastAsia="宋体" w:cs="宋体"/>
      <w:b/>
      <w:bCs/>
      <w:kern w:val="44"/>
      <w:sz w:val="44"/>
      <w:szCs w:val="24"/>
      <w:lang w:val="en-US" w:eastAsia="zh-CN" w:bidi="ar-SA"/>
    </w:rPr>
  </w:style>
  <w:style w:type="character" w:customStyle="1" w:styleId="20">
    <w:name w:val="标题 3 Char"/>
    <w:basedOn w:val="18"/>
    <w:link w:val="4"/>
    <w:autoRedefine/>
    <w:qFormat/>
    <w:uiPriority w:val="0"/>
    <w:rPr>
      <w:rFonts w:ascii="宋体" w:hAnsi="宋体" w:eastAsia="宋体" w:cs="Times New Roman"/>
      <w:b/>
      <w:bCs/>
      <w:sz w:val="32"/>
      <w:szCs w:val="32"/>
    </w:rPr>
  </w:style>
  <w:style w:type="character" w:customStyle="1" w:styleId="21">
    <w:name w:val="标题 2 Char"/>
    <w:link w:val="3"/>
    <w:autoRedefine/>
    <w:qFormat/>
    <w:locked/>
    <w:uiPriority w:val="99"/>
    <w:rPr>
      <w:rFonts w:ascii="Arial" w:hAnsi="Arial" w:eastAsia="宋体" w:cs="Times New Roman"/>
      <w:b/>
      <w:bCs/>
      <w:color w:val="000000"/>
      <w:sz w:val="36"/>
      <w:szCs w:val="22"/>
    </w:rPr>
  </w:style>
  <w:style w:type="character" w:customStyle="1" w:styleId="22">
    <w:name w:val="标题 4 Char"/>
    <w:link w:val="5"/>
    <w:autoRedefine/>
    <w:qFormat/>
    <w:uiPriority w:val="0"/>
    <w:rPr>
      <w:rFonts w:ascii="Times New Roman" w:hAnsi="Times New Roman" w:eastAsia="宋体" w:cs="Times New Roman"/>
      <w:b/>
      <w:bCs/>
      <w:color w:val="000000"/>
      <w:sz w:val="30"/>
      <w:szCs w:val="22"/>
    </w:rPr>
  </w:style>
  <w:style w:type="character" w:customStyle="1" w:styleId="23">
    <w:name w:val="NormalCharacter"/>
    <w:link w:val="1"/>
    <w:autoRedefine/>
    <w:qFormat/>
    <w:uiPriority w:val="0"/>
    <w:rPr>
      <w:rFonts w:ascii="Times New Roman" w:hAnsi="Times New Roman" w:eastAsia="宋体" w:cs="Times New Roman"/>
      <w:snapToGrid w:val="0"/>
      <w:color w:val="000000"/>
      <w:kern w:val="0"/>
      <w:sz w:val="28"/>
      <w:szCs w:val="21"/>
    </w:rPr>
  </w:style>
  <w:style w:type="paragraph" w:customStyle="1" w:styleId="2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正文文本_0"/>
    <w:next w:val="26"/>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customStyle="1" w:styleId="26">
    <w:name w:val="目录 9_0"/>
    <w:next w:val="24"/>
    <w:unhideWhenUsed/>
    <w:qFormat/>
    <w:uiPriority w:val="39"/>
    <w:pPr>
      <w:widowControl w:val="0"/>
      <w:ind w:left="3360" w:leftChars="1600"/>
      <w:jc w:val="both"/>
    </w:pPr>
    <w:rPr>
      <w:rFonts w:ascii="Calibri" w:hAnsi="Calibri" w:eastAsia="宋体" w:cs="Times New Roman"/>
      <w:kern w:val="2"/>
      <w:sz w:val="21"/>
      <w:szCs w:val="22"/>
      <w:lang w:val="en-US" w:eastAsia="zh-CN" w:bidi="ar-SA"/>
    </w:rPr>
  </w:style>
  <w:style w:type="paragraph" w:customStyle="1" w:styleId="27">
    <w:name w:val="标题 3_0"/>
    <w:next w:val="24"/>
    <w:qFormat/>
    <w:uiPriority w:val="0"/>
    <w:pPr>
      <w:keepNext/>
      <w:keepLines/>
      <w:widowControl w:val="0"/>
      <w:spacing w:before="260" w:after="260" w:line="416" w:lineRule="auto"/>
      <w:jc w:val="both"/>
      <w:outlineLvl w:val="2"/>
    </w:pPr>
    <w:rPr>
      <w:rFonts w:ascii="Times New Roman" w:hAnsi="Times New Roman" w:eastAsia="宋体" w:cs="Times New Roman"/>
      <w:b/>
      <w:bCs/>
      <w:kern w:val="2"/>
      <w:sz w:val="32"/>
      <w:szCs w:val="32"/>
      <w:lang w:val="en-US" w:eastAsia="zh-CN" w:bidi="ar-SA"/>
    </w:rPr>
  </w:style>
  <w:style w:type="paragraph" w:customStyle="1" w:styleId="28">
    <w:name w:val="纯文本_0"/>
    <w:qFormat/>
    <w:uiPriority w:val="0"/>
    <w:pPr>
      <w:widowControl w:val="0"/>
      <w:jc w:val="both"/>
    </w:pPr>
    <w:rPr>
      <w:rFonts w:ascii="宋体" w:hAnsi="Courier New" w:eastAsia="宋体" w:cs="Courier New"/>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2024-11-07T08:06:00Z</dcterms:created>
  <dc:creator>adm</dc:creator>
  <cp:lastModifiedBy>adm</cp:lastModifiedBy>
  <dcterms:modified xsi:type="dcterms:W3CDTF">2024-11-07T08:07:02Z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C09A5CC001D5476F9754B36E78BF180A_11</vt:lpwstr>
  </property>
</Properties>
</file>