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160EF">
      <w:pPr>
        <w:widowControl/>
        <w:spacing w:line="240" w:lineRule="atLeast"/>
        <w:jc w:val="left"/>
        <w:outlineLvl w:val="2"/>
        <w:rPr>
          <w:rFonts w:hint="eastAsia" w:ascii="宋体" w:hAnsi="宋体" w:cs="新宋体"/>
          <w:b/>
          <w:sz w:val="24"/>
          <w:szCs w:val="24"/>
        </w:rPr>
      </w:pPr>
      <w:bookmarkStart w:id="0" w:name="_Toc25643"/>
      <w:r>
        <w:rPr>
          <w:rFonts w:hint="eastAsia" w:ascii="宋体" w:hAnsi="宋体" w:cs="新宋体"/>
          <w:b/>
          <w:sz w:val="24"/>
          <w:szCs w:val="24"/>
        </w:rPr>
        <w:t>附件</w:t>
      </w:r>
      <w:r>
        <w:rPr>
          <w:rFonts w:hint="eastAsia" w:ascii="宋体" w:hAnsi="宋体" w:cs="新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 w:cs="新宋体"/>
          <w:b/>
          <w:sz w:val="24"/>
          <w:szCs w:val="24"/>
        </w:rPr>
        <w:t>：汇款注意事项</w:t>
      </w:r>
      <w:bookmarkEnd w:id="0"/>
    </w:p>
    <w:p w14:paraId="25CBB4D6">
      <w:pPr>
        <w:pStyle w:val="3"/>
        <w:widowControl/>
        <w:spacing w:line="240" w:lineRule="auto"/>
        <w:ind w:left="-624" w:leftChars="-297"/>
        <w:jc w:val="center"/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汇款注意事项</w:t>
      </w:r>
    </w:p>
    <w:p w14:paraId="25F8352F">
      <w:pPr>
        <w:pStyle w:val="3"/>
        <w:widowControl/>
        <w:numPr>
          <w:ilvl w:val="0"/>
          <w:numId w:val="1"/>
        </w:numPr>
        <w:spacing w:line="240" w:lineRule="auto"/>
        <w:ind w:left="1620" w:hanging="672"/>
        <w:jc w:val="left"/>
      </w:pPr>
      <w:r>
        <w:t xml:space="preserve"> </w:t>
      </w:r>
      <w:r>
        <w:rPr>
          <w:rFonts w:hint="eastAsia" w:ascii="宋体" w:hAnsi="宋体" w:cs="宋体"/>
          <w:b/>
          <w:bCs/>
          <w:color w:val="000000"/>
          <w:sz w:val="22"/>
        </w:rPr>
        <w:t>通过企业网上银行支付</w:t>
      </w:r>
    </w:p>
    <w:p w14:paraId="738246BD">
      <w:pPr>
        <w:pStyle w:val="3"/>
        <w:widowControl/>
        <w:spacing w:line="240" w:lineRule="auto"/>
        <w:ind w:left="-624" w:leftChars="-297" w:firstLine="424"/>
        <w:jc w:val="left"/>
      </w:pPr>
      <w:r>
        <w:rPr>
          <w:rFonts w:hint="eastAsia" w:ascii="宋体" w:hAnsi="宋体" w:cs="宋体"/>
          <w:color w:val="000000"/>
          <w:sz w:val="21"/>
          <w:szCs w:val="21"/>
        </w:rPr>
        <w:t>①付款方无论从哪个银行汇出，均要选择“</w:t>
      </w:r>
      <w:r>
        <w:rPr>
          <w:rFonts w:hint="eastAsia" w:ascii="宋体" w:hAnsi="宋体" w:cs="宋体"/>
          <w:b/>
          <w:bCs/>
          <w:color w:val="FF0000"/>
          <w:sz w:val="21"/>
          <w:szCs w:val="21"/>
        </w:rPr>
        <w:t>跨行</w:t>
      </w:r>
      <w:r>
        <w:rPr>
          <w:rFonts w:hint="eastAsia" w:ascii="宋体" w:hAnsi="宋体" w:cs="宋体"/>
          <w:color w:val="000000"/>
          <w:sz w:val="21"/>
          <w:szCs w:val="21"/>
        </w:rPr>
        <w:t>”交易，但收款方开户行类别要根据出款银行做区分： </w:t>
      </w:r>
      <w:r>
        <w:drawing>
          <wp:inline distT="0" distB="0" distL="114300" distR="114300">
            <wp:extent cx="6181725" cy="952500"/>
            <wp:effectExtent l="0" t="0" r="5715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650DC">
      <w:pPr>
        <w:pStyle w:val="3"/>
        <w:widowControl/>
        <w:spacing w:line="240" w:lineRule="auto"/>
        <w:ind w:left="-624" w:leftChars="-297" w:firstLine="424"/>
        <w:jc w:val="left"/>
      </w:pPr>
      <w:r>
        <w:rPr>
          <w:color w:val="FF0000"/>
          <w:szCs w:val="24"/>
        </w:rPr>
        <w:t>因中铁财务公司代理行为农行，所以用农行网银对成员单位财务公司账户付款时，需选择“跨行”交易。</w:t>
      </w:r>
    </w:p>
    <w:p w14:paraId="752FCFCC">
      <w:pPr>
        <w:pStyle w:val="3"/>
        <w:widowControl/>
        <w:spacing w:line="240" w:lineRule="auto"/>
        <w:ind w:left="-624" w:leftChars="-297" w:firstLine="424"/>
        <w:jc w:val="left"/>
      </w:pPr>
      <w:r>
        <w:rPr>
          <w:rFonts w:hint="eastAsia" w:ascii="宋体" w:hAnsi="宋体" w:cs="宋体"/>
          <w:color w:val="000000"/>
          <w:sz w:val="21"/>
          <w:szCs w:val="21"/>
        </w:rPr>
        <w:t>②付款用途要写在“附言”项里，也就是常说的摘要，银行自动摘取附言内容。附言不超</w:t>
      </w:r>
      <w:r>
        <w:rPr>
          <w:rFonts w:ascii="Calibri" w:hAnsi="Calibri" w:cs="Calibri"/>
          <w:color w:val="000000"/>
          <w:sz w:val="21"/>
          <w:szCs w:val="21"/>
        </w:rPr>
        <w:t>30</w:t>
      </w:r>
      <w:r>
        <w:rPr>
          <w:rFonts w:hint="eastAsia" w:ascii="宋体" w:hAnsi="宋体" w:cs="宋体"/>
          <w:color w:val="000000"/>
          <w:sz w:val="21"/>
          <w:szCs w:val="21"/>
        </w:rPr>
        <w:t>个字，无需全角。</w:t>
      </w:r>
    </w:p>
    <w:p w14:paraId="5CDCFCA0">
      <w:pPr>
        <w:pStyle w:val="3"/>
        <w:widowControl/>
        <w:spacing w:line="240" w:lineRule="auto"/>
        <w:ind w:left="-624" w:leftChars="-297" w:firstLine="424"/>
        <w:jc w:val="left"/>
      </w:pPr>
      <w:r>
        <w:rPr>
          <w:rFonts w:hint="eastAsia" w:ascii="宋体" w:hAnsi="宋体" w:cs="宋体"/>
          <w:color w:val="000000"/>
          <w:sz w:val="21"/>
          <w:szCs w:val="21"/>
        </w:rPr>
        <w:t>③主要到账时间不能选择"立即到账",应选择延迟或者次日到账</w:t>
      </w:r>
    </w:p>
    <w:p w14:paraId="3691611F">
      <w:pPr>
        <w:pStyle w:val="3"/>
        <w:widowControl/>
        <w:spacing w:line="240" w:lineRule="auto"/>
        <w:ind w:left="-624" w:leftChars="-297"/>
        <w:jc w:val="left"/>
      </w:pPr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农业银行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网银付款需先进行收款方信息维护再付款:(收款方信息维护详见步骤一、二)</w:t>
      </w:r>
    </w:p>
    <w:p w14:paraId="26002555">
      <w:pPr>
        <w:pStyle w:val="3"/>
        <w:widowControl/>
        <w:spacing w:line="240" w:lineRule="auto"/>
        <w:ind w:left="-624" w:leftChars="-297" w:firstLine="424"/>
        <w:jc w:val="left"/>
      </w:pPr>
      <w:r>
        <w:rPr>
          <w:color w:val="FF0000"/>
          <w:sz w:val="28"/>
          <w:szCs w:val="28"/>
        </w:rPr>
        <w:t>步骤一：进行收款方信息维护-新增收款方-</w:t>
      </w:r>
      <w:r>
        <w:rPr>
          <w:b/>
          <w:bCs/>
          <w:color w:val="FF0000"/>
          <w:sz w:val="28"/>
          <w:szCs w:val="28"/>
        </w:rPr>
        <w:t>需选择“特殊账户类型录入”--“内部合约”，</w:t>
      </w:r>
      <w:r>
        <w:rPr>
          <w:color w:val="FF0000"/>
          <w:sz w:val="28"/>
          <w:szCs w:val="28"/>
        </w:rPr>
        <w:t>如图所示：</w:t>
      </w:r>
    </w:p>
    <w:p w14:paraId="266625E6">
      <w:pPr>
        <w:pStyle w:val="3"/>
        <w:widowControl/>
        <w:spacing w:line="240" w:lineRule="auto"/>
        <w:ind w:left="-624" w:leftChars="-297" w:firstLine="424"/>
        <w:jc w:val="left"/>
      </w:pPr>
      <w:r>
        <w:drawing>
          <wp:inline distT="0" distB="0" distL="114300" distR="114300">
            <wp:extent cx="6210300" cy="3362325"/>
            <wp:effectExtent l="0" t="0" r="7620" b="571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3B645">
      <w:pPr>
        <w:pStyle w:val="3"/>
        <w:widowControl/>
        <w:spacing w:line="240" w:lineRule="auto"/>
        <w:ind w:left="-624" w:leftChars="-297" w:firstLine="424"/>
        <w:jc w:val="left"/>
      </w:pPr>
      <w:r>
        <w:rPr>
          <w:color w:val="FF0000"/>
          <w:sz w:val="28"/>
          <w:szCs w:val="28"/>
        </w:rPr>
        <w:t>步骤二：按要求维护完毕后进行消息确认，如图所示：</w:t>
      </w:r>
    </w:p>
    <w:p w14:paraId="09F5DF0F">
      <w:pPr>
        <w:pStyle w:val="3"/>
        <w:widowControl/>
        <w:spacing w:line="240" w:lineRule="auto"/>
        <w:ind w:left="-624" w:leftChars="-297" w:firstLine="424"/>
        <w:jc w:val="left"/>
      </w:pPr>
      <w:r>
        <w:drawing>
          <wp:inline distT="0" distB="0" distL="114300" distR="114300">
            <wp:extent cx="6210300" cy="3762375"/>
            <wp:effectExtent l="0" t="0" r="7620" b="190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D0ABF">
      <w:pPr>
        <w:pStyle w:val="3"/>
        <w:widowControl/>
        <w:spacing w:line="240" w:lineRule="auto"/>
        <w:ind w:left="-624" w:leftChars="-297" w:firstLine="420"/>
      </w:pPr>
      <w:r>
        <w:rPr>
          <w:rFonts w:hint="eastAsia" w:ascii="宋体" w:hAnsi="宋体" w:cs="宋体"/>
          <w:b/>
          <w:bCs/>
          <w:color w:val="000000"/>
          <w:sz w:val="22"/>
        </w:rPr>
        <w:t>（二）银行柜台转账</w:t>
      </w:r>
    </w:p>
    <w:p w14:paraId="764FF25F">
      <w:pPr>
        <w:pStyle w:val="3"/>
        <w:widowControl/>
        <w:spacing w:line="240" w:lineRule="auto"/>
        <w:ind w:left="-624" w:leftChars="-297" w:firstLine="420"/>
      </w:pPr>
      <w:r>
        <w:rPr>
          <w:rFonts w:hint="eastAsia" w:ascii="宋体" w:hAnsi="宋体" w:cs="宋体"/>
          <w:color w:val="000000"/>
          <w:sz w:val="21"/>
          <w:szCs w:val="21"/>
        </w:rPr>
        <w:t>如需跟出款行付款提示，请务必说明开户银行是中铁财务公司，代理银行为农业银行，此账号为中铁财务公司为贵单位开设的代理行账户。</w:t>
      </w:r>
    </w:p>
    <w:p w14:paraId="7C9C9B00">
      <w:pPr>
        <w:pStyle w:val="6"/>
        <w:spacing w:line="380" w:lineRule="exact"/>
        <w:ind w:firstLine="404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90805</wp:posOffset>
            </wp:positionV>
            <wp:extent cx="5605145" cy="3835400"/>
            <wp:effectExtent l="0" t="0" r="3175" b="5080"/>
            <wp:wrapSquare wrapText="bothSides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A9098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8E4CF"/>
    <w:multiLevelType w:val="multilevel"/>
    <w:tmpl w:val="1D48E4CF"/>
    <w:lvl w:ilvl="0" w:tentative="0">
      <w:start w:val="1"/>
      <w:numFmt w:val="chineseCounting"/>
      <w:lvlText w:val="（%1）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、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Letter"/>
      <w:lvlText w:val="%3)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chineseCounting"/>
      <w:lvlText w:val="（%4）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、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Letter"/>
      <w:lvlText w:val="%6)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chineseCounting"/>
      <w:lvlText w:val="（%7）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、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Letter"/>
      <w:lvlText w:val="%9)"/>
      <w:lvlJc w:val="left"/>
      <w:pPr>
        <w:ind w:left="648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240" w:lineRule="auto"/>
      <w:ind w:firstLine="420" w:firstLineChars="200"/>
    </w:pPr>
    <w:rPr>
      <w:szCs w:val="24"/>
    </w:rPr>
  </w:style>
  <w:style w:type="paragraph" w:styleId="3">
    <w:name w:val="Normal (Web)"/>
    <w:basedOn w:val="1"/>
    <w:unhideWhenUsed/>
    <w:qFormat/>
    <w:uiPriority w:val="0"/>
    <w:rPr>
      <w:sz w:val="24"/>
    </w:rPr>
  </w:style>
  <w:style w:type="paragraph" w:customStyle="1" w:styleId="6">
    <w:name w:val="正文 含缩进"/>
    <w:basedOn w:val="1"/>
    <w:qFormat/>
    <w:uiPriority w:val="0"/>
    <w:pPr>
      <w:ind w:firstLine="424" w:firstLineChars="202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2025-12-25T07:32:31Z</dcterms:created>
  <dc:creator>MY</dc:creator>
  <cp:lastModifiedBy>光学仪妈妈</cp:lastModifiedBy>
  <dcterms:modified xsi:type="dcterms:W3CDTF">2025-12-25T07:33:09Z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eyJoZGlkIjoiZjg2MGNhYzBkNDMyNGE4ZmU1N2I1ZmMwZjA3OGQ3Y2UiLCJ1c2VySWQiOiI5MjcwNjY1OTUifQ==</vt:lpwstr>
  </property>
  <property fmtid="{D5CDD505-2E9C-101B-9397-08002B2CF9AE}" pid="4" name="ICV">
    <vt:lpwstr>DCAFB64E1539477BB7FAC214DDA9DAB2_12</vt:lpwstr>
  </property>
</Properties>
</file>