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DA2344">
      <w:pPr>
        <w:spacing w:line="360" w:lineRule="auto"/>
        <w:jc w:val="center"/>
        <w:outlineLvl w:val="0"/>
        <w:rPr>
          <w:rFonts w:hint="eastAsia" w:asciiTheme="minorEastAsia" w:hAnsiTheme="minorEastAsia" w:eastAsiaTheme="minorEastAsia"/>
          <w:b/>
          <w:sz w:val="28"/>
        </w:rPr>
      </w:pPr>
      <w:bookmarkStart w:id="0" w:name="_Toc24743"/>
      <w:r>
        <w:rPr>
          <w:rFonts w:hint="eastAsia" w:asciiTheme="minorEastAsia" w:hAnsiTheme="minorEastAsia" w:eastAsiaTheme="minorEastAsia"/>
          <w:b/>
          <w:sz w:val="28"/>
        </w:rPr>
        <w:t>第三章  采购需求</w:t>
      </w:r>
      <w:bookmarkEnd w:id="0"/>
    </w:p>
    <w:p w14:paraId="4F87D2ED">
      <w:pPr>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前注：</w:t>
      </w:r>
    </w:p>
    <w:p w14:paraId="28B3A52B">
      <w:pPr>
        <w:spacing w:line="360" w:lineRule="auto"/>
        <w:ind w:firstLine="480" w:firstLineChars="200"/>
        <w:rPr>
          <w:rFonts w:hint="eastAsia" w:ascii="宋体" w:hAnsi="宋体" w:eastAsia="宋体"/>
          <w:sz w:val="24"/>
          <w:szCs w:val="18"/>
        </w:rPr>
      </w:pPr>
      <w:r>
        <w:rPr>
          <w:rFonts w:hint="eastAsia" w:asciiTheme="minorEastAsia" w:hAnsiTheme="minorEastAsia" w:eastAsiaTheme="minorEastAsia"/>
          <w:sz w:val="24"/>
        </w:rPr>
        <w:t>1.</w:t>
      </w:r>
      <w:r>
        <w:rPr>
          <w:rFonts w:ascii="宋体" w:hAnsi="宋体" w:eastAsia="宋体"/>
          <w:sz w:val="24"/>
          <w:szCs w:val="18"/>
        </w:rPr>
        <w:t>根据</w:t>
      </w:r>
      <w:r>
        <w:rPr>
          <w:rFonts w:hint="eastAsia" w:ascii="宋体" w:hAnsi="宋体" w:eastAsia="宋体"/>
          <w:sz w:val="24"/>
          <w:szCs w:val="18"/>
        </w:rPr>
        <w:t>《政府采购进口产品管理办法》</w:t>
      </w:r>
      <w:r>
        <w:rPr>
          <w:rFonts w:ascii="宋体" w:hAnsi="宋体" w:eastAsia="宋体"/>
          <w:sz w:val="24"/>
          <w:szCs w:val="18"/>
        </w:rPr>
        <w:t>及政府采购管理部门的相关规定，下列采购需求中</w:t>
      </w:r>
      <w:r>
        <w:rPr>
          <w:rFonts w:hint="eastAsia" w:ascii="宋体" w:hAnsi="宋体" w:eastAsia="宋体"/>
          <w:sz w:val="24"/>
          <w:szCs w:val="18"/>
        </w:rPr>
        <w:t>标注进口产品的货物均</w:t>
      </w:r>
      <w:r>
        <w:rPr>
          <w:rFonts w:ascii="宋体" w:hAnsi="宋体" w:eastAsia="宋体"/>
          <w:sz w:val="24"/>
          <w:szCs w:val="18"/>
        </w:rPr>
        <w:t>已履行相关论证手续，经核准采购进口</w:t>
      </w:r>
      <w:r>
        <w:rPr>
          <w:rFonts w:hint="eastAsia" w:ascii="宋体" w:hAnsi="宋体" w:eastAsia="宋体"/>
          <w:sz w:val="24"/>
          <w:szCs w:val="18"/>
        </w:rPr>
        <w:t>产品</w:t>
      </w:r>
      <w:r>
        <w:rPr>
          <w:rFonts w:ascii="宋体" w:hAnsi="宋体" w:eastAsia="宋体"/>
          <w:sz w:val="24"/>
          <w:szCs w:val="18"/>
        </w:rPr>
        <w:t>，但不限制满足</w:t>
      </w:r>
      <w:r>
        <w:rPr>
          <w:rFonts w:hint="eastAsia" w:ascii="宋体" w:hAnsi="宋体" w:eastAsia="宋体"/>
          <w:sz w:val="24"/>
          <w:szCs w:val="18"/>
        </w:rPr>
        <w:t>磋商</w:t>
      </w:r>
      <w:r>
        <w:rPr>
          <w:rFonts w:ascii="宋体" w:hAnsi="宋体" w:eastAsia="宋体"/>
          <w:sz w:val="24"/>
          <w:szCs w:val="18"/>
        </w:rPr>
        <w:t>文件要求的国内产品参与竞争</w:t>
      </w:r>
      <w:r>
        <w:rPr>
          <w:rFonts w:hint="eastAsia" w:ascii="宋体" w:hAnsi="宋体" w:eastAsia="宋体"/>
          <w:sz w:val="24"/>
          <w:szCs w:val="18"/>
        </w:rPr>
        <w:t>。未标注进口产品的货物均</w:t>
      </w:r>
      <w:r>
        <w:rPr>
          <w:rFonts w:ascii="宋体" w:hAnsi="宋体" w:eastAsia="宋体"/>
          <w:sz w:val="24"/>
          <w:szCs w:val="18"/>
        </w:rPr>
        <w:t>为拒绝采购进口产品</w:t>
      </w:r>
      <w:r>
        <w:rPr>
          <w:rFonts w:hint="eastAsia" w:ascii="宋体" w:hAnsi="宋体" w:eastAsia="宋体"/>
          <w:sz w:val="24"/>
          <w:szCs w:val="18"/>
        </w:rPr>
        <w:t>。</w:t>
      </w:r>
    </w:p>
    <w:p w14:paraId="0ED418A6">
      <w:pPr>
        <w:spacing w:line="360" w:lineRule="auto"/>
        <w:ind w:firstLine="435"/>
        <w:rPr>
          <w:rFonts w:hint="eastAsia" w:ascii="宋体" w:hAnsi="宋体" w:eastAsia="宋体"/>
          <w:sz w:val="24"/>
          <w:szCs w:val="18"/>
        </w:rPr>
      </w:pPr>
      <w:r>
        <w:rPr>
          <w:rFonts w:hint="eastAsia" w:ascii="宋体" w:hAnsi="宋体" w:eastAsia="宋体"/>
          <w:sz w:val="24"/>
          <w:szCs w:val="18"/>
        </w:rPr>
        <w:t>2.下列采购需求中</w:t>
      </w:r>
      <w:r>
        <w:rPr>
          <w:rFonts w:ascii="宋体" w:hAnsi="宋体" w:eastAsia="宋体" w:cs="宋体"/>
          <w:sz w:val="24"/>
          <w:szCs w:val="24"/>
        </w:rPr>
        <w:t>（包括但不限于下列具体政策要求</w:t>
      </w:r>
      <w:r>
        <w:rPr>
          <w:rFonts w:hint="eastAsia" w:ascii="宋体" w:hAnsi="宋体" w:eastAsia="宋体" w:cs="宋体"/>
          <w:sz w:val="24"/>
          <w:szCs w:val="24"/>
        </w:rPr>
        <w:t>）</w:t>
      </w:r>
      <w:r>
        <w:rPr>
          <w:rFonts w:hint="eastAsia" w:ascii="宋体" w:hAnsi="宋体" w:eastAsia="宋体"/>
          <w:sz w:val="24"/>
          <w:szCs w:val="18"/>
        </w:rPr>
        <w:t>：</w:t>
      </w:r>
    </w:p>
    <w:p w14:paraId="79C24A5B">
      <w:pPr>
        <w:spacing w:line="360" w:lineRule="auto"/>
        <w:ind w:firstLine="435"/>
        <w:rPr>
          <w:rFonts w:hint="eastAsia" w:ascii="宋体" w:hAnsi="宋体" w:eastAsia="宋体" w:cs="宋体"/>
          <w:sz w:val="24"/>
          <w:szCs w:val="24"/>
        </w:rPr>
      </w:pPr>
      <w:r>
        <w:rPr>
          <w:rFonts w:hint="eastAsia" w:ascii="宋体" w:hAnsi="宋体" w:eastAsia="宋体" w:cs="宋体"/>
          <w:sz w:val="24"/>
          <w:szCs w:val="24"/>
        </w:rPr>
        <w:t>（1）如属于《节能产品政府采购品目清单》中政府强制采购的节能产品，则供应商所投产品须具有市场监管总局公布的《参与实施政府采购节能产品认证机构目录》中的认证机构出具的、处于有效期内的节能产品认证证书。</w:t>
      </w:r>
    </w:p>
    <w:p w14:paraId="2DAB6BC9">
      <w:pPr>
        <w:spacing w:line="360" w:lineRule="auto"/>
        <w:ind w:firstLine="435"/>
        <w:rPr>
          <w:rFonts w:hint="eastAsia" w:ascii="宋体" w:hAnsi="宋体" w:eastAsia="宋体" w:cs="宋体"/>
          <w:sz w:val="24"/>
          <w:szCs w:val="24"/>
        </w:rPr>
      </w:pPr>
      <w:r>
        <w:rPr>
          <w:rFonts w:hint="eastAsia" w:ascii="宋体" w:hAnsi="宋体" w:eastAsia="宋体" w:cs="宋体"/>
          <w:sz w:val="24"/>
          <w:szCs w:val="24"/>
        </w:rPr>
        <w:t>依据《环境标志产品政府采购目录》与《节能产品政府采购品目清单》</w:t>
      </w:r>
    </w:p>
    <w:p w14:paraId="2452D90F">
      <w:pPr>
        <w:spacing w:line="360" w:lineRule="auto"/>
        <w:ind w:firstLine="435"/>
        <w:rPr>
          <w:rFonts w:hint="eastAsia" w:ascii="宋体" w:hAnsi="宋体" w:eastAsia="宋体" w:cs="宋体"/>
          <w:sz w:val="24"/>
          <w:szCs w:val="24"/>
          <w:u w:val="single"/>
        </w:rPr>
      </w:pPr>
      <w:r>
        <w:rPr>
          <w:rFonts w:hint="eastAsia" w:ascii="宋体" w:hAnsi="宋体" w:eastAsia="宋体" w:cs="宋体"/>
          <w:sz w:val="24"/>
          <w:szCs w:val="24"/>
        </w:rPr>
        <w:t>本项目强制采购清单为：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无</w:t>
      </w:r>
      <w:r>
        <w:rPr>
          <w:rFonts w:hint="eastAsia" w:ascii="宋体" w:hAnsi="宋体" w:eastAsia="宋体" w:cs="宋体"/>
          <w:sz w:val="24"/>
          <w:szCs w:val="24"/>
          <w:u w:val="single"/>
        </w:rPr>
        <w:t xml:space="preserve">           </w:t>
      </w:r>
    </w:p>
    <w:p w14:paraId="195DE287">
      <w:pPr>
        <w:spacing w:line="360" w:lineRule="auto"/>
        <w:ind w:firstLine="435"/>
        <w:rPr>
          <w:rFonts w:hint="eastAsia" w:eastAsia="宋体"/>
          <w:u w:val="single"/>
        </w:rPr>
      </w:pPr>
      <w:r>
        <w:rPr>
          <w:rFonts w:hint="eastAsia" w:ascii="宋体" w:hAnsi="宋体" w:eastAsia="宋体" w:cs="宋体"/>
          <w:sz w:val="24"/>
          <w:szCs w:val="24"/>
        </w:rPr>
        <w:t>优先采购清单为：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无</w:t>
      </w:r>
      <w:r>
        <w:rPr>
          <w:rFonts w:hint="eastAsia" w:ascii="宋体" w:hAnsi="宋体" w:eastAsia="宋体" w:cs="宋体"/>
          <w:sz w:val="24"/>
          <w:szCs w:val="24"/>
          <w:u w:val="single"/>
        </w:rPr>
        <w:t xml:space="preserve">              </w:t>
      </w:r>
    </w:p>
    <w:p w14:paraId="41C812DC">
      <w:pPr>
        <w:spacing w:line="360" w:lineRule="auto"/>
        <w:ind w:firstLine="435"/>
        <w:rPr>
          <w:rFonts w:hint="eastAsia" w:ascii="宋体" w:hAnsi="宋体" w:eastAsia="宋体" w:cs="宋体"/>
          <w:sz w:val="24"/>
          <w:szCs w:val="24"/>
        </w:rPr>
      </w:pPr>
      <w:r>
        <w:rPr>
          <w:rFonts w:hint="eastAsia" w:ascii="宋体" w:hAnsi="宋体" w:eastAsia="宋体" w:cs="宋体"/>
          <w:sz w:val="24"/>
          <w:szCs w:val="24"/>
        </w:rPr>
        <w:t>（2）如涉及商品包装和快递包装，供应商应当执行《关于印发〈商品包装政府采购需求标准（试行）〉、〈快递包装政府采购需求标准（试行）〉的通知》（财办库〔2020〕123号）、《安徽省财政厅关于贯彻落实政府绿色采购有关政策的通知》（皖财购〔2023〕853号）的要求，提供符合需求标准的绿色包装、绿色运输，同时，采购人将对包装材料和运输环节作为履约验收条款进行验收。</w:t>
      </w:r>
    </w:p>
    <w:p w14:paraId="105D8337">
      <w:pPr>
        <w:spacing w:line="360" w:lineRule="auto"/>
        <w:ind w:firstLine="435"/>
        <w:rPr>
          <w:rFonts w:hint="eastAsia" w:ascii="宋体" w:hAnsi="宋体" w:eastAsia="宋体"/>
          <w:sz w:val="24"/>
          <w:szCs w:val="18"/>
        </w:rPr>
      </w:pPr>
      <w:r>
        <w:rPr>
          <w:rFonts w:hint="eastAsia" w:ascii="宋体" w:hAnsi="宋体" w:eastAsia="宋体" w:cs="宋体"/>
          <w:sz w:val="24"/>
          <w:szCs w:val="24"/>
        </w:rPr>
        <w:t>3.</w:t>
      </w:r>
      <w:r>
        <w:rPr>
          <w:rFonts w:hint="eastAsia" w:ascii="宋体" w:hAnsi="宋体" w:eastAsia="宋体"/>
          <w:sz w:val="24"/>
          <w:szCs w:val="18"/>
        </w:rPr>
        <w:t>如采购人允许采用分包方式履行合同的，应当明确可以分包履行的相关内容。</w:t>
      </w:r>
    </w:p>
    <w:p w14:paraId="6E7F8A2D">
      <w:pPr>
        <w:spacing w:line="360" w:lineRule="auto"/>
        <w:ind w:firstLine="437"/>
        <w:outlineLvl w:val="1"/>
        <w:rPr>
          <w:rFonts w:hint="eastAsia" w:ascii="宋体" w:hAnsi="宋体" w:eastAsia="宋体"/>
          <w:b/>
          <w:sz w:val="24"/>
          <w:szCs w:val="18"/>
        </w:rPr>
      </w:pPr>
      <w:bookmarkStart w:id="1" w:name="_Toc9765"/>
      <w:bookmarkStart w:id="2" w:name="_Toc26330"/>
      <w:bookmarkStart w:id="3" w:name="_Toc18095"/>
      <w:bookmarkStart w:id="4" w:name="_Toc4532"/>
      <w:r>
        <w:rPr>
          <w:rFonts w:hint="eastAsia" w:ascii="宋体" w:hAnsi="宋体" w:eastAsia="宋体"/>
          <w:b/>
          <w:sz w:val="24"/>
          <w:szCs w:val="18"/>
        </w:rPr>
        <w:t>一、采购需求前附表</w:t>
      </w:r>
      <w:bookmarkEnd w:id="1"/>
      <w:bookmarkEnd w:id="2"/>
      <w:bookmarkEnd w:id="3"/>
      <w:bookmarkEnd w:id="4"/>
    </w:p>
    <w:tbl>
      <w:tblPr>
        <w:tblStyle w:val="5"/>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7"/>
        <w:gridCol w:w="2191"/>
        <w:gridCol w:w="5913"/>
      </w:tblGrid>
      <w:tr w14:paraId="6E338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87" w:type="dxa"/>
            <w:vAlign w:val="center"/>
          </w:tcPr>
          <w:p w14:paraId="2DE4DF34">
            <w:pPr>
              <w:pStyle w:val="7"/>
              <w:pBdr>
                <w:bottom w:val="none" w:color="auto" w:sz="0" w:space="0"/>
              </w:pBdr>
              <w:tabs>
                <w:tab w:val="clear" w:pos="4153"/>
                <w:tab w:val="clear" w:pos="8306"/>
              </w:tabs>
              <w:adjustRightInd/>
              <w:spacing w:line="240" w:lineRule="auto"/>
              <w:textAlignment w:val="auto"/>
              <w:rPr>
                <w:rFonts w:hint="eastAsia" w:ascii="宋体" w:hAnsi="宋体" w:eastAsia="宋体"/>
                <w:b/>
                <w:kern w:val="2"/>
              </w:rPr>
            </w:pPr>
            <w:r>
              <w:rPr>
                <w:rFonts w:hint="eastAsia" w:ascii="宋体" w:hAnsi="宋体" w:eastAsia="宋体"/>
                <w:b/>
                <w:kern w:val="2"/>
              </w:rPr>
              <w:t>序号</w:t>
            </w:r>
          </w:p>
        </w:tc>
        <w:tc>
          <w:tcPr>
            <w:tcW w:w="2191" w:type="dxa"/>
            <w:vAlign w:val="center"/>
          </w:tcPr>
          <w:p w14:paraId="4053954C">
            <w:pPr>
              <w:pStyle w:val="8"/>
              <w:widowControl w:val="0"/>
              <w:spacing w:before="0" w:beforeAutospacing="0" w:after="0" w:afterAutospacing="0" w:line="360" w:lineRule="auto"/>
              <w:rPr>
                <w:rFonts w:hint="eastAsia" w:ascii="宋体" w:hAnsi="宋体" w:eastAsia="宋体"/>
                <w:bCs w:val="0"/>
                <w:sz w:val="24"/>
              </w:rPr>
            </w:pPr>
            <w:r>
              <w:rPr>
                <w:rFonts w:hint="eastAsia" w:ascii="宋体" w:hAnsi="宋体" w:eastAsia="宋体"/>
                <w:bCs w:val="0"/>
                <w:sz w:val="24"/>
              </w:rPr>
              <w:t>条款名称</w:t>
            </w:r>
          </w:p>
        </w:tc>
        <w:tc>
          <w:tcPr>
            <w:tcW w:w="5913" w:type="dxa"/>
            <w:vAlign w:val="center"/>
          </w:tcPr>
          <w:p w14:paraId="6193626B">
            <w:pPr>
              <w:pStyle w:val="8"/>
              <w:widowControl w:val="0"/>
              <w:spacing w:before="0" w:beforeAutospacing="0" w:after="0" w:afterAutospacing="0" w:line="360" w:lineRule="auto"/>
              <w:rPr>
                <w:rFonts w:hint="eastAsia" w:ascii="宋体" w:hAnsi="宋体" w:eastAsia="宋体"/>
                <w:bCs w:val="0"/>
                <w:sz w:val="24"/>
              </w:rPr>
            </w:pPr>
            <w:r>
              <w:rPr>
                <w:rFonts w:hint="eastAsia" w:ascii="宋体" w:hAnsi="宋体" w:eastAsia="宋体"/>
                <w:bCs w:val="0"/>
                <w:sz w:val="24"/>
              </w:rPr>
              <w:t>内容、说明与要求</w:t>
            </w:r>
          </w:p>
        </w:tc>
      </w:tr>
      <w:tr w14:paraId="2B098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87" w:type="dxa"/>
            <w:vAlign w:val="center"/>
          </w:tcPr>
          <w:p w14:paraId="4AA5885F">
            <w:pPr>
              <w:pStyle w:val="7"/>
              <w:pBdr>
                <w:bottom w:val="none" w:color="auto" w:sz="0" w:space="0"/>
              </w:pBdr>
              <w:tabs>
                <w:tab w:val="clear" w:pos="4153"/>
                <w:tab w:val="clear" w:pos="8306"/>
              </w:tabs>
              <w:adjustRightInd/>
              <w:spacing w:line="240" w:lineRule="auto"/>
              <w:textAlignment w:val="auto"/>
              <w:rPr>
                <w:rFonts w:hint="eastAsia" w:ascii="宋体" w:hAnsi="宋体" w:eastAsia="宋体"/>
                <w:bCs/>
                <w:kern w:val="2"/>
              </w:rPr>
            </w:pPr>
            <w:r>
              <w:rPr>
                <w:rFonts w:hint="eastAsia" w:ascii="宋体" w:hAnsi="宋体" w:eastAsia="宋体"/>
                <w:bCs/>
                <w:kern w:val="2"/>
              </w:rPr>
              <w:t>1</w:t>
            </w:r>
          </w:p>
        </w:tc>
        <w:tc>
          <w:tcPr>
            <w:tcW w:w="2191" w:type="dxa"/>
            <w:vAlign w:val="center"/>
          </w:tcPr>
          <w:p w14:paraId="4B6D86BE">
            <w:pPr>
              <w:pStyle w:val="8"/>
              <w:widowControl w:val="0"/>
              <w:spacing w:before="0" w:beforeAutospacing="0" w:after="0" w:afterAutospacing="0" w:line="360" w:lineRule="auto"/>
              <w:rPr>
                <w:rFonts w:hint="eastAsia" w:ascii="宋体" w:hAnsi="宋体" w:eastAsia="宋体"/>
                <w:b w:val="0"/>
                <w:sz w:val="24"/>
              </w:rPr>
            </w:pPr>
            <w:r>
              <w:rPr>
                <w:rFonts w:hint="eastAsia" w:ascii="宋体" w:hAnsi="宋体" w:eastAsia="宋体"/>
                <w:b w:val="0"/>
                <w:sz w:val="24"/>
              </w:rPr>
              <w:t>付款方式</w:t>
            </w:r>
          </w:p>
        </w:tc>
        <w:tc>
          <w:tcPr>
            <w:tcW w:w="5913" w:type="dxa"/>
            <w:vAlign w:val="center"/>
          </w:tcPr>
          <w:p w14:paraId="6B94F603">
            <w:pPr>
              <w:pStyle w:val="8"/>
              <w:widowControl w:val="0"/>
              <w:spacing w:before="0" w:beforeAutospacing="0" w:after="0" w:afterAutospacing="0" w:line="360" w:lineRule="auto"/>
              <w:jc w:val="both"/>
              <w:rPr>
                <w:rFonts w:hint="eastAsia" w:ascii="宋体" w:hAnsi="宋体" w:eastAsia="宋体"/>
                <w:b w:val="0"/>
                <w:sz w:val="24"/>
                <w:u w:val="none"/>
              </w:rPr>
            </w:pPr>
            <w:r>
              <w:rPr>
                <w:rFonts w:hint="eastAsia" w:ascii="宋体" w:hAnsi="宋体" w:eastAsia="宋体"/>
                <w:b w:val="0"/>
                <w:sz w:val="24"/>
                <w:u w:val="none"/>
              </w:rPr>
              <w:t>合同签订，货到采购人指定地点安装调试验收合格后，</w:t>
            </w:r>
          </w:p>
          <w:p w14:paraId="7BA5E651">
            <w:pPr>
              <w:pStyle w:val="8"/>
              <w:widowControl w:val="0"/>
              <w:spacing w:before="0" w:beforeAutospacing="0" w:after="0" w:afterAutospacing="0" w:line="360" w:lineRule="auto"/>
              <w:jc w:val="both"/>
              <w:rPr>
                <w:rFonts w:hint="eastAsia" w:ascii="宋体" w:hAnsi="宋体" w:eastAsia="宋体"/>
                <w:b w:val="0"/>
                <w:sz w:val="24"/>
                <w:u w:val="none"/>
              </w:rPr>
            </w:pPr>
            <w:r>
              <w:rPr>
                <w:rFonts w:hint="eastAsia" w:ascii="宋体" w:hAnsi="宋体" w:eastAsia="宋体"/>
                <w:b w:val="0"/>
                <w:sz w:val="24"/>
                <w:u w:val="none"/>
              </w:rPr>
              <w:t>收到供应商发票 7 个工作日内支付至合同金额 100%。</w:t>
            </w:r>
          </w:p>
          <w:p w14:paraId="416CF27D">
            <w:pPr>
              <w:pStyle w:val="8"/>
              <w:widowControl w:val="0"/>
              <w:spacing w:before="0" w:beforeAutospacing="0" w:after="0" w:afterAutospacing="0" w:line="360" w:lineRule="auto"/>
              <w:jc w:val="both"/>
              <w:rPr>
                <w:rFonts w:hint="eastAsia" w:ascii="宋体" w:hAnsi="宋体" w:eastAsia="宋体"/>
                <w:b w:val="0"/>
                <w:sz w:val="24"/>
                <w:u w:val="none"/>
              </w:rPr>
            </w:pPr>
            <w:r>
              <w:rPr>
                <w:rFonts w:hint="eastAsia" w:ascii="宋体" w:hAnsi="宋体" w:eastAsia="宋体"/>
                <w:b w:val="0"/>
                <w:sz w:val="24"/>
                <w:u w:val="none"/>
              </w:rPr>
              <w:t>（若成交人为中小企业，在成交人提供相应的预付款保</w:t>
            </w:r>
          </w:p>
          <w:p w14:paraId="4D97E771">
            <w:pPr>
              <w:pStyle w:val="8"/>
              <w:widowControl w:val="0"/>
              <w:spacing w:before="0" w:beforeAutospacing="0" w:after="0" w:afterAutospacing="0" w:line="360" w:lineRule="auto"/>
              <w:jc w:val="both"/>
              <w:rPr>
                <w:rFonts w:hint="eastAsia" w:ascii="宋体" w:hAnsi="宋体" w:eastAsia="宋体"/>
                <w:b w:val="0"/>
                <w:sz w:val="24"/>
                <w:u w:val="none"/>
              </w:rPr>
            </w:pPr>
            <w:r>
              <w:rPr>
                <w:rFonts w:hint="eastAsia" w:ascii="宋体" w:hAnsi="宋体" w:eastAsia="宋体"/>
                <w:b w:val="0"/>
                <w:sz w:val="24"/>
                <w:u w:val="none"/>
              </w:rPr>
              <w:t>函或其他担保措施生效以及具备实施条件后 5 个工作</w:t>
            </w:r>
          </w:p>
          <w:p w14:paraId="2C2BEF9D">
            <w:pPr>
              <w:pStyle w:val="8"/>
              <w:widowControl w:val="0"/>
              <w:spacing w:before="0" w:beforeAutospacing="0" w:after="0" w:afterAutospacing="0" w:line="360" w:lineRule="auto"/>
              <w:jc w:val="both"/>
              <w:rPr>
                <w:rFonts w:hint="eastAsia" w:ascii="宋体" w:hAnsi="宋体" w:eastAsia="宋体"/>
                <w:b w:val="0"/>
                <w:sz w:val="24"/>
                <w:u w:val="none"/>
              </w:rPr>
            </w:pPr>
            <w:r>
              <w:rPr>
                <w:rFonts w:hint="eastAsia" w:ascii="宋体" w:hAnsi="宋体" w:eastAsia="宋体"/>
                <w:b w:val="0"/>
                <w:sz w:val="24"/>
                <w:u w:val="none"/>
              </w:rPr>
              <w:t>日内支付合同金额 40%的预付款，余款供货安装验收合</w:t>
            </w:r>
          </w:p>
          <w:p w14:paraId="43D705E2">
            <w:pPr>
              <w:pStyle w:val="8"/>
              <w:widowControl w:val="0"/>
              <w:spacing w:before="0" w:beforeAutospacing="0" w:after="0" w:afterAutospacing="0" w:line="360" w:lineRule="auto"/>
              <w:jc w:val="both"/>
              <w:rPr>
                <w:rFonts w:hint="eastAsia" w:ascii="宋体" w:hAnsi="宋体" w:eastAsia="宋体"/>
                <w:b w:val="0"/>
                <w:sz w:val="24"/>
                <w:u w:val="none"/>
              </w:rPr>
            </w:pPr>
            <w:r>
              <w:rPr>
                <w:rFonts w:hint="eastAsia" w:ascii="宋体" w:hAnsi="宋体" w:eastAsia="宋体"/>
                <w:b w:val="0"/>
                <w:sz w:val="24"/>
                <w:u w:val="none"/>
              </w:rPr>
              <w:t>格并收到供应商发票 7 个工作日内支付）。</w:t>
            </w:r>
          </w:p>
        </w:tc>
      </w:tr>
      <w:tr w14:paraId="36039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87" w:type="dxa"/>
            <w:vAlign w:val="center"/>
          </w:tcPr>
          <w:p w14:paraId="27981A12">
            <w:pPr>
              <w:pStyle w:val="7"/>
              <w:pBdr>
                <w:bottom w:val="none" w:color="auto" w:sz="0" w:space="0"/>
              </w:pBdr>
              <w:tabs>
                <w:tab w:val="clear" w:pos="4153"/>
                <w:tab w:val="clear" w:pos="8306"/>
              </w:tabs>
              <w:adjustRightInd/>
              <w:spacing w:line="240" w:lineRule="auto"/>
              <w:textAlignment w:val="auto"/>
              <w:rPr>
                <w:rFonts w:hint="eastAsia" w:ascii="宋体" w:hAnsi="宋体" w:eastAsia="宋体"/>
                <w:bCs/>
                <w:kern w:val="2"/>
              </w:rPr>
            </w:pPr>
            <w:r>
              <w:rPr>
                <w:rFonts w:hint="eastAsia" w:ascii="宋体" w:hAnsi="宋体" w:eastAsia="宋体"/>
                <w:bCs/>
                <w:kern w:val="2"/>
              </w:rPr>
              <w:t>2</w:t>
            </w:r>
          </w:p>
        </w:tc>
        <w:tc>
          <w:tcPr>
            <w:tcW w:w="2191" w:type="dxa"/>
            <w:vAlign w:val="center"/>
          </w:tcPr>
          <w:p w14:paraId="112CE581">
            <w:pPr>
              <w:pStyle w:val="8"/>
              <w:widowControl w:val="0"/>
              <w:spacing w:before="0" w:beforeAutospacing="0" w:after="0" w:afterAutospacing="0" w:line="360" w:lineRule="auto"/>
              <w:rPr>
                <w:rFonts w:hint="eastAsia" w:ascii="宋体" w:hAnsi="宋体" w:eastAsia="宋体"/>
                <w:b w:val="0"/>
                <w:sz w:val="24"/>
              </w:rPr>
            </w:pPr>
            <w:r>
              <w:rPr>
                <w:rFonts w:hint="eastAsia" w:ascii="宋体" w:hAnsi="宋体" w:eastAsia="宋体"/>
                <w:b w:val="0"/>
                <w:sz w:val="24"/>
              </w:rPr>
              <w:t>供货及安装地点</w:t>
            </w:r>
          </w:p>
        </w:tc>
        <w:tc>
          <w:tcPr>
            <w:tcW w:w="5913" w:type="dxa"/>
            <w:vAlign w:val="center"/>
          </w:tcPr>
          <w:p w14:paraId="026D4BDA">
            <w:pPr>
              <w:pStyle w:val="8"/>
              <w:widowControl w:val="0"/>
              <w:spacing w:before="0" w:beforeAutospacing="0" w:after="0" w:afterAutospacing="0" w:line="360" w:lineRule="auto"/>
              <w:jc w:val="both"/>
              <w:rPr>
                <w:rFonts w:hint="default" w:ascii="宋体" w:hAnsi="宋体" w:eastAsia="宋体"/>
                <w:b w:val="0"/>
                <w:sz w:val="24"/>
                <w:u w:val="none"/>
                <w:lang w:val="en-US" w:eastAsia="zh-CN"/>
              </w:rPr>
            </w:pPr>
            <w:r>
              <w:rPr>
                <w:rFonts w:hint="eastAsia" w:ascii="宋体" w:hAnsi="宋体" w:eastAsia="宋体"/>
                <w:b w:val="0"/>
                <w:sz w:val="24"/>
                <w:u w:val="none"/>
                <w:lang w:val="en-US" w:eastAsia="zh-CN"/>
              </w:rPr>
              <w:t>怀远县淝河镇卫生院</w:t>
            </w:r>
          </w:p>
        </w:tc>
      </w:tr>
      <w:tr w14:paraId="7BD37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87" w:type="dxa"/>
            <w:vAlign w:val="center"/>
          </w:tcPr>
          <w:p w14:paraId="41C4F82E">
            <w:pPr>
              <w:pStyle w:val="7"/>
              <w:pBdr>
                <w:bottom w:val="none" w:color="auto" w:sz="0" w:space="0"/>
              </w:pBdr>
              <w:tabs>
                <w:tab w:val="clear" w:pos="4153"/>
                <w:tab w:val="clear" w:pos="8306"/>
              </w:tabs>
              <w:adjustRightInd/>
              <w:spacing w:line="240" w:lineRule="auto"/>
              <w:textAlignment w:val="auto"/>
              <w:rPr>
                <w:rFonts w:hint="eastAsia" w:ascii="宋体" w:hAnsi="宋体" w:eastAsia="宋体"/>
                <w:bCs/>
                <w:kern w:val="2"/>
              </w:rPr>
            </w:pPr>
            <w:r>
              <w:rPr>
                <w:rFonts w:hint="eastAsia" w:ascii="宋体" w:hAnsi="宋体" w:eastAsia="宋体"/>
                <w:bCs/>
                <w:kern w:val="2"/>
              </w:rPr>
              <w:t>3</w:t>
            </w:r>
          </w:p>
        </w:tc>
        <w:tc>
          <w:tcPr>
            <w:tcW w:w="2191" w:type="dxa"/>
            <w:vAlign w:val="center"/>
          </w:tcPr>
          <w:p w14:paraId="3C71CB63">
            <w:pPr>
              <w:pStyle w:val="8"/>
              <w:widowControl w:val="0"/>
              <w:spacing w:before="0" w:beforeAutospacing="0" w:after="0" w:afterAutospacing="0" w:line="360" w:lineRule="auto"/>
              <w:rPr>
                <w:rFonts w:hint="eastAsia" w:ascii="宋体" w:hAnsi="宋体" w:eastAsia="宋体"/>
                <w:b w:val="0"/>
                <w:sz w:val="24"/>
              </w:rPr>
            </w:pPr>
            <w:r>
              <w:rPr>
                <w:rFonts w:hint="eastAsia" w:ascii="宋体" w:hAnsi="宋体" w:eastAsia="宋体"/>
                <w:b w:val="0"/>
                <w:sz w:val="24"/>
              </w:rPr>
              <w:t>供货及安装期限</w:t>
            </w:r>
          </w:p>
        </w:tc>
        <w:tc>
          <w:tcPr>
            <w:tcW w:w="5913" w:type="dxa"/>
            <w:vAlign w:val="center"/>
          </w:tcPr>
          <w:p w14:paraId="2C4C9676">
            <w:pPr>
              <w:pStyle w:val="8"/>
              <w:widowControl w:val="0"/>
              <w:spacing w:before="0" w:beforeAutospacing="0" w:after="0" w:afterAutospacing="0" w:line="360" w:lineRule="auto"/>
              <w:jc w:val="both"/>
              <w:rPr>
                <w:rFonts w:hint="eastAsia" w:ascii="宋体" w:hAnsi="宋体" w:eastAsia="宋体"/>
                <w:b w:val="0"/>
                <w:sz w:val="24"/>
                <w:u w:val="none"/>
              </w:rPr>
            </w:pPr>
            <w:r>
              <w:rPr>
                <w:rFonts w:hint="eastAsia" w:ascii="宋体" w:hAnsi="宋体" w:eastAsia="宋体"/>
                <w:b w:val="0"/>
                <w:sz w:val="24"/>
                <w:u w:val="none"/>
              </w:rPr>
              <w:t>合同签订后 15 个日历天内完成供货、安装、验收等工</w:t>
            </w:r>
          </w:p>
          <w:p w14:paraId="74946429">
            <w:pPr>
              <w:pStyle w:val="8"/>
              <w:widowControl w:val="0"/>
              <w:spacing w:before="0" w:beforeAutospacing="0" w:after="0" w:afterAutospacing="0" w:line="360" w:lineRule="auto"/>
              <w:jc w:val="both"/>
              <w:rPr>
                <w:rFonts w:hint="eastAsia" w:ascii="宋体" w:hAnsi="宋体" w:eastAsia="宋体"/>
                <w:b w:val="0"/>
                <w:sz w:val="24"/>
                <w:u w:val="none"/>
              </w:rPr>
            </w:pPr>
            <w:r>
              <w:rPr>
                <w:rFonts w:hint="eastAsia" w:ascii="宋体" w:hAnsi="宋体" w:eastAsia="宋体"/>
                <w:b w:val="0"/>
                <w:sz w:val="24"/>
                <w:u w:val="none"/>
              </w:rPr>
              <w:t>作。</w:t>
            </w:r>
          </w:p>
        </w:tc>
      </w:tr>
      <w:tr w14:paraId="2FB9F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087" w:type="dxa"/>
            <w:vAlign w:val="center"/>
          </w:tcPr>
          <w:p w14:paraId="7AD0E623">
            <w:pPr>
              <w:pStyle w:val="7"/>
              <w:pBdr>
                <w:bottom w:val="none" w:color="auto" w:sz="0" w:space="0"/>
              </w:pBdr>
              <w:tabs>
                <w:tab w:val="clear" w:pos="4153"/>
                <w:tab w:val="clear" w:pos="8306"/>
              </w:tabs>
              <w:adjustRightInd/>
              <w:spacing w:line="240" w:lineRule="auto"/>
              <w:textAlignment w:val="auto"/>
              <w:rPr>
                <w:rFonts w:hint="eastAsia" w:ascii="宋体" w:hAnsi="宋体" w:eastAsia="宋体"/>
                <w:bCs/>
                <w:kern w:val="2"/>
              </w:rPr>
            </w:pPr>
            <w:r>
              <w:rPr>
                <w:rFonts w:hint="eastAsia" w:ascii="宋体" w:hAnsi="宋体" w:eastAsia="宋体"/>
                <w:bCs/>
                <w:kern w:val="2"/>
              </w:rPr>
              <w:t>4</w:t>
            </w:r>
          </w:p>
        </w:tc>
        <w:tc>
          <w:tcPr>
            <w:tcW w:w="2191" w:type="dxa"/>
            <w:vAlign w:val="center"/>
          </w:tcPr>
          <w:p w14:paraId="3B19D8E8">
            <w:pPr>
              <w:pStyle w:val="8"/>
              <w:widowControl w:val="0"/>
              <w:spacing w:before="0" w:beforeAutospacing="0" w:after="0" w:afterAutospacing="0" w:line="360" w:lineRule="auto"/>
              <w:rPr>
                <w:rFonts w:hint="eastAsia" w:ascii="宋体" w:hAnsi="宋体" w:eastAsia="宋体"/>
                <w:b w:val="0"/>
                <w:sz w:val="24"/>
              </w:rPr>
            </w:pPr>
            <w:r>
              <w:rPr>
                <w:rFonts w:hint="eastAsia" w:ascii="宋体" w:hAnsi="宋体" w:eastAsia="宋体"/>
                <w:b w:val="0"/>
                <w:sz w:val="24"/>
              </w:rPr>
              <w:t>免费质保期</w:t>
            </w:r>
          </w:p>
        </w:tc>
        <w:tc>
          <w:tcPr>
            <w:tcW w:w="5913" w:type="dxa"/>
            <w:vAlign w:val="center"/>
          </w:tcPr>
          <w:p w14:paraId="69A3106C">
            <w:pPr>
              <w:pStyle w:val="8"/>
              <w:widowControl w:val="0"/>
              <w:spacing w:before="0" w:beforeAutospacing="0" w:after="0" w:afterAutospacing="0" w:line="360" w:lineRule="auto"/>
              <w:jc w:val="both"/>
              <w:rPr>
                <w:rFonts w:hint="eastAsia" w:ascii="宋体" w:hAnsi="宋体" w:eastAsia="宋体"/>
                <w:b w:val="0"/>
                <w:sz w:val="24"/>
                <w:u w:val="none"/>
              </w:rPr>
            </w:pPr>
            <w:r>
              <w:rPr>
                <w:rFonts w:hint="eastAsia" w:ascii="宋体" w:hAnsi="宋体" w:eastAsia="宋体"/>
                <w:b w:val="0"/>
                <w:sz w:val="24"/>
                <w:u w:val="none"/>
              </w:rPr>
              <w:t>自验收合格之日起质保 3 年。</w:t>
            </w:r>
          </w:p>
        </w:tc>
      </w:tr>
    </w:tbl>
    <w:p w14:paraId="4F224F6B">
      <w:pPr>
        <w:numPr>
          <w:ilvl w:val="0"/>
          <w:numId w:val="0"/>
        </w:numPr>
        <w:spacing w:line="360" w:lineRule="auto"/>
        <w:ind w:firstLine="437" w:firstLineChars="0"/>
        <w:outlineLvl w:val="1"/>
        <w:rPr>
          <w:rFonts w:hint="eastAsia" w:ascii="宋体" w:hAnsi="宋体" w:eastAsia="宋体" w:cs="@仿宋_GB2312"/>
          <w:b/>
          <w:bCs/>
          <w:kern w:val="2"/>
          <w:sz w:val="24"/>
          <w:szCs w:val="18"/>
          <w:lang w:val="en-US" w:eastAsia="zh-CN" w:bidi="ar-SA"/>
        </w:rPr>
      </w:pPr>
      <w:bookmarkStart w:id="5" w:name="_Toc25323"/>
      <w:bookmarkStart w:id="6" w:name="_Toc22071"/>
      <w:bookmarkStart w:id="7" w:name="_Toc1814"/>
      <w:bookmarkStart w:id="8" w:name="_Toc25744"/>
    </w:p>
    <w:p w14:paraId="1FEB5EC5">
      <w:pPr>
        <w:numPr>
          <w:ilvl w:val="0"/>
          <w:numId w:val="0"/>
        </w:numPr>
        <w:spacing w:line="360" w:lineRule="auto"/>
        <w:ind w:firstLine="437" w:firstLineChars="0"/>
        <w:outlineLvl w:val="1"/>
        <w:rPr>
          <w:rFonts w:hint="eastAsia" w:ascii="宋体" w:hAnsi="宋体" w:eastAsia="宋体"/>
          <w:b/>
          <w:bCs/>
          <w:sz w:val="24"/>
          <w:szCs w:val="18"/>
        </w:rPr>
      </w:pPr>
      <w:r>
        <w:rPr>
          <w:rFonts w:hint="eastAsia" w:ascii="宋体" w:hAnsi="宋体" w:eastAsia="宋体" w:cs="@仿宋_GB2312"/>
          <w:b/>
          <w:bCs/>
          <w:kern w:val="2"/>
          <w:sz w:val="24"/>
          <w:szCs w:val="18"/>
          <w:lang w:val="en-US" w:eastAsia="zh-CN" w:bidi="ar-SA"/>
        </w:rPr>
        <w:t>二、</w:t>
      </w:r>
      <w:r>
        <w:rPr>
          <w:rFonts w:hint="eastAsia" w:ascii="宋体" w:hAnsi="宋体" w:eastAsia="宋体"/>
          <w:b/>
          <w:bCs/>
          <w:sz w:val="24"/>
          <w:szCs w:val="18"/>
        </w:rPr>
        <w:t>货物需求</w:t>
      </w:r>
      <w:bookmarkEnd w:id="5"/>
      <w:bookmarkEnd w:id="6"/>
      <w:bookmarkEnd w:id="7"/>
      <w:bookmarkEnd w:id="8"/>
    </w:p>
    <w:tbl>
      <w:tblPr>
        <w:tblStyle w:val="5"/>
        <w:tblW w:w="9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4"/>
        <w:gridCol w:w="789"/>
        <w:gridCol w:w="5760"/>
        <w:gridCol w:w="686"/>
        <w:gridCol w:w="445"/>
        <w:gridCol w:w="712"/>
        <w:gridCol w:w="538"/>
      </w:tblGrid>
      <w:tr w14:paraId="303F4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504" w:type="dxa"/>
            <w:vAlign w:val="center"/>
          </w:tcPr>
          <w:p w14:paraId="15FD38CC">
            <w:pPr>
              <w:spacing w:line="360" w:lineRule="auto"/>
              <w:jc w:val="center"/>
              <w:rPr>
                <w:rFonts w:hint="eastAsia" w:asciiTheme="minorEastAsia" w:hAnsiTheme="minorEastAsia" w:eastAsiaTheme="minorEastAsia"/>
                <w:b/>
                <w:bCs/>
                <w:sz w:val="24"/>
                <w:szCs w:val="24"/>
              </w:rPr>
            </w:pPr>
            <w:r>
              <w:rPr>
                <w:rFonts w:hint="eastAsia" w:ascii="宋体" w:hAnsi="宋体" w:eastAsia="宋体"/>
                <w:b/>
                <w:bCs/>
                <w:sz w:val="24"/>
                <w:szCs w:val="18"/>
              </w:rPr>
              <w:t>序号</w:t>
            </w:r>
          </w:p>
        </w:tc>
        <w:tc>
          <w:tcPr>
            <w:tcW w:w="789" w:type="dxa"/>
            <w:vAlign w:val="center"/>
          </w:tcPr>
          <w:p w14:paraId="2E789D49">
            <w:pPr>
              <w:spacing w:line="360" w:lineRule="auto"/>
              <w:jc w:val="center"/>
              <w:rPr>
                <w:rFonts w:hint="eastAsia" w:asciiTheme="minorEastAsia" w:hAnsiTheme="minorEastAsia" w:eastAsiaTheme="minorEastAsia"/>
                <w:b/>
                <w:bCs/>
                <w:sz w:val="24"/>
                <w:szCs w:val="24"/>
              </w:rPr>
            </w:pPr>
            <w:r>
              <w:rPr>
                <w:rFonts w:hint="eastAsia" w:ascii="宋体" w:hAnsi="宋体" w:eastAsia="宋体"/>
                <w:b/>
                <w:bCs/>
                <w:sz w:val="24"/>
                <w:szCs w:val="18"/>
              </w:rPr>
              <w:t>货物名称</w:t>
            </w:r>
          </w:p>
        </w:tc>
        <w:tc>
          <w:tcPr>
            <w:tcW w:w="5760" w:type="dxa"/>
            <w:vAlign w:val="center"/>
          </w:tcPr>
          <w:p w14:paraId="6436D5AE">
            <w:pPr>
              <w:spacing w:line="360" w:lineRule="auto"/>
              <w:jc w:val="center"/>
              <w:rPr>
                <w:rFonts w:hint="eastAsia" w:asciiTheme="minorEastAsia" w:hAnsiTheme="minorEastAsia" w:eastAsiaTheme="minorEastAsia"/>
                <w:b/>
                <w:bCs/>
                <w:sz w:val="24"/>
                <w:szCs w:val="24"/>
              </w:rPr>
            </w:pPr>
            <w:r>
              <w:rPr>
                <w:rFonts w:hint="eastAsia" w:ascii="宋体" w:hAnsi="宋体" w:eastAsia="宋体"/>
                <w:b/>
                <w:bCs/>
                <w:sz w:val="24"/>
                <w:szCs w:val="18"/>
              </w:rPr>
              <w:t>技术参数及要求</w:t>
            </w:r>
          </w:p>
        </w:tc>
        <w:tc>
          <w:tcPr>
            <w:tcW w:w="686" w:type="dxa"/>
            <w:vAlign w:val="center"/>
          </w:tcPr>
          <w:p w14:paraId="56151CB8">
            <w:pPr>
              <w:spacing w:line="360" w:lineRule="auto"/>
              <w:jc w:val="center"/>
              <w:rPr>
                <w:rFonts w:hint="eastAsia" w:ascii="宋体" w:hAnsi="宋体" w:eastAsia="宋体"/>
                <w:b/>
                <w:bCs/>
                <w:sz w:val="24"/>
                <w:szCs w:val="18"/>
              </w:rPr>
            </w:pPr>
            <w:r>
              <w:rPr>
                <w:rFonts w:hint="eastAsia" w:ascii="宋体" w:hAnsi="宋体" w:eastAsia="宋体"/>
                <w:b/>
                <w:bCs/>
                <w:sz w:val="24"/>
                <w:szCs w:val="18"/>
              </w:rPr>
              <w:t>数量</w:t>
            </w:r>
          </w:p>
          <w:p w14:paraId="26B05E16">
            <w:pPr>
              <w:spacing w:line="360" w:lineRule="auto"/>
              <w:jc w:val="center"/>
              <w:rPr>
                <w:rFonts w:hint="eastAsia" w:asciiTheme="minorEastAsia" w:hAnsiTheme="minorEastAsia" w:eastAsiaTheme="minorEastAsia"/>
                <w:b/>
                <w:bCs/>
                <w:sz w:val="24"/>
                <w:szCs w:val="24"/>
              </w:rPr>
            </w:pPr>
            <w:r>
              <w:rPr>
                <w:rFonts w:hint="eastAsia" w:ascii="宋体" w:hAnsi="宋体" w:eastAsia="宋体"/>
                <w:b/>
                <w:bCs/>
                <w:sz w:val="24"/>
                <w:szCs w:val="18"/>
              </w:rPr>
              <w:t>（单位）</w:t>
            </w:r>
          </w:p>
        </w:tc>
        <w:tc>
          <w:tcPr>
            <w:tcW w:w="445" w:type="dxa"/>
            <w:vAlign w:val="center"/>
          </w:tcPr>
          <w:p w14:paraId="57163EB8">
            <w:pPr>
              <w:spacing w:line="360" w:lineRule="auto"/>
              <w:jc w:val="center"/>
              <w:rPr>
                <w:rFonts w:hint="eastAsia" w:asciiTheme="minorEastAsia" w:hAnsiTheme="minorEastAsia" w:eastAsiaTheme="minorEastAsia"/>
                <w:b/>
                <w:bCs/>
                <w:sz w:val="24"/>
                <w:szCs w:val="24"/>
              </w:rPr>
            </w:pPr>
            <w:r>
              <w:rPr>
                <w:rFonts w:hint="eastAsia" w:ascii="宋体" w:hAnsi="宋体" w:eastAsia="宋体"/>
                <w:b/>
                <w:bCs/>
                <w:sz w:val="24"/>
                <w:szCs w:val="18"/>
              </w:rPr>
              <w:t>所属行业</w:t>
            </w:r>
          </w:p>
        </w:tc>
        <w:tc>
          <w:tcPr>
            <w:tcW w:w="712" w:type="dxa"/>
            <w:vAlign w:val="center"/>
          </w:tcPr>
          <w:p w14:paraId="0B70F2B0">
            <w:pPr>
              <w:spacing w:line="360" w:lineRule="auto"/>
              <w:jc w:val="center"/>
              <w:rPr>
                <w:rFonts w:hint="eastAsia" w:ascii="宋体" w:hAnsi="宋体" w:eastAsia="宋体"/>
                <w:b/>
                <w:bCs/>
                <w:sz w:val="24"/>
                <w:szCs w:val="18"/>
              </w:rPr>
            </w:pPr>
            <w:r>
              <w:rPr>
                <w:rFonts w:hint="eastAsia" w:ascii="宋体" w:hAnsi="宋体" w:eastAsia="宋体"/>
                <w:b/>
                <w:bCs/>
                <w:sz w:val="24"/>
                <w:szCs w:val="18"/>
              </w:rPr>
              <w:t>是否为核心产品</w:t>
            </w:r>
          </w:p>
        </w:tc>
        <w:tc>
          <w:tcPr>
            <w:tcW w:w="538" w:type="dxa"/>
            <w:vAlign w:val="center"/>
          </w:tcPr>
          <w:p w14:paraId="071AF540">
            <w:pPr>
              <w:spacing w:line="360" w:lineRule="auto"/>
              <w:jc w:val="center"/>
              <w:rPr>
                <w:rFonts w:hint="eastAsia" w:asciiTheme="minorEastAsia" w:hAnsiTheme="minorEastAsia" w:eastAsiaTheme="minorEastAsia"/>
                <w:b/>
                <w:bCs/>
                <w:sz w:val="24"/>
                <w:szCs w:val="24"/>
              </w:rPr>
            </w:pPr>
            <w:r>
              <w:rPr>
                <w:rFonts w:hint="eastAsia" w:ascii="宋体" w:hAnsi="宋体" w:eastAsia="宋体"/>
                <w:b/>
                <w:bCs/>
                <w:sz w:val="24"/>
                <w:szCs w:val="18"/>
              </w:rPr>
              <w:t>备注</w:t>
            </w:r>
          </w:p>
        </w:tc>
      </w:tr>
      <w:tr w14:paraId="027CA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504" w:type="dxa"/>
            <w:vAlign w:val="center"/>
          </w:tcPr>
          <w:p w14:paraId="0737B106">
            <w:pPr>
              <w:keepNext w:val="0"/>
              <w:keepLines w:val="0"/>
              <w:widowControl/>
              <w:suppressLineNumbers w:val="0"/>
              <w:jc w:val="center"/>
              <w:textAlignment w:val="center"/>
              <w:rPr>
                <w:rFonts w:hint="eastAsia" w:asciiTheme="minorEastAsia" w:hAnsiTheme="minorEastAsia" w:eastAsiaTheme="minorEastAsia"/>
                <w:b/>
                <w:bCs/>
                <w:sz w:val="24"/>
                <w:szCs w:val="24"/>
              </w:rPr>
            </w:pPr>
            <w:r>
              <w:rPr>
                <w:rFonts w:hint="eastAsia" w:ascii="宋体" w:hAnsi="宋体" w:eastAsia="宋体" w:cs="宋体"/>
                <w:b/>
                <w:bCs/>
                <w:i w:val="0"/>
                <w:iCs w:val="0"/>
                <w:color w:val="000000"/>
                <w:kern w:val="0"/>
                <w:sz w:val="22"/>
                <w:szCs w:val="22"/>
                <w:u w:val="none"/>
                <w:lang w:val="en-US" w:eastAsia="zh-CN" w:bidi="ar"/>
              </w:rPr>
              <w:t>一</w:t>
            </w:r>
          </w:p>
        </w:tc>
        <w:tc>
          <w:tcPr>
            <w:tcW w:w="8930" w:type="dxa"/>
            <w:gridSpan w:val="6"/>
            <w:vAlign w:val="center"/>
          </w:tcPr>
          <w:p w14:paraId="42BA5C88">
            <w:pPr>
              <w:spacing w:line="360" w:lineRule="auto"/>
              <w:jc w:val="center"/>
              <w:rPr>
                <w:rFonts w:hint="eastAsia" w:asciiTheme="minorEastAsia" w:hAnsiTheme="minorEastAsia" w:eastAsiaTheme="minorEastAsia"/>
                <w:b/>
                <w:bCs/>
                <w:sz w:val="24"/>
                <w:szCs w:val="24"/>
              </w:rPr>
            </w:pPr>
            <w:r>
              <w:rPr>
                <w:rFonts w:hint="eastAsia" w:ascii="宋体" w:hAnsi="宋体" w:eastAsia="宋体" w:cs="宋体"/>
                <w:b/>
                <w:bCs/>
                <w:i w:val="0"/>
                <w:iCs w:val="0"/>
                <w:color w:val="000000"/>
                <w:kern w:val="0"/>
                <w:sz w:val="24"/>
                <w:szCs w:val="24"/>
                <w:u w:val="none"/>
                <w:lang w:val="en-US" w:eastAsia="zh-CN" w:bidi="ar"/>
              </w:rPr>
              <w:t>慢病一体化门诊系统及配套设备</w:t>
            </w:r>
          </w:p>
        </w:tc>
      </w:tr>
      <w:tr w14:paraId="05C1E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4" w:type="dxa"/>
            <w:vAlign w:val="center"/>
          </w:tcPr>
          <w:p w14:paraId="499F71D0">
            <w:pPr>
              <w:spacing w:line="360" w:lineRule="auto"/>
              <w:jc w:val="center"/>
              <w:rPr>
                <w:rFonts w:hint="eastAsia" w:asciiTheme="minorEastAsia" w:hAnsiTheme="minorEastAsia" w:eastAsiaTheme="minorEastAsia"/>
                <w:sz w:val="24"/>
                <w:szCs w:val="24"/>
                <w:lang w:val="en-US" w:eastAsia="zh-CN"/>
              </w:rPr>
            </w:pPr>
            <w:r>
              <w:rPr>
                <w:rFonts w:hint="eastAsia" w:asciiTheme="minorEastAsia" w:hAnsiTheme="minorEastAsia" w:eastAsiaTheme="minorEastAsia"/>
                <w:sz w:val="24"/>
                <w:szCs w:val="24"/>
                <w:lang w:val="en-US" w:eastAsia="zh-CN"/>
              </w:rPr>
              <w:t>1</w:t>
            </w:r>
          </w:p>
        </w:tc>
        <w:tc>
          <w:tcPr>
            <w:tcW w:w="789" w:type="dxa"/>
            <w:shd w:val="clear" w:color="auto" w:fill="auto"/>
            <w:vAlign w:val="center"/>
          </w:tcPr>
          <w:p w14:paraId="5C8195B2">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人工智能慢病一体化管理服务</w:t>
            </w:r>
          </w:p>
        </w:tc>
        <w:tc>
          <w:tcPr>
            <w:tcW w:w="5760" w:type="dxa"/>
            <w:shd w:val="clear" w:color="auto" w:fill="auto"/>
            <w:vAlign w:val="center"/>
          </w:tcPr>
          <w:p w14:paraId="614E6ADF">
            <w:pPr>
              <w:numPr>
                <w:ilvl w:val="0"/>
                <w:numId w:val="1"/>
              </w:numPr>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lang w:val="en-US" w:eastAsia="zh-CN"/>
              </w:rPr>
              <w:t>包含1年50台居民血压计、20台居民血糖仪测量触发异常提醒通话费用。</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 须提供本项目采购一体化门诊配套设备（隧道式血压计、全自动眼底相机、外周多普勒检测仪、肺功能仪、动脉硬化检测仪、居民血压计、居民血糖仪、慢病一体化门诊触控屏）与怀远县慢病一体化管理系统对接服务，要确保能够实现数据的互联互通。（需提供承诺函）</w:t>
            </w:r>
          </w:p>
        </w:tc>
        <w:tc>
          <w:tcPr>
            <w:tcW w:w="686" w:type="dxa"/>
            <w:shd w:val="clear" w:color="auto" w:fill="auto"/>
            <w:vAlign w:val="center"/>
          </w:tcPr>
          <w:p w14:paraId="545CCFA8">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1项</w:t>
            </w:r>
          </w:p>
        </w:tc>
        <w:tc>
          <w:tcPr>
            <w:tcW w:w="445" w:type="dxa"/>
            <w:vAlign w:val="center"/>
          </w:tcPr>
          <w:p w14:paraId="21881F4F">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软</w:t>
            </w:r>
          </w:p>
          <w:p w14:paraId="59676A8D">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件</w:t>
            </w:r>
          </w:p>
          <w:p w14:paraId="2724FBD7">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和</w:t>
            </w:r>
          </w:p>
          <w:p w14:paraId="7A647FF4">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信</w:t>
            </w:r>
          </w:p>
          <w:p w14:paraId="77FE9CE8">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息</w:t>
            </w:r>
          </w:p>
          <w:p w14:paraId="05E4EC54">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技</w:t>
            </w:r>
          </w:p>
          <w:p w14:paraId="5A4C6D32">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术</w:t>
            </w:r>
          </w:p>
          <w:p w14:paraId="0F91799C">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服</w:t>
            </w:r>
          </w:p>
          <w:p w14:paraId="58E9ECE2">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务</w:t>
            </w:r>
          </w:p>
          <w:p w14:paraId="352CDCC2">
            <w:pPr>
              <w:keepNext w:val="0"/>
              <w:keepLines w:val="0"/>
              <w:widowControl/>
              <w:suppressLineNumbers w:val="0"/>
              <w:jc w:val="left"/>
              <w:rPr>
                <w:rFonts w:hint="eastAsia" w:asciiTheme="minorEastAsia" w:hAnsiTheme="minorEastAsia" w:eastAsiaTheme="minorEastAsia"/>
                <w:bCs/>
                <w:sz w:val="24"/>
                <w:szCs w:val="24"/>
                <w:lang w:val="en-US" w:eastAsia="zh-CN"/>
              </w:rPr>
            </w:pPr>
            <w:r>
              <w:rPr>
                <w:rFonts w:hint="eastAsia" w:ascii="宋体" w:hAnsi="宋体" w:eastAsia="宋体" w:cs="宋体"/>
                <w:color w:val="000000"/>
                <w:kern w:val="0"/>
                <w:sz w:val="24"/>
                <w:szCs w:val="24"/>
                <w:lang w:val="en-US" w:eastAsia="zh-CN" w:bidi="ar"/>
              </w:rPr>
              <w:t>业</w:t>
            </w:r>
          </w:p>
        </w:tc>
        <w:tc>
          <w:tcPr>
            <w:tcW w:w="712" w:type="dxa"/>
            <w:vAlign w:val="center"/>
          </w:tcPr>
          <w:p w14:paraId="6188025A">
            <w:pPr>
              <w:spacing w:line="360" w:lineRule="auto"/>
              <w:jc w:val="center"/>
              <w:rPr>
                <w:rFonts w:hint="eastAsia" w:asciiTheme="minorEastAsia" w:hAnsiTheme="minorEastAsia" w:eastAsiaTheme="minorEastAsia"/>
                <w:bCs/>
                <w:sz w:val="24"/>
                <w:szCs w:val="24"/>
                <w:lang w:val="en-US" w:eastAsia="zh-CN"/>
              </w:rPr>
            </w:pPr>
            <w:r>
              <w:rPr>
                <w:rFonts w:hint="eastAsia" w:asciiTheme="minorEastAsia" w:hAnsiTheme="minorEastAsia" w:eastAsiaTheme="minorEastAsia"/>
                <w:bCs/>
                <w:sz w:val="24"/>
                <w:szCs w:val="24"/>
                <w:lang w:val="en-US" w:eastAsia="zh-CN"/>
              </w:rPr>
              <w:t>否</w:t>
            </w:r>
          </w:p>
        </w:tc>
        <w:tc>
          <w:tcPr>
            <w:tcW w:w="538" w:type="dxa"/>
            <w:vAlign w:val="center"/>
          </w:tcPr>
          <w:p w14:paraId="6468B7A6">
            <w:pPr>
              <w:spacing w:line="360" w:lineRule="auto"/>
              <w:jc w:val="center"/>
              <w:rPr>
                <w:rFonts w:hint="eastAsia" w:asciiTheme="minorEastAsia" w:hAnsiTheme="minorEastAsia" w:eastAsiaTheme="minorEastAsia"/>
                <w:bCs/>
                <w:sz w:val="24"/>
                <w:szCs w:val="24"/>
              </w:rPr>
            </w:pPr>
          </w:p>
        </w:tc>
      </w:tr>
      <w:tr w14:paraId="1CEF3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4" w:type="dxa"/>
            <w:vAlign w:val="center"/>
          </w:tcPr>
          <w:p w14:paraId="02207976">
            <w:pPr>
              <w:spacing w:line="360" w:lineRule="auto"/>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789" w:type="dxa"/>
            <w:shd w:val="clear" w:color="auto" w:fill="auto"/>
            <w:vAlign w:val="center"/>
          </w:tcPr>
          <w:p w14:paraId="32E0526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慢病一体化门诊触控屏</w:t>
            </w:r>
          </w:p>
        </w:tc>
        <w:tc>
          <w:tcPr>
            <w:tcW w:w="5760" w:type="dxa"/>
            <w:shd w:val="clear" w:color="auto" w:fill="auto"/>
            <w:vAlign w:val="bottom"/>
          </w:tcPr>
          <w:p w14:paraId="63601850">
            <w:pPr>
              <w:numPr>
                <w:ilvl w:val="0"/>
                <w:numId w:val="2"/>
              </w:numPr>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lang w:val="en-US" w:eastAsia="zh-CN"/>
              </w:rPr>
              <w:t>硬件部分</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 液晶屏：尺寸≥75英寸，显示比例（16：9），分辨率≥3840*2160，亮度≥400c/㎡，对比度≥6000:1，红外触摸技术。</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 前置接口：HDMI*1（非转接）、Touch USB*1、USB 3.0*3、Type-C*1；USB支持同时在包括但不限于Windows及Android系统下被读取。</w:t>
            </w:r>
          </w:p>
          <w:p w14:paraId="62C5FC2C">
            <w:pPr>
              <w:numPr>
                <w:ilvl w:val="0"/>
                <w:numId w:val="0"/>
              </w:numPr>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lang w:val="en-US" w:eastAsia="zh-CN"/>
              </w:rPr>
              <w:t>3. 前置物理按键：录屏、图像比例、音量-、音量+、设置、护 眼、电源等。</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4. 屏幕安全防护：采用4mm及以上厚度AG钢化玻璃，钢化硬度≥9H。</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5. 触控一体机与外部电脑与之间实现高清视频信号、音频信号以及角虫摸信号实时传输，可兼容市面上具备</w:t>
            </w:r>
            <w:r>
              <w:rPr>
                <w:rFonts w:hint="eastAsia" w:asciiTheme="minorEastAsia" w:hAnsiTheme="minorEastAsia" w:eastAsiaTheme="minorEastAsia" w:cstheme="minorEastAsia"/>
                <w:color w:val="auto"/>
                <w:sz w:val="24"/>
                <w:szCs w:val="24"/>
                <w:lang w:val="en-US" w:eastAsia="zh-CN"/>
              </w:rPr>
              <w:t>通用 USB 端子的各类电脑。</w:t>
            </w:r>
            <w:r>
              <w:rPr>
                <w:rFonts w:hint="eastAsia" w:asciiTheme="minorEastAsia" w:hAnsiTheme="minorEastAsia" w:eastAsiaTheme="minorEastAsia" w:cstheme="minorEastAsia"/>
                <w:color w:val="auto"/>
                <w:sz w:val="24"/>
                <w:szCs w:val="24"/>
                <w:lang w:val="en-US" w:eastAsia="zh-CN"/>
              </w:rPr>
              <w:br w:type="textWrapping"/>
            </w:r>
            <w:r>
              <w:rPr>
                <w:rFonts w:hint="eastAsia" w:asciiTheme="minorEastAsia" w:hAnsiTheme="minorEastAsia" w:eastAsiaTheme="minorEastAsia" w:cstheme="minorEastAsia"/>
                <w:color w:val="auto"/>
                <w:sz w:val="24"/>
                <w:szCs w:val="24"/>
                <w:lang w:val="en-US" w:eastAsia="zh-CN"/>
              </w:rPr>
              <w:t>6. 内置双路 WIFI : 2.4GHz/5GHz。</w:t>
            </w:r>
            <w:r>
              <w:rPr>
                <w:rFonts w:hint="eastAsia" w:asciiTheme="minorEastAsia" w:hAnsiTheme="minorEastAsia" w:eastAsiaTheme="minorEastAsia" w:cstheme="minorEastAsia"/>
                <w:color w:val="auto"/>
                <w:sz w:val="24"/>
                <w:szCs w:val="24"/>
                <w:lang w:val="en-US" w:eastAsia="zh-CN"/>
              </w:rPr>
              <w:br w:type="textWrapping"/>
            </w:r>
            <w:r>
              <w:rPr>
                <w:rFonts w:hint="eastAsia" w:asciiTheme="minorEastAsia" w:hAnsiTheme="minorEastAsia" w:eastAsiaTheme="minorEastAsia" w:cstheme="minorEastAsia"/>
                <w:color w:val="auto"/>
                <w:sz w:val="24"/>
                <w:szCs w:val="24"/>
                <w:u w:val="single"/>
                <w:lang w:val="en-US" w:eastAsia="zh-CN"/>
              </w:rPr>
              <w:t>7. 内置主板采用不低于 4 核 64 位性能 CPU，主流操作系统，内存（ROM）≥2GB，存储空间（RAM）≥16GB。</w:t>
            </w:r>
            <w:r>
              <w:rPr>
                <w:rFonts w:hint="eastAsia" w:asciiTheme="minorEastAsia" w:hAnsiTheme="minorEastAsia" w:eastAsiaTheme="minorEastAsia" w:cstheme="minorEastAsia"/>
                <w:color w:val="auto"/>
                <w:sz w:val="24"/>
                <w:szCs w:val="24"/>
                <w:u w:val="single"/>
                <w:lang w:val="en-US" w:eastAsia="zh-CN"/>
              </w:rPr>
              <w:br w:type="textWrapping"/>
            </w:r>
            <w:r>
              <w:rPr>
                <w:rFonts w:hint="eastAsia" w:asciiTheme="minorEastAsia" w:hAnsiTheme="minorEastAsia" w:eastAsiaTheme="minorEastAsia" w:cstheme="minorEastAsia"/>
                <w:color w:val="auto"/>
                <w:sz w:val="24"/>
                <w:szCs w:val="24"/>
                <w:lang w:val="en-US" w:eastAsia="zh-CN"/>
              </w:rPr>
              <w:t>8. 采用防火防护外壳设计。</w:t>
            </w:r>
            <w:r>
              <w:rPr>
                <w:rFonts w:hint="eastAsia" w:asciiTheme="minorEastAsia" w:hAnsiTheme="minorEastAsia" w:eastAsiaTheme="minorEastAsia" w:cstheme="minorEastAsia"/>
                <w:color w:val="auto"/>
                <w:sz w:val="24"/>
                <w:szCs w:val="24"/>
                <w:lang w:val="en-US" w:eastAsia="zh-CN"/>
              </w:rPr>
              <w:br w:type="textWrapping"/>
            </w:r>
            <w:r>
              <w:rPr>
                <w:rFonts w:hint="eastAsia" w:asciiTheme="minorEastAsia" w:hAnsiTheme="minorEastAsia" w:eastAsiaTheme="minorEastAsia" w:cstheme="minorEastAsia"/>
                <w:sz w:val="24"/>
                <w:szCs w:val="24"/>
                <w:lang w:val="en-US" w:eastAsia="zh-CN"/>
              </w:rPr>
              <w:t xml:space="preserve">9. 内置≥1300万像素摄像头，具备非独立外扩展的6阵列拾音麦克风，拾音距离≥ 10米。 </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10. 移动端、电脑文件双向互传功能：通过管理小程序能随时随地连接一体机电脑硬盘，找到想要的文件，支持从手机上传照片、视频、微信中收发的文件到电脑；一键上传文件，在电脑上，任意文件右键，即可一键把文件从PC上传发送到手机。支持移动端直接下载PC端文件至本地和链接形式分享给微信客户端好友。</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二、电脑模块</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 内存：8G DDR4或以上配置；硬盘：256GSSD或以上配置。</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 内置网卡：10M/100M/1000M。</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3. 具有独立非外扩展的电脑USB接口：电脑上至少4个USB接口。</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4. 具有视频输出接口：HDMI接口。</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5. 内置WIFI. 蓝牙模块，具有无线电发射设备型号核准证。</w:t>
            </w:r>
          </w:p>
        </w:tc>
        <w:tc>
          <w:tcPr>
            <w:tcW w:w="686" w:type="dxa"/>
            <w:shd w:val="clear" w:color="auto" w:fill="auto"/>
            <w:vAlign w:val="center"/>
          </w:tcPr>
          <w:p w14:paraId="60681679">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1台</w:t>
            </w:r>
          </w:p>
        </w:tc>
        <w:tc>
          <w:tcPr>
            <w:tcW w:w="445" w:type="dxa"/>
            <w:vAlign w:val="center"/>
          </w:tcPr>
          <w:p w14:paraId="14330EC7">
            <w:pPr>
              <w:spacing w:line="360" w:lineRule="auto"/>
              <w:jc w:val="center"/>
              <w:rPr>
                <w:rFonts w:hint="eastAsia" w:asciiTheme="minorEastAsia" w:hAnsiTheme="minorEastAsia" w:eastAsiaTheme="minorEastAsia"/>
                <w:bCs/>
                <w:sz w:val="24"/>
                <w:szCs w:val="24"/>
                <w:lang w:val="en-US" w:eastAsia="zh-CN"/>
              </w:rPr>
            </w:pPr>
            <w:r>
              <w:rPr>
                <w:rFonts w:hint="eastAsia" w:asciiTheme="minorEastAsia" w:hAnsiTheme="minorEastAsia" w:eastAsiaTheme="minorEastAsia"/>
                <w:bCs/>
                <w:sz w:val="24"/>
                <w:szCs w:val="24"/>
                <w:lang w:val="en-US" w:eastAsia="zh-CN"/>
              </w:rPr>
              <w:t>工业</w:t>
            </w:r>
          </w:p>
        </w:tc>
        <w:tc>
          <w:tcPr>
            <w:tcW w:w="712" w:type="dxa"/>
            <w:vAlign w:val="center"/>
          </w:tcPr>
          <w:p w14:paraId="05CAB493">
            <w:pPr>
              <w:spacing w:line="360" w:lineRule="auto"/>
              <w:jc w:val="center"/>
              <w:rPr>
                <w:rFonts w:hint="eastAsia" w:asciiTheme="minorEastAsia" w:hAnsiTheme="minorEastAsia" w:eastAsiaTheme="minorEastAsia"/>
                <w:bCs/>
                <w:sz w:val="24"/>
                <w:szCs w:val="24"/>
                <w:lang w:val="en-US" w:eastAsia="zh-CN"/>
              </w:rPr>
            </w:pPr>
            <w:r>
              <w:rPr>
                <w:rFonts w:hint="eastAsia" w:asciiTheme="minorEastAsia" w:hAnsiTheme="minorEastAsia" w:eastAsiaTheme="minorEastAsia"/>
                <w:bCs/>
                <w:sz w:val="24"/>
                <w:szCs w:val="24"/>
                <w:lang w:val="en-US" w:eastAsia="zh-CN"/>
              </w:rPr>
              <w:t>否</w:t>
            </w:r>
          </w:p>
        </w:tc>
        <w:tc>
          <w:tcPr>
            <w:tcW w:w="538" w:type="dxa"/>
            <w:vAlign w:val="center"/>
          </w:tcPr>
          <w:p w14:paraId="4C7E1B6E">
            <w:pPr>
              <w:spacing w:line="360" w:lineRule="auto"/>
              <w:jc w:val="center"/>
              <w:rPr>
                <w:rFonts w:hint="eastAsia" w:asciiTheme="minorEastAsia" w:hAnsiTheme="minorEastAsia" w:eastAsiaTheme="minorEastAsia"/>
                <w:bCs/>
                <w:sz w:val="24"/>
                <w:szCs w:val="24"/>
              </w:rPr>
            </w:pPr>
          </w:p>
        </w:tc>
      </w:tr>
      <w:tr w14:paraId="0DF54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504" w:type="dxa"/>
            <w:vAlign w:val="center"/>
          </w:tcPr>
          <w:p w14:paraId="1FDEE191">
            <w:pPr>
              <w:spacing w:line="360" w:lineRule="auto"/>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789" w:type="dxa"/>
            <w:shd w:val="clear" w:color="auto" w:fill="auto"/>
            <w:vAlign w:val="center"/>
          </w:tcPr>
          <w:p w14:paraId="448034AB">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动脉硬化检测仪</w:t>
            </w:r>
          </w:p>
        </w:tc>
        <w:tc>
          <w:tcPr>
            <w:tcW w:w="5760" w:type="dxa"/>
            <w:shd w:val="clear" w:color="auto" w:fill="auto"/>
            <w:vAlign w:val="bottom"/>
          </w:tcPr>
          <w:p w14:paraId="4ABD8AA2">
            <w:pPr>
              <w:numPr>
                <w:ilvl w:val="0"/>
                <w:numId w:val="3"/>
              </w:num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适用范围：</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本产品用测量人体肢体无创血压指标，并根据以上指标计算出脉搏波传导速率（PWV）、踝臂指数（ABI）等参数，用于外周动脉血管病变无创检测。</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 技术要求及配置：</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2.1 技术参数</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▲2.1.1 关键参数：必须包含ABI（踝臂指数）、BAI（臂踝指数）和PWV（脉搏波传导速度）。</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2.1.2 包括不限于辅助参数：DBP（舒张压）（四肢）、SBP（收缩压）（四肢）、PP（脉压差）（四肢）、 UT（脉搏波上行时间）、 PVR（脉搏体积记录）、 BMI（体格指数）。</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 xml:space="preserve">2.1.3 检测方式：需支持四肢同步、单侧、单肢体 3种测量模式。 </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2.1.4 血压测量范围：不低于0mmHg～300mmHg。</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2.1.5 心率测量范围：不低于30次/分～300次/分。</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▲2.1.6 时间基准和准确度：信号速度具有25mm/s和50mm/s两档可调，误差≤±5%。</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2.1.7 检测参数阈值标准支持用户自行设置。</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 xml:space="preserve">2.1.8 内置多种报告单模版，且支持用户自定义编辑功能，满足用户对报告单的编辑需求。 </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2.1.9 可连接医院网络体检软件、身高体重检测仪及条码扫描器；并可使用PDA预约功能，迅速记录患者信息、提高工作效率，确保检查项目顺利进行，特别适合大型体检中心及团体体检使用。</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2.2  配置及全套附件：</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2.2.1 主机1台</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2.2.2 配备有袖带支架（台式）1个</w:t>
            </w:r>
          </w:p>
          <w:p w14:paraId="7E930D7F">
            <w:pPr>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lang w:val="en-US" w:eastAsia="zh-CN"/>
              </w:rPr>
              <w:t>2.2.3 动脉硬化检测分析软件1套</w:t>
            </w:r>
          </w:p>
        </w:tc>
        <w:tc>
          <w:tcPr>
            <w:tcW w:w="686" w:type="dxa"/>
            <w:shd w:val="clear" w:color="auto" w:fill="auto"/>
            <w:vAlign w:val="center"/>
          </w:tcPr>
          <w:p w14:paraId="6859C19B">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1台</w:t>
            </w:r>
          </w:p>
        </w:tc>
        <w:tc>
          <w:tcPr>
            <w:tcW w:w="445" w:type="dxa"/>
            <w:vAlign w:val="center"/>
          </w:tcPr>
          <w:p w14:paraId="5665551D">
            <w:pPr>
              <w:spacing w:line="360" w:lineRule="auto"/>
              <w:jc w:val="center"/>
              <w:rPr>
                <w:rFonts w:hint="default" w:asciiTheme="minorEastAsia" w:hAnsiTheme="minorEastAsia" w:eastAsiaTheme="minorEastAsia"/>
                <w:bCs/>
                <w:sz w:val="24"/>
                <w:szCs w:val="24"/>
                <w:lang w:val="en-US" w:eastAsia="zh-CN"/>
              </w:rPr>
            </w:pPr>
            <w:r>
              <w:rPr>
                <w:rFonts w:hint="eastAsia" w:asciiTheme="minorEastAsia" w:hAnsiTheme="minorEastAsia" w:eastAsiaTheme="minorEastAsia"/>
                <w:bCs/>
                <w:sz w:val="24"/>
                <w:szCs w:val="24"/>
                <w:lang w:val="en-US" w:eastAsia="zh-CN"/>
              </w:rPr>
              <w:t>工业</w:t>
            </w:r>
          </w:p>
        </w:tc>
        <w:tc>
          <w:tcPr>
            <w:tcW w:w="712" w:type="dxa"/>
            <w:vAlign w:val="center"/>
          </w:tcPr>
          <w:p w14:paraId="087F1267">
            <w:pPr>
              <w:spacing w:line="360" w:lineRule="auto"/>
              <w:jc w:val="center"/>
              <w:rPr>
                <w:rFonts w:hint="eastAsia" w:asciiTheme="minorEastAsia" w:hAnsiTheme="minorEastAsia" w:eastAsiaTheme="minorEastAsia"/>
                <w:bCs/>
                <w:sz w:val="24"/>
                <w:szCs w:val="24"/>
                <w:lang w:val="en-US" w:eastAsia="zh-CN"/>
              </w:rPr>
            </w:pPr>
            <w:r>
              <w:rPr>
                <w:rFonts w:hint="eastAsia" w:asciiTheme="minorEastAsia" w:hAnsiTheme="minorEastAsia" w:eastAsiaTheme="minorEastAsia"/>
                <w:bCs/>
                <w:sz w:val="24"/>
                <w:szCs w:val="24"/>
                <w:lang w:val="en-US" w:eastAsia="zh-CN"/>
              </w:rPr>
              <w:t>否</w:t>
            </w:r>
          </w:p>
        </w:tc>
        <w:tc>
          <w:tcPr>
            <w:tcW w:w="538" w:type="dxa"/>
            <w:vAlign w:val="center"/>
          </w:tcPr>
          <w:p w14:paraId="0DF1BD3B">
            <w:pPr>
              <w:spacing w:line="360" w:lineRule="auto"/>
              <w:jc w:val="center"/>
              <w:rPr>
                <w:rFonts w:hint="eastAsia" w:asciiTheme="minorEastAsia" w:hAnsiTheme="minorEastAsia" w:eastAsiaTheme="minorEastAsia"/>
                <w:bCs/>
                <w:sz w:val="24"/>
                <w:szCs w:val="24"/>
              </w:rPr>
            </w:pPr>
          </w:p>
        </w:tc>
      </w:tr>
      <w:tr w14:paraId="2577F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4" w:type="dxa"/>
            <w:vAlign w:val="center"/>
          </w:tcPr>
          <w:p w14:paraId="150B89D8">
            <w:pPr>
              <w:spacing w:line="360" w:lineRule="auto"/>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4</w:t>
            </w:r>
          </w:p>
        </w:tc>
        <w:tc>
          <w:tcPr>
            <w:tcW w:w="789" w:type="dxa"/>
            <w:shd w:val="clear" w:color="auto" w:fill="auto"/>
            <w:vAlign w:val="center"/>
          </w:tcPr>
          <w:p w14:paraId="76B3D046">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外周多普勒检测仪</w:t>
            </w:r>
          </w:p>
        </w:tc>
        <w:tc>
          <w:tcPr>
            <w:tcW w:w="5760" w:type="dxa"/>
            <w:shd w:val="clear" w:color="auto" w:fill="auto"/>
            <w:vAlign w:val="bottom"/>
          </w:tcPr>
          <w:p w14:paraId="1E0BE1B8">
            <w:pPr>
              <w:numPr>
                <w:ilvl w:val="0"/>
                <w:numId w:val="4"/>
              </w:num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主要技术规格</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1.1 主要检测参数</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踝臂指数（ABI）、趾臂指数（TBI）、臂踝指数（BAI）、收缩压（SBP）、舒张压（DBP）、平均压（MBP）、脉压（PP）、 脉率（PR）、收缩期流速（Vs）、平均流速（Vm）、舒张期流速（Vd）、阻力指数（RI）、搏动指数（PI）、 收缩期/舒张期速度比值（S/D）、 心率（HR）等。</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1.2 多普勒探头：频率8MHz（标配）；测量范围10cm/s～50cm/s；最大误差不得超过±20%。</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1.3 多普勒工作距离：3mm～20mm。</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1.4 多普勒功能设置</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可调滤波：12档可选</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频谱分辨率设置：128/256/512三档可选</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接收增益调节：60档可调</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基线移动：512档可调</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标尺设置：8档可调</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1.5 袖带压脉搏波及光电容积脉搏波（选配）性能</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 xml:space="preserve">    脉率测量范围：35bpm～185 bpm；</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 xml:space="preserve">    脉率测量精度：±2bpm；</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 xml:space="preserve">    脉率分辨率：1bpm。</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1.6 无创血压性能</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量程：0mmHg ～ 300mmHg；分辨率：1mmHg；压力传感器准确性：最大误差±3mmHg</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  产品功能</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▲2.1 检测项目：</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踝臂指数（ABI）检测、趾臂指数（TBI）检测、运动负荷试验检测、上下肢动脉节段压检测、下肢静脉检测、冷激发试验、反应性充血试验、胸廓出口综合征、 腘动脉压迫综合征等。</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2.2 三种血压检测方式：多普勒法测血压、示波法测血压、 PPG法测血压（选配）。</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2.2.1 多普勒测血压：</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（1）全自动充放气；</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（2）血压值自动计算；</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（3）血压值手动标记功能；</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2.2.2  PPG测血压（选配）：</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（1）全自动充放气；</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（2）血压值自动计算；</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（3）PPG通道数：1个</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2.2.3 示波法测血压</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（1）气路通道数: 1个；</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（2）全自动充放气；</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▲2.3 操作方式：全触摸屏操控，同时支持无线控器操作；</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2.4 联网方式：支持有线、WIFI、4G等多种联网方式，满足多场景的使用需求。</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2.5数据传输协议：支持数据库直连、HTTP、 Webser vice、Socket以及FTP文件等多种传输方式，检测数据无缝对接至医院各网络系统（HIS等）。</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2.6 外置接口开放：支持外接扫码枪、身份证读卡器，实现病人信息快速录入。</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2.7 病案管理功能：可对病例进行搜索、 统计、 排序、编辑等一系列操作管理。</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 xml:space="preserve">▲2.8自定义报告单模板功能：可根据临床检测需求选择性显示ABI、BAI、TBI、脉搏波形、心率、血压（收缩压、舒张压、平均压、脉压差）等参数。 </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2.9支持手动测量标记检测结果。</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2.10 即时打印功能：无需通过PC机，可以直接连接打印机，输出报告。</w:t>
            </w:r>
          </w:p>
          <w:p w14:paraId="5D5F3DE2">
            <w:pPr>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lang w:val="en-US" w:eastAsia="zh-CN"/>
              </w:rPr>
              <w:t>2.11 配备可充电电池，电池容量：≥5000mAh，支持4小时以上连续检测。</w:t>
            </w:r>
          </w:p>
        </w:tc>
        <w:tc>
          <w:tcPr>
            <w:tcW w:w="686" w:type="dxa"/>
            <w:shd w:val="clear" w:color="auto" w:fill="auto"/>
            <w:vAlign w:val="center"/>
          </w:tcPr>
          <w:p w14:paraId="10CC2AB1">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1台</w:t>
            </w:r>
          </w:p>
        </w:tc>
        <w:tc>
          <w:tcPr>
            <w:tcW w:w="445" w:type="dxa"/>
            <w:vAlign w:val="center"/>
          </w:tcPr>
          <w:p w14:paraId="038E7C3B">
            <w:pPr>
              <w:spacing w:line="360" w:lineRule="auto"/>
              <w:jc w:val="center"/>
              <w:rPr>
                <w:rFonts w:hint="default" w:asciiTheme="minorEastAsia" w:hAnsiTheme="minorEastAsia" w:eastAsiaTheme="minorEastAsia"/>
                <w:bCs/>
                <w:sz w:val="24"/>
                <w:szCs w:val="24"/>
                <w:lang w:val="en-US" w:eastAsia="zh-CN"/>
              </w:rPr>
            </w:pPr>
            <w:r>
              <w:rPr>
                <w:rFonts w:hint="eastAsia" w:asciiTheme="minorEastAsia" w:hAnsiTheme="minorEastAsia" w:eastAsiaTheme="minorEastAsia"/>
                <w:bCs/>
                <w:sz w:val="24"/>
                <w:szCs w:val="24"/>
                <w:lang w:val="en-US" w:eastAsia="zh-CN"/>
              </w:rPr>
              <w:t>工业</w:t>
            </w:r>
          </w:p>
        </w:tc>
        <w:tc>
          <w:tcPr>
            <w:tcW w:w="712" w:type="dxa"/>
            <w:vAlign w:val="center"/>
          </w:tcPr>
          <w:p w14:paraId="0C409231">
            <w:pPr>
              <w:spacing w:line="360" w:lineRule="auto"/>
              <w:jc w:val="center"/>
              <w:rPr>
                <w:rFonts w:hint="eastAsia" w:asciiTheme="minorEastAsia" w:hAnsiTheme="minorEastAsia" w:eastAsiaTheme="minorEastAsia"/>
                <w:bCs/>
                <w:sz w:val="24"/>
                <w:szCs w:val="24"/>
                <w:lang w:val="en-US" w:eastAsia="zh-CN"/>
              </w:rPr>
            </w:pPr>
            <w:r>
              <w:rPr>
                <w:rFonts w:hint="eastAsia" w:asciiTheme="minorEastAsia" w:hAnsiTheme="minorEastAsia" w:eastAsiaTheme="minorEastAsia"/>
                <w:bCs/>
                <w:sz w:val="24"/>
                <w:szCs w:val="24"/>
                <w:lang w:val="en-US" w:eastAsia="zh-CN"/>
              </w:rPr>
              <w:t>否</w:t>
            </w:r>
          </w:p>
        </w:tc>
        <w:tc>
          <w:tcPr>
            <w:tcW w:w="538" w:type="dxa"/>
            <w:vAlign w:val="center"/>
          </w:tcPr>
          <w:p w14:paraId="24352277">
            <w:pPr>
              <w:spacing w:line="360" w:lineRule="auto"/>
              <w:jc w:val="center"/>
              <w:rPr>
                <w:rFonts w:hint="eastAsia" w:asciiTheme="minorEastAsia" w:hAnsiTheme="minorEastAsia" w:eastAsiaTheme="minorEastAsia"/>
                <w:bCs/>
                <w:sz w:val="24"/>
                <w:szCs w:val="24"/>
              </w:rPr>
            </w:pPr>
          </w:p>
        </w:tc>
      </w:tr>
      <w:tr w14:paraId="36157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4" w:type="dxa"/>
            <w:vAlign w:val="center"/>
          </w:tcPr>
          <w:p w14:paraId="07997961">
            <w:pPr>
              <w:spacing w:line="360" w:lineRule="auto"/>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5</w:t>
            </w:r>
          </w:p>
        </w:tc>
        <w:tc>
          <w:tcPr>
            <w:tcW w:w="789" w:type="dxa"/>
            <w:shd w:val="clear" w:color="auto" w:fill="auto"/>
            <w:vAlign w:val="center"/>
          </w:tcPr>
          <w:p w14:paraId="25D241AD">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肺功能仪</w:t>
            </w:r>
          </w:p>
        </w:tc>
        <w:tc>
          <w:tcPr>
            <w:tcW w:w="5760" w:type="dxa"/>
            <w:shd w:val="clear" w:color="auto" w:fill="auto"/>
            <w:vAlign w:val="bottom"/>
          </w:tcPr>
          <w:p w14:paraId="58A56984">
            <w:pPr>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lang w:val="en-US" w:eastAsia="zh-CN"/>
              </w:rPr>
              <w:t>1. 主要技术规格及系统参数</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1.1 主机、显示器为无线连接；</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1.2 显示器≥10英寸高清彩色液晶屏，分辨率为≥1280×800；</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1.3 主机内置大容量电池；</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1.4  PEF（流量）测量性能</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（1）测量范围：0～16L/s；</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（2）测量误差：读数的±5%；</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（3）线性度：不超过5%；</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（4）重复性：不超过5%；</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（5）气流阻力：不超过0.15kPa/（L/s）；</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 xml:space="preserve">（6）频率响应：0.25L/s或者12%； </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1.5  FVC（容量）测量性能</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（1）测量范围：0L～10L；</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（2）准确性：±3%或±0.05L；</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1.6 配置温湿度. 大气压传感器，可自动获取环境监测数据；</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 软件功能</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2.1  FVC用力肺活量检测：流量-容积测量曲线、容积-时间测量曲线，质量控制，测量参数FVC、FEV0.5、FEV1、FEV2、FEV3、 FEV6、FEV0.5/FVC、FEV1/FVC、FEV1/VC、FEV2/FVC、FEV3/FVC、 FEV1/VCpr、FEV0.75、FET、Text、Vext、Vext/FVC、PEF、FEF25、FEF50、FEF75、MMEF等70个临床参数；</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2.2  VC静态肺活量检测：容积-时间测量曲线，QC检查，测量参数VC、IC、VT、VC/H、ERV、VCin、IRV、VCex、RR、MV；</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2.3  MVV最大自主通气量检测：容积-时间测量曲线，QC检查，测量参数MVV、 VT、MVV%RR、BSA、AVI、MVV/BSA；</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2.4  MV静息流量检测：容积-时间测量曲线，测量参数MV、TV、BR、RR、VR；</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▲2.5  支气管舒张检测：可输出“ATS标准化报告单”，可对比用药前后各参数值并显示变化率；</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2.6 软件系统：提供方便快捷的交互体验，无需外接工作站进行数据管理；</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2.7 呼吸检测可自动转化为BTPS模式，且ATP、BTPS模式均可设置；</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2.8 数据备份还原：可通过U盘进行数据备份还原功能；</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2.9 档案管理：支持档案的筛选、备份、恢复、删除、打印操作；</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2.10 报告单：完成检测后可通过至少2个出厂报告单模板呈现检测结果；用户可自定义报告单模板；</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2.11 兼容打印机：主机不需要通过外接电脑，直接与市面上主流品牌包括但不限于HP、 EPSON、 CANON等</w:t>
            </w:r>
            <w:bookmarkStart w:id="19" w:name="_GoBack"/>
            <w:bookmarkEnd w:id="19"/>
            <w:r>
              <w:rPr>
                <w:rFonts w:hint="eastAsia" w:asciiTheme="minorEastAsia" w:hAnsiTheme="minorEastAsia" w:eastAsiaTheme="minorEastAsia" w:cstheme="minorEastAsia"/>
                <w:sz w:val="24"/>
                <w:szCs w:val="24"/>
                <w:lang w:val="en-US" w:eastAsia="zh-CN"/>
              </w:rPr>
              <w:t>多种型号打印机连接并打印所有测量参数报告；</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2.12 数据接口：支持USB、WIFI、蓝牙、SIM卡等多种数据传输接口；</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▲2.13 多重质控功能</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（1）设备准确性（校准）质控具有容量校准、 三流量线性验证功能，3升定标筒定标精度为±0.4%；</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（2）检查过程实时质控FVC检查质控，VC检查质控，MVV检查质控（符合《肺功能检查指南》质控要求）；</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（3）检查结果质控根据检查结果，通气功能障碍类型，判定慢阻肺级别，肺通气功能障碍的程度分级等（符合《肺功能检查指南》判定标准）。</w:t>
            </w:r>
          </w:p>
        </w:tc>
        <w:tc>
          <w:tcPr>
            <w:tcW w:w="686" w:type="dxa"/>
            <w:shd w:val="clear" w:color="auto" w:fill="auto"/>
            <w:vAlign w:val="center"/>
          </w:tcPr>
          <w:p w14:paraId="21B0CB45">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1台</w:t>
            </w:r>
          </w:p>
        </w:tc>
        <w:tc>
          <w:tcPr>
            <w:tcW w:w="445" w:type="dxa"/>
            <w:vAlign w:val="center"/>
          </w:tcPr>
          <w:p w14:paraId="1672E75E">
            <w:pPr>
              <w:spacing w:line="360" w:lineRule="auto"/>
              <w:jc w:val="center"/>
              <w:rPr>
                <w:rFonts w:hint="eastAsia" w:asciiTheme="minorEastAsia" w:hAnsiTheme="minorEastAsia" w:eastAsiaTheme="minorEastAsia"/>
                <w:bCs/>
                <w:sz w:val="24"/>
                <w:szCs w:val="24"/>
                <w:lang w:val="en-US" w:eastAsia="zh-CN"/>
              </w:rPr>
            </w:pPr>
            <w:r>
              <w:rPr>
                <w:rFonts w:hint="eastAsia" w:asciiTheme="minorEastAsia" w:hAnsiTheme="minorEastAsia" w:eastAsiaTheme="minorEastAsia"/>
                <w:bCs/>
                <w:sz w:val="24"/>
                <w:szCs w:val="24"/>
                <w:lang w:val="en-US" w:eastAsia="zh-CN"/>
              </w:rPr>
              <w:t>工业</w:t>
            </w:r>
          </w:p>
        </w:tc>
        <w:tc>
          <w:tcPr>
            <w:tcW w:w="712" w:type="dxa"/>
            <w:vAlign w:val="center"/>
          </w:tcPr>
          <w:p w14:paraId="5122B7B2">
            <w:pPr>
              <w:spacing w:line="360" w:lineRule="auto"/>
              <w:jc w:val="center"/>
              <w:rPr>
                <w:rFonts w:hint="eastAsia" w:asciiTheme="minorEastAsia" w:hAnsiTheme="minorEastAsia" w:eastAsiaTheme="minorEastAsia"/>
                <w:bCs/>
                <w:sz w:val="24"/>
                <w:szCs w:val="24"/>
                <w:lang w:val="en-US" w:eastAsia="zh-CN"/>
              </w:rPr>
            </w:pPr>
            <w:r>
              <w:rPr>
                <w:rFonts w:hint="eastAsia" w:asciiTheme="minorEastAsia" w:hAnsiTheme="minorEastAsia" w:eastAsiaTheme="minorEastAsia"/>
                <w:bCs/>
                <w:sz w:val="24"/>
                <w:szCs w:val="24"/>
                <w:lang w:val="en-US" w:eastAsia="zh-CN"/>
              </w:rPr>
              <w:t>否</w:t>
            </w:r>
          </w:p>
        </w:tc>
        <w:tc>
          <w:tcPr>
            <w:tcW w:w="538" w:type="dxa"/>
            <w:vAlign w:val="center"/>
          </w:tcPr>
          <w:p w14:paraId="3BEE0A7F">
            <w:pPr>
              <w:spacing w:line="360" w:lineRule="auto"/>
              <w:jc w:val="center"/>
              <w:rPr>
                <w:rFonts w:hint="eastAsia" w:asciiTheme="minorEastAsia" w:hAnsiTheme="minorEastAsia" w:eastAsiaTheme="minorEastAsia"/>
                <w:bCs/>
                <w:sz w:val="24"/>
                <w:szCs w:val="24"/>
              </w:rPr>
            </w:pPr>
          </w:p>
        </w:tc>
      </w:tr>
      <w:tr w14:paraId="02252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504" w:type="dxa"/>
            <w:vAlign w:val="center"/>
          </w:tcPr>
          <w:p w14:paraId="70109B09">
            <w:pPr>
              <w:spacing w:line="360" w:lineRule="auto"/>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6</w:t>
            </w:r>
          </w:p>
        </w:tc>
        <w:tc>
          <w:tcPr>
            <w:tcW w:w="789" w:type="dxa"/>
            <w:shd w:val="clear" w:color="auto" w:fill="auto"/>
            <w:vAlign w:val="center"/>
          </w:tcPr>
          <w:p w14:paraId="4818A374">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居民血压计</w:t>
            </w:r>
          </w:p>
        </w:tc>
        <w:tc>
          <w:tcPr>
            <w:tcW w:w="5760" w:type="dxa"/>
            <w:shd w:val="clear" w:color="auto" w:fill="auto"/>
            <w:vAlign w:val="bottom"/>
          </w:tcPr>
          <w:p w14:paraId="7443644A">
            <w:pPr>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lang w:val="en-US" w:eastAsia="zh-CN"/>
              </w:rPr>
              <w:t>1. 显示方法：大屏幕液晶数字式</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 测量方法：示波法</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3. 测量范围：血压0-280mmHg（0-37.3kPa）脉搏40-195次/分</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4. 精确度：压力±3mmHg（±0.4kPa）脉搏数±5%</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5. 数据传输方式：硬件直接传输服务器</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6. 传输模式：CAT1，4G网络传输</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7. 电源：充电锂电池</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8. 支持每次测量后语音播报本次结果分析，及根据怀远县人工智能慢病一体化管理系统中的居民健康画像推送的个性化健康知识宣教。</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9. 支持测量数值危急后，通过怀远县人工智能慢病一体化管理系统自动发起高危干预电话，采集患者当前状况，进行危急宣教。</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10. 支持针对长时间未测量的绑定设备患者，怀远县人工智能慢病一体化管理系统自动发起短信、电话提醒。</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11. 支持上述设备播报、危急干预、未测量提醒等干预患者在一体化门诊中查看，调阅自动化服务记录。</w:t>
            </w:r>
          </w:p>
        </w:tc>
        <w:tc>
          <w:tcPr>
            <w:tcW w:w="686" w:type="dxa"/>
            <w:shd w:val="clear" w:color="auto" w:fill="auto"/>
            <w:vAlign w:val="center"/>
          </w:tcPr>
          <w:p w14:paraId="586B7234">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50台</w:t>
            </w:r>
          </w:p>
        </w:tc>
        <w:tc>
          <w:tcPr>
            <w:tcW w:w="445" w:type="dxa"/>
            <w:vAlign w:val="center"/>
          </w:tcPr>
          <w:p w14:paraId="2D091088">
            <w:pPr>
              <w:spacing w:line="360" w:lineRule="auto"/>
              <w:jc w:val="center"/>
              <w:rPr>
                <w:rFonts w:hint="eastAsia" w:asciiTheme="minorEastAsia" w:hAnsiTheme="minorEastAsia" w:eastAsiaTheme="minorEastAsia"/>
                <w:bCs/>
                <w:sz w:val="24"/>
                <w:szCs w:val="24"/>
                <w:lang w:val="en-US" w:eastAsia="zh-CN"/>
              </w:rPr>
            </w:pPr>
            <w:r>
              <w:rPr>
                <w:rFonts w:hint="eastAsia" w:asciiTheme="minorEastAsia" w:hAnsiTheme="minorEastAsia" w:eastAsiaTheme="minorEastAsia"/>
                <w:bCs/>
                <w:sz w:val="24"/>
                <w:szCs w:val="24"/>
                <w:lang w:val="en-US" w:eastAsia="zh-CN"/>
              </w:rPr>
              <w:t>工业</w:t>
            </w:r>
          </w:p>
        </w:tc>
        <w:tc>
          <w:tcPr>
            <w:tcW w:w="712" w:type="dxa"/>
            <w:vAlign w:val="center"/>
          </w:tcPr>
          <w:p w14:paraId="4FCBEA80">
            <w:pPr>
              <w:spacing w:line="360" w:lineRule="auto"/>
              <w:jc w:val="center"/>
              <w:rPr>
                <w:rFonts w:hint="eastAsia" w:asciiTheme="minorEastAsia" w:hAnsiTheme="minorEastAsia" w:eastAsiaTheme="minorEastAsia"/>
                <w:bCs/>
                <w:sz w:val="24"/>
                <w:szCs w:val="24"/>
                <w:lang w:val="en-US" w:eastAsia="zh-CN"/>
              </w:rPr>
            </w:pPr>
            <w:r>
              <w:rPr>
                <w:rFonts w:hint="eastAsia" w:asciiTheme="minorEastAsia" w:hAnsiTheme="minorEastAsia" w:eastAsiaTheme="minorEastAsia"/>
                <w:bCs/>
                <w:sz w:val="24"/>
                <w:szCs w:val="24"/>
                <w:lang w:val="en-US" w:eastAsia="zh-CN"/>
              </w:rPr>
              <w:t>否</w:t>
            </w:r>
          </w:p>
        </w:tc>
        <w:tc>
          <w:tcPr>
            <w:tcW w:w="538" w:type="dxa"/>
            <w:vAlign w:val="center"/>
          </w:tcPr>
          <w:p w14:paraId="5CF01A13">
            <w:pPr>
              <w:spacing w:line="360" w:lineRule="auto"/>
              <w:jc w:val="center"/>
              <w:rPr>
                <w:rFonts w:hint="eastAsia" w:asciiTheme="minorEastAsia" w:hAnsiTheme="minorEastAsia" w:eastAsiaTheme="minorEastAsia"/>
                <w:bCs/>
                <w:sz w:val="24"/>
                <w:szCs w:val="24"/>
              </w:rPr>
            </w:pPr>
          </w:p>
        </w:tc>
      </w:tr>
      <w:tr w14:paraId="64640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4" w:type="dxa"/>
            <w:vAlign w:val="center"/>
          </w:tcPr>
          <w:p w14:paraId="659AC338">
            <w:pPr>
              <w:spacing w:line="360" w:lineRule="auto"/>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7</w:t>
            </w:r>
          </w:p>
        </w:tc>
        <w:tc>
          <w:tcPr>
            <w:tcW w:w="789" w:type="dxa"/>
            <w:shd w:val="clear" w:color="auto" w:fill="auto"/>
            <w:vAlign w:val="center"/>
          </w:tcPr>
          <w:p w14:paraId="7D4031E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居民血糖仪</w:t>
            </w:r>
          </w:p>
        </w:tc>
        <w:tc>
          <w:tcPr>
            <w:tcW w:w="5760" w:type="dxa"/>
            <w:shd w:val="clear" w:color="auto" w:fill="auto"/>
            <w:vAlign w:val="bottom"/>
          </w:tcPr>
          <w:p w14:paraId="22C68338">
            <w:pPr>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lang w:val="en-US" w:eastAsia="zh-CN"/>
              </w:rPr>
              <w:t>1. 读值显示：LCD屏幕</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 吸血方式：虹吸法</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3. 测量方法：电化学法</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4. 试纸酶类型：葡萄糖氧化酶</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5. 密码卡：免条码</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6. 温度补偿功能：有</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7. 胴体警示功能：有</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8. 采血量：0.7～1.0微升</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9. 测量时间：≤5秒</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10. 自动退片：有</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11. 试纸有效期限：24个月</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12. 采血部位：末梢或多部位采血</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13. 记忆组：≥500组</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14. 支持直接扫码完成设备与居民档案绑定，测量数据自动传输怀远县人工智能慢病一体化管理系统。</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15. 支持每次测量后语音播报本次结果分析，及根据怀远县人工智能慢病一体化管理系统中的居民健康画像推送的个性化健康知识宣教。</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16. 支持测量数值危急后，通过怀远县人工智能慢病一体化管理系统自动发起高危干预电话，采集患者当前状况，进行危急宣教。</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17. 支持针对长时间未测量的绑定设备患者，怀远县人工智能慢病一体化管理系统自动发起短信. 电话提醒。</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18. 支持上述设备播报、危急干预、未测量提醒等干预患者在一体化门诊中查看，调阅自动化服务记录。</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19. 每台血糖仪包含50条试纸和50个采血针。</w:t>
            </w:r>
          </w:p>
        </w:tc>
        <w:tc>
          <w:tcPr>
            <w:tcW w:w="686" w:type="dxa"/>
            <w:shd w:val="clear" w:color="auto" w:fill="auto"/>
            <w:vAlign w:val="center"/>
          </w:tcPr>
          <w:p w14:paraId="34A4C633">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20台</w:t>
            </w:r>
          </w:p>
        </w:tc>
        <w:tc>
          <w:tcPr>
            <w:tcW w:w="445" w:type="dxa"/>
            <w:vAlign w:val="center"/>
          </w:tcPr>
          <w:p w14:paraId="3054579D">
            <w:pPr>
              <w:spacing w:line="360" w:lineRule="auto"/>
              <w:jc w:val="center"/>
              <w:rPr>
                <w:rFonts w:hint="eastAsia" w:asciiTheme="minorEastAsia" w:hAnsiTheme="minorEastAsia" w:eastAsiaTheme="minorEastAsia"/>
                <w:bCs/>
                <w:sz w:val="24"/>
                <w:szCs w:val="24"/>
                <w:lang w:val="en-US" w:eastAsia="zh-CN"/>
              </w:rPr>
            </w:pPr>
            <w:r>
              <w:rPr>
                <w:rFonts w:hint="eastAsia" w:asciiTheme="minorEastAsia" w:hAnsiTheme="minorEastAsia" w:eastAsiaTheme="minorEastAsia"/>
                <w:bCs/>
                <w:sz w:val="24"/>
                <w:szCs w:val="24"/>
                <w:lang w:val="en-US" w:eastAsia="zh-CN"/>
              </w:rPr>
              <w:t>工业</w:t>
            </w:r>
          </w:p>
        </w:tc>
        <w:tc>
          <w:tcPr>
            <w:tcW w:w="712" w:type="dxa"/>
            <w:vAlign w:val="center"/>
          </w:tcPr>
          <w:p w14:paraId="2EB1E7A5">
            <w:pPr>
              <w:spacing w:line="360" w:lineRule="auto"/>
              <w:jc w:val="center"/>
              <w:rPr>
                <w:rFonts w:hint="eastAsia" w:asciiTheme="minorEastAsia" w:hAnsiTheme="minorEastAsia" w:eastAsiaTheme="minorEastAsia"/>
                <w:bCs/>
                <w:sz w:val="24"/>
                <w:szCs w:val="24"/>
                <w:lang w:val="en-US" w:eastAsia="zh-CN"/>
              </w:rPr>
            </w:pPr>
            <w:r>
              <w:rPr>
                <w:rFonts w:hint="eastAsia" w:asciiTheme="minorEastAsia" w:hAnsiTheme="minorEastAsia" w:eastAsiaTheme="minorEastAsia"/>
                <w:bCs/>
                <w:sz w:val="24"/>
                <w:szCs w:val="24"/>
                <w:lang w:val="en-US" w:eastAsia="zh-CN"/>
              </w:rPr>
              <w:t>否</w:t>
            </w:r>
          </w:p>
        </w:tc>
        <w:tc>
          <w:tcPr>
            <w:tcW w:w="538" w:type="dxa"/>
            <w:vAlign w:val="center"/>
          </w:tcPr>
          <w:p w14:paraId="7A1074F6">
            <w:pPr>
              <w:spacing w:line="360" w:lineRule="auto"/>
              <w:jc w:val="center"/>
              <w:rPr>
                <w:rFonts w:hint="eastAsia" w:asciiTheme="minorEastAsia" w:hAnsiTheme="minorEastAsia" w:eastAsiaTheme="minorEastAsia"/>
                <w:bCs/>
                <w:sz w:val="24"/>
                <w:szCs w:val="24"/>
              </w:rPr>
            </w:pPr>
          </w:p>
        </w:tc>
      </w:tr>
      <w:tr w14:paraId="2D062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4" w:type="dxa"/>
            <w:vAlign w:val="center"/>
          </w:tcPr>
          <w:p w14:paraId="6B91904D">
            <w:pPr>
              <w:spacing w:line="360" w:lineRule="auto"/>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8</w:t>
            </w:r>
          </w:p>
        </w:tc>
        <w:tc>
          <w:tcPr>
            <w:tcW w:w="789" w:type="dxa"/>
            <w:shd w:val="clear" w:color="auto" w:fill="auto"/>
            <w:vAlign w:val="center"/>
          </w:tcPr>
          <w:p w14:paraId="4A59CAD0">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2"/>
                <w:sz w:val="24"/>
                <w:szCs w:val="24"/>
                <w:u w:val="none"/>
                <w:lang w:val="en-US" w:eastAsia="zh-CN" w:bidi="ar-SA"/>
              </w:rPr>
            </w:pPr>
            <w:r>
              <w:rPr>
                <w:rFonts w:hint="eastAsia" w:asciiTheme="minorEastAsia" w:hAnsiTheme="minorEastAsia" w:eastAsiaTheme="minorEastAsia" w:cstheme="minorEastAsia"/>
                <w:i w:val="0"/>
                <w:iCs w:val="0"/>
                <w:color w:val="auto"/>
                <w:kern w:val="0"/>
                <w:sz w:val="24"/>
                <w:szCs w:val="24"/>
                <w:u w:val="none"/>
                <w:lang w:val="en-US" w:eastAsia="zh-CN" w:bidi="ar"/>
              </w:rPr>
              <w:t>隧道式血压计</w:t>
            </w:r>
          </w:p>
        </w:tc>
        <w:tc>
          <w:tcPr>
            <w:tcW w:w="5760" w:type="dxa"/>
            <w:shd w:val="clear" w:color="auto" w:fill="auto"/>
            <w:vAlign w:val="bottom"/>
          </w:tcPr>
          <w:p w14:paraId="420ADF53">
            <w:p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一、参数要求</w:t>
            </w:r>
          </w:p>
          <w:p w14:paraId="32424A55">
            <w:p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 测量范围： 压力（0～300）mmHg［（0～40）kPa］；</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 脉率数30次/分～200次/分；</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3. 平均动脉压（MAP）值：有；</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4. 测量准确度：压力±2mmHg（±0.267kPa）以内；</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脉率数±2%以内；</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5. 屏 幕：LCD屏；</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6. 存储容量：可存储≥100组测量数据；</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7. 自动休眠模式：无操作机器自动休进入眠模式；</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8. 语音设置：测量过程中语音全程播报提示，可开关语音，音量可调节；</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9. 智能感应模式：当机器处于休眠状态，有人靠近袖筒前方，自动唤醒机器，机器自动点亮显示屏和智能感应指示；</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10. 袖带适用周长范围：17cm～42cm；</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11. 传输模式：232串口/USB；</w:t>
            </w:r>
          </w:p>
          <w:p w14:paraId="4857C05A">
            <w:p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 具有后台管理系统，可进行测量数据管理. 测量结果解读，疾病风险评估等辅助健康评估能力；</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二、 配置要求：</w:t>
            </w:r>
          </w:p>
          <w:p w14:paraId="71411594">
            <w:pPr>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lang w:val="en-US" w:eastAsia="zh-CN"/>
              </w:rPr>
              <w:t>隧道式血压计1台，智能操作PDA终端1台（含身份识别. 人脸识别功能）。</w:t>
            </w:r>
          </w:p>
        </w:tc>
        <w:tc>
          <w:tcPr>
            <w:tcW w:w="686" w:type="dxa"/>
            <w:shd w:val="clear" w:color="auto" w:fill="auto"/>
            <w:vAlign w:val="center"/>
          </w:tcPr>
          <w:p w14:paraId="66AA075C">
            <w:pPr>
              <w:keepNext w:val="0"/>
              <w:keepLines w:val="0"/>
              <w:widowControl/>
              <w:suppressLineNumbers w:val="0"/>
              <w:jc w:val="center"/>
              <w:textAlignment w:val="center"/>
              <w:rPr>
                <w:rFonts w:hint="default" w:asciiTheme="minorEastAsia" w:hAnsiTheme="minorEastAsia" w:eastAsiaTheme="minorEastAsia" w:cstheme="minorEastAsia"/>
                <w:i w:val="0"/>
                <w:iCs w:val="0"/>
                <w:color w:val="auto"/>
                <w:kern w:val="2"/>
                <w:sz w:val="24"/>
                <w:szCs w:val="24"/>
                <w:u w:val="none"/>
                <w:lang w:val="en-US" w:eastAsia="zh-CN" w:bidi="ar-SA"/>
              </w:rPr>
            </w:pPr>
            <w:r>
              <w:rPr>
                <w:rFonts w:hint="eastAsia" w:asciiTheme="minorEastAsia" w:hAnsiTheme="minorEastAsia" w:eastAsiaTheme="minorEastAsia" w:cstheme="minorEastAsia"/>
                <w:i w:val="0"/>
                <w:iCs w:val="0"/>
                <w:color w:val="auto"/>
                <w:kern w:val="0"/>
                <w:sz w:val="24"/>
                <w:szCs w:val="24"/>
                <w:u w:val="none"/>
                <w:lang w:val="en-US" w:eastAsia="zh-CN" w:bidi="ar"/>
              </w:rPr>
              <w:t>1台</w:t>
            </w:r>
          </w:p>
        </w:tc>
        <w:tc>
          <w:tcPr>
            <w:tcW w:w="445" w:type="dxa"/>
            <w:vAlign w:val="center"/>
          </w:tcPr>
          <w:p w14:paraId="23E940D8">
            <w:pPr>
              <w:spacing w:line="360" w:lineRule="auto"/>
              <w:jc w:val="center"/>
              <w:rPr>
                <w:rFonts w:hint="eastAsia" w:asciiTheme="minorEastAsia" w:hAnsiTheme="minorEastAsia" w:eastAsiaTheme="minorEastAsia"/>
                <w:bCs/>
                <w:sz w:val="24"/>
                <w:szCs w:val="24"/>
                <w:lang w:val="en-US" w:eastAsia="zh-CN"/>
              </w:rPr>
            </w:pPr>
            <w:r>
              <w:rPr>
                <w:rFonts w:hint="eastAsia" w:asciiTheme="minorEastAsia" w:hAnsiTheme="minorEastAsia" w:eastAsiaTheme="minorEastAsia"/>
                <w:bCs/>
                <w:sz w:val="24"/>
                <w:szCs w:val="24"/>
                <w:lang w:val="en-US" w:eastAsia="zh-CN"/>
              </w:rPr>
              <w:t>工业</w:t>
            </w:r>
          </w:p>
        </w:tc>
        <w:tc>
          <w:tcPr>
            <w:tcW w:w="712" w:type="dxa"/>
            <w:vAlign w:val="center"/>
          </w:tcPr>
          <w:p w14:paraId="466971F0">
            <w:pPr>
              <w:spacing w:line="360" w:lineRule="auto"/>
              <w:jc w:val="center"/>
              <w:rPr>
                <w:rFonts w:hint="eastAsia" w:asciiTheme="minorEastAsia" w:hAnsiTheme="minorEastAsia" w:eastAsiaTheme="minorEastAsia"/>
                <w:bCs/>
                <w:sz w:val="24"/>
                <w:szCs w:val="24"/>
                <w:lang w:val="en-US" w:eastAsia="zh-CN"/>
              </w:rPr>
            </w:pPr>
            <w:r>
              <w:rPr>
                <w:rFonts w:hint="eastAsia" w:asciiTheme="minorEastAsia" w:hAnsiTheme="minorEastAsia" w:eastAsiaTheme="minorEastAsia"/>
                <w:bCs/>
                <w:sz w:val="24"/>
                <w:szCs w:val="24"/>
                <w:lang w:val="en-US" w:eastAsia="zh-CN"/>
              </w:rPr>
              <w:t>否</w:t>
            </w:r>
          </w:p>
        </w:tc>
        <w:tc>
          <w:tcPr>
            <w:tcW w:w="538" w:type="dxa"/>
            <w:vAlign w:val="center"/>
          </w:tcPr>
          <w:p w14:paraId="5644EB5D">
            <w:pPr>
              <w:spacing w:line="360" w:lineRule="auto"/>
              <w:jc w:val="center"/>
              <w:rPr>
                <w:rFonts w:hint="eastAsia" w:asciiTheme="minorEastAsia" w:hAnsiTheme="minorEastAsia" w:eastAsiaTheme="minorEastAsia"/>
                <w:bCs/>
                <w:sz w:val="24"/>
                <w:szCs w:val="24"/>
              </w:rPr>
            </w:pPr>
          </w:p>
        </w:tc>
      </w:tr>
      <w:tr w14:paraId="4594E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4" w:type="dxa"/>
            <w:vAlign w:val="center"/>
          </w:tcPr>
          <w:p w14:paraId="6100ABE8">
            <w:pPr>
              <w:spacing w:line="360" w:lineRule="auto"/>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9</w:t>
            </w:r>
          </w:p>
        </w:tc>
        <w:tc>
          <w:tcPr>
            <w:tcW w:w="789" w:type="dxa"/>
            <w:shd w:val="clear" w:color="auto" w:fill="auto"/>
            <w:vAlign w:val="center"/>
          </w:tcPr>
          <w:p w14:paraId="71CFCDD4">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全自动眼底相机</w:t>
            </w:r>
          </w:p>
        </w:tc>
        <w:tc>
          <w:tcPr>
            <w:tcW w:w="5760" w:type="dxa"/>
            <w:shd w:val="clear" w:color="auto" w:fill="auto"/>
            <w:vAlign w:val="top"/>
          </w:tcPr>
          <w:p w14:paraId="338894C9">
            <w:p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 操作模式:全自动/手动；无需人工调整，一键完成双眼自动拍照，自动调节腮托架，自动追踪眼位（上下左右），自动对焦（前后），自动测量、自动转换左右眼。</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 对焦模式：全自动/手动；自动切换左右眼、 自动寻找瞳孔、 自动校准瞳孔位置。</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3. 拍照模式：自动/手动</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4. 采集模式：免散瞳/散瞳彩照</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5. 曝光模式：自动/手动</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6. 采集过程全程语音导航</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7. 照相瞳孔直径：≥2.8 mm</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8. 闪光强度：自适应无级可调</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9. 视场角：53°</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10. 操作者方位：对侧、旁侧</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11. 采集模块：内置专业高清摄像头</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▲12. 眼底像分辨率：2400万像素</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 xml:space="preserve">13. 患者屈光度校正范围：无补偿透镜：-30D～+30D </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14. 固视标：内固视标：采用液晶点阵，任意固视点标注，其中周边模式有9点固视。</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15. 显示屏：触摸控制屏，外接≥20寸液晶扩展显示器（可分屏显示）。</w:t>
            </w:r>
          </w:p>
          <w:p w14:paraId="44000126">
            <w:pPr>
              <w:numPr>
                <w:ilvl w:val="0"/>
                <w:numId w:val="5"/>
              </w:numPr>
              <w:spacing w:line="360" w:lineRule="auto"/>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lang w:val="en-US" w:eastAsia="zh-CN"/>
              </w:rPr>
              <w:t>工作距离：16±2mm</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17.  PC传输：USB，局域网，FTP，DICOM</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18. 图像处理：图片后处理功能：亮度，色彩，对比度；病灶标注及计算；随访对比。</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19. 眼底彩照AI辅助诊断软件本地化部署，不另外收取费用。</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20. 不对年度内患者检验人次数及眼底检测报告出具数量进行限制。</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▲21. 能够基于眼底拍照结果自动识别不少于40种常见视网膜病变。</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▲22. 能够自动识别不少于10类常见的眼底彩照相关病灶。</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▲23. 能够自动识别不少于20类眼底病种。</w:t>
            </w:r>
            <w:r>
              <w:rPr>
                <w:rFonts w:hint="eastAsia" w:asciiTheme="minorEastAsia" w:hAnsiTheme="minorEastAsia" w:eastAsiaTheme="minorEastAsia" w:cstheme="minorEastAsia"/>
                <w:sz w:val="24"/>
                <w:szCs w:val="24"/>
                <w:lang w:val="en-US" w:eastAsia="zh-CN"/>
              </w:rPr>
              <w:br w:type="textWrapping"/>
            </w:r>
            <w:r>
              <w:rPr>
                <w:rFonts w:hint="eastAsia" w:asciiTheme="minorEastAsia" w:hAnsiTheme="minorEastAsia" w:eastAsiaTheme="minorEastAsia" w:cstheme="minorEastAsia"/>
                <w:sz w:val="24"/>
                <w:szCs w:val="24"/>
                <w:lang w:val="en-US" w:eastAsia="zh-CN"/>
              </w:rPr>
              <w:t>24. 图像识别准确率不低于90%。</w:t>
            </w:r>
          </w:p>
        </w:tc>
        <w:tc>
          <w:tcPr>
            <w:tcW w:w="686" w:type="dxa"/>
            <w:shd w:val="clear" w:color="auto" w:fill="auto"/>
            <w:vAlign w:val="center"/>
          </w:tcPr>
          <w:p w14:paraId="55072AE8">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2"/>
                <w:sz w:val="24"/>
                <w:szCs w:val="24"/>
                <w:u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1台</w:t>
            </w:r>
          </w:p>
        </w:tc>
        <w:tc>
          <w:tcPr>
            <w:tcW w:w="445" w:type="dxa"/>
            <w:vAlign w:val="center"/>
          </w:tcPr>
          <w:p w14:paraId="0F05E24C">
            <w:pPr>
              <w:spacing w:line="360" w:lineRule="auto"/>
              <w:jc w:val="center"/>
              <w:rPr>
                <w:rFonts w:hint="eastAsia" w:asciiTheme="minorEastAsia" w:hAnsiTheme="minorEastAsia" w:eastAsiaTheme="minorEastAsia"/>
                <w:bCs/>
                <w:sz w:val="24"/>
                <w:szCs w:val="24"/>
                <w:lang w:val="en-US" w:eastAsia="zh-CN"/>
              </w:rPr>
            </w:pPr>
            <w:r>
              <w:rPr>
                <w:rFonts w:hint="eastAsia" w:asciiTheme="minorEastAsia" w:hAnsiTheme="minorEastAsia" w:eastAsiaTheme="minorEastAsia"/>
                <w:bCs/>
                <w:sz w:val="24"/>
                <w:szCs w:val="24"/>
                <w:lang w:val="en-US" w:eastAsia="zh-CN"/>
              </w:rPr>
              <w:t>工业</w:t>
            </w:r>
          </w:p>
        </w:tc>
        <w:tc>
          <w:tcPr>
            <w:tcW w:w="712" w:type="dxa"/>
            <w:vAlign w:val="center"/>
          </w:tcPr>
          <w:p w14:paraId="6FC7332E">
            <w:pPr>
              <w:spacing w:line="360" w:lineRule="auto"/>
              <w:jc w:val="center"/>
              <w:rPr>
                <w:rFonts w:hint="default" w:asciiTheme="minorEastAsia" w:hAnsiTheme="minorEastAsia" w:eastAsiaTheme="minorEastAsia"/>
                <w:bCs/>
                <w:sz w:val="24"/>
                <w:szCs w:val="24"/>
                <w:lang w:val="en-US" w:eastAsia="zh-CN"/>
              </w:rPr>
            </w:pPr>
            <w:r>
              <w:rPr>
                <w:rFonts w:hint="eastAsia" w:asciiTheme="minorEastAsia" w:hAnsiTheme="minorEastAsia" w:eastAsiaTheme="minorEastAsia"/>
                <w:bCs/>
                <w:sz w:val="24"/>
                <w:szCs w:val="24"/>
                <w:lang w:val="en-US" w:eastAsia="zh-CN"/>
              </w:rPr>
              <w:t>是</w:t>
            </w:r>
          </w:p>
        </w:tc>
        <w:tc>
          <w:tcPr>
            <w:tcW w:w="538" w:type="dxa"/>
            <w:vAlign w:val="center"/>
          </w:tcPr>
          <w:p w14:paraId="4803670B">
            <w:pPr>
              <w:spacing w:line="360" w:lineRule="auto"/>
              <w:jc w:val="center"/>
              <w:rPr>
                <w:rFonts w:hint="eastAsia" w:asciiTheme="minorEastAsia" w:hAnsiTheme="minorEastAsia" w:eastAsiaTheme="minorEastAsia"/>
                <w:bCs/>
                <w:sz w:val="24"/>
                <w:szCs w:val="24"/>
              </w:rPr>
            </w:pPr>
          </w:p>
        </w:tc>
      </w:tr>
      <w:tr w14:paraId="59028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4" w:type="dxa"/>
            <w:vAlign w:val="center"/>
          </w:tcPr>
          <w:p w14:paraId="7CEAE672">
            <w:pPr>
              <w:rPr>
                <w:rFonts w:hint="eastAsia" w:ascii="宋体" w:hAnsi="宋体" w:eastAsia="宋体" w:cs="宋体"/>
                <w:b/>
                <w:bCs/>
                <w:sz w:val="24"/>
                <w:szCs w:val="24"/>
              </w:rPr>
            </w:pPr>
            <w:r>
              <w:rPr>
                <w:rFonts w:hint="eastAsia" w:ascii="宋体" w:hAnsi="宋体" w:eastAsia="宋体" w:cs="宋体"/>
                <w:b/>
                <w:bCs/>
                <w:sz w:val="24"/>
                <w:szCs w:val="24"/>
                <w:lang w:val="en-US" w:eastAsia="zh-CN"/>
              </w:rPr>
              <w:t>二</w:t>
            </w:r>
          </w:p>
        </w:tc>
        <w:tc>
          <w:tcPr>
            <w:tcW w:w="8930" w:type="dxa"/>
            <w:gridSpan w:val="6"/>
            <w:vAlign w:val="center"/>
          </w:tcPr>
          <w:p w14:paraId="62C5CAD0">
            <w:pPr>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公卫体检系统及配套设备</w:t>
            </w:r>
          </w:p>
        </w:tc>
      </w:tr>
      <w:tr w14:paraId="1EE77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4" w:type="dxa"/>
            <w:shd w:val="clear" w:color="auto" w:fill="auto"/>
            <w:vAlign w:val="center"/>
          </w:tcPr>
          <w:p w14:paraId="54AAAEB5">
            <w:pPr>
              <w:rPr>
                <w:rFonts w:hint="eastAsia" w:ascii="@仿宋_GB2312" w:hAnsi="@仿宋_GB2312" w:eastAsia="@仿宋_GB2312" w:cs="@仿宋_GB2312"/>
                <w:kern w:val="2"/>
                <w:sz w:val="21"/>
                <w:lang w:val="en-US" w:eastAsia="zh-CN" w:bidi="ar-SA"/>
              </w:rPr>
            </w:pPr>
            <w:bookmarkStart w:id="9" w:name="_Toc14130"/>
            <w:bookmarkStart w:id="10" w:name="_Toc2341"/>
            <w:bookmarkStart w:id="11" w:name="_Toc32728"/>
            <w:bookmarkStart w:id="12" w:name="_Toc31453"/>
            <w:r>
              <w:rPr>
                <w:rFonts w:hint="eastAsia"/>
                <w:lang w:val="en-US" w:eastAsia="zh-CN"/>
              </w:rPr>
              <w:t>1</w:t>
            </w:r>
          </w:p>
        </w:tc>
        <w:tc>
          <w:tcPr>
            <w:tcW w:w="789" w:type="dxa"/>
            <w:shd w:val="clear" w:color="auto" w:fill="auto"/>
            <w:vAlign w:val="center"/>
          </w:tcPr>
          <w:p w14:paraId="64F1FCE4">
            <w:pP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公卫及签约履约体检系统</w:t>
            </w:r>
          </w:p>
        </w:tc>
        <w:tc>
          <w:tcPr>
            <w:tcW w:w="5760" w:type="dxa"/>
            <w:shd w:val="clear" w:color="auto" w:fill="auto"/>
            <w:vAlign w:val="center"/>
          </w:tcPr>
          <w:p w14:paraId="5B026ADB">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w:t>
            </w:r>
            <w:r>
              <w:rPr>
                <w:rFonts w:hint="eastAsia" w:ascii="宋体" w:hAnsi="宋体" w:eastAsia="宋体" w:cs="宋体"/>
                <w:sz w:val="24"/>
                <w:szCs w:val="24"/>
              </w:rPr>
              <w:t>1</w:t>
            </w:r>
            <w:r>
              <w:rPr>
                <w:rFonts w:hint="eastAsia" w:ascii="宋体" w:hAnsi="宋体" w:eastAsia="宋体" w:cs="宋体"/>
                <w:sz w:val="24"/>
                <w:szCs w:val="24"/>
                <w:lang w:eastAsia="zh-CN"/>
              </w:rPr>
              <w:t xml:space="preserve">. </w:t>
            </w:r>
            <w:r>
              <w:rPr>
                <w:rFonts w:hint="eastAsia" w:ascii="宋体" w:hAnsi="宋体" w:eastAsia="宋体" w:cs="宋体"/>
                <w:sz w:val="24"/>
                <w:szCs w:val="24"/>
              </w:rPr>
              <w:t>体检套餐管理：系统需支持创建和管理体检套餐，满足老年人体检</w:t>
            </w:r>
            <w:r>
              <w:rPr>
                <w:rFonts w:hint="eastAsia" w:ascii="宋体" w:hAnsi="宋体" w:eastAsia="宋体" w:cs="宋体"/>
                <w:sz w:val="24"/>
                <w:szCs w:val="24"/>
                <w:lang w:eastAsia="zh-CN"/>
              </w:rPr>
              <w:t xml:space="preserve">、 </w:t>
            </w:r>
            <w:r>
              <w:rPr>
                <w:rFonts w:hint="eastAsia" w:ascii="宋体" w:hAnsi="宋体" w:eastAsia="宋体" w:cs="宋体"/>
                <w:sz w:val="24"/>
                <w:szCs w:val="24"/>
              </w:rPr>
              <w:t>慢病人员体检</w:t>
            </w:r>
            <w:r>
              <w:rPr>
                <w:rFonts w:hint="eastAsia" w:ascii="宋体" w:hAnsi="宋体" w:eastAsia="宋体" w:cs="宋体"/>
                <w:sz w:val="24"/>
                <w:szCs w:val="24"/>
                <w:lang w:eastAsia="zh-CN"/>
              </w:rPr>
              <w:t>、</w:t>
            </w:r>
            <w:r>
              <w:rPr>
                <w:rFonts w:hint="eastAsia" w:ascii="宋体" w:hAnsi="宋体" w:eastAsia="宋体" w:cs="宋体"/>
                <w:sz w:val="24"/>
                <w:szCs w:val="24"/>
              </w:rPr>
              <w:t>家庭医生签约履约体检等不同人群的体检需求，不同套餐支持打印对应的《体检指引单》。</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需提供软件截图说明或承诺函</w:t>
            </w:r>
            <w:r>
              <w:rPr>
                <w:rFonts w:hint="eastAsia" w:ascii="宋体" w:hAnsi="宋体" w:eastAsia="宋体" w:cs="宋体"/>
                <w:sz w:val="24"/>
                <w:szCs w:val="24"/>
                <w:lang w:eastAsia="zh-CN"/>
              </w:rPr>
              <w:t>）</w:t>
            </w:r>
          </w:p>
          <w:p w14:paraId="73C04F13">
            <w:pPr>
              <w:spacing w:line="360" w:lineRule="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 xml:space="preserve">. </w:t>
            </w:r>
            <w:r>
              <w:rPr>
                <w:rFonts w:hint="eastAsia" w:ascii="宋体" w:hAnsi="宋体" w:eastAsia="宋体" w:cs="宋体"/>
                <w:sz w:val="24"/>
                <w:szCs w:val="24"/>
              </w:rPr>
              <w:t>信息登记：系统需支持登记记录管理检验人员基本信息，包括：姓名</w:t>
            </w:r>
            <w:r>
              <w:rPr>
                <w:rFonts w:hint="eastAsia" w:ascii="宋体" w:hAnsi="宋体" w:eastAsia="宋体" w:cs="宋体"/>
                <w:sz w:val="24"/>
                <w:szCs w:val="24"/>
                <w:lang w:eastAsia="zh-CN"/>
              </w:rPr>
              <w:t>、</w:t>
            </w:r>
            <w:r>
              <w:rPr>
                <w:rFonts w:hint="eastAsia" w:ascii="宋体" w:hAnsi="宋体" w:eastAsia="宋体" w:cs="宋体"/>
                <w:sz w:val="24"/>
                <w:szCs w:val="24"/>
              </w:rPr>
              <w:t>性别</w:t>
            </w:r>
            <w:r>
              <w:rPr>
                <w:rFonts w:hint="eastAsia" w:ascii="宋体" w:hAnsi="宋体" w:eastAsia="宋体" w:cs="宋体"/>
                <w:sz w:val="24"/>
                <w:szCs w:val="24"/>
                <w:lang w:eastAsia="zh-CN"/>
              </w:rPr>
              <w:t>、</w:t>
            </w:r>
            <w:r>
              <w:rPr>
                <w:rFonts w:hint="eastAsia" w:ascii="宋体" w:hAnsi="宋体" w:eastAsia="宋体" w:cs="宋体"/>
                <w:sz w:val="24"/>
                <w:szCs w:val="24"/>
              </w:rPr>
              <w:t>身份证号</w:t>
            </w:r>
            <w:r>
              <w:rPr>
                <w:rFonts w:hint="eastAsia" w:ascii="宋体" w:hAnsi="宋体" w:eastAsia="宋体" w:cs="宋体"/>
                <w:sz w:val="24"/>
                <w:szCs w:val="24"/>
                <w:lang w:eastAsia="zh-CN"/>
              </w:rPr>
              <w:t>、</w:t>
            </w:r>
            <w:r>
              <w:rPr>
                <w:rFonts w:hint="eastAsia" w:ascii="宋体" w:hAnsi="宋体" w:eastAsia="宋体" w:cs="宋体"/>
                <w:sz w:val="24"/>
                <w:szCs w:val="24"/>
              </w:rPr>
              <w:t>手机号码</w:t>
            </w:r>
            <w:r>
              <w:rPr>
                <w:rFonts w:hint="eastAsia" w:ascii="宋体" w:hAnsi="宋体" w:eastAsia="宋体" w:cs="宋体"/>
                <w:sz w:val="24"/>
                <w:szCs w:val="24"/>
                <w:lang w:eastAsia="zh-CN"/>
              </w:rPr>
              <w:t>、</w:t>
            </w:r>
            <w:r>
              <w:rPr>
                <w:rFonts w:hint="eastAsia" w:ascii="宋体" w:hAnsi="宋体" w:eastAsia="宋体" w:cs="宋体"/>
                <w:sz w:val="24"/>
                <w:szCs w:val="24"/>
              </w:rPr>
              <w:t>户籍所在地</w:t>
            </w:r>
            <w:r>
              <w:rPr>
                <w:rFonts w:hint="eastAsia" w:ascii="宋体" w:hAnsi="宋体" w:eastAsia="宋体" w:cs="宋体"/>
                <w:sz w:val="24"/>
                <w:szCs w:val="24"/>
                <w:lang w:eastAsia="zh-CN"/>
              </w:rPr>
              <w:t>、</w:t>
            </w:r>
            <w:r>
              <w:rPr>
                <w:rFonts w:hint="eastAsia" w:ascii="宋体" w:hAnsi="宋体" w:eastAsia="宋体" w:cs="宋体"/>
                <w:sz w:val="24"/>
                <w:szCs w:val="24"/>
              </w:rPr>
              <w:t>现居住地等，支持对接常见身份证阅读器；支持与基本公卫系统进行对接，若该人今年已有体检记录将弹出弹框提醒，以避免给已体检的人员重复登记体检。</w:t>
            </w:r>
          </w:p>
          <w:p w14:paraId="57D5A6A2">
            <w:pPr>
              <w:spacing w:line="360" w:lineRule="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eastAsia="zh-CN"/>
              </w:rPr>
              <w:t xml:space="preserve">. </w:t>
            </w:r>
            <w:r>
              <w:rPr>
                <w:rFonts w:hint="eastAsia" w:ascii="宋体" w:hAnsi="宋体" w:eastAsia="宋体" w:cs="宋体"/>
                <w:sz w:val="24"/>
                <w:szCs w:val="24"/>
              </w:rPr>
              <w:t>分检配置：系统需支持按实际体检分检工作分工，配置管理分检类别及绑定的分检医生录入字段。</w:t>
            </w:r>
          </w:p>
          <w:p w14:paraId="421AE6D5">
            <w:pPr>
              <w:spacing w:line="360" w:lineRule="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eastAsia="zh-CN"/>
              </w:rPr>
              <w:t xml:space="preserve">. </w:t>
            </w:r>
            <w:r>
              <w:rPr>
                <w:rFonts w:hint="eastAsia" w:ascii="宋体" w:hAnsi="宋体" w:eastAsia="宋体" w:cs="宋体"/>
                <w:sz w:val="24"/>
                <w:szCs w:val="24"/>
              </w:rPr>
              <w:t>分检管理：系统需支持授权医生进行相应项目的检查，确保安全性和专业性。</w:t>
            </w:r>
          </w:p>
          <w:p w14:paraId="5F5A8A7A">
            <w:pPr>
              <w:spacing w:line="360" w:lineRule="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eastAsia="zh-CN"/>
              </w:rPr>
              <w:t xml:space="preserve">. </w:t>
            </w:r>
            <w:r>
              <w:rPr>
                <w:rFonts w:hint="eastAsia" w:ascii="宋体" w:hAnsi="宋体" w:eastAsia="宋体" w:cs="宋体"/>
                <w:sz w:val="24"/>
                <w:szCs w:val="24"/>
              </w:rPr>
              <w:t>总检管理：系统需配置管理支持总检医生，只是有总检权限的医师，才可以提交总检结论。</w:t>
            </w:r>
          </w:p>
          <w:p w14:paraId="27A20564">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w:t>
            </w:r>
            <w:r>
              <w:rPr>
                <w:rFonts w:hint="eastAsia" w:ascii="宋体" w:hAnsi="宋体" w:eastAsia="宋体" w:cs="宋体"/>
                <w:sz w:val="24"/>
                <w:szCs w:val="24"/>
              </w:rPr>
              <w:t>6</w:t>
            </w:r>
            <w:r>
              <w:rPr>
                <w:rFonts w:hint="eastAsia" w:ascii="宋体" w:hAnsi="宋体" w:eastAsia="宋体" w:cs="宋体"/>
                <w:sz w:val="24"/>
                <w:szCs w:val="24"/>
                <w:lang w:eastAsia="zh-CN"/>
              </w:rPr>
              <w:t xml:space="preserve">. </w:t>
            </w:r>
            <w:r>
              <w:rPr>
                <w:rFonts w:hint="eastAsia" w:ascii="宋体" w:hAnsi="宋体" w:eastAsia="宋体" w:cs="宋体"/>
                <w:sz w:val="24"/>
                <w:szCs w:val="24"/>
              </w:rPr>
              <w:t>智能总检及结论库管理：系统需支持针对总检医师配置管理结论库，包括结论类别</w:t>
            </w:r>
            <w:r>
              <w:rPr>
                <w:rFonts w:hint="eastAsia" w:ascii="宋体" w:hAnsi="宋体" w:eastAsia="宋体" w:cs="宋体"/>
                <w:sz w:val="24"/>
                <w:szCs w:val="24"/>
                <w:lang w:eastAsia="zh-CN"/>
              </w:rPr>
              <w:t>、</w:t>
            </w:r>
            <w:r>
              <w:rPr>
                <w:rFonts w:hint="eastAsia" w:ascii="宋体" w:hAnsi="宋体" w:eastAsia="宋体" w:cs="宋体"/>
                <w:sz w:val="24"/>
                <w:szCs w:val="24"/>
              </w:rPr>
              <w:t>词条名称</w:t>
            </w:r>
            <w:r>
              <w:rPr>
                <w:rFonts w:hint="eastAsia" w:ascii="宋体" w:hAnsi="宋体" w:eastAsia="宋体" w:cs="宋体"/>
                <w:sz w:val="24"/>
                <w:szCs w:val="24"/>
                <w:lang w:eastAsia="zh-CN"/>
              </w:rPr>
              <w:t>、</w:t>
            </w:r>
            <w:r>
              <w:rPr>
                <w:rFonts w:hint="eastAsia" w:ascii="宋体" w:hAnsi="宋体" w:eastAsia="宋体" w:cs="宋体"/>
                <w:sz w:val="24"/>
                <w:szCs w:val="24"/>
              </w:rPr>
              <w:t>结论详情，若该词条关联了检验项目，并配置了升高/降低和阳性/硬性等词条，总检结论将跟进检验异常情况，自动带入结论详情；包括但不限于系统可跟进血压</w:t>
            </w:r>
            <w:r>
              <w:rPr>
                <w:rFonts w:hint="eastAsia" w:ascii="宋体" w:hAnsi="宋体" w:eastAsia="宋体" w:cs="宋体"/>
                <w:sz w:val="24"/>
                <w:szCs w:val="24"/>
                <w:lang w:eastAsia="zh-CN"/>
              </w:rPr>
              <w:t xml:space="preserve">. </w:t>
            </w:r>
            <w:r>
              <w:rPr>
                <w:rFonts w:hint="eastAsia" w:ascii="宋体" w:hAnsi="宋体" w:eastAsia="宋体" w:cs="宋体"/>
                <w:sz w:val="24"/>
                <w:szCs w:val="24"/>
              </w:rPr>
              <w:t>BMI等自动带入对应的血压</w:t>
            </w:r>
            <w:r>
              <w:rPr>
                <w:rFonts w:hint="eastAsia" w:ascii="宋体" w:hAnsi="宋体" w:eastAsia="宋体" w:cs="宋体"/>
                <w:sz w:val="24"/>
                <w:szCs w:val="24"/>
                <w:lang w:eastAsia="zh-CN"/>
              </w:rPr>
              <w:t xml:space="preserve">、 </w:t>
            </w:r>
            <w:r>
              <w:rPr>
                <w:rFonts w:hint="eastAsia" w:ascii="宋体" w:hAnsi="宋体" w:eastAsia="宋体" w:cs="宋体"/>
                <w:sz w:val="24"/>
                <w:szCs w:val="24"/>
              </w:rPr>
              <w:t>BMI等结论详情。</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需提供软件截图说明或承诺函</w:t>
            </w:r>
            <w:r>
              <w:rPr>
                <w:rFonts w:hint="eastAsia" w:ascii="宋体" w:hAnsi="宋体" w:eastAsia="宋体" w:cs="宋体"/>
                <w:sz w:val="24"/>
                <w:szCs w:val="24"/>
                <w:lang w:eastAsia="zh-CN"/>
              </w:rPr>
              <w:t>）</w:t>
            </w:r>
          </w:p>
          <w:p w14:paraId="71734A73">
            <w:pPr>
              <w:spacing w:line="360" w:lineRule="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eastAsia="zh-CN"/>
              </w:rPr>
              <w:t xml:space="preserve">. </w:t>
            </w:r>
            <w:r>
              <w:rPr>
                <w:rFonts w:hint="eastAsia" w:ascii="宋体" w:hAnsi="宋体" w:eastAsia="宋体" w:cs="宋体"/>
                <w:sz w:val="24"/>
                <w:szCs w:val="24"/>
              </w:rPr>
              <w:t>检验数据对接服务：系统需支持标准接口文档，对接外送检验服务商，以便实现系统直接打印检验条码，检验结果出来后，检验数据将回传至体检系统中。</w:t>
            </w:r>
          </w:p>
          <w:p w14:paraId="06BA9CBC">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w:t>
            </w:r>
            <w:r>
              <w:rPr>
                <w:rFonts w:hint="eastAsia" w:ascii="宋体" w:hAnsi="宋体" w:eastAsia="宋体" w:cs="宋体"/>
                <w:sz w:val="24"/>
                <w:szCs w:val="24"/>
              </w:rPr>
              <w:t>8</w:t>
            </w:r>
            <w:r>
              <w:rPr>
                <w:rFonts w:hint="eastAsia" w:ascii="宋体" w:hAnsi="宋体" w:eastAsia="宋体" w:cs="宋体"/>
                <w:sz w:val="24"/>
                <w:szCs w:val="24"/>
                <w:lang w:eastAsia="zh-CN"/>
              </w:rPr>
              <w:t xml:space="preserve">. </w:t>
            </w:r>
            <w:r>
              <w:rPr>
                <w:rFonts w:hint="eastAsia" w:ascii="宋体" w:hAnsi="宋体" w:eastAsia="宋体" w:cs="宋体"/>
                <w:sz w:val="24"/>
                <w:szCs w:val="24"/>
              </w:rPr>
              <w:t>体检报告管理：系统需支持将各分检的检查数据和检验项目异常数据汇总成“综述”内容，系统支持根据“综述”内容，一键带入“中心结论库”对应的结论详情内容选，并支持总检医生二次编辑，最终形成完整的总检结论，系统支持导出生成PDF版的体检报告。系统提供在线查询《体检报告》入口。</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需提供软件截图说明或承诺函</w:t>
            </w:r>
            <w:r>
              <w:rPr>
                <w:rFonts w:hint="eastAsia" w:ascii="宋体" w:hAnsi="宋体" w:eastAsia="宋体" w:cs="宋体"/>
                <w:sz w:val="24"/>
                <w:szCs w:val="24"/>
                <w:lang w:eastAsia="zh-CN"/>
              </w:rPr>
              <w:t>）</w:t>
            </w:r>
          </w:p>
          <w:p w14:paraId="1CD02B9E">
            <w:pPr>
              <w:spacing w:line="360" w:lineRule="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rPr>
              <w:t>9</w:t>
            </w:r>
            <w:r>
              <w:rPr>
                <w:rFonts w:hint="eastAsia" w:ascii="宋体" w:hAnsi="宋体" w:eastAsia="宋体" w:cs="宋体"/>
                <w:sz w:val="24"/>
                <w:szCs w:val="24"/>
                <w:lang w:eastAsia="zh-CN"/>
              </w:rPr>
              <w:t xml:space="preserve">. </w:t>
            </w:r>
            <w:r>
              <w:rPr>
                <w:rFonts w:hint="eastAsia" w:ascii="宋体" w:hAnsi="宋体" w:eastAsia="宋体" w:cs="宋体"/>
                <w:sz w:val="24"/>
                <w:szCs w:val="24"/>
              </w:rPr>
              <w:t>智能体检硬件数据对接：系统需提供接口与身高体重秤</w:t>
            </w:r>
            <w:r>
              <w:rPr>
                <w:rFonts w:hint="eastAsia" w:ascii="宋体" w:hAnsi="宋体" w:eastAsia="宋体" w:cs="宋体"/>
                <w:sz w:val="24"/>
                <w:szCs w:val="24"/>
                <w:lang w:eastAsia="zh-CN"/>
              </w:rPr>
              <w:t xml:space="preserve">、 </w:t>
            </w:r>
            <w:r>
              <w:rPr>
                <w:rFonts w:hint="eastAsia" w:ascii="宋体" w:hAnsi="宋体" w:eastAsia="宋体" w:cs="宋体"/>
                <w:sz w:val="24"/>
                <w:szCs w:val="24"/>
              </w:rPr>
              <w:t>血压计</w:t>
            </w:r>
            <w:r>
              <w:rPr>
                <w:rFonts w:hint="eastAsia" w:ascii="宋体" w:hAnsi="宋体" w:eastAsia="宋体" w:cs="宋体"/>
                <w:sz w:val="24"/>
                <w:szCs w:val="24"/>
                <w:lang w:eastAsia="zh-CN"/>
              </w:rPr>
              <w:t xml:space="preserve">、 </w:t>
            </w:r>
            <w:r>
              <w:rPr>
                <w:rFonts w:hint="eastAsia" w:ascii="宋体" w:hAnsi="宋体" w:eastAsia="宋体" w:cs="宋体"/>
                <w:sz w:val="24"/>
                <w:szCs w:val="24"/>
              </w:rPr>
              <w:t>心电图机</w:t>
            </w:r>
            <w:r>
              <w:rPr>
                <w:rFonts w:hint="eastAsia" w:ascii="宋体" w:hAnsi="宋体" w:eastAsia="宋体" w:cs="宋体"/>
                <w:sz w:val="24"/>
                <w:szCs w:val="24"/>
                <w:lang w:eastAsia="zh-CN"/>
              </w:rPr>
              <w:t xml:space="preserve">、 </w:t>
            </w:r>
            <w:r>
              <w:rPr>
                <w:rFonts w:hint="eastAsia" w:ascii="宋体" w:hAnsi="宋体" w:eastAsia="宋体" w:cs="宋体"/>
                <w:sz w:val="24"/>
                <w:szCs w:val="24"/>
              </w:rPr>
              <w:t>尿液分析仪以及超声工作站实现数据对接，实现一码识别快速进行体检，检查检验数据会自动回传至体检系统中。</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需提供软件截图说明或承诺函</w:t>
            </w:r>
            <w:r>
              <w:rPr>
                <w:rFonts w:hint="eastAsia" w:ascii="宋体" w:hAnsi="宋体" w:eastAsia="宋体" w:cs="宋体"/>
                <w:sz w:val="24"/>
                <w:szCs w:val="24"/>
                <w:lang w:eastAsia="zh-CN"/>
              </w:rPr>
              <w:t>）</w:t>
            </w:r>
          </w:p>
          <w:p w14:paraId="4CE2761D">
            <w:pPr>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eastAsia="zh-CN"/>
              </w:rPr>
              <w:t>★</w:t>
            </w:r>
            <w:r>
              <w:rPr>
                <w:rFonts w:hint="eastAsia" w:ascii="宋体" w:hAnsi="宋体" w:eastAsia="宋体" w:cs="宋体"/>
                <w:sz w:val="24"/>
                <w:szCs w:val="24"/>
              </w:rPr>
              <w:t>10</w:t>
            </w:r>
            <w:r>
              <w:rPr>
                <w:rFonts w:hint="eastAsia" w:ascii="宋体" w:hAnsi="宋体" w:eastAsia="宋体" w:cs="宋体"/>
                <w:sz w:val="24"/>
                <w:szCs w:val="24"/>
                <w:lang w:eastAsia="zh-CN"/>
              </w:rPr>
              <w:t xml:space="preserve">. </w:t>
            </w:r>
            <w:r>
              <w:rPr>
                <w:rFonts w:hint="eastAsia" w:ascii="宋体" w:hAnsi="宋体" w:eastAsia="宋体" w:cs="宋体"/>
                <w:sz w:val="24"/>
                <w:szCs w:val="24"/>
              </w:rPr>
              <w:t>与基本公卫系统对接：公卫及签约履约体检系统数据须支持批量同步传输至现有的基本公卫系统，包括：体检人基本信息</w:t>
            </w:r>
            <w:r>
              <w:rPr>
                <w:rFonts w:hint="eastAsia" w:ascii="宋体" w:hAnsi="宋体" w:eastAsia="宋体" w:cs="宋体"/>
                <w:sz w:val="24"/>
                <w:szCs w:val="24"/>
                <w:lang w:eastAsia="zh-CN"/>
              </w:rPr>
              <w:t>、</w:t>
            </w:r>
            <w:r>
              <w:rPr>
                <w:rFonts w:hint="eastAsia" w:ascii="宋体" w:hAnsi="宋体" w:eastAsia="宋体" w:cs="宋体"/>
                <w:sz w:val="24"/>
                <w:szCs w:val="24"/>
              </w:rPr>
              <w:t>检查检验结果数据</w:t>
            </w:r>
            <w:r>
              <w:rPr>
                <w:rFonts w:hint="eastAsia" w:ascii="宋体" w:hAnsi="宋体" w:eastAsia="宋体" w:cs="宋体"/>
                <w:sz w:val="24"/>
                <w:szCs w:val="24"/>
                <w:lang w:eastAsia="zh-CN"/>
              </w:rPr>
              <w:t>、</w:t>
            </w:r>
            <w:r>
              <w:rPr>
                <w:rFonts w:hint="eastAsia" w:ascii="宋体" w:hAnsi="宋体" w:eastAsia="宋体" w:cs="宋体"/>
                <w:sz w:val="24"/>
                <w:szCs w:val="24"/>
              </w:rPr>
              <w:t>中医体质辨识数据</w:t>
            </w:r>
            <w:r>
              <w:rPr>
                <w:rFonts w:hint="eastAsia" w:ascii="宋体" w:hAnsi="宋体" w:eastAsia="宋体" w:cs="宋体"/>
                <w:sz w:val="24"/>
                <w:szCs w:val="24"/>
                <w:lang w:eastAsia="zh-CN"/>
              </w:rPr>
              <w:t>、</w:t>
            </w:r>
            <w:r>
              <w:rPr>
                <w:rFonts w:hint="eastAsia" w:ascii="宋体" w:hAnsi="宋体" w:eastAsia="宋体" w:cs="宋体"/>
                <w:sz w:val="24"/>
                <w:szCs w:val="24"/>
              </w:rPr>
              <w:t>老年人生活自理能力评估数据等，同时支持将本次体检的关键数据进行实时质控，对于不合规的数据进行实时筛选并给与提醒，实现公共卫生系统内部的数据互联互通，降低体检人员的录入效率，避免多次重复录入。</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需提供承诺函</w:t>
            </w:r>
            <w:r>
              <w:rPr>
                <w:rFonts w:hint="eastAsia" w:ascii="宋体" w:hAnsi="宋体" w:eastAsia="宋体" w:cs="宋体"/>
                <w:sz w:val="24"/>
                <w:szCs w:val="24"/>
                <w:lang w:eastAsia="zh-CN"/>
              </w:rPr>
              <w:t>）</w:t>
            </w:r>
          </w:p>
        </w:tc>
        <w:tc>
          <w:tcPr>
            <w:tcW w:w="686" w:type="dxa"/>
            <w:shd w:val="clear" w:color="auto" w:fill="auto"/>
            <w:vAlign w:val="center"/>
          </w:tcPr>
          <w:p w14:paraId="216F4666">
            <w:pPr>
              <w:keepNext w:val="0"/>
              <w:keepLines w:val="0"/>
              <w:widowControl/>
              <w:suppressLineNumbers w:val="0"/>
              <w:jc w:val="center"/>
              <w:textAlignment w:val="bottom"/>
              <w:rPr>
                <w:rFonts w:hint="default"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1项</w:t>
            </w:r>
          </w:p>
        </w:tc>
        <w:tc>
          <w:tcPr>
            <w:tcW w:w="445" w:type="dxa"/>
            <w:vAlign w:val="center"/>
          </w:tcPr>
          <w:p w14:paraId="0D5D7C2D">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软</w:t>
            </w:r>
          </w:p>
          <w:p w14:paraId="2567EC29">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件</w:t>
            </w:r>
          </w:p>
          <w:p w14:paraId="5BD0F7A7">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和</w:t>
            </w:r>
          </w:p>
          <w:p w14:paraId="1F11E60F">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信</w:t>
            </w:r>
          </w:p>
          <w:p w14:paraId="753621A4">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息</w:t>
            </w:r>
          </w:p>
          <w:p w14:paraId="0804F674">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技</w:t>
            </w:r>
          </w:p>
          <w:p w14:paraId="29E0DE63">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术</w:t>
            </w:r>
          </w:p>
          <w:p w14:paraId="590D978F">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服</w:t>
            </w:r>
          </w:p>
          <w:p w14:paraId="7ECDAE28">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务</w:t>
            </w:r>
          </w:p>
          <w:p w14:paraId="793DA53A">
            <w:pPr>
              <w:keepNext w:val="0"/>
              <w:keepLines w:val="0"/>
              <w:widowControl/>
              <w:suppressLineNumbers w:val="0"/>
              <w:jc w:val="left"/>
            </w:pPr>
            <w:r>
              <w:rPr>
                <w:rFonts w:hint="eastAsia" w:ascii="宋体" w:hAnsi="宋体" w:eastAsia="宋体" w:cs="宋体"/>
                <w:color w:val="000000"/>
                <w:kern w:val="0"/>
                <w:sz w:val="24"/>
                <w:szCs w:val="24"/>
                <w:lang w:val="en-US" w:eastAsia="zh-CN" w:bidi="ar"/>
              </w:rPr>
              <w:t>业</w:t>
            </w:r>
          </w:p>
          <w:p w14:paraId="647D58F5">
            <w:pPr>
              <w:spacing w:line="360" w:lineRule="auto"/>
              <w:jc w:val="center"/>
              <w:rPr>
                <w:rFonts w:hint="eastAsia" w:ascii="宋体" w:hAnsi="宋体" w:eastAsia="宋体" w:cs="宋体"/>
                <w:bCs/>
                <w:sz w:val="24"/>
                <w:szCs w:val="24"/>
                <w:lang w:val="en-US" w:eastAsia="zh-CN"/>
              </w:rPr>
            </w:pPr>
          </w:p>
        </w:tc>
        <w:tc>
          <w:tcPr>
            <w:tcW w:w="712" w:type="dxa"/>
            <w:vAlign w:val="center"/>
          </w:tcPr>
          <w:p w14:paraId="67329C1A">
            <w:pPr>
              <w:spacing w:line="360" w:lineRule="auto"/>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否</w:t>
            </w:r>
          </w:p>
        </w:tc>
        <w:tc>
          <w:tcPr>
            <w:tcW w:w="538" w:type="dxa"/>
            <w:vAlign w:val="center"/>
          </w:tcPr>
          <w:p w14:paraId="792B3A51">
            <w:pPr>
              <w:spacing w:line="360" w:lineRule="auto"/>
              <w:jc w:val="center"/>
              <w:rPr>
                <w:rFonts w:hint="eastAsia" w:ascii="宋体" w:hAnsi="宋体" w:eastAsia="宋体" w:cs="宋体"/>
                <w:bCs/>
                <w:sz w:val="24"/>
                <w:szCs w:val="24"/>
              </w:rPr>
            </w:pPr>
          </w:p>
        </w:tc>
      </w:tr>
      <w:tr w14:paraId="16AB7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4" w:type="dxa"/>
            <w:shd w:val="clear" w:color="auto" w:fill="auto"/>
            <w:vAlign w:val="center"/>
          </w:tcPr>
          <w:p w14:paraId="543103E0">
            <w:pPr>
              <w:keepNext w:val="0"/>
              <w:keepLines w:val="0"/>
              <w:widowControl/>
              <w:suppressLineNumbers w:val="0"/>
              <w:jc w:val="both"/>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789" w:type="dxa"/>
            <w:shd w:val="clear" w:color="auto" w:fill="auto"/>
            <w:vAlign w:val="center"/>
          </w:tcPr>
          <w:p w14:paraId="354C28DE">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超声波身高体重秤</w:t>
            </w:r>
          </w:p>
        </w:tc>
        <w:tc>
          <w:tcPr>
            <w:tcW w:w="5760" w:type="dxa"/>
            <w:shd w:val="clear" w:color="auto" w:fill="auto"/>
            <w:vAlign w:val="bottom"/>
          </w:tcPr>
          <w:p w14:paraId="0728A3CE">
            <w:pPr>
              <w:numPr>
                <w:ilvl w:val="0"/>
                <w:numId w:val="6"/>
              </w:numPr>
              <w:spacing w:line="360" w:lineRule="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身高测量方式：超声波测量；</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2. 体重测量方式：精密平衡梁式压力传感器称重；</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 xml:space="preserve">3. 测量范围：身高：20－210cm；                 </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4. 体重：1kg－500kg；</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5. 精确度：身高：±0.5cm，体重：±0.1kg</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6. 体型：国际通用体格指数（BMI）并显示；</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测量速度 5秒倒计时功能，测量快捷，每小时可测≥400人。</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7. 智能健康尺技术参数：</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 xml:space="preserve">7.1 测量单位：cm/in； </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 xml:space="preserve">7.2 精度：2%；   </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 xml:space="preserve">7.3 分辨率：1mm；      </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 xml:space="preserve">7.4 显示范围 ：1500mm；    </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8. 数据输出：WIFI.、无线蓝牙、 网口。数据可上传电脑、手机、云服务器.、医院系统和远程健康系统。</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9. 其他可定制功能：体温. U盘存储功能. 刷卡. 刷身份证等功能。</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10. 外形设计：喇叭前置，测量. 显示一体化，模具一次成型的封闭式铝合金机身，可折叠。</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11. 折叠方式：采用双金属折叠扣的方式，折叠后≤120cm，，底部自带轮子。</w:t>
            </w:r>
          </w:p>
        </w:tc>
        <w:tc>
          <w:tcPr>
            <w:tcW w:w="686" w:type="dxa"/>
            <w:shd w:val="clear" w:color="auto" w:fill="auto"/>
            <w:vAlign w:val="center"/>
          </w:tcPr>
          <w:p w14:paraId="4FDD45DF">
            <w:pPr>
              <w:keepNext w:val="0"/>
              <w:keepLines w:val="0"/>
              <w:widowControl/>
              <w:suppressLineNumbers w:val="0"/>
              <w:jc w:val="center"/>
              <w:textAlignment w:val="center"/>
              <w:rPr>
                <w:rFonts w:hint="default"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1台</w:t>
            </w:r>
          </w:p>
        </w:tc>
        <w:tc>
          <w:tcPr>
            <w:tcW w:w="445" w:type="dxa"/>
            <w:shd w:val="clear" w:color="auto" w:fill="auto"/>
            <w:vAlign w:val="center"/>
          </w:tcPr>
          <w:p w14:paraId="30814D21">
            <w:pPr>
              <w:spacing w:line="360" w:lineRule="auto"/>
              <w:jc w:val="center"/>
              <w:rPr>
                <w:rFonts w:hint="eastAsia" w:ascii="宋体" w:hAnsi="宋体" w:eastAsia="宋体" w:cs="宋体"/>
                <w:bCs/>
                <w:kern w:val="2"/>
                <w:sz w:val="24"/>
                <w:szCs w:val="24"/>
                <w:lang w:val="en-US" w:eastAsia="zh-CN" w:bidi="ar-SA"/>
              </w:rPr>
            </w:pPr>
            <w:r>
              <w:rPr>
                <w:rFonts w:hint="eastAsia" w:ascii="宋体" w:hAnsi="宋体" w:eastAsia="宋体" w:cs="宋体"/>
                <w:bCs/>
                <w:sz w:val="24"/>
                <w:szCs w:val="24"/>
                <w:lang w:val="en-US" w:eastAsia="zh-CN"/>
              </w:rPr>
              <w:t>工业</w:t>
            </w:r>
          </w:p>
        </w:tc>
        <w:tc>
          <w:tcPr>
            <w:tcW w:w="712" w:type="dxa"/>
            <w:shd w:val="clear" w:color="auto" w:fill="auto"/>
            <w:vAlign w:val="center"/>
          </w:tcPr>
          <w:p w14:paraId="27C93085">
            <w:pPr>
              <w:spacing w:line="360" w:lineRule="auto"/>
              <w:jc w:val="center"/>
              <w:rPr>
                <w:rFonts w:hint="eastAsia" w:ascii="宋体" w:hAnsi="宋体" w:eastAsia="宋体" w:cs="宋体"/>
                <w:bCs/>
                <w:kern w:val="2"/>
                <w:sz w:val="24"/>
                <w:szCs w:val="24"/>
                <w:lang w:val="en-US" w:eastAsia="zh-CN" w:bidi="ar-SA"/>
              </w:rPr>
            </w:pPr>
            <w:r>
              <w:rPr>
                <w:rFonts w:hint="eastAsia" w:ascii="宋体" w:hAnsi="宋体" w:eastAsia="宋体" w:cs="宋体"/>
                <w:bCs/>
                <w:sz w:val="24"/>
                <w:szCs w:val="24"/>
                <w:lang w:val="en-US" w:eastAsia="zh-CN"/>
              </w:rPr>
              <w:t>否</w:t>
            </w:r>
          </w:p>
        </w:tc>
        <w:tc>
          <w:tcPr>
            <w:tcW w:w="538" w:type="dxa"/>
            <w:vAlign w:val="center"/>
          </w:tcPr>
          <w:p w14:paraId="5284EDEA">
            <w:pPr>
              <w:spacing w:line="360" w:lineRule="auto"/>
              <w:jc w:val="center"/>
              <w:rPr>
                <w:rFonts w:hint="eastAsia" w:ascii="宋体" w:hAnsi="宋体" w:eastAsia="宋体" w:cs="宋体"/>
                <w:bCs/>
                <w:sz w:val="24"/>
                <w:szCs w:val="24"/>
              </w:rPr>
            </w:pPr>
          </w:p>
        </w:tc>
      </w:tr>
      <w:tr w14:paraId="3AB0A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4" w:type="dxa"/>
            <w:shd w:val="clear" w:color="auto" w:fill="auto"/>
            <w:vAlign w:val="center"/>
          </w:tcPr>
          <w:p w14:paraId="71CA2601">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w:t>
            </w:r>
          </w:p>
        </w:tc>
        <w:tc>
          <w:tcPr>
            <w:tcW w:w="789" w:type="dxa"/>
            <w:shd w:val="clear" w:color="auto" w:fill="auto"/>
            <w:vAlign w:val="center"/>
          </w:tcPr>
          <w:p w14:paraId="04CA259F">
            <w:pPr>
              <w:keepNext w:val="0"/>
              <w:keepLines w:val="0"/>
              <w:widowControl/>
              <w:suppressLineNumbers w:val="0"/>
              <w:jc w:val="left"/>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eastAsia="宋体" w:cs="宋体"/>
                <w:i w:val="0"/>
                <w:iCs w:val="0"/>
                <w:color w:val="auto"/>
                <w:kern w:val="0"/>
                <w:sz w:val="24"/>
                <w:szCs w:val="24"/>
                <w:u w:val="none"/>
                <w:lang w:val="en-US" w:eastAsia="zh-CN" w:bidi="ar"/>
              </w:rPr>
              <w:t>便携式隧道血压计</w:t>
            </w:r>
          </w:p>
        </w:tc>
        <w:tc>
          <w:tcPr>
            <w:tcW w:w="5760" w:type="dxa"/>
            <w:shd w:val="clear" w:color="auto" w:fill="auto"/>
            <w:vAlign w:val="bottom"/>
          </w:tcPr>
          <w:p w14:paraId="57127260">
            <w:pPr>
              <w:numPr>
                <w:ilvl w:val="0"/>
                <w:numId w:val="7"/>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测量范围：静态压力测量范围：0-295mmHg（0.0-39.33KPa）；</w:t>
            </w:r>
          </w:p>
          <w:p w14:paraId="5340A3C2">
            <w:pPr>
              <w:numPr>
                <w:ilvl w:val="0"/>
                <w:numId w:val="7"/>
              </w:numPr>
              <w:spacing w:line="36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脉搏测量范围：40-199次/分；</w:t>
            </w:r>
          </w:p>
          <w:p w14:paraId="43AACE15">
            <w:pPr>
              <w:numPr>
                <w:ilvl w:val="0"/>
                <w:numId w:val="7"/>
              </w:numPr>
              <w:spacing w:line="36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准确度：静态压力示值最大误差：±3mmHg，脉搏误差：±5%；</w:t>
            </w:r>
          </w:p>
          <w:p w14:paraId="4765941F">
            <w:pPr>
              <w:numPr>
                <w:ilvl w:val="0"/>
                <w:numId w:val="7"/>
              </w:numPr>
              <w:spacing w:line="36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扫码测量：扫描二维码或条形码测量；</w:t>
            </w:r>
          </w:p>
          <w:p w14:paraId="18EF7829">
            <w:pPr>
              <w:numPr>
                <w:ilvl w:val="0"/>
                <w:numId w:val="7"/>
              </w:numPr>
              <w:spacing w:line="36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操作提示：全程真人语音提示.  图片提示. 自动报读测量结果；</w:t>
            </w:r>
          </w:p>
          <w:p w14:paraId="2C642412">
            <w:pPr>
              <w:numPr>
                <w:ilvl w:val="0"/>
                <w:numId w:val="7"/>
              </w:numPr>
              <w:spacing w:line="36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测量方法：降压示法+柯式音法，双法测量更准确；</w:t>
            </w:r>
          </w:p>
          <w:p w14:paraId="2D4A0561">
            <w:pPr>
              <w:numPr>
                <w:ilvl w:val="0"/>
                <w:numId w:val="7"/>
              </w:numPr>
              <w:spacing w:line="36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可测上臂周长约24-42cm；</w:t>
            </w:r>
          </w:p>
          <w:p w14:paraId="5DAB21AA">
            <w:pPr>
              <w:numPr>
                <w:ilvl w:val="0"/>
                <w:numId w:val="7"/>
              </w:numPr>
              <w:spacing w:line="36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数据输出：wifi；</w:t>
            </w:r>
          </w:p>
          <w:p w14:paraId="70A894D7">
            <w:pPr>
              <w:numPr>
                <w:ilvl w:val="0"/>
                <w:numId w:val="7"/>
              </w:numPr>
              <w:spacing w:line="360" w:lineRule="auto"/>
              <w:ind w:left="0" w:leftChars="0" w:firstLine="0" w:firstLineChars="0"/>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拓展功能：扫码，刷卡；</w:t>
            </w:r>
          </w:p>
        </w:tc>
        <w:tc>
          <w:tcPr>
            <w:tcW w:w="686" w:type="dxa"/>
            <w:shd w:val="clear" w:color="auto" w:fill="auto"/>
            <w:vAlign w:val="center"/>
          </w:tcPr>
          <w:p w14:paraId="6EF560D6">
            <w:pPr>
              <w:keepNext w:val="0"/>
              <w:keepLines w:val="0"/>
              <w:widowControl/>
              <w:suppressLineNumbers w:val="0"/>
              <w:jc w:val="center"/>
              <w:textAlignment w:val="center"/>
              <w:rPr>
                <w:rFonts w:hint="default" w:ascii="宋体" w:hAnsi="宋体" w:eastAsia="宋体" w:cs="宋体"/>
                <w:i w:val="0"/>
                <w:iCs w:val="0"/>
                <w:color w:val="auto"/>
                <w:kern w:val="2"/>
                <w:sz w:val="24"/>
                <w:szCs w:val="24"/>
                <w:u w:val="none"/>
                <w:lang w:val="en-US" w:eastAsia="zh-CN" w:bidi="ar-SA"/>
              </w:rPr>
            </w:pPr>
            <w:r>
              <w:rPr>
                <w:rFonts w:hint="eastAsia" w:ascii="宋体" w:hAnsi="宋体" w:eastAsia="宋体" w:cs="宋体"/>
                <w:i w:val="0"/>
                <w:iCs w:val="0"/>
                <w:color w:val="auto"/>
                <w:kern w:val="0"/>
                <w:sz w:val="24"/>
                <w:szCs w:val="24"/>
                <w:u w:val="none"/>
                <w:lang w:val="en-US" w:eastAsia="zh-CN" w:bidi="ar"/>
              </w:rPr>
              <w:t>1台</w:t>
            </w:r>
          </w:p>
        </w:tc>
        <w:tc>
          <w:tcPr>
            <w:tcW w:w="445" w:type="dxa"/>
            <w:shd w:val="clear" w:color="auto" w:fill="auto"/>
            <w:vAlign w:val="center"/>
          </w:tcPr>
          <w:p w14:paraId="4DCBA9E6">
            <w:pPr>
              <w:spacing w:line="360" w:lineRule="auto"/>
              <w:jc w:val="center"/>
              <w:rPr>
                <w:rFonts w:hint="eastAsia" w:ascii="宋体" w:hAnsi="宋体" w:eastAsia="宋体" w:cs="宋体"/>
                <w:bCs/>
                <w:kern w:val="2"/>
                <w:sz w:val="24"/>
                <w:szCs w:val="24"/>
                <w:lang w:val="en-US" w:eastAsia="zh-CN" w:bidi="ar-SA"/>
              </w:rPr>
            </w:pPr>
            <w:r>
              <w:rPr>
                <w:rFonts w:hint="eastAsia" w:ascii="宋体" w:hAnsi="宋体" w:eastAsia="宋体" w:cs="宋体"/>
                <w:bCs/>
                <w:sz w:val="24"/>
                <w:szCs w:val="24"/>
                <w:lang w:val="en-US" w:eastAsia="zh-CN"/>
              </w:rPr>
              <w:t>工业</w:t>
            </w:r>
          </w:p>
        </w:tc>
        <w:tc>
          <w:tcPr>
            <w:tcW w:w="712" w:type="dxa"/>
            <w:shd w:val="clear" w:color="auto" w:fill="auto"/>
            <w:vAlign w:val="center"/>
          </w:tcPr>
          <w:p w14:paraId="70C2AD22">
            <w:pPr>
              <w:spacing w:line="360" w:lineRule="auto"/>
              <w:jc w:val="center"/>
              <w:rPr>
                <w:rFonts w:hint="eastAsia" w:ascii="宋体" w:hAnsi="宋体" w:eastAsia="宋体" w:cs="宋体"/>
                <w:bCs/>
                <w:kern w:val="2"/>
                <w:sz w:val="24"/>
                <w:szCs w:val="24"/>
                <w:lang w:val="en-US" w:eastAsia="zh-CN" w:bidi="ar-SA"/>
              </w:rPr>
            </w:pPr>
            <w:r>
              <w:rPr>
                <w:rFonts w:hint="eastAsia" w:ascii="宋体" w:hAnsi="宋体" w:eastAsia="宋体" w:cs="宋体"/>
                <w:bCs/>
                <w:sz w:val="24"/>
                <w:szCs w:val="24"/>
                <w:lang w:val="en-US" w:eastAsia="zh-CN"/>
              </w:rPr>
              <w:t>否</w:t>
            </w:r>
          </w:p>
        </w:tc>
        <w:tc>
          <w:tcPr>
            <w:tcW w:w="538" w:type="dxa"/>
            <w:vAlign w:val="center"/>
          </w:tcPr>
          <w:p w14:paraId="59A9083B">
            <w:pPr>
              <w:spacing w:line="360" w:lineRule="auto"/>
              <w:jc w:val="center"/>
              <w:rPr>
                <w:rFonts w:hint="eastAsia" w:ascii="宋体" w:hAnsi="宋体" w:eastAsia="宋体" w:cs="宋体"/>
                <w:bCs/>
                <w:sz w:val="24"/>
                <w:szCs w:val="24"/>
              </w:rPr>
            </w:pPr>
          </w:p>
        </w:tc>
      </w:tr>
      <w:tr w14:paraId="6EF67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4" w:type="dxa"/>
            <w:shd w:val="clear" w:color="auto" w:fill="auto"/>
            <w:vAlign w:val="center"/>
          </w:tcPr>
          <w:p w14:paraId="249DCFEE">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4</w:t>
            </w:r>
          </w:p>
        </w:tc>
        <w:tc>
          <w:tcPr>
            <w:tcW w:w="789" w:type="dxa"/>
            <w:shd w:val="clear" w:color="auto" w:fill="auto"/>
            <w:vAlign w:val="center"/>
          </w:tcPr>
          <w:p w14:paraId="55D9FE4E">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便携式心电图机</w:t>
            </w:r>
          </w:p>
        </w:tc>
        <w:tc>
          <w:tcPr>
            <w:tcW w:w="5760" w:type="dxa"/>
            <w:shd w:val="clear" w:color="auto" w:fill="auto"/>
            <w:vAlign w:val="bottom"/>
          </w:tcPr>
          <w:p w14:paraId="65EA21AA">
            <w:pPr>
              <w:numPr>
                <w:ilvl w:val="0"/>
                <w:numId w:val="8"/>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十二导联同步采集，支持常规十二导联. Cabrera 导联波形显示。通过对心电信号的工频（50/60Hz）滤波. 基线滤波和肌电（25/35Hz）滤波，可以获得更高质量的心电图谱。</w:t>
            </w:r>
          </w:p>
          <w:p w14:paraId="366698FF">
            <w:pPr>
              <w:numPr>
                <w:ilvl w:val="0"/>
                <w:numId w:val="8"/>
              </w:numPr>
              <w:spacing w:line="36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同屏显示 3、6、 12 导联心电波形，显示心率值. 打印式. 灵敏度. 走纸速度. 滤波器状态. 时钟. 电量. 背景网格. 测量参数与解释等信息并具有导联脱落. 导联过载. 系统工作状态提示功能。</w:t>
            </w:r>
          </w:p>
          <w:p w14:paraId="12222468">
            <w:pPr>
              <w:numPr>
                <w:ilvl w:val="0"/>
                <w:numId w:val="8"/>
              </w:numPr>
              <w:spacing w:line="36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交直流两用，内置可充电锂电池，待机不少于 10 小时. 持续打印时间不小于 3 小时。</w:t>
            </w:r>
          </w:p>
          <w:p w14:paraId="1465F358">
            <w:pPr>
              <w:numPr>
                <w:ilvl w:val="0"/>
                <w:numId w:val="8"/>
              </w:numPr>
              <w:spacing w:line="36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内置热敏打印机，支持自动 MXN. MXN+1. MXN+2. 节律M行. 手动等多种打印模式及格式，打印内容包含:时间、走纸速度、灵敏度、定标信号、导联名称、滤波状态、患者信息，可设置打印波形长度、输出测量参数、诊断结论、叠加 ORS 波形、直方图、趋势图、间隔列表等信息，具备定时打印、心律失常自动触发打印等功能，可满足不同的应用需要。</w:t>
            </w:r>
          </w:p>
          <w:p w14:paraId="2C9B2640">
            <w:pPr>
              <w:numPr>
                <w:ilvl w:val="0"/>
                <w:numId w:val="8"/>
              </w:numPr>
              <w:spacing w:line="36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具有常规心电图参数自动测量和解释功能，提供心率、 PR间期、 P 时限ORS 时限、QT/QTC间期、P/ORS/T 电轴、 R（V5）、S（V1）、 R（V5）+S（V1）幅度等测量参数及自动诊断结论，减轻医生工作负担。</w:t>
            </w:r>
          </w:p>
          <w:p w14:paraId="2E124CEF">
            <w:pPr>
              <w:numPr>
                <w:ilvl w:val="0"/>
                <w:numId w:val="8"/>
              </w:numPr>
              <w:spacing w:line="36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内置大容量存储器，可存储至少4000份（数据保存时长10秒钟）的病历方便医生回顾病历和统计信息。</w:t>
            </w:r>
          </w:p>
          <w:p w14:paraId="2E555626">
            <w:pPr>
              <w:numPr>
                <w:ilvl w:val="0"/>
                <w:numId w:val="8"/>
              </w:numPr>
              <w:spacing w:line="36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历史病历可回顾、查询、修改、传输、打印、导联纠正，也可导出多种电子文件格式（dat、pdf、xml、 bmp、 jpeg、 png等）。</w:t>
            </w:r>
          </w:p>
          <w:p w14:paraId="01B38C30">
            <w:pPr>
              <w:numPr>
                <w:ilvl w:val="0"/>
                <w:numId w:val="8"/>
              </w:numPr>
              <w:spacing w:line="36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支持通信网络，可自动上传病例、自动下载报告并打印。</w:t>
            </w:r>
          </w:p>
          <w:p w14:paraId="47DC78A0">
            <w:pPr>
              <w:numPr>
                <w:ilvl w:val="0"/>
                <w:numId w:val="8"/>
              </w:numPr>
              <w:spacing w:line="360" w:lineRule="auto"/>
              <w:ind w:left="0" w:leftChars="0" w:firstLine="0" w:firstLineChars="0"/>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支持外接 USB 标准键盘、 鼠标、扫码器、打印机。</w:t>
            </w:r>
          </w:p>
        </w:tc>
        <w:tc>
          <w:tcPr>
            <w:tcW w:w="686" w:type="dxa"/>
            <w:shd w:val="clear" w:color="auto" w:fill="auto"/>
            <w:vAlign w:val="center"/>
          </w:tcPr>
          <w:p w14:paraId="1762AE4E">
            <w:pPr>
              <w:keepNext w:val="0"/>
              <w:keepLines w:val="0"/>
              <w:widowControl/>
              <w:suppressLineNumbers w:val="0"/>
              <w:jc w:val="center"/>
              <w:textAlignment w:val="center"/>
              <w:rPr>
                <w:rFonts w:hint="default"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1台</w:t>
            </w:r>
          </w:p>
        </w:tc>
        <w:tc>
          <w:tcPr>
            <w:tcW w:w="445" w:type="dxa"/>
            <w:shd w:val="clear" w:color="auto" w:fill="auto"/>
            <w:vAlign w:val="center"/>
          </w:tcPr>
          <w:p w14:paraId="7EEF94E3">
            <w:pPr>
              <w:spacing w:line="360" w:lineRule="auto"/>
              <w:jc w:val="center"/>
              <w:rPr>
                <w:rFonts w:hint="eastAsia" w:ascii="宋体" w:hAnsi="宋体" w:eastAsia="宋体" w:cs="宋体"/>
                <w:bCs/>
                <w:kern w:val="2"/>
                <w:sz w:val="24"/>
                <w:szCs w:val="24"/>
                <w:lang w:val="en-US" w:eastAsia="zh-CN" w:bidi="ar-SA"/>
              </w:rPr>
            </w:pPr>
            <w:r>
              <w:rPr>
                <w:rFonts w:hint="eastAsia" w:ascii="宋体" w:hAnsi="宋体" w:eastAsia="宋体" w:cs="宋体"/>
                <w:bCs/>
                <w:sz w:val="24"/>
                <w:szCs w:val="24"/>
                <w:lang w:val="en-US" w:eastAsia="zh-CN"/>
              </w:rPr>
              <w:t>工业</w:t>
            </w:r>
          </w:p>
        </w:tc>
        <w:tc>
          <w:tcPr>
            <w:tcW w:w="712" w:type="dxa"/>
            <w:shd w:val="clear" w:color="auto" w:fill="auto"/>
            <w:vAlign w:val="center"/>
          </w:tcPr>
          <w:p w14:paraId="0658167C">
            <w:pPr>
              <w:spacing w:line="360" w:lineRule="auto"/>
              <w:jc w:val="center"/>
              <w:rPr>
                <w:rFonts w:hint="eastAsia" w:ascii="宋体" w:hAnsi="宋体" w:eastAsia="宋体" w:cs="宋体"/>
                <w:bCs/>
                <w:kern w:val="2"/>
                <w:sz w:val="24"/>
                <w:szCs w:val="24"/>
                <w:lang w:val="en-US" w:eastAsia="zh-CN" w:bidi="ar-SA"/>
              </w:rPr>
            </w:pPr>
            <w:r>
              <w:rPr>
                <w:rFonts w:hint="eastAsia" w:ascii="宋体" w:hAnsi="宋体" w:eastAsia="宋体" w:cs="宋体"/>
                <w:bCs/>
                <w:sz w:val="24"/>
                <w:szCs w:val="24"/>
                <w:lang w:val="en-US" w:eastAsia="zh-CN"/>
              </w:rPr>
              <w:t>否</w:t>
            </w:r>
          </w:p>
        </w:tc>
        <w:tc>
          <w:tcPr>
            <w:tcW w:w="538" w:type="dxa"/>
            <w:vAlign w:val="center"/>
          </w:tcPr>
          <w:p w14:paraId="454844A2">
            <w:pPr>
              <w:spacing w:line="360" w:lineRule="auto"/>
              <w:jc w:val="center"/>
              <w:rPr>
                <w:rFonts w:hint="eastAsia" w:ascii="宋体" w:hAnsi="宋体" w:eastAsia="宋体" w:cs="宋体"/>
                <w:bCs/>
                <w:sz w:val="24"/>
                <w:szCs w:val="24"/>
              </w:rPr>
            </w:pPr>
          </w:p>
        </w:tc>
      </w:tr>
      <w:tr w14:paraId="52062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4" w:type="dxa"/>
            <w:shd w:val="clear" w:color="auto" w:fill="auto"/>
            <w:vAlign w:val="center"/>
          </w:tcPr>
          <w:p w14:paraId="4EAB33DA">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5</w:t>
            </w:r>
          </w:p>
        </w:tc>
        <w:tc>
          <w:tcPr>
            <w:tcW w:w="789" w:type="dxa"/>
            <w:shd w:val="clear" w:color="auto" w:fill="auto"/>
            <w:vAlign w:val="center"/>
          </w:tcPr>
          <w:p w14:paraId="33FAE921">
            <w:pPr>
              <w:keepNext w:val="0"/>
              <w:keepLines w:val="0"/>
              <w:widowControl/>
              <w:suppressLineNumbers w:val="0"/>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尿液分析仪</w:t>
            </w:r>
          </w:p>
        </w:tc>
        <w:tc>
          <w:tcPr>
            <w:tcW w:w="5760" w:type="dxa"/>
            <w:shd w:val="clear" w:color="auto" w:fill="auto"/>
            <w:vAlign w:val="bottom"/>
          </w:tcPr>
          <w:p w14:paraId="5A61CAA6">
            <w:pPr>
              <w:numPr>
                <w:ilvl w:val="0"/>
                <w:numId w:val="9"/>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适用范围：2. 10. 11. 12. 14项试纸兼容；</w:t>
            </w:r>
          </w:p>
          <w:p w14:paraId="7467F546">
            <w:pPr>
              <w:numPr>
                <w:ilvl w:val="0"/>
                <w:numId w:val="9"/>
              </w:numPr>
              <w:spacing w:line="36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检测项目：葡萄糖（GLU）、胆红素（BIL）、酮体（KET）、比重（SG）、酸碱度（PI），潜血（BLD），蛋白质（PRO）、尿胆原（URO）、亚硝酸盐（NIT）、 白细胞（LEU）、抗坏血酸（VC）、肌酐（CRE）、钙离子（CAL），微量白蛋白（MAL）；</w:t>
            </w:r>
          </w:p>
          <w:p w14:paraId="12336C29">
            <w:pPr>
              <w:numPr>
                <w:ilvl w:val="0"/>
                <w:numId w:val="9"/>
              </w:numPr>
              <w:spacing w:line="36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数据存储：人容量存储器、可存储十万份测试结果，支持多种方式查询结果；</w:t>
            </w:r>
          </w:p>
          <w:p w14:paraId="14175C47">
            <w:pPr>
              <w:numPr>
                <w:ilvl w:val="0"/>
                <w:numId w:val="9"/>
              </w:numPr>
              <w:spacing w:line="36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外设：自带RS232中口，预留RS232蓝牙、WiFi、网络等接口，可外接尿沉渣分析系统. 医院管理软件（HIS、LIS）；</w:t>
            </w:r>
          </w:p>
          <w:p w14:paraId="6E1440C2">
            <w:pPr>
              <w:numPr>
                <w:ilvl w:val="0"/>
                <w:numId w:val="9"/>
              </w:numPr>
              <w:spacing w:line="36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使用电源：交流100~240V士10%，50-60Hz；</w:t>
            </w:r>
          </w:p>
          <w:p w14:paraId="2C7DE9C6">
            <w:pPr>
              <w:numPr>
                <w:ilvl w:val="0"/>
                <w:numId w:val="9"/>
              </w:numPr>
              <w:spacing w:line="360" w:lineRule="auto"/>
              <w:ind w:left="0" w:leftChars="0" w:firstLine="0" w:firstLineChars="0"/>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测试速度：≥500人份/小时。</w:t>
            </w:r>
          </w:p>
        </w:tc>
        <w:tc>
          <w:tcPr>
            <w:tcW w:w="686" w:type="dxa"/>
            <w:shd w:val="clear" w:color="auto" w:fill="auto"/>
            <w:vAlign w:val="center"/>
          </w:tcPr>
          <w:p w14:paraId="43A11B15">
            <w:pPr>
              <w:keepNext w:val="0"/>
              <w:keepLines w:val="0"/>
              <w:widowControl/>
              <w:suppressLineNumbers w:val="0"/>
              <w:jc w:val="center"/>
              <w:textAlignment w:val="center"/>
              <w:rPr>
                <w:rFonts w:hint="default"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1台</w:t>
            </w:r>
          </w:p>
        </w:tc>
        <w:tc>
          <w:tcPr>
            <w:tcW w:w="445" w:type="dxa"/>
            <w:shd w:val="clear" w:color="auto" w:fill="auto"/>
            <w:vAlign w:val="center"/>
          </w:tcPr>
          <w:p w14:paraId="73AAF4AD">
            <w:pPr>
              <w:spacing w:line="360" w:lineRule="auto"/>
              <w:jc w:val="center"/>
              <w:rPr>
                <w:rFonts w:hint="eastAsia" w:ascii="宋体" w:hAnsi="宋体" w:eastAsia="宋体" w:cs="宋体"/>
                <w:bCs/>
                <w:kern w:val="2"/>
                <w:sz w:val="24"/>
                <w:szCs w:val="24"/>
                <w:lang w:val="en-US" w:eastAsia="zh-CN" w:bidi="ar-SA"/>
              </w:rPr>
            </w:pPr>
            <w:r>
              <w:rPr>
                <w:rFonts w:hint="eastAsia" w:ascii="宋体" w:hAnsi="宋体" w:eastAsia="宋体" w:cs="宋体"/>
                <w:bCs/>
                <w:sz w:val="24"/>
                <w:szCs w:val="24"/>
                <w:lang w:val="en-US" w:eastAsia="zh-CN"/>
              </w:rPr>
              <w:t>工业</w:t>
            </w:r>
          </w:p>
        </w:tc>
        <w:tc>
          <w:tcPr>
            <w:tcW w:w="712" w:type="dxa"/>
            <w:shd w:val="clear" w:color="auto" w:fill="auto"/>
            <w:vAlign w:val="center"/>
          </w:tcPr>
          <w:p w14:paraId="3755EE6A">
            <w:pPr>
              <w:spacing w:line="360" w:lineRule="auto"/>
              <w:jc w:val="center"/>
              <w:rPr>
                <w:rFonts w:hint="eastAsia" w:ascii="宋体" w:hAnsi="宋体" w:eastAsia="宋体" w:cs="宋体"/>
                <w:bCs/>
                <w:kern w:val="2"/>
                <w:sz w:val="24"/>
                <w:szCs w:val="24"/>
                <w:lang w:val="en-US" w:eastAsia="zh-CN" w:bidi="ar-SA"/>
              </w:rPr>
            </w:pPr>
            <w:r>
              <w:rPr>
                <w:rFonts w:hint="eastAsia" w:ascii="宋体" w:hAnsi="宋体" w:eastAsia="宋体" w:cs="宋体"/>
                <w:bCs/>
                <w:sz w:val="24"/>
                <w:szCs w:val="24"/>
                <w:lang w:val="en-US" w:eastAsia="zh-CN"/>
              </w:rPr>
              <w:t>否</w:t>
            </w:r>
          </w:p>
        </w:tc>
        <w:tc>
          <w:tcPr>
            <w:tcW w:w="538" w:type="dxa"/>
            <w:shd w:val="clear" w:color="auto" w:fill="auto"/>
            <w:vAlign w:val="center"/>
          </w:tcPr>
          <w:p w14:paraId="7F3E203F">
            <w:pPr>
              <w:spacing w:line="360" w:lineRule="auto"/>
              <w:jc w:val="center"/>
              <w:rPr>
                <w:rFonts w:hint="eastAsia" w:ascii="宋体" w:hAnsi="宋体" w:eastAsia="宋体" w:cs="宋体"/>
                <w:bCs/>
                <w:kern w:val="2"/>
                <w:sz w:val="24"/>
                <w:szCs w:val="24"/>
                <w:lang w:val="en-US" w:eastAsia="zh-CN" w:bidi="ar-SA"/>
              </w:rPr>
            </w:pPr>
          </w:p>
        </w:tc>
      </w:tr>
      <w:tr w14:paraId="5C388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4" w:type="dxa"/>
            <w:shd w:val="clear" w:color="auto" w:fill="auto"/>
            <w:vAlign w:val="center"/>
          </w:tcPr>
          <w:p w14:paraId="735B0E63">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6</w:t>
            </w:r>
          </w:p>
        </w:tc>
        <w:tc>
          <w:tcPr>
            <w:tcW w:w="789" w:type="dxa"/>
            <w:shd w:val="clear" w:color="auto" w:fill="auto"/>
            <w:vAlign w:val="center"/>
          </w:tcPr>
          <w:p w14:paraId="2DC873E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B超采集卡、视频线，超声工作站（不含便携式B超仪器）</w:t>
            </w:r>
          </w:p>
        </w:tc>
        <w:tc>
          <w:tcPr>
            <w:tcW w:w="5760" w:type="dxa"/>
            <w:shd w:val="clear" w:color="auto" w:fill="auto"/>
            <w:vAlign w:val="bottom"/>
          </w:tcPr>
          <w:p w14:paraId="7A4B816C">
            <w:pPr>
              <w:numPr>
                <w:ilvl w:val="0"/>
                <w:numId w:val="10"/>
              </w:numPr>
              <w:spacing w:line="360" w:lineRule="auto"/>
              <w:rPr>
                <w:rFonts w:hint="eastAsia"/>
                <w:lang w:val="en-US" w:eastAsia="zh-CN"/>
              </w:rPr>
            </w:pPr>
            <w:r>
              <w:rPr>
                <w:rFonts w:hint="eastAsia" w:ascii="宋体" w:hAnsi="宋体" w:eastAsia="宋体" w:cs="宋体"/>
                <w:sz w:val="24"/>
                <w:szCs w:val="24"/>
                <w:lang w:val="en-US" w:eastAsia="zh-CN"/>
              </w:rPr>
              <w:t>系统平台：需支持主流操作系统。</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2. 报告设计：需支持根据需要直接进行个性化设计，包括线、字段、图片、位置、大小、颜色任意设计。</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3. 模板术语：需支持编辑模板，方便医生快速建立自己的专家词库。</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4. 采集方式：需支持通过鼠标或脚踏开关对图像或视频进行采集。</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5. 录像管理：需支持播放、 删除录像，并设置了录像的存储路径，医生可以直接找到录像的源文件，方便拷贝。可以分段、多段录取动态影像，并可对播放录像进行二次回采。</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6. 统计备份：需提供常规的日常统计模块，对选择相应时间段内的医生工作量、送检医生工作量、诊断医生检查项目、病人性别、病人年龄、病区工作量、设备工作量、科室工作量等进行统计。常规备份可采用网页浏览格式，无须依赖软件环境，可在任意电脑上同时显示图像信息和病人资料。</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7. 查询功能：需支持多字段查询功能。20多种项目组合查询，可多条件的进行数据过滤，方便医生精确锁定查询结果，诊断内容和结论的模糊查询，便于医生对资料的归纳和总结。</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8. 采集设备：需支持VIDEO、 S-VIDEO接口。</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9. 采集开关：需提供USB接口脚踏式。</w:t>
            </w:r>
          </w:p>
        </w:tc>
        <w:tc>
          <w:tcPr>
            <w:tcW w:w="686" w:type="dxa"/>
            <w:shd w:val="clear" w:color="auto" w:fill="auto"/>
            <w:vAlign w:val="center"/>
          </w:tcPr>
          <w:p w14:paraId="1ADAC6ED">
            <w:pPr>
              <w:keepNext w:val="0"/>
              <w:keepLines w:val="0"/>
              <w:widowControl/>
              <w:suppressLineNumbers w:val="0"/>
              <w:jc w:val="center"/>
              <w:textAlignment w:val="center"/>
              <w:rPr>
                <w:rFonts w:hint="default"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1台</w:t>
            </w:r>
          </w:p>
        </w:tc>
        <w:tc>
          <w:tcPr>
            <w:tcW w:w="445" w:type="dxa"/>
            <w:shd w:val="clear" w:color="auto" w:fill="auto"/>
            <w:vAlign w:val="center"/>
          </w:tcPr>
          <w:p w14:paraId="5499800C">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软</w:t>
            </w:r>
          </w:p>
          <w:p w14:paraId="6D2DF56D">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件</w:t>
            </w:r>
          </w:p>
          <w:p w14:paraId="47D74F95">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和</w:t>
            </w:r>
          </w:p>
          <w:p w14:paraId="799FA2D7">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信</w:t>
            </w:r>
          </w:p>
          <w:p w14:paraId="1E686A97">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息</w:t>
            </w:r>
          </w:p>
          <w:p w14:paraId="5E48096F">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技</w:t>
            </w:r>
          </w:p>
          <w:p w14:paraId="2E315A84">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术</w:t>
            </w:r>
          </w:p>
          <w:p w14:paraId="6B5C87E4">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服</w:t>
            </w:r>
          </w:p>
          <w:p w14:paraId="2C36889A">
            <w:pPr>
              <w:spacing w:line="360" w:lineRule="auto"/>
              <w:jc w:val="center"/>
              <w:rPr>
                <w:rFonts w:hint="eastAsia" w:ascii="宋体" w:hAnsi="宋体" w:eastAsia="宋体" w:cs="宋体"/>
                <w:bCs/>
                <w:sz w:val="24"/>
                <w:szCs w:val="24"/>
              </w:rPr>
            </w:pPr>
            <w:r>
              <w:rPr>
                <w:rFonts w:hint="eastAsia" w:ascii="宋体" w:hAnsi="宋体" w:eastAsia="宋体" w:cs="宋体"/>
                <w:bCs/>
                <w:sz w:val="24"/>
                <w:szCs w:val="24"/>
              </w:rPr>
              <w:t>务</w:t>
            </w:r>
          </w:p>
          <w:p w14:paraId="11F40329">
            <w:pPr>
              <w:spacing w:line="360" w:lineRule="auto"/>
              <w:jc w:val="center"/>
              <w:rPr>
                <w:rFonts w:hint="eastAsia" w:ascii="宋体" w:hAnsi="宋体" w:eastAsia="宋体" w:cs="宋体"/>
                <w:bCs/>
                <w:kern w:val="2"/>
                <w:sz w:val="24"/>
                <w:szCs w:val="24"/>
                <w:lang w:val="en-US" w:eastAsia="zh-CN" w:bidi="ar-SA"/>
              </w:rPr>
            </w:pPr>
            <w:r>
              <w:rPr>
                <w:rFonts w:hint="eastAsia" w:ascii="宋体" w:hAnsi="宋体" w:eastAsia="宋体" w:cs="宋体"/>
                <w:bCs/>
                <w:sz w:val="24"/>
                <w:szCs w:val="24"/>
              </w:rPr>
              <w:t>业</w:t>
            </w:r>
          </w:p>
        </w:tc>
        <w:tc>
          <w:tcPr>
            <w:tcW w:w="712" w:type="dxa"/>
            <w:shd w:val="clear" w:color="auto" w:fill="auto"/>
            <w:vAlign w:val="center"/>
          </w:tcPr>
          <w:p w14:paraId="25832ED5">
            <w:pPr>
              <w:spacing w:line="360" w:lineRule="auto"/>
              <w:jc w:val="center"/>
              <w:rPr>
                <w:rFonts w:hint="eastAsia" w:ascii="宋体" w:hAnsi="宋体" w:eastAsia="宋体" w:cs="宋体"/>
                <w:bCs/>
                <w:kern w:val="2"/>
                <w:sz w:val="24"/>
                <w:szCs w:val="24"/>
                <w:lang w:val="en-US" w:eastAsia="zh-CN" w:bidi="ar-SA"/>
              </w:rPr>
            </w:pPr>
            <w:r>
              <w:rPr>
                <w:rFonts w:hint="eastAsia" w:ascii="宋体" w:hAnsi="宋体" w:eastAsia="宋体" w:cs="宋体"/>
                <w:bCs/>
                <w:sz w:val="24"/>
                <w:szCs w:val="24"/>
                <w:lang w:val="en-US" w:eastAsia="zh-CN"/>
              </w:rPr>
              <w:t>否</w:t>
            </w:r>
          </w:p>
        </w:tc>
        <w:tc>
          <w:tcPr>
            <w:tcW w:w="538" w:type="dxa"/>
            <w:shd w:val="clear" w:color="auto" w:fill="auto"/>
            <w:vAlign w:val="center"/>
          </w:tcPr>
          <w:p w14:paraId="30B187E6">
            <w:pPr>
              <w:spacing w:line="360" w:lineRule="auto"/>
              <w:jc w:val="center"/>
              <w:rPr>
                <w:rFonts w:hint="eastAsia" w:ascii="宋体" w:hAnsi="宋体" w:eastAsia="宋体" w:cs="宋体"/>
                <w:bCs/>
                <w:kern w:val="2"/>
                <w:sz w:val="24"/>
                <w:szCs w:val="24"/>
                <w:lang w:val="en-US" w:eastAsia="zh-CN" w:bidi="ar-SA"/>
              </w:rPr>
            </w:pPr>
          </w:p>
        </w:tc>
      </w:tr>
    </w:tbl>
    <w:p w14:paraId="64463856">
      <w:pPr>
        <w:spacing w:line="360" w:lineRule="auto"/>
        <w:ind w:firstLine="437"/>
        <w:outlineLvl w:val="1"/>
        <w:rPr>
          <w:rFonts w:hint="eastAsia" w:ascii="宋体" w:hAnsi="宋体" w:eastAsia="宋体"/>
          <w:b/>
          <w:bCs/>
          <w:sz w:val="24"/>
          <w:szCs w:val="18"/>
        </w:rPr>
      </w:pPr>
      <w:r>
        <w:rPr>
          <w:rFonts w:hint="eastAsia" w:ascii="宋体" w:hAnsi="宋体" w:eastAsia="宋体"/>
          <w:b/>
          <w:bCs/>
          <w:sz w:val="24"/>
          <w:szCs w:val="18"/>
        </w:rPr>
        <w:t xml:space="preserve">备注： </w:t>
      </w:r>
    </w:p>
    <w:p w14:paraId="5CCE0A01">
      <w:pPr>
        <w:numPr>
          <w:ilvl w:val="0"/>
          <w:numId w:val="0"/>
        </w:numPr>
        <w:spacing w:line="360" w:lineRule="auto"/>
        <w:ind w:left="0" w:leftChars="0" w:firstLine="437" w:firstLineChars="0"/>
        <w:outlineLvl w:val="1"/>
        <w:rPr>
          <w:rFonts w:hint="eastAsia" w:ascii="宋体" w:hAnsi="宋体" w:eastAsia="宋体"/>
          <w:b/>
          <w:bCs/>
          <w:sz w:val="24"/>
          <w:szCs w:val="18"/>
        </w:rPr>
      </w:pPr>
      <w:r>
        <w:rPr>
          <w:rFonts w:hint="eastAsia" w:ascii="宋体" w:hAnsi="宋体" w:eastAsia="宋体" w:cs="@仿宋_GB2312"/>
          <w:b/>
          <w:bCs/>
          <w:kern w:val="2"/>
          <w:sz w:val="24"/>
          <w:szCs w:val="18"/>
          <w:lang w:val="en-US" w:eastAsia="zh-CN" w:bidi="ar-SA"/>
        </w:rPr>
        <w:t>1.</w:t>
      </w:r>
      <w:r>
        <w:rPr>
          <w:rFonts w:hint="eastAsia" w:ascii="宋体" w:hAnsi="宋体" w:eastAsia="宋体"/>
          <w:b/>
          <w:bCs/>
          <w:sz w:val="24"/>
          <w:szCs w:val="18"/>
        </w:rPr>
        <w:t>标</w:t>
      </w:r>
      <w:r>
        <w:rPr>
          <w:rFonts w:hint="eastAsia" w:ascii="宋体" w:hAnsi="宋体" w:eastAsia="宋体"/>
          <w:b/>
          <w:bCs/>
          <w:sz w:val="24"/>
          <w:szCs w:val="18"/>
          <w:lang w:eastAsia="zh-CN"/>
        </w:rPr>
        <w:t>“</w:t>
      </w:r>
      <w:r>
        <w:rPr>
          <w:rFonts w:hint="eastAsia" w:ascii="宋体" w:hAnsi="宋体" w:eastAsia="宋体"/>
          <w:b/>
          <w:bCs/>
          <w:sz w:val="24"/>
          <w:szCs w:val="18"/>
        </w:rPr>
        <w:t xml:space="preserve"> ★</w:t>
      </w:r>
      <w:r>
        <w:rPr>
          <w:rFonts w:hint="eastAsia" w:ascii="宋体" w:hAnsi="宋体" w:eastAsia="宋体"/>
          <w:b/>
          <w:bCs/>
          <w:sz w:val="24"/>
          <w:szCs w:val="18"/>
          <w:lang w:eastAsia="zh-CN"/>
        </w:rPr>
        <w:t>”</w:t>
      </w:r>
      <w:r>
        <w:rPr>
          <w:rFonts w:hint="eastAsia" w:ascii="宋体" w:hAnsi="宋体" w:eastAsia="宋体"/>
          <w:b/>
          <w:bCs/>
          <w:sz w:val="24"/>
          <w:szCs w:val="18"/>
        </w:rPr>
        <w:t>参数须完全满足竞争性磋商文件要求，未提供证明材料或提供的证明材料不符合视为未实质性响应采购需求，响应无效。</w:t>
      </w:r>
    </w:p>
    <w:p w14:paraId="5337FF4C">
      <w:pPr>
        <w:numPr>
          <w:ilvl w:val="0"/>
          <w:numId w:val="0"/>
        </w:numPr>
        <w:spacing w:line="360" w:lineRule="auto"/>
        <w:ind w:left="0" w:leftChars="0" w:firstLine="437" w:firstLineChars="0"/>
        <w:outlineLvl w:val="1"/>
        <w:rPr>
          <w:rFonts w:hint="eastAsia" w:ascii="宋体" w:hAnsi="宋体" w:eastAsia="宋体" w:cs="@仿宋_GB2312"/>
          <w:b/>
          <w:bCs/>
          <w:kern w:val="2"/>
          <w:sz w:val="24"/>
          <w:szCs w:val="18"/>
          <w:lang w:val="en-US" w:eastAsia="zh-CN" w:bidi="ar-SA"/>
        </w:rPr>
      </w:pPr>
      <w:r>
        <w:rPr>
          <w:rFonts w:hint="eastAsia" w:ascii="宋体" w:hAnsi="宋体" w:eastAsia="宋体" w:cs="@仿宋_GB2312"/>
          <w:b/>
          <w:bCs/>
          <w:kern w:val="2"/>
          <w:sz w:val="24"/>
          <w:szCs w:val="18"/>
          <w:lang w:val="en-US" w:eastAsia="zh-CN" w:bidi="ar-SA"/>
        </w:rPr>
        <w:t>2.标注“▲”参数为关键参数，评分条款、具体评分细则详见第四章评标方法和标准。</w:t>
      </w:r>
    </w:p>
    <w:p w14:paraId="2973E6C4">
      <w:pPr>
        <w:numPr>
          <w:ilvl w:val="0"/>
          <w:numId w:val="0"/>
        </w:numPr>
        <w:spacing w:line="360" w:lineRule="auto"/>
        <w:ind w:left="0" w:leftChars="0" w:firstLine="437" w:firstLineChars="0"/>
        <w:outlineLvl w:val="1"/>
        <w:rPr>
          <w:rFonts w:hint="default" w:ascii="宋体" w:hAnsi="宋体" w:eastAsia="宋体" w:cs="@仿宋_GB2312"/>
          <w:b/>
          <w:bCs/>
          <w:kern w:val="2"/>
          <w:sz w:val="24"/>
          <w:szCs w:val="18"/>
          <w:lang w:val="en-US" w:eastAsia="zh-CN" w:bidi="ar-SA"/>
        </w:rPr>
      </w:pPr>
      <w:r>
        <w:rPr>
          <w:rFonts w:hint="eastAsia" w:ascii="宋体" w:hAnsi="宋体" w:eastAsia="宋体" w:cs="@仿宋_GB2312"/>
          <w:b/>
          <w:bCs/>
          <w:kern w:val="2"/>
          <w:sz w:val="24"/>
          <w:szCs w:val="18"/>
          <w:lang w:val="en-US" w:eastAsia="zh-CN" w:bidi="ar-SA"/>
        </w:rPr>
        <w:t>3.其他参数为非关键参数，如有</w:t>
      </w:r>
      <w:r>
        <w:rPr>
          <w:rFonts w:hint="eastAsia" w:ascii="宋体" w:hAnsi="宋体" w:eastAsia="宋体" w:cs="@仿宋_GB2312"/>
          <w:b/>
          <w:bCs/>
          <w:kern w:val="2"/>
          <w:sz w:val="24"/>
          <w:szCs w:val="18"/>
          <w:u w:val="single"/>
          <w:lang w:val="en-US" w:eastAsia="zh-CN" w:bidi="ar-SA"/>
        </w:rPr>
        <w:t xml:space="preserve"> 5 项或 5 项以上</w:t>
      </w:r>
      <w:r>
        <w:rPr>
          <w:rFonts w:hint="eastAsia" w:ascii="宋体" w:hAnsi="宋体" w:eastAsia="宋体" w:cs="@仿宋_GB2312"/>
          <w:b/>
          <w:bCs/>
          <w:kern w:val="2"/>
          <w:sz w:val="24"/>
          <w:szCs w:val="18"/>
          <w:lang w:val="en-US" w:eastAsia="zh-CN" w:bidi="ar-SA"/>
        </w:rPr>
        <w:t>不满足，也视为未实质性响应采购需求。</w:t>
      </w:r>
    </w:p>
    <w:p w14:paraId="5078BBB9">
      <w:pPr>
        <w:spacing w:line="360" w:lineRule="auto"/>
        <w:ind w:firstLine="437"/>
        <w:outlineLvl w:val="1"/>
        <w:rPr>
          <w:rFonts w:hint="eastAsia" w:ascii="宋体" w:hAnsi="宋体" w:eastAsia="宋体"/>
          <w:b/>
          <w:bCs/>
          <w:sz w:val="24"/>
          <w:szCs w:val="18"/>
        </w:rPr>
      </w:pPr>
      <w:r>
        <w:rPr>
          <w:rFonts w:hint="eastAsia" w:ascii="宋体" w:hAnsi="宋体" w:eastAsia="宋体"/>
          <w:b/>
          <w:bCs/>
          <w:sz w:val="24"/>
          <w:szCs w:val="18"/>
        </w:rPr>
        <w:t>三、报价要求</w:t>
      </w:r>
      <w:bookmarkEnd w:id="9"/>
      <w:bookmarkEnd w:id="10"/>
      <w:bookmarkEnd w:id="11"/>
      <w:bookmarkEnd w:id="12"/>
    </w:p>
    <w:p w14:paraId="42C67A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bCs/>
          <w:sz w:val="24"/>
          <w:szCs w:val="18"/>
        </w:rPr>
      </w:pPr>
      <w:r>
        <w:rPr>
          <w:rFonts w:hint="eastAsia" w:ascii="宋体" w:hAnsi="宋体" w:eastAsia="宋体"/>
          <w:bCs/>
          <w:sz w:val="24"/>
          <w:szCs w:val="18"/>
        </w:rPr>
        <w:t xml:space="preserve">供应商的报价应包含所投货物、保险、税费、包装、加工及加工损耗、运输、现场落地、安装及安装损耗、调试和交付后约定期限内维保等工作所发生的一切应有费用。             </w:t>
      </w:r>
    </w:p>
    <w:p w14:paraId="1E487BD9">
      <w:pPr>
        <w:numPr>
          <w:ilvl w:val="0"/>
          <w:numId w:val="11"/>
        </w:numPr>
        <w:spacing w:line="360" w:lineRule="auto"/>
        <w:ind w:firstLine="480" w:firstLineChars="200"/>
        <w:outlineLvl w:val="1"/>
        <w:rPr>
          <w:rFonts w:hint="eastAsia" w:asciiTheme="minorEastAsia" w:hAnsiTheme="minorEastAsia" w:eastAsiaTheme="minorEastAsia"/>
          <w:b/>
          <w:bCs/>
          <w:sz w:val="24"/>
          <w:szCs w:val="18"/>
        </w:rPr>
      </w:pPr>
      <w:r>
        <w:rPr>
          <w:rFonts w:hint="eastAsia" w:ascii="宋体" w:hAnsi="宋体" w:eastAsia="宋体"/>
          <w:bCs/>
          <w:sz w:val="24"/>
          <w:szCs w:val="18"/>
        </w:rPr>
        <w:t xml:space="preserve"> </w:t>
      </w:r>
      <w:bookmarkStart w:id="13" w:name="_Toc22167"/>
      <w:bookmarkStart w:id="14" w:name="_Toc10777"/>
      <w:bookmarkStart w:id="15" w:name="_Toc17094"/>
      <w:r>
        <w:rPr>
          <w:rFonts w:hint="eastAsia" w:asciiTheme="minorEastAsia" w:hAnsiTheme="minorEastAsia" w:eastAsiaTheme="minorEastAsia"/>
          <w:b/>
          <w:bCs/>
          <w:sz w:val="24"/>
          <w:szCs w:val="18"/>
        </w:rPr>
        <w:t>其他要求</w:t>
      </w:r>
      <w:bookmarkEnd w:id="13"/>
      <w:bookmarkEnd w:id="14"/>
      <w:bookmarkEnd w:id="15"/>
    </w:p>
    <w:p w14:paraId="35AD82DB">
      <w:pPr>
        <w:spacing w:line="360" w:lineRule="auto"/>
        <w:ind w:firstLine="480" w:firstLineChars="200"/>
        <w:rPr>
          <w:rFonts w:hint="eastAsia" w:asciiTheme="minorEastAsia" w:hAnsiTheme="minorEastAsia" w:eastAsiaTheme="minorEastAsia" w:cstheme="minorEastAsia"/>
          <w:bCs/>
          <w:color w:val="auto"/>
          <w:sz w:val="24"/>
          <w:szCs w:val="18"/>
          <w:lang w:val="en-US" w:eastAsia="zh-CN"/>
        </w:rPr>
      </w:pPr>
      <w:r>
        <w:rPr>
          <w:rFonts w:hint="eastAsia" w:asciiTheme="minorEastAsia" w:hAnsiTheme="minorEastAsia" w:eastAsiaTheme="minorEastAsia" w:cstheme="minorEastAsia"/>
          <w:bCs/>
          <w:color w:val="auto"/>
          <w:sz w:val="24"/>
          <w:szCs w:val="18"/>
          <w:lang w:val="en-US" w:eastAsia="zh-CN"/>
        </w:rPr>
        <w:t>1.本项目质保期内的维修服务费用由供应商在报价时一并考虑，不单独报价。运维内容主要包括：改正性维护，即在软件使用过程中识别和纠正软件错误，改正软件性能缺陷；适应性开发服务，即当软件外部环境或数据环境发生变化，修改软件以适应变化。质保期满后，乙方可对系统实行有偿维护，具体维护费用及维护时间由甲乙双方商榷确定。</w:t>
      </w:r>
    </w:p>
    <w:p w14:paraId="6D5C4607">
      <w:pPr>
        <w:spacing w:line="360" w:lineRule="auto"/>
        <w:ind w:firstLine="480" w:firstLineChars="200"/>
        <w:rPr>
          <w:rFonts w:hint="eastAsia" w:asciiTheme="minorEastAsia" w:hAnsiTheme="minorEastAsia" w:eastAsiaTheme="minorEastAsia" w:cstheme="minorEastAsia"/>
          <w:bCs/>
          <w:color w:val="auto"/>
          <w:sz w:val="24"/>
          <w:szCs w:val="18"/>
          <w:lang w:val="en-US" w:eastAsia="zh-CN"/>
        </w:rPr>
      </w:pPr>
      <w:r>
        <w:rPr>
          <w:rFonts w:hint="eastAsia" w:asciiTheme="minorEastAsia" w:hAnsiTheme="minorEastAsia" w:eastAsiaTheme="minorEastAsia" w:cstheme="minorEastAsia"/>
          <w:bCs/>
          <w:color w:val="auto"/>
          <w:sz w:val="24"/>
          <w:szCs w:val="18"/>
          <w:lang w:val="en-US" w:eastAsia="zh-CN"/>
        </w:rPr>
        <w:t>2.质保期内提供7×24小时支持维护服务，包括邮件、电话、远程维护、现场服务等方式。保证有足够的人员及技术支持电话负责本系统运维工作。</w:t>
      </w:r>
    </w:p>
    <w:p w14:paraId="034B9EB8">
      <w:pPr>
        <w:spacing w:line="360" w:lineRule="auto"/>
        <w:ind w:firstLine="480" w:firstLineChars="200"/>
        <w:rPr>
          <w:rFonts w:hint="eastAsia" w:asciiTheme="minorEastAsia" w:hAnsiTheme="minorEastAsia" w:eastAsiaTheme="minorEastAsia" w:cstheme="minorEastAsia"/>
          <w:bCs/>
          <w:color w:val="auto"/>
          <w:sz w:val="24"/>
          <w:szCs w:val="18"/>
          <w:lang w:val="en-US" w:eastAsia="zh-CN"/>
        </w:rPr>
      </w:pPr>
      <w:r>
        <w:rPr>
          <w:rFonts w:hint="eastAsia" w:asciiTheme="minorEastAsia" w:hAnsiTheme="minorEastAsia" w:eastAsiaTheme="minorEastAsia" w:cstheme="minorEastAsia"/>
          <w:bCs/>
          <w:color w:val="auto"/>
          <w:sz w:val="24"/>
          <w:szCs w:val="18"/>
          <w:lang w:val="en-US" w:eastAsia="zh-CN"/>
        </w:rPr>
        <w:t>3.应用软件提供同版本升级费用，由供应商在报价时一并考虑，不单独报价。</w:t>
      </w:r>
    </w:p>
    <w:p w14:paraId="6D94DDB4">
      <w:pPr>
        <w:spacing w:line="360" w:lineRule="auto"/>
        <w:ind w:firstLine="480" w:firstLineChars="200"/>
        <w:rPr>
          <w:rFonts w:hint="eastAsia" w:asciiTheme="minorEastAsia" w:hAnsiTheme="minorEastAsia" w:eastAsiaTheme="minorEastAsia" w:cstheme="minorEastAsia"/>
          <w:bCs/>
          <w:color w:val="auto"/>
          <w:sz w:val="24"/>
          <w:szCs w:val="18"/>
          <w:lang w:val="en-US" w:eastAsia="zh-CN"/>
        </w:rPr>
      </w:pPr>
      <w:r>
        <w:rPr>
          <w:rFonts w:hint="eastAsia" w:asciiTheme="minorEastAsia" w:hAnsiTheme="minorEastAsia" w:eastAsiaTheme="minorEastAsia" w:cstheme="minorEastAsia"/>
          <w:bCs/>
          <w:color w:val="auto"/>
          <w:sz w:val="24"/>
          <w:szCs w:val="18"/>
          <w:lang w:val="en-US" w:eastAsia="zh-CN"/>
        </w:rPr>
        <w:t>4.负责培训甲方系统管理员2名，使其达到上岗要求；负责培训医院操作人员，使其达到上岗要求。培训费用由供应商在报价时一并考虑，不单独报价。</w:t>
      </w:r>
    </w:p>
    <w:p w14:paraId="1E280F89">
      <w:pPr>
        <w:spacing w:line="360" w:lineRule="auto"/>
        <w:ind w:firstLine="480" w:firstLineChars="200"/>
        <w:rPr>
          <w:rFonts w:hint="default" w:asciiTheme="minorEastAsia" w:hAnsiTheme="minorEastAsia" w:eastAsiaTheme="minorEastAsia" w:cstheme="minorEastAsia"/>
          <w:bCs/>
          <w:color w:val="FF0000"/>
          <w:sz w:val="24"/>
          <w:szCs w:val="18"/>
          <w:lang w:val="en-US" w:eastAsia="zh-CN"/>
        </w:rPr>
      </w:pPr>
      <w:r>
        <w:rPr>
          <w:rFonts w:hint="eastAsia" w:asciiTheme="minorEastAsia" w:hAnsiTheme="minorEastAsia" w:eastAsiaTheme="minorEastAsia" w:cstheme="minorEastAsia"/>
          <w:bCs/>
          <w:color w:val="FF0000"/>
          <w:sz w:val="24"/>
          <w:szCs w:val="18"/>
          <w:lang w:val="en-US" w:eastAsia="zh-CN"/>
        </w:rPr>
        <w:t>5.所投产品属于医疗器械的，须具有医疗器械注册证(或备案凭证)，响应文件中须提供相关证书(或凭证)扫描件，否则响应无效。</w:t>
      </w:r>
    </w:p>
    <w:p w14:paraId="13F63974">
      <w:pPr>
        <w:spacing w:line="360" w:lineRule="auto"/>
        <w:ind w:firstLine="437"/>
        <w:outlineLvl w:val="1"/>
        <w:rPr>
          <w:rFonts w:hint="eastAsia" w:ascii="宋体" w:hAnsi="宋体" w:eastAsia="宋体"/>
          <w:b/>
          <w:sz w:val="24"/>
          <w:szCs w:val="18"/>
        </w:rPr>
      </w:pPr>
      <w:bookmarkStart w:id="16" w:name="_Toc30761"/>
      <w:bookmarkStart w:id="17" w:name="_Toc18249"/>
      <w:bookmarkStart w:id="18" w:name="_Toc6897"/>
      <w:r>
        <w:rPr>
          <w:rFonts w:hint="eastAsia" w:ascii="宋体" w:hAnsi="宋体" w:eastAsia="宋体"/>
          <w:b/>
          <w:bCs/>
          <w:sz w:val="24"/>
          <w:szCs w:val="18"/>
        </w:rPr>
        <w:t>五、样品</w:t>
      </w:r>
      <w:r>
        <w:rPr>
          <w:rFonts w:hint="eastAsia" w:ascii="宋体" w:hAnsi="宋体" w:eastAsia="宋体"/>
          <w:b/>
          <w:sz w:val="24"/>
          <w:szCs w:val="18"/>
        </w:rPr>
        <w:t>要求</w:t>
      </w:r>
      <w:bookmarkEnd w:id="16"/>
      <w:bookmarkEnd w:id="17"/>
      <w:bookmarkEnd w:id="18"/>
    </w:p>
    <w:p w14:paraId="104B990A">
      <w:pPr>
        <w:spacing w:line="360" w:lineRule="auto"/>
        <w:ind w:firstLine="437"/>
        <w:outlineLvl w:val="1"/>
      </w:pPr>
      <w:r>
        <w:rPr>
          <w:rFonts w:hint="eastAsia" w:ascii="仿宋_GB2312" w:hAnsi="仿宋_GB2312" w:eastAsia="仿宋_GB2312" w:cs="仿宋_GB2312"/>
          <w:bCs/>
          <w:sz w:val="24"/>
          <w:szCs w:val="18"/>
          <w:lang w:val="en-US" w:eastAsia="zh-CN"/>
        </w:rPr>
        <w:t>无</w:t>
      </w:r>
      <w:r>
        <w:rPr>
          <w:rFonts w:hint="eastAsia" w:ascii="仿宋_GB2312" w:hAnsi="仿宋_GB2312" w:eastAsia="仿宋_GB2312" w:cs="仿宋_GB2312"/>
          <w:bCs/>
          <w:sz w:val="24"/>
          <w:szCs w:val="18"/>
        </w:rPr>
        <w:t xml:space="preserve">               </w:t>
      </w:r>
      <w:r>
        <w:rPr>
          <w:rFonts w:hint="eastAsia" w:ascii="宋体" w:hAnsi="宋体" w:eastAsia="宋体"/>
          <w:bCs/>
          <w:sz w:val="24"/>
          <w:szCs w:val="18"/>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简标宋">
    <w:altName w:val="@宋体"/>
    <w:panose1 w:val="00000000000000000000"/>
    <w:charset w:val="86"/>
    <w:family w:val="auto"/>
    <w:pitch w:val="default"/>
    <w:sig w:usb0="00000000" w:usb1="00000000" w:usb2="00000010" w:usb3="00000000" w:csb0="00040000" w:csb1="00000000"/>
  </w:font>
  <w:font w:name="@宋体">
    <w:panose1 w:val="02010600030101010101"/>
    <w:charset w:val="86"/>
    <w:family w:val="auto"/>
    <w:pitch w:val="default"/>
    <w:sig w:usb0="00000003" w:usb1="288F0000" w:usb2="0000000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D602AB"/>
    <w:multiLevelType w:val="singleLevel"/>
    <w:tmpl w:val="85D602AB"/>
    <w:lvl w:ilvl="0" w:tentative="0">
      <w:start w:val="1"/>
      <w:numFmt w:val="decimal"/>
      <w:suff w:val="space"/>
      <w:lvlText w:val="%1."/>
      <w:lvlJc w:val="left"/>
    </w:lvl>
  </w:abstractNum>
  <w:abstractNum w:abstractNumId="1">
    <w:nsid w:val="925B4DB9"/>
    <w:multiLevelType w:val="singleLevel"/>
    <w:tmpl w:val="925B4DB9"/>
    <w:lvl w:ilvl="0" w:tentative="0">
      <w:start w:val="1"/>
      <w:numFmt w:val="decimal"/>
      <w:suff w:val="space"/>
      <w:lvlText w:val="%1."/>
      <w:lvlJc w:val="left"/>
    </w:lvl>
  </w:abstractNum>
  <w:abstractNum w:abstractNumId="2">
    <w:nsid w:val="93FA2CB3"/>
    <w:multiLevelType w:val="singleLevel"/>
    <w:tmpl w:val="93FA2CB3"/>
    <w:lvl w:ilvl="0" w:tentative="0">
      <w:start w:val="1"/>
      <w:numFmt w:val="decimal"/>
      <w:suff w:val="space"/>
      <w:lvlText w:val="%1."/>
      <w:lvlJc w:val="left"/>
    </w:lvl>
  </w:abstractNum>
  <w:abstractNum w:abstractNumId="3">
    <w:nsid w:val="BF4C67F3"/>
    <w:multiLevelType w:val="singleLevel"/>
    <w:tmpl w:val="BF4C67F3"/>
    <w:lvl w:ilvl="0" w:tentative="0">
      <w:start w:val="1"/>
      <w:numFmt w:val="decimal"/>
      <w:suff w:val="space"/>
      <w:lvlText w:val="%1."/>
      <w:lvlJc w:val="left"/>
    </w:lvl>
  </w:abstractNum>
  <w:abstractNum w:abstractNumId="4">
    <w:nsid w:val="C6A66147"/>
    <w:multiLevelType w:val="singleLevel"/>
    <w:tmpl w:val="C6A66147"/>
    <w:lvl w:ilvl="0" w:tentative="0">
      <w:start w:val="1"/>
      <w:numFmt w:val="decimal"/>
      <w:suff w:val="space"/>
      <w:lvlText w:val="%1."/>
      <w:lvlJc w:val="left"/>
    </w:lvl>
  </w:abstractNum>
  <w:abstractNum w:abstractNumId="5">
    <w:nsid w:val="E8C02547"/>
    <w:multiLevelType w:val="singleLevel"/>
    <w:tmpl w:val="E8C02547"/>
    <w:lvl w:ilvl="0" w:tentative="0">
      <w:start w:val="1"/>
      <w:numFmt w:val="chineseCounting"/>
      <w:suff w:val="nothing"/>
      <w:lvlText w:val="%1、"/>
      <w:lvlJc w:val="left"/>
      <w:rPr>
        <w:rFonts w:hint="eastAsia"/>
      </w:rPr>
    </w:lvl>
  </w:abstractNum>
  <w:abstractNum w:abstractNumId="6">
    <w:nsid w:val="FF67D5F5"/>
    <w:multiLevelType w:val="singleLevel"/>
    <w:tmpl w:val="FF67D5F5"/>
    <w:lvl w:ilvl="0" w:tentative="0">
      <w:start w:val="1"/>
      <w:numFmt w:val="decimal"/>
      <w:suff w:val="space"/>
      <w:lvlText w:val="%1."/>
      <w:lvlJc w:val="left"/>
    </w:lvl>
  </w:abstractNum>
  <w:abstractNum w:abstractNumId="7">
    <w:nsid w:val="1D962C9F"/>
    <w:multiLevelType w:val="singleLevel"/>
    <w:tmpl w:val="1D962C9F"/>
    <w:lvl w:ilvl="0" w:tentative="0">
      <w:start w:val="4"/>
      <w:numFmt w:val="chineseCounting"/>
      <w:suff w:val="nothing"/>
      <w:lvlText w:val="%1、"/>
      <w:lvlJc w:val="left"/>
      <w:rPr>
        <w:rFonts w:hint="eastAsia"/>
      </w:rPr>
    </w:lvl>
  </w:abstractNum>
  <w:abstractNum w:abstractNumId="8">
    <w:nsid w:val="3B32B87E"/>
    <w:multiLevelType w:val="singleLevel"/>
    <w:tmpl w:val="3B32B87E"/>
    <w:lvl w:ilvl="0" w:tentative="0">
      <w:start w:val="16"/>
      <w:numFmt w:val="decimal"/>
      <w:suff w:val="space"/>
      <w:lvlText w:val="%1."/>
      <w:lvlJc w:val="left"/>
    </w:lvl>
  </w:abstractNum>
  <w:abstractNum w:abstractNumId="9">
    <w:nsid w:val="4540D39C"/>
    <w:multiLevelType w:val="singleLevel"/>
    <w:tmpl w:val="4540D39C"/>
    <w:lvl w:ilvl="0" w:tentative="0">
      <w:start w:val="1"/>
      <w:numFmt w:val="decimal"/>
      <w:suff w:val="space"/>
      <w:lvlText w:val="%1."/>
      <w:lvlJc w:val="left"/>
    </w:lvl>
  </w:abstractNum>
  <w:abstractNum w:abstractNumId="10">
    <w:nsid w:val="576999F6"/>
    <w:multiLevelType w:val="singleLevel"/>
    <w:tmpl w:val="576999F6"/>
    <w:lvl w:ilvl="0" w:tentative="0">
      <w:start w:val="1"/>
      <w:numFmt w:val="decimal"/>
      <w:suff w:val="space"/>
      <w:lvlText w:val="%1."/>
      <w:lvlJc w:val="left"/>
    </w:lvl>
  </w:abstractNum>
  <w:num w:numId="1">
    <w:abstractNumId w:val="10"/>
  </w:num>
  <w:num w:numId="2">
    <w:abstractNumId w:val="5"/>
  </w:num>
  <w:num w:numId="3">
    <w:abstractNumId w:val="4"/>
  </w:num>
  <w:num w:numId="4">
    <w:abstractNumId w:val="9"/>
  </w:num>
  <w:num w:numId="5">
    <w:abstractNumId w:val="8"/>
  </w:num>
  <w:num w:numId="6">
    <w:abstractNumId w:val="2"/>
  </w:num>
  <w:num w:numId="7">
    <w:abstractNumId w:val="1"/>
  </w:num>
  <w:num w:numId="8">
    <w:abstractNumId w:val="0"/>
  </w:num>
  <w:num w:numId="9">
    <w:abstractNumId w:val="3"/>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2C331C"/>
    <w:rsid w:val="13EC783E"/>
    <w:rsid w:val="1CD35BA1"/>
    <w:rsid w:val="722C33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仿宋_GB2312" w:hAnsi="@仿宋_GB2312" w:eastAsia="@仿宋_GB2312" w:cs="@仿宋_GB2312"/>
      <w:kern w:val="2"/>
      <w:sz w:val="21"/>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rPr>
      <w:rFonts w:ascii="@微软简标宋" w:hAnsi="@微软简标宋" w:eastAsia="@微软简标宋" w:cs="@微软简标宋"/>
      <w:szCs w:val="24"/>
      <w:lang w:val="zh-CN"/>
    </w:rPr>
  </w:style>
  <w:style w:type="paragraph" w:styleId="3">
    <w:name w:val="Balloon Text"/>
    <w:basedOn w:val="1"/>
    <w:qFormat/>
    <w:uiPriority w:val="0"/>
    <w:rPr>
      <w:rFonts w:ascii="Times New Roman" w:hAnsi="Times New Roman"/>
      <w:sz w:val="18"/>
      <w:szCs w:val="18"/>
    </w:rPr>
  </w:style>
  <w:style w:type="paragraph" w:styleId="4">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customStyle="1" w:styleId="7">
    <w:name w:val="D&amp;L"/>
    <w:basedOn w:val="4"/>
    <w:autoRedefine/>
    <w:qFormat/>
    <w:uiPriority w:val="0"/>
    <w:pPr>
      <w:pBdr>
        <w:bottom w:val="thinThickSmallGap" w:color="auto" w:sz="18" w:space="1"/>
      </w:pBdr>
      <w:adjustRightInd w:val="0"/>
      <w:snapToGrid/>
      <w:spacing w:line="240" w:lineRule="atLeast"/>
      <w:textAlignment w:val="baseline"/>
    </w:pPr>
    <w:rPr>
      <w:kern w:val="0"/>
      <w:sz w:val="24"/>
      <w:szCs w:val="20"/>
    </w:rPr>
  </w:style>
  <w:style w:type="paragraph" w:customStyle="1" w:styleId="8">
    <w:name w:val="xl31"/>
    <w:basedOn w:val="1"/>
    <w:autoRedefine/>
    <w:qFormat/>
    <w:uiPriority w:val="0"/>
    <w:pPr>
      <w:widowControl/>
      <w:spacing w:before="100" w:beforeAutospacing="1" w:after="100" w:afterAutospacing="1"/>
      <w:jc w:val="center"/>
    </w:pPr>
    <w:rPr>
      <w:b/>
      <w:bCs/>
      <w:kern w:val="0"/>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8783</Words>
  <Characters>10007</Characters>
  <Lines>0</Lines>
  <Paragraphs>0</Paragraphs>
  <TotalTime>0</TotalTime>
  <ScaleCrop>false</ScaleCrop>
  <LinksUpToDate>false</LinksUpToDate>
  <CharactersWithSpaces>10444</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2025-04-30T00:12:00Z</dcterms:created>
  <dc:creator>Administrator</dc:creator>
  <cp:lastModifiedBy>Administrator</cp:lastModifiedBy>
  <dcterms:modified xsi:type="dcterms:W3CDTF">2025-05-26T00:04:18Z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9B49E3AA82064E51B34F7058D29E66C2_13</vt:lpwstr>
  </property>
  <property fmtid="{D5CDD505-2E9C-101B-9397-08002B2CF9AE}" pid="4" name="KSOTemplateDocerSaveRecord">
    <vt:lpwstr>eyJoZGlkIjoiYWY3MWQ0YjBjZTcwNjk5ZmJjYTAzYmVhMmQ4Y2I1YmQiLCJ1c2VySWQiOiIxNDkwMDA5OTEwIn0=</vt:lpwstr>
  </property>
</Properties>
</file>