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85036A">
      <w:pPr>
        <w:keepNext w:val="0"/>
        <w:keepLines w:val="0"/>
        <w:pageBreakBefore w:val="0"/>
        <w:widowControl w:val="0"/>
        <w:numPr>
          <w:numId w:val="0"/>
        </w:numPr>
        <w:kinsoku/>
        <w:wordWrap/>
        <w:overflowPunct/>
        <w:topLinePunct w:val="0"/>
        <w:autoSpaceDE/>
        <w:autoSpaceDN/>
        <w:bidi w:val="0"/>
        <w:adjustRightInd/>
        <w:snapToGrid/>
        <w:spacing w:line="640" w:lineRule="exact"/>
        <w:ind w:right="62" w:righ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关于墨玉县紧密型县域医共体2025年信息化建设项目监理服务技术参数</w:t>
      </w:r>
    </w:p>
    <w:p w14:paraId="260F07EB">
      <w:pPr>
        <w:keepNext w:val="0"/>
        <w:keepLines w:val="0"/>
        <w:pageBreakBefore w:val="0"/>
        <w:widowControl w:val="0"/>
        <w:numPr>
          <w:numId w:val="0"/>
        </w:numPr>
        <w:kinsoku/>
        <w:wordWrap/>
        <w:overflowPunct/>
        <w:topLinePunct w:val="0"/>
        <w:autoSpaceDE/>
        <w:autoSpaceDN/>
        <w:bidi w:val="0"/>
        <w:adjustRightInd/>
        <w:snapToGrid/>
        <w:ind w:right="62" w:rightChars="0" w:firstLine="640" w:firstLineChars="200"/>
        <w:textAlignment w:val="auto"/>
        <w:rPr>
          <w:rFonts w:hint="eastAsia" w:ascii="仿宋" w:hAnsi="仿宋" w:eastAsia="仿宋" w:cs="仿宋"/>
          <w:sz w:val="32"/>
          <w:szCs w:val="32"/>
          <w:lang w:val="en-US" w:eastAsia="zh-CN"/>
        </w:rPr>
      </w:pPr>
    </w:p>
    <w:p w14:paraId="3F4602CB">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b w:val="0"/>
          <w:bCs w:val="0"/>
          <w:sz w:val="32"/>
          <w:szCs w:val="32"/>
          <w:u w:val="none"/>
          <w:lang w:val="en-US" w:eastAsia="zh-CN"/>
        </w:rPr>
      </w:pPr>
      <w:r>
        <w:rPr>
          <w:rFonts w:hint="eastAsia" w:ascii="黑体" w:hAnsi="黑体" w:eastAsia="黑体" w:cs="黑体"/>
          <w:b w:val="0"/>
          <w:bCs w:val="0"/>
          <w:sz w:val="32"/>
          <w:szCs w:val="32"/>
          <w:u w:val="none"/>
          <w:lang w:val="en-US" w:eastAsia="zh-CN"/>
        </w:rPr>
        <w:t>项目基本情况</w:t>
      </w:r>
    </w:p>
    <w:p w14:paraId="2D8D452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仿宋_GB2312" w:hAnsi="仿宋_GB2312" w:eastAsia="仿宋_GB2312" w:cs="仿宋_GB2312"/>
          <w:sz w:val="32"/>
          <w:szCs w:val="32"/>
          <w:u w:val="none"/>
          <w:lang w:val="en-US" w:eastAsia="zh-CN"/>
        </w:rPr>
      </w:pPr>
      <w:r>
        <w:rPr>
          <w:rFonts w:hint="default" w:ascii="仿宋_GB2312" w:hAnsi="仿宋_GB2312" w:eastAsia="仿宋_GB2312" w:cs="仿宋_GB2312"/>
          <w:b/>
          <w:bCs/>
          <w:sz w:val="32"/>
          <w:szCs w:val="32"/>
          <w:u w:val="none"/>
          <w:lang w:val="en-US" w:eastAsia="zh-CN"/>
        </w:rPr>
        <w:t>项目名称：</w:t>
      </w:r>
      <w:r>
        <w:rPr>
          <w:rFonts w:hint="eastAsia" w:ascii="仿宋_GB2312" w:hAnsi="仿宋_GB2312" w:eastAsia="仿宋_GB2312" w:cs="仿宋_GB2312"/>
          <w:sz w:val="32"/>
          <w:szCs w:val="32"/>
          <w:u w:val="none"/>
          <w:lang w:val="en-US" w:eastAsia="zh-CN"/>
        </w:rPr>
        <w:t>墨玉县紧密型县域医共体2025年信息化建设项目</w:t>
      </w:r>
      <w:r>
        <w:rPr>
          <w:rFonts w:hint="default" w:ascii="仿宋_GB2312" w:hAnsi="仿宋_GB2312" w:eastAsia="仿宋_GB2312" w:cs="仿宋_GB2312"/>
          <w:sz w:val="32"/>
          <w:szCs w:val="32"/>
          <w:u w:val="none"/>
          <w:lang w:val="en-US" w:eastAsia="zh-CN"/>
        </w:rPr>
        <w:t>-监理</w:t>
      </w:r>
    </w:p>
    <w:p w14:paraId="03F7375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仿宋_GB2312" w:hAnsi="仿宋_GB2312" w:eastAsia="仿宋_GB2312" w:cs="仿宋_GB2312"/>
          <w:sz w:val="32"/>
          <w:szCs w:val="32"/>
          <w:u w:val="none"/>
          <w:lang w:val="en-US" w:eastAsia="zh-CN"/>
        </w:rPr>
      </w:pPr>
      <w:r>
        <w:rPr>
          <w:rFonts w:hint="default" w:ascii="仿宋_GB2312" w:hAnsi="仿宋_GB2312" w:eastAsia="仿宋_GB2312" w:cs="仿宋_GB2312"/>
          <w:b/>
          <w:bCs/>
          <w:sz w:val="32"/>
          <w:szCs w:val="32"/>
          <w:u w:val="none"/>
          <w:lang w:val="en-US" w:eastAsia="zh-CN"/>
        </w:rPr>
        <w:t>预算金额：</w:t>
      </w:r>
      <w:r>
        <w:rPr>
          <w:rFonts w:hint="default" w:ascii="仿宋_GB2312" w:hAnsi="仿宋_GB2312" w:eastAsia="仿宋_GB2312" w:cs="仿宋_GB2312"/>
          <w:sz w:val="32"/>
          <w:szCs w:val="32"/>
          <w:u w:val="none"/>
          <w:lang w:val="en-US" w:eastAsia="zh-CN"/>
        </w:rPr>
        <w:t>本监理服务采购预算为</w:t>
      </w:r>
      <w:r>
        <w:rPr>
          <w:rFonts w:hint="eastAsia" w:ascii="仿宋_GB2312" w:hAnsi="仿宋_GB2312" w:eastAsia="仿宋_GB2312" w:cs="仿宋_GB2312"/>
          <w:sz w:val="32"/>
          <w:szCs w:val="32"/>
          <w:u w:val="none"/>
          <w:lang w:val="en-US" w:eastAsia="zh-CN"/>
        </w:rPr>
        <w:t>5</w:t>
      </w:r>
      <w:r>
        <w:rPr>
          <w:rFonts w:hint="default" w:ascii="仿宋_GB2312" w:hAnsi="仿宋_GB2312" w:eastAsia="仿宋_GB2312" w:cs="仿宋_GB2312"/>
          <w:sz w:val="32"/>
          <w:szCs w:val="32"/>
          <w:u w:val="none"/>
          <w:lang w:val="en-US" w:eastAsia="zh-CN"/>
        </w:rPr>
        <w:t>万元（含人员服务费、技术检测费、文档编制费等全部费用，无额外追加预算）。</w:t>
      </w:r>
    </w:p>
    <w:p w14:paraId="54F6E8A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仿宋_GB2312" w:hAnsi="仿宋_GB2312" w:eastAsia="仿宋_GB2312" w:cs="仿宋_GB2312"/>
          <w:sz w:val="32"/>
          <w:szCs w:val="32"/>
          <w:u w:val="none"/>
          <w:lang w:val="en-US" w:eastAsia="zh-CN"/>
        </w:rPr>
      </w:pPr>
      <w:r>
        <w:rPr>
          <w:rFonts w:hint="default" w:ascii="仿宋_GB2312" w:hAnsi="仿宋_GB2312" w:eastAsia="仿宋_GB2312" w:cs="仿宋_GB2312"/>
          <w:b/>
          <w:bCs/>
          <w:sz w:val="32"/>
          <w:szCs w:val="32"/>
          <w:u w:val="none"/>
          <w:lang w:val="en-US" w:eastAsia="zh-CN"/>
        </w:rPr>
        <w:t>项目类型：</w:t>
      </w:r>
      <w:r>
        <w:rPr>
          <w:rFonts w:hint="default" w:ascii="仿宋_GB2312" w:hAnsi="仿宋_GB2312" w:eastAsia="仿宋_GB2312" w:cs="仿宋_GB2312"/>
          <w:sz w:val="32"/>
          <w:szCs w:val="32"/>
          <w:u w:val="none"/>
          <w:lang w:val="en-US" w:eastAsia="zh-CN"/>
        </w:rPr>
        <w:t>医院信息化建设工程（含硬件工程、软件部署、安全体系搭建三大类）</w:t>
      </w:r>
      <w:r>
        <w:rPr>
          <w:rFonts w:hint="eastAsia" w:ascii="仿宋_GB2312" w:hAnsi="仿宋_GB2312" w:eastAsia="仿宋_GB2312" w:cs="仿宋_GB2312"/>
          <w:sz w:val="32"/>
          <w:szCs w:val="32"/>
          <w:u w:val="none"/>
          <w:lang w:val="en-US" w:eastAsia="zh-CN"/>
        </w:rPr>
        <w:t>。</w:t>
      </w:r>
      <w:r>
        <w:rPr>
          <w:rFonts w:hint="default" w:ascii="仿宋_GB2312" w:hAnsi="仿宋_GB2312" w:eastAsia="仿宋_GB2312" w:cs="仿宋_GB2312"/>
          <w:sz w:val="32"/>
          <w:szCs w:val="32"/>
          <w:u w:val="none"/>
          <w:lang w:val="en-US" w:eastAsia="zh-CN"/>
        </w:rPr>
        <w:t>硬件工程：数据中心机房改造（含机柜部署、供配电升级、精密空调安装）、网络架构升级（核心交换机、部署）、GPU服务器等设备安装；软件部署：电子病历系统升级、PACS</w:t>
      </w:r>
      <w:r>
        <w:rPr>
          <w:rFonts w:hint="eastAsia" w:ascii="仿宋_GB2312" w:hAnsi="仿宋_GB2312" w:eastAsia="仿宋_GB2312" w:cs="仿宋_GB2312"/>
          <w:sz w:val="32"/>
          <w:szCs w:val="32"/>
          <w:u w:val="none"/>
          <w:lang w:val="en-US" w:eastAsia="zh-CN"/>
        </w:rPr>
        <w:t>、</w:t>
      </w:r>
      <w:r>
        <w:rPr>
          <w:rFonts w:hint="default" w:ascii="仿宋_GB2312" w:hAnsi="仿宋_GB2312" w:eastAsia="仿宋_GB2312" w:cs="仿宋_GB2312"/>
          <w:sz w:val="32"/>
          <w:szCs w:val="32"/>
          <w:u w:val="none"/>
          <w:lang w:val="en-US" w:eastAsia="zh-CN"/>
        </w:rPr>
        <w:t>LIS</w:t>
      </w:r>
      <w:r>
        <w:rPr>
          <w:rFonts w:hint="eastAsia" w:ascii="仿宋_GB2312" w:hAnsi="仿宋_GB2312" w:eastAsia="仿宋_GB2312" w:cs="仿宋_GB2312"/>
          <w:sz w:val="32"/>
          <w:szCs w:val="32"/>
          <w:u w:val="none"/>
          <w:lang w:val="en-US" w:eastAsia="zh-CN"/>
        </w:rPr>
        <w:t>等</w:t>
      </w:r>
      <w:r>
        <w:rPr>
          <w:rFonts w:hint="default" w:ascii="仿宋_GB2312" w:hAnsi="仿宋_GB2312" w:eastAsia="仿宋_GB2312" w:cs="仿宋_GB2312"/>
          <w:sz w:val="32"/>
          <w:szCs w:val="32"/>
          <w:u w:val="none"/>
          <w:lang w:val="en-US" w:eastAsia="zh-CN"/>
        </w:rPr>
        <w:t>系统接口改造；安全体系：防火墙、数据脱敏系统部署，数据安全、网络安全、设备安全的全流程合规性管控。</w:t>
      </w:r>
    </w:p>
    <w:p w14:paraId="0548295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仿宋_GB2312" w:hAnsi="仿宋_GB2312" w:eastAsia="仿宋_GB2312" w:cs="仿宋_GB2312"/>
          <w:sz w:val="32"/>
          <w:szCs w:val="32"/>
          <w:u w:val="none"/>
          <w:lang w:val="en-US" w:eastAsia="zh-CN"/>
        </w:rPr>
      </w:pPr>
      <w:r>
        <w:rPr>
          <w:rFonts w:hint="default" w:ascii="仿宋_GB2312" w:hAnsi="仿宋_GB2312" w:eastAsia="仿宋_GB2312" w:cs="仿宋_GB2312"/>
          <w:b/>
          <w:bCs/>
          <w:sz w:val="32"/>
          <w:szCs w:val="32"/>
          <w:u w:val="none"/>
          <w:lang w:val="en-US" w:eastAsia="zh-CN"/>
        </w:rPr>
        <w:t>服务范围：</w:t>
      </w:r>
      <w:r>
        <w:rPr>
          <w:rFonts w:hint="default" w:ascii="仿宋_GB2312" w:hAnsi="仿宋_GB2312" w:eastAsia="仿宋_GB2312" w:cs="仿宋_GB2312"/>
          <w:sz w:val="32"/>
          <w:szCs w:val="32"/>
          <w:u w:val="none"/>
          <w:lang w:val="en-US" w:eastAsia="zh-CN"/>
        </w:rPr>
        <w:t>负责本项目全周期监理，包括但不限于信息化设备采购验收监督、系统开发进度管控、施工质量核查、合同履约跟踪、竣工验收协助等内容，确保项目符合相关规范及要求。</w:t>
      </w:r>
    </w:p>
    <w:p w14:paraId="188D324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sz w:val="32"/>
          <w:szCs w:val="32"/>
          <w:lang w:val="en-US" w:eastAsia="zh-CN"/>
        </w:rPr>
      </w:pPr>
      <w:r>
        <w:rPr>
          <w:rFonts w:hint="default" w:ascii="仿宋_GB2312" w:hAnsi="仿宋_GB2312" w:eastAsia="仿宋_GB2312" w:cs="仿宋_GB2312"/>
          <w:b/>
          <w:bCs/>
          <w:sz w:val="32"/>
          <w:szCs w:val="32"/>
          <w:u w:val="none"/>
          <w:lang w:val="en-US" w:eastAsia="zh-CN"/>
        </w:rPr>
        <w:t>合同履行期限：</w:t>
      </w:r>
      <w:r>
        <w:rPr>
          <w:rFonts w:hint="eastAsia" w:ascii="仿宋_GB2312" w:hAnsi="仿宋_GB2312" w:eastAsia="仿宋_GB2312" w:cs="仿宋_GB2312"/>
          <w:sz w:val="32"/>
          <w:szCs w:val="32"/>
          <w:u w:val="none"/>
          <w:lang w:val="en-US" w:eastAsia="zh-CN"/>
        </w:rPr>
        <w:t>60</w:t>
      </w:r>
      <w:r>
        <w:rPr>
          <w:rFonts w:hint="default" w:ascii="仿宋_GB2312" w:hAnsi="仿宋_GB2312" w:eastAsia="仿宋_GB2312" w:cs="仿宋_GB2312"/>
          <w:sz w:val="32"/>
          <w:szCs w:val="32"/>
          <w:u w:val="none"/>
          <w:lang w:val="en-US" w:eastAsia="zh-CN"/>
        </w:rPr>
        <w:t>日历日（与施工标段开竣工日期同步，实际工期以甲乙双方合同为准）</w:t>
      </w:r>
      <w:r>
        <w:rPr>
          <w:rFonts w:hint="eastAsia" w:ascii="仿宋_GB2312" w:hAnsi="仿宋_GB2312" w:eastAsia="仿宋_GB2312" w:cs="仿宋_GB2312"/>
          <w:sz w:val="32"/>
          <w:szCs w:val="32"/>
          <w:u w:val="none"/>
          <w:lang w:val="en-US" w:eastAsia="zh-CN"/>
        </w:rPr>
        <w:t>。</w:t>
      </w:r>
    </w:p>
    <w:p w14:paraId="4471F1F5">
      <w:pPr>
        <w:keepNext w:val="0"/>
        <w:keepLines w:val="0"/>
        <w:pageBreakBefore w:val="0"/>
        <w:widowControl w:val="0"/>
        <w:numPr>
          <w:numId w:val="0"/>
        </w:numPr>
        <w:kinsoku/>
        <w:wordWrap/>
        <w:overflowPunct/>
        <w:topLinePunct w:val="0"/>
        <w:autoSpaceDE/>
        <w:autoSpaceDN/>
        <w:bidi w:val="0"/>
        <w:adjustRightInd/>
        <w:snapToGrid/>
        <w:spacing w:line="560" w:lineRule="exact"/>
        <w:ind w:right="62" w:rightChars="0" w:firstLine="640" w:firstLineChars="200"/>
        <w:textAlignment w:val="auto"/>
        <w:rPr>
          <w:rFonts w:hint="eastAsia" w:ascii="仿宋" w:hAnsi="仿宋" w:eastAsia="仿宋" w:cs="仿宋"/>
          <w:sz w:val="32"/>
          <w:szCs w:val="32"/>
          <w:lang w:val="en-US" w:eastAsia="zh-CN"/>
        </w:rPr>
      </w:pPr>
      <w:r>
        <w:rPr>
          <w:rFonts w:hint="eastAsia" w:ascii="黑体" w:hAnsi="黑体" w:eastAsia="黑体" w:cs="黑体"/>
          <w:b w:val="0"/>
          <w:bCs w:val="0"/>
          <w:sz w:val="32"/>
          <w:szCs w:val="32"/>
          <w:u w:val="none"/>
          <w:lang w:val="en-US" w:eastAsia="zh-CN"/>
        </w:rPr>
        <w:t>二、</w:t>
      </w:r>
      <w:r>
        <w:rPr>
          <w:rFonts w:hint="default" w:ascii="黑体" w:hAnsi="黑体" w:eastAsia="黑体" w:cs="黑体"/>
          <w:b w:val="0"/>
          <w:bCs w:val="0"/>
          <w:sz w:val="32"/>
          <w:szCs w:val="32"/>
          <w:u w:val="none"/>
          <w:lang w:val="en-US" w:eastAsia="zh-CN"/>
        </w:rPr>
        <w:t>资格要求</w:t>
      </w:r>
    </w:p>
    <w:p w14:paraId="58C8E69A">
      <w:pPr>
        <w:keepNext w:val="0"/>
        <w:keepLines w:val="0"/>
        <w:pageBreakBefore w:val="0"/>
        <w:widowControl w:val="0"/>
        <w:numPr>
          <w:numId w:val="0"/>
        </w:numPr>
        <w:kinsoku/>
        <w:wordWrap/>
        <w:overflowPunct/>
        <w:topLinePunct w:val="0"/>
        <w:autoSpaceDE/>
        <w:autoSpaceDN/>
        <w:bidi w:val="0"/>
        <w:adjustRightInd/>
        <w:snapToGrid/>
        <w:spacing w:line="560" w:lineRule="exact"/>
        <w:ind w:right="62" w:rightChars="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w:t>
      </w:r>
      <w:r>
        <w:rPr>
          <w:rFonts w:hint="eastAsia" w:ascii="仿宋_GB2312" w:hAnsi="仿宋_GB2312" w:eastAsia="仿宋_GB2312" w:cs="仿宋_GB2312"/>
          <w:sz w:val="32"/>
          <w:szCs w:val="32"/>
          <w:u w:val="none"/>
          <w:lang w:val="en-US" w:eastAsia="zh-CN"/>
        </w:rPr>
        <w:t>满足《中华人民共和国政府采购法》第二十二条规定；未被“信用中国”（www.creditchina.gov.cn）、中国政府采购网（www.ccgp.gov.cn）列入失信被执行人、重大税收违法案件当事人名单、政府采购严重违法失信行为记录名单；</w:t>
      </w:r>
    </w:p>
    <w:p w14:paraId="180119EA">
      <w:pPr>
        <w:keepNext w:val="0"/>
        <w:keepLines w:val="0"/>
        <w:pageBreakBefore w:val="0"/>
        <w:widowControl w:val="0"/>
        <w:numPr>
          <w:numId w:val="0"/>
        </w:numPr>
        <w:kinsoku/>
        <w:wordWrap/>
        <w:overflowPunct/>
        <w:topLinePunct w:val="0"/>
        <w:autoSpaceDE/>
        <w:autoSpaceDN/>
        <w:bidi w:val="0"/>
        <w:adjustRightInd/>
        <w:snapToGrid/>
        <w:spacing w:line="560" w:lineRule="exact"/>
        <w:ind w:right="62" w:rightChars="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w:t>
      </w:r>
      <w:r>
        <w:rPr>
          <w:rFonts w:hint="eastAsia" w:ascii="仿宋_GB2312" w:hAnsi="仿宋_GB2312" w:eastAsia="仿宋_GB2312" w:cs="仿宋_GB2312"/>
          <w:sz w:val="32"/>
          <w:szCs w:val="32"/>
          <w:u w:val="none"/>
          <w:lang w:val="en-US" w:eastAsia="zh-CN"/>
        </w:rPr>
        <w:t>供应商须提供有效的营业执照，具有独立承担民事责任的能力；法人授权委托书或法人身份证明书，授权人或法人有效身份证明；</w:t>
      </w:r>
    </w:p>
    <w:p w14:paraId="2EBB1FE9">
      <w:pPr>
        <w:pStyle w:val="6"/>
        <w:keepNext w:val="0"/>
        <w:keepLines w:val="0"/>
        <w:pageBreakBefore w:val="0"/>
        <w:widowControl w:val="0"/>
        <w:numPr>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3.具备有效的信息系统工程监理服务标准甲级资质。</w:t>
      </w:r>
    </w:p>
    <w:p w14:paraId="5AB8E3C9">
      <w:pPr>
        <w:pStyle w:val="6"/>
        <w:keepNext w:val="0"/>
        <w:keepLines w:val="0"/>
        <w:pageBreakBefore w:val="0"/>
        <w:widowControl w:val="0"/>
        <w:numPr>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4.</w:t>
      </w:r>
      <w:r>
        <w:rPr>
          <w:rFonts w:hint="eastAsia" w:ascii="仿宋" w:hAnsi="仿宋" w:eastAsia="仿宋" w:cs="仿宋"/>
          <w:sz w:val="32"/>
          <w:szCs w:val="32"/>
          <w:lang w:eastAsia="zh-CN"/>
        </w:rPr>
        <w:t>具有良好的商业信誉和健全的财务会计制度；具有良好的商业信誉和健全的财务会计制度：提供[2024财务状况报告复印件，供应商是法人的，应提供经第三方审计机构评估的财务审计报告；执行《中小企业会计准则》的，提供资产负债表、利润表、现金流量表及其附注（以下称“三表一注”）；供应商是其他组织或者自然人的，应提供经第三方审计机构评估的财务审计报告或者银行出具的资信证明]；如是2025年新成立企业，只需提供从取得营业执照起的基本开户银行出具的资信证明；</w:t>
      </w:r>
    </w:p>
    <w:p w14:paraId="0B6DCB27">
      <w:pPr>
        <w:pStyle w:val="6"/>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highlight w:val="none"/>
          <w:lang w:val="en-US" w:eastAsia="zh-CN"/>
        </w:rPr>
        <w:t>5.提供近三年业绩证明资料。</w:t>
      </w:r>
    </w:p>
    <w:p w14:paraId="4F0B47FB">
      <w:pPr>
        <w:pStyle w:val="6"/>
        <w:keepNext w:val="0"/>
        <w:keepLines w:val="0"/>
        <w:pageBreakBefore w:val="0"/>
        <w:widowControl w:val="0"/>
        <w:numPr>
          <w:numId w:val="0"/>
        </w:numPr>
        <w:kinsoku/>
        <w:wordWrap/>
        <w:overflowPunct/>
        <w:topLinePunct w:val="0"/>
        <w:autoSpaceDE/>
        <w:autoSpaceDN/>
        <w:bidi w:val="0"/>
        <w:adjustRightInd/>
        <w:snapToGrid/>
        <w:spacing w:line="560" w:lineRule="exac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6.</w:t>
      </w:r>
      <w:r>
        <w:rPr>
          <w:rFonts w:hint="eastAsia" w:ascii="仿宋" w:hAnsi="仿宋" w:eastAsia="仿宋" w:cs="仿宋"/>
          <w:sz w:val="32"/>
          <w:szCs w:val="32"/>
          <w:lang w:eastAsia="zh-CN"/>
        </w:rPr>
        <w:t>参加采购活动前3年内，在经营活动中没有重大违法记录提供参加本次政府采购活动前3年内在经营活动中没有重大违法记录的书面承诺函并加盖单位公章。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r>
        <w:rPr>
          <w:rFonts w:hint="eastAsia" w:ascii="仿宋" w:hAnsi="仿宋" w:eastAsia="仿宋" w:cs="仿宋"/>
          <w:sz w:val="32"/>
          <w:szCs w:val="32"/>
          <w:lang w:val="en-US" w:eastAsia="zh-CN"/>
        </w:rPr>
        <w:t>)。</w:t>
      </w:r>
    </w:p>
    <w:p w14:paraId="259A9BE2">
      <w:pPr>
        <w:keepNext w:val="0"/>
        <w:keepLines w:val="0"/>
        <w:pageBreakBefore w:val="0"/>
        <w:widowControl w:val="0"/>
        <w:numPr>
          <w:ilvl w:val="0"/>
          <w:numId w:val="0"/>
        </w:numPr>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u w:val="none"/>
          <w:lang w:val="en-US" w:eastAsia="zh-CN"/>
        </w:rPr>
      </w:pPr>
      <w:r>
        <w:rPr>
          <w:rFonts w:hint="eastAsia" w:ascii="仿宋" w:hAnsi="仿宋" w:eastAsia="仿宋" w:cs="仿宋"/>
          <w:sz w:val="32"/>
          <w:szCs w:val="32"/>
          <w:lang w:val="en-US" w:eastAsia="zh-CN"/>
        </w:rPr>
        <w:t>7.</w:t>
      </w:r>
      <w:r>
        <w:rPr>
          <w:rFonts w:hint="eastAsia" w:ascii="仿宋_GB2312" w:hAnsi="仿宋_GB2312" w:eastAsia="仿宋_GB2312" w:cs="仿宋_GB2312"/>
          <w:sz w:val="32"/>
          <w:szCs w:val="32"/>
          <w:u w:val="none"/>
          <w:lang w:val="en-US" w:eastAsia="zh-CN"/>
        </w:rPr>
        <w:t>根据《关于在招标投标活动中对失信被执行人实施联合惩戒的通知》之规定，供应商应通过“信用中国”网站（www.creditchina.gov.cn）和“中国政府采购网”（ www.ccgp.gov.cn）查询结果；</w:t>
      </w:r>
    </w:p>
    <w:p w14:paraId="2678C3A1">
      <w:pPr>
        <w:keepNext w:val="0"/>
        <w:keepLines w:val="0"/>
        <w:pageBreakBefore w:val="0"/>
        <w:widowControl w:val="0"/>
        <w:numPr>
          <w:ilvl w:val="0"/>
          <w:numId w:val="0"/>
        </w:numPr>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8.与采购人存在利害关系可能影响招标公正性的法人、其他组织或者个人，不得参加；</w:t>
      </w:r>
    </w:p>
    <w:p w14:paraId="56AA9498">
      <w:pPr>
        <w:keepNext w:val="0"/>
        <w:keepLines w:val="0"/>
        <w:pageBreakBefore w:val="0"/>
        <w:widowControl w:val="0"/>
        <w:numPr>
          <w:ilvl w:val="0"/>
          <w:numId w:val="0"/>
        </w:numPr>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9.本次采购活动不接受联合体。</w:t>
      </w:r>
    </w:p>
    <w:p w14:paraId="5750AD3A">
      <w:pPr>
        <w:keepNext w:val="0"/>
        <w:keepLines w:val="0"/>
        <w:pageBreakBefore w:val="0"/>
        <w:widowControl w:val="0"/>
        <w:numPr>
          <w:numId w:val="0"/>
        </w:numPr>
        <w:kinsoku/>
        <w:wordWrap/>
        <w:overflowPunct/>
        <w:topLinePunct w:val="0"/>
        <w:autoSpaceDE/>
        <w:autoSpaceDN/>
        <w:bidi w:val="0"/>
        <w:adjustRightInd/>
        <w:snapToGrid/>
        <w:spacing w:line="540" w:lineRule="exact"/>
        <w:ind w:right="62" w:rightChars="0" w:firstLine="640" w:firstLineChars="200"/>
        <w:textAlignment w:val="auto"/>
        <w:rPr>
          <w:rFonts w:hint="default" w:ascii="黑体" w:hAnsi="黑体" w:eastAsia="黑体" w:cs="黑体"/>
          <w:b w:val="0"/>
          <w:bCs w:val="0"/>
          <w:sz w:val="32"/>
          <w:szCs w:val="32"/>
          <w:u w:val="none"/>
          <w:lang w:val="en-US" w:eastAsia="zh-CN"/>
        </w:rPr>
      </w:pPr>
      <w:r>
        <w:rPr>
          <w:rFonts w:hint="eastAsia" w:ascii="黑体" w:hAnsi="黑体" w:eastAsia="黑体" w:cs="黑体"/>
          <w:b w:val="0"/>
          <w:bCs w:val="0"/>
          <w:sz w:val="32"/>
          <w:szCs w:val="32"/>
          <w:u w:val="none"/>
          <w:lang w:val="en-US" w:eastAsia="zh-CN"/>
        </w:rPr>
        <w:t>三、</w:t>
      </w:r>
      <w:r>
        <w:rPr>
          <w:rFonts w:hint="default" w:ascii="黑体" w:hAnsi="黑体" w:eastAsia="黑体" w:cs="黑体"/>
          <w:b w:val="0"/>
          <w:bCs w:val="0"/>
          <w:sz w:val="32"/>
          <w:szCs w:val="32"/>
          <w:u w:val="none"/>
          <w:lang w:val="en-US" w:eastAsia="zh-CN"/>
        </w:rPr>
        <w:t>服务要求</w:t>
      </w:r>
    </w:p>
    <w:p w14:paraId="3D4DF7DF">
      <w:pPr>
        <w:keepNext w:val="0"/>
        <w:keepLines w:val="0"/>
        <w:pageBreakBefore w:val="0"/>
        <w:widowControl w:val="0"/>
        <w:numPr>
          <w:ilvl w:val="0"/>
          <w:numId w:val="0"/>
        </w:numPr>
        <w:kinsoku/>
        <w:wordWrap/>
        <w:overflowPunct/>
        <w:topLinePunct w:val="0"/>
        <w:autoSpaceDE/>
        <w:autoSpaceDN/>
        <w:bidi w:val="0"/>
        <w:adjustRightInd/>
        <w:snapToGrid/>
        <w:spacing w:line="540" w:lineRule="exact"/>
        <w:textAlignment w:val="auto"/>
        <w:rPr>
          <w:rFonts w:hint="eastAsia" w:ascii="方正仿宋_GB2312" w:hAnsi="方正仿宋_GB2312" w:eastAsia="方正仿宋_GB2312" w:cs="方正仿宋_GB2312"/>
          <w:b/>
          <w:bCs/>
          <w:sz w:val="32"/>
          <w:szCs w:val="32"/>
          <w:u w:val="none"/>
          <w:lang w:val="en-US" w:eastAsia="zh-CN"/>
        </w:rPr>
      </w:pPr>
      <w:r>
        <w:rPr>
          <w:rFonts w:hint="eastAsia" w:ascii="方正仿宋_GB2312" w:hAnsi="方正仿宋_GB2312" w:eastAsia="方正仿宋_GB2312" w:cs="方正仿宋_GB2312"/>
          <w:b w:val="0"/>
          <w:bCs w:val="0"/>
          <w:sz w:val="32"/>
          <w:szCs w:val="32"/>
          <w:u w:val="none"/>
          <w:lang w:val="en-US" w:eastAsia="zh-CN"/>
        </w:rPr>
        <w:t>（一）服务质量保证</w:t>
      </w:r>
    </w:p>
    <w:p w14:paraId="1A40BCE2">
      <w:pPr>
        <w:keepNext w:val="0"/>
        <w:keepLines w:val="0"/>
        <w:pageBreakBefore w:val="0"/>
        <w:widowControl w:val="0"/>
        <w:numPr>
          <w:ilvl w:val="0"/>
          <w:numId w:val="0"/>
        </w:numPr>
        <w:kinsoku/>
        <w:wordWrap/>
        <w:overflowPunct/>
        <w:topLinePunct w:val="0"/>
        <w:autoSpaceDE/>
        <w:autoSpaceDN/>
        <w:bidi w:val="0"/>
        <w:adjustRightInd/>
        <w:snapToGrid/>
        <w:spacing w:line="540" w:lineRule="exact"/>
        <w:textAlignment w:val="auto"/>
        <w:rPr>
          <w:rFonts w:hint="eastAsia" w:ascii="方正仿宋_GB2312" w:hAnsi="方正仿宋_GB2312" w:eastAsia="方正仿宋_GB2312" w:cs="方正仿宋_GB2312"/>
          <w:sz w:val="32"/>
          <w:szCs w:val="32"/>
          <w:u w:val="none"/>
          <w:lang w:val="en-US" w:eastAsia="zh-CN"/>
        </w:rPr>
      </w:pPr>
      <w:r>
        <w:rPr>
          <w:rFonts w:hint="eastAsia" w:ascii="方正仿宋_GB2312" w:hAnsi="方正仿宋_GB2312" w:eastAsia="方正仿宋_GB2312" w:cs="方正仿宋_GB2312"/>
          <w:sz w:val="32"/>
          <w:szCs w:val="32"/>
          <w:u w:val="none"/>
          <w:lang w:val="en-US" w:eastAsia="zh-CN"/>
        </w:rPr>
        <w:t>1.控制方法和程序正确；</w:t>
      </w:r>
    </w:p>
    <w:p w14:paraId="7C9177D8">
      <w:pPr>
        <w:keepNext w:val="0"/>
        <w:keepLines w:val="0"/>
        <w:pageBreakBefore w:val="0"/>
        <w:widowControl w:val="0"/>
        <w:numPr>
          <w:ilvl w:val="0"/>
          <w:numId w:val="0"/>
        </w:numPr>
        <w:kinsoku/>
        <w:wordWrap/>
        <w:overflowPunct/>
        <w:topLinePunct w:val="0"/>
        <w:autoSpaceDE/>
        <w:autoSpaceDN/>
        <w:bidi w:val="0"/>
        <w:adjustRightInd/>
        <w:snapToGrid/>
        <w:spacing w:line="540" w:lineRule="exact"/>
        <w:textAlignment w:val="auto"/>
        <w:rPr>
          <w:rFonts w:hint="eastAsia" w:ascii="方正仿宋_GB2312" w:hAnsi="方正仿宋_GB2312" w:eastAsia="方正仿宋_GB2312" w:cs="方正仿宋_GB2312"/>
          <w:sz w:val="32"/>
          <w:szCs w:val="32"/>
          <w:u w:val="none"/>
          <w:lang w:val="en-US" w:eastAsia="zh-CN"/>
        </w:rPr>
      </w:pPr>
      <w:r>
        <w:rPr>
          <w:rFonts w:hint="eastAsia" w:ascii="方正仿宋_GB2312" w:hAnsi="方正仿宋_GB2312" w:eastAsia="方正仿宋_GB2312" w:cs="方正仿宋_GB2312"/>
          <w:sz w:val="32"/>
          <w:szCs w:val="32"/>
          <w:u w:val="none"/>
          <w:lang w:val="en-US" w:eastAsia="zh-CN"/>
        </w:rPr>
        <w:t>2.进度计划能根据工程和当地施工水平、气候条件等特点提出合理的施工进度计划；</w:t>
      </w:r>
    </w:p>
    <w:p w14:paraId="08D364A4">
      <w:pPr>
        <w:keepNext w:val="0"/>
        <w:keepLines w:val="0"/>
        <w:pageBreakBefore w:val="0"/>
        <w:widowControl w:val="0"/>
        <w:numPr>
          <w:ilvl w:val="0"/>
          <w:numId w:val="0"/>
        </w:numPr>
        <w:kinsoku/>
        <w:wordWrap/>
        <w:overflowPunct/>
        <w:topLinePunct w:val="0"/>
        <w:autoSpaceDE/>
        <w:autoSpaceDN/>
        <w:bidi w:val="0"/>
        <w:adjustRightInd/>
        <w:snapToGrid/>
        <w:spacing w:line="540" w:lineRule="exact"/>
        <w:textAlignment w:val="auto"/>
        <w:rPr>
          <w:rFonts w:hint="eastAsia" w:ascii="方正仿宋_GB2312" w:hAnsi="方正仿宋_GB2312" w:eastAsia="方正仿宋_GB2312" w:cs="方正仿宋_GB2312"/>
          <w:sz w:val="32"/>
          <w:szCs w:val="32"/>
          <w:u w:val="none"/>
          <w:lang w:val="en-US" w:eastAsia="zh-CN"/>
        </w:rPr>
      </w:pPr>
      <w:r>
        <w:rPr>
          <w:rFonts w:hint="eastAsia" w:ascii="方正仿宋_GB2312" w:hAnsi="方正仿宋_GB2312" w:eastAsia="方正仿宋_GB2312" w:cs="方正仿宋_GB2312"/>
          <w:sz w:val="32"/>
          <w:szCs w:val="32"/>
          <w:u w:val="none"/>
          <w:lang w:val="en-US" w:eastAsia="zh-CN"/>
        </w:rPr>
        <w:t>3.有切实可行的文明施工和安全管理监理措施，有完善的文明监理与现场监理制度；</w:t>
      </w:r>
    </w:p>
    <w:p w14:paraId="49BEFEEB">
      <w:pPr>
        <w:keepNext w:val="0"/>
        <w:keepLines w:val="0"/>
        <w:pageBreakBefore w:val="0"/>
        <w:widowControl w:val="0"/>
        <w:numPr>
          <w:ilvl w:val="0"/>
          <w:numId w:val="0"/>
        </w:numPr>
        <w:kinsoku/>
        <w:wordWrap/>
        <w:overflowPunct/>
        <w:topLinePunct w:val="0"/>
        <w:autoSpaceDE/>
        <w:autoSpaceDN/>
        <w:bidi w:val="0"/>
        <w:adjustRightInd/>
        <w:snapToGrid/>
        <w:spacing w:line="540" w:lineRule="exact"/>
        <w:textAlignment w:val="auto"/>
        <w:rPr>
          <w:rFonts w:hint="eastAsia" w:ascii="方正仿宋_GB2312" w:hAnsi="方正仿宋_GB2312" w:eastAsia="方正仿宋_GB2312" w:cs="方正仿宋_GB2312"/>
          <w:sz w:val="32"/>
          <w:szCs w:val="32"/>
          <w:u w:val="none"/>
          <w:lang w:val="en-US" w:eastAsia="zh-CN"/>
        </w:rPr>
      </w:pPr>
      <w:r>
        <w:rPr>
          <w:rFonts w:hint="eastAsia" w:ascii="方正仿宋_GB2312" w:hAnsi="方正仿宋_GB2312" w:eastAsia="方正仿宋_GB2312" w:cs="方正仿宋_GB2312"/>
          <w:sz w:val="32"/>
          <w:szCs w:val="32"/>
          <w:u w:val="none"/>
          <w:lang w:val="en-US" w:eastAsia="zh-CN"/>
        </w:rPr>
        <w:t>4.现场协调方法和措施得力，能准确把握并处理好各方面关系。</w:t>
      </w:r>
    </w:p>
    <w:p w14:paraId="4786C4D5">
      <w:pPr>
        <w:keepNext w:val="0"/>
        <w:keepLines w:val="0"/>
        <w:pageBreakBefore w:val="0"/>
        <w:widowControl w:val="0"/>
        <w:numPr>
          <w:ilvl w:val="0"/>
          <w:numId w:val="0"/>
        </w:numPr>
        <w:kinsoku/>
        <w:wordWrap/>
        <w:overflowPunct/>
        <w:topLinePunct w:val="0"/>
        <w:autoSpaceDE/>
        <w:autoSpaceDN/>
        <w:bidi w:val="0"/>
        <w:adjustRightInd/>
        <w:snapToGrid/>
        <w:spacing w:line="540" w:lineRule="exact"/>
        <w:textAlignment w:val="auto"/>
        <w:rPr>
          <w:rFonts w:hint="eastAsia" w:ascii="方正仿宋_GB2312" w:hAnsi="方正仿宋_GB2312" w:eastAsia="方正仿宋_GB2312" w:cs="方正仿宋_GB2312"/>
          <w:b w:val="0"/>
          <w:bCs w:val="0"/>
          <w:sz w:val="32"/>
          <w:szCs w:val="32"/>
          <w:u w:val="none"/>
          <w:lang w:val="en-US" w:eastAsia="zh-CN"/>
        </w:rPr>
      </w:pPr>
      <w:r>
        <w:rPr>
          <w:rFonts w:hint="eastAsia" w:ascii="方正仿宋_GB2312" w:hAnsi="方正仿宋_GB2312" w:eastAsia="方正仿宋_GB2312" w:cs="方正仿宋_GB2312"/>
          <w:b w:val="0"/>
          <w:bCs w:val="0"/>
          <w:sz w:val="32"/>
          <w:szCs w:val="32"/>
          <w:u w:val="none"/>
          <w:lang w:val="en-US" w:eastAsia="zh-CN"/>
        </w:rPr>
        <w:t>（二）监理机构职责</w:t>
      </w:r>
    </w:p>
    <w:p w14:paraId="1B68ACBF">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方正仿宋_GB2312" w:hAnsi="方正仿宋_GB2312" w:eastAsia="方正仿宋_GB2312" w:cs="方正仿宋_GB2312"/>
          <w:sz w:val="32"/>
          <w:szCs w:val="32"/>
          <w:u w:val="none"/>
          <w:lang w:val="en-US" w:eastAsia="zh-CN"/>
        </w:rPr>
      </w:pPr>
      <w:r>
        <w:rPr>
          <w:rFonts w:hint="eastAsia" w:ascii="方正仿宋_GB2312" w:hAnsi="方正仿宋_GB2312" w:eastAsia="方正仿宋_GB2312" w:cs="方正仿宋_GB2312"/>
          <w:sz w:val="32"/>
          <w:szCs w:val="32"/>
          <w:u w:val="none"/>
          <w:lang w:val="en-US" w:eastAsia="zh-CN"/>
        </w:rPr>
        <w:t>监理单位应公平、独立、诚信、科学地开展监理相关的服务活动。受建设单位的委托，按照建设工程监理合同约定，维护建设单位和承包单位的合法权益。</w:t>
      </w:r>
    </w:p>
    <w:p w14:paraId="3CA4D5AC">
      <w:pPr>
        <w:keepNext w:val="0"/>
        <w:keepLines w:val="0"/>
        <w:pageBreakBefore w:val="0"/>
        <w:widowControl w:val="0"/>
        <w:numPr>
          <w:ilvl w:val="0"/>
          <w:numId w:val="0"/>
        </w:numPr>
        <w:kinsoku/>
        <w:wordWrap/>
        <w:overflowPunct/>
        <w:topLinePunct w:val="0"/>
        <w:autoSpaceDE/>
        <w:autoSpaceDN/>
        <w:bidi w:val="0"/>
        <w:adjustRightInd/>
        <w:snapToGrid/>
        <w:spacing w:line="540" w:lineRule="exact"/>
        <w:textAlignment w:val="auto"/>
        <w:rPr>
          <w:rFonts w:hint="eastAsia" w:ascii="方正仿宋_GB2312" w:hAnsi="方正仿宋_GB2312" w:eastAsia="方正仿宋_GB2312" w:cs="方正仿宋_GB2312"/>
          <w:sz w:val="32"/>
          <w:szCs w:val="32"/>
          <w:u w:val="none"/>
          <w:lang w:val="en-US" w:eastAsia="zh-CN"/>
        </w:rPr>
      </w:pPr>
      <w:r>
        <w:rPr>
          <w:rFonts w:hint="eastAsia" w:ascii="方正仿宋_GB2312" w:hAnsi="方正仿宋_GB2312" w:eastAsia="方正仿宋_GB2312" w:cs="方正仿宋_GB2312"/>
          <w:sz w:val="32"/>
          <w:szCs w:val="32"/>
          <w:u w:val="none"/>
          <w:lang w:val="en-US" w:eastAsia="zh-CN"/>
        </w:rPr>
        <w:t>（三）监理工作期限为承包人进驻施工现场起至工程竣工验收完毕止。</w:t>
      </w:r>
    </w:p>
    <w:p w14:paraId="6047BEF1">
      <w:pPr>
        <w:keepNext w:val="0"/>
        <w:keepLines w:val="0"/>
        <w:pageBreakBefore w:val="0"/>
        <w:widowControl w:val="0"/>
        <w:numPr>
          <w:ilvl w:val="0"/>
          <w:numId w:val="0"/>
        </w:numPr>
        <w:kinsoku/>
        <w:wordWrap/>
        <w:overflowPunct/>
        <w:topLinePunct w:val="0"/>
        <w:autoSpaceDE/>
        <w:autoSpaceDN/>
        <w:bidi w:val="0"/>
        <w:adjustRightInd/>
        <w:snapToGrid/>
        <w:spacing w:line="540" w:lineRule="exact"/>
        <w:textAlignment w:val="auto"/>
        <w:rPr>
          <w:rFonts w:hint="eastAsia" w:ascii="方正仿宋_GB2312" w:hAnsi="方正仿宋_GB2312" w:eastAsia="方正仿宋_GB2312" w:cs="方正仿宋_GB2312"/>
          <w:b w:val="0"/>
          <w:bCs w:val="0"/>
          <w:sz w:val="32"/>
          <w:szCs w:val="32"/>
          <w:u w:val="none"/>
          <w:lang w:val="en-US" w:eastAsia="zh-CN"/>
        </w:rPr>
      </w:pPr>
      <w:r>
        <w:rPr>
          <w:rFonts w:hint="eastAsia" w:ascii="方正仿宋_GB2312" w:hAnsi="方正仿宋_GB2312" w:eastAsia="方正仿宋_GB2312" w:cs="方正仿宋_GB2312"/>
          <w:b w:val="0"/>
          <w:bCs w:val="0"/>
          <w:sz w:val="32"/>
          <w:szCs w:val="32"/>
          <w:u w:val="none"/>
          <w:lang w:val="en-US" w:eastAsia="zh-CN"/>
        </w:rPr>
        <w:t>（四）人员要求</w:t>
      </w:r>
    </w:p>
    <w:p w14:paraId="1E7EA280">
      <w:pPr>
        <w:keepNext w:val="0"/>
        <w:keepLines w:val="0"/>
        <w:pageBreakBefore w:val="0"/>
        <w:widowControl w:val="0"/>
        <w:numPr>
          <w:ilvl w:val="0"/>
          <w:numId w:val="0"/>
        </w:numPr>
        <w:kinsoku/>
        <w:wordWrap/>
        <w:overflowPunct/>
        <w:topLinePunct w:val="0"/>
        <w:autoSpaceDE/>
        <w:autoSpaceDN/>
        <w:bidi w:val="0"/>
        <w:adjustRightInd/>
        <w:snapToGrid/>
        <w:spacing w:line="540" w:lineRule="exact"/>
        <w:textAlignment w:val="auto"/>
        <w:rPr>
          <w:rFonts w:hint="eastAsia" w:ascii="方正仿宋_GB2312" w:hAnsi="方正仿宋_GB2312" w:eastAsia="方正仿宋_GB2312" w:cs="方正仿宋_GB2312"/>
          <w:color w:val="0000FF"/>
          <w:sz w:val="32"/>
          <w:szCs w:val="32"/>
          <w:u w:val="none"/>
          <w:lang w:val="en-US" w:eastAsia="zh-CN"/>
        </w:rPr>
      </w:pPr>
      <w:r>
        <w:rPr>
          <w:rFonts w:hint="eastAsia" w:ascii="方正仿宋_GB2312" w:hAnsi="方正仿宋_GB2312" w:eastAsia="方正仿宋_GB2312" w:cs="方正仿宋_GB2312"/>
          <w:sz w:val="32"/>
          <w:szCs w:val="32"/>
          <w:u w:val="none"/>
          <w:lang w:val="en-US" w:eastAsia="zh-CN"/>
        </w:rPr>
        <w:t>1.专业监理工程师为</w:t>
      </w:r>
      <w:r>
        <w:rPr>
          <w:rFonts w:hint="eastAsia" w:ascii="方正仿宋_GB2312" w:hAnsi="方正仿宋_GB2312" w:eastAsia="方正仿宋_GB2312" w:cs="方正仿宋_GB2312"/>
          <w:sz w:val="32"/>
          <w:szCs w:val="32"/>
          <w:lang w:val="en-US" w:eastAsia="zh-CN"/>
        </w:rPr>
        <w:t>具备有效的信息信息系统工程监理服务标准甲级资质，</w:t>
      </w:r>
      <w:r>
        <w:rPr>
          <w:rFonts w:hint="eastAsia" w:ascii="方正仿宋_GB2312" w:hAnsi="方正仿宋_GB2312" w:eastAsia="方正仿宋_GB2312" w:cs="方正仿宋_GB2312"/>
          <w:sz w:val="32"/>
          <w:szCs w:val="32"/>
          <w:u w:val="none"/>
          <w:lang w:val="en-US" w:eastAsia="zh-CN"/>
        </w:rPr>
        <w:t>2 年及以上工程实践经验并具备监理培训证书，工程类注册执业资格在投标单位注册；</w:t>
      </w:r>
    </w:p>
    <w:p w14:paraId="3002B7EE">
      <w:pPr>
        <w:keepNext w:val="0"/>
        <w:keepLines w:val="0"/>
        <w:pageBreakBefore w:val="0"/>
        <w:widowControl w:val="0"/>
        <w:numPr>
          <w:ilvl w:val="0"/>
          <w:numId w:val="0"/>
        </w:numPr>
        <w:kinsoku/>
        <w:wordWrap/>
        <w:overflowPunct/>
        <w:topLinePunct w:val="0"/>
        <w:autoSpaceDE/>
        <w:autoSpaceDN/>
        <w:bidi w:val="0"/>
        <w:adjustRightInd/>
        <w:snapToGrid/>
        <w:spacing w:line="540" w:lineRule="exact"/>
        <w:textAlignment w:val="auto"/>
        <w:rPr>
          <w:rFonts w:hint="eastAsia" w:ascii="方正仿宋_GB2312" w:hAnsi="方正仿宋_GB2312" w:eastAsia="方正仿宋_GB2312" w:cs="方正仿宋_GB2312"/>
          <w:sz w:val="32"/>
          <w:szCs w:val="32"/>
          <w:u w:val="none"/>
          <w:lang w:val="en-US" w:eastAsia="zh-CN"/>
        </w:rPr>
      </w:pPr>
      <w:r>
        <w:rPr>
          <w:rFonts w:hint="eastAsia" w:ascii="方正仿宋_GB2312" w:hAnsi="方正仿宋_GB2312" w:eastAsia="方正仿宋_GB2312" w:cs="方正仿宋_GB2312"/>
          <w:sz w:val="32"/>
          <w:szCs w:val="32"/>
          <w:u w:val="none"/>
          <w:lang w:val="en-US" w:eastAsia="zh-CN"/>
        </w:rPr>
        <w:t>2.监理员同时具备中专及以上学历和监理培训证书。</w:t>
      </w:r>
    </w:p>
    <w:p w14:paraId="003D206A">
      <w:pPr>
        <w:keepNext w:val="0"/>
        <w:keepLines w:val="0"/>
        <w:pageBreakBefore w:val="0"/>
        <w:widowControl w:val="0"/>
        <w:numPr>
          <w:ilvl w:val="0"/>
          <w:numId w:val="0"/>
        </w:numPr>
        <w:kinsoku/>
        <w:wordWrap/>
        <w:overflowPunct/>
        <w:topLinePunct w:val="0"/>
        <w:autoSpaceDE/>
        <w:autoSpaceDN/>
        <w:bidi w:val="0"/>
        <w:adjustRightInd/>
        <w:snapToGrid/>
        <w:spacing w:line="540" w:lineRule="exact"/>
        <w:textAlignment w:val="auto"/>
        <w:rPr>
          <w:rFonts w:hint="eastAsia" w:ascii="方正仿宋_GB2312" w:hAnsi="方正仿宋_GB2312" w:eastAsia="方正仿宋_GB2312" w:cs="方正仿宋_GB2312"/>
          <w:sz w:val="32"/>
          <w:szCs w:val="32"/>
          <w:u w:val="none"/>
          <w:lang w:val="en-US" w:eastAsia="zh-CN"/>
        </w:rPr>
      </w:pPr>
      <w:r>
        <w:rPr>
          <w:rFonts w:hint="eastAsia" w:ascii="方正仿宋_GB2312" w:hAnsi="方正仿宋_GB2312" w:eastAsia="方正仿宋_GB2312" w:cs="方正仿宋_GB2312"/>
          <w:sz w:val="32"/>
          <w:szCs w:val="32"/>
          <w:u w:val="none"/>
          <w:lang w:val="en-US" w:eastAsia="zh-CN"/>
        </w:rPr>
        <w:t>3.无法律、法规和规章禁止的其他情况。</w:t>
      </w:r>
    </w:p>
    <w:p w14:paraId="48B035A6">
      <w:pPr>
        <w:keepNext w:val="0"/>
        <w:keepLines w:val="0"/>
        <w:pageBreakBefore w:val="0"/>
        <w:widowControl w:val="0"/>
        <w:numPr>
          <w:ilvl w:val="0"/>
          <w:numId w:val="0"/>
        </w:numPr>
        <w:kinsoku/>
        <w:wordWrap/>
        <w:overflowPunct/>
        <w:topLinePunct w:val="0"/>
        <w:autoSpaceDE/>
        <w:autoSpaceDN/>
        <w:bidi w:val="0"/>
        <w:adjustRightInd/>
        <w:snapToGrid/>
        <w:spacing w:line="540" w:lineRule="exact"/>
        <w:textAlignment w:val="auto"/>
        <w:rPr>
          <w:rFonts w:hint="eastAsia" w:ascii="方正仿宋_GB2312" w:hAnsi="方正仿宋_GB2312" w:eastAsia="方正仿宋_GB2312" w:cs="方正仿宋_GB2312"/>
          <w:b w:val="0"/>
          <w:bCs w:val="0"/>
          <w:sz w:val="32"/>
          <w:szCs w:val="32"/>
          <w:u w:val="none"/>
          <w:lang w:val="en-US" w:eastAsia="zh-CN"/>
        </w:rPr>
      </w:pPr>
      <w:r>
        <w:rPr>
          <w:rFonts w:hint="eastAsia" w:ascii="方正仿宋_GB2312" w:hAnsi="方正仿宋_GB2312" w:eastAsia="方正仿宋_GB2312" w:cs="方正仿宋_GB2312"/>
          <w:b w:val="0"/>
          <w:bCs w:val="0"/>
          <w:sz w:val="32"/>
          <w:szCs w:val="32"/>
          <w:u w:val="none"/>
          <w:lang w:val="en-US" w:eastAsia="zh-CN"/>
        </w:rPr>
        <w:t>（五）其他要求</w:t>
      </w:r>
    </w:p>
    <w:p w14:paraId="49CDA918">
      <w:pPr>
        <w:keepNext w:val="0"/>
        <w:keepLines w:val="0"/>
        <w:pageBreakBefore w:val="0"/>
        <w:widowControl w:val="0"/>
        <w:numPr>
          <w:ilvl w:val="0"/>
          <w:numId w:val="0"/>
        </w:numPr>
        <w:kinsoku/>
        <w:wordWrap/>
        <w:overflowPunct/>
        <w:topLinePunct w:val="0"/>
        <w:autoSpaceDE/>
        <w:autoSpaceDN/>
        <w:bidi w:val="0"/>
        <w:adjustRightInd/>
        <w:snapToGrid/>
        <w:spacing w:line="540" w:lineRule="exact"/>
        <w:textAlignment w:val="auto"/>
        <w:rPr>
          <w:rFonts w:hint="default"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1.本项目拟派监理工程师（</w:t>
      </w:r>
      <w:r>
        <w:rPr>
          <w:rFonts w:hint="default" w:ascii="仿宋_GB2312" w:hAnsi="仿宋_GB2312" w:eastAsia="仿宋_GB2312" w:cs="仿宋_GB2312"/>
          <w:sz w:val="32"/>
          <w:szCs w:val="32"/>
          <w:u w:val="none"/>
          <w:lang w:val="en-US" w:eastAsia="zh-CN"/>
        </w:rPr>
        <w:t>总监理工程师</w:t>
      </w:r>
      <w:r>
        <w:rPr>
          <w:rFonts w:hint="eastAsia" w:ascii="仿宋_GB2312" w:hAnsi="仿宋_GB2312" w:eastAsia="仿宋_GB2312" w:cs="仿宋_GB2312"/>
          <w:sz w:val="32"/>
          <w:szCs w:val="32"/>
          <w:u w:val="none"/>
          <w:lang w:val="en-US" w:eastAsia="zh-CN"/>
        </w:rPr>
        <w:t>1名、网络工程师等）至少2名。</w:t>
      </w:r>
      <w:bookmarkStart w:id="0" w:name="_GoBack"/>
      <w:bookmarkEnd w:id="0"/>
    </w:p>
    <w:p w14:paraId="0B1D44DB">
      <w:pPr>
        <w:keepNext w:val="0"/>
        <w:keepLines w:val="0"/>
        <w:pageBreakBefore w:val="0"/>
        <w:widowControl w:val="0"/>
        <w:numPr>
          <w:ilvl w:val="0"/>
          <w:numId w:val="0"/>
        </w:numPr>
        <w:kinsoku/>
        <w:wordWrap/>
        <w:overflowPunct/>
        <w:topLinePunct w:val="0"/>
        <w:autoSpaceDE/>
        <w:autoSpaceDN/>
        <w:bidi w:val="0"/>
        <w:adjustRightInd/>
        <w:snapToGrid/>
        <w:spacing w:line="540" w:lineRule="exact"/>
        <w:textAlignment w:val="auto"/>
        <w:rPr>
          <w:rFonts w:hint="default"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2.本项目拟派的</w:t>
      </w:r>
      <w:r>
        <w:rPr>
          <w:rFonts w:hint="default" w:ascii="仿宋_GB2312" w:hAnsi="仿宋_GB2312" w:eastAsia="仿宋_GB2312" w:cs="仿宋_GB2312"/>
          <w:sz w:val="32"/>
          <w:szCs w:val="32"/>
          <w:u w:val="none"/>
          <w:lang w:val="en-US" w:eastAsia="zh-CN"/>
        </w:rPr>
        <w:t>总监理工程师</w:t>
      </w:r>
      <w:r>
        <w:rPr>
          <w:rFonts w:hint="eastAsia" w:ascii="仿宋_GB2312" w:hAnsi="仿宋_GB2312" w:eastAsia="仿宋_GB2312" w:cs="仿宋_GB2312"/>
          <w:sz w:val="32"/>
          <w:szCs w:val="32"/>
          <w:u w:val="none"/>
          <w:lang w:val="en-US" w:eastAsia="zh-CN"/>
        </w:rPr>
        <w:t>项目开工至竣工每月15天以上，每天8小时必须施工现场履职；专业工程师项和监理员目开工至竣工，每天8小时必须 施工现场履职。如特殊情况必须向采购人书面方式请假并说明原因。</w:t>
      </w:r>
    </w:p>
    <w:p w14:paraId="4308E9A0">
      <w:pPr>
        <w:keepNext w:val="0"/>
        <w:keepLines w:val="0"/>
        <w:pageBreakBefore w:val="0"/>
        <w:widowControl w:val="0"/>
        <w:numPr>
          <w:ilvl w:val="0"/>
          <w:numId w:val="0"/>
        </w:numPr>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3.拟派人员项目开工至竣工不得更换。</w:t>
      </w:r>
    </w:p>
    <w:p w14:paraId="43446BB5">
      <w:pPr>
        <w:keepNext w:val="0"/>
        <w:keepLines w:val="0"/>
        <w:pageBreakBefore w:val="0"/>
        <w:widowControl w:val="0"/>
        <w:numPr>
          <w:ilvl w:val="0"/>
          <w:numId w:val="0"/>
        </w:numPr>
        <w:kinsoku/>
        <w:wordWrap/>
        <w:overflowPunct/>
        <w:topLinePunct w:val="0"/>
        <w:autoSpaceDE/>
        <w:autoSpaceDN/>
        <w:bidi w:val="0"/>
        <w:adjustRightInd/>
        <w:snapToGrid/>
        <w:spacing w:line="540" w:lineRule="exact"/>
        <w:textAlignment w:val="auto"/>
        <w:rPr>
          <w:rFonts w:hint="default"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4.采购需求里未尽事宜签订合同内容为准。</w:t>
      </w:r>
    </w:p>
    <w:p w14:paraId="411AE993">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u w:val="none"/>
          <w:lang w:val="en-US" w:eastAsia="zh-CN"/>
        </w:rPr>
      </w:pPr>
    </w:p>
    <w:p w14:paraId="4278723B">
      <w:pPr>
        <w:pStyle w:val="6"/>
        <w:keepNext w:val="0"/>
        <w:keepLines w:val="0"/>
        <w:pageBreakBefore w:val="0"/>
        <w:widowControl w:val="0"/>
        <w:numPr>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p>
    <w:p w14:paraId="0A820B1A">
      <w:pPr>
        <w:pStyle w:val="6"/>
        <w:keepNext w:val="0"/>
        <w:keepLines w:val="0"/>
        <w:pageBreakBefore w:val="0"/>
        <w:widowControl w:val="0"/>
        <w:numPr>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hanging="105"/>
      </w:pPr>
      <w:r>
        <w:separator/>
      </w:r>
    </w:p>
  </w:endnote>
  <w:endnote w:type="continuationSeparator" w:id="1">
    <w:p>
      <w:pPr>
        <w:spacing w:line="240" w:lineRule="auto"/>
        <w:ind w:hanging="10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EC7B2EA-0E3B-4E90-BB7C-C7BD04A7162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9014C5E3-7D9B-4CF6-B76D-4474E365FA8F}"/>
  </w:font>
  <w:font w:name="方正小标宋简体">
    <w:panose1 w:val="02000000000000000000"/>
    <w:charset w:val="86"/>
    <w:family w:val="auto"/>
    <w:pitch w:val="default"/>
    <w:sig w:usb0="00000001" w:usb1="08000000" w:usb2="00000000" w:usb3="00000000" w:csb0="00040000" w:csb1="00000000"/>
    <w:embedRegular r:id="rId3" w:fontKey="{93A69738-6E21-4A20-89A7-8C0D7C43D2B9}"/>
  </w:font>
  <w:font w:name="仿宋_GB2312">
    <w:altName w:val="仿宋"/>
    <w:panose1 w:val="02010609030101010101"/>
    <w:charset w:val="86"/>
    <w:family w:val="modern"/>
    <w:pitch w:val="default"/>
    <w:sig w:usb0="00000000" w:usb1="00000000" w:usb2="00000000" w:usb3="00000000" w:csb0="00040000" w:csb1="00000000"/>
    <w:embedRegular r:id="rId4" w:fontKey="{711F8C71-E6CA-4FB5-967D-A12D8E98E76C}"/>
  </w:font>
  <w:font w:name="Segoe UI Emoji">
    <w:panose1 w:val="020B0502040204020203"/>
    <w:charset w:val="00"/>
    <w:family w:val="auto"/>
    <w:pitch w:val="default"/>
    <w:sig w:usb0="00000001" w:usb1="02000000" w:usb2="00000000" w:usb3="00000000" w:csb0="00000001" w:csb1="00000000"/>
    <w:embedRegular r:id="rId5" w:fontKey="{27389AEF-3600-4384-BA3B-5536519A736E}"/>
  </w:font>
  <w:font w:name="Symbol">
    <w:panose1 w:val="05050102010706020507"/>
    <w:charset w:val="00"/>
    <w:family w:val="auto"/>
    <w:pitch w:val="default"/>
    <w:sig w:usb0="00000000" w:usb1="00000000" w:usb2="00000000" w:usb3="00000000" w:csb0="80000000" w:csb1="00000000"/>
  </w:font>
  <w:font w:name="仿宋_GB2312">
    <w:altName w:val="仿宋"/>
    <w:panose1 w:val="00000000000000000000"/>
    <w:charset w:val="00"/>
    <w:family w:val="auto"/>
    <w:pitch w:val="default"/>
    <w:sig w:usb0="00000000" w:usb1="00000000" w:usb2="00000000" w:usb3="00000000" w:csb0="00000000" w:csb1="00000000"/>
  </w:font>
  <w:font w:name="方正楷体_GB2312">
    <w:panose1 w:val="02000000000000000000"/>
    <w:charset w:val="86"/>
    <w:family w:val="auto"/>
    <w:pitch w:val="default"/>
    <w:sig w:usb0="A00002BF" w:usb1="184F6CFA" w:usb2="00000012" w:usb3="00000000" w:csb0="00040001" w:csb1="00000000"/>
  </w:font>
  <w:font w:name="方正仿宋_GB2312">
    <w:panose1 w:val="02000000000000000000"/>
    <w:charset w:val="86"/>
    <w:family w:val="auto"/>
    <w:pitch w:val="default"/>
    <w:sig w:usb0="A00002BF" w:usb1="184F6CFA" w:usb2="00000012" w:usb3="00000000" w:csb0="00040001" w:csb1="00000000"/>
    <w:embedRegular r:id="rId6" w:fontKey="{888F4A88-016B-4B91-AB43-4185665B471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hanging="105"/>
      </w:pPr>
      <w:r>
        <w:separator/>
      </w:r>
    </w:p>
  </w:footnote>
  <w:footnote w:type="continuationSeparator" w:id="1">
    <w:p>
      <w:pPr>
        <w:spacing w:line="360" w:lineRule="auto"/>
        <w:ind w:hanging="105"/>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BB5275"/>
    <w:multiLevelType w:val="singleLevel"/>
    <w:tmpl w:val="00BB527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E05A84"/>
    <w:rsid w:val="0DBC41F7"/>
    <w:rsid w:val="20803CC9"/>
    <w:rsid w:val="3CC371E6"/>
    <w:rsid w:val="46364CA7"/>
    <w:rsid w:val="4EE05A84"/>
    <w:rsid w:val="55F92E4E"/>
    <w:rsid w:val="62426A55"/>
    <w:rsid w:val="72916C3D"/>
    <w:rsid w:val="7E1226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left="50" w:right="62" w:hanging="50" w:hangingChars="5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 w:val="24"/>
      <w:szCs w:val="20"/>
    </w:rPr>
  </w:style>
  <w:style w:type="paragraph" w:styleId="3">
    <w:name w:val="annotation text"/>
    <w:basedOn w:val="1"/>
    <w:qFormat/>
    <w:uiPriority w:val="0"/>
    <w:pPr>
      <w:jc w:val="left"/>
    </w:pPr>
  </w:style>
  <w:style w:type="paragraph" w:customStyle="1" w:styleId="6">
    <w:name w:val="_Style 1"/>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725</Words>
  <Characters>792</Characters>
  <Lines>0</Lines>
  <Paragraphs>0</Paragraphs>
  <TotalTime>64</TotalTime>
  <ScaleCrop>false</ScaleCrop>
  <LinksUpToDate>false</LinksUpToDate>
  <CharactersWithSpaces>794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2025-09-23T04:58:00Z</dcterms:created>
  <dc:creator>             ♚ </dc:creator>
  <cp:lastModifiedBy>             ♚ </cp:lastModifiedBy>
  <cp:lastPrinted>2025-09-29T11:05:43Z</cp:lastPrinted>
  <dcterms:modified xsi:type="dcterms:W3CDTF">2025-09-29T11:11:14Z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CF3881E6B02A437281D4759C546A7E72_11</vt:lpwstr>
  </property>
  <property fmtid="{D5CDD505-2E9C-101B-9397-08002B2CF9AE}" pid="4" name="KSOTemplateDocerSaveRecord">
    <vt:lpwstr>eyJoZGlkIjoiM2E3YzM4NmRkMzMwNzVlOTBkNGFmZDg1MDFlMDNjYzEiLCJ1c2VySWQiOiIzMjQ4MTEyMDUifQ==</vt:lpwstr>
  </property>
</Properties>
</file>