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8412">
      <w:pPr>
        <w:spacing w:line="44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云南公司重大危险源及新建管道现状评价、双重预防</w:t>
      </w:r>
    </w:p>
    <w:p w14:paraId="7B0180AF">
      <w:pPr>
        <w:spacing w:line="44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机制建设项目中标候选人公示</w:t>
      </w:r>
    </w:p>
    <w:p w14:paraId="00AB3D7A">
      <w:pPr>
        <w:spacing w:line="360" w:lineRule="auto"/>
        <w:ind w:firstLine="548" w:firstLineChars="196"/>
        <w:jc w:val="center"/>
        <w:outlineLvl w:val="0"/>
        <w:rPr>
          <w:rFonts w:hint="eastAsia" w:ascii="宋体" w:hAnsi="宋体" w:eastAsia="宋体" w:cs="宋体"/>
          <w:sz w:val="28"/>
          <w:szCs w:val="28"/>
        </w:rPr>
      </w:pPr>
      <w:r>
        <w:rPr>
          <w:rFonts w:hint="eastAsia" w:ascii="宋体" w:hAnsi="宋体" w:eastAsia="宋体" w:cs="宋体"/>
          <w:sz w:val="28"/>
          <w:szCs w:val="28"/>
        </w:rPr>
        <w:t>招标编号：ZY26-XN533-FW0632-01</w:t>
      </w:r>
    </w:p>
    <w:p w14:paraId="7EAB21C8">
      <w:pPr>
        <w:spacing w:line="360" w:lineRule="auto"/>
        <w:ind w:firstLine="548" w:firstLineChars="196"/>
        <w:jc w:val="center"/>
        <w:outlineLvl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p w14:paraId="6F638B9C">
      <w:pPr>
        <w:spacing w:line="360" w:lineRule="auto"/>
        <w:ind w:firstLine="548" w:firstLineChars="196"/>
        <w:jc w:val="center"/>
        <w:outlineLvl w:val="0"/>
        <w:rPr>
          <w:rFonts w:hint="eastAsia" w:ascii="宋体" w:hAnsi="宋体" w:eastAsia="宋体" w:cs="宋体"/>
          <w:sz w:val="28"/>
          <w:szCs w:val="28"/>
        </w:rPr>
      </w:pPr>
    </w:p>
    <w:p w14:paraId="78882691">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一、基本情况</w:t>
      </w:r>
    </w:p>
    <w:p w14:paraId="427E61FA">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本项目招标内容包括：</w:t>
      </w:r>
      <w:r>
        <w:rPr>
          <w:rFonts w:hint="eastAsia" w:ascii="宋体" w:hAnsi="宋体" w:eastAsia="宋体" w:cs="宋体"/>
          <w:sz w:val="28"/>
          <w:szCs w:val="28"/>
          <w:u w:val="single"/>
          <w:lang w:val="en-US" w:eastAsia="zh-CN"/>
        </w:rPr>
        <w:t>开展云南公司23项重大危险源开展深度评估，对公司新建管道站场开展现状评价及对人员定位系统进行维护，对公司制程、风险、隐患的运行情况进行评估并提升</w:t>
      </w:r>
      <w:r>
        <w:rPr>
          <w:rFonts w:hint="eastAsia" w:ascii="宋体" w:hAnsi="宋体" w:eastAsia="宋体" w:cs="宋体"/>
          <w:sz w:val="28"/>
          <w:szCs w:val="28"/>
        </w:rPr>
        <w:t>，资金已落实。该项目已按要求履行了相关报批及备案等手续，并依据国家相关法律法规及集团公司相关规定组织开展招标活动，本项目采用</w:t>
      </w:r>
      <w:r>
        <w:rPr>
          <w:rFonts w:hint="eastAsia" w:ascii="宋体" w:hAnsi="宋体" w:eastAsia="宋体" w:cs="宋体"/>
          <w:sz w:val="28"/>
          <w:szCs w:val="28"/>
          <w:u w:val="single"/>
        </w:rPr>
        <w:t xml:space="preserve"> 公开招标</w:t>
      </w:r>
      <w:r>
        <w:rPr>
          <w:rFonts w:hint="eastAsia" w:ascii="宋体" w:hAnsi="宋体" w:eastAsia="宋体" w:cs="宋体"/>
          <w:sz w:val="28"/>
          <w:szCs w:val="28"/>
        </w:rPr>
        <w:t>方式。</w:t>
      </w:r>
    </w:p>
    <w:p w14:paraId="23AC3648">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二、投标及开标情况</w:t>
      </w:r>
    </w:p>
    <w:p w14:paraId="1F31A0C7">
      <w:pPr>
        <w:keepNext w:val="0"/>
        <w:keepLines w:val="0"/>
        <w:pageBreakBefore w:val="0"/>
        <w:kinsoku/>
        <w:wordWrap/>
        <w:overflowPunct/>
        <w:topLinePunct w:val="0"/>
        <w:autoSpaceDE/>
        <w:autoSpaceDN/>
        <w:bidi w:val="0"/>
        <w:adjustRightInd/>
        <w:snapToGrid w:val="0"/>
        <w:spacing w:beforeLines="50" w:afterLines="50" w:line="360" w:lineRule="auto"/>
        <w:ind w:left="141" w:leftChars="67" w:firstLine="420" w:firstLineChars="150"/>
        <w:jc w:val="left"/>
        <w:rPr>
          <w:rFonts w:hint="eastAsia" w:ascii="宋体" w:hAnsi="宋体" w:eastAsia="宋体" w:cs="宋体"/>
          <w:sz w:val="28"/>
          <w:szCs w:val="28"/>
          <w:lang w:val="en-US" w:eastAsia="zh-CN"/>
        </w:rPr>
      </w:pPr>
      <w:r>
        <w:rPr>
          <w:rFonts w:hint="eastAsia" w:ascii="宋体" w:hAnsi="宋体" w:eastAsia="宋体" w:cs="宋体"/>
          <w:sz w:val="28"/>
          <w:szCs w:val="28"/>
        </w:rPr>
        <w:t>○本次公开招标</w:t>
      </w:r>
      <w:r>
        <w:rPr>
          <w:rFonts w:hint="eastAsia" w:ascii="宋体" w:hAnsi="宋体" w:cs="宋体"/>
          <w:sz w:val="28"/>
          <w:szCs w:val="28"/>
          <w:lang w:val="en-US" w:eastAsia="zh-CN"/>
        </w:rPr>
        <w:t>三标段</w:t>
      </w:r>
      <w:r>
        <w:rPr>
          <w:rFonts w:hint="eastAsia" w:ascii="宋体" w:hAnsi="宋体" w:eastAsia="宋体" w:cs="宋体"/>
          <w:sz w:val="28"/>
          <w:szCs w:val="28"/>
        </w:rPr>
        <w:t>共有</w:t>
      </w:r>
      <w:r>
        <w:rPr>
          <w:rFonts w:hint="eastAsia" w:ascii="宋体" w:hAnsi="宋体" w:cs="宋体"/>
          <w:sz w:val="28"/>
          <w:szCs w:val="28"/>
          <w:u w:val="single"/>
          <w:lang w:val="en-US" w:eastAsia="zh-CN"/>
        </w:rPr>
        <w:t>7</w:t>
      </w:r>
      <w:r>
        <w:rPr>
          <w:rFonts w:hint="eastAsia" w:ascii="宋体" w:hAnsi="宋体" w:eastAsia="宋体" w:cs="宋体"/>
          <w:sz w:val="28"/>
          <w:szCs w:val="28"/>
        </w:rPr>
        <w:t>家购买招标文件，实际递交投标文件的</w:t>
      </w:r>
      <w:r>
        <w:rPr>
          <w:rFonts w:hint="eastAsia" w:ascii="宋体" w:hAnsi="宋体" w:cs="宋体"/>
          <w:sz w:val="28"/>
          <w:szCs w:val="28"/>
          <w:u w:val="single"/>
          <w:lang w:val="en-US" w:eastAsia="zh-CN"/>
        </w:rPr>
        <w:t>4</w:t>
      </w:r>
      <w:r>
        <w:rPr>
          <w:rFonts w:hint="eastAsia" w:ascii="宋体" w:hAnsi="宋体" w:eastAsia="宋体" w:cs="宋体"/>
          <w:sz w:val="28"/>
          <w:szCs w:val="28"/>
        </w:rPr>
        <w:t>家，未在投标截止时间递交投标文件的</w:t>
      </w:r>
      <w:r>
        <w:rPr>
          <w:rFonts w:hint="eastAsia" w:ascii="宋体" w:hAnsi="宋体" w:cs="宋体"/>
          <w:sz w:val="28"/>
          <w:szCs w:val="28"/>
          <w:u w:val="single"/>
          <w:lang w:val="en-US" w:eastAsia="zh-CN"/>
        </w:rPr>
        <w:t>3</w:t>
      </w:r>
      <w:r>
        <w:rPr>
          <w:rFonts w:hint="eastAsia" w:ascii="宋体" w:hAnsi="宋体" w:eastAsia="宋体" w:cs="宋体"/>
          <w:sz w:val="28"/>
          <w:szCs w:val="28"/>
        </w:rPr>
        <w:t>家</w:t>
      </w:r>
      <w:r>
        <w:rPr>
          <w:rFonts w:hint="eastAsia" w:ascii="宋体" w:hAnsi="宋体" w:eastAsia="宋体" w:cs="宋体"/>
          <w:sz w:val="28"/>
          <w:szCs w:val="28"/>
          <w:lang w:val="en-US" w:eastAsia="zh-CN"/>
        </w:rPr>
        <w:t>。</w:t>
      </w:r>
    </w:p>
    <w:p w14:paraId="6CBF481F">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三、评标情况</w:t>
      </w:r>
    </w:p>
    <w:p w14:paraId="74297EC5">
      <w:pPr>
        <w:keepNext w:val="0"/>
        <w:keepLines w:val="0"/>
        <w:pageBreakBefore w:val="0"/>
        <w:kinsoku/>
        <w:wordWrap/>
        <w:overflowPunct/>
        <w:topLinePunct w:val="0"/>
        <w:autoSpaceDE/>
        <w:autoSpaceDN/>
        <w:bidi w:val="0"/>
        <w:adjustRightInd/>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本项目采用</w:t>
      </w:r>
      <w:r>
        <w:rPr>
          <w:rFonts w:hint="eastAsia" w:ascii="宋体" w:hAnsi="宋体" w:eastAsia="宋体" w:cs="宋体"/>
          <w:sz w:val="28"/>
          <w:szCs w:val="28"/>
          <w:u w:val="single"/>
        </w:rPr>
        <w:t xml:space="preserve"> 综合评估法 </w:t>
      </w:r>
      <w:r>
        <w:rPr>
          <w:rFonts w:hint="eastAsia" w:ascii="宋体" w:hAnsi="宋体" w:eastAsia="宋体" w:cs="宋体"/>
          <w:sz w:val="28"/>
          <w:szCs w:val="28"/>
        </w:rPr>
        <w:t>，具体评标方法、标准及程序详见招标文件。</w:t>
      </w:r>
    </w:p>
    <w:p w14:paraId="54C6DF6D">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按照本项目招标文件及相关补充文件规定，对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rPr>
        <w:t>家投标人的投标文件进行了初评，通过的</w:t>
      </w:r>
      <w:r>
        <w:rPr>
          <w:rFonts w:hint="eastAsia" w:ascii="宋体" w:hAnsi="宋体" w:cs="宋体"/>
          <w:sz w:val="28"/>
          <w:szCs w:val="28"/>
          <w:u w:val="single"/>
          <w:lang w:val="en-US" w:eastAsia="zh-CN"/>
        </w:rPr>
        <w:t>2</w:t>
      </w:r>
      <w:r>
        <w:rPr>
          <w:rFonts w:hint="eastAsia" w:ascii="宋体" w:hAnsi="宋体" w:eastAsia="宋体" w:cs="宋体"/>
          <w:sz w:val="28"/>
          <w:szCs w:val="28"/>
        </w:rPr>
        <w:t>家，未通过的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w:t>
      </w:r>
      <w:r>
        <w:rPr>
          <w:rFonts w:hint="eastAsia" w:ascii="宋体" w:hAnsi="宋体" w:eastAsia="宋体" w:cs="宋体"/>
          <w:sz w:val="28"/>
          <w:szCs w:val="28"/>
        </w:rPr>
        <w:t>家。</w:t>
      </w:r>
    </w:p>
    <w:p w14:paraId="4296FAC2">
      <w:pPr>
        <w:keepNext w:val="0"/>
        <w:keepLines w:val="0"/>
        <w:pageBreakBefore w:val="0"/>
        <w:kinsoku/>
        <w:wordWrap/>
        <w:overflowPunct/>
        <w:topLinePunct w:val="0"/>
        <w:autoSpaceDE/>
        <w:autoSpaceDN/>
        <w:bidi w:val="0"/>
        <w:adjustRightInd/>
        <w:snapToGrid w:val="0"/>
        <w:spacing w:beforeLines="50" w:afterLines="50" w:line="360" w:lineRule="auto"/>
        <w:ind w:firstLine="562" w:firstLineChars="200"/>
        <w:jc w:val="left"/>
        <w:rPr>
          <w:rFonts w:hint="eastAsia" w:ascii="宋体" w:hAnsi="宋体" w:cs="宋体"/>
          <w:sz w:val="28"/>
          <w:szCs w:val="28"/>
          <w:lang w:val="en-US" w:eastAsia="zh-CN"/>
        </w:rPr>
      </w:pPr>
      <w:r>
        <w:rPr>
          <w:rFonts w:hint="eastAsia" w:ascii="宋体" w:hAnsi="宋体" w:cs="宋体"/>
          <w:b/>
          <w:bCs/>
          <w:sz w:val="28"/>
          <w:szCs w:val="28"/>
          <w:lang w:val="en-US" w:eastAsia="zh-CN"/>
        </w:rPr>
        <w:t>四、否决情况</w:t>
      </w:r>
    </w:p>
    <w:p w14:paraId="78EA25A3">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1.云南阔鑫注册安全工程师事务所有限公司因提供的项目经理职称专业不满足招标文件要求。初步评审不通过,否决其投标。</w:t>
      </w:r>
    </w:p>
    <w:p w14:paraId="46FA1B38">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2.云南泰安工程技术咨询有限公司因①提供的项目经理职称专业不满足招标文件要求，无有效业绩；②未按照招标文件要求配备油气储运专业中级及以上职称的技术服务人员。初步评审不通过,否决其投标。</w:t>
      </w:r>
    </w:p>
    <w:p w14:paraId="36DAD01D">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、评标委员会推荐的中标候选人情况</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5"/>
        <w:gridCol w:w="1721"/>
        <w:gridCol w:w="1704"/>
        <w:gridCol w:w="2855"/>
        <w:gridCol w:w="1094"/>
      </w:tblGrid>
      <w:tr w14:paraId="6E0E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2" w:type="pct"/>
            <w:vAlign w:val="center"/>
          </w:tcPr>
          <w:p w14:paraId="31D9D68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排</w:t>
            </w:r>
            <w:r>
              <w:rPr>
                <w:rFonts w:hint="eastAsia" w:ascii="宋体" w:hAnsi="宋体" w:cs="宋体"/>
                <w:b/>
                <w:bCs/>
                <w:color w:val="000000"/>
                <w:sz w:val="21"/>
                <w:szCs w:val="21"/>
                <w:lang w:val="en-US" w:eastAsia="zh-CN"/>
              </w:rPr>
              <w:t>序</w:t>
            </w:r>
          </w:p>
        </w:tc>
        <w:tc>
          <w:tcPr>
            <w:tcW w:w="1010" w:type="pct"/>
            <w:vAlign w:val="center"/>
          </w:tcPr>
          <w:p w14:paraId="2ABB5EE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投标人名称</w:t>
            </w:r>
          </w:p>
        </w:tc>
        <w:tc>
          <w:tcPr>
            <w:tcW w:w="1000" w:type="pct"/>
            <w:vAlign w:val="center"/>
          </w:tcPr>
          <w:p w14:paraId="75F0EEC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服务</w:t>
            </w:r>
            <w:r>
              <w:rPr>
                <w:rFonts w:hint="eastAsia" w:ascii="宋体" w:hAnsi="宋体" w:eastAsia="宋体" w:cs="宋体"/>
                <w:b/>
                <w:bCs/>
                <w:color w:val="000000"/>
                <w:sz w:val="21"/>
                <w:szCs w:val="21"/>
              </w:rPr>
              <w:t>质量</w:t>
            </w:r>
          </w:p>
        </w:tc>
        <w:tc>
          <w:tcPr>
            <w:tcW w:w="1675" w:type="pct"/>
            <w:vAlign w:val="center"/>
          </w:tcPr>
          <w:p w14:paraId="3DA5383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服务周期</w:t>
            </w:r>
          </w:p>
        </w:tc>
        <w:tc>
          <w:tcPr>
            <w:tcW w:w="642" w:type="pct"/>
            <w:vAlign w:val="center"/>
          </w:tcPr>
          <w:p w14:paraId="64ADE88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资格能力条件</w:t>
            </w:r>
          </w:p>
        </w:tc>
      </w:tr>
      <w:tr w14:paraId="5D4E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7629DAE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第一中标候选人</w:t>
            </w:r>
          </w:p>
        </w:tc>
        <w:tc>
          <w:tcPr>
            <w:tcW w:w="1010" w:type="pct"/>
            <w:vAlign w:val="center"/>
          </w:tcPr>
          <w:p w14:paraId="5E9867FF">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青岛中油华东</w:t>
            </w:r>
          </w:p>
          <w:p w14:paraId="159B7A58">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院安全环保有</w:t>
            </w:r>
          </w:p>
          <w:p w14:paraId="1CBD5DC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限公司 </w:t>
            </w:r>
          </w:p>
        </w:tc>
        <w:tc>
          <w:tcPr>
            <w:tcW w:w="1000" w:type="pct"/>
            <w:vAlign w:val="center"/>
          </w:tcPr>
          <w:p w14:paraId="4D41B5D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5" w:type="pct"/>
            <w:vAlign w:val="center"/>
          </w:tcPr>
          <w:p w14:paraId="5EB1A44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自合同签订之日起至2026年12月20日。</w:t>
            </w:r>
          </w:p>
        </w:tc>
        <w:tc>
          <w:tcPr>
            <w:tcW w:w="642" w:type="pct"/>
            <w:vAlign w:val="center"/>
          </w:tcPr>
          <w:p w14:paraId="01D5527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14:paraId="3B82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45413DB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第二中标候选人 </w:t>
            </w:r>
          </w:p>
        </w:tc>
        <w:tc>
          <w:tcPr>
            <w:tcW w:w="1010" w:type="pct"/>
            <w:vAlign w:val="center"/>
          </w:tcPr>
          <w:p w14:paraId="3461593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山东海普安全环保技术股份有限公司</w:t>
            </w:r>
          </w:p>
        </w:tc>
        <w:tc>
          <w:tcPr>
            <w:tcW w:w="1000" w:type="pct"/>
            <w:vAlign w:val="center"/>
          </w:tcPr>
          <w:p w14:paraId="649516E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5" w:type="pct"/>
            <w:vAlign w:val="center"/>
          </w:tcPr>
          <w:p w14:paraId="61C465D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自合同签订之日起至2026年12月20日。</w:t>
            </w:r>
          </w:p>
        </w:tc>
        <w:tc>
          <w:tcPr>
            <w:tcW w:w="642" w:type="pct"/>
            <w:vAlign w:val="center"/>
          </w:tcPr>
          <w:p w14:paraId="2671A0F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r>
    </w:tbl>
    <w:p w14:paraId="6DCCB14A">
      <w:pPr>
        <w:keepNext w:val="0"/>
        <w:keepLines w:val="0"/>
        <w:pageBreakBefore w:val="0"/>
        <w:kinsoku/>
        <w:wordWrap/>
        <w:overflowPunct/>
        <w:topLinePunct w:val="0"/>
        <w:autoSpaceDE/>
        <w:autoSpaceDN/>
        <w:bidi w:val="0"/>
        <w:adjustRightInd/>
        <w:snapToGrid w:val="0"/>
        <w:spacing w:line="360" w:lineRule="auto"/>
        <w:ind w:firstLine="551" w:firstLineChars="196"/>
        <w:rPr>
          <w:rFonts w:hint="eastAsia" w:ascii="宋体" w:hAnsi="宋体" w:eastAsia="宋体" w:cs="宋体"/>
          <w:b/>
          <w:bCs/>
          <w:color w:val="000000"/>
          <w:sz w:val="28"/>
          <w:szCs w:val="28"/>
        </w:rPr>
      </w:pPr>
    </w:p>
    <w:p w14:paraId="74E91409">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、提出异议的渠道和方式</w:t>
      </w:r>
    </w:p>
    <w:p w14:paraId="08DC89D1">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投标人或其他利害关系人对本招标项目的评标结果有异议的，投标人应当在中标候选人公示期间通过</w:t>
      </w:r>
      <w:r>
        <w:rPr>
          <w:rFonts w:hint="eastAsia" w:ascii="宋体" w:hAnsi="宋体" w:eastAsia="宋体" w:cs="宋体"/>
          <w:sz w:val="28"/>
          <w:szCs w:val="28"/>
          <w:lang w:val="en-US" w:eastAsia="zh-CN"/>
        </w:rPr>
        <w:t>国家管网数字供应链平台上</w:t>
      </w:r>
      <w:r>
        <w:rPr>
          <w:rFonts w:hint="eastAsia" w:ascii="宋体" w:hAnsi="宋体" w:eastAsia="宋体" w:cs="宋体"/>
          <w:sz w:val="28"/>
          <w:szCs w:val="28"/>
        </w:rPr>
        <w:t>（首次提出仅接受此方式提交的异议），其他利害关系人应当在中标候选人公示期间通过给受理邮箱发邮件的方式向招标代理机构提出书面异议文件。</w:t>
      </w:r>
    </w:p>
    <w:p w14:paraId="5883B32F">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受理部门：</w:t>
      </w:r>
      <w:r>
        <w:rPr>
          <w:rFonts w:hint="eastAsia" w:ascii="宋体" w:hAnsi="宋体" w:eastAsia="宋体" w:cs="宋体"/>
          <w:sz w:val="28"/>
          <w:szCs w:val="28"/>
          <w:lang w:val="en-US" w:eastAsia="zh-CN"/>
        </w:rPr>
        <w:t>业务五部</w:t>
      </w:r>
    </w:p>
    <w:p w14:paraId="15C29C03">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受理人：</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朱</w:t>
      </w:r>
      <w:r>
        <w:rPr>
          <w:rFonts w:hint="eastAsia" w:ascii="宋体" w:hAnsi="宋体" w:eastAsia="宋体" w:cs="宋体"/>
          <w:sz w:val="28"/>
          <w:szCs w:val="28"/>
          <w:lang w:val="en-US" w:eastAsia="zh-CN"/>
        </w:rPr>
        <w:t>女士</w:t>
      </w:r>
    </w:p>
    <w:p w14:paraId="1C30E849">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受理电话：</w:t>
      </w:r>
      <w:r>
        <w:rPr>
          <w:rFonts w:hint="eastAsia" w:ascii="宋体" w:hAnsi="宋体" w:cs="宋体"/>
          <w:sz w:val="28"/>
          <w:szCs w:val="28"/>
          <w:lang w:val="en-US" w:eastAsia="zh-CN"/>
        </w:rPr>
        <w:t>18468130997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eastAsia="zh-CN"/>
        </w:rPr>
        <w:t>（接听时间：工作日8:30-11:30和13:30-17:00）</w:t>
      </w:r>
    </w:p>
    <w:p w14:paraId="63C172E5">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受理邮箱：</w:t>
      </w:r>
      <w:r>
        <w:rPr>
          <w:rFonts w:hint="eastAsia" w:ascii="宋体" w:hAnsi="宋体" w:cs="宋体"/>
          <w:sz w:val="28"/>
          <w:szCs w:val="28"/>
          <w:lang w:val="en-US" w:eastAsia="zh-CN"/>
        </w:rPr>
        <w:t>zxl255010</w:t>
      </w:r>
      <w:r>
        <w:rPr>
          <w:rFonts w:hint="eastAsia" w:ascii="宋体" w:hAnsi="宋体" w:eastAsia="宋体" w:cs="宋体"/>
          <w:sz w:val="28"/>
          <w:szCs w:val="28"/>
          <w:lang w:eastAsia="zh-CN"/>
        </w:rPr>
        <w:t xml:space="preserve">@163.com </w:t>
      </w:r>
      <w:r>
        <w:rPr>
          <w:rFonts w:hint="eastAsia" w:ascii="宋体" w:hAnsi="宋体" w:eastAsia="宋体" w:cs="宋体"/>
          <w:sz w:val="28"/>
          <w:szCs w:val="28"/>
          <w:lang w:val="en-US" w:eastAsia="zh-CN"/>
        </w:rPr>
        <w:t xml:space="preserve"> </w:t>
      </w:r>
    </w:p>
    <w:p w14:paraId="6150E046">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监督人员：段先生  </w:t>
      </w:r>
    </w:p>
    <w:p w14:paraId="3BC7C7DD">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lang w:val="en-US" w:eastAsia="zh-CN"/>
        </w:rPr>
      </w:pPr>
      <w:r>
        <w:rPr>
          <w:rFonts w:hint="eastAsia" w:ascii="宋体" w:hAnsi="宋体" w:cs="宋体"/>
          <w:sz w:val="28"/>
          <w:szCs w:val="28"/>
          <w:lang w:val="en-US" w:eastAsia="zh-CN"/>
        </w:rPr>
        <w:t>联系方式：15912168725</w:t>
      </w:r>
    </w:p>
    <w:p w14:paraId="0659A7D9">
      <w:pPr>
        <w:keepNext w:val="0"/>
        <w:keepLines w:val="0"/>
        <w:pageBreakBefore w:val="0"/>
        <w:kinsoku/>
        <w:wordWrap/>
        <w:overflowPunct/>
        <w:topLinePunct w:val="0"/>
        <w:autoSpaceDE/>
        <w:autoSpaceDN/>
        <w:bidi w:val="0"/>
        <w:adjustRightInd/>
        <w:snapToGrid/>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六、公示时间</w:t>
      </w:r>
    </w:p>
    <w:p w14:paraId="6A56D0BC">
      <w:pPr>
        <w:keepNext w:val="0"/>
        <w:keepLines w:val="0"/>
        <w:pageBreakBefore w:val="0"/>
        <w:kinsoku/>
        <w:wordWrap/>
        <w:overflowPunct/>
        <w:topLinePunct w:val="0"/>
        <w:autoSpaceDE/>
        <w:autoSpaceDN/>
        <w:bidi w:val="0"/>
        <w:adjustRightInd/>
        <w:snapToGrid/>
        <w:spacing w:line="360" w:lineRule="auto"/>
        <w:ind w:firstLine="560" w:firstLineChars="200"/>
      </w:pPr>
      <w:bookmarkStart w:id="0" w:name="_GoBack"/>
      <w:bookmarkEnd w:id="0"/>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12</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w:t>
      </w:r>
      <w:r>
        <w:rPr>
          <w:rFonts w:hint="eastAsia" w:ascii="宋体" w:hAnsi="宋体" w:cs="宋体"/>
          <w:sz w:val="28"/>
          <w:szCs w:val="28"/>
          <w:u w:val="single"/>
          <w:lang w:val="en-US" w:eastAsia="zh-CN"/>
        </w:rPr>
        <w:t>26</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15</w:t>
      </w:r>
      <w:r>
        <w:rPr>
          <w:rFonts w:hint="eastAsia" w:ascii="宋体" w:hAnsi="宋体" w:eastAsia="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0ZTI0MzM1YTlmNzc5ZTJhODdjYjQ4NDEzMWNlZjQifQ=="/>
  </w:docVars>
  <w:rsids>
    <w:rsidRoot w:val="007A0BBB"/>
    <w:rsid w:val="00264D2D"/>
    <w:rsid w:val="007A0BBB"/>
    <w:rsid w:val="071F481E"/>
    <w:rsid w:val="0B1C74A3"/>
    <w:rsid w:val="0F074DE5"/>
    <w:rsid w:val="141210DA"/>
    <w:rsid w:val="17134EFD"/>
    <w:rsid w:val="25C85DEA"/>
    <w:rsid w:val="26C3603A"/>
    <w:rsid w:val="2C820DC9"/>
    <w:rsid w:val="3F2114B8"/>
    <w:rsid w:val="46872149"/>
    <w:rsid w:val="47467CD9"/>
    <w:rsid w:val="64756090"/>
    <w:rsid w:val="64BE0BD6"/>
    <w:rsid w:val="69491569"/>
    <w:rsid w:val="6A462A9F"/>
    <w:rsid w:val="70391CA5"/>
    <w:rsid w:val="78480E6E"/>
    <w:rsid w:val="7E34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qFormat/>
    <w:uiPriority w:val="0"/>
    <w:pPr>
      <w:keepNext/>
      <w:keepLines/>
      <w:spacing w:beforeLines="25" w:afterLines="25"/>
      <w:ind w:firstLine="100" w:firstLineChars="100"/>
      <w:outlineLvl w:val="3"/>
    </w:pPr>
    <w:rPr>
      <w:rFonts w:ascii="Cambria" w:hAnsi="Cambria" w:eastAsia="方正黑体简体"/>
      <w:bCs/>
      <w:iCs/>
      <w:spacing w:val="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able of figures"/>
    <w:basedOn w:val="1"/>
    <w:next w:val="1"/>
    <w:qFormat/>
    <w:uiPriority w:val="99"/>
    <w:pPr>
      <w:tabs>
        <w:tab w:val="left" w:pos="547"/>
      </w:tabs>
      <w:spacing w:line="360" w:lineRule="auto"/>
      <w:ind w:firstLine="1044" w:firstLineChars="200"/>
      <w:jc w:val="center"/>
    </w:pPr>
    <w:rPr>
      <w:rFonts w:ascii="宋体" w:cs="宋体"/>
      <w:b/>
      <w:bCs/>
      <w:color w:val="000000"/>
      <w:kern w:val="0"/>
      <w:sz w:val="52"/>
      <w:szCs w:val="52"/>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666666"/>
      <w:u w:val="none"/>
    </w:rPr>
  </w:style>
  <w:style w:type="character" w:styleId="12">
    <w:name w:val="Emphasis"/>
    <w:basedOn w:val="9"/>
    <w:qFormat/>
    <w:uiPriority w:val="20"/>
    <w:rPr>
      <w:rFonts w:ascii="Verdana" w:hAnsi="Verdana" w:cs="Verdana"/>
      <w:i/>
      <w:iCs/>
      <w:color w:val="FFFFFF"/>
      <w:sz w:val="16"/>
      <w:szCs w:val="16"/>
      <w:bdr w:val="single" w:color="B61D1D" w:sz="6" w:space="0"/>
      <w:shd w:val="clear" w:fill="CC6060"/>
    </w:rPr>
  </w:style>
  <w:style w:type="character" w:styleId="13">
    <w:name w:val="Hyperlink"/>
    <w:basedOn w:val="9"/>
    <w:semiHidden/>
    <w:unhideWhenUsed/>
    <w:qFormat/>
    <w:uiPriority w:val="99"/>
    <w:rPr>
      <w:color w:val="666666"/>
      <w:u w:val="none"/>
    </w:rPr>
  </w:style>
  <w:style w:type="character" w:styleId="14">
    <w:name w:val="HTML Code"/>
    <w:basedOn w:val="9"/>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5">
    <w:name w:val="HTML Cite"/>
    <w:basedOn w:val="9"/>
    <w:semiHidden/>
    <w:unhideWhenUsed/>
    <w:qFormat/>
    <w:uiPriority w:val="99"/>
    <w:rPr>
      <w:color w:val="595959"/>
    </w:rPr>
  </w:style>
  <w:style w:type="paragraph" w:customStyle="1" w:styleId="16">
    <w:name w:val="样式 小四"/>
    <w:basedOn w:val="1"/>
    <w:qFormat/>
    <w:uiPriority w:val="0"/>
    <w:pPr>
      <w:keepNext w:val="0"/>
      <w:keepLines w:val="0"/>
      <w:widowControl w:val="0"/>
      <w:suppressLineNumbers w:val="0"/>
      <w:adjustRightInd w:val="0"/>
      <w:spacing w:before="0" w:beforeAutospacing="0" w:after="0" w:afterAutospacing="0" w:line="360" w:lineRule="atLeast"/>
      <w:ind w:left="0" w:right="0"/>
      <w:jc w:val="left"/>
      <w:textAlignment w:val="baseline"/>
    </w:pPr>
    <w:rPr>
      <w:rFonts w:hint="default" w:ascii="Times New Roman" w:hAnsi="Times New Roman" w:eastAsia="宋体" w:cs="Calibri"/>
      <w:kern w:val="0"/>
      <w:sz w:val="24"/>
      <w:szCs w:val="24"/>
      <w:lang w:val="en-US" w:eastAsia="zh-CN" w:bidi="ar"/>
    </w:rPr>
  </w:style>
  <w:style w:type="character" w:customStyle="1" w:styleId="17">
    <w:name w:val="页眉 Char"/>
    <w:basedOn w:val="9"/>
    <w:link w:val="5"/>
    <w:semiHidden/>
    <w:qFormat/>
    <w:uiPriority w:val="99"/>
    <w:rPr>
      <w:sz w:val="18"/>
      <w:szCs w:val="18"/>
    </w:rPr>
  </w:style>
  <w:style w:type="character" w:customStyle="1" w:styleId="18">
    <w:name w:val="页脚 Char"/>
    <w:basedOn w:val="9"/>
    <w:link w:val="4"/>
    <w:semiHidden/>
    <w:qFormat/>
    <w:uiPriority w:val="99"/>
    <w:rPr>
      <w:sz w:val="18"/>
      <w:szCs w:val="18"/>
    </w:rPr>
  </w:style>
  <w:style w:type="character" w:customStyle="1" w:styleId="19">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20">
    <w:name w:val="cls1"/>
    <w:basedOn w:val="9"/>
    <w:qFormat/>
    <w:uiPriority w:val="0"/>
    <w:rPr>
      <w:b/>
      <w:bCs/>
      <w:color w:val="757475"/>
    </w:rPr>
  </w:style>
  <w:style w:type="character" w:customStyle="1" w:styleId="21">
    <w:name w:val="tmpztreemove_arrow"/>
    <w:basedOn w:val="9"/>
    <w:qFormat/>
    <w:uiPriority w:val="0"/>
  </w:style>
  <w:style w:type="character" w:customStyle="1" w:styleId="22">
    <w:name w:val="error"/>
    <w:basedOn w:val="9"/>
    <w:qFormat/>
    <w:uiPriority w:val="0"/>
    <w:rPr>
      <w:color w:val="FF0000"/>
      <w:sz w:val="18"/>
      <w:szCs w:val="18"/>
    </w:rPr>
  </w:style>
  <w:style w:type="character" w:customStyle="1" w:styleId="23">
    <w:name w:val="old"/>
    <w:basedOn w:val="9"/>
    <w:qFormat/>
    <w:uiPriority w:val="0"/>
    <w:rPr>
      <w:color w:val="999999"/>
    </w:rPr>
  </w:style>
  <w:style w:type="character" w:customStyle="1" w:styleId="24">
    <w:name w:val="old1"/>
    <w:basedOn w:val="9"/>
    <w:qFormat/>
    <w:uiPriority w:val="0"/>
    <w:rPr>
      <w:color w:val="999999"/>
    </w:rPr>
  </w:style>
  <w:style w:type="character" w:customStyle="1" w:styleId="25">
    <w:name w:val="hands"/>
    <w:basedOn w:val="9"/>
    <w:qFormat/>
    <w:uiPriority w:val="0"/>
    <w:rPr>
      <w:color w:val="000000"/>
      <w:sz w:val="18"/>
      <w:szCs w:val="18"/>
    </w:rPr>
  </w:style>
  <w:style w:type="character" w:customStyle="1" w:styleId="26">
    <w:name w:val="required"/>
    <w:basedOn w:val="9"/>
    <w:qFormat/>
    <w:uiPriority w:val="0"/>
    <w:rPr>
      <w:color w:val="FF0000"/>
      <w:sz w:val="18"/>
      <w:szCs w:val="18"/>
    </w:rPr>
  </w:style>
  <w:style w:type="character" w:customStyle="1" w:styleId="27">
    <w:name w:val="hover15"/>
    <w:basedOn w:val="9"/>
    <w:qFormat/>
    <w:uiPriority w:val="0"/>
    <w:rPr>
      <w:shd w:val="clear" w:fill="EEEEEE"/>
    </w:rPr>
  </w:style>
  <w:style w:type="character" w:customStyle="1" w:styleId="28">
    <w:name w:val="hover16"/>
    <w:basedOn w:val="9"/>
    <w:qFormat/>
    <w:uiPriority w:val="0"/>
    <w:rPr>
      <w:shd w:val="clear" w:fill="EEEEEE"/>
    </w:rPr>
  </w:style>
  <w:style w:type="character" w:customStyle="1" w:styleId="29">
    <w:name w:val="hover17"/>
    <w:basedOn w:val="9"/>
    <w:qFormat/>
    <w:uiPriority w:val="0"/>
    <w:rPr>
      <w:shd w:val="clear" w:fill="F3F3F3"/>
    </w:rPr>
  </w:style>
  <w:style w:type="character" w:customStyle="1" w:styleId="30">
    <w:name w:val="hover18"/>
    <w:basedOn w:val="9"/>
    <w:qFormat/>
    <w:uiPriority w:val="0"/>
    <w:rPr>
      <w:shd w:val="clear" w:fill="F3F3F3"/>
    </w:rPr>
  </w:style>
  <w:style w:type="character" w:customStyle="1" w:styleId="31">
    <w:name w:val="hover19"/>
    <w:basedOn w:val="9"/>
    <w:qFormat/>
    <w:uiPriority w:val="0"/>
    <w:rPr>
      <w:sz w:val="21"/>
      <w:szCs w:val="21"/>
    </w:rPr>
  </w:style>
  <w:style w:type="character" w:customStyle="1" w:styleId="32">
    <w:name w:val="timepicker-second2"/>
    <w:basedOn w:val="9"/>
    <w:qFormat/>
    <w:uiPriority w:val="0"/>
  </w:style>
  <w:style w:type="character" w:customStyle="1" w:styleId="33">
    <w:name w:val="timepicker-hour"/>
    <w:basedOn w:val="9"/>
    <w:qFormat/>
    <w:uiPriority w:val="0"/>
  </w:style>
  <w:style w:type="character" w:customStyle="1" w:styleId="34">
    <w:name w:val="active9"/>
    <w:basedOn w:val="9"/>
    <w:qFormat/>
    <w:uiPriority w:val="0"/>
    <w:rPr>
      <w:color w:val="FFFFFF"/>
      <w:shd w:val="clear" w:fill="006DCC"/>
    </w:rPr>
  </w:style>
  <w:style w:type="character" w:customStyle="1" w:styleId="35">
    <w:name w:val="active10"/>
    <w:basedOn w:val="9"/>
    <w:qFormat/>
    <w:uiPriority w:val="0"/>
    <w:rPr>
      <w:color w:val="FFFFFF"/>
      <w:shd w:val="clear" w:fill="006DCC"/>
    </w:rPr>
  </w:style>
  <w:style w:type="character" w:customStyle="1" w:styleId="36">
    <w:name w:val="timepicker-minute2"/>
    <w:basedOn w:val="9"/>
    <w:qFormat/>
    <w:uiPriority w:val="0"/>
  </w:style>
  <w:style w:type="character" w:customStyle="1" w:styleId="37">
    <w:name w:val="cls2"/>
    <w:basedOn w:val="9"/>
    <w:qFormat/>
    <w:uiPriority w:val="0"/>
    <w:rPr>
      <w:color w:val="757475"/>
    </w:rPr>
  </w:style>
  <w:style w:type="character" w:customStyle="1" w:styleId="38">
    <w:name w:val="node_title2"/>
    <w:basedOn w:val="9"/>
    <w:qFormat/>
    <w:uiPriority w:val="0"/>
    <w:rPr>
      <w:b/>
      <w:bCs/>
    </w:rPr>
  </w:style>
  <w:style w:type="character" w:customStyle="1" w:styleId="39">
    <w:name w:val="button"/>
    <w:basedOn w:val="9"/>
    <w:qFormat/>
    <w:uiPriority w:val="0"/>
  </w:style>
  <w:style w:type="character" w:customStyle="1" w:styleId="40">
    <w:name w:val="cls3"/>
    <w:basedOn w:val="9"/>
    <w:qFormat/>
    <w:uiPriority w:val="0"/>
  </w:style>
  <w:style w:type="character" w:customStyle="1" w:styleId="41">
    <w:name w:val="node_name2"/>
    <w:basedOn w:val="9"/>
    <w:qFormat/>
    <w:uiPriority w:val="0"/>
    <w:rPr>
      <w:color w:val="757475"/>
      <w:sz w:val="19"/>
      <w:szCs w:val="19"/>
    </w:rPr>
  </w:style>
  <w:style w:type="character" w:customStyle="1" w:styleId="42">
    <w:name w:val="timepicker-second"/>
    <w:basedOn w:val="9"/>
    <w:qFormat/>
    <w:uiPriority w:val="0"/>
  </w:style>
  <w:style w:type="character" w:customStyle="1" w:styleId="43">
    <w:name w:val="timepicker-minute"/>
    <w:basedOn w:val="9"/>
    <w:qFormat/>
    <w:uiPriority w:val="0"/>
  </w:style>
  <w:style w:type="character" w:customStyle="1" w:styleId="44">
    <w:name w:val="active2"/>
    <w:basedOn w:val="9"/>
    <w:qFormat/>
    <w:uiPriority w:val="0"/>
    <w:rPr>
      <w:color w:val="FFFFFF"/>
      <w:shd w:val="clear" w:fill="006DCC"/>
    </w:rPr>
  </w:style>
  <w:style w:type="character" w:customStyle="1" w:styleId="45">
    <w:name w:val="active3"/>
    <w:basedOn w:val="9"/>
    <w:qFormat/>
    <w:uiPriority w:val="0"/>
    <w:rPr>
      <w:color w:val="999999"/>
      <w:shd w:val="clear" w:fill="006D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870</Words>
  <Characters>968</Characters>
  <Lines>22</Lines>
  <Paragraphs>12</Paragraphs>
  <TotalTime>2</TotalTime>
  <ScaleCrop>false</ScaleCrop>
  <LinksUpToDate>false</LinksUpToDate>
  <CharactersWithSpaces>990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zxl</cp:lastModifiedBy>
  <dcterms:modified xsi:type="dcterms:W3CDTF">2026-05-12T14:49:52Z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99D0BE906FBA4CEDBD01DC9BD2A04142_12</vt:lpwstr>
  </property>
  <property fmtid="{D5CDD505-2E9C-101B-9397-08002B2CF9AE}" pid="4" name="KSOTemplateDocerSaveRecord">
    <vt:lpwstr>eyJoZGlkIjoiODFhZTU3NzlkYzA4MWRkMDkyYzRhMjI2MTgzMmRhOGIiLCJ1c2VySWQiOiI0NDkwMzEwODIifQ==</vt:lpwstr>
  </property>
</Properties>
</file>