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kern w:val="0"/>
          <w:sz w:val="24"/>
        </w:rPr>
      </w:pPr>
    </w:p>
    <w:p>
      <w:pPr>
        <w:spacing w:line="360" w:lineRule="auto"/>
        <w:jc w:val="right"/>
        <w:rPr>
          <w:rFonts w:ascii="宋体" w:hAnsi="宋体"/>
          <w:sz w:val="10"/>
          <w:szCs w:val="10"/>
        </w:rPr>
      </w:pPr>
      <w:r>
        <w:rPr>
          <w:rFonts w:ascii="宋体" w:hAnsi="宋体"/>
          <w:kern w:val="0"/>
          <w:sz w:val="24"/>
        </w:rPr>
        <w:drawing>
          <wp:inline distT="0" distB="0" distL="0" distR="0">
            <wp:extent cx="1031240" cy="1052830"/>
            <wp:effectExtent l="0" t="0" r="0" b="0"/>
            <wp:docPr id="1" name="图片 1" descr="5BBBBQK%[9YTF6UF23BHV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BBBQK%[9YTF6UF23BHVX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31240" cy="1052830"/>
                    </a:xfrm>
                    <a:prstGeom prst="rect">
                      <a:avLst/>
                    </a:prstGeom>
                    <a:noFill/>
                    <a:ln>
                      <a:noFill/>
                    </a:ln>
                  </pic:spPr>
                </pic:pic>
              </a:graphicData>
            </a:graphic>
          </wp:inline>
        </w:drawing>
      </w:r>
    </w:p>
    <w:p>
      <w:pPr>
        <w:spacing w:line="480" w:lineRule="exact"/>
        <w:rPr>
          <w:rFonts w:ascii="宋体" w:hAnsi="宋体"/>
          <w:sz w:val="28"/>
          <w:u w:val="dotted"/>
        </w:rPr>
      </w:pPr>
    </w:p>
    <w:p>
      <w:pPr>
        <w:jc w:val="center"/>
        <w:rPr>
          <w:rFonts w:ascii="宋体" w:hAnsi="宋体"/>
          <w:sz w:val="44"/>
          <w:szCs w:val="44"/>
        </w:rPr>
      </w:pPr>
    </w:p>
    <w:p>
      <w:pPr>
        <w:jc w:val="center"/>
        <w:rPr>
          <w:rFonts w:ascii="宋体" w:hAnsi="宋体"/>
          <w:sz w:val="44"/>
          <w:szCs w:val="44"/>
          <w:u w:val="single"/>
        </w:rPr>
      </w:pPr>
      <w:r>
        <w:rPr>
          <w:rFonts w:ascii="宋体" w:hAnsi="宋体"/>
          <w:sz w:val="44"/>
          <w:szCs w:val="44"/>
        </w:rPr>
        <w:t>湖北省成套招标股份有限公司</w:t>
      </w:r>
    </w:p>
    <w:p>
      <w:pPr>
        <w:spacing w:line="360" w:lineRule="auto"/>
        <w:jc w:val="center"/>
        <w:rPr>
          <w:rFonts w:ascii="宋体" w:hAnsi="宋体"/>
          <w:b/>
          <w:kern w:val="0"/>
          <w:sz w:val="84"/>
          <w:szCs w:val="84"/>
        </w:rPr>
      </w:pPr>
      <w:r>
        <w:rPr>
          <w:rFonts w:ascii="宋体" w:hAnsi="宋体"/>
          <w:b/>
          <w:kern w:val="0"/>
          <w:sz w:val="84"/>
          <w:szCs w:val="84"/>
        </w:rPr>
        <w:t>招 标 文 件</w:t>
      </w:r>
    </w:p>
    <w:p>
      <w:pPr>
        <w:spacing w:line="500" w:lineRule="exact"/>
        <w:rPr>
          <w:rFonts w:ascii="宋体" w:hAnsi="宋体"/>
          <w:sz w:val="32"/>
          <w:szCs w:val="32"/>
        </w:rPr>
      </w:pPr>
    </w:p>
    <w:p>
      <w:pPr>
        <w:spacing w:line="500" w:lineRule="exact"/>
        <w:jc w:val="center"/>
        <w:rPr>
          <w:rFonts w:ascii="宋体" w:hAnsi="宋体"/>
          <w:sz w:val="32"/>
          <w:szCs w:val="32"/>
        </w:rPr>
      </w:pPr>
    </w:p>
    <w:tbl>
      <w:tblPr>
        <w:tblStyle w:val="21"/>
        <w:tblW w:w="6994" w:type="dxa"/>
        <w:jc w:val="center"/>
        <w:tblLayout w:type="fixed"/>
        <w:tblCellMar>
          <w:top w:w="0" w:type="dxa"/>
          <w:left w:w="108" w:type="dxa"/>
          <w:bottom w:w="0" w:type="dxa"/>
          <w:right w:w="108" w:type="dxa"/>
        </w:tblCellMar>
      </w:tblPr>
      <w:tblGrid>
        <w:gridCol w:w="1570"/>
        <w:gridCol w:w="5424"/>
      </w:tblGrid>
      <w:tr>
        <w:tblPrEx>
          <w:tblCellMar>
            <w:top w:w="0" w:type="dxa"/>
            <w:left w:w="108" w:type="dxa"/>
            <w:bottom w:w="0" w:type="dxa"/>
            <w:right w:w="108" w:type="dxa"/>
          </w:tblCellMar>
        </w:tblPrEx>
        <w:trPr>
          <w:trHeight w:val="106" w:hRule="atLeast"/>
          <w:jc w:val="center"/>
        </w:trPr>
        <w:tc>
          <w:tcPr>
            <w:tcW w:w="1570" w:type="dxa"/>
          </w:tcPr>
          <w:p>
            <w:pPr>
              <w:spacing w:line="360" w:lineRule="auto"/>
              <w:ind w:left="1" w:leftChars="-53" w:hanging="112" w:hangingChars="35"/>
              <w:rPr>
                <w:rFonts w:ascii="仿宋_GB2312" w:eastAsia="仿宋_GB2312"/>
                <w:sz w:val="32"/>
                <w:szCs w:val="32"/>
              </w:rPr>
            </w:pPr>
            <w:r>
              <w:rPr>
                <w:rFonts w:ascii="仿宋_GB2312" w:eastAsia="仿宋_GB2312"/>
                <w:sz w:val="32"/>
                <w:szCs w:val="32"/>
              </w:rPr>
              <w:t>招标编号：</w:t>
            </w:r>
          </w:p>
        </w:tc>
        <w:tc>
          <w:tcPr>
            <w:tcW w:w="5424" w:type="dxa"/>
          </w:tcPr>
          <w:p>
            <w:pPr>
              <w:spacing w:line="360" w:lineRule="auto"/>
              <w:ind w:left="1" w:leftChars="-53" w:hanging="112" w:hangingChars="35"/>
              <w:rPr>
                <w:rFonts w:ascii="仿宋_GB2312" w:eastAsia="仿宋_GB2312"/>
                <w:sz w:val="32"/>
                <w:szCs w:val="32"/>
              </w:rPr>
            </w:pPr>
            <w:r>
              <w:rPr>
                <w:rFonts w:ascii="仿宋_GB2312" w:eastAsia="仿宋_GB2312"/>
                <w:sz w:val="32"/>
                <w:szCs w:val="32"/>
              </w:rPr>
              <w:t>HBCZ-</w:t>
            </w:r>
            <w:r>
              <w:rPr>
                <w:rFonts w:hint="eastAsia" w:ascii="仿宋_GB2312" w:eastAsia="仿宋_GB2312"/>
                <w:sz w:val="32"/>
                <w:szCs w:val="32"/>
              </w:rPr>
              <w:t>2305050918-232409</w:t>
            </w:r>
          </w:p>
        </w:tc>
      </w:tr>
      <w:tr>
        <w:tblPrEx>
          <w:tblCellMar>
            <w:top w:w="0" w:type="dxa"/>
            <w:left w:w="108" w:type="dxa"/>
            <w:bottom w:w="0" w:type="dxa"/>
            <w:right w:w="108" w:type="dxa"/>
          </w:tblCellMar>
        </w:tblPrEx>
        <w:trPr>
          <w:trHeight w:val="106" w:hRule="atLeast"/>
          <w:jc w:val="center"/>
        </w:trPr>
        <w:tc>
          <w:tcPr>
            <w:tcW w:w="1570" w:type="dxa"/>
          </w:tcPr>
          <w:p>
            <w:pPr>
              <w:spacing w:line="360" w:lineRule="auto"/>
              <w:ind w:left="1" w:leftChars="-53" w:hanging="112" w:hangingChars="35"/>
              <w:rPr>
                <w:rFonts w:ascii="仿宋_GB2312" w:eastAsia="仿宋_GB2312"/>
                <w:sz w:val="32"/>
                <w:szCs w:val="32"/>
              </w:rPr>
            </w:pPr>
            <w:r>
              <w:rPr>
                <w:rFonts w:hint="eastAsia" w:ascii="仿宋_GB2312" w:eastAsia="仿宋_GB2312"/>
                <w:sz w:val="32"/>
                <w:szCs w:val="32"/>
              </w:rPr>
              <w:t>采购编号：</w:t>
            </w:r>
          </w:p>
          <w:p>
            <w:pPr>
              <w:spacing w:line="360" w:lineRule="auto"/>
              <w:ind w:left="1" w:leftChars="-53" w:hanging="112" w:hangingChars="35"/>
              <w:rPr>
                <w:rFonts w:ascii="仿宋_GB2312" w:eastAsia="仿宋_GB2312"/>
                <w:sz w:val="32"/>
                <w:szCs w:val="32"/>
              </w:rPr>
            </w:pPr>
            <w:r>
              <w:rPr>
                <w:rFonts w:ascii="仿宋_GB2312" w:eastAsia="仿宋_GB2312"/>
                <w:sz w:val="32"/>
                <w:szCs w:val="32"/>
              </w:rPr>
              <w:t>招 标 人：</w:t>
            </w:r>
          </w:p>
        </w:tc>
        <w:tc>
          <w:tcPr>
            <w:tcW w:w="5424" w:type="dxa"/>
          </w:tcPr>
          <w:p>
            <w:pPr>
              <w:spacing w:line="360" w:lineRule="auto"/>
              <w:ind w:left="1" w:leftChars="-53" w:hanging="112" w:hangingChars="35"/>
              <w:rPr>
                <w:rFonts w:ascii="仿宋_GB2312" w:eastAsia="仿宋_GB2312"/>
                <w:sz w:val="32"/>
                <w:szCs w:val="32"/>
              </w:rPr>
            </w:pPr>
            <w:r>
              <w:rPr>
                <w:rFonts w:hint="eastAsia" w:ascii="仿宋_GB2312" w:eastAsia="仿宋_GB2312"/>
                <w:sz w:val="32"/>
                <w:szCs w:val="32"/>
              </w:rPr>
              <w:t>CGXM42199923080017</w:t>
            </w:r>
          </w:p>
          <w:p>
            <w:pPr>
              <w:spacing w:line="360" w:lineRule="auto"/>
              <w:ind w:left="1" w:leftChars="-53" w:hanging="112" w:hangingChars="35"/>
              <w:rPr>
                <w:rFonts w:ascii="仿宋_GB2312" w:eastAsia="仿宋_GB2312"/>
                <w:sz w:val="32"/>
                <w:szCs w:val="32"/>
              </w:rPr>
            </w:pPr>
            <w:r>
              <w:rPr>
                <w:rFonts w:hint="eastAsia" w:ascii="仿宋_GB2312" w:eastAsia="仿宋_GB2312"/>
                <w:sz w:val="32"/>
                <w:szCs w:val="32"/>
              </w:rPr>
              <w:t>交通银行股份有限公司湖北省分行</w:t>
            </w:r>
          </w:p>
        </w:tc>
      </w:tr>
      <w:tr>
        <w:tblPrEx>
          <w:tblCellMar>
            <w:top w:w="0" w:type="dxa"/>
            <w:left w:w="108" w:type="dxa"/>
            <w:bottom w:w="0" w:type="dxa"/>
            <w:right w:w="108" w:type="dxa"/>
          </w:tblCellMar>
        </w:tblPrEx>
        <w:trPr>
          <w:trHeight w:val="516" w:hRule="atLeast"/>
          <w:jc w:val="center"/>
        </w:trPr>
        <w:tc>
          <w:tcPr>
            <w:tcW w:w="1570" w:type="dxa"/>
          </w:tcPr>
          <w:p>
            <w:pPr>
              <w:spacing w:line="360" w:lineRule="auto"/>
              <w:ind w:left="1" w:leftChars="-53" w:hanging="112" w:hangingChars="35"/>
              <w:rPr>
                <w:rFonts w:ascii="仿宋_GB2312" w:eastAsia="仿宋_GB2312"/>
                <w:sz w:val="32"/>
                <w:szCs w:val="32"/>
              </w:rPr>
            </w:pPr>
            <w:r>
              <w:rPr>
                <w:rFonts w:ascii="仿宋_GB2312" w:eastAsia="仿宋_GB2312"/>
                <w:sz w:val="32"/>
                <w:szCs w:val="32"/>
              </w:rPr>
              <w:t>项目名称：</w:t>
            </w:r>
          </w:p>
        </w:tc>
        <w:tc>
          <w:tcPr>
            <w:tcW w:w="5424" w:type="dxa"/>
          </w:tcPr>
          <w:p>
            <w:pPr>
              <w:spacing w:line="360" w:lineRule="auto"/>
              <w:ind w:left="1" w:leftChars="-53" w:hanging="112" w:hangingChars="35"/>
              <w:rPr>
                <w:rFonts w:ascii="仿宋_GB2312" w:eastAsia="仿宋_GB2312"/>
                <w:sz w:val="32"/>
                <w:szCs w:val="32"/>
              </w:rPr>
            </w:pPr>
            <w:r>
              <w:rPr>
                <w:rFonts w:hint="eastAsia" w:ascii="仿宋_GB2312" w:eastAsia="仿宋_GB2312"/>
                <w:sz w:val="32"/>
                <w:szCs w:val="32"/>
              </w:rPr>
              <w:t>交通银行湖北省分行2023-2026年度全辖律师库入围项目（二次）</w:t>
            </w:r>
          </w:p>
        </w:tc>
      </w:tr>
      <w:tr>
        <w:tblPrEx>
          <w:tblCellMar>
            <w:top w:w="0" w:type="dxa"/>
            <w:left w:w="108" w:type="dxa"/>
            <w:bottom w:w="0" w:type="dxa"/>
            <w:right w:w="108" w:type="dxa"/>
          </w:tblCellMar>
        </w:tblPrEx>
        <w:trPr>
          <w:trHeight w:val="106" w:hRule="atLeast"/>
          <w:jc w:val="center"/>
        </w:trPr>
        <w:tc>
          <w:tcPr>
            <w:tcW w:w="1570" w:type="dxa"/>
          </w:tcPr>
          <w:p>
            <w:pPr>
              <w:spacing w:line="360" w:lineRule="auto"/>
              <w:ind w:left="1" w:leftChars="-53" w:hanging="112" w:hangingChars="35"/>
              <w:rPr>
                <w:rFonts w:ascii="仿宋_GB2312" w:eastAsia="仿宋_GB2312"/>
                <w:sz w:val="32"/>
                <w:szCs w:val="32"/>
              </w:rPr>
            </w:pPr>
            <w:r>
              <w:rPr>
                <w:rFonts w:ascii="仿宋_GB2312" w:eastAsia="仿宋_GB2312"/>
                <w:sz w:val="32"/>
                <w:szCs w:val="32"/>
              </w:rPr>
              <w:t>招标内容：</w:t>
            </w:r>
          </w:p>
        </w:tc>
        <w:tc>
          <w:tcPr>
            <w:tcW w:w="5424" w:type="dxa"/>
          </w:tcPr>
          <w:p>
            <w:r>
              <w:rPr>
                <w:rFonts w:hint="eastAsia" w:ascii="仿宋_GB2312" w:eastAsia="仿宋_GB2312"/>
                <w:sz w:val="32"/>
                <w:szCs w:val="32"/>
              </w:rPr>
              <w:t>2023-2026年度全辖律师库入围</w:t>
            </w:r>
          </w:p>
        </w:tc>
      </w:tr>
    </w:tbl>
    <w:p>
      <w:pPr>
        <w:jc w:val="left"/>
        <w:rPr>
          <w:rFonts w:ascii="宋体" w:hAnsi="宋体"/>
          <w:b/>
          <w:sz w:val="32"/>
          <w:szCs w:val="32"/>
        </w:rPr>
      </w:pPr>
    </w:p>
    <w:p>
      <w:pPr>
        <w:pStyle w:val="14"/>
      </w:pPr>
    </w:p>
    <w:p>
      <w:pPr>
        <w:spacing w:line="360" w:lineRule="auto"/>
        <w:jc w:val="center"/>
        <w:rPr>
          <w:rFonts w:ascii="宋体" w:hAnsi="宋体"/>
          <w:b/>
          <w:sz w:val="32"/>
          <w:szCs w:val="32"/>
        </w:rPr>
      </w:pPr>
    </w:p>
    <w:p>
      <w:pPr>
        <w:spacing w:line="360" w:lineRule="auto"/>
        <w:jc w:val="center"/>
        <w:rPr>
          <w:rFonts w:ascii="宋体" w:hAnsi="宋体"/>
          <w:sz w:val="32"/>
          <w:lang w:bidi="ar-EG"/>
        </w:rPr>
      </w:pPr>
      <w:r>
        <w:rPr>
          <w:rFonts w:hint="eastAsia" w:ascii="宋体" w:hAnsi="宋体"/>
          <w:b/>
          <w:sz w:val="32"/>
          <w:szCs w:val="32"/>
        </w:rPr>
        <w:t>20</w:t>
      </w:r>
      <w:r>
        <w:rPr>
          <w:rFonts w:ascii="宋体" w:hAnsi="宋体"/>
          <w:b/>
          <w:sz w:val="32"/>
          <w:szCs w:val="32"/>
        </w:rPr>
        <w:t>2</w:t>
      </w:r>
      <w:r>
        <w:rPr>
          <w:rFonts w:hint="eastAsia" w:ascii="宋体" w:hAnsi="宋体"/>
          <w:b/>
          <w:sz w:val="32"/>
          <w:szCs w:val="32"/>
        </w:rPr>
        <w:t>3</w:t>
      </w:r>
      <w:r>
        <w:rPr>
          <w:rFonts w:ascii="宋体" w:hAnsi="宋体"/>
          <w:b/>
          <w:sz w:val="32"/>
          <w:szCs w:val="32"/>
        </w:rPr>
        <w:t>年</w:t>
      </w:r>
      <w:r>
        <w:rPr>
          <w:rFonts w:hint="eastAsia" w:ascii="宋体" w:hAnsi="宋体"/>
          <w:b/>
          <w:sz w:val="32"/>
          <w:szCs w:val="32"/>
        </w:rPr>
        <w:t>09</w:t>
      </w:r>
      <w:r>
        <w:rPr>
          <w:rFonts w:ascii="宋体" w:hAnsi="宋体"/>
          <w:b/>
          <w:sz w:val="32"/>
          <w:szCs w:val="32"/>
        </w:rPr>
        <w:t>月</w:t>
      </w:r>
    </w:p>
    <w:p>
      <w:pPr>
        <w:spacing w:line="360" w:lineRule="auto"/>
        <w:jc w:val="center"/>
        <w:rPr>
          <w:rFonts w:ascii="宋体" w:hAnsi="宋体"/>
          <w:b/>
          <w:sz w:val="44"/>
          <w:szCs w:val="44"/>
        </w:rPr>
      </w:pPr>
      <w:r>
        <w:rPr>
          <w:rFonts w:ascii="宋体" w:hAnsi="宋体"/>
          <w:sz w:val="44"/>
          <w:szCs w:val="44"/>
        </w:rPr>
        <w:br w:type="page"/>
      </w:r>
      <w:r>
        <w:rPr>
          <w:rFonts w:ascii="宋体" w:hAnsi="宋体"/>
          <w:b/>
          <w:sz w:val="44"/>
          <w:szCs w:val="44"/>
        </w:rPr>
        <w:t>目  录</w:t>
      </w:r>
    </w:p>
    <w:p>
      <w:pPr>
        <w:pStyle w:val="16"/>
        <w:tabs>
          <w:tab w:val="left" w:pos="1050"/>
          <w:tab w:val="right" w:leader="dot" w:pos="8664"/>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"_Toc48634256" </w:instrText>
      </w:r>
      <w:r>
        <w:fldChar w:fldCharType="separate"/>
      </w:r>
      <w:r>
        <w:rPr>
          <w:rStyle w:val="27"/>
          <w:rFonts w:ascii="宋体" w:hAnsi="宋体"/>
        </w:rPr>
        <w:t>第一章</w:t>
      </w:r>
      <w:r>
        <w:rPr>
          <w:rFonts w:asciiTheme="minorHAnsi" w:hAnsiTheme="minorHAnsi" w:eastAsiaTheme="minorEastAsia" w:cstheme="minorBidi"/>
          <w:szCs w:val="22"/>
        </w:rPr>
        <w:tab/>
      </w:r>
      <w:r>
        <w:rPr>
          <w:rStyle w:val="27"/>
          <w:rFonts w:ascii="宋体" w:hAnsi="宋体"/>
        </w:rPr>
        <w:t>招标公告</w:t>
      </w:r>
      <w:r>
        <w:tab/>
      </w:r>
      <w:r>
        <w:fldChar w:fldCharType="begin"/>
      </w:r>
      <w:r>
        <w:instrText xml:space="preserve"> PAGEREF _Toc48634256 \h </w:instrText>
      </w:r>
      <w:r>
        <w:fldChar w:fldCharType="separate"/>
      </w:r>
      <w:r>
        <w:t>3</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"_Toc48634257" </w:instrText>
      </w:r>
      <w:r>
        <w:fldChar w:fldCharType="separate"/>
      </w:r>
      <w:r>
        <w:rPr>
          <w:rStyle w:val="27"/>
          <w:rFonts w:ascii="宋体" w:hAnsi="宋体"/>
        </w:rPr>
        <w:t>一、 项目概况</w:t>
      </w:r>
      <w:r>
        <w:tab/>
      </w:r>
      <w:r>
        <w:fldChar w:fldCharType="begin"/>
      </w:r>
      <w:r>
        <w:instrText xml:space="preserve"> PAGEREF _Toc48634257 \h </w:instrText>
      </w:r>
      <w:r>
        <w:fldChar w:fldCharType="separate"/>
      </w:r>
      <w:r>
        <w:t>3</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"_Toc48634258" </w:instrText>
      </w:r>
      <w:r>
        <w:fldChar w:fldCharType="separate"/>
      </w:r>
      <w:r>
        <w:rPr>
          <w:rStyle w:val="27"/>
          <w:rFonts w:ascii="宋体" w:hAnsi="宋体"/>
        </w:rPr>
        <w:t>二、 投标资格要求</w:t>
      </w:r>
      <w:r>
        <w:tab/>
      </w:r>
      <w:r>
        <w:fldChar w:fldCharType="begin"/>
      </w:r>
      <w:r>
        <w:instrText xml:space="preserve"> PAGEREF _Toc48634258 \h </w:instrText>
      </w:r>
      <w:r>
        <w:fldChar w:fldCharType="separate"/>
      </w:r>
      <w:r>
        <w:t>3</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"_Toc48634259" </w:instrText>
      </w:r>
      <w:r>
        <w:fldChar w:fldCharType="separate"/>
      </w:r>
      <w:r>
        <w:rPr>
          <w:rStyle w:val="27"/>
          <w:rFonts w:ascii="宋体" w:hAnsi="宋体"/>
        </w:rPr>
        <w:t>三、 招标文件的获取</w:t>
      </w:r>
      <w:r>
        <w:tab/>
      </w:r>
      <w:r>
        <w:fldChar w:fldCharType="begin"/>
      </w:r>
      <w:r>
        <w:instrText xml:space="preserve"> PAGEREF _Toc48634259 \h </w:instrText>
      </w:r>
      <w:r>
        <w:fldChar w:fldCharType="separate"/>
      </w:r>
      <w:r>
        <w:t>5</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"_Toc48634260" </w:instrText>
      </w:r>
      <w:r>
        <w:fldChar w:fldCharType="separate"/>
      </w:r>
      <w:r>
        <w:rPr>
          <w:rStyle w:val="27"/>
          <w:rFonts w:ascii="宋体" w:hAnsi="宋体"/>
        </w:rPr>
        <w:t>四、 投标文件送达地点及投标截止时间</w:t>
      </w:r>
      <w:r>
        <w:tab/>
      </w:r>
      <w:r>
        <w:fldChar w:fldCharType="begin"/>
      </w:r>
      <w:r>
        <w:instrText xml:space="preserve"> PAGEREF _Toc48634260 \h </w:instrText>
      </w:r>
      <w:r>
        <w:fldChar w:fldCharType="separate"/>
      </w:r>
      <w:r>
        <w:t>5</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"_Toc48634261" </w:instrText>
      </w:r>
      <w:r>
        <w:fldChar w:fldCharType="separate"/>
      </w:r>
      <w:r>
        <w:rPr>
          <w:rStyle w:val="27"/>
          <w:rFonts w:ascii="宋体" w:hAnsi="宋体"/>
        </w:rPr>
        <w:t>五、 开标地点及开标时间</w:t>
      </w:r>
      <w:r>
        <w:tab/>
      </w:r>
      <w:r>
        <w:fldChar w:fldCharType="begin"/>
      </w:r>
      <w:r>
        <w:instrText xml:space="preserve"> PAGEREF _Toc48634261 \h </w:instrText>
      </w:r>
      <w:r>
        <w:fldChar w:fldCharType="separate"/>
      </w:r>
      <w:r>
        <w:t>5</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"_Toc48634262" </w:instrText>
      </w:r>
      <w:r>
        <w:fldChar w:fldCharType="separate"/>
      </w:r>
      <w:r>
        <w:rPr>
          <w:rStyle w:val="27"/>
          <w:rFonts w:ascii="宋体" w:hAnsi="宋体"/>
        </w:rPr>
        <w:t>六、 招标人联系方式</w:t>
      </w:r>
      <w:r>
        <w:tab/>
      </w:r>
      <w:r>
        <w:fldChar w:fldCharType="begin"/>
      </w:r>
      <w:r>
        <w:instrText xml:space="preserve"> PAGEREF _Toc48634262 \h </w:instrText>
      </w:r>
      <w:r>
        <w:fldChar w:fldCharType="separate"/>
      </w:r>
      <w:r>
        <w:t>5</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"_Toc48634263" </w:instrText>
      </w:r>
      <w:r>
        <w:fldChar w:fldCharType="separate"/>
      </w:r>
      <w:r>
        <w:rPr>
          <w:rStyle w:val="27"/>
          <w:rFonts w:ascii="宋体" w:hAnsi="宋体"/>
        </w:rPr>
        <w:t>七、 招标机构联系方式</w:t>
      </w:r>
      <w:r>
        <w:tab/>
      </w:r>
      <w:r>
        <w:fldChar w:fldCharType="begin"/>
      </w:r>
      <w:r>
        <w:instrText xml:space="preserve"> PAGEREF _Toc48634263 \h </w:instrText>
      </w:r>
      <w:r>
        <w:fldChar w:fldCharType="separate"/>
      </w:r>
      <w:r>
        <w:t>5</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"_Toc48634264" </w:instrText>
      </w:r>
      <w:r>
        <w:fldChar w:fldCharType="separate"/>
      </w:r>
      <w:r>
        <w:rPr>
          <w:rStyle w:val="27"/>
          <w:rFonts w:ascii="宋体" w:hAnsi="宋体"/>
        </w:rPr>
        <w:t>八、 信息发布媒体</w:t>
      </w:r>
      <w:r>
        <w:tab/>
      </w:r>
      <w:r>
        <w:fldChar w:fldCharType="begin"/>
      </w:r>
      <w:r>
        <w:instrText xml:space="preserve"> PAGEREF _Toc48634264 \h </w:instrText>
      </w:r>
      <w:r>
        <w:fldChar w:fldCharType="separate"/>
      </w:r>
      <w:r>
        <w:t>6</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"_Toc48634265" </w:instrText>
      </w:r>
      <w:r>
        <w:fldChar w:fldCharType="separate"/>
      </w:r>
      <w:r>
        <w:rPr>
          <w:rStyle w:val="27"/>
          <w:rFonts w:ascii="宋体" w:hAnsi="宋体"/>
        </w:rPr>
        <w:t>九、 递交标书费及投标保证金的帐户信息</w:t>
      </w:r>
      <w:r>
        <w:tab/>
      </w:r>
      <w:r>
        <w:fldChar w:fldCharType="begin"/>
      </w:r>
      <w:r>
        <w:instrText xml:space="preserve"> PAGEREF _Toc48634265 \h </w:instrText>
      </w:r>
      <w:r>
        <w:fldChar w:fldCharType="separate"/>
      </w:r>
      <w:r>
        <w:t>6</w:t>
      </w:r>
      <w:r>
        <w:fldChar w:fldCharType="end"/>
      </w:r>
      <w:r>
        <w:fldChar w:fldCharType="end"/>
      </w:r>
    </w:p>
    <w:p>
      <w:pPr>
        <w:pStyle w:val="16"/>
        <w:tabs>
          <w:tab w:val="left" w:pos="1050"/>
          <w:tab w:val="right" w:leader="dot" w:pos="8664"/>
        </w:tabs>
        <w:rPr>
          <w:rFonts w:asciiTheme="minorHAnsi" w:hAnsiTheme="minorHAnsi" w:eastAsiaTheme="minorEastAsia" w:cstheme="minorBidi"/>
          <w:szCs w:val="22"/>
        </w:rPr>
      </w:pPr>
      <w:r>
        <w:fldChar w:fldCharType="begin"/>
      </w:r>
      <w:r>
        <w:instrText xml:space="preserve"> HYPERLINK \l "_Toc48634266" </w:instrText>
      </w:r>
      <w:r>
        <w:fldChar w:fldCharType="separate"/>
      </w:r>
      <w:r>
        <w:rPr>
          <w:rStyle w:val="27"/>
          <w:rFonts w:ascii="宋体" w:hAnsi="宋体"/>
        </w:rPr>
        <w:t>第二章</w:t>
      </w:r>
      <w:r>
        <w:rPr>
          <w:rFonts w:asciiTheme="minorHAnsi" w:hAnsiTheme="minorHAnsi" w:eastAsiaTheme="minorEastAsia" w:cstheme="minorBidi"/>
          <w:szCs w:val="22"/>
        </w:rPr>
        <w:tab/>
      </w:r>
      <w:r>
        <w:rPr>
          <w:rStyle w:val="27"/>
          <w:rFonts w:ascii="宋体" w:hAnsi="宋体"/>
        </w:rPr>
        <w:t>投标人须知</w:t>
      </w:r>
      <w:r>
        <w:tab/>
      </w:r>
      <w:r>
        <w:fldChar w:fldCharType="begin"/>
      </w:r>
      <w:r>
        <w:instrText xml:space="preserve"> PAGEREF _Toc48634266 \h </w:instrText>
      </w:r>
      <w:r>
        <w:fldChar w:fldCharType="separate"/>
      </w:r>
      <w:r>
        <w:t>7</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"_Toc48634267" </w:instrText>
      </w:r>
      <w:r>
        <w:fldChar w:fldCharType="separate"/>
      </w:r>
      <w:r>
        <w:rPr>
          <w:rStyle w:val="27"/>
          <w:rFonts w:ascii="宋体" w:hAnsi="宋体"/>
        </w:rPr>
        <w:t>投标人须知前附表</w:t>
      </w:r>
      <w:r>
        <w:tab/>
      </w:r>
      <w:r>
        <w:fldChar w:fldCharType="begin"/>
      </w:r>
      <w:r>
        <w:instrText xml:space="preserve"> PAGEREF _Toc48634267 \h </w:instrText>
      </w:r>
      <w:r>
        <w:fldChar w:fldCharType="separate"/>
      </w:r>
      <w:r>
        <w:t>7</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"_Toc48634268" </w:instrText>
      </w:r>
      <w:r>
        <w:fldChar w:fldCharType="separate"/>
      </w:r>
      <w:r>
        <w:rPr>
          <w:rStyle w:val="27"/>
          <w:rFonts w:ascii="宋体" w:hAnsi="宋体"/>
        </w:rPr>
        <w:t>投标人须知</w:t>
      </w:r>
      <w:r>
        <w:tab/>
      </w:r>
      <w:r>
        <w:fldChar w:fldCharType="begin"/>
      </w:r>
      <w:r>
        <w:instrText xml:space="preserve"> PAGEREF _Toc48634268 \h </w:instrText>
      </w:r>
      <w:r>
        <w:fldChar w:fldCharType="separate"/>
      </w:r>
      <w:r>
        <w:t>10</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"_Toc48634269" </w:instrText>
      </w:r>
      <w:r>
        <w:fldChar w:fldCharType="separate"/>
      </w:r>
      <w:r>
        <w:rPr>
          <w:rStyle w:val="27"/>
          <w:rFonts w:ascii="宋体" w:hAnsi="宋体"/>
        </w:rPr>
        <w:t>一、 总则</w:t>
      </w:r>
      <w:r>
        <w:tab/>
      </w:r>
      <w:r>
        <w:fldChar w:fldCharType="begin"/>
      </w:r>
      <w:r>
        <w:instrText xml:space="preserve"> PAGEREF _Toc48634269 \h </w:instrText>
      </w:r>
      <w:r>
        <w:fldChar w:fldCharType="separate"/>
      </w:r>
      <w:r>
        <w:t>10</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"_Toc48634270" </w:instrText>
      </w:r>
      <w:r>
        <w:fldChar w:fldCharType="separate"/>
      </w:r>
      <w:r>
        <w:rPr>
          <w:rStyle w:val="27"/>
          <w:rFonts w:ascii="宋体" w:hAnsi="宋体"/>
        </w:rPr>
        <w:t>二、 招标文件</w:t>
      </w:r>
      <w:r>
        <w:tab/>
      </w:r>
      <w:r>
        <w:fldChar w:fldCharType="begin"/>
      </w:r>
      <w:r>
        <w:instrText xml:space="preserve"> PAGEREF _Toc48634270 \h </w:instrText>
      </w:r>
      <w:r>
        <w:fldChar w:fldCharType="separate"/>
      </w:r>
      <w:r>
        <w:t>11</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"_Toc48634271" </w:instrText>
      </w:r>
      <w:r>
        <w:fldChar w:fldCharType="separate"/>
      </w:r>
      <w:r>
        <w:rPr>
          <w:rStyle w:val="27"/>
          <w:rFonts w:ascii="宋体" w:hAnsi="宋体"/>
        </w:rPr>
        <w:t>三、 投标文件</w:t>
      </w:r>
      <w:r>
        <w:tab/>
      </w:r>
      <w:r>
        <w:fldChar w:fldCharType="begin"/>
      </w:r>
      <w:r>
        <w:instrText xml:space="preserve"> PAGEREF _Toc48634271 \h </w:instrText>
      </w:r>
      <w:r>
        <w:fldChar w:fldCharType="separate"/>
      </w:r>
      <w:r>
        <w:t>11</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"_Toc48634272" </w:instrText>
      </w:r>
      <w:r>
        <w:fldChar w:fldCharType="separate"/>
      </w:r>
      <w:r>
        <w:rPr>
          <w:rStyle w:val="27"/>
          <w:rFonts w:ascii="宋体" w:hAnsi="宋体"/>
        </w:rPr>
        <w:t>四、 投标文件的递交</w:t>
      </w:r>
      <w:r>
        <w:tab/>
      </w:r>
      <w:r>
        <w:fldChar w:fldCharType="begin"/>
      </w:r>
      <w:r>
        <w:instrText xml:space="preserve"> PAGEREF _Toc48634272 \h </w:instrText>
      </w:r>
      <w:r>
        <w:fldChar w:fldCharType="separate"/>
      </w:r>
      <w:r>
        <w:t>16</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"_Toc48634273" </w:instrText>
      </w:r>
      <w:r>
        <w:fldChar w:fldCharType="separate"/>
      </w:r>
      <w:r>
        <w:rPr>
          <w:rStyle w:val="27"/>
          <w:rFonts w:ascii="宋体" w:hAnsi="宋体"/>
        </w:rPr>
        <w:t>五、 开标与评标</w:t>
      </w:r>
      <w:r>
        <w:tab/>
      </w:r>
      <w:r>
        <w:fldChar w:fldCharType="begin"/>
      </w:r>
      <w:r>
        <w:instrText xml:space="preserve"> PAGEREF _Toc48634273 \h </w:instrText>
      </w:r>
      <w:r>
        <w:fldChar w:fldCharType="separate"/>
      </w:r>
      <w:r>
        <w:t>16</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"_Toc48634274" </w:instrText>
      </w:r>
      <w:r>
        <w:fldChar w:fldCharType="separate"/>
      </w:r>
      <w:r>
        <w:rPr>
          <w:rStyle w:val="27"/>
          <w:rFonts w:ascii="宋体" w:hAnsi="宋体"/>
        </w:rPr>
        <w:t>六、 定标与签订合同</w:t>
      </w:r>
      <w:r>
        <w:tab/>
      </w:r>
      <w:r>
        <w:fldChar w:fldCharType="begin"/>
      </w:r>
      <w:r>
        <w:instrText xml:space="preserve"> PAGEREF _Toc48634274 \h </w:instrText>
      </w:r>
      <w:r>
        <w:fldChar w:fldCharType="separate"/>
      </w:r>
      <w:r>
        <w:t>17</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"_Toc48634275" </w:instrText>
      </w:r>
      <w:r>
        <w:fldChar w:fldCharType="separate"/>
      </w:r>
      <w:r>
        <w:rPr>
          <w:rStyle w:val="27"/>
          <w:rFonts w:ascii="宋体" w:hAnsi="宋体"/>
        </w:rPr>
        <w:t>七、 其他要求</w:t>
      </w:r>
      <w:r>
        <w:tab/>
      </w:r>
      <w:r>
        <w:fldChar w:fldCharType="begin"/>
      </w:r>
      <w:r>
        <w:instrText xml:space="preserve"> PAGEREF _Toc48634275 \h </w:instrText>
      </w:r>
      <w:r>
        <w:fldChar w:fldCharType="separate"/>
      </w:r>
      <w:r>
        <w:t>19</w:t>
      </w:r>
      <w:r>
        <w:fldChar w:fldCharType="end"/>
      </w:r>
      <w:r>
        <w:fldChar w:fldCharType="end"/>
      </w:r>
    </w:p>
    <w:p>
      <w:pPr>
        <w:pStyle w:val="18"/>
        <w:tabs>
          <w:tab w:val="right" w:leader="dot" w:pos="8664"/>
        </w:tabs>
        <w:rPr>
          <w:rFonts w:asciiTheme="minorHAnsi" w:hAnsiTheme="minorHAnsi" w:eastAsiaTheme="minorEastAsia" w:cstheme="minorBidi"/>
          <w:szCs w:val="22"/>
        </w:rPr>
      </w:pPr>
      <w:r>
        <w:fldChar w:fldCharType="begin"/>
      </w:r>
      <w:r>
        <w:instrText xml:space="preserve"> HYPERLINK \l "_Toc48634276" </w:instrText>
      </w:r>
      <w:r>
        <w:fldChar w:fldCharType="separate"/>
      </w:r>
      <w:r>
        <w:rPr>
          <w:rStyle w:val="27"/>
          <w:rFonts w:ascii="宋体" w:hAnsi="宋体"/>
        </w:rPr>
        <w:t>八、 适用法律</w:t>
      </w:r>
      <w:r>
        <w:tab/>
      </w:r>
      <w:r>
        <w:fldChar w:fldCharType="begin"/>
      </w:r>
      <w:r>
        <w:instrText xml:space="preserve"> PAGEREF _Toc48634276 \h </w:instrText>
      </w:r>
      <w:r>
        <w:fldChar w:fldCharType="separate"/>
      </w:r>
      <w:r>
        <w:t>19</w:t>
      </w:r>
      <w:r>
        <w:fldChar w:fldCharType="end"/>
      </w:r>
      <w:r>
        <w:fldChar w:fldCharType="end"/>
      </w:r>
    </w:p>
    <w:p>
      <w:pPr>
        <w:pStyle w:val="16"/>
        <w:tabs>
          <w:tab w:val="right" w:leader="dot" w:pos="8664"/>
        </w:tabs>
        <w:rPr>
          <w:rFonts w:asciiTheme="minorHAnsi" w:hAnsiTheme="minorHAnsi" w:eastAsiaTheme="minorEastAsia" w:cstheme="minorBidi"/>
          <w:szCs w:val="22"/>
        </w:rPr>
      </w:pPr>
      <w:r>
        <w:fldChar w:fldCharType="begin"/>
      </w:r>
      <w:r>
        <w:instrText xml:space="preserve"> HYPERLINK \l "_Toc48634277" </w:instrText>
      </w:r>
      <w:r>
        <w:fldChar w:fldCharType="separate"/>
      </w:r>
      <w:r>
        <w:rPr>
          <w:rStyle w:val="27"/>
          <w:rFonts w:ascii="宋体" w:hAnsi="宋体"/>
        </w:rPr>
        <w:t>第三章 发包人要求</w:t>
      </w:r>
      <w:r>
        <w:tab/>
      </w:r>
      <w:r>
        <w:fldChar w:fldCharType="begin"/>
      </w:r>
      <w:r>
        <w:instrText xml:space="preserve"> PAGEREF _Toc48634277 \h </w:instrText>
      </w:r>
      <w:r>
        <w:fldChar w:fldCharType="separate"/>
      </w:r>
      <w:r>
        <w:t>20</w:t>
      </w:r>
      <w:r>
        <w:fldChar w:fldCharType="end"/>
      </w:r>
      <w:r>
        <w:fldChar w:fldCharType="end"/>
      </w:r>
    </w:p>
    <w:p>
      <w:pPr>
        <w:pStyle w:val="16"/>
        <w:tabs>
          <w:tab w:val="right" w:leader="dot" w:pos="8664"/>
        </w:tabs>
        <w:rPr>
          <w:rFonts w:asciiTheme="minorHAnsi" w:hAnsiTheme="minorHAnsi" w:eastAsiaTheme="minorEastAsia" w:cstheme="minorBidi"/>
          <w:szCs w:val="22"/>
        </w:rPr>
      </w:pPr>
      <w:r>
        <w:fldChar w:fldCharType="begin"/>
      </w:r>
      <w:r>
        <w:instrText xml:space="preserve"> HYPERLINK \l "_Toc48634278" </w:instrText>
      </w:r>
      <w:r>
        <w:fldChar w:fldCharType="separate"/>
      </w:r>
      <w:r>
        <w:rPr>
          <w:rStyle w:val="27"/>
          <w:rFonts w:ascii="宋体" w:hAnsi="宋体"/>
        </w:rPr>
        <w:t>第四章 合同书格式</w:t>
      </w:r>
      <w:r>
        <w:tab/>
      </w:r>
      <w:r>
        <w:fldChar w:fldCharType="begin"/>
      </w:r>
      <w:r>
        <w:instrText xml:space="preserve"> PAGEREF _Toc48634278 \h </w:instrText>
      </w:r>
      <w:r>
        <w:fldChar w:fldCharType="separate"/>
      </w:r>
      <w:r>
        <w:t>23</w:t>
      </w:r>
      <w:r>
        <w:fldChar w:fldCharType="end"/>
      </w:r>
      <w:r>
        <w:fldChar w:fldCharType="end"/>
      </w:r>
    </w:p>
    <w:p>
      <w:pPr>
        <w:pStyle w:val="16"/>
        <w:tabs>
          <w:tab w:val="right" w:leader="dot" w:pos="8664"/>
        </w:tabs>
        <w:rPr>
          <w:rFonts w:asciiTheme="minorHAnsi" w:hAnsiTheme="minorHAnsi" w:eastAsiaTheme="minorEastAsia" w:cstheme="minorBidi"/>
          <w:szCs w:val="22"/>
        </w:rPr>
      </w:pPr>
      <w:r>
        <w:fldChar w:fldCharType="begin"/>
      </w:r>
      <w:r>
        <w:instrText xml:space="preserve"> HYPERLINK \l "_Toc48634279" </w:instrText>
      </w:r>
      <w:r>
        <w:fldChar w:fldCharType="separate"/>
      </w:r>
      <w:r>
        <w:rPr>
          <w:rStyle w:val="27"/>
          <w:rFonts w:ascii="宋体" w:hAnsi="宋体"/>
        </w:rPr>
        <w:t>第五章 评标办法</w:t>
      </w:r>
      <w:r>
        <w:tab/>
      </w:r>
      <w:r>
        <w:fldChar w:fldCharType="begin"/>
      </w:r>
      <w:r>
        <w:instrText xml:space="preserve"> PAGEREF _Toc48634279 \h </w:instrText>
      </w:r>
      <w:r>
        <w:fldChar w:fldCharType="separate"/>
      </w:r>
      <w:r>
        <w:t>26</w:t>
      </w:r>
      <w:r>
        <w:fldChar w:fldCharType="end"/>
      </w:r>
      <w:r>
        <w:fldChar w:fldCharType="end"/>
      </w:r>
    </w:p>
    <w:p>
      <w:pPr>
        <w:pStyle w:val="16"/>
        <w:tabs>
          <w:tab w:val="right" w:leader="dot" w:pos="8664"/>
        </w:tabs>
        <w:rPr>
          <w:rFonts w:asciiTheme="minorHAnsi" w:hAnsiTheme="minorHAnsi" w:eastAsiaTheme="minorEastAsia" w:cstheme="minorBidi"/>
          <w:szCs w:val="22"/>
        </w:rPr>
      </w:pPr>
      <w:r>
        <w:fldChar w:fldCharType="begin"/>
      </w:r>
      <w:r>
        <w:instrText xml:space="preserve"> HYPERLINK \l "_Toc48634280" </w:instrText>
      </w:r>
      <w:r>
        <w:fldChar w:fldCharType="separate"/>
      </w:r>
      <w:r>
        <w:rPr>
          <w:rStyle w:val="27"/>
          <w:rFonts w:ascii="宋体" w:hAnsi="宋体"/>
        </w:rPr>
        <w:t>第六章 投标文件格式</w:t>
      </w:r>
      <w:r>
        <w:tab/>
      </w:r>
      <w:r>
        <w:fldChar w:fldCharType="begin"/>
      </w:r>
      <w:r>
        <w:instrText xml:space="preserve"> PAGEREF _Toc48634280 \h </w:instrText>
      </w:r>
      <w:r>
        <w:fldChar w:fldCharType="separate"/>
      </w:r>
      <w:r>
        <w:t>31</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"_Toc48634281" </w:instrText>
      </w:r>
      <w:r>
        <w:fldChar w:fldCharType="separate"/>
      </w:r>
      <w:r>
        <w:rPr>
          <w:rStyle w:val="27"/>
          <w:rFonts w:ascii="宋体" w:hAnsi="宋体"/>
        </w:rPr>
        <w:t>1、</w:t>
      </w:r>
      <w:r>
        <w:rPr>
          <w:rStyle w:val="27"/>
          <w:snapToGrid w:val="0"/>
        </w:rPr>
        <w:t>投标函</w:t>
      </w:r>
      <w:r>
        <w:tab/>
      </w:r>
      <w:r>
        <w:fldChar w:fldCharType="begin"/>
      </w:r>
      <w:r>
        <w:instrText xml:space="preserve"> PAGEREF _Toc48634281 \h </w:instrText>
      </w:r>
      <w:r>
        <w:fldChar w:fldCharType="separate"/>
      </w:r>
      <w:r>
        <w:t>33</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"_Toc48634282" </w:instrText>
      </w:r>
      <w:r>
        <w:fldChar w:fldCharType="separate"/>
      </w:r>
      <w:r>
        <w:rPr>
          <w:rStyle w:val="27"/>
        </w:rPr>
        <w:t>2、</w:t>
      </w:r>
      <w:r>
        <w:rPr>
          <w:rStyle w:val="27"/>
          <w:snapToGrid w:val="0"/>
        </w:rPr>
        <w:t>投标一览表</w:t>
      </w:r>
      <w:r>
        <w:tab/>
      </w:r>
      <w:r>
        <w:fldChar w:fldCharType="begin"/>
      </w:r>
      <w:r>
        <w:instrText xml:space="preserve"> PAGEREF _Toc48634282 \h </w:instrText>
      </w:r>
      <w:r>
        <w:fldChar w:fldCharType="separate"/>
      </w:r>
      <w:r>
        <w:t>34</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"_Toc48634283" </w:instrText>
      </w:r>
      <w:r>
        <w:fldChar w:fldCharType="separate"/>
      </w:r>
      <w:r>
        <w:rPr>
          <w:rStyle w:val="27"/>
          <w:snapToGrid w:val="0"/>
        </w:rPr>
        <w:t>3、法定代表人授权书</w:t>
      </w:r>
      <w:r>
        <w:tab/>
      </w:r>
      <w:r>
        <w:fldChar w:fldCharType="begin"/>
      </w:r>
      <w:r>
        <w:instrText xml:space="preserve"> PAGEREF _Toc48634283 \h </w:instrText>
      </w:r>
      <w:r>
        <w:fldChar w:fldCharType="separate"/>
      </w:r>
      <w:r>
        <w:t>35</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"_Toc48634284" </w:instrText>
      </w:r>
      <w:r>
        <w:fldChar w:fldCharType="separate"/>
      </w:r>
      <w:r>
        <w:rPr>
          <w:rStyle w:val="27"/>
          <w:rFonts w:ascii="宋体" w:hAnsi="宋体"/>
          <w:kern w:val="0"/>
        </w:rPr>
        <w:t>4、</w:t>
      </w:r>
      <w:r>
        <w:rPr>
          <w:rStyle w:val="27"/>
          <w:snapToGrid w:val="0"/>
        </w:rPr>
        <w:t>法定代表人身份证明书</w:t>
      </w:r>
      <w:r>
        <w:tab/>
      </w:r>
      <w:r>
        <w:fldChar w:fldCharType="begin"/>
      </w:r>
      <w:r>
        <w:instrText xml:space="preserve"> PAGEREF _Toc48634284 \h </w:instrText>
      </w:r>
      <w:r>
        <w:fldChar w:fldCharType="separate"/>
      </w:r>
      <w:r>
        <w:t>36</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"_Toc48634285" </w:instrText>
      </w:r>
      <w:r>
        <w:fldChar w:fldCharType="separate"/>
      </w:r>
      <w:r>
        <w:rPr>
          <w:rStyle w:val="27"/>
          <w:snapToGrid w:val="0"/>
        </w:rPr>
        <w:t>5、分项报价表</w:t>
      </w:r>
      <w:r>
        <w:tab/>
      </w:r>
      <w:r>
        <w:fldChar w:fldCharType="begin"/>
      </w:r>
      <w:r>
        <w:instrText xml:space="preserve"> PAGEREF _Toc48634285 \h </w:instrText>
      </w:r>
      <w:r>
        <w:fldChar w:fldCharType="separate"/>
      </w:r>
      <w:r>
        <w:t>37</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"_Toc48634286" </w:instrText>
      </w:r>
      <w:r>
        <w:fldChar w:fldCharType="separate"/>
      </w:r>
      <w:r>
        <w:rPr>
          <w:rStyle w:val="27"/>
          <w:snapToGrid w:val="0"/>
        </w:rPr>
        <w:t>6、类似业绩一览表</w:t>
      </w:r>
      <w:r>
        <w:tab/>
      </w:r>
      <w:r>
        <w:fldChar w:fldCharType="begin"/>
      </w:r>
      <w:r>
        <w:instrText xml:space="preserve"> PAGEREF _Toc48634286 \h </w:instrText>
      </w:r>
      <w:r>
        <w:fldChar w:fldCharType="separate"/>
      </w:r>
      <w:r>
        <w:t>38</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"_Toc48634287" </w:instrText>
      </w:r>
      <w:r>
        <w:fldChar w:fldCharType="separate"/>
      </w:r>
      <w:r>
        <w:rPr>
          <w:rStyle w:val="27"/>
          <w:snapToGrid w:val="0"/>
        </w:rPr>
        <w:t>7、招标文件中要求提供的其他资料</w:t>
      </w:r>
      <w:r>
        <w:tab/>
      </w:r>
      <w:r>
        <w:fldChar w:fldCharType="begin"/>
      </w:r>
      <w:r>
        <w:instrText xml:space="preserve"> PAGEREF _Toc48634287 \h </w:instrText>
      </w:r>
      <w:r>
        <w:fldChar w:fldCharType="separate"/>
      </w:r>
      <w:r>
        <w:t>39</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"_Toc48634288" </w:instrText>
      </w:r>
      <w:r>
        <w:fldChar w:fldCharType="separate"/>
      </w:r>
      <w:r>
        <w:rPr>
          <w:rStyle w:val="27"/>
          <w:snapToGrid w:val="0"/>
        </w:rPr>
        <w:t>8、信誉承诺书</w:t>
      </w:r>
      <w:r>
        <w:tab/>
      </w:r>
      <w:r>
        <w:fldChar w:fldCharType="begin"/>
      </w:r>
      <w:r>
        <w:instrText xml:space="preserve"> PAGEREF _Toc48634288 \h </w:instrText>
      </w:r>
      <w:r>
        <w:fldChar w:fldCharType="separate"/>
      </w:r>
      <w:r>
        <w:t>40</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"_Toc48634289" </w:instrText>
      </w:r>
      <w:r>
        <w:fldChar w:fldCharType="separate"/>
      </w:r>
      <w:r>
        <w:rPr>
          <w:rStyle w:val="27"/>
          <w:rFonts w:ascii="宋体" w:hAnsi="宋体"/>
        </w:rPr>
        <w:t>9、</w:t>
      </w:r>
      <w:r>
        <w:rPr>
          <w:rStyle w:val="27"/>
          <w:snapToGrid w:val="0"/>
        </w:rPr>
        <w:t>投标人认为需提供的相关资料</w:t>
      </w:r>
      <w:r>
        <w:tab/>
      </w:r>
      <w:r>
        <w:fldChar w:fldCharType="begin"/>
      </w:r>
      <w:r>
        <w:instrText xml:space="preserve"> PAGEREF _Toc48634289 \h </w:instrText>
      </w:r>
      <w:r>
        <w:fldChar w:fldCharType="separate"/>
      </w:r>
      <w:r>
        <w:t>41</w:t>
      </w:r>
      <w:r>
        <w:fldChar w:fldCharType="end"/>
      </w:r>
      <w:r>
        <w:fldChar w:fldCharType="end"/>
      </w:r>
    </w:p>
    <w:p>
      <w:pPr>
        <w:pStyle w:val="9"/>
        <w:tabs>
          <w:tab w:val="right" w:leader="dot" w:pos="8664"/>
        </w:tabs>
        <w:rPr>
          <w:rFonts w:asciiTheme="minorHAnsi" w:hAnsiTheme="minorHAnsi" w:eastAsiaTheme="minorEastAsia" w:cstheme="minorBidi"/>
          <w:szCs w:val="22"/>
        </w:rPr>
      </w:pPr>
      <w:r>
        <w:fldChar w:fldCharType="begin"/>
      </w:r>
      <w:r>
        <w:instrText xml:space="preserve"> HYPERLINK \l "_Toc48634290" </w:instrText>
      </w:r>
      <w:r>
        <w:fldChar w:fldCharType="separate"/>
      </w:r>
      <w:r>
        <w:rPr>
          <w:rStyle w:val="27"/>
          <w:rFonts w:ascii="宋体" w:hAnsi="宋体"/>
        </w:rPr>
        <w:t>10、</w:t>
      </w:r>
      <w:r>
        <w:rPr>
          <w:rStyle w:val="27"/>
          <w:snapToGrid w:val="0"/>
        </w:rPr>
        <w:t>技术文件格式</w:t>
      </w:r>
      <w:r>
        <w:tab/>
      </w:r>
      <w:r>
        <w:fldChar w:fldCharType="begin"/>
      </w:r>
      <w:r>
        <w:instrText xml:space="preserve"> PAGEREF _Toc48634290 \h </w:instrText>
      </w:r>
      <w:r>
        <w:fldChar w:fldCharType="separate"/>
      </w:r>
      <w:r>
        <w:t>42</w:t>
      </w:r>
      <w:r>
        <w:fldChar w:fldCharType="end"/>
      </w:r>
      <w:r>
        <w:fldChar w:fldCharType="end"/>
      </w:r>
    </w:p>
    <w:p>
      <w:pPr>
        <w:pStyle w:val="37"/>
      </w:pPr>
      <w:r>
        <w:fldChar w:fldCharType="end"/>
      </w:r>
    </w:p>
    <w:p>
      <w:pPr>
        <w:widowControl/>
        <w:jc w:val="left"/>
        <w:rPr>
          <w:rFonts w:ascii="宋体" w:hAnsi="宋体"/>
        </w:rPr>
        <w:sectPr>
          <w:footerReference r:id="rId3" w:type="default"/>
          <w:pgSz w:w="11906" w:h="16838"/>
          <w:pgMar w:top="1418" w:right="1644" w:bottom="1418" w:left="1588" w:header="851" w:footer="992" w:gutter="0"/>
          <w:cols w:space="720" w:num="1"/>
          <w:docGrid w:type="lines" w:linePitch="312" w:charSpace="0"/>
        </w:sectPr>
      </w:pPr>
    </w:p>
    <w:p>
      <w:pPr>
        <w:pStyle w:val="2"/>
        <w:keepLines/>
        <w:numPr>
          <w:ilvl w:val="0"/>
          <w:numId w:val="2"/>
        </w:numPr>
        <w:spacing w:before="120" w:after="240" w:line="240" w:lineRule="auto"/>
        <w:jc w:val="center"/>
        <w:rPr>
          <w:rFonts w:ascii="宋体" w:hAnsi="宋体"/>
          <w:sz w:val="44"/>
          <w:szCs w:val="44"/>
        </w:rPr>
      </w:pPr>
      <w:bookmarkStart w:id="0" w:name="_Toc48634256"/>
      <w:r>
        <w:rPr>
          <w:rFonts w:hint="eastAsia" w:ascii="宋体" w:hAnsi="宋体"/>
          <w:sz w:val="44"/>
          <w:szCs w:val="44"/>
        </w:rPr>
        <w:t>招标公告</w:t>
      </w:r>
      <w:bookmarkEnd w:id="0"/>
    </w:p>
    <w:p>
      <w:pPr>
        <w:autoSpaceDE w:val="0"/>
        <w:autoSpaceDN w:val="0"/>
        <w:adjustRightInd w:val="0"/>
        <w:spacing w:line="440" w:lineRule="exact"/>
        <w:ind w:firstLine="562" w:firstLineChars="200"/>
        <w:jc w:val="center"/>
        <w:rPr>
          <w:rFonts w:hAnsi="宋体"/>
          <w:b/>
          <w:color w:val="000000"/>
          <w:kern w:val="0"/>
          <w:sz w:val="28"/>
          <w:szCs w:val="28"/>
        </w:rPr>
      </w:pPr>
      <w:r>
        <w:rPr>
          <w:rFonts w:hint="eastAsia" w:hAnsi="宋体"/>
          <w:b/>
          <w:color w:val="000000"/>
          <w:kern w:val="0"/>
          <w:sz w:val="28"/>
          <w:szCs w:val="28"/>
        </w:rPr>
        <w:t>交通银行湖北省分行2023-2026年度全辖律师库入围项目（二次）招标公告</w:t>
      </w:r>
    </w:p>
    <w:p>
      <w:pPr>
        <w:autoSpaceDE w:val="0"/>
        <w:autoSpaceDN w:val="0"/>
        <w:adjustRightInd w:val="0"/>
        <w:spacing w:line="440" w:lineRule="exact"/>
        <w:ind w:firstLine="420" w:firstLineChars="200"/>
        <w:jc w:val="left"/>
        <w:rPr>
          <w:rFonts w:hAnsi="宋体"/>
          <w:color w:val="000000"/>
          <w:kern w:val="0"/>
          <w:szCs w:val="32"/>
        </w:rPr>
      </w:pPr>
    </w:p>
    <w:p>
      <w:pPr>
        <w:autoSpaceDE w:val="0"/>
        <w:autoSpaceDN w:val="0"/>
        <w:adjustRightInd w:val="0"/>
        <w:spacing w:line="440" w:lineRule="exact"/>
        <w:ind w:firstLine="420" w:firstLineChars="200"/>
        <w:jc w:val="left"/>
        <w:rPr>
          <w:rFonts w:hAnsi="宋体"/>
          <w:color w:val="000000"/>
          <w:kern w:val="0"/>
          <w:szCs w:val="32"/>
        </w:rPr>
      </w:pPr>
      <w:r>
        <w:rPr>
          <w:rFonts w:hint="eastAsia" w:hAnsi="宋体"/>
          <w:color w:val="000000"/>
          <w:kern w:val="0"/>
          <w:szCs w:val="32"/>
        </w:rPr>
        <w:t>本招标项目交通银行湖北省分行2023-2026年度全辖律师库入围项目（二次）已由交通银行股份有限公司湖北省分行批准招标，项目业主为交通银行股份有限公司湖北省分行，资金来源自筹，招标代理机构为湖北省成套招标股份有限公司。项目已具备招标条件，现对该项目进行公开招标。</w:t>
      </w:r>
    </w:p>
    <w:p>
      <w:pPr>
        <w:spacing w:line="520" w:lineRule="exact"/>
        <w:ind w:firstLine="420" w:firstLineChars="200"/>
        <w:rPr>
          <w:rFonts w:ascii="宋体" w:hAnsi="宋体"/>
          <w:szCs w:val="21"/>
        </w:rPr>
      </w:pPr>
    </w:p>
    <w:p>
      <w:pPr>
        <w:pStyle w:val="3"/>
        <w:numPr>
          <w:ilvl w:val="0"/>
          <w:numId w:val="3"/>
        </w:numPr>
        <w:tabs>
          <w:tab w:val="left" w:pos="483"/>
          <w:tab w:val="left" w:pos="567"/>
          <w:tab w:val="clear" w:pos="576"/>
        </w:tabs>
        <w:spacing w:line="520" w:lineRule="exact"/>
        <w:rPr>
          <w:rFonts w:ascii="宋体" w:hAnsi="宋体"/>
          <w:sz w:val="21"/>
          <w:szCs w:val="21"/>
        </w:rPr>
      </w:pPr>
      <w:bookmarkStart w:id="1" w:name="_Toc390955783"/>
      <w:bookmarkStart w:id="2" w:name="_Toc48634257"/>
      <w:r>
        <w:rPr>
          <w:rFonts w:ascii="宋体" w:hAnsi="宋体"/>
          <w:sz w:val="21"/>
          <w:szCs w:val="21"/>
        </w:rPr>
        <w:t>项目概况</w:t>
      </w:r>
      <w:bookmarkEnd w:id="1"/>
      <w:bookmarkEnd w:id="2"/>
    </w:p>
    <w:p>
      <w:pPr>
        <w:spacing w:line="440" w:lineRule="exact"/>
        <w:ind w:firstLine="420" w:firstLineChars="200"/>
        <w:rPr>
          <w:rFonts w:ascii="宋体" w:hAnsi="宋体"/>
          <w:szCs w:val="21"/>
        </w:rPr>
      </w:pPr>
      <w:r>
        <w:rPr>
          <w:rFonts w:hint="eastAsia" w:ascii="宋体" w:hAnsi="宋体"/>
          <w:szCs w:val="21"/>
        </w:rPr>
        <w:t>1、招标编号：HBCZ-2305050918-232409</w:t>
      </w:r>
    </w:p>
    <w:p>
      <w:pPr>
        <w:spacing w:line="440" w:lineRule="exact"/>
        <w:ind w:firstLine="735" w:firstLineChars="350"/>
        <w:rPr>
          <w:rFonts w:ascii="宋体" w:hAnsi="宋体"/>
          <w:szCs w:val="21"/>
        </w:rPr>
      </w:pPr>
      <w:r>
        <w:rPr>
          <w:rFonts w:hint="eastAsia" w:ascii="宋体" w:hAnsi="宋体"/>
          <w:szCs w:val="21"/>
        </w:rPr>
        <w:t>采购编号：CGXM42199923080017</w:t>
      </w:r>
    </w:p>
    <w:p>
      <w:pPr>
        <w:numPr>
          <w:ilvl w:val="0"/>
          <w:numId w:val="4"/>
        </w:numPr>
        <w:spacing w:line="440" w:lineRule="exact"/>
        <w:ind w:firstLine="420" w:firstLineChars="200"/>
        <w:rPr>
          <w:rFonts w:hAnsi="宋体"/>
          <w:color w:val="000000"/>
          <w:kern w:val="0"/>
          <w:szCs w:val="32"/>
        </w:rPr>
      </w:pPr>
      <w:r>
        <w:rPr>
          <w:rFonts w:hint="eastAsia" w:ascii="宋体" w:hAnsi="宋体"/>
          <w:szCs w:val="21"/>
        </w:rPr>
        <w:t>项目名称：</w:t>
      </w:r>
      <w:r>
        <w:rPr>
          <w:rFonts w:hint="eastAsia" w:hAnsi="宋体"/>
          <w:color w:val="000000"/>
          <w:kern w:val="0"/>
          <w:szCs w:val="32"/>
        </w:rPr>
        <w:t>交通银行湖北省分行2023-2026年度全辖律师库入围项目（二次）</w:t>
      </w:r>
    </w:p>
    <w:p>
      <w:pPr>
        <w:numPr>
          <w:ilvl w:val="0"/>
          <w:numId w:val="4"/>
        </w:numPr>
        <w:spacing w:line="440" w:lineRule="exact"/>
        <w:ind w:firstLine="420" w:firstLineChars="200"/>
        <w:rPr>
          <w:rFonts w:ascii="宋体" w:hAnsi="宋体" w:cs="宋体"/>
          <w:color w:val="000000"/>
          <w:kern w:val="0"/>
          <w:szCs w:val="21"/>
        </w:rPr>
      </w:pPr>
      <w:bookmarkStart w:id="3" w:name="_Toc259607746"/>
      <w:r>
        <w:rPr>
          <w:rFonts w:hint="eastAsia" w:ascii="宋体" w:hAnsi="宋体" w:cs="宋体"/>
          <w:szCs w:val="21"/>
        </w:rPr>
        <w:t>招标内容</w:t>
      </w:r>
      <w:bookmarkEnd w:id="3"/>
      <w:r>
        <w:rPr>
          <w:rFonts w:hint="eastAsia" w:ascii="宋体" w:hAnsi="宋体" w:cs="宋体"/>
          <w:szCs w:val="21"/>
        </w:rPr>
        <w:t>：</w:t>
      </w:r>
      <w:r>
        <w:rPr>
          <w:rFonts w:hint="eastAsia" w:ascii="宋体" w:hAnsi="宋体" w:cs="宋体"/>
          <w:color w:val="000000"/>
          <w:kern w:val="0"/>
          <w:szCs w:val="21"/>
        </w:rPr>
        <w:t>承接省辖行及其下属分支行法律服务事务，包括：诉讼类法律事务及非诉讼类法律事务。包括但不限于诉讼案件代理、常年法律顾问、出具法律意见、提供尽职调查等。</w:t>
      </w:r>
    </w:p>
    <w:p>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具体服务内容以实际项目为准，招标人不承诺在入围有效期内授予入围投标人实际服务合同、不承诺入围有效期内授予的服务合同总金额。招标人保留有效期内，根据招标人对投标人的管理制度，终止与投标人合作的权利，且无需承担任何赔偿责任。</w:t>
      </w:r>
      <w:r>
        <w:rPr>
          <w:rFonts w:hint="eastAsia" w:ascii="宋体" w:hAnsi="宋体" w:cs="宋体"/>
          <w:szCs w:val="21"/>
        </w:rPr>
        <w:t>（详见第三章发包人要求）</w:t>
      </w:r>
    </w:p>
    <w:p>
      <w:pPr>
        <w:pStyle w:val="19"/>
        <w:shd w:val="clear" w:color="auto" w:fill="FFFFFF"/>
        <w:spacing w:before="0" w:beforeAutospacing="0" w:after="0" w:afterAutospacing="0" w:line="440" w:lineRule="exact"/>
        <w:ind w:firstLine="420" w:firstLineChars="200"/>
        <w:rPr>
          <w:rFonts w:hint="default" w:cs="宋体"/>
          <w:color w:val="000000"/>
          <w:sz w:val="21"/>
          <w:szCs w:val="21"/>
        </w:rPr>
      </w:pPr>
      <w:r>
        <w:rPr>
          <w:rFonts w:cs="宋体"/>
          <w:color w:val="000000"/>
          <w:sz w:val="21"/>
          <w:szCs w:val="21"/>
        </w:rPr>
        <w:t>本次采购共分6</w:t>
      </w:r>
      <w:r>
        <w:rPr>
          <w:rFonts w:hint="default" w:cs="宋体"/>
          <w:color w:val="000000"/>
          <w:sz w:val="21"/>
          <w:szCs w:val="21"/>
        </w:rPr>
        <w:t>个包</w:t>
      </w:r>
      <w:r>
        <w:rPr>
          <w:rFonts w:cs="宋体"/>
          <w:color w:val="000000"/>
          <w:sz w:val="21"/>
          <w:szCs w:val="21"/>
        </w:rPr>
        <w:t>，</w:t>
      </w:r>
      <w:r>
        <w:rPr>
          <w:rFonts w:cs="宋体"/>
          <w:kern w:val="2"/>
          <w:sz w:val="21"/>
          <w:szCs w:val="21"/>
        </w:rPr>
        <w:t>共入围21家投标单位</w:t>
      </w:r>
      <w:r>
        <w:rPr>
          <w:rFonts w:hint="default" w:cs="宋体"/>
          <w:color w:val="000000"/>
          <w:sz w:val="21"/>
          <w:szCs w:val="21"/>
        </w:rPr>
        <w:t>（每个投标人仅能参与一个包的投标，投标包号在报名时确认后不得更改），具体各包号入围数量划分如下：</w:t>
      </w:r>
    </w:p>
    <w:p>
      <w:pPr>
        <w:pStyle w:val="19"/>
        <w:shd w:val="clear" w:color="auto" w:fill="FFFFFF"/>
        <w:spacing w:before="0" w:beforeAutospacing="0" w:after="0" w:afterAutospacing="0" w:line="440" w:lineRule="exact"/>
        <w:ind w:firstLine="420" w:firstLineChars="200"/>
        <w:rPr>
          <w:rFonts w:hint="default" w:cs="宋体"/>
          <w:color w:val="000000"/>
          <w:sz w:val="21"/>
          <w:szCs w:val="21"/>
        </w:rPr>
      </w:pPr>
      <w:r>
        <w:rPr>
          <w:rFonts w:cs="宋体"/>
          <w:color w:val="000000"/>
          <w:sz w:val="21"/>
          <w:szCs w:val="21"/>
        </w:rPr>
        <w:t>1</w:t>
      </w:r>
      <w:r>
        <w:rPr>
          <w:rFonts w:hint="default" w:cs="宋体"/>
          <w:color w:val="000000"/>
          <w:sz w:val="21"/>
          <w:szCs w:val="21"/>
        </w:rPr>
        <w:t>包：黄石4家</w:t>
      </w:r>
    </w:p>
    <w:p>
      <w:pPr>
        <w:pStyle w:val="19"/>
        <w:shd w:val="clear" w:color="auto" w:fill="FFFFFF"/>
        <w:spacing w:before="0" w:beforeAutospacing="0" w:after="0" w:afterAutospacing="0" w:line="440" w:lineRule="exact"/>
        <w:ind w:firstLine="420" w:firstLineChars="200"/>
        <w:rPr>
          <w:rFonts w:hint="default" w:cs="宋体"/>
          <w:color w:val="000000"/>
          <w:sz w:val="21"/>
          <w:szCs w:val="21"/>
        </w:rPr>
      </w:pPr>
      <w:r>
        <w:rPr>
          <w:rFonts w:cs="宋体"/>
          <w:color w:val="000000"/>
          <w:sz w:val="21"/>
          <w:szCs w:val="21"/>
        </w:rPr>
        <w:t>2</w:t>
      </w:r>
      <w:r>
        <w:rPr>
          <w:rFonts w:hint="default" w:cs="宋体"/>
          <w:color w:val="000000"/>
          <w:sz w:val="21"/>
          <w:szCs w:val="21"/>
        </w:rPr>
        <w:t>包：宜昌4家</w:t>
      </w:r>
    </w:p>
    <w:p>
      <w:pPr>
        <w:pStyle w:val="19"/>
        <w:shd w:val="clear" w:color="auto" w:fill="FFFFFF"/>
        <w:spacing w:before="0" w:beforeAutospacing="0" w:after="0" w:afterAutospacing="0" w:line="440" w:lineRule="exact"/>
        <w:ind w:firstLine="420" w:firstLineChars="200"/>
        <w:rPr>
          <w:rFonts w:hint="default" w:cs="宋体"/>
          <w:color w:val="000000"/>
          <w:sz w:val="21"/>
          <w:szCs w:val="21"/>
        </w:rPr>
      </w:pPr>
      <w:r>
        <w:rPr>
          <w:rFonts w:cs="宋体"/>
          <w:color w:val="000000"/>
          <w:sz w:val="21"/>
          <w:szCs w:val="21"/>
        </w:rPr>
        <w:t>3</w:t>
      </w:r>
      <w:r>
        <w:rPr>
          <w:rFonts w:hint="default" w:cs="宋体"/>
          <w:color w:val="000000"/>
          <w:sz w:val="21"/>
          <w:szCs w:val="21"/>
        </w:rPr>
        <w:t>包：孝感3家</w:t>
      </w:r>
    </w:p>
    <w:p>
      <w:pPr>
        <w:pStyle w:val="19"/>
        <w:shd w:val="clear" w:color="auto" w:fill="FFFFFF"/>
        <w:spacing w:before="0" w:beforeAutospacing="0" w:after="0" w:afterAutospacing="0" w:line="440" w:lineRule="exact"/>
        <w:ind w:firstLine="420" w:firstLineChars="200"/>
        <w:rPr>
          <w:rFonts w:hint="default" w:cs="宋体"/>
          <w:color w:val="000000"/>
          <w:sz w:val="21"/>
          <w:szCs w:val="21"/>
        </w:rPr>
      </w:pPr>
      <w:r>
        <w:rPr>
          <w:rFonts w:cs="宋体"/>
          <w:color w:val="000000"/>
          <w:sz w:val="21"/>
          <w:szCs w:val="21"/>
        </w:rPr>
        <w:t>4</w:t>
      </w:r>
      <w:r>
        <w:rPr>
          <w:rFonts w:hint="default" w:cs="宋体"/>
          <w:color w:val="000000"/>
          <w:sz w:val="21"/>
          <w:szCs w:val="21"/>
        </w:rPr>
        <w:t>包：襄阳4家</w:t>
      </w:r>
    </w:p>
    <w:p>
      <w:pPr>
        <w:pStyle w:val="19"/>
        <w:shd w:val="clear" w:color="auto" w:fill="FFFFFF"/>
        <w:spacing w:before="0" w:beforeAutospacing="0" w:after="0" w:afterAutospacing="0" w:line="440" w:lineRule="exact"/>
        <w:ind w:firstLine="420" w:firstLineChars="200"/>
        <w:rPr>
          <w:rFonts w:hint="default" w:cs="宋体"/>
          <w:color w:val="000000"/>
          <w:sz w:val="21"/>
          <w:szCs w:val="21"/>
        </w:rPr>
      </w:pPr>
      <w:r>
        <w:rPr>
          <w:rFonts w:cs="宋体"/>
          <w:color w:val="000000"/>
          <w:sz w:val="21"/>
          <w:szCs w:val="21"/>
        </w:rPr>
        <w:t>5</w:t>
      </w:r>
      <w:r>
        <w:rPr>
          <w:rFonts w:hint="default" w:cs="宋体"/>
          <w:color w:val="000000"/>
          <w:sz w:val="21"/>
          <w:szCs w:val="21"/>
        </w:rPr>
        <w:t>包：咸宁3家</w:t>
      </w:r>
    </w:p>
    <w:p>
      <w:pPr>
        <w:pStyle w:val="19"/>
        <w:shd w:val="clear" w:color="auto" w:fill="FFFFFF"/>
        <w:spacing w:before="0" w:beforeAutospacing="0" w:after="0" w:afterAutospacing="0" w:line="440" w:lineRule="exact"/>
        <w:ind w:firstLine="420" w:firstLineChars="200"/>
        <w:rPr>
          <w:rFonts w:hint="default" w:cs="宋体"/>
          <w:color w:val="000000"/>
          <w:sz w:val="21"/>
          <w:szCs w:val="21"/>
        </w:rPr>
      </w:pPr>
      <w:r>
        <w:rPr>
          <w:rFonts w:cs="宋体"/>
          <w:color w:val="000000"/>
          <w:sz w:val="21"/>
          <w:szCs w:val="21"/>
        </w:rPr>
        <w:t>6</w:t>
      </w:r>
      <w:r>
        <w:rPr>
          <w:rFonts w:hint="default" w:cs="宋体"/>
          <w:color w:val="000000"/>
          <w:sz w:val="21"/>
          <w:szCs w:val="21"/>
        </w:rPr>
        <w:t>包：十堰3家</w:t>
      </w:r>
    </w:p>
    <w:p>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4、入库期限：1至6包：有效期三年</w:t>
      </w:r>
    </w:p>
    <w:p>
      <w:pPr>
        <w:pStyle w:val="3"/>
        <w:numPr>
          <w:ilvl w:val="0"/>
          <w:numId w:val="3"/>
        </w:numPr>
        <w:tabs>
          <w:tab w:val="left" w:pos="483"/>
          <w:tab w:val="left" w:pos="567"/>
          <w:tab w:val="clear" w:pos="576"/>
        </w:tabs>
        <w:spacing w:line="520" w:lineRule="exact"/>
        <w:rPr>
          <w:rFonts w:ascii="宋体" w:hAnsi="宋体"/>
          <w:sz w:val="21"/>
          <w:szCs w:val="21"/>
        </w:rPr>
      </w:pPr>
      <w:bookmarkStart w:id="4" w:name="_Toc259607747"/>
      <w:bookmarkStart w:id="5" w:name="_Toc390955784"/>
      <w:bookmarkStart w:id="6" w:name="_Toc48634258"/>
      <w:r>
        <w:rPr>
          <w:rFonts w:ascii="宋体" w:hAnsi="宋体"/>
          <w:sz w:val="21"/>
          <w:szCs w:val="21"/>
        </w:rPr>
        <w:t>投标资格要求</w:t>
      </w:r>
      <w:bookmarkEnd w:id="4"/>
      <w:bookmarkEnd w:id="5"/>
      <w:bookmarkEnd w:id="6"/>
    </w:p>
    <w:p>
      <w:pPr>
        <w:spacing w:line="440" w:lineRule="exact"/>
        <w:ind w:firstLine="420" w:firstLineChars="200"/>
        <w:rPr>
          <w:rFonts w:ascii="宋体" w:hAnsi="宋体"/>
          <w:szCs w:val="21"/>
        </w:rPr>
      </w:pPr>
      <w:r>
        <w:rPr>
          <w:rFonts w:hint="eastAsia" w:ascii="宋体" w:hAnsi="宋体"/>
          <w:szCs w:val="21"/>
        </w:rPr>
        <w:t>投标资格要求为本次项目投标人应具备的基本条件，参加投标的投标人必须满足投标资格要求中的所有条款，并按照招标文件的规定提交资格证明文件，未按要求递交的投标人，其投标为无效投标。</w:t>
      </w:r>
    </w:p>
    <w:p>
      <w:pPr>
        <w:numPr>
          <w:ilvl w:val="0"/>
          <w:numId w:val="5"/>
        </w:numPr>
        <w:spacing w:line="440" w:lineRule="exact"/>
        <w:ind w:firstLine="420" w:firstLineChars="200"/>
        <w:rPr>
          <w:rFonts w:ascii="宋体" w:hAnsi="宋体"/>
          <w:szCs w:val="21"/>
        </w:rPr>
      </w:pPr>
      <w:bookmarkStart w:id="7" w:name="_Toc214694503"/>
      <w:r>
        <w:rPr>
          <w:rFonts w:hint="eastAsia" w:ascii="宋体" w:hAnsi="宋体"/>
          <w:szCs w:val="21"/>
        </w:rPr>
        <w:t>投标人须为中国境内合法注册并有效存续的法律主体，具有承担相应民事责任的能力（提供中国境内司法行政部门颁发的律师事务所执业许可证或类似文件）；</w:t>
      </w:r>
    </w:p>
    <w:p>
      <w:pPr>
        <w:spacing w:line="440" w:lineRule="exact"/>
        <w:ind w:firstLine="420" w:firstLineChars="200"/>
        <w:rPr>
          <w:rFonts w:ascii="宋体" w:hAnsi="宋体"/>
          <w:color w:val="FF0000"/>
          <w:szCs w:val="21"/>
        </w:rPr>
      </w:pPr>
      <w:r>
        <w:rPr>
          <w:rFonts w:ascii="宋体" w:hAnsi="宋体"/>
          <w:szCs w:val="21"/>
        </w:rPr>
        <w:t>2</w:t>
      </w:r>
      <w:r>
        <w:rPr>
          <w:rFonts w:hint="eastAsia" w:ascii="宋体" w:hAnsi="宋体"/>
          <w:szCs w:val="21"/>
        </w:rPr>
        <w:t>、投标人财务核算规范，具有良好的资金实力和财务状况（提供会计师事务所出具的2020年度至2022年度审计报告复印件【至少包括资产负债表、损益表（利润表）】；若投标人未经审计，请说明未经审计的原因</w:t>
      </w:r>
      <w:r>
        <w:rPr>
          <w:rFonts w:hint="eastAsia" w:ascii="宋体" w:hAnsi="宋体"/>
          <w:color w:val="000000" w:themeColor="text1"/>
          <w:szCs w:val="21"/>
          <w14:textFill>
            <w14:solidFill>
              <w14:schemeClr w14:val="tx1"/>
            </w14:solidFill>
          </w14:textFill>
        </w:rPr>
        <w:t>；</w:t>
      </w:r>
    </w:p>
    <w:p>
      <w:pPr>
        <w:pStyle w:val="8"/>
        <w:spacing w:line="440" w:lineRule="exact"/>
        <w:ind w:firstLine="420" w:firstLineChars="200"/>
        <w:jc w:val="left"/>
        <w:rPr>
          <w:b w:val="0"/>
          <w:color w:val="auto"/>
          <w:spacing w:val="4"/>
          <w:sz w:val="21"/>
          <w:szCs w:val="21"/>
        </w:rPr>
      </w:pPr>
      <w:r>
        <w:rPr>
          <w:b w:val="0"/>
          <w:color w:val="auto"/>
          <w:sz w:val="21"/>
          <w:szCs w:val="21"/>
        </w:rPr>
        <w:t>3</w:t>
      </w:r>
      <w:r>
        <w:rPr>
          <w:rFonts w:hint="eastAsia"/>
          <w:b w:val="0"/>
          <w:color w:val="auto"/>
          <w:sz w:val="21"/>
          <w:szCs w:val="21"/>
        </w:rPr>
        <w:t>、</w:t>
      </w:r>
      <w:r>
        <w:rPr>
          <w:rFonts w:hint="eastAsia"/>
          <w:b w:val="0"/>
          <w:color w:val="auto"/>
          <w:spacing w:val="4"/>
          <w:sz w:val="21"/>
          <w:szCs w:val="21"/>
        </w:rPr>
        <w:t>标人有依法缴纳税收和社会保障资金的良好记录（提供缴费日为投标文件递交截招标文件止日前六个月内任意一期缴纳税收和社保的证明材料，依法免税的、依法不需要缴纳社会保障资金的或由第三方机构代缴的，应提供相应文件说明）；</w:t>
      </w:r>
    </w:p>
    <w:p>
      <w:pPr>
        <w:spacing w:line="360" w:lineRule="auto"/>
        <w:ind w:firstLine="436" w:firstLineChars="200"/>
        <w:rPr>
          <w:spacing w:val="4"/>
          <w:szCs w:val="21"/>
        </w:rPr>
      </w:pPr>
      <w:r>
        <w:rPr>
          <w:spacing w:val="4"/>
          <w:szCs w:val="21"/>
        </w:rPr>
        <w:t>4</w:t>
      </w:r>
      <w:r>
        <w:rPr>
          <w:rFonts w:hint="eastAsia"/>
          <w:spacing w:val="4"/>
          <w:szCs w:val="21"/>
        </w:rPr>
        <w:t>、投标人应保证完全遵守招标人有关安全保密条例，并保守招标人的商业机密（提供承诺函，格式自拟）；</w:t>
      </w:r>
    </w:p>
    <w:p>
      <w:pPr>
        <w:numPr>
          <w:ilvl w:val="0"/>
          <w:numId w:val="6"/>
        </w:numPr>
        <w:spacing w:line="360" w:lineRule="auto"/>
        <w:ind w:firstLine="420" w:firstLineChars="200"/>
        <w:rPr>
          <w:rFonts w:ascii="宋体" w:hAnsi="宋体"/>
          <w:szCs w:val="21"/>
        </w:rPr>
      </w:pPr>
      <w:r>
        <w:rPr>
          <w:rFonts w:hint="eastAsia" w:ascii="宋体" w:hAnsi="宋体"/>
          <w:szCs w:val="21"/>
        </w:rPr>
        <w:t>投标人具有良好的商业信誉，近三年（2020年1月至今），未因违约或违法行为被交通银行股份有限公司湖北省分行及其上级机构（交通银行股份有限公司）取消投标资格；且没有被清理退出交通银行股份有限公司湖北省分行及其上级机构（交通银行股份有限公司）合作单位信息库的记录（提供承诺函</w:t>
      </w:r>
      <w:r>
        <w:rPr>
          <w:rFonts w:hint="eastAsia"/>
          <w:spacing w:val="4"/>
          <w:szCs w:val="21"/>
        </w:rPr>
        <w:t>，格式自拟</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、投标人须在法律和财务上独立、合法运作并独立于招标人和代理机构（提供承诺函</w:t>
      </w:r>
      <w:r>
        <w:rPr>
          <w:rFonts w:hint="eastAsia"/>
          <w:spacing w:val="4"/>
          <w:szCs w:val="21"/>
        </w:rPr>
        <w:t>，格式自拟</w:t>
      </w:r>
      <w:r>
        <w:rPr>
          <w:rFonts w:hint="eastAsia" w:ascii="宋体" w:hAnsi="宋体"/>
          <w:szCs w:val="21"/>
        </w:rPr>
        <w:t>）；</w:t>
      </w:r>
    </w:p>
    <w:p>
      <w:pPr>
        <w:spacing w:line="440" w:lineRule="exact"/>
        <w:ind w:firstLine="420" w:firstLineChars="200"/>
        <w:rPr>
          <w:rFonts w:ascii="宋体" w:hAnsi="宋体"/>
          <w:szCs w:val="21"/>
        </w:rPr>
      </w:pPr>
      <w:r>
        <w:rPr>
          <w:rFonts w:ascii="宋体" w:hAnsi="宋体"/>
          <w:szCs w:val="21"/>
        </w:rPr>
        <w:t>7</w:t>
      </w:r>
      <w:r>
        <w:rPr>
          <w:rFonts w:hint="eastAsia" w:ascii="宋体" w:hAnsi="宋体"/>
          <w:szCs w:val="21"/>
        </w:rPr>
        <w:t>、投标人须承诺，招标人在其本国使用投标人提供的货物或服务时，不存在任何已知的不合法的情形，也不存在任何已知的与第三方专利权、著作权、商标权或工业设计权相关的任何争议。如果有任何因招标人使用投标人提供的货物或服务而提起的侵权指控，投标人将依法承担全部责任（提供承诺函</w:t>
      </w:r>
      <w:r>
        <w:rPr>
          <w:rFonts w:hint="eastAsia"/>
          <w:spacing w:val="4"/>
          <w:szCs w:val="21"/>
        </w:rPr>
        <w:t>，格式自拟</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8、未经招标人同意，投标人不将本项目招标内容以任何方式进行转包或分包（提供承诺函</w:t>
      </w:r>
      <w:r>
        <w:rPr>
          <w:rFonts w:hint="eastAsia"/>
          <w:spacing w:val="4"/>
          <w:szCs w:val="21"/>
        </w:rPr>
        <w:t>，格式自拟</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9、单位执行事务合伙人（或具有同等法律效力的负责人）为同一人或者存在控股、管理关系的不同单位，不得参加同一标段投标或者未划分标段的同一招标项目投标（提供承诺函</w:t>
      </w:r>
      <w:r>
        <w:rPr>
          <w:rFonts w:hint="eastAsia"/>
          <w:spacing w:val="4"/>
          <w:szCs w:val="21"/>
        </w:rPr>
        <w:t>，格式自拟</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10、投标人参加本次投标活动前三年内（2020年1月至今）在“信用中国”网站(https://www.creditchina.gov.cn/)未被列入“失信被执行人”及“重大税收违法案件当事人”名单；在“中国政府采购网”网站(http://www.ccgp.gov.cn/)未被列入“严重违法失信行为记录”名单（以开标当天代理机构查询为准）；</w:t>
      </w:r>
    </w:p>
    <w:p>
      <w:pPr>
        <w:spacing w:line="440" w:lineRule="exact"/>
        <w:ind w:firstLine="420" w:firstLineChars="200"/>
      </w:pPr>
      <w:r>
        <w:rPr>
          <w:rFonts w:hint="eastAsia"/>
        </w:rPr>
        <w:t>11、本项目不接受联合体形式的投标，项目执行过程中不允许转包、分包；</w:t>
      </w:r>
    </w:p>
    <w:p>
      <w:pPr>
        <w:spacing w:line="440" w:lineRule="exact"/>
        <w:ind w:firstLine="420" w:firstLineChars="200"/>
      </w:pPr>
      <w:r>
        <w:rPr>
          <w:rFonts w:hint="eastAsia"/>
        </w:rPr>
        <w:t>说明：投标人应提供满足上述资格要求的充分证明，所提供的各类证件、证书、证明、说明，具有有效期的，响应时均应在有效期内，否则不予认可。</w:t>
      </w:r>
    </w:p>
    <w:bookmarkEnd w:id="7"/>
    <w:p>
      <w:pPr>
        <w:pStyle w:val="3"/>
        <w:numPr>
          <w:ilvl w:val="0"/>
          <w:numId w:val="3"/>
        </w:numPr>
        <w:tabs>
          <w:tab w:val="left" w:pos="483"/>
          <w:tab w:val="left" w:pos="567"/>
          <w:tab w:val="clear" w:pos="576"/>
        </w:tabs>
        <w:spacing w:line="520" w:lineRule="exact"/>
        <w:rPr>
          <w:rFonts w:ascii="宋体" w:hAnsi="宋体"/>
          <w:sz w:val="21"/>
          <w:szCs w:val="21"/>
        </w:rPr>
      </w:pPr>
      <w:bookmarkStart w:id="8" w:name="_Toc390955785"/>
      <w:bookmarkStart w:id="9" w:name="_Toc48634259"/>
      <w:r>
        <w:rPr>
          <w:rFonts w:ascii="宋体" w:hAnsi="宋体"/>
          <w:sz w:val="21"/>
          <w:szCs w:val="21"/>
        </w:rPr>
        <w:t>招标文件</w:t>
      </w:r>
      <w:bookmarkEnd w:id="8"/>
      <w:r>
        <w:rPr>
          <w:rFonts w:hint="eastAsia" w:ascii="宋体" w:hAnsi="宋体"/>
          <w:sz w:val="21"/>
          <w:szCs w:val="21"/>
        </w:rPr>
        <w:t>的获取</w:t>
      </w:r>
      <w:bookmarkEnd w:id="9"/>
    </w:p>
    <w:p>
      <w:pPr>
        <w:spacing w:line="5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宋体"/>
          <w:color w:val="000000" w:themeColor="text1"/>
          <w:szCs w:val="21"/>
          <w:lang w:val="zh-CN"/>
          <w14:textFill>
            <w14:solidFill>
              <w14:schemeClr w14:val="tx1"/>
            </w14:solidFill>
          </w14:textFill>
        </w:rPr>
        <w:t>获取时间：202</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zh-CN"/>
          <w14:textFill>
            <w14:solidFill>
              <w14:schemeClr w14:val="tx1"/>
            </w14:solidFill>
          </w14:textFill>
        </w:rPr>
        <w:t>月15日起至202</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zh-CN"/>
          <w14:textFill>
            <w14:solidFill>
              <w14:schemeClr w14:val="tx1"/>
            </w14:solidFill>
          </w14:textFill>
        </w:rPr>
        <w:t>月21日每天上午8：</w:t>
      </w:r>
      <w:r>
        <w:rPr>
          <w:rFonts w:ascii="宋体" w:hAnsi="宋体" w:cs="宋体"/>
          <w:color w:val="000000" w:themeColor="text1"/>
          <w:szCs w:val="21"/>
          <w:lang w:val="zh-CN"/>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0-12:00、下午14:00-</w:t>
      </w:r>
      <w:r>
        <w:rPr>
          <w:rFonts w:ascii="宋体" w:hAnsi="宋体" w:cs="宋体"/>
          <w:color w:val="000000" w:themeColor="text1"/>
          <w:szCs w:val="21"/>
          <w:lang w:val="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lang w:val="zh-CN"/>
          <w14:textFill>
            <w14:solidFill>
              <w14:schemeClr w14:val="tx1"/>
            </w14:solidFill>
          </w14:textFill>
        </w:rPr>
        <w:t>:30。</w:t>
      </w:r>
    </w:p>
    <w:p>
      <w:pPr>
        <w:spacing w:line="520" w:lineRule="exact"/>
        <w:ind w:firstLine="420" w:firstLineChars="200"/>
        <w:rPr>
          <w:rFonts w:ascii="宋体" w:hAnsi="宋体"/>
          <w:szCs w:val="21"/>
        </w:rPr>
      </w:pPr>
      <w:r>
        <w:rPr>
          <w:rFonts w:hint="eastAsia" w:ascii="宋体" w:hAnsi="宋体"/>
          <w:szCs w:val="21"/>
        </w:rPr>
        <w:t>2、获取地点：</w:t>
      </w:r>
      <w:r>
        <w:rPr>
          <w:rFonts w:ascii="宋体" w:hAnsi="宋体"/>
          <w:szCs w:val="21"/>
        </w:rPr>
        <w:t>湖北省武汉市武昌区东湖西路平安财富中心（东湖大厦正对面）B座7楼湖北省成套招标股份有限公司服务大厅</w:t>
      </w:r>
      <w:r>
        <w:rPr>
          <w:rFonts w:hint="eastAsia" w:ascii="宋体" w:hAnsi="宋体"/>
          <w:szCs w:val="21"/>
        </w:rPr>
        <w:t>。</w:t>
      </w:r>
    </w:p>
    <w:p>
      <w:pPr>
        <w:spacing w:line="520" w:lineRule="exact"/>
        <w:ind w:firstLine="420" w:firstLineChars="200"/>
        <w:rPr>
          <w:rFonts w:ascii="宋体" w:hAnsi="宋体"/>
          <w:szCs w:val="21"/>
        </w:rPr>
      </w:pPr>
      <w:r>
        <w:rPr>
          <w:rFonts w:hint="eastAsia" w:ascii="宋体" w:hAnsi="宋体"/>
          <w:szCs w:val="21"/>
        </w:rPr>
        <w:t>3、投标人购买文件须带资料：投标人法定代表人凭法定代表人身份证明书（原件）或委托代理人凭法定代表人授权书（原件）、本人身份证（原件）。以及开票信息一份（含1、）开票单位名称、2）纳税人识别号（或统一社会信用代码）、3）营业执照或税务登记证地址、4）单位联系电话、5）开户行及账号。）</w:t>
      </w:r>
    </w:p>
    <w:p>
      <w:pPr>
        <w:spacing w:line="520" w:lineRule="exact"/>
        <w:ind w:firstLine="420" w:firstLineChars="200"/>
        <w:rPr>
          <w:rFonts w:ascii="宋体" w:hAnsi="宋体"/>
          <w:szCs w:val="21"/>
          <w:u w:val="single"/>
        </w:rPr>
      </w:pPr>
      <w:r>
        <w:rPr>
          <w:rFonts w:hint="eastAsia" w:ascii="宋体" w:hAnsi="宋体"/>
          <w:szCs w:val="21"/>
        </w:rPr>
        <w:t>4、售价：</w:t>
      </w:r>
      <w:r>
        <w:rPr>
          <w:rFonts w:hint="eastAsia" w:ascii="宋体" w:hAnsi="宋体"/>
          <w:b/>
          <w:bCs/>
          <w:szCs w:val="21"/>
          <w:u w:val="single"/>
        </w:rPr>
        <w:t>每标段人民币500元</w:t>
      </w:r>
      <w:r>
        <w:rPr>
          <w:rFonts w:hint="eastAsia" w:ascii="宋体" w:hAnsi="宋体"/>
          <w:b/>
          <w:szCs w:val="21"/>
          <w:u w:val="single"/>
        </w:rPr>
        <w:t>，售后不退</w:t>
      </w:r>
      <w:r>
        <w:rPr>
          <w:rFonts w:hint="eastAsia" w:ascii="宋体" w:hAnsi="宋体"/>
          <w:szCs w:val="21"/>
          <w:u w:val="single"/>
        </w:rPr>
        <w:t>。</w:t>
      </w:r>
    </w:p>
    <w:p>
      <w:pPr>
        <w:spacing w:line="520" w:lineRule="exact"/>
        <w:ind w:firstLine="420" w:firstLineChars="200"/>
        <w:rPr>
          <w:rFonts w:ascii="宋体" w:hAnsi="宋体"/>
          <w:szCs w:val="21"/>
        </w:rPr>
      </w:pPr>
      <w:r>
        <w:rPr>
          <w:rFonts w:hint="eastAsia" w:ascii="宋体" w:hAnsi="宋体"/>
          <w:szCs w:val="21"/>
        </w:rPr>
        <w:t>5、投标人应在投标截止时间5个工作日前，在交通银行智采平台供应商门户网站（https://bocom-gys.bankcomm.com）完成注册，详情请登录门户网站查阅《供应商门户操作手册》，完成注册后，及时向招标代理机构反馈注册结果（智采平台网站中通过注册审批的截图）</w:t>
      </w:r>
    </w:p>
    <w:p>
      <w:pPr>
        <w:pStyle w:val="3"/>
        <w:numPr>
          <w:ilvl w:val="0"/>
          <w:numId w:val="3"/>
        </w:numPr>
        <w:tabs>
          <w:tab w:val="left" w:pos="483"/>
          <w:tab w:val="left" w:pos="567"/>
          <w:tab w:val="clear" w:pos="576"/>
        </w:tabs>
        <w:spacing w:line="520" w:lineRule="exact"/>
        <w:rPr>
          <w:rFonts w:ascii="宋体" w:hAnsi="宋体"/>
          <w:sz w:val="21"/>
          <w:szCs w:val="21"/>
        </w:rPr>
      </w:pPr>
      <w:bookmarkStart w:id="10" w:name="_Toc421688543"/>
      <w:bookmarkStart w:id="11" w:name="_Toc333771876"/>
      <w:bookmarkStart w:id="12" w:name="_Toc48634260"/>
      <w:bookmarkStart w:id="13" w:name="_Toc259607749"/>
      <w:r>
        <w:rPr>
          <w:rFonts w:hint="eastAsia" w:ascii="宋体" w:hAnsi="宋体"/>
          <w:sz w:val="21"/>
          <w:szCs w:val="21"/>
        </w:rPr>
        <w:t>投标文件送达地点及</w:t>
      </w:r>
      <w:bookmarkStart w:id="14" w:name="_Toc276368885"/>
      <w:bookmarkStart w:id="15" w:name="_Toc317262248"/>
      <w:r>
        <w:rPr>
          <w:rFonts w:hint="eastAsia" w:ascii="宋体" w:hAnsi="宋体"/>
          <w:sz w:val="21"/>
          <w:szCs w:val="21"/>
        </w:rPr>
        <w:t>投标截止时间</w:t>
      </w:r>
      <w:bookmarkEnd w:id="10"/>
      <w:bookmarkEnd w:id="11"/>
      <w:bookmarkEnd w:id="12"/>
      <w:bookmarkEnd w:id="14"/>
      <w:bookmarkEnd w:id="15"/>
    </w:p>
    <w:p>
      <w:pPr>
        <w:spacing w:line="520" w:lineRule="exact"/>
        <w:ind w:left="210" w:leftChars="100" w:firstLine="210" w:firstLineChars="100"/>
        <w:rPr>
          <w:rFonts w:ascii="宋体" w:hAnsi="宋体"/>
          <w:color w:val="000000" w:themeColor="text1"/>
          <w:szCs w:val="21"/>
          <w14:textFill>
            <w14:solidFill>
              <w14:schemeClr w14:val="tx1"/>
            </w14:solidFill>
          </w14:textFill>
        </w:rPr>
      </w:pPr>
      <w:r>
        <w:rPr>
          <w:rFonts w:hint="eastAsia" w:ascii="宋体" w:hAnsi="宋体"/>
          <w:szCs w:val="21"/>
        </w:rPr>
        <w:t>投标文件送达地点</w:t>
      </w:r>
      <w:r>
        <w:rPr>
          <w:rFonts w:ascii="宋体" w:hAnsi="宋体"/>
          <w:szCs w:val="21"/>
        </w:rPr>
        <w:t>：</w:t>
      </w:r>
      <w:r>
        <w:rPr>
          <w:rFonts w:hint="eastAsia" w:ascii="宋体" w:hAnsi="宋体"/>
          <w:szCs w:val="21"/>
        </w:rPr>
        <w:t>武汉市建设大道847号瑞通广场露天停车场旁会议室</w:t>
      </w:r>
    </w:p>
    <w:p>
      <w:pPr>
        <w:spacing w:line="5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投标截止时间：</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07</w:t>
      </w:r>
      <w:r>
        <w:rPr>
          <w:rFonts w:ascii="宋体" w:hAnsi="宋体"/>
          <w:color w:val="000000" w:themeColor="text1"/>
          <w:szCs w:val="21"/>
          <w14:textFill>
            <w14:solidFill>
              <w14:schemeClr w14:val="tx1"/>
            </w14:solidFill>
          </w14:textFill>
        </w:rPr>
        <w:t>日</w:t>
      </w: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0（北京时间）</w:t>
      </w:r>
    </w:p>
    <w:p>
      <w:pPr>
        <w:pStyle w:val="3"/>
        <w:numPr>
          <w:ilvl w:val="0"/>
          <w:numId w:val="3"/>
        </w:numPr>
        <w:tabs>
          <w:tab w:val="left" w:pos="483"/>
          <w:tab w:val="left" w:pos="567"/>
          <w:tab w:val="clear" w:pos="576"/>
        </w:tabs>
        <w:spacing w:line="520" w:lineRule="exact"/>
        <w:rPr>
          <w:rFonts w:ascii="宋体" w:hAnsi="宋体"/>
          <w:color w:val="000000" w:themeColor="text1"/>
          <w:sz w:val="21"/>
          <w:szCs w:val="21"/>
          <w14:textFill>
            <w14:solidFill>
              <w14:schemeClr w14:val="tx1"/>
            </w14:solidFill>
          </w14:textFill>
        </w:rPr>
      </w:pPr>
      <w:bookmarkStart w:id="16" w:name="_Toc276368886"/>
      <w:bookmarkStart w:id="17" w:name="_Toc317262249"/>
      <w:bookmarkStart w:id="18" w:name="_Toc421688544"/>
      <w:bookmarkStart w:id="19" w:name="_Toc333771877"/>
      <w:bookmarkStart w:id="20" w:name="_Toc48634261"/>
      <w:r>
        <w:rPr>
          <w:rFonts w:hint="eastAsia" w:ascii="宋体" w:hAnsi="宋体"/>
          <w:color w:val="000000" w:themeColor="text1"/>
          <w:sz w:val="21"/>
          <w:szCs w:val="21"/>
          <w14:textFill>
            <w14:solidFill>
              <w14:schemeClr w14:val="tx1"/>
            </w14:solidFill>
          </w14:textFill>
        </w:rPr>
        <w:t>开标地点</w:t>
      </w:r>
      <w:bookmarkEnd w:id="16"/>
      <w:bookmarkEnd w:id="17"/>
      <w:r>
        <w:rPr>
          <w:rFonts w:hint="eastAsia" w:ascii="宋体" w:hAnsi="宋体"/>
          <w:color w:val="000000" w:themeColor="text1"/>
          <w:sz w:val="21"/>
          <w:szCs w:val="21"/>
          <w14:textFill>
            <w14:solidFill>
              <w14:schemeClr w14:val="tx1"/>
            </w14:solidFill>
          </w14:textFill>
        </w:rPr>
        <w:t>及开标时间</w:t>
      </w:r>
      <w:bookmarkEnd w:id="18"/>
      <w:bookmarkEnd w:id="19"/>
      <w:bookmarkEnd w:id="20"/>
    </w:p>
    <w:p>
      <w:pPr>
        <w:spacing w:line="5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开标地点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武汉市建设大道847号瑞通广场露天停车场旁会议室</w:t>
      </w:r>
    </w:p>
    <w:p>
      <w:pPr>
        <w:spacing w:line="5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07</w:t>
      </w:r>
      <w:r>
        <w:rPr>
          <w:rFonts w:ascii="宋体" w:hAnsi="宋体"/>
          <w:color w:val="000000" w:themeColor="text1"/>
          <w:szCs w:val="21"/>
          <w14:textFill>
            <w14:solidFill>
              <w14:schemeClr w14:val="tx1"/>
            </w14:solidFill>
          </w14:textFill>
        </w:rPr>
        <w:t>日</w:t>
      </w: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0（北京时间）</w:t>
      </w:r>
    </w:p>
    <w:bookmarkEnd w:id="13"/>
    <w:p>
      <w:pPr>
        <w:pStyle w:val="3"/>
        <w:numPr>
          <w:ilvl w:val="0"/>
          <w:numId w:val="3"/>
        </w:numPr>
        <w:tabs>
          <w:tab w:val="left" w:pos="483"/>
          <w:tab w:val="left" w:pos="567"/>
          <w:tab w:val="clear" w:pos="576"/>
        </w:tabs>
        <w:spacing w:line="520" w:lineRule="exact"/>
        <w:rPr>
          <w:rFonts w:ascii="宋体" w:hAnsi="宋体"/>
          <w:color w:val="000000" w:themeColor="text1"/>
          <w:sz w:val="21"/>
          <w:szCs w:val="21"/>
          <w14:textFill>
            <w14:solidFill>
              <w14:schemeClr w14:val="tx1"/>
            </w14:solidFill>
          </w14:textFill>
        </w:rPr>
      </w:pPr>
      <w:bookmarkStart w:id="21" w:name="_Toc48634262"/>
      <w:bookmarkStart w:id="22" w:name="_Toc259607750"/>
      <w:bookmarkStart w:id="23" w:name="_Toc390955790"/>
      <w:r>
        <w:rPr>
          <w:rFonts w:ascii="宋体" w:hAnsi="宋体"/>
          <w:color w:val="000000" w:themeColor="text1"/>
          <w:sz w:val="21"/>
          <w:szCs w:val="21"/>
          <w14:textFill>
            <w14:solidFill>
              <w14:schemeClr w14:val="tx1"/>
            </w14:solidFill>
          </w14:textFill>
        </w:rPr>
        <w:t>招标人联系方式</w:t>
      </w:r>
      <w:bookmarkEnd w:id="21"/>
      <w:bookmarkEnd w:id="22"/>
      <w:bookmarkEnd w:id="23"/>
    </w:p>
    <w:p>
      <w:pPr>
        <w:spacing w:line="520" w:lineRule="exact"/>
        <w:ind w:firstLine="420" w:firstLineChars="200"/>
        <w:rPr>
          <w:rFonts w:ascii="宋体" w:hAnsi="宋体"/>
          <w:szCs w:val="21"/>
        </w:rPr>
      </w:pPr>
      <w:bookmarkStart w:id="24" w:name="_Toc259607751"/>
      <w:r>
        <w:rPr>
          <w:rFonts w:hint="eastAsia" w:ascii="宋体" w:hAnsi="宋体"/>
          <w:szCs w:val="21"/>
        </w:rPr>
        <w:t>招 标 人</w:t>
      </w:r>
      <w:r>
        <w:rPr>
          <w:rFonts w:ascii="宋体" w:hAnsi="宋体"/>
          <w:szCs w:val="21"/>
        </w:rPr>
        <w:t>：</w:t>
      </w:r>
      <w:r>
        <w:rPr>
          <w:rFonts w:hint="eastAsia" w:ascii="宋体" w:hAnsi="宋体"/>
          <w:szCs w:val="21"/>
        </w:rPr>
        <w:t>交通银行股份有限公司湖北省分行</w:t>
      </w:r>
    </w:p>
    <w:p>
      <w:pPr>
        <w:spacing w:line="520" w:lineRule="exact"/>
        <w:ind w:firstLine="420" w:firstLineChars="200"/>
        <w:rPr>
          <w:rFonts w:ascii="宋体" w:hAnsi="宋体"/>
          <w:szCs w:val="21"/>
          <w:highlight w:val="none"/>
        </w:rPr>
      </w:pPr>
      <w:r>
        <w:rPr>
          <w:rFonts w:hint="eastAsia" w:ascii="宋体" w:hAnsi="宋体"/>
          <w:szCs w:val="21"/>
        </w:rPr>
        <w:t>联 系 人：</w:t>
      </w:r>
      <w:r>
        <w:rPr>
          <w:rFonts w:hint="eastAsia" w:ascii="宋体" w:hAnsi="宋体"/>
          <w:szCs w:val="21"/>
          <w:highlight w:val="none"/>
        </w:rPr>
        <w:t>龙</w:t>
      </w:r>
      <w:r>
        <w:rPr>
          <w:rFonts w:hint="eastAsia" w:hAnsi="宋体"/>
          <w:color w:val="000000"/>
          <w:kern w:val="0"/>
          <w:szCs w:val="32"/>
          <w:highlight w:val="none"/>
        </w:rPr>
        <w:t>先生</w:t>
      </w:r>
    </w:p>
    <w:p>
      <w:pPr>
        <w:spacing w:line="520" w:lineRule="exact"/>
        <w:ind w:firstLine="420" w:firstLineChars="200"/>
        <w:rPr>
          <w:rFonts w:ascii="宋体" w:hAnsi="宋体"/>
          <w:szCs w:val="21"/>
          <w:highlight w:val="none"/>
        </w:rPr>
      </w:pPr>
      <w:r>
        <w:rPr>
          <w:rFonts w:hint="eastAsia" w:ascii="宋体" w:hAnsi="宋体"/>
          <w:szCs w:val="21"/>
          <w:highlight w:val="none"/>
        </w:rPr>
        <w:t>联系方式：027-85487128</w:t>
      </w:r>
    </w:p>
    <w:p>
      <w:pPr>
        <w:autoSpaceDE w:val="0"/>
        <w:autoSpaceDN w:val="0"/>
        <w:adjustRightInd w:val="0"/>
        <w:spacing w:line="440" w:lineRule="exact"/>
        <w:ind w:firstLine="420" w:firstLineChars="200"/>
        <w:jc w:val="left"/>
        <w:rPr>
          <w:rFonts w:hAnsi="宋体"/>
          <w:color w:val="000000"/>
          <w:kern w:val="0"/>
          <w:szCs w:val="32"/>
        </w:rPr>
      </w:pPr>
      <w:r>
        <w:rPr>
          <w:rFonts w:hint="eastAsia" w:hAnsi="宋体"/>
          <w:color w:val="000000"/>
          <w:kern w:val="0"/>
          <w:szCs w:val="32"/>
        </w:rPr>
        <w:t>地址：</w:t>
      </w:r>
      <w:r>
        <w:rPr>
          <w:rFonts w:hint="eastAsia" w:ascii="宋体" w:hAnsi="宋体"/>
          <w:szCs w:val="21"/>
        </w:rPr>
        <w:t>武汉市建设大道847号瑞通广场A座</w:t>
      </w:r>
    </w:p>
    <w:p>
      <w:pPr>
        <w:pStyle w:val="3"/>
        <w:numPr>
          <w:ilvl w:val="0"/>
          <w:numId w:val="3"/>
        </w:numPr>
        <w:tabs>
          <w:tab w:val="left" w:pos="483"/>
          <w:tab w:val="left" w:pos="567"/>
          <w:tab w:val="clear" w:pos="576"/>
        </w:tabs>
        <w:spacing w:line="520" w:lineRule="exact"/>
        <w:rPr>
          <w:rFonts w:ascii="宋体" w:hAnsi="宋体"/>
          <w:sz w:val="21"/>
          <w:szCs w:val="21"/>
        </w:rPr>
      </w:pPr>
      <w:bookmarkStart w:id="25" w:name="_Toc390955791"/>
      <w:bookmarkStart w:id="26" w:name="_Toc48634263"/>
      <w:r>
        <w:rPr>
          <w:rFonts w:ascii="宋体" w:hAnsi="宋体"/>
          <w:sz w:val="21"/>
          <w:szCs w:val="21"/>
        </w:rPr>
        <w:t>招标机构联系方式</w:t>
      </w:r>
      <w:bookmarkEnd w:id="24"/>
      <w:bookmarkEnd w:id="25"/>
      <w:bookmarkEnd w:id="26"/>
    </w:p>
    <w:p>
      <w:pPr>
        <w:spacing w:line="520" w:lineRule="exact"/>
        <w:ind w:firstLine="420" w:firstLineChars="200"/>
        <w:rPr>
          <w:rFonts w:ascii="宋体" w:hAnsi="宋体"/>
          <w:szCs w:val="21"/>
        </w:rPr>
      </w:pPr>
      <w:r>
        <w:rPr>
          <w:rFonts w:ascii="宋体" w:hAnsi="宋体"/>
          <w:szCs w:val="21"/>
        </w:rPr>
        <w:t xml:space="preserve">代理机构：湖北省成套招标股份有限公司 </w:t>
      </w:r>
    </w:p>
    <w:p>
      <w:pPr>
        <w:spacing w:line="520" w:lineRule="exact"/>
        <w:ind w:firstLine="420" w:firstLineChars="200"/>
        <w:rPr>
          <w:rFonts w:ascii="宋体" w:hAnsi="宋体"/>
          <w:szCs w:val="21"/>
        </w:rPr>
      </w:pPr>
      <w:r>
        <w:rPr>
          <w:rFonts w:ascii="宋体" w:hAnsi="宋体"/>
          <w:szCs w:val="21"/>
        </w:rPr>
        <w:t>邮    编：430071</w:t>
      </w:r>
    </w:p>
    <w:p>
      <w:pPr>
        <w:spacing w:line="520" w:lineRule="exact"/>
        <w:ind w:firstLine="420" w:firstLineChars="200"/>
        <w:rPr>
          <w:rFonts w:ascii="宋体" w:hAnsi="宋体"/>
          <w:szCs w:val="21"/>
        </w:rPr>
      </w:pPr>
      <w:r>
        <w:rPr>
          <w:rFonts w:ascii="宋体" w:hAnsi="宋体"/>
          <w:szCs w:val="21"/>
        </w:rPr>
        <w:t>地    址：武汉市武昌区东湖西路平安财富中心B座</w:t>
      </w:r>
      <w:r>
        <w:rPr>
          <w:rFonts w:hint="eastAsia" w:ascii="宋体" w:hAnsi="宋体"/>
          <w:szCs w:val="21"/>
        </w:rPr>
        <w:t>7-10</w:t>
      </w:r>
      <w:r>
        <w:rPr>
          <w:rFonts w:ascii="宋体" w:hAnsi="宋体"/>
          <w:szCs w:val="21"/>
        </w:rPr>
        <w:t>楼（东湖大厦正对面）</w:t>
      </w:r>
    </w:p>
    <w:p>
      <w:pPr>
        <w:spacing w:line="520" w:lineRule="exact"/>
        <w:ind w:firstLine="420" w:firstLineChars="200"/>
        <w:rPr>
          <w:rFonts w:ascii="宋体" w:hAnsi="宋体"/>
          <w:szCs w:val="21"/>
        </w:rPr>
      </w:pPr>
      <w:r>
        <w:rPr>
          <w:rFonts w:ascii="宋体" w:hAnsi="宋体"/>
          <w:szCs w:val="21"/>
        </w:rPr>
        <w:t>联 系 人：</w:t>
      </w:r>
      <w:r>
        <w:rPr>
          <w:rFonts w:hint="eastAsia" w:ascii="宋体" w:hAnsi="宋体"/>
          <w:szCs w:val="21"/>
        </w:rPr>
        <w:t>高卫星、李勇</w:t>
      </w:r>
    </w:p>
    <w:p>
      <w:pPr>
        <w:spacing w:line="440" w:lineRule="exact"/>
        <w:ind w:firstLine="420" w:firstLineChars="200"/>
        <w:rPr>
          <w:rFonts w:ascii="宋体" w:hAnsi="宋体"/>
          <w:szCs w:val="21"/>
        </w:rPr>
      </w:pPr>
      <w:r>
        <w:rPr>
          <w:rFonts w:ascii="宋体" w:hAnsi="宋体"/>
          <w:szCs w:val="21"/>
        </w:rPr>
        <w:t>电    话：</w:t>
      </w:r>
      <w:r>
        <w:rPr>
          <w:rFonts w:hint="eastAsia" w:ascii="宋体" w:hAnsi="宋体"/>
          <w:szCs w:val="21"/>
        </w:rPr>
        <w:t>18986205159</w:t>
      </w:r>
    </w:p>
    <w:p>
      <w:pPr>
        <w:pStyle w:val="3"/>
        <w:numPr>
          <w:ilvl w:val="0"/>
          <w:numId w:val="3"/>
        </w:numPr>
        <w:tabs>
          <w:tab w:val="left" w:pos="483"/>
          <w:tab w:val="left" w:pos="567"/>
          <w:tab w:val="clear" w:pos="576"/>
        </w:tabs>
        <w:rPr>
          <w:rFonts w:ascii="宋体" w:hAnsi="宋体"/>
          <w:sz w:val="21"/>
          <w:szCs w:val="21"/>
        </w:rPr>
      </w:pPr>
      <w:bookmarkStart w:id="27" w:name="_Toc48634264"/>
      <w:bookmarkStart w:id="28" w:name="_Toc390955792"/>
      <w:r>
        <w:rPr>
          <w:rFonts w:ascii="宋体" w:hAnsi="宋体"/>
          <w:sz w:val="21"/>
          <w:szCs w:val="21"/>
        </w:rPr>
        <w:t>信息发布媒体</w:t>
      </w:r>
      <w:bookmarkEnd w:id="27"/>
      <w:bookmarkEnd w:id="28"/>
    </w:p>
    <w:p>
      <w:pPr>
        <w:pStyle w:val="45"/>
        <w:adjustRightInd w:val="0"/>
        <w:snapToGrid w:val="0"/>
        <w:spacing w:line="440" w:lineRule="exact"/>
        <w:ind w:left="420" w:firstLine="0" w:firstLineChars="0"/>
        <w:rPr>
          <w:rFonts w:ascii="宋体" w:hAnsi="宋体"/>
          <w:szCs w:val="21"/>
        </w:rPr>
      </w:pPr>
      <w:bookmarkStart w:id="29" w:name="_Toc390955793"/>
      <w:bookmarkStart w:id="30" w:name="_Toc48634265"/>
      <w:r>
        <w:rPr>
          <w:rFonts w:hint="eastAsia" w:ascii="宋体" w:hAnsi="宋体"/>
          <w:szCs w:val="21"/>
        </w:rPr>
        <w:t>中国招标投标公共服务平台、金采网。</w:t>
      </w:r>
    </w:p>
    <w:p>
      <w:pPr>
        <w:pStyle w:val="3"/>
        <w:numPr>
          <w:ilvl w:val="0"/>
          <w:numId w:val="3"/>
        </w:numPr>
        <w:tabs>
          <w:tab w:val="left" w:pos="483"/>
          <w:tab w:val="left" w:pos="567"/>
          <w:tab w:val="clear" w:pos="576"/>
        </w:tabs>
        <w:spacing w:line="520" w:lineRule="exact"/>
        <w:rPr>
          <w:rFonts w:ascii="宋体" w:hAnsi="宋体"/>
          <w:sz w:val="21"/>
          <w:szCs w:val="21"/>
        </w:rPr>
      </w:pPr>
      <w:r>
        <w:rPr>
          <w:rFonts w:ascii="宋体" w:hAnsi="宋体"/>
          <w:sz w:val="21"/>
          <w:szCs w:val="21"/>
        </w:rPr>
        <w:t>递交标书费及</w:t>
      </w:r>
      <w:r>
        <w:rPr>
          <w:rFonts w:hint="eastAsia" w:ascii="宋体" w:hAnsi="宋体"/>
          <w:sz w:val="21"/>
          <w:szCs w:val="21"/>
        </w:rPr>
        <w:t>投标</w:t>
      </w:r>
      <w:r>
        <w:rPr>
          <w:rFonts w:ascii="宋体" w:hAnsi="宋体"/>
          <w:sz w:val="21"/>
          <w:szCs w:val="21"/>
        </w:rPr>
        <w:t>保证金的帐户信息</w:t>
      </w:r>
      <w:bookmarkEnd w:id="29"/>
      <w:bookmarkEnd w:id="30"/>
    </w:p>
    <w:p>
      <w:pPr>
        <w:spacing w:line="520" w:lineRule="exact"/>
        <w:ind w:firstLine="420" w:firstLineChars="200"/>
        <w:rPr>
          <w:rFonts w:ascii="宋体" w:hAnsi="宋体"/>
          <w:szCs w:val="21"/>
        </w:rPr>
      </w:pPr>
      <w:r>
        <w:rPr>
          <w:rFonts w:ascii="宋体" w:hAnsi="宋体"/>
          <w:szCs w:val="21"/>
        </w:rPr>
        <w:t>户    名：湖北省成套招标股份有限公司</w:t>
      </w:r>
    </w:p>
    <w:p>
      <w:pPr>
        <w:spacing w:line="520" w:lineRule="exact"/>
        <w:ind w:firstLine="420" w:firstLineChars="200"/>
        <w:rPr>
          <w:rFonts w:ascii="宋体" w:hAnsi="宋体"/>
          <w:szCs w:val="21"/>
        </w:rPr>
      </w:pPr>
      <w:r>
        <w:rPr>
          <w:rFonts w:ascii="宋体" w:hAnsi="宋体"/>
          <w:szCs w:val="21"/>
        </w:rPr>
        <w:t>行    号：840085</w:t>
      </w:r>
    </w:p>
    <w:p>
      <w:pPr>
        <w:spacing w:line="520" w:lineRule="exact"/>
        <w:ind w:firstLine="420" w:firstLineChars="200"/>
        <w:rPr>
          <w:rFonts w:ascii="宋体" w:hAnsi="宋体"/>
          <w:szCs w:val="21"/>
        </w:rPr>
      </w:pPr>
      <w:r>
        <w:rPr>
          <w:rFonts w:ascii="宋体" w:hAnsi="宋体"/>
          <w:szCs w:val="21"/>
        </w:rPr>
        <w:t xml:space="preserve">开 户 行：中国银行武汉中南路支行 </w:t>
      </w:r>
    </w:p>
    <w:p>
      <w:pPr>
        <w:spacing w:line="520" w:lineRule="exact"/>
        <w:ind w:firstLine="420" w:firstLineChars="200"/>
        <w:rPr>
          <w:rFonts w:ascii="宋体" w:hAnsi="宋体"/>
          <w:szCs w:val="21"/>
        </w:rPr>
      </w:pPr>
      <w:r>
        <w:rPr>
          <w:rFonts w:ascii="宋体" w:hAnsi="宋体"/>
          <w:szCs w:val="21"/>
        </w:rPr>
        <w:t>帐    号：572976591978</w:t>
      </w:r>
    </w:p>
    <w:p>
      <w:pPr>
        <w:widowControl/>
        <w:jc w:val="left"/>
      </w:pPr>
      <w:r>
        <w:br w:type="page"/>
      </w:r>
    </w:p>
    <w:p>
      <w:pPr>
        <w:pStyle w:val="2"/>
        <w:keepLines/>
        <w:numPr>
          <w:ilvl w:val="0"/>
          <w:numId w:val="2"/>
        </w:numPr>
        <w:spacing w:before="340" w:after="600" w:line="240" w:lineRule="auto"/>
        <w:ind w:left="3030" w:hanging="3030" w:hangingChars="686"/>
        <w:jc w:val="center"/>
        <w:rPr>
          <w:rFonts w:ascii="宋体" w:hAnsi="宋体"/>
          <w:sz w:val="44"/>
          <w:szCs w:val="44"/>
        </w:rPr>
      </w:pPr>
      <w:bookmarkStart w:id="31" w:name="_Toc390955794"/>
      <w:bookmarkStart w:id="32" w:name="_Toc48634266"/>
      <w:r>
        <w:rPr>
          <w:rFonts w:ascii="宋体" w:hAnsi="宋体"/>
          <w:sz w:val="44"/>
          <w:szCs w:val="44"/>
        </w:rPr>
        <w:t>投标人须知</w:t>
      </w:r>
      <w:bookmarkEnd w:id="31"/>
      <w:bookmarkEnd w:id="32"/>
    </w:p>
    <w:p>
      <w:pPr>
        <w:autoSpaceDE w:val="0"/>
        <w:autoSpaceDN w:val="0"/>
        <w:adjustRightInd w:val="0"/>
        <w:spacing w:line="360" w:lineRule="auto"/>
        <w:jc w:val="center"/>
        <w:outlineLvl w:val="1"/>
        <w:rPr>
          <w:rFonts w:ascii="宋体" w:hAnsi="宋体"/>
          <w:sz w:val="30"/>
          <w:szCs w:val="30"/>
        </w:rPr>
      </w:pPr>
      <w:bookmarkStart w:id="33" w:name="_Toc390955795"/>
      <w:bookmarkStart w:id="34" w:name="_Toc48634267"/>
      <w:r>
        <w:rPr>
          <w:rFonts w:ascii="宋体" w:hAnsi="宋体"/>
          <w:sz w:val="30"/>
          <w:szCs w:val="30"/>
        </w:rPr>
        <w:t>投标人须知前附表</w:t>
      </w:r>
      <w:bookmarkEnd w:id="33"/>
      <w:bookmarkEnd w:id="34"/>
    </w:p>
    <w:p>
      <w:pPr>
        <w:autoSpaceDE w:val="0"/>
        <w:autoSpaceDN w:val="0"/>
        <w:adjustRightInd w:val="0"/>
        <w:spacing w:line="360" w:lineRule="auto"/>
        <w:ind w:firstLine="359" w:firstLineChars="171"/>
        <w:jc w:val="left"/>
        <w:rPr>
          <w:rFonts w:ascii="宋体" w:hAnsi="宋体"/>
          <w:szCs w:val="21"/>
          <w:lang w:val="zh-CN"/>
        </w:rPr>
      </w:pPr>
      <w:r>
        <w:rPr>
          <w:rFonts w:ascii="宋体" w:hAnsi="宋体"/>
          <w:szCs w:val="21"/>
        </w:rPr>
        <w:t>投标人应仔细阅读招标文件的第</w:t>
      </w:r>
      <w:r>
        <w:rPr>
          <w:rFonts w:hint="eastAsia" w:ascii="宋体" w:hAnsi="宋体"/>
          <w:szCs w:val="21"/>
        </w:rPr>
        <w:t>二</w:t>
      </w:r>
      <w:r>
        <w:rPr>
          <w:rFonts w:ascii="宋体" w:hAnsi="宋体"/>
          <w:szCs w:val="21"/>
        </w:rPr>
        <w:t>章“投标人须知”，下面所列资料是对“投标人须知”的具体补充和说明。</w:t>
      </w:r>
      <w:r>
        <w:rPr>
          <w:rFonts w:ascii="宋体" w:hAnsi="宋体"/>
          <w:szCs w:val="21"/>
          <w:lang w:val="zh-CN"/>
        </w:rPr>
        <w:t>如有矛盾，应以本表为准。</w:t>
      </w:r>
    </w:p>
    <w:tbl>
      <w:tblPr>
        <w:tblStyle w:val="21"/>
        <w:tblW w:w="9159" w:type="dxa"/>
        <w:jc w:val="center"/>
        <w:tblLayout w:type="fixed"/>
        <w:tblCellMar>
          <w:top w:w="0" w:type="dxa"/>
          <w:left w:w="0" w:type="dxa"/>
          <w:bottom w:w="0" w:type="dxa"/>
          <w:right w:w="0" w:type="dxa"/>
        </w:tblCellMar>
      </w:tblPr>
      <w:tblGrid>
        <w:gridCol w:w="1136"/>
        <w:gridCol w:w="1863"/>
        <w:gridCol w:w="6160"/>
      </w:tblGrid>
      <w:tr>
        <w:tblPrEx>
          <w:tblCellMar>
            <w:top w:w="0" w:type="dxa"/>
            <w:left w:w="0" w:type="dxa"/>
            <w:bottom w:w="0" w:type="dxa"/>
            <w:right w:w="0" w:type="dxa"/>
          </w:tblCellMar>
        </w:tblPrEx>
        <w:trPr>
          <w:trHeight w:val="568" w:hRule="atLeast"/>
          <w:jc w:val="center"/>
        </w:trPr>
        <w:tc>
          <w:tcPr>
            <w:tcW w:w="1136" w:type="dxa"/>
            <w:tcBorders>
              <w:top w:val="single" w:color="auto" w:sz="12"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b/>
                <w:szCs w:val="21"/>
              </w:rPr>
            </w:pPr>
            <w:r>
              <w:rPr>
                <w:rFonts w:hint="eastAsia" w:ascii="宋体" w:hAnsi="宋体"/>
                <w:b/>
                <w:szCs w:val="21"/>
                <w:lang w:val="zh-CN"/>
              </w:rPr>
              <w:t>条款</w:t>
            </w:r>
            <w:r>
              <w:rPr>
                <w:rFonts w:ascii="宋体" w:hAnsi="宋体"/>
                <w:b/>
                <w:szCs w:val="21"/>
                <w:lang w:val="zh-CN"/>
              </w:rPr>
              <w:t>号</w:t>
            </w:r>
          </w:p>
        </w:tc>
        <w:tc>
          <w:tcPr>
            <w:tcW w:w="1863"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b/>
                <w:szCs w:val="21"/>
              </w:rPr>
            </w:pPr>
            <w:r>
              <w:rPr>
                <w:rFonts w:hint="eastAsia" w:ascii="宋体" w:hAnsi="宋体"/>
                <w:b/>
                <w:szCs w:val="21"/>
              </w:rPr>
              <w:t>条款名称</w:t>
            </w:r>
          </w:p>
        </w:tc>
        <w:tc>
          <w:tcPr>
            <w:tcW w:w="6160"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276" w:lineRule="auto"/>
              <w:jc w:val="center"/>
              <w:rPr>
                <w:rFonts w:ascii="宋体" w:hAnsi="宋体"/>
                <w:b/>
                <w:szCs w:val="21"/>
              </w:rPr>
            </w:pPr>
            <w:r>
              <w:rPr>
                <w:rFonts w:ascii="宋体" w:hAnsi="宋体"/>
                <w:b/>
                <w:szCs w:val="21"/>
                <w:lang w:val="zh-CN"/>
              </w:rPr>
              <w:t>内容</w:t>
            </w:r>
          </w:p>
        </w:tc>
      </w:tr>
      <w:tr>
        <w:tblPrEx>
          <w:tblCellMar>
            <w:top w:w="0" w:type="dxa"/>
            <w:left w:w="0" w:type="dxa"/>
            <w:bottom w:w="0" w:type="dxa"/>
            <w:right w:w="0" w:type="dxa"/>
          </w:tblCellMar>
        </w:tblPrEx>
        <w:trPr>
          <w:trHeight w:val="727" w:hRule="atLeast"/>
          <w:jc w:val="center"/>
        </w:trPr>
        <w:tc>
          <w:tcPr>
            <w:tcW w:w="1136" w:type="dxa"/>
            <w:tcBorders>
              <w:top w:val="single" w:color="auto" w:sz="12" w:space="0"/>
              <w:left w:val="single" w:color="auto" w:sz="12" w:space="0"/>
              <w:bottom w:val="single" w:color="auto" w:sz="4" w:space="0"/>
              <w:right w:val="single" w:color="auto" w:sz="4" w:space="0"/>
            </w:tcBorders>
            <w:vAlign w:val="center"/>
          </w:tcPr>
          <w:p>
            <w:pPr>
              <w:pStyle w:val="19"/>
              <w:widowControl w:val="0"/>
              <w:autoSpaceDE w:val="0"/>
              <w:autoSpaceDN w:val="0"/>
              <w:adjustRightInd w:val="0"/>
              <w:spacing w:before="0" w:beforeAutospacing="0" w:after="0" w:afterAutospacing="0" w:line="276" w:lineRule="auto"/>
              <w:jc w:val="center"/>
              <w:rPr>
                <w:rFonts w:hint="default"/>
                <w:kern w:val="2"/>
                <w:sz w:val="21"/>
                <w:szCs w:val="21"/>
                <w:lang w:val="zh-CN"/>
              </w:rPr>
            </w:pPr>
            <w:r>
              <w:rPr>
                <w:kern w:val="2"/>
                <w:sz w:val="21"/>
                <w:szCs w:val="21"/>
                <w:lang w:val="zh-CN"/>
              </w:rPr>
              <w:t>2.1</w:t>
            </w:r>
          </w:p>
        </w:tc>
        <w:tc>
          <w:tcPr>
            <w:tcW w:w="1863" w:type="dxa"/>
            <w:tcBorders>
              <w:top w:val="single" w:color="auto" w:sz="12" w:space="0"/>
              <w:left w:val="single" w:color="auto" w:sz="4" w:space="0"/>
              <w:bottom w:val="single" w:color="auto" w:sz="4" w:space="0"/>
              <w:right w:val="single" w:color="auto" w:sz="6" w:space="0"/>
            </w:tcBorders>
            <w:vAlign w:val="center"/>
          </w:tcPr>
          <w:p>
            <w:pPr>
              <w:pStyle w:val="19"/>
              <w:widowControl w:val="0"/>
              <w:autoSpaceDE w:val="0"/>
              <w:autoSpaceDN w:val="0"/>
              <w:adjustRightInd w:val="0"/>
              <w:spacing w:before="0" w:beforeAutospacing="0" w:after="0" w:afterAutospacing="0" w:line="276" w:lineRule="auto"/>
              <w:jc w:val="center"/>
              <w:rPr>
                <w:rFonts w:hint="default"/>
                <w:kern w:val="2"/>
                <w:sz w:val="21"/>
                <w:szCs w:val="21"/>
                <w:lang w:val="zh-CN"/>
              </w:rPr>
            </w:pPr>
            <w:r>
              <w:rPr>
                <w:kern w:val="2"/>
                <w:sz w:val="21"/>
                <w:szCs w:val="21"/>
                <w:lang w:val="zh-CN"/>
              </w:rPr>
              <w:t>招标人</w:t>
            </w:r>
          </w:p>
        </w:tc>
        <w:tc>
          <w:tcPr>
            <w:tcW w:w="6160" w:type="dxa"/>
            <w:tcBorders>
              <w:top w:val="single" w:color="auto" w:sz="12" w:space="0"/>
              <w:left w:val="single" w:color="auto" w:sz="6" w:space="0"/>
              <w:bottom w:val="single" w:color="auto" w:sz="4" w:space="0"/>
              <w:right w:val="single" w:color="auto" w:sz="12" w:space="0"/>
            </w:tcBorders>
            <w:vAlign w:val="center"/>
          </w:tcPr>
          <w:p>
            <w:pPr>
              <w:snapToGrid w:val="0"/>
              <w:rPr>
                <w:rFonts w:ascii="宋体"/>
                <w:color w:val="000000"/>
              </w:rPr>
            </w:pPr>
            <w:r>
              <w:rPr>
                <w:rFonts w:hint="eastAsia" w:ascii="宋体" w:hAnsi="宋体"/>
                <w:color w:val="000000"/>
              </w:rPr>
              <w:t>招  标 人：</w:t>
            </w:r>
            <w:r>
              <w:rPr>
                <w:rFonts w:hint="eastAsia" w:ascii="宋体" w:hAnsi="宋体"/>
                <w:szCs w:val="21"/>
              </w:rPr>
              <w:t>交通银行股份有限公司湖北省分行</w:t>
            </w:r>
          </w:p>
          <w:p>
            <w:pPr>
              <w:snapToGrid w:val="0"/>
              <w:rPr>
                <w:rFonts w:ascii="宋体" w:hAnsi="宋体"/>
                <w:szCs w:val="21"/>
              </w:rPr>
            </w:pPr>
            <w:r>
              <w:rPr>
                <w:rFonts w:hint="eastAsia" w:ascii="宋体" w:hAnsi="宋体"/>
                <w:color w:val="000000"/>
              </w:rPr>
              <w:t>地     址：</w:t>
            </w:r>
            <w:r>
              <w:rPr>
                <w:rFonts w:hint="eastAsia" w:ascii="宋体" w:hAnsi="宋体"/>
                <w:szCs w:val="21"/>
              </w:rPr>
              <w:t>武汉市建设大道847号瑞通广场A座</w:t>
            </w:r>
          </w:p>
          <w:p>
            <w:pPr>
              <w:snapToGrid w:val="0"/>
              <w:rPr>
                <w:rFonts w:ascii="宋体"/>
                <w:color w:val="000000"/>
                <w:highlight w:val="none"/>
              </w:rPr>
            </w:pPr>
            <w:r>
              <w:rPr>
                <w:rFonts w:hint="eastAsia" w:ascii="宋体" w:hAnsi="宋体"/>
                <w:color w:val="000000"/>
              </w:rPr>
              <w:t>联  系 人：</w:t>
            </w:r>
            <w:r>
              <w:rPr>
                <w:rFonts w:hint="eastAsia" w:hAnsi="宋体"/>
                <w:color w:val="000000"/>
                <w:kern w:val="0"/>
                <w:szCs w:val="32"/>
                <w:highlight w:val="none"/>
              </w:rPr>
              <w:t>龙先生</w:t>
            </w:r>
          </w:p>
          <w:p>
            <w:pPr>
              <w:autoSpaceDE w:val="0"/>
              <w:autoSpaceDN w:val="0"/>
              <w:adjustRightInd w:val="0"/>
              <w:rPr>
                <w:rFonts w:ascii="宋体" w:hAnsi="宋体"/>
                <w:szCs w:val="21"/>
              </w:rPr>
            </w:pPr>
            <w:r>
              <w:rPr>
                <w:rFonts w:hint="eastAsia" w:ascii="宋体" w:hAnsi="宋体"/>
                <w:color w:val="000000"/>
                <w:highlight w:val="none"/>
              </w:rPr>
              <w:t>联系电话：</w:t>
            </w:r>
            <w:r>
              <w:rPr>
                <w:rFonts w:hint="eastAsia" w:ascii="宋体" w:hAnsi="宋体"/>
                <w:szCs w:val="21"/>
                <w:highlight w:val="none"/>
              </w:rPr>
              <w:t>027-85487128</w:t>
            </w:r>
          </w:p>
        </w:tc>
      </w:tr>
      <w:tr>
        <w:tblPrEx>
          <w:tblCellMar>
            <w:top w:w="0" w:type="dxa"/>
            <w:left w:w="0" w:type="dxa"/>
            <w:bottom w:w="0" w:type="dxa"/>
            <w:right w:w="0" w:type="dxa"/>
          </w:tblCellMar>
        </w:tblPrEx>
        <w:trPr>
          <w:trHeight w:val="444"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2.3</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招标代理机构</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r>
              <w:rPr>
                <w:rFonts w:ascii="宋体" w:hAnsi="宋体"/>
                <w:szCs w:val="21"/>
              </w:rPr>
              <w:t xml:space="preserve">代理机构：湖北省成套招标股份有限公司                </w:t>
            </w:r>
          </w:p>
          <w:p>
            <w:pPr>
              <w:autoSpaceDE w:val="0"/>
              <w:autoSpaceDN w:val="0"/>
              <w:adjustRightInd w:val="0"/>
              <w:rPr>
                <w:rFonts w:ascii="宋体" w:hAnsi="宋体"/>
                <w:szCs w:val="21"/>
              </w:rPr>
            </w:pPr>
            <w:r>
              <w:rPr>
                <w:rFonts w:ascii="宋体" w:hAnsi="宋体"/>
                <w:szCs w:val="21"/>
              </w:rPr>
              <w:t>邮    编：430071</w:t>
            </w:r>
          </w:p>
          <w:p>
            <w:pPr>
              <w:autoSpaceDE w:val="0"/>
              <w:autoSpaceDN w:val="0"/>
              <w:adjustRightInd w:val="0"/>
              <w:rPr>
                <w:rFonts w:ascii="宋体" w:hAnsi="宋体"/>
                <w:szCs w:val="21"/>
              </w:rPr>
            </w:pPr>
            <w:r>
              <w:rPr>
                <w:rFonts w:ascii="宋体" w:hAnsi="宋体"/>
                <w:szCs w:val="21"/>
              </w:rPr>
              <w:t>地    址：武汉市武昌区东湖西路平安财富中心B座10楼（东湖大厦正对面）</w:t>
            </w:r>
          </w:p>
          <w:p>
            <w:r>
              <w:rPr>
                <w:rFonts w:hint="eastAsia" w:ascii="宋体" w:hAnsi="宋体"/>
                <w:szCs w:val="21"/>
              </w:rPr>
              <w:t>联 系 人：高卫星、李勇</w:t>
            </w:r>
          </w:p>
          <w:p>
            <w:r>
              <w:rPr>
                <w:rFonts w:hint="eastAsia" w:ascii="宋体" w:hAnsi="宋体"/>
                <w:szCs w:val="21"/>
              </w:rPr>
              <w:t xml:space="preserve">电    话：18986205159                   </w:t>
            </w:r>
          </w:p>
          <w:p>
            <w:pPr>
              <w:rPr>
                <w:rFonts w:ascii="宋体" w:hAnsi="宋体"/>
                <w:szCs w:val="21"/>
              </w:rPr>
            </w:pPr>
            <w:r>
              <w:rPr>
                <w:rFonts w:hint="eastAsia" w:ascii="宋体" w:hAnsi="宋体"/>
                <w:szCs w:val="21"/>
              </w:rPr>
              <w:t>邮    箱：272753234@qq.com</w:t>
            </w:r>
          </w:p>
        </w:tc>
      </w:tr>
      <w:tr>
        <w:tblPrEx>
          <w:tblCellMar>
            <w:top w:w="0" w:type="dxa"/>
            <w:left w:w="0" w:type="dxa"/>
            <w:bottom w:w="0" w:type="dxa"/>
            <w:right w:w="0" w:type="dxa"/>
          </w:tblCellMar>
        </w:tblPrEx>
        <w:trPr>
          <w:trHeight w:val="444" w:hRule="atLeast"/>
          <w:jc w:val="center"/>
        </w:trPr>
        <w:tc>
          <w:tcPr>
            <w:tcW w:w="1136" w:type="dxa"/>
            <w:tcBorders>
              <w:top w:val="single" w:color="auto" w:sz="6" w:space="0"/>
              <w:left w:val="single" w:color="auto" w:sz="12" w:space="0"/>
              <w:bottom w:val="single" w:color="auto" w:sz="4" w:space="0"/>
              <w:right w:val="single" w:color="auto" w:sz="4" w:space="0"/>
            </w:tcBorders>
            <w:vAlign w:val="center"/>
          </w:tcPr>
          <w:p>
            <w:pPr>
              <w:pStyle w:val="19"/>
              <w:widowControl w:val="0"/>
              <w:autoSpaceDE w:val="0"/>
              <w:autoSpaceDN w:val="0"/>
              <w:adjustRightInd w:val="0"/>
              <w:spacing w:before="0" w:beforeAutospacing="0" w:after="0" w:afterAutospacing="0" w:line="276" w:lineRule="auto"/>
              <w:jc w:val="center"/>
              <w:rPr>
                <w:rFonts w:hint="default"/>
                <w:kern w:val="2"/>
                <w:sz w:val="21"/>
                <w:szCs w:val="21"/>
                <w:lang w:val="zh-CN"/>
              </w:rPr>
            </w:pPr>
            <w:r>
              <w:rPr>
                <w:kern w:val="2"/>
                <w:sz w:val="21"/>
                <w:szCs w:val="21"/>
                <w:lang w:val="zh-CN"/>
              </w:rPr>
              <w:t>2.4</w:t>
            </w:r>
          </w:p>
        </w:tc>
        <w:tc>
          <w:tcPr>
            <w:tcW w:w="1863" w:type="dxa"/>
            <w:tcBorders>
              <w:top w:val="single" w:color="auto" w:sz="6" w:space="0"/>
              <w:left w:val="single" w:color="auto" w:sz="4" w:space="0"/>
              <w:bottom w:val="single" w:color="auto" w:sz="4" w:space="0"/>
              <w:right w:val="single" w:color="auto" w:sz="6" w:space="0"/>
            </w:tcBorders>
            <w:vAlign w:val="center"/>
          </w:tcPr>
          <w:p>
            <w:pPr>
              <w:pStyle w:val="19"/>
              <w:widowControl w:val="0"/>
              <w:autoSpaceDE w:val="0"/>
              <w:autoSpaceDN w:val="0"/>
              <w:adjustRightInd w:val="0"/>
              <w:spacing w:before="0" w:beforeAutospacing="0" w:after="0" w:afterAutospacing="0" w:line="276" w:lineRule="auto"/>
              <w:jc w:val="center"/>
              <w:rPr>
                <w:rFonts w:hint="default"/>
                <w:kern w:val="2"/>
                <w:sz w:val="21"/>
                <w:szCs w:val="21"/>
                <w:lang w:val="zh-CN"/>
              </w:rPr>
            </w:pPr>
            <w:r>
              <w:rPr>
                <w:rFonts w:cs="宋体"/>
                <w:snapToGrid w:val="0"/>
                <w:sz w:val="21"/>
                <w:szCs w:val="21"/>
                <w:lang w:val="zh-CN"/>
              </w:rPr>
              <w:t>合格的投标人</w:t>
            </w:r>
          </w:p>
        </w:tc>
        <w:tc>
          <w:tcPr>
            <w:tcW w:w="6160" w:type="dxa"/>
            <w:tcBorders>
              <w:top w:val="single" w:color="auto" w:sz="6" w:space="0"/>
              <w:left w:val="single" w:color="auto" w:sz="6" w:space="0"/>
              <w:bottom w:val="single" w:color="auto" w:sz="4" w:space="0"/>
              <w:right w:val="single" w:color="auto" w:sz="12" w:space="0"/>
            </w:tcBorders>
            <w:vAlign w:val="center"/>
          </w:tcPr>
          <w:p>
            <w:pPr>
              <w:pStyle w:val="19"/>
              <w:widowControl w:val="0"/>
              <w:autoSpaceDE w:val="0"/>
              <w:autoSpaceDN w:val="0"/>
              <w:adjustRightInd w:val="0"/>
              <w:spacing w:before="0" w:beforeAutospacing="0" w:after="0" w:afterAutospacing="0" w:line="276" w:lineRule="auto"/>
              <w:rPr>
                <w:rFonts w:hint="default"/>
                <w:kern w:val="2"/>
                <w:sz w:val="21"/>
                <w:szCs w:val="21"/>
                <w:lang w:val="zh-CN"/>
              </w:rPr>
            </w:pPr>
            <w:r>
              <w:rPr>
                <w:sz w:val="21"/>
                <w:szCs w:val="21"/>
                <w:lang w:val="zh-CN"/>
              </w:rPr>
              <w:t>特定资格要求：详见</w:t>
            </w:r>
            <w:r>
              <w:rPr>
                <w:sz w:val="21"/>
                <w:szCs w:val="21"/>
              </w:rPr>
              <w:t>第一章第二条投标资格要求的相关内容</w:t>
            </w:r>
          </w:p>
        </w:tc>
      </w:tr>
      <w:tr>
        <w:tblPrEx>
          <w:tblCellMar>
            <w:top w:w="0" w:type="dxa"/>
            <w:left w:w="0" w:type="dxa"/>
            <w:bottom w:w="0" w:type="dxa"/>
            <w:right w:w="0" w:type="dxa"/>
          </w:tblCellMar>
        </w:tblPrEx>
        <w:trPr>
          <w:trHeight w:val="77" w:hRule="atLeast"/>
          <w:jc w:val="center"/>
        </w:trPr>
        <w:tc>
          <w:tcPr>
            <w:tcW w:w="1136"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4.2</w:t>
            </w: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招标代理服务费</w:t>
            </w:r>
          </w:p>
        </w:tc>
        <w:tc>
          <w:tcPr>
            <w:tcW w:w="6160" w:type="dxa"/>
            <w:tcBorders>
              <w:top w:val="single" w:color="auto" w:sz="4" w:space="0"/>
              <w:left w:val="single" w:color="auto" w:sz="4" w:space="0"/>
              <w:bottom w:val="single" w:color="auto" w:sz="4" w:space="0"/>
              <w:right w:val="single" w:color="auto" w:sz="12" w:space="0"/>
            </w:tcBorders>
            <w:vAlign w:val="center"/>
          </w:tcPr>
          <w:p>
            <w:pPr>
              <w:spacing w:line="276" w:lineRule="auto"/>
              <w:rPr>
                <w:rFonts w:ascii="宋体" w:hAnsi="宋体" w:cs="Arial"/>
                <w:kern w:val="0"/>
                <w:sz w:val="24"/>
              </w:rPr>
            </w:pPr>
            <w:r>
              <w:rPr>
                <w:rFonts w:hint="eastAsia" w:ascii="宋体" w:hAnsi="宋体"/>
                <w:szCs w:val="21"/>
              </w:rPr>
              <w:t>经与招标人协商，参照国家发展与改革委员会办公厅发改办价格[2003]857号文的规定，本项目收取代理费用4000.00元/家，由入围单位在领取入围通知书时一次性向代理机构支付。</w:t>
            </w:r>
          </w:p>
        </w:tc>
      </w:tr>
      <w:tr>
        <w:tblPrEx>
          <w:tblCellMar>
            <w:top w:w="0" w:type="dxa"/>
            <w:left w:w="0" w:type="dxa"/>
            <w:bottom w:w="0" w:type="dxa"/>
            <w:right w:w="0" w:type="dxa"/>
          </w:tblCellMar>
        </w:tblPrEx>
        <w:trPr>
          <w:trHeight w:val="77" w:hRule="atLeast"/>
          <w:jc w:val="center"/>
        </w:trPr>
        <w:tc>
          <w:tcPr>
            <w:tcW w:w="1136"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6.2</w:t>
            </w: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s="宋体"/>
                <w:snapToGrid w:val="0"/>
                <w:kern w:val="0"/>
                <w:szCs w:val="21"/>
                <w:lang w:val="zh-CN"/>
              </w:rPr>
            </w:pPr>
            <w:r>
              <w:rPr>
                <w:rFonts w:hint="eastAsia" w:ascii="宋体" w:hAnsi="宋体" w:cs="宋体"/>
                <w:snapToGrid w:val="0"/>
                <w:kern w:val="0"/>
                <w:szCs w:val="21"/>
                <w:lang w:val="zh-CN"/>
              </w:rPr>
              <w:t>提出疑问截止时间及答疑方式及答疑时间</w:t>
            </w:r>
          </w:p>
        </w:tc>
        <w:tc>
          <w:tcPr>
            <w:tcW w:w="616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76" w:lineRule="auto"/>
              <w:rPr>
                <w:rFonts w:ascii="宋体" w:hAnsi="宋体"/>
                <w:szCs w:val="21"/>
              </w:rPr>
            </w:pPr>
            <w:r>
              <w:rPr>
                <w:rFonts w:hint="eastAsia" w:ascii="宋体" w:hAnsi="宋体"/>
                <w:szCs w:val="21"/>
              </w:rPr>
              <w:t>提疑截止时间：截止报名时间</w:t>
            </w:r>
          </w:p>
          <w:p>
            <w:pPr>
              <w:autoSpaceDE w:val="0"/>
              <w:autoSpaceDN w:val="0"/>
              <w:adjustRightInd w:val="0"/>
              <w:spacing w:line="276" w:lineRule="auto"/>
              <w:rPr>
                <w:rFonts w:ascii="宋体" w:hAnsi="宋体"/>
                <w:szCs w:val="21"/>
              </w:rPr>
            </w:pPr>
            <w:r>
              <w:rPr>
                <w:rFonts w:hint="eastAsia" w:ascii="宋体" w:hAnsi="宋体" w:cs="宋体"/>
                <w:snapToGrid w:val="0"/>
                <w:kern w:val="0"/>
                <w:szCs w:val="21"/>
                <w:lang w:val="zh-CN"/>
              </w:rPr>
              <w:t>答疑方式：</w:t>
            </w:r>
            <w:r>
              <w:rPr>
                <w:rFonts w:hint="eastAsia" w:ascii="宋体" w:hAnsi="宋体"/>
                <w:szCs w:val="21"/>
              </w:rPr>
              <w:t>在中国招标投标公共服务平台</w:t>
            </w:r>
            <w:r>
              <w:rPr>
                <w:rFonts w:ascii="宋体" w:hAnsi="宋体"/>
                <w:szCs w:val="21"/>
              </w:rPr>
              <w:t>网</w:t>
            </w:r>
            <w:r>
              <w:rPr>
                <w:rFonts w:hint="eastAsia" w:ascii="宋体" w:hAnsi="宋体"/>
                <w:szCs w:val="21"/>
              </w:rPr>
              <w:t>上发布答疑文件</w:t>
            </w:r>
          </w:p>
          <w:p>
            <w:pPr>
              <w:autoSpaceDE w:val="0"/>
              <w:autoSpaceDN w:val="0"/>
              <w:adjustRightInd w:val="0"/>
              <w:spacing w:line="276" w:lineRule="auto"/>
              <w:rPr>
                <w:rFonts w:ascii="宋体" w:hAnsi="宋体"/>
                <w:kern w:val="0"/>
              </w:rPr>
            </w:pPr>
            <w:r>
              <w:rPr>
                <w:rFonts w:hint="eastAsia" w:ascii="宋体" w:hAnsi="宋体" w:cs="宋体"/>
                <w:snapToGrid w:val="0"/>
                <w:kern w:val="0"/>
                <w:szCs w:val="21"/>
                <w:lang w:val="zh-CN"/>
              </w:rPr>
              <w:t>答疑时间：</w:t>
            </w:r>
            <w:r>
              <w:rPr>
                <w:rFonts w:hint="eastAsia" w:ascii="宋体" w:hAnsi="宋体"/>
                <w:szCs w:val="21"/>
              </w:rPr>
              <w:t>投标截止时间15日之前</w:t>
            </w:r>
          </w:p>
        </w:tc>
      </w:tr>
      <w:tr>
        <w:tblPrEx>
          <w:tblCellMar>
            <w:top w:w="0" w:type="dxa"/>
            <w:left w:w="0" w:type="dxa"/>
            <w:bottom w:w="0" w:type="dxa"/>
            <w:right w:w="0" w:type="dxa"/>
          </w:tblCellMar>
        </w:tblPrEx>
        <w:trPr>
          <w:trHeight w:val="77" w:hRule="atLeast"/>
          <w:jc w:val="center"/>
        </w:trPr>
        <w:tc>
          <w:tcPr>
            <w:tcW w:w="1136"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7.1</w:t>
            </w: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s="宋体"/>
                <w:snapToGrid w:val="0"/>
                <w:kern w:val="0"/>
                <w:szCs w:val="21"/>
                <w:lang w:val="zh-CN"/>
              </w:rPr>
            </w:pPr>
            <w:r>
              <w:rPr>
                <w:rFonts w:hint="eastAsia" w:ascii="宋体" w:hAnsi="宋体" w:cs="宋体"/>
                <w:snapToGrid w:val="0"/>
                <w:kern w:val="0"/>
                <w:szCs w:val="21"/>
                <w:lang w:val="zh-CN"/>
              </w:rPr>
              <w:t>修改方式及修改文件发布时间</w:t>
            </w:r>
          </w:p>
        </w:tc>
        <w:tc>
          <w:tcPr>
            <w:tcW w:w="616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76" w:lineRule="auto"/>
              <w:rPr>
                <w:rFonts w:ascii="宋体" w:hAnsi="宋体"/>
                <w:szCs w:val="21"/>
              </w:rPr>
            </w:pPr>
            <w:r>
              <w:rPr>
                <w:rFonts w:hint="eastAsia" w:ascii="宋体" w:hAnsi="宋体" w:cs="宋体"/>
                <w:snapToGrid w:val="0"/>
                <w:kern w:val="0"/>
                <w:szCs w:val="21"/>
                <w:lang w:val="zh-CN"/>
              </w:rPr>
              <w:t>方式：</w:t>
            </w:r>
            <w:r>
              <w:rPr>
                <w:rFonts w:hint="eastAsia" w:ascii="宋体" w:hAnsi="宋体"/>
                <w:szCs w:val="21"/>
              </w:rPr>
              <w:t>在中国招标投标公共服务平台发布修改文件</w:t>
            </w:r>
          </w:p>
          <w:p>
            <w:pPr>
              <w:autoSpaceDE w:val="0"/>
              <w:autoSpaceDN w:val="0"/>
              <w:adjustRightInd w:val="0"/>
              <w:spacing w:line="276" w:lineRule="auto"/>
              <w:rPr>
                <w:rFonts w:ascii="宋体" w:hAnsi="宋体"/>
                <w:szCs w:val="21"/>
                <w:u w:val="single"/>
              </w:rPr>
            </w:pPr>
            <w:r>
              <w:rPr>
                <w:rFonts w:hint="eastAsia" w:ascii="宋体" w:hAnsi="宋体" w:cs="宋体"/>
                <w:snapToGrid w:val="0"/>
                <w:kern w:val="0"/>
                <w:szCs w:val="21"/>
                <w:lang w:val="zh-CN"/>
              </w:rPr>
              <w:t>时间：</w:t>
            </w:r>
            <w:r>
              <w:rPr>
                <w:rFonts w:hint="eastAsia" w:ascii="宋体" w:hAnsi="宋体"/>
                <w:szCs w:val="21"/>
              </w:rPr>
              <w:t>投标截止时间15日之前</w:t>
            </w:r>
          </w:p>
        </w:tc>
      </w:tr>
      <w:tr>
        <w:tblPrEx>
          <w:tblCellMar>
            <w:top w:w="0" w:type="dxa"/>
            <w:left w:w="0" w:type="dxa"/>
            <w:bottom w:w="0" w:type="dxa"/>
            <w:right w:w="0" w:type="dxa"/>
          </w:tblCellMar>
        </w:tblPrEx>
        <w:trPr>
          <w:trHeight w:val="77" w:hRule="atLeast"/>
          <w:jc w:val="center"/>
        </w:trPr>
        <w:tc>
          <w:tcPr>
            <w:tcW w:w="1136"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9.1</w:t>
            </w: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s="宋体"/>
                <w:snapToGrid w:val="0"/>
                <w:kern w:val="0"/>
                <w:szCs w:val="21"/>
                <w:lang w:val="zh-CN"/>
              </w:rPr>
            </w:pPr>
            <w:r>
              <w:rPr>
                <w:rFonts w:hint="eastAsia" w:ascii="宋体" w:hAnsi="宋体" w:cs="宋体"/>
                <w:snapToGrid w:val="0"/>
                <w:kern w:val="0"/>
                <w:szCs w:val="21"/>
                <w:lang w:val="zh-CN"/>
              </w:rPr>
              <w:t>招标文件中要求提供的其他资料</w:t>
            </w:r>
          </w:p>
        </w:tc>
        <w:tc>
          <w:tcPr>
            <w:tcW w:w="616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76" w:lineRule="auto"/>
              <w:jc w:val="left"/>
              <w:rPr>
                <w:rFonts w:ascii="宋体" w:hAnsi="宋体"/>
                <w:szCs w:val="21"/>
                <w:lang w:val="zh-CN"/>
              </w:rPr>
            </w:pPr>
            <w:r>
              <w:rPr>
                <w:rFonts w:hint="eastAsia" w:ascii="宋体" w:hAnsi="宋体"/>
                <w:szCs w:val="21"/>
                <w:lang w:val="zh-CN"/>
              </w:rPr>
              <w:t>/</w:t>
            </w:r>
          </w:p>
        </w:tc>
      </w:tr>
      <w:tr>
        <w:tblPrEx>
          <w:tblCellMar>
            <w:top w:w="0" w:type="dxa"/>
            <w:left w:w="0" w:type="dxa"/>
            <w:bottom w:w="0" w:type="dxa"/>
            <w:right w:w="0" w:type="dxa"/>
          </w:tblCellMar>
        </w:tblPrEx>
        <w:trPr>
          <w:cantSplit/>
          <w:trHeight w:val="77" w:hRule="atLeast"/>
          <w:jc w:val="center"/>
        </w:trPr>
        <w:tc>
          <w:tcPr>
            <w:tcW w:w="1136" w:type="dxa"/>
            <w:tcBorders>
              <w:top w:val="single" w:color="auto" w:sz="4" w:space="0"/>
              <w:left w:val="single" w:color="auto" w:sz="12"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10.4</w:t>
            </w:r>
          </w:p>
        </w:tc>
        <w:tc>
          <w:tcPr>
            <w:tcW w:w="1863" w:type="dxa"/>
            <w:tcBorders>
              <w:top w:val="single" w:color="auto" w:sz="4" w:space="0"/>
              <w:left w:val="single" w:color="auto" w:sz="4"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对多包投标的规定</w:t>
            </w:r>
          </w:p>
        </w:tc>
        <w:tc>
          <w:tcPr>
            <w:tcW w:w="6160" w:type="dxa"/>
            <w:tcBorders>
              <w:top w:val="single" w:color="auto" w:sz="4" w:space="0"/>
              <w:left w:val="single" w:color="auto" w:sz="6" w:space="0"/>
              <w:right w:val="single" w:color="auto" w:sz="12" w:space="0"/>
            </w:tcBorders>
            <w:vAlign w:val="center"/>
          </w:tcPr>
          <w:p>
            <w:pPr>
              <w:autoSpaceDE w:val="0"/>
              <w:autoSpaceDN w:val="0"/>
              <w:adjustRightInd w:val="0"/>
              <w:spacing w:line="276" w:lineRule="auto"/>
              <w:rPr>
                <w:rFonts w:ascii="宋体" w:hAnsi="宋体"/>
                <w:szCs w:val="21"/>
                <w:lang w:val="zh-CN"/>
              </w:rPr>
            </w:pPr>
            <w:r>
              <w:rPr>
                <w:rFonts w:hint="eastAsia" w:ascii="宋体" w:hAnsi="宋体"/>
                <w:szCs w:val="21"/>
                <w:lang w:val="zh-CN"/>
              </w:rPr>
              <w:t>规定：</w:t>
            </w:r>
            <w:r>
              <w:rPr>
                <w:rFonts w:hint="eastAsia" w:ascii="宋体" w:hAnsi="宋体"/>
                <w:szCs w:val="21"/>
              </w:rPr>
              <w:t>无</w:t>
            </w:r>
          </w:p>
        </w:tc>
      </w:tr>
      <w:tr>
        <w:tblPrEx>
          <w:tblCellMar>
            <w:top w:w="0" w:type="dxa"/>
            <w:left w:w="0" w:type="dxa"/>
            <w:bottom w:w="0" w:type="dxa"/>
            <w:right w:w="0" w:type="dxa"/>
          </w:tblCellMar>
        </w:tblPrEx>
        <w:trPr>
          <w:trHeight w:val="132"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12.1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备选方案</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276" w:lineRule="auto"/>
              <w:jc w:val="left"/>
              <w:rPr>
                <w:rFonts w:ascii="宋体" w:hAnsi="宋体"/>
                <w:szCs w:val="21"/>
              </w:rPr>
            </w:pPr>
            <w:r>
              <w:rPr>
                <w:rFonts w:ascii="宋体" w:hAnsi="宋体"/>
                <w:szCs w:val="21"/>
                <w:lang w:val="zh-CN"/>
              </w:rPr>
              <w:t>备选方案：</w:t>
            </w:r>
            <w:r>
              <w:rPr>
                <w:rFonts w:hint="eastAsia" w:ascii="宋体" w:hAnsi="宋体"/>
                <w:szCs w:val="21"/>
                <w:lang w:val="zh-CN"/>
              </w:rPr>
              <w:t>本次招标</w:t>
            </w:r>
            <w:r>
              <w:rPr>
                <w:rFonts w:hint="eastAsia" w:ascii="宋体" w:hAnsi="宋体"/>
                <w:szCs w:val="21"/>
                <w:u w:val="single"/>
                <w:lang w:val="zh-CN"/>
              </w:rPr>
              <w:t xml:space="preserve">  不接受 </w:t>
            </w:r>
            <w:r>
              <w:rPr>
                <w:rFonts w:hint="eastAsia" w:ascii="宋体" w:hAnsi="宋体"/>
                <w:szCs w:val="21"/>
                <w:lang w:val="zh-CN"/>
              </w:rPr>
              <w:t>备选方案。</w:t>
            </w:r>
          </w:p>
        </w:tc>
      </w:tr>
      <w:tr>
        <w:tblPrEx>
          <w:tblCellMar>
            <w:top w:w="0" w:type="dxa"/>
            <w:left w:w="0" w:type="dxa"/>
            <w:bottom w:w="0" w:type="dxa"/>
            <w:right w:w="0" w:type="dxa"/>
          </w:tblCellMar>
        </w:tblPrEx>
        <w:trPr>
          <w:trHeight w:val="308" w:hRule="atLeast"/>
          <w:jc w:val="center"/>
        </w:trPr>
        <w:tc>
          <w:tcPr>
            <w:tcW w:w="1136" w:type="dxa"/>
            <w:tcBorders>
              <w:top w:val="single" w:color="auto" w:sz="6" w:space="0"/>
              <w:left w:val="single" w:color="auto" w:sz="12"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13.1</w:t>
            </w:r>
          </w:p>
        </w:tc>
        <w:tc>
          <w:tcPr>
            <w:tcW w:w="1863" w:type="dxa"/>
            <w:tcBorders>
              <w:top w:val="single" w:color="auto" w:sz="6" w:space="0"/>
              <w:left w:val="single" w:color="auto" w:sz="4"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联合体</w:t>
            </w:r>
          </w:p>
        </w:tc>
        <w:tc>
          <w:tcPr>
            <w:tcW w:w="6160" w:type="dxa"/>
            <w:tcBorders>
              <w:top w:val="single" w:color="auto" w:sz="6" w:space="0"/>
              <w:left w:val="single" w:color="auto" w:sz="6" w:space="0"/>
              <w:right w:val="single" w:color="auto" w:sz="12" w:space="0"/>
            </w:tcBorders>
            <w:vAlign w:val="center"/>
          </w:tcPr>
          <w:p>
            <w:pPr>
              <w:spacing w:line="276" w:lineRule="auto"/>
              <w:rPr>
                <w:rFonts w:ascii="宋体" w:hAnsi="宋体"/>
                <w:szCs w:val="21"/>
                <w:lang w:val="zh-CN"/>
              </w:rPr>
            </w:pPr>
            <w:r>
              <w:rPr>
                <w:rFonts w:hint="eastAsia" w:ascii="宋体" w:hAnsi="宋体"/>
                <w:szCs w:val="21"/>
                <w:lang w:val="zh-CN"/>
              </w:rPr>
              <w:t>本次招标</w:t>
            </w:r>
            <w:r>
              <w:rPr>
                <w:rFonts w:hint="eastAsia" w:ascii="宋体" w:hAnsi="宋体"/>
                <w:szCs w:val="21"/>
                <w:u w:val="single"/>
                <w:lang w:val="zh-CN"/>
              </w:rPr>
              <w:t xml:space="preserve">  不接受 </w:t>
            </w:r>
            <w:r>
              <w:rPr>
                <w:rFonts w:hint="eastAsia" w:ascii="宋体" w:hAnsi="宋体"/>
                <w:szCs w:val="21"/>
                <w:lang w:val="zh-CN"/>
              </w:rPr>
              <w:t>联合体投标。</w:t>
            </w:r>
          </w:p>
        </w:tc>
      </w:tr>
      <w:tr>
        <w:tblPrEx>
          <w:tblCellMar>
            <w:top w:w="0" w:type="dxa"/>
            <w:left w:w="0" w:type="dxa"/>
            <w:bottom w:w="0" w:type="dxa"/>
            <w:right w:w="0" w:type="dxa"/>
          </w:tblCellMar>
        </w:tblPrEx>
        <w:trPr>
          <w:trHeight w:val="409"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14.1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应提交的其它资格证明文件</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276" w:lineRule="auto"/>
              <w:rPr>
                <w:rFonts w:ascii="宋体" w:hAnsi="宋体"/>
                <w:szCs w:val="21"/>
                <w:lang w:val="zh-CN"/>
              </w:rPr>
            </w:pPr>
            <w:r>
              <w:rPr>
                <w:rFonts w:hint="eastAsia" w:ascii="宋体" w:hAnsi="宋体" w:cs="宋体"/>
                <w:snapToGrid w:val="0"/>
                <w:kern w:val="0"/>
                <w:szCs w:val="21"/>
                <w:lang w:val="zh-CN"/>
              </w:rPr>
              <w:t>应提交的其它资格证明文件</w:t>
            </w:r>
            <w:r>
              <w:rPr>
                <w:rFonts w:hint="eastAsia" w:ascii="宋体" w:hAnsi="宋体"/>
                <w:szCs w:val="21"/>
                <w:lang w:val="zh-CN"/>
              </w:rPr>
              <w:t>：</w:t>
            </w:r>
          </w:p>
          <w:p>
            <w:pPr>
              <w:numPr>
                <w:ilvl w:val="0"/>
                <w:numId w:val="7"/>
              </w:numPr>
              <w:autoSpaceDE w:val="0"/>
              <w:autoSpaceDN w:val="0"/>
              <w:adjustRightInd w:val="0"/>
              <w:spacing w:line="276" w:lineRule="auto"/>
              <w:rPr>
                <w:rFonts w:ascii="宋体" w:hAnsi="宋体"/>
                <w:szCs w:val="21"/>
                <w:lang w:val="zh-CN"/>
              </w:rPr>
            </w:pPr>
            <w:r>
              <w:rPr>
                <w:rFonts w:hint="eastAsia" w:ascii="宋体" w:hAnsi="宋体"/>
                <w:szCs w:val="21"/>
                <w:lang w:val="zh-CN"/>
              </w:rPr>
              <w:t>营业执照</w:t>
            </w:r>
            <w:r>
              <w:rPr>
                <w:rFonts w:hint="eastAsia" w:ascii="宋体" w:hAnsi="宋体"/>
                <w:szCs w:val="21"/>
              </w:rPr>
              <w:t>或律师事务所执业许可证复印件等；</w:t>
            </w:r>
          </w:p>
          <w:p>
            <w:pPr>
              <w:numPr>
                <w:ilvl w:val="0"/>
                <w:numId w:val="7"/>
              </w:numPr>
              <w:autoSpaceDE w:val="0"/>
              <w:autoSpaceDN w:val="0"/>
              <w:adjustRightInd w:val="0"/>
              <w:spacing w:line="276" w:lineRule="auto"/>
              <w:rPr>
                <w:rFonts w:ascii="宋体" w:hAnsi="宋体"/>
                <w:szCs w:val="21"/>
                <w:lang w:val="zh-CN"/>
              </w:rPr>
            </w:pPr>
            <w:r>
              <w:rPr>
                <w:rFonts w:hint="eastAsia" w:ascii="宋体" w:hAnsi="宋体"/>
                <w:szCs w:val="21"/>
                <w:lang w:val="zh-CN"/>
              </w:rPr>
              <w:t>投标人认为应该提交的</w:t>
            </w:r>
            <w:r>
              <w:rPr>
                <w:rFonts w:hint="eastAsia" w:ascii="宋体" w:hAnsi="宋体" w:cs="宋体"/>
                <w:snapToGrid w:val="0"/>
                <w:kern w:val="0"/>
                <w:szCs w:val="21"/>
                <w:lang w:val="zh-CN"/>
              </w:rPr>
              <w:t>其它资格证明文件；</w:t>
            </w:r>
          </w:p>
        </w:tc>
      </w:tr>
      <w:tr>
        <w:tblPrEx>
          <w:tblCellMar>
            <w:top w:w="0" w:type="dxa"/>
            <w:left w:w="0" w:type="dxa"/>
            <w:bottom w:w="0" w:type="dxa"/>
            <w:right w:w="0" w:type="dxa"/>
          </w:tblCellMar>
        </w:tblPrEx>
        <w:trPr>
          <w:trHeight w:val="65"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15.1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证明投标内容符合招标文件要求的文件和招标文件规定的其他资料</w:t>
            </w:r>
          </w:p>
        </w:tc>
        <w:tc>
          <w:tcPr>
            <w:tcW w:w="6160"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宋体" w:hAnsi="宋体"/>
                <w:szCs w:val="21"/>
              </w:rPr>
            </w:pPr>
            <w:r>
              <w:rPr>
                <w:rFonts w:hint="eastAsia" w:ascii="宋体" w:hAnsi="宋体"/>
                <w:szCs w:val="21"/>
                <w:lang w:val="zh-CN"/>
              </w:rPr>
              <w:t>详见第六章相关内容</w:t>
            </w:r>
          </w:p>
        </w:tc>
      </w:tr>
      <w:tr>
        <w:tblPrEx>
          <w:tblCellMar>
            <w:top w:w="0" w:type="dxa"/>
            <w:left w:w="0" w:type="dxa"/>
            <w:bottom w:w="0" w:type="dxa"/>
            <w:right w:w="0" w:type="dxa"/>
          </w:tblCellMar>
        </w:tblPrEx>
        <w:trPr>
          <w:trHeight w:val="65"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16.1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napToGrid w:val="0"/>
                <w:kern w:val="0"/>
                <w:szCs w:val="21"/>
                <w:lang w:val="zh-CN"/>
              </w:rPr>
            </w:pPr>
            <w:r>
              <w:rPr>
                <w:rFonts w:hint="eastAsia" w:ascii="宋体" w:hAnsi="宋体" w:cs="宋体"/>
                <w:snapToGrid w:val="0"/>
                <w:kern w:val="0"/>
                <w:szCs w:val="21"/>
                <w:lang w:val="zh-CN"/>
              </w:rPr>
              <w:t>保证金</w:t>
            </w:r>
          </w:p>
        </w:tc>
        <w:tc>
          <w:tcPr>
            <w:tcW w:w="6160" w:type="dxa"/>
            <w:tcBorders>
              <w:top w:val="single" w:color="auto" w:sz="6" w:space="0"/>
              <w:left w:val="single" w:color="auto" w:sz="6" w:space="0"/>
              <w:bottom w:val="single" w:color="auto" w:sz="6" w:space="0"/>
              <w:right w:val="single" w:color="auto" w:sz="12" w:space="0"/>
            </w:tcBorders>
            <w:vAlign w:val="center"/>
          </w:tcPr>
          <w:p>
            <w:pPr>
              <w:spacing w:line="320" w:lineRule="exact"/>
              <w:rPr>
                <w:rFonts w:hAnsi="宋体"/>
                <w:lang w:val="zh-CN"/>
              </w:rPr>
            </w:pPr>
            <w:r>
              <w:rPr>
                <w:rFonts w:hint="eastAsia" w:hAnsi="宋体"/>
                <w:lang w:val="zh-CN"/>
              </w:rPr>
              <w:t>本项目须提交投标保证金。</w:t>
            </w:r>
          </w:p>
          <w:p>
            <w:pPr>
              <w:spacing w:line="320" w:lineRule="exact"/>
              <w:rPr>
                <w:rFonts w:hAnsi="宋体"/>
                <w:lang w:val="zh-CN"/>
              </w:rPr>
            </w:pPr>
            <w:r>
              <w:rPr>
                <w:rFonts w:hint="eastAsia" w:hAnsi="宋体"/>
                <w:lang w:val="zh-CN"/>
              </w:rPr>
              <w:t>投标保证金递交形式：</w:t>
            </w:r>
          </w:p>
          <w:p>
            <w:pPr>
              <w:pStyle w:val="45"/>
              <w:numPr>
                <w:ilvl w:val="1"/>
                <w:numId w:val="2"/>
              </w:numPr>
              <w:spacing w:line="320" w:lineRule="exact"/>
              <w:ind w:firstLineChars="0"/>
              <w:rPr>
                <w:rFonts w:hAnsi="宋体"/>
                <w:lang w:val="zh-CN"/>
              </w:rPr>
            </w:pPr>
            <w:r>
              <w:rPr>
                <w:rFonts w:hint="eastAsia" w:hAnsi="宋体"/>
                <w:lang w:val="zh-CN"/>
              </w:rPr>
              <w:t>形式：电汇、现金。</w:t>
            </w:r>
          </w:p>
          <w:p>
            <w:pPr>
              <w:pStyle w:val="45"/>
              <w:numPr>
                <w:ilvl w:val="1"/>
                <w:numId w:val="2"/>
              </w:numPr>
              <w:spacing w:line="320" w:lineRule="exact"/>
              <w:ind w:firstLineChars="0"/>
              <w:rPr>
                <w:rFonts w:hAnsi="宋体"/>
                <w:lang w:val="zh-CN"/>
              </w:rPr>
            </w:pPr>
            <w:r>
              <w:rPr>
                <w:rFonts w:hint="eastAsia" w:hAnsi="宋体"/>
                <w:lang w:val="zh-CN"/>
              </w:rPr>
              <w:t>本项目投标保证金金额：</w:t>
            </w:r>
            <w:r>
              <w:rPr>
                <w:rFonts w:hint="eastAsia" w:hAnsi="宋体"/>
              </w:rPr>
              <w:t>每包</w:t>
            </w:r>
            <w:r>
              <w:rPr>
                <w:rFonts w:hint="eastAsia"/>
              </w:rPr>
              <w:t>¥4000.00</w:t>
            </w:r>
          </w:p>
          <w:p>
            <w:pPr>
              <w:spacing w:line="320" w:lineRule="exact"/>
              <w:rPr>
                <w:rFonts w:hAnsi="宋体"/>
                <w:lang w:val="zh-CN"/>
              </w:rPr>
            </w:pPr>
            <w:r>
              <w:rPr>
                <w:rFonts w:hAnsi="宋体"/>
                <w:lang w:val="zh-CN"/>
              </w:rPr>
              <w:t>2</w:t>
            </w:r>
            <w:r>
              <w:rPr>
                <w:rFonts w:hint="eastAsia" w:hAnsi="宋体"/>
                <w:lang w:val="zh-CN"/>
              </w:rPr>
              <w:t>、采用电汇（或转账）方式的，应在用途或附言、备注中注明</w:t>
            </w:r>
            <w:r>
              <w:rPr>
                <w:rFonts w:hint="eastAsia" w:hAnsi="宋体"/>
                <w:b/>
                <w:lang w:val="zh-CN"/>
              </w:rPr>
              <w:t>项目编号</w:t>
            </w:r>
            <w:r>
              <w:rPr>
                <w:rFonts w:hint="eastAsia" w:hAnsi="宋体"/>
                <w:lang w:val="zh-CN"/>
              </w:rPr>
              <w:t>和“</w:t>
            </w:r>
            <w:r>
              <w:rPr>
                <w:rFonts w:hint="eastAsia" w:hAnsi="宋体"/>
                <w:b/>
                <w:lang w:val="zh-CN"/>
              </w:rPr>
              <w:t>投标保证金</w:t>
            </w:r>
            <w:r>
              <w:rPr>
                <w:rFonts w:hint="eastAsia" w:hAnsi="宋体"/>
                <w:lang w:val="zh-CN"/>
              </w:rPr>
              <w:t>”字样；采用现金缴存至我公司指定银行账户方式的，应在“款项来源”中填写投标人单位名称、</w:t>
            </w:r>
            <w:r>
              <w:rPr>
                <w:rFonts w:hint="eastAsia" w:hAnsi="宋体"/>
              </w:rPr>
              <w:t>招标</w:t>
            </w:r>
            <w:r>
              <w:rPr>
                <w:rFonts w:hint="eastAsia" w:hAnsi="宋体"/>
                <w:lang w:val="zh-CN"/>
              </w:rPr>
              <w:t>编号、</w:t>
            </w:r>
            <w:r>
              <w:rPr>
                <w:rFonts w:hint="eastAsia" w:hAnsi="宋体"/>
              </w:rPr>
              <w:t>标段</w:t>
            </w:r>
            <w:r>
              <w:rPr>
                <w:rFonts w:hint="eastAsia" w:hAnsi="宋体"/>
                <w:lang w:val="zh-CN"/>
              </w:rPr>
              <w:t>和“投标保证金”字样。</w:t>
            </w:r>
          </w:p>
          <w:p>
            <w:pPr>
              <w:spacing w:line="320" w:lineRule="exact"/>
              <w:rPr>
                <w:rFonts w:hAnsi="宋体"/>
                <w:lang w:val="zh-CN"/>
              </w:rPr>
            </w:pPr>
            <w:r>
              <w:rPr>
                <w:rFonts w:hAnsi="宋体"/>
                <w:lang w:val="zh-CN"/>
              </w:rPr>
              <w:t>3</w:t>
            </w:r>
            <w:r>
              <w:rPr>
                <w:rFonts w:hint="eastAsia" w:hAnsi="宋体"/>
                <w:lang w:val="zh-CN"/>
              </w:rPr>
              <w:t>、投标保证金应当从其基本账户转出。</w:t>
            </w:r>
          </w:p>
          <w:p>
            <w:pPr>
              <w:autoSpaceDE w:val="0"/>
              <w:autoSpaceDN w:val="0"/>
              <w:adjustRightInd w:val="0"/>
              <w:spacing w:line="276" w:lineRule="auto"/>
              <w:rPr>
                <w:rFonts w:hAnsi="宋体"/>
                <w:lang w:val="zh-CN"/>
              </w:rPr>
            </w:pPr>
            <w:r>
              <w:rPr>
                <w:rFonts w:hAnsi="宋体"/>
                <w:lang w:val="zh-CN"/>
              </w:rPr>
              <w:t>4</w:t>
            </w:r>
            <w:r>
              <w:rPr>
                <w:rFonts w:hint="eastAsia" w:hAnsi="宋体"/>
                <w:lang w:val="zh-CN"/>
              </w:rPr>
              <w:t>、投标保证金到账时间以我公司指定银行账户到账时间为准。</w:t>
            </w:r>
          </w:p>
          <w:p>
            <w:pPr>
              <w:snapToGrid w:val="0"/>
              <w:rPr>
                <w:rFonts w:hAnsi="宋体"/>
                <w:lang w:val="zh-CN"/>
              </w:rPr>
            </w:pPr>
            <w:r>
              <w:rPr>
                <w:rFonts w:hint="eastAsia" w:hAnsi="宋体"/>
                <w:lang w:val="zh-CN"/>
              </w:rPr>
              <w:t>投标保证金到账截止时间：投标截止时间前一天1</w:t>
            </w:r>
            <w:r>
              <w:rPr>
                <w:rFonts w:hAnsi="宋体"/>
                <w:lang w:val="zh-CN"/>
              </w:rPr>
              <w:t>7</w:t>
            </w:r>
            <w:r>
              <w:rPr>
                <w:rFonts w:hint="eastAsia" w:hAnsi="宋体"/>
                <w:lang w:val="zh-CN"/>
              </w:rPr>
              <w:t>:</w:t>
            </w:r>
            <w:r>
              <w:rPr>
                <w:rFonts w:hAnsi="宋体"/>
                <w:lang w:val="zh-CN"/>
              </w:rPr>
              <w:t>30</w:t>
            </w:r>
            <w:r>
              <w:rPr>
                <w:rFonts w:hint="eastAsia" w:hAnsi="宋体"/>
                <w:lang w:val="zh-CN"/>
              </w:rPr>
              <w:t>分。</w:t>
            </w:r>
          </w:p>
          <w:p>
            <w:pPr>
              <w:snapToGrid w:val="0"/>
              <w:rPr>
                <w:rFonts w:hAnsi="宋体"/>
                <w:color w:val="000000"/>
                <w:lang w:val="zh-CN"/>
              </w:rPr>
            </w:pPr>
            <w:r>
              <w:rPr>
                <w:rFonts w:hint="eastAsia" w:hAnsi="宋体"/>
                <w:color w:val="000000"/>
                <w:lang w:val="zh-CN"/>
              </w:rPr>
              <w:t>投标保证金的确认：</w:t>
            </w:r>
          </w:p>
          <w:p>
            <w:pPr>
              <w:snapToGrid w:val="0"/>
              <w:rPr>
                <w:rFonts w:hAnsi="宋体"/>
                <w:color w:val="000000"/>
                <w:lang w:val="zh-CN"/>
              </w:rPr>
            </w:pPr>
            <w:r>
              <w:rPr>
                <w:rFonts w:hAnsi="宋体"/>
                <w:color w:val="000000"/>
                <w:lang w:val="zh-CN"/>
              </w:rPr>
              <w:t>1.</w:t>
            </w:r>
            <w:r>
              <w:rPr>
                <w:rFonts w:hint="eastAsia" w:hAnsi="宋体"/>
                <w:color w:val="000000"/>
                <w:lang w:val="zh-CN"/>
              </w:rPr>
              <w:t>采用现金缴存方式递交投标保证金的，应于现金缴存当天凭现金缴存单回单到我公司财务部门确认投标保证金到账情况。</w:t>
            </w:r>
          </w:p>
          <w:p>
            <w:pPr>
              <w:snapToGrid w:val="0"/>
              <w:rPr>
                <w:rFonts w:hAnsi="宋体"/>
                <w:color w:val="000000"/>
                <w:lang w:val="zh-CN"/>
              </w:rPr>
            </w:pPr>
            <w:r>
              <w:rPr>
                <w:rFonts w:hAnsi="宋体"/>
                <w:color w:val="000000"/>
                <w:lang w:val="zh-CN"/>
              </w:rPr>
              <w:t>2.</w:t>
            </w:r>
            <w:r>
              <w:rPr>
                <w:rFonts w:hint="eastAsia" w:hAnsi="宋体"/>
                <w:color w:val="000000"/>
                <w:lang w:val="zh-CN"/>
              </w:rPr>
              <w:t>采用电汇（或转账）方式以外的其他形式递交投标保证金的，由我公司出具收讫凭证。</w:t>
            </w:r>
          </w:p>
          <w:p>
            <w:pPr>
              <w:snapToGrid w:val="0"/>
              <w:rPr>
                <w:rFonts w:hAnsi="宋体"/>
                <w:color w:val="000000"/>
                <w:lang w:val="zh-CN"/>
              </w:rPr>
            </w:pPr>
            <w:r>
              <w:rPr>
                <w:rFonts w:hAnsi="宋体"/>
                <w:color w:val="000000"/>
                <w:lang w:val="zh-CN"/>
              </w:rPr>
              <w:t>3.</w:t>
            </w:r>
            <w:r>
              <w:rPr>
                <w:rFonts w:hint="eastAsia" w:hAnsi="宋体"/>
                <w:color w:val="000000"/>
                <w:lang w:val="zh-CN"/>
              </w:rPr>
              <w:t>公司财务部查询电话</w:t>
            </w:r>
            <w:r>
              <w:rPr>
                <w:rFonts w:hAnsi="宋体"/>
                <w:color w:val="000000"/>
                <w:lang w:val="zh-CN"/>
              </w:rPr>
              <w:t>027-87311206</w:t>
            </w:r>
            <w:r>
              <w:rPr>
                <w:rFonts w:hint="eastAsia" w:hAnsi="宋体"/>
                <w:color w:val="000000"/>
                <w:lang w:val="zh-CN"/>
              </w:rPr>
              <w:t>。投标保证金的退还：</w:t>
            </w:r>
          </w:p>
          <w:p>
            <w:pPr>
              <w:snapToGrid w:val="0"/>
              <w:rPr>
                <w:rFonts w:hAnsi="宋体"/>
                <w:color w:val="000000"/>
                <w:lang w:val="zh-CN"/>
              </w:rPr>
            </w:pPr>
            <w:r>
              <w:rPr>
                <w:rFonts w:hint="eastAsia" w:hAnsi="宋体"/>
                <w:color w:val="000000"/>
                <w:lang w:val="zh-CN"/>
              </w:rPr>
              <w:t>投标保证金的退还：</w:t>
            </w:r>
          </w:p>
          <w:p>
            <w:pPr>
              <w:snapToGrid w:val="0"/>
              <w:rPr>
                <w:rFonts w:hAnsi="宋体"/>
                <w:color w:val="000000"/>
                <w:lang w:val="zh-CN"/>
              </w:rPr>
            </w:pPr>
            <w:r>
              <w:rPr>
                <w:rFonts w:hAnsi="宋体"/>
                <w:color w:val="000000"/>
                <w:lang w:val="zh-CN"/>
              </w:rPr>
              <w:t>1</w:t>
            </w:r>
            <w:r>
              <w:rPr>
                <w:rFonts w:hint="eastAsia" w:hAnsi="宋体"/>
                <w:color w:val="000000"/>
                <w:lang w:val="zh-CN"/>
              </w:rPr>
              <w:t>、退还投标保证金时利息计息标准：人民银行同期活期存款利率。</w:t>
            </w:r>
          </w:p>
          <w:p>
            <w:pPr>
              <w:snapToGrid w:val="0"/>
              <w:rPr>
                <w:rFonts w:hAnsi="宋体"/>
                <w:color w:val="000000"/>
                <w:lang w:val="zh-CN"/>
              </w:rPr>
            </w:pPr>
            <w:r>
              <w:rPr>
                <w:rFonts w:hAnsi="宋体"/>
                <w:color w:val="000000"/>
                <w:lang w:val="zh-CN"/>
              </w:rPr>
              <w:t>2</w:t>
            </w:r>
            <w:r>
              <w:rPr>
                <w:rFonts w:hint="eastAsia" w:hAnsi="宋体"/>
                <w:color w:val="000000"/>
                <w:lang w:val="zh-CN"/>
              </w:rPr>
              <w:t>、计息时间：投标保证金到账之日至退还的前一日。</w:t>
            </w:r>
          </w:p>
          <w:p>
            <w:pPr>
              <w:snapToGrid w:val="0"/>
              <w:rPr>
                <w:rFonts w:hAnsi="宋体"/>
                <w:color w:val="000000"/>
                <w:lang w:val="zh-CN"/>
              </w:rPr>
            </w:pPr>
            <w:r>
              <w:rPr>
                <w:rFonts w:hAnsi="宋体"/>
                <w:color w:val="000000"/>
                <w:lang w:val="zh-CN"/>
              </w:rPr>
              <w:t>3</w:t>
            </w:r>
            <w:r>
              <w:rPr>
                <w:rFonts w:hint="eastAsia" w:hAnsi="宋体"/>
                <w:color w:val="000000"/>
                <w:lang w:val="zh-CN"/>
              </w:rPr>
              <w:t>、退还投标保证金及利息的，扣除银行手续费后，利息不足以支付退款手续费的，不退还相应利息（注：银行保函不计利息）。</w:t>
            </w:r>
          </w:p>
          <w:p>
            <w:pPr>
              <w:snapToGrid w:val="0"/>
              <w:rPr>
                <w:rFonts w:hAnsi="宋体"/>
                <w:color w:val="000000"/>
                <w:lang w:val="zh-CN"/>
              </w:rPr>
            </w:pPr>
            <w:r>
              <w:rPr>
                <w:rFonts w:hAnsi="宋体"/>
                <w:color w:val="000000"/>
                <w:lang w:val="zh-CN"/>
              </w:rPr>
              <w:t>4</w:t>
            </w:r>
            <w:r>
              <w:rPr>
                <w:rFonts w:hint="eastAsia" w:hAnsi="宋体"/>
                <w:color w:val="000000"/>
                <w:lang w:val="zh-CN"/>
              </w:rPr>
              <w:t>、投标人应向本公司开具合法有效的收款凭证作为本公司退还利息的原始凭证，投标人不能出具合法有效的利息收款凭证的，本公司只退还投标保证金，不退还利息。</w:t>
            </w:r>
          </w:p>
          <w:p>
            <w:pPr>
              <w:snapToGrid w:val="0"/>
              <w:rPr>
                <w:rFonts w:hAnsi="宋体"/>
                <w:color w:val="000000"/>
                <w:lang w:val="zh-CN"/>
              </w:rPr>
            </w:pPr>
            <w:r>
              <w:rPr>
                <w:rFonts w:hAnsi="宋体"/>
                <w:color w:val="000000"/>
                <w:lang w:val="zh-CN"/>
              </w:rPr>
              <w:t>5</w:t>
            </w:r>
            <w:r>
              <w:rPr>
                <w:rFonts w:hint="eastAsia" w:hAnsi="宋体"/>
                <w:color w:val="000000"/>
                <w:lang w:val="zh-CN"/>
              </w:rPr>
              <w:t>、投标人在提交投标文件时，应同时向本公司提交投标保证金退还时的银行信息（收款人、账号、行号、开户银行）。</w:t>
            </w:r>
          </w:p>
          <w:p>
            <w:pPr>
              <w:autoSpaceDE w:val="0"/>
              <w:autoSpaceDN w:val="0"/>
              <w:adjustRightInd w:val="0"/>
              <w:spacing w:line="276" w:lineRule="auto"/>
              <w:rPr>
                <w:rFonts w:hAnsi="宋体"/>
                <w:color w:val="000000"/>
                <w:lang w:val="zh-CN"/>
              </w:rPr>
            </w:pPr>
            <w:r>
              <w:rPr>
                <w:rFonts w:hAnsi="宋体"/>
                <w:color w:val="000000"/>
                <w:lang w:val="zh-CN"/>
              </w:rPr>
              <w:t>6</w:t>
            </w:r>
            <w:r>
              <w:rPr>
                <w:rFonts w:hint="eastAsia" w:hAnsi="宋体"/>
                <w:color w:val="000000"/>
                <w:lang w:val="zh-CN"/>
              </w:rPr>
              <w:t>、因投标人自身原因导致保证金无法及时退还的的，本公司不承担退款延期利息。</w:t>
            </w:r>
          </w:p>
          <w:p>
            <w:r>
              <w:rPr>
                <w:rFonts w:hint="eastAsia"/>
              </w:rPr>
              <w:t>递交保证金账户信息：</w:t>
            </w:r>
          </w:p>
          <w:p>
            <w:pPr>
              <w:snapToGrid w:val="0"/>
              <w:rPr>
                <w:rFonts w:hAnsi="宋体"/>
                <w:color w:val="000000"/>
                <w:lang w:val="zh-CN"/>
              </w:rPr>
            </w:pPr>
            <w:r>
              <w:rPr>
                <w:rFonts w:hAnsi="宋体"/>
                <w:color w:val="000000"/>
                <w:lang w:val="zh-CN"/>
              </w:rPr>
              <w:t>户名：湖北省成套招标股份有限公司</w:t>
            </w:r>
          </w:p>
          <w:p>
            <w:pPr>
              <w:snapToGrid w:val="0"/>
              <w:rPr>
                <w:rFonts w:hAnsi="宋体"/>
                <w:color w:val="000000"/>
                <w:lang w:val="zh-CN"/>
              </w:rPr>
            </w:pPr>
            <w:r>
              <w:rPr>
                <w:rFonts w:hAnsi="宋体"/>
                <w:color w:val="000000"/>
                <w:lang w:val="zh-CN"/>
              </w:rPr>
              <w:t>行号：840085</w:t>
            </w:r>
          </w:p>
          <w:p>
            <w:pPr>
              <w:snapToGrid w:val="0"/>
              <w:rPr>
                <w:rFonts w:hAnsi="宋体"/>
                <w:color w:val="000000"/>
                <w:lang w:val="zh-CN"/>
              </w:rPr>
            </w:pPr>
            <w:r>
              <w:rPr>
                <w:rFonts w:hAnsi="宋体"/>
                <w:color w:val="000000"/>
                <w:lang w:val="zh-CN"/>
              </w:rPr>
              <w:t>开户行：中国银行武汉中南路支行</w:t>
            </w:r>
          </w:p>
          <w:p>
            <w:pPr>
              <w:snapToGrid w:val="0"/>
            </w:pPr>
            <w:r>
              <w:rPr>
                <w:rFonts w:hAnsi="宋体"/>
                <w:color w:val="000000"/>
                <w:lang w:val="zh-CN"/>
              </w:rPr>
              <w:t>帐号：572976591978</w:t>
            </w:r>
          </w:p>
        </w:tc>
      </w:tr>
      <w:tr>
        <w:tblPrEx>
          <w:tblCellMar>
            <w:top w:w="0" w:type="dxa"/>
            <w:left w:w="0" w:type="dxa"/>
            <w:bottom w:w="0" w:type="dxa"/>
            <w:right w:w="0" w:type="dxa"/>
          </w:tblCellMar>
        </w:tblPrEx>
        <w:trPr>
          <w:trHeight w:val="65"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17.1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投标有效期</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276" w:lineRule="auto"/>
              <w:rPr>
                <w:rFonts w:ascii="宋体" w:hAnsi="宋体"/>
                <w:szCs w:val="21"/>
              </w:rPr>
            </w:pPr>
            <w:r>
              <w:rPr>
                <w:rFonts w:hint="eastAsia" w:ascii="宋体" w:hAnsi="宋体"/>
                <w:szCs w:val="21"/>
              </w:rPr>
              <w:t>本次招标项目</w:t>
            </w:r>
            <w:r>
              <w:rPr>
                <w:rFonts w:hint="eastAsia" w:ascii="宋体" w:hAnsi="宋体" w:cs="宋体"/>
                <w:snapToGrid w:val="0"/>
                <w:kern w:val="0"/>
                <w:szCs w:val="21"/>
                <w:lang w:val="zh-CN"/>
              </w:rPr>
              <w:t>投标有效期为</w:t>
            </w:r>
            <w:r>
              <w:rPr>
                <w:rFonts w:hint="eastAsia" w:ascii="宋体" w:hAnsi="宋体" w:cs="宋体"/>
                <w:snapToGrid w:val="0"/>
                <w:kern w:val="0"/>
                <w:szCs w:val="21"/>
                <w:u w:val="single"/>
                <w:lang w:val="zh-CN"/>
              </w:rPr>
              <w:t>90</w:t>
            </w:r>
            <w:r>
              <w:rPr>
                <w:rFonts w:hint="eastAsia" w:ascii="宋体" w:hAnsi="宋体" w:cs="宋体"/>
                <w:snapToGrid w:val="0"/>
                <w:kern w:val="0"/>
                <w:szCs w:val="21"/>
                <w:lang w:val="zh-CN"/>
              </w:rPr>
              <w:t>日历天</w:t>
            </w:r>
          </w:p>
        </w:tc>
      </w:tr>
      <w:tr>
        <w:tblPrEx>
          <w:tblCellMar>
            <w:top w:w="0" w:type="dxa"/>
            <w:left w:w="0" w:type="dxa"/>
            <w:bottom w:w="0" w:type="dxa"/>
            <w:right w:w="0" w:type="dxa"/>
          </w:tblCellMar>
        </w:tblPrEx>
        <w:trPr>
          <w:trHeight w:val="65"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18.1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napToGrid w:val="0"/>
                <w:kern w:val="0"/>
                <w:szCs w:val="21"/>
                <w:lang w:val="zh-CN"/>
              </w:rPr>
            </w:pPr>
            <w:r>
              <w:rPr>
                <w:rFonts w:hint="eastAsia" w:ascii="宋体" w:hAnsi="宋体" w:cs="宋体"/>
                <w:snapToGrid w:val="0"/>
                <w:kern w:val="0"/>
                <w:szCs w:val="21"/>
                <w:lang w:val="zh-CN"/>
              </w:rPr>
              <w:t>投标文件正、副本数量</w:t>
            </w:r>
          </w:p>
        </w:tc>
        <w:tc>
          <w:tcPr>
            <w:tcW w:w="6160" w:type="dxa"/>
            <w:tcBorders>
              <w:top w:val="single" w:color="auto" w:sz="6" w:space="0"/>
              <w:left w:val="single" w:color="auto" w:sz="6" w:space="0"/>
              <w:bottom w:val="single" w:color="auto" w:sz="6" w:space="0"/>
              <w:right w:val="single" w:color="auto" w:sz="12" w:space="0"/>
            </w:tcBorders>
            <w:vAlign w:val="center"/>
          </w:tcPr>
          <w:p>
            <w:pPr>
              <w:snapToGrid w:val="0"/>
              <w:rPr>
                <w:rFonts w:ascii="宋体" w:hAnsi="宋体"/>
                <w:szCs w:val="21"/>
              </w:rPr>
            </w:pPr>
            <w:r>
              <w:rPr>
                <w:rFonts w:hint="eastAsia" w:hAnsi="宋体"/>
                <w:color w:val="000000"/>
                <w:lang w:val="zh-CN"/>
              </w:rPr>
              <w:t>本次招标项目投标文件正本一份，副本二份，电子文档一份（提供U盘，包含WORD和PDF格式，（PDF格式文件需提供盖章的电子版投标文件，文件大小不超过50M，超过50M的应分割为多个小于50M的文件以上电子版），以上电子版如不提供</w:t>
            </w:r>
            <w:r>
              <w:rPr>
                <w:rFonts w:hint="eastAsia" w:hAnsi="宋体"/>
                <w:color w:val="000000"/>
              </w:rPr>
              <w:t>或不能有效打开的</w:t>
            </w:r>
            <w:r>
              <w:rPr>
                <w:rFonts w:hint="eastAsia" w:hAnsi="宋体"/>
                <w:color w:val="000000"/>
                <w:lang w:val="zh-CN"/>
              </w:rPr>
              <w:t>按废标处理，所有投标文件概不退还。），</w:t>
            </w:r>
            <w:r>
              <w:rPr>
                <w:rFonts w:hint="eastAsia" w:hAnsi="宋体"/>
                <w:b/>
                <w:bCs/>
                <w:color w:val="000000"/>
              </w:rPr>
              <w:t>多包投标须分开制作文件和电子文档。</w:t>
            </w:r>
          </w:p>
        </w:tc>
      </w:tr>
      <w:tr>
        <w:tblPrEx>
          <w:tblCellMar>
            <w:top w:w="0" w:type="dxa"/>
            <w:left w:w="0" w:type="dxa"/>
            <w:bottom w:w="0" w:type="dxa"/>
            <w:right w:w="0" w:type="dxa"/>
          </w:tblCellMar>
        </w:tblPrEx>
        <w:trPr>
          <w:trHeight w:val="65"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19.4</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napToGrid w:val="0"/>
                <w:kern w:val="0"/>
                <w:szCs w:val="21"/>
                <w:lang w:val="zh-CN"/>
              </w:rPr>
            </w:pPr>
            <w:r>
              <w:rPr>
                <w:rFonts w:hint="eastAsia" w:ascii="宋体" w:hAnsi="宋体" w:cs="宋体"/>
                <w:snapToGrid w:val="0"/>
                <w:kern w:val="0"/>
                <w:szCs w:val="21"/>
                <w:lang w:val="zh-CN"/>
              </w:rPr>
              <w:t>提交及退还样品的规定</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276" w:lineRule="auto"/>
              <w:rPr>
                <w:rFonts w:ascii="宋体" w:hAnsi="宋体"/>
                <w:szCs w:val="21"/>
                <w:u w:val="single"/>
              </w:rPr>
            </w:pPr>
            <w:r>
              <w:rPr>
                <w:rFonts w:hint="eastAsia" w:ascii="宋体" w:hAnsi="宋体"/>
                <w:szCs w:val="21"/>
              </w:rPr>
              <w:t>本次招标</w:t>
            </w:r>
            <w:r>
              <w:rPr>
                <w:rFonts w:hint="eastAsia" w:ascii="宋体" w:hAnsi="宋体"/>
                <w:szCs w:val="21"/>
                <w:u w:val="single"/>
              </w:rPr>
              <w:t>不需要</w:t>
            </w:r>
            <w:r>
              <w:rPr>
                <w:rFonts w:hint="eastAsia" w:ascii="宋体" w:hAnsi="宋体"/>
                <w:szCs w:val="21"/>
              </w:rPr>
              <w:t>提交样品</w:t>
            </w:r>
          </w:p>
        </w:tc>
      </w:tr>
      <w:tr>
        <w:tblPrEx>
          <w:tblCellMar>
            <w:top w:w="0" w:type="dxa"/>
            <w:left w:w="0" w:type="dxa"/>
            <w:bottom w:w="0" w:type="dxa"/>
            <w:right w:w="0" w:type="dxa"/>
          </w:tblCellMar>
        </w:tblPrEx>
        <w:trPr>
          <w:trHeight w:val="65"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20.1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投标文件送达地点及投标截止时间</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投标文件送达地点</w:t>
            </w:r>
            <w:r>
              <w:rPr>
                <w:rFonts w:ascii="宋体" w:hAnsi="宋体"/>
                <w:color w:val="000000" w:themeColor="text1"/>
                <w:szCs w:val="21"/>
                <w14:textFill>
                  <w14:solidFill>
                    <w14:schemeClr w14:val="tx1"/>
                  </w14:solidFill>
                </w14:textFill>
              </w:rPr>
              <w:t>：</w:t>
            </w:r>
            <w:r>
              <w:rPr>
                <w:rFonts w:hint="eastAsia" w:ascii="宋体" w:hAnsi="宋体"/>
                <w:szCs w:val="21"/>
              </w:rPr>
              <w:t>武汉市建设大道847号瑞通广场</w:t>
            </w:r>
            <w:r>
              <w:rPr>
                <w:rFonts w:hint="eastAsia" w:ascii="宋体" w:hAnsi="宋体"/>
                <w:b/>
                <w:szCs w:val="21"/>
                <w:u w:val="single"/>
              </w:rPr>
              <w:t>露天停车场旁会议室</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投标截止时间：同招标公告。</w:t>
            </w:r>
          </w:p>
        </w:tc>
      </w:tr>
      <w:tr>
        <w:tblPrEx>
          <w:tblCellMar>
            <w:top w:w="0" w:type="dxa"/>
            <w:left w:w="0" w:type="dxa"/>
            <w:bottom w:w="0" w:type="dxa"/>
            <w:right w:w="0" w:type="dxa"/>
          </w:tblCellMar>
        </w:tblPrEx>
        <w:trPr>
          <w:trHeight w:val="154"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23.1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ascii="宋体" w:hAnsi="宋体"/>
                <w:szCs w:val="21"/>
                <w:lang w:val="zh-CN"/>
              </w:rPr>
              <w:t>开标时间</w:t>
            </w:r>
            <w:r>
              <w:rPr>
                <w:rFonts w:hint="eastAsia" w:ascii="宋体" w:hAnsi="宋体"/>
                <w:szCs w:val="21"/>
                <w:lang w:val="zh-CN"/>
              </w:rPr>
              <w:t>及</w:t>
            </w:r>
            <w:r>
              <w:rPr>
                <w:rFonts w:ascii="宋体" w:hAnsi="宋体"/>
                <w:szCs w:val="21"/>
                <w:lang w:val="zh-CN"/>
              </w:rPr>
              <w:t>地点</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开标地点</w:t>
            </w:r>
            <w:r>
              <w:rPr>
                <w:rFonts w:ascii="宋体" w:hAnsi="宋体"/>
                <w:color w:val="000000" w:themeColor="text1"/>
                <w:szCs w:val="21"/>
                <w14:textFill>
                  <w14:solidFill>
                    <w14:schemeClr w14:val="tx1"/>
                  </w14:solidFill>
                </w14:textFill>
              </w:rPr>
              <w:t>：</w:t>
            </w:r>
            <w:r>
              <w:rPr>
                <w:rFonts w:hint="eastAsia" w:ascii="宋体" w:hAnsi="宋体"/>
                <w:szCs w:val="21"/>
              </w:rPr>
              <w:t>武汉市建设大道847号瑞通广场</w:t>
            </w:r>
            <w:r>
              <w:rPr>
                <w:rFonts w:hint="eastAsia" w:ascii="宋体" w:hAnsi="宋体"/>
                <w:b/>
                <w:szCs w:val="21"/>
                <w:u w:val="single"/>
              </w:rPr>
              <w:t>露天停车场旁会议室</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开标时间：同招标公告。</w:t>
            </w:r>
          </w:p>
        </w:tc>
      </w:tr>
      <w:tr>
        <w:tblPrEx>
          <w:tblCellMar>
            <w:top w:w="0" w:type="dxa"/>
            <w:left w:w="0" w:type="dxa"/>
            <w:bottom w:w="0" w:type="dxa"/>
            <w:right w:w="0" w:type="dxa"/>
          </w:tblCellMar>
        </w:tblPrEx>
        <w:trPr>
          <w:trHeight w:val="154"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snapToGrid w:val="0"/>
                <w:color w:val="000000" w:themeColor="text1"/>
                <w:kern w:val="0"/>
                <w:szCs w:val="21"/>
                <w:lang w:val="zh-CN"/>
                <w14:textFill>
                  <w14:solidFill>
                    <w14:schemeClr w14:val="tx1"/>
                  </w14:solidFill>
                </w14:textFill>
              </w:rPr>
              <w:t>评标委员会的组成</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hAnsi="宋体"/>
                <w:lang w:val="zh-CN"/>
              </w:rPr>
            </w:pPr>
            <w:r>
              <w:rPr>
                <w:rFonts w:hint="eastAsia" w:hAnsi="宋体"/>
                <w:lang w:val="zh-CN"/>
              </w:rPr>
              <w:t>评标委员会的组建：</w:t>
            </w:r>
          </w:p>
          <w:p>
            <w:pPr>
              <w:autoSpaceDE w:val="0"/>
              <w:autoSpaceDN w:val="0"/>
              <w:adjustRightInd w:val="0"/>
              <w:rPr>
                <w:rFonts w:hAnsi="宋体"/>
                <w:lang w:val="zh-CN"/>
              </w:rPr>
            </w:pPr>
            <w:r>
              <w:rPr>
                <w:rFonts w:hint="eastAsia" w:hAnsi="宋体"/>
                <w:lang w:val="zh-CN"/>
              </w:rPr>
              <w:t>评标委员会构成：</w:t>
            </w:r>
            <w:r>
              <w:rPr>
                <w:rFonts w:hAnsi="宋体"/>
                <w:u w:val="single"/>
                <w:lang w:val="zh-CN"/>
              </w:rPr>
              <w:t>5</w:t>
            </w:r>
            <w:r>
              <w:rPr>
                <w:rFonts w:hint="eastAsia" w:hAnsi="宋体"/>
                <w:lang w:val="zh-CN"/>
              </w:rPr>
              <w:t>人，其中招标人代表</w:t>
            </w:r>
            <w:r>
              <w:rPr>
                <w:rFonts w:hAnsi="宋体"/>
                <w:u w:val="single"/>
                <w:lang w:val="zh-CN"/>
              </w:rPr>
              <w:t>1</w:t>
            </w:r>
            <w:r>
              <w:rPr>
                <w:rFonts w:hint="eastAsia" w:hAnsi="宋体"/>
                <w:lang w:val="zh-CN"/>
              </w:rPr>
              <w:t>人，专家</w:t>
            </w:r>
            <w:r>
              <w:rPr>
                <w:rFonts w:hAnsi="宋体"/>
                <w:u w:val="single"/>
                <w:lang w:val="zh-CN"/>
              </w:rPr>
              <w:t>4</w:t>
            </w:r>
            <w:r>
              <w:rPr>
                <w:rFonts w:hint="eastAsia" w:hAnsi="宋体"/>
                <w:lang w:val="zh-CN"/>
              </w:rPr>
              <w:t>人：</w:t>
            </w:r>
          </w:p>
          <w:p>
            <w:pPr>
              <w:autoSpaceDE w:val="0"/>
              <w:autoSpaceDN w:val="0"/>
              <w:adjustRightInd w:val="0"/>
              <w:spacing w:line="276" w:lineRule="auto"/>
              <w:rPr>
                <w:rFonts w:ascii="宋体" w:hAnsi="宋体" w:cs="宋体"/>
                <w:snapToGrid w:val="0"/>
                <w:color w:val="000000" w:themeColor="text1"/>
                <w:kern w:val="0"/>
                <w:szCs w:val="21"/>
                <w:lang w:val="zh-CN"/>
                <w14:textFill>
                  <w14:solidFill>
                    <w14:schemeClr w14:val="tx1"/>
                  </w14:solidFill>
                </w14:textFill>
              </w:rPr>
            </w:pPr>
            <w:r>
              <w:rPr>
                <w:rFonts w:hint="eastAsia" w:hAnsi="宋体"/>
                <w:lang w:val="zh-CN"/>
              </w:rPr>
              <w:t>评标专家确定方式：</w:t>
            </w:r>
            <w:r>
              <w:rPr>
                <w:rFonts w:hint="eastAsia" w:hAnsi="宋体"/>
              </w:rPr>
              <w:t>外聘专家从湖北省成套招标股份有限公司专家库中随机抽取，招标人代表由招标方指定。</w:t>
            </w:r>
          </w:p>
        </w:tc>
      </w:tr>
      <w:tr>
        <w:tblPrEx>
          <w:tblCellMar>
            <w:top w:w="0" w:type="dxa"/>
            <w:left w:w="0" w:type="dxa"/>
            <w:bottom w:w="0" w:type="dxa"/>
            <w:right w:w="0" w:type="dxa"/>
          </w:tblCellMar>
        </w:tblPrEx>
        <w:trPr>
          <w:trHeight w:val="154"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24.3</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napToGrid w:val="0"/>
                <w:kern w:val="0"/>
                <w:szCs w:val="21"/>
                <w:lang w:val="zh-CN"/>
              </w:rPr>
            </w:pPr>
            <w:r>
              <w:rPr>
                <w:rFonts w:hint="eastAsia" w:ascii="宋体" w:hAnsi="宋体" w:cs="宋体"/>
                <w:snapToGrid w:val="0"/>
                <w:kern w:val="0"/>
                <w:szCs w:val="21"/>
                <w:lang w:val="zh-CN"/>
              </w:rPr>
              <w:t>评标办法</w:t>
            </w:r>
          </w:p>
        </w:tc>
        <w:tc>
          <w:tcPr>
            <w:tcW w:w="61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beforeLines="30" w:afterLines="30"/>
              <w:ind w:left="210" w:hanging="210" w:hangingChars="100"/>
              <w:jc w:val="left"/>
              <w:rPr>
                <w:rFonts w:ascii="宋体" w:hAnsi="宋体"/>
                <w:szCs w:val="21"/>
                <w:lang w:val="zh-CN"/>
              </w:rPr>
            </w:pPr>
            <w:r>
              <w:rPr>
                <w:rFonts w:ascii="宋体" w:hAnsi="宋体"/>
                <w:szCs w:val="21"/>
                <w:lang w:val="zh-CN"/>
              </w:rPr>
              <w:t>详见评标方法及标准</w:t>
            </w:r>
          </w:p>
        </w:tc>
      </w:tr>
      <w:tr>
        <w:tblPrEx>
          <w:tblCellMar>
            <w:top w:w="0" w:type="dxa"/>
            <w:left w:w="0" w:type="dxa"/>
            <w:bottom w:w="0" w:type="dxa"/>
            <w:right w:w="0" w:type="dxa"/>
          </w:tblCellMar>
        </w:tblPrEx>
        <w:trPr>
          <w:trHeight w:val="65"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szCs w:val="21"/>
              </w:rPr>
            </w:pPr>
            <w:r>
              <w:rPr>
                <w:rFonts w:hint="eastAsia" w:ascii="宋体" w:hAnsi="宋体"/>
                <w:szCs w:val="21"/>
              </w:rPr>
              <w:t>33.1</w:t>
            </w:r>
          </w:p>
        </w:tc>
        <w:tc>
          <w:tcPr>
            <w:tcW w:w="186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szCs w:val="21"/>
              </w:rPr>
            </w:pPr>
            <w:r>
              <w:rPr>
                <w:rFonts w:hint="eastAsia" w:ascii="宋体" w:hAnsi="宋体" w:cs="宋体"/>
                <w:snapToGrid w:val="0"/>
                <w:kern w:val="0"/>
                <w:szCs w:val="21"/>
                <w:lang w:val="zh-CN"/>
              </w:rPr>
              <w:t>履约保证金</w:t>
            </w:r>
          </w:p>
        </w:tc>
        <w:tc>
          <w:tcPr>
            <w:tcW w:w="6160" w:type="dxa"/>
            <w:tcBorders>
              <w:top w:val="single" w:color="auto" w:sz="6" w:space="0"/>
              <w:left w:val="single" w:color="auto" w:sz="6" w:space="0"/>
              <w:bottom w:val="single" w:color="auto" w:sz="6" w:space="0"/>
              <w:right w:val="single" w:color="auto" w:sz="12" w:space="0"/>
            </w:tcBorders>
            <w:vAlign w:val="center"/>
          </w:tcPr>
          <w:p>
            <w:pPr>
              <w:tabs>
                <w:tab w:val="left" w:pos="340"/>
              </w:tabs>
              <w:spacing w:beforeLines="30" w:afterLines="30"/>
              <w:jc w:val="left"/>
              <w:rPr>
                <w:rFonts w:ascii="宋体" w:hAnsi="宋体"/>
                <w:szCs w:val="21"/>
                <w:lang w:val="zh-CN"/>
              </w:rPr>
            </w:pPr>
            <w:r>
              <w:rPr>
                <w:rFonts w:hint="eastAsia" w:ascii="宋体" w:hAnsi="宋体"/>
                <w:szCs w:val="21"/>
              </w:rPr>
              <w:t>见第四章合同书格式。</w:t>
            </w:r>
          </w:p>
        </w:tc>
      </w:tr>
      <w:tr>
        <w:tblPrEx>
          <w:tblCellMar>
            <w:top w:w="0" w:type="dxa"/>
            <w:left w:w="0" w:type="dxa"/>
            <w:bottom w:w="0" w:type="dxa"/>
            <w:right w:w="0" w:type="dxa"/>
          </w:tblCellMar>
        </w:tblPrEx>
        <w:trPr>
          <w:trHeight w:val="370" w:hRule="atLeast"/>
          <w:jc w:val="center"/>
        </w:trPr>
        <w:tc>
          <w:tcPr>
            <w:tcW w:w="1136" w:type="dxa"/>
            <w:tcBorders>
              <w:top w:val="single" w:color="auto" w:sz="6" w:space="0"/>
              <w:left w:val="single" w:color="auto" w:sz="12" w:space="0"/>
              <w:bottom w:val="single" w:color="auto" w:sz="6"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33.2</w:t>
            </w:r>
          </w:p>
        </w:tc>
        <w:tc>
          <w:tcPr>
            <w:tcW w:w="1863" w:type="dxa"/>
            <w:tcBorders>
              <w:top w:val="single" w:color="auto" w:sz="6" w:space="0"/>
              <w:left w:val="single" w:color="auto" w:sz="4" w:space="0"/>
              <w:bottom w:val="single" w:color="auto" w:sz="6"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其他要求</w:t>
            </w:r>
          </w:p>
        </w:tc>
        <w:tc>
          <w:tcPr>
            <w:tcW w:w="6160" w:type="dxa"/>
            <w:tcBorders>
              <w:top w:val="single" w:color="auto" w:sz="6" w:space="0"/>
              <w:left w:val="single" w:color="auto" w:sz="4" w:space="0"/>
              <w:bottom w:val="single" w:color="auto" w:sz="6" w:space="0"/>
              <w:right w:val="single" w:color="auto" w:sz="12" w:space="0"/>
            </w:tcBorders>
            <w:vAlign w:val="center"/>
          </w:tcPr>
          <w:p>
            <w:pPr>
              <w:rPr>
                <w:rFonts w:ascii="宋体" w:hAnsi="宋体"/>
                <w:szCs w:val="21"/>
              </w:rPr>
            </w:pPr>
            <w:r>
              <w:rPr>
                <w:rFonts w:hint="eastAsia" w:ascii="宋体" w:hAnsi="宋体"/>
                <w:szCs w:val="21"/>
              </w:rPr>
              <w:t>无</w:t>
            </w:r>
          </w:p>
        </w:tc>
      </w:tr>
    </w:tbl>
    <w:p>
      <w:pPr>
        <w:spacing w:line="360" w:lineRule="auto"/>
        <w:ind w:firstLine="570"/>
        <w:rPr>
          <w:rFonts w:ascii="宋体" w:hAnsi="宋体"/>
          <w:szCs w:val="21"/>
        </w:rPr>
      </w:pPr>
    </w:p>
    <w:p>
      <w:pPr>
        <w:spacing w:line="360" w:lineRule="auto"/>
        <w:ind w:firstLine="570"/>
        <w:rPr>
          <w:rFonts w:ascii="宋体" w:hAnsi="宋体"/>
          <w:szCs w:val="21"/>
        </w:rPr>
      </w:pPr>
      <w:r>
        <w:rPr>
          <w:rFonts w:ascii="宋体" w:hAnsi="宋体"/>
          <w:szCs w:val="21"/>
        </w:rPr>
        <w:br w:type="page"/>
      </w:r>
    </w:p>
    <w:p>
      <w:pPr>
        <w:autoSpaceDE w:val="0"/>
        <w:autoSpaceDN w:val="0"/>
        <w:adjustRightInd w:val="0"/>
        <w:spacing w:line="360" w:lineRule="auto"/>
        <w:jc w:val="center"/>
        <w:outlineLvl w:val="1"/>
        <w:rPr>
          <w:rFonts w:ascii="宋体" w:hAnsi="宋体" w:cs="宋体"/>
          <w:snapToGrid w:val="0"/>
          <w:spacing w:val="10"/>
          <w:kern w:val="0"/>
          <w:sz w:val="30"/>
          <w:szCs w:val="30"/>
          <w:lang w:val="zh-CN"/>
        </w:rPr>
      </w:pPr>
      <w:bookmarkStart w:id="35" w:name="_Toc48634268"/>
      <w:bookmarkStart w:id="36" w:name="_Toc421688551"/>
      <w:r>
        <w:rPr>
          <w:rFonts w:hint="eastAsia" w:ascii="宋体" w:hAnsi="宋体"/>
          <w:sz w:val="30"/>
          <w:szCs w:val="30"/>
        </w:rPr>
        <w:t>投标人须知</w:t>
      </w:r>
      <w:bookmarkEnd w:id="35"/>
      <w:bookmarkEnd w:id="36"/>
    </w:p>
    <w:p>
      <w:pPr>
        <w:pStyle w:val="3"/>
        <w:numPr>
          <w:ilvl w:val="0"/>
          <w:numId w:val="8"/>
        </w:numPr>
        <w:spacing w:before="160" w:after="160" w:line="360" w:lineRule="auto"/>
        <w:jc w:val="center"/>
        <w:rPr>
          <w:rFonts w:ascii="宋体" w:hAnsi="宋体"/>
          <w:sz w:val="21"/>
          <w:szCs w:val="21"/>
        </w:rPr>
      </w:pPr>
      <w:bookmarkStart w:id="37" w:name="_Toc333771885"/>
      <w:bookmarkStart w:id="38" w:name="_Toc48634269"/>
      <w:bookmarkStart w:id="39" w:name="_Toc421688552"/>
      <w:r>
        <w:rPr>
          <w:rFonts w:hint="eastAsia" w:ascii="宋体" w:hAnsi="宋体"/>
          <w:sz w:val="21"/>
          <w:szCs w:val="21"/>
        </w:rPr>
        <w:t>总则</w:t>
      </w:r>
      <w:bookmarkEnd w:id="37"/>
      <w:bookmarkEnd w:id="38"/>
      <w:bookmarkEnd w:id="39"/>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适用范围</w:t>
      </w:r>
    </w:p>
    <w:p>
      <w:pPr>
        <w:numPr>
          <w:ilvl w:val="1"/>
          <w:numId w:val="10"/>
        </w:numPr>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本招标文件适用于本次公开招标中所述项目的招标。</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定义</w:t>
      </w:r>
    </w:p>
    <w:p>
      <w:pPr>
        <w:numPr>
          <w:ilvl w:val="1"/>
          <w:numId w:val="11"/>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“招标人”</w:t>
      </w:r>
      <w:r>
        <w:rPr>
          <w:rFonts w:ascii="宋体" w:hAnsi="宋体" w:cs="宋体"/>
          <w:snapToGrid w:val="0"/>
          <w:kern w:val="0"/>
          <w:szCs w:val="21"/>
          <w:lang w:val="zh-CN"/>
        </w:rPr>
        <w:t>:</w:t>
      </w:r>
      <w:r>
        <w:rPr>
          <w:rFonts w:hint="eastAsia" w:ascii="宋体" w:hAnsi="宋体" w:cs="宋体"/>
          <w:snapToGrid w:val="0"/>
          <w:kern w:val="0"/>
          <w:szCs w:val="21"/>
          <w:lang w:val="zh-CN"/>
        </w:rPr>
        <w:t>本次招标的招标人见《投标人须知前附表》。</w:t>
      </w:r>
    </w:p>
    <w:p>
      <w:pPr>
        <w:numPr>
          <w:ilvl w:val="1"/>
          <w:numId w:val="11"/>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“招标代理机构”</w:t>
      </w:r>
      <w:r>
        <w:rPr>
          <w:rFonts w:ascii="宋体" w:hAnsi="宋体" w:cs="宋体"/>
          <w:snapToGrid w:val="0"/>
          <w:kern w:val="0"/>
          <w:szCs w:val="21"/>
          <w:lang w:val="zh-CN"/>
        </w:rPr>
        <w:t>:</w:t>
      </w:r>
      <w:r>
        <w:rPr>
          <w:rFonts w:hint="eastAsia" w:ascii="宋体" w:hAnsi="宋体" w:cs="宋体"/>
          <w:snapToGrid w:val="0"/>
          <w:kern w:val="0"/>
          <w:szCs w:val="21"/>
          <w:lang w:val="zh-CN"/>
        </w:rPr>
        <w:t>本次招标的招标代理机构为湖北省成套招标股份有限公司。</w:t>
      </w:r>
    </w:p>
    <w:p>
      <w:pPr>
        <w:numPr>
          <w:ilvl w:val="1"/>
          <w:numId w:val="11"/>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snapToGrid w:val="0"/>
          <w:kern w:val="0"/>
          <w:szCs w:val="21"/>
          <w:lang w:val="zh-CN"/>
        </w:rPr>
        <w:t>“</w:t>
      </w:r>
      <w:r>
        <w:rPr>
          <w:rFonts w:hint="eastAsia" w:ascii="宋体" w:hAnsi="宋体" w:cs="宋体"/>
          <w:snapToGrid w:val="0"/>
          <w:kern w:val="0"/>
          <w:szCs w:val="21"/>
          <w:lang w:val="zh-CN"/>
        </w:rPr>
        <w:t>投标人</w:t>
      </w:r>
      <w:r>
        <w:rPr>
          <w:rFonts w:ascii="宋体" w:hAnsi="宋体" w:cs="宋体"/>
          <w:snapToGrid w:val="0"/>
          <w:kern w:val="0"/>
          <w:szCs w:val="21"/>
          <w:lang w:val="zh-CN"/>
        </w:rPr>
        <w:t>”</w:t>
      </w:r>
      <w:r>
        <w:rPr>
          <w:rFonts w:hint="eastAsia" w:ascii="宋体" w:hAnsi="宋体" w:cs="宋体"/>
          <w:snapToGrid w:val="0"/>
          <w:kern w:val="0"/>
          <w:szCs w:val="21"/>
          <w:lang w:val="zh-CN"/>
        </w:rPr>
        <w:t xml:space="preserve"> 投标人是响应招标并且符合下列资格条件和参加投标竞争的法人、其他组织或者自然人。</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1）符合具备《中华人民共和国招标投标法》的规定；</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2）符合《投标人须知前附表》规定的相应条件；</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 单位负责人为同一人或者存在直接控股、管理关系的不同投标人，不得同时参加本项目的投标。</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4）</w:t>
      </w:r>
      <w:r>
        <w:rPr>
          <w:rFonts w:ascii="宋体" w:hAnsi="宋体" w:cs="宋体"/>
          <w:snapToGrid w:val="0"/>
          <w:kern w:val="0"/>
          <w:szCs w:val="21"/>
          <w:lang w:val="zh-CN"/>
        </w:rPr>
        <w:t>为本项目提供整体监理、规范编制或者项目管理、监理、检测等服务的投标人，不得再参加本项目的投标。</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5）如国家法律法规对市场准入有要求的还应符合相关规定。</w:t>
      </w:r>
    </w:p>
    <w:p>
      <w:pPr>
        <w:numPr>
          <w:ilvl w:val="1"/>
          <w:numId w:val="11"/>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“中标人”是指经评标委员会评审推荐，招标人授予合同的投标人。</w:t>
      </w:r>
    </w:p>
    <w:p>
      <w:pPr>
        <w:numPr>
          <w:ilvl w:val="3"/>
          <w:numId w:val="9"/>
        </w:numPr>
        <w:tabs>
          <w:tab w:val="left" w:pos="525"/>
        </w:tabs>
        <w:autoSpaceDE w:val="0"/>
        <w:autoSpaceDN w:val="0"/>
        <w:adjustRightInd w:val="0"/>
        <w:spacing w:line="360" w:lineRule="auto"/>
        <w:ind w:firstLine="0"/>
        <w:jc w:val="left"/>
        <w:rPr>
          <w:rFonts w:ascii="宋体" w:hAnsi="宋体" w:cs="宋体"/>
          <w:snapToGrid w:val="0"/>
          <w:kern w:val="0"/>
          <w:szCs w:val="21"/>
          <w:lang w:val="zh-CN"/>
        </w:rPr>
      </w:pPr>
      <w:r>
        <w:rPr>
          <w:rFonts w:hint="eastAsia" w:ascii="宋体" w:hAnsi="宋体" w:cs="宋体"/>
          <w:snapToGrid w:val="0"/>
          <w:kern w:val="0"/>
          <w:szCs w:val="21"/>
          <w:lang w:val="zh-CN"/>
        </w:rPr>
        <w:t>工程、货物及服务</w:t>
      </w:r>
    </w:p>
    <w:p>
      <w:pPr>
        <w:numPr>
          <w:ilvl w:val="1"/>
          <w:numId w:val="12"/>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“工程”是指建设工程，包括建筑物和构筑物的新建、改建、扩建及其相关的装修、拆除、修缮等。</w:t>
      </w:r>
    </w:p>
    <w:p>
      <w:pPr>
        <w:numPr>
          <w:ilvl w:val="1"/>
          <w:numId w:val="12"/>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“货物”是指各种形态和种类的物品，包括原材料、燃料、设备、产品等。</w:t>
      </w:r>
    </w:p>
    <w:p>
      <w:pPr>
        <w:numPr>
          <w:ilvl w:val="1"/>
          <w:numId w:val="12"/>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“服务”是指是指除货物（指各种形态和种类的物品，包括原材料、燃料、设备、产品等）和工程（指建设工程，包括建筑物和构筑物的新建、改建、扩建及其相关的装修、拆除、修缮等）以外的其他招标对象。</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投标费用</w:t>
      </w:r>
    </w:p>
    <w:p>
      <w:pPr>
        <w:numPr>
          <w:ilvl w:val="1"/>
          <w:numId w:val="13"/>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投标人应承担所有与准备和参加投标有关的费用。不论投标的结果如何，招标人和招标代理机构均无义务和责任承担该费用。</w:t>
      </w:r>
    </w:p>
    <w:p>
      <w:pPr>
        <w:numPr>
          <w:ilvl w:val="1"/>
          <w:numId w:val="13"/>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招标代理服务费：中标人须在收到中标通知书时向招标机构支付招标代理服务费。服务费相关规定见《投标人须知前附表》。</w:t>
      </w:r>
    </w:p>
    <w:p>
      <w:pPr>
        <w:pStyle w:val="3"/>
        <w:numPr>
          <w:ilvl w:val="0"/>
          <w:numId w:val="8"/>
        </w:numPr>
        <w:spacing w:before="260" w:after="260" w:line="360" w:lineRule="auto"/>
        <w:jc w:val="center"/>
        <w:rPr>
          <w:rFonts w:ascii="宋体" w:hAnsi="宋体"/>
          <w:sz w:val="21"/>
          <w:szCs w:val="21"/>
        </w:rPr>
      </w:pPr>
      <w:bookmarkStart w:id="40" w:name="_Toc421688553"/>
      <w:bookmarkStart w:id="41" w:name="_Toc48634270"/>
      <w:bookmarkStart w:id="42" w:name="_Toc333771886"/>
      <w:r>
        <w:rPr>
          <w:rFonts w:hint="eastAsia" w:ascii="宋体" w:hAnsi="宋体"/>
          <w:sz w:val="21"/>
          <w:szCs w:val="21"/>
        </w:rPr>
        <w:t>招标文件</w:t>
      </w:r>
      <w:bookmarkEnd w:id="40"/>
      <w:bookmarkEnd w:id="41"/>
      <w:bookmarkEnd w:id="42"/>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招标文件的构成</w:t>
      </w:r>
    </w:p>
    <w:p>
      <w:pPr>
        <w:numPr>
          <w:ilvl w:val="1"/>
          <w:numId w:val="14"/>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本招标文件包括：</w:t>
      </w:r>
    </w:p>
    <w:p>
      <w:pPr>
        <w:numPr>
          <w:ilvl w:val="2"/>
          <w:numId w:val="15"/>
        </w:numPr>
        <w:tabs>
          <w:tab w:val="left" w:pos="525"/>
          <w:tab w:val="clear" w:pos="150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招标公告</w:t>
      </w:r>
    </w:p>
    <w:p>
      <w:pPr>
        <w:numPr>
          <w:ilvl w:val="2"/>
          <w:numId w:val="15"/>
        </w:numPr>
        <w:tabs>
          <w:tab w:val="left" w:pos="525"/>
          <w:tab w:val="clear" w:pos="150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投标人须知</w:t>
      </w:r>
    </w:p>
    <w:p>
      <w:pPr>
        <w:numPr>
          <w:ilvl w:val="2"/>
          <w:numId w:val="15"/>
        </w:numPr>
        <w:tabs>
          <w:tab w:val="left" w:pos="525"/>
          <w:tab w:val="clear" w:pos="150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发包人要求</w:t>
      </w:r>
    </w:p>
    <w:p>
      <w:pPr>
        <w:numPr>
          <w:ilvl w:val="2"/>
          <w:numId w:val="15"/>
        </w:numPr>
        <w:tabs>
          <w:tab w:val="left" w:pos="525"/>
          <w:tab w:val="clear" w:pos="150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评标方法、步骤、标准</w:t>
      </w:r>
    </w:p>
    <w:p>
      <w:pPr>
        <w:numPr>
          <w:ilvl w:val="2"/>
          <w:numId w:val="15"/>
        </w:numPr>
        <w:tabs>
          <w:tab w:val="left" w:pos="525"/>
          <w:tab w:val="clear" w:pos="150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合同书格式</w:t>
      </w:r>
    </w:p>
    <w:p>
      <w:pPr>
        <w:numPr>
          <w:ilvl w:val="2"/>
          <w:numId w:val="15"/>
        </w:numPr>
        <w:tabs>
          <w:tab w:val="left" w:pos="525"/>
          <w:tab w:val="clear" w:pos="150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投标文件格式</w:t>
      </w:r>
    </w:p>
    <w:p>
      <w:pPr>
        <w:numPr>
          <w:ilvl w:val="2"/>
          <w:numId w:val="15"/>
        </w:numPr>
        <w:tabs>
          <w:tab w:val="left" w:pos="525"/>
          <w:tab w:val="clear" w:pos="150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招标过程中由招标代理机构发出的澄清和修正文件</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招标文件的澄清</w:t>
      </w:r>
    </w:p>
    <w:p>
      <w:pPr>
        <w:numPr>
          <w:ilvl w:val="1"/>
          <w:numId w:val="16"/>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snapToGrid w:val="0"/>
          <w:kern w:val="0"/>
          <w:szCs w:val="21"/>
          <w:lang w:val="zh-CN"/>
        </w:rPr>
        <w:t>投标人</w:t>
      </w:r>
      <w:r>
        <w:rPr>
          <w:rFonts w:hint="eastAsia" w:ascii="宋体" w:hAnsi="宋体" w:cs="宋体"/>
          <w:snapToGrid w:val="0"/>
          <w:kern w:val="0"/>
          <w:szCs w:val="21"/>
          <w:lang w:val="zh-CN"/>
        </w:rPr>
        <w:t>获取</w:t>
      </w:r>
      <w:r>
        <w:rPr>
          <w:rFonts w:ascii="宋体" w:hAnsi="宋体" w:cs="宋体"/>
          <w:snapToGrid w:val="0"/>
          <w:kern w:val="0"/>
          <w:szCs w:val="21"/>
          <w:lang w:val="zh-CN"/>
        </w:rPr>
        <w:t>招标文件后，应认真检查，如发现页数</w:t>
      </w:r>
      <w:r>
        <w:rPr>
          <w:rFonts w:hint="eastAsia" w:ascii="宋体" w:hAnsi="宋体" w:cs="宋体"/>
          <w:snapToGrid w:val="0"/>
          <w:kern w:val="0"/>
          <w:szCs w:val="21"/>
          <w:lang w:val="zh-CN"/>
        </w:rPr>
        <w:t>不全、</w:t>
      </w:r>
      <w:r>
        <w:rPr>
          <w:rFonts w:ascii="宋体" w:hAnsi="宋体" w:cs="宋体"/>
          <w:snapToGrid w:val="0"/>
          <w:kern w:val="0"/>
          <w:szCs w:val="21"/>
          <w:lang w:val="zh-CN"/>
        </w:rPr>
        <w:t>附件</w:t>
      </w:r>
      <w:r>
        <w:rPr>
          <w:rFonts w:hint="eastAsia" w:ascii="宋体" w:hAnsi="宋体" w:cs="宋体"/>
          <w:snapToGrid w:val="0"/>
          <w:kern w:val="0"/>
          <w:szCs w:val="21"/>
          <w:lang w:val="zh-CN"/>
        </w:rPr>
        <w:t>缺失、印刷模糊等</w:t>
      </w:r>
      <w:r>
        <w:rPr>
          <w:rFonts w:ascii="宋体" w:hAnsi="宋体" w:cs="宋体"/>
          <w:snapToGrid w:val="0"/>
          <w:kern w:val="0"/>
          <w:szCs w:val="21"/>
          <w:lang w:val="zh-CN"/>
        </w:rPr>
        <w:t>，应通知招标代理机构补全</w:t>
      </w:r>
      <w:r>
        <w:rPr>
          <w:rFonts w:hint="eastAsia" w:ascii="宋体" w:hAnsi="宋体" w:cs="宋体"/>
          <w:snapToGrid w:val="0"/>
          <w:kern w:val="0"/>
          <w:szCs w:val="21"/>
          <w:lang w:val="zh-CN"/>
        </w:rPr>
        <w:t>或更换，否则风险自负。</w:t>
      </w:r>
    </w:p>
    <w:p>
      <w:pPr>
        <w:numPr>
          <w:ilvl w:val="1"/>
          <w:numId w:val="16"/>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投标人要求对本招标文件进行澄清的，均应以书面形式</w:t>
      </w:r>
      <w:r>
        <w:rPr>
          <w:rFonts w:ascii="宋体" w:hAnsi="宋体" w:cs="宋体"/>
          <w:snapToGrid w:val="0"/>
          <w:kern w:val="0"/>
          <w:szCs w:val="21"/>
          <w:lang w:val="zh-CN"/>
        </w:rPr>
        <w:t>（包括信函、</w:t>
      </w:r>
      <w:r>
        <w:rPr>
          <w:rFonts w:hint="eastAsia" w:ascii="宋体" w:hAnsi="宋体" w:cs="宋体"/>
          <w:snapToGrid w:val="0"/>
          <w:kern w:val="0"/>
          <w:szCs w:val="21"/>
          <w:lang w:val="zh-CN"/>
        </w:rPr>
        <w:t>电报、</w:t>
      </w:r>
      <w:r>
        <w:rPr>
          <w:rFonts w:ascii="宋体" w:hAnsi="宋体" w:cs="宋体"/>
          <w:snapToGrid w:val="0"/>
          <w:kern w:val="0"/>
          <w:szCs w:val="21"/>
          <w:lang w:val="zh-CN"/>
        </w:rPr>
        <w:t>传真等</w:t>
      </w:r>
      <w:r>
        <w:rPr>
          <w:rFonts w:hint="eastAsia" w:ascii="宋体" w:hAnsi="宋体" w:cs="宋体"/>
          <w:snapToGrid w:val="0"/>
          <w:kern w:val="0"/>
          <w:szCs w:val="21"/>
          <w:lang w:val="zh-CN"/>
        </w:rPr>
        <w:t>可以有形地表现所载内容的形式</w:t>
      </w:r>
      <w:r>
        <w:rPr>
          <w:rFonts w:ascii="宋体" w:hAnsi="宋体" w:cs="宋体"/>
          <w:snapToGrid w:val="0"/>
          <w:kern w:val="0"/>
          <w:szCs w:val="21"/>
          <w:lang w:val="zh-CN"/>
        </w:rPr>
        <w:t>，下同）</w:t>
      </w:r>
      <w:r>
        <w:rPr>
          <w:rFonts w:hint="eastAsia" w:ascii="宋体" w:hAnsi="宋体" w:cs="宋体"/>
          <w:snapToGrid w:val="0"/>
          <w:kern w:val="0"/>
          <w:szCs w:val="21"/>
          <w:lang w:val="zh-CN"/>
        </w:rPr>
        <w:t>在提疑截止时间以前向招标代理机构或招标人提出，提疑截止时间见《投标人须知前附表》</w:t>
      </w:r>
      <w:r>
        <w:rPr>
          <w:rFonts w:ascii="宋体" w:hAnsi="宋体" w:cs="宋体"/>
          <w:snapToGrid w:val="0"/>
          <w:kern w:val="0"/>
          <w:szCs w:val="21"/>
          <w:lang w:val="zh-CN"/>
        </w:rPr>
        <w:t>。</w:t>
      </w:r>
    </w:p>
    <w:p>
      <w:pPr>
        <w:autoSpaceDE w:val="0"/>
        <w:autoSpaceDN w:val="0"/>
        <w:adjustRightIn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招标代理机构对于符合澄清要求的，将在</w:t>
      </w:r>
      <w:r>
        <w:rPr>
          <w:rFonts w:ascii="宋体" w:hAnsi="宋体" w:cs="宋体"/>
          <w:snapToGrid w:val="0"/>
          <w:kern w:val="0"/>
          <w:szCs w:val="21"/>
          <w:lang w:val="zh-CN"/>
        </w:rPr>
        <w:t>湖北省成套招标股份有限公司网站</w:t>
      </w:r>
      <w:r>
        <w:rPr>
          <w:rFonts w:hint="eastAsia" w:ascii="宋体" w:hAnsi="宋体" w:cs="宋体"/>
          <w:snapToGrid w:val="0"/>
          <w:kern w:val="0"/>
          <w:szCs w:val="21"/>
          <w:lang w:val="zh-CN"/>
        </w:rPr>
        <w:t>上发布澄清文件</w:t>
      </w:r>
      <w:r>
        <w:rPr>
          <w:rFonts w:ascii="宋体" w:hAnsi="宋体" w:cs="宋体"/>
          <w:snapToGrid w:val="0"/>
          <w:kern w:val="0"/>
          <w:szCs w:val="21"/>
          <w:lang w:val="zh-CN"/>
        </w:rPr>
        <w:t>(</w:t>
      </w:r>
      <w:r>
        <w:rPr>
          <w:rFonts w:hint="eastAsia" w:ascii="宋体" w:hAnsi="宋体" w:cs="宋体"/>
          <w:snapToGrid w:val="0"/>
          <w:kern w:val="0"/>
          <w:szCs w:val="21"/>
          <w:lang w:val="zh-CN"/>
        </w:rPr>
        <w:t>答复中不包括问题的来源</w:t>
      </w:r>
      <w:r>
        <w:rPr>
          <w:rFonts w:ascii="宋体" w:hAnsi="宋体" w:cs="宋体"/>
          <w:snapToGrid w:val="0"/>
          <w:kern w:val="0"/>
          <w:szCs w:val="21"/>
          <w:lang w:val="zh-CN"/>
        </w:rPr>
        <w:t>)</w:t>
      </w:r>
      <w:r>
        <w:rPr>
          <w:rFonts w:hint="eastAsia" w:ascii="宋体" w:hAnsi="宋体" w:cs="宋体"/>
          <w:snapToGrid w:val="0"/>
          <w:kern w:val="0"/>
          <w:szCs w:val="21"/>
          <w:lang w:val="zh-CN"/>
        </w:rPr>
        <w:t>，澄清文件发布时间见《投标人须知前附表》。</w:t>
      </w:r>
    </w:p>
    <w:p>
      <w:pPr>
        <w:numPr>
          <w:ilvl w:val="1"/>
          <w:numId w:val="16"/>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投标人在规定的时间内未对招标文件澄清或提出疑问的，招标代理机构将视其为同意。</w:t>
      </w:r>
    </w:p>
    <w:p>
      <w:pPr>
        <w:numPr>
          <w:ilvl w:val="1"/>
          <w:numId w:val="16"/>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当招标文件、澄清文件对同一内容的表述不一致时，以最后发出的书面文件为准。</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招标文件的修改</w:t>
      </w:r>
    </w:p>
    <w:p>
      <w:pPr>
        <w:numPr>
          <w:ilvl w:val="1"/>
          <w:numId w:val="17"/>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招标人、招标代理机构可以对已发出的招标文件进行必要的修改。修改后的内容是招标文件的组成部分，</w:t>
      </w:r>
      <w:r>
        <w:rPr>
          <w:rFonts w:ascii="宋体" w:hAnsi="宋体" w:cs="宋体"/>
          <w:snapToGrid w:val="0"/>
          <w:kern w:val="0"/>
          <w:szCs w:val="21"/>
          <w:lang w:val="zh-CN"/>
        </w:rPr>
        <w:t>招标人或者招标代理机构</w:t>
      </w:r>
      <w:r>
        <w:rPr>
          <w:rFonts w:hint="eastAsia" w:ascii="宋体" w:hAnsi="宋体" w:cs="宋体"/>
          <w:snapToGrid w:val="0"/>
          <w:kern w:val="0"/>
          <w:szCs w:val="21"/>
          <w:lang w:val="zh-CN"/>
        </w:rPr>
        <w:t>将在</w:t>
      </w:r>
      <w:r>
        <w:rPr>
          <w:rFonts w:ascii="宋体" w:hAnsi="宋体" w:cs="宋体"/>
          <w:snapToGrid w:val="0"/>
          <w:kern w:val="0"/>
          <w:szCs w:val="21"/>
          <w:lang w:val="zh-CN"/>
        </w:rPr>
        <w:t>湖北省成套招标股份有限公司网站</w:t>
      </w:r>
      <w:r>
        <w:rPr>
          <w:rFonts w:hint="eastAsia" w:ascii="宋体" w:hAnsi="宋体" w:cs="宋体"/>
          <w:snapToGrid w:val="0"/>
          <w:kern w:val="0"/>
          <w:szCs w:val="21"/>
          <w:lang w:val="zh-CN"/>
        </w:rPr>
        <w:t>上发布修改文件，修改文件发布时间见《投标人须知前附表》，并对其具有约束力。</w:t>
      </w:r>
    </w:p>
    <w:p>
      <w:pPr>
        <w:numPr>
          <w:ilvl w:val="1"/>
          <w:numId w:val="17"/>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当招标文件、修改文件对同一内容的表述不一致时，以最后发出的书面文件为准。</w:t>
      </w:r>
    </w:p>
    <w:p>
      <w:pPr>
        <w:autoSpaceDE w:val="0"/>
        <w:autoSpaceDN w:val="0"/>
        <w:adjustRightInd w:val="0"/>
        <w:spacing w:line="360" w:lineRule="auto"/>
        <w:jc w:val="left"/>
        <w:rPr>
          <w:rFonts w:ascii="宋体" w:hAnsi="宋体" w:cs="宋体"/>
          <w:snapToGrid w:val="0"/>
          <w:kern w:val="0"/>
          <w:szCs w:val="21"/>
          <w:lang w:val="zh-CN"/>
        </w:rPr>
      </w:pPr>
    </w:p>
    <w:p>
      <w:pPr>
        <w:pStyle w:val="3"/>
        <w:numPr>
          <w:ilvl w:val="0"/>
          <w:numId w:val="8"/>
        </w:numPr>
        <w:spacing w:before="260" w:after="260" w:line="360" w:lineRule="auto"/>
        <w:jc w:val="center"/>
        <w:rPr>
          <w:rFonts w:ascii="宋体" w:hAnsi="宋体"/>
          <w:sz w:val="21"/>
          <w:szCs w:val="21"/>
        </w:rPr>
      </w:pPr>
      <w:bookmarkStart w:id="43" w:name="_Toc421688554"/>
      <w:bookmarkStart w:id="44" w:name="_Toc333771887"/>
      <w:bookmarkStart w:id="45" w:name="_Toc48634271"/>
      <w:r>
        <w:rPr>
          <w:rFonts w:hint="eastAsia" w:ascii="宋体" w:hAnsi="宋体"/>
          <w:sz w:val="21"/>
          <w:szCs w:val="21"/>
        </w:rPr>
        <w:t>投标文件</w:t>
      </w:r>
      <w:bookmarkEnd w:id="43"/>
      <w:bookmarkEnd w:id="44"/>
      <w:bookmarkEnd w:id="45"/>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投标的语言和计量单位</w:t>
      </w:r>
    </w:p>
    <w:p>
      <w:pPr>
        <w:numPr>
          <w:ilvl w:val="1"/>
          <w:numId w:val="18"/>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提交的投标文件以及投标人与招标代理机构或招标人就有关投标的所有来往函电均应使用中文。投标人提交的支持文件或印刷的文献可以用另一种语言，但相应内容应附有中文翻译本，在解释投标文件时以中文翻译本为准。</w:t>
      </w:r>
    </w:p>
    <w:p>
      <w:pPr>
        <w:numPr>
          <w:ilvl w:val="1"/>
          <w:numId w:val="18"/>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snapToGrid w:val="0"/>
          <w:kern w:val="0"/>
          <w:szCs w:val="21"/>
          <w:lang w:val="zh-CN"/>
        </w:rPr>
        <w:t>除非招标文件中另有规定，计量单位均采用中华人民共和国法定的计量单位。</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投标文件的构成</w:t>
      </w:r>
    </w:p>
    <w:p>
      <w:pPr>
        <w:numPr>
          <w:ilvl w:val="1"/>
          <w:numId w:val="19"/>
        </w:numPr>
        <w:tabs>
          <w:tab w:val="left" w:pos="525"/>
          <w:tab w:val="clear" w:pos="36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投标人编制的投标文件应包括但不少于下列内容：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kern w:val="0"/>
          <w:szCs w:val="21"/>
        </w:rPr>
        <w:t>价格部分：</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 xml:space="preserve">投标函； </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 xml:space="preserve">投标一览表（报价表）； </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szCs w:val="21"/>
        </w:rPr>
        <w:t>投标范围以外的服务报价表（如有）。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商务部分：</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交纳投标保证金的凭证；</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 xml:space="preserve">法定代表人授权书（或法定代表人身份证明书）； </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营业执照、资质证书等资格证明文件；</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项目负责人、其他主要人员简历表和注册执业资格（职称）证书；</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企业技术实力、以往业绩、获奖情况、信誉（如有时）；</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招标文件中要求提供的其他资料，见《投标人须知前附表》。</w:t>
      </w:r>
    </w:p>
    <w:p>
      <w:pPr>
        <w:tabs>
          <w:tab w:val="left" w:pos="360"/>
        </w:tabs>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技术部分：</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投标人针对本项目的服务承诺；</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其他部分</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投标人认为需提供的相关资料。</w:t>
      </w:r>
    </w:p>
    <w:p>
      <w:pPr>
        <w:numPr>
          <w:ilvl w:val="2"/>
          <w:numId w:val="20"/>
        </w:numPr>
        <w:tabs>
          <w:tab w:val="left" w:pos="360"/>
        </w:tabs>
        <w:autoSpaceDE w:val="0"/>
        <w:autoSpaceDN w:val="0"/>
        <w:adjustRightInd w:val="0"/>
        <w:spacing w:line="360" w:lineRule="auto"/>
        <w:ind w:left="360" w:hanging="360"/>
        <w:jc w:val="left"/>
        <w:rPr>
          <w:rFonts w:ascii="宋体" w:hAnsi="宋体" w:cs="宋体"/>
          <w:snapToGrid w:val="0"/>
          <w:kern w:val="0"/>
          <w:szCs w:val="21"/>
          <w:lang w:val="zh-CN"/>
        </w:rPr>
      </w:pPr>
      <w:r>
        <w:rPr>
          <w:rFonts w:hint="eastAsia" w:ascii="宋体" w:hAnsi="宋体" w:cs="宋体"/>
          <w:snapToGrid w:val="0"/>
          <w:kern w:val="0"/>
          <w:szCs w:val="21"/>
          <w:lang w:val="zh-CN"/>
        </w:rPr>
        <w:t>技术文件</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投标文件编制</w:t>
      </w:r>
    </w:p>
    <w:p>
      <w:pPr>
        <w:numPr>
          <w:ilvl w:val="1"/>
          <w:numId w:val="2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投标人应当按照本招标文件的要求编制投标文件，并对其提交的投标文件及全部资料的真实性、合法性承担法律责任，并接受招标代理机构对其中任何资料进一步核实的要求。</w:t>
      </w:r>
    </w:p>
    <w:p>
      <w:pPr>
        <w:numPr>
          <w:ilvl w:val="1"/>
          <w:numId w:val="2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投标人应认真阅读招标文件中所有内容，并对本招标文件提出的要求和条件作出实质性响应</w:t>
      </w:r>
      <w:r>
        <w:rPr>
          <w:rFonts w:hint="eastAsia" w:ascii="宋体" w:hAnsi="宋体" w:cs="宋体"/>
          <w:kern w:val="0"/>
          <w:sz w:val="23"/>
          <w:szCs w:val="23"/>
        </w:rPr>
        <w:t>。</w:t>
      </w:r>
      <w:r>
        <w:rPr>
          <w:rFonts w:hint="eastAsia" w:ascii="宋体" w:hAnsi="宋体" w:cs="宋体"/>
          <w:snapToGrid w:val="0"/>
          <w:kern w:val="0"/>
          <w:szCs w:val="21"/>
          <w:lang w:val="zh-CN"/>
        </w:rPr>
        <w:t>如投标人没有按照招标文件的要求提交全部资料，或者投标文件没有对本招标文件在各方面都做出实质性响应的，其投标将被视为无效投标。</w:t>
      </w:r>
    </w:p>
    <w:p>
      <w:pPr>
        <w:numPr>
          <w:ilvl w:val="1"/>
          <w:numId w:val="2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投标人应完整地按本招标文件的要求提交所有资料并按要求的格式填写规定的所有内容。如未规定格式的，相关格式由投标人自定。</w:t>
      </w:r>
    </w:p>
    <w:p>
      <w:pPr>
        <w:numPr>
          <w:ilvl w:val="1"/>
          <w:numId w:val="2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投标人在编制投标文件时应注意本次招标对多包投标的规定，规定见《投标人须知前附表》，无相应内容可填项的，应填写“无”、“未测试”、“没有相应指标”等明确的回答文字。</w:t>
      </w:r>
    </w:p>
    <w:p>
      <w:pPr>
        <w:numPr>
          <w:ilvl w:val="1"/>
          <w:numId w:val="2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投标人应当对投标文件进行不可拆卸的装订，对未经装订的投标文件可能发生的文件散落或缺损及由此产生的后果由投标人承担。</w:t>
      </w:r>
    </w:p>
    <w:p>
      <w:pPr>
        <w:numPr>
          <w:ilvl w:val="1"/>
          <w:numId w:val="2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本项目招标文件中*号条款不允许负偏离。</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投标报价</w:t>
      </w:r>
    </w:p>
    <w:p>
      <w:pPr>
        <w:numPr>
          <w:ilvl w:val="1"/>
          <w:numId w:val="22"/>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投标人的报价均应以人民币进行报价。</w:t>
      </w:r>
    </w:p>
    <w:p>
      <w:pPr>
        <w:numPr>
          <w:ilvl w:val="1"/>
          <w:numId w:val="22"/>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应按照本招标文件规定的招标需求及合同条款进行报价，并按招标文件确定的格式报出。投标总价中不得包含招标文件要求以外的内容，否则，在评标时不予核减。投标总价中也不得缺漏招标文件所要求的内容，否则，其投标将被视为无效投标。</w:t>
      </w:r>
    </w:p>
    <w:p>
      <w:pPr>
        <w:numPr>
          <w:ilvl w:val="1"/>
          <w:numId w:val="22"/>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应根据本招标文件的规定和要求、市场价格水平及其走势、投标人的管理水平、投标人的方案和由这些因素决定的投标人之于本项目的成本水平等提出自己的报价。报价应包含完成本招标文件招标需求全部内容的所有费用（包扣差旅费），所有根据本招标文件或其它原因应由投标人支付的税款和其他应交纳的费用都应包括在投标人提交的投标报价中。但投标人不得以低于其成本的价格进行报价。</w:t>
      </w:r>
    </w:p>
    <w:p>
      <w:pPr>
        <w:numPr>
          <w:ilvl w:val="1"/>
          <w:numId w:val="22"/>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投标人在投标文件中注明免费的项目将视为包含在投标总价中。</w:t>
      </w:r>
    </w:p>
    <w:p>
      <w:pPr>
        <w:numPr>
          <w:ilvl w:val="1"/>
          <w:numId w:val="22"/>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每一种招标内容只允许有一个报价，否则其投标将被视为无效投标。</w:t>
      </w:r>
    </w:p>
    <w:p>
      <w:pPr>
        <w:numPr>
          <w:ilvl w:val="1"/>
          <w:numId w:val="22"/>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投标人所报的投标价在合同执行过程中是固定不变的，不得以任何理由予以变更。</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备选方案</w:t>
      </w:r>
    </w:p>
    <w:p>
      <w:pPr>
        <w:numPr>
          <w:ilvl w:val="1"/>
          <w:numId w:val="23"/>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是否接受备选方案见《投标人须知前附表》。</w:t>
      </w:r>
    </w:p>
    <w:p>
      <w:pPr>
        <w:numPr>
          <w:ilvl w:val="1"/>
          <w:numId w:val="23"/>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szCs w:val="21"/>
        </w:rPr>
        <w:t>本次招标若接受备选方案的，</w:t>
      </w:r>
      <w:r>
        <w:rPr>
          <w:rFonts w:ascii="宋体" w:hAnsi="宋体"/>
          <w:szCs w:val="21"/>
        </w:rPr>
        <w:t>投标人</w:t>
      </w:r>
      <w:r>
        <w:rPr>
          <w:rFonts w:hint="eastAsia" w:ascii="宋体" w:hAnsi="宋体"/>
          <w:szCs w:val="21"/>
        </w:rPr>
        <w:t>在投标文件中只能提供一个备选方案并注明主选方案，且备选方案的投标价格不得高于主选方案。</w:t>
      </w:r>
      <w:r>
        <w:rPr>
          <w:rFonts w:ascii="宋体" w:hAnsi="宋体"/>
          <w:szCs w:val="21"/>
        </w:rPr>
        <w:t>评标时仅对主选方案评议。如果投标人</w:t>
      </w:r>
      <w:r>
        <w:rPr>
          <w:rFonts w:hint="eastAsia" w:ascii="宋体" w:hAnsi="宋体"/>
          <w:szCs w:val="21"/>
        </w:rPr>
        <w:t>提供两个以上备选方案或</w:t>
      </w:r>
      <w:r>
        <w:rPr>
          <w:rFonts w:ascii="宋体" w:hAnsi="宋体"/>
          <w:szCs w:val="21"/>
        </w:rPr>
        <w:t>未</w:t>
      </w:r>
      <w:r>
        <w:rPr>
          <w:rFonts w:hint="eastAsia" w:ascii="宋体" w:hAnsi="宋体"/>
          <w:szCs w:val="21"/>
        </w:rPr>
        <w:t>注</w:t>
      </w:r>
      <w:r>
        <w:rPr>
          <w:rFonts w:ascii="宋体" w:hAnsi="宋体"/>
          <w:szCs w:val="21"/>
        </w:rPr>
        <w:t>明主选方案，其投标将被拒绝。</w:t>
      </w:r>
    </w:p>
    <w:p>
      <w:pPr>
        <w:numPr>
          <w:ilvl w:val="1"/>
          <w:numId w:val="23"/>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 xml:space="preserve">不接受备选方案的，若在投标文件中提交了备选方案，其投标将被视为无效投标。 </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联合体投标</w:t>
      </w:r>
    </w:p>
    <w:p>
      <w:pPr>
        <w:numPr>
          <w:ilvl w:val="1"/>
          <w:numId w:val="24"/>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本次招标是否允许联合体投标见《投标人须知前附表》。</w:t>
      </w:r>
    </w:p>
    <w:p>
      <w:pPr>
        <w:numPr>
          <w:ilvl w:val="1"/>
          <w:numId w:val="24"/>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本次招标允许联合体投标的应满足以下要求：</w:t>
      </w:r>
      <w:r>
        <w:rPr>
          <w:rFonts w:hint="eastAsia" w:ascii="宋体" w:hAnsi="宋体" w:cs="宋体"/>
          <w:snapToGrid w:val="0"/>
          <w:kern w:val="0"/>
          <w:szCs w:val="21"/>
        </w:rPr>
        <w:t>(1）联合体各方应签订联合体协议书，明确联合体牵头人和各方权利义务；(2）联合体各方不得再以自己名义单独或参加其他联合体在同一标段中投标。</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投标人资格证明文件</w:t>
      </w:r>
    </w:p>
    <w:p>
      <w:pPr>
        <w:numPr>
          <w:ilvl w:val="1"/>
          <w:numId w:val="25"/>
        </w:numPr>
        <w:tabs>
          <w:tab w:val="left" w:pos="525"/>
          <w:tab w:val="left" w:pos="136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投标人应提交证明其有资格参加投标的证明文件，证明文件应包括下列文件：</w:t>
      </w:r>
    </w:p>
    <w:p>
      <w:pPr>
        <w:numPr>
          <w:ilvl w:val="3"/>
          <w:numId w:val="20"/>
        </w:numPr>
        <w:tabs>
          <w:tab w:val="left" w:pos="360"/>
          <w:tab w:val="clear" w:pos="2040"/>
        </w:tabs>
        <w:autoSpaceDE w:val="0"/>
        <w:autoSpaceDN w:val="0"/>
        <w:adjustRightInd w:val="0"/>
        <w:spacing w:line="360" w:lineRule="auto"/>
        <w:ind w:hanging="2040"/>
        <w:jc w:val="left"/>
        <w:rPr>
          <w:rFonts w:ascii="宋体" w:hAnsi="宋体" w:cs="宋体"/>
          <w:snapToGrid w:val="0"/>
          <w:kern w:val="0"/>
          <w:szCs w:val="21"/>
          <w:lang w:val="zh-CN"/>
        </w:rPr>
      </w:pPr>
      <w:r>
        <w:rPr>
          <w:rFonts w:hint="eastAsia" w:ascii="宋体" w:hAnsi="宋体" w:cs="宋体"/>
          <w:snapToGrid w:val="0"/>
          <w:kern w:val="0"/>
          <w:szCs w:val="21"/>
          <w:lang w:val="zh-CN"/>
        </w:rPr>
        <w:t>营业执照（复印件）；</w:t>
      </w:r>
    </w:p>
    <w:p>
      <w:pPr>
        <w:numPr>
          <w:ilvl w:val="3"/>
          <w:numId w:val="20"/>
        </w:numPr>
        <w:tabs>
          <w:tab w:val="left" w:pos="360"/>
          <w:tab w:val="clear" w:pos="2040"/>
        </w:tabs>
        <w:autoSpaceDE w:val="0"/>
        <w:autoSpaceDN w:val="0"/>
        <w:adjustRightInd w:val="0"/>
        <w:spacing w:line="360" w:lineRule="auto"/>
        <w:ind w:hanging="2040"/>
        <w:jc w:val="left"/>
        <w:rPr>
          <w:rFonts w:ascii="宋体" w:hAnsi="宋体" w:cs="宋体"/>
          <w:snapToGrid w:val="0"/>
          <w:kern w:val="0"/>
          <w:szCs w:val="21"/>
          <w:lang w:val="zh-CN"/>
        </w:rPr>
      </w:pPr>
      <w:r>
        <w:rPr>
          <w:rFonts w:hint="eastAsia" w:ascii="宋体" w:hAnsi="宋体" w:cs="宋体"/>
          <w:snapToGrid w:val="0"/>
          <w:kern w:val="0"/>
          <w:szCs w:val="21"/>
          <w:lang w:val="zh-CN"/>
        </w:rPr>
        <w:t>纳税证明（国税、地税复印件）；</w:t>
      </w:r>
    </w:p>
    <w:p>
      <w:pPr>
        <w:numPr>
          <w:ilvl w:val="3"/>
          <w:numId w:val="20"/>
        </w:numPr>
        <w:tabs>
          <w:tab w:val="left" w:pos="360"/>
          <w:tab w:val="clear" w:pos="204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招标文件要求投标人应提交的其它资格证明文件，应提交的其它资格证明文件见《投标人须知前附表》。</w:t>
      </w:r>
    </w:p>
    <w:p>
      <w:pPr>
        <w:numPr>
          <w:ilvl w:val="1"/>
          <w:numId w:val="25"/>
        </w:numPr>
        <w:tabs>
          <w:tab w:val="left" w:pos="525"/>
          <w:tab w:val="left" w:pos="136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除本须知14.1要求的资格证明文件外，如国家法律法规对市场准入有要求的还应提交相关资格证明文件。</w:t>
      </w:r>
    </w:p>
    <w:p>
      <w:pPr>
        <w:numPr>
          <w:ilvl w:val="1"/>
          <w:numId w:val="25"/>
        </w:numPr>
        <w:tabs>
          <w:tab w:val="left" w:pos="525"/>
          <w:tab w:val="left" w:pos="136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证明材料仅限于投标人本身，母公司、股东单位和子公司的材料不能作为证明材料，但投标人兼并的企业的材料可作为证明材料。采用复印件的必须加盖单位印章。</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证明投标内容符合招标文件要求的文件和招标文件规定的其他资料</w:t>
      </w:r>
    </w:p>
    <w:p>
      <w:pPr>
        <w:numPr>
          <w:ilvl w:val="1"/>
          <w:numId w:val="26"/>
        </w:numPr>
        <w:tabs>
          <w:tab w:val="left" w:pos="0"/>
          <w:tab w:val="left" w:pos="540"/>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证明投标内容符合招标文件要求的文件和招标文件规定的其他资料，如投标产品样本、使用保养说明书和图纸等技术资料、相应检测报告复印件等，具体要求见《投标人须知前附表》。</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pPr>
        <w:numPr>
          <w:ilvl w:val="1"/>
          <w:numId w:val="27"/>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本投标文件是否要求递交投标保证金及保证金金额、递交方式、递交时间、接受保证金的帐户信息等详见《投标人须知前附表》。</w:t>
      </w:r>
    </w:p>
    <w:p>
      <w:pPr>
        <w:numPr>
          <w:ilvl w:val="1"/>
          <w:numId w:val="27"/>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本招标文件要求递交投标保证金的，投标保证金作为投标文件的组成部分，以到账为准。凡未按规定递交投标保证金的，其投标将被视为无效投标。</w:t>
      </w:r>
    </w:p>
    <w:p>
      <w:pPr>
        <w:numPr>
          <w:ilvl w:val="1"/>
          <w:numId w:val="27"/>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投标保证金有效期：投标保证金的有效时间与本次投标有效期一致。</w:t>
      </w:r>
    </w:p>
    <w:p>
      <w:pPr>
        <w:numPr>
          <w:ilvl w:val="1"/>
          <w:numId w:val="27"/>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投标人为联合体的，应由联合体中牵头人交纳保证金，其交纳的保证金对联合体各方均具有约束力。</w:t>
      </w:r>
    </w:p>
    <w:p>
      <w:pPr>
        <w:numPr>
          <w:ilvl w:val="1"/>
          <w:numId w:val="27"/>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保证金的退还：</w:t>
      </w:r>
    </w:p>
    <w:p>
      <w:pPr>
        <w:tabs>
          <w:tab w:val="left" w:pos="525"/>
        </w:tabs>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1）终止招标并已经收取投标保证金的项目，本公司将退还所收取的投标保证金及银行同期存款利息。</w:t>
      </w:r>
    </w:p>
    <w:p>
      <w:pPr>
        <w:tabs>
          <w:tab w:val="left" w:pos="525"/>
        </w:tabs>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2）我公司当在书面合同签订后</w:t>
      </w:r>
      <w:r>
        <w:rPr>
          <w:rFonts w:ascii="宋体" w:hAnsi="宋体" w:cs="宋体"/>
          <w:snapToGrid w:val="0"/>
          <w:kern w:val="0"/>
          <w:szCs w:val="21"/>
          <w:lang w:val="zh-CN"/>
        </w:rPr>
        <w:t>5</w:t>
      </w:r>
      <w:r>
        <w:rPr>
          <w:rFonts w:hint="eastAsia" w:ascii="宋体" w:hAnsi="宋体" w:cs="宋体"/>
          <w:snapToGrid w:val="0"/>
          <w:kern w:val="0"/>
          <w:szCs w:val="21"/>
          <w:lang w:val="zh-CN"/>
        </w:rPr>
        <w:t>日内向中标人和未中标的投标人退还投标保证金及银行同期存款利息。</w:t>
      </w:r>
    </w:p>
    <w:p>
      <w:pPr>
        <w:numPr>
          <w:ilvl w:val="1"/>
          <w:numId w:val="27"/>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中标投标人有下列情形之一的，招标单位不予退还其交纳的投标保证金；情节严重的，由财政部门将其列入不良行为记录名单，在一至三年内禁止参加招标活动，并予以通报：</w:t>
      </w:r>
    </w:p>
    <w:p>
      <w:pPr>
        <w:numPr>
          <w:ilvl w:val="0"/>
          <w:numId w:val="28"/>
        </w:numPr>
        <w:tabs>
          <w:tab w:val="left" w:pos="360"/>
          <w:tab w:val="clear" w:pos="2040"/>
        </w:tabs>
        <w:autoSpaceDE w:val="0"/>
        <w:autoSpaceDN w:val="0"/>
        <w:adjustRightInd w:val="0"/>
        <w:spacing w:line="360" w:lineRule="auto"/>
        <w:ind w:left="360"/>
        <w:jc w:val="left"/>
        <w:rPr>
          <w:rFonts w:ascii="宋体" w:hAnsi="宋体" w:cs="宋体"/>
          <w:snapToGrid w:val="0"/>
          <w:kern w:val="0"/>
          <w:szCs w:val="21"/>
          <w:lang w:val="zh-CN"/>
        </w:rPr>
      </w:pPr>
      <w:r>
        <w:rPr>
          <w:rFonts w:hint="eastAsia" w:ascii="宋体" w:hAnsi="宋体" w:cs="宋体"/>
          <w:snapToGrid w:val="0"/>
          <w:kern w:val="0"/>
          <w:szCs w:val="21"/>
          <w:lang w:val="zh-CN"/>
        </w:rPr>
        <w:t>投标人在提交投标文件截止时间后撤回投标文件的；</w:t>
      </w:r>
    </w:p>
    <w:p>
      <w:pPr>
        <w:numPr>
          <w:ilvl w:val="0"/>
          <w:numId w:val="28"/>
        </w:numPr>
        <w:tabs>
          <w:tab w:val="left" w:pos="360"/>
          <w:tab w:val="clear" w:pos="2040"/>
        </w:tabs>
        <w:autoSpaceDE w:val="0"/>
        <w:autoSpaceDN w:val="0"/>
        <w:adjustRightInd w:val="0"/>
        <w:spacing w:line="360" w:lineRule="auto"/>
        <w:ind w:left="360"/>
        <w:jc w:val="left"/>
        <w:rPr>
          <w:rFonts w:ascii="宋体" w:hAnsi="宋体" w:cs="宋体"/>
          <w:snapToGrid w:val="0"/>
          <w:kern w:val="0"/>
          <w:szCs w:val="21"/>
          <w:lang w:val="zh-CN"/>
        </w:rPr>
      </w:pPr>
      <w:r>
        <w:rPr>
          <w:rFonts w:hint="eastAsia" w:ascii="宋体" w:hAnsi="宋体" w:cs="宋体"/>
          <w:snapToGrid w:val="0"/>
          <w:kern w:val="0"/>
          <w:szCs w:val="21"/>
          <w:lang w:val="zh-CN"/>
        </w:rPr>
        <w:t>投标人在谈判文件中提供虚假材料的；</w:t>
      </w:r>
    </w:p>
    <w:p>
      <w:pPr>
        <w:numPr>
          <w:ilvl w:val="0"/>
          <w:numId w:val="28"/>
        </w:numPr>
        <w:tabs>
          <w:tab w:val="left" w:pos="360"/>
          <w:tab w:val="clear" w:pos="2040"/>
        </w:tabs>
        <w:autoSpaceDE w:val="0"/>
        <w:autoSpaceDN w:val="0"/>
        <w:adjustRightInd w:val="0"/>
        <w:spacing w:line="360" w:lineRule="auto"/>
        <w:ind w:left="360"/>
        <w:jc w:val="left"/>
        <w:rPr>
          <w:rFonts w:ascii="宋体" w:hAnsi="宋体" w:cs="宋体"/>
          <w:snapToGrid w:val="0"/>
          <w:kern w:val="0"/>
          <w:szCs w:val="21"/>
          <w:lang w:val="zh-CN"/>
        </w:rPr>
      </w:pPr>
      <w:r>
        <w:rPr>
          <w:rFonts w:hint="eastAsia" w:ascii="宋体" w:hAnsi="宋体" w:cs="宋体"/>
          <w:snapToGrid w:val="0"/>
          <w:kern w:val="0"/>
          <w:szCs w:val="21"/>
          <w:lang w:val="zh-CN"/>
        </w:rPr>
        <w:t>除因不可抗力或本招标文件认可的情形以外，中标人不与招标人签订合同的拒绝履行合同义务的。</w:t>
      </w:r>
    </w:p>
    <w:p>
      <w:pPr>
        <w:numPr>
          <w:ilvl w:val="0"/>
          <w:numId w:val="28"/>
        </w:numPr>
        <w:tabs>
          <w:tab w:val="left" w:pos="360"/>
          <w:tab w:val="clear" w:pos="2040"/>
        </w:tabs>
        <w:autoSpaceDE w:val="0"/>
        <w:autoSpaceDN w:val="0"/>
        <w:adjustRightInd w:val="0"/>
        <w:spacing w:line="360" w:lineRule="auto"/>
        <w:ind w:left="360"/>
        <w:jc w:val="left"/>
        <w:rPr>
          <w:rFonts w:ascii="宋体" w:hAnsi="宋体" w:cs="宋体"/>
          <w:snapToGrid w:val="0"/>
          <w:kern w:val="0"/>
          <w:szCs w:val="21"/>
          <w:lang w:val="zh-CN"/>
        </w:rPr>
      </w:pPr>
      <w:r>
        <w:rPr>
          <w:rFonts w:hint="eastAsia" w:ascii="宋体" w:hAnsi="宋体" w:cs="宋体"/>
          <w:snapToGrid w:val="0"/>
          <w:kern w:val="0"/>
          <w:szCs w:val="21"/>
          <w:lang w:val="zh-CN"/>
        </w:rPr>
        <w:t>投标人与招标人、其他投标人或者招标代理机构恶意串通的；</w:t>
      </w:r>
    </w:p>
    <w:p>
      <w:pPr>
        <w:numPr>
          <w:ilvl w:val="0"/>
          <w:numId w:val="28"/>
        </w:numPr>
        <w:tabs>
          <w:tab w:val="left" w:pos="360"/>
          <w:tab w:val="clear" w:pos="2040"/>
        </w:tabs>
        <w:autoSpaceDE w:val="0"/>
        <w:autoSpaceDN w:val="0"/>
        <w:adjustRightInd w:val="0"/>
        <w:spacing w:line="360" w:lineRule="auto"/>
        <w:ind w:left="360"/>
        <w:jc w:val="left"/>
        <w:rPr>
          <w:rFonts w:ascii="宋体" w:hAnsi="宋体" w:cs="宋体"/>
          <w:snapToGrid w:val="0"/>
          <w:kern w:val="0"/>
          <w:szCs w:val="21"/>
          <w:lang w:val="zh-CN"/>
        </w:rPr>
      </w:pPr>
      <w:r>
        <w:rPr>
          <w:rFonts w:hint="eastAsia" w:ascii="宋体" w:hAnsi="宋体" w:cs="宋体"/>
          <w:snapToGrid w:val="0"/>
          <w:kern w:val="0"/>
          <w:szCs w:val="21"/>
          <w:lang w:val="zh-CN"/>
        </w:rPr>
        <w:t>将中标项目转让给他人，或者在投标文件中未说明，且未经招标人同意，将中标项目分包给他人的；</w:t>
      </w:r>
    </w:p>
    <w:p>
      <w:pPr>
        <w:numPr>
          <w:ilvl w:val="0"/>
          <w:numId w:val="28"/>
        </w:numPr>
        <w:tabs>
          <w:tab w:val="left" w:pos="360"/>
          <w:tab w:val="clear" w:pos="2040"/>
        </w:tabs>
        <w:autoSpaceDE w:val="0"/>
        <w:autoSpaceDN w:val="0"/>
        <w:adjustRightInd w:val="0"/>
        <w:spacing w:line="360" w:lineRule="auto"/>
        <w:ind w:left="360"/>
        <w:jc w:val="left"/>
        <w:rPr>
          <w:rFonts w:ascii="宋体" w:hAnsi="宋体" w:cs="宋体"/>
          <w:snapToGrid w:val="0"/>
          <w:kern w:val="0"/>
          <w:szCs w:val="21"/>
          <w:lang w:val="zh-CN"/>
        </w:rPr>
      </w:pPr>
      <w:r>
        <w:rPr>
          <w:rFonts w:hint="eastAsia" w:ascii="宋体" w:hAnsi="宋体" w:cs="宋体"/>
          <w:snapToGrid w:val="0"/>
          <w:kern w:val="0"/>
          <w:szCs w:val="21"/>
          <w:lang w:val="zh-CN"/>
        </w:rPr>
        <w:t>拒绝履行合同义务的；</w:t>
      </w:r>
    </w:p>
    <w:p>
      <w:pPr>
        <w:numPr>
          <w:ilvl w:val="0"/>
          <w:numId w:val="28"/>
        </w:numPr>
        <w:tabs>
          <w:tab w:val="left" w:pos="360"/>
          <w:tab w:val="clear" w:pos="2040"/>
        </w:tabs>
        <w:autoSpaceDE w:val="0"/>
        <w:autoSpaceDN w:val="0"/>
        <w:adjustRightInd w:val="0"/>
        <w:spacing w:line="360" w:lineRule="auto"/>
        <w:ind w:left="360"/>
        <w:jc w:val="left"/>
        <w:rPr>
          <w:rFonts w:ascii="宋体" w:hAnsi="宋体" w:cs="宋体"/>
          <w:snapToGrid w:val="0"/>
          <w:kern w:val="0"/>
          <w:szCs w:val="21"/>
          <w:lang w:val="zh-CN"/>
        </w:rPr>
      </w:pPr>
      <w:r>
        <w:rPr>
          <w:rFonts w:hint="eastAsia" w:ascii="宋体" w:hAnsi="宋体" w:cs="宋体"/>
          <w:snapToGrid w:val="0"/>
          <w:kern w:val="0"/>
          <w:szCs w:val="21"/>
          <w:lang w:val="zh-CN"/>
        </w:rPr>
        <w:t>本招标文件规定的其他情形。</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投标有效期</w:t>
      </w:r>
    </w:p>
    <w:p>
      <w:pPr>
        <w:numPr>
          <w:ilvl w:val="1"/>
          <w:numId w:val="29"/>
        </w:numPr>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投标有效期从递交投标文件的截止之日起计算，本次招标投标有效期见《投标人须知前附表》，投标人承诺的投标有效期不足的，其投标将被视为无效投标。</w:t>
      </w:r>
    </w:p>
    <w:p>
      <w:pPr>
        <w:numPr>
          <w:ilvl w:val="1"/>
          <w:numId w:val="29"/>
        </w:numPr>
        <w:tabs>
          <w:tab w:val="left" w:pos="525"/>
          <w:tab w:val="clear" w:pos="60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特殊情况下，在原投标有效期截止之前，招标代理机构或招标人可要求投标人延长投标有效期。需要延长投标有效期时，招标人及招标代理机构将以书面形式通知所有获取招标文件的投标人，投标人应以书面形式答复是否同意延长投标有效期。投标人同意延长的，其投标保证金的有效期相应延长，但不得要求或被允许修改或撤销其投标文件；投标人拒绝延长的，其投标在原投标有效期满后将不再有效，投标人有权收回其投标保证金。</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投标文件的装订、签署和数量</w:t>
      </w:r>
    </w:p>
    <w:p>
      <w:pPr>
        <w:numPr>
          <w:ilvl w:val="1"/>
          <w:numId w:val="30"/>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递交的投标文件应包括正本、副本、完整的电子文档及单独提供的法定代表人授权委托书（或法定代表人身份证明书）、报价一览表、优惠声明（如有）。本次招标投标人提交投标文件的正、副本和电子文档的数量见《投标人须知前附表》。</w:t>
      </w:r>
    </w:p>
    <w:p>
      <w:pPr>
        <w:autoSpaceDE w:val="0"/>
        <w:autoSpaceDN w:val="0"/>
        <w:adjustRightIn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 xml:space="preserve">每套投标文件须清楚地标明“正本”、“副本”，投标文件的副本可采用正本的复印件，若副本与正本不符，以正本为准；如单独提供的法定代表人授权委托书（或法定代表人身份证明书）、报价一览表、优惠声明（如有）与投标文件正本不符的，以正本为准。电子文档与纸质文件不符，以纸质文件为准 </w:t>
      </w:r>
    </w:p>
    <w:p>
      <w:pPr>
        <w:numPr>
          <w:ilvl w:val="1"/>
          <w:numId w:val="30"/>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文件应该编制目录和页码。正本需打印或用不褪色墨水书写，并由法定代表人或授权代表签字并加盖公章。由授权代表签字的，投标文件中应提交《法定代表人授权书》。投标人为自然人的，由投标人本人签字并附身份证明。</w:t>
      </w:r>
    </w:p>
    <w:p>
      <w:pPr>
        <w:numPr>
          <w:ilvl w:val="1"/>
          <w:numId w:val="30"/>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投标文件中的任何行间插字、涂改和增删，必须由法定代表人或委托代理人在旁边签字方才有效。</w:t>
      </w:r>
    </w:p>
    <w:p>
      <w:pPr>
        <w:numPr>
          <w:ilvl w:val="1"/>
          <w:numId w:val="30"/>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投标文件应当采用不可拆卸的方法的装订，对未经装订的投标文件可能发生的文件散落或缺损及由此产生的后果由投标人承担。</w:t>
      </w:r>
    </w:p>
    <w:p>
      <w:pPr>
        <w:pStyle w:val="3"/>
        <w:numPr>
          <w:ilvl w:val="0"/>
          <w:numId w:val="8"/>
        </w:numPr>
        <w:spacing w:before="260" w:after="260" w:line="360" w:lineRule="auto"/>
        <w:jc w:val="center"/>
        <w:rPr>
          <w:rFonts w:ascii="宋体" w:hAnsi="宋体"/>
          <w:sz w:val="21"/>
          <w:szCs w:val="21"/>
        </w:rPr>
      </w:pPr>
      <w:bookmarkStart w:id="46" w:name="_Toc333771888"/>
      <w:bookmarkStart w:id="47" w:name="_Toc421688555"/>
      <w:bookmarkStart w:id="48" w:name="_Toc48634272"/>
      <w:r>
        <w:rPr>
          <w:rFonts w:hint="eastAsia" w:ascii="宋体" w:hAnsi="宋体"/>
          <w:sz w:val="21"/>
          <w:szCs w:val="21"/>
        </w:rPr>
        <w:t>投标文件的递交</w:t>
      </w:r>
      <w:bookmarkEnd w:id="46"/>
      <w:bookmarkEnd w:id="47"/>
      <w:bookmarkEnd w:id="48"/>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投标文件的密封和标记</w:t>
      </w:r>
    </w:p>
    <w:p>
      <w:pPr>
        <w:numPr>
          <w:ilvl w:val="1"/>
          <w:numId w:val="3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投标文件的正本、所有副本和电子文档必须装订后密封递交，密封包装上应注明招标编号、项目名称、包号、投标人名称及“</w:t>
      </w:r>
      <w:r>
        <w:rPr>
          <w:rFonts w:hint="eastAsia" w:ascii="宋体" w:hAnsi="宋体" w:cs="宋体"/>
          <w:snapToGrid w:val="0"/>
          <w:kern w:val="0"/>
          <w:szCs w:val="21"/>
          <w:u w:val="single"/>
          <w:lang w:val="zh-CN"/>
        </w:rPr>
        <w:t xml:space="preserve">  （开标时间）  </w:t>
      </w:r>
      <w:r>
        <w:rPr>
          <w:rFonts w:hint="eastAsia" w:ascii="宋体" w:hAnsi="宋体" w:cs="宋体"/>
          <w:snapToGrid w:val="0"/>
          <w:kern w:val="0"/>
          <w:szCs w:val="21"/>
          <w:lang w:val="zh-CN"/>
        </w:rPr>
        <w:t>不得启封”的字样并在封口处加盖投标人单位公章。</w:t>
      </w:r>
    </w:p>
    <w:p>
      <w:pPr>
        <w:numPr>
          <w:ilvl w:val="1"/>
          <w:numId w:val="3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为方便开标时唱标，投标人还应将</w:t>
      </w:r>
      <w:r>
        <w:rPr>
          <w:rFonts w:hint="eastAsia" w:ascii="宋体" w:hAnsi="宋体"/>
          <w:szCs w:val="21"/>
        </w:rPr>
        <w:t>一份</w:t>
      </w:r>
      <w:r>
        <w:rPr>
          <w:rFonts w:hint="eastAsia" w:ascii="宋体" w:hAnsi="宋体" w:cs="宋体"/>
          <w:snapToGrid w:val="0"/>
          <w:kern w:val="0"/>
          <w:szCs w:val="21"/>
          <w:lang w:val="zh-CN"/>
        </w:rPr>
        <w:t>《开标一览表》</w:t>
      </w:r>
      <w:r>
        <w:rPr>
          <w:rFonts w:hint="eastAsia" w:ascii="宋体" w:hAnsi="宋体"/>
          <w:szCs w:val="21"/>
        </w:rPr>
        <w:t>（原件）与一份法定代表人授权书（原件，或法定代表人身份证明书原件）、投标保证金缴纳证明（复印件）及投标优惠声明（如果有的话）</w:t>
      </w:r>
      <w:r>
        <w:rPr>
          <w:rFonts w:hint="eastAsia" w:ascii="宋体" w:hAnsi="宋体" w:cs="宋体"/>
          <w:snapToGrid w:val="0"/>
          <w:kern w:val="0"/>
          <w:szCs w:val="21"/>
          <w:lang w:val="zh-CN"/>
        </w:rPr>
        <w:t>单独密封提交，除需按上款要求注明外还应在信封上标明“开标一览表”字样。</w:t>
      </w:r>
    </w:p>
    <w:p>
      <w:pPr>
        <w:numPr>
          <w:ilvl w:val="1"/>
          <w:numId w:val="3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未按要求密封和加写标记的投标文件，招标代理机构将拒收。</w:t>
      </w:r>
    </w:p>
    <w:p>
      <w:pPr>
        <w:numPr>
          <w:ilvl w:val="1"/>
          <w:numId w:val="3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要求在投标时提交样品的，应在样品上标明投标人名称。有关提交及退还样品的相关规定见《投标人须知前附表》。</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投标文件送达地点及投标截止时间</w:t>
      </w:r>
    </w:p>
    <w:p>
      <w:pPr>
        <w:numPr>
          <w:ilvl w:val="1"/>
          <w:numId w:val="32"/>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投标截止时间是招标文件中规定的送达、提交投标文件的最后时间，在截止时间后提交的投标文件，招标人、招标代理机构将拒收。本次招标的投标文件送达地点及投标截止时间见《投标人须知前附表》。</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迟交的投标文件</w:t>
      </w:r>
    </w:p>
    <w:p>
      <w:pPr>
        <w:numPr>
          <w:ilvl w:val="1"/>
          <w:numId w:val="33"/>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snapToGrid w:val="0"/>
          <w:kern w:val="0"/>
          <w:szCs w:val="21"/>
          <w:lang w:val="zh-CN"/>
        </w:rPr>
        <w:t>在投标截止时间以后送达的投标文件，不论何种原因，</w:t>
      </w:r>
      <w:r>
        <w:rPr>
          <w:rFonts w:hint="eastAsia" w:ascii="宋体" w:hAnsi="宋体" w:cs="宋体"/>
          <w:snapToGrid w:val="0"/>
          <w:kern w:val="0"/>
          <w:szCs w:val="21"/>
          <w:lang w:val="zh-CN"/>
        </w:rPr>
        <w:t>招标代理机构将拒收并原封退回。</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投标文件的修改和撤回</w:t>
      </w:r>
    </w:p>
    <w:p>
      <w:pPr>
        <w:numPr>
          <w:ilvl w:val="1"/>
          <w:numId w:val="34"/>
        </w:numPr>
        <w:tabs>
          <w:tab w:val="left" w:pos="525"/>
          <w:tab w:val="clear" w:pos="48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在投标截止时间之前，投标人可以对所提交的投标文件进行补充、修改或者撤回。投标人需要补充、修改或者撤回投标文件时，应以书面形式通知招标人、招标代理机构。补充、修改的内容是投标文件的组成部分，补充、修改的内容与投标文件不一致的，以补充、修改的内容为准。</w:t>
      </w:r>
    </w:p>
    <w:p>
      <w:pPr>
        <w:numPr>
          <w:ilvl w:val="1"/>
          <w:numId w:val="34"/>
        </w:numPr>
        <w:tabs>
          <w:tab w:val="left" w:pos="525"/>
          <w:tab w:val="clear" w:pos="48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投标人在投标截止时间至投标有效期期满这段时间，不得修改或撤回其投标文件，否则其投标保证金将不予以退还。</w:t>
      </w:r>
    </w:p>
    <w:p>
      <w:pPr>
        <w:numPr>
          <w:ilvl w:val="1"/>
          <w:numId w:val="34"/>
        </w:numPr>
        <w:tabs>
          <w:tab w:val="left" w:pos="525"/>
          <w:tab w:val="clear" w:pos="480"/>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投标人所提交的投标文件在评标结束后，无论中标与否都不退还。</w:t>
      </w:r>
    </w:p>
    <w:p>
      <w:pPr>
        <w:pStyle w:val="3"/>
        <w:numPr>
          <w:ilvl w:val="0"/>
          <w:numId w:val="8"/>
        </w:numPr>
        <w:spacing w:before="260" w:after="260" w:line="360" w:lineRule="auto"/>
        <w:jc w:val="center"/>
        <w:rPr>
          <w:rFonts w:ascii="宋体" w:hAnsi="宋体"/>
          <w:sz w:val="21"/>
          <w:szCs w:val="21"/>
        </w:rPr>
      </w:pPr>
      <w:bookmarkStart w:id="49" w:name="_Toc333771889"/>
      <w:bookmarkStart w:id="50" w:name="_Toc421688556"/>
      <w:bookmarkStart w:id="51" w:name="_Toc48634273"/>
      <w:r>
        <w:rPr>
          <w:rFonts w:hint="eastAsia" w:ascii="宋体" w:hAnsi="宋体"/>
          <w:sz w:val="21"/>
          <w:szCs w:val="21"/>
        </w:rPr>
        <w:t>开标与评标</w:t>
      </w:r>
      <w:bookmarkEnd w:id="49"/>
      <w:bookmarkEnd w:id="50"/>
      <w:bookmarkEnd w:id="51"/>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开标</w:t>
      </w:r>
    </w:p>
    <w:p>
      <w:pPr>
        <w:numPr>
          <w:ilvl w:val="1"/>
          <w:numId w:val="35"/>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招标代理机构在《投标人须知前附表》中约定的日期、时间和地点组织公开开标。开标时邀请招标人和投标人法定代表人或其委托代理人参加。参加开标的代表应签到以证明其出席。</w:t>
      </w:r>
    </w:p>
    <w:p>
      <w:pPr>
        <w:numPr>
          <w:ilvl w:val="1"/>
          <w:numId w:val="35"/>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开标时，由投标人代表检查投标文件的密封情况，也可以由招标人委托的公证机构检查并公证，经确认无误后由招标工作人员当众拆封并唱标。</w:t>
      </w:r>
    </w:p>
    <w:p>
      <w:pPr>
        <w:numPr>
          <w:ilvl w:val="1"/>
          <w:numId w:val="35"/>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招标代理机构做好开标记录，开标记录在开标后由出席开标会议的各投标人代表签字证明。开标记录将存档备查。</w:t>
      </w:r>
    </w:p>
    <w:p>
      <w:pPr>
        <w:numPr>
          <w:ilvl w:val="1"/>
          <w:numId w:val="35"/>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无论是什么原因，在开标时没有启封和宣读的投标文件，在评标时将不予考虑。</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评标委员会的组成和评标方法</w:t>
      </w:r>
    </w:p>
    <w:p>
      <w:pPr>
        <w:numPr>
          <w:ilvl w:val="1"/>
          <w:numId w:val="36"/>
        </w:numPr>
        <w:tabs>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评标由招标人</w:t>
      </w:r>
      <w:r>
        <w:rPr>
          <w:rFonts w:hint="eastAsia" w:ascii="宋体" w:hAnsi="宋体"/>
          <w:szCs w:val="21"/>
        </w:rPr>
        <w:t>按照有关规定</w:t>
      </w:r>
      <w:r>
        <w:rPr>
          <w:rFonts w:hint="eastAsia" w:ascii="宋体" w:hAnsi="宋体" w:cs="宋体"/>
          <w:snapToGrid w:val="0"/>
          <w:kern w:val="0"/>
          <w:szCs w:val="21"/>
          <w:lang w:val="zh-CN"/>
        </w:rPr>
        <w:t>组建的评标委员会负责，评标委员会专家成员从湖北省成套招标股份有限公司专家库中随机抽取。评标委员会的组成见《投标人须知前附表》。</w:t>
      </w:r>
    </w:p>
    <w:p>
      <w:pPr>
        <w:numPr>
          <w:ilvl w:val="1"/>
          <w:numId w:val="36"/>
        </w:numPr>
        <w:tabs>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szCs w:val="21"/>
        </w:rPr>
        <w:t>评标委员会设组长1名，由评标委员会全体成员共同推选产生。评标委员会组长负责组织评标活动，与其他评委有同等表决权。</w:t>
      </w:r>
    </w:p>
    <w:p>
      <w:pPr>
        <w:numPr>
          <w:ilvl w:val="1"/>
          <w:numId w:val="36"/>
        </w:numPr>
        <w:tabs>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评标委员会将按照本招标文件规定的评标方法进行评标，评标采用的评标方法见第五“评标办法”。</w:t>
      </w:r>
    </w:p>
    <w:p>
      <w:pPr>
        <w:numPr>
          <w:ilvl w:val="1"/>
          <w:numId w:val="36"/>
        </w:numPr>
        <w:tabs>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评审委员会成员应当在评审报告上签字，对自己的评审意见承担法律责任。对评审报告有异议的，应当在评审报告上签署不同意见，并说明理由，否则视为同意评审报告。</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投标文件的初审</w:t>
      </w:r>
    </w:p>
    <w:p>
      <w:pPr>
        <w:numPr>
          <w:ilvl w:val="1"/>
          <w:numId w:val="37"/>
        </w:num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投标文件的初审见第五章“评标办法”。</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投标文件的澄清</w:t>
      </w:r>
    </w:p>
    <w:p>
      <w:pPr>
        <w:numPr>
          <w:ilvl w:val="1"/>
          <w:numId w:val="38"/>
        </w:num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投标文件的澄清的相关规定见第五章“评标办法”。</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详细评审</w:t>
      </w:r>
    </w:p>
    <w:p>
      <w:pPr>
        <w:numPr>
          <w:ilvl w:val="1"/>
          <w:numId w:val="39"/>
        </w:numPr>
        <w:tabs>
          <w:tab w:val="clear" w:pos="465"/>
        </w:tabs>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详细评审的相关规定见第五章“评标办法”。</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b/>
          <w:snapToGrid w:val="0"/>
          <w:kern w:val="0"/>
          <w:szCs w:val="21"/>
          <w:lang w:val="zh-CN"/>
        </w:rPr>
        <w:t>评标过程保密</w:t>
      </w:r>
    </w:p>
    <w:p>
      <w:pPr>
        <w:numPr>
          <w:ilvl w:val="1"/>
          <w:numId w:val="40"/>
        </w:numPr>
        <w:tabs>
          <w:tab w:val="left" w:pos="540"/>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snapToGrid w:val="0"/>
          <w:kern w:val="0"/>
          <w:szCs w:val="21"/>
          <w:lang w:val="zh-CN"/>
        </w:rPr>
        <w:t>凡是属于审查、澄清、评价和比较投标的有关资料以及授标意向等，</w:t>
      </w:r>
      <w:r>
        <w:rPr>
          <w:rFonts w:hint="eastAsia" w:ascii="宋体" w:hAnsi="宋体" w:cs="宋体"/>
          <w:snapToGrid w:val="0"/>
          <w:kern w:val="0"/>
          <w:szCs w:val="21"/>
          <w:lang w:val="zh-CN"/>
        </w:rPr>
        <w:t>招标人、招标代理机构、</w:t>
      </w:r>
      <w:r>
        <w:rPr>
          <w:rFonts w:ascii="宋体" w:hAnsi="宋体" w:cs="宋体"/>
          <w:snapToGrid w:val="0"/>
          <w:kern w:val="0"/>
          <w:szCs w:val="21"/>
          <w:lang w:val="zh-CN"/>
        </w:rPr>
        <w:t>评标委员会及有关工作人员均不得向投标人或其它无关的人员透露。</w:t>
      </w:r>
    </w:p>
    <w:p>
      <w:pPr>
        <w:numPr>
          <w:ilvl w:val="1"/>
          <w:numId w:val="40"/>
        </w:numPr>
        <w:tabs>
          <w:tab w:val="left" w:pos="540"/>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snapToGrid w:val="0"/>
          <w:kern w:val="0"/>
          <w:szCs w:val="21"/>
          <w:lang w:val="zh-CN"/>
        </w:rPr>
        <w:t>在评标期间，投标人</w:t>
      </w:r>
      <w:r>
        <w:rPr>
          <w:rFonts w:hint="eastAsia" w:ascii="宋体" w:hAnsi="宋体" w:cs="宋体"/>
          <w:snapToGrid w:val="0"/>
          <w:kern w:val="0"/>
          <w:szCs w:val="21"/>
          <w:lang w:val="zh-CN"/>
        </w:rPr>
        <w:t>试</w:t>
      </w:r>
      <w:r>
        <w:rPr>
          <w:rFonts w:ascii="宋体" w:hAnsi="宋体" w:cs="宋体"/>
          <w:snapToGrid w:val="0"/>
          <w:kern w:val="0"/>
          <w:szCs w:val="21"/>
          <w:lang w:val="zh-CN"/>
        </w:rPr>
        <w:t>图影响</w:t>
      </w:r>
      <w:r>
        <w:rPr>
          <w:rFonts w:hint="eastAsia" w:ascii="宋体" w:hAnsi="宋体" w:cs="宋体"/>
          <w:snapToGrid w:val="0"/>
          <w:kern w:val="0"/>
          <w:szCs w:val="21"/>
          <w:lang w:val="zh-CN"/>
        </w:rPr>
        <w:t>招标</w:t>
      </w:r>
      <w:r>
        <w:rPr>
          <w:rFonts w:ascii="宋体" w:hAnsi="宋体" w:cs="宋体"/>
          <w:snapToGrid w:val="0"/>
          <w:kern w:val="0"/>
          <w:szCs w:val="21"/>
          <w:lang w:val="zh-CN"/>
        </w:rPr>
        <w:t>人、</w:t>
      </w:r>
      <w:r>
        <w:rPr>
          <w:rFonts w:hint="eastAsia" w:ascii="宋体" w:hAnsi="宋体" w:cs="宋体"/>
          <w:snapToGrid w:val="0"/>
          <w:kern w:val="0"/>
          <w:szCs w:val="21"/>
          <w:lang w:val="zh-CN"/>
        </w:rPr>
        <w:t>招标代理机构</w:t>
      </w:r>
      <w:r>
        <w:rPr>
          <w:rFonts w:ascii="宋体" w:hAnsi="宋体" w:cs="宋体"/>
          <w:snapToGrid w:val="0"/>
          <w:kern w:val="0"/>
          <w:szCs w:val="21"/>
          <w:lang w:val="zh-CN"/>
        </w:rPr>
        <w:t>和评标委员会而获得评标信息的任何活动，都将导致其投标被</w:t>
      </w:r>
      <w:r>
        <w:rPr>
          <w:rFonts w:hint="eastAsia" w:ascii="宋体" w:hAnsi="宋体" w:cs="宋体"/>
          <w:snapToGrid w:val="0"/>
          <w:kern w:val="0"/>
          <w:szCs w:val="21"/>
          <w:lang w:val="zh-CN"/>
        </w:rPr>
        <w:t>否决</w:t>
      </w:r>
      <w:r>
        <w:rPr>
          <w:rFonts w:ascii="宋体" w:hAnsi="宋体" w:cs="宋体"/>
          <w:snapToGrid w:val="0"/>
          <w:kern w:val="0"/>
          <w:szCs w:val="21"/>
          <w:lang w:val="zh-CN"/>
        </w:rPr>
        <w:t>，并承担相应的法律责任。</w:t>
      </w:r>
    </w:p>
    <w:p>
      <w:pPr>
        <w:pStyle w:val="3"/>
        <w:numPr>
          <w:ilvl w:val="0"/>
          <w:numId w:val="8"/>
        </w:numPr>
        <w:spacing w:before="260" w:after="260" w:line="360" w:lineRule="auto"/>
        <w:jc w:val="center"/>
        <w:rPr>
          <w:rFonts w:ascii="宋体" w:hAnsi="宋体"/>
          <w:sz w:val="21"/>
          <w:szCs w:val="21"/>
        </w:rPr>
      </w:pPr>
      <w:bookmarkStart w:id="52" w:name="_Toc48634274"/>
      <w:bookmarkStart w:id="53" w:name="_Toc421688557"/>
      <w:bookmarkStart w:id="54" w:name="_Toc333771890"/>
      <w:r>
        <w:rPr>
          <w:rFonts w:hint="eastAsia" w:ascii="宋体" w:hAnsi="宋体"/>
          <w:sz w:val="21"/>
          <w:szCs w:val="21"/>
        </w:rPr>
        <w:t>定标与签订合同</w:t>
      </w:r>
      <w:bookmarkEnd w:id="52"/>
      <w:bookmarkEnd w:id="53"/>
      <w:bookmarkEnd w:id="54"/>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定标方式</w:t>
      </w:r>
    </w:p>
    <w:p>
      <w:pPr>
        <w:pStyle w:val="6"/>
        <w:numPr>
          <w:ilvl w:val="1"/>
          <w:numId w:val="41"/>
        </w:numPr>
        <w:tabs>
          <w:tab w:val="left" w:pos="-142"/>
          <w:tab w:val="clear" w:pos="465"/>
        </w:tabs>
        <w:adjustRightInd w:val="0"/>
        <w:snapToGrid w:val="0"/>
        <w:spacing w:line="360" w:lineRule="auto"/>
        <w:ind w:left="0" w:firstLine="0"/>
        <w:jc w:val="left"/>
        <w:textAlignment w:val="baseline"/>
        <w:rPr>
          <w:rFonts w:ascii="宋体" w:hAnsi="宋体" w:cs="宋体"/>
          <w:snapToGrid w:val="0"/>
          <w:kern w:val="0"/>
          <w:szCs w:val="21"/>
          <w:lang w:val="zh-CN"/>
        </w:rPr>
      </w:pPr>
      <w:r>
        <w:rPr>
          <w:rFonts w:hint="eastAsia" w:ascii="宋体" w:hAnsi="宋体" w:cs="宋体"/>
          <w:snapToGrid w:val="0"/>
          <w:kern w:val="0"/>
          <w:szCs w:val="21"/>
          <w:lang w:val="zh-CN"/>
        </w:rPr>
        <w:t>招标人应当在收到评标报告后十五日内，根据评标委员会提出的书面评标报告和推荐的中标候选人，确定中标人。使用国有资金投资或者国家融资的项目，招标人应当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招标人可以确定排名第二的中标候选人为中标人。如排名第二的中标候选人也发生上述问题，依次可确定排名第三的中标候选人为中标人。</w:t>
      </w:r>
    </w:p>
    <w:p>
      <w:pPr>
        <w:pStyle w:val="6"/>
        <w:numPr>
          <w:ilvl w:val="1"/>
          <w:numId w:val="41"/>
        </w:numPr>
        <w:tabs>
          <w:tab w:val="left" w:pos="-142"/>
          <w:tab w:val="clear" w:pos="465"/>
        </w:tabs>
        <w:adjustRightInd w:val="0"/>
        <w:snapToGrid w:val="0"/>
        <w:spacing w:line="360" w:lineRule="auto"/>
        <w:ind w:left="0" w:firstLine="0"/>
        <w:jc w:val="left"/>
        <w:textAlignment w:val="baseline"/>
        <w:rPr>
          <w:rFonts w:ascii="宋体" w:hAnsi="宋体" w:cs="宋体"/>
          <w:snapToGrid w:val="0"/>
          <w:kern w:val="0"/>
          <w:szCs w:val="21"/>
          <w:lang w:val="zh-CN"/>
        </w:rPr>
      </w:pPr>
      <w:r>
        <w:rPr>
          <w:rFonts w:hint="eastAsia" w:ascii="宋体" w:hAnsi="宋体" w:cs="宋体"/>
          <w:snapToGrid w:val="0"/>
          <w:kern w:val="0"/>
          <w:szCs w:val="21"/>
          <w:lang w:val="zh-CN"/>
        </w:rPr>
        <w:t>依法必须进行招标的项目，招标人应当自确定中标人之日起三日内，在本次招标发布招标公告的媒体上进行公示，公示期不得少于三个日。</w:t>
      </w:r>
    </w:p>
    <w:p>
      <w:pPr>
        <w:numPr>
          <w:ilvl w:val="1"/>
          <w:numId w:val="4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本招标工程合同授予其投标文件在实质上响应招标文件要求和按本招标文件规定所确定的中标人。招标人在授予合同之前有权对投标人递交的投标文件资料进行核实，投标人应对投标文件资料的真实性负责，如发现其所提交的资料不真实，招标人将视其为以弄虚作假方式骗取中标，其中标无效，给招标人造成损失的，应依法承担赔偿责任。</w:t>
      </w:r>
    </w:p>
    <w:p>
      <w:pPr>
        <w:numPr>
          <w:ilvl w:val="1"/>
          <w:numId w:val="41"/>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中标公告期间，投标人对评标结果有异议的，可按规定向招标代理机构及招标人提出质疑，招标代理机构及招标人按相关规定作出回复。若提出质疑的投标人对质疑回复不满意的，可向监管部门提出投诉。</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合同授予标准</w:t>
      </w:r>
    </w:p>
    <w:p>
      <w:pPr>
        <w:numPr>
          <w:ilvl w:val="1"/>
          <w:numId w:val="42"/>
        </w:numPr>
        <w:tabs>
          <w:tab w:val="left" w:pos="525"/>
          <w:tab w:val="clear" w:pos="465"/>
        </w:tabs>
        <w:autoSpaceDE w:val="0"/>
        <w:autoSpaceDN w:val="0"/>
        <w:adjustRightInd w:val="0"/>
        <w:spacing w:line="360" w:lineRule="auto"/>
        <w:ind w:left="0" w:firstLine="0"/>
        <w:jc w:val="left"/>
        <w:rPr>
          <w:rFonts w:ascii="宋体" w:hAnsi="宋体" w:cs="宋体"/>
          <w:snapToGrid w:val="0"/>
          <w:kern w:val="0"/>
          <w:szCs w:val="21"/>
          <w:lang w:val="zh-CN"/>
        </w:rPr>
      </w:pPr>
      <w:r>
        <w:rPr>
          <w:rFonts w:hint="eastAsia" w:ascii="宋体" w:hAnsi="宋体" w:cs="宋体"/>
          <w:snapToGrid w:val="0"/>
          <w:kern w:val="0"/>
          <w:szCs w:val="21"/>
          <w:lang w:val="zh-CN"/>
        </w:rPr>
        <w:t>招标人将把合同授予评审报告中推荐的中标候选人中排名第一的投标人，特殊情况按本须知31.3条的规定执行。</w:t>
      </w:r>
      <w:r>
        <w:rPr>
          <w:rFonts w:hint="eastAsia" w:ascii="宋体" w:hAnsi="宋体" w:cs="宋体"/>
          <w:b/>
          <w:bCs/>
          <w:snapToGrid w:val="0"/>
          <w:kern w:val="0"/>
          <w:szCs w:val="21"/>
        </w:rPr>
        <w:t>本项目各包入围见招标公告。</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签订合同</w:t>
      </w:r>
    </w:p>
    <w:p>
      <w:pPr>
        <w:autoSpaceDE w:val="0"/>
        <w:autoSpaceDN w:val="0"/>
        <w:adjustRightInd w:val="0"/>
        <w:spacing w:line="360" w:lineRule="auto"/>
        <w:jc w:val="left"/>
        <w:rPr>
          <w:rFonts w:ascii="宋体" w:hAnsi="宋体"/>
          <w:szCs w:val="21"/>
        </w:rPr>
      </w:pPr>
      <w:r>
        <w:rPr>
          <w:rFonts w:hint="eastAsia" w:ascii="宋体" w:hAnsi="宋体"/>
          <w:szCs w:val="21"/>
        </w:rPr>
        <w:t>31.1中标人在收到中标通知书后，按规定的时间内，应派代表在中标通知书中规定的地点与招标人联系商定签订合同事宜。</w:t>
      </w:r>
      <w:r>
        <w:rPr>
          <w:rFonts w:ascii="宋体" w:hAnsi="宋体"/>
          <w:szCs w:val="21"/>
        </w:rPr>
        <w:t>招标人</w:t>
      </w:r>
      <w:r>
        <w:rPr>
          <w:rFonts w:hint="eastAsia" w:ascii="宋体" w:hAnsi="宋体"/>
          <w:szCs w:val="21"/>
        </w:rPr>
        <w:t>和</w:t>
      </w:r>
      <w:r>
        <w:rPr>
          <w:rFonts w:ascii="宋体" w:hAnsi="宋体"/>
          <w:szCs w:val="21"/>
        </w:rPr>
        <w:t>中标人应当在中标通知书发出之日起30日内</w:t>
      </w:r>
      <w:r>
        <w:rPr>
          <w:rFonts w:hint="eastAsia" w:ascii="宋体" w:hAnsi="宋体"/>
          <w:szCs w:val="21"/>
        </w:rPr>
        <w:t>，按照招标文件和中标人的投标文件订立书面</w:t>
      </w:r>
      <w:r>
        <w:rPr>
          <w:rFonts w:ascii="宋体" w:hAnsi="宋体"/>
          <w:szCs w:val="21"/>
        </w:rPr>
        <w:t>合同</w:t>
      </w:r>
      <w:r>
        <w:rPr>
          <w:rFonts w:hint="eastAsia" w:ascii="宋体" w:hAnsi="宋体"/>
          <w:szCs w:val="21"/>
        </w:rPr>
        <w:t>。</w:t>
      </w:r>
    </w:p>
    <w:p>
      <w:pPr>
        <w:autoSpaceDE w:val="0"/>
        <w:autoSpaceDN w:val="0"/>
        <w:adjustRightInd w:val="0"/>
        <w:spacing w:line="360" w:lineRule="auto"/>
        <w:jc w:val="left"/>
        <w:rPr>
          <w:rFonts w:ascii="宋体" w:hAnsi="宋体"/>
          <w:szCs w:val="21"/>
        </w:rPr>
      </w:pPr>
      <w:r>
        <w:rPr>
          <w:rFonts w:hint="eastAsia" w:ascii="宋体" w:hAnsi="宋体"/>
          <w:szCs w:val="21"/>
        </w:rPr>
        <w:t>31.2公示期内或合同签订前，有关行政监督部门接到投诉的，可以视具体情况书面通知招标人暂停签订合同等活动。</w:t>
      </w:r>
    </w:p>
    <w:p>
      <w:pPr>
        <w:numPr>
          <w:ilvl w:val="3"/>
          <w:numId w:val="9"/>
        </w:numPr>
        <w:tabs>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hint="eastAsia" w:ascii="宋体" w:hAnsi="宋体" w:cs="宋体"/>
          <w:b/>
          <w:snapToGrid w:val="0"/>
          <w:kern w:val="0"/>
          <w:szCs w:val="21"/>
          <w:lang w:val="zh-CN"/>
        </w:rPr>
        <w:t>重新招标或经批准不招标</w:t>
      </w:r>
    </w:p>
    <w:p>
      <w:pPr>
        <w:pStyle w:val="6"/>
        <w:tabs>
          <w:tab w:val="left" w:pos="510"/>
          <w:tab w:val="left" w:pos="540"/>
          <w:tab w:val="left" w:pos="1000"/>
        </w:tabs>
        <w:adjustRightInd w:val="0"/>
        <w:spacing w:line="360" w:lineRule="auto"/>
        <w:ind w:left="0" w:leftChars="0" w:firstLine="0" w:firstLineChars="0"/>
        <w:textAlignment w:val="baseline"/>
        <w:rPr>
          <w:rFonts w:ascii="宋体" w:hAnsi="宋体"/>
          <w:szCs w:val="21"/>
        </w:rPr>
      </w:pPr>
      <w:r>
        <w:rPr>
          <w:rFonts w:hint="eastAsia" w:ascii="宋体" w:hAnsi="宋体"/>
          <w:szCs w:val="21"/>
        </w:rPr>
        <w:t>32．1</w:t>
      </w:r>
      <w:r>
        <w:rPr>
          <w:rFonts w:hint="eastAsia" w:ascii="宋体" w:hAnsi="宋体"/>
          <w:b/>
          <w:bCs/>
          <w:szCs w:val="21"/>
        </w:rPr>
        <w:t>每包投标单位须大于每包入围数量：每包入围数量为N</w:t>
      </w:r>
      <w:r>
        <w:rPr>
          <w:rFonts w:hint="eastAsia" w:ascii="宋体" w:hAnsi="宋体"/>
          <w:b/>
          <w:bCs/>
          <w:szCs w:val="21"/>
          <w:lang w:eastAsia="zh-CN"/>
        </w:rPr>
        <w:t>，</w:t>
      </w:r>
      <w:r>
        <w:rPr>
          <w:rFonts w:hint="eastAsia" w:ascii="宋体" w:hAnsi="宋体"/>
          <w:b/>
          <w:bCs/>
          <w:szCs w:val="21"/>
        </w:rPr>
        <w:t>依法必须进行招标的项目有下列情形之一的，招标人应当依法重新招标：</w:t>
      </w:r>
    </w:p>
    <w:p>
      <w:pPr>
        <w:pStyle w:val="6"/>
        <w:tabs>
          <w:tab w:val="left" w:pos="0"/>
        </w:tabs>
        <w:adjustRightInd w:val="0"/>
        <w:spacing w:line="360" w:lineRule="auto"/>
        <w:textAlignment w:val="baseline"/>
        <w:rPr>
          <w:rFonts w:ascii="宋体" w:hAnsi="宋体"/>
          <w:b/>
          <w:bCs/>
          <w:szCs w:val="21"/>
        </w:rPr>
      </w:pPr>
      <w:r>
        <w:rPr>
          <w:rFonts w:hint="eastAsia" w:ascii="宋体" w:hAnsi="宋体"/>
          <w:b/>
          <w:bCs/>
          <w:snapToGrid w:val="0"/>
          <w:szCs w:val="21"/>
        </w:rPr>
        <w:t xml:space="preserve">（1）在投标截止时间届满时提交投标文件的投标人少于N+1个的； </w:t>
      </w:r>
    </w:p>
    <w:p>
      <w:pPr>
        <w:pStyle w:val="6"/>
        <w:tabs>
          <w:tab w:val="left" w:pos="1000"/>
        </w:tabs>
        <w:adjustRightInd w:val="0"/>
        <w:spacing w:line="360" w:lineRule="auto"/>
        <w:textAlignment w:val="baseline"/>
        <w:rPr>
          <w:rFonts w:ascii="宋体" w:hAnsi="宋体"/>
          <w:b/>
          <w:bCs/>
          <w:szCs w:val="21"/>
        </w:rPr>
      </w:pPr>
      <w:r>
        <w:rPr>
          <w:rFonts w:hint="eastAsia" w:ascii="宋体" w:hAnsi="宋体"/>
          <w:b/>
          <w:bCs/>
          <w:snapToGrid w:val="0"/>
          <w:szCs w:val="21"/>
        </w:rPr>
        <w:t>（2）资格审查合格的投标人（潜在投标人）不足N+1个的；</w:t>
      </w:r>
    </w:p>
    <w:p>
      <w:pPr>
        <w:pStyle w:val="6"/>
        <w:tabs>
          <w:tab w:val="left" w:pos="1000"/>
        </w:tabs>
        <w:adjustRightInd w:val="0"/>
        <w:spacing w:line="360" w:lineRule="auto"/>
        <w:jc w:val="left"/>
        <w:textAlignment w:val="baseline"/>
        <w:rPr>
          <w:rFonts w:ascii="宋体" w:hAnsi="宋体"/>
          <w:b/>
          <w:bCs/>
          <w:szCs w:val="21"/>
        </w:rPr>
      </w:pPr>
      <w:r>
        <w:rPr>
          <w:rFonts w:hint="eastAsia" w:ascii="宋体" w:hAnsi="宋体"/>
          <w:b/>
          <w:bCs/>
          <w:snapToGrid w:val="0"/>
          <w:szCs w:val="21"/>
        </w:rPr>
        <w:t>（3）所有投标均被作为废标处理的；</w:t>
      </w:r>
    </w:p>
    <w:p>
      <w:pPr>
        <w:pStyle w:val="6"/>
        <w:numPr>
          <w:ilvl w:val="0"/>
          <w:numId w:val="43"/>
        </w:numPr>
        <w:tabs>
          <w:tab w:val="left" w:pos="1000"/>
        </w:tabs>
        <w:adjustRightInd w:val="0"/>
        <w:spacing w:line="360" w:lineRule="auto"/>
        <w:textAlignment w:val="baseline"/>
        <w:rPr>
          <w:rFonts w:ascii="宋体" w:hAnsi="宋体"/>
          <w:b/>
          <w:bCs/>
          <w:szCs w:val="21"/>
        </w:rPr>
      </w:pPr>
      <w:r>
        <w:rPr>
          <w:rFonts w:hint="eastAsia" w:ascii="宋体" w:hAnsi="宋体"/>
          <w:b/>
          <w:bCs/>
          <w:snapToGrid w:val="0"/>
          <w:szCs w:val="21"/>
        </w:rPr>
        <w:t xml:space="preserve">经评审，有效投标不足N+1个使得投标明显缺乏竞争，且评标委员会决定否决所有投标的； </w:t>
      </w:r>
    </w:p>
    <w:p>
      <w:pPr>
        <w:pStyle w:val="6"/>
        <w:tabs>
          <w:tab w:val="left" w:pos="1000"/>
        </w:tabs>
        <w:adjustRightInd w:val="0"/>
        <w:spacing w:line="360" w:lineRule="auto"/>
        <w:textAlignment w:val="baseline"/>
        <w:rPr>
          <w:rFonts w:ascii="宋体" w:hAnsi="宋体"/>
          <w:b/>
          <w:bCs/>
          <w:szCs w:val="21"/>
        </w:rPr>
      </w:pPr>
      <w:r>
        <w:rPr>
          <w:rFonts w:hint="eastAsia" w:ascii="宋体" w:hAnsi="宋体"/>
          <w:b/>
          <w:bCs/>
          <w:szCs w:val="21"/>
        </w:rPr>
        <w:t>（5）根据本投标须知第17条规定，同意延长投标有效期的投标人少于</w:t>
      </w:r>
      <w:r>
        <w:rPr>
          <w:rFonts w:hint="eastAsia" w:ascii="宋体" w:hAnsi="宋体"/>
          <w:b/>
          <w:bCs/>
          <w:snapToGrid w:val="0"/>
          <w:szCs w:val="21"/>
        </w:rPr>
        <w:t>N+1</w:t>
      </w:r>
      <w:r>
        <w:rPr>
          <w:rFonts w:hint="eastAsia" w:ascii="宋体" w:hAnsi="宋体"/>
          <w:b/>
          <w:bCs/>
          <w:szCs w:val="21"/>
        </w:rPr>
        <w:t xml:space="preserve">个的。 </w:t>
      </w:r>
    </w:p>
    <w:p>
      <w:pPr>
        <w:pStyle w:val="6"/>
        <w:tabs>
          <w:tab w:val="left" w:pos="510"/>
          <w:tab w:val="left" w:pos="540"/>
          <w:tab w:val="left" w:pos="1000"/>
        </w:tabs>
        <w:adjustRightInd w:val="0"/>
        <w:spacing w:line="360" w:lineRule="auto"/>
        <w:ind w:left="284" w:firstLine="0"/>
        <w:textAlignment w:val="baseline"/>
        <w:rPr>
          <w:rFonts w:ascii="宋体" w:hAnsi="宋体"/>
          <w:szCs w:val="21"/>
        </w:rPr>
      </w:pPr>
      <w:r>
        <w:rPr>
          <w:rFonts w:hint="eastAsia" w:ascii="宋体" w:hAnsi="宋体"/>
          <w:szCs w:val="21"/>
        </w:rPr>
        <w:t>32.2招标方式已经核准的项目，连续两次招标失败的，经原核准机关审查批准，可以调整招标方式；其他项目由招标人自行决定调整招标方式。</w:t>
      </w:r>
    </w:p>
    <w:p>
      <w:pPr>
        <w:pStyle w:val="3"/>
        <w:numPr>
          <w:ilvl w:val="0"/>
          <w:numId w:val="8"/>
        </w:numPr>
        <w:spacing w:before="260" w:after="260" w:line="360" w:lineRule="auto"/>
        <w:jc w:val="center"/>
        <w:rPr>
          <w:rFonts w:ascii="宋体" w:hAnsi="宋体"/>
          <w:sz w:val="21"/>
          <w:szCs w:val="21"/>
        </w:rPr>
      </w:pPr>
      <w:bookmarkStart w:id="55" w:name="_Toc48634275"/>
      <w:bookmarkStart w:id="56" w:name="_Toc333771891"/>
      <w:bookmarkStart w:id="57" w:name="_Toc421688558"/>
      <w:r>
        <w:rPr>
          <w:rFonts w:hint="eastAsia" w:ascii="宋体" w:hAnsi="宋体"/>
          <w:sz w:val="21"/>
          <w:szCs w:val="21"/>
        </w:rPr>
        <w:t>其他要求</w:t>
      </w:r>
      <w:bookmarkEnd w:id="55"/>
      <w:bookmarkEnd w:id="56"/>
      <w:bookmarkEnd w:id="57"/>
    </w:p>
    <w:p>
      <w:pPr>
        <w:numPr>
          <w:ilvl w:val="3"/>
          <w:numId w:val="9"/>
        </w:numPr>
        <w:tabs>
          <w:tab w:val="left" w:pos="525"/>
        </w:tabs>
        <w:autoSpaceDE w:val="0"/>
        <w:autoSpaceDN w:val="0"/>
        <w:adjustRightInd w:val="0"/>
        <w:spacing w:line="360" w:lineRule="auto"/>
        <w:ind w:firstLine="0"/>
        <w:jc w:val="left"/>
        <w:rPr>
          <w:rFonts w:ascii="宋体" w:hAnsi="宋体" w:cs="宋体"/>
          <w:snapToGrid w:val="0"/>
          <w:kern w:val="0"/>
          <w:szCs w:val="21"/>
          <w:lang w:val="zh-CN"/>
        </w:rPr>
      </w:pPr>
      <w:r>
        <w:rPr>
          <w:rFonts w:hint="eastAsia" w:ascii="宋体" w:hAnsi="宋体" w:cs="宋体"/>
          <w:snapToGrid w:val="0"/>
          <w:kern w:val="0"/>
          <w:szCs w:val="21"/>
          <w:lang w:val="zh-CN"/>
        </w:rPr>
        <w:t>见《投标人须知前附表》。</w:t>
      </w:r>
    </w:p>
    <w:p>
      <w:pPr>
        <w:pStyle w:val="3"/>
        <w:numPr>
          <w:ilvl w:val="0"/>
          <w:numId w:val="8"/>
        </w:numPr>
        <w:spacing w:before="260" w:after="260" w:line="360" w:lineRule="auto"/>
        <w:jc w:val="center"/>
        <w:rPr>
          <w:rFonts w:ascii="宋体" w:hAnsi="宋体"/>
          <w:sz w:val="21"/>
          <w:szCs w:val="21"/>
        </w:rPr>
      </w:pPr>
      <w:bookmarkStart w:id="58" w:name="_Toc421688559"/>
      <w:bookmarkStart w:id="59" w:name="_Toc48634276"/>
      <w:bookmarkStart w:id="60" w:name="_Toc333771892"/>
      <w:r>
        <w:rPr>
          <w:rFonts w:hint="eastAsia" w:ascii="宋体" w:hAnsi="宋体"/>
          <w:sz w:val="21"/>
          <w:szCs w:val="21"/>
        </w:rPr>
        <w:t>适用法律</w:t>
      </w:r>
      <w:bookmarkEnd w:id="58"/>
      <w:bookmarkEnd w:id="59"/>
      <w:bookmarkEnd w:id="60"/>
    </w:p>
    <w:p>
      <w:pPr>
        <w:numPr>
          <w:ilvl w:val="3"/>
          <w:numId w:val="9"/>
        </w:numPr>
        <w:tabs>
          <w:tab w:val="left" w:pos="525"/>
        </w:tabs>
        <w:autoSpaceDE w:val="0"/>
        <w:autoSpaceDN w:val="0"/>
        <w:adjustRightInd w:val="0"/>
        <w:spacing w:line="360" w:lineRule="auto"/>
        <w:ind w:firstLine="0"/>
        <w:jc w:val="left"/>
        <w:rPr>
          <w:rFonts w:ascii="宋体" w:hAnsi="宋体" w:cs="宋体"/>
          <w:snapToGrid w:val="0"/>
          <w:kern w:val="0"/>
          <w:szCs w:val="21"/>
        </w:rPr>
      </w:pPr>
      <w:r>
        <w:rPr>
          <w:rFonts w:hint="eastAsia" w:ascii="宋体" w:hAnsi="宋体" w:cs="宋体"/>
          <w:snapToGrid w:val="0"/>
          <w:kern w:val="0"/>
          <w:szCs w:val="21"/>
          <w:lang w:val="zh-CN"/>
        </w:rPr>
        <w:t>招标人、招标代理机构及投标人的一切招标投标活动均适用于《中华人民共和国招标投标法》及相关规定。</w:t>
      </w:r>
      <w:r>
        <w:rPr>
          <w:rFonts w:hint="eastAsia" w:ascii="宋体" w:hAnsi="宋体" w:cs="宋体"/>
          <w:snapToGrid w:val="0"/>
          <w:kern w:val="0"/>
          <w:szCs w:val="21"/>
        </w:rPr>
        <w:t>本项目最终解释权归招标人或招标代理所有。</w:t>
      </w:r>
    </w:p>
    <w:p>
      <w:pPr>
        <w:numPr>
          <w:ilvl w:val="3"/>
          <w:numId w:val="9"/>
        </w:numPr>
        <w:tabs>
          <w:tab w:val="left" w:pos="525"/>
        </w:tabs>
        <w:autoSpaceDE w:val="0"/>
        <w:autoSpaceDN w:val="0"/>
        <w:adjustRightInd w:val="0"/>
        <w:spacing w:line="360" w:lineRule="auto"/>
        <w:ind w:firstLine="0"/>
        <w:jc w:val="left"/>
        <w:rPr>
          <w:rFonts w:ascii="宋体" w:hAnsi="宋体" w:cs="宋体"/>
          <w:b/>
          <w:bCs/>
          <w:snapToGrid w:val="0"/>
          <w:kern w:val="0"/>
          <w:szCs w:val="21"/>
          <w:lang w:val="zh-CN"/>
        </w:rPr>
      </w:pPr>
      <w:r>
        <w:rPr>
          <w:rFonts w:hint="eastAsia" w:ascii="宋体" w:hAnsi="宋体" w:cs="宋体"/>
          <w:b/>
          <w:bCs/>
          <w:snapToGrid w:val="0"/>
          <w:kern w:val="0"/>
          <w:szCs w:val="21"/>
        </w:rPr>
        <w:t>本项目最终解释权归招标人或招标代理所有。并满足交通银行相关规定。</w:t>
      </w:r>
    </w:p>
    <w:p>
      <w:pPr>
        <w:widowControl/>
        <w:jc w:val="left"/>
      </w:pPr>
      <w:r>
        <w:br w:type="page"/>
      </w:r>
    </w:p>
    <w:p>
      <w:pPr>
        <w:pStyle w:val="2"/>
        <w:numPr>
          <w:ilvl w:val="0"/>
          <w:numId w:val="0"/>
        </w:numPr>
        <w:ind w:left="432"/>
        <w:jc w:val="center"/>
        <w:rPr>
          <w:rFonts w:ascii="宋体" w:hAnsi="宋体"/>
          <w:sz w:val="44"/>
          <w:szCs w:val="44"/>
        </w:rPr>
      </w:pPr>
      <w:r>
        <w:rPr>
          <w:rFonts w:hint="eastAsia" w:ascii="宋体" w:hAnsi="宋体"/>
          <w:sz w:val="44"/>
          <w:szCs w:val="44"/>
        </w:rPr>
        <w:t xml:space="preserve">第三章 </w:t>
      </w:r>
      <w:bookmarkStart w:id="61" w:name="_Toc390955804"/>
      <w:bookmarkStart w:id="62" w:name="_Toc48634277"/>
      <w:r>
        <w:rPr>
          <w:rFonts w:hint="eastAsia" w:ascii="宋体" w:hAnsi="宋体"/>
          <w:sz w:val="44"/>
          <w:szCs w:val="44"/>
        </w:rPr>
        <w:t>发包人</w:t>
      </w:r>
      <w:r>
        <w:rPr>
          <w:rFonts w:ascii="宋体" w:hAnsi="宋体"/>
          <w:sz w:val="44"/>
          <w:szCs w:val="44"/>
        </w:rPr>
        <w:t>要求</w:t>
      </w:r>
      <w:bookmarkEnd w:id="61"/>
      <w:bookmarkEnd w:id="62"/>
    </w:p>
    <w:p>
      <w:pPr>
        <w:spacing w:line="520" w:lineRule="exact"/>
        <w:ind w:firstLine="422" w:firstLineChars="200"/>
        <w:rPr>
          <w:rFonts w:ascii="宋体" w:hAnsi="宋体" w:cs="方正仿宋_GBK"/>
          <w:b/>
          <w:szCs w:val="21"/>
        </w:rPr>
      </w:pPr>
      <w:r>
        <w:rPr>
          <w:rFonts w:hint="eastAsia" w:ascii="宋体" w:hAnsi="宋体" w:cs="方正仿宋_GBK"/>
          <w:b/>
          <w:szCs w:val="21"/>
        </w:rPr>
        <w:t>一、采购项目要求</w:t>
      </w:r>
    </w:p>
    <w:p>
      <w:pPr>
        <w:spacing w:line="520" w:lineRule="exact"/>
        <w:ind w:firstLine="420" w:firstLineChars="200"/>
        <w:rPr>
          <w:rFonts w:ascii="宋体" w:hAnsi="宋体" w:cs="方正仿宋_GBK"/>
          <w:color w:val="000000" w:themeColor="text1"/>
          <w:kern w:val="0"/>
          <w:szCs w:val="21"/>
          <w14:textFill>
            <w14:solidFill>
              <w14:schemeClr w14:val="tx1"/>
            </w14:solidFill>
          </w14:textFill>
        </w:rPr>
      </w:pPr>
      <w:r>
        <w:rPr>
          <w:rFonts w:hint="eastAsia" w:ascii="宋体" w:hAnsi="宋体" w:cs="方正仿宋_GBK"/>
          <w:color w:val="000000" w:themeColor="text1"/>
          <w:kern w:val="0"/>
          <w:szCs w:val="21"/>
          <w14:textFill>
            <w14:solidFill>
              <w14:schemeClr w14:val="tx1"/>
            </w14:solidFill>
          </w14:textFill>
        </w:rPr>
        <w:t>（一）项目概况</w:t>
      </w:r>
    </w:p>
    <w:p>
      <w:pPr>
        <w:spacing w:line="520" w:lineRule="exact"/>
        <w:ind w:firstLine="420" w:firstLineChars="200"/>
        <w:rPr>
          <w:rFonts w:ascii="宋体" w:hAnsi="宋体" w:cs="宋体"/>
          <w:color w:val="000000"/>
          <w:kern w:val="0"/>
          <w:szCs w:val="21"/>
        </w:rPr>
      </w:pPr>
      <w:r>
        <w:rPr>
          <w:rFonts w:hint="eastAsia" w:ascii="宋体" w:hAnsi="宋体" w:cs="宋体"/>
          <w:szCs w:val="21"/>
        </w:rPr>
        <w:t>招标内容：</w:t>
      </w:r>
      <w:r>
        <w:rPr>
          <w:rFonts w:hint="eastAsia" w:ascii="宋体" w:hAnsi="宋体" w:cs="宋体"/>
          <w:color w:val="000000"/>
          <w:kern w:val="0"/>
          <w:szCs w:val="21"/>
        </w:rPr>
        <w:t>承接省辖行及其下属分支行法律服务事务，包括：诉讼类法律事务及非诉讼类法律事务。包括但不限于诉讼案件代理、常年法律顾问、出具法律意见、提供尽职调查等。</w:t>
      </w:r>
    </w:p>
    <w:p>
      <w:pPr>
        <w:pStyle w:val="19"/>
        <w:shd w:val="clear" w:color="auto" w:fill="FFFFFF"/>
        <w:spacing w:before="0" w:beforeAutospacing="0" w:after="0" w:afterAutospacing="0" w:line="520" w:lineRule="exact"/>
        <w:ind w:firstLine="420" w:firstLineChars="200"/>
        <w:rPr>
          <w:rFonts w:hint="default" w:cs="宋体"/>
          <w:color w:val="000000"/>
          <w:sz w:val="21"/>
          <w:szCs w:val="21"/>
        </w:rPr>
      </w:pPr>
      <w:r>
        <w:rPr>
          <w:rFonts w:cs="宋体"/>
          <w:color w:val="000000"/>
          <w:sz w:val="21"/>
          <w:szCs w:val="21"/>
        </w:rPr>
        <w:t>本次采购共分6</w:t>
      </w:r>
      <w:r>
        <w:rPr>
          <w:rFonts w:hint="default" w:cs="宋体"/>
          <w:color w:val="000000"/>
          <w:sz w:val="21"/>
          <w:szCs w:val="21"/>
        </w:rPr>
        <w:t>个包</w:t>
      </w:r>
      <w:r>
        <w:rPr>
          <w:rFonts w:cs="宋体"/>
          <w:color w:val="000000"/>
          <w:sz w:val="21"/>
          <w:szCs w:val="21"/>
        </w:rPr>
        <w:t>，</w:t>
      </w:r>
      <w:r>
        <w:rPr>
          <w:rFonts w:cs="宋体"/>
          <w:kern w:val="2"/>
          <w:sz w:val="21"/>
          <w:szCs w:val="21"/>
        </w:rPr>
        <w:t>共入围21家</w:t>
      </w:r>
      <w:bookmarkStart w:id="148" w:name="_GoBack"/>
      <w:bookmarkEnd w:id="148"/>
      <w:r>
        <w:rPr>
          <w:rFonts w:cs="宋体"/>
          <w:kern w:val="2"/>
          <w:sz w:val="21"/>
          <w:szCs w:val="21"/>
        </w:rPr>
        <w:t>投标单位</w:t>
      </w:r>
      <w:r>
        <w:rPr>
          <w:rFonts w:hint="default" w:cs="宋体"/>
          <w:color w:val="000000"/>
          <w:sz w:val="21"/>
          <w:szCs w:val="21"/>
        </w:rPr>
        <w:t>（每个投标人仅能参与一个包的投标，投标包号在报名时确认后不得更改</w:t>
      </w:r>
      <w:r>
        <w:rPr>
          <w:rFonts w:hint="eastAsia" w:cs="宋体"/>
          <w:color w:val="000000"/>
          <w:sz w:val="21"/>
          <w:szCs w:val="21"/>
          <w:lang w:eastAsia="zh-CN"/>
        </w:rPr>
        <w:t>，</w:t>
      </w:r>
      <w:r>
        <w:rPr>
          <w:rFonts w:hint="eastAsia" w:cs="宋体"/>
          <w:color w:val="000000"/>
          <w:sz w:val="21"/>
          <w:szCs w:val="21"/>
          <w:lang w:val="en-US" w:eastAsia="zh-CN"/>
        </w:rPr>
        <w:t>如有发生多包报名投标情况，将按标包报名顺序决定其报名资格（即顺序优先，如同时报名1包或4包，认定1包报名成功，其余标包无效）</w:t>
      </w:r>
      <w:r>
        <w:rPr>
          <w:rFonts w:hint="default" w:cs="宋体"/>
          <w:color w:val="000000"/>
          <w:sz w:val="21"/>
          <w:szCs w:val="21"/>
        </w:rPr>
        <w:t>），具体各包号入围数量划分如下：</w:t>
      </w:r>
    </w:p>
    <w:p>
      <w:pPr>
        <w:pStyle w:val="19"/>
        <w:shd w:val="clear" w:color="auto" w:fill="FFFFFF"/>
        <w:spacing w:before="0" w:beforeAutospacing="0" w:after="0" w:afterAutospacing="0" w:line="520" w:lineRule="exact"/>
        <w:ind w:firstLine="420" w:firstLineChars="200"/>
        <w:rPr>
          <w:rFonts w:hint="default" w:cs="宋体"/>
          <w:color w:val="000000"/>
          <w:sz w:val="21"/>
          <w:szCs w:val="21"/>
        </w:rPr>
      </w:pPr>
      <w:r>
        <w:rPr>
          <w:rFonts w:cs="宋体"/>
          <w:color w:val="000000"/>
          <w:sz w:val="21"/>
          <w:szCs w:val="21"/>
        </w:rPr>
        <w:t>1</w:t>
      </w:r>
      <w:r>
        <w:rPr>
          <w:rFonts w:hint="default" w:cs="宋体"/>
          <w:color w:val="000000"/>
          <w:sz w:val="21"/>
          <w:szCs w:val="21"/>
        </w:rPr>
        <w:t>包：黄石4家</w:t>
      </w:r>
    </w:p>
    <w:p>
      <w:pPr>
        <w:pStyle w:val="19"/>
        <w:shd w:val="clear" w:color="auto" w:fill="FFFFFF"/>
        <w:spacing w:before="0" w:beforeAutospacing="0" w:after="0" w:afterAutospacing="0" w:line="520" w:lineRule="exact"/>
        <w:ind w:firstLine="420" w:firstLineChars="200"/>
        <w:rPr>
          <w:rFonts w:hint="default" w:cs="宋体"/>
          <w:color w:val="000000"/>
          <w:sz w:val="21"/>
          <w:szCs w:val="21"/>
        </w:rPr>
      </w:pPr>
      <w:r>
        <w:rPr>
          <w:rFonts w:cs="宋体"/>
          <w:color w:val="000000"/>
          <w:sz w:val="21"/>
          <w:szCs w:val="21"/>
        </w:rPr>
        <w:t>2</w:t>
      </w:r>
      <w:r>
        <w:rPr>
          <w:rFonts w:hint="default" w:cs="宋体"/>
          <w:color w:val="000000"/>
          <w:sz w:val="21"/>
          <w:szCs w:val="21"/>
        </w:rPr>
        <w:t>包：宜昌4家</w:t>
      </w:r>
    </w:p>
    <w:p>
      <w:pPr>
        <w:pStyle w:val="19"/>
        <w:shd w:val="clear" w:color="auto" w:fill="FFFFFF"/>
        <w:spacing w:before="0" w:beforeAutospacing="0" w:after="0" w:afterAutospacing="0" w:line="520" w:lineRule="exact"/>
        <w:ind w:firstLine="420" w:firstLineChars="200"/>
        <w:rPr>
          <w:rFonts w:hint="default" w:cs="宋体"/>
          <w:color w:val="000000"/>
          <w:sz w:val="21"/>
          <w:szCs w:val="21"/>
        </w:rPr>
      </w:pPr>
      <w:r>
        <w:rPr>
          <w:rFonts w:cs="宋体"/>
          <w:color w:val="000000"/>
          <w:sz w:val="21"/>
          <w:szCs w:val="21"/>
        </w:rPr>
        <w:t>3</w:t>
      </w:r>
      <w:r>
        <w:rPr>
          <w:rFonts w:hint="default" w:cs="宋体"/>
          <w:color w:val="000000"/>
          <w:sz w:val="21"/>
          <w:szCs w:val="21"/>
        </w:rPr>
        <w:t>包：孝感3家</w:t>
      </w:r>
    </w:p>
    <w:p>
      <w:pPr>
        <w:pStyle w:val="19"/>
        <w:shd w:val="clear" w:color="auto" w:fill="FFFFFF"/>
        <w:spacing w:before="0" w:beforeAutospacing="0" w:after="0" w:afterAutospacing="0" w:line="520" w:lineRule="exact"/>
        <w:ind w:firstLine="420" w:firstLineChars="200"/>
        <w:rPr>
          <w:rFonts w:hint="default" w:cs="宋体"/>
          <w:color w:val="000000"/>
          <w:sz w:val="21"/>
          <w:szCs w:val="21"/>
        </w:rPr>
      </w:pPr>
      <w:r>
        <w:rPr>
          <w:rFonts w:cs="宋体"/>
          <w:color w:val="000000"/>
          <w:sz w:val="21"/>
          <w:szCs w:val="21"/>
        </w:rPr>
        <w:t>4</w:t>
      </w:r>
      <w:r>
        <w:rPr>
          <w:rFonts w:hint="default" w:cs="宋体"/>
          <w:color w:val="000000"/>
          <w:sz w:val="21"/>
          <w:szCs w:val="21"/>
        </w:rPr>
        <w:t>包：襄阳4家</w:t>
      </w:r>
    </w:p>
    <w:p>
      <w:pPr>
        <w:pStyle w:val="19"/>
        <w:shd w:val="clear" w:color="auto" w:fill="FFFFFF"/>
        <w:spacing w:before="0" w:beforeAutospacing="0" w:after="0" w:afterAutospacing="0" w:line="520" w:lineRule="exact"/>
        <w:ind w:firstLine="420" w:firstLineChars="200"/>
        <w:rPr>
          <w:rFonts w:hint="default" w:cs="宋体"/>
          <w:color w:val="000000"/>
          <w:sz w:val="21"/>
          <w:szCs w:val="21"/>
        </w:rPr>
      </w:pPr>
      <w:r>
        <w:rPr>
          <w:rFonts w:cs="宋体"/>
          <w:color w:val="000000"/>
          <w:sz w:val="21"/>
          <w:szCs w:val="21"/>
        </w:rPr>
        <w:t>5</w:t>
      </w:r>
      <w:r>
        <w:rPr>
          <w:rFonts w:hint="default" w:cs="宋体"/>
          <w:color w:val="000000"/>
          <w:sz w:val="21"/>
          <w:szCs w:val="21"/>
        </w:rPr>
        <w:t>包：咸宁3家</w:t>
      </w:r>
    </w:p>
    <w:p>
      <w:pPr>
        <w:pStyle w:val="19"/>
        <w:shd w:val="clear" w:color="auto" w:fill="FFFFFF"/>
        <w:spacing w:before="0" w:beforeAutospacing="0" w:after="0" w:afterAutospacing="0" w:line="520" w:lineRule="exact"/>
        <w:ind w:firstLine="420" w:firstLineChars="200"/>
        <w:rPr>
          <w:rFonts w:hint="default" w:cs="宋体"/>
          <w:color w:val="000000"/>
          <w:sz w:val="21"/>
          <w:szCs w:val="21"/>
        </w:rPr>
      </w:pPr>
      <w:r>
        <w:rPr>
          <w:rFonts w:cs="宋体"/>
          <w:color w:val="000000"/>
          <w:sz w:val="21"/>
          <w:szCs w:val="21"/>
        </w:rPr>
        <w:t>6</w:t>
      </w:r>
      <w:r>
        <w:rPr>
          <w:rFonts w:hint="default" w:cs="宋体"/>
          <w:color w:val="000000"/>
          <w:sz w:val="21"/>
          <w:szCs w:val="21"/>
        </w:rPr>
        <w:t>包：十堰3家</w:t>
      </w:r>
    </w:p>
    <w:p>
      <w:pPr>
        <w:spacing w:line="520" w:lineRule="exact"/>
        <w:ind w:firstLine="420" w:firstLineChars="200"/>
        <w:rPr>
          <w:rFonts w:ascii="宋体" w:hAnsi="宋体" w:cs="方正仿宋_GBK"/>
          <w:color w:val="000000" w:themeColor="text1"/>
          <w:kern w:val="0"/>
          <w:szCs w:val="21"/>
          <w14:textFill>
            <w14:solidFill>
              <w14:schemeClr w14:val="tx1"/>
            </w14:solidFill>
          </w14:textFill>
        </w:rPr>
      </w:pPr>
      <w:r>
        <w:rPr>
          <w:rFonts w:hint="eastAsia" w:ascii="宋体" w:hAnsi="宋体" w:cs="方正仿宋_GBK"/>
          <w:color w:val="000000" w:themeColor="text1"/>
          <w:kern w:val="0"/>
          <w:szCs w:val="21"/>
          <w14:textFill>
            <w14:solidFill>
              <w14:schemeClr w14:val="tx1"/>
            </w14:solidFill>
          </w14:textFill>
        </w:rPr>
        <w:t>（二）选取规则</w:t>
      </w:r>
    </w:p>
    <w:p>
      <w:pPr>
        <w:spacing w:line="520" w:lineRule="exact"/>
        <w:ind w:firstLine="420" w:firstLineChars="200"/>
        <w:rPr>
          <w:rFonts w:ascii="宋体" w:hAnsi="宋体" w:cs="宋体"/>
          <w:szCs w:val="21"/>
        </w:rPr>
      </w:pPr>
      <w:r>
        <w:rPr>
          <w:rFonts w:hint="eastAsia" w:ascii="宋体" w:hAnsi="宋体" w:cs="宋体"/>
          <w:szCs w:val="21"/>
        </w:rPr>
        <w:t>根据《关于进一步优化湖北省分行律师选聘使用管理的通知》（交银鄂办〔2023〕97 号），具体如下：</w:t>
      </w:r>
    </w:p>
    <w:p>
      <w:pPr>
        <w:spacing w:line="520" w:lineRule="exact"/>
        <w:ind w:firstLine="420" w:firstLineChars="200"/>
        <w:rPr>
          <w:rFonts w:ascii="宋体" w:hAnsi="宋体" w:cs="宋体"/>
          <w:szCs w:val="21"/>
        </w:rPr>
      </w:pPr>
      <w:r>
        <w:rPr>
          <w:rFonts w:hint="eastAsia" w:ascii="宋体" w:hAnsi="宋体" w:cs="宋体"/>
          <w:szCs w:val="21"/>
        </w:rPr>
        <w:t>1.拟付律师费金额在1 万元（不含）以内的法律服务事项。聘用部门可根据业务实际自行在律师库内确定代理律师及律师费用。</w:t>
      </w:r>
    </w:p>
    <w:p>
      <w:pPr>
        <w:spacing w:line="520" w:lineRule="exact"/>
        <w:ind w:firstLine="420" w:firstLineChars="200"/>
        <w:rPr>
          <w:rFonts w:ascii="宋体" w:hAnsi="宋体" w:cs="宋体"/>
          <w:szCs w:val="21"/>
        </w:rPr>
      </w:pPr>
      <w:r>
        <w:rPr>
          <w:rFonts w:hint="eastAsia" w:ascii="宋体" w:hAnsi="宋体" w:cs="宋体"/>
          <w:szCs w:val="21"/>
        </w:rPr>
        <w:t>2.拟付律师费金额在1 万元（含）以上，10 万元（不含）以内的法律服务事项。</w:t>
      </w:r>
    </w:p>
    <w:p>
      <w:pPr>
        <w:spacing w:line="520" w:lineRule="exact"/>
        <w:ind w:firstLine="420" w:firstLineChars="200"/>
        <w:rPr>
          <w:rFonts w:ascii="宋体" w:hAnsi="宋体" w:cs="宋体"/>
          <w:szCs w:val="21"/>
        </w:rPr>
      </w:pPr>
      <w:r>
        <w:rPr>
          <w:rFonts w:hint="eastAsia" w:ascii="宋体" w:hAnsi="宋体" w:cs="宋体"/>
          <w:szCs w:val="21"/>
        </w:rPr>
        <w:t>2.1个贷类诉讼清收案件（含惠民贷案件），聘用部门按照律师库入围打分排名结果轮号，确定代理律所及律师费用后，报分管行领导审定。</w:t>
      </w:r>
    </w:p>
    <w:p>
      <w:pPr>
        <w:spacing w:line="520" w:lineRule="exact"/>
        <w:ind w:firstLine="420" w:firstLineChars="200"/>
        <w:rPr>
          <w:rFonts w:ascii="宋体" w:hAnsi="宋体" w:cs="宋体"/>
          <w:szCs w:val="21"/>
        </w:rPr>
      </w:pPr>
      <w:r>
        <w:rPr>
          <w:rFonts w:hint="eastAsia" w:ascii="宋体" w:hAnsi="宋体" w:cs="宋体"/>
          <w:szCs w:val="21"/>
        </w:rPr>
        <w:t>2.2对公类诉讼清收案件及其它法律服务（包括但不限于常年法律顾问、出具法律意见书、尽职调查、完成专项任务等），聘用部门根据案情在律师库内初步确定代理律所及律师费用后，报分管行领导审定。</w:t>
      </w:r>
    </w:p>
    <w:p>
      <w:pPr>
        <w:spacing w:line="520" w:lineRule="exact"/>
        <w:ind w:firstLine="420" w:firstLineChars="200"/>
        <w:rPr>
          <w:rFonts w:ascii="宋体" w:hAnsi="宋体" w:cs="宋体"/>
          <w:szCs w:val="21"/>
        </w:rPr>
      </w:pPr>
      <w:r>
        <w:rPr>
          <w:rFonts w:hint="eastAsia" w:ascii="宋体" w:hAnsi="宋体" w:cs="宋体"/>
          <w:szCs w:val="21"/>
        </w:rPr>
        <w:t>3.拟付律师费金额在10 万元（含）以上，集中采购起点金额（不含）以内的法律服务事项。</w:t>
      </w:r>
    </w:p>
    <w:p>
      <w:pPr>
        <w:spacing w:line="520" w:lineRule="exact"/>
        <w:ind w:firstLine="420" w:firstLineChars="200"/>
        <w:rPr>
          <w:rFonts w:ascii="宋体" w:hAnsi="宋体" w:cs="宋体"/>
          <w:szCs w:val="21"/>
        </w:rPr>
      </w:pPr>
      <w:r>
        <w:rPr>
          <w:rFonts w:hint="eastAsia" w:ascii="宋体" w:hAnsi="宋体" w:cs="宋体"/>
          <w:szCs w:val="21"/>
        </w:rPr>
        <w:t>3.1个贷类诉讼清收案件（含惠民贷案件），聘用部门按照律师库入围打分排名结果轮号，确定代理律所及律师费用后，报分管行领导审定。</w:t>
      </w:r>
    </w:p>
    <w:p>
      <w:pPr>
        <w:spacing w:line="520" w:lineRule="exact"/>
        <w:ind w:firstLine="420" w:firstLineChars="200"/>
        <w:rPr>
          <w:rFonts w:ascii="宋体" w:hAnsi="宋体" w:cs="宋体"/>
          <w:szCs w:val="21"/>
        </w:rPr>
      </w:pPr>
      <w:r>
        <w:rPr>
          <w:rFonts w:hint="eastAsia" w:ascii="宋体" w:hAnsi="宋体" w:cs="宋体"/>
          <w:szCs w:val="21"/>
        </w:rPr>
        <w:t>3.2对公类诉讼清收案件及其它法律服务（包括但不限于常年法律顾问、出具法律意见书、尽职调查、完成专项任务等），聘用部门按照分散采购流程中的比选采购方式，从律师库内选取三家或三家以上律师事务所进行比选采购。</w:t>
      </w:r>
    </w:p>
    <w:p>
      <w:pPr>
        <w:spacing w:line="520" w:lineRule="exact"/>
        <w:ind w:firstLine="420" w:firstLineChars="200"/>
        <w:rPr>
          <w:rFonts w:ascii="宋体" w:hAnsi="宋体" w:cs="宋体"/>
          <w:szCs w:val="21"/>
        </w:rPr>
      </w:pPr>
      <w:r>
        <w:rPr>
          <w:rFonts w:hint="eastAsia" w:ascii="宋体" w:hAnsi="宋体" w:cs="宋体"/>
          <w:szCs w:val="21"/>
        </w:rPr>
        <w:t>4.根据总行律师费管理办法，拟付律师费金额达到30万元（含）以上，聘用部门从律师库内选取三家或三家以上律师事务所进行商务谈判。</w:t>
      </w:r>
    </w:p>
    <w:p>
      <w:pPr>
        <w:spacing w:line="520" w:lineRule="exact"/>
        <w:ind w:firstLine="420" w:firstLineChars="200"/>
        <w:rPr>
          <w:rFonts w:ascii="宋体" w:hAnsi="宋体" w:cs="宋体"/>
          <w:szCs w:val="21"/>
        </w:rPr>
      </w:pPr>
      <w:r>
        <w:rPr>
          <w:rFonts w:hint="eastAsia" w:ascii="宋体" w:hAnsi="宋体" w:cs="宋体"/>
          <w:szCs w:val="21"/>
        </w:rPr>
        <w:t>5.除上述流程规定外，如遇政府指定、案件线索唯一性等原因确需从律师库内指定律所提供法律服务的，聘用部门应写明原因报分管行领导审定。省辖行作为聘用部门的，应写明原因报省辖行一把手行长审批；拟付律师费金额在10万元（含）以上的项目，还应报省分行归口管理部门签批。</w:t>
      </w:r>
    </w:p>
    <w:p>
      <w:pPr>
        <w:spacing w:line="520" w:lineRule="exact"/>
        <w:ind w:firstLine="420" w:firstLineChars="200"/>
        <w:rPr>
          <w:rFonts w:ascii="宋体" w:hAnsi="宋体" w:cs="宋体"/>
          <w:szCs w:val="21"/>
        </w:rPr>
      </w:pPr>
      <w:r>
        <w:rPr>
          <w:rFonts w:hint="eastAsia" w:ascii="宋体" w:hAnsi="宋体" w:cs="宋体"/>
          <w:szCs w:val="21"/>
        </w:rPr>
        <w:t>（三）退出机制</w:t>
      </w:r>
    </w:p>
    <w:p>
      <w:pPr>
        <w:spacing w:line="520" w:lineRule="exact"/>
        <w:ind w:firstLine="420" w:firstLineChars="200"/>
        <w:rPr>
          <w:rFonts w:ascii="宋体" w:hAnsi="宋体" w:cs="宋体"/>
          <w:szCs w:val="21"/>
        </w:rPr>
      </w:pPr>
      <w:r>
        <w:rPr>
          <w:rFonts w:hint="eastAsia" w:ascii="宋体" w:hAnsi="宋体" w:cs="宋体"/>
          <w:szCs w:val="21"/>
        </w:rPr>
        <w:t>入库律师事务所有下列情况之一的，将被取消入围资格</w:t>
      </w:r>
    </w:p>
    <w:p>
      <w:pPr>
        <w:spacing w:line="520" w:lineRule="exact"/>
        <w:ind w:firstLine="420" w:firstLineChars="200"/>
        <w:rPr>
          <w:rFonts w:ascii="宋体" w:hAnsi="宋体" w:cs="宋体"/>
          <w:szCs w:val="21"/>
        </w:rPr>
      </w:pPr>
      <w:r>
        <w:rPr>
          <w:rFonts w:hint="eastAsia" w:ascii="宋体" w:hAnsi="宋体" w:cs="宋体"/>
          <w:szCs w:val="21"/>
        </w:rPr>
        <w:t>1、在处理同一法律事务过程中同时接受交通银行湖北省分行及辖行和对方当事人/交易对手委托，提供法律服务有利益冲突的；</w:t>
      </w:r>
    </w:p>
    <w:p>
      <w:pPr>
        <w:spacing w:line="520" w:lineRule="exact"/>
        <w:ind w:firstLine="420" w:firstLineChars="200"/>
        <w:rPr>
          <w:rFonts w:ascii="宋体" w:hAnsi="宋体" w:cs="宋体"/>
          <w:szCs w:val="21"/>
        </w:rPr>
      </w:pPr>
      <w:r>
        <w:rPr>
          <w:rFonts w:hint="eastAsia" w:ascii="宋体" w:hAnsi="宋体" w:cs="宋体"/>
          <w:szCs w:val="21"/>
        </w:rPr>
        <w:t>2、因故意或者重大过失给交通银行湖北省分行及辖行造成损害的；</w:t>
      </w:r>
    </w:p>
    <w:p>
      <w:pPr>
        <w:spacing w:line="520" w:lineRule="exact"/>
        <w:ind w:firstLine="420" w:firstLineChars="200"/>
        <w:rPr>
          <w:rFonts w:ascii="宋体" w:hAnsi="宋体" w:cs="宋体"/>
          <w:szCs w:val="21"/>
        </w:rPr>
      </w:pPr>
      <w:r>
        <w:rPr>
          <w:rFonts w:hint="eastAsia" w:ascii="宋体" w:hAnsi="宋体" w:cs="宋体"/>
          <w:szCs w:val="21"/>
        </w:rPr>
        <w:t>3、法律意见违法或者严重不当，起草或者审查的法律性文件因违法而被认定为无效或者可撤销，代理的诉讼或者仲裁案件丧失起诉、上诉、申请再审、申请执行机会等严重损害交通银行湖北省分行及辖行利益的；</w:t>
      </w:r>
    </w:p>
    <w:p>
      <w:pPr>
        <w:spacing w:line="520" w:lineRule="exact"/>
        <w:ind w:firstLine="420" w:firstLineChars="200"/>
        <w:rPr>
          <w:rFonts w:ascii="宋体" w:hAnsi="宋体" w:cs="宋体"/>
          <w:szCs w:val="21"/>
        </w:rPr>
      </w:pPr>
      <w:r>
        <w:rPr>
          <w:rFonts w:hint="eastAsia" w:ascii="宋体" w:hAnsi="宋体" w:cs="宋体"/>
          <w:szCs w:val="21"/>
        </w:rPr>
        <w:t>4、律师聘用协议终止前拒不履行义务的；</w:t>
      </w:r>
    </w:p>
    <w:p>
      <w:pPr>
        <w:spacing w:line="520" w:lineRule="exact"/>
        <w:ind w:firstLine="420" w:firstLineChars="200"/>
        <w:rPr>
          <w:rFonts w:ascii="宋体" w:hAnsi="宋体" w:cs="宋体"/>
          <w:szCs w:val="21"/>
        </w:rPr>
      </w:pPr>
      <w:r>
        <w:rPr>
          <w:rFonts w:hint="eastAsia" w:ascii="宋体" w:hAnsi="宋体" w:cs="宋体"/>
          <w:szCs w:val="21"/>
        </w:rPr>
        <w:t>5、违反保密义务的；</w:t>
      </w:r>
    </w:p>
    <w:p>
      <w:pPr>
        <w:spacing w:line="520" w:lineRule="exact"/>
        <w:ind w:firstLine="420" w:firstLineChars="200"/>
        <w:rPr>
          <w:rFonts w:ascii="宋体" w:hAnsi="宋体" w:cs="宋体"/>
          <w:szCs w:val="21"/>
        </w:rPr>
      </w:pPr>
      <w:r>
        <w:rPr>
          <w:rFonts w:hint="eastAsia" w:ascii="宋体" w:hAnsi="宋体" w:cs="宋体"/>
          <w:szCs w:val="21"/>
        </w:rPr>
        <w:t>6、因律师聘用协议与交通银行湖北省分行及辖行发生诉讼纠纷的；</w:t>
      </w:r>
    </w:p>
    <w:p>
      <w:pPr>
        <w:spacing w:line="520" w:lineRule="exact"/>
        <w:ind w:firstLine="420" w:firstLineChars="200"/>
        <w:rPr>
          <w:rFonts w:ascii="宋体" w:hAnsi="宋体" w:cs="宋体"/>
          <w:szCs w:val="21"/>
        </w:rPr>
      </w:pPr>
      <w:r>
        <w:rPr>
          <w:rFonts w:hint="eastAsia" w:ascii="宋体" w:hAnsi="宋体" w:cs="宋体"/>
          <w:szCs w:val="21"/>
        </w:rPr>
        <w:t>7、违反诚实信用原则，损害交通银行湖北省分行及辖行利益的；</w:t>
      </w:r>
    </w:p>
    <w:p>
      <w:pPr>
        <w:spacing w:line="520" w:lineRule="exact"/>
        <w:ind w:firstLine="420" w:firstLineChars="200"/>
        <w:rPr>
          <w:rFonts w:ascii="宋体" w:hAnsi="宋体" w:cs="宋体"/>
          <w:szCs w:val="21"/>
        </w:rPr>
      </w:pPr>
      <w:r>
        <w:rPr>
          <w:rFonts w:hint="eastAsia" w:ascii="宋体" w:hAnsi="宋体" w:cs="宋体"/>
          <w:szCs w:val="21"/>
        </w:rPr>
        <w:t>8、因违法犯罪受到有关部门处罚或被追究刑事责任的；</w:t>
      </w:r>
    </w:p>
    <w:p>
      <w:pPr>
        <w:spacing w:line="520" w:lineRule="exact"/>
        <w:ind w:firstLine="420" w:firstLineChars="200"/>
        <w:rPr>
          <w:rFonts w:ascii="宋体" w:hAnsi="宋体" w:cs="宋体"/>
          <w:szCs w:val="21"/>
        </w:rPr>
      </w:pPr>
      <w:r>
        <w:rPr>
          <w:rFonts w:hint="eastAsia" w:ascii="宋体" w:hAnsi="宋体" w:cs="宋体"/>
          <w:szCs w:val="21"/>
        </w:rPr>
        <w:t>9、有重大负面声誉风险的。</w:t>
      </w:r>
    </w:p>
    <w:p>
      <w:pPr>
        <w:spacing w:line="360" w:lineRule="auto"/>
        <w:ind w:firstLine="420" w:firstLineChars="200"/>
        <w:rPr>
          <w:rFonts w:ascii="宋体" w:hAnsi="宋体" w:cs="宋体"/>
          <w:szCs w:val="21"/>
        </w:rPr>
      </w:pPr>
    </w:p>
    <w:p>
      <w:pPr>
        <w:keepNext/>
        <w:keepLines/>
        <w:spacing w:line="440" w:lineRule="exact"/>
        <w:ind w:firstLine="422" w:firstLineChars="200"/>
        <w:outlineLvl w:val="2"/>
        <w:rPr>
          <w:rFonts w:ascii="宋体" w:hAnsi="宋体" w:cs="方正仿宋_GBK"/>
          <w:b/>
          <w:bCs/>
          <w:szCs w:val="21"/>
        </w:rPr>
      </w:pPr>
      <w:bookmarkStart w:id="63" w:name="_Toc47446207"/>
      <w:r>
        <w:rPr>
          <w:rFonts w:hint="eastAsia" w:ascii="宋体" w:hAnsi="宋体" w:cs="方正仿宋_GBK"/>
          <w:b/>
          <w:bCs/>
          <w:szCs w:val="21"/>
        </w:rPr>
        <w:t>二</w:t>
      </w:r>
      <w:r>
        <w:rPr>
          <w:rFonts w:ascii="宋体" w:hAnsi="宋体" w:cs="方正仿宋_GBK"/>
          <w:b/>
          <w:bCs/>
          <w:szCs w:val="21"/>
        </w:rPr>
        <w:t>、</w:t>
      </w:r>
      <w:r>
        <w:rPr>
          <w:rFonts w:hint="eastAsia" w:ascii="宋体" w:hAnsi="宋体" w:cs="方正仿宋_GBK"/>
          <w:b/>
          <w:bCs/>
          <w:szCs w:val="21"/>
        </w:rPr>
        <w:t>主要商务</w:t>
      </w:r>
      <w:r>
        <w:rPr>
          <w:rFonts w:ascii="宋体" w:hAnsi="宋体" w:cs="方正仿宋_GBK"/>
          <w:b/>
          <w:bCs/>
          <w:szCs w:val="21"/>
        </w:rPr>
        <w:t>条款</w:t>
      </w:r>
      <w:bookmarkEnd w:id="63"/>
    </w:p>
    <w:p>
      <w:pPr>
        <w:spacing w:line="360" w:lineRule="auto"/>
        <w:ind w:firstLine="422" w:firstLineChars="200"/>
        <w:rPr>
          <w:rFonts w:ascii="宋体" w:hAnsi="宋体" w:cs="宋体"/>
          <w:szCs w:val="21"/>
        </w:rPr>
      </w:pPr>
      <w:bookmarkStart w:id="64" w:name="_Toc8241"/>
      <w:r>
        <w:rPr>
          <w:rFonts w:hint="eastAsia" w:ascii="宋体" w:hAnsi="宋体" w:cs="宋体"/>
          <w:b/>
          <w:bCs/>
          <w:szCs w:val="21"/>
        </w:rPr>
        <w:t>1、</w:t>
      </w:r>
      <w:bookmarkEnd w:id="64"/>
      <w:r>
        <w:rPr>
          <w:rFonts w:hint="eastAsia" w:ascii="宋体" w:hAnsi="宋体" w:cs="宋体"/>
          <w:b/>
          <w:bCs/>
          <w:szCs w:val="21"/>
        </w:rPr>
        <w:t>服务时间</w:t>
      </w:r>
    </w:p>
    <w:p>
      <w:pPr>
        <w:spacing w:line="360" w:lineRule="auto"/>
        <w:ind w:firstLine="420" w:firstLineChars="200"/>
        <w:rPr>
          <w:rFonts w:hint="eastAsia" w:ascii="宋体" w:hAnsi="宋体" w:cs="宋体"/>
          <w:szCs w:val="21"/>
        </w:rPr>
      </w:pPr>
      <w:bookmarkStart w:id="65" w:name="_Toc10538"/>
      <w:r>
        <w:rPr>
          <w:rFonts w:hint="eastAsia" w:ascii="宋体" w:hAnsi="宋体" w:cs="宋体"/>
          <w:color w:val="000000"/>
          <w:kern w:val="0"/>
          <w:szCs w:val="21"/>
        </w:rPr>
        <w:t>入库期限：1至6包：有效期三年</w:t>
      </w:r>
      <w:r>
        <w:rPr>
          <w:rFonts w:hint="eastAsia" w:ascii="宋体" w:hAnsi="宋体" w:cs="宋体"/>
          <w:szCs w:val="21"/>
        </w:rPr>
        <w:t>。</w:t>
      </w:r>
    </w:p>
    <w:p>
      <w:pPr>
        <w:spacing w:line="360" w:lineRule="auto"/>
        <w:ind w:firstLine="420" w:firstLineChars="200"/>
        <w:rPr>
          <w:rFonts w:ascii="宋体" w:hAnsi="宋体" w:cs="宋体"/>
          <w:highlight w:val="yellow"/>
        </w:rPr>
      </w:pPr>
      <w:r>
        <w:rPr>
          <w:rFonts w:hint="eastAsia" w:ascii="宋体" w:hAnsi="宋体" w:cs="宋体"/>
          <w:szCs w:val="21"/>
        </w:rPr>
        <w:t>连续合同期限3年，合同签订方式为单次签署三年。预计近三年律师服务价格整体平稳，但由于外部经济形势复杂严峻，部分案件律师费价格可能略涨（但不保证涨价）。</w:t>
      </w:r>
    </w:p>
    <w:p>
      <w:pPr>
        <w:spacing w:line="360" w:lineRule="auto"/>
        <w:ind w:firstLine="422" w:firstLineChars="200"/>
        <w:rPr>
          <w:rFonts w:ascii="宋体" w:hAnsi="宋体" w:cs="宋体"/>
          <w:szCs w:val="21"/>
        </w:rPr>
      </w:pPr>
      <w:r>
        <w:rPr>
          <w:rFonts w:hint="eastAsia" w:ascii="宋体" w:hAnsi="宋体" w:cs="宋体"/>
          <w:b/>
          <w:bCs/>
          <w:szCs w:val="21"/>
        </w:rPr>
        <w:t>2、付款方式</w:t>
      </w:r>
      <w:bookmarkEnd w:id="65"/>
    </w:p>
    <w:p>
      <w:pPr>
        <w:spacing w:line="360" w:lineRule="auto"/>
        <w:ind w:firstLine="420" w:firstLineChars="200"/>
        <w:rPr>
          <w:rFonts w:ascii="宋体" w:hAnsi="宋体" w:cs="宋体"/>
          <w:szCs w:val="21"/>
        </w:rPr>
      </w:pPr>
      <w:r>
        <w:rPr>
          <w:rFonts w:hint="eastAsia" w:ascii="宋体" w:hAnsi="宋体" w:cs="宋体"/>
          <w:szCs w:val="21"/>
        </w:rPr>
        <w:t>具体合同签订时约定。</w:t>
      </w:r>
    </w:p>
    <w:p>
      <w:pPr>
        <w:spacing w:line="360" w:lineRule="auto"/>
        <w:ind w:firstLine="422" w:firstLineChars="200"/>
        <w:rPr>
          <w:rFonts w:ascii="宋体" w:hAnsi="宋体" w:cs="宋体"/>
          <w:b/>
          <w:bCs/>
          <w:szCs w:val="21"/>
        </w:rPr>
      </w:pPr>
      <w:bookmarkStart w:id="66" w:name="_Toc30210"/>
      <w:r>
        <w:rPr>
          <w:rFonts w:hint="eastAsia" w:ascii="宋体" w:hAnsi="宋体" w:cs="宋体"/>
          <w:b/>
          <w:bCs/>
          <w:szCs w:val="21"/>
        </w:rPr>
        <w:t>3、</w:t>
      </w:r>
      <w:bookmarkEnd w:id="66"/>
      <w:bookmarkStart w:id="67" w:name="_Toc17311"/>
      <w:r>
        <w:rPr>
          <w:rFonts w:hint="eastAsia" w:ascii="宋体" w:hAnsi="宋体" w:cs="宋体"/>
          <w:b/>
          <w:bCs/>
          <w:szCs w:val="21"/>
        </w:rPr>
        <w:t>其他要求</w:t>
      </w:r>
      <w:bookmarkEnd w:id="67"/>
    </w:p>
    <w:p>
      <w:pPr>
        <w:spacing w:line="360" w:lineRule="auto"/>
        <w:ind w:firstLine="420" w:firstLineChars="200"/>
        <w:rPr>
          <w:rFonts w:ascii="宋体" w:hAnsi="宋体" w:cs="宋体"/>
          <w:szCs w:val="21"/>
        </w:rPr>
      </w:pPr>
      <w:r>
        <w:rPr>
          <w:rFonts w:hint="eastAsia" w:ascii="宋体" w:hAnsi="宋体" w:cs="宋体"/>
          <w:szCs w:val="21"/>
        </w:rPr>
        <w:t>本文件要求服务所发生的一切费用均包含在投标报价中。对于招标人提出的技术实现方式、手段和要求，中标人必须无条件服从并完成有关工作，不再另计费用。</w:t>
      </w:r>
    </w:p>
    <w:p>
      <w:pPr>
        <w:rPr>
          <w:rFonts w:ascii="宋体" w:hAnsi="宋体" w:cs="宋体"/>
          <w:szCs w:val="21"/>
        </w:rPr>
      </w:pPr>
      <w:r>
        <w:rPr>
          <w:rFonts w:hint="eastAsia" w:ascii="宋体" w:hAnsi="宋体" w:cs="宋体"/>
          <w:szCs w:val="21"/>
        </w:rPr>
        <w:br w:type="page"/>
      </w:r>
    </w:p>
    <w:p>
      <w:pPr>
        <w:pStyle w:val="2"/>
        <w:keepLines/>
        <w:numPr>
          <w:ilvl w:val="0"/>
          <w:numId w:val="0"/>
        </w:numPr>
        <w:tabs>
          <w:tab w:val="left" w:pos="1440"/>
        </w:tabs>
        <w:spacing w:before="340" w:after="330" w:line="240" w:lineRule="auto"/>
        <w:jc w:val="center"/>
        <w:rPr>
          <w:rFonts w:ascii="宋体" w:hAnsi="宋体"/>
          <w:sz w:val="44"/>
          <w:szCs w:val="44"/>
        </w:rPr>
      </w:pPr>
      <w:bookmarkStart w:id="68" w:name="_Toc48634278"/>
      <w:bookmarkStart w:id="69" w:name="_Hlk8308919"/>
      <w:r>
        <w:rPr>
          <w:rFonts w:hint="eastAsia" w:ascii="宋体" w:hAnsi="宋体"/>
          <w:sz w:val="44"/>
          <w:szCs w:val="44"/>
        </w:rPr>
        <w:t>第四章 合同书格式</w:t>
      </w:r>
      <w:bookmarkEnd w:id="68"/>
    </w:p>
    <w:p>
      <w:pPr>
        <w:pStyle w:val="12"/>
        <w:spacing w:before="96" w:line="360" w:lineRule="auto"/>
        <w:ind w:firstLine="420"/>
        <w:jc w:val="center"/>
        <w:rPr>
          <w:rFonts w:ascii="宋体" w:hAnsi="宋体"/>
          <w:sz w:val="21"/>
          <w:szCs w:val="21"/>
        </w:rPr>
      </w:pPr>
      <w:r>
        <w:rPr>
          <w:rFonts w:ascii="宋体" w:hAnsi="宋体"/>
          <w:sz w:val="21"/>
          <w:szCs w:val="21"/>
        </w:rPr>
        <w:t>（此合同书仅供签订正式合同时参考用，正式合同书应包括此参考格式之内容。）</w:t>
      </w:r>
    </w:p>
    <w:p>
      <w:pPr>
        <w:autoSpaceDE w:val="0"/>
        <w:autoSpaceDN w:val="0"/>
        <w:adjustRightInd w:val="0"/>
        <w:spacing w:line="360" w:lineRule="auto"/>
        <w:jc w:val="center"/>
        <w:rPr>
          <w:rFonts w:ascii="宋体" w:hAnsi="宋体" w:cs="宋体"/>
          <w:b/>
          <w:kern w:val="0"/>
          <w:szCs w:val="21"/>
        </w:rPr>
      </w:pPr>
    </w:p>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合    同    书</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项目名称：</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合同编号：</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签订日期：</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签订合同地点：</w:t>
      </w:r>
    </w:p>
    <w:p>
      <w:pPr>
        <w:pStyle w:val="17"/>
        <w:spacing w:line="360" w:lineRule="auto"/>
        <w:ind w:firstLine="420"/>
        <w:rPr>
          <w:rFonts w:ascii="宋体" w:hAnsi="宋体" w:cs="宋体"/>
          <w:kern w:val="0"/>
          <w:sz w:val="21"/>
          <w:szCs w:val="21"/>
        </w:rPr>
      </w:pPr>
      <w:r>
        <w:rPr>
          <w:rFonts w:hint="eastAsia" w:ascii="宋体" w:hAnsi="宋体" w:cs="宋体"/>
          <w:kern w:val="0"/>
          <w:sz w:val="21"/>
          <w:szCs w:val="21"/>
        </w:rPr>
        <w:t>本合同由                      （以下简称“需方”）与                           （以下简称“供方”）签订。</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供方以总金额万元人民币（用大写数字书写）向需方提供如下</w:t>
      </w:r>
      <w:r>
        <w:rPr>
          <w:rFonts w:hint="eastAsia" w:ascii="宋体" w:hAnsi="宋体" w:cs="宋体"/>
          <w:kern w:val="0"/>
          <w:szCs w:val="21"/>
          <w:u w:val="single"/>
        </w:rPr>
        <w:t xml:space="preserve">  （工程/货物/服务）  </w:t>
      </w:r>
      <w:r>
        <w:rPr>
          <w:rFonts w:hint="eastAsia" w:ascii="宋体" w:hAnsi="宋体" w:cs="宋体"/>
          <w:kern w:val="0"/>
          <w:szCs w:val="21"/>
        </w:rPr>
        <w:t>：</w:t>
      </w:r>
    </w:p>
    <w:p>
      <w:pPr>
        <w:autoSpaceDE w:val="0"/>
        <w:autoSpaceDN w:val="0"/>
        <w:adjustRightInd w:val="0"/>
        <w:spacing w:line="360" w:lineRule="auto"/>
        <w:jc w:val="left"/>
        <w:rPr>
          <w:rFonts w:ascii="宋体" w:hAnsi="宋体" w:cs="宋体"/>
          <w:kern w:val="0"/>
          <w:szCs w:val="21"/>
        </w:rPr>
      </w:pPr>
    </w:p>
    <w:p>
      <w:pPr>
        <w:autoSpaceDE w:val="0"/>
        <w:autoSpaceDN w:val="0"/>
        <w:adjustRightInd w:val="0"/>
        <w:spacing w:line="360" w:lineRule="auto"/>
        <w:rPr>
          <w:rFonts w:ascii="宋体" w:hAnsi="宋体" w:cs="宋体"/>
          <w:b/>
          <w:kern w:val="0"/>
          <w:szCs w:val="21"/>
        </w:rPr>
      </w:pPr>
      <w:r>
        <w:rPr>
          <w:rFonts w:hint="eastAsia" w:ascii="宋体" w:hAnsi="宋体" w:cs="宋体"/>
          <w:b/>
          <w:kern w:val="0"/>
          <w:szCs w:val="21"/>
        </w:rPr>
        <w:t>经双方协商，同意按下列条文执行：</w:t>
      </w:r>
    </w:p>
    <w:p>
      <w:pPr>
        <w:autoSpaceDE w:val="0"/>
        <w:autoSpaceDN w:val="0"/>
        <w:adjustRightInd w:val="0"/>
        <w:spacing w:line="360" w:lineRule="auto"/>
        <w:ind w:left="210" w:hanging="210" w:hangingChars="100"/>
        <w:rPr>
          <w:rFonts w:ascii="宋体" w:hAnsi="宋体" w:cs="宋体"/>
          <w:kern w:val="0"/>
          <w:szCs w:val="21"/>
        </w:rPr>
      </w:pPr>
      <w:r>
        <w:rPr>
          <w:rFonts w:hint="eastAsia" w:ascii="宋体" w:hAnsi="宋体" w:cs="宋体"/>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ascii="宋体" w:hAnsi="宋体" w:cs="宋体"/>
          <w:kern w:val="0"/>
          <w:szCs w:val="21"/>
        </w:rPr>
      </w:pPr>
      <w:r>
        <w:rPr>
          <w:rFonts w:hint="eastAsia" w:ascii="宋体" w:hAnsi="宋体" w:cs="宋体"/>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ascii="宋体" w:hAnsi="宋体" w:cs="宋体"/>
          <w:kern w:val="0"/>
          <w:szCs w:val="21"/>
        </w:rPr>
      </w:pPr>
      <w:r>
        <w:rPr>
          <w:rFonts w:hint="eastAsia" w:ascii="宋体" w:hAnsi="宋体" w:cs="宋体"/>
          <w:kern w:val="0"/>
          <w:szCs w:val="21"/>
        </w:rPr>
        <w:t>3.供方保证全部按合同条款规定的内容和交货期向需方提供合格的</w:t>
      </w:r>
      <w:r>
        <w:rPr>
          <w:rFonts w:hint="eastAsia" w:ascii="宋体" w:hAnsi="宋体" w:cs="宋体"/>
          <w:kern w:val="0"/>
          <w:szCs w:val="21"/>
          <w:u w:val="single"/>
        </w:rPr>
        <w:t xml:space="preserve">  （工程/货物/服务）  </w:t>
      </w:r>
      <w:r>
        <w:rPr>
          <w:rFonts w:hint="eastAsia" w:ascii="宋体" w:hAnsi="宋体" w:cs="宋体"/>
          <w:kern w:val="0"/>
          <w:szCs w:val="21"/>
        </w:rPr>
        <w:t>，并承担应负的责任和义务。</w:t>
      </w:r>
    </w:p>
    <w:p>
      <w:pPr>
        <w:autoSpaceDE w:val="0"/>
        <w:autoSpaceDN w:val="0"/>
        <w:adjustRightInd w:val="0"/>
        <w:spacing w:line="360" w:lineRule="auto"/>
        <w:jc w:val="left"/>
        <w:rPr>
          <w:rFonts w:ascii="宋体" w:hAnsi="宋体" w:cs="宋体"/>
          <w:b/>
          <w:kern w:val="0"/>
          <w:szCs w:val="21"/>
        </w:rPr>
      </w:pPr>
      <w:r>
        <w:rPr>
          <w:rFonts w:hint="eastAsia" w:ascii="宋体" w:hAnsi="宋体" w:cs="宋体"/>
          <w:b/>
          <w:kern w:val="0"/>
          <w:szCs w:val="21"/>
        </w:rPr>
        <w:t>4.合同文件</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下列文件为本合同不可分割的部分。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4.1本采购文件；</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4.2供方投标文件；</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4.3合同书；</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4.4合同条款；</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4.5</w:t>
      </w:r>
      <w:r>
        <w:rPr>
          <w:rFonts w:hint="eastAsia" w:ascii="宋体" w:hAnsi="宋体" w:cs="宋体"/>
          <w:kern w:val="0"/>
          <w:szCs w:val="21"/>
          <w:u w:val="single"/>
        </w:rPr>
        <w:t xml:space="preserve">  （代理机构）  </w:t>
      </w:r>
      <w:r>
        <w:rPr>
          <w:rFonts w:hint="eastAsia" w:ascii="宋体" w:hAnsi="宋体" w:cs="宋体"/>
          <w:kern w:val="0"/>
          <w:szCs w:val="21"/>
        </w:rPr>
        <w:t>发出的成交通知书；</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4.6附件：</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4.6.1采购方在采购期间发布的所有补充通知；</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4.6.2供方补充的所有书面文件；</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4.6.3供方随同投标文件一起递送的资料及附图；</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4.6.4在商洽本合同时，双方澄清、确认并共同签字的补充文件、技术协议。</w:t>
      </w:r>
    </w:p>
    <w:p>
      <w:pPr>
        <w:autoSpaceDE w:val="0"/>
        <w:autoSpaceDN w:val="0"/>
        <w:adjustRightInd w:val="0"/>
        <w:spacing w:before="156" w:line="360" w:lineRule="auto"/>
        <w:jc w:val="left"/>
        <w:rPr>
          <w:rFonts w:ascii="宋体" w:hAnsi="宋体" w:cs="宋体"/>
          <w:b/>
          <w:kern w:val="0"/>
          <w:szCs w:val="21"/>
        </w:rPr>
      </w:pPr>
      <w:r>
        <w:rPr>
          <w:rFonts w:hint="eastAsia" w:ascii="宋体" w:hAnsi="宋体" w:cs="宋体"/>
          <w:b/>
          <w:kern w:val="0"/>
          <w:szCs w:val="21"/>
        </w:rPr>
        <w:t>5.合同范围和条件</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本合同的范围和条件应与上述规定的合同文件内容相一致。</w:t>
      </w:r>
    </w:p>
    <w:p>
      <w:pPr>
        <w:autoSpaceDE w:val="0"/>
        <w:autoSpaceDN w:val="0"/>
        <w:adjustRightInd w:val="0"/>
        <w:spacing w:before="156" w:line="360" w:lineRule="auto"/>
        <w:rPr>
          <w:rFonts w:ascii="宋体" w:hAnsi="宋体" w:cs="宋体"/>
          <w:b/>
          <w:kern w:val="0"/>
          <w:szCs w:val="21"/>
        </w:rPr>
      </w:pPr>
      <w:r>
        <w:rPr>
          <w:rFonts w:hint="eastAsia" w:ascii="宋体" w:hAnsi="宋体" w:cs="宋体"/>
          <w:b/>
          <w:kern w:val="0"/>
          <w:szCs w:val="21"/>
        </w:rPr>
        <w:t>6.货物及数量</w:t>
      </w:r>
    </w:p>
    <w:p>
      <w:pPr>
        <w:pStyle w:val="17"/>
        <w:spacing w:line="360" w:lineRule="auto"/>
        <w:ind w:firstLine="420"/>
        <w:rPr>
          <w:rFonts w:ascii="宋体" w:hAnsi="宋体" w:cs="宋体"/>
          <w:kern w:val="0"/>
          <w:sz w:val="21"/>
          <w:szCs w:val="21"/>
        </w:rPr>
      </w:pPr>
      <w:r>
        <w:rPr>
          <w:rFonts w:hint="eastAsia" w:ascii="宋体" w:hAnsi="宋体" w:cs="宋体"/>
          <w:kern w:val="0"/>
          <w:sz w:val="21"/>
          <w:szCs w:val="21"/>
        </w:rPr>
        <w:t>本合同所提供的</w:t>
      </w:r>
      <w:r>
        <w:rPr>
          <w:rFonts w:hint="eastAsia" w:ascii="宋体" w:hAnsi="宋体" w:cs="宋体"/>
          <w:kern w:val="0"/>
          <w:sz w:val="21"/>
          <w:szCs w:val="21"/>
          <w:u w:val="single"/>
        </w:rPr>
        <w:t xml:space="preserve">  （工程/货物/服务）  </w:t>
      </w:r>
      <w:r>
        <w:rPr>
          <w:rFonts w:hint="eastAsia" w:ascii="宋体" w:hAnsi="宋体" w:cs="宋体"/>
          <w:kern w:val="0"/>
          <w:sz w:val="21"/>
          <w:szCs w:val="21"/>
        </w:rPr>
        <w:t>及数量详见采购文件的要求及投标文件中的承诺。</w:t>
      </w:r>
    </w:p>
    <w:p>
      <w:pPr>
        <w:autoSpaceDE w:val="0"/>
        <w:autoSpaceDN w:val="0"/>
        <w:adjustRightInd w:val="0"/>
        <w:spacing w:before="156" w:line="360" w:lineRule="auto"/>
        <w:rPr>
          <w:rFonts w:ascii="宋体" w:hAnsi="宋体" w:cs="宋体"/>
          <w:b/>
          <w:kern w:val="0"/>
          <w:szCs w:val="21"/>
        </w:rPr>
      </w:pPr>
      <w:r>
        <w:rPr>
          <w:rFonts w:hint="eastAsia" w:ascii="宋体" w:hAnsi="宋体" w:cs="宋体"/>
          <w:b/>
          <w:kern w:val="0"/>
          <w:szCs w:val="21"/>
        </w:rPr>
        <w:t>7.付款条件</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本合同的付款条件在采购文件中有明确规定。</w:t>
      </w:r>
    </w:p>
    <w:p>
      <w:pPr>
        <w:autoSpaceDE w:val="0"/>
        <w:autoSpaceDN w:val="0"/>
        <w:adjustRightInd w:val="0"/>
        <w:spacing w:before="156" w:line="360" w:lineRule="auto"/>
        <w:rPr>
          <w:rFonts w:ascii="宋体" w:hAnsi="宋体" w:cs="宋体"/>
          <w:b/>
          <w:kern w:val="0"/>
          <w:szCs w:val="21"/>
        </w:rPr>
      </w:pPr>
      <w:r>
        <w:rPr>
          <w:rFonts w:hint="eastAsia" w:ascii="宋体" w:hAnsi="宋体" w:cs="宋体"/>
          <w:b/>
          <w:kern w:val="0"/>
          <w:szCs w:val="21"/>
        </w:rPr>
        <w:t>8.合同金额</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合同总金额见合同书，分项价格在供方的投标文件中有明确规定。</w:t>
      </w:r>
    </w:p>
    <w:p>
      <w:pPr>
        <w:autoSpaceDE w:val="0"/>
        <w:autoSpaceDN w:val="0"/>
        <w:adjustRightInd w:val="0"/>
        <w:spacing w:before="156" w:line="360" w:lineRule="auto"/>
        <w:jc w:val="left"/>
        <w:rPr>
          <w:rFonts w:ascii="宋体" w:hAnsi="宋体" w:cs="宋体"/>
          <w:b/>
          <w:kern w:val="0"/>
          <w:szCs w:val="21"/>
        </w:rPr>
      </w:pPr>
      <w:r>
        <w:rPr>
          <w:rFonts w:hint="eastAsia" w:ascii="宋体" w:hAnsi="宋体" w:cs="宋体"/>
          <w:b/>
          <w:kern w:val="0"/>
          <w:szCs w:val="21"/>
        </w:rPr>
        <w:t>9.交货时间和交货地点</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本合同中</w:t>
      </w:r>
      <w:r>
        <w:rPr>
          <w:rFonts w:hint="eastAsia" w:ascii="宋体" w:hAnsi="宋体" w:cs="宋体"/>
          <w:kern w:val="0"/>
          <w:szCs w:val="21"/>
          <w:u w:val="single"/>
        </w:rPr>
        <w:t xml:space="preserve"> （工程/货物/服务） </w:t>
      </w:r>
      <w:r>
        <w:rPr>
          <w:rFonts w:hint="eastAsia" w:ascii="宋体" w:hAnsi="宋体" w:cs="宋体"/>
          <w:kern w:val="0"/>
          <w:szCs w:val="21"/>
        </w:rPr>
        <w:t>的</w:t>
      </w:r>
      <w:r>
        <w:rPr>
          <w:rFonts w:hint="eastAsia" w:ascii="宋体" w:hAnsi="宋体" w:cs="宋体"/>
          <w:kern w:val="0"/>
          <w:szCs w:val="21"/>
          <w:u w:val="single"/>
        </w:rPr>
        <w:t xml:space="preserve"> (交货时间/服务完成时间） </w:t>
      </w:r>
      <w:r>
        <w:rPr>
          <w:rFonts w:hint="eastAsia" w:ascii="宋体" w:hAnsi="宋体" w:cs="宋体"/>
          <w:kern w:val="0"/>
          <w:szCs w:val="21"/>
        </w:rPr>
        <w:t>、</w:t>
      </w:r>
      <w:r>
        <w:rPr>
          <w:rFonts w:hint="eastAsia" w:ascii="宋体" w:hAnsi="宋体" w:cs="宋体"/>
          <w:kern w:val="0"/>
          <w:szCs w:val="21"/>
          <w:u w:val="single"/>
        </w:rPr>
        <w:t xml:space="preserve"> (交货地点/服务地点） </w:t>
      </w:r>
      <w:r>
        <w:rPr>
          <w:rFonts w:hint="eastAsia" w:ascii="宋体" w:hAnsi="宋体" w:cs="宋体"/>
          <w:kern w:val="0"/>
          <w:szCs w:val="21"/>
        </w:rPr>
        <w:t>在采购文件中有明确规定。</w:t>
      </w:r>
    </w:p>
    <w:p>
      <w:pPr>
        <w:autoSpaceDE w:val="0"/>
        <w:autoSpaceDN w:val="0"/>
        <w:adjustRightInd w:val="0"/>
        <w:spacing w:before="156" w:line="360" w:lineRule="auto"/>
        <w:rPr>
          <w:rFonts w:ascii="宋体" w:hAnsi="宋体" w:cs="宋体"/>
          <w:b/>
          <w:kern w:val="0"/>
          <w:szCs w:val="21"/>
        </w:rPr>
      </w:pPr>
      <w:r>
        <w:rPr>
          <w:rFonts w:hint="eastAsia" w:ascii="宋体" w:hAnsi="宋体" w:cs="宋体"/>
          <w:b/>
          <w:kern w:val="0"/>
          <w:szCs w:val="21"/>
        </w:rPr>
        <w:t>10.合同生效</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ascii="宋体" w:hAnsi="宋体" w:cs="宋体"/>
          <w:b/>
          <w:kern w:val="0"/>
          <w:szCs w:val="21"/>
        </w:rPr>
      </w:pPr>
      <w:r>
        <w:rPr>
          <w:rFonts w:hint="eastAsia" w:ascii="宋体" w:hAnsi="宋体" w:cs="宋体"/>
          <w:b/>
          <w:kern w:val="0"/>
          <w:szCs w:val="21"/>
        </w:rPr>
        <w:t>11.合同的份数</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本合同正本一式份，需方执份，供方执份；副本一式份，需方执份，供方执份，主管部门执份。</w:t>
      </w:r>
    </w:p>
    <w:p>
      <w:pPr>
        <w:autoSpaceDE w:val="0"/>
        <w:autoSpaceDN w:val="0"/>
        <w:adjustRightInd w:val="0"/>
        <w:spacing w:before="156" w:line="360" w:lineRule="auto"/>
        <w:jc w:val="left"/>
        <w:rPr>
          <w:rFonts w:ascii="宋体" w:hAnsi="宋体" w:cs="宋体"/>
          <w:b/>
          <w:kern w:val="0"/>
          <w:szCs w:val="21"/>
        </w:rPr>
      </w:pPr>
      <w:r>
        <w:rPr>
          <w:rFonts w:hint="eastAsia" w:ascii="宋体" w:hAnsi="宋体" w:cs="宋体"/>
          <w:b/>
          <w:kern w:val="0"/>
          <w:szCs w:val="21"/>
        </w:rPr>
        <w:t>12.合同的失效</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本合同在合同价款结清后失效。</w:t>
      </w:r>
    </w:p>
    <w:p>
      <w:pPr>
        <w:autoSpaceDE w:val="0"/>
        <w:autoSpaceDN w:val="0"/>
        <w:adjustRightInd w:val="0"/>
        <w:spacing w:line="360" w:lineRule="auto"/>
        <w:jc w:val="left"/>
        <w:rPr>
          <w:rFonts w:ascii="宋体" w:hAnsi="宋体" w:cs="宋体"/>
          <w:kern w:val="0"/>
          <w:szCs w:val="21"/>
        </w:rPr>
      </w:pP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需    方</w:t>
      </w:r>
      <w:r>
        <w:rPr>
          <w:rFonts w:hint="eastAsia" w:ascii="宋体" w:hAnsi="宋体" w:cs="宋体"/>
          <w:kern w:val="0"/>
          <w:szCs w:val="21"/>
        </w:rPr>
        <w:tab/>
      </w:r>
      <w:r>
        <w:rPr>
          <w:rFonts w:hint="eastAsia" w:ascii="宋体" w:hAnsi="宋体" w:cs="宋体"/>
          <w:kern w:val="0"/>
          <w:szCs w:val="21"/>
        </w:rPr>
        <w:t>供    方</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单位名称（盖章）：</w:t>
      </w:r>
      <w:r>
        <w:rPr>
          <w:rFonts w:hint="eastAsia" w:ascii="宋体" w:hAnsi="宋体" w:cs="宋体"/>
          <w:kern w:val="0"/>
          <w:szCs w:val="21"/>
        </w:rPr>
        <w:tab/>
      </w:r>
      <w:r>
        <w:rPr>
          <w:rFonts w:hint="eastAsia" w:ascii="宋体" w:hAnsi="宋体" w:cs="宋体"/>
          <w:kern w:val="0"/>
          <w:szCs w:val="21"/>
        </w:rPr>
        <w:t>单位名称（盖章）：</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单位地址：</w:t>
      </w:r>
      <w:r>
        <w:rPr>
          <w:rFonts w:hint="eastAsia" w:ascii="宋体" w:hAnsi="宋体" w:cs="宋体"/>
          <w:kern w:val="0"/>
          <w:szCs w:val="21"/>
        </w:rPr>
        <w:tab/>
      </w:r>
      <w:r>
        <w:rPr>
          <w:rFonts w:hint="eastAsia" w:ascii="宋体" w:hAnsi="宋体" w:cs="宋体"/>
          <w:kern w:val="0"/>
          <w:szCs w:val="21"/>
        </w:rPr>
        <w:t>单位地址：</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法人代表授权人(签字)：</w:t>
      </w:r>
      <w:r>
        <w:rPr>
          <w:rFonts w:hint="eastAsia" w:ascii="宋体" w:hAnsi="宋体" w:cs="宋体"/>
          <w:kern w:val="0"/>
          <w:szCs w:val="21"/>
        </w:rPr>
        <w:tab/>
      </w:r>
      <w:r>
        <w:rPr>
          <w:rFonts w:hint="eastAsia" w:ascii="宋体" w:hAnsi="宋体" w:cs="宋体"/>
          <w:kern w:val="0"/>
          <w:szCs w:val="21"/>
        </w:rPr>
        <w:t>法人代表授权人(签字)：</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联 系 人：</w:t>
      </w:r>
      <w:r>
        <w:rPr>
          <w:rFonts w:hint="eastAsia" w:ascii="宋体" w:hAnsi="宋体" w:cs="宋体"/>
          <w:kern w:val="0"/>
          <w:szCs w:val="21"/>
        </w:rPr>
        <w:tab/>
      </w:r>
      <w:r>
        <w:rPr>
          <w:rFonts w:hint="eastAsia" w:ascii="宋体" w:hAnsi="宋体" w:cs="宋体"/>
          <w:kern w:val="0"/>
          <w:szCs w:val="21"/>
        </w:rPr>
        <w:t>联 系 人：</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rPr>
        <w:tab/>
      </w:r>
      <w:r>
        <w:rPr>
          <w:rFonts w:hint="eastAsia" w:ascii="宋体" w:hAnsi="宋体" w:cs="宋体"/>
          <w:kern w:val="0"/>
          <w:szCs w:val="21"/>
        </w:rPr>
        <w:t>电    话：</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传    真：</w:t>
      </w:r>
      <w:r>
        <w:rPr>
          <w:rFonts w:hint="eastAsia" w:ascii="宋体" w:hAnsi="宋体" w:cs="宋体"/>
          <w:kern w:val="0"/>
          <w:szCs w:val="21"/>
        </w:rPr>
        <w:tab/>
      </w:r>
      <w:r>
        <w:rPr>
          <w:rFonts w:hint="eastAsia" w:ascii="宋体" w:hAnsi="宋体" w:cs="宋体"/>
          <w:kern w:val="0"/>
          <w:szCs w:val="21"/>
        </w:rPr>
        <w:t>传    真：</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邮政编码：</w:t>
      </w:r>
      <w:r>
        <w:rPr>
          <w:rFonts w:hint="eastAsia" w:ascii="宋体" w:hAnsi="宋体" w:cs="宋体"/>
          <w:kern w:val="0"/>
          <w:szCs w:val="21"/>
        </w:rPr>
        <w:tab/>
      </w:r>
      <w:r>
        <w:rPr>
          <w:rFonts w:hint="eastAsia" w:ascii="宋体" w:hAnsi="宋体" w:cs="宋体"/>
          <w:kern w:val="0"/>
          <w:szCs w:val="21"/>
        </w:rPr>
        <w:t>邮政编码：</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开户银行：</w:t>
      </w:r>
      <w:r>
        <w:rPr>
          <w:rFonts w:hint="eastAsia" w:ascii="宋体" w:hAnsi="宋体" w:cs="宋体"/>
          <w:kern w:val="0"/>
          <w:szCs w:val="21"/>
        </w:rPr>
        <w:tab/>
      </w:r>
      <w:r>
        <w:rPr>
          <w:rFonts w:hint="eastAsia" w:ascii="宋体" w:hAnsi="宋体" w:cs="宋体"/>
          <w:kern w:val="0"/>
          <w:szCs w:val="21"/>
        </w:rPr>
        <w:t>开户银行：</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帐    号：</w:t>
      </w:r>
      <w:r>
        <w:rPr>
          <w:rFonts w:hint="eastAsia" w:ascii="宋体" w:hAnsi="宋体" w:cs="宋体"/>
          <w:kern w:val="0"/>
          <w:szCs w:val="21"/>
        </w:rPr>
        <w:tab/>
      </w:r>
      <w:r>
        <w:rPr>
          <w:rFonts w:hint="eastAsia" w:ascii="宋体" w:hAnsi="宋体" w:cs="宋体"/>
          <w:kern w:val="0"/>
          <w:szCs w:val="21"/>
        </w:rPr>
        <w:t>帐    号：</w:t>
      </w:r>
    </w:p>
    <w:p>
      <w:pPr>
        <w:tabs>
          <w:tab w:val="left" w:pos="4615"/>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税    号：</w:t>
      </w:r>
      <w:r>
        <w:rPr>
          <w:rFonts w:hint="eastAsia" w:ascii="宋体" w:hAnsi="宋体" w:cs="宋体"/>
          <w:kern w:val="0"/>
          <w:szCs w:val="21"/>
        </w:rPr>
        <w:tab/>
      </w:r>
      <w:r>
        <w:rPr>
          <w:rFonts w:hint="eastAsia" w:ascii="宋体" w:hAnsi="宋体" w:cs="宋体"/>
          <w:kern w:val="0"/>
          <w:szCs w:val="21"/>
        </w:rPr>
        <w:t>税    号：</w:t>
      </w:r>
    </w:p>
    <w:p>
      <w:pPr>
        <w:spacing w:line="360" w:lineRule="auto"/>
        <w:rPr>
          <w:rFonts w:ascii="宋体" w:hAnsi="宋体" w:cs="宋体"/>
        </w:rPr>
      </w:pPr>
      <w:r>
        <w:rPr>
          <w:rFonts w:hint="eastAsia" w:ascii="宋体" w:hAnsi="宋体" w:cs="宋体"/>
          <w:szCs w:val="21"/>
        </w:rPr>
        <w:t>合同签订地址：</w:t>
      </w:r>
    </w:p>
    <w:p>
      <w:pPr>
        <w:widowControl/>
        <w:jc w:val="left"/>
        <w:rPr>
          <w:rFonts w:ascii="方正小标宋_GBK" w:eastAsia="方正小标宋_GBK"/>
          <w:szCs w:val="21"/>
        </w:rPr>
      </w:pPr>
      <w:r>
        <w:rPr>
          <w:rFonts w:ascii="方正小标宋_GBK" w:eastAsia="方正小标宋_GBK"/>
          <w:szCs w:val="21"/>
        </w:rPr>
        <w:br w:type="page"/>
      </w:r>
    </w:p>
    <w:bookmarkEnd w:id="69"/>
    <w:p>
      <w:pPr>
        <w:pStyle w:val="2"/>
        <w:keepLines/>
        <w:numPr>
          <w:ilvl w:val="0"/>
          <w:numId w:val="0"/>
        </w:numPr>
        <w:tabs>
          <w:tab w:val="left" w:pos="1440"/>
        </w:tabs>
        <w:spacing w:before="340" w:line="240" w:lineRule="auto"/>
        <w:jc w:val="center"/>
        <w:rPr>
          <w:rFonts w:ascii="宋体" w:hAnsi="宋体"/>
          <w:sz w:val="44"/>
          <w:szCs w:val="44"/>
        </w:rPr>
      </w:pPr>
      <w:bookmarkStart w:id="70" w:name="_Toc48634279"/>
      <w:r>
        <w:rPr>
          <w:rFonts w:hint="eastAsia" w:ascii="宋体" w:hAnsi="宋体"/>
          <w:sz w:val="44"/>
          <w:szCs w:val="44"/>
        </w:rPr>
        <w:t xml:space="preserve">第五章 </w:t>
      </w:r>
      <w:r>
        <w:rPr>
          <w:rFonts w:ascii="宋体" w:hAnsi="宋体"/>
          <w:sz w:val="44"/>
          <w:szCs w:val="44"/>
        </w:rPr>
        <w:t>评标</w:t>
      </w:r>
      <w:r>
        <w:rPr>
          <w:rFonts w:hint="eastAsia" w:ascii="宋体" w:hAnsi="宋体"/>
          <w:sz w:val="44"/>
          <w:szCs w:val="44"/>
        </w:rPr>
        <w:t>办</w:t>
      </w:r>
      <w:r>
        <w:rPr>
          <w:rFonts w:ascii="宋体" w:hAnsi="宋体"/>
          <w:sz w:val="44"/>
          <w:szCs w:val="44"/>
        </w:rPr>
        <w:t>法</w:t>
      </w:r>
      <w:bookmarkEnd w:id="70"/>
    </w:p>
    <w:p>
      <w:pPr>
        <w:keepNext/>
        <w:keepLines/>
        <w:snapToGrid w:val="0"/>
        <w:spacing w:before="260" w:after="260" w:line="360" w:lineRule="auto"/>
        <w:jc w:val="center"/>
        <w:outlineLvl w:val="1"/>
        <w:rPr>
          <w:rFonts w:ascii="宋体" w:hAnsi="宋体" w:cs="宋体"/>
          <w:b/>
          <w:bCs/>
          <w:sz w:val="30"/>
          <w:szCs w:val="30"/>
        </w:rPr>
      </w:pPr>
      <w:bookmarkStart w:id="71" w:name="_Toc4730"/>
      <w:bookmarkStart w:id="72" w:name="_Toc15921"/>
      <w:r>
        <w:rPr>
          <w:rFonts w:hint="eastAsia" w:ascii="宋体" w:hAnsi="宋体" w:cs="宋体"/>
          <w:b/>
          <w:bCs/>
          <w:sz w:val="30"/>
          <w:szCs w:val="30"/>
        </w:rPr>
        <w:t>（综合评分法）</w:t>
      </w:r>
      <w:bookmarkEnd w:id="71"/>
      <w:bookmarkEnd w:id="72"/>
    </w:p>
    <w:p>
      <w:pPr>
        <w:numPr>
          <w:ilvl w:val="0"/>
          <w:numId w:val="44"/>
        </w:numPr>
        <w:autoSpaceDE w:val="0"/>
        <w:autoSpaceDN w:val="0"/>
        <w:adjustRightInd w:val="0"/>
        <w:snapToGrid w:val="0"/>
        <w:spacing w:line="360" w:lineRule="auto"/>
        <w:jc w:val="left"/>
        <w:outlineLvl w:val="2"/>
        <w:rPr>
          <w:rFonts w:ascii="宋体" w:hAnsi="宋体" w:cs="宋体"/>
          <w:b/>
          <w:bCs/>
          <w:snapToGrid w:val="0"/>
          <w:kern w:val="0"/>
          <w:szCs w:val="21"/>
          <w:lang w:val="zh-CN"/>
        </w:rPr>
      </w:pPr>
      <w:bookmarkStart w:id="73" w:name="_Toc32488"/>
      <w:bookmarkStart w:id="74" w:name="_Toc30134"/>
      <w:r>
        <w:rPr>
          <w:rFonts w:hint="eastAsia" w:ascii="宋体" w:hAnsi="宋体" w:cs="宋体"/>
          <w:b/>
          <w:bCs/>
          <w:snapToGrid w:val="0"/>
          <w:kern w:val="0"/>
          <w:szCs w:val="21"/>
          <w:lang w:val="zh-CN"/>
        </w:rPr>
        <w:t>评标办法前附表</w:t>
      </w:r>
      <w:bookmarkEnd w:id="73"/>
      <w:bookmarkEnd w:id="74"/>
    </w:p>
    <w:tbl>
      <w:tblPr>
        <w:tblStyle w:val="2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50"/>
        <w:gridCol w:w="1091"/>
        <w:gridCol w:w="2014"/>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141" w:type="dxa"/>
            <w:gridSpan w:val="2"/>
            <w:vAlign w:val="center"/>
          </w:tcPr>
          <w:p>
            <w:pPr>
              <w:widowControl/>
              <w:snapToGrid w:val="0"/>
              <w:jc w:val="center"/>
              <w:rPr>
                <w:rFonts w:ascii="宋体" w:hAnsi="宋体" w:cs="宋体"/>
                <w:b/>
                <w:bCs/>
                <w:kern w:val="0"/>
                <w:szCs w:val="21"/>
              </w:rPr>
            </w:pPr>
            <w:r>
              <w:rPr>
                <w:rFonts w:hint="eastAsia" w:ascii="宋体" w:hAnsi="宋体" w:cs="宋体"/>
                <w:b/>
                <w:bCs/>
                <w:kern w:val="0"/>
                <w:szCs w:val="21"/>
              </w:rPr>
              <w:t>条款号</w:t>
            </w:r>
          </w:p>
        </w:tc>
        <w:tc>
          <w:tcPr>
            <w:tcW w:w="2014"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评审因素</w:t>
            </w:r>
          </w:p>
        </w:tc>
        <w:tc>
          <w:tcPr>
            <w:tcW w:w="4917"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 xml:space="preserve">2.1.1 </w:t>
            </w:r>
          </w:p>
        </w:tc>
        <w:tc>
          <w:tcPr>
            <w:tcW w:w="1091"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资格性审查标准</w:t>
            </w:r>
          </w:p>
        </w:tc>
        <w:tc>
          <w:tcPr>
            <w:tcW w:w="2014" w:type="dxa"/>
            <w:vAlign w:val="center"/>
          </w:tcPr>
          <w:p>
            <w:pPr>
              <w:widowControl/>
              <w:snapToGrid w:val="0"/>
              <w:jc w:val="center"/>
              <w:rPr>
                <w:rFonts w:ascii="宋体" w:hAnsi="宋体" w:cs="宋体"/>
                <w:kern w:val="0"/>
                <w:szCs w:val="21"/>
              </w:rPr>
            </w:pPr>
            <w:r>
              <w:rPr>
                <w:rFonts w:hint="eastAsia" w:ascii="宋体" w:hAnsi="宋体" w:cs="宋体"/>
                <w:kern w:val="0"/>
                <w:szCs w:val="21"/>
              </w:rPr>
              <w:t>资格证明文件</w:t>
            </w:r>
          </w:p>
        </w:tc>
        <w:tc>
          <w:tcPr>
            <w:tcW w:w="4917" w:type="dxa"/>
            <w:vAlign w:val="center"/>
          </w:tcPr>
          <w:p>
            <w:pPr>
              <w:widowControl/>
              <w:snapToGrid w:val="0"/>
              <w:jc w:val="left"/>
              <w:rPr>
                <w:rFonts w:ascii="宋体" w:hAnsi="宋体" w:cs="宋体"/>
                <w:kern w:val="0"/>
                <w:szCs w:val="21"/>
              </w:rPr>
            </w:pPr>
            <w:r>
              <w:rPr>
                <w:rFonts w:hint="eastAsia" w:ascii="宋体" w:hAnsi="宋体" w:cs="宋体"/>
                <w:kern w:val="0"/>
                <w:szCs w:val="21"/>
              </w:rPr>
              <w:t>符合招标文件第一章第二款投标人资格要求并提供了完整合格有效的资格证明文件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continue"/>
            <w:vAlign w:val="center"/>
          </w:tcPr>
          <w:p>
            <w:pPr>
              <w:widowControl/>
              <w:snapToGrid w:val="0"/>
              <w:jc w:val="center"/>
              <w:rPr>
                <w:rFonts w:ascii="宋体" w:hAnsi="宋体" w:cs="宋体"/>
                <w:b/>
                <w:bCs/>
                <w:kern w:val="0"/>
                <w:szCs w:val="21"/>
              </w:rPr>
            </w:pPr>
          </w:p>
        </w:tc>
        <w:tc>
          <w:tcPr>
            <w:tcW w:w="1091" w:type="dxa"/>
            <w:vMerge w:val="continue"/>
            <w:vAlign w:val="center"/>
          </w:tcPr>
          <w:p>
            <w:pPr>
              <w:widowControl/>
              <w:snapToGrid w:val="0"/>
              <w:jc w:val="center"/>
              <w:rPr>
                <w:rFonts w:ascii="宋体" w:hAnsi="宋体" w:cs="宋体"/>
                <w:b/>
                <w:bCs/>
                <w:kern w:val="0"/>
                <w:szCs w:val="21"/>
              </w:rPr>
            </w:pPr>
          </w:p>
        </w:tc>
        <w:tc>
          <w:tcPr>
            <w:tcW w:w="2014" w:type="dxa"/>
            <w:vAlign w:val="center"/>
          </w:tcPr>
          <w:p>
            <w:pPr>
              <w:widowControl/>
              <w:snapToGrid w:val="0"/>
              <w:jc w:val="center"/>
              <w:rPr>
                <w:rFonts w:ascii="宋体" w:hAnsi="宋体" w:cs="宋体"/>
                <w:kern w:val="0"/>
                <w:szCs w:val="21"/>
              </w:rPr>
            </w:pPr>
            <w:r>
              <w:rPr>
                <w:rFonts w:hint="eastAsia" w:ascii="宋体" w:hAnsi="宋体" w:cs="宋体"/>
                <w:szCs w:val="21"/>
                <w:lang w:val="zh-CN"/>
              </w:rPr>
              <w:t>其他要求</w:t>
            </w:r>
          </w:p>
        </w:tc>
        <w:tc>
          <w:tcPr>
            <w:tcW w:w="4917" w:type="dxa"/>
            <w:vAlign w:val="center"/>
          </w:tcPr>
          <w:p>
            <w:pPr>
              <w:widowControl/>
              <w:snapToGrid w:val="0"/>
              <w:jc w:val="left"/>
              <w:rPr>
                <w:rFonts w:ascii="宋体" w:hAnsi="宋体" w:cs="宋体"/>
                <w:kern w:val="0"/>
                <w:szCs w:val="21"/>
              </w:rPr>
            </w:pPr>
            <w:r>
              <w:rPr>
                <w:rFonts w:hint="eastAsia" w:ascii="宋体" w:hAnsi="宋体" w:cs="宋体"/>
                <w:kern w:val="0"/>
                <w:szCs w:val="21"/>
                <w:lang w:val="zh-CN"/>
              </w:rPr>
              <w:t>符合招标文件规定的其他要求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 xml:space="preserve">2.1.2 </w:t>
            </w:r>
          </w:p>
        </w:tc>
        <w:tc>
          <w:tcPr>
            <w:tcW w:w="1091"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符合性审查标准</w:t>
            </w:r>
          </w:p>
        </w:tc>
        <w:tc>
          <w:tcPr>
            <w:tcW w:w="2014"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投标报价</w:t>
            </w: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每一种采购内容是否只有一个报价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continue"/>
            <w:vAlign w:val="center"/>
          </w:tcPr>
          <w:p>
            <w:pPr>
              <w:widowControl/>
              <w:snapToGrid w:val="0"/>
              <w:jc w:val="left"/>
              <w:rPr>
                <w:rFonts w:ascii="宋体" w:hAnsi="宋体" w:cs="宋体"/>
                <w:kern w:val="0"/>
                <w:szCs w:val="21"/>
              </w:rPr>
            </w:pPr>
          </w:p>
        </w:tc>
        <w:tc>
          <w:tcPr>
            <w:tcW w:w="1091" w:type="dxa"/>
            <w:vMerge w:val="continue"/>
            <w:vAlign w:val="center"/>
          </w:tcPr>
          <w:p>
            <w:pPr>
              <w:widowControl/>
              <w:snapToGrid w:val="0"/>
              <w:jc w:val="left"/>
              <w:rPr>
                <w:rFonts w:ascii="宋体" w:hAnsi="宋体" w:cs="宋体"/>
                <w:kern w:val="0"/>
                <w:szCs w:val="21"/>
              </w:rPr>
            </w:pPr>
          </w:p>
        </w:tc>
        <w:tc>
          <w:tcPr>
            <w:tcW w:w="2014" w:type="dxa"/>
            <w:vMerge w:val="continue"/>
            <w:vAlign w:val="center"/>
          </w:tcPr>
          <w:p>
            <w:pPr>
              <w:widowControl/>
              <w:snapToGrid w:val="0"/>
              <w:jc w:val="left"/>
              <w:rPr>
                <w:rFonts w:ascii="宋体" w:hAnsi="宋体" w:cs="宋体"/>
                <w:kern w:val="0"/>
                <w:szCs w:val="21"/>
              </w:rPr>
            </w:pP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投标报价是否未超过采购预算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continue"/>
            <w:vAlign w:val="center"/>
          </w:tcPr>
          <w:p>
            <w:pPr>
              <w:widowControl/>
              <w:snapToGrid w:val="0"/>
              <w:jc w:val="left"/>
              <w:rPr>
                <w:rFonts w:ascii="宋体" w:hAnsi="宋体" w:cs="宋体"/>
                <w:kern w:val="0"/>
                <w:szCs w:val="21"/>
              </w:rPr>
            </w:pPr>
          </w:p>
        </w:tc>
        <w:tc>
          <w:tcPr>
            <w:tcW w:w="1091" w:type="dxa"/>
            <w:vMerge w:val="continue"/>
            <w:vAlign w:val="center"/>
          </w:tcPr>
          <w:p>
            <w:pPr>
              <w:widowControl/>
              <w:snapToGrid w:val="0"/>
              <w:jc w:val="left"/>
              <w:rPr>
                <w:rFonts w:ascii="宋体" w:hAnsi="宋体" w:cs="宋体"/>
                <w:kern w:val="0"/>
                <w:szCs w:val="21"/>
              </w:rPr>
            </w:pPr>
          </w:p>
        </w:tc>
        <w:tc>
          <w:tcPr>
            <w:tcW w:w="2014" w:type="dxa"/>
            <w:vAlign w:val="center"/>
          </w:tcPr>
          <w:p>
            <w:pPr>
              <w:widowControl/>
              <w:snapToGrid w:val="0"/>
              <w:jc w:val="center"/>
              <w:rPr>
                <w:rFonts w:ascii="宋体" w:hAnsi="宋体" w:cs="宋体"/>
                <w:kern w:val="0"/>
                <w:szCs w:val="21"/>
              </w:rPr>
            </w:pPr>
            <w:r>
              <w:rPr>
                <w:rFonts w:hint="eastAsia" w:ascii="宋体" w:hAnsi="宋体" w:cs="宋体"/>
                <w:kern w:val="0"/>
                <w:szCs w:val="21"/>
              </w:rPr>
              <w:t>投标函签字盖章</w:t>
            </w: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是否有法定代表人或其委托代理人签字或加盖单位公章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050" w:type="dxa"/>
            <w:vMerge w:val="continue"/>
            <w:vAlign w:val="center"/>
          </w:tcPr>
          <w:p>
            <w:pPr>
              <w:widowControl/>
              <w:snapToGrid w:val="0"/>
              <w:jc w:val="left"/>
              <w:rPr>
                <w:rFonts w:ascii="宋体" w:hAnsi="宋体" w:cs="宋体"/>
                <w:kern w:val="0"/>
                <w:szCs w:val="21"/>
              </w:rPr>
            </w:pPr>
          </w:p>
        </w:tc>
        <w:tc>
          <w:tcPr>
            <w:tcW w:w="1091" w:type="dxa"/>
            <w:vMerge w:val="continue"/>
            <w:vAlign w:val="center"/>
          </w:tcPr>
          <w:p>
            <w:pPr>
              <w:widowControl/>
              <w:snapToGrid w:val="0"/>
              <w:jc w:val="left"/>
              <w:rPr>
                <w:rFonts w:ascii="宋体" w:hAnsi="宋体" w:cs="宋体"/>
                <w:kern w:val="0"/>
                <w:szCs w:val="21"/>
              </w:rPr>
            </w:pPr>
          </w:p>
        </w:tc>
        <w:tc>
          <w:tcPr>
            <w:tcW w:w="2014" w:type="dxa"/>
            <w:vAlign w:val="center"/>
          </w:tcPr>
          <w:p>
            <w:pPr>
              <w:widowControl/>
              <w:snapToGrid w:val="0"/>
              <w:jc w:val="center"/>
              <w:rPr>
                <w:rFonts w:ascii="宋体" w:hAnsi="宋体" w:cs="宋体"/>
                <w:kern w:val="0"/>
                <w:szCs w:val="21"/>
              </w:rPr>
            </w:pPr>
            <w:r>
              <w:rPr>
                <w:rFonts w:hint="eastAsia" w:ascii="宋体" w:hAnsi="宋体" w:cs="宋体"/>
                <w:kern w:val="0"/>
                <w:szCs w:val="21"/>
              </w:rPr>
              <w:t>投标有效期</w:t>
            </w: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continue"/>
            <w:vAlign w:val="center"/>
          </w:tcPr>
          <w:p>
            <w:pPr>
              <w:widowControl/>
              <w:snapToGrid w:val="0"/>
              <w:jc w:val="left"/>
              <w:rPr>
                <w:rFonts w:ascii="宋体" w:hAnsi="宋体" w:cs="宋体"/>
                <w:kern w:val="0"/>
                <w:szCs w:val="21"/>
              </w:rPr>
            </w:pPr>
          </w:p>
        </w:tc>
        <w:tc>
          <w:tcPr>
            <w:tcW w:w="1091" w:type="dxa"/>
            <w:vMerge w:val="continue"/>
            <w:vAlign w:val="center"/>
          </w:tcPr>
          <w:p>
            <w:pPr>
              <w:widowControl/>
              <w:snapToGrid w:val="0"/>
              <w:jc w:val="left"/>
              <w:rPr>
                <w:rFonts w:ascii="宋体" w:hAnsi="宋体" w:cs="宋体"/>
                <w:kern w:val="0"/>
                <w:szCs w:val="21"/>
              </w:rPr>
            </w:pPr>
          </w:p>
        </w:tc>
        <w:tc>
          <w:tcPr>
            <w:tcW w:w="2014" w:type="dxa"/>
            <w:vAlign w:val="center"/>
          </w:tcPr>
          <w:p>
            <w:pPr>
              <w:widowControl/>
              <w:snapToGrid w:val="0"/>
              <w:jc w:val="center"/>
              <w:rPr>
                <w:rFonts w:ascii="宋体" w:hAnsi="宋体" w:cs="宋体"/>
                <w:kern w:val="0"/>
                <w:szCs w:val="21"/>
              </w:rPr>
            </w:pPr>
            <w:r>
              <w:rPr>
                <w:rFonts w:hint="eastAsia" w:ascii="宋体" w:hAnsi="宋体" w:cs="宋体"/>
                <w:kern w:val="0"/>
                <w:szCs w:val="21"/>
              </w:rPr>
              <w:t>投标保证金</w:t>
            </w: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是否按要求递交投标保证金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continue"/>
            <w:vAlign w:val="center"/>
          </w:tcPr>
          <w:p>
            <w:pPr>
              <w:widowControl/>
              <w:snapToGrid w:val="0"/>
              <w:jc w:val="left"/>
              <w:rPr>
                <w:rFonts w:ascii="宋体" w:hAnsi="宋体" w:cs="宋体"/>
                <w:kern w:val="0"/>
                <w:szCs w:val="21"/>
              </w:rPr>
            </w:pPr>
          </w:p>
        </w:tc>
        <w:tc>
          <w:tcPr>
            <w:tcW w:w="1091" w:type="dxa"/>
            <w:vMerge w:val="continue"/>
            <w:vAlign w:val="center"/>
          </w:tcPr>
          <w:p>
            <w:pPr>
              <w:widowControl/>
              <w:snapToGrid w:val="0"/>
              <w:jc w:val="left"/>
              <w:rPr>
                <w:rFonts w:ascii="宋体" w:hAnsi="宋体" w:cs="宋体"/>
                <w:kern w:val="0"/>
                <w:szCs w:val="21"/>
              </w:rPr>
            </w:pPr>
          </w:p>
        </w:tc>
        <w:tc>
          <w:tcPr>
            <w:tcW w:w="2014" w:type="dxa"/>
            <w:vAlign w:val="center"/>
          </w:tcPr>
          <w:p>
            <w:pPr>
              <w:widowControl/>
              <w:snapToGrid w:val="0"/>
              <w:jc w:val="center"/>
              <w:rPr>
                <w:rFonts w:ascii="宋体" w:hAnsi="宋体" w:cs="宋体"/>
                <w:kern w:val="0"/>
                <w:szCs w:val="21"/>
              </w:rPr>
            </w:pPr>
            <w:r>
              <w:rPr>
                <w:rFonts w:hint="eastAsia" w:ascii="宋体" w:hAnsi="宋体" w:cs="宋体"/>
                <w:kern w:val="0"/>
                <w:szCs w:val="21"/>
              </w:rPr>
              <w:t>信誉情况</w:t>
            </w: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是否无不良经济纠纷记录和违法行为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continue"/>
            <w:vAlign w:val="center"/>
          </w:tcPr>
          <w:p>
            <w:pPr>
              <w:widowControl/>
              <w:snapToGrid w:val="0"/>
              <w:jc w:val="left"/>
              <w:rPr>
                <w:rFonts w:ascii="宋体" w:hAnsi="宋体" w:cs="宋体"/>
                <w:kern w:val="0"/>
                <w:szCs w:val="21"/>
              </w:rPr>
            </w:pPr>
          </w:p>
        </w:tc>
        <w:tc>
          <w:tcPr>
            <w:tcW w:w="1091" w:type="dxa"/>
            <w:vMerge w:val="continue"/>
            <w:vAlign w:val="center"/>
          </w:tcPr>
          <w:p>
            <w:pPr>
              <w:widowControl/>
              <w:snapToGrid w:val="0"/>
              <w:jc w:val="left"/>
              <w:rPr>
                <w:rFonts w:ascii="宋体" w:hAnsi="宋体" w:cs="宋体"/>
                <w:kern w:val="0"/>
                <w:szCs w:val="21"/>
              </w:rPr>
            </w:pPr>
          </w:p>
        </w:tc>
        <w:tc>
          <w:tcPr>
            <w:tcW w:w="2014"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采购需求响应</w:t>
            </w: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是否实质性响应招标文件*条款（如有）。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050" w:type="dxa"/>
            <w:vMerge w:val="continue"/>
            <w:vAlign w:val="center"/>
          </w:tcPr>
          <w:p>
            <w:pPr>
              <w:widowControl/>
              <w:snapToGrid w:val="0"/>
              <w:jc w:val="left"/>
              <w:rPr>
                <w:rFonts w:ascii="宋体" w:hAnsi="宋体" w:cs="宋体"/>
                <w:kern w:val="0"/>
                <w:szCs w:val="21"/>
              </w:rPr>
            </w:pPr>
          </w:p>
        </w:tc>
        <w:tc>
          <w:tcPr>
            <w:tcW w:w="1091" w:type="dxa"/>
            <w:vMerge w:val="continue"/>
            <w:vAlign w:val="center"/>
          </w:tcPr>
          <w:p>
            <w:pPr>
              <w:widowControl/>
              <w:snapToGrid w:val="0"/>
              <w:jc w:val="left"/>
              <w:rPr>
                <w:rFonts w:ascii="宋体" w:hAnsi="宋体" w:cs="宋体"/>
                <w:kern w:val="0"/>
                <w:szCs w:val="21"/>
              </w:rPr>
            </w:pPr>
          </w:p>
        </w:tc>
        <w:tc>
          <w:tcPr>
            <w:tcW w:w="2014" w:type="dxa"/>
            <w:vMerge w:val="continue"/>
            <w:vAlign w:val="center"/>
          </w:tcPr>
          <w:p>
            <w:pPr>
              <w:widowControl/>
              <w:snapToGrid w:val="0"/>
              <w:jc w:val="center"/>
              <w:rPr>
                <w:rFonts w:ascii="宋体" w:hAnsi="宋体" w:cs="宋体"/>
                <w:kern w:val="0"/>
                <w:szCs w:val="21"/>
              </w:rPr>
            </w:pP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是否满足招标文件其他实质性要求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141" w:type="dxa"/>
            <w:gridSpan w:val="2"/>
            <w:vAlign w:val="center"/>
          </w:tcPr>
          <w:p>
            <w:pPr>
              <w:widowControl/>
              <w:snapToGrid w:val="0"/>
              <w:jc w:val="center"/>
              <w:rPr>
                <w:rFonts w:ascii="宋体" w:hAnsi="宋体" w:cs="宋体"/>
                <w:b/>
                <w:bCs/>
                <w:kern w:val="0"/>
                <w:szCs w:val="21"/>
              </w:rPr>
            </w:pPr>
            <w:r>
              <w:rPr>
                <w:rFonts w:hint="eastAsia" w:ascii="宋体" w:hAnsi="宋体" w:cs="宋体"/>
                <w:b/>
                <w:bCs/>
                <w:kern w:val="0"/>
                <w:szCs w:val="21"/>
              </w:rPr>
              <w:t>条款号</w:t>
            </w:r>
          </w:p>
        </w:tc>
        <w:tc>
          <w:tcPr>
            <w:tcW w:w="2014"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条款内容</w:t>
            </w:r>
          </w:p>
        </w:tc>
        <w:tc>
          <w:tcPr>
            <w:tcW w:w="4917" w:type="dxa"/>
            <w:vAlign w:val="center"/>
          </w:tcPr>
          <w:p>
            <w:pPr>
              <w:widowControl/>
              <w:snapToGrid w:val="0"/>
              <w:rPr>
                <w:rFonts w:ascii="宋体" w:hAnsi="宋体" w:cs="宋体"/>
                <w:b/>
                <w:bCs/>
                <w:kern w:val="0"/>
                <w:szCs w:val="21"/>
              </w:rPr>
            </w:pPr>
            <w:r>
              <w:rPr>
                <w:rFonts w:hint="eastAsia" w:ascii="宋体" w:hAnsi="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141" w:type="dxa"/>
            <w:gridSpan w:val="2"/>
            <w:vAlign w:val="center"/>
          </w:tcPr>
          <w:p>
            <w:pPr>
              <w:widowControl/>
              <w:snapToGrid w:val="0"/>
              <w:jc w:val="center"/>
              <w:rPr>
                <w:rFonts w:ascii="宋体" w:hAnsi="宋体" w:cs="宋体"/>
                <w:kern w:val="0"/>
                <w:szCs w:val="21"/>
              </w:rPr>
            </w:pPr>
            <w:r>
              <w:rPr>
                <w:rFonts w:hint="eastAsia" w:ascii="宋体" w:hAnsi="宋体" w:cs="宋体"/>
                <w:kern w:val="0"/>
                <w:szCs w:val="21"/>
              </w:rPr>
              <w:t xml:space="preserve">2.2.1 </w:t>
            </w:r>
          </w:p>
        </w:tc>
        <w:tc>
          <w:tcPr>
            <w:tcW w:w="2014" w:type="dxa"/>
            <w:vAlign w:val="center"/>
          </w:tcPr>
          <w:p>
            <w:pPr>
              <w:widowControl/>
              <w:snapToGrid w:val="0"/>
              <w:jc w:val="center"/>
              <w:rPr>
                <w:rFonts w:ascii="宋体" w:hAnsi="宋体" w:cs="宋体"/>
                <w:kern w:val="0"/>
                <w:szCs w:val="21"/>
              </w:rPr>
            </w:pPr>
            <w:r>
              <w:rPr>
                <w:rFonts w:hint="eastAsia" w:ascii="宋体" w:hAnsi="宋体" w:cs="宋体"/>
                <w:kern w:val="0"/>
                <w:szCs w:val="21"/>
              </w:rPr>
              <w:t>分值构成(总分100分)</w:t>
            </w: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6" w:hRule="atLeast"/>
          <w:jc w:val="center"/>
        </w:trPr>
        <w:tc>
          <w:tcPr>
            <w:tcW w:w="2141" w:type="dxa"/>
            <w:gridSpan w:val="2"/>
            <w:vAlign w:val="center"/>
          </w:tcPr>
          <w:p>
            <w:pPr>
              <w:widowControl/>
              <w:snapToGrid w:val="0"/>
              <w:jc w:val="center"/>
              <w:rPr>
                <w:rFonts w:ascii="宋体" w:hAnsi="宋体" w:cs="宋体"/>
                <w:kern w:val="0"/>
                <w:szCs w:val="21"/>
              </w:rPr>
            </w:pPr>
            <w:r>
              <w:rPr>
                <w:rFonts w:hint="eastAsia" w:ascii="宋体" w:hAnsi="宋体" w:cs="宋体"/>
                <w:kern w:val="0"/>
                <w:szCs w:val="21"/>
              </w:rPr>
              <w:t xml:space="preserve">2.2.2 </w:t>
            </w:r>
          </w:p>
        </w:tc>
        <w:tc>
          <w:tcPr>
            <w:tcW w:w="2014" w:type="dxa"/>
            <w:vAlign w:val="center"/>
          </w:tcPr>
          <w:p>
            <w:pPr>
              <w:widowControl/>
              <w:snapToGrid w:val="0"/>
              <w:jc w:val="center"/>
              <w:rPr>
                <w:rFonts w:ascii="宋体" w:hAnsi="宋体" w:cs="宋体"/>
                <w:kern w:val="0"/>
                <w:szCs w:val="21"/>
              </w:rPr>
            </w:pPr>
            <w:r>
              <w:rPr>
                <w:rFonts w:hint="eastAsia" w:ascii="宋体" w:hAnsi="宋体" w:cs="宋体"/>
                <w:kern w:val="0"/>
                <w:szCs w:val="21"/>
              </w:rPr>
              <w:t>评标基准价计算方法</w:t>
            </w:r>
          </w:p>
        </w:tc>
        <w:tc>
          <w:tcPr>
            <w:tcW w:w="4917" w:type="dxa"/>
            <w:vAlign w:val="center"/>
          </w:tcPr>
          <w:p>
            <w:pPr>
              <w:widowControl/>
              <w:snapToGrid w:val="0"/>
              <w:rPr>
                <w:rFonts w:ascii="宋体" w:hAnsi="宋体" w:cs="宋体"/>
                <w:kern w:val="0"/>
                <w:szCs w:val="21"/>
              </w:rPr>
            </w:pPr>
            <w:r>
              <w:rPr>
                <w:rFonts w:hint="eastAsia" w:ascii="宋体" w:hAnsi="宋体" w:cs="宋体"/>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141" w:type="dxa"/>
            <w:gridSpan w:val="2"/>
            <w:vAlign w:val="center"/>
          </w:tcPr>
          <w:p>
            <w:pPr>
              <w:widowControl/>
              <w:snapToGrid w:val="0"/>
              <w:jc w:val="center"/>
              <w:rPr>
                <w:rFonts w:ascii="宋体" w:hAnsi="宋体" w:cs="宋体"/>
                <w:b/>
                <w:bCs/>
                <w:kern w:val="0"/>
                <w:szCs w:val="21"/>
              </w:rPr>
            </w:pPr>
            <w:r>
              <w:rPr>
                <w:rFonts w:hint="eastAsia" w:ascii="宋体" w:hAnsi="宋体" w:cs="宋体"/>
                <w:b/>
                <w:bCs/>
                <w:kern w:val="0"/>
                <w:szCs w:val="21"/>
              </w:rPr>
              <w:t>条款号</w:t>
            </w:r>
          </w:p>
        </w:tc>
        <w:tc>
          <w:tcPr>
            <w:tcW w:w="2014"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条款内容</w:t>
            </w:r>
          </w:p>
        </w:tc>
        <w:tc>
          <w:tcPr>
            <w:tcW w:w="4917"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3" w:hRule="atLeast"/>
          <w:jc w:val="center"/>
        </w:trPr>
        <w:tc>
          <w:tcPr>
            <w:tcW w:w="2141" w:type="dxa"/>
            <w:gridSpan w:val="2"/>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3.4.1</w:t>
            </w:r>
          </w:p>
        </w:tc>
        <w:tc>
          <w:tcPr>
            <w:tcW w:w="2014" w:type="dxa"/>
            <w:vAlign w:val="center"/>
          </w:tcPr>
          <w:p>
            <w:pPr>
              <w:widowControl/>
              <w:snapToGrid w:val="0"/>
              <w:jc w:val="center"/>
              <w:rPr>
                <w:rFonts w:ascii="宋体" w:hAnsi="宋体" w:cs="宋体"/>
                <w:kern w:val="0"/>
                <w:szCs w:val="21"/>
              </w:rPr>
            </w:pPr>
            <w:r>
              <w:rPr>
                <w:rFonts w:hint="eastAsia" w:ascii="宋体" w:hAnsi="宋体" w:cs="宋体"/>
                <w:kern w:val="0"/>
                <w:szCs w:val="21"/>
              </w:rPr>
              <w:t>各投标人的最终得分计算办法</w:t>
            </w:r>
          </w:p>
        </w:tc>
        <w:tc>
          <w:tcPr>
            <w:tcW w:w="4917" w:type="dxa"/>
            <w:vAlign w:val="center"/>
          </w:tcPr>
          <w:p>
            <w:pPr>
              <w:widowControl/>
              <w:snapToGrid w:val="0"/>
              <w:jc w:val="center"/>
              <w:rPr>
                <w:rFonts w:ascii="宋体" w:hAnsi="宋体" w:cs="宋体"/>
                <w:kern w:val="0"/>
                <w:szCs w:val="21"/>
              </w:rPr>
            </w:pPr>
            <w:r>
              <w:rPr>
                <w:rFonts w:hint="eastAsia" w:ascii="宋体" w:hAnsi="宋体" w:cs="宋体"/>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94" w:hRule="atLeast"/>
          <w:jc w:val="center"/>
        </w:trPr>
        <w:tc>
          <w:tcPr>
            <w:tcW w:w="2141" w:type="dxa"/>
            <w:gridSpan w:val="2"/>
            <w:vMerge w:val="continue"/>
            <w:vAlign w:val="center"/>
          </w:tcPr>
          <w:p>
            <w:pPr>
              <w:widowControl/>
              <w:snapToGrid w:val="0"/>
              <w:jc w:val="center"/>
              <w:rPr>
                <w:rFonts w:ascii="宋体" w:hAnsi="宋体" w:cs="宋体"/>
                <w:kern w:val="0"/>
                <w:szCs w:val="21"/>
              </w:rPr>
            </w:pPr>
          </w:p>
        </w:tc>
        <w:tc>
          <w:tcPr>
            <w:tcW w:w="2014" w:type="dxa"/>
            <w:vAlign w:val="center"/>
          </w:tcPr>
          <w:p>
            <w:pPr>
              <w:widowControl/>
              <w:snapToGrid w:val="0"/>
              <w:jc w:val="center"/>
              <w:rPr>
                <w:rFonts w:ascii="宋体" w:hAnsi="宋体" w:cs="宋体"/>
                <w:szCs w:val="21"/>
              </w:rPr>
            </w:pPr>
            <w:r>
              <w:rPr>
                <w:rFonts w:hint="eastAsia" w:ascii="宋体" w:hAnsi="宋体" w:cs="宋体"/>
                <w:szCs w:val="21"/>
              </w:rPr>
              <w:t>投标人最后得分相同时对投标人进行排序的方法</w:t>
            </w:r>
          </w:p>
        </w:tc>
        <w:tc>
          <w:tcPr>
            <w:tcW w:w="4917" w:type="dxa"/>
            <w:vAlign w:val="center"/>
          </w:tcPr>
          <w:p>
            <w:pPr>
              <w:widowControl/>
              <w:snapToGrid w:val="0"/>
              <w:jc w:val="left"/>
              <w:rPr>
                <w:rFonts w:ascii="宋体" w:hAnsi="宋体" w:cs="宋体"/>
                <w:szCs w:val="21"/>
                <w:lang w:val="zh-CN"/>
              </w:rPr>
            </w:pPr>
            <w:r>
              <w:rPr>
                <w:rFonts w:hint="eastAsia" w:ascii="宋体" w:hAnsi="宋体" w:cs="宋体"/>
                <w:szCs w:val="21"/>
              </w:rPr>
              <w:t>得分相同的，按投标报价由低到高顺序排列。得分且投标报价相同的，按技术指标优劣顺序排列。</w:t>
            </w:r>
          </w:p>
        </w:tc>
      </w:tr>
    </w:tbl>
    <w:p>
      <w:pPr>
        <w:pStyle w:val="45"/>
        <w:numPr>
          <w:ilvl w:val="0"/>
          <w:numId w:val="45"/>
        </w:numPr>
        <w:autoSpaceDE w:val="0"/>
        <w:autoSpaceDN w:val="0"/>
        <w:adjustRightInd w:val="0"/>
        <w:snapToGrid w:val="0"/>
        <w:spacing w:line="360" w:lineRule="auto"/>
        <w:ind w:firstLineChars="0"/>
        <w:jc w:val="left"/>
        <w:outlineLvl w:val="2"/>
        <w:rPr>
          <w:rFonts w:ascii="宋体" w:hAnsi="宋体" w:cs="宋体"/>
          <w:b/>
          <w:bCs/>
          <w:snapToGrid w:val="0"/>
          <w:kern w:val="0"/>
          <w:szCs w:val="21"/>
          <w:lang w:val="zh-CN"/>
        </w:rPr>
      </w:pPr>
      <w:bookmarkStart w:id="75" w:name="_Toc11274"/>
      <w:bookmarkStart w:id="76" w:name="_Toc14614"/>
      <w:r>
        <w:rPr>
          <w:rFonts w:hint="eastAsia" w:ascii="宋体" w:hAnsi="宋体" w:cs="宋体"/>
          <w:b/>
          <w:bCs/>
          <w:snapToGrid w:val="0"/>
          <w:kern w:val="0"/>
          <w:szCs w:val="21"/>
          <w:lang w:val="zh-CN"/>
        </w:rPr>
        <w:t>评分细则</w:t>
      </w:r>
      <w:bookmarkEnd w:id="75"/>
      <w:bookmarkEnd w:id="76"/>
    </w:p>
    <w:tbl>
      <w:tblPr>
        <w:tblStyle w:val="21"/>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36"/>
        <w:gridCol w:w="996"/>
        <w:gridCol w:w="1596"/>
        <w:gridCol w:w="5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宋体"/>
                <w:color w:val="000000"/>
                <w:szCs w:val="21"/>
              </w:rPr>
            </w:pPr>
            <w:bookmarkStart w:id="77" w:name="_Toc1897"/>
            <w:bookmarkStart w:id="78" w:name="_Toc10307"/>
            <w:bookmarkStart w:id="79" w:name="_Toc152045600"/>
            <w:bookmarkStart w:id="80" w:name="_Toc152042377"/>
            <w:bookmarkStart w:id="81" w:name="_Toc179632618"/>
            <w:bookmarkStart w:id="82" w:name="_Toc144974567"/>
            <w:r>
              <w:rPr>
                <w:rFonts w:hint="eastAsia" w:ascii="宋体" w:hAnsi="宋体" w:cs="宋体"/>
                <w:color w:val="000000"/>
                <w:szCs w:val="21"/>
              </w:rPr>
              <w:t>详细评分标准</w:t>
            </w:r>
          </w:p>
        </w:tc>
        <w:tc>
          <w:tcPr>
            <w:tcW w:w="8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color w:val="000000"/>
                <w:szCs w:val="21"/>
              </w:rPr>
            </w:pPr>
            <w:r>
              <w:rPr>
                <w:rFonts w:hint="eastAsia" w:ascii="宋体" w:hAnsi="宋体" w:cs="宋体"/>
                <w:b/>
                <w:color w:val="000000"/>
                <w:szCs w:val="21"/>
              </w:rPr>
              <w:t>评分内容</w:t>
            </w:r>
          </w:p>
        </w:tc>
        <w:tc>
          <w:tcPr>
            <w:tcW w:w="259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color w:val="000000"/>
                <w:szCs w:val="21"/>
              </w:rPr>
            </w:pPr>
            <w:r>
              <w:rPr>
                <w:rFonts w:hint="eastAsia" w:ascii="宋体" w:hAnsi="宋体" w:cs="宋体"/>
                <w:b/>
                <w:color w:val="000000"/>
                <w:szCs w:val="21"/>
              </w:rPr>
              <w:t>评分项目和分值</w:t>
            </w:r>
          </w:p>
        </w:tc>
        <w:tc>
          <w:tcPr>
            <w:tcW w:w="52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color w:val="000000"/>
                <w:szCs w:val="21"/>
              </w:rPr>
            </w:pPr>
            <w:r>
              <w:rPr>
                <w:rFonts w:hint="eastAsia" w:ascii="宋体" w:hAnsi="宋体" w:cs="宋体"/>
                <w:b/>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价格部分30分</w:t>
            </w:r>
          </w:p>
        </w:tc>
        <w:tc>
          <w:tcPr>
            <w:tcW w:w="996"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价格30分</w:t>
            </w:r>
          </w:p>
        </w:tc>
        <w:tc>
          <w:tcPr>
            <w:tcW w:w="1596" w:type="dxa"/>
            <w:tcBorders>
              <w:top w:val="single" w:color="auto" w:sz="4" w:space="0"/>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固定金额费用上限 15分（其中常年法律顾问服务5分，其它法律服务10分）</w:t>
            </w:r>
          </w:p>
        </w:tc>
        <w:tc>
          <w:tcPr>
            <w:tcW w:w="5251" w:type="dxa"/>
            <w:vMerge w:val="restart"/>
            <w:tcBorders>
              <w:top w:val="single" w:color="auto" w:sz="4" w:space="0"/>
              <w:left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 xml:space="preserve">A、评审价的计算： </w:t>
            </w:r>
          </w:p>
          <w:p>
            <w:pPr>
              <w:spacing w:line="340" w:lineRule="exact"/>
              <w:jc w:val="left"/>
              <w:rPr>
                <w:rFonts w:ascii="宋体" w:hAnsi="宋体" w:cs="宋体"/>
                <w:szCs w:val="21"/>
              </w:rPr>
            </w:pPr>
            <w:r>
              <w:rPr>
                <w:rFonts w:hint="eastAsia" w:ascii="宋体" w:hAnsi="宋体" w:cs="宋体"/>
                <w:szCs w:val="21"/>
              </w:rPr>
              <w:t xml:space="preserve">1）投标人的投标报价如有缺漏项，视为不实质性响应； </w:t>
            </w:r>
          </w:p>
          <w:p>
            <w:pPr>
              <w:spacing w:line="340" w:lineRule="exact"/>
              <w:jc w:val="left"/>
              <w:rPr>
                <w:rFonts w:ascii="宋体" w:hAnsi="宋体" w:cs="宋体"/>
                <w:szCs w:val="21"/>
              </w:rPr>
            </w:pPr>
            <w:r>
              <w:rPr>
                <w:rFonts w:hint="eastAsia" w:ascii="宋体" w:hAnsi="宋体" w:cs="宋体"/>
                <w:szCs w:val="21"/>
              </w:rPr>
              <w:t xml:space="preserve">2）不接受选择性报价或者具有附加条件的报价； </w:t>
            </w:r>
          </w:p>
          <w:p>
            <w:pPr>
              <w:spacing w:line="340" w:lineRule="exact"/>
              <w:jc w:val="left"/>
              <w:rPr>
                <w:rFonts w:ascii="宋体" w:hAnsi="宋体" w:cs="宋体"/>
                <w:szCs w:val="21"/>
              </w:rPr>
            </w:pPr>
            <w:r>
              <w:rPr>
                <w:rFonts w:hint="eastAsia" w:ascii="宋体" w:hAnsi="宋体" w:cs="宋体"/>
                <w:szCs w:val="21"/>
              </w:rPr>
              <w:t xml:space="preserve">3）投标文件中如果申报了非招标文件所要求的服务和产品，评审时不予以折价降低评审价； </w:t>
            </w:r>
          </w:p>
          <w:p>
            <w:pPr>
              <w:spacing w:line="340" w:lineRule="exact"/>
              <w:jc w:val="left"/>
              <w:rPr>
                <w:rFonts w:ascii="宋体" w:hAnsi="宋体" w:cs="宋体"/>
                <w:szCs w:val="21"/>
              </w:rPr>
            </w:pPr>
            <w:r>
              <w:rPr>
                <w:rFonts w:hint="eastAsia" w:ascii="宋体" w:hAnsi="宋体" w:cs="宋体"/>
                <w:szCs w:val="21"/>
              </w:rPr>
              <w:t xml:space="preserve">4）投标人的报价经勘误和缺漏项修正后的累计值作为该投标人的评审价。 </w:t>
            </w:r>
          </w:p>
          <w:p>
            <w:pPr>
              <w:spacing w:line="340" w:lineRule="exact"/>
              <w:jc w:val="left"/>
              <w:rPr>
                <w:rFonts w:ascii="宋体" w:hAnsi="宋体" w:cs="宋体"/>
                <w:szCs w:val="21"/>
              </w:rPr>
            </w:pPr>
            <w:r>
              <w:rPr>
                <w:rFonts w:hint="eastAsia" w:ascii="宋体" w:hAnsi="宋体" w:cs="宋体"/>
                <w:szCs w:val="21"/>
              </w:rPr>
              <w:t xml:space="preserve">5）评标价分为固定金额费用上限（不含税）和按照执行所得额收取服务费的比例上限，评标价=对应的投标报价（不含税）。 </w:t>
            </w:r>
          </w:p>
          <w:p>
            <w:pPr>
              <w:spacing w:line="340" w:lineRule="exact"/>
              <w:jc w:val="left"/>
              <w:rPr>
                <w:rFonts w:ascii="宋体" w:hAnsi="宋体" w:cs="宋体"/>
                <w:szCs w:val="21"/>
              </w:rPr>
            </w:pPr>
            <w:r>
              <w:rPr>
                <w:rFonts w:hint="eastAsia" w:ascii="宋体" w:hAnsi="宋体" w:cs="宋体"/>
                <w:szCs w:val="21"/>
              </w:rPr>
              <w:t>B、低价优先法</w:t>
            </w:r>
          </w:p>
          <w:p>
            <w:pPr>
              <w:spacing w:line="340" w:lineRule="exact"/>
              <w:jc w:val="left"/>
              <w:rPr>
                <w:rFonts w:ascii="宋体" w:hAnsi="宋体" w:cs="宋体"/>
                <w:szCs w:val="21"/>
              </w:rPr>
            </w:pPr>
            <w:r>
              <w:rPr>
                <w:rFonts w:hint="eastAsia" w:ascii="宋体" w:hAnsi="宋体" w:cs="宋体"/>
                <w:szCs w:val="21"/>
              </w:rPr>
              <w:t>C、评分标准</w:t>
            </w:r>
          </w:p>
          <w:p>
            <w:pPr>
              <w:spacing w:line="340" w:lineRule="exact"/>
              <w:jc w:val="left"/>
              <w:rPr>
                <w:rFonts w:ascii="宋体" w:hAnsi="宋体" w:cs="宋体"/>
                <w:szCs w:val="21"/>
              </w:rPr>
            </w:pPr>
            <w:r>
              <w:rPr>
                <w:rFonts w:hint="eastAsia" w:ascii="宋体" w:hAnsi="宋体" w:cs="宋体"/>
                <w:szCs w:val="21"/>
              </w:rPr>
              <w:t>1）常年法律顾问：报价表中按最高限额报价得0分，每减少1万/年加1分；</w:t>
            </w:r>
          </w:p>
          <w:p>
            <w:pPr>
              <w:spacing w:line="340" w:lineRule="exact"/>
              <w:jc w:val="left"/>
              <w:rPr>
                <w:rFonts w:ascii="宋体" w:hAnsi="宋体" w:cs="宋体"/>
                <w:szCs w:val="21"/>
              </w:rPr>
            </w:pPr>
            <w:r>
              <w:rPr>
                <w:rFonts w:hint="eastAsia" w:ascii="宋体" w:hAnsi="宋体" w:cs="宋体"/>
                <w:szCs w:val="21"/>
              </w:rPr>
              <w:t>2）其它法律服务：报价表中按最高限额报价得0分，每减少200元/小时加1分；</w:t>
            </w:r>
          </w:p>
          <w:p>
            <w:pPr>
              <w:spacing w:line="340" w:lineRule="exact"/>
              <w:jc w:val="left"/>
              <w:rPr>
                <w:rFonts w:ascii="宋体" w:hAnsi="宋体" w:cs="宋体"/>
                <w:szCs w:val="21"/>
              </w:rPr>
            </w:pPr>
            <w:r>
              <w:rPr>
                <w:rFonts w:hint="eastAsia" w:ascii="宋体" w:hAnsi="宋体" w:cs="宋体"/>
                <w:szCs w:val="21"/>
              </w:rPr>
              <w:t>3）清收回款：报价表中按最高限额报价得0分，每减少1%加1分；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continue"/>
            <w:tcBorders>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p>
        </w:tc>
        <w:tc>
          <w:tcPr>
            <w:tcW w:w="996"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1596" w:type="dxa"/>
            <w:tcBorders>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 xml:space="preserve">费用比例上限 </w:t>
            </w:r>
          </w:p>
          <w:p>
            <w:pPr>
              <w:spacing w:line="340" w:lineRule="exact"/>
              <w:jc w:val="center"/>
              <w:rPr>
                <w:rFonts w:ascii="宋体" w:hAnsi="宋体" w:cs="宋体"/>
                <w:szCs w:val="21"/>
              </w:rPr>
            </w:pPr>
            <w:r>
              <w:rPr>
                <w:rFonts w:hint="eastAsia" w:ascii="宋体" w:hAnsi="宋体" w:cs="宋体"/>
                <w:szCs w:val="21"/>
              </w:rPr>
              <w:t xml:space="preserve">15分 </w:t>
            </w:r>
          </w:p>
          <w:p>
            <w:pPr>
              <w:spacing w:line="340" w:lineRule="exact"/>
              <w:jc w:val="center"/>
              <w:rPr>
                <w:rFonts w:ascii="宋体" w:hAnsi="宋体" w:cs="宋体"/>
                <w:szCs w:val="21"/>
              </w:rPr>
            </w:pPr>
          </w:p>
        </w:tc>
        <w:tc>
          <w:tcPr>
            <w:tcW w:w="5251" w:type="dxa"/>
            <w:vMerge w:val="continue"/>
            <w:tcBorders>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商务部分50分</w:t>
            </w:r>
          </w:p>
        </w:tc>
        <w:tc>
          <w:tcPr>
            <w:tcW w:w="996" w:type="dxa"/>
            <w:tcBorders>
              <w:left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经营状况及荣誉10分</w:t>
            </w:r>
          </w:p>
        </w:tc>
        <w:tc>
          <w:tcPr>
            <w:tcW w:w="1596" w:type="dxa"/>
            <w:tcBorders>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经营状况及荣誉10分</w:t>
            </w:r>
          </w:p>
        </w:tc>
        <w:tc>
          <w:tcPr>
            <w:tcW w:w="52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1、经营状况5分（提供近三年2020、2021、2022财务审计报告）</w:t>
            </w:r>
          </w:p>
          <w:p>
            <w:pPr>
              <w:spacing w:line="340" w:lineRule="exact"/>
              <w:jc w:val="left"/>
              <w:rPr>
                <w:rFonts w:ascii="宋体" w:hAnsi="宋体" w:cs="宋体"/>
                <w:szCs w:val="21"/>
              </w:rPr>
            </w:pPr>
            <w:r>
              <w:rPr>
                <w:rFonts w:hint="eastAsia" w:ascii="宋体" w:hAnsi="宋体" w:cs="宋体"/>
                <w:szCs w:val="21"/>
              </w:rPr>
              <w:t>综合投标人规模、业务范围、发展情况、组织机构、财务状况（总资产、负债率、收入、利润等）等打分优5分；较好3-4分；一般1-2分；</w:t>
            </w:r>
          </w:p>
          <w:p>
            <w:pPr>
              <w:spacing w:line="340" w:lineRule="exact"/>
              <w:jc w:val="left"/>
              <w:rPr>
                <w:rFonts w:hint="default" w:ascii="宋体" w:hAnsi="宋体" w:eastAsia="宋体" w:cs="宋体"/>
                <w:szCs w:val="21"/>
                <w:lang w:val="en-US" w:eastAsia="zh-CN"/>
              </w:rPr>
            </w:pPr>
            <w:r>
              <w:rPr>
                <w:rFonts w:hint="eastAsia" w:ascii="宋体" w:hAnsi="宋体" w:cs="宋体"/>
                <w:szCs w:val="21"/>
              </w:rPr>
              <w:t xml:space="preserve"> 2、律师事务所荣誉5分</w:t>
            </w:r>
            <w:r>
              <w:rPr>
                <w:rFonts w:hint="eastAsia" w:ascii="宋体" w:hAnsi="宋体" w:cs="宋体"/>
                <w:szCs w:val="21"/>
                <w:lang w:eastAsia="zh-CN"/>
              </w:rPr>
              <w:t>：</w:t>
            </w:r>
            <w:r>
              <w:rPr>
                <w:rFonts w:hint="eastAsia" w:ascii="宋体" w:hAnsi="宋体" w:cs="宋体"/>
                <w:szCs w:val="21"/>
              </w:rPr>
              <w:t>近三年（2020年1月至投标截止时间止）获得的荣誉：获得司法部、全国律协等荣誉2分/项；省市级司法机关、律协荣誉的1分/项（0-5分）</w:t>
            </w:r>
            <w:r>
              <w:rPr>
                <w:rFonts w:hint="eastAsia" w:ascii="宋体" w:hAnsi="宋体" w:cs="宋体"/>
                <w:szCs w:val="21"/>
                <w:lang w:eastAsia="zh-CN"/>
              </w:rPr>
              <w:t>，</w:t>
            </w:r>
            <w:r>
              <w:rPr>
                <w:rFonts w:hint="eastAsia" w:ascii="宋体" w:hAnsi="宋体" w:cs="宋体"/>
                <w:szCs w:val="21"/>
                <w:lang w:val="en-US" w:eastAsia="zh-CN"/>
              </w:rPr>
              <w:t>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996" w:type="dxa"/>
            <w:tcBorders>
              <w:left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项目团队10分</w:t>
            </w:r>
          </w:p>
        </w:tc>
        <w:tc>
          <w:tcPr>
            <w:tcW w:w="1596" w:type="dxa"/>
            <w:tcBorders>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项目团队10分</w:t>
            </w:r>
          </w:p>
        </w:tc>
        <w:tc>
          <w:tcPr>
            <w:tcW w:w="52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项目团队服务人员10分</w:t>
            </w:r>
          </w:p>
          <w:p>
            <w:pPr>
              <w:numPr>
                <w:ilvl w:val="0"/>
                <w:numId w:val="46"/>
              </w:numPr>
              <w:spacing w:line="340" w:lineRule="exact"/>
              <w:jc w:val="left"/>
              <w:rPr>
                <w:rFonts w:ascii="宋体" w:hAnsi="宋体" w:cs="宋体"/>
                <w:szCs w:val="21"/>
              </w:rPr>
            </w:pPr>
            <w:r>
              <w:rPr>
                <w:rFonts w:hint="eastAsia" w:ascii="宋体" w:hAnsi="宋体" w:cs="宋体"/>
                <w:szCs w:val="21"/>
              </w:rPr>
              <w:t>拟派团队服务人员中注册执业律师人数不少于五人《提供团队人员名单)，总人数五人以下不得分，五人以上每增加一人得1分。（5分）</w:t>
            </w:r>
          </w:p>
          <w:p>
            <w:pPr>
              <w:numPr>
                <w:ilvl w:val="0"/>
                <w:numId w:val="46"/>
              </w:numPr>
              <w:spacing w:line="340" w:lineRule="exact"/>
              <w:jc w:val="left"/>
              <w:rPr>
                <w:rFonts w:ascii="宋体" w:hAnsi="宋体" w:cs="宋体"/>
                <w:szCs w:val="21"/>
              </w:rPr>
            </w:pPr>
            <w:r>
              <w:rPr>
                <w:rFonts w:hint="eastAsia" w:ascii="宋体" w:hAnsi="宋体" w:cs="宋体"/>
                <w:szCs w:val="21"/>
                <w:highlight w:val="none"/>
              </w:rPr>
              <w:t>项目负责人资质（合伙人）2分，执业年限超过10年（</w:t>
            </w:r>
            <w:r>
              <w:rPr>
                <w:rFonts w:hint="eastAsia"/>
                <w:highlight w:val="none"/>
              </w:rPr>
              <w:t>提供项目负责人劳动合同和业绩证明，否则不得分</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996" w:type="dxa"/>
            <w:tcBorders>
              <w:left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项目经验30分</w:t>
            </w:r>
          </w:p>
        </w:tc>
        <w:tc>
          <w:tcPr>
            <w:tcW w:w="1596" w:type="dxa"/>
            <w:tcBorders>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代理诉讼清收类案件业绩20分</w:t>
            </w:r>
          </w:p>
        </w:tc>
        <w:tc>
          <w:tcPr>
            <w:tcW w:w="52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投标人近三年（2020年1月至投标截止时间止）代理民事金融诉讼案件业绩：</w:t>
            </w:r>
          </w:p>
          <w:p>
            <w:pPr>
              <w:numPr>
                <w:ilvl w:val="0"/>
                <w:numId w:val="47"/>
              </w:numPr>
              <w:spacing w:line="340" w:lineRule="exact"/>
              <w:jc w:val="left"/>
              <w:rPr>
                <w:rFonts w:ascii="宋体" w:hAnsi="宋体" w:cs="宋体"/>
                <w:szCs w:val="21"/>
              </w:rPr>
            </w:pPr>
            <w:r>
              <w:rPr>
                <w:rFonts w:hint="eastAsia" w:ascii="宋体" w:hAnsi="宋体" w:cs="宋体"/>
                <w:szCs w:val="21"/>
              </w:rPr>
              <w:t>代理诉讼标的5000万元（含）以上诉讼案件并取得胜诉判决的，每件得2分。代理诉讼标的5000万元（含）以上执行案件清收率达50%以上的，每件得4分。</w:t>
            </w:r>
          </w:p>
          <w:p>
            <w:pPr>
              <w:numPr>
                <w:ilvl w:val="0"/>
                <w:numId w:val="47"/>
              </w:numPr>
              <w:spacing w:line="340" w:lineRule="exact"/>
              <w:jc w:val="left"/>
              <w:rPr>
                <w:rFonts w:ascii="宋体" w:hAnsi="宋体" w:cs="宋体"/>
                <w:szCs w:val="21"/>
              </w:rPr>
            </w:pPr>
            <w:r>
              <w:rPr>
                <w:rFonts w:hint="eastAsia" w:ascii="宋体" w:hAnsi="宋体" w:cs="宋体"/>
                <w:szCs w:val="21"/>
              </w:rPr>
              <w:t>代理诉讼标的1000万元（含）以上5000万以下诉讼案件并取得胜诉判决的，每件得1分。代理诉讼标的1000万元（含）以上5000万以下执行案件清收率达50%以上的，每件得2分。</w:t>
            </w:r>
          </w:p>
          <w:p>
            <w:pPr>
              <w:numPr>
                <w:ilvl w:val="0"/>
                <w:numId w:val="47"/>
              </w:numPr>
              <w:spacing w:line="340" w:lineRule="exact"/>
              <w:jc w:val="left"/>
              <w:rPr>
                <w:rFonts w:ascii="宋体" w:hAnsi="宋体" w:cs="宋体"/>
                <w:szCs w:val="21"/>
              </w:rPr>
            </w:pPr>
            <w:r>
              <w:rPr>
                <w:rFonts w:hint="eastAsia" w:ascii="宋体" w:hAnsi="宋体" w:cs="宋体"/>
                <w:szCs w:val="21"/>
              </w:rPr>
              <w:t>代理诉讼标的1000万元以下诉讼案件并取得胜诉判决的，每件得0.5分。代理诉讼标的1000万元以下执行案件清收率达50%以上的,每件得1分。</w:t>
            </w:r>
          </w:p>
          <w:p>
            <w:pPr>
              <w:numPr>
                <w:ilvl w:val="0"/>
                <w:numId w:val="47"/>
              </w:numPr>
              <w:spacing w:line="340" w:lineRule="exact"/>
              <w:jc w:val="left"/>
              <w:rPr>
                <w:rFonts w:ascii="宋体" w:hAnsi="宋体" w:cs="宋体"/>
                <w:szCs w:val="21"/>
              </w:rPr>
            </w:pPr>
            <w:r>
              <w:rPr>
                <w:rFonts w:hint="eastAsia" w:ascii="宋体" w:hAnsi="宋体" w:cs="宋体"/>
                <w:szCs w:val="21"/>
              </w:rPr>
              <w:t>代理个贷案件每超过50件得1分，该项累计不超过10分。（根据委托代理合同中律所代理的个贷案件户数累计计算）</w:t>
            </w:r>
          </w:p>
          <w:p>
            <w:pPr>
              <w:spacing w:line="340" w:lineRule="exact"/>
              <w:ind w:firstLine="210" w:firstLineChars="100"/>
              <w:jc w:val="left"/>
              <w:rPr>
                <w:rFonts w:ascii="宋体" w:hAnsi="宋体" w:cs="宋体"/>
                <w:szCs w:val="21"/>
              </w:rPr>
            </w:pPr>
            <w:r>
              <w:rPr>
                <w:rFonts w:hint="eastAsia" w:ascii="宋体" w:hAnsi="宋体" w:cs="宋体"/>
                <w:szCs w:val="21"/>
              </w:rPr>
              <w:t>上述1-3 项累计得分不超过10分。（提供委托代理合同及判决、裁定书）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continue"/>
            <w:tcBorders>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p>
        </w:tc>
        <w:tc>
          <w:tcPr>
            <w:tcW w:w="996" w:type="dxa"/>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1596" w:type="dxa"/>
            <w:tcBorders>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诉讼清收类案件外的其它业绩10分</w:t>
            </w:r>
          </w:p>
        </w:tc>
        <w:tc>
          <w:tcPr>
            <w:tcW w:w="52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default" w:ascii="宋体" w:hAnsi="宋体" w:eastAsia="宋体" w:cs="宋体"/>
                <w:szCs w:val="21"/>
                <w:lang w:val="en-US" w:eastAsia="zh-CN"/>
              </w:rPr>
            </w:pPr>
            <w:r>
              <w:rPr>
                <w:rFonts w:hint="eastAsia" w:ascii="宋体" w:hAnsi="宋体" w:cs="宋体"/>
                <w:szCs w:val="21"/>
              </w:rPr>
              <w:t>投标人近三年（2020年1月至投标截止时间止）代理诉讼清收类案件外的其它业绩：担任金融机构、国有企业或政府机关的常年法律顾问、担任公司破产管理人，提供上市或发债、涉外法律事务、投行、并购、信托、以及涉及金融机构工作人员的刑事犯罪等领域的法律服务业绩，每项业绩得2分。</w:t>
            </w:r>
            <w:r>
              <w:rPr>
                <w:rFonts w:hint="eastAsia" w:ascii="宋体" w:hAnsi="宋体" w:cs="宋体"/>
                <w:szCs w:val="21"/>
                <w:lang w:val="en-US" w:eastAsia="zh-CN"/>
              </w:rPr>
              <w:t>本项最多得10分。</w:t>
            </w:r>
          </w:p>
          <w:p>
            <w:pPr>
              <w:spacing w:line="340" w:lineRule="exact"/>
              <w:jc w:val="left"/>
              <w:rPr>
                <w:rFonts w:ascii="宋体" w:hAnsi="宋体" w:cs="宋体"/>
                <w:szCs w:val="21"/>
              </w:rPr>
            </w:pPr>
            <w:r>
              <w:rPr>
                <w:rFonts w:hint="eastAsia" w:ascii="宋体" w:hAnsi="宋体" w:cs="宋体"/>
                <w:szCs w:val="21"/>
              </w:rPr>
              <w:t>（提供委托代理合同）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技术部分20分</w:t>
            </w:r>
          </w:p>
        </w:tc>
        <w:tc>
          <w:tcPr>
            <w:tcW w:w="996" w:type="dxa"/>
            <w:vMerge w:val="restart"/>
            <w:tcBorders>
              <w:left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项目方案15分</w:t>
            </w:r>
          </w:p>
        </w:tc>
        <w:tc>
          <w:tcPr>
            <w:tcW w:w="1596" w:type="dxa"/>
            <w:tcBorders>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服务方案10分</w:t>
            </w:r>
          </w:p>
        </w:tc>
        <w:tc>
          <w:tcPr>
            <w:tcW w:w="52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1、针对项目特点编制服务团队人员的配备方案，明确各岗位工作内容、职责、分工等，优秀得5分，较好得4分，一般得2-3分，较差得0-1分；</w:t>
            </w:r>
          </w:p>
          <w:p>
            <w:pPr>
              <w:spacing w:line="340" w:lineRule="exact"/>
              <w:jc w:val="left"/>
              <w:rPr>
                <w:rFonts w:ascii="宋体" w:hAnsi="宋体" w:cs="宋体"/>
                <w:szCs w:val="21"/>
              </w:rPr>
            </w:pPr>
            <w:r>
              <w:rPr>
                <w:rFonts w:hint="eastAsia" w:ascii="宋体" w:hAnsi="宋体" w:cs="宋体"/>
                <w:szCs w:val="21"/>
              </w:rPr>
              <w:t>2、针对项目特点编制详细的服务标准及实施方案、具体措施及承诺，优秀得5分，较好得4分，一般得2-3分，较差得0-1分。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996" w:type="dxa"/>
            <w:vMerge w:val="continue"/>
            <w:tcBorders>
              <w:left w:val="single" w:color="auto" w:sz="4" w:space="0"/>
              <w:right w:val="single" w:color="auto" w:sz="4" w:space="0"/>
            </w:tcBorders>
            <w:vAlign w:val="center"/>
          </w:tcPr>
          <w:p>
            <w:pPr>
              <w:spacing w:line="340" w:lineRule="exact"/>
              <w:jc w:val="left"/>
              <w:rPr>
                <w:rFonts w:ascii="宋体" w:hAnsi="宋体" w:cs="宋体"/>
                <w:szCs w:val="21"/>
              </w:rPr>
            </w:pPr>
          </w:p>
        </w:tc>
        <w:tc>
          <w:tcPr>
            <w:tcW w:w="1596" w:type="dxa"/>
            <w:tcBorders>
              <w:left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服务时效 5分</w:t>
            </w:r>
          </w:p>
        </w:tc>
        <w:tc>
          <w:tcPr>
            <w:tcW w:w="52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服务响应及时性、服务保障措施等方面，科学、合理、针对性强4-5分，合理、可行2-3 分，欠合理，基本可行 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 w:type="dxa"/>
            <w:vMerge w:val="continue"/>
            <w:tcBorders>
              <w:left w:val="single" w:color="auto" w:sz="4" w:space="0"/>
              <w:right w:val="single" w:color="auto" w:sz="4" w:space="0"/>
            </w:tcBorders>
            <w:vAlign w:val="center"/>
          </w:tcPr>
          <w:p>
            <w:pPr>
              <w:spacing w:line="340" w:lineRule="exact"/>
              <w:jc w:val="center"/>
              <w:rPr>
                <w:rFonts w:ascii="宋体" w:hAnsi="宋体" w:cs="宋体"/>
                <w:szCs w:val="21"/>
              </w:rPr>
            </w:pPr>
          </w:p>
        </w:tc>
        <w:tc>
          <w:tcPr>
            <w:tcW w:w="836" w:type="dxa"/>
            <w:vMerge w:val="continue"/>
            <w:tcBorders>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p>
        </w:tc>
        <w:tc>
          <w:tcPr>
            <w:tcW w:w="996" w:type="dxa"/>
            <w:tcBorders>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其它服务5分</w:t>
            </w:r>
          </w:p>
        </w:tc>
        <w:tc>
          <w:tcPr>
            <w:tcW w:w="1596" w:type="dxa"/>
            <w:tcBorders>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增值服务5分</w:t>
            </w:r>
          </w:p>
        </w:tc>
        <w:tc>
          <w:tcPr>
            <w:tcW w:w="52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根据投标人针对本项目所提供的有利于招标人的免费增值服务及其他优惠承诺进行打分优良4-5分:较好2-3分;一般0-1分。</w:t>
            </w:r>
          </w:p>
        </w:tc>
      </w:tr>
    </w:tbl>
    <w:p>
      <w:pPr>
        <w:autoSpaceDE w:val="0"/>
        <w:autoSpaceDN w:val="0"/>
        <w:adjustRightInd w:val="0"/>
        <w:snapToGrid w:val="0"/>
        <w:spacing w:line="360" w:lineRule="auto"/>
        <w:outlineLvl w:val="2"/>
        <w:rPr>
          <w:rFonts w:ascii="宋体" w:hAnsi="宋体" w:cs="宋体"/>
          <w:b/>
          <w:bCs/>
          <w:snapToGrid w:val="0"/>
          <w:kern w:val="0"/>
          <w:szCs w:val="21"/>
          <w:lang w:val="zh-CN"/>
        </w:rPr>
      </w:pPr>
    </w:p>
    <w:p/>
    <w:p>
      <w:pPr>
        <w:autoSpaceDE w:val="0"/>
        <w:autoSpaceDN w:val="0"/>
        <w:adjustRightInd w:val="0"/>
        <w:snapToGrid w:val="0"/>
        <w:spacing w:line="360" w:lineRule="auto"/>
        <w:jc w:val="left"/>
        <w:outlineLvl w:val="2"/>
        <w:rPr>
          <w:rFonts w:ascii="宋体" w:hAnsi="宋体" w:cs="宋体"/>
          <w:b/>
          <w:bCs/>
          <w:snapToGrid w:val="0"/>
          <w:kern w:val="0"/>
          <w:szCs w:val="21"/>
          <w:lang w:val="zh-CN"/>
        </w:rPr>
      </w:pPr>
      <w:r>
        <w:rPr>
          <w:rFonts w:hint="eastAsia" w:ascii="宋体" w:hAnsi="宋体" w:cs="宋体"/>
          <w:b/>
          <w:bCs/>
          <w:snapToGrid w:val="0"/>
          <w:kern w:val="0"/>
          <w:szCs w:val="21"/>
          <w:lang w:val="zh-CN"/>
        </w:rPr>
        <w:t>二、评审办法</w:t>
      </w:r>
      <w:bookmarkEnd w:id="77"/>
      <w:bookmarkEnd w:id="78"/>
    </w:p>
    <w:p>
      <w:pPr>
        <w:snapToGrid w:val="0"/>
        <w:spacing w:line="400" w:lineRule="exact"/>
        <w:rPr>
          <w:rFonts w:ascii="宋体" w:hAnsi="宋体" w:cs="宋体"/>
          <w:szCs w:val="21"/>
        </w:rPr>
      </w:pPr>
      <w:r>
        <w:rPr>
          <w:rFonts w:hint="eastAsia" w:ascii="宋体" w:hAnsi="宋体" w:cs="宋体"/>
          <w:szCs w:val="21"/>
        </w:rPr>
        <w:t>1. 评标方法</w:t>
      </w:r>
      <w:bookmarkEnd w:id="79"/>
      <w:bookmarkEnd w:id="80"/>
      <w:bookmarkEnd w:id="81"/>
      <w:bookmarkEnd w:id="82"/>
    </w:p>
    <w:p>
      <w:pPr>
        <w:snapToGrid w:val="0"/>
        <w:spacing w:line="400" w:lineRule="exact"/>
        <w:ind w:firstLine="420" w:firstLineChars="200"/>
        <w:rPr>
          <w:rFonts w:ascii="宋体" w:hAnsi="宋体" w:cs="宋体"/>
          <w:szCs w:val="21"/>
        </w:rPr>
      </w:pPr>
      <w:r>
        <w:rPr>
          <w:rFonts w:hint="eastAsia" w:ascii="宋体" w:hAnsi="宋体" w:cs="宋体"/>
          <w:szCs w:val="21"/>
        </w:rPr>
        <w:t>本次评标采用综合评分法。评标委员会对满足招标文件实质性要求的投标文件，按照本章第2.2款规定的评分标准进行打分，并按得分由高到低顺序推荐中标候选人。如投标人最后得分相同时，按照本章第3.4.1款规定的办法对投标人进行排序推荐中标候选人。</w:t>
      </w:r>
    </w:p>
    <w:p>
      <w:pPr>
        <w:snapToGrid w:val="0"/>
        <w:spacing w:line="400" w:lineRule="exact"/>
        <w:ind w:firstLine="420" w:firstLineChars="200"/>
        <w:rPr>
          <w:rFonts w:ascii="宋体" w:hAnsi="宋体" w:cs="宋体"/>
          <w:szCs w:val="21"/>
        </w:rPr>
      </w:pPr>
      <w:r>
        <w:rPr>
          <w:rFonts w:hint="eastAsia" w:ascii="宋体" w:hAnsi="宋体" w:cs="宋体"/>
          <w:szCs w:val="21"/>
        </w:rPr>
        <w:t>评标活动遵循“公平、公正、科学、择优”的原则。</w:t>
      </w:r>
      <w:r>
        <w:rPr>
          <w:rFonts w:hint="eastAsia" w:ascii="宋体" w:hAnsi="宋体" w:cs="宋体"/>
          <w:snapToGrid w:val="0"/>
          <w:kern w:val="0"/>
          <w:szCs w:val="21"/>
          <w:lang w:val="zh-CN"/>
        </w:rPr>
        <w:t>在评标期间，任何人不得非法干预、影响评标过程。</w:t>
      </w:r>
    </w:p>
    <w:p>
      <w:pPr>
        <w:snapToGrid w:val="0"/>
        <w:spacing w:line="400" w:lineRule="exact"/>
        <w:rPr>
          <w:rFonts w:ascii="宋体" w:hAnsi="宋体" w:cs="宋体"/>
          <w:szCs w:val="21"/>
        </w:rPr>
      </w:pPr>
      <w:bookmarkStart w:id="83" w:name="_Toc152042378"/>
      <w:bookmarkStart w:id="84" w:name="_Toc144974568"/>
      <w:bookmarkStart w:id="85" w:name="_Toc152045601"/>
      <w:bookmarkStart w:id="86" w:name="_Toc179632619"/>
      <w:r>
        <w:rPr>
          <w:rFonts w:hint="eastAsia" w:ascii="宋体" w:hAnsi="宋体" w:cs="宋体"/>
          <w:szCs w:val="21"/>
        </w:rPr>
        <w:t>2. 评审标准</w:t>
      </w:r>
      <w:bookmarkEnd w:id="83"/>
      <w:bookmarkEnd w:id="84"/>
      <w:bookmarkEnd w:id="85"/>
      <w:bookmarkEnd w:id="86"/>
    </w:p>
    <w:p>
      <w:pPr>
        <w:snapToGrid w:val="0"/>
        <w:spacing w:line="400" w:lineRule="exact"/>
        <w:rPr>
          <w:rFonts w:ascii="宋体" w:hAnsi="宋体" w:cs="宋体"/>
          <w:szCs w:val="21"/>
        </w:rPr>
      </w:pPr>
      <w:bookmarkStart w:id="87" w:name="_Toc179632620"/>
      <w:bookmarkStart w:id="88" w:name="_Toc144974569"/>
      <w:bookmarkStart w:id="89" w:name="_Toc152042379"/>
      <w:bookmarkStart w:id="90" w:name="_Toc152045602"/>
      <w:r>
        <w:rPr>
          <w:rFonts w:hint="eastAsia" w:ascii="宋体" w:hAnsi="宋体" w:cs="宋体"/>
          <w:szCs w:val="21"/>
        </w:rPr>
        <w:t>2.1 初步评审标准</w:t>
      </w:r>
      <w:bookmarkEnd w:id="87"/>
      <w:bookmarkEnd w:id="88"/>
      <w:bookmarkEnd w:id="89"/>
      <w:bookmarkEnd w:id="90"/>
    </w:p>
    <w:p>
      <w:pPr>
        <w:snapToGrid w:val="0"/>
        <w:spacing w:line="400" w:lineRule="exact"/>
        <w:ind w:firstLine="420" w:firstLineChars="200"/>
        <w:rPr>
          <w:rFonts w:ascii="宋体" w:hAnsi="宋体" w:cs="宋体"/>
          <w:szCs w:val="21"/>
        </w:rPr>
      </w:pPr>
      <w:r>
        <w:rPr>
          <w:rFonts w:hint="eastAsia" w:ascii="宋体" w:hAnsi="宋体" w:cs="宋体"/>
          <w:szCs w:val="21"/>
        </w:rPr>
        <w:t>2.1.1 资格性审查标准：见评标办法前附表。</w:t>
      </w:r>
    </w:p>
    <w:p>
      <w:pPr>
        <w:snapToGrid w:val="0"/>
        <w:spacing w:line="400" w:lineRule="exact"/>
        <w:ind w:firstLine="420" w:firstLineChars="200"/>
        <w:rPr>
          <w:rFonts w:ascii="宋体" w:hAnsi="宋体" w:cs="宋体"/>
          <w:szCs w:val="21"/>
        </w:rPr>
      </w:pPr>
      <w:r>
        <w:rPr>
          <w:rFonts w:hint="eastAsia" w:ascii="宋体" w:hAnsi="宋体" w:cs="宋体"/>
          <w:szCs w:val="21"/>
        </w:rPr>
        <w:t>2.1.2 符合性审查标准：见评标办法前附表。</w:t>
      </w:r>
    </w:p>
    <w:p>
      <w:pPr>
        <w:snapToGrid w:val="0"/>
        <w:spacing w:line="400" w:lineRule="exact"/>
        <w:rPr>
          <w:rFonts w:ascii="宋体" w:hAnsi="宋体" w:cs="宋体"/>
          <w:szCs w:val="21"/>
        </w:rPr>
      </w:pPr>
      <w:bookmarkStart w:id="91" w:name="_Toc179632621"/>
      <w:bookmarkStart w:id="92" w:name="_Toc144974570"/>
      <w:bookmarkStart w:id="93" w:name="_Toc152045603"/>
      <w:bookmarkStart w:id="94" w:name="_Toc152042380"/>
      <w:r>
        <w:rPr>
          <w:rFonts w:hint="eastAsia" w:ascii="宋体" w:hAnsi="宋体" w:cs="宋体"/>
          <w:szCs w:val="21"/>
        </w:rPr>
        <w:t>2.2 分值构成与评分标准</w:t>
      </w:r>
      <w:bookmarkEnd w:id="91"/>
      <w:bookmarkEnd w:id="92"/>
      <w:bookmarkEnd w:id="93"/>
      <w:bookmarkEnd w:id="94"/>
    </w:p>
    <w:p>
      <w:pPr>
        <w:snapToGrid w:val="0"/>
        <w:spacing w:line="400" w:lineRule="exact"/>
        <w:ind w:firstLine="420" w:firstLineChars="200"/>
        <w:rPr>
          <w:rFonts w:ascii="宋体" w:hAnsi="宋体" w:cs="宋体"/>
          <w:szCs w:val="21"/>
        </w:rPr>
      </w:pPr>
      <w:r>
        <w:rPr>
          <w:rFonts w:hint="eastAsia" w:ascii="宋体" w:hAnsi="宋体" w:cs="宋体"/>
          <w:szCs w:val="21"/>
        </w:rPr>
        <w:t>2.2.1 分值构成</w:t>
      </w:r>
    </w:p>
    <w:p>
      <w:pPr>
        <w:snapToGrid w:val="0"/>
        <w:spacing w:line="400" w:lineRule="exact"/>
        <w:ind w:firstLine="718" w:firstLineChars="342"/>
        <w:rPr>
          <w:rFonts w:ascii="宋体" w:hAnsi="宋体" w:cs="宋体"/>
          <w:szCs w:val="21"/>
        </w:rPr>
      </w:pPr>
      <w:r>
        <w:rPr>
          <w:rFonts w:hint="eastAsia" w:ascii="宋体" w:hAnsi="宋体" w:cs="宋体"/>
          <w:szCs w:val="21"/>
        </w:rPr>
        <w:t>（1）技术部分：见评标办法前附表；</w:t>
      </w:r>
    </w:p>
    <w:p>
      <w:pPr>
        <w:snapToGrid w:val="0"/>
        <w:spacing w:line="400" w:lineRule="exact"/>
        <w:ind w:firstLine="718" w:firstLineChars="342"/>
        <w:rPr>
          <w:rFonts w:ascii="宋体" w:hAnsi="宋体" w:cs="宋体"/>
          <w:szCs w:val="21"/>
        </w:rPr>
      </w:pPr>
      <w:r>
        <w:rPr>
          <w:rFonts w:hint="eastAsia" w:ascii="宋体" w:hAnsi="宋体" w:cs="宋体"/>
          <w:szCs w:val="21"/>
        </w:rPr>
        <w:t>（2）商务部分：见评标办法前附表；</w:t>
      </w:r>
    </w:p>
    <w:p>
      <w:pPr>
        <w:snapToGrid w:val="0"/>
        <w:spacing w:line="400" w:lineRule="exact"/>
        <w:ind w:firstLine="718" w:firstLineChars="342"/>
        <w:rPr>
          <w:rFonts w:ascii="宋体" w:hAnsi="宋体" w:cs="宋体"/>
          <w:szCs w:val="21"/>
        </w:rPr>
      </w:pPr>
      <w:r>
        <w:rPr>
          <w:rFonts w:hint="eastAsia" w:ascii="宋体" w:hAnsi="宋体" w:cs="宋体"/>
          <w:szCs w:val="21"/>
        </w:rPr>
        <w:t>（3）投标报价：见评标办法前附表；</w:t>
      </w:r>
    </w:p>
    <w:p>
      <w:pPr>
        <w:snapToGrid w:val="0"/>
        <w:spacing w:line="400" w:lineRule="exact"/>
        <w:ind w:firstLine="718" w:firstLineChars="342"/>
        <w:rPr>
          <w:rFonts w:ascii="宋体" w:hAnsi="宋体" w:cs="宋体"/>
          <w:szCs w:val="21"/>
        </w:rPr>
      </w:pPr>
      <w:r>
        <w:rPr>
          <w:rFonts w:hint="eastAsia" w:ascii="宋体" w:hAnsi="宋体" w:cs="宋体"/>
          <w:szCs w:val="21"/>
        </w:rPr>
        <w:t>（4）其他评分因素：见评标办法前附表。</w:t>
      </w:r>
    </w:p>
    <w:p>
      <w:pPr>
        <w:snapToGrid w:val="0"/>
        <w:spacing w:line="400" w:lineRule="exact"/>
        <w:ind w:firstLine="420" w:firstLineChars="200"/>
        <w:rPr>
          <w:rFonts w:ascii="宋体" w:hAnsi="宋体" w:cs="宋体"/>
          <w:szCs w:val="21"/>
        </w:rPr>
      </w:pPr>
      <w:r>
        <w:rPr>
          <w:rFonts w:hint="eastAsia" w:ascii="宋体" w:hAnsi="宋体" w:cs="宋体"/>
          <w:szCs w:val="21"/>
        </w:rPr>
        <w:t>2.2.2 评标基准价计算</w:t>
      </w:r>
    </w:p>
    <w:p>
      <w:pPr>
        <w:snapToGrid w:val="0"/>
        <w:spacing w:line="400" w:lineRule="exact"/>
        <w:ind w:firstLine="840" w:firstLineChars="400"/>
        <w:rPr>
          <w:rFonts w:ascii="宋体" w:hAnsi="宋体" w:cs="宋体"/>
          <w:szCs w:val="21"/>
        </w:rPr>
      </w:pPr>
      <w:r>
        <w:rPr>
          <w:rFonts w:hint="eastAsia" w:ascii="宋体" w:hAnsi="宋体" w:cs="宋体"/>
          <w:szCs w:val="21"/>
        </w:rPr>
        <w:t>评标基准价计算方法：见评标办法前附表。</w:t>
      </w:r>
    </w:p>
    <w:p>
      <w:pPr>
        <w:snapToGrid w:val="0"/>
        <w:spacing w:line="400" w:lineRule="exact"/>
        <w:ind w:firstLine="420" w:firstLineChars="200"/>
        <w:rPr>
          <w:rFonts w:ascii="宋体" w:hAnsi="宋体" w:cs="宋体"/>
          <w:szCs w:val="21"/>
        </w:rPr>
      </w:pPr>
      <w:r>
        <w:rPr>
          <w:rFonts w:hint="eastAsia" w:ascii="宋体" w:hAnsi="宋体" w:cs="宋体"/>
          <w:szCs w:val="21"/>
        </w:rPr>
        <w:t>2.2.3 评分标准</w:t>
      </w:r>
    </w:p>
    <w:p>
      <w:pPr>
        <w:snapToGrid w:val="0"/>
        <w:spacing w:line="400" w:lineRule="exact"/>
        <w:ind w:firstLine="718" w:firstLineChars="342"/>
        <w:rPr>
          <w:rFonts w:ascii="宋体" w:hAnsi="宋体" w:cs="宋体"/>
          <w:szCs w:val="21"/>
        </w:rPr>
      </w:pPr>
      <w:r>
        <w:rPr>
          <w:rFonts w:hint="eastAsia" w:ascii="宋体" w:hAnsi="宋体" w:cs="宋体"/>
          <w:szCs w:val="21"/>
        </w:rPr>
        <w:t>（1）技术部分评分标准：见评标办法前附表；</w:t>
      </w:r>
    </w:p>
    <w:p>
      <w:pPr>
        <w:snapToGrid w:val="0"/>
        <w:spacing w:line="400" w:lineRule="exact"/>
        <w:ind w:firstLine="718" w:firstLineChars="342"/>
        <w:rPr>
          <w:rFonts w:ascii="宋体" w:hAnsi="宋体" w:cs="宋体"/>
          <w:szCs w:val="21"/>
        </w:rPr>
      </w:pPr>
      <w:r>
        <w:rPr>
          <w:rFonts w:hint="eastAsia" w:ascii="宋体" w:hAnsi="宋体" w:cs="宋体"/>
          <w:szCs w:val="21"/>
        </w:rPr>
        <w:t>（2）商务部分评分标准：见评标办法前附表；</w:t>
      </w:r>
    </w:p>
    <w:p>
      <w:pPr>
        <w:snapToGrid w:val="0"/>
        <w:spacing w:line="400" w:lineRule="exact"/>
        <w:ind w:firstLine="718" w:firstLineChars="342"/>
        <w:rPr>
          <w:rFonts w:ascii="宋体" w:hAnsi="宋体" w:cs="宋体"/>
          <w:szCs w:val="21"/>
        </w:rPr>
      </w:pPr>
      <w:r>
        <w:rPr>
          <w:rFonts w:hint="eastAsia" w:ascii="宋体" w:hAnsi="宋体" w:cs="宋体"/>
          <w:szCs w:val="21"/>
        </w:rPr>
        <w:t>（3）投标报价评分标准：见评标办法前附表；</w:t>
      </w:r>
    </w:p>
    <w:p>
      <w:pPr>
        <w:snapToGrid w:val="0"/>
        <w:spacing w:line="400" w:lineRule="exact"/>
        <w:ind w:firstLine="718" w:firstLineChars="342"/>
        <w:rPr>
          <w:rFonts w:ascii="宋体" w:hAnsi="宋体" w:cs="宋体"/>
          <w:szCs w:val="21"/>
        </w:rPr>
      </w:pPr>
      <w:r>
        <w:rPr>
          <w:rFonts w:hint="eastAsia" w:ascii="宋体" w:hAnsi="宋体" w:cs="宋体"/>
          <w:szCs w:val="21"/>
        </w:rPr>
        <w:t>（4）其他因素评分标准：见评标办法前附表。</w:t>
      </w:r>
    </w:p>
    <w:p>
      <w:pPr>
        <w:snapToGrid w:val="0"/>
        <w:spacing w:line="400" w:lineRule="exact"/>
        <w:rPr>
          <w:rFonts w:ascii="宋体" w:hAnsi="宋体" w:cs="宋体"/>
          <w:szCs w:val="21"/>
        </w:rPr>
      </w:pPr>
      <w:bookmarkStart w:id="95" w:name="_Toc144974571"/>
      <w:bookmarkStart w:id="96" w:name="_Toc152045604"/>
      <w:bookmarkStart w:id="97" w:name="_Toc152042381"/>
      <w:bookmarkStart w:id="98" w:name="_Toc179632622"/>
      <w:r>
        <w:rPr>
          <w:rFonts w:hint="eastAsia" w:ascii="宋体" w:hAnsi="宋体" w:cs="宋体"/>
          <w:szCs w:val="21"/>
        </w:rPr>
        <w:t>3. 评标程序</w:t>
      </w:r>
      <w:bookmarkEnd w:id="95"/>
      <w:bookmarkEnd w:id="96"/>
      <w:bookmarkEnd w:id="97"/>
      <w:bookmarkEnd w:id="98"/>
    </w:p>
    <w:p>
      <w:pPr>
        <w:snapToGrid w:val="0"/>
        <w:spacing w:line="400" w:lineRule="exact"/>
        <w:rPr>
          <w:rFonts w:ascii="宋体" w:hAnsi="宋体" w:cs="宋体"/>
          <w:szCs w:val="21"/>
        </w:rPr>
      </w:pPr>
      <w:bookmarkStart w:id="99" w:name="_Toc152045605"/>
      <w:bookmarkStart w:id="100" w:name="_Toc144974572"/>
      <w:bookmarkStart w:id="101" w:name="_Toc179632623"/>
      <w:bookmarkStart w:id="102" w:name="_Toc152042382"/>
      <w:r>
        <w:rPr>
          <w:rFonts w:hint="eastAsia" w:ascii="宋体" w:hAnsi="宋体" w:cs="宋体"/>
          <w:szCs w:val="21"/>
        </w:rPr>
        <w:t>3.1 初步评审</w:t>
      </w:r>
      <w:bookmarkEnd w:id="99"/>
      <w:bookmarkEnd w:id="100"/>
      <w:bookmarkEnd w:id="101"/>
      <w:bookmarkEnd w:id="102"/>
    </w:p>
    <w:p>
      <w:pPr>
        <w:snapToGrid w:val="0"/>
        <w:spacing w:line="400" w:lineRule="exact"/>
        <w:ind w:firstLine="420" w:firstLineChars="200"/>
        <w:rPr>
          <w:rFonts w:ascii="宋体" w:hAnsi="宋体" w:cs="宋体"/>
          <w:szCs w:val="21"/>
        </w:rPr>
      </w:pPr>
      <w:r>
        <w:rPr>
          <w:rFonts w:hint="eastAsia" w:ascii="宋体" w:hAnsi="宋体" w:cs="宋体"/>
          <w:szCs w:val="21"/>
        </w:rPr>
        <w:t>3.1.1 评标委员会可以要求投标人提交第二章投标人须知规定的有关证明和证件的原件，以便核验。评标委员会依据本章第2.1.1款规定的标准对投标文件进行初步评审。有一项不符合评审标准的，其投标按照无效投标处理。</w:t>
      </w:r>
    </w:p>
    <w:p>
      <w:pPr>
        <w:snapToGrid w:val="0"/>
        <w:spacing w:line="400" w:lineRule="exact"/>
        <w:ind w:firstLine="420" w:firstLineChars="200"/>
        <w:rPr>
          <w:rFonts w:ascii="宋体" w:hAnsi="宋体" w:cs="宋体"/>
          <w:szCs w:val="21"/>
        </w:rPr>
      </w:pPr>
      <w:r>
        <w:rPr>
          <w:rFonts w:hint="eastAsia" w:ascii="宋体" w:hAnsi="宋体" w:cs="宋体"/>
          <w:szCs w:val="21"/>
        </w:rPr>
        <w:t>3.1.2 投标人有以下情形之一的，其投标按照无效投标处理：</w:t>
      </w:r>
    </w:p>
    <w:p>
      <w:pPr>
        <w:snapToGrid w:val="0"/>
        <w:spacing w:line="400" w:lineRule="exact"/>
        <w:ind w:firstLine="718" w:firstLineChars="342"/>
        <w:rPr>
          <w:rFonts w:ascii="宋体" w:hAnsi="宋体" w:cs="宋体"/>
          <w:szCs w:val="21"/>
        </w:rPr>
      </w:pPr>
      <w:r>
        <w:rPr>
          <w:rFonts w:hint="eastAsia" w:ascii="宋体" w:hAnsi="宋体" w:cs="宋体"/>
          <w:szCs w:val="21"/>
        </w:rPr>
        <w:t>（1）违反本章第2.1款规定的任何一种情形的；</w:t>
      </w:r>
    </w:p>
    <w:p>
      <w:pPr>
        <w:snapToGrid w:val="0"/>
        <w:spacing w:line="400" w:lineRule="exact"/>
        <w:ind w:firstLine="718" w:firstLineChars="342"/>
        <w:rPr>
          <w:rFonts w:ascii="宋体" w:hAnsi="宋体" w:cs="宋体"/>
          <w:szCs w:val="21"/>
        </w:rPr>
      </w:pPr>
      <w:r>
        <w:rPr>
          <w:rFonts w:hint="eastAsia" w:ascii="宋体" w:hAnsi="宋体" w:cs="宋体"/>
          <w:szCs w:val="21"/>
        </w:rPr>
        <w:t>（2）串通投标或弄虚作假或有其他违法行为的；</w:t>
      </w:r>
    </w:p>
    <w:p>
      <w:pPr>
        <w:snapToGrid w:val="0"/>
        <w:spacing w:line="400" w:lineRule="exact"/>
        <w:ind w:firstLine="718" w:firstLineChars="342"/>
        <w:rPr>
          <w:rFonts w:ascii="宋体" w:hAnsi="宋体" w:cs="宋体"/>
          <w:szCs w:val="21"/>
        </w:rPr>
      </w:pPr>
      <w:r>
        <w:rPr>
          <w:rFonts w:hint="eastAsia" w:ascii="宋体" w:hAnsi="宋体" w:cs="宋体"/>
          <w:szCs w:val="21"/>
        </w:rPr>
        <w:t>（3）不按评标委员会要求澄清、说明或补正的。</w:t>
      </w:r>
    </w:p>
    <w:p>
      <w:pPr>
        <w:snapToGrid w:val="0"/>
        <w:spacing w:line="400" w:lineRule="exact"/>
        <w:ind w:firstLine="420" w:firstLineChars="200"/>
        <w:rPr>
          <w:rFonts w:ascii="宋体" w:hAnsi="宋体" w:cs="宋体"/>
          <w:szCs w:val="21"/>
        </w:rPr>
      </w:pPr>
      <w:r>
        <w:rPr>
          <w:rFonts w:hint="eastAsia" w:ascii="宋体" w:hAnsi="宋体" w:cs="宋体"/>
          <w:szCs w:val="21"/>
        </w:rPr>
        <w:t>3.1.3在招标采购中，出现下列情形之一的，应予废标：</w:t>
      </w:r>
    </w:p>
    <w:p>
      <w:pPr>
        <w:snapToGrid w:val="0"/>
        <w:spacing w:line="400" w:lineRule="exact"/>
        <w:ind w:firstLine="718" w:firstLineChars="342"/>
        <w:rPr>
          <w:rFonts w:ascii="宋体" w:hAnsi="宋体" w:cs="宋体"/>
          <w:szCs w:val="21"/>
        </w:rPr>
      </w:pPr>
      <w:r>
        <w:rPr>
          <w:rFonts w:hint="eastAsia" w:ascii="宋体" w:hAnsi="宋体" w:cs="宋体"/>
          <w:szCs w:val="21"/>
        </w:rPr>
        <w:t>（1）符合专业条件的投标人或者对招标文件作实质响应的投标人不足四家且因有效投标不足四个使得投标明显缺乏竞争的，评标委员会可以否决全部投标；</w:t>
      </w:r>
    </w:p>
    <w:p>
      <w:pPr>
        <w:snapToGrid w:val="0"/>
        <w:spacing w:line="400" w:lineRule="exact"/>
        <w:ind w:firstLine="718" w:firstLineChars="342"/>
        <w:rPr>
          <w:rFonts w:ascii="宋体" w:hAnsi="宋体" w:cs="宋体"/>
          <w:szCs w:val="21"/>
        </w:rPr>
      </w:pPr>
      <w:r>
        <w:rPr>
          <w:rFonts w:hint="eastAsia" w:ascii="宋体" w:hAnsi="宋体" w:cs="宋体"/>
          <w:szCs w:val="21"/>
        </w:rPr>
        <w:t>（2）出现影响采购公正的违法、违规行为的；</w:t>
      </w:r>
    </w:p>
    <w:p>
      <w:pPr>
        <w:snapToGrid w:val="0"/>
        <w:spacing w:line="400" w:lineRule="exact"/>
        <w:ind w:firstLine="718" w:firstLineChars="342"/>
        <w:rPr>
          <w:rFonts w:ascii="宋体" w:hAnsi="宋体" w:cs="宋体"/>
          <w:szCs w:val="21"/>
        </w:rPr>
      </w:pPr>
      <w:r>
        <w:rPr>
          <w:rFonts w:hint="eastAsia" w:ascii="宋体" w:hAnsi="宋体" w:cs="宋体"/>
          <w:szCs w:val="21"/>
        </w:rPr>
        <w:t>（3）投标人的报价均超过了采购预算，招标人不能支付的；</w:t>
      </w:r>
    </w:p>
    <w:p>
      <w:pPr>
        <w:snapToGrid w:val="0"/>
        <w:spacing w:line="400" w:lineRule="exact"/>
        <w:ind w:firstLine="718" w:firstLineChars="342"/>
        <w:rPr>
          <w:rFonts w:ascii="宋体" w:hAnsi="宋体" w:cs="宋体"/>
          <w:szCs w:val="21"/>
        </w:rPr>
      </w:pPr>
      <w:r>
        <w:rPr>
          <w:rFonts w:hint="eastAsia" w:ascii="宋体" w:hAnsi="宋体" w:cs="宋体"/>
          <w:szCs w:val="21"/>
        </w:rPr>
        <w:t>（4）因重大变故，采购任务取消的。</w:t>
      </w:r>
    </w:p>
    <w:p>
      <w:pPr>
        <w:snapToGrid w:val="0"/>
        <w:spacing w:line="400" w:lineRule="exact"/>
        <w:ind w:firstLine="718" w:firstLineChars="342"/>
        <w:rPr>
          <w:rFonts w:ascii="宋体" w:hAnsi="宋体" w:cs="宋体"/>
          <w:szCs w:val="21"/>
        </w:rPr>
      </w:pPr>
      <w:r>
        <w:rPr>
          <w:rFonts w:hint="eastAsia" w:ascii="宋体" w:hAnsi="宋体" w:cs="宋体"/>
          <w:szCs w:val="21"/>
        </w:rPr>
        <w:t>废标后，招标人应当将废标理由通知所有投标人。</w:t>
      </w:r>
    </w:p>
    <w:p>
      <w:pPr>
        <w:snapToGrid w:val="0"/>
        <w:spacing w:line="400" w:lineRule="exact"/>
        <w:ind w:firstLine="420" w:firstLineChars="200"/>
        <w:rPr>
          <w:rFonts w:ascii="宋体" w:hAnsi="宋体" w:cs="宋体"/>
          <w:szCs w:val="21"/>
        </w:rPr>
      </w:pPr>
      <w:r>
        <w:rPr>
          <w:rFonts w:hint="eastAsia" w:ascii="宋体" w:hAnsi="宋体" w:cs="宋体"/>
          <w:szCs w:val="21"/>
        </w:rPr>
        <w:t>3.1.4投标报价有算术错误的，评标委员会按以下原则对投标报价进行修正，修正的价格经投标人书面确认后具有约束力。投标人不接受修正价格的，其投标按照无效投标处理。</w:t>
      </w:r>
    </w:p>
    <w:p>
      <w:pPr>
        <w:snapToGrid w:val="0"/>
        <w:spacing w:line="400" w:lineRule="exact"/>
        <w:ind w:firstLine="718" w:firstLineChars="342"/>
        <w:rPr>
          <w:rFonts w:ascii="宋体" w:hAnsi="宋体" w:cs="宋体"/>
          <w:szCs w:val="21"/>
        </w:rPr>
      </w:pPr>
      <w:bookmarkStart w:id="103" w:name="_Toc152042383"/>
      <w:r>
        <w:rPr>
          <w:rFonts w:hint="eastAsia" w:ascii="宋体" w:hAnsi="宋体" w:cs="宋体"/>
          <w:szCs w:val="21"/>
        </w:rPr>
        <w:t>（1）投标文件中的大写金额与小写金额不一致的，以大写金额为准；</w:t>
      </w:r>
      <w:bookmarkEnd w:id="103"/>
    </w:p>
    <w:p>
      <w:pPr>
        <w:snapToGrid w:val="0"/>
        <w:spacing w:line="400" w:lineRule="exact"/>
        <w:ind w:firstLine="718" w:firstLineChars="342"/>
        <w:rPr>
          <w:rFonts w:ascii="宋体" w:hAnsi="宋体" w:cs="宋体"/>
          <w:snapToGrid w:val="0"/>
          <w:kern w:val="0"/>
          <w:szCs w:val="21"/>
          <w:lang w:val="zh-CN"/>
        </w:rPr>
      </w:pPr>
      <w:r>
        <w:rPr>
          <w:rFonts w:hint="eastAsia" w:ascii="宋体" w:hAnsi="宋体" w:cs="宋体"/>
          <w:szCs w:val="21"/>
        </w:rPr>
        <w:t>（2）</w:t>
      </w:r>
      <w:r>
        <w:rPr>
          <w:rFonts w:hint="eastAsia" w:ascii="宋体" w:hAnsi="宋体" w:cs="宋体"/>
          <w:snapToGrid w:val="0"/>
          <w:kern w:val="0"/>
          <w:szCs w:val="21"/>
          <w:lang w:val="zh-CN"/>
        </w:rPr>
        <w:t>总价金额与按单价汇总金额不一致的，以单价金额计算结果为准</w:t>
      </w:r>
      <w:r>
        <w:rPr>
          <w:rFonts w:hint="eastAsia" w:ascii="宋体" w:hAnsi="宋体" w:cs="宋体"/>
          <w:szCs w:val="21"/>
        </w:rPr>
        <w:t>。</w:t>
      </w:r>
      <w:r>
        <w:rPr>
          <w:rFonts w:hint="eastAsia" w:ascii="宋体" w:hAnsi="宋体" w:cs="宋体"/>
          <w:snapToGrid w:val="0"/>
          <w:kern w:val="0"/>
          <w:szCs w:val="21"/>
          <w:lang w:val="zh-CN"/>
        </w:rPr>
        <w:t>单价金额小数点有明显错位的，应以总价为准，并修改单价。</w:t>
      </w:r>
    </w:p>
    <w:p>
      <w:pPr>
        <w:snapToGrid w:val="0"/>
        <w:spacing w:line="400" w:lineRule="exact"/>
        <w:ind w:firstLine="718" w:firstLineChars="342"/>
        <w:rPr>
          <w:rFonts w:ascii="宋体" w:hAnsi="宋体" w:cs="宋体"/>
          <w:szCs w:val="21"/>
        </w:rPr>
      </w:pPr>
      <w:r>
        <w:rPr>
          <w:rFonts w:hint="eastAsia" w:ascii="宋体" w:hAnsi="宋体" w:cs="宋体"/>
          <w:snapToGrid w:val="0"/>
          <w:kern w:val="0"/>
          <w:szCs w:val="21"/>
          <w:lang w:val="zh-CN"/>
        </w:rPr>
        <w:t>（3）对不同文字文本投标文件的解释发生异议的，以中文文本为准。</w:t>
      </w:r>
    </w:p>
    <w:p>
      <w:pPr>
        <w:snapToGrid w:val="0"/>
        <w:spacing w:line="400" w:lineRule="exact"/>
        <w:rPr>
          <w:rFonts w:ascii="宋体" w:hAnsi="宋体" w:cs="宋体"/>
          <w:szCs w:val="21"/>
        </w:rPr>
      </w:pPr>
      <w:bookmarkStart w:id="104" w:name="_Toc152042384"/>
      <w:bookmarkStart w:id="105" w:name="_Toc152045606"/>
      <w:bookmarkStart w:id="106" w:name="_Toc144974573"/>
      <w:bookmarkStart w:id="107" w:name="_Toc179632624"/>
      <w:r>
        <w:rPr>
          <w:rFonts w:hint="eastAsia" w:ascii="宋体" w:hAnsi="宋体" w:cs="宋体"/>
          <w:szCs w:val="21"/>
        </w:rPr>
        <w:t>3.2 详细评审</w:t>
      </w:r>
      <w:bookmarkEnd w:id="104"/>
      <w:bookmarkEnd w:id="105"/>
      <w:bookmarkEnd w:id="106"/>
      <w:bookmarkEnd w:id="107"/>
    </w:p>
    <w:p>
      <w:pPr>
        <w:snapToGrid w:val="0"/>
        <w:spacing w:line="400" w:lineRule="exact"/>
        <w:ind w:firstLine="420" w:firstLineChars="200"/>
        <w:rPr>
          <w:rFonts w:ascii="宋体" w:hAnsi="宋体" w:cs="宋体"/>
          <w:szCs w:val="21"/>
        </w:rPr>
      </w:pPr>
      <w:r>
        <w:rPr>
          <w:rFonts w:hint="eastAsia" w:ascii="宋体" w:hAnsi="宋体" w:cs="宋体"/>
          <w:szCs w:val="21"/>
        </w:rPr>
        <w:t>3.2.1 评标委员会按本章第2.2款规定的量化因素和分值进行打分，并计算出综合评估得分。</w:t>
      </w:r>
    </w:p>
    <w:p>
      <w:pPr>
        <w:snapToGrid w:val="0"/>
        <w:spacing w:line="400" w:lineRule="exact"/>
        <w:ind w:firstLine="718" w:firstLineChars="342"/>
        <w:rPr>
          <w:rFonts w:ascii="宋体" w:hAnsi="宋体" w:cs="宋体"/>
          <w:szCs w:val="21"/>
        </w:rPr>
      </w:pPr>
      <w:r>
        <w:rPr>
          <w:rFonts w:hint="eastAsia" w:ascii="宋体" w:hAnsi="宋体" w:cs="宋体"/>
          <w:szCs w:val="21"/>
        </w:rPr>
        <w:t>（1）按本章第2.2.3（1）目规定的评审因素和分值对技术部分计算出得分A；</w:t>
      </w:r>
    </w:p>
    <w:p>
      <w:pPr>
        <w:snapToGrid w:val="0"/>
        <w:spacing w:line="400" w:lineRule="exact"/>
        <w:ind w:firstLine="718" w:firstLineChars="342"/>
        <w:rPr>
          <w:rFonts w:ascii="宋体" w:hAnsi="宋体" w:cs="宋体"/>
          <w:szCs w:val="21"/>
        </w:rPr>
      </w:pPr>
      <w:r>
        <w:rPr>
          <w:rFonts w:hint="eastAsia" w:ascii="宋体" w:hAnsi="宋体" w:cs="宋体"/>
          <w:szCs w:val="21"/>
        </w:rPr>
        <w:t>（2）按本章第2.2.3（2）目规定的评审因素和分值对商务部分计算出得分B；</w:t>
      </w:r>
    </w:p>
    <w:p>
      <w:pPr>
        <w:snapToGrid w:val="0"/>
        <w:spacing w:line="400" w:lineRule="exact"/>
        <w:ind w:firstLine="718" w:firstLineChars="342"/>
        <w:rPr>
          <w:rFonts w:ascii="宋体" w:hAnsi="宋体" w:cs="宋体"/>
          <w:szCs w:val="21"/>
        </w:rPr>
      </w:pPr>
      <w:r>
        <w:rPr>
          <w:rFonts w:hint="eastAsia" w:ascii="宋体" w:hAnsi="宋体" w:cs="宋体"/>
          <w:szCs w:val="21"/>
        </w:rPr>
        <w:t>（3）按本章第2.2.3（3）目规定的评审因素和分值对投标报价计算出得分C；</w:t>
      </w:r>
    </w:p>
    <w:p>
      <w:pPr>
        <w:snapToGrid w:val="0"/>
        <w:spacing w:line="400" w:lineRule="exact"/>
        <w:ind w:firstLine="718" w:firstLineChars="342"/>
        <w:rPr>
          <w:rFonts w:ascii="宋体" w:hAnsi="宋体" w:cs="宋体"/>
          <w:szCs w:val="21"/>
        </w:rPr>
      </w:pPr>
      <w:r>
        <w:rPr>
          <w:rFonts w:hint="eastAsia" w:ascii="宋体" w:hAnsi="宋体" w:cs="宋体"/>
          <w:szCs w:val="21"/>
        </w:rPr>
        <w:t>（4）按本章第2.2.3（4）目规定的评审因素和分值对其他部分计算出得分D。</w:t>
      </w:r>
    </w:p>
    <w:p>
      <w:pPr>
        <w:snapToGrid w:val="0"/>
        <w:spacing w:line="400" w:lineRule="exact"/>
        <w:ind w:firstLine="420" w:firstLineChars="200"/>
        <w:rPr>
          <w:rFonts w:ascii="宋体" w:hAnsi="宋体" w:cs="宋体"/>
          <w:szCs w:val="21"/>
        </w:rPr>
      </w:pPr>
      <w:r>
        <w:rPr>
          <w:rFonts w:hint="eastAsia" w:ascii="宋体" w:hAnsi="宋体" w:cs="宋体"/>
          <w:szCs w:val="21"/>
        </w:rPr>
        <w:t>3.2.2 评分分值计算保留小数点后两位，小数点后第三位“四舍五入”。</w:t>
      </w:r>
    </w:p>
    <w:p>
      <w:pPr>
        <w:snapToGrid w:val="0"/>
        <w:spacing w:line="400" w:lineRule="exact"/>
        <w:ind w:firstLine="420" w:firstLineChars="200"/>
        <w:rPr>
          <w:rFonts w:ascii="宋体" w:hAnsi="宋体" w:cs="宋体"/>
          <w:szCs w:val="21"/>
        </w:rPr>
      </w:pPr>
      <w:r>
        <w:rPr>
          <w:rFonts w:hint="eastAsia" w:ascii="宋体" w:hAnsi="宋体" w:cs="宋体"/>
          <w:szCs w:val="21"/>
        </w:rPr>
        <w:t>3.2.3 投标人得分=A+B+C+D。</w:t>
      </w:r>
    </w:p>
    <w:p>
      <w:pPr>
        <w:snapToGrid w:val="0"/>
        <w:spacing w:line="400" w:lineRule="exact"/>
        <w:rPr>
          <w:rFonts w:ascii="宋体" w:hAnsi="宋体" w:cs="宋体"/>
          <w:szCs w:val="21"/>
        </w:rPr>
      </w:pPr>
      <w:bookmarkStart w:id="108" w:name="_Toc144974575"/>
      <w:bookmarkStart w:id="109" w:name="_Toc152045607"/>
      <w:bookmarkStart w:id="110" w:name="_Toc152042385"/>
      <w:bookmarkStart w:id="111" w:name="_Toc179632625"/>
      <w:r>
        <w:rPr>
          <w:rFonts w:hint="eastAsia" w:ascii="宋体" w:hAnsi="宋体" w:cs="宋体"/>
          <w:szCs w:val="21"/>
        </w:rPr>
        <w:t>3.3 投标文件的澄清</w:t>
      </w:r>
      <w:bookmarkEnd w:id="108"/>
      <w:r>
        <w:rPr>
          <w:rFonts w:hint="eastAsia" w:ascii="宋体" w:hAnsi="宋体" w:cs="宋体"/>
          <w:szCs w:val="21"/>
        </w:rPr>
        <w:t>和补正</w:t>
      </w:r>
      <w:bookmarkEnd w:id="109"/>
      <w:bookmarkEnd w:id="110"/>
      <w:bookmarkEnd w:id="111"/>
    </w:p>
    <w:p>
      <w:pPr>
        <w:snapToGrid w:val="0"/>
        <w:spacing w:line="400" w:lineRule="exact"/>
        <w:ind w:firstLine="420" w:firstLineChars="200"/>
        <w:rPr>
          <w:rFonts w:ascii="宋体" w:hAnsi="宋体" w:cs="宋体"/>
          <w:szCs w:val="21"/>
        </w:rPr>
      </w:pPr>
      <w:r>
        <w:rPr>
          <w:rFonts w:hint="eastAsia" w:ascii="宋体" w:hAnsi="宋体" w:cs="宋体"/>
          <w:snapToGrid w:val="0"/>
          <w:kern w:val="0"/>
          <w:szCs w:val="21"/>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章第3.1.3款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签字的书面形式作出。投标人的澄清文件是其投标文件的组成部分。</w:t>
      </w:r>
    </w:p>
    <w:p>
      <w:pPr>
        <w:snapToGrid w:val="0"/>
        <w:spacing w:line="400" w:lineRule="exact"/>
        <w:rPr>
          <w:rFonts w:ascii="宋体" w:hAnsi="宋体" w:cs="宋体"/>
          <w:szCs w:val="21"/>
        </w:rPr>
      </w:pPr>
      <w:bookmarkStart w:id="112" w:name="_Toc144974576"/>
      <w:bookmarkStart w:id="113" w:name="_Toc179632626"/>
      <w:bookmarkStart w:id="114" w:name="_Toc152042386"/>
      <w:bookmarkStart w:id="115" w:name="_Toc152045608"/>
      <w:r>
        <w:rPr>
          <w:rFonts w:hint="eastAsia" w:ascii="宋体" w:hAnsi="宋体" w:cs="宋体"/>
          <w:szCs w:val="21"/>
        </w:rPr>
        <w:t>3.4 评标结果</w:t>
      </w:r>
      <w:bookmarkEnd w:id="112"/>
      <w:bookmarkEnd w:id="113"/>
      <w:bookmarkEnd w:id="114"/>
      <w:bookmarkEnd w:id="115"/>
    </w:p>
    <w:p>
      <w:pPr>
        <w:snapToGrid w:val="0"/>
        <w:spacing w:line="400" w:lineRule="exact"/>
        <w:ind w:firstLine="420" w:firstLineChars="200"/>
        <w:rPr>
          <w:rFonts w:ascii="宋体" w:hAnsi="宋体" w:cs="宋体"/>
          <w:szCs w:val="21"/>
        </w:rPr>
      </w:pPr>
      <w:r>
        <w:rPr>
          <w:rFonts w:hint="eastAsia" w:ascii="宋体" w:hAnsi="宋体" w:cs="宋体"/>
          <w:szCs w:val="21"/>
        </w:rPr>
        <w:t>3.4.1</w:t>
      </w:r>
      <w:r>
        <w:rPr>
          <w:rFonts w:hint="eastAsia" w:ascii="宋体" w:hAnsi="宋体" w:cs="宋体"/>
          <w:snapToGrid w:val="0"/>
          <w:kern w:val="0"/>
          <w:szCs w:val="21"/>
          <w:lang w:val="zh-CN"/>
        </w:rPr>
        <w:t>各评委严格按照本章要求对实质上响应招标文件要求的投标文件进行独立评分。全体评委评分完成后再进行汇总。由招标代理机构负责打分统计工作，评标委员会</w:t>
      </w:r>
      <w:r>
        <w:rPr>
          <w:rFonts w:hint="eastAsia" w:ascii="宋体" w:hAnsi="宋体" w:cs="宋体"/>
          <w:szCs w:val="21"/>
        </w:rPr>
        <w:t>组长</w:t>
      </w:r>
      <w:r>
        <w:rPr>
          <w:rFonts w:hint="eastAsia" w:ascii="宋体" w:hAnsi="宋体" w:cs="宋体"/>
          <w:snapToGrid w:val="0"/>
          <w:kern w:val="0"/>
          <w:szCs w:val="21"/>
          <w:lang w:val="zh-CN"/>
        </w:rPr>
        <w:t>负责审核。</w:t>
      </w:r>
      <w:r>
        <w:rPr>
          <w:rFonts w:hint="eastAsia" w:ascii="宋体" w:hAnsi="宋体" w:cs="宋体"/>
          <w:szCs w:val="21"/>
        </w:rPr>
        <w:t>各投标人的最终得分计算办法见评标办法前附表。评标委员会按照得分由高到低的顺序推荐中标候选人，由招标人按照法律法规的有关规定确定成交投标人。</w:t>
      </w:r>
    </w:p>
    <w:p>
      <w:pPr>
        <w:snapToGrid w:val="0"/>
        <w:spacing w:line="400" w:lineRule="exact"/>
        <w:ind w:firstLine="420" w:firstLineChars="200"/>
        <w:rPr>
          <w:rFonts w:ascii="宋体" w:hAnsi="宋体" w:cs="宋体"/>
          <w:szCs w:val="21"/>
        </w:rPr>
      </w:pPr>
      <w:r>
        <w:rPr>
          <w:rFonts w:hint="eastAsia" w:ascii="宋体" w:hAnsi="宋体" w:cs="宋体"/>
          <w:szCs w:val="21"/>
        </w:rPr>
        <w:t>3.4.2 完成评标后，全体评委须在评标结果推荐意见上共同签字。</w:t>
      </w:r>
    </w:p>
    <w:p>
      <w:pPr>
        <w:widowControl/>
        <w:jc w:val="left"/>
        <w:rPr>
          <w:rFonts w:ascii="宋体" w:hAnsi="宋体"/>
          <w:szCs w:val="21"/>
        </w:rPr>
      </w:pPr>
      <w:r>
        <w:rPr>
          <w:rFonts w:ascii="宋体" w:hAnsi="宋体"/>
          <w:szCs w:val="21"/>
        </w:rPr>
        <w:br w:type="page"/>
      </w:r>
    </w:p>
    <w:p>
      <w:pPr>
        <w:pStyle w:val="2"/>
        <w:numPr>
          <w:ilvl w:val="0"/>
          <w:numId w:val="0"/>
        </w:numPr>
        <w:ind w:left="432"/>
        <w:jc w:val="center"/>
        <w:rPr>
          <w:rFonts w:ascii="宋体" w:hAnsi="宋体"/>
          <w:sz w:val="44"/>
          <w:szCs w:val="44"/>
        </w:rPr>
      </w:pPr>
      <w:bookmarkStart w:id="116" w:name="_Toc48634280"/>
      <w:r>
        <w:rPr>
          <w:rFonts w:hint="eastAsia" w:ascii="宋体" w:hAnsi="宋体"/>
          <w:sz w:val="44"/>
          <w:szCs w:val="44"/>
        </w:rPr>
        <w:t>第六章 投标文件格式</w:t>
      </w:r>
      <w:bookmarkEnd w:id="116"/>
    </w:p>
    <w:p>
      <w:pPr>
        <w:autoSpaceDE w:val="0"/>
        <w:autoSpaceDN w:val="0"/>
        <w:adjustRightInd w:val="0"/>
        <w:jc w:val="center"/>
        <w:rPr>
          <w:rFonts w:ascii="宋体" w:hAnsi="宋体"/>
          <w:b/>
          <w:sz w:val="84"/>
          <w:szCs w:val="84"/>
        </w:rPr>
      </w:pPr>
      <w:r>
        <w:rPr>
          <w:rFonts w:ascii="宋体" w:hAnsi="宋体"/>
          <w:sz w:val="44"/>
          <w:szCs w:val="44"/>
          <w:lang w:val="zh-CN"/>
        </w:rPr>
        <w:br w:type="page"/>
      </w:r>
      <w:r>
        <w:rPr>
          <w:rFonts w:ascii="宋体" w:hAnsi="宋体"/>
          <w:b/>
          <w:sz w:val="84"/>
          <w:szCs w:val="84"/>
        </w:rPr>
        <w:t>投 标 文 件</w:t>
      </w:r>
    </w:p>
    <w:p>
      <w:pPr>
        <w:autoSpaceDE w:val="0"/>
        <w:autoSpaceDN w:val="0"/>
        <w:adjustRightInd w:val="0"/>
        <w:spacing w:beforeLines="100"/>
        <w:jc w:val="center"/>
        <w:rPr>
          <w:rFonts w:ascii="宋体" w:hAnsi="宋体"/>
          <w:sz w:val="24"/>
          <w:szCs w:val="24"/>
        </w:rPr>
      </w:pPr>
      <w:r>
        <w:rPr>
          <w:rFonts w:ascii="宋体" w:hAnsi="宋体"/>
          <w:sz w:val="24"/>
          <w:szCs w:val="24"/>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190" w:firstLineChars="395"/>
        <w:rPr>
          <w:rFonts w:ascii="宋体" w:hAnsi="宋体"/>
          <w:bCs/>
          <w:sz w:val="30"/>
          <w:szCs w:val="30"/>
          <w:u w:val="single"/>
        </w:rPr>
      </w:pPr>
      <w:r>
        <w:rPr>
          <w:rFonts w:hint="eastAsia" w:ascii="宋体" w:hAnsi="宋体"/>
          <w:b/>
          <w:bCs/>
          <w:sz w:val="30"/>
          <w:szCs w:val="30"/>
        </w:rPr>
        <w:t xml:space="preserve">招 标 </w:t>
      </w:r>
      <w:r>
        <w:rPr>
          <w:rFonts w:ascii="宋体" w:hAnsi="宋体"/>
          <w:b/>
          <w:bCs/>
          <w:sz w:val="30"/>
          <w:szCs w:val="30"/>
        </w:rPr>
        <w:t>编号：</w:t>
      </w:r>
    </w:p>
    <w:p>
      <w:pPr>
        <w:tabs>
          <w:tab w:val="left" w:pos="7230"/>
        </w:tabs>
        <w:spacing w:line="360" w:lineRule="auto"/>
        <w:ind w:firstLine="1190" w:firstLineChars="395"/>
        <w:rPr>
          <w:rFonts w:ascii="宋体" w:hAnsi="宋体"/>
          <w:bCs/>
          <w:sz w:val="30"/>
          <w:szCs w:val="30"/>
          <w:u w:val="single"/>
        </w:rPr>
      </w:pPr>
      <w:r>
        <w:rPr>
          <w:rFonts w:ascii="宋体" w:hAnsi="宋体"/>
          <w:b/>
          <w:bCs/>
          <w:sz w:val="30"/>
          <w:szCs w:val="30"/>
        </w:rPr>
        <w:t>项目名称：</w:t>
      </w:r>
    </w:p>
    <w:p>
      <w:pPr>
        <w:tabs>
          <w:tab w:val="left" w:pos="7230"/>
        </w:tabs>
        <w:spacing w:line="360" w:lineRule="auto"/>
        <w:ind w:firstLine="3360" w:firstLineChars="1120"/>
        <w:rPr>
          <w:rFonts w:ascii="宋体" w:hAnsi="宋体"/>
          <w:bCs/>
          <w:sz w:val="30"/>
          <w:szCs w:val="30"/>
          <w:u w:val="single"/>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260" w:firstLineChars="600"/>
        <w:rPr>
          <w:rFonts w:ascii="宋体" w:hAnsi="宋体"/>
          <w:szCs w:val="28"/>
        </w:rPr>
      </w:pPr>
      <w:r>
        <w:rPr>
          <w:rFonts w:ascii="宋体" w:hAnsi="宋体"/>
          <w:szCs w:val="28"/>
        </w:rPr>
        <w:t>投标人名称：</w:t>
      </w:r>
    </w:p>
    <w:p>
      <w:pPr>
        <w:autoSpaceDE w:val="0"/>
        <w:autoSpaceDN w:val="0"/>
        <w:adjustRightInd w:val="0"/>
        <w:spacing w:line="360" w:lineRule="auto"/>
        <w:ind w:firstLine="1260" w:firstLineChars="600"/>
        <w:rPr>
          <w:rFonts w:ascii="宋体" w:hAnsi="宋体"/>
          <w:szCs w:val="28"/>
        </w:rPr>
      </w:pPr>
    </w:p>
    <w:p>
      <w:pPr>
        <w:autoSpaceDE w:val="0"/>
        <w:autoSpaceDN w:val="0"/>
        <w:adjustRightInd w:val="0"/>
        <w:spacing w:line="360" w:lineRule="auto"/>
        <w:ind w:firstLine="1260" w:firstLineChars="600"/>
        <w:rPr>
          <w:rFonts w:ascii="宋体" w:hAnsi="宋体"/>
          <w:szCs w:val="28"/>
        </w:rPr>
      </w:pPr>
      <w:r>
        <w:rPr>
          <w:rFonts w:ascii="宋体" w:hAnsi="宋体"/>
          <w:szCs w:val="28"/>
        </w:rPr>
        <w:t>日      期：年月日</w:t>
      </w:r>
    </w:p>
    <w:p>
      <w:pPr>
        <w:autoSpaceDE w:val="0"/>
        <w:autoSpaceDN w:val="0"/>
        <w:adjustRightInd w:val="0"/>
        <w:spacing w:line="400" w:lineRule="exact"/>
        <w:jc w:val="left"/>
        <w:rPr>
          <w:rFonts w:ascii="宋体" w:hAnsi="宋体"/>
          <w:b/>
          <w:sz w:val="44"/>
          <w:szCs w:val="44"/>
        </w:rPr>
      </w:pPr>
      <w:r>
        <w:rPr>
          <w:rFonts w:ascii="宋体" w:hAnsi="宋体"/>
          <w:b/>
          <w:sz w:val="44"/>
          <w:szCs w:val="44"/>
        </w:rPr>
        <w:br w:type="page"/>
      </w:r>
    </w:p>
    <w:p>
      <w:pPr>
        <w:pStyle w:val="4"/>
        <w:numPr>
          <w:ilvl w:val="0"/>
          <w:numId w:val="0"/>
        </w:numPr>
        <w:ind w:left="720"/>
        <w:jc w:val="center"/>
        <w:rPr>
          <w:rFonts w:ascii="宋体" w:hAnsi="宋体"/>
          <w:sz w:val="24"/>
        </w:rPr>
      </w:pPr>
      <w:bookmarkStart w:id="117" w:name="_Toc421688570"/>
      <w:bookmarkStart w:id="118" w:name="_Toc333771904"/>
      <w:bookmarkStart w:id="119" w:name="_Toc48634281"/>
      <w:r>
        <w:rPr>
          <w:rFonts w:hint="eastAsia" w:ascii="宋体" w:hAnsi="宋体"/>
          <w:szCs w:val="21"/>
        </w:rPr>
        <w:t>1、</w:t>
      </w:r>
      <w:r>
        <w:rPr>
          <w:rFonts w:hint="eastAsia"/>
          <w:snapToGrid w:val="0"/>
        </w:rPr>
        <w:t>投标</w:t>
      </w:r>
      <w:bookmarkEnd w:id="117"/>
      <w:bookmarkEnd w:id="118"/>
      <w:r>
        <w:rPr>
          <w:rFonts w:hint="eastAsia"/>
          <w:snapToGrid w:val="0"/>
        </w:rPr>
        <w:t>函</w:t>
      </w:r>
      <w:bookmarkEnd w:id="119"/>
    </w:p>
    <w:p>
      <w:pPr>
        <w:autoSpaceDE w:val="0"/>
        <w:autoSpaceDN w:val="0"/>
        <w:adjustRightInd w:val="0"/>
        <w:spacing w:line="360" w:lineRule="auto"/>
        <w:jc w:val="left"/>
        <w:rPr>
          <w:rFonts w:ascii="宋体" w:hAnsi="宋体"/>
          <w:kern w:val="0"/>
          <w:szCs w:val="21"/>
        </w:rPr>
      </w:pPr>
      <w:r>
        <w:rPr>
          <w:rFonts w:hint="eastAsia" w:ascii="宋体" w:hAnsi="宋体" w:cs="宋体"/>
          <w:snapToGrid w:val="0"/>
          <w:kern w:val="0"/>
          <w:szCs w:val="21"/>
          <w:u w:val="single"/>
          <w:lang w:val="zh-CN"/>
        </w:rPr>
        <w:t>（招标代理机构）</w:t>
      </w:r>
      <w:r>
        <w:rPr>
          <w:rFonts w:hint="eastAsia" w:ascii="宋体" w:hAnsi="宋体"/>
          <w:kern w:val="0"/>
          <w:szCs w:val="21"/>
        </w:rPr>
        <w:t>：</w:t>
      </w:r>
    </w:p>
    <w:p>
      <w:pPr>
        <w:autoSpaceDE w:val="0"/>
        <w:autoSpaceDN w:val="0"/>
        <w:adjustRightInd w:val="0"/>
        <w:spacing w:line="360" w:lineRule="auto"/>
        <w:ind w:left="2" w:firstLine="462" w:firstLineChars="220"/>
        <w:rPr>
          <w:rFonts w:ascii="宋体" w:hAnsi="宋体"/>
          <w:kern w:val="0"/>
          <w:szCs w:val="21"/>
        </w:rPr>
      </w:pPr>
      <w:r>
        <w:rPr>
          <w:rFonts w:hint="eastAsia" w:ascii="宋体" w:hAnsi="宋体"/>
          <w:kern w:val="0"/>
          <w:szCs w:val="21"/>
        </w:rPr>
        <w:t>依据贵方</w:t>
      </w:r>
      <w:r>
        <w:rPr>
          <w:rFonts w:hint="eastAsia" w:ascii="宋体" w:hAnsi="宋体"/>
          <w:kern w:val="0"/>
          <w:szCs w:val="21"/>
          <w:u w:val="single"/>
        </w:rPr>
        <w:t xml:space="preserve">  （招标项目名称）（招标编号）  </w:t>
      </w:r>
      <w:r>
        <w:rPr>
          <w:rFonts w:hint="eastAsia" w:ascii="宋体" w:hAnsi="宋体"/>
          <w:kern w:val="0"/>
          <w:szCs w:val="21"/>
        </w:rPr>
        <w:t>项目招标的投标邀请，我方代表（姓名、职务）经正式授权并代表投标人（投标人的全称、地址）提交下述文件正本一份，副本二份。</w:t>
      </w:r>
    </w:p>
    <w:p>
      <w:pPr>
        <w:numPr>
          <w:ilvl w:val="1"/>
          <w:numId w:val="48"/>
        </w:numPr>
        <w:tabs>
          <w:tab w:val="left" w:pos="840"/>
          <w:tab w:val="clear" w:pos="2940"/>
        </w:tabs>
        <w:autoSpaceDE w:val="0"/>
        <w:autoSpaceDN w:val="0"/>
        <w:adjustRightInd w:val="0"/>
        <w:spacing w:line="360" w:lineRule="auto"/>
        <w:ind w:left="840" w:hanging="420"/>
        <w:rPr>
          <w:rFonts w:ascii="宋体" w:hAnsi="宋体"/>
          <w:kern w:val="0"/>
          <w:szCs w:val="21"/>
        </w:rPr>
      </w:pPr>
      <w:r>
        <w:rPr>
          <w:rFonts w:hint="eastAsia" w:ascii="宋体" w:hAnsi="宋体"/>
          <w:kern w:val="0"/>
          <w:szCs w:val="21"/>
        </w:rPr>
        <w:t>投标一览表；</w:t>
      </w:r>
    </w:p>
    <w:p>
      <w:pPr>
        <w:numPr>
          <w:ilvl w:val="1"/>
          <w:numId w:val="48"/>
        </w:numPr>
        <w:tabs>
          <w:tab w:val="left" w:pos="840"/>
          <w:tab w:val="clear" w:pos="2940"/>
        </w:tabs>
        <w:autoSpaceDE w:val="0"/>
        <w:autoSpaceDN w:val="0"/>
        <w:adjustRightInd w:val="0"/>
        <w:spacing w:line="360" w:lineRule="auto"/>
        <w:ind w:left="840" w:hanging="420"/>
        <w:rPr>
          <w:rFonts w:ascii="宋体" w:hAnsi="宋体"/>
          <w:kern w:val="0"/>
          <w:szCs w:val="21"/>
        </w:rPr>
      </w:pPr>
      <w:r>
        <w:rPr>
          <w:rFonts w:hint="eastAsia" w:ascii="宋体" w:hAnsi="宋体"/>
          <w:kern w:val="0"/>
          <w:szCs w:val="21"/>
        </w:rPr>
        <w:t>投标分项报价表；</w:t>
      </w:r>
    </w:p>
    <w:p>
      <w:pPr>
        <w:numPr>
          <w:ilvl w:val="1"/>
          <w:numId w:val="48"/>
        </w:numPr>
        <w:tabs>
          <w:tab w:val="left" w:pos="840"/>
          <w:tab w:val="clear" w:pos="2940"/>
        </w:tabs>
        <w:autoSpaceDE w:val="0"/>
        <w:autoSpaceDN w:val="0"/>
        <w:adjustRightInd w:val="0"/>
        <w:spacing w:line="360" w:lineRule="auto"/>
        <w:ind w:left="840" w:hanging="420"/>
        <w:rPr>
          <w:rFonts w:ascii="宋体" w:hAnsi="宋体"/>
          <w:kern w:val="0"/>
          <w:szCs w:val="21"/>
        </w:rPr>
      </w:pPr>
      <w:r>
        <w:rPr>
          <w:rFonts w:hint="eastAsia" w:ascii="宋体" w:hAnsi="宋体"/>
          <w:kern w:val="0"/>
          <w:szCs w:val="21"/>
        </w:rPr>
        <w:t>投标货物∕服务清单；</w:t>
      </w:r>
    </w:p>
    <w:p>
      <w:pPr>
        <w:numPr>
          <w:ilvl w:val="1"/>
          <w:numId w:val="48"/>
        </w:numPr>
        <w:tabs>
          <w:tab w:val="left" w:pos="840"/>
          <w:tab w:val="clear" w:pos="2940"/>
        </w:tabs>
        <w:autoSpaceDE w:val="0"/>
        <w:autoSpaceDN w:val="0"/>
        <w:adjustRightInd w:val="0"/>
        <w:spacing w:line="360" w:lineRule="auto"/>
        <w:ind w:left="840" w:hanging="420"/>
        <w:rPr>
          <w:rFonts w:ascii="宋体" w:hAnsi="宋体"/>
          <w:kern w:val="0"/>
          <w:szCs w:val="21"/>
        </w:rPr>
      </w:pPr>
      <w:r>
        <w:rPr>
          <w:rFonts w:hint="eastAsia" w:ascii="宋体" w:hAnsi="宋体"/>
          <w:kern w:val="0"/>
          <w:szCs w:val="21"/>
        </w:rPr>
        <w:t>按招标文件投标人须知和技术规格要求提供的有关文件；</w:t>
      </w:r>
    </w:p>
    <w:p>
      <w:pPr>
        <w:numPr>
          <w:ilvl w:val="1"/>
          <w:numId w:val="48"/>
        </w:numPr>
        <w:tabs>
          <w:tab w:val="left" w:pos="840"/>
          <w:tab w:val="clear" w:pos="2940"/>
        </w:tabs>
        <w:autoSpaceDE w:val="0"/>
        <w:autoSpaceDN w:val="0"/>
        <w:adjustRightInd w:val="0"/>
        <w:spacing w:line="360" w:lineRule="auto"/>
        <w:ind w:left="840" w:hanging="420"/>
        <w:rPr>
          <w:rFonts w:ascii="宋体" w:hAnsi="宋体"/>
          <w:kern w:val="0"/>
          <w:szCs w:val="21"/>
        </w:rPr>
      </w:pPr>
      <w:r>
        <w:rPr>
          <w:rFonts w:hint="eastAsia" w:ascii="宋体" w:hAnsi="宋体"/>
          <w:kern w:val="0"/>
          <w:szCs w:val="21"/>
        </w:rPr>
        <w:t>资格证明文件；</w:t>
      </w:r>
    </w:p>
    <w:p>
      <w:pPr>
        <w:numPr>
          <w:ilvl w:val="1"/>
          <w:numId w:val="48"/>
        </w:numPr>
        <w:tabs>
          <w:tab w:val="left" w:pos="840"/>
          <w:tab w:val="clear" w:pos="2940"/>
        </w:tabs>
        <w:autoSpaceDE w:val="0"/>
        <w:autoSpaceDN w:val="0"/>
        <w:adjustRightInd w:val="0"/>
        <w:spacing w:line="360" w:lineRule="auto"/>
        <w:ind w:left="840" w:hanging="420"/>
        <w:rPr>
          <w:rFonts w:ascii="宋体" w:hAnsi="宋体"/>
          <w:kern w:val="0"/>
          <w:szCs w:val="21"/>
        </w:rPr>
      </w:pPr>
      <w:r>
        <w:rPr>
          <w:rFonts w:hint="eastAsia" w:ascii="宋体" w:hAnsi="宋体"/>
          <w:kern w:val="0"/>
          <w:szCs w:val="21"/>
        </w:rPr>
        <w:t>按招标文件的规定递交符合招标文件规定的投标保证金。</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在次，我方宣布同意如下：</w:t>
      </w:r>
    </w:p>
    <w:p>
      <w:pPr>
        <w:numPr>
          <w:ilvl w:val="6"/>
          <w:numId w:val="49"/>
        </w:numPr>
        <w:tabs>
          <w:tab w:val="left" w:pos="840"/>
        </w:tabs>
        <w:autoSpaceDE w:val="0"/>
        <w:autoSpaceDN w:val="0"/>
        <w:adjustRightInd w:val="0"/>
        <w:spacing w:line="360" w:lineRule="auto"/>
        <w:ind w:left="0" w:firstLine="420" w:firstLineChars="200"/>
        <w:rPr>
          <w:rFonts w:ascii="宋体" w:hAnsi="宋体"/>
          <w:kern w:val="0"/>
          <w:szCs w:val="21"/>
        </w:rPr>
      </w:pPr>
      <w:r>
        <w:rPr>
          <w:rFonts w:hint="eastAsia" w:ascii="宋体" w:hAnsi="宋体"/>
          <w:kern w:val="0"/>
          <w:szCs w:val="21"/>
        </w:rPr>
        <w:t>所附《投标一览表》中规定的应提交的报价为。</w:t>
      </w:r>
    </w:p>
    <w:p>
      <w:pPr>
        <w:numPr>
          <w:ilvl w:val="6"/>
          <w:numId w:val="49"/>
        </w:numPr>
        <w:tabs>
          <w:tab w:val="left" w:pos="840"/>
        </w:tabs>
        <w:autoSpaceDE w:val="0"/>
        <w:autoSpaceDN w:val="0"/>
        <w:adjustRightInd w:val="0"/>
        <w:spacing w:line="360" w:lineRule="auto"/>
        <w:ind w:left="0" w:firstLine="420" w:firstLineChars="200"/>
        <w:rPr>
          <w:rFonts w:ascii="宋体" w:hAnsi="宋体"/>
          <w:kern w:val="0"/>
          <w:szCs w:val="21"/>
        </w:rPr>
      </w:pPr>
      <w:r>
        <w:rPr>
          <w:rFonts w:hint="eastAsia" w:ascii="宋体" w:hAnsi="宋体"/>
          <w:kern w:val="0"/>
          <w:szCs w:val="21"/>
        </w:rPr>
        <w:t>将按招标文件的约定履行合同责任和义务。</w:t>
      </w:r>
    </w:p>
    <w:p>
      <w:pPr>
        <w:numPr>
          <w:ilvl w:val="6"/>
          <w:numId w:val="49"/>
        </w:numPr>
        <w:tabs>
          <w:tab w:val="left" w:pos="840"/>
        </w:tabs>
        <w:autoSpaceDE w:val="0"/>
        <w:autoSpaceDN w:val="0"/>
        <w:adjustRightInd w:val="0"/>
        <w:spacing w:line="360" w:lineRule="auto"/>
        <w:ind w:left="0" w:firstLine="420" w:firstLineChars="200"/>
        <w:rPr>
          <w:rFonts w:ascii="宋体" w:hAnsi="宋体"/>
          <w:kern w:val="0"/>
          <w:szCs w:val="21"/>
        </w:rPr>
      </w:pPr>
      <w:r>
        <w:rPr>
          <w:rFonts w:hint="eastAsia" w:ascii="宋体" w:hAnsi="宋体"/>
          <w:kern w:val="0"/>
          <w:szCs w:val="21"/>
        </w:rPr>
        <w:t>已详细审查全部招标文件及补充通知等文件（如果有的话），我们完全理解并对此无异议。</w:t>
      </w:r>
    </w:p>
    <w:p>
      <w:pPr>
        <w:numPr>
          <w:ilvl w:val="6"/>
          <w:numId w:val="49"/>
        </w:numPr>
        <w:tabs>
          <w:tab w:val="left" w:pos="840"/>
        </w:tabs>
        <w:autoSpaceDE w:val="0"/>
        <w:autoSpaceDN w:val="0"/>
        <w:adjustRightInd w:val="0"/>
        <w:spacing w:line="360" w:lineRule="auto"/>
        <w:ind w:left="0" w:firstLine="420" w:firstLineChars="200"/>
        <w:rPr>
          <w:rFonts w:ascii="宋体" w:hAnsi="宋体"/>
          <w:kern w:val="0"/>
          <w:szCs w:val="21"/>
        </w:rPr>
      </w:pPr>
      <w:r>
        <w:rPr>
          <w:rFonts w:hint="eastAsia" w:ascii="宋体" w:hAnsi="宋体"/>
          <w:kern w:val="0"/>
          <w:szCs w:val="21"/>
        </w:rPr>
        <w:t>本投标文件的有效期自开标之日起共90个日历日。</w:t>
      </w:r>
    </w:p>
    <w:p>
      <w:pPr>
        <w:numPr>
          <w:ilvl w:val="6"/>
          <w:numId w:val="49"/>
        </w:numPr>
        <w:tabs>
          <w:tab w:val="left" w:pos="840"/>
        </w:tabs>
        <w:autoSpaceDE w:val="0"/>
        <w:autoSpaceDN w:val="0"/>
        <w:adjustRightInd w:val="0"/>
        <w:spacing w:line="360" w:lineRule="auto"/>
        <w:ind w:left="0" w:firstLine="420" w:firstLineChars="200"/>
        <w:rPr>
          <w:rFonts w:ascii="宋体" w:hAnsi="宋体"/>
          <w:kern w:val="0"/>
          <w:szCs w:val="21"/>
        </w:rPr>
      </w:pPr>
      <w:r>
        <w:rPr>
          <w:rFonts w:hint="eastAsia" w:ascii="宋体" w:hAnsi="宋体"/>
          <w:kern w:val="0"/>
          <w:szCs w:val="21"/>
        </w:rPr>
        <w:t>接收招标文件所列第二章投标人须知中16.</w:t>
      </w:r>
      <w:r>
        <w:rPr>
          <w:rFonts w:ascii="宋体" w:hAnsi="宋体"/>
          <w:kern w:val="0"/>
          <w:szCs w:val="21"/>
        </w:rPr>
        <w:t>6</w:t>
      </w:r>
      <w:r>
        <w:rPr>
          <w:rFonts w:hint="eastAsia" w:ascii="宋体" w:hAnsi="宋体"/>
          <w:kern w:val="0"/>
          <w:szCs w:val="21"/>
        </w:rPr>
        <w:t>（条）关于</w:t>
      </w:r>
      <w:r>
        <w:rPr>
          <w:rFonts w:hint="eastAsia" w:ascii="宋体" w:hAnsi="宋体" w:cs="宋体"/>
          <w:snapToGrid w:val="0"/>
          <w:kern w:val="0"/>
          <w:szCs w:val="21"/>
          <w:lang w:val="zh-CN"/>
        </w:rPr>
        <w:t>不予退还</w:t>
      </w:r>
      <w:r>
        <w:rPr>
          <w:rFonts w:hint="eastAsia" w:ascii="宋体" w:hAnsi="宋体"/>
          <w:kern w:val="0"/>
          <w:szCs w:val="21"/>
        </w:rPr>
        <w:t>投标保证金的约定。</w:t>
      </w:r>
    </w:p>
    <w:p>
      <w:pPr>
        <w:numPr>
          <w:ilvl w:val="6"/>
          <w:numId w:val="49"/>
        </w:numPr>
        <w:tabs>
          <w:tab w:val="left" w:pos="840"/>
        </w:tabs>
        <w:autoSpaceDE w:val="0"/>
        <w:autoSpaceDN w:val="0"/>
        <w:adjustRightInd w:val="0"/>
        <w:spacing w:line="360" w:lineRule="auto"/>
        <w:ind w:left="0" w:firstLine="420" w:firstLineChars="200"/>
        <w:rPr>
          <w:rFonts w:ascii="宋体" w:hAnsi="宋体"/>
          <w:kern w:val="0"/>
          <w:szCs w:val="21"/>
        </w:rPr>
      </w:pPr>
      <w:r>
        <w:rPr>
          <w:rFonts w:hint="eastAsia" w:ascii="宋体" w:hAnsi="宋体"/>
          <w:kern w:val="0"/>
          <w:szCs w:val="21"/>
        </w:rPr>
        <w:t>同意提供按照贵方可能要求的与其投标有关的一切数据或资料。</w:t>
      </w:r>
    </w:p>
    <w:p>
      <w:pPr>
        <w:numPr>
          <w:ilvl w:val="6"/>
          <w:numId w:val="49"/>
        </w:numPr>
        <w:tabs>
          <w:tab w:val="left" w:pos="840"/>
        </w:tabs>
        <w:autoSpaceDE w:val="0"/>
        <w:autoSpaceDN w:val="0"/>
        <w:adjustRightInd w:val="0"/>
        <w:spacing w:line="360" w:lineRule="auto"/>
        <w:ind w:left="0" w:firstLine="420" w:firstLineChars="200"/>
        <w:rPr>
          <w:rFonts w:ascii="宋体" w:hAnsi="宋体"/>
          <w:kern w:val="0"/>
          <w:szCs w:val="21"/>
        </w:rPr>
      </w:pPr>
      <w:r>
        <w:rPr>
          <w:rFonts w:hint="eastAsia" w:ascii="宋体" w:hAnsi="宋体"/>
          <w:kern w:val="0"/>
          <w:szCs w:val="21"/>
        </w:rPr>
        <w:t>与本投标有关的一切正式往来信函请按如下地址邮寄或传真：</w:t>
      </w:r>
    </w:p>
    <w:p>
      <w:pPr>
        <w:autoSpaceDE w:val="0"/>
        <w:autoSpaceDN w:val="0"/>
        <w:adjustRightInd w:val="0"/>
        <w:spacing w:line="360" w:lineRule="auto"/>
        <w:ind w:firstLine="420" w:firstLineChars="200"/>
        <w:jc w:val="left"/>
        <w:rPr>
          <w:rFonts w:ascii="宋体" w:hAnsi="宋体"/>
          <w:kern w:val="0"/>
          <w:szCs w:val="21"/>
        </w:rPr>
      </w:pP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通讯地址：</w:t>
      </w: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传   真：</w:t>
      </w: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电    话：</w:t>
      </w: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电子邮件：</w:t>
      </w: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法定代表人或委托代理人签字：</w:t>
      </w: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投标人名称（公章）：</w:t>
      </w: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日    期：</w:t>
      </w: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开户银行：</w:t>
      </w:r>
    </w:p>
    <w:p>
      <w:pPr>
        <w:autoSpaceDE w:val="0"/>
        <w:autoSpaceDN w:val="0"/>
        <w:adjustRightInd w:val="0"/>
        <w:ind w:firstLine="420" w:firstLineChars="200"/>
        <w:jc w:val="left"/>
        <w:rPr>
          <w:rFonts w:ascii="宋体" w:hAnsi="宋体"/>
          <w:kern w:val="0"/>
          <w:szCs w:val="21"/>
        </w:rPr>
      </w:pPr>
      <w:r>
        <w:rPr>
          <w:rFonts w:hint="eastAsia" w:ascii="宋体" w:hAnsi="宋体"/>
          <w:kern w:val="0"/>
          <w:szCs w:val="21"/>
        </w:rPr>
        <w:t>账号/行号：</w:t>
      </w:r>
    </w:p>
    <w:p>
      <w:pPr>
        <w:adjustRightInd w:val="0"/>
        <w:snapToGrid w:val="0"/>
        <w:spacing w:line="400" w:lineRule="exact"/>
        <w:ind w:firstLine="420" w:firstLineChars="200"/>
        <w:rPr>
          <w:rFonts w:ascii="宋体" w:hAnsi="宋体"/>
          <w:szCs w:val="21"/>
        </w:rPr>
      </w:pPr>
      <w:r>
        <w:rPr>
          <w:rFonts w:hint="eastAsia" w:ascii="宋体" w:hAnsi="宋体"/>
          <w:szCs w:val="21"/>
        </w:rPr>
        <w:t>注：</w:t>
      </w:r>
      <w:r>
        <w:rPr>
          <w:rFonts w:ascii="宋体" w:hAnsi="宋体"/>
          <w:szCs w:val="21"/>
        </w:rPr>
        <w:t>此表</w:t>
      </w:r>
      <w:r>
        <w:rPr>
          <w:rFonts w:hint="eastAsia" w:ascii="宋体" w:hAnsi="宋体"/>
          <w:szCs w:val="21"/>
        </w:rPr>
        <w:t>除</w:t>
      </w:r>
      <w:r>
        <w:rPr>
          <w:rFonts w:ascii="宋体" w:hAnsi="宋体"/>
          <w:szCs w:val="21"/>
        </w:rPr>
        <w:t>保留在投标文件中</w:t>
      </w:r>
      <w:r>
        <w:rPr>
          <w:rFonts w:hint="eastAsia" w:ascii="宋体" w:hAnsi="宋体"/>
          <w:szCs w:val="21"/>
        </w:rPr>
        <w:t>外</w:t>
      </w:r>
      <w:r>
        <w:rPr>
          <w:rFonts w:ascii="宋体" w:hAnsi="宋体"/>
          <w:szCs w:val="21"/>
        </w:rPr>
        <w:t>，投标人将本表</w:t>
      </w:r>
      <w:r>
        <w:rPr>
          <w:rFonts w:hint="eastAsia" w:ascii="宋体" w:hAnsi="宋体"/>
          <w:szCs w:val="21"/>
        </w:rPr>
        <w:t>一</w:t>
      </w:r>
      <w:r>
        <w:rPr>
          <w:rFonts w:ascii="宋体" w:hAnsi="宋体"/>
          <w:szCs w:val="21"/>
        </w:rPr>
        <w:t>份与</w:t>
      </w:r>
      <w:r>
        <w:rPr>
          <w:rFonts w:hint="eastAsia" w:ascii="宋体" w:hAnsi="宋体"/>
          <w:szCs w:val="21"/>
        </w:rPr>
        <w:t>开标一览表</w:t>
      </w:r>
      <w:r>
        <w:rPr>
          <w:rFonts w:ascii="宋体" w:hAnsi="宋体"/>
          <w:szCs w:val="21"/>
        </w:rPr>
        <w:t>、法人代表授权书（原件）、投标优惠声明（如有）单独密封提交，并在封套上标明</w:t>
      </w:r>
      <w:r>
        <w:rPr>
          <w:rFonts w:hint="eastAsia" w:ascii="宋体" w:hAnsi="宋体"/>
          <w:szCs w:val="21"/>
        </w:rPr>
        <w:t>“</w:t>
      </w:r>
      <w:r>
        <w:rPr>
          <w:rFonts w:ascii="宋体" w:hAnsi="宋体"/>
          <w:szCs w:val="21"/>
        </w:rPr>
        <w:t>开标一览表</w:t>
      </w:r>
      <w:r>
        <w:rPr>
          <w:rFonts w:hint="eastAsia" w:ascii="宋体" w:hAnsi="宋体"/>
          <w:szCs w:val="21"/>
        </w:rPr>
        <w:t>”</w:t>
      </w:r>
      <w:r>
        <w:rPr>
          <w:rFonts w:ascii="宋体" w:hAnsi="宋体"/>
          <w:szCs w:val="21"/>
        </w:rPr>
        <w:t>字样。</w:t>
      </w:r>
    </w:p>
    <w:p>
      <w:pPr>
        <w:rPr>
          <w:lang w:val="zh-CN"/>
        </w:rPr>
      </w:pPr>
    </w:p>
    <w:p>
      <w:pPr>
        <w:widowControl/>
        <w:jc w:val="left"/>
        <w:rPr>
          <w:lang w:val="zh-CN"/>
        </w:rPr>
      </w:pPr>
      <w:r>
        <w:rPr>
          <w:lang w:val="zh-CN"/>
        </w:rPr>
        <w:br w:type="page"/>
      </w:r>
    </w:p>
    <w:p>
      <w:pPr>
        <w:pStyle w:val="4"/>
        <w:numPr>
          <w:ilvl w:val="0"/>
          <w:numId w:val="0"/>
        </w:numPr>
        <w:ind w:left="720"/>
        <w:jc w:val="center"/>
        <w:rPr>
          <w:sz w:val="32"/>
          <w:szCs w:val="32"/>
        </w:rPr>
      </w:pPr>
      <w:bookmarkStart w:id="120" w:name="_Toc48634282"/>
      <w:r>
        <w:rPr>
          <w:rFonts w:hint="eastAsia"/>
        </w:rPr>
        <w:t>2、</w:t>
      </w:r>
      <w:r>
        <w:rPr>
          <w:rFonts w:hint="eastAsia"/>
          <w:snapToGrid w:val="0"/>
        </w:rPr>
        <w:t>投标一览表</w:t>
      </w:r>
      <w:bookmarkEnd w:id="120"/>
    </w:p>
    <w:p>
      <w:pPr>
        <w:adjustRightInd w:val="0"/>
        <w:snapToGrid w:val="0"/>
        <w:spacing w:line="400" w:lineRule="exact"/>
        <w:rPr>
          <w:rFonts w:ascii="宋体" w:hAnsi="宋体"/>
          <w:szCs w:val="21"/>
        </w:rPr>
      </w:pPr>
      <w:r>
        <w:rPr>
          <w:rFonts w:hint="eastAsia" w:ascii="宋体" w:hAnsi="宋体"/>
          <w:szCs w:val="21"/>
        </w:rPr>
        <w:t>投标人名称：</w:t>
      </w:r>
    </w:p>
    <w:p>
      <w:pPr>
        <w:adjustRightInd w:val="0"/>
        <w:snapToGrid w:val="0"/>
        <w:spacing w:line="400" w:lineRule="exact"/>
        <w:ind w:left="-181" w:leftChars="-86" w:firstLine="180" w:firstLineChars="86"/>
        <w:rPr>
          <w:rFonts w:ascii="宋体" w:hAnsi="宋体"/>
          <w:szCs w:val="21"/>
        </w:rPr>
      </w:pPr>
      <w:r>
        <w:rPr>
          <w:rFonts w:hint="eastAsia" w:ascii="宋体" w:hAnsi="宋体"/>
          <w:szCs w:val="21"/>
        </w:rPr>
        <w:t>招标编号：</w:t>
      </w:r>
    </w:p>
    <w:tbl>
      <w:tblPr>
        <w:tblStyle w:val="21"/>
        <w:tblW w:w="9529" w:type="dxa"/>
        <w:tblInd w:w="96" w:type="dxa"/>
        <w:tblLayout w:type="autofit"/>
        <w:tblCellMar>
          <w:top w:w="0" w:type="dxa"/>
          <w:left w:w="108" w:type="dxa"/>
          <w:bottom w:w="0" w:type="dxa"/>
          <w:right w:w="108" w:type="dxa"/>
        </w:tblCellMar>
      </w:tblPr>
      <w:tblGrid>
        <w:gridCol w:w="816"/>
        <w:gridCol w:w="1032"/>
        <w:gridCol w:w="1380"/>
        <w:gridCol w:w="972"/>
        <w:gridCol w:w="1445"/>
        <w:gridCol w:w="3888"/>
      </w:tblGrid>
      <w:tr>
        <w:tblPrEx>
          <w:tblCellMar>
            <w:top w:w="0" w:type="dxa"/>
            <w:left w:w="108" w:type="dxa"/>
            <w:bottom w:w="0" w:type="dxa"/>
            <w:right w:w="108" w:type="dxa"/>
          </w:tblCellMar>
        </w:tblPrEx>
        <w:trPr>
          <w:trHeight w:val="799" w:hRule="atLeast"/>
        </w:trPr>
        <w:tc>
          <w:tcPr>
            <w:tcW w:w="9533" w:type="dxa"/>
            <w:gridSpan w:val="6"/>
            <w:tcBorders>
              <w:top w:val="single" w:color="auto" w:sz="4" w:space="0"/>
              <w:left w:val="single" w:color="auto" w:sz="4" w:space="0"/>
              <w:bottom w:val="nil"/>
              <w:right w:val="single" w:color="auto"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投标报价一览表</w:t>
            </w:r>
          </w:p>
        </w:tc>
      </w:tr>
      <w:tr>
        <w:tblPrEx>
          <w:tblCellMar>
            <w:top w:w="0" w:type="dxa"/>
            <w:left w:w="108" w:type="dxa"/>
            <w:bottom w:w="0" w:type="dxa"/>
            <w:right w:w="108" w:type="dxa"/>
          </w:tblCellMar>
        </w:tblPrEx>
        <w:trPr>
          <w:trHeight w:val="720" w:hRule="atLeast"/>
        </w:trPr>
        <w:tc>
          <w:tcPr>
            <w:tcW w:w="81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报价内容</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服务事项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投标报价（不含税）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税率%</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投标报价（含税）</w:t>
            </w:r>
          </w:p>
        </w:tc>
        <w:tc>
          <w:tcPr>
            <w:tcW w:w="38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1160" w:hRule="atLeast"/>
        </w:trPr>
        <w:tc>
          <w:tcPr>
            <w:tcW w:w="81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固定金额上限</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常年法律顾问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元/年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元/年</w:t>
            </w:r>
          </w:p>
        </w:tc>
        <w:tc>
          <w:tcPr>
            <w:tcW w:w="3888"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1.律师费=每小时服务费用*业务所需工时，每小时服务费用标准不超过3000元，常年法律顾问费用不超过2</w:t>
            </w:r>
            <w:r>
              <w:rPr>
                <w:rFonts w:ascii="宋体" w:hAnsi="宋体" w:cs="宋体"/>
                <w:color w:val="000000"/>
                <w:kern w:val="0"/>
                <w:sz w:val="20"/>
              </w:rPr>
              <w:t>5</w:t>
            </w:r>
            <w:r>
              <w:rPr>
                <w:rFonts w:hint="eastAsia" w:ascii="宋体" w:hAnsi="宋体" w:cs="宋体"/>
                <w:color w:val="000000"/>
                <w:kern w:val="0"/>
                <w:sz w:val="20"/>
              </w:rPr>
              <w:t>万/年，涉外项目的法律服务费用不超过投标报价的两倍；</w:t>
            </w:r>
            <w:r>
              <w:rPr>
                <w:rFonts w:hint="eastAsia" w:ascii="宋体" w:hAnsi="宋体" w:cs="宋体"/>
                <w:color w:val="000000"/>
                <w:kern w:val="0"/>
                <w:sz w:val="20"/>
              </w:rPr>
              <w:br w:type="textWrapping"/>
            </w:r>
            <w:r>
              <w:rPr>
                <w:rFonts w:hint="eastAsia" w:ascii="宋体" w:hAnsi="宋体" w:cs="宋体"/>
                <w:color w:val="000000"/>
                <w:kern w:val="0"/>
                <w:sz w:val="20"/>
              </w:rPr>
              <w:t>2.其它法律服务事项包括但不限于出具法律意见书、尽职调查、诉讼阶段代理、执行阶段终本（如诉讼阶段、执行阶段为同一律所，则无需支付此项费用）</w:t>
            </w:r>
          </w:p>
        </w:tc>
      </w:tr>
      <w:tr>
        <w:tblPrEx>
          <w:tblCellMar>
            <w:top w:w="0" w:type="dxa"/>
            <w:left w:w="108" w:type="dxa"/>
            <w:bottom w:w="0" w:type="dxa"/>
            <w:right w:w="108" w:type="dxa"/>
          </w:tblCellMar>
        </w:tblPrEx>
        <w:trPr>
          <w:trHeight w:val="1140"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其它法律服务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元/小时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元/小时</w:t>
            </w:r>
          </w:p>
        </w:tc>
        <w:tc>
          <w:tcPr>
            <w:tcW w:w="388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ascii="宋体" w:hAnsi="宋体" w:cs="宋体"/>
                <w:color w:val="000000"/>
                <w:sz w:val="20"/>
              </w:rPr>
            </w:pPr>
          </w:p>
        </w:tc>
      </w:tr>
      <w:tr>
        <w:tblPrEx>
          <w:tblCellMar>
            <w:top w:w="0" w:type="dxa"/>
            <w:left w:w="108" w:type="dxa"/>
            <w:bottom w:w="0" w:type="dxa"/>
            <w:right w:w="108" w:type="dxa"/>
          </w:tblCellMar>
        </w:tblPrEx>
        <w:trPr>
          <w:trHeight w:val="2560" w:hRule="atLeast"/>
        </w:trPr>
        <w:tc>
          <w:tcPr>
            <w:tcW w:w="816"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费用比例上限</w:t>
            </w:r>
          </w:p>
        </w:tc>
        <w:tc>
          <w:tcPr>
            <w:tcW w:w="10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清收回款</w:t>
            </w:r>
          </w:p>
        </w:tc>
        <w:tc>
          <w:tcPr>
            <w:tcW w:w="13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付费比例：%</w:t>
            </w:r>
          </w:p>
        </w:tc>
        <w:tc>
          <w:tcPr>
            <w:tcW w:w="97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付费比例：%</w:t>
            </w:r>
          </w:p>
        </w:tc>
        <w:tc>
          <w:tcPr>
            <w:tcW w:w="3888"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sz w:val="20"/>
              </w:rPr>
              <w:t>1.律师费=付费比例*回款额；</w:t>
            </w:r>
          </w:p>
          <w:p>
            <w:pPr>
              <w:widowControl/>
              <w:jc w:val="left"/>
              <w:textAlignment w:val="center"/>
              <w:rPr>
                <w:rFonts w:ascii="宋体" w:hAnsi="宋体" w:cs="宋体"/>
                <w:color w:val="000000"/>
                <w:sz w:val="20"/>
              </w:rPr>
            </w:pPr>
            <w:r>
              <w:rPr>
                <w:rFonts w:hint="eastAsia" w:ascii="宋体" w:hAnsi="宋体" w:cs="宋体"/>
                <w:color w:val="000000"/>
                <w:sz w:val="20"/>
              </w:rPr>
              <w:t>2.付费比例最高不超过20%；</w:t>
            </w:r>
          </w:p>
          <w:p>
            <w:pPr>
              <w:widowControl/>
              <w:jc w:val="left"/>
              <w:textAlignment w:val="center"/>
              <w:rPr>
                <w:rFonts w:ascii="宋体" w:hAnsi="宋体" w:cs="宋体"/>
                <w:color w:val="000000"/>
                <w:sz w:val="20"/>
              </w:rPr>
            </w:pPr>
            <w:r>
              <w:rPr>
                <w:rFonts w:hint="eastAsia" w:ascii="宋体" w:hAnsi="宋体" w:cs="宋体"/>
                <w:color w:val="000000"/>
                <w:sz w:val="20"/>
              </w:rPr>
              <w:t xml:space="preserve">3.执行非抵押物现金回款的付费比例为前述比例的100%，执行抵押物现金回款的付费比例为前述比例的30%，非抵押物以物抵债的付费比例为前述比例的10%，抵押物以物抵债的付费比例为前述比例的2%； </w:t>
            </w:r>
          </w:p>
          <w:p>
            <w:pPr>
              <w:widowControl/>
              <w:jc w:val="left"/>
              <w:textAlignment w:val="center"/>
            </w:pPr>
            <w:r>
              <w:rPr>
                <w:rFonts w:hint="eastAsia" w:ascii="宋体" w:hAnsi="宋体" w:cs="宋体"/>
                <w:color w:val="000000"/>
                <w:sz w:val="20"/>
              </w:rPr>
              <w:t>4.被诉案件减少损失的付费比例不超过投标报价的</w:t>
            </w:r>
            <w:r>
              <w:rPr>
                <w:rFonts w:ascii="宋体" w:hAnsi="宋体" w:cs="宋体"/>
                <w:color w:val="000000"/>
                <w:sz w:val="20"/>
              </w:rPr>
              <w:t>150</w:t>
            </w:r>
            <w:r>
              <w:rPr>
                <w:rFonts w:hint="eastAsia" w:ascii="宋体" w:hAnsi="宋体" w:cs="宋体"/>
                <w:color w:val="000000"/>
                <w:sz w:val="20"/>
              </w:rPr>
              <w:t>%</w:t>
            </w:r>
          </w:p>
          <w:p>
            <w:pPr>
              <w:widowControl/>
              <w:jc w:val="left"/>
              <w:textAlignment w:val="center"/>
            </w:pPr>
            <w:r>
              <w:rPr>
                <w:rFonts w:hint="eastAsia"/>
                <w:sz w:val="20"/>
                <w:highlight w:val="none"/>
              </w:rPr>
              <w:t>举例：假设投标人投标报价付费比例10%，以执行抵押物收回现金100元为例，则=100*10%*30%=3元。</w:t>
            </w:r>
          </w:p>
        </w:tc>
      </w:tr>
    </w:tbl>
    <w:p>
      <w:pPr>
        <w:pStyle w:val="11"/>
        <w:adjustRightInd w:val="0"/>
        <w:snapToGrid w:val="0"/>
        <w:spacing w:line="400" w:lineRule="exact"/>
        <w:ind w:left="-88" w:leftChars="-42"/>
        <w:rPr>
          <w:rFonts w:ascii="宋体" w:hAnsi="宋体" w:eastAsia="宋体"/>
          <w:color w:val="auto"/>
          <w:sz w:val="21"/>
          <w:szCs w:val="21"/>
        </w:rPr>
      </w:pPr>
    </w:p>
    <w:p>
      <w:pPr>
        <w:adjustRightInd w:val="0"/>
        <w:snapToGrid w:val="0"/>
        <w:spacing w:line="400" w:lineRule="exact"/>
        <w:ind w:left="-88" w:leftChars="-42"/>
        <w:rPr>
          <w:rFonts w:ascii="宋体" w:hAnsi="宋体"/>
          <w:szCs w:val="21"/>
        </w:rPr>
      </w:pPr>
      <w:r>
        <w:rPr>
          <w:rFonts w:hint="eastAsia" w:ascii="宋体" w:hAnsi="宋体"/>
          <w:szCs w:val="21"/>
        </w:rPr>
        <w:t>说明：</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）价格应按照</w:t>
      </w:r>
      <w:r>
        <w:rPr>
          <w:rFonts w:hint="eastAsia" w:ascii="宋体" w:hAnsi="宋体"/>
          <w:szCs w:val="21"/>
        </w:rPr>
        <w:t>“</w:t>
      </w:r>
      <w:r>
        <w:rPr>
          <w:rFonts w:ascii="宋体" w:hAnsi="宋体"/>
          <w:szCs w:val="21"/>
        </w:rPr>
        <w:t>投标人须知</w:t>
      </w:r>
      <w:r>
        <w:rPr>
          <w:rFonts w:hint="eastAsia" w:ascii="宋体" w:hAnsi="宋体"/>
          <w:szCs w:val="21"/>
        </w:rPr>
        <w:t>”</w:t>
      </w:r>
      <w:r>
        <w:rPr>
          <w:rFonts w:ascii="宋体" w:hAnsi="宋体"/>
          <w:szCs w:val="21"/>
        </w:rPr>
        <w:t>的要求报价</w:t>
      </w:r>
      <w:r>
        <w:rPr>
          <w:rFonts w:hint="eastAsia" w:ascii="宋体" w:hAnsi="宋体"/>
          <w:szCs w:val="21"/>
        </w:rPr>
        <w:t>，此表不接受修改</w:t>
      </w:r>
      <w:r>
        <w:rPr>
          <w:rFonts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）此表</w:t>
      </w:r>
      <w:r>
        <w:rPr>
          <w:rFonts w:hint="eastAsia" w:ascii="宋体" w:hAnsi="宋体"/>
          <w:szCs w:val="21"/>
        </w:rPr>
        <w:t>除</w:t>
      </w:r>
      <w:r>
        <w:rPr>
          <w:rFonts w:ascii="宋体" w:hAnsi="宋体"/>
          <w:szCs w:val="21"/>
        </w:rPr>
        <w:t>保留在投标文件中</w:t>
      </w:r>
      <w:r>
        <w:rPr>
          <w:rFonts w:hint="eastAsia" w:ascii="宋体" w:hAnsi="宋体"/>
          <w:szCs w:val="21"/>
        </w:rPr>
        <w:t>外</w:t>
      </w:r>
      <w:r>
        <w:rPr>
          <w:rFonts w:ascii="宋体" w:hAnsi="宋体"/>
          <w:szCs w:val="21"/>
        </w:rPr>
        <w:t>，投标人将本表</w:t>
      </w:r>
      <w:r>
        <w:rPr>
          <w:rFonts w:hint="eastAsia" w:ascii="宋体" w:hAnsi="宋体"/>
          <w:szCs w:val="21"/>
        </w:rPr>
        <w:t>一</w:t>
      </w:r>
      <w:r>
        <w:rPr>
          <w:rFonts w:ascii="宋体" w:hAnsi="宋体"/>
          <w:szCs w:val="21"/>
        </w:rPr>
        <w:t>份与投标</w:t>
      </w:r>
      <w:r>
        <w:rPr>
          <w:rFonts w:hint="eastAsia" w:ascii="宋体" w:hAnsi="宋体"/>
          <w:szCs w:val="21"/>
        </w:rPr>
        <w:t>函</w:t>
      </w:r>
      <w:r>
        <w:rPr>
          <w:rFonts w:ascii="宋体" w:hAnsi="宋体"/>
          <w:szCs w:val="21"/>
        </w:rPr>
        <w:t>、法人代表授权书（原件）、投标保证金缴纳证明（复印件）及投标优惠声明（如有）单独密封提交，并在封套上标明</w:t>
      </w:r>
      <w:r>
        <w:rPr>
          <w:rFonts w:hint="eastAsia" w:ascii="宋体" w:hAnsi="宋体"/>
          <w:szCs w:val="21"/>
        </w:rPr>
        <w:t>“投</w:t>
      </w:r>
      <w:r>
        <w:rPr>
          <w:rFonts w:ascii="宋体" w:hAnsi="宋体"/>
          <w:szCs w:val="21"/>
        </w:rPr>
        <w:t>标一览表</w:t>
      </w:r>
      <w:r>
        <w:rPr>
          <w:rFonts w:hint="eastAsia" w:ascii="宋体" w:hAnsi="宋体"/>
          <w:szCs w:val="21"/>
        </w:rPr>
        <w:t>”</w:t>
      </w:r>
      <w:r>
        <w:rPr>
          <w:rFonts w:ascii="宋体" w:hAnsi="宋体"/>
          <w:szCs w:val="21"/>
        </w:rPr>
        <w:t>字样。</w:t>
      </w:r>
    </w:p>
    <w:p>
      <w:pPr>
        <w:adjustRightInd w:val="0"/>
        <w:snapToGrid w:val="0"/>
        <w:spacing w:line="400" w:lineRule="exact"/>
        <w:rPr>
          <w:rFonts w:ascii="宋体" w:hAnsi="宋体"/>
          <w:szCs w:val="21"/>
        </w:rPr>
      </w:pPr>
    </w:p>
    <w:p>
      <w:pPr>
        <w:spacing w:line="360" w:lineRule="auto"/>
        <w:ind w:firstLine="480" w:firstLineChars="200"/>
        <w:rPr>
          <w:rFonts w:ascii="宋体" w:hAnsi="宋体"/>
          <w:sz w:val="24"/>
        </w:rPr>
      </w:pPr>
    </w:p>
    <w:p>
      <w:pPr>
        <w:adjustRightInd w:val="0"/>
        <w:snapToGrid w:val="0"/>
        <w:spacing w:line="400" w:lineRule="exact"/>
        <w:ind w:left="-88" w:leftChars="-42"/>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________________________</w:t>
      </w:r>
    </w:p>
    <w:p>
      <w:pPr>
        <w:adjustRightInd w:val="0"/>
        <w:snapToGrid w:val="0"/>
        <w:spacing w:line="400" w:lineRule="exact"/>
        <w:ind w:left="-88" w:leftChars="-42"/>
        <w:rPr>
          <w:rFonts w:ascii="宋体" w:hAnsi="宋体"/>
          <w:szCs w:val="21"/>
        </w:rPr>
      </w:pPr>
      <w:r>
        <w:rPr>
          <w:rFonts w:hint="eastAsia" w:ascii="宋体" w:hAnsi="宋体"/>
          <w:szCs w:val="21"/>
        </w:rPr>
        <w:t>投  标  人名称 （签章）：</w:t>
      </w:r>
      <w:r>
        <w:rPr>
          <w:rFonts w:hint="eastAsia" w:ascii="宋体" w:hAnsi="宋体"/>
          <w:szCs w:val="21"/>
          <w:u w:val="single"/>
        </w:rPr>
        <w:t>________________________</w:t>
      </w:r>
    </w:p>
    <w:p>
      <w:pPr>
        <w:adjustRightInd w:val="0"/>
        <w:snapToGrid w:val="0"/>
        <w:spacing w:line="400" w:lineRule="exact"/>
        <w:ind w:left="-88" w:leftChars="-42"/>
        <w:rPr>
          <w:rFonts w:ascii="宋体" w:hAnsi="宋体"/>
          <w:szCs w:val="21"/>
        </w:rPr>
      </w:pPr>
      <w:r>
        <w:rPr>
          <w:rFonts w:hint="eastAsia" w:ascii="宋体" w:hAnsi="宋体"/>
          <w:szCs w:val="21"/>
        </w:rPr>
        <w:t>时  间：</w:t>
      </w:r>
      <w:r>
        <w:rPr>
          <w:rFonts w:hint="eastAsia" w:ascii="宋体" w:hAnsi="宋体"/>
          <w:szCs w:val="21"/>
          <w:u w:val="single"/>
        </w:rPr>
        <w:t>_____</w:t>
      </w:r>
      <w:r>
        <w:rPr>
          <w:rFonts w:hint="eastAsia" w:ascii="宋体" w:hAnsi="宋体"/>
          <w:szCs w:val="21"/>
        </w:rPr>
        <w:t>年</w:t>
      </w:r>
      <w:r>
        <w:rPr>
          <w:rFonts w:hint="eastAsia" w:ascii="宋体" w:hAnsi="宋体"/>
          <w:szCs w:val="21"/>
          <w:u w:val="single"/>
        </w:rPr>
        <w:t>_____</w:t>
      </w:r>
      <w:r>
        <w:rPr>
          <w:rFonts w:hint="eastAsia" w:ascii="宋体" w:hAnsi="宋体"/>
          <w:szCs w:val="21"/>
        </w:rPr>
        <w:t>月</w:t>
      </w:r>
      <w:r>
        <w:rPr>
          <w:rFonts w:hint="eastAsia" w:ascii="宋体" w:hAnsi="宋体"/>
          <w:szCs w:val="21"/>
          <w:u w:val="single"/>
        </w:rPr>
        <w:t>_____</w:t>
      </w:r>
      <w:r>
        <w:rPr>
          <w:rFonts w:hint="eastAsia" w:ascii="宋体" w:hAnsi="宋体"/>
          <w:szCs w:val="21"/>
        </w:rPr>
        <w:t xml:space="preserve">日   </w:t>
      </w:r>
    </w:p>
    <w:p>
      <w:pPr>
        <w:widowControl/>
        <w:jc w:val="left"/>
        <w:rPr>
          <w:rFonts w:ascii="宋体" w:hAnsi="宋体"/>
          <w:b/>
          <w:sz w:val="28"/>
          <w:szCs w:val="21"/>
          <w:lang w:val="zh-CN"/>
        </w:rPr>
      </w:pPr>
      <w:r>
        <w:rPr>
          <w:rFonts w:ascii="宋体" w:hAnsi="宋体"/>
          <w:szCs w:val="21"/>
        </w:rPr>
        <w:br w:type="page"/>
      </w:r>
    </w:p>
    <w:p>
      <w:pPr>
        <w:pStyle w:val="4"/>
        <w:numPr>
          <w:ilvl w:val="0"/>
          <w:numId w:val="0"/>
        </w:numPr>
        <w:ind w:left="720" w:hanging="720"/>
        <w:jc w:val="center"/>
        <w:rPr>
          <w:snapToGrid w:val="0"/>
        </w:rPr>
      </w:pPr>
      <w:bookmarkStart w:id="121" w:name="_Toc421688576"/>
      <w:bookmarkStart w:id="122" w:name="_Toc333771910"/>
      <w:bookmarkStart w:id="123" w:name="_Toc48634283"/>
      <w:bookmarkStart w:id="124" w:name="_Toc264644280"/>
      <w:r>
        <w:rPr>
          <w:snapToGrid w:val="0"/>
        </w:rPr>
        <w:t>3</w:t>
      </w:r>
      <w:r>
        <w:rPr>
          <w:rFonts w:hint="eastAsia"/>
          <w:snapToGrid w:val="0"/>
        </w:rPr>
        <w:t>、法定代表人授权书</w:t>
      </w:r>
      <w:bookmarkEnd w:id="121"/>
      <w:bookmarkEnd w:id="122"/>
      <w:bookmarkEnd w:id="123"/>
      <w:bookmarkEnd w:id="124"/>
    </w:p>
    <w:p>
      <w:pPr>
        <w:spacing w:line="360" w:lineRule="auto"/>
        <w:rPr>
          <w:rFonts w:ascii="宋体" w:hAnsi="宋体"/>
          <w:kern w:val="0"/>
          <w:szCs w:val="21"/>
        </w:rPr>
      </w:pPr>
    </w:p>
    <w:p>
      <w:pPr>
        <w:spacing w:line="360" w:lineRule="auto"/>
        <w:ind w:firstLine="630" w:firstLineChars="300"/>
        <w:rPr>
          <w:rFonts w:ascii="宋体" w:hAnsi="宋体"/>
          <w:kern w:val="0"/>
          <w:szCs w:val="21"/>
        </w:rPr>
      </w:pPr>
      <w:r>
        <w:rPr>
          <w:rFonts w:hint="eastAsia" w:ascii="宋体" w:hAnsi="宋体"/>
          <w:kern w:val="0"/>
          <w:szCs w:val="21"/>
        </w:rPr>
        <w:t>本授权委托书声明：我（姓名）系（投标人）的法定代表人，现授权委托（姓名）为我的代理人，以本单位的名义参加 （招标人）的</w:t>
      </w:r>
      <w:r>
        <w:rPr>
          <w:rFonts w:hint="eastAsia" w:ascii="宋体" w:hAnsi="宋体"/>
          <w:kern w:val="0"/>
          <w:szCs w:val="21"/>
          <w:u w:val="single"/>
        </w:rPr>
        <w:t xml:space="preserve">         (项目名称)               </w:t>
      </w:r>
      <w:r>
        <w:rPr>
          <w:rFonts w:hint="eastAsia" w:ascii="宋体" w:hAnsi="宋体"/>
          <w:kern w:val="0"/>
          <w:szCs w:val="21"/>
        </w:rPr>
        <w:t>的投标。授权委托人在开标、评标、合同谈判过程中所签署的一切文件和处理与之有关的一切事务，我均予以承认。</w:t>
      </w:r>
    </w:p>
    <w:p>
      <w:pPr>
        <w:spacing w:line="360" w:lineRule="auto"/>
        <w:ind w:firstLine="630" w:firstLineChars="300"/>
        <w:rPr>
          <w:rFonts w:ascii="宋体" w:hAnsi="宋体"/>
          <w:kern w:val="0"/>
          <w:szCs w:val="21"/>
        </w:rPr>
      </w:pPr>
    </w:p>
    <w:p>
      <w:pPr>
        <w:spacing w:line="360" w:lineRule="auto"/>
        <w:ind w:firstLine="630" w:firstLineChars="300"/>
        <w:rPr>
          <w:rFonts w:ascii="宋体" w:hAnsi="宋体"/>
          <w:kern w:val="0"/>
          <w:szCs w:val="21"/>
        </w:rPr>
      </w:pPr>
      <w:r>
        <w:rPr>
          <w:rFonts w:hint="eastAsia" w:ascii="宋体" w:hAnsi="宋体"/>
          <w:kern w:val="0"/>
          <w:szCs w:val="21"/>
        </w:rPr>
        <w:t>代理人无转委托权，特此委托。</w:t>
      </w:r>
    </w:p>
    <w:p>
      <w:pPr>
        <w:spacing w:line="360" w:lineRule="auto"/>
        <w:ind w:firstLine="630" w:firstLineChars="300"/>
        <w:rPr>
          <w:rFonts w:ascii="宋体" w:hAnsi="宋体"/>
          <w:kern w:val="0"/>
          <w:szCs w:val="21"/>
        </w:rPr>
      </w:pPr>
    </w:p>
    <w:p>
      <w:pPr>
        <w:spacing w:line="360" w:lineRule="auto"/>
        <w:ind w:firstLine="630" w:firstLineChars="300"/>
        <w:rPr>
          <w:rFonts w:ascii="宋体" w:hAnsi="宋体"/>
          <w:kern w:val="0"/>
          <w:szCs w:val="21"/>
        </w:rPr>
      </w:pPr>
      <w:r>
        <w:rPr>
          <w:rFonts w:hint="eastAsia" w:ascii="宋体" w:hAnsi="宋体"/>
          <w:kern w:val="0"/>
          <w:szCs w:val="21"/>
        </w:rPr>
        <w:t>投标人（盖章）：</w:t>
      </w:r>
    </w:p>
    <w:p>
      <w:pPr>
        <w:spacing w:line="360" w:lineRule="auto"/>
        <w:ind w:firstLine="630" w:firstLineChars="300"/>
        <w:rPr>
          <w:rFonts w:ascii="宋体" w:hAnsi="宋体"/>
          <w:kern w:val="0"/>
          <w:szCs w:val="21"/>
        </w:rPr>
      </w:pPr>
      <w:r>
        <w:rPr>
          <w:rFonts w:hint="eastAsia" w:ascii="宋体" w:hAnsi="宋体"/>
          <w:kern w:val="0"/>
          <w:szCs w:val="21"/>
        </w:rPr>
        <w:t>法定代表人（签章）：</w:t>
      </w:r>
    </w:p>
    <w:p>
      <w:pPr>
        <w:spacing w:line="360" w:lineRule="auto"/>
        <w:ind w:firstLine="630" w:firstLineChars="300"/>
        <w:rPr>
          <w:rFonts w:ascii="宋体" w:hAnsi="宋体"/>
          <w:kern w:val="0"/>
          <w:szCs w:val="21"/>
        </w:rPr>
      </w:pPr>
      <w:r>
        <w:rPr>
          <w:rFonts w:hint="eastAsia" w:ascii="宋体" w:hAnsi="宋体"/>
          <w:kern w:val="0"/>
          <w:szCs w:val="21"/>
        </w:rPr>
        <w:t>代理人：性别：年龄：</w:t>
      </w:r>
    </w:p>
    <w:p>
      <w:pPr>
        <w:spacing w:line="360" w:lineRule="auto"/>
        <w:ind w:firstLine="630" w:firstLineChars="300"/>
        <w:rPr>
          <w:rFonts w:ascii="宋体" w:hAnsi="宋体"/>
          <w:kern w:val="0"/>
          <w:szCs w:val="21"/>
        </w:rPr>
      </w:pPr>
      <w:r>
        <w:rPr>
          <w:rFonts w:hint="eastAsia" w:ascii="宋体" w:hAnsi="宋体"/>
          <w:kern w:val="0"/>
          <w:szCs w:val="21"/>
        </w:rPr>
        <w:t>身份证号码：职务：</w:t>
      </w:r>
    </w:p>
    <w:p>
      <w:pPr>
        <w:spacing w:line="360" w:lineRule="auto"/>
        <w:ind w:firstLine="630" w:firstLineChars="300"/>
        <w:rPr>
          <w:rFonts w:ascii="宋体" w:hAnsi="宋体"/>
          <w:kern w:val="0"/>
          <w:szCs w:val="21"/>
        </w:rPr>
      </w:pPr>
      <w:r>
        <w:rPr>
          <w:rFonts w:hint="eastAsia" w:ascii="宋体" w:hAnsi="宋体"/>
          <w:kern w:val="0"/>
          <w:szCs w:val="21"/>
        </w:rPr>
        <w:t>授权委托日期：年月日</w:t>
      </w:r>
    </w:p>
    <w:p>
      <w:pPr>
        <w:autoSpaceDE w:val="0"/>
        <w:autoSpaceDN w:val="0"/>
        <w:adjustRightInd w:val="0"/>
        <w:spacing w:line="360" w:lineRule="auto"/>
        <w:rPr>
          <w:rFonts w:ascii="宋体" w:hAnsi="宋体"/>
          <w:kern w:val="0"/>
          <w:szCs w:val="21"/>
        </w:rPr>
      </w:pPr>
    </w:p>
    <w:p>
      <w:pPr>
        <w:autoSpaceDE w:val="0"/>
        <w:autoSpaceDN w:val="0"/>
        <w:adjustRightInd w:val="0"/>
        <w:spacing w:line="360" w:lineRule="auto"/>
        <w:rPr>
          <w:rFonts w:ascii="宋体" w:hAnsi="宋体"/>
          <w:kern w:val="0"/>
          <w:szCs w:val="21"/>
        </w:rPr>
      </w:pPr>
    </w:p>
    <w:p>
      <w:pPr>
        <w:autoSpaceDE w:val="0"/>
        <w:autoSpaceDN w:val="0"/>
        <w:adjustRightInd w:val="0"/>
        <w:spacing w:line="360" w:lineRule="auto"/>
        <w:rPr>
          <w:rFonts w:ascii="宋体" w:hAnsi="宋体"/>
          <w:kern w:val="0"/>
          <w:szCs w:val="21"/>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8522" w:type="dxa"/>
          </w:tcPr>
          <w:p>
            <w:pPr>
              <w:spacing w:line="360" w:lineRule="auto"/>
              <w:rPr>
                <w:rFonts w:ascii="宋体" w:hAnsi="宋体"/>
                <w:kern w:val="0"/>
                <w:szCs w:val="21"/>
              </w:rPr>
            </w:pPr>
          </w:p>
          <w:p>
            <w:pPr>
              <w:spacing w:line="360" w:lineRule="auto"/>
              <w:rPr>
                <w:rFonts w:ascii="宋体" w:hAnsi="宋体"/>
                <w:kern w:val="0"/>
                <w:szCs w:val="21"/>
              </w:rPr>
            </w:pPr>
            <w:r>
              <w:rPr>
                <w:rFonts w:hint="eastAsia" w:ascii="宋体" w:hAnsi="宋体"/>
                <w:kern w:val="0"/>
                <w:szCs w:val="21"/>
              </w:rPr>
              <w:t>被授权人身份证（复印件）：</w:t>
            </w:r>
          </w:p>
          <w:p>
            <w:pPr>
              <w:spacing w:line="360" w:lineRule="auto"/>
              <w:rPr>
                <w:rFonts w:ascii="宋体" w:hAnsi="宋体"/>
                <w:kern w:val="0"/>
                <w:szCs w:val="21"/>
              </w:rPr>
            </w:pPr>
          </w:p>
        </w:tc>
      </w:tr>
    </w:tbl>
    <w:p>
      <w:pPr>
        <w:autoSpaceDE w:val="0"/>
        <w:autoSpaceDN w:val="0"/>
        <w:adjustRightInd w:val="0"/>
        <w:spacing w:line="360" w:lineRule="auto"/>
        <w:jc w:val="left"/>
        <w:rPr>
          <w:rFonts w:ascii="宋体" w:hAnsi="宋体"/>
          <w:kern w:val="0"/>
          <w:szCs w:val="21"/>
        </w:rPr>
      </w:pPr>
    </w:p>
    <w:p>
      <w:pPr>
        <w:pStyle w:val="4"/>
        <w:numPr>
          <w:ilvl w:val="0"/>
          <w:numId w:val="0"/>
        </w:numPr>
        <w:ind w:left="720"/>
        <w:jc w:val="center"/>
        <w:rPr>
          <w:rFonts w:ascii="宋体" w:hAnsi="宋体"/>
          <w:szCs w:val="21"/>
        </w:rPr>
      </w:pPr>
      <w:r>
        <w:rPr>
          <w:rFonts w:ascii="宋体" w:hAnsi="宋体"/>
          <w:kern w:val="0"/>
          <w:szCs w:val="21"/>
        </w:rPr>
        <w:br w:type="page"/>
      </w:r>
      <w:bookmarkStart w:id="125" w:name="_Toc48634284"/>
      <w:bookmarkStart w:id="126" w:name="_Toc421688577"/>
      <w:bookmarkStart w:id="127" w:name="_Toc333771911"/>
      <w:r>
        <w:rPr>
          <w:rFonts w:ascii="宋体" w:hAnsi="宋体"/>
          <w:kern w:val="0"/>
          <w:szCs w:val="21"/>
        </w:rPr>
        <w:t>4</w:t>
      </w:r>
      <w:r>
        <w:rPr>
          <w:rFonts w:hint="eastAsia" w:ascii="宋体" w:hAnsi="宋体"/>
          <w:kern w:val="0"/>
          <w:szCs w:val="21"/>
        </w:rPr>
        <w:t>、</w:t>
      </w:r>
      <w:r>
        <w:rPr>
          <w:rFonts w:hint="eastAsia"/>
          <w:snapToGrid w:val="0"/>
        </w:rPr>
        <w:t>法定代表人身份证明书</w:t>
      </w:r>
      <w:bookmarkEnd w:id="125"/>
      <w:bookmarkEnd w:id="126"/>
      <w:bookmarkEnd w:id="127"/>
    </w:p>
    <w:p>
      <w:pPr>
        <w:spacing w:line="360" w:lineRule="auto"/>
        <w:rPr>
          <w:rFonts w:ascii="宋体" w:hAnsi="宋体"/>
          <w:kern w:val="0"/>
          <w:szCs w:val="21"/>
        </w:rPr>
      </w:pPr>
    </w:p>
    <w:p>
      <w:pPr>
        <w:spacing w:line="360" w:lineRule="auto"/>
        <w:ind w:firstLine="630" w:firstLineChars="300"/>
        <w:rPr>
          <w:rFonts w:ascii="宋体" w:hAnsi="宋体"/>
          <w:kern w:val="0"/>
          <w:szCs w:val="21"/>
        </w:rPr>
      </w:pPr>
      <w:r>
        <w:rPr>
          <w:rFonts w:hint="eastAsia" w:ascii="宋体" w:hAnsi="宋体"/>
          <w:kern w:val="0"/>
          <w:szCs w:val="21"/>
        </w:rPr>
        <w:t>兹证明（姓名）</w:t>
      </w:r>
      <w:r>
        <w:rPr>
          <w:rFonts w:hint="eastAsia" w:ascii="宋体" w:hAnsi="宋体"/>
          <w:szCs w:val="21"/>
        </w:rPr>
        <w:t>在我单位任职务</w:t>
      </w:r>
      <w:r>
        <w:rPr>
          <w:rFonts w:hint="eastAsia" w:ascii="宋体" w:hAnsi="宋体"/>
          <w:kern w:val="0"/>
          <w:szCs w:val="21"/>
        </w:rPr>
        <w:t>，系（投标人）的法定代表人。</w:t>
      </w:r>
    </w:p>
    <w:p>
      <w:pPr>
        <w:spacing w:line="360" w:lineRule="auto"/>
        <w:ind w:firstLine="630" w:firstLineChars="300"/>
        <w:rPr>
          <w:rFonts w:ascii="宋体" w:hAnsi="宋体"/>
          <w:kern w:val="0"/>
          <w:szCs w:val="21"/>
        </w:rPr>
      </w:pPr>
    </w:p>
    <w:p>
      <w:pPr>
        <w:spacing w:line="360" w:lineRule="auto"/>
        <w:ind w:firstLine="630" w:firstLineChars="300"/>
        <w:rPr>
          <w:rFonts w:ascii="宋体" w:hAnsi="宋体"/>
          <w:kern w:val="0"/>
          <w:szCs w:val="21"/>
        </w:rPr>
      </w:pPr>
      <w:r>
        <w:rPr>
          <w:rFonts w:hint="eastAsia" w:ascii="宋体" w:hAnsi="宋体"/>
          <w:kern w:val="0"/>
          <w:szCs w:val="21"/>
        </w:rPr>
        <w:t>投标人（盖章）：</w:t>
      </w:r>
    </w:p>
    <w:p>
      <w:pPr>
        <w:spacing w:line="360" w:lineRule="auto"/>
        <w:ind w:firstLine="630" w:firstLineChars="300"/>
        <w:rPr>
          <w:rFonts w:ascii="宋体" w:hAnsi="宋体"/>
          <w:kern w:val="0"/>
          <w:szCs w:val="21"/>
        </w:rPr>
      </w:pPr>
      <w:r>
        <w:rPr>
          <w:rFonts w:hint="eastAsia" w:ascii="宋体" w:hAnsi="宋体"/>
          <w:kern w:val="0"/>
          <w:szCs w:val="21"/>
        </w:rPr>
        <w:t>法定代表人（签章）：</w:t>
      </w:r>
    </w:p>
    <w:p>
      <w:pPr>
        <w:spacing w:line="360" w:lineRule="auto"/>
        <w:ind w:firstLine="630" w:firstLineChars="300"/>
        <w:rPr>
          <w:rFonts w:ascii="宋体" w:hAnsi="宋体"/>
          <w:kern w:val="0"/>
          <w:szCs w:val="21"/>
        </w:rPr>
      </w:pPr>
      <w:r>
        <w:rPr>
          <w:rFonts w:hint="eastAsia" w:ascii="宋体" w:hAnsi="宋体"/>
          <w:kern w:val="0"/>
          <w:szCs w:val="21"/>
        </w:rPr>
        <w:t>性别：年龄：</w:t>
      </w:r>
    </w:p>
    <w:p>
      <w:pPr>
        <w:spacing w:line="360" w:lineRule="auto"/>
        <w:ind w:firstLine="630" w:firstLineChars="300"/>
        <w:rPr>
          <w:rFonts w:ascii="宋体" w:hAnsi="宋体"/>
          <w:kern w:val="0"/>
          <w:szCs w:val="21"/>
        </w:rPr>
      </w:pPr>
      <w:r>
        <w:rPr>
          <w:rFonts w:hint="eastAsia" w:ascii="宋体" w:hAnsi="宋体"/>
          <w:kern w:val="0"/>
          <w:szCs w:val="21"/>
        </w:rPr>
        <w:t>身份证号码：</w:t>
      </w:r>
    </w:p>
    <w:p>
      <w:pPr>
        <w:spacing w:line="360" w:lineRule="auto"/>
        <w:ind w:firstLine="5985" w:firstLineChars="2850"/>
        <w:rPr>
          <w:rFonts w:ascii="宋体" w:hAnsi="宋体"/>
          <w:kern w:val="0"/>
          <w:szCs w:val="21"/>
        </w:rPr>
      </w:pPr>
      <w:r>
        <w:rPr>
          <w:rFonts w:hint="eastAsia" w:ascii="宋体" w:hAnsi="宋体"/>
          <w:kern w:val="0"/>
          <w:szCs w:val="21"/>
        </w:rPr>
        <w:t>年月日</w:t>
      </w:r>
    </w:p>
    <w:p>
      <w:pPr>
        <w:autoSpaceDE w:val="0"/>
        <w:autoSpaceDN w:val="0"/>
        <w:adjustRightInd w:val="0"/>
        <w:spacing w:line="360" w:lineRule="auto"/>
        <w:rPr>
          <w:rFonts w:ascii="宋体" w:hAnsi="宋体"/>
          <w:kern w:val="0"/>
          <w:szCs w:val="21"/>
        </w:rPr>
      </w:pPr>
    </w:p>
    <w:p>
      <w:pPr>
        <w:autoSpaceDE w:val="0"/>
        <w:autoSpaceDN w:val="0"/>
        <w:adjustRightInd w:val="0"/>
        <w:spacing w:line="360" w:lineRule="auto"/>
        <w:rPr>
          <w:rFonts w:ascii="宋体" w:hAnsi="宋体"/>
          <w:kern w:val="0"/>
          <w:szCs w:val="21"/>
        </w:rPr>
      </w:pPr>
    </w:p>
    <w:p>
      <w:pPr>
        <w:autoSpaceDE w:val="0"/>
        <w:autoSpaceDN w:val="0"/>
        <w:adjustRightInd w:val="0"/>
        <w:spacing w:line="360" w:lineRule="auto"/>
        <w:rPr>
          <w:rFonts w:ascii="宋体" w:hAnsi="宋体"/>
          <w:kern w:val="0"/>
          <w:szCs w:val="21"/>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8522" w:type="dxa"/>
          </w:tcPr>
          <w:p>
            <w:pPr>
              <w:spacing w:line="360" w:lineRule="auto"/>
              <w:rPr>
                <w:rFonts w:ascii="宋体" w:hAnsi="宋体"/>
                <w:kern w:val="0"/>
                <w:szCs w:val="21"/>
              </w:rPr>
            </w:pPr>
          </w:p>
          <w:p>
            <w:pPr>
              <w:spacing w:line="360" w:lineRule="auto"/>
              <w:rPr>
                <w:rFonts w:ascii="宋体" w:hAnsi="宋体"/>
                <w:kern w:val="0"/>
                <w:szCs w:val="21"/>
              </w:rPr>
            </w:pPr>
            <w:r>
              <w:rPr>
                <w:rFonts w:hint="eastAsia" w:ascii="宋体" w:hAnsi="宋体"/>
                <w:kern w:val="0"/>
                <w:szCs w:val="21"/>
              </w:rPr>
              <w:t>法定代表人身份证（复印件）：</w:t>
            </w:r>
          </w:p>
          <w:p>
            <w:pPr>
              <w:spacing w:line="360" w:lineRule="auto"/>
              <w:rPr>
                <w:rFonts w:ascii="宋体" w:hAnsi="宋体"/>
                <w:kern w:val="0"/>
                <w:szCs w:val="21"/>
              </w:rPr>
            </w:pPr>
          </w:p>
        </w:tc>
      </w:tr>
    </w:tbl>
    <w:p>
      <w:pPr>
        <w:pStyle w:val="4"/>
        <w:numPr>
          <w:ilvl w:val="0"/>
          <w:numId w:val="0"/>
        </w:numPr>
        <w:ind w:left="720" w:hanging="720"/>
        <w:jc w:val="center"/>
        <w:rPr>
          <w:snapToGrid w:val="0"/>
        </w:rPr>
      </w:pPr>
      <w:r>
        <w:rPr>
          <w:rFonts w:ascii="宋体" w:hAnsi="宋体"/>
          <w:kern w:val="0"/>
          <w:szCs w:val="21"/>
        </w:rPr>
        <w:br w:type="page"/>
      </w:r>
      <w:bookmarkStart w:id="128" w:name="_Toc421688579"/>
      <w:bookmarkStart w:id="129" w:name="_Toc333771913"/>
    </w:p>
    <w:p>
      <w:pPr>
        <w:pStyle w:val="4"/>
        <w:numPr>
          <w:ilvl w:val="0"/>
          <w:numId w:val="0"/>
        </w:numPr>
        <w:ind w:left="720" w:hanging="720"/>
        <w:jc w:val="center"/>
        <w:rPr>
          <w:b w:val="0"/>
          <w:snapToGrid w:val="0"/>
        </w:rPr>
      </w:pPr>
      <w:bookmarkStart w:id="130" w:name="_Toc48634285"/>
      <w:r>
        <w:rPr>
          <w:snapToGrid w:val="0"/>
        </w:rPr>
        <w:t>5</w:t>
      </w:r>
      <w:r>
        <w:rPr>
          <w:rFonts w:hint="eastAsia"/>
          <w:snapToGrid w:val="0"/>
        </w:rPr>
        <w:t>、</w:t>
      </w:r>
      <w:bookmarkEnd w:id="128"/>
      <w:bookmarkEnd w:id="129"/>
      <w:r>
        <w:rPr>
          <w:rFonts w:hint="eastAsia"/>
          <w:snapToGrid w:val="0"/>
        </w:rPr>
        <w:t>分项报价表</w:t>
      </w:r>
      <w:bookmarkEnd w:id="130"/>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格式自拟。</w:t>
      </w:r>
    </w:p>
    <w:p>
      <w:pPr>
        <w:adjustRightInd w:val="0"/>
        <w:snapToGrid w:val="0"/>
        <w:spacing w:line="360" w:lineRule="auto"/>
        <w:rPr>
          <w:rFonts w:ascii="宋体" w:hAnsi="宋体"/>
          <w:szCs w:val="21"/>
        </w:rPr>
      </w:pPr>
      <w:r>
        <w:rPr>
          <w:rFonts w:hint="eastAsia" w:ascii="宋体" w:hAnsi="宋体"/>
          <w:szCs w:val="21"/>
        </w:rPr>
        <w:t>说明：</w:t>
      </w:r>
    </w:p>
    <w:p>
      <w:pPr>
        <w:numPr>
          <w:ilvl w:val="0"/>
          <w:numId w:val="50"/>
        </w:numPr>
        <w:adjustRightInd w:val="0"/>
        <w:snapToGrid w:val="0"/>
        <w:spacing w:line="360" w:lineRule="auto"/>
        <w:rPr>
          <w:rFonts w:ascii="宋体" w:hAnsi="宋体"/>
          <w:szCs w:val="21"/>
        </w:rPr>
      </w:pPr>
      <w:r>
        <w:rPr>
          <w:rFonts w:ascii="宋体" w:hAnsi="宋体"/>
          <w:szCs w:val="21"/>
        </w:rPr>
        <w:t>所有价格均用人民币</w:t>
      </w:r>
      <w:r>
        <w:rPr>
          <w:rFonts w:hint="eastAsia" w:ascii="宋体" w:hAnsi="宋体"/>
          <w:szCs w:val="21"/>
          <w:lang w:val="en-US" w:eastAsia="zh-CN"/>
        </w:rPr>
        <w:t>或%</w:t>
      </w:r>
      <w:r>
        <w:rPr>
          <w:rFonts w:ascii="宋体" w:hAnsi="宋体"/>
          <w:szCs w:val="21"/>
        </w:rPr>
        <w:t>表示</w:t>
      </w:r>
      <w:r>
        <w:rPr>
          <w:rFonts w:hint="eastAsia" w:ascii="宋体" w:hAnsi="宋体"/>
          <w:szCs w:val="21"/>
          <w:lang w:eastAsia="zh-CN"/>
        </w:rPr>
        <w:t>。</w:t>
      </w:r>
    </w:p>
    <w:p>
      <w:pPr>
        <w:numPr>
          <w:ilvl w:val="0"/>
          <w:numId w:val="50"/>
        </w:numPr>
        <w:adjustRightInd w:val="0"/>
        <w:snapToGrid w:val="0"/>
        <w:spacing w:line="360" w:lineRule="auto"/>
        <w:rPr>
          <w:rFonts w:ascii="宋体" w:hAnsi="宋体"/>
          <w:szCs w:val="21"/>
        </w:rPr>
      </w:pPr>
      <w:r>
        <w:rPr>
          <w:rFonts w:hint="eastAsia" w:ascii="宋体" w:hAnsi="宋体"/>
          <w:szCs w:val="21"/>
        </w:rPr>
        <w:t>分项报价总计价格必须与《报价一览表》报价一致。</w:t>
      </w:r>
    </w:p>
    <w:p>
      <w:pPr>
        <w:numPr>
          <w:ilvl w:val="0"/>
          <w:numId w:val="50"/>
        </w:numPr>
        <w:adjustRightInd w:val="0"/>
        <w:snapToGrid w:val="0"/>
        <w:spacing w:line="360" w:lineRule="auto"/>
        <w:rPr>
          <w:rFonts w:ascii="宋体" w:hAnsi="宋体"/>
          <w:szCs w:val="21"/>
        </w:rPr>
      </w:pPr>
      <w:r>
        <w:rPr>
          <w:rFonts w:hint="eastAsia" w:ascii="宋体" w:hAnsi="宋体"/>
          <w:szCs w:val="21"/>
        </w:rPr>
        <w:t>如果不提供详细的分项报价将被视为没有实质性响应采购文件。</w:t>
      </w:r>
    </w:p>
    <w:p>
      <w:pPr>
        <w:numPr>
          <w:ilvl w:val="0"/>
          <w:numId w:val="50"/>
        </w:numPr>
        <w:adjustRightInd w:val="0"/>
        <w:snapToGrid w:val="0"/>
        <w:spacing w:line="360" w:lineRule="auto"/>
        <w:rPr>
          <w:rFonts w:ascii="宋体" w:hAnsi="宋体"/>
          <w:szCs w:val="21"/>
        </w:rPr>
      </w:pPr>
      <w:r>
        <w:rPr>
          <w:rFonts w:hint="eastAsia" w:ascii="宋体" w:hAnsi="宋体"/>
          <w:szCs w:val="21"/>
        </w:rPr>
        <w:t>供应商按此表格式中的对应栏目内容填写，也可修改或增加栏目。</w:t>
      </w:r>
    </w:p>
    <w:p>
      <w:pPr>
        <w:numPr>
          <w:ilvl w:val="0"/>
          <w:numId w:val="50"/>
        </w:numPr>
        <w:adjustRightInd w:val="0"/>
        <w:snapToGrid w:val="0"/>
        <w:spacing w:line="360" w:lineRule="auto"/>
        <w:rPr>
          <w:rFonts w:ascii="宋体" w:hAnsi="宋体"/>
          <w:szCs w:val="21"/>
        </w:rPr>
      </w:pPr>
      <w:r>
        <w:rPr>
          <w:rFonts w:hint="eastAsia" w:ascii="宋体" w:hAnsi="宋体"/>
          <w:szCs w:val="21"/>
          <w:lang w:val="en-US" w:eastAsia="zh-CN"/>
        </w:rPr>
        <w:t>如无此项可不提供。</w:t>
      </w:r>
    </w:p>
    <w:p>
      <w:pPr>
        <w:adjustRightInd w:val="0"/>
        <w:snapToGrid w:val="0"/>
        <w:spacing w:line="360" w:lineRule="auto"/>
        <w:ind w:left="-88" w:leftChars="-42"/>
        <w:rPr>
          <w:rFonts w:ascii="宋体" w:hAnsi="宋体"/>
          <w:szCs w:val="21"/>
        </w:rPr>
      </w:pPr>
    </w:p>
    <w:p>
      <w:pPr>
        <w:adjustRightInd w:val="0"/>
        <w:snapToGrid w:val="0"/>
        <w:spacing w:line="360" w:lineRule="auto"/>
        <w:ind w:left="-88" w:leftChars="-42"/>
        <w:rPr>
          <w:rFonts w:ascii="宋体" w:hAnsi="宋体"/>
          <w:szCs w:val="21"/>
        </w:rPr>
      </w:pPr>
      <w:r>
        <w:rPr>
          <w:rFonts w:hint="eastAsia" w:ascii="宋体" w:hAnsi="宋体"/>
          <w:szCs w:val="21"/>
        </w:rPr>
        <w:t>供应商法定代表人或委托代理人签字：</w:t>
      </w:r>
    </w:p>
    <w:p>
      <w:pPr>
        <w:adjustRightInd w:val="0"/>
        <w:snapToGrid w:val="0"/>
        <w:spacing w:line="360" w:lineRule="auto"/>
        <w:ind w:left="-88" w:leftChars="-42"/>
        <w:rPr>
          <w:rFonts w:ascii="宋体" w:hAnsi="宋体" w:cs="宋体"/>
          <w:bCs/>
          <w:szCs w:val="21"/>
          <w:u w:val="single"/>
        </w:rPr>
      </w:pPr>
      <w:r>
        <w:rPr>
          <w:rFonts w:hint="eastAsia" w:ascii="宋体" w:hAnsi="宋体"/>
          <w:szCs w:val="21"/>
        </w:rPr>
        <w:t>供应商名称（盖章）：</w:t>
      </w:r>
    </w:p>
    <w:p>
      <w:pPr>
        <w:adjustRightInd w:val="0"/>
        <w:snapToGrid w:val="0"/>
        <w:spacing w:line="360" w:lineRule="auto"/>
        <w:ind w:left="-88" w:leftChars="-42"/>
        <w:rPr>
          <w:rFonts w:ascii="宋体" w:hAnsi="宋体" w:cs="宋体"/>
          <w:b/>
          <w:bCs/>
          <w:szCs w:val="21"/>
        </w:rPr>
      </w:pPr>
      <w:r>
        <w:rPr>
          <w:rFonts w:hint="eastAsia" w:ascii="宋体" w:hAnsi="宋体"/>
          <w:szCs w:val="21"/>
        </w:rPr>
        <w:t>时  间：年月日</w:t>
      </w:r>
    </w:p>
    <w:p>
      <w:pPr>
        <w:widowControl/>
        <w:jc w:val="left"/>
        <w:rPr>
          <w:b/>
          <w:snapToGrid w:val="0"/>
          <w:sz w:val="28"/>
          <w:lang w:val="zh-CN"/>
        </w:rPr>
      </w:pPr>
      <w:r>
        <w:rPr>
          <w:b/>
          <w:snapToGrid w:val="0"/>
          <w:sz w:val="28"/>
          <w:lang w:val="zh-CN"/>
        </w:rPr>
        <w:br w:type="page"/>
      </w:r>
    </w:p>
    <w:p>
      <w:pPr>
        <w:widowControl/>
        <w:jc w:val="left"/>
        <w:rPr>
          <w:b/>
          <w:snapToGrid w:val="0"/>
          <w:sz w:val="28"/>
          <w:lang w:val="zh-CN"/>
        </w:rPr>
      </w:pPr>
    </w:p>
    <w:p>
      <w:pPr>
        <w:pStyle w:val="4"/>
        <w:numPr>
          <w:ilvl w:val="0"/>
          <w:numId w:val="0"/>
        </w:numPr>
        <w:ind w:left="720" w:hanging="720"/>
        <w:jc w:val="center"/>
        <w:rPr>
          <w:snapToGrid w:val="0"/>
        </w:rPr>
      </w:pPr>
      <w:bookmarkStart w:id="131" w:name="_Toc362935521"/>
      <w:bookmarkStart w:id="132" w:name="_Toc460439466"/>
      <w:bookmarkStart w:id="133" w:name="_Toc432149013"/>
      <w:bookmarkStart w:id="134" w:name="_Toc48634286"/>
      <w:bookmarkStart w:id="135" w:name="_Toc458697252"/>
      <w:r>
        <w:rPr>
          <w:snapToGrid w:val="0"/>
          <w:lang w:val="en-US"/>
        </w:rPr>
        <w:t>6</w:t>
      </w:r>
      <w:r>
        <w:rPr>
          <w:rFonts w:hint="eastAsia"/>
          <w:snapToGrid w:val="0"/>
          <w:lang w:val="en-US"/>
        </w:rPr>
        <w:t>、</w:t>
      </w:r>
      <w:r>
        <w:rPr>
          <w:rFonts w:hint="eastAsia"/>
          <w:snapToGrid w:val="0"/>
        </w:rPr>
        <w:t>类似业绩一览表</w:t>
      </w:r>
      <w:bookmarkEnd w:id="131"/>
      <w:bookmarkEnd w:id="132"/>
      <w:bookmarkEnd w:id="133"/>
      <w:bookmarkEnd w:id="134"/>
      <w:bookmarkEnd w:id="135"/>
    </w:p>
    <w:tbl>
      <w:tblPr>
        <w:tblStyle w:val="2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01"/>
        <w:gridCol w:w="2348"/>
        <w:gridCol w:w="1276"/>
        <w:gridCol w:w="168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7" w:type="dxa"/>
            <w:vAlign w:val="center"/>
          </w:tcPr>
          <w:p>
            <w:pPr>
              <w:spacing w:line="360" w:lineRule="auto"/>
              <w:rPr>
                <w:rFonts w:ascii="宋体" w:hAnsi="宋体"/>
                <w:szCs w:val="21"/>
              </w:rPr>
            </w:pPr>
            <w:r>
              <w:rPr>
                <w:rFonts w:hint="eastAsia" w:ascii="宋体" w:hAnsi="宋体"/>
                <w:szCs w:val="21"/>
              </w:rPr>
              <w:t>项目完成时间</w:t>
            </w:r>
          </w:p>
        </w:tc>
        <w:tc>
          <w:tcPr>
            <w:tcW w:w="1301" w:type="dxa"/>
            <w:vAlign w:val="center"/>
          </w:tcPr>
          <w:p>
            <w:pPr>
              <w:spacing w:line="360" w:lineRule="auto"/>
              <w:rPr>
                <w:rFonts w:ascii="宋体" w:hAnsi="宋体"/>
                <w:szCs w:val="21"/>
              </w:rPr>
            </w:pPr>
            <w:r>
              <w:rPr>
                <w:rFonts w:hint="eastAsia" w:ascii="宋体" w:hAnsi="宋体"/>
                <w:szCs w:val="21"/>
              </w:rPr>
              <w:t>业主单位</w:t>
            </w:r>
          </w:p>
        </w:tc>
        <w:tc>
          <w:tcPr>
            <w:tcW w:w="2348" w:type="dxa"/>
            <w:vAlign w:val="center"/>
          </w:tcPr>
          <w:p>
            <w:pPr>
              <w:spacing w:line="360" w:lineRule="auto"/>
              <w:rPr>
                <w:rFonts w:ascii="宋体" w:hAnsi="宋体"/>
                <w:szCs w:val="21"/>
              </w:rPr>
            </w:pPr>
            <w:r>
              <w:rPr>
                <w:rFonts w:hint="eastAsia" w:ascii="宋体" w:hAnsi="宋体"/>
                <w:szCs w:val="21"/>
              </w:rPr>
              <w:t>项目概况</w:t>
            </w:r>
          </w:p>
        </w:tc>
        <w:tc>
          <w:tcPr>
            <w:tcW w:w="1276" w:type="dxa"/>
            <w:vAlign w:val="center"/>
          </w:tcPr>
          <w:p>
            <w:pPr>
              <w:spacing w:line="360" w:lineRule="auto"/>
              <w:rPr>
                <w:rFonts w:ascii="宋体" w:hAnsi="宋体"/>
                <w:szCs w:val="21"/>
              </w:rPr>
            </w:pPr>
            <w:r>
              <w:rPr>
                <w:rFonts w:hint="eastAsia" w:ascii="宋体" w:hAnsi="宋体"/>
                <w:szCs w:val="21"/>
              </w:rPr>
              <w:t>项目负责人</w:t>
            </w:r>
          </w:p>
        </w:tc>
        <w:tc>
          <w:tcPr>
            <w:tcW w:w="1680" w:type="dxa"/>
            <w:vAlign w:val="center"/>
          </w:tcPr>
          <w:p>
            <w:pPr>
              <w:spacing w:line="360" w:lineRule="auto"/>
              <w:rPr>
                <w:rFonts w:ascii="宋体" w:hAnsi="宋体"/>
                <w:szCs w:val="21"/>
              </w:rPr>
            </w:pPr>
            <w:r>
              <w:rPr>
                <w:rFonts w:hint="eastAsia" w:ascii="宋体" w:hAnsi="宋体"/>
                <w:szCs w:val="21"/>
              </w:rPr>
              <w:t>业主单位联系人及电话</w:t>
            </w:r>
          </w:p>
        </w:tc>
        <w:tc>
          <w:tcPr>
            <w:tcW w:w="1149" w:type="dxa"/>
            <w:vAlign w:val="center"/>
          </w:tcPr>
          <w:p>
            <w:pPr>
              <w:spacing w:line="360" w:lineRule="auto"/>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spacing w:line="360" w:lineRule="auto"/>
              <w:rPr>
                <w:rFonts w:ascii="宋体" w:hAnsi="宋体"/>
                <w:szCs w:val="21"/>
              </w:rPr>
            </w:pPr>
          </w:p>
          <w:p>
            <w:pPr>
              <w:spacing w:line="360" w:lineRule="auto"/>
              <w:rPr>
                <w:rFonts w:ascii="宋体" w:hAnsi="宋体"/>
                <w:szCs w:val="21"/>
              </w:rPr>
            </w:pPr>
          </w:p>
        </w:tc>
        <w:tc>
          <w:tcPr>
            <w:tcW w:w="1301" w:type="dxa"/>
          </w:tcPr>
          <w:p>
            <w:pPr>
              <w:spacing w:line="360" w:lineRule="auto"/>
              <w:rPr>
                <w:rFonts w:ascii="宋体" w:hAnsi="宋体"/>
                <w:szCs w:val="21"/>
              </w:rPr>
            </w:pPr>
          </w:p>
        </w:tc>
        <w:tc>
          <w:tcPr>
            <w:tcW w:w="2348" w:type="dxa"/>
          </w:tcPr>
          <w:p>
            <w:pPr>
              <w:spacing w:line="360" w:lineRule="auto"/>
              <w:rPr>
                <w:rFonts w:ascii="宋体" w:hAnsi="宋体"/>
                <w:szCs w:val="21"/>
              </w:rPr>
            </w:pPr>
          </w:p>
        </w:tc>
        <w:tc>
          <w:tcPr>
            <w:tcW w:w="1276" w:type="dxa"/>
          </w:tcPr>
          <w:p>
            <w:pPr>
              <w:spacing w:line="360" w:lineRule="auto"/>
              <w:rPr>
                <w:rFonts w:ascii="宋体" w:hAnsi="宋体"/>
                <w:szCs w:val="21"/>
              </w:rPr>
            </w:pPr>
          </w:p>
        </w:tc>
        <w:tc>
          <w:tcPr>
            <w:tcW w:w="1680" w:type="dxa"/>
          </w:tcPr>
          <w:p>
            <w:pPr>
              <w:spacing w:line="360" w:lineRule="auto"/>
              <w:rPr>
                <w:rFonts w:ascii="宋体" w:hAnsi="宋体"/>
                <w:szCs w:val="21"/>
              </w:rPr>
            </w:pPr>
          </w:p>
        </w:tc>
        <w:tc>
          <w:tcPr>
            <w:tcW w:w="114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spacing w:line="360" w:lineRule="auto"/>
              <w:rPr>
                <w:rFonts w:ascii="宋体" w:hAnsi="宋体"/>
                <w:szCs w:val="21"/>
              </w:rPr>
            </w:pPr>
          </w:p>
          <w:p>
            <w:pPr>
              <w:spacing w:line="360" w:lineRule="auto"/>
              <w:rPr>
                <w:rFonts w:ascii="宋体" w:hAnsi="宋体"/>
                <w:szCs w:val="21"/>
              </w:rPr>
            </w:pPr>
          </w:p>
        </w:tc>
        <w:tc>
          <w:tcPr>
            <w:tcW w:w="1301" w:type="dxa"/>
          </w:tcPr>
          <w:p>
            <w:pPr>
              <w:spacing w:line="360" w:lineRule="auto"/>
              <w:rPr>
                <w:rFonts w:ascii="宋体" w:hAnsi="宋体"/>
                <w:szCs w:val="21"/>
              </w:rPr>
            </w:pPr>
          </w:p>
        </w:tc>
        <w:tc>
          <w:tcPr>
            <w:tcW w:w="2348" w:type="dxa"/>
          </w:tcPr>
          <w:p>
            <w:pPr>
              <w:spacing w:line="360" w:lineRule="auto"/>
              <w:rPr>
                <w:rFonts w:ascii="宋体" w:hAnsi="宋体"/>
                <w:szCs w:val="21"/>
              </w:rPr>
            </w:pPr>
          </w:p>
        </w:tc>
        <w:tc>
          <w:tcPr>
            <w:tcW w:w="1276" w:type="dxa"/>
          </w:tcPr>
          <w:p>
            <w:pPr>
              <w:spacing w:line="360" w:lineRule="auto"/>
              <w:rPr>
                <w:rFonts w:ascii="宋体" w:hAnsi="宋体"/>
                <w:szCs w:val="21"/>
              </w:rPr>
            </w:pPr>
          </w:p>
        </w:tc>
        <w:tc>
          <w:tcPr>
            <w:tcW w:w="1680" w:type="dxa"/>
          </w:tcPr>
          <w:p>
            <w:pPr>
              <w:spacing w:line="360" w:lineRule="auto"/>
              <w:rPr>
                <w:rFonts w:ascii="宋体" w:hAnsi="宋体"/>
                <w:szCs w:val="21"/>
              </w:rPr>
            </w:pPr>
          </w:p>
        </w:tc>
        <w:tc>
          <w:tcPr>
            <w:tcW w:w="114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spacing w:line="360" w:lineRule="auto"/>
              <w:rPr>
                <w:rFonts w:ascii="宋体" w:hAnsi="宋体"/>
                <w:szCs w:val="21"/>
              </w:rPr>
            </w:pPr>
          </w:p>
          <w:p>
            <w:pPr>
              <w:spacing w:line="360" w:lineRule="auto"/>
              <w:rPr>
                <w:rFonts w:ascii="宋体" w:hAnsi="宋体"/>
                <w:szCs w:val="21"/>
              </w:rPr>
            </w:pPr>
          </w:p>
        </w:tc>
        <w:tc>
          <w:tcPr>
            <w:tcW w:w="1301" w:type="dxa"/>
          </w:tcPr>
          <w:p>
            <w:pPr>
              <w:spacing w:line="360" w:lineRule="auto"/>
              <w:rPr>
                <w:rFonts w:ascii="宋体" w:hAnsi="宋体"/>
                <w:szCs w:val="21"/>
              </w:rPr>
            </w:pPr>
          </w:p>
        </w:tc>
        <w:tc>
          <w:tcPr>
            <w:tcW w:w="2348" w:type="dxa"/>
          </w:tcPr>
          <w:p>
            <w:pPr>
              <w:spacing w:line="360" w:lineRule="auto"/>
              <w:rPr>
                <w:rFonts w:ascii="宋体" w:hAnsi="宋体"/>
                <w:szCs w:val="21"/>
              </w:rPr>
            </w:pPr>
          </w:p>
        </w:tc>
        <w:tc>
          <w:tcPr>
            <w:tcW w:w="1276" w:type="dxa"/>
          </w:tcPr>
          <w:p>
            <w:pPr>
              <w:spacing w:line="360" w:lineRule="auto"/>
              <w:rPr>
                <w:rFonts w:ascii="宋体" w:hAnsi="宋体"/>
                <w:szCs w:val="21"/>
              </w:rPr>
            </w:pPr>
          </w:p>
        </w:tc>
        <w:tc>
          <w:tcPr>
            <w:tcW w:w="1680" w:type="dxa"/>
          </w:tcPr>
          <w:p>
            <w:pPr>
              <w:spacing w:line="360" w:lineRule="auto"/>
              <w:rPr>
                <w:rFonts w:ascii="宋体" w:hAnsi="宋体"/>
                <w:szCs w:val="21"/>
              </w:rPr>
            </w:pPr>
          </w:p>
        </w:tc>
        <w:tc>
          <w:tcPr>
            <w:tcW w:w="114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spacing w:line="360" w:lineRule="auto"/>
              <w:rPr>
                <w:rFonts w:ascii="宋体" w:hAnsi="宋体"/>
                <w:szCs w:val="21"/>
              </w:rPr>
            </w:pPr>
          </w:p>
          <w:p>
            <w:pPr>
              <w:spacing w:line="360" w:lineRule="auto"/>
              <w:rPr>
                <w:rFonts w:ascii="宋体" w:hAnsi="宋体"/>
                <w:szCs w:val="21"/>
              </w:rPr>
            </w:pPr>
          </w:p>
        </w:tc>
        <w:tc>
          <w:tcPr>
            <w:tcW w:w="1301" w:type="dxa"/>
          </w:tcPr>
          <w:p>
            <w:pPr>
              <w:spacing w:line="360" w:lineRule="auto"/>
              <w:rPr>
                <w:rFonts w:ascii="宋体" w:hAnsi="宋体"/>
                <w:szCs w:val="21"/>
              </w:rPr>
            </w:pPr>
          </w:p>
        </w:tc>
        <w:tc>
          <w:tcPr>
            <w:tcW w:w="2348" w:type="dxa"/>
          </w:tcPr>
          <w:p>
            <w:pPr>
              <w:spacing w:line="360" w:lineRule="auto"/>
              <w:rPr>
                <w:rFonts w:ascii="宋体" w:hAnsi="宋体"/>
                <w:szCs w:val="21"/>
              </w:rPr>
            </w:pPr>
          </w:p>
        </w:tc>
        <w:tc>
          <w:tcPr>
            <w:tcW w:w="1276" w:type="dxa"/>
          </w:tcPr>
          <w:p>
            <w:pPr>
              <w:spacing w:line="360" w:lineRule="auto"/>
              <w:rPr>
                <w:rFonts w:ascii="宋体" w:hAnsi="宋体"/>
                <w:szCs w:val="21"/>
              </w:rPr>
            </w:pPr>
          </w:p>
        </w:tc>
        <w:tc>
          <w:tcPr>
            <w:tcW w:w="1680" w:type="dxa"/>
          </w:tcPr>
          <w:p>
            <w:pPr>
              <w:spacing w:line="360" w:lineRule="auto"/>
              <w:rPr>
                <w:rFonts w:ascii="宋体" w:hAnsi="宋体"/>
                <w:szCs w:val="21"/>
              </w:rPr>
            </w:pPr>
          </w:p>
        </w:tc>
        <w:tc>
          <w:tcPr>
            <w:tcW w:w="114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spacing w:line="360" w:lineRule="auto"/>
              <w:rPr>
                <w:rFonts w:ascii="宋体" w:hAnsi="宋体"/>
                <w:szCs w:val="21"/>
              </w:rPr>
            </w:pPr>
          </w:p>
          <w:p>
            <w:pPr>
              <w:spacing w:line="360" w:lineRule="auto"/>
              <w:rPr>
                <w:rFonts w:ascii="宋体" w:hAnsi="宋体"/>
                <w:szCs w:val="21"/>
              </w:rPr>
            </w:pPr>
          </w:p>
        </w:tc>
        <w:tc>
          <w:tcPr>
            <w:tcW w:w="1301" w:type="dxa"/>
          </w:tcPr>
          <w:p>
            <w:pPr>
              <w:spacing w:line="360" w:lineRule="auto"/>
              <w:rPr>
                <w:rFonts w:ascii="宋体" w:hAnsi="宋体"/>
                <w:szCs w:val="21"/>
              </w:rPr>
            </w:pPr>
          </w:p>
        </w:tc>
        <w:tc>
          <w:tcPr>
            <w:tcW w:w="2348" w:type="dxa"/>
          </w:tcPr>
          <w:p>
            <w:pPr>
              <w:spacing w:line="360" w:lineRule="auto"/>
              <w:rPr>
                <w:rFonts w:ascii="宋体" w:hAnsi="宋体"/>
                <w:szCs w:val="21"/>
              </w:rPr>
            </w:pPr>
          </w:p>
        </w:tc>
        <w:tc>
          <w:tcPr>
            <w:tcW w:w="1276" w:type="dxa"/>
          </w:tcPr>
          <w:p>
            <w:pPr>
              <w:spacing w:line="360" w:lineRule="auto"/>
              <w:rPr>
                <w:rFonts w:ascii="宋体" w:hAnsi="宋体"/>
                <w:szCs w:val="21"/>
              </w:rPr>
            </w:pPr>
          </w:p>
        </w:tc>
        <w:tc>
          <w:tcPr>
            <w:tcW w:w="1680" w:type="dxa"/>
          </w:tcPr>
          <w:p>
            <w:pPr>
              <w:spacing w:line="360" w:lineRule="auto"/>
              <w:rPr>
                <w:rFonts w:ascii="宋体" w:hAnsi="宋体"/>
                <w:szCs w:val="21"/>
              </w:rPr>
            </w:pPr>
          </w:p>
        </w:tc>
        <w:tc>
          <w:tcPr>
            <w:tcW w:w="114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spacing w:line="360" w:lineRule="auto"/>
              <w:rPr>
                <w:rFonts w:ascii="宋体" w:hAnsi="宋体"/>
                <w:szCs w:val="21"/>
              </w:rPr>
            </w:pPr>
          </w:p>
          <w:p>
            <w:pPr>
              <w:spacing w:line="360" w:lineRule="auto"/>
              <w:rPr>
                <w:rFonts w:ascii="宋体" w:hAnsi="宋体"/>
                <w:szCs w:val="21"/>
              </w:rPr>
            </w:pPr>
          </w:p>
        </w:tc>
        <w:tc>
          <w:tcPr>
            <w:tcW w:w="1301" w:type="dxa"/>
          </w:tcPr>
          <w:p>
            <w:pPr>
              <w:spacing w:line="360" w:lineRule="auto"/>
              <w:rPr>
                <w:rFonts w:ascii="宋体" w:hAnsi="宋体"/>
                <w:szCs w:val="21"/>
              </w:rPr>
            </w:pPr>
          </w:p>
        </w:tc>
        <w:tc>
          <w:tcPr>
            <w:tcW w:w="2348" w:type="dxa"/>
          </w:tcPr>
          <w:p>
            <w:pPr>
              <w:spacing w:line="360" w:lineRule="auto"/>
              <w:rPr>
                <w:rFonts w:ascii="宋体" w:hAnsi="宋体"/>
                <w:szCs w:val="21"/>
              </w:rPr>
            </w:pPr>
          </w:p>
        </w:tc>
        <w:tc>
          <w:tcPr>
            <w:tcW w:w="1276" w:type="dxa"/>
          </w:tcPr>
          <w:p>
            <w:pPr>
              <w:spacing w:line="360" w:lineRule="auto"/>
              <w:rPr>
                <w:rFonts w:ascii="宋体" w:hAnsi="宋体"/>
                <w:szCs w:val="21"/>
              </w:rPr>
            </w:pPr>
          </w:p>
        </w:tc>
        <w:tc>
          <w:tcPr>
            <w:tcW w:w="1680" w:type="dxa"/>
          </w:tcPr>
          <w:p>
            <w:pPr>
              <w:spacing w:line="360" w:lineRule="auto"/>
              <w:rPr>
                <w:rFonts w:ascii="宋体" w:hAnsi="宋体"/>
                <w:szCs w:val="21"/>
              </w:rPr>
            </w:pPr>
          </w:p>
        </w:tc>
        <w:tc>
          <w:tcPr>
            <w:tcW w:w="1149"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spacing w:line="360" w:lineRule="auto"/>
              <w:rPr>
                <w:rFonts w:ascii="宋体" w:hAnsi="宋体"/>
                <w:szCs w:val="21"/>
              </w:rPr>
            </w:pPr>
          </w:p>
          <w:p>
            <w:pPr>
              <w:spacing w:line="360" w:lineRule="auto"/>
              <w:rPr>
                <w:rFonts w:ascii="宋体" w:hAnsi="宋体"/>
                <w:szCs w:val="21"/>
              </w:rPr>
            </w:pPr>
          </w:p>
        </w:tc>
        <w:tc>
          <w:tcPr>
            <w:tcW w:w="1301" w:type="dxa"/>
          </w:tcPr>
          <w:p>
            <w:pPr>
              <w:spacing w:line="360" w:lineRule="auto"/>
              <w:rPr>
                <w:rFonts w:ascii="宋体" w:hAnsi="宋体"/>
                <w:szCs w:val="21"/>
              </w:rPr>
            </w:pPr>
          </w:p>
        </w:tc>
        <w:tc>
          <w:tcPr>
            <w:tcW w:w="2348" w:type="dxa"/>
          </w:tcPr>
          <w:p>
            <w:pPr>
              <w:spacing w:line="360" w:lineRule="auto"/>
              <w:rPr>
                <w:rFonts w:ascii="宋体" w:hAnsi="宋体"/>
                <w:szCs w:val="21"/>
              </w:rPr>
            </w:pPr>
          </w:p>
        </w:tc>
        <w:tc>
          <w:tcPr>
            <w:tcW w:w="1276" w:type="dxa"/>
          </w:tcPr>
          <w:p>
            <w:pPr>
              <w:spacing w:line="360" w:lineRule="auto"/>
              <w:rPr>
                <w:rFonts w:ascii="宋体" w:hAnsi="宋体"/>
                <w:szCs w:val="21"/>
              </w:rPr>
            </w:pPr>
          </w:p>
        </w:tc>
        <w:tc>
          <w:tcPr>
            <w:tcW w:w="1680" w:type="dxa"/>
          </w:tcPr>
          <w:p>
            <w:pPr>
              <w:spacing w:line="360" w:lineRule="auto"/>
              <w:rPr>
                <w:rFonts w:ascii="宋体" w:hAnsi="宋体"/>
                <w:szCs w:val="21"/>
              </w:rPr>
            </w:pPr>
          </w:p>
        </w:tc>
        <w:tc>
          <w:tcPr>
            <w:tcW w:w="1149" w:type="dxa"/>
          </w:tcPr>
          <w:p>
            <w:pPr>
              <w:spacing w:line="360" w:lineRule="auto"/>
              <w:rPr>
                <w:rFonts w:ascii="宋体" w:hAnsi="宋体"/>
                <w:szCs w:val="21"/>
              </w:rPr>
            </w:pPr>
          </w:p>
        </w:tc>
      </w:tr>
    </w:tbl>
    <w:p>
      <w:pPr>
        <w:spacing w:line="360" w:lineRule="auto"/>
        <w:rPr>
          <w:rFonts w:ascii="宋体" w:hAnsi="宋体"/>
          <w:szCs w:val="21"/>
        </w:rPr>
      </w:pPr>
      <w:r>
        <w:rPr>
          <w:rFonts w:hint="eastAsia" w:ascii="宋体" w:hAnsi="宋体"/>
          <w:szCs w:val="21"/>
        </w:rPr>
        <w:t>说明：</w:t>
      </w:r>
    </w:p>
    <w:p>
      <w:pPr>
        <w:spacing w:line="360" w:lineRule="auto"/>
        <w:rPr>
          <w:rFonts w:ascii="宋体" w:hAnsi="宋体"/>
          <w:szCs w:val="21"/>
        </w:rPr>
      </w:pPr>
      <w:r>
        <w:rPr>
          <w:rFonts w:hint="eastAsia" w:ascii="宋体" w:hAnsi="宋体"/>
          <w:szCs w:val="21"/>
        </w:rPr>
        <w:t>1. 响应投标人应将</w:t>
      </w:r>
      <w:r>
        <w:rPr>
          <w:rFonts w:hint="eastAsia" w:ascii="宋体" w:hAnsi="宋体"/>
          <w:bCs/>
          <w:szCs w:val="21"/>
        </w:rPr>
        <w:t>类似项目</w:t>
      </w:r>
      <w:r>
        <w:rPr>
          <w:rFonts w:hint="eastAsia" w:ascii="宋体" w:hAnsi="宋体"/>
          <w:szCs w:val="21"/>
        </w:rPr>
        <w:t>业绩情况填入本表中（此表也可根据评分办法自行进行完善）；</w:t>
      </w:r>
    </w:p>
    <w:p>
      <w:pPr>
        <w:spacing w:line="360" w:lineRule="auto"/>
        <w:rPr>
          <w:rFonts w:ascii="宋体" w:hAnsi="宋体"/>
          <w:szCs w:val="21"/>
        </w:rPr>
      </w:pPr>
      <w:r>
        <w:rPr>
          <w:rFonts w:hint="eastAsia" w:ascii="宋体" w:hAnsi="宋体"/>
          <w:szCs w:val="21"/>
        </w:rPr>
        <w:t>2. 项目概况包括：项目名称、合同额；</w:t>
      </w:r>
    </w:p>
    <w:p>
      <w:pPr>
        <w:spacing w:line="360" w:lineRule="auto"/>
        <w:rPr>
          <w:rFonts w:ascii="宋体" w:hAnsi="宋体"/>
          <w:szCs w:val="21"/>
        </w:rPr>
      </w:pPr>
      <w:r>
        <w:rPr>
          <w:rFonts w:hint="eastAsia" w:ascii="宋体" w:hAnsi="宋体"/>
          <w:szCs w:val="21"/>
        </w:rPr>
        <w:t>3．必须按要求附相关合同复印件等证明材料。</w:t>
      </w:r>
    </w:p>
    <w:p>
      <w:pPr>
        <w:spacing w:line="360" w:lineRule="auto"/>
        <w:rPr>
          <w:rFonts w:ascii="宋体" w:hAnsi="宋体"/>
          <w:szCs w:val="21"/>
        </w:rPr>
      </w:pPr>
    </w:p>
    <w:p>
      <w:pPr>
        <w:spacing w:line="480" w:lineRule="auto"/>
        <w:ind w:firstLine="480"/>
        <w:rPr>
          <w:rFonts w:ascii="宋体" w:hAnsi="宋体"/>
          <w:bCs/>
          <w:sz w:val="24"/>
        </w:rPr>
      </w:pPr>
    </w:p>
    <w:p>
      <w:pPr>
        <w:pStyle w:val="4"/>
        <w:numPr>
          <w:ilvl w:val="0"/>
          <w:numId w:val="0"/>
        </w:numPr>
        <w:ind w:left="720" w:hanging="720"/>
        <w:jc w:val="center"/>
        <w:rPr>
          <w:b w:val="0"/>
          <w:snapToGrid w:val="0"/>
        </w:rPr>
      </w:pPr>
      <w:r>
        <w:rPr>
          <w:rFonts w:ascii="宋体" w:hAnsi="宋体"/>
          <w:bCs/>
          <w:sz w:val="24"/>
        </w:rPr>
        <w:br w:type="page"/>
      </w:r>
      <w:bookmarkStart w:id="136" w:name="_Toc421688580"/>
      <w:bookmarkStart w:id="137" w:name="_Toc333771914"/>
      <w:bookmarkStart w:id="138" w:name="_Toc48634287"/>
      <w:r>
        <w:rPr>
          <w:snapToGrid w:val="0"/>
        </w:rPr>
        <w:t>7</w:t>
      </w:r>
      <w:r>
        <w:rPr>
          <w:rFonts w:hint="eastAsia"/>
          <w:snapToGrid w:val="0"/>
        </w:rPr>
        <w:t>、招标文件中要求提供的其他资料</w:t>
      </w:r>
      <w:bookmarkEnd w:id="136"/>
      <w:bookmarkEnd w:id="137"/>
      <w:bookmarkEnd w:id="138"/>
    </w:p>
    <w:p>
      <w:pPr>
        <w:widowControl/>
        <w:jc w:val="left"/>
        <w:rPr>
          <w:b/>
          <w:snapToGrid w:val="0"/>
          <w:sz w:val="28"/>
          <w:lang w:val="zh-CN"/>
        </w:rPr>
      </w:pPr>
      <w:r>
        <w:rPr>
          <w:b/>
          <w:snapToGrid w:val="0"/>
          <w:sz w:val="28"/>
          <w:lang w:val="zh-CN"/>
        </w:rPr>
        <w:br w:type="page"/>
      </w:r>
    </w:p>
    <w:p>
      <w:pPr>
        <w:pStyle w:val="4"/>
        <w:numPr>
          <w:ilvl w:val="0"/>
          <w:numId w:val="0"/>
        </w:numPr>
        <w:ind w:left="720" w:hanging="720"/>
        <w:jc w:val="center"/>
        <w:rPr>
          <w:snapToGrid w:val="0"/>
        </w:rPr>
      </w:pPr>
      <w:bookmarkStart w:id="139" w:name="_Toc48634288"/>
      <w:r>
        <w:rPr>
          <w:snapToGrid w:val="0"/>
        </w:rPr>
        <w:t>8</w:t>
      </w:r>
      <w:r>
        <w:rPr>
          <w:rFonts w:hint="eastAsia"/>
          <w:snapToGrid w:val="0"/>
        </w:rPr>
        <w:t>、信誉承诺书</w:t>
      </w:r>
      <w:bookmarkEnd w:id="139"/>
    </w:p>
    <w:p>
      <w:pPr>
        <w:spacing w:line="480" w:lineRule="auto"/>
        <w:rPr>
          <w:rFonts w:ascii="宋体" w:hAnsi="宋体"/>
          <w:bCs/>
          <w:szCs w:val="21"/>
        </w:rPr>
      </w:pPr>
      <w:r>
        <w:rPr>
          <w:rFonts w:hint="eastAsia" w:ascii="宋体" w:hAnsi="宋体"/>
          <w:bCs/>
          <w:szCs w:val="21"/>
          <w:u w:val="single"/>
        </w:rPr>
        <w:t xml:space="preserve">     （招标人）     </w:t>
      </w:r>
      <w:r>
        <w:rPr>
          <w:rFonts w:hint="eastAsia" w:ascii="宋体" w:hAnsi="宋体"/>
          <w:bCs/>
          <w:szCs w:val="21"/>
        </w:rPr>
        <w:t>：</w:t>
      </w:r>
    </w:p>
    <w:p>
      <w:pPr>
        <w:spacing w:line="480" w:lineRule="auto"/>
        <w:ind w:firstLine="480"/>
        <w:rPr>
          <w:rFonts w:ascii="宋体" w:hAnsi="宋体"/>
          <w:bCs/>
          <w:szCs w:val="21"/>
        </w:rPr>
      </w:pPr>
      <w:r>
        <w:rPr>
          <w:rFonts w:hint="eastAsia" w:ascii="宋体" w:hAnsi="宋体"/>
          <w:bCs/>
          <w:szCs w:val="21"/>
        </w:rPr>
        <w:t>我公司承诺：</w:t>
      </w:r>
    </w:p>
    <w:p>
      <w:pPr>
        <w:spacing w:line="480" w:lineRule="auto"/>
        <w:ind w:firstLine="480"/>
        <w:rPr>
          <w:rFonts w:ascii="宋体" w:hAnsi="宋体"/>
          <w:bCs/>
          <w:szCs w:val="21"/>
        </w:rPr>
      </w:pPr>
      <w:r>
        <w:rPr>
          <w:rFonts w:ascii="宋体" w:hAnsi="宋体"/>
          <w:bCs/>
          <w:szCs w:val="21"/>
        </w:rPr>
        <w:t>1、未被责令停业；</w:t>
      </w:r>
    </w:p>
    <w:p>
      <w:pPr>
        <w:spacing w:line="480" w:lineRule="auto"/>
        <w:ind w:firstLine="480"/>
        <w:rPr>
          <w:rFonts w:ascii="宋体" w:hAnsi="宋体"/>
          <w:bCs/>
          <w:szCs w:val="21"/>
        </w:rPr>
      </w:pPr>
      <w:r>
        <w:rPr>
          <w:rFonts w:ascii="宋体" w:hAnsi="宋体"/>
          <w:bCs/>
          <w:szCs w:val="21"/>
        </w:rPr>
        <w:t>2、未被暂停或取消投标资格；</w:t>
      </w:r>
    </w:p>
    <w:p>
      <w:pPr>
        <w:spacing w:line="480" w:lineRule="auto"/>
        <w:ind w:firstLine="480"/>
        <w:rPr>
          <w:rFonts w:ascii="宋体" w:hAnsi="宋体"/>
          <w:bCs/>
          <w:szCs w:val="21"/>
        </w:rPr>
      </w:pPr>
      <w:r>
        <w:rPr>
          <w:rFonts w:ascii="宋体" w:hAnsi="宋体"/>
          <w:bCs/>
          <w:szCs w:val="21"/>
        </w:rPr>
        <w:t>3、财产未被接管或冻结；</w:t>
      </w:r>
    </w:p>
    <w:p>
      <w:pPr>
        <w:spacing w:line="480" w:lineRule="auto"/>
        <w:ind w:firstLine="480"/>
        <w:rPr>
          <w:rFonts w:ascii="宋体" w:hAnsi="宋体"/>
          <w:bCs/>
          <w:szCs w:val="21"/>
        </w:rPr>
      </w:pPr>
      <w:r>
        <w:rPr>
          <w:rFonts w:ascii="宋体" w:hAnsi="宋体"/>
          <w:bCs/>
          <w:szCs w:val="21"/>
        </w:rPr>
        <w:t>4、</w:t>
      </w:r>
      <w:r>
        <w:rPr>
          <w:rFonts w:hint="eastAsia" w:ascii="宋体" w:hAnsi="宋体"/>
          <w:bCs/>
          <w:szCs w:val="21"/>
        </w:rPr>
        <w:t>近三年以来</w:t>
      </w:r>
      <w:r>
        <w:rPr>
          <w:rFonts w:ascii="宋体" w:hAnsi="宋体"/>
          <w:bCs/>
          <w:szCs w:val="21"/>
        </w:rPr>
        <w:t>，没有骗取中标或严重违约或重大</w:t>
      </w:r>
      <w:r>
        <w:rPr>
          <w:rFonts w:hint="eastAsia" w:ascii="宋体" w:hAnsi="宋体"/>
          <w:bCs/>
          <w:szCs w:val="21"/>
        </w:rPr>
        <w:t>项目</w:t>
      </w:r>
      <w:r>
        <w:rPr>
          <w:rFonts w:ascii="宋体" w:hAnsi="宋体"/>
          <w:bCs/>
          <w:szCs w:val="21"/>
        </w:rPr>
        <w:t>质量问题。</w:t>
      </w:r>
    </w:p>
    <w:p>
      <w:pPr>
        <w:spacing w:line="480" w:lineRule="auto"/>
        <w:ind w:firstLine="720" w:firstLineChars="400"/>
        <w:rPr>
          <w:rFonts w:ascii="宋体" w:hAnsi="宋体"/>
          <w:bCs/>
          <w:sz w:val="18"/>
          <w:szCs w:val="21"/>
        </w:rPr>
      </w:pPr>
      <w:r>
        <w:rPr>
          <w:rFonts w:ascii="宋体" w:hAnsi="宋体"/>
          <w:bCs/>
          <w:sz w:val="18"/>
          <w:szCs w:val="21"/>
        </w:rPr>
        <w:t>……</w:t>
      </w:r>
    </w:p>
    <w:p>
      <w:pPr>
        <w:spacing w:line="480" w:lineRule="auto"/>
        <w:ind w:firstLine="420" w:firstLineChars="200"/>
        <w:rPr>
          <w:rFonts w:ascii="宋体" w:hAnsi="宋体"/>
          <w:bCs/>
          <w:szCs w:val="21"/>
        </w:rPr>
      </w:pPr>
    </w:p>
    <w:p>
      <w:pPr>
        <w:spacing w:line="480" w:lineRule="auto"/>
        <w:ind w:firstLine="2415" w:firstLineChars="1150"/>
        <w:rPr>
          <w:rFonts w:ascii="宋体" w:hAnsi="宋体"/>
          <w:bCs/>
          <w:szCs w:val="21"/>
        </w:rPr>
      </w:pPr>
      <w:r>
        <w:rPr>
          <w:rFonts w:hint="eastAsia" w:ascii="宋体" w:hAnsi="宋体"/>
          <w:bCs/>
          <w:szCs w:val="21"/>
        </w:rPr>
        <w:t xml:space="preserve">     投标人： （盖章）</w:t>
      </w:r>
    </w:p>
    <w:p>
      <w:pPr>
        <w:spacing w:line="480" w:lineRule="auto"/>
        <w:ind w:firstLine="2940" w:firstLineChars="1400"/>
        <w:rPr>
          <w:rFonts w:ascii="宋体" w:hAnsi="宋体"/>
          <w:bCs/>
          <w:szCs w:val="21"/>
        </w:rPr>
      </w:pPr>
      <w:r>
        <w:rPr>
          <w:rFonts w:hint="eastAsia" w:ascii="宋体" w:hAnsi="宋体"/>
          <w:bCs/>
          <w:szCs w:val="21"/>
        </w:rPr>
        <w:t>法定代表人或其委托代理人：（签字或盖章）</w:t>
      </w:r>
    </w:p>
    <w:p>
      <w:pPr>
        <w:spacing w:line="400" w:lineRule="exact"/>
        <w:ind w:left="2520" w:leftChars="1200" w:firstLine="735" w:firstLineChars="350"/>
        <w:rPr>
          <w:rFonts w:ascii="宋体" w:hAnsi="宋体"/>
          <w:bCs/>
          <w:szCs w:val="21"/>
        </w:rPr>
      </w:pPr>
      <w:r>
        <w:rPr>
          <w:rFonts w:hint="eastAsia" w:ascii="宋体" w:hAnsi="宋体"/>
          <w:bCs/>
          <w:szCs w:val="21"/>
        </w:rPr>
        <w:t>日期：  年  月  日</w:t>
      </w:r>
    </w:p>
    <w:p>
      <w:pPr>
        <w:widowControl/>
        <w:jc w:val="left"/>
        <w:rPr>
          <w:rFonts w:ascii="宋体" w:hAnsi="宋体"/>
          <w:bCs/>
          <w:szCs w:val="21"/>
        </w:rPr>
      </w:pPr>
      <w:r>
        <w:rPr>
          <w:rFonts w:ascii="宋体" w:hAnsi="宋体"/>
          <w:bCs/>
          <w:szCs w:val="21"/>
        </w:rPr>
        <w:br w:type="page"/>
      </w:r>
    </w:p>
    <w:p>
      <w:pPr>
        <w:pStyle w:val="4"/>
        <w:numPr>
          <w:ilvl w:val="0"/>
          <w:numId w:val="0"/>
        </w:numPr>
        <w:ind w:left="720" w:hanging="720"/>
        <w:jc w:val="center"/>
        <w:rPr>
          <w:snapToGrid w:val="0"/>
        </w:rPr>
      </w:pPr>
      <w:bookmarkStart w:id="140" w:name="_Toc333771917"/>
      <w:bookmarkStart w:id="141" w:name="_Toc421688583"/>
      <w:bookmarkStart w:id="142" w:name="_Toc48634289"/>
      <w:r>
        <w:rPr>
          <w:rFonts w:ascii="宋体" w:hAnsi="宋体"/>
        </w:rPr>
        <w:t>9</w:t>
      </w:r>
      <w:r>
        <w:rPr>
          <w:rFonts w:hint="eastAsia" w:ascii="宋体" w:hAnsi="宋体"/>
        </w:rPr>
        <w:t>、</w:t>
      </w:r>
      <w:r>
        <w:rPr>
          <w:rFonts w:hint="eastAsia"/>
          <w:snapToGrid w:val="0"/>
        </w:rPr>
        <w:t>投标人认为需提供的相关资料</w:t>
      </w:r>
      <w:bookmarkEnd w:id="140"/>
      <w:bookmarkEnd w:id="141"/>
      <w:bookmarkEnd w:id="142"/>
    </w:p>
    <w:p>
      <w:bookmarkStart w:id="143" w:name="_Toc456076987"/>
      <w:bookmarkStart w:id="144" w:name="_Toc461372239"/>
      <w:bookmarkStart w:id="145" w:name="_Toc457456238"/>
    </w:p>
    <w:bookmarkEnd w:id="143"/>
    <w:bookmarkEnd w:id="144"/>
    <w:bookmarkEnd w:id="145"/>
    <w:p>
      <w:pPr>
        <w:pStyle w:val="4"/>
        <w:numPr>
          <w:ilvl w:val="0"/>
          <w:numId w:val="0"/>
        </w:numPr>
        <w:ind w:left="720" w:hanging="720"/>
        <w:jc w:val="center"/>
        <w:rPr>
          <w:rFonts w:ascii="宋体" w:hAnsi="宋体"/>
          <w:b w:val="0"/>
          <w:bCs/>
          <w:szCs w:val="21"/>
        </w:rPr>
      </w:pPr>
      <w:r>
        <w:rPr>
          <w:rFonts w:ascii="宋体" w:hAnsi="宋体"/>
          <w:szCs w:val="21"/>
        </w:rPr>
        <w:br w:type="page"/>
      </w:r>
      <w:bookmarkStart w:id="146" w:name="_Toc48634290"/>
      <w:r>
        <w:rPr>
          <w:rFonts w:hint="eastAsia" w:ascii="宋体" w:hAnsi="宋体"/>
          <w:szCs w:val="21"/>
        </w:rPr>
        <w:t>1</w:t>
      </w:r>
      <w:r>
        <w:rPr>
          <w:rFonts w:ascii="宋体" w:hAnsi="宋体"/>
          <w:szCs w:val="21"/>
        </w:rPr>
        <w:t>0</w:t>
      </w:r>
      <w:r>
        <w:rPr>
          <w:rFonts w:hint="eastAsia" w:ascii="宋体" w:hAnsi="宋体"/>
          <w:szCs w:val="21"/>
        </w:rPr>
        <w:t>、</w:t>
      </w:r>
      <w:r>
        <w:rPr>
          <w:rFonts w:hint="eastAsia"/>
          <w:snapToGrid w:val="0"/>
        </w:rPr>
        <w:t>技术文件格式</w:t>
      </w:r>
      <w:bookmarkEnd w:id="146"/>
    </w:p>
    <w:p>
      <w:pPr>
        <w:tabs>
          <w:tab w:val="left" w:pos="1365"/>
        </w:tabs>
        <w:spacing w:line="360" w:lineRule="auto"/>
        <w:ind w:firstLine="420" w:firstLineChars="200"/>
        <w:rPr>
          <w:rFonts w:ascii="宋体" w:hAnsi="宋体"/>
        </w:rPr>
      </w:pPr>
      <w:bookmarkStart w:id="147" w:name="_Toc417742993"/>
      <w:r>
        <w:rPr>
          <w:rFonts w:hint="eastAsia" w:ascii="宋体" w:hAnsi="宋体"/>
        </w:rPr>
        <w:t>由各投标人根据要求自行编写。目录清晰、内容详尽、易于理解和评审并富有建设性的技术方案将在评标时具有优势。具体内容应包括但不限于：</w:t>
      </w:r>
    </w:p>
    <w:p>
      <w:pPr>
        <w:autoSpaceDE w:val="0"/>
        <w:autoSpaceDN w:val="0"/>
        <w:adjustRightInd w:val="0"/>
        <w:spacing w:line="360" w:lineRule="auto"/>
        <w:ind w:firstLine="105" w:firstLineChars="50"/>
        <w:rPr>
          <w:rFonts w:ascii="宋体" w:hAnsi="宋体"/>
        </w:rPr>
      </w:pPr>
      <w:r>
        <w:rPr>
          <w:rFonts w:hint="eastAsia" w:ascii="宋体" w:hAnsi="宋体"/>
        </w:rPr>
        <w:t>1．投标技术服务文件目录；</w:t>
      </w:r>
    </w:p>
    <w:p>
      <w:pPr>
        <w:autoSpaceDE w:val="0"/>
        <w:autoSpaceDN w:val="0"/>
        <w:adjustRightInd w:val="0"/>
        <w:spacing w:line="360" w:lineRule="auto"/>
        <w:ind w:firstLine="105" w:firstLineChars="50"/>
        <w:rPr>
          <w:rFonts w:ascii="宋体" w:hAnsi="宋体"/>
        </w:rPr>
      </w:pPr>
      <w:r>
        <w:rPr>
          <w:rFonts w:hint="eastAsia" w:ascii="宋体" w:hAnsi="宋体"/>
        </w:rPr>
        <w:t>2．项目大纲（服务计划）；</w:t>
      </w:r>
    </w:p>
    <w:p>
      <w:pPr>
        <w:tabs>
          <w:tab w:val="left" w:pos="1365"/>
        </w:tabs>
        <w:spacing w:line="360" w:lineRule="auto"/>
        <w:ind w:firstLine="102" w:firstLineChars="49"/>
        <w:rPr>
          <w:rFonts w:ascii="宋体" w:hAnsi="宋体"/>
        </w:rPr>
      </w:pPr>
      <w:r>
        <w:rPr>
          <w:rFonts w:hint="eastAsia" w:ascii="宋体" w:hAnsi="宋体"/>
        </w:rPr>
        <w:t>3．投标人针对本项目的服务承诺；</w:t>
      </w:r>
    </w:p>
    <w:p>
      <w:pPr>
        <w:tabs>
          <w:tab w:val="left" w:pos="1365"/>
        </w:tabs>
        <w:spacing w:line="360" w:lineRule="auto"/>
        <w:ind w:firstLine="102" w:firstLineChars="49"/>
        <w:rPr>
          <w:rFonts w:ascii="宋体" w:hAnsi="宋体"/>
        </w:rPr>
      </w:pPr>
      <w:r>
        <w:rPr>
          <w:rFonts w:hint="eastAsia" w:ascii="宋体" w:hAnsi="宋体"/>
        </w:rPr>
        <w:t>4．技术、服务要求偏离说明表；</w:t>
      </w:r>
    </w:p>
    <w:p>
      <w:pPr>
        <w:tabs>
          <w:tab w:val="left" w:pos="1365"/>
        </w:tabs>
        <w:spacing w:line="360" w:lineRule="auto"/>
        <w:rPr>
          <w:rFonts w:ascii="宋体" w:hAnsi="宋体"/>
        </w:rPr>
      </w:pPr>
      <w:r>
        <w:rPr>
          <w:rFonts w:hint="eastAsia" w:ascii="宋体" w:hAnsi="宋体"/>
        </w:rPr>
        <w:t xml:space="preserve"> 5．招标文件要求提供或投标人认为需提供的技术、服务文件。</w:t>
      </w:r>
    </w:p>
    <w:p>
      <w:pPr>
        <w:tabs>
          <w:tab w:val="left" w:pos="1365"/>
        </w:tabs>
        <w:spacing w:line="360" w:lineRule="auto"/>
        <w:ind w:firstLine="117" w:firstLineChars="49"/>
        <w:rPr>
          <w:rFonts w:ascii="宋体" w:hAnsi="宋体"/>
          <w:kern w:val="0"/>
          <w:sz w:val="24"/>
          <w:szCs w:val="32"/>
        </w:rPr>
      </w:pPr>
    </w:p>
    <w:bookmarkEnd w:id="147"/>
    <w:p>
      <w:pPr>
        <w:spacing w:line="400" w:lineRule="exact"/>
        <w:ind w:left="2520" w:leftChars="1200" w:firstLine="735" w:firstLineChars="350"/>
        <w:rPr>
          <w:rFonts w:ascii="宋体" w:hAnsi="宋体"/>
          <w:bCs/>
          <w:szCs w:val="21"/>
        </w:rPr>
      </w:pPr>
    </w:p>
    <w:p>
      <w:pPr>
        <w:jc w:val="center"/>
        <w:rPr>
          <w:b/>
          <w:lang w:val="zh-CN"/>
        </w:rPr>
      </w:pPr>
    </w:p>
    <w:sectPr>
      <w:footerReference r:id="rId4" w:type="default"/>
      <w:pgSz w:w="11906" w:h="16838"/>
      <w:pgMar w:top="1440" w:right="1588"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鼎CS大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377398258"/>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id w:val="-377398258"/>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pP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6F362"/>
    <w:multiLevelType w:val="singleLevel"/>
    <w:tmpl w:val="AB26F362"/>
    <w:lvl w:ilvl="0" w:tentative="0">
      <w:start w:val="5"/>
      <w:numFmt w:val="decimal"/>
      <w:suff w:val="nothing"/>
      <w:lvlText w:val="%1、"/>
      <w:lvlJc w:val="left"/>
    </w:lvl>
  </w:abstractNum>
  <w:abstractNum w:abstractNumId="1">
    <w:nsid w:val="DC3BC837"/>
    <w:multiLevelType w:val="singleLevel"/>
    <w:tmpl w:val="DC3BC837"/>
    <w:lvl w:ilvl="0" w:tentative="0">
      <w:start w:val="1"/>
      <w:numFmt w:val="decimal"/>
      <w:lvlText w:val="%1)"/>
      <w:lvlJc w:val="left"/>
      <w:pPr>
        <w:tabs>
          <w:tab w:val="left" w:pos="312"/>
        </w:tabs>
      </w:pPr>
    </w:lvl>
  </w:abstractNum>
  <w:abstractNum w:abstractNumId="2">
    <w:nsid w:val="FAA4BA8A"/>
    <w:multiLevelType w:val="singleLevel"/>
    <w:tmpl w:val="FAA4BA8A"/>
    <w:lvl w:ilvl="0" w:tentative="0">
      <w:start w:val="1"/>
      <w:numFmt w:val="decimal"/>
      <w:lvlText w:val="%1."/>
      <w:lvlJc w:val="left"/>
      <w:pPr>
        <w:tabs>
          <w:tab w:val="left" w:pos="312"/>
        </w:tabs>
      </w:pPr>
    </w:lvl>
  </w:abstractNum>
  <w:abstractNum w:abstractNumId="3">
    <w:nsid w:val="FB36D1D9"/>
    <w:multiLevelType w:val="singleLevel"/>
    <w:tmpl w:val="FB36D1D9"/>
    <w:lvl w:ilvl="0" w:tentative="0">
      <w:start w:val="1"/>
      <w:numFmt w:val="chineseCounting"/>
      <w:suff w:val="nothing"/>
      <w:lvlText w:val="%1、"/>
      <w:lvlJc w:val="left"/>
      <w:pPr>
        <w:ind w:left="0" w:firstLine="420"/>
      </w:pPr>
      <w:rPr>
        <w:rFonts w:hint="eastAsia"/>
      </w:rPr>
    </w:lvl>
  </w:abstractNum>
  <w:abstractNum w:abstractNumId="4">
    <w:nsid w:val="055711FC"/>
    <w:multiLevelType w:val="multilevel"/>
    <w:tmpl w:val="055711FC"/>
    <w:lvl w:ilvl="0" w:tentative="0">
      <w:start w:val="24"/>
      <w:numFmt w:val="decimal"/>
      <w:lvlText w:val="%1"/>
      <w:lvlJc w:val="left"/>
      <w:pPr>
        <w:tabs>
          <w:tab w:val="left" w:pos="2875"/>
        </w:tabs>
        <w:ind w:left="2875" w:hanging="465"/>
      </w:pPr>
      <w:rPr>
        <w:rFonts w:hint="default"/>
      </w:rPr>
    </w:lvl>
    <w:lvl w:ilvl="1" w:tentative="0">
      <w:start w:val="1"/>
      <w:numFmt w:val="decimal"/>
      <w:lvlText w:val="%1.%2"/>
      <w:lvlJc w:val="left"/>
      <w:pPr>
        <w:tabs>
          <w:tab w:val="left" w:pos="2875"/>
        </w:tabs>
        <w:ind w:left="2875" w:hanging="465"/>
      </w:pPr>
      <w:rPr>
        <w:rFonts w:hint="default"/>
      </w:rPr>
    </w:lvl>
    <w:lvl w:ilvl="2" w:tentative="0">
      <w:start w:val="1"/>
      <w:numFmt w:val="decimal"/>
      <w:lvlText w:val="%1.%2.%3"/>
      <w:lvlJc w:val="left"/>
      <w:pPr>
        <w:tabs>
          <w:tab w:val="left" w:pos="3130"/>
        </w:tabs>
        <w:ind w:left="3130" w:hanging="720"/>
      </w:pPr>
      <w:rPr>
        <w:rFonts w:hint="default"/>
      </w:rPr>
    </w:lvl>
    <w:lvl w:ilvl="3" w:tentative="0">
      <w:start w:val="1"/>
      <w:numFmt w:val="decimal"/>
      <w:lvlText w:val="%1.%2.%3.%4"/>
      <w:lvlJc w:val="left"/>
      <w:pPr>
        <w:tabs>
          <w:tab w:val="left" w:pos="3490"/>
        </w:tabs>
        <w:ind w:left="3490" w:hanging="1080"/>
      </w:pPr>
      <w:rPr>
        <w:rFonts w:hint="default"/>
      </w:rPr>
    </w:lvl>
    <w:lvl w:ilvl="4" w:tentative="0">
      <w:start w:val="1"/>
      <w:numFmt w:val="decimal"/>
      <w:lvlText w:val="%1.%2.%3.%4.%5"/>
      <w:lvlJc w:val="left"/>
      <w:pPr>
        <w:tabs>
          <w:tab w:val="left" w:pos="3490"/>
        </w:tabs>
        <w:ind w:left="3490" w:hanging="1080"/>
      </w:pPr>
      <w:rPr>
        <w:rFonts w:hint="default"/>
      </w:rPr>
    </w:lvl>
    <w:lvl w:ilvl="5" w:tentative="0">
      <w:start w:val="1"/>
      <w:numFmt w:val="decimal"/>
      <w:lvlText w:val="%1.%2.%3.%4.%5.%6"/>
      <w:lvlJc w:val="left"/>
      <w:pPr>
        <w:tabs>
          <w:tab w:val="left" w:pos="3850"/>
        </w:tabs>
        <w:ind w:left="3850" w:hanging="1440"/>
      </w:pPr>
      <w:rPr>
        <w:rFonts w:hint="default"/>
      </w:rPr>
    </w:lvl>
    <w:lvl w:ilvl="6" w:tentative="0">
      <w:start w:val="1"/>
      <w:numFmt w:val="decimal"/>
      <w:lvlText w:val="%1.%2.%3.%4.%5.%6.%7"/>
      <w:lvlJc w:val="left"/>
      <w:pPr>
        <w:tabs>
          <w:tab w:val="left" w:pos="4210"/>
        </w:tabs>
        <w:ind w:left="4210" w:hanging="1800"/>
      </w:pPr>
      <w:rPr>
        <w:rFonts w:hint="default"/>
      </w:rPr>
    </w:lvl>
    <w:lvl w:ilvl="7" w:tentative="0">
      <w:start w:val="1"/>
      <w:numFmt w:val="decimal"/>
      <w:lvlText w:val="%1.%2.%3.%4.%5.%6.%7.%8"/>
      <w:lvlJc w:val="left"/>
      <w:pPr>
        <w:tabs>
          <w:tab w:val="left" w:pos="4210"/>
        </w:tabs>
        <w:ind w:left="4210" w:hanging="1800"/>
      </w:pPr>
      <w:rPr>
        <w:rFonts w:hint="default"/>
      </w:rPr>
    </w:lvl>
    <w:lvl w:ilvl="8" w:tentative="0">
      <w:start w:val="1"/>
      <w:numFmt w:val="decimal"/>
      <w:lvlText w:val="%1.%2.%3.%4.%5.%6.%7.%8.%9"/>
      <w:lvlJc w:val="left"/>
      <w:pPr>
        <w:tabs>
          <w:tab w:val="left" w:pos="4570"/>
        </w:tabs>
        <w:ind w:left="4570" w:hanging="2160"/>
      </w:pPr>
      <w:rPr>
        <w:rFonts w:hint="default"/>
      </w:rPr>
    </w:lvl>
  </w:abstractNum>
  <w:abstractNum w:abstractNumId="5">
    <w:nsid w:val="076315A3"/>
    <w:multiLevelType w:val="multilevel"/>
    <w:tmpl w:val="076315A3"/>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A981144"/>
    <w:multiLevelType w:val="multilevel"/>
    <w:tmpl w:val="0A981144"/>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11726340"/>
    <w:multiLevelType w:val="multilevel"/>
    <w:tmpl w:val="11726340"/>
    <w:lvl w:ilvl="0" w:tentative="0">
      <w:start w:val="16"/>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13B00507"/>
    <w:multiLevelType w:val="multilevel"/>
    <w:tmpl w:val="13B00507"/>
    <w:lvl w:ilvl="0" w:tentative="0">
      <w:start w:val="4"/>
      <w:numFmt w:val="decimal"/>
      <w:lvlText w:val="（%1）"/>
      <w:lvlJc w:val="left"/>
      <w:pPr>
        <w:ind w:left="1140" w:hanging="720"/>
      </w:pPr>
      <w:rPr>
        <w:rFonts w:hint="default"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50E7588"/>
    <w:multiLevelType w:val="multilevel"/>
    <w:tmpl w:val="150E7588"/>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56E5987"/>
    <w:multiLevelType w:val="multilevel"/>
    <w:tmpl w:val="156E5987"/>
    <w:lvl w:ilvl="0" w:tentative="0">
      <w:start w:val="20"/>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79B3BE8"/>
    <w:multiLevelType w:val="multilevel"/>
    <w:tmpl w:val="179B3BE8"/>
    <w:lvl w:ilvl="0" w:tentative="0">
      <w:start w:val="1"/>
      <w:numFmt w:val="chineseCountingThousand"/>
      <w:suff w:val="nothing"/>
      <w:lvlText w:val="%1、"/>
      <w:lvlJc w:val="left"/>
      <w:pPr>
        <w:ind w:left="420" w:hanging="420"/>
      </w:pPr>
      <w:rPr>
        <w:rFonts w:hint="eastAsia"/>
      </w:rPr>
    </w:lvl>
    <w:lvl w:ilvl="1" w:tentative="0">
      <w:start w:val="1"/>
      <w:numFmt w:val="chineseCountingThousand"/>
      <w:lvlText w:val="%2、"/>
      <w:lvlJc w:val="left"/>
      <w:pPr>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D4E645B"/>
    <w:multiLevelType w:val="multilevel"/>
    <w:tmpl w:val="1D4E645B"/>
    <w:lvl w:ilvl="0" w:tentative="0">
      <w:start w:val="2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EA1509C"/>
    <w:multiLevelType w:val="multilevel"/>
    <w:tmpl w:val="1EA1509C"/>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20A87599"/>
    <w:multiLevelType w:val="multilevel"/>
    <w:tmpl w:val="20A87599"/>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1A20B15"/>
    <w:multiLevelType w:val="multilevel"/>
    <w:tmpl w:val="21A20B15"/>
    <w:lvl w:ilvl="0" w:tentative="0">
      <w:start w:val="2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2940"/>
        </w:tabs>
        <w:ind w:left="294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520"/>
        </w:tabs>
        <w:ind w:left="5520" w:hanging="420"/>
      </w:pPr>
    </w:lvl>
    <w:lvl w:ilvl="8" w:tentative="0">
      <w:start w:val="1"/>
      <w:numFmt w:val="lowerRoman"/>
      <w:lvlText w:val="%9."/>
      <w:lvlJc w:val="right"/>
      <w:pPr>
        <w:tabs>
          <w:tab w:val="left" w:pos="5940"/>
        </w:tabs>
        <w:ind w:left="5940" w:hanging="420"/>
      </w:pPr>
    </w:lvl>
  </w:abstractNum>
  <w:abstractNum w:abstractNumId="17">
    <w:nsid w:val="26EA24ED"/>
    <w:multiLevelType w:val="multilevel"/>
    <w:tmpl w:val="26EA24ED"/>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26F00B95"/>
    <w:multiLevelType w:val="multilevel"/>
    <w:tmpl w:val="26F00B95"/>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rPr>
        <w:rFonts w:hint="eastAsia"/>
      </w:rPr>
    </w:lvl>
    <w:lvl w:ilvl="3" w:tentative="0">
      <w:start w:val="1"/>
      <w:numFmt w:val="decimal"/>
      <w:lvlText w:val="%4."/>
      <w:lvlJc w:val="left"/>
      <w:pPr>
        <w:tabs>
          <w:tab w:val="left" w:pos="0"/>
        </w:tabs>
        <w:ind w:left="0" w:firstLine="420"/>
      </w:pPr>
      <w:rPr>
        <w:rFonts w:hint="eastAsia"/>
        <w:sz w:val="21"/>
        <w:szCs w:val="21"/>
      </w:rPr>
    </w:lvl>
    <w:lvl w:ilvl="4" w:tentative="0">
      <w:start w:val="1"/>
      <w:numFmt w:val="lowerLetter"/>
      <w:lvlText w:val="%5)"/>
      <w:lvlJc w:val="left"/>
      <w:pPr>
        <w:tabs>
          <w:tab w:val="left" w:pos="2745"/>
        </w:tabs>
        <w:ind w:left="2745" w:hanging="420"/>
      </w:pPr>
      <w:rPr>
        <w:rFonts w:hint="eastAsia"/>
      </w:rPr>
    </w:lvl>
    <w:lvl w:ilvl="5" w:tentative="0">
      <w:start w:val="1"/>
      <w:numFmt w:val="lowerRoman"/>
      <w:lvlText w:val="%6."/>
      <w:lvlJc w:val="right"/>
      <w:pPr>
        <w:tabs>
          <w:tab w:val="left" w:pos="3165"/>
        </w:tabs>
        <w:ind w:left="3165" w:hanging="420"/>
      </w:pPr>
      <w:rPr>
        <w:rFonts w:hint="eastAsia"/>
      </w:rPr>
    </w:lvl>
    <w:lvl w:ilvl="6" w:tentative="0">
      <w:start w:val="1"/>
      <w:numFmt w:val="decimal"/>
      <w:lvlText w:val="%7."/>
      <w:lvlJc w:val="left"/>
      <w:pPr>
        <w:tabs>
          <w:tab w:val="left" w:pos="420"/>
        </w:tabs>
        <w:ind w:left="420" w:hanging="420"/>
      </w:pPr>
      <w:rPr>
        <w:rFonts w:hint="eastAsia"/>
      </w:rPr>
    </w:lvl>
    <w:lvl w:ilvl="7" w:tentative="0">
      <w:start w:val="1"/>
      <w:numFmt w:val="lowerLetter"/>
      <w:lvlText w:val="%8)"/>
      <w:lvlJc w:val="left"/>
      <w:pPr>
        <w:tabs>
          <w:tab w:val="left" w:pos="4005"/>
        </w:tabs>
        <w:ind w:left="4005" w:hanging="420"/>
      </w:pPr>
      <w:rPr>
        <w:rFonts w:hint="eastAsia"/>
      </w:rPr>
    </w:lvl>
    <w:lvl w:ilvl="8" w:tentative="0">
      <w:start w:val="1"/>
      <w:numFmt w:val="lowerRoman"/>
      <w:lvlText w:val="%9."/>
      <w:lvlJc w:val="right"/>
      <w:pPr>
        <w:tabs>
          <w:tab w:val="left" w:pos="4425"/>
        </w:tabs>
        <w:ind w:left="4425" w:hanging="420"/>
      </w:pPr>
      <w:rPr>
        <w:rFonts w:hint="eastAsia"/>
      </w:rPr>
    </w:lvl>
  </w:abstractNum>
  <w:abstractNum w:abstractNumId="19">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0">
    <w:nsid w:val="29416ADF"/>
    <w:multiLevelType w:val="multilevel"/>
    <w:tmpl w:val="29416ADF"/>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21">
    <w:nsid w:val="2B5F225E"/>
    <w:multiLevelType w:val="multilevel"/>
    <w:tmpl w:val="2B5F225E"/>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2C7A7351"/>
    <w:multiLevelType w:val="multilevel"/>
    <w:tmpl w:val="2C7A7351"/>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311E1369"/>
    <w:multiLevelType w:val="multilevel"/>
    <w:tmpl w:val="311E1369"/>
    <w:lvl w:ilvl="0" w:tentative="0">
      <w:start w:val="14"/>
      <w:numFmt w:val="decimal"/>
      <w:lvlText w:val="%1"/>
      <w:lvlJc w:val="left"/>
      <w:pPr>
        <w:tabs>
          <w:tab w:val="left" w:pos="465"/>
        </w:tabs>
        <w:ind w:left="465" w:hanging="465"/>
      </w:pPr>
      <w:rPr>
        <w:rFonts w:hint="default"/>
      </w:rPr>
    </w:lvl>
    <w:lvl w:ilvl="1" w:tentative="0">
      <w:start w:val="1"/>
      <w:numFmt w:val="decimal"/>
      <w:lvlText w:val="15.%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359C51AA"/>
    <w:multiLevelType w:val="multilevel"/>
    <w:tmpl w:val="359C51AA"/>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39A36356"/>
    <w:multiLevelType w:val="multilevel"/>
    <w:tmpl w:val="39A36356"/>
    <w:lvl w:ilvl="0" w:tentative="0">
      <w:start w:val="24"/>
      <w:numFmt w:val="decimal"/>
      <w:lvlText w:val="%1"/>
      <w:lvlJc w:val="left"/>
      <w:pPr>
        <w:tabs>
          <w:tab w:val="left" w:pos="465"/>
        </w:tabs>
        <w:ind w:left="465" w:hanging="465"/>
      </w:pPr>
      <w:rPr>
        <w:rFonts w:hint="default"/>
      </w:rPr>
    </w:lvl>
    <w:lvl w:ilvl="1" w:tentative="0">
      <w:start w:val="1"/>
      <w:numFmt w:val="decimal"/>
      <w:lvlText w:val="26.%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45D70F98"/>
    <w:multiLevelType w:val="multilevel"/>
    <w:tmpl w:val="45D70F98"/>
    <w:lvl w:ilvl="0" w:tentative="0">
      <w:start w:val="24"/>
      <w:numFmt w:val="decimal"/>
      <w:lvlText w:val="%1"/>
      <w:lvlJc w:val="left"/>
      <w:pPr>
        <w:tabs>
          <w:tab w:val="left" w:pos="465"/>
        </w:tabs>
        <w:ind w:left="465" w:hanging="465"/>
      </w:pPr>
      <w:rPr>
        <w:rFonts w:hint="default"/>
      </w:rPr>
    </w:lvl>
    <w:lvl w:ilvl="1" w:tentative="0">
      <w:start w:val="1"/>
      <w:numFmt w:val="decimal"/>
      <w:lvlText w:val="25.%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7">
    <w:nsid w:val="461C55A1"/>
    <w:multiLevelType w:val="multilevel"/>
    <w:tmpl w:val="461C55A1"/>
    <w:lvl w:ilvl="0" w:tentative="0">
      <w:start w:val="27"/>
      <w:numFmt w:val="decimal"/>
      <w:lvlText w:val="%1"/>
      <w:lvlJc w:val="left"/>
      <w:pPr>
        <w:tabs>
          <w:tab w:val="left" w:pos="465"/>
        </w:tabs>
        <w:ind w:left="465" w:hanging="465"/>
      </w:pPr>
      <w:rPr>
        <w:rFonts w:hint="default"/>
      </w:rPr>
    </w:lvl>
    <w:lvl w:ilvl="1" w:tentative="0">
      <w:start w:val="1"/>
      <w:numFmt w:val="decimal"/>
      <w:lvlText w:val="28.%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46450AAB"/>
    <w:multiLevelType w:val="multilevel"/>
    <w:tmpl w:val="46450AAB"/>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9">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2651"/>
        </w:tabs>
        <w:ind w:left="2651"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0">
    <w:nsid w:val="4F7C056F"/>
    <w:multiLevelType w:val="multilevel"/>
    <w:tmpl w:val="4F7C056F"/>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1">
    <w:nsid w:val="55805FF5"/>
    <w:multiLevelType w:val="multilevel"/>
    <w:tmpl w:val="55805FF5"/>
    <w:lvl w:ilvl="0" w:tentative="0">
      <w:start w:val="28"/>
      <w:numFmt w:val="decimal"/>
      <w:lvlText w:val="%1"/>
      <w:lvlJc w:val="left"/>
      <w:pPr>
        <w:tabs>
          <w:tab w:val="left" w:pos="465"/>
        </w:tabs>
        <w:ind w:left="465" w:hanging="465"/>
      </w:pPr>
      <w:rPr>
        <w:rFonts w:hint="default"/>
      </w:rPr>
    </w:lvl>
    <w:lvl w:ilvl="1" w:tentative="0">
      <w:start w:val="1"/>
      <w:numFmt w:val="decimal"/>
      <w:lvlText w:val="29.%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2">
    <w:nsid w:val="574B2E60"/>
    <w:multiLevelType w:val="multilevel"/>
    <w:tmpl w:val="574B2E60"/>
    <w:lvl w:ilvl="0" w:tentative="0">
      <w:start w:val="6"/>
      <w:numFmt w:val="decimal"/>
      <w:pStyle w:val="2"/>
      <w:lvlText w:val="%1."/>
      <w:lvlJc w:val="left"/>
      <w:pPr>
        <w:tabs>
          <w:tab w:val="left" w:pos="432"/>
        </w:tabs>
        <w:ind w:left="432" w:hanging="432"/>
      </w:pPr>
      <w:rPr>
        <w:rFonts w:hint="eastAsia" w:ascii="宋体" w:eastAsia="宋体"/>
        <w:color w:val="auto"/>
        <w:sz w:val="32"/>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3">
    <w:nsid w:val="58713D07"/>
    <w:multiLevelType w:val="multilevel"/>
    <w:tmpl w:val="58713D07"/>
    <w:lvl w:ilvl="0" w:tentative="0">
      <w:start w:val="30"/>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4">
    <w:nsid w:val="58C70504"/>
    <w:multiLevelType w:val="multilevel"/>
    <w:tmpl w:val="58C70504"/>
    <w:lvl w:ilvl="0" w:tentative="0">
      <w:start w:val="1"/>
      <w:numFmt w:val="japaneseCounting"/>
      <w:lvlText w:val="第%1章"/>
      <w:lvlJc w:val="left"/>
      <w:pPr>
        <w:tabs>
          <w:tab w:val="left" w:pos="1440"/>
        </w:tabs>
        <w:ind w:left="1440" w:hanging="1440"/>
      </w:pPr>
      <w:rPr>
        <w:rFonts w:hint="default"/>
      </w:rPr>
    </w:lvl>
    <w:lvl w:ilvl="1" w:tentative="0">
      <w:start w:val="1"/>
      <w:numFmt w:val="decimal"/>
      <w:lvlText w:val="%2、"/>
      <w:lvlJc w:val="left"/>
      <w:pPr>
        <w:tabs>
          <w:tab w:val="left" w:pos="360"/>
        </w:tabs>
        <w:ind w:left="360" w:hanging="360"/>
      </w:pPr>
      <w:rPr>
        <w:rFonts w:hint="default"/>
        <w:color w:val="auto"/>
      </w:rPr>
    </w:lvl>
    <w:lvl w:ilvl="2" w:tentative="0">
      <w:start w:val="1"/>
      <w:numFmt w:val="decimalEnclosedCircle"/>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8D1E6F7"/>
    <w:multiLevelType w:val="singleLevel"/>
    <w:tmpl w:val="58D1E6F7"/>
    <w:lvl w:ilvl="0" w:tentative="0">
      <w:start w:val="2"/>
      <w:numFmt w:val="decimal"/>
      <w:suff w:val="nothing"/>
      <w:lvlText w:val="%1、"/>
      <w:lvlJc w:val="left"/>
    </w:lvl>
  </w:abstractNum>
  <w:abstractNum w:abstractNumId="36">
    <w:nsid w:val="5BBD1EED"/>
    <w:multiLevelType w:val="multilevel"/>
    <w:tmpl w:val="5BBD1EED"/>
    <w:lvl w:ilvl="0" w:tentative="0">
      <w:start w:val="10"/>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630E68FC"/>
    <w:multiLevelType w:val="multilevel"/>
    <w:tmpl w:val="630E68FC"/>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9">
    <w:nsid w:val="63AA4603"/>
    <w:multiLevelType w:val="multilevel"/>
    <w:tmpl w:val="63AA4603"/>
    <w:lvl w:ilvl="0" w:tentative="0">
      <w:start w:val="2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0">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6F113A89"/>
    <w:multiLevelType w:val="multilevel"/>
    <w:tmpl w:val="6F113A89"/>
    <w:lvl w:ilvl="0" w:tentative="0">
      <w:start w:val="17"/>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2">
    <w:nsid w:val="715F29F2"/>
    <w:multiLevelType w:val="multilevel"/>
    <w:tmpl w:val="715F29F2"/>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72CF37A7"/>
    <w:multiLevelType w:val="multilevel"/>
    <w:tmpl w:val="72CF37A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30133B3"/>
    <w:multiLevelType w:val="multilevel"/>
    <w:tmpl w:val="730133B3"/>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5">
    <w:nsid w:val="734B4AA3"/>
    <w:multiLevelType w:val="multilevel"/>
    <w:tmpl w:val="734B4AA3"/>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71D5D6C"/>
    <w:multiLevelType w:val="multilevel"/>
    <w:tmpl w:val="771D5D6C"/>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7">
    <w:nsid w:val="7C313702"/>
    <w:multiLevelType w:val="multilevel"/>
    <w:tmpl w:val="7C313702"/>
    <w:lvl w:ilvl="0" w:tentative="0">
      <w:start w:val="1"/>
      <w:numFmt w:val="chineseCountingThousand"/>
      <w:suff w:val="nothing"/>
      <w:lvlText w:val="%1、"/>
      <w:lvlJc w:val="left"/>
      <w:pPr>
        <w:ind w:left="420" w:hanging="420"/>
      </w:pPr>
      <w:rPr>
        <w:rFonts w:hint="eastAsia"/>
      </w:rPr>
    </w:lvl>
    <w:lvl w:ilvl="1" w:tentative="0">
      <w:start w:val="12"/>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8">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4"/>
      <w:numFmt w:val="japaneseCounting"/>
      <w:lvlText w:val="第%2章"/>
      <w:lvlJc w:val="left"/>
      <w:pPr>
        <w:tabs>
          <w:tab w:val="left" w:pos="1140"/>
        </w:tabs>
        <w:ind w:left="1140" w:hanging="720"/>
      </w:pPr>
      <w:rPr>
        <w:rFonts w:hint="default" w:ascii="Times New Roman" w:hAnsi="Times New Roman"/>
      </w:rPr>
    </w:lvl>
    <w:lvl w:ilvl="2" w:tentative="0">
      <w:start w:val="1"/>
      <w:numFmt w:val="japaneseCounting"/>
      <w:lvlText w:val="%3、"/>
      <w:lvlJc w:val="left"/>
      <w:pPr>
        <w:tabs>
          <w:tab w:val="left" w:pos="1260"/>
        </w:tabs>
        <w:ind w:left="1260" w:hanging="420"/>
      </w:pPr>
      <w:rPr>
        <w:rFonts w:hint="default"/>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rFonts w:hint="default"/>
        <w:b w:val="0"/>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D15ADA7"/>
    <w:multiLevelType w:val="singleLevel"/>
    <w:tmpl w:val="7D15ADA7"/>
    <w:lvl w:ilvl="0" w:tentative="0">
      <w:start w:val="1"/>
      <w:numFmt w:val="decimal"/>
      <w:suff w:val="nothing"/>
      <w:lvlText w:val="%1、"/>
      <w:lvlJc w:val="left"/>
    </w:lvl>
  </w:abstractNum>
  <w:num w:numId="1">
    <w:abstractNumId w:val="32"/>
  </w:num>
  <w:num w:numId="2">
    <w:abstractNumId w:val="34"/>
  </w:num>
  <w:num w:numId="3">
    <w:abstractNumId w:val="11"/>
  </w:num>
  <w:num w:numId="4">
    <w:abstractNumId w:val="35"/>
  </w:num>
  <w:num w:numId="5">
    <w:abstractNumId w:val="49"/>
  </w:num>
  <w:num w:numId="6">
    <w:abstractNumId w:val="0"/>
  </w:num>
  <w:num w:numId="7">
    <w:abstractNumId w:val="45"/>
  </w:num>
  <w:num w:numId="8">
    <w:abstractNumId w:val="47"/>
  </w:num>
  <w:num w:numId="9">
    <w:abstractNumId w:val="18"/>
  </w:num>
  <w:num w:numId="10">
    <w:abstractNumId w:val="20"/>
  </w:num>
  <w:num w:numId="11">
    <w:abstractNumId w:val="21"/>
  </w:num>
  <w:num w:numId="12">
    <w:abstractNumId w:val="6"/>
  </w:num>
  <w:num w:numId="13">
    <w:abstractNumId w:val="44"/>
  </w:num>
  <w:num w:numId="14">
    <w:abstractNumId w:val="9"/>
  </w:num>
  <w:num w:numId="15">
    <w:abstractNumId w:val="13"/>
  </w:num>
  <w:num w:numId="16">
    <w:abstractNumId w:val="38"/>
  </w:num>
  <w:num w:numId="17">
    <w:abstractNumId w:val="37"/>
  </w:num>
  <w:num w:numId="18">
    <w:abstractNumId w:val="5"/>
  </w:num>
  <w:num w:numId="19">
    <w:abstractNumId w:val="40"/>
  </w:num>
  <w:num w:numId="20">
    <w:abstractNumId w:val="29"/>
  </w:num>
  <w:num w:numId="21">
    <w:abstractNumId w:val="36"/>
  </w:num>
  <w:num w:numId="22">
    <w:abstractNumId w:val="17"/>
  </w:num>
  <w:num w:numId="23">
    <w:abstractNumId w:val="28"/>
  </w:num>
  <w:num w:numId="24">
    <w:abstractNumId w:val="46"/>
  </w:num>
  <w:num w:numId="25">
    <w:abstractNumId w:val="42"/>
  </w:num>
  <w:num w:numId="26">
    <w:abstractNumId w:val="23"/>
  </w:num>
  <w:num w:numId="27">
    <w:abstractNumId w:val="7"/>
  </w:num>
  <w:num w:numId="28">
    <w:abstractNumId w:val="14"/>
  </w:num>
  <w:num w:numId="29">
    <w:abstractNumId w:val="41"/>
  </w:num>
  <w:num w:numId="30">
    <w:abstractNumId w:val="30"/>
  </w:num>
  <w:num w:numId="31">
    <w:abstractNumId w:val="24"/>
  </w:num>
  <w:num w:numId="32">
    <w:abstractNumId w:val="10"/>
  </w:num>
  <w:num w:numId="33">
    <w:abstractNumId w:val="15"/>
  </w:num>
  <w:num w:numId="34">
    <w:abstractNumId w:val="22"/>
  </w:num>
  <w:num w:numId="35">
    <w:abstractNumId w:val="12"/>
  </w:num>
  <w:num w:numId="36">
    <w:abstractNumId w:val="4"/>
  </w:num>
  <w:num w:numId="37">
    <w:abstractNumId w:val="26"/>
  </w:num>
  <w:num w:numId="38">
    <w:abstractNumId w:val="25"/>
  </w:num>
  <w:num w:numId="39">
    <w:abstractNumId w:val="39"/>
  </w:num>
  <w:num w:numId="40">
    <w:abstractNumId w:val="27"/>
  </w:num>
  <w:num w:numId="41">
    <w:abstractNumId w:val="31"/>
  </w:num>
  <w:num w:numId="42">
    <w:abstractNumId w:val="33"/>
  </w:num>
  <w:num w:numId="43">
    <w:abstractNumId w:val="8"/>
  </w:num>
  <w:num w:numId="44">
    <w:abstractNumId w:val="3"/>
  </w:num>
  <w:num w:numId="45">
    <w:abstractNumId w:val="43"/>
  </w:num>
  <w:num w:numId="46">
    <w:abstractNumId w:val="1"/>
  </w:num>
  <w:num w:numId="47">
    <w:abstractNumId w:val="2"/>
  </w:num>
  <w:num w:numId="48">
    <w:abstractNumId w:val="16"/>
  </w:num>
  <w:num w:numId="49">
    <w:abstractNumId w:val="4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ODExNzFmNzRlMzhlNTI4MGY5YjJkNmY3MDAxYTEifQ=="/>
  </w:docVars>
  <w:rsids>
    <w:rsidRoot w:val="00455A71"/>
    <w:rsid w:val="00010CC3"/>
    <w:rsid w:val="00020B6B"/>
    <w:rsid w:val="00022249"/>
    <w:rsid w:val="000232B3"/>
    <w:rsid w:val="000256CF"/>
    <w:rsid w:val="00032591"/>
    <w:rsid w:val="00040833"/>
    <w:rsid w:val="00045931"/>
    <w:rsid w:val="00045942"/>
    <w:rsid w:val="00046294"/>
    <w:rsid w:val="00051379"/>
    <w:rsid w:val="000517E9"/>
    <w:rsid w:val="00054ED9"/>
    <w:rsid w:val="000560A2"/>
    <w:rsid w:val="00056BE7"/>
    <w:rsid w:val="00062763"/>
    <w:rsid w:val="00067B51"/>
    <w:rsid w:val="000737D5"/>
    <w:rsid w:val="00084A42"/>
    <w:rsid w:val="0009400C"/>
    <w:rsid w:val="00097AB8"/>
    <w:rsid w:val="000A7CED"/>
    <w:rsid w:val="000A7EF3"/>
    <w:rsid w:val="000C5EC6"/>
    <w:rsid w:val="000E0A6D"/>
    <w:rsid w:val="000E1767"/>
    <w:rsid w:val="000E4AE3"/>
    <w:rsid w:val="000F7C07"/>
    <w:rsid w:val="00100F23"/>
    <w:rsid w:val="001062AB"/>
    <w:rsid w:val="001109E3"/>
    <w:rsid w:val="00120CB7"/>
    <w:rsid w:val="00126EA8"/>
    <w:rsid w:val="001311AC"/>
    <w:rsid w:val="00132EB4"/>
    <w:rsid w:val="00132F17"/>
    <w:rsid w:val="00134170"/>
    <w:rsid w:val="00134A48"/>
    <w:rsid w:val="00140E12"/>
    <w:rsid w:val="00142E50"/>
    <w:rsid w:val="00144B52"/>
    <w:rsid w:val="00154AF3"/>
    <w:rsid w:val="00156594"/>
    <w:rsid w:val="001663E0"/>
    <w:rsid w:val="00172F7B"/>
    <w:rsid w:val="0017580B"/>
    <w:rsid w:val="001774C1"/>
    <w:rsid w:val="00180BA5"/>
    <w:rsid w:val="00180E17"/>
    <w:rsid w:val="00185E41"/>
    <w:rsid w:val="00191392"/>
    <w:rsid w:val="00194F51"/>
    <w:rsid w:val="001A14A4"/>
    <w:rsid w:val="001A55F5"/>
    <w:rsid w:val="001A6BD1"/>
    <w:rsid w:val="001A7289"/>
    <w:rsid w:val="001A76C2"/>
    <w:rsid w:val="001A7727"/>
    <w:rsid w:val="001A78DA"/>
    <w:rsid w:val="001B18CF"/>
    <w:rsid w:val="001C196B"/>
    <w:rsid w:val="001C75C9"/>
    <w:rsid w:val="001D1312"/>
    <w:rsid w:val="001D2F6A"/>
    <w:rsid w:val="001E1BBD"/>
    <w:rsid w:val="001E5E0D"/>
    <w:rsid w:val="001F0440"/>
    <w:rsid w:val="001F2CDD"/>
    <w:rsid w:val="001F398C"/>
    <w:rsid w:val="001F39DA"/>
    <w:rsid w:val="001F41CD"/>
    <w:rsid w:val="002001FE"/>
    <w:rsid w:val="00200B0C"/>
    <w:rsid w:val="0020446B"/>
    <w:rsid w:val="0020575F"/>
    <w:rsid w:val="0020576F"/>
    <w:rsid w:val="00210519"/>
    <w:rsid w:val="00215785"/>
    <w:rsid w:val="00217783"/>
    <w:rsid w:val="00217B69"/>
    <w:rsid w:val="00217EAF"/>
    <w:rsid w:val="00230F2A"/>
    <w:rsid w:val="0023224C"/>
    <w:rsid w:val="00234163"/>
    <w:rsid w:val="002348E7"/>
    <w:rsid w:val="00236391"/>
    <w:rsid w:val="00240367"/>
    <w:rsid w:val="00242BB4"/>
    <w:rsid w:val="00243232"/>
    <w:rsid w:val="002452CE"/>
    <w:rsid w:val="00247348"/>
    <w:rsid w:val="00251C06"/>
    <w:rsid w:val="00254F3E"/>
    <w:rsid w:val="00255E74"/>
    <w:rsid w:val="00261292"/>
    <w:rsid w:val="00263F12"/>
    <w:rsid w:val="0027109C"/>
    <w:rsid w:val="00272DDB"/>
    <w:rsid w:val="00285829"/>
    <w:rsid w:val="00286016"/>
    <w:rsid w:val="0029624A"/>
    <w:rsid w:val="00296D6E"/>
    <w:rsid w:val="002A157C"/>
    <w:rsid w:val="002A1E9E"/>
    <w:rsid w:val="002A77E3"/>
    <w:rsid w:val="002C1A18"/>
    <w:rsid w:val="002C3FF1"/>
    <w:rsid w:val="002D6790"/>
    <w:rsid w:val="002F4FFC"/>
    <w:rsid w:val="002F53AF"/>
    <w:rsid w:val="00307142"/>
    <w:rsid w:val="00321577"/>
    <w:rsid w:val="0032235F"/>
    <w:rsid w:val="00322BA6"/>
    <w:rsid w:val="003267C9"/>
    <w:rsid w:val="0033002F"/>
    <w:rsid w:val="00334DA9"/>
    <w:rsid w:val="0034360D"/>
    <w:rsid w:val="00346F4A"/>
    <w:rsid w:val="00354C44"/>
    <w:rsid w:val="00355827"/>
    <w:rsid w:val="00370538"/>
    <w:rsid w:val="00370C40"/>
    <w:rsid w:val="00371882"/>
    <w:rsid w:val="00382595"/>
    <w:rsid w:val="00382AE8"/>
    <w:rsid w:val="00383CD9"/>
    <w:rsid w:val="0039097F"/>
    <w:rsid w:val="00395E74"/>
    <w:rsid w:val="003A3915"/>
    <w:rsid w:val="003A75BE"/>
    <w:rsid w:val="003A78F2"/>
    <w:rsid w:val="003C32E3"/>
    <w:rsid w:val="003C358E"/>
    <w:rsid w:val="003C3DA0"/>
    <w:rsid w:val="003C52E7"/>
    <w:rsid w:val="003C5554"/>
    <w:rsid w:val="003D3A7A"/>
    <w:rsid w:val="003D3E61"/>
    <w:rsid w:val="003E04E6"/>
    <w:rsid w:val="003E5E67"/>
    <w:rsid w:val="003F3012"/>
    <w:rsid w:val="003F5B26"/>
    <w:rsid w:val="00400D89"/>
    <w:rsid w:val="00402DF2"/>
    <w:rsid w:val="00403FCE"/>
    <w:rsid w:val="00405886"/>
    <w:rsid w:val="0040615D"/>
    <w:rsid w:val="004066B8"/>
    <w:rsid w:val="00410DEE"/>
    <w:rsid w:val="00412A53"/>
    <w:rsid w:val="00415C44"/>
    <w:rsid w:val="004203A6"/>
    <w:rsid w:val="00421C29"/>
    <w:rsid w:val="00444EE5"/>
    <w:rsid w:val="00451D2B"/>
    <w:rsid w:val="0045549A"/>
    <w:rsid w:val="00455A71"/>
    <w:rsid w:val="00460594"/>
    <w:rsid w:val="0046332E"/>
    <w:rsid w:val="00471ACB"/>
    <w:rsid w:val="0047626E"/>
    <w:rsid w:val="00477B16"/>
    <w:rsid w:val="00486660"/>
    <w:rsid w:val="0049731B"/>
    <w:rsid w:val="004A3825"/>
    <w:rsid w:val="004B2A91"/>
    <w:rsid w:val="004B32E4"/>
    <w:rsid w:val="004D05EB"/>
    <w:rsid w:val="004D0992"/>
    <w:rsid w:val="004D24E4"/>
    <w:rsid w:val="004D253E"/>
    <w:rsid w:val="004D6954"/>
    <w:rsid w:val="004D7C0F"/>
    <w:rsid w:val="004E3DD9"/>
    <w:rsid w:val="004E5EA4"/>
    <w:rsid w:val="004F1E53"/>
    <w:rsid w:val="004F6A3F"/>
    <w:rsid w:val="0050049C"/>
    <w:rsid w:val="00500826"/>
    <w:rsid w:val="005038B7"/>
    <w:rsid w:val="00504CF1"/>
    <w:rsid w:val="00506D97"/>
    <w:rsid w:val="00517A09"/>
    <w:rsid w:val="00517CF1"/>
    <w:rsid w:val="00525B62"/>
    <w:rsid w:val="00526E7D"/>
    <w:rsid w:val="00536A0C"/>
    <w:rsid w:val="00544B5C"/>
    <w:rsid w:val="005468ED"/>
    <w:rsid w:val="00550248"/>
    <w:rsid w:val="00553E7D"/>
    <w:rsid w:val="005542A3"/>
    <w:rsid w:val="0055687C"/>
    <w:rsid w:val="00563875"/>
    <w:rsid w:val="00564099"/>
    <w:rsid w:val="00564C64"/>
    <w:rsid w:val="00571914"/>
    <w:rsid w:val="005719D7"/>
    <w:rsid w:val="005808BB"/>
    <w:rsid w:val="00587C68"/>
    <w:rsid w:val="00590759"/>
    <w:rsid w:val="005938C0"/>
    <w:rsid w:val="005A0933"/>
    <w:rsid w:val="005B1DA3"/>
    <w:rsid w:val="005B2F22"/>
    <w:rsid w:val="005C0A89"/>
    <w:rsid w:val="005C1441"/>
    <w:rsid w:val="005C3B07"/>
    <w:rsid w:val="005C4F4A"/>
    <w:rsid w:val="005C5833"/>
    <w:rsid w:val="005C75DC"/>
    <w:rsid w:val="005D4967"/>
    <w:rsid w:val="005E3991"/>
    <w:rsid w:val="005E66A6"/>
    <w:rsid w:val="005E6ACA"/>
    <w:rsid w:val="005F3C70"/>
    <w:rsid w:val="005F6822"/>
    <w:rsid w:val="0060242F"/>
    <w:rsid w:val="00607580"/>
    <w:rsid w:val="006114B6"/>
    <w:rsid w:val="00611900"/>
    <w:rsid w:val="00613CDC"/>
    <w:rsid w:val="00616CD3"/>
    <w:rsid w:val="00617BA7"/>
    <w:rsid w:val="006260B8"/>
    <w:rsid w:val="006327C6"/>
    <w:rsid w:val="006339D2"/>
    <w:rsid w:val="00636B7B"/>
    <w:rsid w:val="0064403D"/>
    <w:rsid w:val="00660151"/>
    <w:rsid w:val="00663974"/>
    <w:rsid w:val="00665804"/>
    <w:rsid w:val="00672DC5"/>
    <w:rsid w:val="00673A3A"/>
    <w:rsid w:val="0067582B"/>
    <w:rsid w:val="00676796"/>
    <w:rsid w:val="006912D1"/>
    <w:rsid w:val="00695AFA"/>
    <w:rsid w:val="006A1204"/>
    <w:rsid w:val="006A2EB5"/>
    <w:rsid w:val="006A6CAA"/>
    <w:rsid w:val="006B73D7"/>
    <w:rsid w:val="006C1028"/>
    <w:rsid w:val="006D1881"/>
    <w:rsid w:val="006D1BA1"/>
    <w:rsid w:val="006D47BD"/>
    <w:rsid w:val="006E26EA"/>
    <w:rsid w:val="006F31CE"/>
    <w:rsid w:val="00701B3C"/>
    <w:rsid w:val="00702E2F"/>
    <w:rsid w:val="00705038"/>
    <w:rsid w:val="00707662"/>
    <w:rsid w:val="007109AD"/>
    <w:rsid w:val="00712B66"/>
    <w:rsid w:val="0071502D"/>
    <w:rsid w:val="007179AD"/>
    <w:rsid w:val="007240E3"/>
    <w:rsid w:val="0072625A"/>
    <w:rsid w:val="007325D9"/>
    <w:rsid w:val="007338C8"/>
    <w:rsid w:val="00735002"/>
    <w:rsid w:val="00740683"/>
    <w:rsid w:val="007418DB"/>
    <w:rsid w:val="00745EB1"/>
    <w:rsid w:val="00754C5C"/>
    <w:rsid w:val="007551EC"/>
    <w:rsid w:val="00761593"/>
    <w:rsid w:val="00763290"/>
    <w:rsid w:val="00775238"/>
    <w:rsid w:val="0077784E"/>
    <w:rsid w:val="00781E24"/>
    <w:rsid w:val="00782ED6"/>
    <w:rsid w:val="0078331F"/>
    <w:rsid w:val="0078458D"/>
    <w:rsid w:val="00795A63"/>
    <w:rsid w:val="007B52FA"/>
    <w:rsid w:val="007B58FF"/>
    <w:rsid w:val="007C6675"/>
    <w:rsid w:val="007C685A"/>
    <w:rsid w:val="007C6E69"/>
    <w:rsid w:val="007D0F37"/>
    <w:rsid w:val="007D683E"/>
    <w:rsid w:val="007E23FD"/>
    <w:rsid w:val="007E2F38"/>
    <w:rsid w:val="007F0229"/>
    <w:rsid w:val="007F4CDA"/>
    <w:rsid w:val="007F6CFA"/>
    <w:rsid w:val="00800994"/>
    <w:rsid w:val="00802E06"/>
    <w:rsid w:val="00806248"/>
    <w:rsid w:val="00812848"/>
    <w:rsid w:val="00813884"/>
    <w:rsid w:val="008265DE"/>
    <w:rsid w:val="00827A86"/>
    <w:rsid w:val="008351A3"/>
    <w:rsid w:val="00835BF2"/>
    <w:rsid w:val="008536E7"/>
    <w:rsid w:val="0085607E"/>
    <w:rsid w:val="00863003"/>
    <w:rsid w:val="00865043"/>
    <w:rsid w:val="00873406"/>
    <w:rsid w:val="00873504"/>
    <w:rsid w:val="00873F0B"/>
    <w:rsid w:val="00882928"/>
    <w:rsid w:val="0088390A"/>
    <w:rsid w:val="00884C0F"/>
    <w:rsid w:val="008878E7"/>
    <w:rsid w:val="00892904"/>
    <w:rsid w:val="00897803"/>
    <w:rsid w:val="008A167E"/>
    <w:rsid w:val="008A3682"/>
    <w:rsid w:val="008A44AD"/>
    <w:rsid w:val="008C44FB"/>
    <w:rsid w:val="008D6A80"/>
    <w:rsid w:val="008D7DD9"/>
    <w:rsid w:val="008E11C8"/>
    <w:rsid w:val="008E40C1"/>
    <w:rsid w:val="008E5032"/>
    <w:rsid w:val="008E598B"/>
    <w:rsid w:val="008F0D68"/>
    <w:rsid w:val="008F1621"/>
    <w:rsid w:val="008F3605"/>
    <w:rsid w:val="008F4BA6"/>
    <w:rsid w:val="009216AE"/>
    <w:rsid w:val="00921F2B"/>
    <w:rsid w:val="00924C62"/>
    <w:rsid w:val="0092765D"/>
    <w:rsid w:val="0093328E"/>
    <w:rsid w:val="00933AF0"/>
    <w:rsid w:val="0093631B"/>
    <w:rsid w:val="00937646"/>
    <w:rsid w:val="00943381"/>
    <w:rsid w:val="009458A1"/>
    <w:rsid w:val="009471FB"/>
    <w:rsid w:val="009519E7"/>
    <w:rsid w:val="0095740F"/>
    <w:rsid w:val="009805CF"/>
    <w:rsid w:val="00982626"/>
    <w:rsid w:val="00982E44"/>
    <w:rsid w:val="0098573D"/>
    <w:rsid w:val="00995D3E"/>
    <w:rsid w:val="00996EC2"/>
    <w:rsid w:val="009B7AF7"/>
    <w:rsid w:val="009C6BD6"/>
    <w:rsid w:val="009E1ACC"/>
    <w:rsid w:val="009E2AA4"/>
    <w:rsid w:val="009E7910"/>
    <w:rsid w:val="00A009A5"/>
    <w:rsid w:val="00A04A56"/>
    <w:rsid w:val="00A11E31"/>
    <w:rsid w:val="00A13F21"/>
    <w:rsid w:val="00A26313"/>
    <w:rsid w:val="00A30986"/>
    <w:rsid w:val="00A330E8"/>
    <w:rsid w:val="00A53351"/>
    <w:rsid w:val="00A55BD2"/>
    <w:rsid w:val="00A6150C"/>
    <w:rsid w:val="00A62F0F"/>
    <w:rsid w:val="00A656E1"/>
    <w:rsid w:val="00A74C95"/>
    <w:rsid w:val="00A83898"/>
    <w:rsid w:val="00A84DAF"/>
    <w:rsid w:val="00A85BB6"/>
    <w:rsid w:val="00A90FA9"/>
    <w:rsid w:val="00AA1B5E"/>
    <w:rsid w:val="00AB5FB3"/>
    <w:rsid w:val="00AD2205"/>
    <w:rsid w:val="00AD4E1E"/>
    <w:rsid w:val="00AD5241"/>
    <w:rsid w:val="00AD66F6"/>
    <w:rsid w:val="00AF45FD"/>
    <w:rsid w:val="00B010F6"/>
    <w:rsid w:val="00B13976"/>
    <w:rsid w:val="00B17C6B"/>
    <w:rsid w:val="00B2367E"/>
    <w:rsid w:val="00B266E1"/>
    <w:rsid w:val="00B3281C"/>
    <w:rsid w:val="00B351D3"/>
    <w:rsid w:val="00B361A8"/>
    <w:rsid w:val="00B43702"/>
    <w:rsid w:val="00B449D7"/>
    <w:rsid w:val="00B45E03"/>
    <w:rsid w:val="00B46C2F"/>
    <w:rsid w:val="00B5171D"/>
    <w:rsid w:val="00B51E98"/>
    <w:rsid w:val="00B634DA"/>
    <w:rsid w:val="00B652CD"/>
    <w:rsid w:val="00B66248"/>
    <w:rsid w:val="00B82B74"/>
    <w:rsid w:val="00B877B0"/>
    <w:rsid w:val="00B87DB4"/>
    <w:rsid w:val="00B90764"/>
    <w:rsid w:val="00B953C7"/>
    <w:rsid w:val="00B957BD"/>
    <w:rsid w:val="00B95A7D"/>
    <w:rsid w:val="00BA5DD5"/>
    <w:rsid w:val="00BA5E0C"/>
    <w:rsid w:val="00BA634B"/>
    <w:rsid w:val="00BB2832"/>
    <w:rsid w:val="00BB3DBD"/>
    <w:rsid w:val="00BB67B3"/>
    <w:rsid w:val="00BC79D3"/>
    <w:rsid w:val="00BD0969"/>
    <w:rsid w:val="00BD4C4D"/>
    <w:rsid w:val="00BE7C88"/>
    <w:rsid w:val="00BF0EA6"/>
    <w:rsid w:val="00C001FA"/>
    <w:rsid w:val="00C0277D"/>
    <w:rsid w:val="00C05F1B"/>
    <w:rsid w:val="00C12B44"/>
    <w:rsid w:val="00C17849"/>
    <w:rsid w:val="00C23F23"/>
    <w:rsid w:val="00C267D5"/>
    <w:rsid w:val="00C26CCE"/>
    <w:rsid w:val="00C26F1E"/>
    <w:rsid w:val="00C32738"/>
    <w:rsid w:val="00C3630D"/>
    <w:rsid w:val="00C53996"/>
    <w:rsid w:val="00C550EF"/>
    <w:rsid w:val="00C579E8"/>
    <w:rsid w:val="00C60215"/>
    <w:rsid w:val="00C624CF"/>
    <w:rsid w:val="00C66801"/>
    <w:rsid w:val="00C732F3"/>
    <w:rsid w:val="00C74AA6"/>
    <w:rsid w:val="00C77AAC"/>
    <w:rsid w:val="00C97632"/>
    <w:rsid w:val="00CB03E7"/>
    <w:rsid w:val="00CB3395"/>
    <w:rsid w:val="00CB3FB9"/>
    <w:rsid w:val="00CC6420"/>
    <w:rsid w:val="00CD2539"/>
    <w:rsid w:val="00CD2E51"/>
    <w:rsid w:val="00CD6C88"/>
    <w:rsid w:val="00CD6CD6"/>
    <w:rsid w:val="00CD6F46"/>
    <w:rsid w:val="00D0188B"/>
    <w:rsid w:val="00D024F4"/>
    <w:rsid w:val="00D02541"/>
    <w:rsid w:val="00D04461"/>
    <w:rsid w:val="00D10561"/>
    <w:rsid w:val="00D17C0A"/>
    <w:rsid w:val="00D262D6"/>
    <w:rsid w:val="00D3139C"/>
    <w:rsid w:val="00D42113"/>
    <w:rsid w:val="00D43CEE"/>
    <w:rsid w:val="00D51548"/>
    <w:rsid w:val="00D56111"/>
    <w:rsid w:val="00D77A80"/>
    <w:rsid w:val="00D81CEA"/>
    <w:rsid w:val="00D82F76"/>
    <w:rsid w:val="00D87E4E"/>
    <w:rsid w:val="00D952AE"/>
    <w:rsid w:val="00DA24CD"/>
    <w:rsid w:val="00DA4574"/>
    <w:rsid w:val="00DA61FE"/>
    <w:rsid w:val="00DB01C2"/>
    <w:rsid w:val="00DB3279"/>
    <w:rsid w:val="00DB5D2F"/>
    <w:rsid w:val="00DC4551"/>
    <w:rsid w:val="00DD1A55"/>
    <w:rsid w:val="00DD2414"/>
    <w:rsid w:val="00DE158A"/>
    <w:rsid w:val="00DE1BD0"/>
    <w:rsid w:val="00DE2F78"/>
    <w:rsid w:val="00E07083"/>
    <w:rsid w:val="00E15BFD"/>
    <w:rsid w:val="00E15C1A"/>
    <w:rsid w:val="00E1677D"/>
    <w:rsid w:val="00E23401"/>
    <w:rsid w:val="00E318F2"/>
    <w:rsid w:val="00E375FF"/>
    <w:rsid w:val="00E4537A"/>
    <w:rsid w:val="00E45B32"/>
    <w:rsid w:val="00E470A8"/>
    <w:rsid w:val="00E54AD9"/>
    <w:rsid w:val="00E54D99"/>
    <w:rsid w:val="00E6309C"/>
    <w:rsid w:val="00E707C6"/>
    <w:rsid w:val="00E7161A"/>
    <w:rsid w:val="00E75248"/>
    <w:rsid w:val="00E77455"/>
    <w:rsid w:val="00E82415"/>
    <w:rsid w:val="00E840F2"/>
    <w:rsid w:val="00E85E48"/>
    <w:rsid w:val="00E90560"/>
    <w:rsid w:val="00E96ACE"/>
    <w:rsid w:val="00E96B83"/>
    <w:rsid w:val="00EA0EEB"/>
    <w:rsid w:val="00EA2519"/>
    <w:rsid w:val="00EB05DE"/>
    <w:rsid w:val="00EB3F32"/>
    <w:rsid w:val="00EB450F"/>
    <w:rsid w:val="00EC01F1"/>
    <w:rsid w:val="00EC5A25"/>
    <w:rsid w:val="00ED13DF"/>
    <w:rsid w:val="00EF3E6B"/>
    <w:rsid w:val="00F07E35"/>
    <w:rsid w:val="00F110C4"/>
    <w:rsid w:val="00F128D2"/>
    <w:rsid w:val="00F3045B"/>
    <w:rsid w:val="00F37222"/>
    <w:rsid w:val="00F42BFE"/>
    <w:rsid w:val="00F542F2"/>
    <w:rsid w:val="00F558A9"/>
    <w:rsid w:val="00F57BBB"/>
    <w:rsid w:val="00F62AE9"/>
    <w:rsid w:val="00F63346"/>
    <w:rsid w:val="00F67317"/>
    <w:rsid w:val="00F7142F"/>
    <w:rsid w:val="00F71B01"/>
    <w:rsid w:val="00F73B75"/>
    <w:rsid w:val="00F77E17"/>
    <w:rsid w:val="00F82181"/>
    <w:rsid w:val="00F82AAD"/>
    <w:rsid w:val="00F84615"/>
    <w:rsid w:val="00F95CAF"/>
    <w:rsid w:val="00F96EDE"/>
    <w:rsid w:val="00F97C34"/>
    <w:rsid w:val="00FA02C1"/>
    <w:rsid w:val="00FA17F4"/>
    <w:rsid w:val="00FA4A5F"/>
    <w:rsid w:val="00FA4FC1"/>
    <w:rsid w:val="00FA605C"/>
    <w:rsid w:val="00FB0489"/>
    <w:rsid w:val="00FB54CE"/>
    <w:rsid w:val="00FB67F1"/>
    <w:rsid w:val="00FC16EF"/>
    <w:rsid w:val="00FC38B3"/>
    <w:rsid w:val="00FD5305"/>
    <w:rsid w:val="00FD5C4A"/>
    <w:rsid w:val="00FD7BA7"/>
    <w:rsid w:val="00FE25ED"/>
    <w:rsid w:val="015C54EA"/>
    <w:rsid w:val="03077AFB"/>
    <w:rsid w:val="050013B3"/>
    <w:rsid w:val="05002A44"/>
    <w:rsid w:val="062E1E31"/>
    <w:rsid w:val="069F21B4"/>
    <w:rsid w:val="06CA146B"/>
    <w:rsid w:val="08E13E8B"/>
    <w:rsid w:val="0B6D00FF"/>
    <w:rsid w:val="0D496373"/>
    <w:rsid w:val="0D5C24F8"/>
    <w:rsid w:val="10226CB4"/>
    <w:rsid w:val="10A36A7C"/>
    <w:rsid w:val="10DD48BA"/>
    <w:rsid w:val="11465CA0"/>
    <w:rsid w:val="11B75473"/>
    <w:rsid w:val="12E82371"/>
    <w:rsid w:val="15E21316"/>
    <w:rsid w:val="16856366"/>
    <w:rsid w:val="1778542E"/>
    <w:rsid w:val="17E55487"/>
    <w:rsid w:val="19436E49"/>
    <w:rsid w:val="19F27A34"/>
    <w:rsid w:val="1A5E641F"/>
    <w:rsid w:val="1A944567"/>
    <w:rsid w:val="1AD03E42"/>
    <w:rsid w:val="1D3924F3"/>
    <w:rsid w:val="1D650A06"/>
    <w:rsid w:val="1DCB6B29"/>
    <w:rsid w:val="202B32F7"/>
    <w:rsid w:val="20A42E40"/>
    <w:rsid w:val="211F26C7"/>
    <w:rsid w:val="2347728F"/>
    <w:rsid w:val="25A032EE"/>
    <w:rsid w:val="283F3B59"/>
    <w:rsid w:val="2A2560B8"/>
    <w:rsid w:val="2AEE08CD"/>
    <w:rsid w:val="2B826017"/>
    <w:rsid w:val="2BAE1A26"/>
    <w:rsid w:val="2BE46BCE"/>
    <w:rsid w:val="2DFE525C"/>
    <w:rsid w:val="31106166"/>
    <w:rsid w:val="3199757C"/>
    <w:rsid w:val="323343F8"/>
    <w:rsid w:val="339E288B"/>
    <w:rsid w:val="34231C03"/>
    <w:rsid w:val="34B777BA"/>
    <w:rsid w:val="3537203B"/>
    <w:rsid w:val="36B328EC"/>
    <w:rsid w:val="36C638A6"/>
    <w:rsid w:val="37F37967"/>
    <w:rsid w:val="383C5483"/>
    <w:rsid w:val="3AC57DE5"/>
    <w:rsid w:val="3B371578"/>
    <w:rsid w:val="3D5A1AB1"/>
    <w:rsid w:val="3E56063C"/>
    <w:rsid w:val="41625711"/>
    <w:rsid w:val="4198296A"/>
    <w:rsid w:val="42F41DCA"/>
    <w:rsid w:val="45091B6E"/>
    <w:rsid w:val="47E067FB"/>
    <w:rsid w:val="48610645"/>
    <w:rsid w:val="4A6E6C56"/>
    <w:rsid w:val="4AC84139"/>
    <w:rsid w:val="4B040D72"/>
    <w:rsid w:val="4DDC6E10"/>
    <w:rsid w:val="4E1D0990"/>
    <w:rsid w:val="4F024A35"/>
    <w:rsid w:val="4FFE1FA6"/>
    <w:rsid w:val="51291EDB"/>
    <w:rsid w:val="5367288C"/>
    <w:rsid w:val="55594C64"/>
    <w:rsid w:val="55D32617"/>
    <w:rsid w:val="569042D1"/>
    <w:rsid w:val="5B504F29"/>
    <w:rsid w:val="5BCD5A8D"/>
    <w:rsid w:val="5D7A7717"/>
    <w:rsid w:val="5F39124D"/>
    <w:rsid w:val="61B46B63"/>
    <w:rsid w:val="648845E4"/>
    <w:rsid w:val="66D30BD2"/>
    <w:rsid w:val="687A6753"/>
    <w:rsid w:val="6C2431DE"/>
    <w:rsid w:val="6D8F68C7"/>
    <w:rsid w:val="6E7336AD"/>
    <w:rsid w:val="71A25D27"/>
    <w:rsid w:val="71E476C0"/>
    <w:rsid w:val="71FB4F58"/>
    <w:rsid w:val="727F261D"/>
    <w:rsid w:val="740A61B4"/>
    <w:rsid w:val="74B25EE5"/>
    <w:rsid w:val="759866DD"/>
    <w:rsid w:val="76361FD5"/>
    <w:rsid w:val="76790114"/>
    <w:rsid w:val="769D1952"/>
    <w:rsid w:val="777A29E6"/>
    <w:rsid w:val="7AA94D8C"/>
    <w:rsid w:val="7B0C753B"/>
    <w:rsid w:val="7BD83F7A"/>
    <w:rsid w:val="7D1941BB"/>
    <w:rsid w:val="7E932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numPr>
        <w:ilvl w:val="0"/>
        <w:numId w:val="1"/>
      </w:numPr>
      <w:spacing w:line="440" w:lineRule="exact"/>
      <w:outlineLvl w:val="0"/>
    </w:pPr>
    <w:rPr>
      <w:b/>
      <w:sz w:val="32"/>
      <w:lang w:val="zh-CN"/>
    </w:rPr>
  </w:style>
  <w:style w:type="paragraph" w:styleId="3">
    <w:name w:val="heading 2"/>
    <w:basedOn w:val="1"/>
    <w:next w:val="1"/>
    <w:link w:val="29"/>
    <w:qFormat/>
    <w:uiPriority w:val="0"/>
    <w:pPr>
      <w:keepNext/>
      <w:keepLines/>
      <w:numPr>
        <w:ilvl w:val="1"/>
        <w:numId w:val="1"/>
      </w:numPr>
      <w:spacing w:line="440" w:lineRule="exact"/>
      <w:outlineLvl w:val="1"/>
    </w:pPr>
    <w:rPr>
      <w:rFonts w:ascii="Arial" w:hAnsi="Arial"/>
      <w:b/>
      <w:sz w:val="30"/>
      <w:lang w:val="zh-CN"/>
    </w:rPr>
  </w:style>
  <w:style w:type="paragraph" w:styleId="4">
    <w:name w:val="heading 3"/>
    <w:basedOn w:val="1"/>
    <w:next w:val="1"/>
    <w:link w:val="34"/>
    <w:qFormat/>
    <w:uiPriority w:val="0"/>
    <w:pPr>
      <w:keepNext/>
      <w:keepLines/>
      <w:numPr>
        <w:ilvl w:val="2"/>
        <w:numId w:val="1"/>
      </w:numPr>
      <w:spacing w:line="440" w:lineRule="exact"/>
      <w:outlineLvl w:val="2"/>
    </w:pPr>
    <w:rPr>
      <w:b/>
      <w:sz w:val="28"/>
      <w:lang w:val="zh-CN"/>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9"/>
    <w:qFormat/>
    <w:uiPriority w:val="0"/>
    <w:pPr>
      <w:ind w:firstLine="420"/>
    </w:pPr>
    <w:rPr>
      <w:rFonts w:asciiTheme="minorHAnsi" w:hAnsiTheme="minorHAnsi" w:cstheme="minorBidi"/>
      <w:szCs w:val="22"/>
    </w:rPr>
  </w:style>
  <w:style w:type="paragraph" w:styleId="7">
    <w:name w:val="annotation text"/>
    <w:basedOn w:val="1"/>
    <w:link w:val="46"/>
    <w:semiHidden/>
    <w:unhideWhenUsed/>
    <w:qFormat/>
    <w:uiPriority w:val="0"/>
    <w:pPr>
      <w:jc w:val="left"/>
    </w:pPr>
    <w:rPr>
      <w:rFonts w:ascii="Calibri" w:hAnsi="Calibri"/>
      <w:szCs w:val="24"/>
    </w:rPr>
  </w:style>
  <w:style w:type="paragraph" w:styleId="8">
    <w:name w:val="Body Text"/>
    <w:basedOn w:val="1"/>
    <w:unhideWhenUsed/>
    <w:qFormat/>
    <w:uiPriority w:val="99"/>
    <w:pPr>
      <w:jc w:val="center"/>
    </w:pPr>
    <w:rPr>
      <w:rFonts w:ascii="文鼎CS大宋" w:hAnsi="文鼎CS大宋" w:cs="宋体"/>
      <w:b/>
      <w:bCs/>
      <w:color w:val="FF0000"/>
      <w:sz w:val="84"/>
      <w:szCs w:val="84"/>
    </w:rPr>
  </w:style>
  <w:style w:type="paragraph" w:styleId="9">
    <w:name w:val="toc 3"/>
    <w:basedOn w:val="1"/>
    <w:next w:val="1"/>
    <w:unhideWhenUsed/>
    <w:qFormat/>
    <w:uiPriority w:val="39"/>
    <w:pPr>
      <w:ind w:left="840" w:leftChars="400"/>
    </w:pPr>
  </w:style>
  <w:style w:type="paragraph" w:styleId="10">
    <w:name w:val="Plain Text"/>
    <w:basedOn w:val="1"/>
    <w:link w:val="36"/>
    <w:qFormat/>
    <w:uiPriority w:val="0"/>
    <w:rPr>
      <w:rFonts w:ascii="宋体" w:hAnsi="Courier New" w:cstheme="minorBidi"/>
      <w:szCs w:val="21"/>
    </w:rPr>
  </w:style>
  <w:style w:type="paragraph" w:styleId="11">
    <w:name w:val="Date"/>
    <w:basedOn w:val="1"/>
    <w:next w:val="1"/>
    <w:link w:val="49"/>
    <w:qFormat/>
    <w:uiPriority w:val="0"/>
    <w:rPr>
      <w:rFonts w:ascii="楷体_GB2312" w:eastAsia="楷体_GB2312" w:hAnsiTheme="minorHAnsi" w:cstheme="minorBidi"/>
      <w:color w:val="000000"/>
      <w:sz w:val="32"/>
      <w:szCs w:val="32"/>
    </w:rPr>
  </w:style>
  <w:style w:type="paragraph" w:styleId="12">
    <w:name w:val="Body Text Indent 2"/>
    <w:basedOn w:val="1"/>
    <w:link w:val="41"/>
    <w:qFormat/>
    <w:uiPriority w:val="0"/>
    <w:pPr>
      <w:ind w:firstLine="600" w:firstLineChars="200"/>
    </w:pPr>
    <w:rPr>
      <w:rFonts w:asciiTheme="minorHAnsi" w:hAnsiTheme="minorHAnsi" w:cstheme="minorBidi"/>
      <w:sz w:val="30"/>
      <w:szCs w:val="22"/>
    </w:rPr>
  </w:style>
  <w:style w:type="paragraph" w:styleId="13">
    <w:name w:val="Balloon Text"/>
    <w:basedOn w:val="1"/>
    <w:link w:val="47"/>
    <w:semiHidden/>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Body Text Indent 3"/>
    <w:basedOn w:val="1"/>
    <w:link w:val="42"/>
    <w:qFormat/>
    <w:uiPriority w:val="0"/>
    <w:pPr>
      <w:ind w:firstLine="640" w:firstLineChars="200"/>
    </w:pPr>
    <w:rPr>
      <w:rFonts w:asciiTheme="minorHAnsi" w:hAnsiTheme="minorHAnsi" w:cstheme="minorBidi"/>
      <w:sz w:val="32"/>
      <w:szCs w:val="22"/>
    </w:rPr>
  </w:style>
  <w:style w:type="paragraph" w:styleId="18">
    <w:name w:val="toc 2"/>
    <w:basedOn w:val="1"/>
    <w:next w:val="1"/>
    <w:unhideWhenUsed/>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rFonts w:hint="eastAsia" w:ascii="宋体" w:hAnsi="宋体"/>
      <w:kern w:val="0"/>
      <w:sz w:val="24"/>
      <w:szCs w:val="24"/>
    </w:rPr>
  </w:style>
  <w:style w:type="paragraph" w:styleId="20">
    <w:name w:val="annotation subject"/>
    <w:basedOn w:val="7"/>
    <w:next w:val="7"/>
    <w:link w:val="53"/>
    <w:semiHidden/>
    <w:unhideWhenUsed/>
    <w:qFormat/>
    <w:uiPriority w:val="99"/>
    <w:rPr>
      <w:rFonts w:ascii="Times New Roman" w:hAnsi="Times New Roman"/>
      <w:b/>
      <w:bCs/>
      <w:szCs w:val="20"/>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page number"/>
    <w:basedOn w:val="23"/>
    <w:qFormat/>
    <w:uiPriority w:val="0"/>
  </w:style>
  <w:style w:type="character" w:styleId="26">
    <w:name w:val="FollowedHyperlink"/>
    <w:basedOn w:val="23"/>
    <w:semiHidden/>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basedOn w:val="23"/>
    <w:semiHidden/>
    <w:unhideWhenUsed/>
    <w:qFormat/>
    <w:uiPriority w:val="0"/>
    <w:rPr>
      <w:sz w:val="21"/>
      <w:szCs w:val="21"/>
    </w:rPr>
  </w:style>
  <w:style w:type="character" w:customStyle="1" w:styleId="29">
    <w:name w:val="标题 2 Char"/>
    <w:link w:val="3"/>
    <w:qFormat/>
    <w:uiPriority w:val="0"/>
    <w:rPr>
      <w:rFonts w:ascii="Arial" w:hAnsi="Arial" w:eastAsia="宋体" w:cs="Times New Roman"/>
      <w:b/>
      <w:sz w:val="30"/>
      <w:szCs w:val="20"/>
      <w:lang w:val="zh-CN" w:eastAsia="zh-CN"/>
    </w:rPr>
  </w:style>
  <w:style w:type="character" w:customStyle="1" w:styleId="30">
    <w:name w:val="页眉 Char"/>
    <w:basedOn w:val="23"/>
    <w:link w:val="15"/>
    <w:qFormat/>
    <w:uiPriority w:val="99"/>
    <w:rPr>
      <w:sz w:val="18"/>
      <w:szCs w:val="18"/>
    </w:rPr>
  </w:style>
  <w:style w:type="character" w:customStyle="1" w:styleId="31">
    <w:name w:val="页脚 Char"/>
    <w:basedOn w:val="23"/>
    <w:link w:val="14"/>
    <w:qFormat/>
    <w:uiPriority w:val="99"/>
    <w:rPr>
      <w:sz w:val="18"/>
      <w:szCs w:val="18"/>
    </w:rPr>
  </w:style>
  <w:style w:type="character" w:customStyle="1" w:styleId="32">
    <w:name w:val="标题 1 字符"/>
    <w:basedOn w:val="23"/>
    <w:qFormat/>
    <w:uiPriority w:val="9"/>
    <w:rPr>
      <w:rFonts w:ascii="Times New Roman" w:hAnsi="Times New Roman" w:eastAsia="宋体" w:cs="Times New Roman"/>
      <w:b/>
      <w:bCs/>
      <w:kern w:val="44"/>
      <w:sz w:val="44"/>
      <w:szCs w:val="44"/>
    </w:rPr>
  </w:style>
  <w:style w:type="character" w:customStyle="1" w:styleId="33">
    <w:name w:val="标题 2 字符"/>
    <w:basedOn w:val="23"/>
    <w:semiHidden/>
    <w:qFormat/>
    <w:uiPriority w:val="9"/>
    <w:rPr>
      <w:rFonts w:asciiTheme="majorHAnsi" w:hAnsiTheme="majorHAnsi" w:eastAsiaTheme="majorEastAsia" w:cstheme="majorBidi"/>
      <w:b/>
      <w:bCs/>
      <w:sz w:val="32"/>
      <w:szCs w:val="32"/>
    </w:rPr>
  </w:style>
  <w:style w:type="character" w:customStyle="1" w:styleId="34">
    <w:name w:val="标题 3 Char"/>
    <w:basedOn w:val="23"/>
    <w:link w:val="4"/>
    <w:qFormat/>
    <w:uiPriority w:val="0"/>
    <w:rPr>
      <w:rFonts w:ascii="Times New Roman" w:hAnsi="Times New Roman" w:eastAsia="宋体" w:cs="Times New Roman"/>
      <w:b/>
      <w:sz w:val="28"/>
      <w:szCs w:val="20"/>
      <w:lang w:val="zh-CN" w:eastAsia="zh-CN"/>
    </w:rPr>
  </w:style>
  <w:style w:type="character" w:customStyle="1" w:styleId="35">
    <w:name w:val="标题 1 Char"/>
    <w:link w:val="2"/>
    <w:qFormat/>
    <w:uiPriority w:val="0"/>
    <w:rPr>
      <w:rFonts w:ascii="Times New Roman" w:hAnsi="Times New Roman" w:eastAsia="宋体" w:cs="Times New Roman"/>
      <w:b/>
      <w:sz w:val="32"/>
      <w:szCs w:val="20"/>
      <w:lang w:val="zh-CN" w:eastAsia="zh-CN"/>
    </w:rPr>
  </w:style>
  <w:style w:type="character" w:customStyle="1" w:styleId="36">
    <w:name w:val="纯文本 Char"/>
    <w:link w:val="10"/>
    <w:qFormat/>
    <w:uiPriority w:val="0"/>
    <w:rPr>
      <w:rFonts w:ascii="宋体" w:hAnsi="Courier New" w:eastAsia="宋体"/>
      <w:szCs w:val="21"/>
    </w:rPr>
  </w:style>
  <w:style w:type="paragraph" w:customStyle="1" w:styleId="37">
    <w:name w:val="_Style 17"/>
    <w:basedOn w:val="1"/>
    <w:next w:val="1"/>
    <w:qFormat/>
    <w:uiPriority w:val="39"/>
    <w:pPr>
      <w:tabs>
        <w:tab w:val="left" w:pos="851"/>
        <w:tab w:val="right" w:leader="dot" w:pos="8630"/>
      </w:tabs>
    </w:pPr>
    <w:rPr>
      <w:rFonts w:ascii="宋体" w:hAnsi="宋体"/>
      <w:sz w:val="24"/>
      <w:szCs w:val="24"/>
    </w:rPr>
  </w:style>
  <w:style w:type="character" w:customStyle="1" w:styleId="38">
    <w:name w:val="纯文本 字符"/>
    <w:basedOn w:val="23"/>
    <w:semiHidden/>
    <w:qFormat/>
    <w:uiPriority w:val="99"/>
    <w:rPr>
      <w:rFonts w:hAnsi="Courier New" w:cs="Courier New" w:asciiTheme="minorEastAsia"/>
      <w:szCs w:val="20"/>
    </w:rPr>
  </w:style>
  <w:style w:type="character" w:customStyle="1" w:styleId="39">
    <w:name w:val="正文缩进 Char"/>
    <w:link w:val="6"/>
    <w:qFormat/>
    <w:uiPriority w:val="0"/>
    <w:rPr>
      <w:rFonts w:eastAsia="宋体"/>
    </w:rPr>
  </w:style>
  <w:style w:type="paragraph" w:customStyle="1" w:styleId="40">
    <w:name w:val="DLP正文"/>
    <w:basedOn w:val="1"/>
    <w:qFormat/>
    <w:uiPriority w:val="0"/>
    <w:pPr>
      <w:snapToGrid w:val="0"/>
      <w:spacing w:line="360" w:lineRule="auto"/>
      <w:ind w:firstLine="473"/>
    </w:pPr>
    <w:rPr>
      <w:rFonts w:hAnsi="宋体"/>
      <w:sz w:val="24"/>
      <w:szCs w:val="22"/>
    </w:rPr>
  </w:style>
  <w:style w:type="character" w:customStyle="1" w:styleId="41">
    <w:name w:val="正文文本缩进 2 Char"/>
    <w:link w:val="12"/>
    <w:qFormat/>
    <w:uiPriority w:val="0"/>
    <w:rPr>
      <w:rFonts w:eastAsia="宋体"/>
      <w:sz w:val="30"/>
    </w:rPr>
  </w:style>
  <w:style w:type="character" w:customStyle="1" w:styleId="42">
    <w:name w:val="正文文本缩进 3 Char"/>
    <w:link w:val="17"/>
    <w:qFormat/>
    <w:uiPriority w:val="0"/>
    <w:rPr>
      <w:rFonts w:eastAsia="宋体"/>
      <w:sz w:val="32"/>
    </w:rPr>
  </w:style>
  <w:style w:type="character" w:customStyle="1" w:styleId="43">
    <w:name w:val="正文文本缩进 3 字符"/>
    <w:basedOn w:val="23"/>
    <w:semiHidden/>
    <w:qFormat/>
    <w:uiPriority w:val="99"/>
    <w:rPr>
      <w:rFonts w:ascii="Times New Roman" w:hAnsi="Times New Roman" w:eastAsia="宋体" w:cs="Times New Roman"/>
      <w:sz w:val="16"/>
      <w:szCs w:val="16"/>
    </w:rPr>
  </w:style>
  <w:style w:type="character" w:customStyle="1" w:styleId="44">
    <w:name w:val="正文文本缩进 2 字符"/>
    <w:basedOn w:val="23"/>
    <w:semiHidden/>
    <w:qFormat/>
    <w:uiPriority w:val="99"/>
    <w:rPr>
      <w:rFonts w:ascii="Times New Roman" w:hAnsi="Times New Roman" w:eastAsia="宋体" w:cs="Times New Roman"/>
      <w:szCs w:val="20"/>
    </w:rPr>
  </w:style>
  <w:style w:type="paragraph" w:styleId="45">
    <w:name w:val="List Paragraph"/>
    <w:basedOn w:val="1"/>
    <w:qFormat/>
    <w:uiPriority w:val="34"/>
    <w:pPr>
      <w:ind w:firstLine="420" w:firstLineChars="200"/>
    </w:pPr>
  </w:style>
  <w:style w:type="character" w:customStyle="1" w:styleId="46">
    <w:name w:val="批注文字 Char"/>
    <w:basedOn w:val="23"/>
    <w:link w:val="7"/>
    <w:semiHidden/>
    <w:qFormat/>
    <w:uiPriority w:val="0"/>
    <w:rPr>
      <w:rFonts w:ascii="Calibri" w:hAnsi="Calibri" w:eastAsia="宋体" w:cs="Times New Roman"/>
      <w:szCs w:val="24"/>
    </w:rPr>
  </w:style>
  <w:style w:type="character" w:customStyle="1" w:styleId="47">
    <w:name w:val="批注框文本 Char"/>
    <w:basedOn w:val="23"/>
    <w:link w:val="13"/>
    <w:semiHidden/>
    <w:qFormat/>
    <w:uiPriority w:val="99"/>
    <w:rPr>
      <w:rFonts w:ascii="Times New Roman" w:hAnsi="Times New Roman" w:eastAsia="宋体" w:cs="Times New Roman"/>
      <w:sz w:val="18"/>
      <w:szCs w:val="18"/>
    </w:rPr>
  </w:style>
  <w:style w:type="paragraph" w:customStyle="1" w:styleId="48">
    <w:name w:val="_Style 36"/>
    <w:basedOn w:val="1"/>
    <w:next w:val="1"/>
    <w:qFormat/>
    <w:uiPriority w:val="39"/>
    <w:pPr>
      <w:tabs>
        <w:tab w:val="left" w:pos="851"/>
        <w:tab w:val="right" w:leader="dot" w:pos="8630"/>
      </w:tabs>
    </w:pPr>
    <w:rPr>
      <w:rFonts w:ascii="宋体" w:hAnsi="宋体"/>
      <w:sz w:val="24"/>
      <w:szCs w:val="24"/>
    </w:rPr>
  </w:style>
  <w:style w:type="character" w:customStyle="1" w:styleId="49">
    <w:name w:val="日期 Char"/>
    <w:link w:val="11"/>
    <w:qFormat/>
    <w:uiPriority w:val="0"/>
    <w:rPr>
      <w:rFonts w:ascii="楷体_GB2312" w:eastAsia="楷体_GB2312"/>
      <w:color w:val="000000"/>
      <w:sz w:val="32"/>
      <w:szCs w:val="32"/>
    </w:rPr>
  </w:style>
  <w:style w:type="character" w:customStyle="1" w:styleId="50">
    <w:name w:val="日期 字符"/>
    <w:basedOn w:val="23"/>
    <w:semiHidden/>
    <w:qFormat/>
    <w:uiPriority w:val="99"/>
    <w:rPr>
      <w:rFonts w:ascii="Times New Roman" w:hAnsi="Times New Roman" w:eastAsia="宋体" w:cs="Times New Roman"/>
      <w:szCs w:val="20"/>
    </w:rPr>
  </w:style>
  <w:style w:type="character" w:customStyle="1" w:styleId="51">
    <w:name w:val="标书正文 Char"/>
    <w:link w:val="52"/>
    <w:qFormat/>
    <w:uiPriority w:val="0"/>
    <w:rPr>
      <w:rFonts w:cs="宋体"/>
      <w:sz w:val="28"/>
      <w:szCs w:val="24"/>
      <w:lang w:eastAsia="en-US" w:bidi="en-US"/>
    </w:rPr>
  </w:style>
  <w:style w:type="paragraph" w:customStyle="1" w:styleId="52">
    <w:name w:val="标书正文"/>
    <w:basedOn w:val="1"/>
    <w:link w:val="51"/>
    <w:qFormat/>
    <w:uiPriority w:val="0"/>
    <w:pPr>
      <w:widowControl/>
      <w:spacing w:line="360" w:lineRule="auto"/>
      <w:ind w:firstLine="200" w:firstLineChars="200"/>
      <w:contextualSpacing/>
      <w:jc w:val="left"/>
    </w:pPr>
    <w:rPr>
      <w:rFonts w:cs="宋体" w:asciiTheme="minorHAnsi" w:hAnsiTheme="minorHAnsi" w:eastAsiaTheme="minorEastAsia"/>
      <w:sz w:val="28"/>
      <w:szCs w:val="24"/>
      <w:lang w:eastAsia="en-US" w:bidi="en-US"/>
    </w:rPr>
  </w:style>
  <w:style w:type="character" w:customStyle="1" w:styleId="53">
    <w:name w:val="批注主题 Char"/>
    <w:basedOn w:val="46"/>
    <w:link w:val="20"/>
    <w:semiHidden/>
    <w:qFormat/>
    <w:uiPriority w:val="99"/>
    <w:rPr>
      <w:rFonts w:ascii="Times New Roman" w:hAnsi="Times New Roman" w:eastAsia="宋体" w:cs="Times New Roman"/>
      <w:b/>
      <w:bCs/>
      <w:szCs w:val="20"/>
    </w:rPr>
  </w:style>
  <w:style w:type="paragraph" w:customStyle="1" w:styleId="54">
    <w:name w:val="Table Paragraph"/>
    <w:basedOn w:val="1"/>
    <w:qFormat/>
    <w:uiPriority w:val="1"/>
    <w:rPr>
      <w:rFonts w:ascii="宋体" w:hAnsi="宋体" w:cs="宋体"/>
      <w:szCs w:val="24"/>
      <w:lang w:val="zh-CN" w:bidi="zh-CN"/>
    </w:rPr>
  </w:style>
  <w:style w:type="paragraph" w:customStyle="1" w:styleId="55">
    <w:name w:val="样式7"/>
    <w:basedOn w:val="4"/>
    <w:next w:val="1"/>
    <w:qFormat/>
    <w:uiPriority w:val="0"/>
    <w:pPr>
      <w:tabs>
        <w:tab w:val="left" w:pos="1080"/>
      </w:tabs>
      <w:snapToGrid w:val="0"/>
      <w:jc w:val="center"/>
    </w:pPr>
    <w:rPr>
      <w:rFonts w:eastAsia="仿宋"/>
      <w:b w:val="0"/>
      <w:sz w:val="24"/>
    </w:rPr>
  </w:style>
  <w:style w:type="table" w:customStyle="1" w:styleId="56">
    <w:name w:val="网格型1"/>
    <w:basedOn w:val="2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font31"/>
    <w:basedOn w:val="23"/>
    <w:qFormat/>
    <w:uiPriority w:val="0"/>
    <w:rPr>
      <w:rFonts w:hint="default" w:ascii="Calibri" w:hAnsi="Calibri" w:cs="Calibri"/>
      <w:color w:val="000000"/>
      <w:sz w:val="22"/>
      <w:szCs w:val="22"/>
      <w:u w:val="none"/>
    </w:rPr>
  </w:style>
  <w:style w:type="character" w:customStyle="1" w:styleId="58">
    <w:name w:val="font21"/>
    <w:basedOn w:val="23"/>
    <w:qFormat/>
    <w:uiPriority w:val="0"/>
    <w:rPr>
      <w:rFonts w:hint="eastAsia" w:ascii="宋体" w:hAnsi="宋体" w:eastAsia="宋体" w:cs="宋体"/>
      <w:color w:val="000000"/>
      <w:sz w:val="22"/>
      <w:szCs w:val="22"/>
      <w:u w:val="none"/>
    </w:rPr>
  </w:style>
  <w:style w:type="character" w:customStyle="1" w:styleId="59">
    <w:name w:val="emailstyle17"/>
    <w:basedOn w:val="23"/>
    <w:qFormat/>
    <w:uiPriority w:val="0"/>
    <w:rPr>
      <w:rFonts w:hint="default" w:ascii="Verdana" w:hAnsi="Verdana" w:cs="Verdana"/>
      <w:color w:val="auto"/>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08CFE-6F66-4D24-9378-4087C323F9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3548</Words>
  <Characters>20229</Characters>
  <Lines>168</Lines>
  <Paragraphs>47</Paragraphs>
  <TotalTime>64</TotalTime>
  <ScaleCrop>false</ScaleCrop>
  <LinksUpToDate>false</LinksUpToDate>
  <CharactersWithSpaces>23730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2023-05-08T02:09:00Z</dcterms:created>
  <dc:creator>Dr 咋</dc:creator>
  <cp:lastModifiedBy>高卫星</cp:lastModifiedBy>
  <cp:lastPrinted>2020-08-16T11:44:00Z</cp:lastPrinted>
  <dcterms:modified xsi:type="dcterms:W3CDTF">2023-09-14T02:50:44Z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F394A4C1A9C24B5880C2622C1C84B344_13</vt:lpwstr>
  </property>
</Properties>
</file>