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方正小标宋简体" w:hAnsi="仿宋" w:eastAsia="方正小标宋简体" w:cs="宋体"/>
          <w:color w:val="auto"/>
          <w:kern w:val="0"/>
          <w:sz w:val="44"/>
          <w:szCs w:val="44"/>
          <w:highlight w:val="none"/>
        </w:rPr>
      </w:pPr>
    </w:p>
    <w:p>
      <w:pPr>
        <w:spacing w:after="200"/>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广州白云国际机场股份有限公司</w:t>
      </w:r>
    </w:p>
    <w:p>
      <w:pPr>
        <w:spacing w:after="200"/>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消防救援支队</w:t>
      </w:r>
    </w:p>
    <w:p>
      <w:pPr>
        <w:spacing w:after="200"/>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急救设备采购项目</w:t>
      </w:r>
    </w:p>
    <w:p>
      <w:pPr>
        <w:spacing w:after="200"/>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网上竞价采购文件</w:t>
      </w:r>
    </w:p>
    <w:p>
      <w:pPr>
        <w:spacing w:after="200"/>
        <w:jc w:val="center"/>
        <w:rPr>
          <w:rFonts w:ascii="华文新魏" w:eastAsia="华文新魏"/>
          <w:b/>
          <w:color w:val="auto"/>
          <w:sz w:val="72"/>
          <w:szCs w:val="72"/>
          <w:highlight w:val="none"/>
        </w:rPr>
      </w:pPr>
      <w:r>
        <w:rPr>
          <w:rFonts w:hint="eastAsia" w:ascii="宋体" w:hAnsi="宋体" w:cs="宋体"/>
          <w:b/>
          <w:bCs/>
          <w:color w:val="auto"/>
          <w:sz w:val="52"/>
          <w:szCs w:val="52"/>
          <w:highlight w:val="none"/>
        </w:rPr>
        <w:t>（货物类）</w:t>
      </w:r>
    </w:p>
    <w:p>
      <w:pPr>
        <w:widowControl/>
        <w:spacing w:line="360" w:lineRule="auto"/>
        <w:jc w:val="center"/>
        <w:rPr>
          <w:rFonts w:hint="eastAsia" w:ascii="宋体" w:hAnsi="宋体" w:cs="宋体"/>
          <w:b/>
          <w:bCs/>
          <w:color w:val="auto"/>
          <w:kern w:val="0"/>
          <w:sz w:val="52"/>
          <w:szCs w:val="52"/>
          <w:highlight w:val="none"/>
        </w:rPr>
      </w:pPr>
    </w:p>
    <w:p>
      <w:pPr>
        <w:widowControl/>
        <w:spacing w:line="360" w:lineRule="auto"/>
        <w:jc w:val="center"/>
        <w:rPr>
          <w:rFonts w:hint="eastAsia"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（2025年第一版）</w:t>
      </w:r>
    </w:p>
    <w:p>
      <w:pPr>
        <w:widowControl/>
        <w:spacing w:line="360" w:lineRule="auto"/>
        <w:jc w:val="center"/>
        <w:rPr>
          <w:rFonts w:hint="eastAsia" w:ascii="宋体" w:hAnsi="宋体" w:cs="宋体"/>
          <w:color w:val="auto"/>
          <w:kern w:val="0"/>
          <w:sz w:val="44"/>
          <w:szCs w:val="44"/>
          <w:highlight w:val="none"/>
        </w:rPr>
      </w:pPr>
    </w:p>
    <w:p>
      <w:pPr>
        <w:pStyle w:val="114"/>
        <w:ind w:firstLine="880"/>
        <w:rPr>
          <w:rFonts w:hint="eastAsia" w:ascii="宋体" w:hAnsi="宋体" w:eastAsia="宋体" w:cs="宋体"/>
          <w:color w:val="auto"/>
          <w:kern w:val="0"/>
          <w:sz w:val="44"/>
          <w:szCs w:val="44"/>
          <w:highlight w:val="none"/>
        </w:rPr>
      </w:pPr>
    </w:p>
    <w:p>
      <w:pPr>
        <w:pStyle w:val="114"/>
        <w:ind w:firstLine="880"/>
        <w:rPr>
          <w:rFonts w:hint="eastAsia" w:ascii="宋体" w:hAnsi="宋体" w:eastAsia="宋体" w:cs="宋体"/>
          <w:color w:val="auto"/>
          <w:kern w:val="0"/>
          <w:sz w:val="44"/>
          <w:szCs w:val="44"/>
          <w:highlight w:val="none"/>
        </w:rPr>
      </w:pPr>
    </w:p>
    <w:p>
      <w:pPr>
        <w:pStyle w:val="114"/>
        <w:ind w:firstLine="880"/>
        <w:rPr>
          <w:rFonts w:hint="eastAsia" w:ascii="宋体" w:hAnsi="宋体" w:eastAsia="宋体" w:cs="宋体"/>
          <w:color w:val="auto"/>
          <w:kern w:val="0"/>
          <w:sz w:val="44"/>
          <w:szCs w:val="44"/>
          <w:highlight w:val="none"/>
        </w:rPr>
      </w:pPr>
    </w:p>
    <w:p>
      <w:pPr>
        <w:pStyle w:val="114"/>
        <w:ind w:firstLine="880"/>
        <w:rPr>
          <w:rFonts w:hint="eastAsia" w:ascii="宋体" w:hAnsi="宋体" w:eastAsia="宋体" w:cs="宋体"/>
          <w:color w:val="auto"/>
          <w:kern w:val="0"/>
          <w:sz w:val="44"/>
          <w:szCs w:val="44"/>
          <w:highlight w:val="none"/>
        </w:rPr>
      </w:pPr>
    </w:p>
    <w:p>
      <w:pPr>
        <w:pStyle w:val="114"/>
        <w:ind w:firstLine="0" w:firstLineChars="0"/>
        <w:rPr>
          <w:rFonts w:hint="eastAsia" w:ascii="宋体" w:hAnsi="宋体" w:eastAsia="宋体" w:cs="宋体"/>
          <w:color w:val="auto"/>
          <w:kern w:val="0"/>
          <w:sz w:val="44"/>
          <w:szCs w:val="44"/>
          <w:highlight w:val="none"/>
        </w:rPr>
      </w:pPr>
    </w:p>
    <w:p>
      <w:pPr>
        <w:pStyle w:val="114"/>
        <w:ind w:firstLine="0" w:firstLineChars="0"/>
        <w:jc w:val="center"/>
        <w:rPr>
          <w:rFonts w:eastAsia="黑体"/>
          <w:color w:val="auto"/>
          <w:sz w:val="32"/>
          <w:highlight w:val="none"/>
        </w:rPr>
      </w:pPr>
      <w:r>
        <w:rPr>
          <w:rFonts w:hint="eastAsia" w:eastAsia="黑体"/>
          <w:color w:val="auto"/>
          <w:sz w:val="32"/>
          <w:highlight w:val="none"/>
        </w:rPr>
        <w:t>采购人：广州白云国际机场股份有限公司</w:t>
      </w:r>
    </w:p>
    <w:p>
      <w:pPr>
        <w:pStyle w:val="114"/>
        <w:ind w:firstLine="0" w:firstLineChars="0"/>
        <w:jc w:val="center"/>
        <w:rPr>
          <w:rFonts w:eastAsia="黑体"/>
          <w:color w:val="auto"/>
          <w:sz w:val="32"/>
          <w:highlight w:val="none"/>
        </w:rPr>
      </w:pPr>
      <w:r>
        <w:rPr>
          <w:rFonts w:hint="eastAsia" w:eastAsia="黑体"/>
          <w:color w:val="auto"/>
          <w:sz w:val="32"/>
          <w:highlight w:val="none"/>
        </w:rPr>
        <w:t>消防救援支队</w:t>
      </w:r>
    </w:p>
    <w:p>
      <w:pPr>
        <w:pStyle w:val="114"/>
        <w:ind w:firstLine="0" w:firstLineChars="0"/>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二〇二五年</w:t>
      </w:r>
      <w:r>
        <w:rPr>
          <w:rFonts w:hint="eastAsia" w:ascii="宋体" w:hAnsi="宋体" w:eastAsia="宋体" w:cs="宋体"/>
          <w:b/>
          <w:bCs/>
          <w:color w:val="auto"/>
          <w:kern w:val="0"/>
          <w:sz w:val="32"/>
          <w:szCs w:val="32"/>
          <w:highlight w:val="none"/>
          <w:lang w:val="en-US" w:eastAsia="zh-CN"/>
        </w:rPr>
        <w:t>七</w:t>
      </w:r>
      <w:r>
        <w:rPr>
          <w:rFonts w:hint="eastAsia" w:ascii="宋体" w:hAnsi="宋体" w:eastAsia="宋体" w:cs="宋体"/>
          <w:b/>
          <w:bCs/>
          <w:color w:val="auto"/>
          <w:kern w:val="0"/>
          <w:sz w:val="32"/>
          <w:szCs w:val="32"/>
          <w:highlight w:val="none"/>
        </w:rPr>
        <w:t>月</w:t>
      </w:r>
    </w:p>
    <w:p>
      <w:pPr>
        <w:widowControl/>
        <w:spacing w:line="360" w:lineRule="auto"/>
        <w:jc w:val="center"/>
        <w:rPr>
          <w:rFonts w:hint="eastAsia" w:ascii="宋体" w:hAnsi="宋体" w:cs="宋体"/>
          <w:b/>
          <w:bCs/>
          <w:color w:val="auto"/>
          <w:kern w:val="0"/>
          <w:sz w:val="32"/>
          <w:szCs w:val="32"/>
          <w:highlight w:val="none"/>
        </w:rPr>
      </w:pPr>
    </w:p>
    <w:p>
      <w:pPr>
        <w:pStyle w:val="114"/>
        <w:ind w:firstLine="0" w:firstLineChars="0"/>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重要提示</w:t>
      </w:r>
    </w:p>
    <w:p>
      <w:pPr>
        <w:pStyle w:val="114"/>
        <w:ind w:firstLine="883"/>
        <w:rPr>
          <w:rFonts w:hint="eastAsia" w:ascii="宋体" w:hAnsi="宋体" w:eastAsia="宋体" w:cs="宋体"/>
          <w:b/>
          <w:color w:val="auto"/>
          <w:sz w:val="44"/>
          <w:highlight w:val="none"/>
        </w:rPr>
      </w:pPr>
    </w:p>
    <w:p>
      <w:pPr>
        <w:tabs>
          <w:tab w:val="left" w:pos="54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请广大供应商登陆东省机场管理集团有限公司一体化数字交易系统“供应商管理”-“帮助中心”-“供应商平台操作手册”认真查阅平台使用方法，以有效参与项目。</w:t>
      </w: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rPr>
          <w:rFonts w:hint="eastAsia" w:ascii="宋体" w:hAnsi="宋体" w:cs="宋体"/>
          <w:color w:val="auto"/>
          <w:sz w:val="32"/>
          <w:szCs w:val="32"/>
          <w:highlight w:val="none"/>
        </w:rPr>
      </w:pPr>
    </w:p>
    <w:p>
      <w:pPr>
        <w:pStyle w:val="23"/>
        <w:widowControl/>
        <w:spacing w:before="0" w:beforeAutospacing="0" w:after="200" w:afterAutospacing="0"/>
        <w:jc w:val="both"/>
        <w:rPr>
          <w:rFonts w:hint="eastAsia" w:ascii="宋体" w:hAnsi="宋体" w:cs="宋体"/>
          <w:b/>
          <w:color w:val="auto"/>
          <w:sz w:val="44"/>
          <w:szCs w:val="44"/>
          <w:highlight w:val="none"/>
        </w:rPr>
      </w:pPr>
    </w:p>
    <w:p>
      <w:pPr>
        <w:pStyle w:val="23"/>
        <w:widowControl/>
        <w:spacing w:before="0" w:beforeAutospacing="0" w:after="200" w:afterAutospacing="0"/>
        <w:ind w:firstLine="3654" w:firstLineChars="700"/>
        <w:rPr>
          <w:rFonts w:hint="eastAsia" w:ascii="宋体" w:hAnsi="宋体" w:cs="宋体"/>
          <w:b/>
          <w:color w:val="auto"/>
          <w:sz w:val="44"/>
          <w:szCs w:val="44"/>
          <w:highlight w:val="none"/>
        </w:rPr>
      </w:pPr>
      <w:r>
        <w:rPr>
          <w:rFonts w:hint="eastAsia" w:ascii="宋体" w:hAnsi="宋体" w:cs="宋体"/>
          <w:b/>
          <w:color w:val="auto"/>
          <w:sz w:val="52"/>
          <w:szCs w:val="52"/>
          <w:highlight w:val="none"/>
        </w:rPr>
        <w:t>目  录</w:t>
      </w:r>
      <w:r>
        <w:rPr>
          <w:rFonts w:hint="eastAsia" w:ascii="宋体" w:hAnsi="宋体" w:cs="宋体"/>
          <w:b/>
          <w:color w:val="auto"/>
          <w:sz w:val="52"/>
          <w:szCs w:val="52"/>
          <w:highlight w:val="none"/>
        </w:rPr>
        <w:br w:type="textWrapping"/>
      </w:r>
    </w:p>
    <w:p>
      <w:pPr>
        <w:pStyle w:val="23"/>
        <w:widowControl/>
        <w:spacing w:before="0" w:beforeAutospacing="0" w:after="200" w:afterAutospacing="0"/>
        <w:rPr>
          <w:rFonts w:hint="eastAsia" w:ascii="宋体" w:hAnsi="宋体" w:cs="宋体"/>
          <w:b/>
          <w:color w:val="auto"/>
          <w:sz w:val="44"/>
          <w:szCs w:val="44"/>
          <w:highlight w:val="none"/>
        </w:rPr>
      </w:pPr>
    </w:p>
    <w:p>
      <w:pPr>
        <w:pStyle w:val="23"/>
        <w:widowControl/>
        <w:spacing w:before="0" w:beforeAutospacing="0" w:after="200" w:afterAutospacing="0"/>
        <w:ind w:firstLine="2650" w:firstLineChars="600"/>
        <w:rPr>
          <w:rFonts w:hint="eastAsia" w:ascii="宋体" w:hAnsi="宋体" w:cs="宋体"/>
          <w:b/>
          <w:color w:val="auto"/>
          <w:sz w:val="44"/>
          <w:szCs w:val="44"/>
          <w:highlight w:val="none"/>
        </w:rPr>
      </w:pPr>
      <w:r>
        <w:rPr>
          <w:rFonts w:hint="eastAsia" w:ascii="宋体" w:hAnsi="宋体" w:cs="宋体"/>
          <w:b/>
          <w:color w:val="auto"/>
          <w:sz w:val="44"/>
          <w:szCs w:val="44"/>
          <w:highlight w:val="none"/>
        </w:rPr>
        <w:t>第一部分   采购公告</w:t>
      </w:r>
    </w:p>
    <w:p>
      <w:pPr>
        <w:pStyle w:val="23"/>
        <w:widowControl/>
        <w:spacing w:before="0" w:beforeAutospacing="0" w:after="200" w:afterAutospacing="0"/>
        <w:ind w:firstLine="2650" w:firstLineChars="600"/>
        <w:rPr>
          <w:rFonts w:hint="eastAsia" w:ascii="宋体" w:hAnsi="宋体" w:cs="宋体"/>
          <w:b/>
          <w:color w:val="auto"/>
          <w:sz w:val="44"/>
          <w:szCs w:val="44"/>
          <w:highlight w:val="none"/>
        </w:rPr>
      </w:pPr>
      <w:r>
        <w:rPr>
          <w:rFonts w:hint="eastAsia" w:ascii="宋体" w:hAnsi="宋体" w:cs="宋体"/>
          <w:b/>
          <w:color w:val="auto"/>
          <w:sz w:val="44"/>
          <w:szCs w:val="44"/>
          <w:highlight w:val="none"/>
        </w:rPr>
        <w:t>第二部分   报价须知</w:t>
      </w:r>
    </w:p>
    <w:p>
      <w:pPr>
        <w:pStyle w:val="23"/>
        <w:widowControl/>
        <w:spacing w:before="0" w:beforeAutospacing="0" w:after="200" w:afterAutospacing="0"/>
        <w:ind w:firstLine="2650" w:firstLineChars="600"/>
        <w:rPr>
          <w:rFonts w:hint="eastAsia" w:ascii="宋体" w:hAnsi="宋体" w:cs="宋体"/>
          <w:b/>
          <w:color w:val="auto"/>
          <w:sz w:val="44"/>
          <w:szCs w:val="44"/>
          <w:highlight w:val="none"/>
        </w:rPr>
      </w:pPr>
      <w:r>
        <w:rPr>
          <w:rFonts w:hint="eastAsia" w:ascii="宋体" w:hAnsi="宋体" w:cs="宋体"/>
          <w:b/>
          <w:color w:val="auto"/>
          <w:sz w:val="44"/>
          <w:szCs w:val="44"/>
          <w:highlight w:val="none"/>
        </w:rPr>
        <w:t>第三部分   附录文件格式</w:t>
      </w:r>
    </w:p>
    <w:p>
      <w:pPr>
        <w:pStyle w:val="23"/>
        <w:widowControl/>
        <w:spacing w:before="0" w:beforeAutospacing="0" w:after="200" w:afterAutospacing="0"/>
        <w:ind w:firstLine="2650" w:firstLineChars="600"/>
        <w:rPr>
          <w:rFonts w:hint="eastAsia" w:ascii="宋体" w:hAnsi="宋体" w:cs="宋体"/>
          <w:b/>
          <w:color w:val="auto"/>
          <w:sz w:val="44"/>
          <w:szCs w:val="44"/>
          <w:highlight w:val="none"/>
        </w:rPr>
      </w:pPr>
      <w:r>
        <w:rPr>
          <w:rFonts w:hint="eastAsia" w:ascii="宋体" w:hAnsi="宋体" w:cs="宋体"/>
          <w:b/>
          <w:color w:val="auto"/>
          <w:sz w:val="44"/>
          <w:szCs w:val="44"/>
          <w:highlight w:val="none"/>
        </w:rPr>
        <w:t>第四部分   合同部分（含廉洁协议）</w:t>
      </w:r>
    </w:p>
    <w:p>
      <w:pPr>
        <w:widowControl/>
        <w:spacing w:line="360" w:lineRule="auto"/>
        <w:jc w:val="left"/>
        <w:rPr>
          <w:rFonts w:hint="eastAsia" w:ascii="宋体" w:hAnsi="宋体" w:cs="宋体"/>
          <w:color w:val="auto"/>
          <w:kern w:val="0"/>
          <w:sz w:val="44"/>
          <w:szCs w:val="44"/>
          <w:highlight w:val="none"/>
        </w:rPr>
      </w:pPr>
    </w:p>
    <w:p>
      <w:pPr>
        <w:spacing w:line="360" w:lineRule="auto"/>
        <w:ind w:left="1079" w:leftChars="514" w:firstLine="1260" w:firstLineChars="350"/>
        <w:rPr>
          <w:rFonts w:hint="eastAsia" w:ascii="宋体" w:hAnsi="宋体" w:cs="宋体"/>
          <w:color w:val="auto"/>
          <w:sz w:val="36"/>
          <w:szCs w:val="36"/>
          <w:highlight w:val="none"/>
        </w:rPr>
      </w:pPr>
    </w:p>
    <w:p>
      <w:pPr>
        <w:pStyle w:val="80"/>
        <w:rPr>
          <w:rFonts w:hint="eastAsia" w:ascii="宋体" w:hAnsi="宋体" w:cs="宋体"/>
          <w:color w:val="auto"/>
          <w:sz w:val="36"/>
          <w:szCs w:val="36"/>
          <w:highlight w:val="none"/>
        </w:rPr>
      </w:pPr>
    </w:p>
    <w:p>
      <w:pPr>
        <w:pStyle w:val="14"/>
        <w:rPr>
          <w:rFonts w:hint="eastAsia" w:ascii="宋体" w:hAnsi="宋体" w:eastAsia="宋体" w:cs="宋体"/>
          <w:color w:val="auto"/>
          <w:sz w:val="36"/>
          <w:szCs w:val="36"/>
          <w:highlight w:val="none"/>
        </w:rPr>
      </w:pPr>
    </w:p>
    <w:p>
      <w:pPr>
        <w:pStyle w:val="2"/>
        <w:rPr>
          <w:rFonts w:hint="eastAsia" w:ascii="宋体" w:hAnsi="宋体" w:eastAsia="宋体" w:cs="宋体"/>
          <w:color w:val="auto"/>
          <w:highlight w:val="none"/>
        </w:rPr>
      </w:pPr>
    </w:p>
    <w:p>
      <w:pPr>
        <w:rPr>
          <w:rFonts w:hint="eastAsia" w:ascii="宋体" w:hAnsi="宋体" w:cs="宋体"/>
          <w:color w:val="auto"/>
          <w:highlight w:val="none"/>
        </w:rPr>
      </w:pPr>
    </w:p>
    <w:p>
      <w:pPr>
        <w:pStyle w:val="90"/>
        <w:rPr>
          <w:rFonts w:hint="eastAsia" w:ascii="宋体" w:hAnsi="宋体" w:cs="宋体"/>
          <w:color w:val="auto"/>
          <w:highlight w:val="none"/>
        </w:rPr>
      </w:pPr>
    </w:p>
    <w:p>
      <w:pPr>
        <w:pStyle w:val="90"/>
        <w:rPr>
          <w:rFonts w:hint="eastAsia" w:ascii="宋体" w:hAnsi="宋体" w:cs="宋体"/>
          <w:color w:val="auto"/>
          <w:highlight w:val="none"/>
        </w:rPr>
      </w:pPr>
    </w:p>
    <w:p>
      <w:pPr>
        <w:pStyle w:val="90"/>
        <w:rPr>
          <w:rFonts w:hint="eastAsia" w:ascii="宋体" w:hAnsi="宋体" w:cs="宋体"/>
          <w:color w:val="auto"/>
          <w:highlight w:val="none"/>
        </w:rPr>
      </w:pPr>
    </w:p>
    <w:p>
      <w:pPr>
        <w:pStyle w:val="90"/>
        <w:rPr>
          <w:rFonts w:hint="eastAsia" w:ascii="宋体" w:hAnsi="宋体" w:cs="宋体"/>
          <w:color w:val="auto"/>
          <w:highlight w:val="none"/>
        </w:rPr>
      </w:pPr>
    </w:p>
    <w:p>
      <w:pPr>
        <w:pStyle w:val="90"/>
        <w:rPr>
          <w:rFonts w:hint="eastAsia" w:ascii="宋体" w:hAnsi="宋体" w:cs="宋体"/>
          <w:color w:val="auto"/>
          <w:highlight w:val="none"/>
        </w:rPr>
      </w:pPr>
    </w:p>
    <w:p>
      <w:pPr>
        <w:pStyle w:val="90"/>
        <w:rPr>
          <w:rFonts w:hint="eastAsia" w:ascii="宋体" w:hAnsi="宋体" w:cs="宋体"/>
          <w:color w:val="auto"/>
          <w:highlight w:val="none"/>
        </w:rPr>
      </w:pPr>
    </w:p>
    <w:p>
      <w:pPr>
        <w:rPr>
          <w:rFonts w:hint="eastAsia" w:ascii="宋体" w:hAnsi="宋体" w:cs="宋体"/>
          <w:color w:val="auto"/>
          <w:highlight w:val="none"/>
        </w:rPr>
      </w:pPr>
    </w:p>
    <w:p>
      <w:pPr>
        <w:pStyle w:val="114"/>
        <w:ind w:firstLine="480"/>
        <w:rPr>
          <w:rFonts w:hint="eastAsia" w:ascii="宋体" w:hAnsi="宋体" w:eastAsia="宋体" w:cs="宋体"/>
          <w:color w:val="auto"/>
          <w:highlight w:val="none"/>
        </w:rPr>
      </w:pPr>
    </w:p>
    <w:p>
      <w:pPr>
        <w:pStyle w:val="114"/>
        <w:ind w:firstLine="480"/>
        <w:rPr>
          <w:rFonts w:hint="eastAsia" w:ascii="宋体" w:hAnsi="宋体" w:eastAsia="宋体" w:cs="宋体"/>
          <w:color w:val="auto"/>
          <w:highlight w:val="none"/>
        </w:rPr>
      </w:pPr>
    </w:p>
    <w:p>
      <w:pPr>
        <w:widowControl/>
        <w:spacing w:line="360" w:lineRule="auto"/>
        <w:jc w:val="center"/>
        <w:rPr>
          <w:rFonts w:hint="eastAsia" w:ascii="宋体" w:hAnsi="宋体" w:cs="宋体"/>
          <w:b/>
          <w:bCs/>
          <w:color w:val="auto"/>
          <w:kern w:val="0"/>
          <w:sz w:val="32"/>
          <w:szCs w:val="32"/>
          <w:highlight w:val="none"/>
        </w:rPr>
      </w:pPr>
    </w:p>
    <w:p>
      <w:pPr>
        <w:widowControl/>
        <w:spacing w:line="360" w:lineRule="auto"/>
        <w:jc w:val="center"/>
        <w:rPr>
          <w:rFonts w:hint="eastAsia" w:ascii="宋体" w:hAnsi="宋体" w:cs="宋体"/>
          <w:b/>
          <w:bCs/>
          <w:color w:val="auto"/>
          <w:kern w:val="0"/>
          <w:sz w:val="32"/>
          <w:szCs w:val="32"/>
          <w:highlight w:val="none"/>
        </w:rPr>
      </w:pPr>
    </w:p>
    <w:p>
      <w:pPr>
        <w:widowControl/>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第一部分 采购公告</w:t>
      </w:r>
    </w:p>
    <w:p>
      <w:pPr>
        <w:spacing w:line="312" w:lineRule="auto"/>
        <w:outlineLvl w:val="0"/>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312"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广州白云国际机场股份有限公司消防救援支队（以下简称“采购方”）</w:t>
      </w:r>
      <w:bookmarkStart w:id="0" w:name="_Toc25548416"/>
      <w:r>
        <w:rPr>
          <w:rFonts w:hint="eastAsia" w:ascii="宋体" w:hAnsi="宋体" w:cs="宋体"/>
          <w:color w:val="auto"/>
          <w:szCs w:val="21"/>
          <w:highlight w:val="none"/>
        </w:rPr>
        <w:t>现就急救设备采购项目，邀请有相应资格的供应商（以下简称“报价人”）进行网上竞价。</w:t>
      </w:r>
    </w:p>
    <w:bookmarkEnd w:id="0"/>
    <w:p>
      <w:pPr>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一.项目概况</w:t>
      </w:r>
    </w:p>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1.项目名称：急救设备采购项目</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竞价项目清单：</w:t>
      </w:r>
    </w:p>
    <w:tbl>
      <w:tblPr>
        <w:tblStyle w:val="27"/>
        <w:tblW w:w="0" w:type="auto"/>
        <w:tblInd w:w="-93" w:type="dxa"/>
        <w:tblLayout w:type="fixed"/>
        <w:tblCellMar>
          <w:top w:w="0" w:type="dxa"/>
          <w:left w:w="0" w:type="dxa"/>
          <w:bottom w:w="0" w:type="dxa"/>
          <w:right w:w="0" w:type="dxa"/>
        </w:tblCellMar>
      </w:tblPr>
      <w:tblGrid>
        <w:gridCol w:w="645"/>
        <w:gridCol w:w="1286"/>
        <w:gridCol w:w="5052"/>
        <w:gridCol w:w="637"/>
        <w:gridCol w:w="813"/>
        <w:gridCol w:w="1287"/>
      </w:tblGrid>
      <w:tr>
        <w:tblPrEx>
          <w:tblCellMar>
            <w:top w:w="0" w:type="dxa"/>
            <w:left w:w="0" w:type="dxa"/>
            <w:bottom w:w="0" w:type="dxa"/>
            <w:right w:w="0" w:type="dxa"/>
          </w:tblCellMar>
        </w:tblPrEx>
        <w:trPr>
          <w:trHeight w:val="194"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序号</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名称</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参数要求</w:t>
            </w:r>
          </w:p>
        </w:tc>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单位</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数量</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单价限价</w:t>
            </w:r>
          </w:p>
          <w:p>
            <w:pPr>
              <w:widowControl/>
              <w:jc w:val="center"/>
              <w:textAlignment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（万元）</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color w:val="auto"/>
                <w:szCs w:val="21"/>
                <w:highlight w:val="none"/>
              </w:rPr>
              <w:t>呼吸机</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auto"/>
                <w:szCs w:val="21"/>
                <w:highlight w:val="none"/>
              </w:rPr>
            </w:pPr>
            <w:r>
              <w:rPr>
                <w:rFonts w:hint="eastAsia"/>
                <w:color w:val="auto"/>
                <w:szCs w:val="21"/>
                <w:highlight w:val="none"/>
              </w:rPr>
              <w:t>1、通过EN1789和RTCA/DO-160G标准测试，提供第三方检测报告。适用于成人、小儿和婴幼儿患者通气辅助及呼吸支持。</w:t>
            </w:r>
          </w:p>
          <w:p>
            <w:pPr>
              <w:rPr>
                <w:color w:val="auto"/>
                <w:szCs w:val="21"/>
                <w:highlight w:val="none"/>
              </w:rPr>
            </w:pPr>
            <w:r>
              <w:rPr>
                <w:rFonts w:hint="eastAsia"/>
                <w:color w:val="auto"/>
                <w:szCs w:val="21"/>
                <w:highlight w:val="none"/>
              </w:rPr>
              <w:t>2、整机为电动电控设计，涡轮驱动产生空气气源。</w:t>
            </w:r>
          </w:p>
          <w:p>
            <w:pPr>
              <w:rPr>
                <w:color w:val="auto"/>
                <w:szCs w:val="21"/>
                <w:highlight w:val="none"/>
              </w:rPr>
            </w:pPr>
            <w:r>
              <w:rPr>
                <w:rFonts w:hint="eastAsia"/>
                <w:color w:val="auto"/>
                <w:szCs w:val="21"/>
                <w:highlight w:val="none"/>
              </w:rPr>
              <w:t>3、电池续航时间≥10小时。呼吸机主机重量≤4.5kg。</w:t>
            </w:r>
          </w:p>
          <w:p>
            <w:pPr>
              <w:rPr>
                <w:color w:val="auto"/>
                <w:szCs w:val="21"/>
                <w:highlight w:val="none"/>
              </w:rPr>
            </w:pPr>
            <w:r>
              <w:rPr>
                <w:rFonts w:hint="eastAsia"/>
                <w:color w:val="auto"/>
                <w:szCs w:val="21"/>
                <w:highlight w:val="none"/>
              </w:rPr>
              <w:t>4、</w:t>
            </w:r>
            <w:bookmarkStart w:id="1" w:name="OLE_LINK11"/>
            <w:r>
              <w:rPr>
                <w:rFonts w:hint="eastAsia"/>
                <w:color w:val="auto"/>
                <w:szCs w:val="21"/>
                <w:highlight w:val="none"/>
              </w:rPr>
              <w:t>△</w:t>
            </w:r>
            <w:bookmarkEnd w:id="1"/>
            <w:r>
              <w:rPr>
                <w:rFonts w:hint="eastAsia"/>
                <w:color w:val="auto"/>
                <w:szCs w:val="21"/>
                <w:highlight w:val="none"/>
              </w:rPr>
              <w:t>高性能涡轮，峰值流速≥210L/min。（投标人需提供该设备生产厂家出具的参数确认函和证明文件）</w:t>
            </w:r>
          </w:p>
          <w:p>
            <w:pPr>
              <w:rPr>
                <w:color w:val="auto"/>
                <w:szCs w:val="21"/>
                <w:highlight w:val="none"/>
              </w:rPr>
            </w:pPr>
            <w:r>
              <w:rPr>
                <w:rFonts w:hint="eastAsia"/>
                <w:color w:val="auto"/>
                <w:szCs w:val="21"/>
                <w:highlight w:val="none"/>
              </w:rPr>
              <w:t>5、△可配备提拿悬挂一体化多功能把手，灵活便携。（投标人需提供该设备生产厂家出具的参数确认函和证明文件）</w:t>
            </w:r>
          </w:p>
          <w:p>
            <w:pPr>
              <w:rPr>
                <w:color w:val="auto"/>
                <w:szCs w:val="21"/>
                <w:highlight w:val="none"/>
              </w:rPr>
            </w:pPr>
            <w:r>
              <w:rPr>
                <w:rFonts w:hint="eastAsia"/>
                <w:color w:val="auto"/>
                <w:szCs w:val="21"/>
                <w:highlight w:val="none"/>
              </w:rPr>
              <w:t>6、支持高压氧气气源和低压氧气气源两种方式。</w:t>
            </w:r>
          </w:p>
          <w:p>
            <w:pPr>
              <w:rPr>
                <w:color w:val="auto"/>
                <w:szCs w:val="21"/>
                <w:highlight w:val="none"/>
              </w:rPr>
            </w:pPr>
            <w:r>
              <w:rPr>
                <w:rFonts w:hint="eastAsia"/>
                <w:color w:val="auto"/>
                <w:szCs w:val="21"/>
                <w:highlight w:val="none"/>
              </w:rPr>
              <w:t>7、采用≥7英寸彩色TFT触摸控制屏，分辨率≥800*480像素，可同时显示波形和监测参数。</w:t>
            </w:r>
          </w:p>
          <w:p>
            <w:pPr>
              <w:rPr>
                <w:color w:val="auto"/>
                <w:szCs w:val="21"/>
                <w:highlight w:val="none"/>
              </w:rPr>
            </w:pPr>
            <w:r>
              <w:rPr>
                <w:rFonts w:hint="eastAsia"/>
                <w:color w:val="auto"/>
                <w:szCs w:val="21"/>
                <w:highlight w:val="none"/>
              </w:rPr>
              <w:t>8、</w:t>
            </w:r>
            <w:bookmarkStart w:id="2" w:name="OLE_LINK2"/>
            <w:r>
              <w:rPr>
                <w:rFonts w:hint="eastAsia"/>
                <w:color w:val="auto"/>
                <w:szCs w:val="21"/>
                <w:highlight w:val="none"/>
              </w:rPr>
              <w:t>△</w:t>
            </w:r>
            <w:bookmarkEnd w:id="2"/>
            <w:r>
              <w:rPr>
                <w:rFonts w:hint="eastAsia"/>
                <w:color w:val="auto"/>
                <w:szCs w:val="21"/>
                <w:highlight w:val="none"/>
              </w:rPr>
              <w:t>具有屏幕亮度自动调节功能，根据环境光线强度自动调节屏幕亮度。（投标人需提供该设备生产厂家出具的参数确认函和证明文件）</w:t>
            </w:r>
          </w:p>
          <w:p>
            <w:pPr>
              <w:rPr>
                <w:color w:val="auto"/>
                <w:szCs w:val="21"/>
                <w:highlight w:val="none"/>
              </w:rPr>
            </w:pPr>
            <w:r>
              <w:rPr>
                <w:rFonts w:hint="eastAsia"/>
                <w:color w:val="auto"/>
                <w:szCs w:val="21"/>
                <w:highlight w:val="none"/>
              </w:rPr>
              <w:t>9、△具有关机状态下电量显示功能，更加高效掌握机器剩余电量。（投标人需提供该设备生产厂家出具的参数确认函和证明文件）</w:t>
            </w:r>
          </w:p>
          <w:p>
            <w:pPr>
              <w:rPr>
                <w:color w:val="auto"/>
                <w:szCs w:val="21"/>
                <w:highlight w:val="none"/>
              </w:rPr>
            </w:pPr>
            <w:r>
              <w:rPr>
                <w:rFonts w:hint="eastAsia"/>
                <w:color w:val="auto"/>
                <w:szCs w:val="21"/>
                <w:highlight w:val="none"/>
              </w:rPr>
              <w:t>10、支持显示≥100小时的全部监测参数趋势图、表分析，≥8000条报警和操作日志记录。</w:t>
            </w:r>
          </w:p>
          <w:p>
            <w:pPr>
              <w:rPr>
                <w:color w:val="auto"/>
                <w:szCs w:val="21"/>
                <w:highlight w:val="none"/>
              </w:rPr>
            </w:pPr>
            <w:r>
              <w:rPr>
                <w:rFonts w:hint="eastAsia"/>
                <w:color w:val="auto"/>
                <w:szCs w:val="21"/>
                <w:highlight w:val="none"/>
              </w:rPr>
              <w:t>二、环境适应性要求</w:t>
            </w:r>
          </w:p>
          <w:p>
            <w:pPr>
              <w:rPr>
                <w:color w:val="auto"/>
                <w:szCs w:val="21"/>
                <w:highlight w:val="none"/>
              </w:rPr>
            </w:pPr>
            <w:r>
              <w:rPr>
                <w:rFonts w:hint="eastAsia"/>
                <w:color w:val="auto"/>
                <w:szCs w:val="21"/>
                <w:highlight w:val="none"/>
              </w:rPr>
              <w:t>11、防尘防水等级≥IP34，保证机器在复杂环境中的安全。</w:t>
            </w:r>
          </w:p>
          <w:p>
            <w:pPr>
              <w:rPr>
                <w:color w:val="auto"/>
                <w:szCs w:val="21"/>
                <w:highlight w:val="none"/>
              </w:rPr>
            </w:pPr>
            <w:r>
              <w:rPr>
                <w:rFonts w:hint="eastAsia"/>
                <w:color w:val="auto"/>
                <w:szCs w:val="21"/>
                <w:highlight w:val="none"/>
              </w:rPr>
              <w:t>12、△最高工作海拔≥7000m，满足高海拔和直升机转运要求。（投标人需提供该设备生产厂家出具的参数确认函和证明文件）</w:t>
            </w:r>
          </w:p>
          <w:p>
            <w:pPr>
              <w:rPr>
                <w:color w:val="auto"/>
                <w:szCs w:val="21"/>
                <w:highlight w:val="none"/>
              </w:rPr>
            </w:pPr>
            <w:r>
              <w:rPr>
                <w:rFonts w:hint="eastAsia"/>
                <w:color w:val="auto"/>
                <w:szCs w:val="21"/>
                <w:highlight w:val="none"/>
              </w:rPr>
              <w:t>13、工作温度范围：-20 ~ 50 ℃，满足低温和高温环境下工作要求。</w:t>
            </w:r>
          </w:p>
          <w:p>
            <w:pPr>
              <w:rPr>
                <w:color w:val="auto"/>
                <w:szCs w:val="21"/>
                <w:highlight w:val="none"/>
              </w:rPr>
            </w:pPr>
            <w:r>
              <w:rPr>
                <w:rFonts w:hint="eastAsia"/>
                <w:color w:val="auto"/>
                <w:szCs w:val="21"/>
                <w:highlight w:val="none"/>
              </w:rPr>
              <w:t>14、具有自动海拔补偿功能和自动漏气补偿功能。</w:t>
            </w:r>
          </w:p>
          <w:p>
            <w:pPr>
              <w:rPr>
                <w:color w:val="auto"/>
                <w:szCs w:val="21"/>
                <w:highlight w:val="none"/>
              </w:rPr>
            </w:pPr>
            <w:r>
              <w:rPr>
                <w:rFonts w:hint="eastAsia"/>
                <w:color w:val="auto"/>
                <w:szCs w:val="21"/>
                <w:highlight w:val="none"/>
              </w:rPr>
              <w:t>三、呼吸模式及功能</w:t>
            </w:r>
          </w:p>
          <w:p>
            <w:pPr>
              <w:rPr>
                <w:color w:val="auto"/>
                <w:szCs w:val="21"/>
                <w:highlight w:val="none"/>
              </w:rPr>
            </w:pPr>
            <w:r>
              <w:rPr>
                <w:rFonts w:hint="eastAsia"/>
                <w:color w:val="auto"/>
                <w:szCs w:val="21"/>
                <w:highlight w:val="none"/>
              </w:rPr>
              <w:t>15、标配模式：容量控制/辅助通气模式V-A/C和容量同步间歇指令通气模式V-SIMV；压力控制/辅助通气模式P-A/C和压力同步间歇指令通气模式P-SIMV；持续气道正压通气模式/压力支持通气模式CPAP/PSV、双水平气道正压通气模式（如BIPAP或DuoLevel或BiLevel）、心肺复苏通气模式（如CPRV，CPRmode等）。</w:t>
            </w:r>
          </w:p>
          <w:p>
            <w:pPr>
              <w:rPr>
                <w:color w:val="auto"/>
                <w:szCs w:val="21"/>
                <w:highlight w:val="none"/>
              </w:rPr>
            </w:pPr>
            <w:r>
              <w:rPr>
                <w:rFonts w:hint="eastAsia"/>
                <w:color w:val="auto"/>
                <w:szCs w:val="21"/>
                <w:highlight w:val="none"/>
              </w:rPr>
              <w:t>16、△可配备无创通气模式和氧疗模式。（投标人需提供该设备生产厂家出具的参数确认函和证明文件）</w:t>
            </w:r>
          </w:p>
          <w:p>
            <w:pPr>
              <w:rPr>
                <w:color w:val="auto"/>
                <w:szCs w:val="21"/>
                <w:highlight w:val="none"/>
              </w:rPr>
            </w:pPr>
            <w:r>
              <w:rPr>
                <w:rFonts w:hint="eastAsia"/>
                <w:color w:val="auto"/>
                <w:szCs w:val="21"/>
                <w:highlight w:val="none"/>
              </w:rPr>
              <w:t>17、△呼吸同步技术（如IntelliCycle，IntelliSync+），自动调节吸气和呼气触发灵敏度、压力上升时间，提高人机同步性和舒适度，减少手动调节参数。（投标人需提供该设备生产厂家出具的参数确认函和证明文件）</w:t>
            </w:r>
          </w:p>
          <w:p>
            <w:pPr>
              <w:rPr>
                <w:color w:val="auto"/>
                <w:szCs w:val="21"/>
                <w:highlight w:val="none"/>
              </w:rPr>
            </w:pPr>
            <w:r>
              <w:rPr>
                <w:rFonts w:hint="eastAsia"/>
                <w:color w:val="auto"/>
                <w:szCs w:val="21"/>
                <w:highlight w:val="none"/>
              </w:rPr>
              <w:t>18、标配内源性PEEP、口腔闭合压P0.1和浅快呼吸指数RSBI的测定。</w:t>
            </w:r>
          </w:p>
          <w:p>
            <w:pPr>
              <w:rPr>
                <w:color w:val="auto"/>
                <w:szCs w:val="21"/>
                <w:highlight w:val="none"/>
              </w:rPr>
            </w:pPr>
            <w:r>
              <w:rPr>
                <w:rFonts w:hint="eastAsia"/>
                <w:color w:val="auto"/>
                <w:szCs w:val="21"/>
                <w:highlight w:val="none"/>
              </w:rPr>
              <w:t>四、设置参数</w:t>
            </w:r>
          </w:p>
          <w:p>
            <w:pPr>
              <w:rPr>
                <w:color w:val="auto"/>
                <w:szCs w:val="21"/>
                <w:highlight w:val="none"/>
              </w:rPr>
            </w:pPr>
            <w:r>
              <w:rPr>
                <w:rFonts w:hint="eastAsia"/>
                <w:color w:val="auto"/>
                <w:szCs w:val="21"/>
                <w:highlight w:val="none"/>
              </w:rPr>
              <w:t>19、潮气量：20ml—2000ml</w:t>
            </w:r>
          </w:p>
          <w:p>
            <w:pPr>
              <w:rPr>
                <w:color w:val="auto"/>
                <w:szCs w:val="21"/>
                <w:highlight w:val="none"/>
              </w:rPr>
            </w:pPr>
            <w:r>
              <w:rPr>
                <w:rFonts w:hint="eastAsia"/>
                <w:color w:val="auto"/>
                <w:szCs w:val="21"/>
                <w:highlight w:val="none"/>
              </w:rPr>
              <w:t>20、吸气压力：1—60 cmH2O</w:t>
            </w:r>
          </w:p>
          <w:p>
            <w:pPr>
              <w:rPr>
                <w:color w:val="auto"/>
                <w:szCs w:val="21"/>
                <w:highlight w:val="none"/>
              </w:rPr>
            </w:pPr>
            <w:r>
              <w:rPr>
                <w:rFonts w:hint="eastAsia"/>
                <w:color w:val="auto"/>
                <w:szCs w:val="21"/>
                <w:highlight w:val="none"/>
              </w:rPr>
              <w:t>21、呼气末正压：0—50 cmH2O</w:t>
            </w:r>
          </w:p>
          <w:p>
            <w:pPr>
              <w:rPr>
                <w:color w:val="auto"/>
                <w:szCs w:val="21"/>
                <w:highlight w:val="none"/>
              </w:rPr>
            </w:pPr>
            <w:r>
              <w:rPr>
                <w:rFonts w:hint="eastAsia"/>
                <w:color w:val="auto"/>
                <w:szCs w:val="21"/>
                <w:highlight w:val="none"/>
              </w:rPr>
              <w:t>22、吸入氧浓度：21—100%</w:t>
            </w:r>
          </w:p>
          <w:p>
            <w:pPr>
              <w:rPr>
                <w:color w:val="auto"/>
                <w:szCs w:val="21"/>
                <w:highlight w:val="none"/>
              </w:rPr>
            </w:pPr>
            <w:r>
              <w:rPr>
                <w:rFonts w:hint="eastAsia"/>
                <w:color w:val="auto"/>
                <w:szCs w:val="21"/>
                <w:highlight w:val="none"/>
              </w:rPr>
              <w:t xml:space="preserve">23、吸气时间：0.1—10s  </w:t>
            </w:r>
          </w:p>
          <w:p>
            <w:pPr>
              <w:rPr>
                <w:color w:val="auto"/>
                <w:szCs w:val="21"/>
                <w:highlight w:val="none"/>
              </w:rPr>
            </w:pPr>
            <w:r>
              <w:rPr>
                <w:rFonts w:hint="eastAsia"/>
                <w:color w:val="auto"/>
                <w:szCs w:val="21"/>
                <w:highlight w:val="none"/>
              </w:rPr>
              <w:t xml:space="preserve">24、压力触发灵敏度：-20— - 0.5cmH2O，或 OFF  </w:t>
            </w:r>
          </w:p>
          <w:p>
            <w:pPr>
              <w:rPr>
                <w:color w:val="auto"/>
                <w:szCs w:val="21"/>
                <w:highlight w:val="none"/>
              </w:rPr>
            </w:pPr>
            <w:r>
              <w:rPr>
                <w:rFonts w:hint="eastAsia"/>
                <w:color w:val="auto"/>
                <w:szCs w:val="21"/>
                <w:highlight w:val="none"/>
              </w:rPr>
              <w:t xml:space="preserve">25、流速触发灵敏度：0.5—20L/ min，或 OFF  </w:t>
            </w:r>
          </w:p>
          <w:p>
            <w:pPr>
              <w:rPr>
                <w:color w:val="auto"/>
                <w:szCs w:val="21"/>
                <w:highlight w:val="none"/>
              </w:rPr>
            </w:pPr>
            <w:r>
              <w:rPr>
                <w:rFonts w:hint="eastAsia"/>
                <w:color w:val="auto"/>
                <w:szCs w:val="21"/>
                <w:highlight w:val="none"/>
              </w:rPr>
              <w:t xml:space="preserve">26、呼气触发灵敏度：Auto, 1—85%  </w:t>
            </w:r>
          </w:p>
          <w:p>
            <w:pPr>
              <w:rPr>
                <w:color w:val="auto"/>
                <w:szCs w:val="21"/>
                <w:highlight w:val="none"/>
              </w:rPr>
            </w:pPr>
            <w:r>
              <w:rPr>
                <w:rFonts w:hint="eastAsia"/>
                <w:color w:val="auto"/>
                <w:szCs w:val="21"/>
                <w:highlight w:val="none"/>
              </w:rPr>
              <w:t>27、氧疗流量：2—80L/min</w:t>
            </w:r>
          </w:p>
          <w:p>
            <w:pPr>
              <w:rPr>
                <w:color w:val="auto"/>
                <w:szCs w:val="21"/>
                <w:highlight w:val="none"/>
              </w:rPr>
            </w:pPr>
            <w:r>
              <w:rPr>
                <w:rFonts w:hint="eastAsia"/>
                <w:color w:val="auto"/>
                <w:szCs w:val="21"/>
                <w:highlight w:val="none"/>
              </w:rPr>
              <w:t>五、监测参数和报警</w:t>
            </w:r>
          </w:p>
          <w:p>
            <w:pPr>
              <w:rPr>
                <w:color w:val="auto"/>
                <w:szCs w:val="21"/>
                <w:highlight w:val="none"/>
              </w:rPr>
            </w:pPr>
            <w:r>
              <w:rPr>
                <w:rFonts w:hint="eastAsia"/>
                <w:color w:val="auto"/>
                <w:szCs w:val="21"/>
                <w:highlight w:val="none"/>
              </w:rPr>
              <w:t>28、监测参数：氧浓度、分钟通气量、潮气量、气道压力、呼吸频率等关键参数。</w:t>
            </w:r>
          </w:p>
          <w:p>
            <w:pPr>
              <w:rPr>
                <w:color w:val="auto"/>
                <w:szCs w:val="21"/>
                <w:highlight w:val="none"/>
              </w:rPr>
            </w:pPr>
            <w:r>
              <w:rPr>
                <w:rFonts w:hint="eastAsia"/>
                <w:color w:val="auto"/>
                <w:szCs w:val="21"/>
                <w:highlight w:val="none"/>
              </w:rPr>
              <w:t>29、波形监测：压力—时间、流速—时间、容量—时间和CO2—时间波形。</w:t>
            </w:r>
          </w:p>
          <w:p>
            <w:pPr>
              <w:widowControl/>
              <w:jc w:val="left"/>
              <w:textAlignment w:val="center"/>
              <w:rPr>
                <w:color w:val="auto"/>
                <w:szCs w:val="21"/>
                <w:highlight w:val="none"/>
              </w:rPr>
            </w:pPr>
            <w:r>
              <w:rPr>
                <w:rFonts w:hint="eastAsia"/>
                <w:color w:val="auto"/>
                <w:szCs w:val="21"/>
                <w:highlight w:val="none"/>
              </w:rPr>
              <w:t>30、报警：潮气量、通气量、压力、呼吸频率、窒息、氧浓度、氧气不足、电量不足、管路脱落、机器故障等。</w:t>
            </w:r>
          </w:p>
          <w:p>
            <w:pPr>
              <w:rPr>
                <w:rFonts w:hint="eastAsia" w:ascii="宋体" w:hAnsi="宋体" w:cs="宋体"/>
                <w:color w:val="auto"/>
                <w:kern w:val="0"/>
                <w:szCs w:val="21"/>
                <w:highlight w:val="none"/>
              </w:rPr>
            </w:pPr>
            <w:r>
              <w:rPr>
                <w:rFonts w:hint="eastAsia"/>
                <w:color w:val="auto"/>
                <w:szCs w:val="21"/>
                <w:highlight w:val="none"/>
              </w:rPr>
              <w:t>31、*报价人必须取得本设备的原厂制造商出具给报价人的本项目的授权书，授权书必须加盖授权厂公章。</w:t>
            </w:r>
          </w:p>
        </w:tc>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widowControl/>
              <w:jc w:val="center"/>
              <w:rPr>
                <w:rFonts w:hint="eastAsia" w:ascii="仿宋" w:hAnsi="仿宋" w:eastAsia="仿宋" w:cs="仿宋"/>
                <w:color w:val="auto"/>
                <w:sz w:val="21"/>
                <w:szCs w:val="21"/>
                <w:highlight w:val="none"/>
              </w:rPr>
            </w:pPr>
            <w:r>
              <w:rPr>
                <w:rFonts w:hint="eastAsia" w:ascii="宋体" w:hAnsi="宋体" w:cs="宋体"/>
                <w:color w:val="auto"/>
                <w:sz w:val="21"/>
                <w:szCs w:val="21"/>
                <w:highlight w:val="none"/>
              </w:rPr>
              <w:t xml:space="preserve">9.5 </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color w:val="auto"/>
                <w:szCs w:val="21"/>
                <w:highlight w:val="none"/>
              </w:rPr>
              <w:t>除颤监护仪</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auto"/>
                <w:szCs w:val="21"/>
                <w:highlight w:val="none"/>
              </w:rPr>
            </w:pPr>
            <w:r>
              <w:rPr>
                <w:rFonts w:hint="eastAsia"/>
                <w:color w:val="auto"/>
                <w:szCs w:val="21"/>
                <w:highlight w:val="none"/>
              </w:rPr>
              <w:t>1、△彩色电容触摸屏≥8英寸,分辨率≥1024×768像素，可显示≥5通道监护参数波形，支持手势操作、自动亮度调节，重量：≤4.2kg（标配，含电池）。提供图形化故障排除指引，帮助现场人员快速解决设备故障，屏幕显示心电波形扫描时间≥36s。（投标人需提供该设备生产厂家出具的参数确认函和证明文件）</w:t>
            </w:r>
          </w:p>
          <w:p>
            <w:pPr>
              <w:rPr>
                <w:color w:val="auto"/>
                <w:szCs w:val="21"/>
                <w:highlight w:val="none"/>
              </w:rPr>
            </w:pPr>
            <w:r>
              <w:rPr>
                <w:color w:val="auto"/>
                <w:szCs w:val="21"/>
                <w:highlight w:val="none"/>
              </w:rPr>
              <w:t>2</w:t>
            </w:r>
            <w:r>
              <w:rPr>
                <w:rFonts w:hint="eastAsia"/>
                <w:color w:val="auto"/>
                <w:szCs w:val="21"/>
                <w:highlight w:val="none"/>
              </w:rPr>
              <w:t>、△具备手动除颤、心电监护、呼吸监护、自动体外除颤（AED）功能，具备血氧、血压监测功能，具备起搏功能，AED功能适用于29天以上人群，支持至少三种尺寸体内除颤电极板，适用不同病人类型。（投标人需提供该设备生产厂家出具的参数确认函和相关证明文件）</w:t>
            </w:r>
          </w:p>
          <w:p>
            <w:pPr>
              <w:rPr>
                <w:color w:val="auto"/>
                <w:szCs w:val="21"/>
                <w:highlight w:val="none"/>
              </w:rPr>
            </w:pPr>
            <w:r>
              <w:rPr>
                <w:color w:val="auto"/>
                <w:szCs w:val="21"/>
                <w:highlight w:val="none"/>
              </w:rPr>
              <w:t>3</w:t>
            </w:r>
            <w:r>
              <w:rPr>
                <w:rFonts w:hint="eastAsia"/>
                <w:color w:val="auto"/>
                <w:szCs w:val="21"/>
                <w:highlight w:val="none"/>
              </w:rPr>
              <w:t>、 支持中文操作界面，AED除颤功能提供中文语音和中文提醒功能，对于救援过程支持自动录音功能，记录时长≥8小时</w:t>
            </w:r>
          </w:p>
          <w:p>
            <w:pPr>
              <w:rPr>
                <w:color w:val="auto"/>
                <w:szCs w:val="21"/>
                <w:highlight w:val="none"/>
              </w:rPr>
            </w:pPr>
            <w:r>
              <w:rPr>
                <w:color w:val="auto"/>
                <w:szCs w:val="21"/>
                <w:highlight w:val="none"/>
              </w:rPr>
              <w:t>4</w:t>
            </w:r>
            <w:r>
              <w:rPr>
                <w:rFonts w:hint="eastAsia"/>
                <w:color w:val="auto"/>
                <w:szCs w:val="21"/>
                <w:highlight w:val="none"/>
              </w:rPr>
              <w:t>、除颤采用双相波技术，具备自动阻抗补偿功能，手动除颤分为同步和非同步两种方式，能量分20档以上，可通过体外电极板进行能量选择，最大能量可达360J。</w:t>
            </w:r>
          </w:p>
          <w:p>
            <w:pPr>
              <w:rPr>
                <w:color w:val="auto"/>
                <w:szCs w:val="21"/>
                <w:highlight w:val="none"/>
              </w:rPr>
            </w:pPr>
            <w:r>
              <w:rPr>
                <w:rFonts w:hint="eastAsia"/>
                <w:color w:val="auto"/>
                <w:szCs w:val="21"/>
                <w:highlight w:val="none"/>
              </w:rPr>
              <w:t>5、可配置体内除颤手柄，体内手动除颤能力选择：1/2/3/4/5/6/7/8/9/10/15/20/25/30/50 J。体外除颤电极板同时支持成人和小儿，一体化设计，支持快速切换。</w:t>
            </w:r>
          </w:p>
          <w:p>
            <w:pPr>
              <w:rPr>
                <w:color w:val="auto"/>
                <w:szCs w:val="21"/>
                <w:highlight w:val="none"/>
              </w:rPr>
            </w:pPr>
            <w:r>
              <w:rPr>
                <w:rFonts w:hint="eastAsia"/>
                <w:color w:val="auto"/>
                <w:szCs w:val="21"/>
                <w:highlight w:val="none"/>
              </w:rPr>
              <w:t>6、△开机到可正常使用时间≤2s，除颤后心电基线恢复时间≤2.5s，从开始AED分析到放电准备就绪≤10s，支持被救援人员接触状态和阻抗值实时显示。支持智能分析功能，手动除颤模式下也可提供自动节律分析和操作指引，通过心电电极片可监测的心律失常分析种类≥27种，阻抗呼吸率范围：0-200rpm。</w:t>
            </w:r>
          </w:p>
          <w:p>
            <w:pPr>
              <w:rPr>
                <w:color w:val="auto"/>
                <w:szCs w:val="21"/>
                <w:highlight w:val="none"/>
              </w:rPr>
            </w:pPr>
            <w:r>
              <w:rPr>
                <w:rFonts w:hint="eastAsia"/>
                <w:color w:val="auto"/>
                <w:szCs w:val="21"/>
                <w:highlight w:val="none"/>
              </w:rPr>
              <w:t>7、△电极板支持能量选择，充电和放电三步操作，满足单人除颤操作，除颤充电迅速，充电至200J≤4s，心电波形速度支持50 mm/s、25 mm/s、12.5 mm/s、6.25 mm/s，支持ST/QT实时分析。（投标人需提供该设备生产厂家出具的参数确认函和相关证明文件）</w:t>
            </w:r>
          </w:p>
          <w:p>
            <w:pPr>
              <w:rPr>
                <w:color w:val="auto"/>
                <w:szCs w:val="21"/>
                <w:highlight w:val="none"/>
              </w:rPr>
            </w:pPr>
            <w:r>
              <w:rPr>
                <w:rFonts w:hint="eastAsia"/>
                <w:color w:val="auto"/>
                <w:szCs w:val="21"/>
                <w:highlight w:val="none"/>
              </w:rPr>
              <w:t>8、脉率范围：20-300bpm，可根据被救援人员类型自动切换除颤默认能量、CPR提示和参数报警限，支持连接中央站，与床旁监护仪共用监护网络，支持通过中央站远程修改病人信息和系统时间同步。支持提供IHE HL7协议。</w:t>
            </w:r>
          </w:p>
          <w:p>
            <w:pPr>
              <w:rPr>
                <w:color w:val="auto"/>
                <w:szCs w:val="21"/>
                <w:highlight w:val="none"/>
              </w:rPr>
            </w:pPr>
            <w:r>
              <w:rPr>
                <w:rFonts w:hint="eastAsia"/>
                <w:color w:val="auto"/>
                <w:szCs w:val="21"/>
                <w:highlight w:val="none"/>
              </w:rPr>
              <w:t>9、标配1块外置智能锂电池，可支持200J除颤≥300次具备生理报警和技术报警功能，通过声音、文字和灯光3种方式进行报警。</w:t>
            </w:r>
          </w:p>
          <w:p>
            <w:pPr>
              <w:rPr>
                <w:color w:val="auto"/>
                <w:szCs w:val="21"/>
                <w:highlight w:val="none"/>
              </w:rPr>
            </w:pPr>
            <w:r>
              <w:rPr>
                <w:rFonts w:hint="eastAsia"/>
                <w:color w:val="auto"/>
                <w:szCs w:val="21"/>
                <w:highlight w:val="none"/>
              </w:rPr>
              <w:t>10、配置50mm记录纸记录仪，可同时打印不少于3通道波形；自动打印除颤记录，单次波形记录时间最大不小于30s；支持连续波形记录。可存储120小时连续ECG波形，数据可导出至电脑查看。关机状态下设备支持每天定时自动运行自检（含监护模块和治疗模块），支持定期自动大能量自检（最大放电能量）。支持设备状态指示灯用户检测。设备自检后支持对于自检报告进行自动打印或按需打印。持自检放电能量精度显示和打印。自检报告可自动发送至中央站，支持除颤设备状态集中查看。</w:t>
            </w:r>
          </w:p>
          <w:p>
            <w:pPr>
              <w:rPr>
                <w:color w:val="auto"/>
                <w:szCs w:val="21"/>
                <w:highlight w:val="none"/>
              </w:rPr>
            </w:pPr>
            <w:r>
              <w:rPr>
                <w:rFonts w:hint="eastAsia"/>
                <w:color w:val="auto"/>
                <w:szCs w:val="21"/>
                <w:highlight w:val="none"/>
              </w:rPr>
              <w:t>11、△抢救结束后自动生成抢救报告，并可通过网络将除颤和按压数据自动上传至急救数据分析系统；急救数据分析系统提供抢救数据复盘、分析工具。支持培训模式，包含CPR操作培训、抢救操作培训；可提供培训考核系统，支持多台设备同时接入进行在线培训、考核。（投标人需提供该设备生产厂家出具的参数确认函和相关证明文件）</w:t>
            </w:r>
          </w:p>
          <w:p>
            <w:pPr>
              <w:widowControl/>
              <w:jc w:val="left"/>
              <w:textAlignment w:val="center"/>
              <w:rPr>
                <w:color w:val="auto"/>
                <w:szCs w:val="21"/>
                <w:highlight w:val="none"/>
              </w:rPr>
            </w:pPr>
            <w:r>
              <w:rPr>
                <w:rFonts w:hint="eastAsia"/>
                <w:color w:val="auto"/>
                <w:szCs w:val="21"/>
                <w:highlight w:val="none"/>
              </w:rPr>
              <w:t>12、</w:t>
            </w:r>
            <w:bookmarkStart w:id="3" w:name="OLE_LINK4"/>
            <w:r>
              <w:rPr>
                <w:rFonts w:hint="eastAsia"/>
                <w:color w:val="auto"/>
                <w:szCs w:val="21"/>
                <w:highlight w:val="none"/>
              </w:rPr>
              <w:t>△</w:t>
            </w:r>
            <w:bookmarkEnd w:id="3"/>
            <w:r>
              <w:rPr>
                <w:rFonts w:hint="eastAsia"/>
                <w:color w:val="auto"/>
                <w:szCs w:val="21"/>
                <w:highlight w:val="none"/>
              </w:rPr>
              <w:t>具备良好的防尘防水性能，防尘防水级别IP55，具备优异的抗跌落性能，满足EN1789 中6.3.4.3 关于跌落试验的要求，裸机可承受0.75米跌落冲击。工作环境，温度范围：-20°C-55°C，湿度范围：5%-95%，大气压范围：57.0 kPa ～ 106.2 kPa。投标人提供的设备通过国家三类注册、CE(MDR)认证。</w:t>
            </w:r>
            <w:bookmarkStart w:id="4" w:name="OLE_LINK205"/>
            <w:bookmarkStart w:id="5" w:name="OLE_LINK206"/>
            <w:r>
              <w:rPr>
                <w:rFonts w:hint="eastAsia"/>
                <w:color w:val="auto"/>
                <w:szCs w:val="21"/>
                <w:highlight w:val="none"/>
              </w:rPr>
              <w:t>（投标人需提供该设备生产厂家出具的参数确认函和证明文件）</w:t>
            </w:r>
            <w:bookmarkEnd w:id="4"/>
            <w:bookmarkEnd w:id="5"/>
          </w:p>
          <w:p>
            <w:pPr>
              <w:widowControl/>
              <w:jc w:val="left"/>
              <w:textAlignment w:val="center"/>
              <w:rPr>
                <w:color w:val="auto"/>
                <w:szCs w:val="21"/>
                <w:highlight w:val="none"/>
              </w:rPr>
            </w:pPr>
            <w:r>
              <w:rPr>
                <w:rFonts w:hint="eastAsia"/>
                <w:color w:val="auto"/>
                <w:szCs w:val="21"/>
                <w:highlight w:val="none"/>
              </w:rPr>
              <w:t>13、</w:t>
            </w:r>
            <w:r>
              <w:rPr>
                <w:rFonts w:hint="eastAsia" w:ascii="宋体" w:hAnsi="宋体" w:cs="宋体"/>
                <w:color w:val="auto"/>
                <w:kern w:val="0"/>
                <w:szCs w:val="21"/>
                <w:highlight w:val="none"/>
              </w:rPr>
              <w:t>*</w:t>
            </w:r>
            <w:r>
              <w:rPr>
                <w:rFonts w:hint="eastAsia"/>
                <w:color w:val="auto"/>
                <w:szCs w:val="21"/>
                <w:highlight w:val="none"/>
              </w:rPr>
              <w:t>为了保证产品质量，本项目不接受最近一年内因违反《医疗器械生产质量管理规范》被停业整顿的生产厂家产品。</w:t>
            </w:r>
          </w:p>
          <w:p>
            <w:pPr>
              <w:widowControl/>
              <w:jc w:val="left"/>
              <w:textAlignment w:val="center"/>
              <w:rPr>
                <w:rFonts w:hint="eastAsia" w:ascii="仿宋" w:hAnsi="仿宋" w:eastAsia="仿宋" w:cs="仿宋"/>
                <w:color w:val="auto"/>
                <w:szCs w:val="21"/>
                <w:highlight w:val="none"/>
              </w:rPr>
            </w:pPr>
            <w:r>
              <w:rPr>
                <w:rFonts w:hint="eastAsia"/>
                <w:color w:val="auto"/>
                <w:szCs w:val="21"/>
                <w:highlight w:val="none"/>
              </w:rPr>
              <w:t>14、</w:t>
            </w:r>
            <w:bookmarkStart w:id="6" w:name="OLE_LINK3"/>
            <w:r>
              <w:rPr>
                <w:rFonts w:hint="eastAsia" w:ascii="宋体" w:hAnsi="宋体" w:cs="宋体"/>
                <w:color w:val="auto"/>
                <w:kern w:val="0"/>
                <w:szCs w:val="21"/>
                <w:highlight w:val="none"/>
              </w:rPr>
              <w:t>*</w:t>
            </w:r>
            <w:bookmarkEnd w:id="6"/>
            <w:r>
              <w:rPr>
                <w:rFonts w:hint="eastAsia" w:ascii="宋体" w:hAnsi="宋体" w:cs="宋体"/>
                <w:color w:val="auto"/>
                <w:kern w:val="0"/>
                <w:szCs w:val="21"/>
                <w:highlight w:val="none"/>
              </w:rPr>
              <w:t>报价人必须取得本设备的原厂制造商出具给报价人的本项目的授权书，授权书必须加盖授权厂公章。</w:t>
            </w:r>
          </w:p>
        </w:tc>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widowControl/>
              <w:jc w:val="center"/>
              <w:rPr>
                <w:rFonts w:hint="eastAsia" w:ascii="仿宋" w:hAnsi="仿宋" w:eastAsia="仿宋" w:cs="仿宋"/>
                <w:color w:val="auto"/>
                <w:sz w:val="21"/>
                <w:szCs w:val="21"/>
                <w:highlight w:val="none"/>
              </w:rPr>
            </w:pPr>
            <w:r>
              <w:rPr>
                <w:rFonts w:hint="eastAsia" w:ascii="宋体" w:hAnsi="宋体" w:cs="宋体"/>
                <w:color w:val="auto"/>
                <w:sz w:val="21"/>
                <w:szCs w:val="21"/>
                <w:highlight w:val="none"/>
              </w:rPr>
              <w:t xml:space="preserve">7.50 </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rPr>
            </w:pPr>
            <w:r>
              <w:rPr>
                <w:rFonts w:hint="eastAsia"/>
                <w:color w:val="auto"/>
                <w:szCs w:val="21"/>
                <w:highlight w:val="none"/>
              </w:rPr>
              <w:t>心电图机</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auto"/>
                <w:szCs w:val="21"/>
                <w:highlight w:val="none"/>
              </w:rPr>
            </w:pPr>
            <w:r>
              <w:rPr>
                <w:rFonts w:hint="eastAsia"/>
                <w:color w:val="auto"/>
                <w:szCs w:val="21"/>
                <w:highlight w:val="none"/>
              </w:rPr>
              <w:t>1工作条件：100-240伏，50-60Hz，最大功率65瓦，交直流两用，输入电流最大1.2A</w:t>
            </w:r>
          </w:p>
          <w:p>
            <w:pPr>
              <w:rPr>
                <w:color w:val="auto"/>
                <w:szCs w:val="21"/>
                <w:highlight w:val="none"/>
              </w:rPr>
            </w:pPr>
            <w:r>
              <w:rPr>
                <w:rFonts w:hint="eastAsia"/>
                <w:color w:val="auto"/>
                <w:szCs w:val="21"/>
                <w:highlight w:val="none"/>
              </w:rPr>
              <w:t>工作温度摄氏10-40摄氏度;存储温度摄氏-20-50摄氏度</w:t>
            </w:r>
          </w:p>
          <w:p>
            <w:pPr>
              <w:rPr>
                <w:color w:val="auto"/>
                <w:szCs w:val="21"/>
                <w:highlight w:val="none"/>
              </w:rPr>
            </w:pPr>
            <w:r>
              <w:rPr>
                <w:rFonts w:hint="eastAsia"/>
                <w:color w:val="auto"/>
                <w:szCs w:val="21"/>
                <w:highlight w:val="none"/>
              </w:rPr>
              <w:t>工作湿度:10-90%,储存湿度10-90%</w:t>
            </w:r>
          </w:p>
          <w:p>
            <w:pPr>
              <w:rPr>
                <w:color w:val="auto"/>
                <w:szCs w:val="21"/>
                <w:highlight w:val="none"/>
              </w:rPr>
            </w:pPr>
            <w:r>
              <w:rPr>
                <w:rFonts w:hint="eastAsia"/>
                <w:color w:val="auto"/>
                <w:szCs w:val="21"/>
                <w:highlight w:val="none"/>
              </w:rPr>
              <w:t>2.1  心电图采集</w:t>
            </w:r>
          </w:p>
          <w:p>
            <w:pPr>
              <w:rPr>
                <w:color w:val="auto"/>
                <w:szCs w:val="21"/>
                <w:highlight w:val="none"/>
              </w:rPr>
            </w:pPr>
            <w:r>
              <w:rPr>
                <w:rFonts w:hint="eastAsia"/>
                <w:color w:val="auto"/>
                <w:szCs w:val="21"/>
                <w:highlight w:val="none"/>
              </w:rPr>
              <w:t>2.1.1 快捷1-2-3步操作采集心电图，灯亮起指导医生操作</w:t>
            </w:r>
          </w:p>
          <w:p>
            <w:pPr>
              <w:rPr>
                <w:color w:val="auto"/>
                <w:szCs w:val="21"/>
                <w:highlight w:val="none"/>
              </w:rPr>
            </w:pPr>
            <w:r>
              <w:rPr>
                <w:rFonts w:hint="eastAsia"/>
                <w:color w:val="auto"/>
                <w:szCs w:val="21"/>
                <w:highlight w:val="none"/>
              </w:rPr>
              <w:t>2.1.2 中文界面和操作按钮</w:t>
            </w:r>
          </w:p>
          <w:p>
            <w:pPr>
              <w:rPr>
                <w:color w:val="auto"/>
                <w:szCs w:val="21"/>
                <w:highlight w:val="none"/>
              </w:rPr>
            </w:pPr>
            <w:r>
              <w:rPr>
                <w:rFonts w:hint="eastAsia"/>
                <w:color w:val="auto"/>
                <w:szCs w:val="21"/>
                <w:highlight w:val="none"/>
              </w:rPr>
              <w:t>2.1.3 获取实时12导联心电图/任意1-12导联节律报告，12导联自动分析</w:t>
            </w:r>
          </w:p>
          <w:p>
            <w:pPr>
              <w:rPr>
                <w:color w:val="auto"/>
                <w:szCs w:val="21"/>
                <w:highlight w:val="none"/>
              </w:rPr>
            </w:pPr>
            <w:r>
              <w:rPr>
                <w:rFonts w:hint="eastAsia"/>
                <w:color w:val="auto"/>
                <w:szCs w:val="21"/>
                <w:highlight w:val="none"/>
              </w:rPr>
              <w:t>2.1.4 心电图信号质量指示器提供即时的信号质量反馈，提醒连接松动的或是故障的电极位置</w:t>
            </w:r>
          </w:p>
          <w:p>
            <w:pPr>
              <w:rPr>
                <w:color w:val="auto"/>
                <w:szCs w:val="21"/>
                <w:highlight w:val="none"/>
              </w:rPr>
            </w:pPr>
            <w:r>
              <w:rPr>
                <w:rFonts w:hint="eastAsia"/>
                <w:color w:val="auto"/>
                <w:szCs w:val="21"/>
                <w:highlight w:val="none"/>
              </w:rPr>
              <w:t>2.1.5 支持导联接错自动检测提示，大于等于10种</w:t>
            </w:r>
          </w:p>
          <w:p>
            <w:pPr>
              <w:rPr>
                <w:color w:val="auto"/>
                <w:szCs w:val="21"/>
                <w:highlight w:val="none"/>
              </w:rPr>
            </w:pPr>
            <w:r>
              <w:rPr>
                <w:rFonts w:hint="eastAsia"/>
                <w:color w:val="auto"/>
                <w:szCs w:val="21"/>
                <w:highlight w:val="none"/>
              </w:rPr>
              <w:t xml:space="preserve">2.1.6  支持采集信号质量监测和提醒功能，使用不同颜色编码的心电图波形显示在主屏幕上，≥3种颜色 </w:t>
            </w:r>
          </w:p>
          <w:p>
            <w:pPr>
              <w:rPr>
                <w:color w:val="auto"/>
                <w:szCs w:val="21"/>
                <w:highlight w:val="none"/>
              </w:rPr>
            </w:pPr>
            <w:r>
              <w:rPr>
                <w:rFonts w:hint="eastAsia"/>
                <w:color w:val="auto"/>
                <w:szCs w:val="21"/>
                <w:highlight w:val="none"/>
              </w:rPr>
              <w:t>2.1.7  采样率  每导联每秒采集≥8000个样本</w:t>
            </w:r>
          </w:p>
          <w:p>
            <w:pPr>
              <w:rPr>
                <w:color w:val="auto"/>
                <w:szCs w:val="21"/>
                <w:highlight w:val="none"/>
              </w:rPr>
            </w:pPr>
            <w:r>
              <w:rPr>
                <w:rFonts w:hint="eastAsia"/>
                <w:color w:val="auto"/>
                <w:szCs w:val="21"/>
                <w:highlight w:val="none"/>
              </w:rPr>
              <w:t>2.1.8  内置具有微处理器控制的高分辨率病人数模转换器, 采用一体化的导联线设计</w:t>
            </w:r>
          </w:p>
          <w:p>
            <w:pPr>
              <w:rPr>
                <w:color w:val="auto"/>
                <w:szCs w:val="21"/>
                <w:highlight w:val="none"/>
              </w:rPr>
            </w:pPr>
            <w:r>
              <w:rPr>
                <w:rFonts w:hint="eastAsia"/>
                <w:color w:val="auto"/>
                <w:szCs w:val="21"/>
                <w:highlight w:val="none"/>
              </w:rPr>
              <w:t>2.1.9自动频率响应范围 0.05-150Hz,0.15-150Hz,0.5-150Hz,0.05-100Hz,0.15-100Hz,0.5-100Hz,0.05-40Hz,0.15-40Hz,0.5-40Hz</w:t>
            </w:r>
          </w:p>
          <w:p>
            <w:pPr>
              <w:rPr>
                <w:color w:val="auto"/>
                <w:szCs w:val="21"/>
                <w:highlight w:val="none"/>
              </w:rPr>
            </w:pPr>
            <w:r>
              <w:rPr>
                <w:rFonts w:hint="eastAsia"/>
                <w:color w:val="auto"/>
                <w:szCs w:val="21"/>
                <w:highlight w:val="none"/>
              </w:rPr>
              <w:t>2.1.10  节律频率响应   0.05-40Hz,0.15-40Hz,0.05-100Hz,0.15-100Hz,0.05-150Hz,0.15-150Hz</w:t>
            </w:r>
          </w:p>
          <w:p>
            <w:pPr>
              <w:rPr>
                <w:color w:val="auto"/>
                <w:szCs w:val="21"/>
                <w:highlight w:val="none"/>
              </w:rPr>
            </w:pPr>
            <w:r>
              <w:rPr>
                <w:rFonts w:hint="eastAsia"/>
                <w:color w:val="auto"/>
                <w:szCs w:val="21"/>
                <w:highlight w:val="none"/>
              </w:rPr>
              <w:t>2.1.11 滤波设置   交流电噪音（50赫兹）/肌电和基线漂移滤波/伪差/高通和低通滤波</w:t>
            </w:r>
          </w:p>
          <w:p>
            <w:pPr>
              <w:rPr>
                <w:color w:val="auto"/>
                <w:szCs w:val="21"/>
                <w:highlight w:val="none"/>
              </w:rPr>
            </w:pPr>
            <w:r>
              <w:rPr>
                <w:rFonts w:hint="eastAsia"/>
                <w:color w:val="auto"/>
                <w:szCs w:val="21"/>
                <w:highlight w:val="none"/>
              </w:rPr>
              <w:t>2.1.12虚拟触摸屏键盘，支持特殊字符</w:t>
            </w:r>
          </w:p>
          <w:p>
            <w:pPr>
              <w:rPr>
                <w:color w:val="auto"/>
                <w:szCs w:val="21"/>
                <w:highlight w:val="none"/>
              </w:rPr>
            </w:pPr>
            <w:r>
              <w:rPr>
                <w:rFonts w:hint="eastAsia"/>
                <w:color w:val="auto"/>
                <w:szCs w:val="21"/>
                <w:highlight w:val="none"/>
              </w:rPr>
              <w:t>2.1.13 定标灵敏度：1mV, 误差范围 +/-5%</w:t>
            </w:r>
          </w:p>
          <w:p>
            <w:pPr>
              <w:rPr>
                <w:color w:val="auto"/>
                <w:szCs w:val="21"/>
                <w:highlight w:val="none"/>
              </w:rPr>
            </w:pPr>
            <w:r>
              <w:rPr>
                <w:rFonts w:hint="eastAsia"/>
                <w:color w:val="auto"/>
                <w:szCs w:val="21"/>
                <w:highlight w:val="none"/>
              </w:rPr>
              <w:t xml:space="preserve">2.1.13 抗极化电压     ≥+/-300mV直流极化电压， 灵敏度变化范围+/-5%  </w:t>
            </w:r>
          </w:p>
          <w:p>
            <w:pPr>
              <w:rPr>
                <w:color w:val="auto"/>
                <w:szCs w:val="21"/>
                <w:highlight w:val="none"/>
              </w:rPr>
            </w:pPr>
            <w:r>
              <w:rPr>
                <w:rFonts w:hint="eastAsia"/>
                <w:color w:val="auto"/>
                <w:szCs w:val="21"/>
                <w:highlight w:val="none"/>
              </w:rPr>
              <w:t>2.1.15 除颤保护 符合 IEC60601-1 he IEC60601-2-25 安全要求及AAMI EC11: 1991安全要求</w:t>
            </w:r>
          </w:p>
          <w:p>
            <w:pPr>
              <w:rPr>
                <w:color w:val="auto"/>
                <w:szCs w:val="21"/>
                <w:highlight w:val="none"/>
              </w:rPr>
            </w:pPr>
            <w:r>
              <w:rPr>
                <w:rFonts w:hint="eastAsia"/>
                <w:color w:val="auto"/>
                <w:szCs w:val="21"/>
                <w:highlight w:val="none"/>
              </w:rPr>
              <w:t xml:space="preserve">2.1.16 道间干扰       ＜0.5mm  标准增益(10mm/mV) </w:t>
            </w:r>
          </w:p>
          <w:p>
            <w:pPr>
              <w:rPr>
                <w:color w:val="auto"/>
                <w:szCs w:val="21"/>
                <w:highlight w:val="none"/>
              </w:rPr>
            </w:pPr>
            <w:r>
              <w:rPr>
                <w:rFonts w:hint="eastAsia"/>
                <w:color w:val="auto"/>
                <w:szCs w:val="21"/>
                <w:highlight w:val="none"/>
              </w:rPr>
              <w:t>2.1.7 共模抑制比≥100dB</w:t>
            </w:r>
          </w:p>
          <w:p>
            <w:pPr>
              <w:rPr>
                <w:color w:val="auto"/>
                <w:szCs w:val="21"/>
                <w:highlight w:val="none"/>
              </w:rPr>
            </w:pPr>
            <w:r>
              <w:rPr>
                <w:rFonts w:hint="eastAsia"/>
                <w:color w:val="auto"/>
                <w:szCs w:val="21"/>
                <w:highlight w:val="none"/>
              </w:rPr>
              <w:t>2.1.8  采集心电图过程中有事件标记功能，标记数大于4个</w:t>
            </w:r>
          </w:p>
          <w:p>
            <w:pPr>
              <w:rPr>
                <w:color w:val="auto"/>
                <w:szCs w:val="21"/>
                <w:highlight w:val="none"/>
              </w:rPr>
            </w:pPr>
            <w:r>
              <w:rPr>
                <w:rFonts w:hint="eastAsia"/>
                <w:color w:val="auto"/>
                <w:szCs w:val="21"/>
                <w:highlight w:val="none"/>
              </w:rPr>
              <w:t>2.2  显示及打印</w:t>
            </w:r>
          </w:p>
          <w:p>
            <w:pPr>
              <w:rPr>
                <w:color w:val="auto"/>
                <w:szCs w:val="21"/>
                <w:highlight w:val="none"/>
              </w:rPr>
            </w:pPr>
            <w:r>
              <w:rPr>
                <w:rFonts w:hint="eastAsia"/>
                <w:color w:val="auto"/>
                <w:szCs w:val="21"/>
                <w:highlight w:val="none"/>
              </w:rPr>
              <w:t>2.2.1 △≥ 6.5寸彩色触摸屏，12导联同步采集同屏显示（提供产品说明书、检测报告或者彩页相关证明文件或材料，不满足或不提供或提供的资料不清晰的视为负偏离。）</w:t>
            </w:r>
          </w:p>
          <w:p>
            <w:pPr>
              <w:rPr>
                <w:color w:val="auto"/>
                <w:szCs w:val="21"/>
                <w:highlight w:val="none"/>
              </w:rPr>
            </w:pPr>
            <w:r>
              <w:rPr>
                <w:rFonts w:hint="eastAsia"/>
                <w:color w:val="auto"/>
                <w:szCs w:val="21"/>
                <w:highlight w:val="none"/>
              </w:rPr>
              <w:t>2.2.2 屏幕显示内容包括时间、报告格式、工作状态、患者信息、信号质量、网络信号、电池电量及某个电极脱落等参数</w:t>
            </w:r>
          </w:p>
          <w:p>
            <w:pPr>
              <w:rPr>
                <w:color w:val="auto"/>
                <w:szCs w:val="21"/>
                <w:highlight w:val="none"/>
              </w:rPr>
            </w:pPr>
            <w:r>
              <w:rPr>
                <w:rFonts w:hint="eastAsia"/>
                <w:color w:val="auto"/>
                <w:szCs w:val="21"/>
                <w:highlight w:val="none"/>
              </w:rPr>
              <w:t xml:space="preserve">2.2.3 报告格式   3x4 (1R, 3R) ；3x4, 1R ； 6x2；通过USB接口直连打印机可实现全景12 (Cabrera格式)；12x1（标准和Cabrera格式）；3x4, 1R </w:t>
            </w:r>
          </w:p>
          <w:p>
            <w:pPr>
              <w:rPr>
                <w:color w:val="auto"/>
                <w:szCs w:val="21"/>
                <w:highlight w:val="none"/>
              </w:rPr>
            </w:pPr>
            <w:r>
              <w:rPr>
                <w:rFonts w:hint="eastAsia"/>
                <w:color w:val="auto"/>
                <w:szCs w:val="21"/>
                <w:highlight w:val="none"/>
              </w:rPr>
              <w:t>2.2.4 打印报告前可以进行屏幕预览</w:t>
            </w:r>
          </w:p>
          <w:p>
            <w:pPr>
              <w:rPr>
                <w:color w:val="auto"/>
                <w:szCs w:val="21"/>
                <w:highlight w:val="none"/>
              </w:rPr>
            </w:pPr>
            <w:r>
              <w:rPr>
                <w:rFonts w:hint="eastAsia"/>
                <w:color w:val="auto"/>
                <w:szCs w:val="21"/>
                <w:highlight w:val="none"/>
              </w:rPr>
              <w:t>2.2.5 节律报告 1-12个导联任选，可最多同时打印6个选中导联</w:t>
            </w:r>
          </w:p>
          <w:p>
            <w:pPr>
              <w:rPr>
                <w:color w:val="auto"/>
                <w:szCs w:val="21"/>
                <w:highlight w:val="none"/>
              </w:rPr>
            </w:pPr>
            <w:r>
              <w:rPr>
                <w:rFonts w:hint="eastAsia"/>
                <w:color w:val="auto"/>
                <w:szCs w:val="21"/>
                <w:highlight w:val="none"/>
              </w:rPr>
              <w:t>2.2.6 内置高分辨率的数字阵列打印机，使用热敏打印纸</w:t>
            </w:r>
          </w:p>
          <w:p>
            <w:pPr>
              <w:rPr>
                <w:color w:val="auto"/>
                <w:szCs w:val="21"/>
                <w:highlight w:val="none"/>
              </w:rPr>
            </w:pPr>
            <w:r>
              <w:rPr>
                <w:rFonts w:hint="eastAsia"/>
                <w:color w:val="auto"/>
                <w:szCs w:val="21"/>
                <w:highlight w:val="none"/>
              </w:rPr>
              <w:t>2.2.7 屏幕帮助功能</w:t>
            </w:r>
          </w:p>
          <w:p>
            <w:pPr>
              <w:rPr>
                <w:color w:val="auto"/>
                <w:szCs w:val="21"/>
                <w:highlight w:val="none"/>
              </w:rPr>
            </w:pPr>
            <w:r>
              <w:rPr>
                <w:rFonts w:hint="eastAsia"/>
                <w:color w:val="auto"/>
                <w:szCs w:val="21"/>
                <w:highlight w:val="none"/>
              </w:rPr>
              <w:t>2.2.8支持通过USB接口直连打印机</w:t>
            </w:r>
          </w:p>
          <w:p>
            <w:pPr>
              <w:rPr>
                <w:color w:val="auto"/>
                <w:szCs w:val="21"/>
                <w:highlight w:val="none"/>
              </w:rPr>
            </w:pPr>
            <w:r>
              <w:rPr>
                <w:rFonts w:hint="eastAsia"/>
                <w:color w:val="auto"/>
                <w:szCs w:val="21"/>
                <w:highlight w:val="none"/>
              </w:rPr>
              <w:t>2.3  电池</w:t>
            </w:r>
          </w:p>
          <w:p>
            <w:pPr>
              <w:rPr>
                <w:color w:val="auto"/>
                <w:szCs w:val="21"/>
                <w:highlight w:val="none"/>
              </w:rPr>
            </w:pPr>
            <w:r>
              <w:rPr>
                <w:rFonts w:hint="eastAsia"/>
                <w:color w:val="auto"/>
                <w:szCs w:val="21"/>
                <w:highlight w:val="none"/>
              </w:rPr>
              <w:t>2.3.1  锂电池   1块电池 容量 支持≥300份 ECG报告或 120 分钟3导联节律打印，或10小时待机</w:t>
            </w:r>
          </w:p>
          <w:p>
            <w:pPr>
              <w:rPr>
                <w:color w:val="auto"/>
                <w:szCs w:val="21"/>
                <w:highlight w:val="none"/>
              </w:rPr>
            </w:pPr>
            <w:r>
              <w:rPr>
                <w:rFonts w:hint="eastAsia"/>
                <w:color w:val="auto"/>
                <w:szCs w:val="21"/>
                <w:highlight w:val="none"/>
              </w:rPr>
              <w:t>2.3.2 状态显示 全满电量 (mAHR)剩余电量 (%)温度（摄氏度）放电电流 (mA)充电电流 (mA)低电量声光报警</w:t>
            </w:r>
          </w:p>
          <w:p>
            <w:pPr>
              <w:rPr>
                <w:color w:val="auto"/>
                <w:szCs w:val="21"/>
                <w:highlight w:val="none"/>
              </w:rPr>
            </w:pPr>
            <w:r>
              <w:rPr>
                <w:rFonts w:hint="eastAsia"/>
                <w:color w:val="auto"/>
                <w:szCs w:val="21"/>
                <w:highlight w:val="none"/>
              </w:rPr>
              <w:t>2.4  心电图自动诊断功能</w:t>
            </w:r>
          </w:p>
          <w:p>
            <w:pPr>
              <w:rPr>
                <w:color w:val="auto"/>
                <w:szCs w:val="21"/>
                <w:highlight w:val="none"/>
              </w:rPr>
            </w:pPr>
            <w:r>
              <w:rPr>
                <w:rFonts w:hint="eastAsia"/>
                <w:color w:val="auto"/>
                <w:szCs w:val="21"/>
                <w:highlight w:val="none"/>
              </w:rPr>
              <w:t>2.4.1支持 12导联同步采集分析算法</w:t>
            </w:r>
          </w:p>
          <w:p>
            <w:pPr>
              <w:rPr>
                <w:color w:val="auto"/>
                <w:szCs w:val="21"/>
                <w:highlight w:val="none"/>
              </w:rPr>
            </w:pPr>
            <w:r>
              <w:rPr>
                <w:rFonts w:hint="eastAsia"/>
                <w:color w:val="auto"/>
                <w:szCs w:val="21"/>
                <w:highlight w:val="none"/>
              </w:rPr>
              <w:t xml:space="preserve">2.4.2 △诊断辅助工具： 在自动诊断报告里提示心肌梗死相关冠状动脉定位的分析（提供产品说明书、检测报告或者彩页相关证明文件或材料，不满足或不提供或提供的资料不清晰的视为负偏离。） </w:t>
            </w:r>
          </w:p>
          <w:p>
            <w:pPr>
              <w:rPr>
                <w:color w:val="auto"/>
                <w:szCs w:val="21"/>
                <w:highlight w:val="none"/>
              </w:rPr>
            </w:pPr>
            <w:r>
              <w:rPr>
                <w:rFonts w:hint="eastAsia"/>
                <w:color w:val="auto"/>
                <w:szCs w:val="21"/>
                <w:highlight w:val="none"/>
              </w:rPr>
              <w:t>2.4.3 △危急值提醒功能： 提示需要临床紧急处理的心脏病关键事件（提供产品说明书、检测报告或者彩页相关证明文件或材料，不满足或不提供或提供的资料不清晰的视为负偏离。）</w:t>
            </w:r>
          </w:p>
          <w:p>
            <w:pPr>
              <w:rPr>
                <w:color w:val="auto"/>
                <w:szCs w:val="21"/>
                <w:highlight w:val="none"/>
              </w:rPr>
            </w:pPr>
            <w:r>
              <w:rPr>
                <w:rFonts w:hint="eastAsia"/>
                <w:color w:val="auto"/>
                <w:szCs w:val="21"/>
                <w:highlight w:val="none"/>
              </w:rPr>
              <w:t xml:space="preserve">2.4.4 △性别特异性分析：具备根据患者性别的特异性分析（提供产品说明书、检测报告或者彩页相关证明文件或材料，不满足或不提供或提供的资料不清晰的视为负偏离。） </w:t>
            </w:r>
          </w:p>
          <w:p>
            <w:pPr>
              <w:rPr>
                <w:color w:val="auto"/>
                <w:szCs w:val="21"/>
                <w:highlight w:val="none"/>
              </w:rPr>
            </w:pPr>
            <w:r>
              <w:rPr>
                <w:rFonts w:hint="eastAsia"/>
                <w:color w:val="auto"/>
                <w:szCs w:val="21"/>
                <w:highlight w:val="none"/>
              </w:rPr>
              <w:t>2.4.5 △年龄特异性分析：自动算法支持不同年龄段的特异性分析 （提供产品说明书、检测报告或者彩页相关证明文件或材料，不满足或不提供或提供的资料不清晰的视为负偏离。）</w:t>
            </w:r>
          </w:p>
          <w:p>
            <w:pPr>
              <w:rPr>
                <w:color w:val="auto"/>
                <w:szCs w:val="21"/>
                <w:highlight w:val="none"/>
              </w:rPr>
            </w:pPr>
            <w:r>
              <w:rPr>
                <w:rFonts w:hint="eastAsia"/>
                <w:color w:val="auto"/>
                <w:szCs w:val="21"/>
                <w:highlight w:val="none"/>
              </w:rPr>
              <w:t>2.4.6 起搏器自动分析：具备起搏器脉冲信号检测和分析功能</w:t>
            </w:r>
          </w:p>
          <w:p>
            <w:pPr>
              <w:rPr>
                <w:color w:val="auto"/>
                <w:szCs w:val="21"/>
                <w:highlight w:val="none"/>
              </w:rPr>
            </w:pPr>
            <w:r>
              <w:rPr>
                <w:rFonts w:hint="eastAsia"/>
                <w:color w:val="auto"/>
                <w:szCs w:val="21"/>
                <w:highlight w:val="none"/>
              </w:rPr>
              <w:t>2.4.7△起搏器自动分析：支持双心室起搏脉冲信号的分析，并提供论文证明算法的准确性。（提供产品说明书、检测报告或者彩页相关证明文件或材料，不满足或不提供或提供的资料不清晰的视为负偏离。）</w:t>
            </w:r>
          </w:p>
          <w:p>
            <w:pPr>
              <w:rPr>
                <w:color w:val="auto"/>
                <w:szCs w:val="21"/>
                <w:highlight w:val="none"/>
              </w:rPr>
            </w:pPr>
            <w:r>
              <w:rPr>
                <w:rFonts w:hint="eastAsia"/>
                <w:color w:val="auto"/>
                <w:szCs w:val="21"/>
                <w:highlight w:val="none"/>
              </w:rPr>
              <w:t>2.4.8 △诊断辅助工具：支持在报告上直观显示心脏不同位置的 ST段变化的示意图（提供产品说明书、检测报告或者彩页相关证明文件或材料，不满足或不提供或提供的资料不清晰的视为负偏离。）</w:t>
            </w:r>
          </w:p>
          <w:p>
            <w:pPr>
              <w:rPr>
                <w:color w:val="auto"/>
                <w:szCs w:val="21"/>
                <w:highlight w:val="none"/>
              </w:rPr>
            </w:pPr>
            <w:r>
              <w:rPr>
                <w:rFonts w:hint="eastAsia"/>
                <w:color w:val="auto"/>
                <w:szCs w:val="21"/>
                <w:highlight w:val="none"/>
              </w:rPr>
              <w:t>2.4.9 △分析算法数据库：算法经过第三方独立大型数据库验证，提供不同种类异常节律分析的敏感性和特异性说明（提供产品说明书、检测报告或者彩页相关证明文件或材料，不满足或不提供或提供的资料不清晰的视为负偏离。）</w:t>
            </w:r>
          </w:p>
          <w:p>
            <w:pPr>
              <w:rPr>
                <w:color w:val="auto"/>
                <w:szCs w:val="21"/>
                <w:highlight w:val="none"/>
              </w:rPr>
            </w:pPr>
            <w:r>
              <w:rPr>
                <w:rFonts w:hint="eastAsia"/>
                <w:color w:val="auto"/>
                <w:szCs w:val="21"/>
                <w:highlight w:val="none"/>
              </w:rPr>
              <w:t>2.4.11 △可以提供相关的sci论文来证明自动诊断算法和技术的先进性（提供产品说明书、检测报告或者彩页相关证明文件或材料，不满足或不提供或提供的资料不清晰的视为负偏离。）</w:t>
            </w:r>
          </w:p>
          <w:p>
            <w:pPr>
              <w:rPr>
                <w:color w:val="auto"/>
                <w:szCs w:val="21"/>
                <w:highlight w:val="none"/>
              </w:rPr>
            </w:pPr>
            <w:r>
              <w:rPr>
                <w:rFonts w:hint="eastAsia"/>
                <w:color w:val="auto"/>
                <w:szCs w:val="21"/>
                <w:highlight w:val="none"/>
              </w:rPr>
              <w:t>2.4.12 每个导联的自动测量参数大于30种</w:t>
            </w:r>
          </w:p>
          <w:p>
            <w:pPr>
              <w:widowControl/>
              <w:jc w:val="left"/>
              <w:textAlignment w:val="center"/>
              <w:rPr>
                <w:color w:val="auto"/>
                <w:szCs w:val="21"/>
                <w:highlight w:val="none"/>
              </w:rPr>
            </w:pPr>
            <w:r>
              <w:rPr>
                <w:rFonts w:hint="eastAsia"/>
                <w:color w:val="auto"/>
                <w:szCs w:val="21"/>
                <w:highlight w:val="none"/>
              </w:rPr>
              <w:t>2.4.13 △支持QTc值≥3种算法（提供产品说明书、检测报告或者彩页相关证明文件或材料，不满足或不提供或提供的资料不清晰的视为负偏离。）</w:t>
            </w:r>
          </w:p>
          <w:p>
            <w:pPr>
              <w:widowControl/>
              <w:jc w:val="left"/>
              <w:textAlignment w:val="center"/>
              <w:rPr>
                <w:rFonts w:eastAsia="仿宋"/>
                <w:color w:val="auto"/>
                <w:szCs w:val="21"/>
                <w:highlight w:val="none"/>
              </w:rPr>
            </w:pPr>
            <w:r>
              <w:rPr>
                <w:rFonts w:hint="eastAsia"/>
                <w:color w:val="auto"/>
                <w:szCs w:val="21"/>
                <w:highlight w:val="none"/>
              </w:rPr>
              <w:t>2.5、</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报价人必须取得本设备的原厂制造商出具给报价人的本项目的授权书，授权书必须加盖授权厂公章。</w:t>
            </w:r>
          </w:p>
        </w:tc>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widowControl/>
              <w:jc w:val="center"/>
              <w:rPr>
                <w:rFonts w:hint="eastAsia" w:ascii="仿宋" w:hAnsi="仿宋" w:eastAsia="仿宋" w:cs="仿宋"/>
                <w:color w:val="auto"/>
                <w:sz w:val="21"/>
                <w:szCs w:val="21"/>
                <w:highlight w:val="none"/>
              </w:rPr>
            </w:pPr>
            <w:r>
              <w:rPr>
                <w:rFonts w:hint="eastAsia" w:ascii="宋体" w:hAnsi="宋体" w:cs="宋体"/>
                <w:color w:val="auto"/>
                <w:sz w:val="21"/>
                <w:szCs w:val="21"/>
                <w:highlight w:val="none"/>
              </w:rPr>
              <w:t xml:space="preserve">2.20 </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highlight w:val="none"/>
              </w:rPr>
            </w:pPr>
            <w:r>
              <w:rPr>
                <w:rFonts w:hint="eastAsia"/>
                <w:color w:val="auto"/>
                <w:szCs w:val="21"/>
                <w:highlight w:val="none"/>
              </w:rPr>
              <w:t>电动吸引器</w:t>
            </w:r>
          </w:p>
        </w:tc>
        <w:tc>
          <w:tcPr>
            <w:tcW w:w="5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szCs w:val="21"/>
                <w:highlight w:val="none"/>
              </w:rPr>
            </w:pPr>
            <w:r>
              <w:rPr>
                <w:rFonts w:hint="eastAsia"/>
                <w:color w:val="auto"/>
                <w:szCs w:val="21"/>
                <w:highlight w:val="none"/>
              </w:rPr>
              <w:t xml:space="preserve">用途：用于呼吸道被分泌物、呕吐物阻塞而出现各种呼吸困难症 状以及各种原因不能有效咳嗽的病人，以及气管插管及气管切开的病人。 </w:t>
            </w:r>
          </w:p>
          <w:p>
            <w:pPr>
              <w:widowControl/>
              <w:jc w:val="left"/>
              <w:textAlignment w:val="center"/>
              <w:rPr>
                <w:color w:val="auto"/>
                <w:szCs w:val="21"/>
                <w:highlight w:val="none"/>
              </w:rPr>
            </w:pPr>
            <w:r>
              <w:rPr>
                <w:rFonts w:hint="eastAsia"/>
                <w:color w:val="auto"/>
                <w:szCs w:val="21"/>
                <w:highlight w:val="none"/>
              </w:rPr>
              <w:t>2. 详细技术参数：</w:t>
            </w:r>
          </w:p>
          <w:p>
            <w:pPr>
              <w:widowControl/>
              <w:jc w:val="left"/>
              <w:textAlignment w:val="center"/>
              <w:rPr>
                <w:color w:val="auto"/>
                <w:szCs w:val="21"/>
                <w:highlight w:val="none"/>
              </w:rPr>
            </w:pPr>
            <w:r>
              <w:rPr>
                <w:rFonts w:hint="eastAsia"/>
                <w:color w:val="auto"/>
                <w:szCs w:val="21"/>
                <w:highlight w:val="none"/>
              </w:rPr>
              <w:t>2.1负压表范围：0-760mmHg，负压调节器与负压表合二为一负压值可调节范围：0-550mmHg</w:t>
            </w:r>
          </w:p>
          <w:p>
            <w:pPr>
              <w:widowControl/>
              <w:jc w:val="left"/>
              <w:textAlignment w:val="center"/>
              <w:rPr>
                <w:color w:val="auto"/>
                <w:szCs w:val="21"/>
                <w:highlight w:val="none"/>
              </w:rPr>
            </w:pPr>
            <w:r>
              <w:rPr>
                <w:rFonts w:hint="eastAsia"/>
                <w:color w:val="auto"/>
                <w:szCs w:val="21"/>
                <w:highlight w:val="none"/>
              </w:rPr>
              <w:t>2.2负压调节方式：连续调节</w:t>
            </w:r>
          </w:p>
          <w:p>
            <w:pPr>
              <w:widowControl/>
              <w:jc w:val="left"/>
              <w:textAlignment w:val="center"/>
              <w:rPr>
                <w:color w:val="auto"/>
                <w:szCs w:val="21"/>
                <w:highlight w:val="none"/>
              </w:rPr>
            </w:pPr>
            <w:r>
              <w:rPr>
                <w:rFonts w:hint="eastAsia"/>
                <w:color w:val="auto"/>
                <w:szCs w:val="21"/>
                <w:highlight w:val="none"/>
              </w:rPr>
              <w:t>2.3重复使用收集罐容积：≥800ml</w:t>
            </w:r>
          </w:p>
          <w:p>
            <w:pPr>
              <w:widowControl/>
              <w:jc w:val="left"/>
              <w:textAlignment w:val="center"/>
              <w:rPr>
                <w:color w:val="auto"/>
                <w:szCs w:val="21"/>
                <w:highlight w:val="none"/>
              </w:rPr>
            </w:pPr>
            <w:r>
              <w:rPr>
                <w:rFonts w:hint="eastAsia"/>
                <w:color w:val="auto"/>
                <w:szCs w:val="21"/>
                <w:highlight w:val="none"/>
              </w:rPr>
              <w:t>2.4密闭便携包，可便携包外操作</w:t>
            </w:r>
          </w:p>
          <w:p>
            <w:pPr>
              <w:widowControl/>
              <w:jc w:val="left"/>
              <w:textAlignment w:val="center"/>
              <w:rPr>
                <w:color w:val="auto"/>
                <w:szCs w:val="21"/>
                <w:highlight w:val="none"/>
              </w:rPr>
            </w:pPr>
            <w:r>
              <w:rPr>
                <w:rFonts w:hint="eastAsia"/>
                <w:color w:val="auto"/>
                <w:szCs w:val="21"/>
                <w:highlight w:val="none"/>
              </w:rPr>
              <w:t>2.5蓄电池连续工作时间：≥50min</w:t>
            </w:r>
          </w:p>
          <w:p>
            <w:pPr>
              <w:widowControl/>
              <w:jc w:val="left"/>
              <w:textAlignment w:val="center"/>
              <w:rPr>
                <w:color w:val="auto"/>
                <w:szCs w:val="21"/>
                <w:highlight w:val="none"/>
              </w:rPr>
            </w:pPr>
            <w:r>
              <w:rPr>
                <w:rFonts w:hint="eastAsia"/>
                <w:color w:val="auto"/>
                <w:szCs w:val="21"/>
                <w:highlight w:val="none"/>
              </w:rPr>
              <w:t>2.6工作电压：DC12/AC100-240V；502.7电机功率：30W（Max），抽吸流量：≥25L/min/60Hz</w:t>
            </w:r>
          </w:p>
          <w:p>
            <w:pPr>
              <w:widowControl/>
              <w:jc w:val="left"/>
              <w:textAlignment w:val="center"/>
              <w:rPr>
                <w:color w:val="auto"/>
                <w:szCs w:val="21"/>
                <w:highlight w:val="none"/>
              </w:rPr>
            </w:pPr>
            <w:r>
              <w:rPr>
                <w:rFonts w:hint="eastAsia"/>
                <w:color w:val="auto"/>
                <w:szCs w:val="21"/>
                <w:highlight w:val="none"/>
              </w:rPr>
              <w:t>2.8噪音：≤55dB</w:t>
            </w:r>
          </w:p>
          <w:p>
            <w:pPr>
              <w:widowControl/>
              <w:jc w:val="left"/>
              <w:textAlignment w:val="center"/>
              <w:rPr>
                <w:color w:val="auto"/>
                <w:szCs w:val="21"/>
                <w:highlight w:val="none"/>
              </w:rPr>
            </w:pPr>
            <w:r>
              <w:rPr>
                <w:rFonts w:hint="eastAsia"/>
                <w:color w:val="auto"/>
                <w:szCs w:val="21"/>
                <w:highlight w:val="none"/>
              </w:rPr>
              <w:t>2.9与电源连接时自动充电</w:t>
            </w:r>
          </w:p>
          <w:p>
            <w:pPr>
              <w:widowControl/>
              <w:jc w:val="left"/>
              <w:textAlignment w:val="center"/>
              <w:rPr>
                <w:color w:val="auto"/>
                <w:szCs w:val="21"/>
                <w:highlight w:val="none"/>
              </w:rPr>
            </w:pPr>
            <w:r>
              <w:rPr>
                <w:rFonts w:hint="eastAsia"/>
                <w:color w:val="auto"/>
                <w:szCs w:val="21"/>
                <w:highlight w:val="none"/>
              </w:rPr>
              <w:t>2.10重量：≤3.5kg</w:t>
            </w:r>
          </w:p>
        </w:tc>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r>
    </w:tbl>
    <w:p>
      <w:pPr>
        <w:spacing w:line="312"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（1）投标人需提供所投设备的检验报告或厂家印刷的设备参数说明书，未提供的将导致投标（响应）无效。</w:t>
      </w:r>
    </w:p>
    <w:p>
      <w:pPr>
        <w:spacing w:line="312"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（2）打“</w:t>
      </w:r>
      <w:r>
        <w:rPr>
          <w:rFonts w:hint="eastAsia" w:ascii="宋体" w:hAnsi="宋体" w:cs="宋体"/>
          <w:color w:val="auto"/>
          <w:kern w:val="0"/>
          <w:szCs w:val="21"/>
          <w:highlight w:val="none"/>
        </w:rPr>
        <w:t>*</w:t>
      </w:r>
      <w:r>
        <w:rPr>
          <w:rFonts w:hint="eastAsia" w:ascii="宋体" w:hAnsi="宋体" w:cs="宋体"/>
          <w:color w:val="auto"/>
          <w:szCs w:val="21"/>
          <w:highlight w:val="none"/>
        </w:rPr>
        <w:t>”号条款为实质性条款，若有任何一条负偏离或不满足则</w:t>
      </w:r>
      <w:bookmarkStart w:id="7" w:name="OLE_LINK5"/>
      <w:r>
        <w:rPr>
          <w:rFonts w:hint="eastAsia" w:ascii="宋体" w:hAnsi="宋体" w:cs="宋体"/>
          <w:color w:val="auto"/>
          <w:szCs w:val="21"/>
          <w:highlight w:val="none"/>
        </w:rPr>
        <w:t>导致投标（响应）无效。</w:t>
      </w:r>
      <w:bookmarkEnd w:id="7"/>
      <w:r>
        <w:rPr>
          <w:rFonts w:hint="eastAsia" w:ascii="宋体" w:hAnsi="宋体" w:cs="宋体"/>
          <w:color w:val="auto"/>
          <w:szCs w:val="21"/>
          <w:highlight w:val="none"/>
        </w:rPr>
        <w:t xml:space="preserve"> 打“</w:t>
      </w:r>
      <w:r>
        <w:rPr>
          <w:rFonts w:hint="eastAsia"/>
          <w:color w:val="auto"/>
          <w:szCs w:val="21"/>
          <w:highlight w:val="none"/>
        </w:rPr>
        <w:t>△</w:t>
      </w:r>
      <w:r>
        <w:rPr>
          <w:rFonts w:hint="eastAsia" w:ascii="宋体" w:hAnsi="宋体" w:cs="宋体"/>
          <w:color w:val="auto"/>
          <w:szCs w:val="21"/>
          <w:highlight w:val="none"/>
        </w:rPr>
        <w:t>”号条款为重要参数（如有），若有部分“</w:t>
      </w:r>
      <w:r>
        <w:rPr>
          <w:rFonts w:hint="eastAsia"/>
          <w:color w:val="auto"/>
          <w:szCs w:val="21"/>
          <w:highlight w:val="none"/>
        </w:rPr>
        <w:t>△</w:t>
      </w:r>
      <w:r>
        <w:rPr>
          <w:rFonts w:hint="eastAsia" w:ascii="宋体" w:hAnsi="宋体" w:cs="宋体"/>
          <w:color w:val="auto"/>
          <w:szCs w:val="21"/>
          <w:highlight w:val="none"/>
        </w:rPr>
        <w:t>”条款未响应或不满足，将根据评审要求影响其得分，若招标文件中总数超过三条负偏离或不满足则导致投标（响应）无效。</w:t>
      </w:r>
    </w:p>
    <w:p>
      <w:pPr>
        <w:spacing w:line="312"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3）报价包括了设计与设计联络、货物及附件（含质保期内的备品备件）的制造、包装、运输、保险、税费（包括关税、增值税等上级政府及当地政府现行规定的应缴纳的各种税收和费用）以及现场卸货、搬运、验收、安装、售后服务、质保期保障等的全部费用，除此以外，采购人无需为上述约定的项目和货物再支付任何费用。</w:t>
      </w:r>
    </w:p>
    <w:p>
      <w:pPr>
        <w:widowControl/>
        <w:spacing w:line="312" w:lineRule="auto"/>
        <w:ind w:firstLine="422" w:firstLineChars="200"/>
        <w:rPr>
          <w:rFonts w:hint="eastAsia" w:ascii="宋体" w:hAnsi="宋体" w:cs="宋体"/>
          <w:color w:val="auto"/>
          <w:highlight w:val="none"/>
        </w:rPr>
      </w:pPr>
      <w:r>
        <w:rPr>
          <w:rFonts w:hint="eastAsia" w:ascii="宋体" w:hAnsi="宋体" w:cs="宋体"/>
          <w:b/>
          <w:bCs/>
          <w:color w:val="auto"/>
          <w:szCs w:val="21"/>
          <w:highlight w:val="none"/>
        </w:rPr>
        <w:t>【采购单位结合项目实际情况，可对以上项目内容进行调整</w:t>
      </w:r>
      <w:r>
        <w:rPr>
          <w:rFonts w:hint="eastAsia" w:ascii="宋体" w:hAnsi="宋体" w:cs="宋体"/>
          <w:b/>
          <w:bCs/>
          <w:color w:val="auto"/>
          <w:kern w:val="0"/>
          <w:szCs w:val="21"/>
          <w:highlight w:val="none"/>
        </w:rPr>
        <w:t>】</w:t>
      </w:r>
    </w:p>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w:t>
      </w:r>
      <w:r>
        <w:rPr>
          <w:rFonts w:hint="eastAsia" w:ascii="宋体" w:hAnsi="宋体" w:cs="宋体"/>
          <w:color w:val="auto"/>
          <w:szCs w:val="21"/>
          <w:highlight w:val="none"/>
        </w:rPr>
        <w:t>目限价：70.4元</w:t>
      </w:r>
      <w:r>
        <w:rPr>
          <w:rFonts w:hint="eastAsia" w:ascii="宋体" w:hAnsi="宋体" w:cs="宋体"/>
          <w:color w:val="auto"/>
          <w:szCs w:val="21"/>
          <w:highlight w:val="none"/>
        </w:rPr>
        <w:t>。</w:t>
      </w:r>
    </w:p>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4.资金来源：</w:t>
      </w:r>
    </w:p>
    <w:p>
      <w:pPr>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二、报价文件有效期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报价文件应在报价截止日起90天内有效，成交人的报价有效期延至合同验收之日。</w:t>
      </w:r>
    </w:p>
    <w:p>
      <w:pPr>
        <w:numPr>
          <w:ilvl w:val="0"/>
          <w:numId w:val="1"/>
        </w:numPr>
        <w:spacing w:line="312" w:lineRule="auto"/>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货物交货期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自签订合同</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个</w:t>
      </w:r>
      <w:r>
        <w:rPr>
          <w:rFonts w:hint="eastAsia" w:ascii="宋体" w:hAnsi="宋体" w:cs="宋体"/>
          <w:color w:val="auto"/>
          <w:szCs w:val="21"/>
          <w:highlight w:val="none"/>
        </w:rPr>
        <w:t>日历日。</w:t>
      </w:r>
    </w:p>
    <w:p>
      <w:pPr>
        <w:numPr>
          <w:ilvl w:val="0"/>
          <w:numId w:val="1"/>
        </w:numPr>
        <w:spacing w:line="312" w:lineRule="auto"/>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货物交货地点</w:t>
      </w:r>
    </w:p>
    <w:p>
      <w:pPr>
        <w:spacing w:line="360" w:lineRule="auto"/>
        <w:ind w:left="420"/>
        <w:rPr>
          <w:rFonts w:hint="eastAsia" w:ascii="宋体" w:hAnsi="宋体" w:cs="宋体"/>
          <w:color w:val="auto"/>
          <w:szCs w:val="21"/>
          <w:highlight w:val="none"/>
        </w:rPr>
      </w:pPr>
      <w:r>
        <w:rPr>
          <w:rFonts w:hint="eastAsia" w:ascii="宋体" w:hAnsi="宋体" w:cs="宋体"/>
          <w:color w:val="auto"/>
          <w:szCs w:val="21"/>
          <w:highlight w:val="none"/>
        </w:rPr>
        <w:t>送至广州白云国际机场南工作区急救中心指定地点落地卸货，办理相关交接手续。</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五、合格供应商资格条件（按采购文件要求进行承诺）：</w:t>
      </w:r>
    </w:p>
    <w:p>
      <w:pPr>
        <w:tabs>
          <w:tab w:val="left" w:pos="413"/>
        </w:tabs>
        <w:spacing w:line="312" w:lineRule="auto"/>
        <w:ind w:firstLine="420" w:firstLineChars="200"/>
        <w:rPr>
          <w:rFonts w:hint="eastAsia" w:ascii="宋体" w:hAnsi="宋体" w:cs="宋体"/>
          <w:color w:val="auto"/>
          <w:highlight w:val="none"/>
        </w:rPr>
      </w:pPr>
      <w:bookmarkStart w:id="8" w:name="OLE_LINK1"/>
      <w:r>
        <w:rPr>
          <w:rFonts w:hint="eastAsia" w:ascii="宋体" w:hAnsi="宋体" w:cs="宋体"/>
          <w:color w:val="auto"/>
          <w:kern w:val="0"/>
          <w:szCs w:val="21"/>
          <w:highlight w:val="none"/>
        </w:rPr>
        <w:t>*</w:t>
      </w:r>
      <w:bookmarkEnd w:id="8"/>
      <w:r>
        <w:rPr>
          <w:rFonts w:hint="eastAsia" w:ascii="宋体" w:hAnsi="宋体" w:cs="宋体"/>
          <w:color w:val="auto"/>
          <w:kern w:val="0"/>
          <w:szCs w:val="21"/>
          <w:highlight w:val="none"/>
        </w:rPr>
        <w:t>1．报价人具有在中华人民共和国境内注册的独立法人资格或为依法允许经营的事业单位（须提供有效的营业执照复印件或事业单位法人证书和组织机构代码证的复印件（加盖报价人公章）。</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*2.营业范围须包含医疗设施的制作、销售或与本项目相关的业务销售等相关业务。</w:t>
      </w:r>
      <w:r>
        <w:rPr>
          <w:rFonts w:hint="eastAsia" w:ascii="宋体" w:hAnsi="宋体" w:cs="宋体"/>
          <w:color w:val="auto"/>
          <w:kern w:val="0"/>
          <w:szCs w:val="21"/>
          <w:highlight w:val="none"/>
        </w:rPr>
        <w:t>报价人如为生产企业，所投产品为第二、三类医疗器械，提供《医疗器械生产许可证》；如为代理经销商，所投产品为第二类医疗器械，提供《第二类医疗器械经营备案凭证》，所投产品为第三类医疗器械，提供《医疗器械经营许可证》。</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rPr>
        <w:t>3.报价人必须取得呼吸机、除颤监护仪、心电图机的原厂制造商出具给报价人的本项目的授权书，授权书必须加盖授权厂公章。</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*4.报价人应对以下资格进行响应及提供承诺书：</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在最近三年内未发生重大产品质量问题情形（以相关行业主管部门的行政处罚决定或司法机关出局的有关法律文书为准。“最近三年”是指从报价截止时间之日起逆推三年，以相关行业主管部门、司法机关、仲裁机构出具的生效文件的落款时间起计算）。</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*4.2法定代表人（或负责人）为同一人或者存在控股、管理关系的不同单位，不得参加同一项目报价，否则全部取消资格。</w:t>
      </w:r>
    </w:p>
    <w:p>
      <w:pPr>
        <w:widowControl/>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*4.3不存在进入清算程序，或被宣告破产，或其他丧失履约能力的情形。</w:t>
      </w:r>
    </w:p>
    <w:p>
      <w:pPr>
        <w:widowControl/>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4.4不得被列入国家企业信用信息公示系统的经营异常名录或严重违法失信企业名单，以“国家企业信用信息公示系统”网站（www.gsxt.gov.cn）查询为准，报价人需从“国家企业信用信息公示系统”网站截图并加盖公章或电子签章（未按格式要求截图或截图信息不清晰将作不合格报价人处理）。</w:t>
      </w:r>
    </w:p>
    <w:p>
      <w:pPr>
        <w:widowControl/>
        <w:tabs>
          <w:tab w:val="left" w:pos="413"/>
        </w:tabs>
        <w:spacing w:line="312" w:lineRule="auto"/>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4.5不得被列为“严重失信名单”，以“信用中国”网站（www.creditchina.gov.cn）查询为准，供应商下载并提供信用信息报告，报告生成日期为采购方采购公告发布之日后，且必须文字清晰并加盖供应商公章、骑缝章。</w:t>
      </w:r>
    </w:p>
    <w:p>
      <w:pPr>
        <w:widowControl/>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*4.6被责令停产停业、暂扣或吊销许可证、暂扣或者吊销执照的（本项事实应当以根据《中华人民共和国行政处罚法》依法作出并已经生效的行政处罚决定为认定依据。）</w:t>
      </w:r>
    </w:p>
    <w:p>
      <w:pPr>
        <w:widowControl/>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*4.7报价人不得存在以下情形（提供承诺函）：</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4.7.1与采购方、采购方及其关联公司在本公告发布之日起前三年内发生各种诉讼和仲裁。</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4.7.2 报价人、法定代表人及项目负责人被列入广东省机场管理集团有限公司不予合作对象名单且在限制期内。</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4.7.3报价人、法定代表人及项目负责人存在国家、省市相关法律法规和行业有关规定不得参与采购活动的情形。</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4.7.4在最近三年内，报价人因腐败或欺诈行为而被政府或业主宣布取消投标资格。</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4.7.5存在其它失信情况的。  </w:t>
      </w:r>
    </w:p>
    <w:p>
      <w:pPr>
        <w:widowControl/>
        <w:spacing w:before="150" w:after="150" w:line="312" w:lineRule="auto"/>
        <w:ind w:firstLine="420" w:firstLineChars="200"/>
        <w:jc w:val="left"/>
        <w:rPr>
          <w:rFonts w:hint="eastAsia" w:ascii="宋体" w:hAnsi="宋体" w:cs="宋体"/>
          <w:bCs/>
          <w:color w:val="auto"/>
          <w:szCs w:val="21"/>
          <w:highlight w:val="none"/>
        </w:rPr>
      </w:pPr>
      <w:r>
        <w:rPr>
          <w:rFonts w:hint="eastAsia" w:ascii="宋体" w:hAnsi="宋体" w:cs="宋体"/>
          <w:color w:val="auto"/>
          <w:kern w:val="0"/>
          <w:szCs w:val="21"/>
          <w:highlight w:val="none"/>
        </w:rPr>
        <w:t>*</w:t>
      </w:r>
      <w:r>
        <w:rPr>
          <w:rFonts w:hint="eastAsia" w:ascii="宋体" w:hAnsi="宋体" w:cs="宋体"/>
          <w:bCs/>
          <w:color w:val="auto"/>
          <w:kern w:val="0"/>
          <w:szCs w:val="21"/>
          <w:highlight w:val="none"/>
          <w:lang w:bidi="ar"/>
        </w:rPr>
        <w:t>4.8报价人应对采购方以下“供应商不诚信行为”的确定条件进行响应，提供承诺函：</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.1参与本项目的报价人，有下列情形之一的，将被列入采购方不予合作对象名单：</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 xml:space="preserve">.1.1通过向采购方提供不正当利益谋取成交； </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.1.2借用他人名称、资质进行挂靠，或者将自己的名称、资质借给他人挂靠进行报价，或以其他方式弄虚作假，骗取成交；</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 xml:space="preserve">.1.3采取不正当手段诋毁、排挤其他合作对象； </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 xml:space="preserve">.1.4在采购过程与采购方相关工作人员私下进行协商谈判，损害采购方或其他报价人利益； </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.1.5针对资格审查文件、采购文件或者在资格预审公示或成交候选人公示期间，故意捏造事实、伪造证明材料，恶意进行质疑，影响采购工作顺利推进；</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.1.6存在围标串标行为；</w:t>
      </w:r>
      <w:r>
        <w:rPr>
          <w:rFonts w:hint="eastAsia" w:ascii="宋体" w:hAnsi="宋体" w:cs="宋体"/>
          <w:color w:val="auto"/>
          <w:kern w:val="0"/>
          <w:szCs w:val="21"/>
          <w:highlight w:val="none"/>
        </w:rPr>
        <w:tab/>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.1.7采购方成交通知书发出后，报价人拒绝签订合同（因不可抗力原因不能履行合同的除外）；</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.1.8自采购公告发布之日起前三年内与采购方以及关联公司发生诉讼或仲裁的报价人；</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.1.9发生向采购方及其关联公司的有关工作人员行贿情形；</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color w:val="auto"/>
          <w:kern w:val="0"/>
          <w:szCs w:val="21"/>
          <w:highlight w:val="none"/>
        </w:rPr>
        <w:t>——异议主体不是报价人或其他利害关系人；</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color w:val="auto"/>
          <w:kern w:val="0"/>
          <w:szCs w:val="21"/>
          <w:highlight w:val="none"/>
        </w:rPr>
        <w:t>——报价人是法人的，异议书必须由其法定代表人或者授权代表签字并盖章；其他组织或者自然人投诉的，异议书必须由其主要负责人或者投诉人本人签字，并附有效身份证明复印件；</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color w:val="auto"/>
          <w:kern w:val="0"/>
          <w:szCs w:val="21"/>
          <w:highlight w:val="none"/>
        </w:rPr>
        <w:t>——异议人未提供必要的证明材料和明确的要求；</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color w:val="auto"/>
          <w:kern w:val="0"/>
          <w:szCs w:val="21"/>
          <w:highlight w:val="none"/>
        </w:rPr>
        <w:t>——异议人捏造事实、伪造材料或者以非法手段取得证明材料进行异议的，证据来源的合法性存在明显疑问，异议人无法证明其取得方式合法的，视为以非法手段取得证明材料；</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color w:val="auto"/>
          <w:kern w:val="0"/>
          <w:szCs w:val="21"/>
          <w:highlight w:val="none"/>
        </w:rPr>
        <w:t>——其他属无效异议的情形。</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 xml:space="preserve">.2成交报价人在合同履行，项目实施、运行阶段，有下列情形之一的，列入不予合作对象名单： </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.2.1不按采购文件要求，报价文件承诺的条件与采购方签订合同，或在合同签订中存在欺诈情形，违反采购文件规定，对采购方或关联公司不利；</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.2.2违反合同约定，将承揽项目转包或违法分包给他人；</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.2.3因成交报价人责任原因连续发生不安全事件、事故或造成恶劣不良影响；</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.2.4使用的设备、材料以次充好或提供与合同不符的假冒伪劣产品等降低质量情形或造成不良影响；</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.2.5因环保、噪音问题造成社会恶劣影响；</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.2.6拖欠农民工工资，造成恶劣影响的，或发生上访维稳事件，或导致采购方或关联公司垫付农民工工资；</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.2.7虚报工程量或设备、材料结算量，拒不接受第三方咨询单位按合同约定审定的工程造价，设备、材料数量，造成工程延误、设备材料到货期延误、结算滞后；</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.2.8拒绝履行合同主要条款，造成合同无法正常履约；</w:t>
      </w:r>
    </w:p>
    <w:p>
      <w:pPr>
        <w:widowControl/>
        <w:spacing w:line="360" w:lineRule="auto"/>
        <w:ind w:firstLine="627"/>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.2.9因严重违约被采购方依法单方解除合同；</w:t>
      </w:r>
    </w:p>
    <w:p>
      <w:pPr>
        <w:widowControl/>
        <w:spacing w:line="360" w:lineRule="auto"/>
        <w:ind w:firstLine="630" w:firstLineChars="300"/>
        <w:rPr>
          <w:rFonts w:hint="eastAsia" w:ascii="宋体" w:hAnsi="宋体" w:cs="宋体"/>
          <w:color w:val="auto"/>
          <w:highlight w:val="none"/>
        </w:rPr>
      </w:pPr>
      <w:r>
        <w:rPr>
          <w:rFonts w:hint="eastAsia" w:ascii="宋体" w:hAnsi="宋体" w:cs="宋体"/>
          <w:bCs/>
          <w:color w:val="auto"/>
          <w:kern w:val="0"/>
          <w:szCs w:val="21"/>
          <w:highlight w:val="none"/>
          <w:lang w:bidi="ar"/>
        </w:rPr>
        <w:t>4.8</w:t>
      </w:r>
      <w:r>
        <w:rPr>
          <w:rFonts w:hint="eastAsia" w:ascii="宋体" w:hAnsi="宋体" w:cs="宋体"/>
          <w:color w:val="auto"/>
          <w:kern w:val="0"/>
          <w:szCs w:val="21"/>
          <w:highlight w:val="none"/>
        </w:rPr>
        <w:t>.2.10存在向采购方或关联公司相关工作人员行贿等不廉洁情形。</w:t>
      </w:r>
    </w:p>
    <w:p>
      <w:pPr>
        <w:widowControl/>
        <w:spacing w:line="360" w:lineRule="auto"/>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4.9交货期符合采购公告要求。</w:t>
      </w:r>
    </w:p>
    <w:p>
      <w:pPr>
        <w:pStyle w:val="114"/>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Cs w:val="24"/>
          <w:highlight w:val="none"/>
        </w:rPr>
        <w:t>4.10按采购文件全部要求提供承诺书/承诺函、证明资料。</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六、申请材料递交方式</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在广东省机场管理集团有限公司一体化数字交易系统（以下简称“一体化系统”，网址：wz.gdairport.com）进行全流程网上竞价（建议使用“QQ（http://browser.qq.com/）、搜狗（https://ie.sogou.com/）”浏览器）。参与竞价的报价人须在参与竞价项目前，前往一体化系统进行注册（注册时须在一体化系统上传原件扫描件，或加盖单位公章的营业执照以及银行基本账户开户许可证或基本存款账户信息扫描件），操作步骤详见一体化系统门户“供应商管理”中“帮助中心”的平台注册指引。</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申请材料递交方式：报价人成功注册一体化系统后，登录系统点击首页的“可参与项目”；在“搜索框”处输入项目编号或项目名称进行查找，在列表中选择需要参与的项目，点击“加入我的项目”；点击“我的项目”，在列表中选择相应的项目，点击“申请材料递交”。</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*3.资格审查资料提交和截止时间为：2025年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时至2025年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时（申请材料递交截止时间以系统服务器时间为准）。</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若因项目需要，采购方须延长资格审查时间的，采购方将在一体化系统门户以发布更正公告的方式公开通知报价人后适当延长资格审查时间。报价人应及时登陆交易平台查看项目“变更记录”（项目资格审查时间延期情况），因报价人</w:t>
      </w:r>
      <w:r>
        <w:rPr>
          <w:rFonts w:hint="eastAsia" w:ascii="宋体" w:hAnsi="宋体" w:cs="宋体"/>
          <w:color w:val="auto"/>
          <w:szCs w:val="21"/>
          <w:highlight w:val="none"/>
        </w:rPr>
        <w:t xml:space="preserve">原因导致参与项目报价失败的一切后果，由报价人自行承担。  </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七、采购文件获取方式</w:t>
      </w:r>
    </w:p>
    <w:p>
      <w:pPr>
        <w:tabs>
          <w:tab w:val="left" w:pos="413"/>
        </w:tabs>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步骤：</w:t>
      </w:r>
    </w:p>
    <w:p>
      <w:pPr>
        <w:tabs>
          <w:tab w:val="left" w:pos="413"/>
        </w:tabs>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1.首先在一体化系统完成注册以及注册审批手续；</w:t>
      </w:r>
    </w:p>
    <w:p>
      <w:pPr>
        <w:tabs>
          <w:tab w:val="left" w:pos="413"/>
        </w:tabs>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2.在上一步操作完成后，按照以下第4点所述方式获取采购文件；</w:t>
      </w:r>
    </w:p>
    <w:p>
      <w:pPr>
        <w:tabs>
          <w:tab w:val="left" w:pos="413"/>
        </w:tabs>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3.采购文件获取开始及结束时间：2025年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28</w:t>
      </w:r>
      <w:r>
        <w:rPr>
          <w:rFonts w:hint="eastAsia" w:ascii="宋体" w:hAnsi="宋体" w:cs="宋体"/>
          <w:color w:val="auto"/>
          <w:highlight w:val="none"/>
        </w:rPr>
        <w:t>日上午</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至 2025年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日下午</w:t>
      </w:r>
      <w:r>
        <w:rPr>
          <w:rFonts w:hint="eastAsia" w:ascii="宋体" w:hAnsi="宋体" w:cs="宋体"/>
          <w:color w:val="auto"/>
          <w:highlight w:val="none"/>
          <w:lang w:val="en-US" w:eastAsia="zh-CN"/>
        </w:rPr>
        <w:t>17</w:t>
      </w:r>
      <w:r>
        <w:rPr>
          <w:rFonts w:hint="eastAsia" w:ascii="宋体" w:hAnsi="宋体" w:cs="宋体"/>
          <w:color w:val="auto"/>
          <w:highlight w:val="none"/>
        </w:rPr>
        <w:t>:00</w:t>
      </w:r>
      <w:r>
        <w:rPr>
          <w:rFonts w:hint="eastAsia" w:ascii="宋体" w:hAnsi="宋体" w:cs="宋体"/>
          <w:color w:val="auto"/>
          <w:szCs w:val="21"/>
          <w:highlight w:val="none"/>
        </w:rPr>
        <w:t>；</w:t>
      </w:r>
    </w:p>
    <w:p>
      <w:pPr>
        <w:tabs>
          <w:tab w:val="left" w:pos="413"/>
        </w:tabs>
        <w:spacing w:line="312" w:lineRule="auto"/>
        <w:ind w:firstLine="420" w:firstLineChars="200"/>
        <w:rPr>
          <w:rFonts w:hint="eastAsia" w:ascii="宋体" w:hAnsi="宋体" w:cs="宋体"/>
          <w:color w:val="auto"/>
          <w:highlight w:val="none"/>
        </w:rPr>
      </w:pPr>
      <w:r>
        <w:rPr>
          <w:rFonts w:hint="eastAsia" w:ascii="宋体" w:hAnsi="宋体" w:cs="宋体"/>
          <w:color w:val="auto"/>
          <w:highlight w:val="none"/>
        </w:rPr>
        <w:t>4.采购文件获取方式：</w:t>
      </w:r>
    </w:p>
    <w:p>
      <w:pPr>
        <w:tabs>
          <w:tab w:val="left" w:pos="413"/>
        </w:tabs>
        <w:spacing w:line="312" w:lineRule="auto"/>
        <w:ind w:firstLine="420" w:firstLineChars="200"/>
        <w:rPr>
          <w:color w:val="auto"/>
          <w:highlight w:val="none"/>
        </w:rPr>
      </w:pPr>
      <w:r>
        <w:rPr>
          <w:rFonts w:hint="eastAsia" w:ascii="宋体" w:hAnsi="宋体" w:cs="宋体"/>
          <w:color w:val="auto"/>
          <w:highlight w:val="none"/>
        </w:rPr>
        <w:t>4.1报价人按照采购公告第六项“申请材料递交方式”在本项</w:t>
      </w:r>
      <w:r>
        <w:rPr>
          <w:rFonts w:hint="eastAsia"/>
          <w:color w:val="auto"/>
          <w:highlight w:val="none"/>
        </w:rPr>
        <w:t>目已递交资格审查材料并通过资格审查；</w:t>
      </w:r>
    </w:p>
    <w:p>
      <w:pPr>
        <w:tabs>
          <w:tab w:val="left" w:pos="413"/>
        </w:tabs>
        <w:spacing w:line="312" w:lineRule="auto"/>
        <w:ind w:firstLine="420" w:firstLineChars="200"/>
        <w:rPr>
          <w:color w:val="auto"/>
          <w:highlight w:val="none"/>
        </w:rPr>
      </w:pPr>
      <w:r>
        <w:rPr>
          <w:rFonts w:hint="eastAsia"/>
          <w:color w:val="auto"/>
          <w:highlight w:val="none"/>
        </w:rPr>
        <w:t>4.2</w:t>
      </w:r>
      <w:r>
        <w:rPr>
          <w:color w:val="auto"/>
          <w:highlight w:val="none"/>
        </w:rPr>
        <w:t>登陆</w:t>
      </w:r>
      <w:r>
        <w:rPr>
          <w:rFonts w:hint="eastAsia"/>
          <w:color w:val="auto"/>
          <w:highlight w:val="none"/>
        </w:rPr>
        <w:t>一体化系统，在首页</w:t>
      </w:r>
      <w:r>
        <w:rPr>
          <w:color w:val="auto"/>
          <w:highlight w:val="none"/>
        </w:rPr>
        <w:t>“</w:t>
      </w:r>
      <w:r>
        <w:rPr>
          <w:rFonts w:hint="eastAsia"/>
          <w:color w:val="auto"/>
          <w:highlight w:val="none"/>
        </w:rPr>
        <w:t>我的项目</w:t>
      </w:r>
      <w:r>
        <w:rPr>
          <w:color w:val="auto"/>
          <w:highlight w:val="none"/>
        </w:rPr>
        <w:t>”</w:t>
      </w:r>
      <w:r>
        <w:rPr>
          <w:rFonts w:hint="eastAsia"/>
          <w:color w:val="auto"/>
          <w:highlight w:val="none"/>
        </w:rPr>
        <w:t>中</w:t>
      </w:r>
      <w:r>
        <w:rPr>
          <w:color w:val="auto"/>
          <w:highlight w:val="none"/>
        </w:rPr>
        <w:t>选择对应项目并点击“</w:t>
      </w:r>
      <w:r>
        <w:rPr>
          <w:rFonts w:hint="eastAsia"/>
          <w:color w:val="auto"/>
          <w:highlight w:val="none"/>
        </w:rPr>
        <w:t>文件下载</w:t>
      </w:r>
      <w:r>
        <w:rPr>
          <w:color w:val="auto"/>
          <w:highlight w:val="none"/>
        </w:rPr>
        <w:t>”</w:t>
      </w:r>
      <w:r>
        <w:rPr>
          <w:rFonts w:hint="eastAsia"/>
          <w:color w:val="auto"/>
          <w:highlight w:val="none"/>
        </w:rPr>
        <w:t>（注意：申请材料递交时间结束，且申请材料审核通过后，方出现“文件下载”按键）；</w:t>
      </w:r>
    </w:p>
    <w:p>
      <w:pPr>
        <w:tabs>
          <w:tab w:val="left" w:pos="413"/>
        </w:tabs>
        <w:spacing w:line="312" w:lineRule="auto"/>
        <w:ind w:firstLine="422" w:firstLineChars="200"/>
        <w:rPr>
          <w:color w:val="auto"/>
          <w:highlight w:val="none"/>
        </w:rPr>
      </w:pPr>
      <w:r>
        <w:rPr>
          <w:rFonts w:hint="eastAsia"/>
          <w:b/>
          <w:bCs/>
          <w:color w:val="auto"/>
          <w:highlight w:val="none"/>
        </w:rPr>
        <w:t>报价</w:t>
      </w:r>
      <w:r>
        <w:rPr>
          <w:b/>
          <w:bCs/>
          <w:color w:val="auto"/>
          <w:highlight w:val="none"/>
        </w:rPr>
        <w:t>人请务必在</w:t>
      </w:r>
      <w:r>
        <w:rPr>
          <w:rFonts w:hint="eastAsia"/>
          <w:b/>
          <w:bCs/>
          <w:color w:val="auto"/>
          <w:highlight w:val="none"/>
        </w:rPr>
        <w:t>采购</w:t>
      </w:r>
      <w:r>
        <w:rPr>
          <w:b/>
          <w:bCs/>
          <w:color w:val="auto"/>
          <w:highlight w:val="none"/>
        </w:rPr>
        <w:t>文件</w:t>
      </w:r>
      <w:r>
        <w:rPr>
          <w:rFonts w:hint="eastAsia"/>
          <w:b/>
          <w:bCs/>
          <w:color w:val="auto"/>
          <w:highlight w:val="none"/>
        </w:rPr>
        <w:t>获取</w:t>
      </w:r>
      <w:r>
        <w:rPr>
          <w:b/>
          <w:bCs/>
          <w:color w:val="auto"/>
          <w:highlight w:val="none"/>
        </w:rPr>
        <w:t>截止时间前登录</w:t>
      </w:r>
      <w:r>
        <w:rPr>
          <w:rFonts w:hint="eastAsia"/>
          <w:b/>
          <w:bCs/>
          <w:color w:val="auto"/>
          <w:highlight w:val="none"/>
        </w:rPr>
        <w:t>一体化系统</w:t>
      </w:r>
      <w:r>
        <w:rPr>
          <w:b/>
          <w:bCs/>
          <w:color w:val="auto"/>
          <w:highlight w:val="none"/>
        </w:rPr>
        <w:t>，完成</w:t>
      </w:r>
      <w:r>
        <w:rPr>
          <w:rFonts w:hint="eastAsia"/>
          <w:b/>
          <w:bCs/>
          <w:color w:val="auto"/>
          <w:highlight w:val="none"/>
        </w:rPr>
        <w:t>“文件下载”</w:t>
      </w:r>
      <w:r>
        <w:rPr>
          <w:b/>
          <w:bCs/>
          <w:color w:val="auto"/>
          <w:highlight w:val="none"/>
        </w:rPr>
        <w:t>操作</w:t>
      </w:r>
      <w:r>
        <w:rPr>
          <w:rFonts w:hint="eastAsia"/>
          <w:b/>
          <w:bCs/>
          <w:color w:val="auto"/>
          <w:highlight w:val="none"/>
        </w:rPr>
        <w:t>，</w:t>
      </w:r>
      <w:r>
        <w:rPr>
          <w:b/>
          <w:bCs/>
          <w:color w:val="auto"/>
          <w:highlight w:val="none"/>
        </w:rPr>
        <w:t>否则将无法正常</w:t>
      </w:r>
      <w:r>
        <w:rPr>
          <w:rFonts w:hint="eastAsia"/>
          <w:b/>
          <w:bCs/>
          <w:color w:val="auto"/>
          <w:highlight w:val="none"/>
        </w:rPr>
        <w:t>报价</w:t>
      </w:r>
      <w:r>
        <w:rPr>
          <w:b/>
          <w:bCs/>
          <w:color w:val="auto"/>
          <w:highlight w:val="none"/>
        </w:rPr>
        <w:t>。</w:t>
      </w:r>
      <w:bookmarkStart w:id="54" w:name="_GoBack"/>
      <w:bookmarkEnd w:id="54"/>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八、竞价方式及竞价起始时间</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采用线上竞价的方式，报价人登录一体化系统，在首页“我的项目”中选择本项目，进入“项目工作台”-“竞价大厅”，进入竞价大厅参与竞价（竞价详细操作说明详见门户首页“供应商管理”-“帮助中心”的《平台操作手册》）。</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2.项目竞价起始时间为2025年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 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：00至2025年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：00（截止时间以系统服务器时间为准）。</w:t>
      </w:r>
    </w:p>
    <w:p>
      <w:pPr>
        <w:tabs>
          <w:tab w:val="left" w:pos="540"/>
        </w:tabs>
        <w:spacing w:line="360" w:lineRule="auto"/>
        <w:ind w:firstLine="422" w:firstLineChars="200"/>
        <w:rPr>
          <w:rFonts w:ascii="宋体"/>
          <w:b/>
          <w:bCs/>
          <w:color w:val="auto"/>
          <w:szCs w:val="21"/>
          <w:highlight w:val="none"/>
        </w:rPr>
      </w:pPr>
      <w:bookmarkStart w:id="9" w:name="_Toc381949166"/>
      <w:bookmarkEnd w:id="9"/>
      <w:r>
        <w:rPr>
          <w:rFonts w:hint="eastAsia" w:ascii="宋体"/>
          <w:b/>
          <w:bCs/>
          <w:color w:val="auto"/>
          <w:szCs w:val="21"/>
          <w:highlight w:val="none"/>
        </w:rPr>
        <w:t>八、有关联系事项：</w:t>
      </w:r>
    </w:p>
    <w:p>
      <w:pPr>
        <w:tabs>
          <w:tab w:val="left" w:pos="413"/>
        </w:tabs>
        <w:spacing w:line="312" w:lineRule="auto"/>
        <w:ind w:firstLine="420" w:firstLineChars="200"/>
        <w:rPr>
          <w:color w:val="auto"/>
          <w:highlight w:val="none"/>
        </w:rPr>
      </w:pPr>
      <w:r>
        <w:rPr>
          <w:rFonts w:hint="eastAsia"/>
          <w:color w:val="auto"/>
          <w:highlight w:val="none"/>
        </w:rPr>
        <w:t>采购项目方：广州白云国际机场股份有限公司消防救援支队</w:t>
      </w:r>
    </w:p>
    <w:p>
      <w:pPr>
        <w:tabs>
          <w:tab w:val="left" w:pos="413"/>
        </w:tabs>
        <w:spacing w:line="312" w:lineRule="auto"/>
        <w:ind w:firstLine="420" w:firstLineChars="200"/>
        <w:rPr>
          <w:color w:val="auto"/>
          <w:highlight w:val="none"/>
        </w:rPr>
      </w:pPr>
      <w:r>
        <w:rPr>
          <w:rFonts w:hint="eastAsia"/>
          <w:color w:val="auto"/>
          <w:highlight w:val="none"/>
        </w:rPr>
        <w:t>采购方联系人：汪先生</w:t>
      </w:r>
    </w:p>
    <w:p>
      <w:pPr>
        <w:tabs>
          <w:tab w:val="left" w:pos="413"/>
        </w:tabs>
        <w:spacing w:line="312" w:lineRule="auto"/>
        <w:ind w:firstLine="420" w:firstLineChars="200"/>
        <w:rPr>
          <w:color w:val="auto"/>
          <w:highlight w:val="none"/>
        </w:rPr>
      </w:pPr>
      <w:r>
        <w:rPr>
          <w:rFonts w:hint="eastAsia"/>
          <w:color w:val="auto"/>
          <w:highlight w:val="none"/>
        </w:rPr>
        <w:t>电话：020-36062526</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九、投诉监督方式  </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报价人可以对本次采购活动中的任何违规及不公平内容向广州白云国际机场股份有限公司消防救援支队进行投诉。  </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联系人：黄先生</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联系电话：020-36062552</w:t>
      </w:r>
    </w:p>
    <w:p>
      <w:pPr>
        <w:tabs>
          <w:tab w:val="left" w:pos="413"/>
        </w:tabs>
        <w:spacing w:line="312" w:lineRule="auto"/>
        <w:ind w:firstLine="420" w:firstLineChars="200"/>
        <w:jc w:val="left"/>
        <w:rPr>
          <w:color w:val="auto"/>
          <w:highlight w:val="none"/>
        </w:rPr>
      </w:pPr>
      <w:r>
        <w:rPr>
          <w:rFonts w:hint="eastAsia" w:ascii="宋体"/>
          <w:color w:val="auto"/>
          <w:szCs w:val="21"/>
          <w:highlight w:val="none"/>
        </w:rPr>
        <w:t>项目投诉相关事项详见广东省机场管理集团有限公司一体化数字交易系统采购项目首页“通知”栏。</w:t>
      </w:r>
    </w:p>
    <w:p>
      <w:pPr>
        <w:spacing w:line="360" w:lineRule="auto"/>
        <w:ind w:firstLine="422" w:firstLineChars="200"/>
        <w:jc w:val="left"/>
        <w:rPr>
          <w:rFonts w:ascii="宋体"/>
          <w:b/>
          <w:bCs/>
          <w:color w:val="auto"/>
          <w:szCs w:val="21"/>
          <w:highlight w:val="none"/>
        </w:rPr>
      </w:pPr>
      <w:r>
        <w:rPr>
          <w:rFonts w:hint="eastAsia" w:ascii="宋体"/>
          <w:b/>
          <w:bCs/>
          <w:color w:val="auto"/>
          <w:szCs w:val="21"/>
          <w:highlight w:val="none"/>
        </w:rPr>
        <w:t>十、本项目为广东省机场管理集团有限公司自管非招标类采购项目，其适用的采购规定为企业内部相关规定。</w:t>
      </w:r>
    </w:p>
    <w:p>
      <w:pPr>
        <w:spacing w:line="360" w:lineRule="auto"/>
        <w:ind w:left="420"/>
        <w:jc w:val="left"/>
        <w:rPr>
          <w:rFonts w:ascii="宋体"/>
          <w:b/>
          <w:bCs/>
          <w:color w:val="auto"/>
          <w:szCs w:val="21"/>
          <w:highlight w:val="none"/>
        </w:rPr>
      </w:pPr>
      <w:r>
        <w:rPr>
          <w:rFonts w:hint="eastAsia" w:ascii="宋体"/>
          <w:b/>
          <w:bCs/>
          <w:color w:val="auto"/>
          <w:szCs w:val="21"/>
          <w:highlight w:val="none"/>
        </w:rPr>
        <w:t>十一、其他事项</w:t>
      </w:r>
    </w:p>
    <w:p>
      <w:pPr>
        <w:widowControl/>
        <w:spacing w:line="360" w:lineRule="auto"/>
        <w:ind w:firstLine="420" w:firstLineChars="200"/>
        <w:jc w:val="left"/>
        <w:rPr>
          <w:color w:val="auto"/>
          <w:szCs w:val="24"/>
          <w:highlight w:val="none"/>
        </w:rPr>
      </w:pPr>
      <w:r>
        <w:rPr>
          <w:rFonts w:hint="eastAsia"/>
          <w:color w:val="auto"/>
          <w:szCs w:val="24"/>
          <w:highlight w:val="none"/>
        </w:rPr>
        <w:t>1.项目报价人对资格预审文件有异议的，应当在提交资格预审文件截止时间前提出；对采购文件有异议的，应当在项目递交报价资料截止时间前向采购人提出。</w:t>
      </w:r>
    </w:p>
    <w:p>
      <w:pPr>
        <w:widowControl/>
        <w:spacing w:line="360" w:lineRule="auto"/>
        <w:ind w:firstLine="420" w:firstLineChars="200"/>
        <w:jc w:val="left"/>
        <w:rPr>
          <w:color w:val="auto"/>
          <w:szCs w:val="24"/>
          <w:highlight w:val="none"/>
        </w:rPr>
      </w:pPr>
      <w:r>
        <w:rPr>
          <w:rFonts w:hint="eastAsia"/>
          <w:color w:val="auto"/>
          <w:szCs w:val="24"/>
          <w:highlight w:val="none"/>
        </w:rPr>
        <w:t>2.报价人对项目的成交结果有异议的，应当在采购结果公示期结束前提出。</w:t>
      </w:r>
    </w:p>
    <w:p>
      <w:pPr>
        <w:widowControl/>
        <w:spacing w:line="360" w:lineRule="auto"/>
        <w:ind w:firstLine="420" w:firstLineChars="200"/>
        <w:jc w:val="left"/>
        <w:rPr>
          <w:color w:val="auto"/>
          <w:szCs w:val="24"/>
          <w:highlight w:val="none"/>
        </w:rPr>
      </w:pPr>
      <w:r>
        <w:rPr>
          <w:rFonts w:hint="eastAsia"/>
          <w:color w:val="auto"/>
          <w:szCs w:val="24"/>
          <w:highlight w:val="none"/>
        </w:rPr>
        <w:t>3.异议人提出异议时，应当提交异议书。异议书应当包括下列内容：</w:t>
      </w:r>
    </w:p>
    <w:p>
      <w:pPr>
        <w:widowControl/>
        <w:spacing w:line="360" w:lineRule="auto"/>
        <w:ind w:firstLine="420" w:firstLineChars="200"/>
        <w:jc w:val="left"/>
        <w:rPr>
          <w:color w:val="auto"/>
          <w:szCs w:val="24"/>
          <w:highlight w:val="none"/>
        </w:rPr>
      </w:pPr>
      <w:r>
        <w:rPr>
          <w:rFonts w:hint="eastAsia"/>
          <w:color w:val="auto"/>
          <w:szCs w:val="24"/>
          <w:highlight w:val="none"/>
        </w:rPr>
        <w:t>3.1异议人的名称、地址及有效联系方式。</w:t>
      </w:r>
    </w:p>
    <w:p>
      <w:pPr>
        <w:widowControl/>
        <w:spacing w:line="360" w:lineRule="auto"/>
        <w:ind w:firstLine="420" w:firstLineChars="200"/>
        <w:jc w:val="left"/>
        <w:rPr>
          <w:color w:val="auto"/>
          <w:szCs w:val="24"/>
          <w:highlight w:val="none"/>
        </w:rPr>
      </w:pPr>
      <w:r>
        <w:rPr>
          <w:rFonts w:hint="eastAsia"/>
          <w:color w:val="auto"/>
          <w:szCs w:val="24"/>
          <w:highlight w:val="none"/>
        </w:rPr>
        <w:t>3.2被异议人的名称、地址及有效联系方式。</w:t>
      </w:r>
    </w:p>
    <w:p>
      <w:pPr>
        <w:widowControl/>
        <w:spacing w:line="360" w:lineRule="auto"/>
        <w:ind w:firstLine="420" w:firstLineChars="200"/>
        <w:jc w:val="left"/>
        <w:rPr>
          <w:color w:val="auto"/>
          <w:szCs w:val="24"/>
          <w:highlight w:val="none"/>
        </w:rPr>
      </w:pPr>
      <w:r>
        <w:rPr>
          <w:rFonts w:hint="eastAsia"/>
          <w:color w:val="auto"/>
          <w:szCs w:val="24"/>
          <w:highlight w:val="none"/>
        </w:rPr>
        <w:t>3.3.异议事项的基本事实。</w:t>
      </w:r>
    </w:p>
    <w:p>
      <w:pPr>
        <w:widowControl/>
        <w:spacing w:line="360" w:lineRule="auto"/>
        <w:ind w:firstLine="420" w:firstLineChars="200"/>
        <w:jc w:val="left"/>
        <w:rPr>
          <w:color w:val="auto"/>
          <w:szCs w:val="24"/>
          <w:highlight w:val="none"/>
        </w:rPr>
      </w:pPr>
      <w:r>
        <w:rPr>
          <w:rFonts w:hint="eastAsia"/>
          <w:color w:val="auto"/>
          <w:szCs w:val="24"/>
          <w:highlight w:val="none"/>
        </w:rPr>
        <w:t>3.4具体、明确的异议事项和与异议事项相关请求及主张。</w:t>
      </w:r>
    </w:p>
    <w:p>
      <w:pPr>
        <w:widowControl/>
        <w:spacing w:line="360" w:lineRule="auto"/>
        <w:ind w:firstLine="420" w:firstLineChars="200"/>
        <w:jc w:val="left"/>
        <w:rPr>
          <w:color w:val="auto"/>
          <w:szCs w:val="24"/>
          <w:highlight w:val="none"/>
        </w:rPr>
      </w:pPr>
      <w:r>
        <w:rPr>
          <w:rFonts w:hint="eastAsia"/>
          <w:color w:val="auto"/>
          <w:szCs w:val="24"/>
          <w:highlight w:val="none"/>
        </w:rPr>
        <w:t>3.5有效线索和相关证明材料。</w:t>
      </w:r>
    </w:p>
    <w:p>
      <w:pPr>
        <w:widowControl/>
        <w:spacing w:line="360" w:lineRule="auto"/>
        <w:ind w:firstLine="420" w:firstLineChars="200"/>
        <w:jc w:val="left"/>
        <w:rPr>
          <w:color w:val="auto"/>
          <w:szCs w:val="24"/>
          <w:highlight w:val="none"/>
        </w:rPr>
      </w:pPr>
      <w:r>
        <w:rPr>
          <w:rFonts w:hint="eastAsia"/>
          <w:color w:val="auto"/>
          <w:szCs w:val="24"/>
          <w:highlight w:val="none"/>
        </w:rPr>
        <w:t>异议人是法人的，异议书必须由其法定代表人或者授权代表签字并盖章，授权代表办理异议事务时，应将授权委托书连同异议书一并提交；其他组织或者自然人提出异议的，异议书必须由其主要负责人或者异议人本人签字，并附有效身份证明复印件。</w:t>
      </w:r>
    </w:p>
    <w:p>
      <w:pPr>
        <w:widowControl/>
        <w:spacing w:line="360" w:lineRule="auto"/>
        <w:ind w:firstLine="420" w:firstLineChars="200"/>
        <w:jc w:val="left"/>
        <w:rPr>
          <w:color w:val="auto"/>
          <w:szCs w:val="24"/>
          <w:highlight w:val="none"/>
        </w:rPr>
      </w:pPr>
      <w:r>
        <w:rPr>
          <w:rFonts w:hint="eastAsia"/>
          <w:color w:val="auto"/>
          <w:szCs w:val="24"/>
          <w:highlight w:val="none"/>
        </w:rPr>
        <w:t>4.有下列情形之一的异议，不予受理：</w:t>
      </w:r>
    </w:p>
    <w:p>
      <w:pPr>
        <w:widowControl/>
        <w:spacing w:line="360" w:lineRule="auto"/>
        <w:ind w:firstLine="420" w:firstLineChars="200"/>
        <w:jc w:val="left"/>
        <w:rPr>
          <w:color w:val="auto"/>
          <w:szCs w:val="24"/>
          <w:highlight w:val="none"/>
        </w:rPr>
      </w:pPr>
      <w:r>
        <w:rPr>
          <w:rFonts w:hint="eastAsia"/>
          <w:color w:val="auto"/>
          <w:szCs w:val="24"/>
          <w:highlight w:val="none"/>
        </w:rPr>
        <w:t>4.1非招标项目的异议人不是该异议项目活动的报价人或潜在报价人。</w:t>
      </w:r>
    </w:p>
    <w:p>
      <w:pPr>
        <w:widowControl/>
        <w:spacing w:line="360" w:lineRule="auto"/>
        <w:ind w:firstLine="420" w:firstLineChars="200"/>
        <w:jc w:val="left"/>
        <w:rPr>
          <w:color w:val="auto"/>
          <w:szCs w:val="24"/>
          <w:highlight w:val="none"/>
        </w:rPr>
      </w:pPr>
      <w:r>
        <w:rPr>
          <w:rFonts w:hint="eastAsia"/>
          <w:color w:val="auto"/>
          <w:szCs w:val="24"/>
          <w:highlight w:val="none"/>
        </w:rPr>
        <w:t>4.2异议事项不具体，且未提供有效线索，难以查证的。</w:t>
      </w:r>
    </w:p>
    <w:p>
      <w:pPr>
        <w:widowControl/>
        <w:spacing w:line="360" w:lineRule="auto"/>
        <w:ind w:firstLine="420" w:firstLineChars="200"/>
        <w:jc w:val="left"/>
        <w:rPr>
          <w:color w:val="auto"/>
          <w:szCs w:val="24"/>
          <w:highlight w:val="none"/>
        </w:rPr>
      </w:pPr>
      <w:r>
        <w:rPr>
          <w:rFonts w:hint="eastAsia"/>
          <w:color w:val="auto"/>
          <w:szCs w:val="24"/>
          <w:highlight w:val="none"/>
        </w:rPr>
        <w:t>4.2异议书未署具异议人真实姓名、签字和有效联系方式的；以法人名义提出异议的，异议书未经法定代表人签字并加盖公章的；授权代表办理异议事务时，未将授权委托书连同异议书一并提交的。</w:t>
      </w:r>
    </w:p>
    <w:p>
      <w:pPr>
        <w:widowControl/>
        <w:spacing w:line="360" w:lineRule="auto"/>
        <w:ind w:firstLine="420" w:firstLineChars="200"/>
        <w:jc w:val="left"/>
        <w:rPr>
          <w:color w:val="auto"/>
          <w:szCs w:val="24"/>
          <w:highlight w:val="none"/>
        </w:rPr>
      </w:pPr>
      <w:r>
        <w:rPr>
          <w:rFonts w:hint="eastAsia"/>
          <w:color w:val="auto"/>
          <w:szCs w:val="24"/>
          <w:highlight w:val="none"/>
        </w:rPr>
        <w:t>4.4超过异议时效的。</w:t>
      </w:r>
    </w:p>
    <w:p>
      <w:pPr>
        <w:widowControl/>
        <w:spacing w:line="360" w:lineRule="auto"/>
        <w:ind w:firstLine="420" w:firstLineChars="200"/>
        <w:jc w:val="left"/>
        <w:rPr>
          <w:color w:val="auto"/>
          <w:szCs w:val="24"/>
          <w:highlight w:val="none"/>
        </w:rPr>
      </w:pPr>
      <w:r>
        <w:rPr>
          <w:rFonts w:hint="eastAsia"/>
          <w:color w:val="auto"/>
          <w:szCs w:val="24"/>
          <w:highlight w:val="none"/>
        </w:rPr>
        <w:t>4.5已经作出处理决定，并且异议人没有提出新的证据的。</w:t>
      </w:r>
    </w:p>
    <w:p>
      <w:pPr>
        <w:widowControl/>
        <w:spacing w:line="360" w:lineRule="auto"/>
        <w:ind w:firstLine="420" w:firstLineChars="200"/>
        <w:jc w:val="left"/>
        <w:rPr>
          <w:color w:val="auto"/>
          <w:szCs w:val="24"/>
          <w:highlight w:val="none"/>
        </w:rPr>
      </w:pPr>
      <w:r>
        <w:rPr>
          <w:rFonts w:hint="eastAsia"/>
          <w:color w:val="auto"/>
          <w:szCs w:val="24"/>
          <w:highlight w:val="none"/>
        </w:rPr>
        <w:t>4.6对异议涉及的资料或证明文件，无法提供合法来源的。</w:t>
      </w:r>
    </w:p>
    <w:p>
      <w:pPr>
        <w:numPr>
          <w:ilvl w:val="0"/>
          <w:numId w:val="2"/>
        </w:numPr>
        <w:spacing w:line="360" w:lineRule="auto"/>
        <w:ind w:firstLine="420" w:firstLineChars="200"/>
        <w:jc w:val="left"/>
        <w:rPr>
          <w:color w:val="auto"/>
          <w:szCs w:val="24"/>
          <w:highlight w:val="none"/>
        </w:rPr>
      </w:pPr>
      <w:r>
        <w:rPr>
          <w:rFonts w:hint="eastAsia"/>
          <w:color w:val="auto"/>
          <w:szCs w:val="24"/>
          <w:highlight w:val="none"/>
        </w:rPr>
        <w:t>异议受理部门：广州白云国际机场东南工作区消防救援支队</w:t>
      </w:r>
    </w:p>
    <w:p>
      <w:pPr>
        <w:widowControl/>
        <w:spacing w:line="360" w:lineRule="auto"/>
        <w:ind w:firstLine="420" w:firstLineChars="200"/>
        <w:jc w:val="left"/>
        <w:rPr>
          <w:color w:val="auto"/>
          <w:szCs w:val="24"/>
          <w:highlight w:val="none"/>
        </w:rPr>
      </w:pPr>
      <w:r>
        <w:rPr>
          <w:rFonts w:hint="eastAsia"/>
          <w:color w:val="auto"/>
          <w:szCs w:val="24"/>
          <w:highlight w:val="none"/>
        </w:rPr>
        <w:t xml:space="preserve">        受理电话：020-36062526</w:t>
      </w:r>
    </w:p>
    <w:p>
      <w:pPr>
        <w:widowControl/>
        <w:spacing w:line="360" w:lineRule="auto"/>
        <w:ind w:firstLine="420" w:firstLineChars="200"/>
        <w:jc w:val="left"/>
        <w:rPr>
          <w:color w:val="auto"/>
          <w:szCs w:val="24"/>
          <w:highlight w:val="none"/>
        </w:rPr>
      </w:pPr>
      <w:r>
        <w:rPr>
          <w:rFonts w:hint="eastAsia"/>
          <w:color w:val="auto"/>
          <w:szCs w:val="24"/>
          <w:highlight w:val="none"/>
        </w:rPr>
        <w:t xml:space="preserve">        地址：广州白云国际机场东南工作区消防救援支队装备财务部</w:t>
      </w:r>
    </w:p>
    <w:p>
      <w:pPr>
        <w:spacing w:line="360" w:lineRule="auto"/>
        <w:ind w:firstLine="630" w:firstLineChars="300"/>
        <w:jc w:val="left"/>
        <w:rPr>
          <w:rFonts w:ascii="宋体"/>
          <w:color w:val="auto"/>
          <w:szCs w:val="21"/>
          <w:highlight w:val="none"/>
        </w:rPr>
      </w:pPr>
      <w:r>
        <w:rPr>
          <w:rFonts w:hint="eastAsia"/>
          <w:color w:val="auto"/>
          <w:szCs w:val="24"/>
          <w:highlight w:val="none"/>
        </w:rPr>
        <w:t>注：项目活动的报价人或潜在报价人可以通过线下或线上的形式提出异议。线上提出异议的，应通过</w:t>
      </w:r>
      <w:r>
        <w:rPr>
          <w:rFonts w:hint="eastAsia" w:ascii="宋体"/>
          <w:color w:val="auto"/>
          <w:szCs w:val="21"/>
          <w:highlight w:val="none"/>
        </w:rPr>
        <w:t xml:space="preserve">广东省机场管理集团有限公司一体化数字交易系统提交，采购人也应通过广东省机场管理集团有限公司一体化数字交易系统答复线上提出的异议。具体按照广东省机场管理集团有限公司一体化数字交易系统相关指南进行操作。作出答复前，应当暂停采购活动。 </w:t>
      </w:r>
    </w:p>
    <w:p>
      <w:pPr>
        <w:spacing w:line="360" w:lineRule="auto"/>
        <w:ind w:firstLine="630" w:firstLineChars="300"/>
        <w:jc w:val="left"/>
        <w:rPr>
          <w:rFonts w:ascii="宋体"/>
          <w:color w:val="auto"/>
          <w:szCs w:val="21"/>
          <w:highlight w:val="none"/>
        </w:rPr>
      </w:pPr>
      <w:r>
        <w:rPr>
          <w:rFonts w:hint="eastAsia"/>
          <w:color w:val="auto"/>
          <w:szCs w:val="24"/>
          <w:highlight w:val="none"/>
        </w:rPr>
        <w:t>以邮寄方式递交异议书的，报价人递交异议书时间以收件人签收时间为准。</w:t>
      </w:r>
    </w:p>
    <w:p>
      <w:pPr>
        <w:spacing w:line="360" w:lineRule="auto"/>
        <w:ind w:firstLine="630" w:firstLineChars="300"/>
        <w:jc w:val="left"/>
        <w:rPr>
          <w:rFonts w:ascii="宋体"/>
          <w:color w:val="auto"/>
          <w:szCs w:val="21"/>
          <w:highlight w:val="none"/>
        </w:rPr>
      </w:pPr>
      <w:r>
        <w:rPr>
          <w:rFonts w:hint="eastAsia" w:ascii="宋体"/>
          <w:color w:val="auto"/>
          <w:szCs w:val="21"/>
          <w:highlight w:val="none"/>
        </w:rPr>
        <w:t>6.被纳入采购方不予合作对象名单的供应商，其报价将被拒绝，具体名单详见广东省机场管理集团有限公司一体化数字交易系统“供应商管理”（不予合作单位名单）。</w:t>
      </w:r>
    </w:p>
    <w:p>
      <w:pPr>
        <w:pStyle w:val="80"/>
        <w:ind w:left="420"/>
        <w:rPr>
          <w:rFonts w:ascii="宋体"/>
          <w:b/>
          <w:bCs/>
          <w:color w:val="auto"/>
          <w:sz w:val="21"/>
          <w:szCs w:val="21"/>
          <w:highlight w:val="none"/>
        </w:rPr>
      </w:pPr>
      <w:r>
        <w:rPr>
          <w:rFonts w:hint="eastAsia" w:ascii="宋体"/>
          <w:b/>
          <w:bCs/>
          <w:color w:val="auto"/>
          <w:sz w:val="21"/>
          <w:szCs w:val="21"/>
          <w:highlight w:val="none"/>
        </w:rPr>
        <w:t>十二、采购方采购人员廉洁行为举报电话</w:t>
      </w:r>
    </w:p>
    <w:p>
      <w:pPr>
        <w:pStyle w:val="80"/>
        <w:ind w:left="0" w:firstLine="420" w:firstLineChars="200"/>
        <w:rPr>
          <w:rFonts w:hint="eastAsia" w:ascii="宋体" w:hAnsi="宋体" w:cs="宋体"/>
          <w:color w:val="auto"/>
          <w:kern w:val="2"/>
          <w:sz w:val="21"/>
          <w:highlight w:val="none"/>
        </w:rPr>
      </w:pPr>
      <w:r>
        <w:rPr>
          <w:rFonts w:hint="eastAsia" w:ascii="宋体" w:hAnsi="宋体" w:cs="宋体"/>
          <w:color w:val="auto"/>
          <w:kern w:val="2"/>
          <w:sz w:val="21"/>
          <w:highlight w:val="none"/>
        </w:rPr>
        <w:t>采购方纪检机构电话：020-36062552</w:t>
      </w:r>
    </w:p>
    <w:p>
      <w:pPr>
        <w:rPr>
          <w:rFonts w:ascii="宋体"/>
          <w:color w:val="auto"/>
          <w:szCs w:val="21"/>
          <w:highlight w:val="none"/>
        </w:rPr>
      </w:pPr>
      <w:r>
        <w:rPr>
          <w:rFonts w:hint="eastAsia" w:ascii="宋体"/>
          <w:color w:val="auto"/>
          <w:szCs w:val="21"/>
          <w:highlight w:val="none"/>
        </w:rPr>
        <w:t xml:space="preserve">  </w:t>
      </w:r>
    </w:p>
    <w:p>
      <w:pPr>
        <w:spacing w:line="360" w:lineRule="auto"/>
        <w:ind w:firstLine="4200" w:firstLineChars="2000"/>
        <w:rPr>
          <w:color w:val="auto"/>
          <w:highlight w:val="none"/>
        </w:rPr>
      </w:pPr>
    </w:p>
    <w:p>
      <w:pPr>
        <w:spacing w:line="360" w:lineRule="auto"/>
        <w:ind w:firstLine="5250" w:firstLineChars="2500"/>
        <w:rPr>
          <w:color w:val="auto"/>
          <w:highlight w:val="none"/>
        </w:rPr>
      </w:pPr>
      <w:r>
        <w:rPr>
          <w:rFonts w:hint="eastAsia"/>
          <w:color w:val="auto"/>
          <w:highlight w:val="none"/>
        </w:rPr>
        <w:t>广州白云国际机场股份有限公司</w:t>
      </w:r>
    </w:p>
    <w:p>
      <w:pPr>
        <w:spacing w:line="360" w:lineRule="auto"/>
        <w:ind w:firstLine="5250" w:firstLineChars="2500"/>
        <w:rPr>
          <w:color w:val="auto"/>
          <w:highlight w:val="none"/>
        </w:rPr>
      </w:pPr>
      <w:r>
        <w:rPr>
          <w:rFonts w:hint="eastAsia"/>
          <w:color w:val="auto"/>
          <w:highlight w:val="none"/>
        </w:rPr>
        <w:t>消防救援支队</w:t>
      </w:r>
    </w:p>
    <w:p>
      <w:pPr>
        <w:spacing w:line="360" w:lineRule="auto"/>
        <w:ind w:firstLine="5250" w:firstLineChars="2500"/>
        <w:rPr>
          <w:color w:val="auto"/>
          <w:highlight w:val="none"/>
        </w:rPr>
        <w:sectPr>
          <w:headerReference r:id="rId3" w:type="default"/>
          <w:footerReference r:id="rId4" w:type="default"/>
          <w:pgSz w:w="12240" w:h="15840"/>
          <w:pgMar w:top="1440" w:right="1225" w:bottom="1440" w:left="1293" w:header="0" w:footer="839" w:gutter="0"/>
          <w:cols w:space="720" w:num="1"/>
          <w:docGrid w:linePitch="1" w:charSpace="0"/>
        </w:sectPr>
      </w:pPr>
      <w:r>
        <w:rPr>
          <w:rFonts w:hint="eastAsia"/>
          <w:color w:val="auto"/>
          <w:highlight w:val="none"/>
        </w:rPr>
        <w:t>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widowControl/>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第二部分  报价须知</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一、交易平台操作方法</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具体操作方法详见一体化系统“供应商管理”-“帮助中心”-“平台操作手册”。</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二、适用规定</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本项目采购方式为网上竞价，其适用的采购规定及规则为广东省机场管理集团有限公司《采购管理规定》《采购合作对象管理办法》等企业内部管理制度。</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三、报价人申请材料递交</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1.报价人成功注册一体化系统后，按第一部分 采购公告要求递交申请材料。</w:t>
      </w:r>
      <w:r>
        <w:rPr>
          <w:rFonts w:hint="eastAsia" w:ascii="宋体" w:hAnsi="宋体" w:cs="宋体"/>
          <w:b/>
          <w:bCs/>
          <w:color w:val="auto"/>
          <w:szCs w:val="21"/>
          <w:highlight w:val="none"/>
        </w:rPr>
        <w:t>申请材料用于报价人资格审查，申请材料应按第三部分附录文件格式编写。</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人提交材料后在“我的项目”中能查看本项目申请材料审批状态，待审批时的状态为“申请材料递交查看”；如果申请材料被驳回，按钮将会变为“申请材料递交（已驳回）”；如果申请材料审批通过，按钮则变为“文件下载”。申请材料递交时间截止前，报价人如需撤回修改，点击“申请材料递交查看”-“撤回”即可重新修改提交。申请材料递交时间截止后，报价人将无法对资格审查资料进行修改。报价人自行进入“我的项目”列表查看自己是否通过资格审查。</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申请材料递交时间截止后，由采购方统一对报价人进行资格审查，只有资格审查通过的报价人才能进入网上竞价环节，因报价人资料上传错误、缺失或丢失网站登录用户名和密码等情况导致资格审查不通过的，相关责任由报价人自行承担。</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四、项目答疑</w:t>
      </w:r>
    </w:p>
    <w:p>
      <w:pPr>
        <w:tabs>
          <w:tab w:val="left" w:pos="413"/>
        </w:tabs>
        <w:spacing w:line="312"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若报价人对本项目有任何异议的，应当在申请材料提交截止时间2日前以书面形式提出，书面文件应加盖报价人单位公章后进行扫描，发送至采购方电子邮箱（邮箱地址：XXXX@。。。），异议提交截止时间以采购方邮箱显示收到时间为准，未按上述要求提供异议资料的，采购方将不予回复。如需修改竞价文件内容的，采购方将顺延项目申请材料递交截止时间。</w:t>
      </w:r>
    </w:p>
    <w:p>
      <w:pPr>
        <w:tabs>
          <w:tab w:val="left" w:pos="413"/>
        </w:tabs>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五、</w:t>
      </w:r>
      <w:r>
        <w:rPr>
          <w:rFonts w:hint="eastAsia" w:ascii="宋体" w:hAnsi="宋体" w:cs="宋体"/>
          <w:b/>
          <w:color w:val="auto"/>
          <w:kern w:val="0"/>
          <w:szCs w:val="21"/>
          <w:highlight w:val="none"/>
          <w:lang w:bidi="ar"/>
        </w:rPr>
        <w:t>竞价</w:t>
      </w:r>
      <w:r>
        <w:rPr>
          <w:rFonts w:hint="eastAsia" w:ascii="宋体" w:hAnsi="宋体" w:cs="宋体"/>
          <w:b/>
          <w:bCs/>
          <w:color w:val="auto"/>
          <w:szCs w:val="21"/>
          <w:highlight w:val="none"/>
        </w:rPr>
        <w:t>规则</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1.网上竞价项目符合资格条件，且参与报价的报价人至少应达到三家以上，不足三家的，采购方将重新发布采购信息，组织第二次采购。 </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2.如果第二次符合资格条件、且参与报价的报价人仍不足三家的，采购方可按相关程序确定成交供应商。  </w:t>
      </w:r>
    </w:p>
    <w:p>
      <w:pPr>
        <w:tabs>
          <w:tab w:val="left" w:pos="413"/>
        </w:tabs>
        <w:spacing w:line="312" w:lineRule="auto"/>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rPr>
        <w:t xml:space="preserve">3.没有符合资格条件供应商的项目，采购方将终止项目竞价。 </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4.项目竞价开始后，通过资格审查的报价人登陆一体化系统，在“我的项目”中选择通过资格审查的竞价项目，即可进行报价，每次报价后即可看见自己的报价排名。</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5.报价人可在项目竞价时间截止前（以一体化系统</w:t>
      </w:r>
      <w:r>
        <w:rPr>
          <w:rFonts w:hint="eastAsia" w:ascii="宋体" w:hAnsi="宋体" w:cs="宋体"/>
          <w:color w:val="auto"/>
          <w:kern w:val="0"/>
          <w:szCs w:val="21"/>
          <w:highlight w:val="none"/>
        </w:rPr>
        <w:t>服务器显示时间为准），根据项目提示的最低调价幅度、报价次数修改自己的报价，如采购方设置了限价金额的，报价人报价不得超出限价。</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6.竞价系统根据报价价格由低到高的顺序排名，若2家或以上报价人的报价相同，则以一体化系统服务器时间先后进行排名。  </w:t>
      </w:r>
    </w:p>
    <w:p>
      <w:pPr>
        <w:tabs>
          <w:tab w:val="left" w:pos="413"/>
        </w:tabs>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7.竞价时间截止后，以报价排名为第一名的报价人作为</w:t>
      </w:r>
      <w:r>
        <w:rPr>
          <w:rFonts w:hint="eastAsia" w:ascii="宋体" w:hAnsi="宋体" w:cs="宋体"/>
          <w:b/>
          <w:bCs/>
          <w:color w:val="auto"/>
          <w:kern w:val="0"/>
          <w:szCs w:val="21"/>
          <w:highlight w:val="none"/>
        </w:rPr>
        <w:t>候选成交商。</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六、成交供应商的确定</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网上竞价结束后，采购方按以下流程确定成交供应商：</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1.网上竞价结束后3个工作日内，竞价项目候选成交供应商应将资格审查文件及项目报价单（包</w:t>
      </w:r>
      <w:r>
        <w:rPr>
          <w:rFonts w:hint="eastAsia" w:ascii="宋体" w:hAnsi="宋体" w:cs="宋体"/>
          <w:color w:val="auto"/>
          <w:kern w:val="0"/>
          <w:szCs w:val="21"/>
          <w:highlight w:val="none"/>
        </w:rPr>
        <w:t>括清单）纸质版（一式三份），由其法定代表人或者授权代表签字并盖章后，提交采购方审查。纸质版审查文件内容与申请材料递交时提交的资格审查内容应一致、纸质版项目报价单中的</w:t>
      </w:r>
      <w:r>
        <w:rPr>
          <w:rFonts w:hint="eastAsia" w:ascii="宋体" w:hAnsi="宋体" w:cs="宋体"/>
          <w:b/>
          <w:bCs/>
          <w:color w:val="auto"/>
          <w:kern w:val="0"/>
          <w:szCs w:val="21"/>
          <w:highlight w:val="none"/>
        </w:rPr>
        <w:t>总金额及分项金额</w:t>
      </w:r>
      <w:r>
        <w:rPr>
          <w:rFonts w:hint="eastAsia" w:ascii="宋体" w:hAnsi="宋体" w:cs="宋体"/>
          <w:color w:val="auto"/>
          <w:kern w:val="0"/>
          <w:szCs w:val="21"/>
          <w:highlight w:val="none"/>
        </w:rPr>
        <w:t xml:space="preserve">应与一体化系统网上竞价系统报价内容一致，否则采购方有权认定其资格审查文件或报价无效。 </w:t>
      </w:r>
      <w:r>
        <w:rPr>
          <w:rFonts w:hint="eastAsia" w:ascii="宋体" w:hAnsi="宋体" w:cs="宋体"/>
          <w:color w:val="auto"/>
          <w:szCs w:val="21"/>
          <w:highlight w:val="none"/>
          <w:lang w:bidi="ar"/>
        </w:rPr>
        <w:t xml:space="preserve"> </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若候选供应商的报价明显低于市场价，采购方有权要求候选供应商提供其报价理由和有关未低于企业成本价的证明材料，如果候选供应商拒绝提供或提供的材料不充分，采购方有权认定其报价无效，并终止交易。 </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3.候选供应商按以上要求提交资料，并经采购方审查通过，可</w:t>
      </w:r>
      <w:r>
        <w:rPr>
          <w:rFonts w:hint="eastAsia" w:ascii="宋体" w:hAnsi="宋体" w:cs="宋体"/>
          <w:color w:val="auto"/>
          <w:szCs w:val="21"/>
          <w:highlight w:val="none"/>
        </w:rPr>
        <w:t>确定为项目成交供应商。</w:t>
      </w:r>
    </w:p>
    <w:p>
      <w:pPr>
        <w:tabs>
          <w:tab w:val="left" w:pos="413"/>
        </w:tabs>
        <w:spacing w:line="312" w:lineRule="auto"/>
        <w:ind w:firstLine="420" w:firstLineChars="200"/>
        <w:rPr>
          <w:color w:val="auto"/>
          <w:highlight w:val="none"/>
        </w:rPr>
      </w:pPr>
      <w:r>
        <w:rPr>
          <w:rFonts w:hint="eastAsia" w:ascii="宋体" w:hAnsi="宋体" w:cs="宋体"/>
          <w:color w:val="auto"/>
          <w:szCs w:val="21"/>
          <w:highlight w:val="none"/>
        </w:rPr>
        <w:t>4.成交供应商提交资料与事实不符的，采购方有权取消成交供应商资格。</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八、竞价结果发布</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竞价结果确认后，采购方将在一体化系统门户发布竞价结果公告，公告时间不少于2个工作日。 </w:t>
      </w:r>
    </w:p>
    <w:p>
      <w:pPr>
        <w:tabs>
          <w:tab w:val="left" w:pos="413"/>
        </w:tabs>
        <w:spacing w:line="312" w:lineRule="auto"/>
        <w:ind w:firstLine="422" w:firstLineChars="200"/>
        <w:rPr>
          <w:color w:val="auto"/>
          <w:highlight w:val="none"/>
        </w:rPr>
      </w:pPr>
      <w:r>
        <w:rPr>
          <w:rFonts w:hint="eastAsia" w:ascii="宋体" w:hAnsi="宋体" w:cs="宋体"/>
          <w:b/>
          <w:bCs/>
          <w:color w:val="auto"/>
          <w:szCs w:val="21"/>
          <w:highlight w:val="none"/>
        </w:rPr>
        <w:t>九、上传文件格式要求</w:t>
      </w:r>
    </w:p>
    <w:p>
      <w:pPr>
        <w:tabs>
          <w:tab w:val="left" w:pos="413"/>
        </w:tabs>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资格审查文件（申请材料）应按竞价文件要求顺序，统一扫描为一份PDF文件，文件大小不超过15M，文件名应设置为《XXXX项目网上竞价资格审查文件》。</w:t>
      </w:r>
    </w:p>
    <w:p>
      <w:pPr>
        <w:tabs>
          <w:tab w:val="left" w:pos="413"/>
        </w:tabs>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十、采购方不承担报价人准备报价文件和递交报价文件以及参加本次采购活动所发生的任何成本或费用。</w:t>
      </w:r>
    </w:p>
    <w:p>
      <w:pPr>
        <w:tabs>
          <w:tab w:val="left" w:pos="413"/>
        </w:tabs>
        <w:spacing w:line="312" w:lineRule="auto"/>
        <w:ind w:firstLine="422" w:firstLineChars="200"/>
        <w:rPr>
          <w:rFonts w:hint="eastAsia" w:ascii="宋体" w:hAnsi="宋体" w:cs="宋体"/>
          <w:b/>
          <w:bCs/>
          <w:color w:val="auto"/>
          <w:szCs w:val="21"/>
          <w:highlight w:val="none"/>
        </w:rPr>
      </w:pPr>
    </w:p>
    <w:p>
      <w:pPr>
        <w:widowControl/>
        <w:tabs>
          <w:tab w:val="left" w:pos="413"/>
        </w:tabs>
        <w:spacing w:line="360" w:lineRule="auto"/>
        <w:ind w:firstLine="422" w:firstLineChars="200"/>
        <w:rPr>
          <w:rFonts w:hint="eastAsia" w:ascii="宋体" w:hAnsi="宋体" w:cs="宋体"/>
          <w:b/>
          <w:bCs/>
          <w:color w:val="auto"/>
          <w:szCs w:val="21"/>
          <w:highlight w:val="none"/>
        </w:rPr>
        <w:sectPr>
          <w:footerReference r:id="rId5" w:type="default"/>
          <w:pgSz w:w="12240" w:h="15840"/>
          <w:pgMar w:top="1440" w:right="1225" w:bottom="1440" w:left="1293" w:header="0" w:footer="839" w:gutter="0"/>
          <w:cols w:space="720" w:num="1"/>
        </w:sectPr>
      </w:pPr>
    </w:p>
    <w:p>
      <w:pPr>
        <w:pStyle w:val="23"/>
        <w:widowControl/>
        <w:spacing w:before="0" w:beforeAutospacing="0" w:after="200" w:afterAutospacing="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第三部分  </w:t>
      </w:r>
      <w:r>
        <w:rPr>
          <w:rFonts w:hint="eastAsia" w:ascii="宋体" w:hAnsi="宋体" w:cs="宋体"/>
          <w:b/>
          <w:bCs/>
          <w:color w:val="auto"/>
          <w:sz w:val="32"/>
          <w:szCs w:val="32"/>
          <w:highlight w:val="none"/>
        </w:rPr>
        <w:t>附录文件格式</w:t>
      </w:r>
    </w:p>
    <w:p>
      <w:pPr>
        <w:pStyle w:val="4"/>
        <w:spacing w:before="43"/>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1"/>
          <w:sz w:val="21"/>
          <w:szCs w:val="21"/>
          <w:highlight w:val="none"/>
        </w:rPr>
        <w:t xml:space="preserve">附件一：报价表    </w:t>
      </w:r>
      <w:r>
        <w:rPr>
          <w:rFonts w:hint="eastAsia" w:ascii="宋体" w:hAnsi="宋体" w:eastAsia="宋体" w:cs="宋体"/>
          <w:b/>
          <w:bCs/>
          <w:color w:val="auto"/>
          <w:kern w:val="0"/>
          <w:sz w:val="21"/>
          <w:szCs w:val="21"/>
          <w:highlight w:val="none"/>
        </w:rPr>
        <w:t>（限价人民币   万元）</w:t>
      </w:r>
    </w:p>
    <w:p>
      <w:pPr>
        <w:rPr>
          <w:rFonts w:hint="eastAsia" w:ascii="宋体" w:hAnsi="宋体" w:cs="宋体"/>
          <w:color w:val="auto"/>
          <w:szCs w:val="21"/>
          <w:highlight w:val="none"/>
        </w:rPr>
      </w:pPr>
    </w:p>
    <w:tbl>
      <w:tblPr>
        <w:tblStyle w:val="27"/>
        <w:tblW w:w="9181" w:type="dxa"/>
        <w:jc w:val="center"/>
        <w:tblLayout w:type="fixed"/>
        <w:tblCellMar>
          <w:top w:w="0" w:type="dxa"/>
          <w:left w:w="108" w:type="dxa"/>
          <w:bottom w:w="0" w:type="dxa"/>
          <w:right w:w="108" w:type="dxa"/>
        </w:tblCellMar>
      </w:tblPr>
      <w:tblGrid>
        <w:gridCol w:w="918"/>
        <w:gridCol w:w="709"/>
        <w:gridCol w:w="1057"/>
        <w:gridCol w:w="1720"/>
        <w:gridCol w:w="1593"/>
        <w:gridCol w:w="1161"/>
        <w:gridCol w:w="1227"/>
        <w:gridCol w:w="796"/>
      </w:tblGrid>
      <w:tr>
        <w:tblPrEx>
          <w:tblCellMar>
            <w:top w:w="0" w:type="dxa"/>
            <w:left w:w="108" w:type="dxa"/>
            <w:bottom w:w="0" w:type="dxa"/>
            <w:right w:w="108" w:type="dxa"/>
          </w:tblCellMar>
        </w:tblPrEx>
        <w:trPr>
          <w:trHeight w:val="76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品牌</w:t>
            </w: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型号</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主要性能参数/服务内容</w:t>
            </w: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1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单价限价（元）</w:t>
            </w:r>
          </w:p>
        </w:tc>
        <w:tc>
          <w:tcPr>
            <w:tcW w:w="12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总价限价（元）</w:t>
            </w:r>
          </w:p>
        </w:tc>
        <w:tc>
          <w:tcPr>
            <w:tcW w:w="7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108" w:type="dxa"/>
            <w:bottom w:w="0" w:type="dxa"/>
            <w:right w:w="108" w:type="dxa"/>
          </w:tblCellMar>
        </w:tblPrEx>
        <w:trPr>
          <w:trHeight w:val="59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cs="宋体"/>
                <w:color w:val="auto"/>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159"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c>
          <w:tcPr>
            <w:tcW w:w="1225"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c>
          <w:tcPr>
            <w:tcW w:w="795"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r>
      <w:tr>
        <w:tblPrEx>
          <w:tblCellMar>
            <w:top w:w="0" w:type="dxa"/>
            <w:left w:w="108" w:type="dxa"/>
            <w:bottom w:w="0" w:type="dxa"/>
            <w:right w:w="108" w:type="dxa"/>
          </w:tblCellMar>
        </w:tblPrEx>
        <w:trPr>
          <w:trHeight w:val="46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cs="宋体"/>
                <w:color w:val="auto"/>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159"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c>
          <w:tcPr>
            <w:tcW w:w="1225"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c>
          <w:tcPr>
            <w:tcW w:w="795"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r>
      <w:tr>
        <w:tblPrEx>
          <w:tblCellMar>
            <w:top w:w="0" w:type="dxa"/>
            <w:left w:w="108" w:type="dxa"/>
            <w:bottom w:w="0" w:type="dxa"/>
            <w:right w:w="108" w:type="dxa"/>
          </w:tblCellMar>
        </w:tblPrEx>
        <w:trPr>
          <w:trHeight w:val="46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cs="宋体"/>
                <w:color w:val="auto"/>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cs="宋体"/>
                <w:color w:val="auto"/>
                <w:kern w:val="0"/>
                <w:szCs w:val="21"/>
                <w:highlight w:val="none"/>
              </w:rPr>
            </w:pPr>
          </w:p>
        </w:tc>
        <w:tc>
          <w:tcPr>
            <w:tcW w:w="1159"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c>
          <w:tcPr>
            <w:tcW w:w="1225"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c>
          <w:tcPr>
            <w:tcW w:w="795"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cs="宋体"/>
                <w:b/>
                <w:bCs/>
                <w:color w:val="auto"/>
                <w:kern w:val="0"/>
                <w:szCs w:val="21"/>
                <w:highlight w:val="none"/>
              </w:rPr>
            </w:pPr>
          </w:p>
        </w:tc>
      </w:tr>
    </w:tbl>
    <w:p>
      <w:pPr>
        <w:pStyle w:val="23"/>
        <w:widowControl/>
        <w:spacing w:before="0" w:beforeAutospacing="0" w:after="0" w:afterAutospacing="0" w:line="360" w:lineRule="auto"/>
        <w:jc w:val="both"/>
        <w:rPr>
          <w:rFonts w:hint="eastAsia" w:ascii="宋体" w:hAnsi="宋体" w:cs="宋体"/>
          <w:b/>
          <w:color w:val="auto"/>
          <w:sz w:val="21"/>
          <w:szCs w:val="21"/>
          <w:highlight w:val="none"/>
        </w:rPr>
      </w:pPr>
    </w:p>
    <w:p>
      <w:pPr>
        <w:pStyle w:val="23"/>
        <w:widowControl/>
        <w:spacing w:before="0" w:beforeAutospacing="0" w:after="0" w:afterAutospacing="0" w:line="360" w:lineRule="auto"/>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注：</w:t>
      </w:r>
      <w:r>
        <w:rPr>
          <w:rFonts w:hint="eastAsia" w:ascii="宋体" w:hAnsi="宋体" w:cs="宋体"/>
          <w:b/>
          <w:color w:val="auto"/>
          <w:sz w:val="21"/>
          <w:szCs w:val="21"/>
          <w:highlight w:val="none"/>
        </w:rPr>
        <w:t>1.提交资格审查资料（申请材料递交）时，不需要提供报价表，供应商如在提交资格审查（申请材料递交）阶段提供该报价表格，将会导致报价资格被拒绝。</w:t>
      </w:r>
    </w:p>
    <w:p>
      <w:pPr>
        <w:pStyle w:val="23"/>
        <w:widowControl/>
        <w:spacing w:before="0" w:beforeAutospacing="0" w:after="0" w:afterAutospacing="0" w:line="360" w:lineRule="auto"/>
        <w:ind w:firstLine="422" w:firstLineChars="200"/>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2.确定为候选供应商后，报价人应提供报价表。</w:t>
      </w:r>
    </w:p>
    <w:p>
      <w:pPr>
        <w:spacing w:line="312" w:lineRule="auto"/>
        <w:ind w:firstLine="420" w:firstLineChars="200"/>
        <w:outlineLvl w:val="0"/>
        <w:rPr>
          <w:rFonts w:hint="eastAsia" w:ascii="宋体" w:hAnsi="宋体" w:cs="宋体"/>
          <w:color w:val="auto"/>
          <w:kern w:val="0"/>
          <w:szCs w:val="21"/>
          <w:highlight w:val="none"/>
        </w:rPr>
      </w:pPr>
      <w:r>
        <w:rPr>
          <w:rFonts w:hint="eastAsia" w:ascii="宋体" w:hAnsi="宋体" w:cs="宋体"/>
          <w:color w:val="auto"/>
          <w:szCs w:val="21"/>
          <w:highlight w:val="none"/>
        </w:rPr>
        <w:t>以上报价包括了设计与设计联络、货物及附件（含质保期内的备品备件）的制造、包装、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项目和货物再支付任何费用。</w:t>
      </w:r>
    </w:p>
    <w:p>
      <w:pPr>
        <w:snapToGrid w:val="0"/>
        <w:spacing w:line="336" w:lineRule="auto"/>
        <w:ind w:firstLine="480" w:firstLineChars="200"/>
        <w:rPr>
          <w:rFonts w:hint="eastAsia" w:ascii="仿宋_GB2312" w:hAnsi="仿宋_GB2312" w:eastAsia="仿宋_GB2312" w:cs="仿宋_GB2312"/>
          <w:color w:val="auto"/>
          <w:sz w:val="24"/>
          <w:szCs w:val="24"/>
          <w:highlight w:val="none"/>
        </w:rPr>
      </w:pPr>
    </w:p>
    <w:p>
      <w:pPr>
        <w:snapToGrid w:val="0"/>
        <w:spacing w:line="336" w:lineRule="auto"/>
        <w:ind w:firstLine="480" w:firstLineChars="200"/>
        <w:rPr>
          <w:rFonts w:hint="eastAsia" w:ascii="仿宋_GB2312" w:hAnsi="仿宋_GB2312" w:eastAsia="仿宋_GB2312" w:cs="仿宋_GB2312"/>
          <w:color w:val="auto"/>
          <w:sz w:val="24"/>
          <w:szCs w:val="24"/>
          <w:highlight w:val="none"/>
        </w:rPr>
      </w:pPr>
    </w:p>
    <w:p>
      <w:pPr>
        <w:snapToGrid w:val="0"/>
        <w:spacing w:line="336" w:lineRule="auto"/>
        <w:ind w:firstLine="480" w:firstLineChars="200"/>
        <w:rPr>
          <w:rFonts w:hint="eastAsia" w:ascii="仿宋_GB2312" w:hAnsi="仿宋_GB2312" w:eastAsia="仿宋_GB2312" w:cs="仿宋_GB2312"/>
          <w:color w:val="auto"/>
          <w:sz w:val="24"/>
          <w:szCs w:val="24"/>
          <w:highlight w:val="none"/>
        </w:rPr>
      </w:pPr>
    </w:p>
    <w:p>
      <w:pPr>
        <w:snapToGrid w:val="0"/>
        <w:spacing w:line="336" w:lineRule="auto"/>
        <w:ind w:firstLine="480" w:firstLineChars="200"/>
        <w:rPr>
          <w:rFonts w:hint="eastAsia" w:ascii="仿宋_GB2312" w:hAnsi="仿宋_GB2312" w:eastAsia="仿宋_GB2312" w:cs="仿宋_GB2312"/>
          <w:color w:val="auto"/>
          <w:sz w:val="24"/>
          <w:szCs w:val="24"/>
          <w:highlight w:val="none"/>
        </w:rPr>
      </w:pPr>
    </w:p>
    <w:p>
      <w:pPr>
        <w:snapToGrid w:val="0"/>
        <w:spacing w:line="336" w:lineRule="auto"/>
        <w:ind w:firstLine="480" w:firstLineChars="200"/>
        <w:rPr>
          <w:rFonts w:hint="eastAsia" w:ascii="宋体" w:hAnsi="宋体" w:cs="宋体"/>
          <w:color w:val="auto"/>
          <w:sz w:val="24"/>
          <w:szCs w:val="24"/>
          <w:highlight w:val="none"/>
        </w:rPr>
      </w:pPr>
    </w:p>
    <w:p>
      <w:pPr>
        <w:snapToGrid w:val="0"/>
        <w:spacing w:line="336" w:lineRule="auto"/>
        <w:ind w:firstLine="420" w:firstLineChars="200"/>
        <w:rPr>
          <w:rFonts w:hint="eastAsia" w:ascii="宋体" w:hAnsi="宋体" w:cs="宋体"/>
          <w:color w:val="auto"/>
          <w:sz w:val="24"/>
          <w:szCs w:val="24"/>
          <w:highlight w:val="none"/>
        </w:rPr>
      </w:pPr>
      <w:r>
        <w:rPr>
          <w:rFonts w:hint="eastAsia" w:ascii="宋体" w:hAnsi="宋体" w:cs="宋体"/>
          <w:color w:val="auto"/>
          <w:szCs w:val="21"/>
          <w:highlight w:val="none"/>
        </w:rPr>
        <w:t>报价人</w:t>
      </w:r>
      <w:r>
        <w:rPr>
          <w:rFonts w:hint="eastAsia" w:ascii="宋体" w:hAnsi="宋体" w:cs="宋体"/>
          <w:color w:val="auto"/>
          <w:sz w:val="24"/>
          <w:szCs w:val="24"/>
          <w:highlight w:val="none"/>
        </w:rPr>
        <w:t>名称（盖单位公章）：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36" w:lineRule="auto"/>
        <w:ind w:firstLine="420" w:firstLineChars="200"/>
        <w:rPr>
          <w:rFonts w:hint="eastAsia" w:ascii="宋体" w:hAnsi="宋体" w:cs="宋体"/>
          <w:color w:val="auto"/>
          <w:sz w:val="24"/>
          <w:szCs w:val="24"/>
          <w:highlight w:val="none"/>
        </w:rPr>
      </w:pPr>
      <w:r>
        <w:rPr>
          <w:rFonts w:hint="eastAsia" w:ascii="宋体" w:hAnsi="宋体" w:cs="宋体"/>
          <w:color w:val="auto"/>
          <w:szCs w:val="21"/>
          <w:highlight w:val="none"/>
        </w:rPr>
        <w:t>报价人</w:t>
      </w:r>
      <w:r>
        <w:rPr>
          <w:rFonts w:hint="eastAsia" w:ascii="宋体" w:hAnsi="宋体" w:cs="宋体"/>
          <w:color w:val="auto"/>
          <w:sz w:val="24"/>
          <w:szCs w:val="24"/>
          <w:highlight w:val="none"/>
        </w:rPr>
        <w:t>法定代表人（单位负责人）或其授权委托代理人（签字或盖章）：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36" w:lineRule="auto"/>
        <w:ind w:firstLine="480" w:firstLineChars="200"/>
        <w:rPr>
          <w:rFonts w:hint="eastAsia" w:ascii="宋体" w:hAnsi="宋体" w:cs="宋体"/>
          <w:color w:val="auto"/>
          <w:sz w:val="24"/>
          <w:szCs w:val="24"/>
          <w:highlight w:val="none"/>
        </w:rPr>
        <w:sectPr>
          <w:pgSz w:w="11907" w:h="16840"/>
          <w:pgMar w:top="1267" w:right="1197" w:bottom="1384" w:left="1559" w:header="851" w:footer="962" w:gutter="0"/>
          <w:cols w:space="720" w:num="1"/>
          <w:docGrid w:linePitch="462" w:charSpace="0"/>
        </w:sectPr>
      </w:pPr>
      <w:r>
        <w:rPr>
          <w:rFonts w:hint="eastAsia" w:ascii="宋体" w:hAnsi="宋体" w:cs="宋体"/>
          <w:color w:val="auto"/>
          <w:sz w:val="24"/>
          <w:szCs w:val="24"/>
          <w:highlight w:val="none"/>
        </w:rPr>
        <w:t>日期：   年   月  日</w:t>
      </w:r>
    </w:p>
    <w:p>
      <w:pPr>
        <w:widowControl/>
        <w:spacing w:line="360" w:lineRule="auto"/>
        <w:rPr>
          <w:rFonts w:hint="eastAsia" w:ascii="宋体" w:hAnsi="宋体" w:cs="宋体"/>
          <w:b/>
          <w:bCs/>
          <w:color w:val="auto"/>
          <w:kern w:val="0"/>
          <w:szCs w:val="21"/>
          <w:highlight w:val="none"/>
        </w:rPr>
      </w:pPr>
    </w:p>
    <w:p>
      <w:pPr>
        <w:widowControl/>
        <w:spacing w:line="360" w:lineRule="auto"/>
        <w:rPr>
          <w:rFonts w:hint="eastAsia" w:ascii="宋体" w:hAnsi="宋体" w:cs="宋体"/>
          <w:b/>
          <w:bCs/>
          <w:color w:val="auto"/>
          <w:kern w:val="0"/>
          <w:szCs w:val="21"/>
          <w:highlight w:val="none"/>
        </w:rPr>
      </w:pPr>
    </w:p>
    <w:p>
      <w:pPr>
        <w:widowControl/>
        <w:spacing w:line="360" w:lineRule="auto"/>
        <w:rPr>
          <w:rFonts w:hint="eastAsia" w:ascii="宋体" w:hAnsi="宋体" w:cs="宋体"/>
          <w:b/>
          <w:bCs/>
          <w:color w:val="auto"/>
          <w:kern w:val="0"/>
          <w:szCs w:val="21"/>
          <w:highlight w:val="none"/>
        </w:rPr>
      </w:pPr>
    </w:p>
    <w:p>
      <w:pPr>
        <w:widowControl/>
        <w:spacing w:line="360" w:lineRule="auto"/>
        <w:rPr>
          <w:rFonts w:hint="eastAsia" w:ascii="宋体" w:hAnsi="宋体" w:cs="宋体"/>
          <w:b/>
          <w:bCs/>
          <w:color w:val="auto"/>
          <w:kern w:val="0"/>
          <w:szCs w:val="21"/>
          <w:highlight w:val="none"/>
        </w:rPr>
      </w:pPr>
    </w:p>
    <w:p>
      <w:pPr>
        <w:widowControl/>
        <w:spacing w:line="360" w:lineRule="auto"/>
        <w:rPr>
          <w:rFonts w:hint="eastAsia" w:ascii="宋体" w:hAnsi="宋体" w:cs="宋体"/>
          <w:b/>
          <w:bCs/>
          <w:color w:val="auto"/>
          <w:kern w:val="0"/>
          <w:szCs w:val="21"/>
          <w:highlight w:val="none"/>
        </w:rPr>
      </w:pPr>
    </w:p>
    <w:p>
      <w:pPr>
        <w:widowControl/>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附件二、营业执照（或法律法规规定的其他主体证明文件）复印件。</w:t>
      </w: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pStyle w:val="2"/>
        <w:rPr>
          <w:color w:val="auto"/>
          <w:highlight w:val="none"/>
        </w:rPr>
      </w:pPr>
    </w:p>
    <w:p>
      <w:pPr>
        <w:rPr>
          <w:color w:val="auto"/>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pStyle w:val="11"/>
        <w:ind w:left="420"/>
        <w:rPr>
          <w:color w:val="auto"/>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t>附件三</w:t>
      </w:r>
    </w:p>
    <w:p>
      <w:pPr>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法定代表人（单位负责人）证明书</w:t>
      </w:r>
    </w:p>
    <w:p>
      <w:pPr>
        <w:spacing w:line="360" w:lineRule="auto"/>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报价人名称：</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（报价人名称）的法定代表人（单位负责人）。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rPr>
          <w:rFonts w:hint="eastAsia" w:ascii="宋体" w:hAnsi="宋体" w:cs="宋体"/>
          <w:color w:val="auto"/>
          <w:szCs w:val="21"/>
          <w:highlight w:val="none"/>
        </w:rPr>
      </w:pPr>
    </w:p>
    <w:p>
      <w:pPr>
        <w:widowControl/>
        <w:tabs>
          <w:tab w:val="left" w:pos="142"/>
        </w:tabs>
        <w:autoSpaceDE w:val="0"/>
        <w:autoSpaceDN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报价人名称：</w:t>
      </w:r>
      <w:r>
        <w:rPr>
          <w:rFonts w:hint="eastAsia" w:ascii="宋体" w:hAnsi="宋体" w:cs="宋体"/>
          <w:color w:val="auto"/>
          <w:szCs w:val="21"/>
          <w:highlight w:val="non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（盖单位公章）</w:t>
      </w:r>
    </w:p>
    <w:p>
      <w:pPr>
        <w:widowControl/>
        <w:tabs>
          <w:tab w:val="left" w:pos="142"/>
        </w:tabs>
        <w:autoSpaceDE w:val="0"/>
        <w:autoSpaceDN w:val="0"/>
        <w:spacing w:line="360" w:lineRule="auto"/>
        <w:ind w:firstLine="420" w:firstLineChars="200"/>
        <w:textAlignment w:val="bottom"/>
        <w:rPr>
          <w:rFonts w:hint="eastAsia" w:ascii="宋体" w:hAnsi="宋体" w:cs="宋体"/>
          <w:color w:val="auto"/>
          <w:szCs w:val="21"/>
          <w:highlight w:val="none"/>
          <w:u w:val="singl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widowControl/>
        <w:spacing w:line="360" w:lineRule="auto"/>
        <w:textAlignment w:val="bottom"/>
        <w:rPr>
          <w:rFonts w:hint="eastAsia" w:ascii="宋体" w:hAnsi="宋体" w:cs="宋体"/>
          <w:color w:val="auto"/>
          <w:kern w:val="0"/>
          <w:szCs w:val="21"/>
          <w:highlight w:val="none"/>
        </w:rPr>
      </w:pPr>
    </w:p>
    <w:p>
      <w:pPr>
        <w:jc w:val="left"/>
        <w:rPr>
          <w:rFonts w:hint="eastAsia" w:ascii="宋体" w:hAnsi="宋体" w:cs="宋体"/>
          <w:b/>
          <w:color w:val="auto"/>
          <w:sz w:val="24"/>
          <w:szCs w:val="24"/>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427990</wp:posOffset>
                </wp:positionH>
                <wp:positionV relativeFrom="paragraph">
                  <wp:posOffset>196850</wp:posOffset>
                </wp:positionV>
                <wp:extent cx="5257800" cy="1584325"/>
                <wp:effectExtent l="8890" t="10160" r="10160" b="5715"/>
                <wp:wrapNone/>
                <wp:docPr id="980283053"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5257800" cy="1584325"/>
                        </a:xfrm>
                        <a:prstGeom prst="flowChartAlternateProcess">
                          <a:avLst/>
                        </a:prstGeom>
                        <a:solidFill>
                          <a:srgbClr val="FFFFFF"/>
                        </a:solidFill>
                        <a:ln w="9525" cmpd="sng">
                          <a:solidFill>
                            <a:srgbClr val="000000"/>
                          </a:solidFill>
                          <a:miter lim="800000"/>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附：法定代表人身份证复印件正反面</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33.7pt;margin-top:15.5pt;height:124.75pt;width:414pt;z-index:251661312;mso-width-relative:page;mso-height-relative:page;" fillcolor="#FFFFFF" filled="t" stroked="t" coordsize="21600,21600" o:gfxdata="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CDv/XYAAAACQEA&#10;AA8AAAAAAAAAAQAgAAAAIgAAAGRycy9kb3ducmV2LnhtbFBLAQIUABQAAAAIAIdO4kAeRhGuUwIA&#10;AGYEAAAOAAAAAAAAAAEAIAAAACcBAABkcnMvZTJvRG9jLnhtbFBLBQYAAAAABgAGAFkBAADsBQAA&#10;AAA=&#10;">
                <v:fill on="t" focussize="0,0"/>
                <v:stroke color="#000000" miterlimit="8"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附：法定代表人身份证复印件正反面</w:t>
                      </w:r>
                    </w:p>
                  </w:txbxContent>
                </v:textbox>
              </v:shape>
            </w:pict>
          </mc:Fallback>
        </mc:AlternateContent>
      </w:r>
      <w:r>
        <w:rPr>
          <w:rFonts w:hint="eastAsia" w:ascii="宋体" w:hAnsi="宋体" w:cs="宋体"/>
          <w:b/>
          <w:color w:val="auto"/>
          <w:kern w:val="0"/>
          <w:szCs w:val="21"/>
          <w:highlight w:val="none"/>
        </w:rPr>
        <w:br w:type="page"/>
      </w:r>
      <w:r>
        <w:rPr>
          <w:rFonts w:hint="eastAsia" w:ascii="宋体" w:hAnsi="宋体" w:cs="宋体"/>
          <w:b/>
          <w:color w:val="auto"/>
          <w:szCs w:val="21"/>
          <w:highlight w:val="none"/>
        </w:rPr>
        <w:t xml:space="preserve">附件四：                       </w:t>
      </w:r>
      <w:r>
        <w:rPr>
          <w:rFonts w:hint="eastAsia" w:ascii="宋体" w:hAnsi="宋体" w:cs="宋体"/>
          <w:b/>
          <w:color w:val="auto"/>
          <w:sz w:val="24"/>
          <w:szCs w:val="24"/>
          <w:highlight w:val="none"/>
        </w:rPr>
        <w:t>法定代表人/负责人授权委托书</w:t>
      </w:r>
    </w:p>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（如报价文件签署人不是法定代表人需提供）</w:t>
      </w:r>
    </w:p>
    <w:p>
      <w:pPr>
        <w:jc w:val="center"/>
        <w:rPr>
          <w:rFonts w:hint="eastAsia" w:ascii="仿宋_GB2312" w:hAnsi="仿宋_GB2312" w:eastAsia="仿宋_GB2312" w:cs="仿宋_GB2312"/>
          <w:b/>
          <w:color w:val="auto"/>
          <w:sz w:val="24"/>
          <w:szCs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（报价人名称）的法定代表人（单位负责人），现委托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（姓名）为我方代理人。代理人根据授权，以我方名义签署、澄清确认、说明、补正、递交、撤回、修改项目编号为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报价文件、签订合同和处理有关事宜，其法律后果由我方承担。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授权委托期限：自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附：法定代表人（单位负责人）身份证复印件及委托代理人身份证复印件。</w:t>
      </w:r>
    </w:p>
    <w:p>
      <w:pPr>
        <w:pStyle w:val="11"/>
        <w:ind w:left="420"/>
        <w:rPr>
          <w:color w:val="auto"/>
          <w:highlight w:val="none"/>
        </w:rPr>
      </w:pPr>
      <w:r>
        <w:rPr>
          <w:rFonts w:hint="eastAsia" w:ascii="宋体" w:hAnsi="宋体" w:cs="宋体"/>
          <w:color w:val="auto"/>
          <w:szCs w:val="21"/>
          <w:highlight w:val="none"/>
        </w:rPr>
        <w:t xml:space="preserve">    注：本授权委托书需由供应商加盖单位公章并由其法定代表人（单位负责人）和委托代理人签字或盖章。</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197485</wp:posOffset>
                </wp:positionV>
                <wp:extent cx="2544445" cy="1004570"/>
                <wp:effectExtent l="6350" t="13335" r="11430" b="10795"/>
                <wp:wrapNone/>
                <wp:docPr id="1116753302"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544445" cy="1004570"/>
                        </a:xfrm>
                        <a:prstGeom prst="flowChartAlternateProcess">
                          <a:avLst/>
                        </a:prstGeom>
                        <a:solidFill>
                          <a:srgbClr val="FFFFFF"/>
                        </a:solidFill>
                        <a:ln w="9525" cmpd="sng">
                          <a:solidFill>
                            <a:srgbClr val="000000"/>
                          </a:solidFill>
                          <a:miter lim="800000"/>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ascii="宋体" w:hAnsi="宋体" w:cs="宋体"/>
                                <w:szCs w:val="21"/>
                              </w:rPr>
                              <w:t>法定代表人（单位负责人）身份证复印件</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7.25pt;margin-top:15.55pt;height:79.1pt;width:200.35pt;z-index:251662336;mso-width-relative:page;mso-height-relative:page;" fillcolor="#FFFFFF" filled="t" stroked="t" coordsize="21600,21600" o:gfxdata="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ImO++1wAAAAkB&#10;AAAPAAAAAAAAAAEAIAAAACIAAABkcnMvZG93bnJldi54bWxQSwECFAAUAAAACACHTuJAGr/a71UC&#10;AAB1BAAADgAAAAAAAAABACAAAAAmAQAAZHJzL2Uyb0RvYy54bWxQSwUGAAAAAAYABgBZAQAA7QUA&#10;AAAA&#10;">
                <v:fill on="t" focussize="0,0"/>
                <v:stroke color="#000000" miterlimit="8"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ascii="宋体" w:hAnsi="宋体" w:cs="宋体"/>
                          <w:szCs w:val="21"/>
                        </w:rPr>
                        <w:t>法定代表人（单位负责人）身份证复印件</w:t>
                      </w:r>
                    </w:p>
                  </w:txbxContent>
                </v:textbox>
              </v:shape>
            </w:pict>
          </mc:Fallback>
        </mc:AlternateConten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101600</wp:posOffset>
                </wp:positionH>
                <wp:positionV relativeFrom="paragraph">
                  <wp:posOffset>257175</wp:posOffset>
                </wp:positionV>
                <wp:extent cx="2544445" cy="1004570"/>
                <wp:effectExtent l="6350" t="6350" r="11430" b="8255"/>
                <wp:wrapNone/>
                <wp:docPr id="1453311166"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544445" cy="1004570"/>
                        </a:xfrm>
                        <a:prstGeom prst="flowChartAlternateProcess">
                          <a:avLst/>
                        </a:prstGeom>
                        <a:solidFill>
                          <a:srgbClr val="FFFFFF"/>
                        </a:solidFill>
                        <a:ln w="9525" cmpd="sng">
                          <a:solidFill>
                            <a:srgbClr val="000000"/>
                          </a:solidFill>
                          <a:miter lim="800000"/>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委托代理人身份证复印件正反面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8pt;margin-top:20.25pt;height:79.1pt;width:200.35pt;z-index:251663360;mso-width-relative:page;mso-height-relative:page;" fillcolor="#FFFFFF" filled="t" stroked="t" coordsize="21600,21600" o:gfxdata="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tZIth1gAAAAkBAAAPAAAA&#10;AAAAAAEAIAAAACIAAABkcnMvZG93bnJldi54bWxQSwECFAAUAAAACACHTuJAs8vOyFACAABnBAAA&#10;DgAAAAAAAAABACAAAAAlAQAAZHJzL2Uyb0RvYy54bWxQSwUGAAAAAAYABgBZAQAA5wUAAAAA&#10;">
                <v:fill on="t" focussize="0,0"/>
                <v:stroke color="#000000" miterlimit="8"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委托代理人身份证复印件正反面</w:t>
                      </w:r>
                    </w:p>
                    <w:p>
                      <w:pPr>
                        <w:jc w:val="center"/>
                        <w:rPr>
                          <w:szCs w:val="21"/>
                        </w:rPr>
                      </w:pPr>
                    </w:p>
                  </w:txbxContent>
                </v:textbox>
              </v:shape>
            </w:pict>
          </mc:Fallback>
        </mc:AlternateConten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报价人名称（盖单位公章）：</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法定代表人（单位负责人）（签字或盖章）：</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widowControl/>
        <w:tabs>
          <w:tab w:val="left" w:pos="142"/>
        </w:tabs>
        <w:autoSpaceDE w:val="0"/>
        <w:autoSpaceDN w:val="0"/>
        <w:spacing w:line="360" w:lineRule="auto"/>
        <w:ind w:firstLine="420" w:firstLineChars="200"/>
        <w:textAlignment w:val="bottom"/>
        <w:rPr>
          <w:rFonts w:hint="eastAsia" w:ascii="宋体" w:hAnsi="宋体" w:cs="宋体"/>
          <w:color w:val="auto"/>
          <w:szCs w:val="21"/>
          <w:highlight w:val="none"/>
          <w:u w:val="single"/>
        </w:rPr>
      </w:pPr>
      <w:r>
        <w:rPr>
          <w:rFonts w:hint="eastAsia" w:ascii="宋体" w:hAnsi="宋体" w:cs="宋体"/>
          <w:color w:val="auto"/>
          <w:szCs w:val="21"/>
          <w:highlight w:val="none"/>
        </w:rPr>
        <w:t xml:space="preserve">授权委托日期：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360" w:lineRule="auto"/>
        <w:ind w:firstLine="420" w:firstLineChars="200"/>
        <w:rPr>
          <w:rFonts w:hint="eastAsia" w:ascii="宋体" w:hAnsi="宋体" w:cs="宋体"/>
          <w:color w:val="auto"/>
          <w:szCs w:val="21"/>
          <w:highlight w:val="none"/>
        </w:rPr>
      </w:pPr>
    </w:p>
    <w:p>
      <w:pPr>
        <w:pStyle w:val="12"/>
        <w:rPr>
          <w:rFonts w:hint="eastAsia" w:ascii="宋体" w:hAnsi="宋体" w:cs="宋体"/>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t>附件五</w:t>
      </w:r>
    </w:p>
    <w:p>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报价人资格与诚信承诺函</w:t>
      </w:r>
    </w:p>
    <w:p>
      <w:pPr>
        <w:snapToGrid w:val="0"/>
        <w:spacing w:line="360" w:lineRule="auto"/>
        <w:jc w:val="left"/>
        <w:rPr>
          <w:rFonts w:hint="eastAsia" w:ascii="宋体" w:hAnsi="宋体" w:cs="宋体"/>
          <w:color w:val="auto"/>
          <w:szCs w:val="21"/>
          <w:highlight w:val="none"/>
        </w:rPr>
      </w:pPr>
    </w:p>
    <w:p>
      <w:pPr>
        <w:snapToGrid w:val="0"/>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XXXX公司（采购方）</w:t>
      </w:r>
    </w:p>
    <w:p>
      <w:pPr>
        <w:widowControl/>
        <w:spacing w:before="150" w:after="150"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在研究并完全理解了</w:t>
      </w:r>
      <w:r>
        <w:rPr>
          <w:rFonts w:hint="eastAsia" w:ascii="宋体" w:hAnsi="宋体" w:cs="宋体"/>
          <w:color w:val="auto"/>
          <w:szCs w:val="21"/>
          <w:highlight w:val="none"/>
          <w:u w:val="single"/>
        </w:rPr>
        <w:t>广东省机场管理集团有限公司XXXXXX项目</w:t>
      </w:r>
      <w:r>
        <w:rPr>
          <w:rFonts w:hint="eastAsia" w:ascii="宋体" w:hAnsi="宋体" w:cs="宋体"/>
          <w:color w:val="auto"/>
          <w:szCs w:val="21"/>
          <w:highlight w:val="none"/>
        </w:rPr>
        <w:t>竞价文件后，我司完全同意并接受项目竞价文件的所有内容，同时向贵司承诺我司完全符合竞价文件第一部分采购公告</w:t>
      </w:r>
      <w:r>
        <w:rPr>
          <w:rFonts w:hint="eastAsia" w:ascii="宋体" w:hAnsi="宋体" w:cs="宋体"/>
          <w:b/>
          <w:bCs/>
          <w:color w:val="auto"/>
          <w:szCs w:val="21"/>
          <w:highlight w:val="none"/>
        </w:rPr>
        <w:t>第五项，合格供应商资格条件，</w:t>
      </w:r>
      <w:r>
        <w:rPr>
          <w:rFonts w:hint="eastAsia" w:ascii="宋体" w:hAnsi="宋体" w:cs="宋体"/>
          <w:color w:val="auto"/>
          <w:szCs w:val="21"/>
          <w:highlight w:val="none"/>
        </w:rPr>
        <w:t>并完全响应</w:t>
      </w:r>
      <w:r>
        <w:rPr>
          <w:rFonts w:hint="eastAsia" w:ascii="宋体" w:hAnsi="宋体" w:cs="宋体"/>
          <w:color w:val="auto"/>
          <w:kern w:val="0"/>
          <w:szCs w:val="21"/>
          <w:highlight w:val="none"/>
          <w:lang w:bidi="ar"/>
        </w:rPr>
        <w:t>采</w:t>
      </w:r>
      <w:r>
        <w:rPr>
          <w:rFonts w:hint="eastAsia" w:ascii="宋体" w:hAnsi="宋体" w:cs="宋体"/>
          <w:bCs/>
          <w:color w:val="auto"/>
          <w:kern w:val="0"/>
          <w:szCs w:val="21"/>
          <w:highlight w:val="none"/>
          <w:lang w:bidi="ar"/>
        </w:rPr>
        <w:t>购方“供应商不诚信行为”的确定条件。</w:t>
      </w:r>
      <w:r>
        <w:rPr>
          <w:rFonts w:hint="eastAsia" w:ascii="宋体" w:hAnsi="宋体" w:cs="宋体"/>
          <w:color w:val="auto"/>
          <w:szCs w:val="21"/>
          <w:highlight w:val="none"/>
        </w:rPr>
        <w:t>承诺如有造假行为，我司愿意无条件接受采购方的以下处理：</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1.取消本项目报价、成交资格，并在相关网站公示。</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2.由采购方没收合同履约保证金（如有）。</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3.严格按照《广东省机场管理集团有限公司采购合作对象管理办法》接受处罚，禁止参加广东省机场管理集团有限公司本部、各全资、控股公司及集团公司所属非法人实体单位的所有采购项目。</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4.自行承担被取消项目资格的所有后果和责任。</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5.其他行政处理决定。</w:t>
      </w:r>
    </w:p>
    <w:p>
      <w:pPr>
        <w:widowControl/>
        <w:tabs>
          <w:tab w:val="left" w:pos="142"/>
        </w:tabs>
        <w:autoSpaceDE w:val="0"/>
        <w:autoSpaceDN w:val="0"/>
        <w:spacing w:line="336" w:lineRule="auto"/>
        <w:ind w:firstLine="420" w:firstLineChars="200"/>
        <w:textAlignment w:val="bottom"/>
        <w:rPr>
          <w:rFonts w:hint="eastAsia" w:ascii="宋体" w:hAnsi="宋体" w:cs="宋体"/>
          <w:color w:val="auto"/>
          <w:kern w:val="0"/>
          <w:szCs w:val="21"/>
          <w:highlight w:val="none"/>
        </w:rPr>
      </w:pPr>
    </w:p>
    <w:p>
      <w:pPr>
        <w:widowControl/>
        <w:tabs>
          <w:tab w:val="left" w:pos="142"/>
        </w:tabs>
        <w:autoSpaceDE w:val="0"/>
        <w:autoSpaceDN w:val="0"/>
        <w:spacing w:line="336" w:lineRule="auto"/>
        <w:ind w:firstLine="420" w:firstLineChars="200"/>
        <w:textAlignment w:val="bottom"/>
        <w:rPr>
          <w:rFonts w:hint="eastAsia" w:ascii="宋体" w:hAnsi="宋体" w:cs="宋体"/>
          <w:color w:val="auto"/>
          <w:kern w:val="0"/>
          <w:szCs w:val="21"/>
          <w:highlight w:val="none"/>
        </w:rPr>
      </w:pPr>
    </w:p>
    <w:p>
      <w:pPr>
        <w:snapToGrid w:val="0"/>
        <w:spacing w:line="336" w:lineRule="auto"/>
        <w:ind w:firstLine="480" w:firstLineChars="200"/>
        <w:rPr>
          <w:rFonts w:hint="eastAsia" w:ascii="仿宋_GB2312" w:hAnsi="仿宋_GB2312" w:eastAsia="仿宋_GB2312" w:cs="仿宋_GB2312"/>
          <w:color w:val="auto"/>
          <w:sz w:val="24"/>
          <w:szCs w:val="24"/>
          <w:highlight w:val="none"/>
        </w:rPr>
      </w:pP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报价人名称（盖单位公章）：                                    </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报价人法定代表人（单位负责人）或其授权委托代理人（签字或盖章）：                        </w:t>
      </w:r>
    </w:p>
    <w:p>
      <w:pPr>
        <w:snapToGrid w:val="0"/>
        <w:spacing w:line="336" w:lineRule="auto"/>
        <w:ind w:firstLine="420" w:firstLineChars="200"/>
        <w:rPr>
          <w:rFonts w:hint="eastAsia" w:ascii="宋体" w:hAnsi="宋体" w:cs="宋体"/>
          <w:color w:val="auto"/>
          <w:szCs w:val="21"/>
          <w:highlight w:val="none"/>
        </w:rPr>
        <w:sectPr>
          <w:pgSz w:w="11907" w:h="16840"/>
          <w:pgMar w:top="1267" w:right="1197" w:bottom="1384" w:left="1559" w:header="851" w:footer="962" w:gutter="0"/>
          <w:cols w:space="720" w:num="1"/>
          <w:docGrid w:linePitch="462" w:charSpace="0"/>
        </w:sectPr>
      </w:pPr>
      <w:r>
        <w:rPr>
          <w:rFonts w:hint="eastAsia" w:ascii="宋体" w:hAnsi="宋体" w:cs="宋体"/>
          <w:color w:val="auto"/>
          <w:szCs w:val="21"/>
          <w:highlight w:val="none"/>
        </w:rPr>
        <w:t>日期：   年   月  日</w:t>
      </w:r>
    </w:p>
    <w:p>
      <w:pPr>
        <w:widowControl/>
        <w:tabs>
          <w:tab w:val="left" w:pos="142"/>
        </w:tabs>
        <w:autoSpaceDE w:val="0"/>
        <w:autoSpaceDN w:val="0"/>
        <w:spacing w:line="288" w:lineRule="auto"/>
        <w:textAlignment w:val="bottom"/>
        <w:rPr>
          <w:rFonts w:hint="eastAsia" w:ascii="宋体" w:hAnsi="宋体" w:cs="宋体"/>
          <w:color w:val="auto"/>
          <w:sz w:val="24"/>
          <w:szCs w:val="24"/>
          <w:highlight w:val="none"/>
        </w:rPr>
      </w:pPr>
      <w:r>
        <w:rPr>
          <w:rFonts w:hint="eastAsia" w:ascii="宋体" w:hAnsi="宋体" w:cs="宋体"/>
          <w:b/>
          <w:color w:val="auto"/>
          <w:sz w:val="24"/>
          <w:szCs w:val="24"/>
          <w:highlight w:val="none"/>
        </w:rPr>
        <w:t>附件六</w:t>
      </w:r>
    </w:p>
    <w:p>
      <w:pPr>
        <w:jc w:val="center"/>
        <w:rPr>
          <w:rFonts w:hint="eastAsia" w:ascii="宋体" w:hAnsi="宋体" w:cs="宋体"/>
          <w:b/>
          <w:bCs/>
          <w:color w:val="auto"/>
          <w:sz w:val="24"/>
          <w:szCs w:val="24"/>
          <w:highlight w:val="none"/>
        </w:rPr>
      </w:pPr>
      <w:bookmarkStart w:id="10" w:name="_Hlk22711288"/>
      <w:r>
        <w:rPr>
          <w:rFonts w:hint="eastAsia" w:ascii="宋体" w:hAnsi="宋体" w:cs="宋体"/>
          <w:b/>
          <w:bCs/>
          <w:color w:val="auto"/>
          <w:sz w:val="24"/>
          <w:szCs w:val="24"/>
          <w:highlight w:val="none"/>
        </w:rPr>
        <w:t>网上竞价项目采购文件响应承诺书</w:t>
      </w:r>
    </w:p>
    <w:p>
      <w:pPr>
        <w:jc w:val="center"/>
        <w:rPr>
          <w:rFonts w:hint="eastAsia" w:ascii="宋体" w:hAnsi="宋体" w:cs="宋体"/>
          <w:b/>
          <w:bCs/>
          <w:color w:val="auto"/>
          <w:sz w:val="24"/>
          <w:szCs w:val="24"/>
          <w:highlight w:val="none"/>
        </w:rPr>
      </w:pPr>
    </w:p>
    <w:p>
      <w:pPr>
        <w:snapToGrid w:val="0"/>
        <w:spacing w:line="336"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广东省机场XXX公司（采购方单位）</w:t>
      </w:r>
    </w:p>
    <w:p>
      <w:pPr>
        <w:autoSpaceDE w:val="0"/>
        <w:autoSpaceDN w:val="0"/>
        <w:adjustRightInd w:val="0"/>
        <w:spacing w:line="360" w:lineRule="auto"/>
        <w:ind w:right="246"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我司保证提交的XXXX公司XXXXXX项目报价文件所有内容与贵司（单位）的采购文件要求条款完全响应，</w:t>
      </w:r>
      <w:bookmarkEnd w:id="10"/>
      <w:r>
        <w:rPr>
          <w:rFonts w:hint="eastAsia" w:ascii="宋体" w:hAnsi="宋体" w:cs="宋体"/>
          <w:color w:val="auto"/>
          <w:sz w:val="24"/>
          <w:szCs w:val="24"/>
          <w:highlight w:val="none"/>
        </w:rPr>
        <w:t>在此，我方声明如下：</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1.同意并接受采购文件的各项要求，遵守采购文件中的各项规定，按采购文件的要求提供报价。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2.报价有效期为报价截止日之日起</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天（采购方结合项目自行确定），成交人的报价有效期延至合同验收之日。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已经详细地阅读了全部竞价采购文件及其附件，包括澄清及参考文件(如果有的话)。我方已完全清晰理解竞价文件的要求，不存在任何含糊不清和误解之处，同意放弃对这些文件所提出的质疑和质疑的权利。</w:t>
      </w:r>
    </w:p>
    <w:p>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 xml:space="preserve">(报价人名称)     </w:t>
      </w:r>
      <w:r>
        <w:rPr>
          <w:rFonts w:hint="eastAsia" w:ascii="宋体" w:hAnsi="宋体" w:cs="宋体"/>
          <w:color w:val="auto"/>
          <w:sz w:val="24"/>
          <w:szCs w:val="24"/>
          <w:highlight w:val="none"/>
        </w:rPr>
        <w:t>作为报价人正式授权</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 xml:space="preserve">(授权代表全名, 职务)       </w:t>
      </w:r>
      <w:r>
        <w:rPr>
          <w:rFonts w:hint="eastAsia" w:ascii="宋体" w:hAnsi="宋体" w:cs="宋体"/>
          <w:color w:val="auto"/>
          <w:sz w:val="24"/>
          <w:szCs w:val="24"/>
          <w:highlight w:val="none"/>
        </w:rPr>
        <w:t>代表我方全权处理有关本报价的一切事宜。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5.我方已毫无保留地向贵方提供一切所需的证明材料。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6.我方承诺在本次报价文件中提供的一切文件，无论是原件还是复印件均为真实和准确的，绝无任何虚假、伪造和夸大的成份，否则，愿承担相应的后果和法律责任。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7.我方如果成交，将保证履行采购文件以及采购文件修改书（如果有的话）中的全部责任和义务，按质、按量、按期完成《合同书》中的全部任务。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8.我司成交后，将保证严格按照竞价采购文件要求提供货物/服务。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 我方如果成交，我司严格保密本项目的成果文件内容，如因我司管理不善造成泄密情形的，我司接受采购人对我司的“两年内不得参加广东省机场集团及其下属单位的非招标采购活动”的处罚。</w:t>
      </w:r>
    </w:p>
    <w:p>
      <w:pPr>
        <w:snapToGrid w:val="0"/>
        <w:spacing w:line="336" w:lineRule="auto"/>
        <w:ind w:firstLine="480" w:firstLineChars="200"/>
        <w:rPr>
          <w:rFonts w:hint="eastAsia" w:ascii="宋体" w:hAnsi="宋体" w:cs="宋体"/>
          <w:color w:val="auto"/>
          <w:sz w:val="24"/>
          <w:szCs w:val="24"/>
          <w:highlight w:val="none"/>
        </w:rPr>
      </w:pPr>
    </w:p>
    <w:p>
      <w:pPr>
        <w:snapToGrid w:val="0"/>
        <w:spacing w:line="336"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报价人名称（盖单位公章）：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36"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报价人法定代表人（单位负责人）或其授权委托代理人（签字或盖章）：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line="336" w:lineRule="auto"/>
        <w:ind w:firstLine="480" w:firstLineChars="200"/>
        <w:rPr>
          <w:rFonts w:hint="eastAsia" w:ascii="宋体" w:hAnsi="宋体" w:cs="宋体"/>
          <w:color w:val="auto"/>
          <w:sz w:val="24"/>
          <w:szCs w:val="24"/>
          <w:highlight w:val="none"/>
        </w:rPr>
        <w:sectPr>
          <w:pgSz w:w="11907" w:h="16840"/>
          <w:pgMar w:top="1267" w:right="1197" w:bottom="1384" w:left="1559" w:header="851" w:footer="962" w:gutter="0"/>
          <w:cols w:space="720" w:num="1"/>
          <w:docGrid w:linePitch="462" w:charSpace="0"/>
        </w:sectPr>
      </w:pPr>
      <w:r>
        <w:rPr>
          <w:rFonts w:hint="eastAsia" w:ascii="宋体" w:hAnsi="宋体" w:cs="宋体"/>
          <w:color w:val="auto"/>
          <w:sz w:val="24"/>
          <w:szCs w:val="24"/>
          <w:highlight w:val="none"/>
        </w:rPr>
        <w:t>日期：   年   月  日</w:t>
      </w:r>
    </w:p>
    <w:p>
      <w:pPr>
        <w:rPr>
          <w:rFonts w:hint="eastAsia" w:ascii="宋体" w:hAnsi="宋体" w:cs="宋体"/>
          <w:color w:val="auto"/>
          <w:kern w:val="0"/>
          <w:szCs w:val="21"/>
          <w:highlight w:val="none"/>
        </w:rPr>
      </w:pPr>
      <w:r>
        <w:rPr>
          <w:rFonts w:hint="eastAsia" w:ascii="宋体" w:hAnsi="宋体" w:cs="宋体"/>
          <w:b/>
          <w:bCs/>
          <w:color w:val="auto"/>
          <w:szCs w:val="21"/>
          <w:highlight w:val="none"/>
        </w:rPr>
        <w:t>附件七：</w:t>
      </w:r>
    </w:p>
    <w:p>
      <w:pPr>
        <w:jc w:val="center"/>
        <w:rPr>
          <w:rFonts w:hint="eastAsia" w:ascii="宋体" w:hAnsi="宋体" w:cs="宋体"/>
          <w:b/>
          <w:color w:val="auto"/>
          <w:szCs w:val="21"/>
          <w:highlight w:val="none"/>
        </w:rPr>
      </w:pPr>
      <w:r>
        <w:rPr>
          <w:rFonts w:hint="eastAsia" w:ascii="宋体" w:hAnsi="宋体" w:cs="宋体"/>
          <w:b/>
          <w:color w:val="auto"/>
          <w:szCs w:val="21"/>
          <w:highlight w:val="none"/>
        </w:rPr>
        <w:t>“国家企业信用信息公示系统”网站（www.gsxt.gov.cn）格式</w:t>
      </w:r>
    </w:p>
    <w:p>
      <w:pPr>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经营异常名录或严重违法失信企业名单）</w:t>
      </w:r>
    </w:p>
    <w:p>
      <w:pPr>
        <w:spacing w:line="312" w:lineRule="auto"/>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r>
        <w:rPr>
          <w:rFonts w:hint="eastAsia"/>
          <w:color w:val="auto"/>
          <w:highlight w:val="none"/>
        </w:rPr>
        <w:drawing>
          <wp:inline distT="0" distB="0" distL="0" distR="0">
            <wp:extent cx="5756910" cy="3402965"/>
            <wp:effectExtent l="0" t="0" r="0" b="6985"/>
            <wp:docPr id="1836222600" name="图片 2"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22600" name="图片 2" descr="20e1554e9c7d14c9bc8f0a518248f6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6910" cy="3402965"/>
                    </a:xfrm>
                    <a:prstGeom prst="rect">
                      <a:avLst/>
                    </a:prstGeom>
                    <a:noFill/>
                    <a:ln>
                      <a:noFill/>
                    </a:ln>
                    <a:effectLst/>
                  </pic:spPr>
                </pic:pic>
              </a:graphicData>
            </a:graphic>
          </wp:inline>
        </w:drawing>
      </w:r>
      <w:r>
        <w:rPr>
          <w:rFonts w:hint="eastAsia"/>
          <w:color w:val="auto"/>
          <w:highlight w:val="none"/>
        </w:rPr>
        <w:drawing>
          <wp:inline distT="0" distB="0" distL="0" distR="0">
            <wp:extent cx="5629275" cy="3418840"/>
            <wp:effectExtent l="0" t="0" r="9525" b="0"/>
            <wp:docPr id="2136303500" name="图片 1"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03500" name="图片 1" descr="8876a4f4cb1073547e969db5166d6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29275" cy="3418840"/>
                    </a:xfrm>
                    <a:prstGeom prst="rect">
                      <a:avLst/>
                    </a:prstGeom>
                    <a:noFill/>
                    <a:ln>
                      <a:noFill/>
                    </a:ln>
                    <a:effectLst/>
                  </pic:spPr>
                </pic:pic>
              </a:graphicData>
            </a:graphic>
          </wp:inline>
        </w:drawing>
      </w:r>
      <w:r>
        <w:rPr>
          <w:rFonts w:hint="eastAsia"/>
          <w:color w:val="auto"/>
          <w:highlight w:val="none"/>
        </w:rPr>
        <w:t xml:space="preserve">       </w:t>
      </w:r>
      <w:r>
        <w:rPr>
          <w:rFonts w:hint="eastAsia" w:ascii="宋体" w:hAnsi="宋体" w:cs="宋体"/>
          <w:color w:val="auto"/>
          <w:szCs w:val="21"/>
          <w:highlight w:val="none"/>
        </w:rPr>
        <w:t>注：</w:t>
      </w:r>
      <w:r>
        <w:rPr>
          <w:rFonts w:hint="eastAsia" w:ascii="宋体" w:hAnsi="宋体" w:cs="宋体"/>
          <w:color w:val="auto"/>
          <w:kern w:val="0"/>
          <w:szCs w:val="21"/>
          <w:highlight w:val="none"/>
        </w:rPr>
        <w:t>报价人</w:t>
      </w:r>
      <w:r>
        <w:rPr>
          <w:rFonts w:hint="eastAsia" w:ascii="宋体" w:hAnsi="宋体" w:cs="宋体"/>
          <w:color w:val="auto"/>
          <w:szCs w:val="21"/>
          <w:highlight w:val="none"/>
        </w:rPr>
        <w:t>须按上述格式要求截图并加盖公章，截图清晰显示单位名称及查询结果。</w:t>
      </w:r>
    </w:p>
    <w:p>
      <w:pPr>
        <w:jc w:val="center"/>
        <w:rPr>
          <w:color w:val="auto"/>
          <w:highlight w:val="none"/>
        </w:rPr>
      </w:pPr>
    </w:p>
    <w:p>
      <w:pPr>
        <w:snapToGrid w:val="0"/>
        <w:rPr>
          <w:rFonts w:hint="eastAsia" w:ascii="宋体" w:hAnsi="宋体" w:cs="宋体"/>
          <w:b/>
          <w:bCs/>
          <w:color w:val="auto"/>
          <w:szCs w:val="21"/>
          <w:highlight w:val="none"/>
        </w:rPr>
      </w:pPr>
    </w:p>
    <w:p>
      <w:pPr>
        <w:pStyle w:val="11"/>
        <w:ind w:left="0" w:left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附件八：</w:t>
      </w:r>
      <w:r>
        <w:rPr>
          <w:rFonts w:hint="eastAsia" w:ascii="宋体" w:hAnsi="宋体" w:cs="宋体"/>
          <w:b/>
          <w:color w:val="auto"/>
          <w:kern w:val="0"/>
          <w:sz w:val="24"/>
          <w:szCs w:val="24"/>
          <w:highlight w:val="none"/>
        </w:rPr>
        <w:t>报价人提供信用信息报告</w:t>
      </w:r>
    </w:p>
    <w:p>
      <w:pPr>
        <w:snapToGrid w:val="0"/>
        <w:rPr>
          <w:rFonts w:hint="eastAsia" w:ascii="宋体" w:hAnsi="宋体" w:cs="宋体"/>
          <w:b/>
          <w:bCs/>
          <w:color w:val="auto"/>
          <w:sz w:val="24"/>
          <w:szCs w:val="24"/>
          <w:highlight w:val="none"/>
        </w:rPr>
      </w:pPr>
    </w:p>
    <w:p>
      <w:pPr>
        <w:jc w:val="center"/>
        <w:rPr>
          <w:rFonts w:hint="eastAsia" w:ascii="宋体" w:hAnsi="宋体" w:cs="宋体"/>
          <w:b/>
          <w:color w:val="auto"/>
          <w:sz w:val="24"/>
          <w:szCs w:val="24"/>
          <w:highlight w:val="none"/>
        </w:rPr>
      </w:pPr>
    </w:p>
    <w:p>
      <w:pPr>
        <w:pStyle w:val="11"/>
        <w:ind w:left="420"/>
        <w:rPr>
          <w:rFonts w:hint="eastAsia" w:ascii="宋体" w:hAnsi="宋体" w:cs="宋体"/>
          <w:color w:val="auto"/>
          <w:sz w:val="24"/>
          <w:szCs w:val="24"/>
          <w:highlight w:val="none"/>
        </w:rPr>
      </w:pPr>
    </w:p>
    <w:p>
      <w:pPr>
        <w:widowControl/>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报价人应登陆“信用中国”网站（www.creditchina.gov.cn）下载</w:t>
      </w:r>
      <w:r>
        <w:rPr>
          <w:rFonts w:hint="eastAsia" w:ascii="宋体" w:hAnsi="宋体" w:cs="宋体"/>
          <w:bCs/>
          <w:color w:val="auto"/>
          <w:kern w:val="0"/>
          <w:sz w:val="24"/>
          <w:szCs w:val="24"/>
          <w:highlight w:val="none"/>
        </w:rPr>
        <w:t>并提供信用信息报告，报告生成日期为采购方采购公告发布之日后，</w:t>
      </w:r>
      <w:r>
        <w:rPr>
          <w:rFonts w:hint="eastAsia" w:ascii="宋体" w:hAnsi="宋体" w:cs="宋体"/>
          <w:bCs/>
          <w:color w:val="auto"/>
          <w:kern w:val="0"/>
          <w:sz w:val="24"/>
          <w:szCs w:val="24"/>
          <w:highlight w:val="none"/>
        </w:rPr>
        <w:t>且必须文字清晰并加盖报价人单位公章和骑缝章，供应商未按要求提供，其报价文件将被采购方拒绝接收。</w:t>
      </w:r>
    </w:p>
    <w:p>
      <w:pPr>
        <w:widowControl/>
        <w:spacing w:line="360" w:lineRule="auto"/>
        <w:ind w:firstLine="482" w:firstLineChars="200"/>
        <w:rPr>
          <w:rFonts w:hint="eastAsia" w:ascii="宋体" w:hAnsi="宋体" w:cs="宋体"/>
          <w:b/>
          <w:color w:val="auto"/>
          <w:kern w:val="0"/>
          <w:sz w:val="24"/>
          <w:szCs w:val="24"/>
          <w:highlight w:val="none"/>
        </w:rPr>
      </w:pPr>
    </w:p>
    <w:p>
      <w:pPr>
        <w:widowControl/>
        <w:spacing w:line="360" w:lineRule="auto"/>
        <w:ind w:firstLine="482" w:firstLineChars="200"/>
        <w:rPr>
          <w:rFonts w:hint="eastAsia" w:ascii="宋体" w:hAnsi="宋体" w:cs="宋体"/>
          <w:b/>
          <w:color w:val="auto"/>
          <w:kern w:val="0"/>
          <w:sz w:val="24"/>
          <w:szCs w:val="24"/>
          <w:highlight w:val="none"/>
        </w:rPr>
      </w:pPr>
    </w:p>
    <w:p>
      <w:pPr>
        <w:widowControl/>
        <w:spacing w:line="360" w:lineRule="auto"/>
        <w:ind w:firstLine="482" w:firstLineChars="200"/>
        <w:rPr>
          <w:rFonts w:hint="eastAsia" w:ascii="宋体" w:hAnsi="宋体" w:cs="宋体"/>
          <w:b/>
          <w:color w:val="auto"/>
          <w:kern w:val="0"/>
          <w:sz w:val="24"/>
          <w:szCs w:val="24"/>
          <w:highlight w:val="none"/>
        </w:rPr>
      </w:pPr>
    </w:p>
    <w:p>
      <w:pPr>
        <w:widowControl/>
        <w:spacing w:line="360" w:lineRule="auto"/>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注：报价人确定为成交供应商后，如在合同签订时发生严重失信行为的，采购方有权取消其成交资格，对此采购方不会向供应商提供任何补偿和费用。</w:t>
      </w:r>
    </w:p>
    <w:p>
      <w:pPr>
        <w:pStyle w:val="4"/>
        <w:spacing w:before="61"/>
        <w:rPr>
          <w:rFonts w:hint="eastAsia" w:ascii="宋体" w:hAnsi="宋体" w:eastAsia="宋体" w:cs="宋体"/>
          <w:b/>
          <w:bCs/>
          <w:color w:val="auto"/>
          <w:sz w:val="24"/>
          <w:szCs w:val="24"/>
          <w:highlight w:val="none"/>
        </w:rPr>
      </w:pPr>
    </w:p>
    <w:p>
      <w:pPr>
        <w:pStyle w:val="4"/>
        <w:spacing w:before="61"/>
        <w:rPr>
          <w:rFonts w:hint="eastAsia" w:ascii="宋体" w:hAnsi="宋体" w:eastAsia="宋体" w:cs="宋体"/>
          <w:b/>
          <w:bCs/>
          <w:color w:val="auto"/>
          <w:sz w:val="21"/>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pStyle w:val="11"/>
        <w:ind w:left="420"/>
        <w:rPr>
          <w:rFonts w:hint="eastAsia" w:ascii="宋体" w:hAnsi="宋体" w:cs="宋体"/>
          <w:b/>
          <w:bCs/>
          <w:color w:val="auto"/>
          <w:szCs w:val="21"/>
          <w:highlight w:val="none"/>
        </w:rPr>
      </w:pPr>
    </w:p>
    <w:p>
      <w:pPr>
        <w:rPr>
          <w:color w:val="auto"/>
          <w:highlight w:val="none"/>
        </w:rPr>
      </w:pPr>
    </w:p>
    <w:p>
      <w:pPr>
        <w:pStyle w:val="4"/>
        <w:spacing w:before="61"/>
        <w:rPr>
          <w:rFonts w:hint="eastAsia" w:ascii="宋体" w:hAnsi="宋体" w:eastAsia="宋体" w:cs="宋体"/>
          <w:b/>
          <w:bCs/>
          <w:color w:val="auto"/>
          <w:sz w:val="21"/>
          <w:szCs w:val="21"/>
          <w:highlight w:val="none"/>
        </w:rPr>
      </w:pPr>
    </w:p>
    <w:p>
      <w:pPr>
        <w:pStyle w:val="4"/>
        <w:spacing w:before="6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附件九  </w:t>
      </w:r>
      <w:r>
        <w:rPr>
          <w:rFonts w:hint="eastAsia" w:ascii="宋体" w:hAnsi="宋体" w:eastAsia="宋体" w:cs="宋体"/>
          <w:b/>
          <w:bCs/>
          <w:color w:val="auto"/>
          <w:sz w:val="21"/>
          <w:szCs w:val="21"/>
          <w:highlight w:val="none"/>
        </w:rPr>
        <w:t>制造商授权书</w:t>
      </w:r>
    </w:p>
    <w:p>
      <w:pPr>
        <w:pStyle w:val="14"/>
        <w:spacing w:before="12"/>
        <w:rPr>
          <w:rFonts w:hint="eastAsia" w:ascii="宋体" w:hAnsi="宋体" w:eastAsia="宋体" w:cs="宋体"/>
          <w:color w:val="auto"/>
          <w:sz w:val="21"/>
          <w:szCs w:val="21"/>
          <w:highlight w:val="none"/>
        </w:rPr>
      </w:pPr>
    </w:p>
    <w:p>
      <w:pPr>
        <w:spacing w:before="61"/>
        <w:ind w:right="293"/>
        <w:jc w:val="center"/>
        <w:rPr>
          <w:rFonts w:hint="eastAsia" w:ascii="宋体" w:hAnsi="宋体" w:cs="宋体"/>
          <w:color w:val="auto"/>
          <w:szCs w:val="21"/>
          <w:highlight w:val="none"/>
        </w:rPr>
      </w:pPr>
      <w:r>
        <w:rPr>
          <w:rFonts w:hint="eastAsia" w:ascii="宋体" w:hAnsi="宋体" w:cs="宋体"/>
          <w:color w:val="auto"/>
          <w:szCs w:val="21"/>
          <w:highlight w:val="none"/>
        </w:rPr>
        <w:t>制造商授权书</w:t>
      </w:r>
    </w:p>
    <w:p>
      <w:pPr>
        <w:pStyle w:val="14"/>
        <w:rPr>
          <w:rFonts w:hint="eastAsia" w:ascii="宋体" w:hAnsi="宋体" w:eastAsia="宋体" w:cs="宋体"/>
          <w:color w:val="auto"/>
          <w:sz w:val="21"/>
          <w:szCs w:val="21"/>
          <w:highlight w:val="none"/>
        </w:rPr>
      </w:pPr>
    </w:p>
    <w:p>
      <w:pPr>
        <w:pStyle w:val="14"/>
        <w:spacing w:before="6"/>
        <w:rPr>
          <w:rFonts w:hint="eastAsia" w:ascii="宋体" w:hAnsi="宋体" w:eastAsia="宋体" w:cs="宋体"/>
          <w:color w:val="auto"/>
          <w:sz w:val="21"/>
          <w:szCs w:val="21"/>
          <w:highlight w:val="none"/>
        </w:rPr>
      </w:pPr>
    </w:p>
    <w:p>
      <w:pPr>
        <w:pStyle w:val="14"/>
        <w:tabs>
          <w:tab w:val="left" w:pos="2291"/>
        </w:tabs>
        <w:spacing w:before="79" w:line="360" w:lineRule="auto"/>
        <w:ind w:left="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（采购方）</w:t>
      </w:r>
    </w:p>
    <w:p>
      <w:pPr>
        <w:pStyle w:val="14"/>
        <w:tabs>
          <w:tab w:val="left" w:pos="2589"/>
          <w:tab w:val="left" w:pos="5914"/>
        </w:tabs>
        <w:spacing w:before="170" w:line="360" w:lineRule="auto"/>
        <w:ind w:left="8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（制造商名称）是按</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2"/>
          <w:sz w:val="21"/>
          <w:szCs w:val="21"/>
          <w:highlight w:val="none"/>
        </w:rPr>
        <w:t>（国家／地区名称</w:t>
      </w:r>
      <w:r>
        <w:rPr>
          <w:rFonts w:hint="eastAsia" w:ascii="宋体" w:hAnsi="宋体" w:eastAsia="宋体" w:cs="宋体"/>
          <w:color w:val="auto"/>
          <w:spacing w:val="-1"/>
          <w:sz w:val="21"/>
          <w:szCs w:val="21"/>
          <w:highlight w:val="none"/>
        </w:rPr>
        <w:t>）法律成立的一</w:t>
      </w:r>
    </w:p>
    <w:p>
      <w:pPr>
        <w:pStyle w:val="14"/>
        <w:tabs>
          <w:tab w:val="left" w:pos="4461"/>
          <w:tab w:val="left" w:pos="7786"/>
        </w:tabs>
        <w:spacing w:before="173" w:line="360" w:lineRule="auto"/>
        <w:ind w:left="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家制造商，主要营业地点设在</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（制造商地址</w:t>
      </w:r>
      <w:r>
        <w:rPr>
          <w:rFonts w:hint="eastAsia" w:ascii="宋体" w:hAnsi="宋体" w:eastAsia="宋体" w:cs="宋体"/>
          <w:color w:val="auto"/>
          <w:spacing w:val="-106"/>
          <w:sz w:val="21"/>
          <w:szCs w:val="21"/>
          <w:highlight w:val="none"/>
        </w:rPr>
        <w:t>）</w:t>
      </w:r>
      <w:r>
        <w:rPr>
          <w:rFonts w:hint="eastAsia" w:ascii="宋体" w:hAnsi="宋体" w:eastAsia="宋体" w:cs="宋体"/>
          <w:color w:val="auto"/>
          <w:sz w:val="21"/>
          <w:szCs w:val="21"/>
          <w:highlight w:val="none"/>
        </w:rPr>
        <w:t>。兹授权按</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
          <w:sz w:val="21"/>
          <w:szCs w:val="21"/>
          <w:highlight w:val="none"/>
        </w:rPr>
        <w:t>（国</w:t>
      </w:r>
      <w:r>
        <w:rPr>
          <w:rFonts w:hint="eastAsia" w:ascii="宋体" w:hAnsi="宋体" w:eastAsia="宋体" w:cs="宋体"/>
          <w:color w:val="auto"/>
          <w:sz w:val="21"/>
          <w:szCs w:val="21"/>
          <w:highlight w:val="none"/>
        </w:rPr>
        <w:t>家／地区名称</w:t>
      </w:r>
      <w:r>
        <w:rPr>
          <w:rFonts w:hint="eastAsia" w:ascii="宋体" w:hAnsi="宋体" w:eastAsia="宋体" w:cs="宋体"/>
          <w:color w:val="auto"/>
          <w:spacing w:val="-99"/>
          <w:sz w:val="21"/>
          <w:szCs w:val="21"/>
          <w:highlight w:val="none"/>
        </w:rPr>
        <w:t>）</w:t>
      </w:r>
      <w:r>
        <w:rPr>
          <w:rFonts w:hint="eastAsia" w:ascii="宋体" w:hAnsi="宋体" w:eastAsia="宋体" w:cs="宋体"/>
          <w:color w:val="auto"/>
          <w:sz w:val="21"/>
          <w:szCs w:val="21"/>
          <w:highlight w:val="none"/>
        </w:rPr>
        <w:t>的法律正式成立的，主要营业地点设在</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（报价人的单位地址</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pacing w:val="-2"/>
          <w:sz w:val="21"/>
          <w:szCs w:val="21"/>
          <w:highlight w:val="none"/>
          <w:u w:val="single"/>
        </w:rPr>
        <w:t>（报价人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 xml:space="preserve">以我单位制造的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（材料名称）进行</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5"/>
          <w:sz w:val="21"/>
          <w:szCs w:val="21"/>
          <w:highlight w:val="none"/>
        </w:rPr>
        <w:t>（项</w:t>
      </w:r>
      <w:r>
        <w:rPr>
          <w:rFonts w:hint="eastAsia" w:ascii="宋体" w:hAnsi="宋体" w:eastAsia="宋体" w:cs="宋体"/>
          <w:color w:val="auto"/>
          <w:spacing w:val="-4"/>
          <w:sz w:val="21"/>
          <w:szCs w:val="21"/>
          <w:highlight w:val="none"/>
        </w:rPr>
        <w:t>目名称）竞价</w:t>
      </w:r>
      <w:r>
        <w:rPr>
          <w:rFonts w:hint="eastAsia" w:ascii="宋体" w:hAnsi="宋体" w:eastAsia="宋体" w:cs="宋体"/>
          <w:color w:val="auto"/>
          <w:sz w:val="21"/>
          <w:szCs w:val="21"/>
          <w:highlight w:val="none"/>
        </w:rPr>
        <w:t>活动。我单位同意按照合同供货，并对产品质量承担责任。授权期限：</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14"/>
        <w:rPr>
          <w:rFonts w:hint="eastAsia" w:ascii="宋体" w:hAnsi="宋体" w:eastAsia="宋体" w:cs="宋体"/>
          <w:color w:val="auto"/>
          <w:sz w:val="21"/>
          <w:szCs w:val="21"/>
          <w:highlight w:val="none"/>
        </w:rPr>
      </w:pPr>
    </w:p>
    <w:p>
      <w:pPr>
        <w:pStyle w:val="14"/>
        <w:rPr>
          <w:rFonts w:hint="eastAsia" w:ascii="宋体" w:hAnsi="宋体" w:eastAsia="宋体" w:cs="宋体"/>
          <w:color w:val="auto"/>
          <w:sz w:val="21"/>
          <w:szCs w:val="21"/>
          <w:highlight w:val="none"/>
        </w:rPr>
      </w:pPr>
    </w:p>
    <w:p>
      <w:pPr>
        <w:pStyle w:val="14"/>
        <w:spacing w:before="10"/>
        <w:rPr>
          <w:rFonts w:hint="eastAsia" w:ascii="宋体" w:hAnsi="宋体" w:eastAsia="宋体" w:cs="宋体"/>
          <w:color w:val="auto"/>
          <w:sz w:val="21"/>
          <w:szCs w:val="21"/>
          <w:highlight w:val="none"/>
        </w:rPr>
      </w:pPr>
    </w:p>
    <w:p>
      <w:pPr>
        <w:pStyle w:val="14"/>
        <w:tabs>
          <w:tab w:val="left" w:pos="3340"/>
          <w:tab w:val="left" w:pos="7872"/>
        </w:tabs>
        <w:spacing w:before="78"/>
        <w:ind w:left="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报价人名称：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（盖单位章）</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制造商名称：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（盖单位章）</w:t>
      </w:r>
    </w:p>
    <w:p>
      <w:pPr>
        <w:pStyle w:val="14"/>
        <w:tabs>
          <w:tab w:val="left" w:pos="4650"/>
          <w:tab w:val="left" w:pos="9058"/>
        </w:tabs>
        <w:spacing w:before="170"/>
        <w:ind w:left="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签字人职务：</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
          <w:sz w:val="21"/>
          <w:szCs w:val="21"/>
          <w:highlight w:val="none"/>
        </w:rPr>
        <w:t>签字</w:t>
      </w:r>
      <w:r>
        <w:rPr>
          <w:rFonts w:hint="eastAsia" w:ascii="宋体" w:hAnsi="宋体" w:eastAsia="宋体" w:cs="宋体"/>
          <w:color w:val="auto"/>
          <w:sz w:val="21"/>
          <w:szCs w:val="21"/>
          <w:highlight w:val="none"/>
        </w:rPr>
        <w:t>人职务：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14"/>
        <w:tabs>
          <w:tab w:val="left" w:pos="4650"/>
          <w:tab w:val="left" w:pos="9058"/>
        </w:tabs>
        <w:spacing w:before="173"/>
        <w:ind w:left="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签字人姓名：</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
          <w:sz w:val="21"/>
          <w:szCs w:val="21"/>
          <w:highlight w:val="none"/>
        </w:rPr>
        <w:t>签字</w:t>
      </w:r>
      <w:r>
        <w:rPr>
          <w:rFonts w:hint="eastAsia" w:ascii="宋体" w:hAnsi="宋体" w:eastAsia="宋体" w:cs="宋体"/>
          <w:color w:val="auto"/>
          <w:sz w:val="21"/>
          <w:szCs w:val="21"/>
          <w:highlight w:val="none"/>
        </w:rPr>
        <w:t>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14"/>
        <w:tabs>
          <w:tab w:val="left" w:pos="4650"/>
          <w:tab w:val="left" w:pos="9058"/>
        </w:tabs>
        <w:spacing w:before="170"/>
        <w:ind w:left="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签字人签名：</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
          <w:sz w:val="21"/>
          <w:szCs w:val="21"/>
          <w:highlight w:val="none"/>
        </w:rPr>
        <w:t>签字</w:t>
      </w:r>
      <w:r>
        <w:rPr>
          <w:rFonts w:hint="eastAsia" w:ascii="宋体" w:hAnsi="宋体" w:eastAsia="宋体" w:cs="宋体"/>
          <w:color w:val="auto"/>
          <w:sz w:val="21"/>
          <w:szCs w:val="21"/>
          <w:highlight w:val="none"/>
        </w:rPr>
        <w:t>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rPr>
          <w:rFonts w:hint="eastAsia" w:ascii="宋体" w:hAnsi="宋体" w:cs="宋体"/>
          <w:color w:val="auto"/>
          <w:szCs w:val="21"/>
          <w:highlight w:val="none"/>
        </w:rPr>
      </w:pPr>
    </w:p>
    <w:p>
      <w:pPr>
        <w:pStyle w:val="11"/>
        <w:ind w:left="420"/>
        <w:rPr>
          <w:rFonts w:hint="eastAsia" w:ascii="宋体" w:hAnsi="宋体" w:cs="宋体"/>
          <w:color w:val="auto"/>
          <w:szCs w:val="21"/>
          <w:highlight w:val="none"/>
        </w:rPr>
      </w:pPr>
    </w:p>
    <w:p>
      <w:pPr>
        <w:pStyle w:val="11"/>
        <w:ind w:left="420"/>
        <w:rPr>
          <w:rFonts w:hint="eastAsia" w:ascii="宋体" w:hAnsi="宋体" w:cs="宋体"/>
          <w:color w:val="auto"/>
          <w:szCs w:val="21"/>
          <w:highlight w:val="none"/>
        </w:rPr>
      </w:pPr>
    </w:p>
    <w:p>
      <w:pPr>
        <w:jc w:val="center"/>
        <w:rPr>
          <w:rFonts w:hint="eastAsia" w:ascii="宋体" w:hAnsi="宋体" w:cs="宋体"/>
          <w:b/>
          <w:bCs/>
          <w:color w:val="auto"/>
          <w:szCs w:val="21"/>
          <w:highlight w:val="none"/>
        </w:rPr>
        <w:sectPr>
          <w:pgSz w:w="12240" w:h="15840"/>
          <w:pgMar w:top="1440" w:right="1225" w:bottom="1440" w:left="1293" w:header="0" w:footer="839" w:gutter="0"/>
          <w:cols w:space="720" w:num="1"/>
        </w:sectPr>
      </w:pPr>
      <w:r>
        <w:rPr>
          <w:rFonts w:hint="eastAsia" w:ascii="宋体" w:hAnsi="宋体" w:cs="宋体"/>
          <w:b/>
          <w:bCs/>
          <w:color w:val="auto"/>
          <w:szCs w:val="21"/>
          <w:highlight w:val="none"/>
        </w:rPr>
        <w:t>（采购人可根据项目需要是否要求报价人提供制造商授权书，自行进行删减）</w:t>
      </w:r>
    </w:p>
    <w:p>
      <w:pPr>
        <w:rPr>
          <w:rFonts w:hint="eastAsia" w:ascii="宋体" w:hAnsi="宋体" w:cs="宋体"/>
          <w:b/>
          <w:bCs/>
          <w:color w:val="auto"/>
          <w:szCs w:val="21"/>
          <w:highlight w:val="none"/>
        </w:rPr>
      </w:pPr>
      <w:bookmarkStart w:id="11" w:name="_bookmark156"/>
      <w:bookmarkEnd w:id="11"/>
    </w:p>
    <w:p>
      <w:pPr>
        <w:rPr>
          <w:rFonts w:hint="eastAsia" w:ascii="宋体" w:hAnsi="宋体" w:cs="宋体"/>
          <w:color w:val="auto"/>
          <w:szCs w:val="21"/>
          <w:highlight w:val="none"/>
        </w:rPr>
      </w:pPr>
      <w:r>
        <w:rPr>
          <w:rFonts w:hint="eastAsia" w:ascii="宋体" w:hAnsi="宋体" w:cs="宋体"/>
          <w:b/>
          <w:bCs/>
          <w:color w:val="auto"/>
          <w:szCs w:val="21"/>
          <w:highlight w:val="none"/>
        </w:rPr>
        <w:t>其他附件文件</w:t>
      </w:r>
    </w:p>
    <w:p>
      <w:pPr>
        <w:pStyle w:val="2"/>
        <w:rPr>
          <w:rFonts w:hint="eastAsia" w:ascii="宋体" w:hAnsi="宋体" w:eastAsia="宋体" w:cs="宋体"/>
          <w:color w:val="auto"/>
          <w:sz w:val="21"/>
          <w:szCs w:val="21"/>
          <w:highlight w:val="none"/>
        </w:rPr>
        <w:sectPr>
          <w:footerReference r:id="rId6" w:type="default"/>
          <w:pgSz w:w="12240" w:h="15840"/>
          <w:pgMar w:top="1440" w:right="1080" w:bottom="1440" w:left="1080" w:header="0" w:footer="841" w:gutter="0"/>
          <w:cols w:space="720" w:num="1"/>
        </w:sectPr>
      </w:pPr>
    </w:p>
    <w:p>
      <w:pPr>
        <w:pStyle w:val="14"/>
        <w:spacing w:before="8"/>
        <w:rPr>
          <w:rFonts w:hint="eastAsia" w:ascii="宋体" w:hAnsi="宋体" w:eastAsia="宋体" w:cs="宋体"/>
          <w:color w:val="auto"/>
          <w:sz w:val="21"/>
          <w:szCs w:val="21"/>
          <w:highlight w:val="none"/>
        </w:rPr>
      </w:pPr>
      <w:bookmarkStart w:id="12" w:name="_bookmark157"/>
      <w:bookmarkEnd w:id="12"/>
      <w:bookmarkStart w:id="13" w:name="_bookmark160"/>
      <w:bookmarkEnd w:id="13"/>
    </w:p>
    <w:p>
      <w:pPr>
        <w:pStyle w:val="23"/>
        <w:widowControl/>
        <w:spacing w:before="0" w:beforeAutospacing="0" w:after="200" w:afterAutospacing="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第四部分  合同部分</w:t>
      </w:r>
    </w:p>
    <w:p>
      <w:pPr>
        <w:pStyle w:val="11"/>
        <w:ind w:left="42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广州白云国际机场</w:t>
      </w:r>
    </w:p>
    <w:p>
      <w:pPr>
        <w:rPr>
          <w:rFonts w:hint="eastAsia" w:ascii="宋体" w:hAnsi="宋体" w:cs="宋体"/>
          <w:color w:val="auto"/>
          <w:sz w:val="44"/>
          <w:szCs w:val="44"/>
          <w:highlight w:val="none"/>
        </w:rPr>
      </w:pP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auto"/>
          <w:sz w:val="44"/>
          <w:szCs w:val="44"/>
          <w:highlight w:val="none"/>
          <w:u w:val="single"/>
        </w:rPr>
      </w:pPr>
      <w:r>
        <w:rPr>
          <w:rFonts w:hint="eastAsia" w:ascii="宋体" w:hAnsi="宋体" w:cs="宋体"/>
          <w:b/>
          <w:bCs/>
          <w:color w:val="auto"/>
          <w:sz w:val="44"/>
          <w:szCs w:val="44"/>
          <w:highlight w:val="none"/>
          <w:u w:val="single"/>
        </w:rPr>
        <w:t>普通货物</w:t>
      </w:r>
      <w:r>
        <w:rPr>
          <w:rFonts w:hint="eastAsia" w:ascii="宋体" w:hAnsi="宋体" w:cs="宋体"/>
          <w:b/>
          <w:color w:val="auto"/>
          <w:sz w:val="44"/>
          <w:szCs w:val="44"/>
          <w:highlight w:val="none"/>
          <w:u w:val="single"/>
        </w:rPr>
        <w:t>采购合同</w:t>
      </w: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auto"/>
          <w:sz w:val="44"/>
          <w:szCs w:val="44"/>
          <w:highlight w:val="none"/>
          <w:u w:val="single"/>
        </w:rPr>
      </w:pP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auto"/>
          <w:sz w:val="40"/>
          <w:szCs w:val="40"/>
          <w:highlight w:val="none"/>
        </w:rPr>
      </w:pPr>
      <w:r>
        <w:rPr>
          <w:rFonts w:hint="eastAsia" w:ascii="宋体" w:hAnsi="宋体" w:cs="宋体"/>
          <w:b/>
          <w:color w:val="auto"/>
          <w:sz w:val="40"/>
          <w:szCs w:val="40"/>
          <w:highlight w:val="none"/>
        </w:rPr>
        <w:t>（示范文本）</w:t>
      </w: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pStyle w:val="11"/>
        <w:ind w:left="420"/>
        <w:rPr>
          <w:color w:val="auto"/>
          <w:highlight w:val="none"/>
        </w:rPr>
      </w:pPr>
    </w:p>
    <w:tbl>
      <w:tblPr>
        <w:tblStyle w:val="27"/>
        <w:tblpPr w:leftFromText="180" w:rightFromText="180" w:vertAnchor="text" w:horzAnchor="page" w:tblpX="1904" w:tblpY="456"/>
        <w:tblOverlap w:val="never"/>
        <w:tblW w:w="8723" w:type="dxa"/>
        <w:tblInd w:w="0" w:type="dxa"/>
        <w:tblLayout w:type="fixed"/>
        <w:tblCellMar>
          <w:top w:w="0" w:type="dxa"/>
          <w:left w:w="108" w:type="dxa"/>
          <w:bottom w:w="0" w:type="dxa"/>
          <w:right w:w="108" w:type="dxa"/>
        </w:tblCellMar>
      </w:tblPr>
      <w:tblGrid>
        <w:gridCol w:w="3118"/>
        <w:gridCol w:w="5605"/>
      </w:tblGrid>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甲  方（买  方）：</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Cs/>
                <w:color w:val="auto"/>
                <w:kern w:val="0"/>
                <w:sz w:val="24"/>
                <w:szCs w:val="24"/>
                <w:highlight w:val="none"/>
              </w:rPr>
              <w:t>授权代表</w:t>
            </w:r>
            <w:r>
              <w:rPr>
                <w:rFonts w:hint="eastAsia" w:ascii="宋体" w:hAnsi="宋体" w:cs="宋体"/>
                <w:color w:val="auto"/>
                <w:sz w:val="24"/>
                <w:szCs w:val="24"/>
                <w:highlight w:val="none"/>
              </w:rPr>
              <w:t>：</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8723" w:type="dxa"/>
            <w:gridSpan w:val="2"/>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乙  方（卖  方）：</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bCs/>
                <w:color w:val="auto"/>
                <w:kern w:val="0"/>
                <w:sz w:val="24"/>
                <w:szCs w:val="24"/>
                <w:highlight w:val="none"/>
              </w:rPr>
              <w:t>授权代表</w:t>
            </w:r>
            <w:r>
              <w:rPr>
                <w:rFonts w:hint="eastAsia" w:ascii="宋体" w:hAnsi="宋体" w:cs="宋体"/>
                <w:color w:val="auto"/>
                <w:sz w:val="24"/>
                <w:szCs w:val="24"/>
                <w:highlight w:val="none"/>
              </w:rPr>
              <w:t>：</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5605" w:type="dxa"/>
            <w:vAlign w:val="center"/>
          </w:tcPr>
          <w:p>
            <w:pPr>
              <w:spacing w:line="520" w:lineRule="exact"/>
              <w:rPr>
                <w:rFonts w:hint="eastAsia" w:ascii="宋体" w:hAnsi="宋体" w:cs="宋体"/>
                <w:color w:val="auto"/>
                <w:sz w:val="24"/>
                <w:szCs w:val="24"/>
                <w:highlight w:val="none"/>
              </w:rPr>
            </w:pPr>
          </w:p>
        </w:tc>
      </w:tr>
      <w:tr>
        <w:tblPrEx>
          <w:tblCellMar>
            <w:top w:w="0" w:type="dxa"/>
            <w:left w:w="108" w:type="dxa"/>
            <w:bottom w:w="0" w:type="dxa"/>
            <w:right w:w="108" w:type="dxa"/>
          </w:tblCellMar>
        </w:tblPrEx>
        <w:tc>
          <w:tcPr>
            <w:tcW w:w="3118" w:type="dxa"/>
            <w:vAlign w:val="center"/>
          </w:tcPr>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5605" w:type="dxa"/>
            <w:vAlign w:val="center"/>
          </w:tcPr>
          <w:p>
            <w:pPr>
              <w:spacing w:line="520" w:lineRule="exact"/>
              <w:rPr>
                <w:rFonts w:hint="eastAsia" w:ascii="宋体" w:hAnsi="宋体" w:cs="宋体"/>
                <w:color w:val="auto"/>
                <w:sz w:val="24"/>
                <w:szCs w:val="24"/>
                <w:highlight w:val="none"/>
              </w:rPr>
            </w:pPr>
          </w:p>
        </w:tc>
      </w:tr>
    </w:tbl>
    <w:p>
      <w:pPr>
        <w:spacing w:line="360" w:lineRule="auto"/>
        <w:jc w:val="center"/>
        <w:outlineLvl w:val="0"/>
        <w:rPr>
          <w:rFonts w:hint="eastAsia" w:hAnsi="宋体" w:cs="宋体"/>
          <w:b/>
          <w:bCs/>
          <w:color w:val="auto"/>
          <w:sz w:val="28"/>
          <w:szCs w:val="28"/>
          <w:highlight w:val="none"/>
        </w:rPr>
      </w:pPr>
    </w:p>
    <w:p>
      <w:pPr>
        <w:spacing w:line="360" w:lineRule="auto"/>
        <w:jc w:val="center"/>
        <w:outlineLvl w:val="0"/>
        <w:rPr>
          <w:rFonts w:hint="eastAsia" w:ascii="宋体" w:hAnsi="宋体" w:cs="宋体"/>
          <w:color w:val="auto"/>
          <w:sz w:val="28"/>
          <w:szCs w:val="28"/>
          <w:highlight w:val="none"/>
          <w:u w:val="single"/>
        </w:rPr>
      </w:pPr>
      <w:r>
        <w:rPr>
          <w:rFonts w:hint="eastAsia" w:hAnsi="宋体" w:cs="宋体"/>
          <w:b/>
          <w:bCs/>
          <w:color w:val="auto"/>
          <w:sz w:val="28"/>
          <w:szCs w:val="28"/>
          <w:highlight w:val="none"/>
        </w:rPr>
        <w:t>第一部分</w:t>
      </w:r>
      <w:r>
        <w:rPr>
          <w:rFonts w:hAnsi="宋体" w:cs="宋体"/>
          <w:b/>
          <w:bCs/>
          <w:color w:val="auto"/>
          <w:sz w:val="28"/>
          <w:szCs w:val="28"/>
          <w:highlight w:val="none"/>
        </w:rPr>
        <w:t xml:space="preserve">  </w:t>
      </w:r>
      <w:r>
        <w:rPr>
          <w:rFonts w:hint="eastAsia" w:hAnsi="宋体" w:cs="宋体"/>
          <w:b/>
          <w:bCs/>
          <w:color w:val="auto"/>
          <w:sz w:val="28"/>
          <w:szCs w:val="28"/>
          <w:highlight w:val="none"/>
        </w:rPr>
        <w:t>合同通用条款</w:t>
      </w:r>
    </w:p>
    <w:p>
      <w:pPr>
        <w:widowControl/>
        <w:tabs>
          <w:tab w:val="left" w:pos="567"/>
        </w:tabs>
        <w:autoSpaceDE w:val="0"/>
        <w:autoSpaceDN w:val="0"/>
        <w:adjustRightInd w:val="0"/>
        <w:spacing w:before="156" w:after="156" w:line="360" w:lineRule="auto"/>
        <w:ind w:firstLine="720" w:firstLineChars="3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广州白云国际机场        </w:t>
      </w:r>
      <w:r>
        <w:rPr>
          <w:rFonts w:hint="eastAsia" w:ascii="宋体" w:hAnsi="宋体" w:cs="宋体"/>
          <w:color w:val="auto"/>
          <w:sz w:val="24"/>
          <w:szCs w:val="24"/>
          <w:highlight w:val="none"/>
        </w:rPr>
        <w:t>公司（以下简称甲方）与</w:t>
      </w:r>
      <w:r>
        <w:rPr>
          <w:rFonts w:hint="eastAsia" w:ascii="宋体" w:hAnsi="宋体" w:cs="宋体"/>
          <w:color w:val="auto"/>
          <w:sz w:val="24"/>
          <w:szCs w:val="24"/>
          <w:highlight w:val="none"/>
          <w:u w:val="single"/>
        </w:rPr>
        <w:t xml:space="preserve">    （公司名称）                 </w:t>
      </w:r>
      <w:r>
        <w:rPr>
          <w:rFonts w:hint="eastAsia" w:ascii="宋体" w:hAnsi="宋体" w:cs="宋体"/>
          <w:color w:val="auto"/>
          <w:sz w:val="24"/>
          <w:szCs w:val="24"/>
          <w:highlight w:val="none"/>
        </w:rPr>
        <w:t>（以下简称乙方）就乙方为</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 xml:space="preserve"> 而向甲方提供货物供应及相关服务，经买卖双方协商一致，签订本合同，共同遵守如下条款：</w:t>
      </w:r>
    </w:p>
    <w:p>
      <w:pPr>
        <w:pStyle w:val="4"/>
        <w:keepNext w:val="0"/>
        <w:keepLines w:val="0"/>
        <w:numPr>
          <w:ilvl w:val="0"/>
          <w:numId w:val="3"/>
        </w:numPr>
        <w:tabs>
          <w:tab w:val="left" w:pos="420"/>
          <w:tab w:val="left" w:pos="824"/>
        </w:tabs>
        <w:spacing w:before="0" w:after="0"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定义</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1.1   在本合同中（包括附件），如有下列名词及术语，除另有明确说明或上下文另有要求，均应具有本款所赋予的含义。</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1.2   “合同”是指买卖双方签署的、载明买卖双方约定权利义务的协议，包括所有的附件、上述文件所提到的构成合同的所有文件以及日后对原合同做出的任何书面更改。</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1.3   “合同价格”是指在乙方完全和适当地履行其合同义务后，甲方根据合同规定应支付给乙方的价款。</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1.4   “生效日期”是指本合同第13条中所规定的合同的生效日期。</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1.5   “技术资料”是指与合同产品相关的设计、制造、监造、检验、安装、调试、验收、性能验收试验和技术指导等文件（包括图纸、各种文字说明、标准、各种软件）。</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1.6   “日、月、年”是指公历的日、月、年；“天”是指24小时；“周”是指7天。</w:t>
      </w:r>
    </w:p>
    <w:p>
      <w:pPr>
        <w:pStyle w:val="4"/>
        <w:keepNext w:val="0"/>
        <w:keepLines w:val="0"/>
        <w:tabs>
          <w:tab w:val="left" w:pos="420"/>
          <w:tab w:val="left" w:pos="824"/>
        </w:tabs>
        <w:spacing w:before="0" w:after="0" w:line="360" w:lineRule="auto"/>
        <w:rPr>
          <w:color w:val="auto"/>
          <w:highlight w:val="none"/>
        </w:rPr>
      </w:pPr>
      <w:bookmarkStart w:id="14" w:name="_Toc268090357"/>
      <w:bookmarkStart w:id="15" w:name="_Toc279258616"/>
      <w:r>
        <w:rPr>
          <w:rFonts w:hint="eastAsia" w:ascii="宋体" w:hAnsi="宋体" w:cs="宋体"/>
          <w:b/>
          <w:color w:val="auto"/>
          <w:sz w:val="24"/>
          <w:szCs w:val="24"/>
          <w:highlight w:val="none"/>
        </w:rPr>
        <w:t>2.</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t>质量标准和技术要求</w:t>
      </w:r>
      <w:bookmarkEnd w:id="14"/>
      <w:bookmarkEnd w:id="15"/>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2.1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货物必须为本合同规定的、全新的、可正常使用的合格产品。</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本合同所指的货物及服务应符合合同附件的技术规格所述的标准。如果没有提及适用标准，则应符合中华人民共和国国家标准或行业标准；以上标准必须是有关机构发布的最新版本的标准。</w:t>
      </w:r>
    </w:p>
    <w:p>
      <w:pPr>
        <w:pStyle w:val="4"/>
        <w:keepNext w:val="0"/>
        <w:keepLines w:val="0"/>
        <w:tabs>
          <w:tab w:val="left" w:pos="420"/>
          <w:tab w:val="left" w:pos="824"/>
        </w:tabs>
        <w:spacing w:before="0" w:after="0" w:line="360" w:lineRule="auto"/>
        <w:rPr>
          <w:color w:val="auto"/>
          <w:highlight w:val="none"/>
        </w:rPr>
      </w:pPr>
      <w:bookmarkStart w:id="16" w:name="_Toc268090358"/>
      <w:bookmarkStart w:id="17" w:name="_Toc279258617"/>
      <w:r>
        <w:rPr>
          <w:rFonts w:hint="eastAsia" w:ascii="宋体" w:hAnsi="宋体" w:cs="宋体"/>
          <w:b/>
          <w:color w:val="auto"/>
          <w:sz w:val="24"/>
          <w:szCs w:val="24"/>
          <w:highlight w:val="none"/>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包装和运输</w:t>
      </w:r>
      <w:bookmarkEnd w:id="16"/>
      <w:bookmarkEnd w:id="17"/>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包装必须与运输方式相适应，包装方式的确定及包装费用均由乙方负责；由于不适当的包装而造成货物在运输过程中有任何损坏由乙方负责。</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3.2</w:t>
      </w:r>
      <w:r>
        <w:rPr>
          <w:rFonts w:hint="eastAsia" w:ascii="宋体" w:hAnsi="宋体" w:cs="宋体"/>
          <w:color w:val="auto"/>
          <w:sz w:val="24"/>
          <w:szCs w:val="24"/>
          <w:highlight w:val="none"/>
        </w:rPr>
        <w:tab/>
      </w:r>
      <w:r>
        <w:rPr>
          <w:rFonts w:hint="eastAsia" w:ascii="宋体" w:hAnsi="宋体" w:cs="宋体"/>
          <w:color w:val="auto"/>
          <w:sz w:val="24"/>
          <w:szCs w:val="24"/>
          <w:highlight w:val="none"/>
        </w:rPr>
        <w:t>包装应足以承受整个过程中的运输、转运、装卸、储存等，充分考虑到运输途中的各种情况（如暴露于恶劣气候等）和广州地区的气候特点，以及露天存放的需要。</w:t>
      </w:r>
    </w:p>
    <w:p>
      <w:pPr>
        <w:tabs>
          <w:tab w:val="left" w:pos="840"/>
        </w:tabs>
        <w:adjustRightInd w:val="0"/>
        <w:spacing w:line="360" w:lineRule="auto"/>
        <w:ind w:left="839" w:hanging="839"/>
        <w:rPr>
          <w:rFonts w:hint="eastAsia" w:ascii="宋体" w:hAnsi="宋体" w:cs="宋体"/>
          <w:color w:val="auto"/>
          <w:sz w:val="24"/>
          <w:szCs w:val="24"/>
          <w:highlight w:val="none"/>
        </w:rPr>
      </w:pPr>
      <w:r>
        <w:rPr>
          <w:rFonts w:hint="eastAsia" w:ascii="宋体" w:hAnsi="宋体" w:cs="宋体"/>
          <w:color w:val="auto"/>
          <w:sz w:val="24"/>
          <w:szCs w:val="24"/>
          <w:highlight w:val="none"/>
        </w:rPr>
        <w:t>3.3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包装费、运费已包含在合同价内。</w:t>
      </w:r>
    </w:p>
    <w:p>
      <w:pPr>
        <w:pStyle w:val="4"/>
        <w:keepNext w:val="0"/>
        <w:keepLines w:val="0"/>
        <w:tabs>
          <w:tab w:val="left" w:pos="420"/>
          <w:tab w:val="left" w:pos="824"/>
        </w:tabs>
        <w:spacing w:before="0" w:after="0" w:line="360" w:lineRule="auto"/>
        <w:rPr>
          <w:rFonts w:eastAsia="宋体"/>
          <w:color w:val="auto"/>
          <w:highlight w:val="none"/>
        </w:rPr>
      </w:pPr>
      <w:bookmarkStart w:id="18" w:name="_Toc279258618"/>
      <w:bookmarkStart w:id="19" w:name="_Toc268090359"/>
      <w:r>
        <w:rPr>
          <w:rFonts w:hint="eastAsia" w:ascii="宋体" w:hAnsi="宋体" w:cs="宋体"/>
          <w:b/>
          <w:color w:val="auto"/>
          <w:sz w:val="24"/>
          <w:szCs w:val="24"/>
          <w:highlight w:val="none"/>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装运单证</w:t>
      </w:r>
      <w:bookmarkEnd w:id="18"/>
      <w:bookmarkEnd w:id="19"/>
      <w:r>
        <w:rPr>
          <w:rFonts w:hint="eastAsia" w:ascii="宋体" w:hAnsi="宋体" w:cs="宋体"/>
          <w:b/>
          <w:color w:val="auto"/>
          <w:sz w:val="24"/>
          <w:szCs w:val="24"/>
          <w:highlight w:val="none"/>
        </w:rPr>
        <w:t xml:space="preserve"> 【如有】</w:t>
      </w:r>
    </w:p>
    <w:p>
      <w:pPr>
        <w:tabs>
          <w:tab w:val="left" w:pos="840"/>
        </w:tabs>
        <w:adjustRightInd w:val="0"/>
        <w:spacing w:line="360" w:lineRule="auto"/>
        <w:ind w:left="840" w:right="-46" w:hanging="84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以下运输单证原件在交货同时交给甲方，其单证副本（或复印件）则应在交货前三天交给甲方：</w:t>
      </w:r>
    </w:p>
    <w:p>
      <w:pPr>
        <w:tabs>
          <w:tab w:val="left" w:pos="840"/>
        </w:tabs>
        <w:adjustRightInd w:val="0"/>
        <w:spacing w:line="360" w:lineRule="auto"/>
        <w:ind w:left="840" w:right="-46" w:hanging="84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（1）装箱单一式三份，注明订单号、装运标志、货物内容；</w:t>
      </w:r>
    </w:p>
    <w:p>
      <w:pPr>
        <w:tabs>
          <w:tab w:val="left" w:pos="840"/>
        </w:tabs>
        <w:adjustRightInd w:val="0"/>
        <w:spacing w:line="360" w:lineRule="auto"/>
        <w:ind w:left="840" w:right="-46" w:hanging="84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（2）进口部件应提供报关单及原产地证明。</w:t>
      </w:r>
    </w:p>
    <w:p>
      <w:pPr>
        <w:pStyle w:val="4"/>
        <w:keepNext w:val="0"/>
        <w:keepLines w:val="0"/>
        <w:tabs>
          <w:tab w:val="left" w:pos="420"/>
          <w:tab w:val="left" w:pos="824"/>
        </w:tabs>
        <w:spacing w:before="0" w:after="0" w:line="360" w:lineRule="auto"/>
        <w:rPr>
          <w:color w:val="auto"/>
          <w:highlight w:val="none"/>
        </w:rPr>
      </w:pPr>
      <w:bookmarkStart w:id="20" w:name="_Toc279258619"/>
      <w:bookmarkStart w:id="21" w:name="_Toc268090360"/>
      <w:r>
        <w:rPr>
          <w:rFonts w:hint="eastAsia" w:ascii="宋体" w:hAnsi="宋体" w:cs="宋体"/>
          <w:b/>
          <w:color w:val="auto"/>
          <w:sz w:val="24"/>
          <w:szCs w:val="24"/>
          <w:highlight w:val="none"/>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货物的风险转移和保险</w:t>
      </w:r>
      <w:bookmarkEnd w:id="20"/>
      <w:bookmarkEnd w:id="21"/>
    </w:p>
    <w:p>
      <w:pPr>
        <w:tabs>
          <w:tab w:val="left" w:pos="735"/>
        </w:tabs>
        <w:adjustRightInd w:val="0"/>
        <w:spacing w:line="360" w:lineRule="auto"/>
        <w:ind w:left="840" w:right="-46" w:hanging="840"/>
        <w:rPr>
          <w:color w:val="auto"/>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在到货验收合格移交过程以前，货物的风险由乙方承担；移交后，风险由甲方承担。乙方交运的在途货物，风险由乙方承担。</w:t>
      </w:r>
    </w:p>
    <w:p>
      <w:pPr>
        <w:pStyle w:val="4"/>
        <w:keepNext w:val="0"/>
        <w:keepLines w:val="0"/>
        <w:tabs>
          <w:tab w:val="left" w:pos="420"/>
          <w:tab w:val="left" w:pos="824"/>
        </w:tabs>
        <w:spacing w:before="0" w:after="0" w:line="360" w:lineRule="auto"/>
        <w:rPr>
          <w:color w:val="auto"/>
          <w:highlight w:val="none"/>
        </w:rPr>
      </w:pPr>
      <w:bookmarkStart w:id="22" w:name="_Toc268090355"/>
      <w:bookmarkStart w:id="23" w:name="_Toc279258614"/>
      <w:bookmarkStart w:id="24" w:name="_Toc268090366"/>
      <w:bookmarkStart w:id="25" w:name="_Toc279258625"/>
      <w:bookmarkStart w:id="26" w:name="_Toc279258612"/>
      <w:bookmarkStart w:id="27" w:name="_Toc268090353"/>
      <w:r>
        <w:rPr>
          <w:rFonts w:hint="eastAsia" w:ascii="宋体" w:hAnsi="宋体" w:cs="宋体"/>
          <w:b/>
          <w:color w:val="auto"/>
          <w:sz w:val="24"/>
          <w:szCs w:val="24"/>
          <w:highlight w:val="none"/>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付款</w:t>
      </w:r>
      <w:bookmarkEnd w:id="22"/>
      <w:bookmarkEnd w:id="23"/>
      <w:r>
        <w:rPr>
          <w:rFonts w:hint="eastAsia" w:ascii="宋体" w:hAnsi="宋体" w:cs="宋体"/>
          <w:b/>
          <w:color w:val="auto"/>
          <w:sz w:val="24"/>
          <w:szCs w:val="24"/>
          <w:highlight w:val="none"/>
        </w:rPr>
        <w:t>方式</w:t>
      </w:r>
    </w:p>
    <w:p>
      <w:pPr>
        <w:tabs>
          <w:tab w:val="left" w:pos="840"/>
        </w:tabs>
        <w:adjustRightInd w:val="0"/>
        <w:spacing w:line="360" w:lineRule="auto"/>
        <w:ind w:left="839" w:hanging="839"/>
        <w:rPr>
          <w:rFonts w:hint="eastAsia" w:ascii="宋体" w:hAnsi="宋体" w:cs="宋体"/>
          <w:color w:val="auto"/>
          <w:sz w:val="24"/>
          <w:szCs w:val="24"/>
          <w:highlight w:val="none"/>
        </w:rPr>
      </w:pPr>
      <w:bookmarkStart w:id="28" w:name="_Toc268090356"/>
      <w:bookmarkStart w:id="29" w:name="_Toc279258615"/>
      <w:r>
        <w:rPr>
          <w:rFonts w:hint="eastAsia" w:ascii="宋体" w:hAnsi="宋体" w:cs="宋体"/>
          <w:color w:val="auto"/>
          <w:sz w:val="24"/>
          <w:szCs w:val="24"/>
          <w:highlight w:val="none"/>
        </w:rPr>
        <w:t>6.1    在标的物到货、验收合格后，甲方在收到乙方提供的全额增值税专用发票后20个工作日内向乙方支付合同价款的9</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%。合同总价的</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%作为货物质量保证金，在货物保质期满后如无质量问题则一个月内无息结清。</w:t>
      </w:r>
    </w:p>
    <w:p>
      <w:pPr>
        <w:tabs>
          <w:tab w:val="left" w:pos="840"/>
        </w:tabs>
        <w:adjustRightInd w:val="0"/>
        <w:spacing w:line="360" w:lineRule="auto"/>
        <w:ind w:left="840" w:hanging="840"/>
        <w:rPr>
          <w:rFonts w:hint="eastAsia" w:ascii="宋体" w:hAnsi="宋体" w:cs="宋体"/>
          <w:bCs/>
          <w:color w:val="auto"/>
          <w:sz w:val="24"/>
          <w:szCs w:val="24"/>
          <w:highlight w:val="none"/>
        </w:rPr>
      </w:pPr>
      <w:r>
        <w:rPr>
          <w:rFonts w:hint="eastAsia" w:ascii="宋体" w:hAnsi="宋体" w:cs="宋体"/>
          <w:color w:val="auto"/>
          <w:sz w:val="24"/>
          <w:szCs w:val="24"/>
          <w:highlight w:val="none"/>
        </w:rPr>
        <w:t>6.2</w:t>
      </w:r>
      <w:r>
        <w:rPr>
          <w:rFonts w:hint="eastAsia" w:ascii="宋体" w:hAnsi="宋体" w:cs="宋体"/>
          <w:color w:val="auto"/>
          <w:sz w:val="24"/>
          <w:szCs w:val="24"/>
          <w:highlight w:val="none"/>
        </w:rPr>
        <w:tab/>
      </w:r>
      <w:r>
        <w:rPr>
          <w:rFonts w:hint="eastAsia" w:ascii="宋体" w:hAnsi="宋体" w:cs="宋体"/>
          <w:bCs/>
          <w:color w:val="auto"/>
          <w:sz w:val="24"/>
          <w:szCs w:val="24"/>
          <w:highlight w:val="none"/>
        </w:rPr>
        <w:t>甲方付款方式：采用银行结算方式。</w:t>
      </w:r>
    </w:p>
    <w:bookmarkEnd w:id="24"/>
    <w:bookmarkEnd w:id="25"/>
    <w:bookmarkEnd w:id="28"/>
    <w:bookmarkEnd w:id="29"/>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30" w:name="_Toc268090367"/>
      <w:bookmarkStart w:id="31" w:name="_Toc279258626"/>
      <w:r>
        <w:rPr>
          <w:rFonts w:hint="eastAsia" w:ascii="宋体" w:hAnsi="宋体" w:cs="宋体"/>
          <w:b/>
          <w:color w:val="auto"/>
          <w:sz w:val="24"/>
          <w:szCs w:val="24"/>
          <w:highlight w:val="none"/>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技术文件</w:t>
      </w:r>
      <w:bookmarkEnd w:id="30"/>
      <w:bookmarkEnd w:id="31"/>
    </w:p>
    <w:p>
      <w:pPr>
        <w:tabs>
          <w:tab w:val="left" w:pos="840"/>
        </w:tabs>
        <w:adjustRightInd w:val="0"/>
        <w:spacing w:line="360" w:lineRule="auto"/>
        <w:ind w:left="851" w:hanging="851"/>
        <w:rPr>
          <w:rFonts w:hint="eastAsia" w:ascii="宋体" w:hAnsi="宋体" w:cs="宋体"/>
          <w:color w:val="auto"/>
          <w:sz w:val="24"/>
          <w:szCs w:val="24"/>
          <w:highlight w:val="none"/>
        </w:rPr>
      </w:pPr>
      <w:r>
        <w:rPr>
          <w:rFonts w:hint="eastAsia" w:ascii="宋体" w:hAnsi="宋体" w:cs="宋体"/>
          <w:color w:val="auto"/>
          <w:sz w:val="24"/>
          <w:szCs w:val="24"/>
          <w:highlight w:val="none"/>
        </w:rPr>
        <w:t>7.1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如甲方需要，乙方应向甲方提供包含保证甲方能够正确进行操作、检查、维修、维护、测试、验收和运作所需要的所有内容的技术文件（含电子文档）一式三套。</w:t>
      </w:r>
    </w:p>
    <w:p>
      <w:pPr>
        <w:tabs>
          <w:tab w:val="left" w:pos="840"/>
        </w:tabs>
        <w:adjustRightInd w:val="0"/>
        <w:spacing w:line="360" w:lineRule="auto"/>
        <w:ind w:left="851" w:hanging="851"/>
        <w:rPr>
          <w:rFonts w:hint="eastAsia" w:ascii="宋体" w:hAnsi="宋体" w:cs="宋体"/>
          <w:color w:val="auto"/>
          <w:sz w:val="24"/>
          <w:szCs w:val="24"/>
          <w:highlight w:val="none"/>
        </w:rPr>
      </w:pPr>
      <w:r>
        <w:rPr>
          <w:rFonts w:hint="eastAsia" w:ascii="宋体" w:hAnsi="宋体" w:cs="宋体"/>
          <w:color w:val="auto"/>
          <w:sz w:val="24"/>
          <w:szCs w:val="24"/>
          <w:highlight w:val="none"/>
        </w:rPr>
        <w:t>7.2</w:t>
      </w:r>
      <w:r>
        <w:rPr>
          <w:rFonts w:hint="eastAsia" w:ascii="宋体" w:hAnsi="宋体" w:cs="宋体"/>
          <w:color w:val="auto"/>
          <w:sz w:val="24"/>
          <w:szCs w:val="24"/>
          <w:highlight w:val="none"/>
        </w:rPr>
        <w:tab/>
      </w:r>
      <w:r>
        <w:rPr>
          <w:rFonts w:hint="eastAsia" w:ascii="宋体" w:hAnsi="宋体" w:cs="宋体"/>
          <w:color w:val="auto"/>
          <w:sz w:val="24"/>
          <w:szCs w:val="24"/>
          <w:highlight w:val="none"/>
        </w:rPr>
        <w:t>甲方完全按照乙方提供的技术文件指导所进行的任何操作、检查维修、维护、测试、验收所引起的系统、产品或其部件的损坏由乙方承担责任。</w:t>
      </w:r>
    </w:p>
    <w:p>
      <w:pPr>
        <w:tabs>
          <w:tab w:val="left" w:pos="840"/>
        </w:tabs>
        <w:adjustRightInd w:val="0"/>
        <w:spacing w:line="360" w:lineRule="auto"/>
        <w:ind w:left="851" w:hanging="851"/>
        <w:rPr>
          <w:rFonts w:hint="eastAsia" w:ascii="宋体" w:hAnsi="宋体" w:cs="宋体"/>
          <w:color w:val="auto"/>
          <w:sz w:val="24"/>
          <w:szCs w:val="24"/>
          <w:highlight w:val="none"/>
        </w:rPr>
      </w:pPr>
      <w:r>
        <w:rPr>
          <w:rFonts w:hint="eastAsia" w:ascii="宋体" w:hAnsi="宋体" w:cs="宋体"/>
          <w:color w:val="auto"/>
          <w:sz w:val="24"/>
          <w:szCs w:val="24"/>
          <w:highlight w:val="none"/>
        </w:rPr>
        <w:t>7.3</w:t>
      </w:r>
      <w:r>
        <w:rPr>
          <w:rFonts w:hint="eastAsia" w:ascii="宋体" w:hAnsi="宋体" w:cs="宋体"/>
          <w:color w:val="auto"/>
          <w:sz w:val="24"/>
          <w:szCs w:val="24"/>
          <w:highlight w:val="none"/>
        </w:rPr>
        <w:tab/>
      </w:r>
      <w:r>
        <w:rPr>
          <w:rFonts w:hint="eastAsia" w:ascii="宋体" w:hAnsi="宋体" w:cs="宋体"/>
          <w:color w:val="auto"/>
          <w:sz w:val="24"/>
          <w:szCs w:val="24"/>
          <w:highlight w:val="none"/>
        </w:rPr>
        <w:t>乙方未提供合同规定的技术文件，甲方可以推迟付款，直至乙方补齐有关技术文件。</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32" w:name="_Toc268090368"/>
      <w:bookmarkStart w:id="33" w:name="_Toc279258627"/>
      <w:r>
        <w:rPr>
          <w:rFonts w:hint="eastAsia" w:ascii="宋体" w:hAnsi="宋体" w:cs="宋体"/>
          <w:b/>
          <w:color w:val="auto"/>
          <w:sz w:val="24"/>
          <w:szCs w:val="24"/>
          <w:highlight w:val="none"/>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知识产权</w:t>
      </w:r>
      <w:bookmarkEnd w:id="32"/>
      <w:bookmarkEnd w:id="33"/>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8.1</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乙方应保证甲方在中华人民共和国使用该货物或货物的任何一部分时，免受第三方提出的侵犯其专利权、商标权或其他知识产权的起诉。如发生此类纠纷，由乙方承担一切责任。</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8.2</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乙方为执行本合同而提供的技术资料、软件的使用权归甲方所有。</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34" w:name="_Toc279258631"/>
      <w:bookmarkStart w:id="35" w:name="_Toc268090372"/>
      <w:r>
        <w:rPr>
          <w:rFonts w:hint="eastAsia" w:ascii="宋体" w:hAnsi="宋体" w:cs="宋体"/>
          <w:b/>
          <w:color w:val="auto"/>
          <w:sz w:val="24"/>
          <w:szCs w:val="24"/>
          <w:highlight w:val="none"/>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税和关税</w:t>
      </w:r>
      <w:bookmarkEnd w:id="34"/>
      <w:bookmarkEnd w:id="35"/>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9.1</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中国政府根据现行的税法规定对乙方或其雇员征收的与本合同有关的一切税费均应由乙方负担。</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9.2</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本合同执行有关的在中国境外发生的应属于乙方义务的一切税费均应由乙方负担。</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9.3</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合同总价包含应付的销售税、进口环节税（关税和增殖税等）和其它税项，以及运保费、安装调试费等。</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36" w:name="_Toc268090373"/>
      <w:bookmarkStart w:id="37" w:name="_Toc279258632"/>
      <w:r>
        <w:rPr>
          <w:rFonts w:hint="eastAsia" w:ascii="宋体" w:hAnsi="宋体" w:cs="宋体"/>
          <w:b/>
          <w:color w:val="auto"/>
          <w:sz w:val="24"/>
          <w:szCs w:val="24"/>
          <w:highlight w:val="none"/>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保密</w:t>
      </w:r>
      <w:bookmarkEnd w:id="36"/>
      <w:bookmarkEnd w:id="37"/>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10.1</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10.2</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一方违反上述保密义务的，应承担相应的违约责任并赔偿对方由此造成的损失。</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38" w:name="_Toc268090369"/>
      <w:bookmarkStart w:id="39" w:name="_Toc279258628"/>
      <w:r>
        <w:rPr>
          <w:rFonts w:hint="eastAsia" w:ascii="宋体" w:hAnsi="宋体" w:cs="宋体"/>
          <w:b/>
          <w:color w:val="auto"/>
          <w:sz w:val="24"/>
          <w:szCs w:val="24"/>
          <w:highlight w:val="none"/>
        </w:rPr>
        <w:t>11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违约索赔</w:t>
      </w:r>
      <w:bookmarkEnd w:id="38"/>
      <w:bookmarkEnd w:id="39"/>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11.1</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若乙方所提供的货物与合同要求不符，甲方有权拒收并要求乙方换货，乙方负担由此发生的一切损失和费用。</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对有缺陷的零件、部件、产品或软件，乙方接到甲方通知后5天内更换或更新完毕，以达到合同规定的规格、质量和性能。甲方保留向乙方索赔的权利，同时乙方应相应顺延被更换货物的质保期。</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11.3</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若甲方发出索赔通知后15天内乙方未作出书面答复，则该索赔被视为已被乙方接受。如乙方未能在收到索赔通知后30天内或征得甲方同意的延长期限内，按照甲方选择的方法解决索赔事宜，保留进一步要求索赔的权利。</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11.4</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乙方逾期交货或逾期提供服务，每延误一天承担合同总价的万分之五的违约金。</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11.5</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合同任意一方逾期交货或逾期提供服务累计超过45日，且未书面协商一致的，违约方应当赔偿守约方与履约保证金等额的违约金。违约金不足以弥补守约方损失的，违约方应当另行予以赔偿。</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rPr>
        <w:t>12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合同变更</w:t>
      </w:r>
    </w:p>
    <w:p>
      <w:pPr>
        <w:tabs>
          <w:tab w:val="left" w:pos="840"/>
        </w:tabs>
        <w:adjustRightInd w:val="0"/>
        <w:spacing w:line="360" w:lineRule="auto"/>
        <w:ind w:left="851" w:hanging="851"/>
        <w:rPr>
          <w:rFonts w:hint="eastAsia"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rPr>
        <w:tab/>
      </w:r>
      <w:r>
        <w:rPr>
          <w:rFonts w:hint="eastAsia" w:ascii="宋体" w:hAnsi="宋体" w:cs="宋体"/>
          <w:color w:val="auto"/>
          <w:sz w:val="24"/>
          <w:szCs w:val="24"/>
          <w:highlight w:val="none"/>
        </w:rPr>
        <w:t>根据实际情况，确实需变更原合同约定的货物，须提交相关变更清单对照表及其变更的依据，并经双方签订《补充协议》后实施。</w:t>
      </w:r>
    </w:p>
    <w:p>
      <w:pPr>
        <w:tabs>
          <w:tab w:val="left" w:pos="840"/>
        </w:tabs>
        <w:adjustRightInd w:val="0"/>
        <w:spacing w:line="360" w:lineRule="auto"/>
        <w:ind w:left="851" w:hanging="851"/>
        <w:rPr>
          <w:rFonts w:hint="eastAsia" w:ascii="宋体" w:hAnsi="宋体" w:cs="宋体"/>
          <w:color w:val="auto"/>
          <w:sz w:val="24"/>
          <w:szCs w:val="24"/>
          <w:highlight w:val="none"/>
        </w:rPr>
      </w:pPr>
      <w:r>
        <w:rPr>
          <w:rFonts w:hint="eastAsia" w:ascii="宋体" w:hAnsi="宋体" w:cs="宋体"/>
          <w:color w:val="auto"/>
          <w:sz w:val="24"/>
          <w:szCs w:val="24"/>
          <w:highlight w:val="none"/>
        </w:rPr>
        <w:t>12.2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无论乙方是按原合同要求提供的货物，还是根据现场实际情况变更后提供的货物，乙方都不能免除对上述货物应承担的责任。</w:t>
      </w:r>
    </w:p>
    <w:p>
      <w:pPr>
        <w:tabs>
          <w:tab w:val="left" w:pos="840"/>
        </w:tabs>
        <w:adjustRightInd w:val="0"/>
        <w:spacing w:line="360" w:lineRule="auto"/>
        <w:ind w:left="851" w:hanging="851"/>
        <w:rPr>
          <w:rFonts w:hint="eastAsia" w:ascii="宋体" w:hAnsi="宋体" w:cs="宋体"/>
          <w:color w:val="auto"/>
          <w:sz w:val="24"/>
          <w:szCs w:val="24"/>
          <w:highlight w:val="none"/>
        </w:rPr>
      </w:pPr>
      <w:r>
        <w:rPr>
          <w:rFonts w:hint="eastAsia" w:ascii="宋体" w:hAnsi="宋体" w:cs="宋体"/>
          <w:color w:val="auto"/>
          <w:sz w:val="24"/>
          <w:szCs w:val="24"/>
          <w:highlight w:val="none"/>
        </w:rPr>
        <w:t>12.3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如果由于甲方的原因造成乙方交付或安装工期延长，乙方应作为合同价内的风险因素，不因此向甲方索赔。</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40" w:name="_Toc279258633"/>
      <w:bookmarkStart w:id="41" w:name="_Toc268090374"/>
      <w:r>
        <w:rPr>
          <w:rFonts w:hint="eastAsia" w:ascii="宋体" w:hAnsi="宋体" w:cs="宋体"/>
          <w:b/>
          <w:color w:val="auto"/>
          <w:sz w:val="24"/>
          <w:szCs w:val="24"/>
          <w:highlight w:val="none"/>
        </w:rPr>
        <w:t>13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合同生效、失效和终止</w:t>
      </w:r>
      <w:bookmarkEnd w:id="40"/>
      <w:bookmarkEnd w:id="41"/>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13.1</w:t>
      </w:r>
      <w:r>
        <w:rPr>
          <w:rFonts w:hint="eastAsia" w:ascii="宋体" w:hAnsi="宋体" w:cs="宋体"/>
          <w:color w:val="auto"/>
          <w:sz w:val="24"/>
          <w:szCs w:val="24"/>
          <w:highlight w:val="none"/>
        </w:rPr>
        <w:tab/>
      </w:r>
      <w:r>
        <w:rPr>
          <w:rFonts w:hint="eastAsia" w:ascii="宋体" w:hAnsi="宋体" w:cs="宋体"/>
          <w:color w:val="auto"/>
          <w:sz w:val="24"/>
          <w:szCs w:val="24"/>
          <w:highlight w:val="none"/>
        </w:rPr>
        <w:t>本合同经双方法定代表人或其授权代表签字并加盖公章后生效。</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13.2</w:t>
      </w:r>
      <w:r>
        <w:rPr>
          <w:rFonts w:hint="eastAsia" w:ascii="宋体" w:hAnsi="宋体" w:cs="宋体"/>
          <w:color w:val="auto"/>
          <w:sz w:val="24"/>
          <w:szCs w:val="24"/>
          <w:highlight w:val="none"/>
        </w:rPr>
        <w:tab/>
      </w:r>
      <w:r>
        <w:rPr>
          <w:rFonts w:hint="eastAsia" w:ascii="宋体" w:hAnsi="宋体" w:cs="宋体"/>
          <w:color w:val="auto"/>
          <w:sz w:val="24"/>
          <w:szCs w:val="24"/>
          <w:highlight w:val="none"/>
        </w:rPr>
        <w:t>如果由于不可抗力因素而造成合同终止，甲方应立即以书面形式向乙方通告。乙方在收到有关证明后，立即停止货物的制造或采购。对于在收到此证明前乙方所完成的内容，甲方应及时向乙方支付相应金额。双方办理结算手续后，合同宣告失效。</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13.3</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因一方原因，合同无法继续履行时，应及时通知对方，办理合同终止协议，违约方应当按11.5条违约金标准赔偿守约方损失。如违约金不足以弥补守约方损失的，违约方应当另行予以赔偿。</w:t>
      </w:r>
    </w:p>
    <w:p>
      <w:pPr>
        <w:tabs>
          <w:tab w:val="left" w:pos="840"/>
        </w:tabs>
        <w:adjustRightInd w:val="0"/>
        <w:spacing w:line="360" w:lineRule="auto"/>
        <w:ind w:left="960" w:hanging="960" w:hangingChars="400"/>
        <w:rPr>
          <w:color w:val="auto"/>
          <w:highlight w:val="none"/>
        </w:rPr>
      </w:pPr>
      <w:r>
        <w:rPr>
          <w:rFonts w:hint="eastAsia" w:ascii="宋体" w:hAnsi="宋体" w:cs="宋体"/>
          <w:color w:val="auto"/>
          <w:sz w:val="24"/>
          <w:szCs w:val="24"/>
          <w:highlight w:val="none"/>
        </w:rPr>
        <w:t>13.4</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如果合同中的任一方严重违反合同条款，则另一方可终止合同，并及时通知对方。</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42" w:name="_Toc268090370"/>
      <w:bookmarkStart w:id="43" w:name="_Toc279258629"/>
      <w:r>
        <w:rPr>
          <w:rFonts w:hint="eastAsia" w:ascii="宋体" w:hAnsi="宋体" w:cs="宋体"/>
          <w:b/>
          <w:color w:val="auto"/>
          <w:sz w:val="24"/>
          <w:szCs w:val="24"/>
          <w:highlight w:val="none"/>
        </w:rPr>
        <w:t>14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不可抗力</w:t>
      </w:r>
      <w:bookmarkEnd w:id="42"/>
      <w:bookmarkEnd w:id="43"/>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14.1</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“不可抗力”是指在订立本合同时不可预见，在本项目实施过程中不可避免发生并不能克服的自然灾害和社会性突发事件，如地震、海啸、瘟疫、水灾、骚乱、暴动、战争和专用条款约定的其他情形。</w:t>
      </w:r>
      <w:r>
        <w:rPr>
          <w:rFonts w:hint="eastAsia" w:ascii="宋体" w:hAnsi="宋体" w:cs="宋体"/>
          <w:color w:val="auto"/>
          <w:sz w:val="24"/>
          <w:szCs w:val="24"/>
          <w:highlight w:val="none"/>
        </w:rPr>
        <w:t>由不可抗力原因造成不能及时供应合同规定的货物时，乙方应立即以书面形式通告甲方，并全力做好补救工作，防止损失因责任原因导致扩大。</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14.2</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在不可抗力事件发生后,双方应努力寻求采取合理的方案履行不受不可抗力影响的其他事项。如不可抗力因素继续存在，致使在合同规定或合同变更后的合同期限仍不能履行完毕，甲方则有权解除合同，双方均互不提出索赔。甲方不承担终止合同的责任，不没收履约保证金；乙方不得扣押预付款，双方在合同解除后30天内结算完毕。</w:t>
      </w:r>
    </w:p>
    <w:p>
      <w:pPr>
        <w:tabs>
          <w:tab w:val="left" w:pos="840"/>
        </w:tabs>
        <w:adjustRightInd w:val="0"/>
        <w:spacing w:line="360" w:lineRule="auto"/>
        <w:ind w:left="960" w:hanging="960" w:hangingChars="400"/>
        <w:rPr>
          <w:color w:val="auto"/>
          <w:highlight w:val="none"/>
        </w:rPr>
      </w:pPr>
      <w:r>
        <w:rPr>
          <w:rFonts w:hint="eastAsia" w:ascii="宋体" w:hAnsi="宋体" w:cs="宋体"/>
          <w:color w:val="auto"/>
          <w:sz w:val="24"/>
          <w:szCs w:val="24"/>
          <w:highlight w:val="none"/>
        </w:rPr>
        <w:t>14.3</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如双方对不可抗力事件的影响估计将延续到30日以上时，双方应</w:t>
      </w:r>
      <w:r>
        <w:rPr>
          <w:rFonts w:hint="eastAsia" w:cs="宋体"/>
          <w:color w:val="auto"/>
          <w:sz w:val="24"/>
          <w:szCs w:val="24"/>
          <w:highlight w:val="none"/>
        </w:rPr>
        <w:t>通过</w:t>
      </w:r>
      <w:r>
        <w:rPr>
          <w:rFonts w:hint="eastAsia" w:ascii="宋体" w:hAnsi="宋体" w:cs="宋体"/>
          <w:color w:val="auto"/>
          <w:sz w:val="24"/>
          <w:szCs w:val="24"/>
          <w:highlight w:val="none"/>
        </w:rPr>
        <w:t>友好协商解决本合同的执行问题（包括交货、安装、试运行和验收等问题）。</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44" w:name="_Toc279258630"/>
      <w:bookmarkStart w:id="45" w:name="_Toc268090371"/>
      <w:r>
        <w:rPr>
          <w:rFonts w:hint="eastAsia" w:ascii="宋体" w:hAnsi="宋体" w:cs="宋体"/>
          <w:b/>
          <w:color w:val="auto"/>
          <w:sz w:val="24"/>
          <w:szCs w:val="24"/>
          <w:highlight w:val="none"/>
        </w:rPr>
        <w:t>15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bookmarkEnd w:id="44"/>
      <w:bookmarkEnd w:id="45"/>
      <w:r>
        <w:rPr>
          <w:rFonts w:hint="eastAsia" w:ascii="宋体" w:hAnsi="宋体" w:cs="宋体"/>
          <w:b/>
          <w:color w:val="auto"/>
          <w:sz w:val="24"/>
          <w:szCs w:val="24"/>
          <w:highlight w:val="none"/>
        </w:rPr>
        <w:t>争议处理</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15.1    凡与本协议有关而引起的一切争议，甲乙双方应首先通过友好协商解决，如经协商后仍不能达成协议时，任何一方可以向</w:t>
      </w:r>
      <w:r>
        <w:rPr>
          <w:rFonts w:hint="eastAsia" w:ascii="宋体" w:hAnsi="宋体" w:cs="宋体"/>
          <w:color w:val="auto"/>
          <w:sz w:val="24"/>
          <w:szCs w:val="24"/>
          <w:highlight w:val="none"/>
          <w:u w:val="single"/>
        </w:rPr>
        <w:t>广州市白云区法院</w:t>
      </w:r>
      <w:r>
        <w:rPr>
          <w:rFonts w:hint="eastAsia" w:ascii="宋体" w:hAnsi="宋体" w:cs="宋体"/>
          <w:color w:val="auto"/>
          <w:sz w:val="24"/>
          <w:szCs w:val="24"/>
          <w:highlight w:val="none"/>
        </w:rPr>
        <w:t>提起诉讼。</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15.2</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在进行法院审理期间，除提交法院审理的事项外，协议其他部分仍应继续履行。</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15.3</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本协议按照中华人民共和国的法律进行解释。</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46" w:name="_Toc279258634"/>
      <w:bookmarkStart w:id="47" w:name="_Toc268090375"/>
      <w:r>
        <w:rPr>
          <w:rFonts w:hint="eastAsia" w:ascii="宋体" w:hAnsi="宋体" w:cs="宋体"/>
          <w:b/>
          <w:color w:val="auto"/>
          <w:sz w:val="24"/>
          <w:szCs w:val="24"/>
          <w:highlight w:val="none"/>
        </w:rPr>
        <w:t>16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其它</w:t>
      </w:r>
      <w:bookmarkEnd w:id="46"/>
      <w:bookmarkEnd w:id="47"/>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16.1</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本合同之所有附件均为合同的有效组成部分，与本合同具有同样法律效力。</w:t>
      </w:r>
    </w:p>
    <w:p>
      <w:pPr>
        <w:tabs>
          <w:tab w:val="left" w:pos="840"/>
        </w:tabs>
        <w:adjustRightIn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16.2</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在执行本合同的过程中，所有经双方签署确认的文件（包括会议纪要、补充协议、设计变更文件）即成为本合同的有效组成部分，其生效日期为双方签字盖章之日期。</w:t>
      </w:r>
    </w:p>
    <w:p>
      <w:pPr>
        <w:tabs>
          <w:tab w:val="left" w:pos="840"/>
        </w:tabs>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16.3    根据《采购合作对象管理办法》，项目实施、运行阶段，有下列情形之一的，列入不予合作对象名单： </w:t>
      </w:r>
    </w:p>
    <w:p>
      <w:pPr>
        <w:tabs>
          <w:tab w:val="left" w:pos="840"/>
        </w:tabs>
        <w:adjustRightInd w:val="0"/>
        <w:spacing w:line="360" w:lineRule="auto"/>
        <w:ind w:firstLine="960" w:firstLine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1.不按采购文件要求，报价文件承诺的条件与采购方签订合同，或在合同签订中存在欺诈情形，违反采购文件规定，对采购方或关联公司不利；</w:t>
      </w:r>
    </w:p>
    <w:p>
      <w:pPr>
        <w:tabs>
          <w:tab w:val="left" w:pos="840"/>
        </w:tabs>
        <w:adjustRightInd w:val="0"/>
        <w:spacing w:line="360" w:lineRule="auto"/>
        <w:ind w:left="958" w:leftChars="456"/>
        <w:rPr>
          <w:rFonts w:hint="eastAsia" w:ascii="宋体" w:hAnsi="宋体" w:cs="宋体"/>
          <w:color w:val="auto"/>
          <w:sz w:val="24"/>
          <w:szCs w:val="24"/>
          <w:highlight w:val="none"/>
        </w:rPr>
      </w:pPr>
      <w:r>
        <w:rPr>
          <w:rFonts w:hint="eastAsia" w:ascii="宋体" w:hAnsi="宋体" w:cs="宋体"/>
          <w:color w:val="auto"/>
          <w:sz w:val="24"/>
          <w:szCs w:val="24"/>
          <w:highlight w:val="none"/>
        </w:rPr>
        <w:t>2.违反合同约定，将承揽项目转包或违法分包给他人；</w:t>
      </w:r>
    </w:p>
    <w:p>
      <w:pPr>
        <w:tabs>
          <w:tab w:val="left" w:pos="840"/>
        </w:tabs>
        <w:adjustRightInd w:val="0"/>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3.因成交供应商责任原因连续发生不安全事件、事故或造成恶劣不良影响；</w:t>
      </w:r>
    </w:p>
    <w:p>
      <w:pPr>
        <w:tabs>
          <w:tab w:val="left" w:pos="840"/>
        </w:tabs>
        <w:adjustRightInd w:val="0"/>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4.使用的设备、材料以次充好或提供与合同不符的假冒伪劣产品等降低质量情形或造成不良影响；</w:t>
      </w:r>
    </w:p>
    <w:p>
      <w:pPr>
        <w:tabs>
          <w:tab w:val="left" w:pos="840"/>
        </w:tabs>
        <w:adjustRightInd w:val="0"/>
        <w:spacing w:line="360" w:lineRule="auto"/>
        <w:ind w:left="958" w:leftChars="456"/>
        <w:rPr>
          <w:rFonts w:hint="eastAsia" w:ascii="宋体" w:hAnsi="宋体" w:cs="宋体"/>
          <w:color w:val="auto"/>
          <w:sz w:val="24"/>
          <w:szCs w:val="24"/>
          <w:highlight w:val="none"/>
        </w:rPr>
      </w:pPr>
      <w:r>
        <w:rPr>
          <w:rFonts w:hint="eastAsia" w:ascii="宋体" w:hAnsi="宋体" w:cs="宋体"/>
          <w:color w:val="auto"/>
          <w:sz w:val="24"/>
          <w:szCs w:val="24"/>
          <w:highlight w:val="none"/>
        </w:rPr>
        <w:t>5.因环保、噪音问题造成社会恶劣影响；</w:t>
      </w:r>
    </w:p>
    <w:p>
      <w:pPr>
        <w:tabs>
          <w:tab w:val="left" w:pos="840"/>
        </w:tabs>
        <w:adjustRightInd w:val="0"/>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6.拖欠农民工工资，造成恶劣影响的，或发生上访维稳事件，或导致采购方或关联公司垫付农民工工资；</w:t>
      </w:r>
    </w:p>
    <w:p>
      <w:pPr>
        <w:tabs>
          <w:tab w:val="left" w:pos="840"/>
        </w:tabs>
        <w:adjustRightInd w:val="0"/>
        <w:spacing w:line="360" w:lineRule="auto"/>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7.虚报工程量或设备、材料结算量，拒不接受第三方咨询单位按合同约定审定的工程造价，设备、材料数量，造成工程延误、设备材料到货期延误、结算滞后；</w:t>
      </w:r>
    </w:p>
    <w:p>
      <w:pPr>
        <w:tabs>
          <w:tab w:val="left" w:pos="840"/>
        </w:tabs>
        <w:adjustRightInd w:val="0"/>
        <w:spacing w:line="360" w:lineRule="auto"/>
        <w:ind w:left="958" w:leftChars="456"/>
        <w:rPr>
          <w:rFonts w:hint="eastAsia" w:ascii="宋体" w:hAnsi="宋体" w:cs="宋体"/>
          <w:color w:val="auto"/>
          <w:sz w:val="24"/>
          <w:szCs w:val="24"/>
          <w:highlight w:val="none"/>
        </w:rPr>
      </w:pPr>
      <w:r>
        <w:rPr>
          <w:rFonts w:hint="eastAsia" w:ascii="宋体" w:hAnsi="宋体" w:cs="宋体"/>
          <w:color w:val="auto"/>
          <w:sz w:val="24"/>
          <w:szCs w:val="24"/>
          <w:highlight w:val="none"/>
        </w:rPr>
        <w:t>8.拒绝履行合同主要条款，造成合同无法正常履约；</w:t>
      </w:r>
    </w:p>
    <w:p>
      <w:pPr>
        <w:tabs>
          <w:tab w:val="left" w:pos="840"/>
        </w:tabs>
        <w:adjustRightInd w:val="0"/>
        <w:spacing w:line="360" w:lineRule="auto"/>
        <w:ind w:left="958" w:leftChars="456"/>
        <w:rPr>
          <w:rFonts w:hint="eastAsia" w:ascii="宋体" w:hAnsi="宋体" w:cs="宋体"/>
          <w:color w:val="auto"/>
          <w:sz w:val="24"/>
          <w:szCs w:val="24"/>
          <w:highlight w:val="none"/>
        </w:rPr>
      </w:pPr>
      <w:r>
        <w:rPr>
          <w:rFonts w:hint="eastAsia" w:ascii="宋体" w:hAnsi="宋体" w:cs="宋体"/>
          <w:color w:val="auto"/>
          <w:sz w:val="24"/>
          <w:szCs w:val="24"/>
          <w:highlight w:val="none"/>
        </w:rPr>
        <w:t>9.因严重违约被采购方依法单方解除合同；</w:t>
      </w:r>
    </w:p>
    <w:p>
      <w:pPr>
        <w:tabs>
          <w:tab w:val="left" w:pos="840"/>
        </w:tabs>
        <w:adjustRightInd w:val="0"/>
        <w:spacing w:line="360" w:lineRule="auto"/>
        <w:ind w:left="958" w:leftChars="456"/>
        <w:rPr>
          <w:rFonts w:hint="eastAsia" w:ascii="宋体" w:hAnsi="宋体" w:cs="宋体"/>
          <w:color w:val="auto"/>
          <w:sz w:val="24"/>
          <w:szCs w:val="24"/>
          <w:highlight w:val="none"/>
        </w:rPr>
      </w:pPr>
      <w:r>
        <w:rPr>
          <w:rFonts w:hint="eastAsia" w:ascii="宋体" w:hAnsi="宋体" w:cs="宋体"/>
          <w:color w:val="auto"/>
          <w:sz w:val="24"/>
          <w:szCs w:val="24"/>
          <w:highlight w:val="none"/>
        </w:rPr>
        <w:t>10.存在向采购方或关联公司相关工作人员行贿等不廉洁情形</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16.4    本合同共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份，甲方持</w:t>
      </w:r>
      <w:r>
        <w:rPr>
          <w:rFonts w:hint="eastAsia" w:ascii="宋体" w:hAnsi="宋体" w:cs="宋体"/>
          <w:color w:val="auto"/>
          <w:sz w:val="24"/>
          <w:szCs w:val="24"/>
          <w:highlight w:val="none"/>
          <w:u w:val="single"/>
        </w:rPr>
        <w:t>肆</w:t>
      </w:r>
      <w:r>
        <w:rPr>
          <w:rFonts w:hint="eastAsia" w:ascii="宋体" w:hAnsi="宋体" w:cs="宋体"/>
          <w:color w:val="auto"/>
          <w:sz w:val="24"/>
          <w:szCs w:val="24"/>
          <w:highlight w:val="none"/>
        </w:rPr>
        <w:t>份，乙方持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pStyle w:val="11"/>
        <w:ind w:left="420"/>
        <w:rPr>
          <w:rFonts w:hint="eastAsia" w:ascii="宋体" w:hAnsi="宋体" w:cs="宋体"/>
          <w:color w:val="auto"/>
          <w:sz w:val="24"/>
          <w:szCs w:val="24"/>
          <w:highlight w:val="none"/>
        </w:rPr>
      </w:pPr>
    </w:p>
    <w:p>
      <w:pPr>
        <w:rPr>
          <w:color w:val="auto"/>
          <w:highlight w:val="none"/>
        </w:rPr>
      </w:pPr>
    </w:p>
    <w:p>
      <w:pPr>
        <w:spacing w:line="360" w:lineRule="auto"/>
        <w:jc w:val="center"/>
        <w:outlineLvl w:val="0"/>
        <w:rPr>
          <w:rFonts w:hint="eastAsia" w:ascii="宋体" w:hAnsi="宋体" w:cs="宋体"/>
          <w:b/>
          <w:color w:val="auto"/>
          <w:sz w:val="24"/>
          <w:szCs w:val="24"/>
          <w:highlight w:val="none"/>
        </w:rPr>
      </w:pPr>
      <w:r>
        <w:rPr>
          <w:rFonts w:hint="eastAsia" w:hAnsi="宋体" w:cs="宋体"/>
          <w:b/>
          <w:bCs/>
          <w:color w:val="auto"/>
          <w:sz w:val="28"/>
          <w:szCs w:val="28"/>
          <w:highlight w:val="none"/>
        </w:rPr>
        <w:t>第二部分  合同专项条款</w:t>
      </w:r>
    </w:p>
    <w:p>
      <w:pPr>
        <w:pStyle w:val="4"/>
        <w:keepNext w:val="0"/>
        <w:keepLines w:val="0"/>
        <w:tabs>
          <w:tab w:val="left" w:pos="420"/>
          <w:tab w:val="left" w:pos="824"/>
        </w:tabs>
        <w:spacing w:before="0" w:after="0" w:line="360" w:lineRule="auto"/>
        <w:rPr>
          <w:rFonts w:hint="eastAsia" w:ascii="宋体" w:hAnsi="宋体" w:cs="宋体"/>
          <w:b/>
          <w:color w:val="auto"/>
          <w:sz w:val="24"/>
          <w:szCs w:val="24"/>
          <w:highlight w:val="none"/>
        </w:rPr>
      </w:pP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rPr>
        <w:t>17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合同标的</w:t>
      </w:r>
      <w:bookmarkEnd w:id="26"/>
      <w:bookmarkEnd w:id="27"/>
    </w:p>
    <w:p>
      <w:pPr>
        <w:tabs>
          <w:tab w:val="left" w:pos="1788"/>
          <w:tab w:val="left" w:pos="3468"/>
          <w:tab w:val="left" w:pos="5148"/>
          <w:tab w:val="left" w:pos="6618"/>
          <w:tab w:val="left" w:pos="7563"/>
        </w:tabs>
        <w:adjustRightInd w:val="0"/>
        <w:spacing w:line="360" w:lineRule="auto"/>
        <w:ind w:left="941" w:leftChars="-1" w:hanging="943" w:hangingChars="393"/>
        <w:rPr>
          <w:rFonts w:hint="eastAsia" w:ascii="宋体" w:hAnsi="宋体" w:cs="宋体"/>
          <w:color w:val="auto"/>
          <w:sz w:val="24"/>
          <w:szCs w:val="24"/>
          <w:highlight w:val="none"/>
        </w:rPr>
      </w:pPr>
      <w:r>
        <w:rPr>
          <w:rFonts w:hint="eastAsia" w:ascii="宋体" w:hAnsi="宋体" w:cs="宋体"/>
          <w:color w:val="auto"/>
          <w:sz w:val="24"/>
          <w:szCs w:val="24"/>
          <w:highlight w:val="none"/>
        </w:rPr>
        <w:t>17.1   本合同标的为</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，货物清单如下：</w:t>
      </w:r>
      <w:r>
        <w:rPr>
          <w:rFonts w:hint="eastAsia" w:ascii="宋体" w:hAnsi="宋体" w:cs="宋体"/>
          <w:b/>
          <w:bCs/>
          <w:color w:val="auto"/>
          <w:sz w:val="24"/>
          <w:szCs w:val="24"/>
          <w:highlight w:val="none"/>
        </w:rPr>
        <w:t>【根据实际填写】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05"/>
        <w:gridCol w:w="838"/>
        <w:gridCol w:w="1540"/>
        <w:gridCol w:w="838"/>
        <w:gridCol w:w="840"/>
        <w:gridCol w:w="153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60" w:type="dxa"/>
            <w:tcBorders>
              <w:top w:val="single" w:color="auto" w:sz="4" w:space="0"/>
              <w:left w:val="single" w:color="auto" w:sz="4" w:space="0"/>
              <w:bottom w:val="single" w:color="auto" w:sz="4" w:space="0"/>
              <w:right w:val="single" w:color="auto" w:sz="4" w:space="0"/>
            </w:tcBorders>
            <w:noWrap/>
          </w:tcPr>
          <w:p>
            <w:pPr>
              <w:widowControl/>
              <w:spacing w:line="360" w:lineRule="auto"/>
              <w:ind w:right="-23" w:rightChars="-11"/>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505"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产品名称</w:t>
            </w: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品牌</w:t>
            </w:r>
          </w:p>
        </w:tc>
        <w:tc>
          <w:tcPr>
            <w:tcW w:w="15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规格</w:t>
            </w: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w:t>
            </w:r>
          </w:p>
        </w:tc>
        <w:tc>
          <w:tcPr>
            <w:tcW w:w="8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w:t>
            </w:r>
          </w:p>
        </w:tc>
        <w:tc>
          <w:tcPr>
            <w:tcW w:w="15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单价(RMB)</w:t>
            </w:r>
          </w:p>
        </w:tc>
        <w:tc>
          <w:tcPr>
            <w:tcW w:w="86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0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0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0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50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50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50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hint="eastAsia" w:ascii="宋体" w:hAnsi="宋体" w:cs="宋体"/>
                <w:color w:val="auto"/>
                <w:kern w:val="0"/>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c>
          <w:tcPr>
            <w:tcW w:w="8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宋体" w:hAnsi="宋体" w:cs="宋体"/>
                <w:color w:val="auto"/>
                <w:kern w:val="0"/>
                <w:sz w:val="24"/>
                <w:szCs w:val="24"/>
                <w:highlight w:val="none"/>
              </w:rPr>
            </w:pPr>
          </w:p>
        </w:tc>
      </w:tr>
    </w:tbl>
    <w:p>
      <w:pPr>
        <w:tabs>
          <w:tab w:val="left" w:pos="1788"/>
          <w:tab w:val="left" w:pos="3468"/>
          <w:tab w:val="left" w:pos="5148"/>
          <w:tab w:val="left" w:pos="6618"/>
          <w:tab w:val="left" w:pos="7563"/>
        </w:tabs>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包括产品供货、安装、调试、资料、售后服务、质保期保障等相关服务。</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48" w:name="_Toc268090354"/>
      <w:bookmarkStart w:id="49" w:name="_Toc279258613"/>
      <w:r>
        <w:rPr>
          <w:rFonts w:hint="eastAsia" w:ascii="宋体" w:hAnsi="宋体" w:cs="宋体"/>
          <w:b/>
          <w:color w:val="auto"/>
          <w:sz w:val="24"/>
          <w:szCs w:val="24"/>
          <w:highlight w:val="none"/>
        </w:rPr>
        <w:t>17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合同价格</w:t>
      </w:r>
      <w:bookmarkEnd w:id="48"/>
      <w:bookmarkEnd w:id="49"/>
    </w:p>
    <w:p>
      <w:pPr>
        <w:tabs>
          <w:tab w:val="left" w:pos="840"/>
        </w:tabs>
        <w:adjustRightInd w:val="0"/>
        <w:spacing w:line="360" w:lineRule="auto"/>
        <w:ind w:left="720" w:hanging="720" w:hangingChars="30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17.1  本合同含税总价为：人民币 </w:t>
      </w:r>
      <w:r>
        <w:rPr>
          <w:rFonts w:hint="eastAsia" w:ascii="宋体" w:hAnsi="宋体" w:cs="宋体"/>
          <w:bCs/>
          <w:color w:val="auto"/>
          <w:sz w:val="24"/>
          <w:szCs w:val="24"/>
          <w:highlight w:val="none"/>
          <w:u w:val="single"/>
        </w:rPr>
        <w:t xml:space="preserve">   (大写)        元整</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元),</w:t>
      </w:r>
    </w:p>
    <w:p>
      <w:pPr>
        <w:tabs>
          <w:tab w:val="left" w:pos="840"/>
        </w:tabs>
        <w:adjustRightIn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合同总价包括但不限于供货、安装和运输等价格。</w:t>
      </w:r>
    </w:p>
    <w:p>
      <w:pPr>
        <w:tabs>
          <w:tab w:val="left" w:pos="840"/>
        </w:tabs>
        <w:adjustRightInd w:val="0"/>
        <w:spacing w:line="360" w:lineRule="auto"/>
        <w:ind w:firstLine="720" w:firstLineChars="300"/>
        <w:rPr>
          <w:rFonts w:hint="eastAsia" w:ascii="宋体" w:hAnsi="宋体" w:cs="宋体"/>
          <w:color w:val="auto"/>
          <w:sz w:val="24"/>
          <w:szCs w:val="24"/>
          <w:highlight w:val="none"/>
        </w:rPr>
      </w:pPr>
      <w:r>
        <w:rPr>
          <w:rFonts w:ascii="宋体" w:hAnsi="宋体" w:cs="宋体"/>
          <w:color w:val="auto"/>
          <w:sz w:val="24"/>
          <w:szCs w:val="24"/>
          <w:highlight w:val="none"/>
        </w:rPr>
        <w:t>合同有效期内如遇国家税收政策对该合同适用税率调整，合同的不含税价</w:t>
      </w:r>
    </w:p>
    <w:p>
      <w:pPr>
        <w:tabs>
          <w:tab w:val="left" w:pos="840"/>
        </w:tabs>
        <w:adjustRightInd w:val="0"/>
        <w:spacing w:line="360" w:lineRule="auto"/>
        <w:ind w:firstLine="720" w:firstLineChars="300"/>
        <w:rPr>
          <w:rFonts w:hint="eastAsia" w:ascii="宋体" w:hAnsi="宋体" w:cs="宋体"/>
          <w:b/>
          <w:bCs/>
          <w:color w:val="auto"/>
          <w:sz w:val="24"/>
          <w:szCs w:val="24"/>
          <w:highlight w:val="none"/>
        </w:rPr>
      </w:pPr>
      <w:r>
        <w:rPr>
          <w:rFonts w:ascii="宋体" w:hAnsi="宋体" w:cs="宋体"/>
          <w:color w:val="auto"/>
          <w:sz w:val="24"/>
          <w:szCs w:val="24"/>
          <w:highlight w:val="none"/>
        </w:rPr>
        <w:t>保持不变，税额按新税率计算。</w:t>
      </w:r>
    </w:p>
    <w:p>
      <w:pPr>
        <w:tabs>
          <w:tab w:val="left" w:pos="840"/>
        </w:tabs>
        <w:adjustRightInd w:val="0"/>
        <w:spacing w:line="360" w:lineRule="auto"/>
        <w:ind w:firstLine="723" w:firstLineChars="300"/>
        <w:rPr>
          <w:rFonts w:hint="eastAsia" w:ascii="宋体" w:hAnsi="宋体" w:cs="宋体"/>
          <w:color w:val="auto"/>
          <w:sz w:val="24"/>
          <w:szCs w:val="24"/>
          <w:highlight w:val="none"/>
        </w:rPr>
      </w:pPr>
      <w:r>
        <w:rPr>
          <w:rFonts w:hint="eastAsia" w:ascii="宋体" w:hAnsi="宋体" w:cs="宋体"/>
          <w:b/>
          <w:bCs/>
          <w:color w:val="auto"/>
          <w:sz w:val="24"/>
          <w:szCs w:val="24"/>
          <w:highlight w:val="none"/>
        </w:rPr>
        <w:t>【根据实际填写】</w:t>
      </w:r>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17.2   本合同货物及服务的总价为固定不变价。同时，在整个合同有效期内发生的任何材料产品（或软件）增减及涉及的安装费用调整，合同总价均不作调整。</w:t>
      </w:r>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17.3</w:t>
      </w:r>
      <w:r>
        <w:rPr>
          <w:rFonts w:hint="eastAsia" w:ascii="宋体" w:hAnsi="宋体" w:cs="宋体"/>
          <w:color w:val="auto"/>
          <w:sz w:val="24"/>
          <w:szCs w:val="24"/>
          <w:highlight w:val="none"/>
        </w:rPr>
        <w:tab/>
      </w:r>
      <w:r>
        <w:rPr>
          <w:rFonts w:hint="eastAsia" w:ascii="宋体" w:hAnsi="宋体" w:cs="宋体"/>
          <w:color w:val="auto"/>
          <w:sz w:val="24"/>
          <w:szCs w:val="24"/>
          <w:highlight w:val="none"/>
        </w:rPr>
        <w:t>本合同总价包括了货物及附件的制造、包装、运输、保险、税费（包括关税、增值税等）以及安装、验收、技术服务（包括技术资料、图纸的提供）、售后服务、质保期保障等的全部费用。</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50" w:name="_Toc279258620"/>
      <w:bookmarkStart w:id="51" w:name="_Toc268090361"/>
      <w:r>
        <w:rPr>
          <w:rFonts w:hint="eastAsia" w:ascii="宋体" w:hAnsi="宋体" w:cs="宋体"/>
          <w:b/>
          <w:color w:val="auto"/>
          <w:sz w:val="24"/>
          <w:szCs w:val="24"/>
          <w:highlight w:val="none"/>
        </w:rPr>
        <w:t>1</w:t>
      </w:r>
      <w:r>
        <w:rPr>
          <w:rFonts w:hint="eastAsia" w:ascii="宋体" w:hAnsi="宋体" w:eastAsia="宋体" w:cs="宋体"/>
          <w:b/>
          <w:color w:val="auto"/>
          <w:sz w:val="24"/>
          <w:szCs w:val="24"/>
          <w:highlight w:val="none"/>
        </w:rPr>
        <w:t xml:space="preserve">8. </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进度计划</w:t>
      </w:r>
      <w:bookmarkEnd w:id="50"/>
      <w:bookmarkEnd w:id="51"/>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18.1    到货地点：产品运至甲方指定地点落地交货。</w:t>
      </w:r>
    </w:p>
    <w:p>
      <w:pPr>
        <w:tabs>
          <w:tab w:val="left" w:pos="840"/>
        </w:tabs>
        <w:adjustRightInd w:val="0"/>
        <w:spacing w:line="360" w:lineRule="auto"/>
        <w:ind w:left="2095" w:hanging="2095" w:hangingChars="873"/>
        <w:rPr>
          <w:rFonts w:hint="eastAsia" w:ascii="宋体" w:hAnsi="宋体" w:cs="宋体"/>
          <w:color w:val="auto"/>
          <w:sz w:val="24"/>
          <w:szCs w:val="24"/>
          <w:highlight w:val="none"/>
        </w:rPr>
      </w:pPr>
      <w:r>
        <w:rPr>
          <w:rFonts w:hint="eastAsia" w:ascii="宋体" w:hAnsi="宋体" w:cs="宋体"/>
          <w:color w:val="auto"/>
          <w:sz w:val="24"/>
          <w:szCs w:val="24"/>
          <w:highlight w:val="none"/>
        </w:rPr>
        <w:t>18.2    交货期限: 合同签订后</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rPr>
        <w:t>天内交货并完成安装调试。</w:t>
      </w:r>
    </w:p>
    <w:p>
      <w:pPr>
        <w:pStyle w:val="4"/>
        <w:keepNext w:val="0"/>
        <w:keepLines w:val="0"/>
        <w:tabs>
          <w:tab w:val="left" w:pos="420"/>
          <w:tab w:val="left" w:pos="824"/>
        </w:tabs>
        <w:spacing w:before="0" w:after="0" w:line="360" w:lineRule="auto"/>
        <w:rPr>
          <w:rFonts w:hint="eastAsia" w:ascii="宋体" w:hAnsi="宋体" w:eastAsia="宋体" w:cs="宋体"/>
          <w:b/>
          <w:color w:val="auto"/>
          <w:sz w:val="24"/>
          <w:szCs w:val="24"/>
          <w:highlight w:val="none"/>
        </w:rPr>
      </w:pPr>
      <w:bookmarkStart w:id="52" w:name="_Toc268090362"/>
      <w:bookmarkStart w:id="53" w:name="_Toc279258621"/>
      <w:r>
        <w:rPr>
          <w:rFonts w:hint="eastAsia" w:ascii="宋体" w:hAnsi="宋体" w:cs="宋体"/>
          <w:b/>
          <w:color w:val="auto"/>
          <w:sz w:val="24"/>
          <w:szCs w:val="24"/>
          <w:highlight w:val="none"/>
        </w:rPr>
        <w:t>1</w:t>
      </w: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验收与质保期</w:t>
      </w:r>
      <w:bookmarkEnd w:id="52"/>
      <w:bookmarkEnd w:id="53"/>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19.1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货物运抵交付地后，必须通过到货验收。如甲方要求到货后开箱抽检，乙方应予以配合。如甲方发现缺少、损坏部件，乙方须及时补齐，如因此造成工期拖延，甲方有权按延期交货索赔。</w:t>
      </w:r>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19.2</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质保期为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月，从货物全部到货并获得甲方出具的物资验收单之日起计算，在质保期内乙方免费提供产品正常使用情况下的维修及保养服务。质保期内产品本身质量出现问题或由于产品本身质量原因造成的任何损伤或损坏，乙方应及时给予免费维修或免费更换，由此引起的一切费用由乙方负责。新更换的产品质保期则从更换后双方确认能正常使用时起计。</w:t>
      </w:r>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19.3</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质保期内因用户使用、管理不当所造成的损失由甲方承担，乙方提供有偿服务。</w:t>
      </w:r>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19.4</w:t>
      </w:r>
      <w:r>
        <w:rPr>
          <w:rFonts w:hint="eastAsia" w:ascii="宋体" w:hAnsi="宋体" w:cs="宋体"/>
          <w:color w:val="auto"/>
          <w:sz w:val="24"/>
          <w:szCs w:val="24"/>
          <w:highlight w:val="none"/>
        </w:rPr>
        <w:tab/>
      </w:r>
      <w:r>
        <w:rPr>
          <w:rFonts w:hint="eastAsia" w:ascii="宋体" w:hAnsi="宋体" w:cs="宋体"/>
          <w:color w:val="auto"/>
          <w:sz w:val="24"/>
          <w:szCs w:val="24"/>
          <w:highlight w:val="none"/>
        </w:rPr>
        <w:t>在有关部门进行验收时，乙方应及时配合甲方。</w:t>
      </w:r>
    </w:p>
    <w:p>
      <w:pPr>
        <w:tabs>
          <w:tab w:val="left" w:pos="840"/>
        </w:tabs>
        <w:adjustRightInd w:val="0"/>
        <w:spacing w:line="360" w:lineRule="auto"/>
        <w:ind w:left="840" w:hanging="840"/>
        <w:rPr>
          <w:rFonts w:hint="eastAsia" w:ascii="宋体" w:hAnsi="宋体" w:cs="宋体"/>
          <w:color w:val="auto"/>
          <w:sz w:val="24"/>
          <w:szCs w:val="24"/>
          <w:highlight w:val="none"/>
        </w:rPr>
      </w:pPr>
      <w:r>
        <w:rPr>
          <w:rFonts w:hint="eastAsia" w:ascii="宋体" w:hAnsi="宋体" w:cs="宋体"/>
          <w:color w:val="auto"/>
          <w:sz w:val="24"/>
          <w:szCs w:val="24"/>
          <w:highlight w:val="none"/>
        </w:rPr>
        <w:t>19.5</w:t>
      </w:r>
      <w:r>
        <w:rPr>
          <w:rFonts w:hint="eastAsia" w:ascii="宋体" w:hAnsi="宋体" w:cs="宋体"/>
          <w:color w:val="auto"/>
          <w:sz w:val="24"/>
          <w:szCs w:val="24"/>
          <w:highlight w:val="none"/>
        </w:rPr>
        <w:tab/>
      </w:r>
      <w:r>
        <w:rPr>
          <w:rFonts w:hint="eastAsia" w:ascii="宋体" w:hAnsi="宋体" w:cs="宋体"/>
          <w:color w:val="auto"/>
          <w:sz w:val="24"/>
          <w:szCs w:val="24"/>
          <w:highlight w:val="none"/>
        </w:rPr>
        <w:t>乙方货物质量和提供的服务不符要求,致使不能实现合同目的,甲方可拒收货物或解除合同。甲方拒收货物或者解除合同的，标的物运输、毁损及丢失的风险由乙方承担。</w:t>
      </w:r>
    </w:p>
    <w:p>
      <w:pPr>
        <w:pStyle w:val="4"/>
        <w:keepNext w:val="0"/>
        <w:keepLines w:val="0"/>
        <w:tabs>
          <w:tab w:val="left" w:pos="420"/>
          <w:tab w:val="left" w:pos="824"/>
        </w:tabs>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附件</w:t>
      </w:r>
    </w:p>
    <w:p>
      <w:pPr>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附件1：货物清单与用户需求书</w:t>
      </w:r>
    </w:p>
    <w:p>
      <w:pPr>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附件2：招标、投标文件（如有）</w:t>
      </w:r>
    </w:p>
    <w:p>
      <w:pPr>
        <w:adjustRightIn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附件3：</w:t>
      </w:r>
      <w:r>
        <w:rPr>
          <w:rFonts w:hint="eastAsia" w:ascii="宋体" w:hAnsi="宋体" w:cs="宋体"/>
          <w:color w:val="auto"/>
          <w:kern w:val="0"/>
          <w:sz w:val="24"/>
          <w:szCs w:val="24"/>
          <w:highlight w:val="none"/>
          <w:lang w:val="zh-CN"/>
        </w:rPr>
        <w:t>广州白云国际机场廉洁协议</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p>
    <w:p>
      <w:pPr>
        <w:rPr>
          <w:rFonts w:cs="宋体"/>
          <w:b/>
          <w:bCs/>
          <w:color w:val="auto"/>
          <w:sz w:val="28"/>
          <w:szCs w:val="21"/>
          <w:highlight w:val="none"/>
        </w:rPr>
      </w:pPr>
      <w:r>
        <w:rPr>
          <w:rFonts w:hint="eastAsia" w:hAnsi="宋体" w:cs="宋体"/>
          <w:b/>
          <w:bCs/>
          <w:color w:val="auto"/>
          <w:sz w:val="28"/>
          <w:szCs w:val="21"/>
          <w:highlight w:val="none"/>
        </w:rPr>
        <w:t>附件3</w:t>
      </w:r>
    </w:p>
    <w:p>
      <w:pPr>
        <w:pStyle w:val="11"/>
        <w:ind w:left="0" w:leftChars="0"/>
        <w:jc w:val="center"/>
        <w:outlineLvl w:val="0"/>
        <w:rPr>
          <w:rFonts w:hint="eastAsia" w:ascii="宋体" w:hAnsi="宋体"/>
          <w:b/>
          <w:color w:val="auto"/>
          <w:kern w:val="0"/>
          <w:sz w:val="32"/>
          <w:highlight w:val="none"/>
          <w:lang w:val="zh-CN"/>
        </w:rPr>
      </w:pPr>
      <w:r>
        <w:rPr>
          <w:rFonts w:hint="eastAsia" w:ascii="宋体" w:hAnsi="宋体"/>
          <w:b/>
          <w:color w:val="auto"/>
          <w:kern w:val="0"/>
          <w:sz w:val="32"/>
          <w:highlight w:val="none"/>
          <w:lang w:val="zh-CN"/>
        </w:rPr>
        <w:t>广州白云国际机场廉洁协议</w:t>
      </w:r>
    </w:p>
    <w:p>
      <w:pPr>
        <w:rPr>
          <w:color w:val="auto"/>
          <w:sz w:val="28"/>
          <w:szCs w:val="28"/>
          <w:highlight w:val="none"/>
        </w:rPr>
      </w:pPr>
    </w:p>
    <w:p>
      <w:pPr>
        <w:spacing w:line="360" w:lineRule="auto"/>
        <w:ind w:firstLine="480" w:firstLineChars="200"/>
        <w:rPr>
          <w:color w:val="auto"/>
          <w:sz w:val="24"/>
          <w:szCs w:val="24"/>
          <w:highlight w:val="none"/>
        </w:rPr>
      </w:pPr>
      <w:r>
        <w:rPr>
          <w:rFonts w:hint="eastAsia" w:hAnsi="宋体"/>
          <w:color w:val="auto"/>
          <w:sz w:val="24"/>
          <w:szCs w:val="24"/>
          <w:highlight w:val="none"/>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spacing w:line="360" w:lineRule="auto"/>
        <w:ind w:firstLine="480" w:firstLineChars="200"/>
        <w:outlineLvl w:val="0"/>
        <w:rPr>
          <w:rFonts w:hint="eastAsia" w:hAnsi="宋体"/>
          <w:color w:val="auto"/>
          <w:sz w:val="24"/>
          <w:szCs w:val="24"/>
          <w:highlight w:val="none"/>
        </w:rPr>
      </w:pPr>
      <w:r>
        <w:rPr>
          <w:rFonts w:hint="eastAsia" w:hAnsi="宋体"/>
          <w:color w:val="auto"/>
          <w:sz w:val="24"/>
          <w:szCs w:val="24"/>
          <w:highlight w:val="none"/>
        </w:rPr>
        <w:t>1.本协议适用范围</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甲乙双方一致确认，本协议效力适用于甲方与乙方（含分支机构等关联机构）的所有业务合作往来的全过程，包括但不限于招投标、货比三家、竞争性谈判、商务谈判等物资、服务采购环节及合同签订、履行环节等。</w:t>
      </w:r>
    </w:p>
    <w:p>
      <w:pPr>
        <w:spacing w:line="360" w:lineRule="auto"/>
        <w:ind w:firstLine="480" w:firstLineChars="200"/>
        <w:outlineLvl w:val="0"/>
        <w:rPr>
          <w:rFonts w:hint="eastAsia" w:hAnsi="宋体"/>
          <w:color w:val="auto"/>
          <w:sz w:val="24"/>
          <w:szCs w:val="24"/>
          <w:highlight w:val="none"/>
        </w:rPr>
      </w:pPr>
      <w:r>
        <w:rPr>
          <w:rFonts w:hint="eastAsia" w:hAnsi="宋体"/>
          <w:color w:val="auto"/>
          <w:sz w:val="24"/>
          <w:szCs w:val="24"/>
          <w:highlight w:val="none"/>
        </w:rPr>
        <w:t>2.本协议期限</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本协议期限与业务外包主合同保持一致。</w:t>
      </w:r>
    </w:p>
    <w:p>
      <w:pPr>
        <w:spacing w:line="360" w:lineRule="auto"/>
        <w:ind w:firstLine="480" w:firstLineChars="200"/>
        <w:outlineLvl w:val="0"/>
        <w:rPr>
          <w:rFonts w:hint="eastAsia" w:hAnsi="宋体"/>
          <w:color w:val="auto"/>
          <w:sz w:val="24"/>
          <w:szCs w:val="24"/>
          <w:highlight w:val="none"/>
        </w:rPr>
      </w:pPr>
      <w:r>
        <w:rPr>
          <w:rFonts w:hint="eastAsia" w:hAnsi="宋体"/>
          <w:color w:val="auto"/>
          <w:sz w:val="24"/>
          <w:szCs w:val="24"/>
          <w:highlight w:val="none"/>
        </w:rPr>
        <w:t>3.双方职责</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 合同一方及其工作人员应当保持与合同相对方及其工作人员的正常业务交往，不得向对方工作人员及其亲属有以下任何一项行为：</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3.2.1 支付回扣等好处费；</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3.2.2 支付礼金、有价证券或贵重物品，或报销任何应由个人支付的费用；</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3.2.3 为对方工作人员购置或者提供通讯工具、交通工具、家电、高档办公用品等物品；</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3.2.4 邀请对方工作人员参加可能对其公正执行职务有影响的宴请、旅游或其它娱乐活动；</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3.2.5 为对方工作人员提供住房装修、婚丧嫁娶、家属的工作安排或出国（出境）等提供方便或财物支持；</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3.2.6 与对方工作人员就双方合作内容涉及的权利义务变更等进行私下商谈或者达成默契；</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3.2.7 其它可能对对方工作人员公正执行职务有影响的不当行为。</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3.3 合同一方及其工作人员在履约过程中应当廉洁自律，不得向对方的客户索取和收受财物、有价证券或其他好处。</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3.4 乙方如发现甲方工作人员违反协议，收受对方好处或有其它不当行为的，应向甲方指定纪检监察部门举报。接受举报一方不得以任何借口对举报方进行报复。</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 xml:space="preserve">甲方指定纪检监察部门接受举报的电话或邮箱：            </w:t>
      </w:r>
      <w:r>
        <w:rPr>
          <w:rFonts w:hint="eastAsia" w:hAnsi="宋体"/>
          <w:color w:val="auto"/>
          <w:sz w:val="24"/>
          <w:szCs w:val="24"/>
          <w:highlight w:val="none"/>
          <w:u w:val="single"/>
        </w:rPr>
        <w:t xml:space="preserve"> 。</w:t>
      </w:r>
    </w:p>
    <w:p>
      <w:pPr>
        <w:spacing w:line="360" w:lineRule="auto"/>
        <w:ind w:firstLine="480" w:firstLineChars="200"/>
        <w:outlineLvl w:val="0"/>
        <w:rPr>
          <w:rFonts w:hint="eastAsia" w:hAnsi="宋体"/>
          <w:color w:val="auto"/>
          <w:sz w:val="24"/>
          <w:szCs w:val="24"/>
          <w:highlight w:val="none"/>
        </w:rPr>
      </w:pPr>
      <w:r>
        <w:rPr>
          <w:rFonts w:hint="eastAsia" w:hAnsi="宋体"/>
          <w:color w:val="auto"/>
          <w:sz w:val="24"/>
          <w:szCs w:val="24"/>
          <w:highlight w:val="none"/>
        </w:rPr>
        <w:t>4.违约责任</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4.1 协议中任何一方因不履行本协议下约定内容导致的一切后果，应自行承担。</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4.2 乙方违反本协议或者采用不正当的手段行贿甲方工作人员，甲方有权解除本项目主协议，乙方应向甲方支付主合同约定的违约金，并承诺对被列入“禁止参与白云机场招标采购名单”无异议。</w:t>
      </w:r>
    </w:p>
    <w:p>
      <w:pPr>
        <w:spacing w:line="360" w:lineRule="auto"/>
        <w:ind w:firstLine="480" w:firstLineChars="200"/>
        <w:outlineLvl w:val="0"/>
        <w:rPr>
          <w:rFonts w:hint="eastAsia" w:hAnsi="宋体"/>
          <w:color w:val="auto"/>
          <w:sz w:val="24"/>
          <w:szCs w:val="24"/>
          <w:highlight w:val="none"/>
        </w:rPr>
      </w:pPr>
      <w:r>
        <w:rPr>
          <w:rFonts w:hint="eastAsia" w:hAnsi="宋体"/>
          <w:color w:val="auto"/>
          <w:sz w:val="24"/>
          <w:szCs w:val="24"/>
          <w:highlight w:val="none"/>
        </w:rPr>
        <w:t>5.其他事项</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本廉洁协议作为甲方招标、采购文件的一部分，与业务外包主合同具有同等法律效力。</w:t>
      </w:r>
    </w:p>
    <w:p>
      <w:pPr>
        <w:rPr>
          <w:color w:val="auto"/>
          <w:szCs w:val="21"/>
          <w:highlight w:val="none"/>
        </w:rPr>
      </w:pPr>
    </w:p>
    <w:p>
      <w:pPr>
        <w:pStyle w:val="11"/>
        <w:ind w:left="420"/>
        <w:rPr>
          <w:color w:val="auto"/>
          <w:szCs w:val="21"/>
          <w:highlight w:val="none"/>
        </w:rPr>
      </w:pPr>
    </w:p>
    <w:p>
      <w:pPr>
        <w:rPr>
          <w:color w:val="auto"/>
          <w:szCs w:val="21"/>
          <w:highlight w:val="none"/>
        </w:rPr>
      </w:pPr>
    </w:p>
    <w:p>
      <w:pPr>
        <w:pStyle w:val="11"/>
        <w:ind w:left="420"/>
        <w:rPr>
          <w:color w:val="auto"/>
          <w:szCs w:val="21"/>
          <w:highlight w:val="none"/>
        </w:rPr>
      </w:pPr>
    </w:p>
    <w:p>
      <w:pPr>
        <w:rPr>
          <w:color w:val="auto"/>
          <w:szCs w:val="21"/>
          <w:highlight w:val="none"/>
        </w:rPr>
      </w:pPr>
    </w:p>
    <w:p>
      <w:pPr>
        <w:pStyle w:val="11"/>
        <w:ind w:left="420"/>
        <w:rPr>
          <w:color w:val="auto"/>
          <w:szCs w:val="21"/>
          <w:highlight w:val="none"/>
        </w:rPr>
      </w:pPr>
    </w:p>
    <w:p>
      <w:pPr>
        <w:rPr>
          <w:color w:val="auto"/>
          <w:szCs w:val="21"/>
          <w:highlight w:val="none"/>
        </w:rPr>
      </w:pPr>
    </w:p>
    <w:p>
      <w:pPr>
        <w:pStyle w:val="11"/>
        <w:ind w:left="420"/>
        <w:rPr>
          <w:color w:val="auto"/>
          <w:szCs w:val="21"/>
          <w:highlight w:val="none"/>
        </w:rPr>
      </w:pPr>
    </w:p>
    <w:p>
      <w:pPr>
        <w:rPr>
          <w:color w:val="auto"/>
          <w:szCs w:val="21"/>
          <w:highlight w:val="none"/>
        </w:rPr>
      </w:pPr>
    </w:p>
    <w:p>
      <w:pPr>
        <w:pStyle w:val="11"/>
        <w:ind w:left="420"/>
        <w:rPr>
          <w:color w:val="auto"/>
          <w:szCs w:val="21"/>
          <w:highlight w:val="none"/>
        </w:rPr>
      </w:pPr>
    </w:p>
    <w:p>
      <w:pPr>
        <w:rPr>
          <w:color w:val="auto"/>
          <w:highlight w:val="none"/>
        </w:rPr>
      </w:pPr>
    </w:p>
    <w:p>
      <w:pPr>
        <w:rPr>
          <w:color w:val="auto"/>
          <w:szCs w:val="21"/>
          <w:highlight w:val="none"/>
        </w:rPr>
      </w:pPr>
    </w:p>
    <w:p>
      <w:pPr>
        <w:pStyle w:val="11"/>
        <w:ind w:left="0" w:leftChars="0"/>
        <w:rPr>
          <w:color w:val="auto"/>
          <w:szCs w:val="21"/>
          <w:highlight w:val="none"/>
        </w:rPr>
      </w:pPr>
    </w:p>
    <w:p>
      <w:pPr>
        <w:rPr>
          <w:color w:val="auto"/>
          <w:highlight w:val="none"/>
        </w:rPr>
      </w:pPr>
    </w:p>
    <w:p>
      <w:pPr>
        <w:adjustRightInd w:val="0"/>
        <w:spacing w:line="360" w:lineRule="auto"/>
        <w:rPr>
          <w:rFonts w:hint="eastAsia" w:ascii="宋体" w:hAnsi="宋体" w:cs="宋体"/>
          <w:color w:val="auto"/>
          <w:sz w:val="24"/>
          <w:szCs w:val="24"/>
          <w:highlight w:val="none"/>
        </w:rPr>
      </w:pPr>
    </w:p>
    <w:p>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tabs>
          <w:tab w:val="left" w:pos="840"/>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（签章页）</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tcPr>
          <w:p>
            <w:pPr>
              <w:tabs>
                <w:tab w:val="left" w:pos="840"/>
              </w:tabs>
              <w:spacing w:line="360" w:lineRule="auto"/>
              <w:ind w:left="960" w:hanging="960" w:hangingChars="4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甲   方（盖章）：                      </w:t>
            </w:r>
          </w:p>
          <w:p>
            <w:pPr>
              <w:tabs>
                <w:tab w:val="left" w:pos="840"/>
              </w:tabs>
              <w:spacing w:line="360" w:lineRule="auto"/>
              <w:jc w:val="left"/>
              <w:rPr>
                <w:rFonts w:hint="eastAsia" w:ascii="宋体" w:hAnsi="宋体" w:cs="宋体"/>
                <w:bCs/>
                <w:color w:val="auto"/>
                <w:kern w:val="0"/>
                <w:sz w:val="24"/>
                <w:szCs w:val="24"/>
                <w:highlight w:val="none"/>
              </w:rPr>
            </w:pPr>
          </w:p>
        </w:tc>
        <w:tc>
          <w:tcPr>
            <w:tcW w:w="4261" w:type="dxa"/>
          </w:tcPr>
          <w:p>
            <w:pPr>
              <w:tabs>
                <w:tab w:val="left" w:pos="840"/>
              </w:tabs>
              <w:spacing w:line="360" w:lineRule="auto"/>
              <w:jc w:val="lef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乙   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tcPr>
          <w:p>
            <w:pPr>
              <w:tabs>
                <w:tab w:val="left" w:pos="840"/>
              </w:tabs>
              <w:spacing w:line="360" w:lineRule="auto"/>
              <w:jc w:val="lef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法定代表人/授权代表（签字）：</w:t>
            </w:r>
            <w:r>
              <w:rPr>
                <w:rFonts w:hint="eastAsia" w:ascii="宋体" w:hAnsi="宋体" w:cs="宋体"/>
                <w:color w:val="auto"/>
                <w:kern w:val="0"/>
                <w:sz w:val="24"/>
                <w:szCs w:val="24"/>
                <w:highlight w:val="none"/>
              </w:rPr>
              <w:tab/>
            </w:r>
          </w:p>
        </w:tc>
        <w:tc>
          <w:tcPr>
            <w:tcW w:w="4261" w:type="dxa"/>
          </w:tcPr>
          <w:p>
            <w:pPr>
              <w:tabs>
                <w:tab w:val="left" w:pos="3990"/>
              </w:tabs>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法定代表人/授权代表（签字）：</w:t>
            </w:r>
          </w:p>
          <w:p>
            <w:pPr>
              <w:tabs>
                <w:tab w:val="left" w:pos="840"/>
              </w:tabs>
              <w:spacing w:line="360" w:lineRule="auto"/>
              <w:jc w:val="left"/>
              <w:rPr>
                <w:rFonts w:hint="eastAsia" w:ascii="宋体" w:hAnsi="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tcPr>
          <w:p>
            <w:pPr>
              <w:tabs>
                <w:tab w:val="left" w:pos="840"/>
              </w:tabs>
              <w:spacing w:line="360" w:lineRule="auto"/>
              <w:jc w:val="lef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日期：     年    月    日</w:t>
            </w:r>
            <w:r>
              <w:rPr>
                <w:rFonts w:hint="eastAsia" w:ascii="宋体" w:hAnsi="宋体" w:cs="宋体"/>
                <w:color w:val="auto"/>
                <w:kern w:val="0"/>
                <w:sz w:val="24"/>
                <w:szCs w:val="24"/>
                <w:highlight w:val="none"/>
              </w:rPr>
              <w:tab/>
            </w:r>
          </w:p>
        </w:tc>
        <w:tc>
          <w:tcPr>
            <w:tcW w:w="4261" w:type="dxa"/>
          </w:tcPr>
          <w:p>
            <w:pPr>
              <w:tabs>
                <w:tab w:val="left" w:pos="3990"/>
              </w:tabs>
              <w:spacing w:line="360" w:lineRule="auto"/>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tcPr>
          <w:p>
            <w:pPr>
              <w:tabs>
                <w:tab w:val="left" w:pos="840"/>
              </w:tabs>
              <w:spacing w:line="360" w:lineRule="auto"/>
              <w:jc w:val="lef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开户银行：</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 xml:space="preserve">    </w:t>
            </w:r>
          </w:p>
        </w:tc>
        <w:tc>
          <w:tcPr>
            <w:tcW w:w="4261" w:type="dxa"/>
          </w:tcPr>
          <w:p>
            <w:pPr>
              <w:tabs>
                <w:tab w:val="left" w:pos="840"/>
              </w:tabs>
              <w:spacing w:line="360" w:lineRule="auto"/>
              <w:jc w:val="lef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开户银行：</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tcPr>
          <w:p>
            <w:pPr>
              <w:tabs>
                <w:tab w:val="left" w:pos="840"/>
              </w:tabs>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银行账号：</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 xml:space="preserve">     </w:t>
            </w:r>
          </w:p>
        </w:tc>
        <w:tc>
          <w:tcPr>
            <w:tcW w:w="4261" w:type="dxa"/>
          </w:tcPr>
          <w:p>
            <w:pPr>
              <w:tabs>
                <w:tab w:val="left" w:pos="840"/>
              </w:tabs>
              <w:spacing w:line="360" w:lineRule="auto"/>
              <w:jc w:val="lef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银行账号：</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 xml:space="preserve">     </w:t>
            </w:r>
          </w:p>
        </w:tc>
      </w:tr>
    </w:tbl>
    <w:p>
      <w:pPr>
        <w:widowControl/>
        <w:spacing w:line="360" w:lineRule="auto"/>
        <w:ind w:firstLine="627"/>
        <w:rPr>
          <w:color w:val="auto"/>
          <w:highlight w:val="none"/>
        </w:rPr>
      </w:pPr>
    </w:p>
    <w:p>
      <w:pPr>
        <w:spacing w:line="360" w:lineRule="auto"/>
        <w:rPr>
          <w:rFonts w:hint="eastAsia" w:ascii="宋体" w:hAnsi="宋体" w:cs="宋体"/>
          <w:color w:val="auto"/>
          <w:szCs w:val="21"/>
          <w:highlight w:val="none"/>
        </w:rPr>
      </w:pPr>
    </w:p>
    <w:p>
      <w:pPr>
        <w:rPr>
          <w:color w:val="auto"/>
          <w:highlight w:val="none"/>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40</w:t>
    </w:r>
    <w:r>
      <w:rPr>
        <w:rFonts w:hint="eastAsia" w:ascii="仿宋_GB2312" w:hAnsi="仿宋_GB2312" w:eastAsia="仿宋_GB2312" w:cs="仿宋_GB2312"/>
        <w:sz w:val="28"/>
        <w:szCs w:val="2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40</w:t>
    </w:r>
    <w:r>
      <w:rPr>
        <w:rFonts w:hint="eastAsia" w:ascii="仿宋_GB2312" w:hAnsi="仿宋_GB2312" w:eastAsia="仿宋_GB2312" w:cs="仿宋_GB2312"/>
        <w:sz w:val="28"/>
        <w:szCs w:val="28"/>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399204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tabs>
                              <w:tab w:val="center" w:pos="4153"/>
                              <w:tab w:val="right" w:pos="830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5&#10;uc8AAAAFAQAADwAAAAAAAAABACAAAAAiAAAAZHJzL2Rvd25yZXYueG1sUEsBAhQAFAAAAAgAh07i&#10;QDybcwHyAQAAvgMAAA4AAAAAAAAAAQAgAAAAHgEAAGRycy9lMm9Eb2MueG1sUEsFBgAAAAAGAAYA&#10;WQEAAIIFAAAAAA==&#10;">
              <v:fill on="f" focussize="0,0"/>
              <v:stroke on="f"/>
              <v:imagedata o:title=""/>
              <o:lock v:ext="edit" aspectratio="f"/>
              <v:textbox inset="0mm,0mm,0mm,0mm" style="mso-fit-shape-to-text:t;">
                <w:txbxContent>
                  <w:p>
                    <w:pPr>
                      <w:tabs>
                        <w:tab w:val="center" w:pos="4153"/>
                        <w:tab w:val="right" w:pos="830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p>
    <w:pPr>
      <w:pStyle w:val="18"/>
    </w:pPr>
  </w:p>
  <w:p>
    <w:pPr>
      <w:pStyle w:val="18"/>
    </w:pPr>
  </w:p>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6386586"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tabs>
                              <w:tab w:val="center" w:pos="4153"/>
                              <w:tab w:val="right" w:pos="830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5&#10;uc8AAAAFAQAADwAAAAAAAAABACAAAAAiAAAAZHJzL2Rvd25yZXYueG1sUEsBAhQAFAAAAAgAh07i&#10;QDUpXgvyAQAAvgMAAA4AAAAAAAAAAQAgAAAAHgEAAGRycy9lMm9Eb2MueG1sUEsFBgAAAAAGAAYA&#10;WQEAAIIFAAAAAA==&#10;">
              <v:fill on="f" focussize="0,0"/>
              <v:stroke on="f"/>
              <v:imagedata o:title=""/>
              <o:lock v:ext="edit" aspectratio="f"/>
              <v:textbox inset="0mm,0mm,0mm,0mm" style="mso-fit-shape-to-text:t;">
                <w:txbxContent>
                  <w:p>
                    <w:pPr>
                      <w:tabs>
                        <w:tab w:val="center" w:pos="4153"/>
                        <w:tab w:val="right" w:pos="830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p>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4E503"/>
    <w:multiLevelType w:val="singleLevel"/>
    <w:tmpl w:val="B454E503"/>
    <w:lvl w:ilvl="0" w:tentative="0">
      <w:start w:val="1"/>
      <w:numFmt w:val="decimal"/>
      <w:suff w:val="space"/>
      <w:lvlText w:val="%1."/>
      <w:lvlJc w:val="left"/>
    </w:lvl>
  </w:abstractNum>
  <w:abstractNum w:abstractNumId="1">
    <w:nsid w:val="C2F4AFCB"/>
    <w:multiLevelType w:val="singleLevel"/>
    <w:tmpl w:val="C2F4AFCB"/>
    <w:lvl w:ilvl="0" w:tentative="0">
      <w:start w:val="3"/>
      <w:numFmt w:val="chineseCounting"/>
      <w:suff w:val="nothing"/>
      <w:lvlText w:val="%1、"/>
      <w:lvlJc w:val="left"/>
      <w:pPr>
        <w:ind w:left="-2"/>
      </w:pPr>
      <w:rPr>
        <w:rFonts w:hint="eastAsia"/>
      </w:rPr>
    </w:lvl>
  </w:abstractNum>
  <w:abstractNum w:abstractNumId="2">
    <w:nsid w:val="5B14B135"/>
    <w:multiLevelType w:val="singleLevel"/>
    <w:tmpl w:val="5B14B135"/>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28"/>
    <w:rsid w:val="002A0719"/>
    <w:rsid w:val="002C4D35"/>
    <w:rsid w:val="00563DBB"/>
    <w:rsid w:val="005A37F1"/>
    <w:rsid w:val="005C1837"/>
    <w:rsid w:val="007B6B22"/>
    <w:rsid w:val="00BD7428"/>
    <w:rsid w:val="00BF6E3D"/>
    <w:rsid w:val="00D35685"/>
    <w:rsid w:val="00DD01C1"/>
    <w:rsid w:val="00F95070"/>
    <w:rsid w:val="0777746E"/>
    <w:rsid w:val="0E1A2714"/>
    <w:rsid w:val="0F916866"/>
    <w:rsid w:val="18687DFF"/>
    <w:rsid w:val="33F8537B"/>
    <w:rsid w:val="35B44698"/>
    <w:rsid w:val="3F27317E"/>
    <w:rsid w:val="45FC246A"/>
    <w:rsid w:val="554C5451"/>
    <w:rsid w:val="5FA60B50"/>
    <w:rsid w:val="79EA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1"/>
    <w:qFormat/>
    <w:uiPriority w:val="0"/>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40"/>
    <w:qFormat/>
    <w:uiPriority w:val="1"/>
    <w:pPr>
      <w:keepNext/>
      <w:keepLines/>
      <w:spacing w:line="1200" w:lineRule="exact"/>
      <w:jc w:val="center"/>
      <w:outlineLvl w:val="1"/>
    </w:pPr>
    <w:rPr>
      <w:rFonts w:ascii="Arial" w:hAnsi="Arial"/>
      <w:b/>
      <w:sz w:val="32"/>
      <w:szCs w:val="24"/>
    </w:rPr>
  </w:style>
  <w:style w:type="paragraph" w:styleId="4">
    <w:name w:val="heading 3"/>
    <w:basedOn w:val="1"/>
    <w:next w:val="1"/>
    <w:link w:val="42"/>
    <w:unhideWhenUsed/>
    <w:qFormat/>
    <w:uiPriority w:val="1"/>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43"/>
    <w:unhideWhenUsed/>
    <w:qFormat/>
    <w:uiPriority w:val="9"/>
    <w:pPr>
      <w:keepNext/>
      <w:keepLines/>
      <w:spacing w:before="80" w:after="40"/>
      <w:outlineLvl w:val="3"/>
    </w:pPr>
    <w:rPr>
      <w:rFonts w:eastAsiaTheme="minorEastAsia" w:cstheme="majorBidi"/>
      <w:color w:val="2E75B6" w:themeColor="accent1" w:themeShade="BF"/>
      <w:sz w:val="28"/>
      <w:szCs w:val="28"/>
    </w:rPr>
  </w:style>
  <w:style w:type="paragraph" w:styleId="6">
    <w:name w:val="heading 5"/>
    <w:basedOn w:val="1"/>
    <w:next w:val="1"/>
    <w:link w:val="44"/>
    <w:semiHidden/>
    <w:unhideWhenUsed/>
    <w:qFormat/>
    <w:uiPriority w:val="9"/>
    <w:pPr>
      <w:keepNext/>
      <w:keepLines/>
      <w:spacing w:before="80" w:after="40"/>
      <w:outlineLvl w:val="4"/>
    </w:pPr>
    <w:rPr>
      <w:rFonts w:eastAsiaTheme="minorEastAsia" w:cstheme="majorBidi"/>
      <w:color w:val="2E75B6" w:themeColor="accent1" w:themeShade="BF"/>
      <w:szCs w:val="24"/>
    </w:rPr>
  </w:style>
  <w:style w:type="paragraph" w:styleId="7">
    <w:name w:val="heading 6"/>
    <w:basedOn w:val="1"/>
    <w:next w:val="1"/>
    <w:link w:val="45"/>
    <w:semiHidden/>
    <w:unhideWhenUsed/>
    <w:qFormat/>
    <w:uiPriority w:val="9"/>
    <w:pPr>
      <w:keepNext/>
      <w:keepLines/>
      <w:spacing w:before="40"/>
      <w:outlineLvl w:val="5"/>
    </w:pPr>
    <w:rPr>
      <w:rFonts w:eastAsiaTheme="minorEastAsia" w:cstheme="majorBidi"/>
      <w:b/>
      <w:bCs/>
      <w:color w:val="2E75B6" w:themeColor="accent1" w:themeShade="BF"/>
    </w:rPr>
  </w:style>
  <w:style w:type="paragraph" w:styleId="8">
    <w:name w:val="heading 7"/>
    <w:basedOn w:val="1"/>
    <w:next w:val="1"/>
    <w:link w:val="46"/>
    <w:semiHidden/>
    <w:unhideWhenUsed/>
    <w:qFormat/>
    <w:uiPriority w:val="9"/>
    <w:pPr>
      <w:keepNext/>
      <w:keepLines/>
      <w:spacing w:before="40"/>
      <w:outlineLvl w:val="6"/>
    </w:pPr>
    <w:rPr>
      <w:rFonts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7"/>
    <w:semiHidden/>
    <w:unhideWhenUsed/>
    <w:qFormat/>
    <w:uiPriority w:val="9"/>
    <w:pPr>
      <w:keepNext/>
      <w:keepLines/>
      <w:outlineLvl w:val="7"/>
    </w:pPr>
    <w:rPr>
      <w:rFonts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200" w:leftChars="200"/>
    </w:pPr>
  </w:style>
  <w:style w:type="paragraph" w:styleId="12">
    <w:name w:val="Normal Indent"/>
    <w:basedOn w:val="1"/>
    <w:unhideWhenUsed/>
    <w:qFormat/>
    <w:uiPriority w:val="99"/>
    <w:pPr>
      <w:ind w:firstLine="420" w:firstLineChars="200"/>
    </w:pPr>
    <w:rPr>
      <w:szCs w:val="24"/>
    </w:rPr>
  </w:style>
  <w:style w:type="paragraph" w:styleId="13">
    <w:name w:val="annotation text"/>
    <w:basedOn w:val="1"/>
    <w:link w:val="60"/>
    <w:unhideWhenUsed/>
    <w:qFormat/>
    <w:uiPriority w:val="99"/>
    <w:pPr>
      <w:jc w:val="left"/>
    </w:pPr>
  </w:style>
  <w:style w:type="paragraph" w:styleId="14">
    <w:name w:val="Body Text"/>
    <w:basedOn w:val="1"/>
    <w:next w:val="1"/>
    <w:link w:val="61"/>
    <w:qFormat/>
    <w:uiPriority w:val="1"/>
    <w:pPr>
      <w:autoSpaceDE w:val="0"/>
      <w:autoSpaceDN w:val="0"/>
      <w:adjustRightInd w:val="0"/>
      <w:jc w:val="left"/>
    </w:pPr>
    <w:rPr>
      <w:rFonts w:ascii="微软雅黑" w:eastAsia="微软雅黑" w:cs="微软雅黑"/>
      <w:kern w:val="0"/>
      <w:sz w:val="24"/>
      <w:szCs w:val="24"/>
    </w:rPr>
  </w:style>
  <w:style w:type="paragraph" w:styleId="15">
    <w:name w:val="Body Text Indent"/>
    <w:basedOn w:val="1"/>
    <w:link w:val="62"/>
    <w:qFormat/>
    <w:uiPriority w:val="0"/>
    <w:pPr>
      <w:autoSpaceDE w:val="0"/>
      <w:autoSpaceDN w:val="0"/>
      <w:adjustRightInd w:val="0"/>
      <w:spacing w:line="520" w:lineRule="exact"/>
      <w:ind w:left="360"/>
    </w:pPr>
    <w:rPr>
      <w:rFonts w:ascii="宋体"/>
      <w:sz w:val="32"/>
    </w:rPr>
  </w:style>
  <w:style w:type="paragraph" w:styleId="16">
    <w:name w:val="Plain Text"/>
    <w:basedOn w:val="1"/>
    <w:next w:val="1"/>
    <w:link w:val="63"/>
    <w:qFormat/>
    <w:uiPriority w:val="0"/>
    <w:pPr>
      <w:spacing w:line="360" w:lineRule="auto"/>
      <w:ind w:left="600" w:leftChars="600"/>
    </w:pPr>
    <w:rPr>
      <w:rFonts w:ascii="宋体" w:hAnsi="宋体"/>
    </w:rPr>
  </w:style>
  <w:style w:type="paragraph" w:styleId="17">
    <w:name w:val="Balloon Text"/>
    <w:basedOn w:val="1"/>
    <w:link w:val="64"/>
    <w:unhideWhenUsed/>
    <w:qFormat/>
    <w:uiPriority w:val="99"/>
    <w:rPr>
      <w:sz w:val="18"/>
      <w:szCs w:val="18"/>
    </w:rPr>
  </w:style>
  <w:style w:type="paragraph" w:styleId="18">
    <w:name w:val="footer"/>
    <w:basedOn w:val="1"/>
    <w:link w:val="59"/>
    <w:unhideWhenUsed/>
    <w:uiPriority w:val="0"/>
    <w:pPr>
      <w:tabs>
        <w:tab w:val="center" w:pos="4153"/>
        <w:tab w:val="right" w:pos="8306"/>
      </w:tabs>
      <w:snapToGrid w:val="0"/>
      <w:jc w:val="left"/>
    </w:pPr>
    <w:rPr>
      <w:sz w:val="18"/>
      <w:szCs w:val="18"/>
    </w:rPr>
  </w:style>
  <w:style w:type="paragraph" w:styleId="19">
    <w:name w:val="header"/>
    <w:basedOn w:val="1"/>
    <w:link w:val="58"/>
    <w:unhideWhenUsed/>
    <w:qFormat/>
    <w:uiPriority w:val="0"/>
    <w:pPr>
      <w:tabs>
        <w:tab w:val="center" w:pos="4153"/>
        <w:tab w:val="right" w:pos="8306"/>
      </w:tabs>
      <w:snapToGrid w:val="0"/>
      <w:jc w:val="center"/>
    </w:pPr>
    <w:rPr>
      <w:sz w:val="18"/>
      <w:szCs w:val="18"/>
    </w:rPr>
  </w:style>
  <w:style w:type="paragraph" w:styleId="20">
    <w:name w:val="Subtitle"/>
    <w:basedOn w:val="1"/>
    <w:next w:val="1"/>
    <w:link w:val="5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Body Text 2"/>
    <w:basedOn w:val="1"/>
    <w:link w:val="65"/>
    <w:qFormat/>
    <w:uiPriority w:val="0"/>
    <w:pPr>
      <w:adjustRightInd w:val="0"/>
      <w:snapToGrid w:val="0"/>
      <w:spacing w:before="240"/>
      <w:ind w:right="210" w:rightChars="100"/>
    </w:pPr>
    <w:rPr>
      <w:rFonts w:ascii="宋体" w:hAnsi="宋体"/>
      <w:bCs/>
    </w:rPr>
  </w:style>
  <w:style w:type="paragraph" w:styleId="22">
    <w:name w:val="HTML Preformatted"/>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sz w:val="24"/>
    </w:rPr>
  </w:style>
  <w:style w:type="paragraph" w:styleId="23">
    <w:name w:val="Normal (Web)"/>
    <w:basedOn w:val="1"/>
    <w:unhideWhenUsed/>
    <w:qFormat/>
    <w:uiPriority w:val="99"/>
    <w:pPr>
      <w:spacing w:before="100" w:beforeAutospacing="1" w:after="100" w:afterAutospacing="1"/>
      <w:jc w:val="left"/>
    </w:pPr>
    <w:rPr>
      <w:kern w:val="0"/>
      <w:sz w:val="24"/>
    </w:rPr>
  </w:style>
  <w:style w:type="paragraph" w:styleId="24">
    <w:name w:val="Title"/>
    <w:basedOn w:val="1"/>
    <w:next w:val="1"/>
    <w:link w:val="4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5">
    <w:name w:val="annotation subject"/>
    <w:basedOn w:val="13"/>
    <w:next w:val="13"/>
    <w:link w:val="67"/>
    <w:unhideWhenUsed/>
    <w:qFormat/>
    <w:uiPriority w:val="99"/>
    <w:rPr>
      <w:b/>
      <w:bCs/>
    </w:rPr>
  </w:style>
  <w:style w:type="paragraph" w:styleId="26">
    <w:name w:val="Body Text First Indent"/>
    <w:basedOn w:val="14"/>
    <w:link w:val="68"/>
    <w:qFormat/>
    <w:uiPriority w:val="0"/>
    <w:pPr>
      <w:spacing w:after="120"/>
      <w:ind w:firstLine="420" w:firstLineChars="100"/>
    </w:pPr>
    <w:rPr>
      <w:sz w:val="21"/>
    </w:rPr>
  </w:style>
  <w:style w:type="table" w:styleId="28">
    <w:name w:val="Table Grid"/>
    <w:basedOn w:val="27"/>
    <w:unhideWhenUsed/>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unhideWhenUsed/>
    <w:qFormat/>
    <w:uiPriority w:val="99"/>
  </w:style>
  <w:style w:type="character" w:styleId="31">
    <w:name w:val="FollowedHyperlink"/>
    <w:unhideWhenUsed/>
    <w:qFormat/>
    <w:uiPriority w:val="99"/>
    <w:rPr>
      <w:color w:val="333333"/>
      <w:u w:val="none"/>
    </w:rPr>
  </w:style>
  <w:style w:type="character" w:styleId="32">
    <w:name w:val="Emphasis"/>
    <w:qFormat/>
    <w:uiPriority w:val="20"/>
  </w:style>
  <w:style w:type="character" w:styleId="33">
    <w:name w:val="HTML Definition"/>
    <w:unhideWhenUsed/>
    <w:qFormat/>
    <w:uiPriority w:val="99"/>
  </w:style>
  <w:style w:type="character" w:styleId="34">
    <w:name w:val="HTML Acronym"/>
    <w:basedOn w:val="29"/>
    <w:unhideWhenUsed/>
    <w:qFormat/>
    <w:uiPriority w:val="99"/>
  </w:style>
  <w:style w:type="character" w:styleId="35">
    <w:name w:val="HTML Variable"/>
    <w:unhideWhenUsed/>
    <w:qFormat/>
    <w:uiPriority w:val="99"/>
  </w:style>
  <w:style w:type="character" w:styleId="36">
    <w:name w:val="Hyperlink"/>
    <w:unhideWhenUsed/>
    <w:qFormat/>
    <w:uiPriority w:val="99"/>
    <w:rPr>
      <w:color w:val="333333"/>
      <w:u w:val="none"/>
    </w:rPr>
  </w:style>
  <w:style w:type="character" w:styleId="37">
    <w:name w:val="HTML Code"/>
    <w:unhideWhenUsed/>
    <w:qFormat/>
    <w:uiPriority w:val="99"/>
    <w:rPr>
      <w:rFonts w:ascii="Courier New" w:hAnsi="Courier New"/>
      <w:sz w:val="20"/>
    </w:rPr>
  </w:style>
  <w:style w:type="character" w:styleId="38">
    <w:name w:val="annotation reference"/>
    <w:unhideWhenUsed/>
    <w:qFormat/>
    <w:uiPriority w:val="99"/>
    <w:rPr>
      <w:sz w:val="21"/>
      <w:szCs w:val="21"/>
    </w:rPr>
  </w:style>
  <w:style w:type="character" w:styleId="39">
    <w:name w:val="HTML Cite"/>
    <w:unhideWhenUsed/>
    <w:qFormat/>
    <w:uiPriority w:val="99"/>
  </w:style>
  <w:style w:type="character" w:customStyle="1" w:styleId="40">
    <w:name w:val="标题 2 字符"/>
    <w:basedOn w:val="29"/>
    <w:link w:val="3"/>
    <w:qFormat/>
    <w:uiPriority w:val="1"/>
    <w:rPr>
      <w:rFonts w:ascii="Arial" w:hAnsi="Arial" w:eastAsia="宋体" w:cs="Times New Roman"/>
      <w:b/>
      <w:sz w:val="32"/>
      <w:szCs w:val="24"/>
    </w:rPr>
  </w:style>
  <w:style w:type="character" w:customStyle="1" w:styleId="41">
    <w:name w:val="标题 1 字符"/>
    <w:basedOn w:val="29"/>
    <w:link w:val="2"/>
    <w:qFormat/>
    <w:uiPriority w:val="0"/>
    <w:rPr>
      <w:rFonts w:asciiTheme="majorHAnsi" w:hAnsiTheme="majorHAnsi" w:eastAsiaTheme="majorEastAsia" w:cstheme="majorBidi"/>
      <w:color w:val="2E75B6" w:themeColor="accent1" w:themeShade="BF"/>
      <w:sz w:val="48"/>
      <w:szCs w:val="48"/>
    </w:rPr>
  </w:style>
  <w:style w:type="character" w:customStyle="1" w:styleId="42">
    <w:name w:val="标题 3 字符"/>
    <w:basedOn w:val="29"/>
    <w:link w:val="4"/>
    <w:qFormat/>
    <w:uiPriority w:val="1"/>
    <w:rPr>
      <w:rFonts w:asciiTheme="majorHAnsi" w:hAnsiTheme="majorHAnsi" w:eastAsiaTheme="majorEastAsia" w:cstheme="majorBidi"/>
      <w:color w:val="2E75B6" w:themeColor="accent1" w:themeShade="BF"/>
      <w:sz w:val="32"/>
      <w:szCs w:val="32"/>
    </w:rPr>
  </w:style>
  <w:style w:type="character" w:customStyle="1" w:styleId="43">
    <w:name w:val="标题 4 字符"/>
    <w:basedOn w:val="29"/>
    <w:link w:val="5"/>
    <w:qFormat/>
    <w:uiPriority w:val="9"/>
    <w:rPr>
      <w:rFonts w:cstheme="majorBidi"/>
      <w:color w:val="2E75B6" w:themeColor="accent1" w:themeShade="BF"/>
      <w:sz w:val="28"/>
      <w:szCs w:val="28"/>
    </w:rPr>
  </w:style>
  <w:style w:type="character" w:customStyle="1" w:styleId="44">
    <w:name w:val="标题 5 字符"/>
    <w:basedOn w:val="29"/>
    <w:link w:val="6"/>
    <w:semiHidden/>
    <w:qFormat/>
    <w:uiPriority w:val="9"/>
    <w:rPr>
      <w:rFonts w:cstheme="majorBidi"/>
      <w:color w:val="2E75B6" w:themeColor="accent1" w:themeShade="BF"/>
      <w:sz w:val="24"/>
      <w:szCs w:val="24"/>
    </w:rPr>
  </w:style>
  <w:style w:type="character" w:customStyle="1" w:styleId="45">
    <w:name w:val="标题 6 字符"/>
    <w:basedOn w:val="29"/>
    <w:link w:val="7"/>
    <w:semiHidden/>
    <w:qFormat/>
    <w:uiPriority w:val="9"/>
    <w:rPr>
      <w:rFonts w:cstheme="majorBidi"/>
      <w:b/>
      <w:bCs/>
      <w:color w:val="2E75B6" w:themeColor="accent1" w:themeShade="BF"/>
      <w:sz w:val="24"/>
    </w:rPr>
  </w:style>
  <w:style w:type="character" w:customStyle="1" w:styleId="46">
    <w:name w:val="标题 7 字符"/>
    <w:basedOn w:val="29"/>
    <w:link w:val="8"/>
    <w:semiHidden/>
    <w:qFormat/>
    <w:uiPriority w:val="9"/>
    <w:rPr>
      <w:rFonts w:cstheme="majorBidi"/>
      <w:b/>
      <w:bCs/>
      <w:color w:val="595959" w:themeColor="text1" w:themeTint="A6"/>
      <w:sz w:val="24"/>
      <w14:textFill>
        <w14:solidFill>
          <w14:schemeClr w14:val="tx1">
            <w14:lumMod w14:val="65000"/>
            <w14:lumOff w14:val="35000"/>
          </w14:schemeClr>
        </w14:solidFill>
      </w14:textFill>
    </w:rPr>
  </w:style>
  <w:style w:type="character" w:customStyle="1" w:styleId="47">
    <w:name w:val="标题 8 字符"/>
    <w:basedOn w:val="29"/>
    <w:link w:val="9"/>
    <w:semiHidden/>
    <w:qFormat/>
    <w:uiPriority w:val="9"/>
    <w:rPr>
      <w:rFonts w:cstheme="majorBidi"/>
      <w:color w:val="595959" w:themeColor="text1" w:themeTint="A6"/>
      <w:sz w:val="24"/>
      <w14:textFill>
        <w14:solidFill>
          <w14:schemeClr w14:val="tx1">
            <w14:lumMod w14:val="65000"/>
            <w14:lumOff w14:val="35000"/>
          </w14:schemeClr>
        </w14:solidFill>
      </w14:textFill>
    </w:rPr>
  </w:style>
  <w:style w:type="character" w:customStyle="1" w:styleId="48">
    <w:name w:val="标题 9 字符"/>
    <w:basedOn w:val="29"/>
    <w:link w:val="10"/>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49">
    <w:name w:val="标题 字符"/>
    <w:basedOn w:val="29"/>
    <w:link w:val="24"/>
    <w:qFormat/>
    <w:uiPriority w:val="0"/>
    <w:rPr>
      <w:rFonts w:asciiTheme="majorHAnsi" w:hAnsiTheme="majorHAnsi" w:eastAsiaTheme="majorEastAsia" w:cstheme="majorBidi"/>
      <w:spacing w:val="-10"/>
      <w:kern w:val="28"/>
      <w:sz w:val="56"/>
      <w:szCs w:val="56"/>
    </w:rPr>
  </w:style>
  <w:style w:type="character" w:customStyle="1" w:styleId="50">
    <w:name w:val="副标题 字符"/>
    <w:basedOn w:val="29"/>
    <w:link w:val="20"/>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1">
    <w:name w:val="Quote"/>
    <w:basedOn w:val="1"/>
    <w:next w:val="1"/>
    <w:link w:val="5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引用 字符"/>
    <w:basedOn w:val="29"/>
    <w:link w:val="51"/>
    <w:qFormat/>
    <w:uiPriority w:val="29"/>
    <w:rPr>
      <w:rFonts w:eastAsia="宋体"/>
      <w:i/>
      <w:iCs/>
      <w:color w:val="404040" w:themeColor="text1" w:themeTint="BF"/>
      <w:sz w:val="24"/>
      <w14:textFill>
        <w14:solidFill>
          <w14:schemeClr w14:val="tx1">
            <w14:lumMod w14:val="75000"/>
            <w14:lumOff w14:val="25000"/>
          </w14:schemeClr>
        </w14:solidFill>
      </w14:textFill>
    </w:rPr>
  </w:style>
  <w:style w:type="paragraph" w:styleId="53">
    <w:name w:val="List Paragraph"/>
    <w:basedOn w:val="1"/>
    <w:qFormat/>
    <w:uiPriority w:val="34"/>
    <w:pPr>
      <w:ind w:left="720"/>
      <w:contextualSpacing/>
    </w:pPr>
  </w:style>
  <w:style w:type="character" w:customStyle="1" w:styleId="54">
    <w:name w:val="Intense Emphasis"/>
    <w:basedOn w:val="29"/>
    <w:qFormat/>
    <w:uiPriority w:val="21"/>
    <w:rPr>
      <w:i/>
      <w:iCs/>
      <w:color w:val="2E75B6" w:themeColor="accent1" w:themeShade="BF"/>
    </w:rPr>
  </w:style>
  <w:style w:type="paragraph" w:styleId="55">
    <w:name w:val="Intense Quote"/>
    <w:basedOn w:val="1"/>
    <w:next w:val="1"/>
    <w:link w:val="56"/>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56">
    <w:name w:val="明显引用 字符"/>
    <w:basedOn w:val="29"/>
    <w:link w:val="55"/>
    <w:qFormat/>
    <w:uiPriority w:val="30"/>
    <w:rPr>
      <w:rFonts w:eastAsia="宋体"/>
      <w:i/>
      <w:iCs/>
      <w:color w:val="2E75B6" w:themeColor="accent1" w:themeShade="BF"/>
      <w:sz w:val="24"/>
    </w:rPr>
  </w:style>
  <w:style w:type="character" w:customStyle="1" w:styleId="57">
    <w:name w:val="Intense Reference"/>
    <w:basedOn w:val="29"/>
    <w:qFormat/>
    <w:uiPriority w:val="32"/>
    <w:rPr>
      <w:b/>
      <w:bCs/>
      <w:smallCaps/>
      <w:color w:val="2E75B6" w:themeColor="accent1" w:themeShade="BF"/>
      <w:spacing w:val="5"/>
    </w:rPr>
  </w:style>
  <w:style w:type="character" w:customStyle="1" w:styleId="58">
    <w:name w:val="页眉 字符"/>
    <w:basedOn w:val="29"/>
    <w:link w:val="19"/>
    <w:qFormat/>
    <w:uiPriority w:val="0"/>
    <w:rPr>
      <w:rFonts w:eastAsia="宋体"/>
      <w:sz w:val="18"/>
      <w:szCs w:val="18"/>
    </w:rPr>
  </w:style>
  <w:style w:type="character" w:customStyle="1" w:styleId="59">
    <w:name w:val="页脚 字符"/>
    <w:basedOn w:val="29"/>
    <w:link w:val="18"/>
    <w:qFormat/>
    <w:uiPriority w:val="0"/>
    <w:rPr>
      <w:rFonts w:eastAsia="宋体"/>
      <w:sz w:val="18"/>
      <w:szCs w:val="18"/>
    </w:rPr>
  </w:style>
  <w:style w:type="character" w:customStyle="1" w:styleId="60">
    <w:name w:val="批注文字 字符"/>
    <w:basedOn w:val="29"/>
    <w:link w:val="13"/>
    <w:qFormat/>
    <w:uiPriority w:val="99"/>
    <w:rPr>
      <w:rFonts w:ascii="Times New Roman" w:hAnsi="Times New Roman" w:eastAsia="宋体" w:cs="Times New Roman"/>
      <w:szCs w:val="20"/>
    </w:rPr>
  </w:style>
  <w:style w:type="character" w:customStyle="1" w:styleId="61">
    <w:name w:val="正文文本 字符"/>
    <w:basedOn w:val="29"/>
    <w:link w:val="14"/>
    <w:qFormat/>
    <w:uiPriority w:val="1"/>
    <w:rPr>
      <w:rFonts w:ascii="微软雅黑" w:hAnsi="Times New Roman" w:eastAsia="微软雅黑" w:cs="微软雅黑"/>
      <w:kern w:val="0"/>
      <w:sz w:val="24"/>
      <w:szCs w:val="24"/>
    </w:rPr>
  </w:style>
  <w:style w:type="character" w:customStyle="1" w:styleId="62">
    <w:name w:val="正文文本缩进 字符"/>
    <w:basedOn w:val="29"/>
    <w:link w:val="15"/>
    <w:qFormat/>
    <w:uiPriority w:val="0"/>
    <w:rPr>
      <w:rFonts w:ascii="宋体" w:hAnsi="Times New Roman" w:eastAsia="宋体" w:cs="Times New Roman"/>
      <w:sz w:val="32"/>
      <w:szCs w:val="20"/>
    </w:rPr>
  </w:style>
  <w:style w:type="character" w:customStyle="1" w:styleId="63">
    <w:name w:val="纯文本 字符"/>
    <w:basedOn w:val="29"/>
    <w:link w:val="16"/>
    <w:qFormat/>
    <w:uiPriority w:val="0"/>
    <w:rPr>
      <w:rFonts w:ascii="宋体" w:hAnsi="宋体" w:eastAsia="宋体" w:cs="Times New Roman"/>
      <w:szCs w:val="20"/>
    </w:rPr>
  </w:style>
  <w:style w:type="character" w:customStyle="1" w:styleId="64">
    <w:name w:val="批注框文本 字符"/>
    <w:basedOn w:val="29"/>
    <w:link w:val="17"/>
    <w:qFormat/>
    <w:uiPriority w:val="99"/>
    <w:rPr>
      <w:rFonts w:ascii="Times New Roman" w:hAnsi="Times New Roman" w:eastAsia="宋体" w:cs="Times New Roman"/>
      <w:sz w:val="18"/>
      <w:szCs w:val="18"/>
    </w:rPr>
  </w:style>
  <w:style w:type="character" w:customStyle="1" w:styleId="65">
    <w:name w:val="正文文本 2 字符"/>
    <w:basedOn w:val="29"/>
    <w:link w:val="21"/>
    <w:qFormat/>
    <w:uiPriority w:val="0"/>
    <w:rPr>
      <w:rFonts w:ascii="宋体" w:hAnsi="宋体" w:eastAsia="宋体" w:cs="Times New Roman"/>
      <w:bCs/>
      <w:szCs w:val="20"/>
    </w:rPr>
  </w:style>
  <w:style w:type="character" w:customStyle="1" w:styleId="66">
    <w:name w:val="HTML 预设格式 字符"/>
    <w:basedOn w:val="29"/>
    <w:link w:val="22"/>
    <w:qFormat/>
    <w:uiPriority w:val="0"/>
    <w:rPr>
      <w:rFonts w:ascii="Arial" w:hAnsi="Arial" w:eastAsia="宋体" w:cs="Times New Roman"/>
      <w:kern w:val="0"/>
      <w:sz w:val="24"/>
      <w:szCs w:val="20"/>
    </w:rPr>
  </w:style>
  <w:style w:type="character" w:customStyle="1" w:styleId="67">
    <w:name w:val="批注主题 字符"/>
    <w:basedOn w:val="60"/>
    <w:link w:val="25"/>
    <w:qFormat/>
    <w:uiPriority w:val="99"/>
    <w:rPr>
      <w:rFonts w:ascii="Times New Roman" w:hAnsi="Times New Roman" w:eastAsia="宋体" w:cs="Times New Roman"/>
      <w:b/>
      <w:bCs/>
      <w:szCs w:val="20"/>
    </w:rPr>
  </w:style>
  <w:style w:type="character" w:customStyle="1" w:styleId="68">
    <w:name w:val="正文文本首行缩进 字符"/>
    <w:basedOn w:val="61"/>
    <w:link w:val="26"/>
    <w:qFormat/>
    <w:uiPriority w:val="0"/>
    <w:rPr>
      <w:rFonts w:ascii="微软雅黑" w:hAnsi="Times New Roman" w:eastAsia="微软雅黑" w:cs="微软雅黑"/>
      <w:kern w:val="0"/>
      <w:sz w:val="24"/>
      <w:szCs w:val="24"/>
    </w:rPr>
  </w:style>
  <w:style w:type="character" w:customStyle="1" w:styleId="69">
    <w:name w:val="current"/>
    <w:qFormat/>
    <w:uiPriority w:val="0"/>
    <w:rPr>
      <w:b/>
      <w:color w:val="FFFFFF"/>
      <w:bdr w:val="single" w:color="0E50A1" w:sz="6" w:space="0"/>
      <w:shd w:val="clear" w:color="auto" w:fill="0E50A1"/>
    </w:rPr>
  </w:style>
  <w:style w:type="character" w:customStyle="1" w:styleId="70">
    <w:name w:val="页脚密级（绿盟科技） Char"/>
    <w:link w:val="71"/>
    <w:qFormat/>
    <w:uiPriority w:val="0"/>
    <w:rPr>
      <w:color w:val="FF0000"/>
    </w:rPr>
  </w:style>
  <w:style w:type="paragraph" w:customStyle="1" w:styleId="71">
    <w:name w:val="页脚密级（绿盟科技）"/>
    <w:basedOn w:val="72"/>
    <w:link w:val="70"/>
    <w:qFormat/>
    <w:uiPriority w:val="0"/>
    <w:pPr>
      <w:tabs>
        <w:tab w:val="center" w:pos="4153"/>
        <w:tab w:val="right" w:pos="8306"/>
      </w:tabs>
    </w:pPr>
    <w:rPr>
      <w:rFonts w:asciiTheme="minorHAnsi" w:hAnsiTheme="minorHAnsi" w:eastAsiaTheme="minorEastAsia" w:cstheme="minorBidi"/>
      <w:b w:val="0"/>
      <w:color w:val="FF0000"/>
      <w:sz w:val="21"/>
      <w:szCs w:val="22"/>
    </w:rPr>
  </w:style>
  <w:style w:type="paragraph" w:customStyle="1" w:styleId="72">
    <w:name w:val="页脚右端（绿盟科技）"/>
    <w:basedOn w:val="73"/>
    <w:qFormat/>
    <w:uiPriority w:val="0"/>
    <w:pPr>
      <w:tabs>
        <w:tab w:val="center" w:pos="4153"/>
        <w:tab w:val="right" w:pos="8306"/>
      </w:tabs>
      <w:jc w:val="right"/>
    </w:pPr>
  </w:style>
  <w:style w:type="paragraph" w:customStyle="1" w:styleId="73">
    <w:name w:val="页脚左端（绿盟科技）"/>
    <w:basedOn w:val="1"/>
    <w:qFormat/>
    <w:uiPriority w:val="0"/>
    <w:pPr>
      <w:pBdr>
        <w:top w:val="single" w:color="auto" w:sz="4" w:space="4"/>
      </w:pBdr>
      <w:tabs>
        <w:tab w:val="center" w:pos="4153"/>
        <w:tab w:val="right" w:pos="8306"/>
      </w:tabs>
      <w:snapToGrid w:val="0"/>
      <w:spacing w:before="100" w:beforeAutospacing="1"/>
      <w:jc w:val="left"/>
    </w:pPr>
    <w:rPr>
      <w:b/>
      <w:sz w:val="18"/>
      <w:szCs w:val="18"/>
    </w:rPr>
  </w:style>
  <w:style w:type="character" w:customStyle="1" w:styleId="74">
    <w:name w:val="disabled"/>
    <w:qFormat/>
    <w:uiPriority w:val="0"/>
    <w:rPr>
      <w:color w:val="999999"/>
      <w:bdr w:val="single" w:color="C5C5C5" w:sz="6" w:space="0"/>
    </w:rPr>
  </w:style>
  <w:style w:type="paragraph" w:customStyle="1" w:styleId="75">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color w:val="000000"/>
      <w:kern w:val="0"/>
      <w:szCs w:val="21"/>
    </w:rPr>
  </w:style>
  <w:style w:type="paragraph" w:customStyle="1" w:styleId="76">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77">
    <w:name w:val="xl103"/>
    <w:basedOn w:val="1"/>
    <w:qFormat/>
    <w:uiPriority w:val="0"/>
    <w:pPr>
      <w:widowControl/>
      <w:pBdr>
        <w:left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78">
    <w:name w:val="xl7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9">
    <w:name w:val="xl10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80">
    <w:name w:val="表格文字"/>
    <w:basedOn w:val="15"/>
    <w:next w:val="14"/>
    <w:qFormat/>
    <w:uiPriority w:val="0"/>
    <w:pPr>
      <w:spacing w:line="420" w:lineRule="atLeast"/>
      <w:jc w:val="left"/>
      <w:textAlignment w:val="baseline"/>
    </w:pPr>
    <w:rPr>
      <w:rFonts w:ascii="Times New Roman"/>
      <w:kern w:val="0"/>
    </w:rPr>
  </w:style>
  <w:style w:type="paragraph" w:customStyle="1" w:styleId="81">
    <w:name w:val="xl7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b/>
      <w:bCs/>
      <w:kern w:val="0"/>
      <w:szCs w:val="21"/>
    </w:rPr>
  </w:style>
  <w:style w:type="paragraph" w:customStyle="1" w:styleId="8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3">
    <w:name w:val="xl9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84">
    <w:name w:val="xl74"/>
    <w:basedOn w:val="1"/>
    <w:qFormat/>
    <w:uiPriority w:val="0"/>
    <w:pPr>
      <w:widowControl/>
      <w:pBdr>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8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Revision"/>
    <w:unhideWhenUsed/>
    <w:qFormat/>
    <w:uiPriority w:val="99"/>
    <w:rPr>
      <w:rFonts w:ascii="Times New Roman" w:hAnsi="Times New Roman" w:eastAsia="宋体" w:cs="Times New Roman"/>
      <w:kern w:val="2"/>
      <w:sz w:val="21"/>
      <w:szCs w:val="20"/>
      <w:lang w:val="en-US" w:eastAsia="zh-CN" w:bidi="ar-SA"/>
    </w:rPr>
  </w:style>
  <w:style w:type="paragraph" w:customStyle="1" w:styleId="87">
    <w:name w:val="xl75"/>
    <w:basedOn w:val="1"/>
    <w:qFormat/>
    <w:uiPriority w:val="0"/>
    <w:pPr>
      <w:widowControl/>
      <w:pBdr>
        <w:right w:val="single" w:color="auto" w:sz="8" w:space="0"/>
      </w:pBdr>
      <w:spacing w:before="100" w:beforeAutospacing="1" w:after="100" w:afterAutospacing="1"/>
      <w:jc w:val="left"/>
      <w:textAlignment w:val="center"/>
    </w:pPr>
    <w:rPr>
      <w:color w:val="000000"/>
      <w:kern w:val="0"/>
      <w:szCs w:val="21"/>
    </w:rPr>
  </w:style>
  <w:style w:type="paragraph" w:customStyle="1" w:styleId="88">
    <w:name w:val="xl9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89">
    <w:name w:val="xl83"/>
    <w:basedOn w:val="1"/>
    <w:qFormat/>
    <w:uiPriority w:val="0"/>
    <w:pPr>
      <w:widowControl/>
      <w:pBdr>
        <w:left w:val="single" w:color="auto" w:sz="8" w:space="0"/>
        <w:right w:val="single" w:color="auto" w:sz="8" w:space="0"/>
      </w:pBdr>
      <w:spacing w:before="100" w:beforeAutospacing="1" w:after="100" w:afterAutospacing="1"/>
      <w:jc w:val="left"/>
      <w:textAlignment w:val="center"/>
    </w:pPr>
    <w:rPr>
      <w:color w:val="000000"/>
      <w:kern w:val="0"/>
      <w:szCs w:val="21"/>
    </w:rPr>
  </w:style>
  <w:style w:type="paragraph" w:customStyle="1" w:styleId="9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91">
    <w:name w:val="xl94"/>
    <w:basedOn w:val="1"/>
    <w:qFormat/>
    <w:uiPriority w:val="0"/>
    <w:pPr>
      <w:widowControl/>
      <w:pBdr>
        <w:left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92">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93">
    <w:name w:val="xl77"/>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94">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b/>
      <w:bCs/>
      <w:color w:val="333333"/>
      <w:kern w:val="0"/>
      <w:szCs w:val="21"/>
    </w:rPr>
  </w:style>
  <w:style w:type="paragraph" w:customStyle="1" w:styleId="95">
    <w:name w:val="xl102"/>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96">
    <w:name w:val="p0"/>
    <w:qFormat/>
    <w:uiPriority w:val="0"/>
    <w:rPr>
      <w:rFonts w:ascii="Times New Roman" w:hAnsi="Times New Roman" w:eastAsia="宋体" w:cs="Times New Roman"/>
      <w:kern w:val="0"/>
      <w:sz w:val="20"/>
      <w:szCs w:val="21"/>
      <w:lang w:val="en-US" w:eastAsia="zh-CN" w:bidi="ar-SA"/>
    </w:rPr>
  </w:style>
  <w:style w:type="paragraph" w:customStyle="1" w:styleId="97">
    <w:name w:val="xl81"/>
    <w:basedOn w:val="1"/>
    <w:qFormat/>
    <w:uiPriority w:val="0"/>
    <w:pPr>
      <w:widowControl/>
      <w:pBdr>
        <w:bottom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98">
    <w:name w:val="font6"/>
    <w:basedOn w:val="1"/>
    <w:qFormat/>
    <w:uiPriority w:val="0"/>
    <w:pPr>
      <w:widowControl/>
      <w:spacing w:before="100" w:beforeAutospacing="1" w:after="100" w:afterAutospacing="1"/>
      <w:jc w:val="left"/>
    </w:pPr>
    <w:rPr>
      <w:rFonts w:ascii="宋体" w:hAnsi="宋体" w:cs="宋体"/>
      <w:b/>
      <w:bCs/>
      <w:color w:val="333333"/>
      <w:kern w:val="0"/>
      <w:szCs w:val="21"/>
    </w:rPr>
  </w:style>
  <w:style w:type="paragraph" w:customStyle="1" w:styleId="99">
    <w:name w:val="font7"/>
    <w:basedOn w:val="1"/>
    <w:qFormat/>
    <w:uiPriority w:val="0"/>
    <w:pPr>
      <w:widowControl/>
      <w:spacing w:before="100" w:beforeAutospacing="1" w:after="100" w:afterAutospacing="1"/>
      <w:jc w:val="left"/>
    </w:pPr>
    <w:rPr>
      <w:color w:val="000000"/>
      <w:kern w:val="0"/>
      <w:szCs w:val="21"/>
    </w:rPr>
  </w:style>
  <w:style w:type="paragraph" w:customStyle="1" w:styleId="10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1">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102">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103">
    <w:name w:val="xl9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104">
    <w:name w:val="Table Paragraph"/>
    <w:basedOn w:val="1"/>
    <w:qFormat/>
    <w:uiPriority w:val="1"/>
    <w:rPr>
      <w:rFonts w:ascii="宋体" w:hAnsi="宋体" w:cs="宋体"/>
    </w:rPr>
  </w:style>
  <w:style w:type="paragraph" w:customStyle="1" w:styleId="105">
    <w:name w:val="xl78"/>
    <w:basedOn w:val="1"/>
    <w:qFormat/>
    <w:uiPriority w:val="0"/>
    <w:pPr>
      <w:widowControl/>
      <w:pBdr>
        <w:right w:val="single" w:color="auto" w:sz="8" w:space="0"/>
      </w:pBdr>
      <w:spacing w:before="100" w:beforeAutospacing="1" w:after="100" w:afterAutospacing="1"/>
      <w:jc w:val="left"/>
      <w:textAlignment w:val="center"/>
    </w:pPr>
    <w:rPr>
      <w:kern w:val="0"/>
      <w:szCs w:val="21"/>
    </w:rPr>
  </w:style>
  <w:style w:type="paragraph" w:customStyle="1" w:styleId="106">
    <w:name w:val="xl91"/>
    <w:basedOn w:val="1"/>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07">
    <w:name w:val="font5"/>
    <w:basedOn w:val="1"/>
    <w:qFormat/>
    <w:uiPriority w:val="0"/>
    <w:pPr>
      <w:widowControl/>
      <w:spacing w:before="100" w:beforeAutospacing="1" w:after="100" w:afterAutospacing="1"/>
      <w:jc w:val="left"/>
    </w:pPr>
    <w:rPr>
      <w:color w:val="000000"/>
      <w:kern w:val="0"/>
      <w:szCs w:val="21"/>
    </w:rPr>
  </w:style>
  <w:style w:type="paragraph" w:customStyle="1" w:styleId="108">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109">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10">
    <w:name w:val="xl87"/>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111">
    <w:name w:val="xl84"/>
    <w:basedOn w:val="1"/>
    <w:uiPriority w:val="0"/>
    <w:pPr>
      <w:widowControl/>
      <w:pBdr>
        <w:top w:val="single" w:color="000000" w:sz="8" w:space="0"/>
        <w:left w:val="single" w:color="auto" w:sz="8" w:space="0"/>
        <w:right w:val="single" w:color="auto" w:sz="8" w:space="0"/>
      </w:pBdr>
      <w:spacing w:before="100" w:beforeAutospacing="1" w:after="100" w:afterAutospacing="1"/>
      <w:jc w:val="left"/>
      <w:textAlignment w:val="center"/>
    </w:pPr>
    <w:rPr>
      <w:color w:val="000000"/>
      <w:kern w:val="0"/>
      <w:szCs w:val="21"/>
    </w:rPr>
  </w:style>
  <w:style w:type="paragraph" w:customStyle="1" w:styleId="112">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113">
    <w:name w:val="xl9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14">
    <w:name w:val="*正文"/>
    <w:basedOn w:val="1"/>
    <w:qFormat/>
    <w:uiPriority w:val="0"/>
    <w:pPr>
      <w:widowControl/>
      <w:ind w:firstLine="200" w:firstLineChars="200"/>
    </w:pPr>
    <w:rPr>
      <w:rFonts w:ascii="仿宋_GB2312" w:eastAsia="仿宋_GB2312"/>
      <w:sz w:val="24"/>
      <w:szCs w:val="28"/>
    </w:rPr>
  </w:style>
  <w:style w:type="paragraph" w:customStyle="1" w:styleId="115">
    <w:name w:val="xl86"/>
    <w:basedOn w:val="1"/>
    <w:qFormat/>
    <w:uiPriority w:val="0"/>
    <w:pPr>
      <w:widowControl/>
      <w:pBdr>
        <w:top w:val="single" w:color="000000" w:sz="8" w:space="0"/>
        <w:left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116">
    <w:name w:val="xl71"/>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b/>
      <w:bCs/>
      <w:color w:val="333333"/>
      <w:kern w:val="0"/>
      <w:szCs w:val="21"/>
    </w:rPr>
  </w:style>
  <w:style w:type="paragraph" w:customStyle="1" w:styleId="117">
    <w:name w:val="xl100"/>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18">
    <w:name w:val="xl82"/>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119">
    <w:name w:val="xl7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20">
    <w:name w:val="xl10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121">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22">
    <w:name w:val="列表段落1"/>
    <w:basedOn w:val="1"/>
    <w:qFormat/>
    <w:uiPriority w:val="99"/>
    <w:pPr>
      <w:ind w:firstLine="420" w:firstLineChars="200"/>
    </w:pPr>
  </w:style>
  <w:style w:type="paragraph" w:customStyle="1" w:styleId="123">
    <w:name w:val="xl97"/>
    <w:basedOn w:val="1"/>
    <w:qFormat/>
    <w:uiPriority w:val="0"/>
    <w:pPr>
      <w:widowControl/>
      <w:pBdr>
        <w:left w:val="single" w:color="auto" w:sz="8" w:space="0"/>
        <w:right w:val="single" w:color="auto" w:sz="8" w:space="0"/>
      </w:pBdr>
      <w:spacing w:before="100" w:beforeAutospacing="1" w:after="100" w:afterAutospacing="1"/>
      <w:jc w:val="left"/>
      <w:textAlignment w:val="center"/>
    </w:pPr>
    <w:rPr>
      <w:kern w:val="0"/>
      <w:szCs w:val="21"/>
    </w:rPr>
  </w:style>
  <w:style w:type="paragraph" w:customStyle="1" w:styleId="124">
    <w:name w:val="页脚页码（绿盟科技）"/>
    <w:basedOn w:val="18"/>
    <w:qFormat/>
    <w:uiPriority w:val="0"/>
    <w:pPr>
      <w:framePr w:w="703" w:wrap="around" w:vAnchor="text" w:hAnchor="page" w:x="5599" w:y="248"/>
      <w:jc w:val="center"/>
    </w:pPr>
    <w:rPr>
      <w:szCs w:val="20"/>
    </w:rPr>
  </w:style>
  <w:style w:type="paragraph" w:customStyle="1" w:styleId="125">
    <w:name w:val="页眉右端（绿盟科技）"/>
    <w:basedOn w:val="19"/>
    <w:qFormat/>
    <w:uiPriority w:val="0"/>
    <w:pPr>
      <w:pBdr>
        <w:top w:val="none" w:color="auto" w:sz="0" w:space="1"/>
        <w:left w:val="none" w:color="auto" w:sz="0" w:space="4"/>
        <w:bottom w:val="single" w:color="auto" w:sz="4" w:space="9"/>
        <w:right w:val="none" w:color="auto" w:sz="0" w:space="4"/>
      </w:pBdr>
      <w:spacing w:before="160"/>
      <w:jc w:val="right"/>
    </w:pPr>
    <w:rPr>
      <w:b/>
      <w:color w:val="FFFFFF"/>
      <w:szCs w:val="20"/>
    </w:rPr>
  </w:style>
  <w:style w:type="paragraph" w:customStyle="1" w:styleId="12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10920</Words>
  <Characters>11904</Characters>
  <Lines>700</Lines>
  <Paragraphs>600</Paragraphs>
  <TotalTime>14</TotalTime>
  <ScaleCrop>false</ScaleCrop>
  <LinksUpToDate>false</LinksUpToDate>
  <CharactersWithSpaces>22224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2025-07-22T07:25:00Z</dcterms:created>
  <dc:creator>37000107</dc:creator>
  <cp:lastModifiedBy>汪琦</cp:lastModifiedBy>
  <dcterms:modified xsi:type="dcterms:W3CDTF">2025-07-25T01:42:41Z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