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bCs/>
          <w:color w:val="auto"/>
          <w:sz w:val="52"/>
          <w:szCs w:val="52"/>
          <w:highlight w:val="none"/>
        </w:rPr>
      </w:pPr>
      <w:bookmarkStart w:id="60" w:name="_GoBack"/>
      <w:bookmarkEnd w:id="60"/>
      <w:bookmarkStart w:id="0" w:name="_Hlt67893495"/>
      <w:bookmarkEnd w:id="0"/>
      <w:r>
        <w:rPr>
          <w:rFonts w:hint="eastAsia" w:ascii="宋体" w:hAnsi="宋体" w:cs="宋体"/>
          <w:b/>
          <w:bCs/>
          <w:color w:val="auto"/>
          <w:sz w:val="52"/>
          <w:szCs w:val="52"/>
          <w:highlight w:val="none"/>
        </w:rPr>
        <w:t>绍兴市水务产业有限公司</w:t>
      </w:r>
    </w:p>
    <w:p>
      <w:pPr>
        <w:jc w:val="center"/>
        <w:outlineLvl w:val="0"/>
        <w:rPr>
          <w:rFonts w:hint="default" w:ascii="宋体" w:hAnsi="宋体" w:eastAsia="宋体" w:cs="宋体"/>
          <w:b/>
          <w:color w:val="auto"/>
          <w:sz w:val="52"/>
          <w:szCs w:val="52"/>
          <w:highlight w:val="none"/>
          <w:lang w:val="en-US" w:eastAsia="zh-CN"/>
        </w:rPr>
      </w:pPr>
      <w:r>
        <w:rPr>
          <w:rFonts w:hint="eastAsia" w:ascii="宋体" w:hAnsi="宋体" w:cs="宋体"/>
          <w:b/>
          <w:bCs/>
          <w:color w:val="auto"/>
          <w:sz w:val="52"/>
          <w:szCs w:val="52"/>
          <w:highlight w:val="none"/>
        </w:rPr>
        <w:t>存储空间扩容设备采购项目</w:t>
      </w:r>
      <w:r>
        <w:rPr>
          <w:rFonts w:hint="eastAsia" w:ascii="宋体" w:hAnsi="宋体" w:cs="宋体"/>
          <w:b/>
          <w:bCs/>
          <w:color w:val="auto"/>
          <w:sz w:val="52"/>
          <w:szCs w:val="52"/>
          <w:highlight w:val="none"/>
          <w:lang w:eastAsia="zh-CN"/>
        </w:rPr>
        <w:t>（</w:t>
      </w:r>
      <w:r>
        <w:rPr>
          <w:rFonts w:hint="eastAsia" w:ascii="宋体" w:hAnsi="宋体" w:cs="宋体"/>
          <w:b/>
          <w:bCs/>
          <w:color w:val="auto"/>
          <w:sz w:val="52"/>
          <w:szCs w:val="52"/>
          <w:highlight w:val="none"/>
          <w:lang w:val="en-US" w:eastAsia="zh-CN"/>
        </w:rPr>
        <w:t>线上重招</w:t>
      </w:r>
      <w:r>
        <w:rPr>
          <w:rFonts w:hint="eastAsia" w:ascii="宋体" w:hAnsi="宋体" w:cs="宋体"/>
          <w:b/>
          <w:bCs/>
          <w:color w:val="auto"/>
          <w:sz w:val="52"/>
          <w:szCs w:val="52"/>
          <w:highlight w:val="none"/>
          <w:lang w:eastAsia="zh-CN"/>
        </w:rPr>
        <w:t>）</w:t>
      </w:r>
    </w:p>
    <w:p>
      <w:pPr>
        <w:jc w:val="center"/>
        <w:outlineLvl w:val="0"/>
        <w:rPr>
          <w:rFonts w:hint="eastAsia" w:ascii="宋体" w:hAnsi="宋体" w:cs="宋体"/>
          <w:b/>
          <w:color w:val="auto"/>
          <w:sz w:val="72"/>
          <w:szCs w:val="72"/>
          <w:highlight w:val="none"/>
        </w:rPr>
      </w:pPr>
    </w:p>
    <w:p>
      <w:pPr>
        <w:jc w:val="center"/>
        <w:outlineLvl w:val="0"/>
        <w:rPr>
          <w:rFonts w:ascii="宋体" w:hAnsi="宋体" w:cs="宋体"/>
          <w:b/>
          <w:color w:val="auto"/>
          <w:sz w:val="72"/>
          <w:szCs w:val="72"/>
          <w:highlight w:val="none"/>
        </w:rPr>
      </w:pPr>
      <w:r>
        <w:rPr>
          <w:rFonts w:hint="eastAsia" w:ascii="宋体" w:hAnsi="宋体" w:cs="宋体"/>
          <w:b/>
          <w:color w:val="auto"/>
          <w:sz w:val="72"/>
          <w:szCs w:val="72"/>
          <w:highlight w:val="none"/>
        </w:rPr>
        <w:t>公</w:t>
      </w:r>
    </w:p>
    <w:p>
      <w:pPr>
        <w:jc w:val="center"/>
        <w:outlineLvl w:val="0"/>
        <w:rPr>
          <w:rFonts w:ascii="宋体" w:hAnsi="宋体" w:cs="宋体"/>
          <w:b/>
          <w:color w:val="auto"/>
          <w:sz w:val="72"/>
          <w:szCs w:val="72"/>
          <w:highlight w:val="none"/>
        </w:rPr>
      </w:pPr>
      <w:r>
        <w:rPr>
          <w:rFonts w:hint="eastAsia" w:ascii="宋体" w:hAnsi="宋体" w:cs="宋体"/>
          <w:b/>
          <w:color w:val="auto"/>
          <w:sz w:val="72"/>
          <w:szCs w:val="72"/>
          <w:highlight w:val="none"/>
        </w:rPr>
        <w:t>开</w:t>
      </w:r>
    </w:p>
    <w:p>
      <w:pPr>
        <w:jc w:val="center"/>
        <w:outlineLvl w:val="0"/>
        <w:rPr>
          <w:rFonts w:ascii="宋体" w:hAnsi="宋体" w:cs="宋体"/>
          <w:b/>
          <w:color w:val="auto"/>
          <w:sz w:val="72"/>
          <w:szCs w:val="72"/>
          <w:highlight w:val="none"/>
        </w:rPr>
      </w:pPr>
      <w:r>
        <w:rPr>
          <w:rFonts w:hint="eastAsia" w:ascii="宋体" w:hAnsi="宋体" w:cs="宋体"/>
          <w:b/>
          <w:color w:val="auto"/>
          <w:sz w:val="72"/>
          <w:szCs w:val="72"/>
          <w:highlight w:val="none"/>
        </w:rPr>
        <w:t>招</w:t>
      </w:r>
    </w:p>
    <w:p>
      <w:pPr>
        <w:jc w:val="center"/>
        <w:outlineLvl w:val="0"/>
        <w:rPr>
          <w:rFonts w:ascii="宋体" w:hAnsi="宋体" w:cs="宋体"/>
          <w:b/>
          <w:color w:val="auto"/>
          <w:sz w:val="72"/>
          <w:szCs w:val="72"/>
          <w:highlight w:val="none"/>
        </w:rPr>
      </w:pPr>
      <w:r>
        <w:rPr>
          <w:rFonts w:hint="eastAsia" w:ascii="宋体" w:hAnsi="宋体" w:cs="宋体"/>
          <w:b/>
          <w:color w:val="auto"/>
          <w:sz w:val="72"/>
          <w:szCs w:val="72"/>
          <w:highlight w:val="none"/>
        </w:rPr>
        <w:t>标</w:t>
      </w:r>
    </w:p>
    <w:p>
      <w:pPr>
        <w:jc w:val="center"/>
        <w:outlineLvl w:val="0"/>
        <w:rPr>
          <w:rFonts w:ascii="宋体" w:hAnsi="宋体" w:cs="宋体"/>
          <w:b/>
          <w:color w:val="auto"/>
          <w:sz w:val="72"/>
          <w:szCs w:val="72"/>
          <w:highlight w:val="none"/>
        </w:rPr>
      </w:pPr>
      <w:r>
        <w:rPr>
          <w:rFonts w:hint="eastAsia" w:ascii="宋体" w:hAnsi="宋体" w:cs="宋体"/>
          <w:b/>
          <w:color w:val="auto"/>
          <w:sz w:val="72"/>
          <w:szCs w:val="72"/>
          <w:highlight w:val="none"/>
        </w:rPr>
        <w:t>文</w:t>
      </w:r>
    </w:p>
    <w:p>
      <w:pPr>
        <w:jc w:val="center"/>
        <w:outlineLvl w:val="0"/>
        <w:rPr>
          <w:rFonts w:ascii="宋体" w:hAnsi="宋体" w:cs="宋体"/>
          <w:color w:val="auto"/>
          <w:sz w:val="44"/>
          <w:highlight w:val="none"/>
        </w:rPr>
      </w:pPr>
      <w:r>
        <w:rPr>
          <w:rFonts w:hint="eastAsia" w:ascii="宋体" w:hAnsi="宋体" w:cs="宋体"/>
          <w:b/>
          <w:color w:val="auto"/>
          <w:sz w:val="72"/>
          <w:szCs w:val="72"/>
          <w:highlight w:val="none"/>
        </w:rPr>
        <w:t>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p>
    <w:p>
      <w:pPr>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招标编号：ZJRC-2025-1</w:t>
      </w:r>
      <w:r>
        <w:rPr>
          <w:rFonts w:hint="eastAsia" w:ascii="宋体" w:hAnsi="宋体" w:cs="宋体"/>
          <w:b/>
          <w:color w:val="auto"/>
          <w:sz w:val="28"/>
          <w:szCs w:val="28"/>
          <w:highlight w:val="none"/>
          <w:lang w:val="en-US" w:eastAsia="zh-CN"/>
        </w:rPr>
        <w:t>6</w:t>
      </w:r>
    </w:p>
    <w:tbl>
      <w:tblPr>
        <w:tblStyle w:val="6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81" w:type="dxa"/>
          </w:tcPr>
          <w:p>
            <w:pPr>
              <w:autoSpaceDE w:val="0"/>
              <w:autoSpaceDN w:val="0"/>
              <w:spacing w:before="0" w:after="100" w:afterAutospacing="1" w:line="580" w:lineRule="exact"/>
              <w:ind w:left="0" w:right="0"/>
              <w:jc w:val="center"/>
              <w:rPr>
                <w:rFonts w:ascii="宋体" w:hAnsi="宋体" w:cs="宋体"/>
                <w:color w:val="auto"/>
                <w:w w:val="93"/>
                <w:kern w:val="0"/>
                <w:sz w:val="28"/>
                <w:szCs w:val="28"/>
                <w:highlight w:val="none"/>
              </w:rPr>
            </w:pPr>
            <w:r>
              <w:rPr>
                <w:rFonts w:hint="eastAsia" w:ascii="宋体" w:hAnsi="宋体" w:cs="宋体"/>
                <w:color w:val="auto"/>
                <w:w w:val="93"/>
                <w:kern w:val="0"/>
                <w:sz w:val="28"/>
                <w:szCs w:val="28"/>
                <w:highlight w:val="none"/>
              </w:rPr>
              <w:t>采购人：</w:t>
            </w:r>
          </w:p>
        </w:tc>
        <w:tc>
          <w:tcPr>
            <w:tcW w:w="5565" w:type="dxa"/>
            <w:vAlign w:val="center"/>
          </w:tcPr>
          <w:p>
            <w:pPr>
              <w:autoSpaceDE w:val="0"/>
              <w:autoSpaceDN w:val="0"/>
              <w:spacing w:before="0" w:after="100" w:afterAutospacing="1" w:line="580" w:lineRule="exact"/>
              <w:ind w:left="0" w:right="0"/>
              <w:rPr>
                <w:rFonts w:ascii="宋体" w:hAnsi="宋体" w:cs="宋体"/>
                <w:color w:val="auto"/>
                <w:w w:val="93"/>
                <w:kern w:val="0"/>
                <w:sz w:val="28"/>
                <w:szCs w:val="28"/>
                <w:highlight w:val="none"/>
              </w:rPr>
            </w:pPr>
            <w:r>
              <w:rPr>
                <w:rFonts w:hint="eastAsia" w:ascii="宋体" w:hAnsi="宋体" w:cs="宋体"/>
                <w:color w:val="auto"/>
                <w:w w:val="93"/>
                <w:kern w:val="0"/>
                <w:sz w:val="28"/>
                <w:szCs w:val="28"/>
                <w:highlight w:val="none"/>
              </w:rPr>
              <w:t>绍兴市水务产业有限公司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81" w:type="dxa"/>
          </w:tcPr>
          <w:p>
            <w:pPr>
              <w:autoSpaceDE w:val="0"/>
              <w:autoSpaceDN w:val="0"/>
              <w:spacing w:before="0" w:after="100" w:afterAutospacing="1" w:line="580" w:lineRule="exact"/>
              <w:ind w:left="0" w:right="0"/>
              <w:jc w:val="center"/>
              <w:rPr>
                <w:rFonts w:ascii="宋体" w:hAnsi="宋体" w:cs="宋体"/>
                <w:color w:val="auto"/>
                <w:w w:val="93"/>
                <w:kern w:val="0"/>
                <w:sz w:val="28"/>
                <w:szCs w:val="28"/>
                <w:highlight w:val="none"/>
              </w:rPr>
            </w:pPr>
            <w:r>
              <w:rPr>
                <w:rFonts w:hint="eastAsia" w:ascii="宋体" w:hAnsi="宋体" w:cs="宋体"/>
                <w:color w:val="auto"/>
                <w:w w:val="93"/>
                <w:kern w:val="0"/>
                <w:sz w:val="28"/>
                <w:szCs w:val="28"/>
                <w:highlight w:val="none"/>
              </w:rPr>
              <w:t>采购代理机构：</w:t>
            </w:r>
          </w:p>
        </w:tc>
        <w:tc>
          <w:tcPr>
            <w:tcW w:w="5565" w:type="dxa"/>
          </w:tcPr>
          <w:p>
            <w:pPr>
              <w:autoSpaceDE w:val="0"/>
              <w:autoSpaceDN w:val="0"/>
              <w:spacing w:before="0" w:after="100" w:afterAutospacing="1" w:line="580" w:lineRule="exact"/>
              <w:ind w:left="0" w:right="0"/>
              <w:rPr>
                <w:rFonts w:ascii="宋体" w:hAnsi="宋体" w:cs="宋体"/>
                <w:color w:val="auto"/>
                <w:w w:val="93"/>
                <w:kern w:val="0"/>
                <w:sz w:val="28"/>
                <w:szCs w:val="28"/>
                <w:highlight w:val="none"/>
              </w:rPr>
            </w:pPr>
            <w:r>
              <w:rPr>
                <w:rFonts w:hint="eastAsia" w:ascii="宋体" w:hAnsi="宋体" w:cs="宋体"/>
                <w:color w:val="auto"/>
                <w:w w:val="93"/>
                <w:kern w:val="0"/>
                <w:sz w:val="28"/>
                <w:szCs w:val="28"/>
                <w:highlight w:val="none"/>
              </w:rPr>
              <w:t>浙江瑞辰工程咨询有限公司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1" w:type="dxa"/>
            <w:vAlign w:val="center"/>
          </w:tcPr>
          <w:p>
            <w:pPr>
              <w:autoSpaceDE w:val="0"/>
              <w:autoSpaceDN w:val="0"/>
              <w:spacing w:before="0" w:after="100" w:afterAutospacing="1" w:line="580" w:lineRule="exact"/>
              <w:ind w:right="0"/>
              <w:jc w:val="center"/>
              <w:rPr>
                <w:rFonts w:ascii="宋体" w:hAnsi="宋体" w:cs="宋体"/>
                <w:color w:val="auto"/>
                <w:w w:val="93"/>
                <w:kern w:val="0"/>
                <w:sz w:val="28"/>
                <w:szCs w:val="28"/>
                <w:highlight w:val="none"/>
              </w:rPr>
            </w:pPr>
            <w:r>
              <w:rPr>
                <w:rFonts w:hint="eastAsia" w:ascii="宋体" w:hAnsi="宋体" w:cs="宋体"/>
                <w:color w:val="auto"/>
                <w:w w:val="93"/>
                <w:kern w:val="0"/>
                <w:sz w:val="28"/>
                <w:szCs w:val="28"/>
                <w:highlight w:val="none"/>
              </w:rPr>
              <w:t xml:space="preserve"> 监督单位（部门）：</w:t>
            </w:r>
          </w:p>
        </w:tc>
        <w:tc>
          <w:tcPr>
            <w:tcW w:w="5565" w:type="dxa"/>
          </w:tcPr>
          <w:p>
            <w:pPr>
              <w:autoSpaceDE w:val="0"/>
              <w:autoSpaceDN w:val="0"/>
              <w:spacing w:before="0" w:after="100" w:afterAutospacing="1" w:line="580" w:lineRule="exact"/>
              <w:ind w:left="0" w:right="0"/>
              <w:rPr>
                <w:rFonts w:ascii="宋体" w:hAnsi="宋体" w:cs="宋体"/>
                <w:color w:val="auto"/>
                <w:w w:val="93"/>
                <w:kern w:val="0"/>
                <w:sz w:val="28"/>
                <w:szCs w:val="28"/>
                <w:highlight w:val="none"/>
              </w:rPr>
            </w:pPr>
            <w:r>
              <w:rPr>
                <w:rFonts w:hint="eastAsia" w:ascii="宋体" w:hAnsi="宋体" w:cs="宋体"/>
                <w:color w:val="auto"/>
                <w:w w:val="93"/>
                <w:kern w:val="0"/>
                <w:sz w:val="28"/>
                <w:szCs w:val="28"/>
                <w:highlight w:val="none"/>
              </w:rPr>
              <w:t>绍兴市公用事业集团有限公司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46" w:type="dxa"/>
            <w:gridSpan w:val="2"/>
          </w:tcPr>
          <w:p>
            <w:pPr>
              <w:spacing w:after="100" w:afterAutospacing="1" w:line="5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二〇二五年</w:t>
            </w:r>
            <w:r>
              <w:rPr>
                <w:rFonts w:hint="eastAsia" w:ascii="宋体" w:hAnsi="宋体" w:cs="宋体"/>
                <w:color w:val="auto"/>
                <w:sz w:val="28"/>
                <w:szCs w:val="28"/>
                <w:highlight w:val="none"/>
                <w:lang w:val="en-US" w:eastAsia="zh-CN"/>
              </w:rPr>
              <w:t>八</w:t>
            </w:r>
            <w:r>
              <w:rPr>
                <w:rFonts w:hint="eastAsia" w:ascii="宋体" w:hAnsi="宋体" w:cs="宋体"/>
                <w:color w:val="auto"/>
                <w:sz w:val="28"/>
                <w:szCs w:val="28"/>
                <w:highlight w:val="none"/>
              </w:rPr>
              <w:t>月</w:t>
            </w:r>
          </w:p>
        </w:tc>
      </w:tr>
    </w:tbl>
    <w:p>
      <w:pPr>
        <w:pStyle w:val="636"/>
        <w:rPr>
          <w:rFonts w:ascii="宋体" w:hAnsi="宋体" w:eastAsia="宋体" w:cs="宋体"/>
          <w:color w:val="auto"/>
          <w:highlight w:val="none"/>
        </w:rPr>
        <w:sectPr>
          <w:headerReference r:id="rId4" w:type="first"/>
          <w:headerReference r:id="rId3" w:type="default"/>
          <w:footerReference r:id="rId5" w:type="even"/>
          <w:pgSz w:w="11906" w:h="16838"/>
          <w:pgMar w:top="1134" w:right="1134" w:bottom="1134" w:left="1134" w:header="851" w:footer="992" w:gutter="0"/>
          <w:pgNumType w:start="1"/>
          <w:cols w:space="0" w:num="1"/>
          <w:titlePg/>
          <w:docGrid w:linePitch="312" w:charSpace="0"/>
        </w:sect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4"/>
          <w:szCs w:val="44"/>
          <w:highlight w:val="none"/>
        </w:rPr>
      </w:pPr>
      <w:bookmarkStart w:id="1" w:name="_Hlt91233176"/>
      <w:bookmarkEnd w:id="1"/>
      <w:bookmarkStart w:id="2" w:name="_Toc91899869"/>
      <w:r>
        <w:rPr>
          <w:rFonts w:hint="eastAsia" w:ascii="宋体" w:hAnsi="宋体" w:cs="宋体"/>
          <w:b/>
          <w:color w:val="auto"/>
          <w:sz w:val="44"/>
          <w:szCs w:val="44"/>
          <w:highlight w:val="none"/>
        </w:rPr>
        <w:t>目录</w:t>
      </w:r>
    </w:p>
    <w:p>
      <w:pPr>
        <w:spacing w:line="360" w:lineRule="auto"/>
        <w:jc w:val="center"/>
        <w:rPr>
          <w:rFonts w:ascii="宋体" w:hAnsi="宋体" w:cs="宋体"/>
          <w:b/>
          <w:color w:val="auto"/>
          <w:sz w:val="44"/>
          <w:szCs w:val="44"/>
          <w:highlight w:val="none"/>
        </w:rPr>
      </w:pPr>
    </w:p>
    <w:p>
      <w:pPr>
        <w:snapToGrid w:val="0"/>
        <w:spacing w:line="360" w:lineRule="auto"/>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第一部分    招标公告</w:t>
      </w:r>
    </w:p>
    <w:p>
      <w:pPr>
        <w:snapToGrid w:val="0"/>
        <w:spacing w:line="360" w:lineRule="auto"/>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第二部分    投标须知</w:t>
      </w:r>
    </w:p>
    <w:p>
      <w:pPr>
        <w:snapToGrid w:val="0"/>
        <w:spacing w:line="360" w:lineRule="auto"/>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第三部分    招标项目范围及要求</w:t>
      </w:r>
    </w:p>
    <w:p>
      <w:pPr>
        <w:snapToGrid w:val="0"/>
        <w:spacing w:line="360" w:lineRule="auto"/>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第四部分    合同的主要条款</w:t>
      </w:r>
    </w:p>
    <w:p>
      <w:pPr>
        <w:snapToGrid w:val="0"/>
        <w:spacing w:line="360" w:lineRule="auto"/>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评审方法及标准</w:t>
      </w:r>
    </w:p>
    <w:p>
      <w:pPr>
        <w:snapToGrid w:val="0"/>
        <w:spacing w:line="360" w:lineRule="auto"/>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第六部分    投标文件及其附件格式</w:t>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2"/>
    <w:p>
      <w:pPr>
        <w:adjustRightInd/>
        <w:spacing w:line="360" w:lineRule="auto"/>
        <w:jc w:val="center"/>
        <w:outlineLvl w:val="0"/>
        <w:rPr>
          <w:rFonts w:ascii="宋体" w:hAnsi="宋体" w:cs="宋体"/>
          <w:b/>
          <w:color w:val="auto"/>
          <w:sz w:val="36"/>
          <w:szCs w:val="20"/>
          <w:highlight w:val="none"/>
        </w:rPr>
        <w:sectPr>
          <w:footerReference r:id="rId8" w:type="first"/>
          <w:footerReference r:id="rId6" w:type="default"/>
          <w:footerReference r:id="rId7" w:type="even"/>
          <w:pgSz w:w="11906" w:h="16838"/>
          <w:pgMar w:top="1134" w:right="1134" w:bottom="1134" w:left="1134" w:header="851" w:footer="992" w:gutter="0"/>
          <w:pgNumType w:start="1"/>
          <w:cols w:space="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 xml:space="preserve">第一部分 </w:t>
      </w:r>
      <w:bookmarkStart w:id="10" w:name="OLE_LINK8"/>
      <w:r>
        <w:rPr>
          <w:rFonts w:hint="eastAsia" w:ascii="宋体" w:hAnsi="宋体" w:cs="宋体"/>
          <w:b/>
          <w:color w:val="auto"/>
          <w:sz w:val="36"/>
          <w:szCs w:val="20"/>
          <w:highlight w:val="none"/>
        </w:rPr>
        <w:t>招标公告</w:t>
      </w:r>
      <w:bookmarkEnd w:id="10"/>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 w:val="24"/>
          <w:highlight w:val="none"/>
        </w:rPr>
      </w:pPr>
      <w:bookmarkStart w:id="11" w:name="OLE_LINK7"/>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color w:val="auto"/>
          <w:sz w:val="24"/>
          <w:highlight w:val="none"/>
          <w:u w:val="single"/>
        </w:rPr>
      </w:pPr>
      <w:r>
        <w:rPr>
          <w:rFonts w:hint="eastAsia" w:ascii="宋体" w:hAnsi="宋体" w:cs="宋体"/>
          <w:b/>
          <w:color w:val="auto"/>
          <w:sz w:val="24"/>
          <w:highlight w:val="none"/>
          <w:u w:val="single"/>
        </w:rPr>
        <w:t>绍兴市水务产业有限公司存储空间扩容设备采购项目（线上重招）</w:t>
      </w:r>
      <w:r>
        <w:rPr>
          <w:rFonts w:hint="eastAsia" w:ascii="宋体" w:hAnsi="宋体" w:cs="宋体"/>
          <w:color w:val="auto"/>
          <w:sz w:val="24"/>
          <w:highlight w:val="none"/>
        </w:rPr>
        <w:t>的潜在供应商应在绍兴市阳光采购服务平台（</w:t>
      </w:r>
      <w:r>
        <w:rPr>
          <w:rStyle w:val="74"/>
          <w:rFonts w:hint="eastAsia" w:ascii="宋体" w:hAnsi="宋体" w:eastAsia="宋体" w:cs="宋体"/>
          <w:color w:val="auto"/>
          <w:sz w:val="24"/>
          <w:highlight w:val="none"/>
        </w:rPr>
        <w:t>https://ygcg.sxjypt.com</w:t>
      </w:r>
      <w:r>
        <w:rPr>
          <w:rStyle w:val="74"/>
          <w:rFonts w:hint="eastAsia" w:ascii="宋体" w:hAnsi="宋体" w:eastAsia="宋体" w:cs="宋体"/>
          <w:snapToGrid/>
          <w:color w:val="auto"/>
          <w:kern w:val="2"/>
          <w:sz w:val="24"/>
          <w:szCs w:val="24"/>
          <w:highlight w:val="none"/>
        </w:rPr>
        <w:t>）获取（下载）招标文件，并于2025年</w:t>
      </w:r>
      <w:r>
        <w:rPr>
          <w:rStyle w:val="74"/>
          <w:rFonts w:hint="eastAsia" w:ascii="宋体" w:hAnsi="宋体" w:cs="宋体"/>
          <w:snapToGrid/>
          <w:color w:val="auto"/>
          <w:kern w:val="2"/>
          <w:sz w:val="24"/>
          <w:szCs w:val="24"/>
          <w:highlight w:val="none"/>
          <w:lang w:val="en-US" w:eastAsia="zh-CN"/>
        </w:rPr>
        <w:t>08</w:t>
      </w:r>
      <w:r>
        <w:rPr>
          <w:rStyle w:val="74"/>
          <w:rFonts w:hint="eastAsia" w:ascii="宋体" w:hAnsi="宋体" w:eastAsia="宋体" w:cs="宋体"/>
          <w:snapToGrid/>
          <w:color w:val="auto"/>
          <w:kern w:val="2"/>
          <w:sz w:val="24"/>
          <w:szCs w:val="24"/>
          <w:highlight w:val="none"/>
        </w:rPr>
        <w:t>月</w:t>
      </w:r>
      <w:r>
        <w:rPr>
          <w:rStyle w:val="74"/>
          <w:rFonts w:hint="eastAsia" w:ascii="宋体" w:hAnsi="宋体" w:cs="宋体"/>
          <w:snapToGrid/>
          <w:color w:val="auto"/>
          <w:kern w:val="2"/>
          <w:sz w:val="24"/>
          <w:szCs w:val="24"/>
          <w:highlight w:val="none"/>
          <w:lang w:val="en-US" w:eastAsia="zh-CN"/>
        </w:rPr>
        <w:t>29</w:t>
      </w:r>
      <w:r>
        <w:rPr>
          <w:rStyle w:val="74"/>
          <w:rFonts w:hint="eastAsia" w:ascii="宋体" w:hAnsi="宋体" w:eastAsia="宋体" w:cs="宋体"/>
          <w:snapToGrid/>
          <w:color w:val="auto"/>
          <w:kern w:val="2"/>
          <w:sz w:val="24"/>
          <w:szCs w:val="24"/>
          <w:highlight w:val="none"/>
        </w:rPr>
        <w:t>日</w:t>
      </w:r>
      <w:r>
        <w:rPr>
          <w:rStyle w:val="74"/>
          <w:rFonts w:hint="eastAsia" w:ascii="宋体" w:hAnsi="宋体" w:cs="宋体"/>
          <w:snapToGrid/>
          <w:color w:val="auto"/>
          <w:kern w:val="2"/>
          <w:sz w:val="24"/>
          <w:szCs w:val="24"/>
          <w:highlight w:val="none"/>
        </w:rPr>
        <w:t>09</w:t>
      </w:r>
      <w:r>
        <w:rPr>
          <w:rStyle w:val="74"/>
          <w:rFonts w:hint="eastAsia" w:ascii="宋体" w:hAnsi="宋体" w:eastAsia="宋体" w:cs="宋体"/>
          <w:snapToGrid/>
          <w:color w:val="auto"/>
          <w:kern w:val="2"/>
          <w:sz w:val="24"/>
          <w:szCs w:val="24"/>
          <w:highlight w:val="none"/>
        </w:rPr>
        <w:t>点</w:t>
      </w:r>
      <w:r>
        <w:rPr>
          <w:rStyle w:val="74"/>
          <w:rFonts w:hint="eastAsia" w:ascii="宋体" w:hAnsi="宋体" w:cs="宋体"/>
          <w:snapToGrid/>
          <w:color w:val="auto"/>
          <w:kern w:val="2"/>
          <w:sz w:val="24"/>
          <w:szCs w:val="24"/>
          <w:highlight w:val="none"/>
        </w:rPr>
        <w:t xml:space="preserve"> 00</w:t>
      </w:r>
      <w:r>
        <w:rPr>
          <w:rStyle w:val="74"/>
          <w:rFonts w:hint="eastAsia" w:ascii="宋体" w:hAnsi="宋体" w:eastAsia="宋体" w:cs="宋体"/>
          <w:snapToGrid/>
          <w:color w:val="auto"/>
          <w:kern w:val="2"/>
          <w:sz w:val="24"/>
          <w:szCs w:val="24"/>
          <w:highlight w:val="none"/>
        </w:rPr>
        <w:t>分</w:t>
      </w:r>
      <w:r>
        <w:rPr>
          <w:rStyle w:val="74"/>
          <w:rFonts w:hint="eastAsia" w:ascii="宋体" w:hAnsi="宋体" w:cs="宋体"/>
          <w:bCs/>
          <w:snapToGrid/>
          <w:color w:val="auto"/>
          <w:kern w:val="2"/>
          <w:sz w:val="24"/>
          <w:szCs w:val="24"/>
          <w:highlight w:val="none"/>
        </w:rPr>
        <w:t xml:space="preserve"> 00</w:t>
      </w:r>
      <w:r>
        <w:rPr>
          <w:rStyle w:val="74"/>
          <w:rFonts w:hint="eastAsia" w:ascii="宋体" w:hAnsi="宋体" w:eastAsia="宋体" w:cs="宋体"/>
          <w:bCs/>
          <w:snapToGrid/>
          <w:color w:val="auto"/>
          <w:kern w:val="2"/>
          <w:sz w:val="24"/>
          <w:szCs w:val="24"/>
          <w:highlight w:val="none"/>
        </w:rPr>
        <w:t>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440" w:lineRule="exact"/>
        <w:rPr>
          <w:rFonts w:ascii="宋体" w:hAnsi="宋体" w:cs="宋体"/>
          <w:b/>
          <w:color w:val="auto"/>
          <w:sz w:val="24"/>
          <w:highlight w:val="none"/>
        </w:rPr>
      </w:pPr>
      <w:bookmarkStart w:id="12" w:name="OLE_LINK5"/>
      <w:r>
        <w:rPr>
          <w:rFonts w:hint="eastAsia" w:ascii="宋体" w:hAnsi="宋体" w:cs="宋体"/>
          <w:b/>
          <w:color w:val="auto"/>
          <w:sz w:val="24"/>
          <w:highlight w:val="none"/>
        </w:rPr>
        <w:t xml:space="preserve">一、项目基本情况                                            </w:t>
      </w:r>
    </w:p>
    <w:p>
      <w:pPr>
        <w:spacing w:line="440" w:lineRule="exact"/>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bCs/>
          <w:color w:val="auto"/>
          <w:sz w:val="24"/>
          <w:highlight w:val="none"/>
        </w:rPr>
        <w:t>ZJRC-2025-1</w:t>
      </w:r>
      <w:r>
        <w:rPr>
          <w:rFonts w:hint="eastAsia" w:ascii="宋体" w:hAnsi="宋体" w:cs="宋体"/>
          <w:b/>
          <w:bCs/>
          <w:color w:val="auto"/>
          <w:sz w:val="24"/>
          <w:highlight w:val="none"/>
          <w:lang w:val="en-US" w:eastAsia="zh-CN"/>
        </w:rPr>
        <w:t>6</w:t>
      </w:r>
    </w:p>
    <w:p>
      <w:pPr>
        <w:spacing w:line="440" w:lineRule="exact"/>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rPr>
        <w:t>绍兴市水务产业有限公司存储空间扩容设备采购项目（线上重招）</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预算金额（元）：844000.00</w:t>
      </w:r>
    </w:p>
    <w:p>
      <w:pPr>
        <w:spacing w:line="4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最高限价（元）：844000.00</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采购需求：</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标项一：</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标项名称：</w:t>
      </w:r>
      <w:r>
        <w:rPr>
          <w:rFonts w:hint="eastAsia" w:ascii="宋体" w:hAnsi="宋体" w:cs="宋体"/>
          <w:color w:val="auto"/>
          <w:sz w:val="24"/>
          <w:highlight w:val="none"/>
        </w:rPr>
        <w:t>绍兴市水务产业有限公司存储空间扩容设备采购项目（线上重招）</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数量：</w:t>
      </w:r>
      <w:r>
        <w:rPr>
          <w:rFonts w:hint="eastAsia" w:ascii="宋体" w:hAnsi="宋体" w:cs="宋体"/>
          <w:bCs/>
          <w:color w:val="auto"/>
          <w:sz w:val="24"/>
          <w:highlight w:val="none"/>
        </w:rPr>
        <w:tab/>
      </w:r>
      <w:r>
        <w:rPr>
          <w:rFonts w:hint="eastAsia" w:ascii="宋体" w:hAnsi="宋体" w:cs="宋体"/>
          <w:bCs/>
          <w:color w:val="auto"/>
          <w:sz w:val="24"/>
          <w:highlight w:val="none"/>
        </w:rPr>
        <w:t>/</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w:t>
      </w:r>
      <w:r>
        <w:rPr>
          <w:rFonts w:hint="eastAsia" w:ascii="宋体" w:hAnsi="宋体" w:cs="宋体"/>
          <w:b/>
          <w:color w:val="auto"/>
          <w:sz w:val="24"/>
          <w:highlight w:val="none"/>
        </w:rPr>
        <w:t>（元）</w:t>
      </w:r>
      <w:r>
        <w:rPr>
          <w:rFonts w:hint="eastAsia" w:ascii="宋体" w:hAnsi="宋体" w:cs="宋体"/>
          <w:bCs/>
          <w:color w:val="auto"/>
          <w:sz w:val="24"/>
          <w:highlight w:val="none"/>
        </w:rPr>
        <w:t>：</w:t>
      </w:r>
      <w:r>
        <w:rPr>
          <w:rFonts w:hint="eastAsia" w:ascii="宋体" w:hAnsi="宋体" w:cs="宋体"/>
          <w:b/>
          <w:color w:val="auto"/>
          <w:sz w:val="24"/>
          <w:highlight w:val="none"/>
        </w:rPr>
        <w:t>844000.00</w:t>
      </w:r>
    </w:p>
    <w:p>
      <w:pPr>
        <w:spacing w:line="44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主要内容：</w:t>
      </w:r>
      <w:r>
        <w:rPr>
          <w:rFonts w:hint="eastAsia" w:ascii="宋体" w:hAnsi="宋体" w:cs="宋体"/>
          <w:color w:val="auto"/>
          <w:sz w:val="24"/>
          <w:highlight w:val="none"/>
          <w:u w:val="single"/>
        </w:rPr>
        <w:t>采购2台双控存储硬盘扩展柜（总共92T容量）</w:t>
      </w:r>
      <w:r>
        <w:rPr>
          <w:rFonts w:hint="eastAsia" w:ascii="宋体" w:hAnsi="宋体" w:cs="宋体"/>
          <w:b/>
          <w:color w:val="auto"/>
          <w:sz w:val="24"/>
          <w:highlight w:val="none"/>
        </w:rPr>
        <w:t>。</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合同履行期限</w:t>
      </w:r>
      <w:r>
        <w:rPr>
          <w:rFonts w:hint="eastAsia" w:ascii="宋体" w:hAnsi="宋体" w:cs="宋体"/>
          <w:color w:val="auto"/>
          <w:sz w:val="24"/>
          <w:highlight w:val="none"/>
        </w:rPr>
        <w:t>：合同签订后40个日历天。</w:t>
      </w:r>
    </w:p>
    <w:p>
      <w:pPr>
        <w:spacing w:line="440" w:lineRule="exact"/>
        <w:ind w:firstLine="482" w:firstLineChars="200"/>
        <w:rPr>
          <w:rFonts w:ascii="宋体" w:hAnsi="宋体" w:cs="宋体"/>
          <w:b/>
          <w:color w:val="auto"/>
          <w:highlight w:val="none"/>
        </w:rPr>
      </w:pPr>
      <w:r>
        <w:rPr>
          <w:rFonts w:hint="eastAsia" w:ascii="宋体" w:hAnsi="宋体" w:cs="宋体"/>
          <w:b/>
          <w:color w:val="auto"/>
          <w:sz w:val="24"/>
          <w:highlight w:val="none"/>
        </w:rPr>
        <w:t>本项目接受联合体投标：否。</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1.未被“信用中国”（www.creditchina.gov.cn）、中国政府采购网（www.ccgp.gov.cn）列入失信被执行人、重大税收违法失信主体、政府采购严重违法失信行为记录名单；</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2.落实采购政策需满足的资格要求：无；</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3.本项目的特定资格要求：无；</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绍兴市阳光采购服务平台（https://ygcg.sxjypt.com） </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绍兴市阳光采购服务平台（https://ygcg.sxjypt.com），在线申请获取采购文件（在绍兴市阳光采购服务平台主页“供应商入口”登录后，点击【网上报名】-【项目报名】，找到对应项目，点击报名。完成后在【已报名项目】-【报名详细】中获取招标文件）。</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四、提交投标文件截止时间、开标时间和地点（网址）</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 09点 00分00秒</w:t>
      </w:r>
      <w:r>
        <w:rPr>
          <w:rFonts w:hint="eastAsia" w:ascii="宋体" w:hAnsi="宋体" w:cs="宋体"/>
          <w:color w:val="auto"/>
          <w:sz w:val="24"/>
          <w:highlight w:val="none"/>
        </w:rPr>
        <w:t>（北京时间）</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绍兴市阳光采购服务平台（https://ygcg.sxjypt.com）</w:t>
      </w:r>
    </w:p>
    <w:p>
      <w:pPr>
        <w:spacing w:line="44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 09点 00分00秒</w:t>
      </w:r>
      <w:r>
        <w:rPr>
          <w:rFonts w:hint="eastAsia" w:ascii="宋体" w:hAnsi="宋体" w:cs="宋体"/>
          <w:color w:val="auto"/>
          <w:sz w:val="24"/>
          <w:highlight w:val="none"/>
        </w:rPr>
        <w:t>（北京时间）</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绍兴市阳光采购服务平台（https://ygcg.sxjypt.com）</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在招标文件获取期间，在绍兴市阳光采购服务平台以书面形式向采购人和采购代理机构提出质疑。质疑供应商对采购人、采购代理机构的答复不满意或者采购人、采购代理机构未在规定的时间内作出答复的，</w:t>
      </w:r>
      <w:r>
        <w:rPr>
          <w:rFonts w:hint="eastAsia" w:ascii="宋体" w:hAnsi="宋体" w:cs="宋体"/>
          <w:color w:val="auto"/>
          <w:sz w:val="24"/>
          <w:highlight w:val="none"/>
          <w:u w:val="single"/>
        </w:rPr>
        <w:t>可以在答复期满后15个工作日内向本项目监督单位（部门）投诉</w:t>
      </w:r>
      <w:r>
        <w:rPr>
          <w:rFonts w:hint="eastAsia" w:ascii="宋体" w:hAnsi="宋体" w:cs="宋体"/>
          <w:color w:val="auto"/>
          <w:sz w:val="24"/>
          <w:highlight w:val="none"/>
        </w:rPr>
        <w:t>。质疑函范本、投诉书范本请到绍兴市阳光采购服务平台“资料下载”专区下载。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其他事项：本项目为通过绍兴市阳光采购服务平台进行的全流程电子招投标项目，须通过绍兴市阳光采购服务平台（https://ygcg.sxjypt.com）进行电子投标，无法接受线下投标文件，请供应商合理安排好时间准时投标。</w:t>
      </w:r>
    </w:p>
    <w:p>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说明：如遇两家（含）以上已签到供应商的IP地址相同，系统自动触发预警，并提示“响应无效”的当场拒收此类响应文件。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3.系统使用费：平台系统使用费收取按照绍兴市阳光采购服务平台公示的收费标准执行（https://ygcg.sxjypt.com/detail?articleId=347），本项目成交系统使用费为</w:t>
      </w:r>
      <w:r>
        <w:rPr>
          <w:rFonts w:hint="eastAsia" w:ascii="宋体" w:hAnsi="宋体" w:cs="宋体"/>
          <w:color w:val="auto"/>
          <w:sz w:val="24"/>
          <w:highlight w:val="none"/>
          <w:u w:val="single"/>
        </w:rPr>
        <w:t>成交（中标）价的千分之二点五（2.5‰）</w:t>
      </w:r>
      <w:r>
        <w:rPr>
          <w:rFonts w:hint="eastAsia" w:ascii="宋体" w:hAnsi="宋体" w:cs="宋体"/>
          <w:color w:val="auto"/>
          <w:sz w:val="24"/>
          <w:highlight w:val="none"/>
        </w:rPr>
        <w:t>。中标供应商在系统使用费订单生成后五日内未完成支付的，采购人有权取消其中标资格。</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4.本项目为非依法必须招标项目。</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六、对本次采购提出询问、质疑、投诉，请按以下方式联系</w:t>
      </w:r>
    </w:p>
    <w:p>
      <w:pPr>
        <w:pStyle w:val="8"/>
        <w:spacing w:line="440" w:lineRule="exact"/>
        <w:ind w:left="0" w:firstLine="482" w:firstLineChars="200"/>
        <w:rPr>
          <w:rFonts w:ascii="宋体" w:hAnsi="宋体" w:eastAsia="宋体" w:cs="宋体"/>
          <w:color w:val="auto"/>
          <w:sz w:val="24"/>
          <w:szCs w:val="24"/>
          <w:highlight w:val="none"/>
        </w:rPr>
      </w:pPr>
      <w:bookmarkStart w:id="13" w:name="_Toc28359019"/>
      <w:bookmarkStart w:id="14" w:name="_Toc35393637"/>
      <w:bookmarkStart w:id="15" w:name="_Toc35393806"/>
      <w:bookmarkStart w:id="16" w:name="_Toc28359096"/>
      <w:r>
        <w:rPr>
          <w:rFonts w:hint="eastAsia" w:ascii="宋体" w:hAnsi="宋体" w:eastAsia="宋体" w:cs="宋体"/>
          <w:color w:val="auto"/>
          <w:sz w:val="24"/>
          <w:szCs w:val="24"/>
          <w:highlight w:val="none"/>
        </w:rPr>
        <w:t>1.采购人信息</w:t>
      </w:r>
      <w:bookmarkEnd w:id="13"/>
      <w:bookmarkEnd w:id="14"/>
      <w:bookmarkEnd w:id="15"/>
      <w:bookmarkEnd w:id="16"/>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highlight w:val="none"/>
        </w:rPr>
      </w:pPr>
      <w:bookmarkStart w:id="17" w:name="_Toc28359097"/>
      <w:bookmarkStart w:id="18" w:name="_Toc35393638"/>
      <w:bookmarkStart w:id="19" w:name="_Toc35393807"/>
      <w:bookmarkStart w:id="20" w:name="_Toc28359020"/>
      <w:r>
        <w:rPr>
          <w:rFonts w:hint="eastAsia" w:ascii="宋体" w:hAnsi="宋体" w:cs="宋体"/>
          <w:color w:val="auto"/>
          <w:sz w:val="24"/>
          <w:highlight w:val="none"/>
        </w:rPr>
        <w:t>名    称：绍兴市水务产业有限公司</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bCs/>
          <w:color w:val="auto"/>
          <w:sz w:val="24"/>
          <w:highlight w:val="none"/>
        </w:rPr>
        <w:t>绍兴市越城区解放大道308号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bCs/>
          <w:color w:val="auto"/>
          <w:sz w:val="24"/>
          <w:highlight w:val="none"/>
          <w:lang w:eastAsia="zh-CN"/>
        </w:rPr>
        <w:t>王</w:t>
      </w:r>
      <w:r>
        <w:rPr>
          <w:rFonts w:hint="eastAsia" w:ascii="宋体" w:hAnsi="宋体" w:cs="宋体"/>
          <w:bCs/>
          <w:color w:val="auto"/>
          <w:sz w:val="24"/>
          <w:highlight w:val="none"/>
        </w:rPr>
        <w:t>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b w:val="0"/>
          <w:bCs/>
          <w:i w:val="0"/>
          <w:iCs w:val="0"/>
          <w:color w:val="auto"/>
          <w:sz w:val="24"/>
          <w:highlight w:val="none"/>
          <w:u w:val="none"/>
        </w:rPr>
        <w:t>0575-89196136</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冯</w:t>
      </w:r>
      <w:r>
        <w:rPr>
          <w:rFonts w:hint="eastAsia" w:ascii="宋体" w:hAnsi="宋体" w:cs="宋体"/>
          <w:color w:val="auto"/>
          <w:sz w:val="24"/>
          <w:highlight w:val="none"/>
        </w:rPr>
        <w:t xml:space="preserve">工  </w:t>
      </w:r>
      <w:r>
        <w:rPr>
          <w:rFonts w:hint="eastAsia" w:ascii="宋体" w:hAnsi="宋体" w:cs="宋体"/>
          <w:bCs/>
          <w:color w:val="auto"/>
          <w:sz w:val="24"/>
          <w:highlight w:val="none"/>
        </w:rPr>
        <w:t xml:space="preserve">  </w:t>
      </w:r>
    </w:p>
    <w:p>
      <w:pPr>
        <w:spacing w:line="44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 xml:space="preserve">质疑联系方式：0575-89196132 </w:t>
      </w:r>
    </w:p>
    <w:p>
      <w:pPr>
        <w:pStyle w:val="8"/>
        <w:spacing w:line="440" w:lineRule="exact"/>
        <w:ind w:left="0"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2.采购代理机构信息</w:t>
      </w:r>
      <w:bookmarkEnd w:id="17"/>
      <w:bookmarkEnd w:id="18"/>
      <w:bookmarkEnd w:id="19"/>
      <w:bookmarkEnd w:id="20"/>
      <w:r>
        <w:rPr>
          <w:rFonts w:hint="eastAsia" w:ascii="宋体" w:hAnsi="宋体" w:eastAsia="宋体" w:cs="宋体"/>
          <w:color w:val="auto"/>
          <w:sz w:val="24"/>
          <w:szCs w:val="24"/>
          <w:highlight w:val="none"/>
        </w:rPr>
        <w:t>：</w:t>
      </w:r>
    </w:p>
    <w:p>
      <w:pPr>
        <w:widowControl/>
        <w:spacing w:line="400" w:lineRule="exact"/>
        <w:ind w:firstLine="480" w:firstLineChars="200"/>
        <w:jc w:val="left"/>
        <w:rPr>
          <w:rFonts w:ascii="宋体" w:hAnsi="宋体" w:cs="宋体"/>
          <w:color w:val="auto"/>
          <w:kern w:val="0"/>
          <w:sz w:val="24"/>
          <w:highlight w:val="none"/>
        </w:rPr>
      </w:pPr>
      <w:bookmarkStart w:id="21" w:name="_Toc35393639"/>
      <w:bookmarkStart w:id="22" w:name="_Toc28359098"/>
      <w:bookmarkStart w:id="23" w:name="_Toc35393808"/>
      <w:bookmarkStart w:id="24" w:name="_Toc28359021"/>
      <w:r>
        <w:rPr>
          <w:rFonts w:hint="eastAsia" w:ascii="宋体" w:hAnsi="宋体" w:cs="宋体"/>
          <w:color w:val="auto"/>
          <w:kern w:val="0"/>
          <w:sz w:val="24"/>
          <w:highlight w:val="none"/>
        </w:rPr>
        <w:t>名称：浙江瑞辰工程咨询有限公司</w:t>
      </w:r>
    </w:p>
    <w:p>
      <w:pPr>
        <w:widowControl/>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地址：</w:t>
      </w:r>
      <w:bookmarkStart w:id="25" w:name="OLE_LINK1"/>
      <w:r>
        <w:rPr>
          <w:rFonts w:hint="eastAsia" w:ascii="宋体" w:hAnsi="宋体" w:cs="宋体"/>
          <w:color w:val="auto"/>
          <w:kern w:val="0"/>
          <w:sz w:val="24"/>
          <w:highlight w:val="none"/>
        </w:rPr>
        <w:t>绍兴市元城大厦1003室</w:t>
      </w:r>
      <w:bookmarkEnd w:id="25"/>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kern w:val="0"/>
          <w:sz w:val="24"/>
          <w:highlight w:val="none"/>
        </w:rPr>
        <w:t>王工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蒋颖</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kern w:val="0"/>
          <w:sz w:val="24"/>
          <w:highlight w:val="none"/>
        </w:rPr>
        <w:t>18267518819</w:t>
      </w:r>
      <w:r>
        <w:rPr>
          <w:rFonts w:hint="eastAsia" w:ascii="宋体" w:hAnsi="宋体" w:cs="宋体"/>
          <w:color w:val="auto"/>
          <w:sz w:val="24"/>
          <w:highlight w:val="none"/>
        </w:rPr>
        <w:t xml:space="preserve">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李超</w:t>
      </w:r>
      <w:r>
        <w:rPr>
          <w:rFonts w:hint="eastAsia" w:ascii="宋体" w:hAnsi="宋体" w:cs="宋体"/>
          <w:color w:val="auto"/>
          <w:sz w:val="24"/>
          <w:highlight w:val="none"/>
        </w:rPr>
        <w:t xml:space="preserve">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质疑联系方式：18069512587</w:t>
      </w:r>
    </w:p>
    <w:p>
      <w:pP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3.监督单位（部门）信息</w:t>
      </w:r>
      <w:r>
        <w:rPr>
          <w:rFonts w:hint="eastAsia" w:ascii="宋体" w:hAnsi="宋体" w:cs="宋体"/>
          <w:b/>
          <w:color w:val="auto"/>
          <w:sz w:val="24"/>
          <w:highlight w:val="none"/>
        </w:rPr>
        <w:t xml:space="preserve">： </w:t>
      </w:r>
    </w:p>
    <w:bookmarkEnd w:id="21"/>
    <w:bookmarkEnd w:id="22"/>
    <w:bookmarkEnd w:id="23"/>
    <w:bookmarkEnd w:id="24"/>
    <w:p>
      <w:pPr>
        <w:shd w:val="clear"/>
        <w:spacing w:line="440" w:lineRule="exact"/>
        <w:ind w:firstLine="480" w:firstLineChars="200"/>
        <w:rPr>
          <w:rFonts w:hint="eastAsia" w:ascii="宋体" w:hAnsi="宋体" w:eastAsia="宋体" w:cs="宋体"/>
          <w:b w:val="0"/>
          <w:bCs/>
          <w:i w:val="0"/>
          <w:iCs w:val="0"/>
          <w:color w:val="auto"/>
          <w:sz w:val="24"/>
          <w:highlight w:val="none"/>
          <w:u w:val="none"/>
        </w:rPr>
      </w:pPr>
      <w:r>
        <w:rPr>
          <w:rFonts w:hint="eastAsia" w:ascii="宋体" w:hAnsi="宋体" w:eastAsia="宋体" w:cs="宋体"/>
          <w:b w:val="0"/>
          <w:bCs/>
          <w:i w:val="0"/>
          <w:iCs w:val="0"/>
          <w:color w:val="auto"/>
          <w:sz w:val="24"/>
          <w:highlight w:val="none"/>
          <w:u w:val="none"/>
        </w:rPr>
        <w:t>名    称：绍兴市公用事业集团有限公司</w:t>
      </w:r>
    </w:p>
    <w:p>
      <w:pPr>
        <w:shd w:val="clear"/>
        <w:spacing w:line="440" w:lineRule="exact"/>
        <w:ind w:firstLine="480" w:firstLineChars="200"/>
        <w:rPr>
          <w:rFonts w:hint="eastAsia" w:ascii="宋体" w:hAnsi="宋体" w:eastAsia="宋体" w:cs="宋体"/>
          <w:b w:val="0"/>
          <w:bCs/>
          <w:i w:val="0"/>
          <w:iCs w:val="0"/>
          <w:color w:val="auto"/>
          <w:sz w:val="24"/>
          <w:highlight w:val="none"/>
          <w:u w:val="none"/>
        </w:rPr>
      </w:pPr>
      <w:r>
        <w:rPr>
          <w:rFonts w:hint="eastAsia" w:ascii="宋体" w:hAnsi="宋体" w:eastAsia="宋体" w:cs="宋体"/>
          <w:b w:val="0"/>
          <w:bCs/>
          <w:i w:val="0"/>
          <w:iCs w:val="0"/>
          <w:color w:val="auto"/>
          <w:sz w:val="24"/>
          <w:highlight w:val="none"/>
          <w:u w:val="none"/>
        </w:rPr>
        <w:t>地    址：绍兴市越城区解放大道308号</w:t>
      </w:r>
    </w:p>
    <w:p>
      <w:pPr>
        <w:shd w:val="clear"/>
        <w:spacing w:line="440" w:lineRule="exact"/>
        <w:ind w:firstLine="480" w:firstLineChars="200"/>
        <w:rPr>
          <w:rFonts w:hint="eastAsia" w:ascii="宋体" w:hAnsi="宋体" w:eastAsia="宋体" w:cs="宋体"/>
          <w:b w:val="0"/>
          <w:bCs/>
          <w:i w:val="0"/>
          <w:iCs w:val="0"/>
          <w:color w:val="auto"/>
          <w:sz w:val="24"/>
          <w:highlight w:val="none"/>
          <w:u w:val="none"/>
        </w:rPr>
      </w:pPr>
      <w:r>
        <w:rPr>
          <w:rFonts w:hint="eastAsia" w:ascii="宋体" w:hAnsi="宋体" w:eastAsia="宋体" w:cs="宋体"/>
          <w:b w:val="0"/>
          <w:bCs/>
          <w:i w:val="0"/>
          <w:iCs w:val="0"/>
          <w:color w:val="auto"/>
          <w:sz w:val="24"/>
          <w:highlight w:val="none"/>
          <w:u w:val="none"/>
        </w:rPr>
        <w:t>联系人 ：陈工</w:t>
      </w:r>
    </w:p>
    <w:p>
      <w:pPr>
        <w:shd w:val="clear"/>
        <w:spacing w:line="440" w:lineRule="exact"/>
        <w:ind w:firstLine="480" w:firstLineChars="200"/>
        <w:rPr>
          <w:rFonts w:hint="eastAsia" w:ascii="宋体" w:hAnsi="宋体" w:eastAsia="宋体" w:cs="宋体"/>
          <w:b w:val="0"/>
          <w:bCs/>
          <w:i w:val="0"/>
          <w:iCs w:val="0"/>
          <w:color w:val="auto"/>
          <w:sz w:val="24"/>
          <w:highlight w:val="none"/>
          <w:u w:val="none"/>
          <w:lang w:eastAsia="zh-CN"/>
        </w:rPr>
      </w:pPr>
      <w:r>
        <w:rPr>
          <w:rFonts w:hint="eastAsia" w:ascii="宋体" w:hAnsi="宋体" w:eastAsia="宋体" w:cs="宋体"/>
          <w:b w:val="0"/>
          <w:bCs/>
          <w:i w:val="0"/>
          <w:iCs w:val="0"/>
          <w:color w:val="auto"/>
          <w:sz w:val="24"/>
          <w:highlight w:val="none"/>
          <w:u w:val="none"/>
        </w:rPr>
        <w:t>监督投诉电话：0575-88050323</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若对项目采购电子交易系统操作有疑问，拨打绍兴市阳光采购服务平台服务热线</w:t>
      </w:r>
      <w:bookmarkStart w:id="26" w:name="OLE_LINK2"/>
      <w:r>
        <w:rPr>
          <w:rFonts w:hint="eastAsia" w:ascii="宋体" w:hAnsi="宋体" w:cs="宋体"/>
          <w:color w:val="auto"/>
          <w:sz w:val="24"/>
          <w:highlight w:val="none"/>
        </w:rPr>
        <w:t>0575-88163066</w:t>
      </w:r>
      <w:bookmarkEnd w:id="26"/>
      <w:r>
        <w:rPr>
          <w:rFonts w:hint="eastAsia" w:ascii="宋体" w:hAnsi="宋体" w:cs="宋体"/>
          <w:color w:val="auto"/>
          <w:sz w:val="24"/>
          <w:highlight w:val="none"/>
        </w:rPr>
        <w:t>/15068988625/15381628176获取热线服务帮助。</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CA问题详见https://ygcg.sxjypt.com/detail?articleId=298。</w:t>
      </w:r>
    </w:p>
    <w:bookmarkEnd w:id="11"/>
    <w:p>
      <w:pPr>
        <w:widowControl/>
        <w:adjustRightInd/>
        <w:jc w:val="left"/>
        <w:rPr>
          <w:rFonts w:ascii="宋体" w:hAnsi="宋体" w:cs="宋体"/>
          <w:snapToGrid w:val="0"/>
          <w:color w:val="auto"/>
          <w:highlight w:val="none"/>
        </w:rPr>
      </w:pPr>
      <w:r>
        <w:rPr>
          <w:rFonts w:hint="eastAsia" w:ascii="宋体" w:hAnsi="宋体" w:cs="宋体"/>
          <w:b/>
          <w:color w:val="auto"/>
          <w:sz w:val="36"/>
          <w:szCs w:val="20"/>
          <w:highlight w:val="none"/>
        </w:rPr>
        <w:br w:type="page"/>
      </w:r>
    </w:p>
    <w:bookmarkEnd w:id="7"/>
    <w:bookmarkEnd w:id="8"/>
    <w:bookmarkEnd w:id="12"/>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投标须知</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序号</w:t>
            </w:r>
          </w:p>
        </w:tc>
        <w:tc>
          <w:tcPr>
            <w:tcW w:w="8370" w:type="dxa"/>
            <w:gridSpan w:val="2"/>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8370" w:type="dxa"/>
            <w:gridSpan w:val="2"/>
            <w:vAlign w:val="center"/>
          </w:tcPr>
          <w:p>
            <w:pPr>
              <w:autoSpaceDE w:val="0"/>
              <w:autoSpaceDN w:val="0"/>
              <w:snapToGrid w:val="0"/>
              <w:spacing w:line="440" w:lineRule="exact"/>
              <w:textAlignment w:val="center"/>
              <w:rPr>
                <w:rFonts w:ascii="宋体" w:hAnsi="宋体" w:cs="宋体"/>
                <w:color w:val="auto"/>
                <w:sz w:val="24"/>
                <w:highlight w:val="none"/>
                <w:u w:val="single"/>
              </w:rPr>
            </w:pPr>
            <w:r>
              <w:rPr>
                <w:rFonts w:hint="eastAsia" w:ascii="宋体" w:hAnsi="宋体" w:cs="宋体"/>
                <w:b/>
                <w:color w:val="auto"/>
                <w:sz w:val="24"/>
                <w:highlight w:val="none"/>
              </w:rPr>
              <w:t>供应商按照项目要求特许资格、资信证明文件（如果有）：</w:t>
            </w:r>
          </w:p>
          <w:p>
            <w:pPr>
              <w:autoSpaceDE w:val="0"/>
              <w:autoSpaceDN w:val="0"/>
              <w:spacing w:line="440" w:lineRule="exact"/>
              <w:ind w:firstLine="480" w:firstLineChars="200"/>
              <w:textAlignment w:val="center"/>
              <w:rPr>
                <w:rFonts w:ascii="宋体" w:hAnsi="宋体" w:cs="宋体"/>
                <w:b/>
                <w:color w:val="auto"/>
                <w:sz w:val="24"/>
                <w:highlight w:val="none"/>
              </w:rPr>
            </w:pPr>
            <w:r>
              <w:rPr>
                <w:rFonts w:hint="eastAsia" w:ascii="宋体" w:hAnsi="宋体" w:cs="宋体"/>
                <w:color w:val="auto"/>
                <w:sz w:val="24"/>
                <w:highlight w:val="none"/>
              </w:rPr>
              <w:t>法律和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8370" w:type="dxa"/>
            <w:gridSpan w:val="2"/>
            <w:vAlign w:val="center"/>
          </w:tcPr>
          <w:p>
            <w:pPr>
              <w:autoSpaceDE w:val="0"/>
              <w:autoSpaceDN w:val="0"/>
              <w:snapToGrid w:val="0"/>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8370" w:type="dxa"/>
            <w:gridSpan w:val="2"/>
            <w:vAlign w:val="center"/>
          </w:tcPr>
          <w:p>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投标有效期：</w:t>
            </w:r>
            <w:r>
              <w:rPr>
                <w:rFonts w:hint="eastAsia" w:ascii="宋体" w:hAnsi="宋体" w:cs="宋体"/>
                <w:color w:val="auto"/>
                <w:sz w:val="24"/>
                <w:highlight w:val="none"/>
              </w:rPr>
              <w:t>投标有效期为从提交投标文件的截止之日起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w:t>
            </w:r>
            <w:r>
              <w:rPr>
                <w:rFonts w:hint="eastAsia" w:ascii="宋体" w:hAnsi="宋体" w:cs="宋体"/>
                <w:b/>
                <w:color w:val="auto"/>
                <w:sz w:val="24"/>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8370" w:type="dxa"/>
            <w:gridSpan w:val="2"/>
            <w:vAlign w:val="center"/>
          </w:tcPr>
          <w:p>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转包：</w:t>
            </w:r>
            <w:r>
              <w:rPr>
                <w:rFonts w:hint="eastAsia" w:ascii="宋体" w:hAnsi="宋体" w:cs="宋体"/>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8370" w:type="dxa"/>
            <w:gridSpan w:val="2"/>
            <w:vAlign w:val="center"/>
          </w:tcPr>
          <w:p>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分包：</w:t>
            </w:r>
            <w:r>
              <w:rPr>
                <w:rFonts w:hint="eastAsia" w:ascii="宋体" w:hAnsi="宋体" w:cs="宋体"/>
                <w:color w:val="auto"/>
                <w:kern w:val="0"/>
                <w:sz w:val="24"/>
                <w:highlight w:val="none"/>
              </w:rPr>
              <w:t>☐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工作分包。（应明确具体分包工作内容）</w:t>
            </w:r>
          </w:p>
          <w:p>
            <w:pPr>
              <w:autoSpaceDE w:val="0"/>
              <w:autoSpaceDN w:val="0"/>
              <w:spacing w:line="440" w:lineRule="exact"/>
              <w:ind w:firstLine="720" w:firstLineChars="300"/>
              <w:textAlignment w:val="center"/>
              <w:rPr>
                <w:rFonts w:ascii="宋体" w:hAnsi="宋体" w:cs="宋体"/>
                <w:b/>
                <w:color w:val="auto"/>
                <w:sz w:val="24"/>
                <w:highlight w:val="none"/>
              </w:rPr>
            </w:pPr>
            <w:r>
              <w:rPr>
                <w:rFonts w:hint="eastAsia" w:ascii="宋体" w:hAnsi="宋体" w:cs="宋体"/>
                <w:color w:val="auto"/>
                <w:kern w:val="0"/>
                <w:sz w:val="24"/>
                <w:highlight w:val="none"/>
              </w:rPr>
              <w:t>☑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8370" w:type="dxa"/>
            <w:gridSpan w:val="2"/>
            <w:vAlign w:val="center"/>
          </w:tcPr>
          <w:p>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投标文件份数：</w:t>
            </w:r>
            <w:r>
              <w:rPr>
                <w:rFonts w:hint="eastAsia" w:ascii="宋体" w:hAnsi="宋体" w:cs="宋体"/>
                <w:color w:val="auto"/>
                <w:sz w:val="24"/>
                <w:highlight w:val="none"/>
              </w:rPr>
              <w:t>本项目实行网上投标，供应商于绍兴市阳光采购服务平台（https://ygcg.sxjypt.com）提供电子投标文件。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7</w:t>
            </w:r>
          </w:p>
        </w:tc>
        <w:tc>
          <w:tcPr>
            <w:tcW w:w="8370" w:type="dxa"/>
            <w:gridSpan w:val="2"/>
            <w:vAlign w:val="center"/>
          </w:tcPr>
          <w:p>
            <w:pPr>
              <w:autoSpaceDE w:val="0"/>
              <w:autoSpaceDN w:val="0"/>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p>
            <w:pPr>
              <w:autoSpaceDE w:val="0"/>
              <w:autoSpaceDN w:val="0"/>
              <w:spacing w:line="4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autoSpaceDE w:val="0"/>
              <w:autoSpaceDN w:val="0"/>
              <w:spacing w:line="440" w:lineRule="exact"/>
              <w:textAlignment w:val="center"/>
              <w:rPr>
                <w:rFonts w:ascii="宋体" w:hAnsi="宋体" w:cs="宋体"/>
                <w:b/>
                <w:color w:val="auto"/>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8</w:t>
            </w:r>
          </w:p>
        </w:tc>
        <w:tc>
          <w:tcPr>
            <w:tcW w:w="8370" w:type="dxa"/>
            <w:gridSpan w:val="2"/>
            <w:vAlign w:val="center"/>
          </w:tcPr>
          <w:p>
            <w:pPr>
              <w:autoSpaceDE w:val="0"/>
              <w:autoSpaceDN w:val="0"/>
              <w:spacing w:line="440" w:lineRule="exact"/>
              <w:textAlignment w:val="center"/>
              <w:rPr>
                <w:rFonts w:ascii="宋体" w:hAnsi="宋体" w:cs="宋体"/>
                <w:color w:val="auto"/>
                <w:kern w:val="0"/>
                <w:sz w:val="24"/>
                <w:highlight w:val="none"/>
              </w:rPr>
            </w:pPr>
            <w:r>
              <w:rPr>
                <w:rFonts w:hint="eastAsia" w:ascii="宋体" w:hAnsi="宋体" w:cs="宋体"/>
                <w:b/>
                <w:bCs/>
                <w:color w:val="auto"/>
                <w:kern w:val="0"/>
                <w:sz w:val="24"/>
                <w:highlight w:val="none"/>
              </w:rPr>
              <w:t xml:space="preserve">投标保证金： </w:t>
            </w:r>
            <w:r>
              <w:rPr>
                <w:rFonts w:hint="eastAsia" w:ascii="宋体" w:hAnsi="宋体" w:cs="宋体"/>
                <w:b/>
                <w:bCs/>
                <w:color w:val="auto"/>
                <w:kern w:val="0"/>
                <w:sz w:val="24"/>
                <w:highlight w:val="none"/>
                <w:u w:val="single"/>
              </w:rPr>
              <w:t>0</w:t>
            </w:r>
            <w:r>
              <w:rPr>
                <w:rFonts w:hint="eastAsia" w:ascii="宋体" w:hAnsi="宋体" w:cs="宋体"/>
                <w:b/>
                <w:bCs/>
                <w:color w:val="auto"/>
                <w:kern w:val="0"/>
                <w:sz w:val="24"/>
                <w:highlight w:val="none"/>
              </w:rPr>
              <w:t>元</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9</w:t>
            </w:r>
          </w:p>
        </w:tc>
        <w:tc>
          <w:tcPr>
            <w:tcW w:w="8370" w:type="dxa"/>
            <w:gridSpan w:val="2"/>
            <w:vAlign w:val="center"/>
          </w:tcPr>
          <w:p>
            <w:pPr>
              <w:autoSpaceDE w:val="0"/>
              <w:autoSpaceDN w:val="0"/>
              <w:spacing w:line="440" w:lineRule="exact"/>
              <w:textAlignment w:val="center"/>
              <w:rPr>
                <w:rFonts w:ascii="宋体" w:hAnsi="宋体" w:cs="宋体"/>
                <w:color w:val="auto"/>
                <w:highlight w:val="none"/>
              </w:rPr>
            </w:pPr>
            <w:r>
              <w:rPr>
                <w:rFonts w:hint="eastAsia" w:ascii="宋体" w:hAnsi="宋体" w:cs="宋体"/>
                <w:b/>
                <w:bCs/>
                <w:color w:val="auto"/>
                <w:kern w:val="0"/>
                <w:sz w:val="24"/>
                <w:highlight w:val="none"/>
              </w:rPr>
              <w:t>样品提供：不要求提供。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10</w:t>
            </w:r>
          </w:p>
        </w:tc>
        <w:tc>
          <w:tcPr>
            <w:tcW w:w="8370" w:type="dxa"/>
            <w:gridSpan w:val="2"/>
            <w:vAlign w:val="center"/>
          </w:tcPr>
          <w:p>
            <w:pPr>
              <w:autoSpaceDE w:val="0"/>
              <w:autoSpaceDN w:val="0"/>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讲解演示：</w:t>
            </w:r>
          </w:p>
          <w:p>
            <w:pPr>
              <w:autoSpaceDE w:val="0"/>
              <w:autoSpaceDN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A无讲解演示。</w:t>
            </w:r>
          </w:p>
          <w:p>
            <w:pPr>
              <w:autoSpaceDE w:val="0"/>
              <w:autoSpaceDN w:val="0"/>
              <w:spacing w:line="440" w:lineRule="exact"/>
              <w:textAlignment w:val="center"/>
              <w:rPr>
                <w:rFonts w:ascii="宋体" w:hAnsi="宋体" w:cs="宋体"/>
                <w:b/>
                <w:strike/>
                <w:color w:val="auto"/>
                <w:sz w:val="24"/>
                <w:highlight w:val="none"/>
              </w:rPr>
            </w:pPr>
            <w:r>
              <w:rPr>
                <w:rFonts w:hint="eastAsia" w:ascii="宋体" w:hAnsi="宋体" w:cs="宋体"/>
                <w:strike/>
                <w:color w:val="auto"/>
                <w:sz w:val="24"/>
                <w:highlight w:val="none"/>
              </w:rPr>
              <w:sym w:font="Wingdings 2" w:char="00A3"/>
            </w:r>
            <w:r>
              <w:rPr>
                <w:rFonts w:hint="eastAsia" w:ascii="宋体" w:hAnsi="宋体" w:cs="宋体"/>
                <w:strike/>
                <w:color w:val="auto"/>
                <w:sz w:val="24"/>
                <w:highlight w:val="none"/>
              </w:rPr>
              <w:t>B有讲解演示：</w:t>
            </w:r>
          </w:p>
          <w:p>
            <w:pPr>
              <w:autoSpaceDE w:val="0"/>
              <w:autoSpaceDN w:val="0"/>
              <w:spacing w:line="440" w:lineRule="exact"/>
              <w:textAlignment w:val="center"/>
              <w:rPr>
                <w:rFonts w:ascii="宋体" w:hAnsi="宋体" w:cs="宋体"/>
                <w:strike/>
                <w:color w:val="auto"/>
                <w:sz w:val="24"/>
                <w:highlight w:val="none"/>
                <w:lang w:val="zh-CN"/>
              </w:rPr>
            </w:pPr>
            <w:r>
              <w:rPr>
                <w:rFonts w:hint="eastAsia" w:ascii="宋体" w:hAnsi="宋体" w:cs="宋体"/>
                <w:strike/>
                <w:color w:val="auto"/>
                <w:sz w:val="24"/>
                <w:highlight w:val="none"/>
                <w:lang w:val="zh-CN"/>
              </w:rPr>
              <w:t>（1）在评标时安排每个供应商进行讲解演示。每个供应商时间不超过</w:t>
            </w:r>
            <w:r>
              <w:rPr>
                <w:rFonts w:hint="eastAsia" w:ascii="宋体" w:hAnsi="宋体" w:cs="宋体"/>
                <w:strike/>
                <w:color w:val="auto"/>
                <w:sz w:val="24"/>
                <w:highlight w:val="none"/>
                <w:u w:val="single"/>
              </w:rPr>
              <w:t xml:space="preserve">  </w:t>
            </w:r>
            <w:r>
              <w:rPr>
                <w:rFonts w:hint="eastAsia" w:ascii="宋体" w:hAnsi="宋体" w:cs="宋体"/>
                <w:strike/>
                <w:color w:val="auto"/>
                <w:sz w:val="24"/>
                <w:highlight w:val="none"/>
                <w:lang w:val="zh-CN"/>
              </w:rPr>
              <w:t>分钟，讲解次序以投标文件解密时间先后次序为准。讲解演示结束后按要求解答</w:t>
            </w:r>
            <w:r>
              <w:rPr>
                <w:rFonts w:hint="eastAsia" w:ascii="宋体" w:hAnsi="宋体" w:cs="宋体"/>
                <w:strike/>
                <w:color w:val="auto"/>
                <w:sz w:val="24"/>
                <w:highlight w:val="none"/>
              </w:rPr>
              <w:t>评审小组</w:t>
            </w:r>
            <w:r>
              <w:rPr>
                <w:rFonts w:hint="eastAsia" w:ascii="宋体" w:hAnsi="宋体" w:cs="宋体"/>
                <w:strike/>
                <w:color w:val="auto"/>
                <w:sz w:val="24"/>
                <w:highlight w:val="none"/>
                <w:lang w:val="zh-CN"/>
              </w:rPr>
              <w:t>提问。</w:t>
            </w:r>
          </w:p>
          <w:p>
            <w:pPr>
              <w:autoSpaceDE w:val="0"/>
              <w:autoSpaceDN w:val="0"/>
              <w:spacing w:line="440" w:lineRule="exact"/>
              <w:textAlignment w:val="center"/>
              <w:rPr>
                <w:rFonts w:ascii="宋体" w:hAnsi="宋体" w:cs="宋体"/>
                <w:strike/>
                <w:color w:val="auto"/>
                <w:sz w:val="24"/>
                <w:highlight w:val="none"/>
                <w:lang w:val="zh-CN"/>
              </w:rPr>
            </w:pPr>
            <w:r>
              <w:rPr>
                <w:rFonts w:hint="eastAsia" w:ascii="宋体" w:hAnsi="宋体" w:cs="宋体"/>
                <w:strike/>
                <w:color w:val="auto"/>
                <w:sz w:val="24"/>
                <w:highlight w:val="none"/>
                <w:lang w:val="zh-CN"/>
              </w:rPr>
              <w:t>（2）现场讲解地点为</w:t>
            </w:r>
            <w:r>
              <w:rPr>
                <w:rFonts w:hint="eastAsia" w:ascii="宋体" w:hAnsi="宋体" w:cs="宋体"/>
                <w:strike/>
                <w:color w:val="auto"/>
                <w:sz w:val="24"/>
                <w:highlight w:val="none"/>
                <w:u w:val="single"/>
                <w:lang w:val="zh-CN"/>
              </w:rPr>
              <w:t xml:space="preserve">      </w:t>
            </w:r>
            <w:r>
              <w:rPr>
                <w:rFonts w:hint="eastAsia" w:ascii="宋体" w:hAnsi="宋体" w:cs="宋体"/>
                <w:strike/>
                <w:color w:val="auto"/>
                <w:sz w:val="24"/>
                <w:highlight w:val="none"/>
                <w:lang w:val="zh-CN"/>
              </w:rPr>
              <w:t>，（</w:t>
            </w:r>
            <w:r>
              <w:rPr>
                <w:rFonts w:hint="eastAsia" w:ascii="宋体" w:hAnsi="宋体" w:cs="宋体"/>
                <w:strike/>
                <w:color w:val="auto"/>
                <w:sz w:val="24"/>
                <w:highlight w:val="none"/>
              </w:rPr>
              <w:t>可补充现场演示的其他要求，如人数、凭证、所需设备等</w:t>
            </w:r>
            <w:r>
              <w:rPr>
                <w:rFonts w:hint="eastAsia" w:ascii="宋体" w:hAnsi="宋体" w:cs="宋体"/>
                <w:strike/>
                <w:color w:val="auto"/>
                <w:sz w:val="24"/>
                <w:highlight w:val="none"/>
                <w:lang w:val="zh-CN"/>
              </w:rPr>
              <w:t>）。</w:t>
            </w:r>
          </w:p>
          <w:p>
            <w:pPr>
              <w:autoSpaceDE w:val="0"/>
              <w:autoSpaceDN w:val="0"/>
              <w:spacing w:line="420" w:lineRule="exact"/>
              <w:textAlignment w:val="center"/>
              <w:rPr>
                <w:rFonts w:ascii="宋体" w:hAnsi="宋体" w:cs="宋体"/>
                <w:color w:val="auto"/>
                <w:sz w:val="24"/>
                <w:highlight w:val="none"/>
              </w:rPr>
            </w:pPr>
            <w:r>
              <w:rPr>
                <w:rFonts w:hint="eastAsia" w:ascii="宋体" w:hAnsi="宋体" w:cs="宋体"/>
                <w:strike/>
                <w:color w:val="auto"/>
                <w:sz w:val="24"/>
                <w:highlight w:val="none"/>
                <w:lang w:val="zh-CN"/>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900" w:type="dxa"/>
            <w:vAlign w:val="center"/>
          </w:tcPr>
          <w:p>
            <w:pPr>
              <w:autoSpaceDE w:val="0"/>
              <w:autoSpaceDN w:val="0"/>
              <w:snapToGrid w:val="0"/>
              <w:spacing w:line="440" w:lineRule="exact"/>
              <w:jc w:val="center"/>
              <w:textAlignment w:val="center"/>
              <w:rPr>
                <w:rFonts w:ascii="宋体" w:hAnsi="宋体" w:cs="宋体"/>
                <w:b/>
                <w:color w:val="auto"/>
                <w:sz w:val="24"/>
                <w:highlight w:val="none"/>
              </w:rPr>
            </w:pPr>
            <w:r>
              <w:rPr>
                <w:rFonts w:hint="eastAsia" w:ascii="宋体" w:hAnsi="宋体" w:cs="宋体"/>
                <w:b/>
                <w:color w:val="auto"/>
                <w:sz w:val="24"/>
                <w:highlight w:val="none"/>
              </w:rPr>
              <w:t>进口产品</w:t>
            </w:r>
          </w:p>
        </w:tc>
        <w:tc>
          <w:tcPr>
            <w:tcW w:w="7470" w:type="dxa"/>
            <w:vAlign w:val="center"/>
          </w:tcPr>
          <w:p>
            <w:pPr>
              <w:autoSpaceDE w:val="0"/>
              <w:autoSpaceDN w:val="0"/>
              <w:spacing w:line="4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☑本项目不允许采购进口产品。</w:t>
            </w:r>
          </w:p>
          <w:p>
            <w:pPr>
              <w:autoSpaceDE w:val="0"/>
              <w:autoSpaceDN w:val="0"/>
              <w:snapToGrid w:val="0"/>
              <w:spacing w:line="440" w:lineRule="exact"/>
              <w:textAlignment w:val="center"/>
              <w:rPr>
                <w:rFonts w:ascii="宋体" w:hAnsi="宋体" w:cs="宋体"/>
                <w:b/>
                <w:color w:val="auto"/>
                <w:sz w:val="24"/>
                <w:highlight w:val="none"/>
              </w:rPr>
            </w:pPr>
            <w:r>
              <w:rPr>
                <w:rFonts w:hint="eastAsia" w:ascii="宋体" w:hAnsi="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12</w:t>
            </w:r>
          </w:p>
        </w:tc>
        <w:tc>
          <w:tcPr>
            <w:tcW w:w="900" w:type="dxa"/>
            <w:vAlign w:val="center"/>
          </w:tcPr>
          <w:p>
            <w:pPr>
              <w:autoSpaceDE w:val="0"/>
              <w:autoSpaceDN w:val="0"/>
              <w:snapToGrid w:val="0"/>
              <w:spacing w:line="440" w:lineRule="exact"/>
              <w:ind w:left="14" w:hanging="14" w:hangingChars="7"/>
              <w:jc w:val="center"/>
              <w:textAlignment w:val="center"/>
              <w:rPr>
                <w:rFonts w:ascii="宋体" w:hAnsi="宋体" w:cs="宋体"/>
                <w:b/>
                <w:color w:val="auto"/>
                <w:spacing w:val="-20"/>
                <w:sz w:val="24"/>
                <w:highlight w:val="none"/>
              </w:rPr>
            </w:pPr>
            <w:r>
              <w:rPr>
                <w:rFonts w:hint="eastAsia" w:ascii="宋体" w:hAnsi="宋体" w:cs="宋体"/>
                <w:b/>
                <w:color w:val="auto"/>
                <w:spacing w:val="-20"/>
                <w:sz w:val="24"/>
                <w:highlight w:val="none"/>
              </w:rPr>
              <w:t>项目属性与核心产品</w:t>
            </w:r>
          </w:p>
        </w:tc>
        <w:tc>
          <w:tcPr>
            <w:tcW w:w="7470" w:type="dxa"/>
            <w:vAlign w:val="center"/>
          </w:tcPr>
          <w:p>
            <w:pPr>
              <w:autoSpaceDE w:val="0"/>
              <w:autoSpaceDN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 xml:space="preserve">： </w:t>
            </w:r>
            <w:r>
              <w:rPr>
                <w:rFonts w:hint="eastAsia" w:ascii="宋体" w:hAnsi="宋体" w:cs="宋体"/>
                <w:i w:val="0"/>
                <w:iCs w:val="0"/>
                <w:color w:val="auto"/>
                <w:kern w:val="0"/>
                <w:sz w:val="24"/>
                <w:highlight w:val="none"/>
                <w:u w:val="single"/>
                <w:lang w:val="en-US" w:eastAsia="zh-CN"/>
              </w:rPr>
              <w:t>存储设备</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w:t>
            </w:r>
          </w:p>
          <w:p>
            <w:pPr>
              <w:autoSpaceDE w:val="0"/>
              <w:autoSpaceDN w:val="0"/>
              <w:snapToGrid w:val="0"/>
              <w:spacing w:line="4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70" w:type="dxa"/>
            <w:vMerge w:val="restart"/>
            <w:vAlign w:val="center"/>
          </w:tcPr>
          <w:p>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13</w:t>
            </w:r>
          </w:p>
        </w:tc>
        <w:tc>
          <w:tcPr>
            <w:tcW w:w="900" w:type="dxa"/>
            <w:vMerge w:val="restart"/>
            <w:vAlign w:val="center"/>
          </w:tcPr>
          <w:p>
            <w:pPr>
              <w:autoSpaceDE w:val="0"/>
              <w:autoSpaceDN w:val="0"/>
              <w:snapToGrid w:val="0"/>
              <w:spacing w:line="440" w:lineRule="exact"/>
              <w:jc w:val="center"/>
              <w:textAlignment w:val="center"/>
              <w:rPr>
                <w:rFonts w:ascii="宋体" w:hAnsi="宋体" w:cs="宋体"/>
                <w:b/>
                <w:color w:val="auto"/>
                <w:sz w:val="24"/>
                <w:highlight w:val="none"/>
              </w:rPr>
            </w:pPr>
            <w:r>
              <w:rPr>
                <w:rFonts w:hint="eastAsia" w:ascii="宋体" w:hAnsi="宋体" w:cs="宋体"/>
                <w:b/>
                <w:color w:val="auto"/>
                <w:sz w:val="24"/>
                <w:highlight w:val="none"/>
              </w:rPr>
              <w:t>供应商信用信息事项</w:t>
            </w:r>
          </w:p>
        </w:tc>
        <w:tc>
          <w:tcPr>
            <w:tcW w:w="7470" w:type="dxa"/>
            <w:vAlign w:val="center"/>
          </w:tcPr>
          <w:p>
            <w:pPr>
              <w:autoSpaceDE w:val="0"/>
              <w:autoSpaceDN w:val="0"/>
              <w:snapToGrid w:val="0"/>
              <w:spacing w:line="440" w:lineRule="exact"/>
              <w:textAlignment w:val="center"/>
              <w:rPr>
                <w:rFonts w:ascii="宋体" w:hAnsi="宋体" w:cs="宋体"/>
                <w:b/>
                <w:bCs/>
                <w:color w:val="auto"/>
                <w:sz w:val="24"/>
                <w:highlight w:val="none"/>
              </w:rPr>
            </w:pPr>
            <w:r>
              <w:rPr>
                <w:rFonts w:hint="eastAsia" w:ascii="宋体" w:hAnsi="宋体" w:cs="宋体"/>
                <w:b/>
                <w:color w:val="auto"/>
                <w:sz w:val="24"/>
                <w:highlight w:val="none"/>
              </w:rPr>
              <w:t>信用信息查询渠道及截止时间：</w:t>
            </w:r>
            <w:r>
              <w:rPr>
                <w:rFonts w:hint="eastAsia" w:ascii="宋体" w:hAnsi="宋体" w:cs="宋体"/>
                <w:color w:val="auto"/>
                <w:sz w:val="24"/>
                <w:highlight w:val="none"/>
              </w:rPr>
              <w:t>采购人或采购人委托的评审小组或采购代理机构将通过“信用中国”网站（www.creditchina.gov.cn）、中国政府采购网（www.ccgp.gov.cn）渠道查询供应商</w:t>
            </w:r>
            <w:r>
              <w:rPr>
                <w:rFonts w:hint="eastAsia" w:ascii="宋体" w:hAnsi="宋体" w:cs="宋体"/>
                <w:b/>
                <w:color w:val="auto"/>
                <w:sz w:val="24"/>
                <w:highlight w:val="none"/>
              </w:rPr>
              <w:t>开标当天</w:t>
            </w:r>
            <w:r>
              <w:rPr>
                <w:rFonts w:hint="eastAsia" w:ascii="宋体" w:hAnsi="宋体" w:cs="宋体"/>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keepLines/>
              <w:tabs>
                <w:tab w:val="left" w:pos="900"/>
              </w:tabs>
              <w:spacing w:line="440" w:lineRule="exact"/>
              <w:ind w:hanging="720"/>
              <w:jc w:val="center"/>
              <w:textAlignment w:val="center"/>
              <w:outlineLvl w:val="2"/>
              <w:rPr>
                <w:rFonts w:ascii="宋体" w:hAnsi="宋体" w:cs="宋体"/>
                <w:color w:val="auto"/>
                <w:sz w:val="24"/>
                <w:highlight w:val="none"/>
              </w:rPr>
            </w:pPr>
          </w:p>
        </w:tc>
        <w:tc>
          <w:tcPr>
            <w:tcW w:w="900" w:type="dxa"/>
            <w:vMerge w:val="continue"/>
            <w:vAlign w:val="center"/>
          </w:tcPr>
          <w:p>
            <w:pPr>
              <w:keepNext/>
              <w:keepLines/>
              <w:tabs>
                <w:tab w:val="left" w:pos="900"/>
              </w:tabs>
              <w:snapToGrid w:val="0"/>
              <w:spacing w:line="440" w:lineRule="exact"/>
              <w:ind w:hanging="720"/>
              <w:textAlignment w:val="center"/>
              <w:outlineLvl w:val="2"/>
              <w:rPr>
                <w:rFonts w:ascii="宋体" w:hAnsi="宋体" w:cs="宋体"/>
                <w:b/>
                <w:color w:val="auto"/>
                <w:sz w:val="24"/>
                <w:highlight w:val="none"/>
              </w:rPr>
            </w:pPr>
          </w:p>
        </w:tc>
        <w:tc>
          <w:tcPr>
            <w:tcW w:w="7470" w:type="dxa"/>
            <w:vAlign w:val="center"/>
          </w:tcPr>
          <w:p>
            <w:pPr>
              <w:snapToGrid w:val="0"/>
              <w:spacing w:line="440" w:lineRule="exact"/>
              <w:textAlignment w:val="center"/>
              <w:rPr>
                <w:color w:val="auto"/>
                <w:highlight w:val="none"/>
              </w:rPr>
            </w:pPr>
            <w:r>
              <w:rPr>
                <w:rFonts w:hint="eastAsia" w:ascii="宋体" w:hAnsi="宋体" w:cs="宋体"/>
                <w:b/>
                <w:bCs/>
                <w:color w:val="auto"/>
                <w:sz w:val="24"/>
                <w:highlight w:val="none"/>
              </w:rPr>
              <w:t>信用信息的使用规则：</w:t>
            </w:r>
            <w:r>
              <w:rPr>
                <w:rFonts w:hint="eastAsia" w:ascii="宋体" w:hAnsi="宋体" w:cs="宋体"/>
                <w:color w:val="auto"/>
                <w:sz w:val="24"/>
                <w:highlight w:val="none"/>
              </w:rPr>
              <w:t>经查询列入失信被执行人名单、重大税收违法失信主体、政府采购严重违法失信行为记录名单的供应商将被拒绝参与采购活动。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14</w:t>
            </w:r>
          </w:p>
        </w:tc>
        <w:tc>
          <w:tcPr>
            <w:tcW w:w="900" w:type="dxa"/>
            <w:vAlign w:val="center"/>
          </w:tcPr>
          <w:p>
            <w:pPr>
              <w:snapToGrid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签字或盖章要求</w:t>
            </w:r>
          </w:p>
        </w:tc>
        <w:tc>
          <w:tcPr>
            <w:tcW w:w="7470" w:type="dxa"/>
            <w:vAlign w:val="center"/>
          </w:tcPr>
          <w:p>
            <w:pPr>
              <w:numPr>
                <w:ilvl w:val="0"/>
                <w:numId w:val="1"/>
              </w:num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招标文件“第六部分”提供的投标文件格式要求供应商盖章、法定代表人印章的地方，供应商均应使用CA数字证书加盖供应商的单位电子印章、法定代表人个人电子印章。</w:t>
            </w:r>
          </w:p>
          <w:p>
            <w:pPr>
              <w:numPr>
                <w:ilvl w:val="0"/>
                <w:numId w:val="1"/>
              </w:num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投标文件所附证书证件、业绩证明文件等证明材料用原件的</w:t>
            </w:r>
            <w:r>
              <w:rPr>
                <w:rFonts w:hint="eastAsia" w:ascii="宋体" w:hAnsi="宋体" w:cs="宋体"/>
                <w:color w:val="auto"/>
                <w:sz w:val="24"/>
                <w:highlight w:val="none"/>
                <w:lang w:eastAsia="zh-CN"/>
              </w:rPr>
              <w:t>复印件</w:t>
            </w:r>
            <w:r>
              <w:rPr>
                <w:rFonts w:hint="eastAsia" w:ascii="宋体" w:hAnsi="宋体" w:cs="宋体"/>
                <w:color w:val="auto"/>
                <w:sz w:val="24"/>
                <w:highlight w:val="none"/>
              </w:rPr>
              <w:t>并加盖投标单位电子印章；</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3.其他要求：</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8370" w:type="dxa"/>
            <w:gridSpan w:val="2"/>
            <w:vAlign w:val="center"/>
          </w:tcPr>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投标与开标注意事项：</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1.本项目实行网上投标，采用电子投标文件。若供应商参与投标，自行承担投标一切费用。</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2.标前准备：</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2.1各供应商应确保在参与本项目前成为绍兴市阳光采购服务平台网站正式注册会员，并完成CA数字证书办理。因未完成注册、未办理CA数字证书等原因造成无法投标或投标失败等后果由供应商自行承担。</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2.2供应商将绍兴市阳光采购服务平台电子投标文件制作工具下载、安装完成后，通过CA登录进行投标文件制作。在使用绍兴市阳光采购服务平台电子投标文件制作工具时，建议使用WIN7及以上操作系统。</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注：供应商先要申领CA，取得CA后需要在绍兴市阳光采购服务平台进行绑定，CA相关操作可参考《绍兴市阳光采购服务平台投标人电子投标文件制作工具使用手册》（https://ygcg.sxjypt.com/detail?articleId=298）。CA数字证书办理需要一定时间，建议供应商获取招标文件后立即办理。</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3.投标文件制作、递交、解密：</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3.1供应商应按照本项目招标文件和绍兴市阳光采购服务平台的要求编制、加密传输投标文件。投标文件制作详见《绍兴市阳光采购服务平台投标人电子投标文件制作工具使用手册》。</w:t>
            </w:r>
          </w:p>
          <w:p>
            <w:pPr>
              <w:snapToGrid w:val="0"/>
              <w:spacing w:line="44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供应商在使用系统进行投标的过程中遇到涉及平台使用的任何问题，可致电绍兴市阳光采购服务平台技术支持热线咨询，联系方式：0575-88163066/15068988625/15381628176</w:t>
            </w:r>
          </w:p>
          <w:p>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3.2供应商应在开标时间后60分钟（以绍兴市阳光采购服务平台系统时间为准）内登录绍兴市阳光采购服务平台，使用电子投标文件制作工具完成投标文件解密，具体详见《绍兴市阳光采购服务平台投标人电子投标文件制作工具使用手册》。</w:t>
            </w:r>
            <w:r>
              <w:rPr>
                <w:rFonts w:hint="eastAsia" w:ascii="宋体" w:hAnsi="宋体" w:cs="宋体"/>
                <w:b/>
                <w:bCs/>
                <w:color w:val="auto"/>
                <w:sz w:val="24"/>
                <w:highlight w:val="none"/>
                <w:u w:val="single"/>
              </w:rPr>
              <w:t>若供应商未按时解密的，视为投标文件撤回。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16</w:t>
            </w:r>
          </w:p>
        </w:tc>
        <w:tc>
          <w:tcPr>
            <w:tcW w:w="8370" w:type="dxa"/>
            <w:gridSpan w:val="2"/>
            <w:vAlign w:val="center"/>
          </w:tcPr>
          <w:p>
            <w:pPr>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特别说明：本项目不接受联合体投标。</w:t>
            </w:r>
          </w:p>
          <w:p>
            <w:pPr>
              <w:spacing w:line="440" w:lineRule="exact"/>
              <w:textAlignment w:val="center"/>
              <w:rPr>
                <w:rFonts w:ascii="宋体" w:hAnsi="宋体" w:cs="宋体"/>
                <w:color w:val="auto"/>
                <w:sz w:val="24"/>
                <w:highlight w:val="none"/>
              </w:rPr>
            </w:pPr>
            <w:r>
              <w:rPr>
                <w:rFonts w:hint="eastAsia" w:ascii="宋体" w:hAnsi="宋体" w:cs="宋体"/>
                <w:strike/>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strike/>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keepNext/>
              <w:keepLines/>
              <w:tabs>
                <w:tab w:val="left" w:pos="900"/>
              </w:tabs>
              <w:spacing w:line="440" w:lineRule="exact"/>
              <w:ind w:hanging="720"/>
              <w:textAlignment w:val="center"/>
              <w:outlineLvl w:val="2"/>
              <w:rPr>
                <w:rFonts w:ascii="宋体" w:hAnsi="宋体" w:cs="宋体"/>
                <w:color w:val="auto"/>
                <w:sz w:val="24"/>
                <w:highlight w:val="none"/>
              </w:rPr>
            </w:pPr>
          </w:p>
        </w:tc>
        <w:tc>
          <w:tcPr>
            <w:tcW w:w="8370" w:type="dxa"/>
            <w:gridSpan w:val="2"/>
            <w:vAlign w:val="center"/>
          </w:tcPr>
          <w:p>
            <w:pPr>
              <w:spacing w:line="440" w:lineRule="exact"/>
              <w:textAlignment w:val="center"/>
              <w:rPr>
                <w:rFonts w:ascii="宋体" w:hAnsi="宋体" w:cs="宋体"/>
                <w:strike/>
                <w:snapToGrid w:val="0"/>
                <w:color w:val="auto"/>
                <w:kern w:val="28"/>
                <w:sz w:val="24"/>
                <w:highlight w:val="none"/>
              </w:rPr>
            </w:pPr>
            <w:r>
              <w:rPr>
                <w:rFonts w:hint="eastAsia" w:ascii="宋体" w:hAnsi="宋体" w:cs="宋体"/>
                <w:strike/>
                <w:color w:val="auto"/>
                <w:kern w:val="0"/>
                <w:sz w:val="24"/>
                <w:highlight w:val="none"/>
              </w:rPr>
              <w:t>□</w:t>
            </w:r>
            <w:r>
              <w:rPr>
                <w:rFonts w:hint="eastAsia" w:ascii="宋体" w:hAnsi="宋体" w:cs="宋体"/>
                <w:strike/>
                <w:snapToGrid w:val="0"/>
                <w:color w:val="auto"/>
                <w:kern w:val="28"/>
                <w:sz w:val="24"/>
                <w:highlight w:val="none"/>
              </w:rPr>
              <w:t>联合体投标的，联合体各方均需按招标文件第五部分评标标准要求提供资信证明文件，否则视为不符合相关要求。</w:t>
            </w:r>
          </w:p>
          <w:p>
            <w:pPr>
              <w:spacing w:line="440" w:lineRule="exact"/>
              <w:textAlignment w:val="center"/>
              <w:rPr>
                <w:rFonts w:ascii="宋体" w:hAnsi="宋体" w:cs="宋体"/>
                <w:b/>
                <w:color w:val="auto"/>
                <w:sz w:val="24"/>
                <w:highlight w:val="none"/>
              </w:rPr>
            </w:pPr>
            <w:r>
              <w:rPr>
                <w:rFonts w:hint="eastAsia" w:ascii="宋体" w:hAnsi="宋体" w:cs="宋体"/>
                <w:strike/>
                <w:color w:val="auto"/>
                <w:kern w:val="0"/>
                <w:sz w:val="24"/>
                <w:highlight w:val="none"/>
              </w:rPr>
              <w:t>☐</w:t>
            </w:r>
            <w:r>
              <w:rPr>
                <w:rFonts w:hint="eastAsia" w:ascii="宋体" w:hAnsi="宋体" w:cs="宋体"/>
                <w:strike/>
                <w:snapToGrid w:val="0"/>
                <w:color w:val="auto"/>
                <w:kern w:val="28"/>
                <w:sz w:val="24"/>
                <w:highlight w:val="none"/>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17</w:t>
            </w:r>
          </w:p>
        </w:tc>
        <w:tc>
          <w:tcPr>
            <w:tcW w:w="8370" w:type="dxa"/>
            <w:gridSpan w:val="2"/>
            <w:vAlign w:val="center"/>
          </w:tcPr>
          <w:p>
            <w:pPr>
              <w:numPr>
                <w:ilvl w:val="0"/>
                <w:numId w:val="2"/>
              </w:numPr>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采购代理服务费：</w:t>
            </w:r>
          </w:p>
          <w:p>
            <w:pPr>
              <w:spacing w:line="440" w:lineRule="exact"/>
              <w:textAlignment w:val="center"/>
              <w:rPr>
                <w:rFonts w:ascii="宋体" w:hAnsi="宋体" w:cs="宋体"/>
                <w:bCs/>
                <w:color w:val="auto"/>
                <w:sz w:val="24"/>
                <w:highlight w:val="none"/>
                <w:u w:val="single"/>
              </w:rPr>
            </w:pPr>
            <w:r>
              <w:rPr>
                <w:rFonts w:hint="eastAsia" w:ascii="宋体" w:hAnsi="宋体" w:cs="宋体"/>
                <w:bCs/>
                <w:color w:val="auto"/>
                <w:sz w:val="24"/>
                <w:highlight w:val="none"/>
                <w:u w:val="single"/>
              </w:rPr>
              <w:t>（一）中标供应商须向采购代理机构参照如下标准和规定交纳中标服务费：</w:t>
            </w:r>
          </w:p>
          <w:p>
            <w:pPr>
              <w:spacing w:line="440" w:lineRule="exact"/>
              <w:textAlignment w:val="center"/>
              <w:rPr>
                <w:rFonts w:ascii="宋体" w:hAnsi="宋体" w:cs="宋体"/>
                <w:bCs/>
                <w:color w:val="auto"/>
                <w:sz w:val="24"/>
                <w:highlight w:val="none"/>
                <w:u w:val="single"/>
              </w:rPr>
            </w:pPr>
            <w:r>
              <w:rPr>
                <w:rFonts w:hint="eastAsia" w:ascii="宋体" w:hAnsi="宋体" w:cs="宋体"/>
                <w:bCs/>
                <w:color w:val="auto"/>
                <w:sz w:val="24"/>
                <w:highlight w:val="none"/>
                <w:u w:val="single"/>
              </w:rPr>
              <w:t>中标供应商须向采购代理机构按如下标准和规定交纳招标代理服务费：</w:t>
            </w:r>
          </w:p>
          <w:p>
            <w:pPr>
              <w:spacing w:line="440" w:lineRule="exact"/>
              <w:textAlignment w:val="center"/>
              <w:rPr>
                <w:rFonts w:ascii="宋体" w:hAnsi="宋体" w:cs="宋体"/>
                <w:b/>
                <w:color w:val="auto"/>
                <w:sz w:val="24"/>
                <w:highlight w:val="none"/>
                <w:u w:val="single"/>
              </w:rPr>
            </w:pPr>
            <w:r>
              <w:rPr>
                <w:rFonts w:hint="eastAsia" w:ascii="宋体" w:hAnsi="宋体" w:cs="宋体"/>
                <w:b/>
                <w:color w:val="auto"/>
                <w:sz w:val="24"/>
                <w:highlight w:val="none"/>
                <w:u w:val="single"/>
              </w:rPr>
              <w:t>招标代理费4000元</w:t>
            </w:r>
          </w:p>
          <w:p>
            <w:pPr>
              <w:spacing w:line="440" w:lineRule="exact"/>
              <w:textAlignment w:val="center"/>
              <w:rPr>
                <w:rFonts w:ascii="宋体" w:hAnsi="宋体" w:cs="宋体"/>
                <w:bCs/>
                <w:color w:val="auto"/>
                <w:sz w:val="24"/>
                <w:highlight w:val="none"/>
                <w:u w:val="single"/>
              </w:rPr>
            </w:pPr>
            <w:r>
              <w:rPr>
                <w:rFonts w:hint="eastAsia" w:ascii="宋体" w:hAnsi="宋体" w:cs="宋体"/>
                <w:bCs/>
                <w:color w:val="auto"/>
                <w:sz w:val="24"/>
                <w:highlight w:val="none"/>
                <w:u w:val="single"/>
              </w:rPr>
              <w:t>②中标服务费的交纳方式：</w:t>
            </w:r>
          </w:p>
          <w:p>
            <w:pPr>
              <w:spacing w:line="440" w:lineRule="exact"/>
              <w:textAlignment w:val="center"/>
              <w:rPr>
                <w:rFonts w:ascii="宋体" w:hAnsi="宋体" w:cs="宋体"/>
                <w:bCs/>
                <w:color w:val="auto"/>
                <w:sz w:val="24"/>
                <w:highlight w:val="none"/>
                <w:u w:val="single"/>
              </w:rPr>
            </w:pPr>
            <w:r>
              <w:rPr>
                <w:rFonts w:hint="eastAsia" w:ascii="宋体" w:hAnsi="宋体" w:cs="宋体"/>
                <w:bCs/>
                <w:color w:val="auto"/>
                <w:sz w:val="24"/>
                <w:highlight w:val="none"/>
                <w:u w:val="single"/>
              </w:rPr>
              <w:t>用银行支票、汇票、电汇、现金等付款方式直接交纳中标服务费。</w:t>
            </w:r>
          </w:p>
          <w:p>
            <w:pPr>
              <w:spacing w:line="440" w:lineRule="exact"/>
              <w:textAlignment w:val="center"/>
              <w:rPr>
                <w:rFonts w:ascii="宋体" w:hAnsi="宋体" w:cs="宋体"/>
                <w:b/>
                <w:color w:val="auto"/>
                <w:sz w:val="24"/>
                <w:highlight w:val="none"/>
                <w:u w:val="single"/>
              </w:rPr>
            </w:pPr>
            <w:r>
              <w:rPr>
                <w:rFonts w:hint="eastAsia" w:ascii="宋体" w:hAnsi="宋体" w:cs="宋体"/>
                <w:b/>
                <w:color w:val="auto"/>
                <w:sz w:val="24"/>
                <w:highlight w:val="none"/>
              </w:rPr>
              <w:t>公司名称：</w:t>
            </w:r>
            <w:r>
              <w:rPr>
                <w:rFonts w:hint="eastAsia" w:ascii="宋体" w:hAnsi="宋体" w:cs="宋体"/>
                <w:b/>
                <w:color w:val="auto"/>
                <w:sz w:val="24"/>
                <w:highlight w:val="none"/>
                <w:u w:val="single"/>
              </w:rPr>
              <w:t>浙江瑞辰工程咨询有限公司</w:t>
            </w:r>
          </w:p>
          <w:p>
            <w:pPr>
              <w:spacing w:line="440" w:lineRule="exact"/>
              <w:textAlignment w:val="center"/>
              <w:rPr>
                <w:rFonts w:ascii="宋体" w:hAnsi="宋体" w:cs="宋体"/>
                <w:b/>
                <w:color w:val="auto"/>
                <w:sz w:val="24"/>
                <w:highlight w:val="none"/>
                <w:u w:val="single"/>
              </w:rPr>
            </w:pPr>
            <w:r>
              <w:rPr>
                <w:rFonts w:hint="eastAsia" w:ascii="宋体" w:hAnsi="宋体" w:cs="宋体"/>
                <w:b/>
                <w:color w:val="auto"/>
                <w:sz w:val="24"/>
                <w:highlight w:val="none"/>
              </w:rPr>
              <w:t>开户行：</w:t>
            </w:r>
            <w:r>
              <w:rPr>
                <w:rFonts w:hint="eastAsia" w:ascii="宋体" w:hAnsi="宋体" w:cs="宋体"/>
                <w:b/>
                <w:color w:val="auto"/>
                <w:sz w:val="24"/>
                <w:highlight w:val="none"/>
                <w:u w:val="single"/>
              </w:rPr>
              <w:t>交通银行股份有限公司绍兴城东支行</w:t>
            </w:r>
          </w:p>
          <w:p>
            <w:pPr>
              <w:spacing w:line="440" w:lineRule="exact"/>
              <w:textAlignment w:val="center"/>
              <w:rPr>
                <w:rFonts w:ascii="宋体" w:hAnsi="宋体" w:cs="宋体"/>
                <w:b/>
                <w:color w:val="auto"/>
                <w:sz w:val="24"/>
                <w:highlight w:val="none"/>
                <w:u w:val="single"/>
              </w:rPr>
            </w:pPr>
            <w:r>
              <w:rPr>
                <w:rFonts w:hint="eastAsia" w:ascii="宋体" w:hAnsi="宋体" w:cs="宋体"/>
                <w:b/>
                <w:color w:val="auto"/>
                <w:sz w:val="24"/>
                <w:highlight w:val="none"/>
              </w:rPr>
              <w:t>银行账号：</w:t>
            </w:r>
            <w:r>
              <w:rPr>
                <w:rFonts w:hint="eastAsia" w:ascii="宋体" w:hAnsi="宋体" w:cs="宋体"/>
                <w:b/>
                <w:color w:val="auto"/>
                <w:sz w:val="24"/>
                <w:highlight w:val="none"/>
                <w:u w:val="single"/>
              </w:rPr>
              <w:t>336006160013000280291</w:t>
            </w:r>
          </w:p>
          <w:p>
            <w:pPr>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u w:val="single"/>
              </w:rPr>
              <w:t>③中标服务费的交纳时间：领取中标通知书前交纳。</w:t>
            </w:r>
          </w:p>
          <w:p>
            <w:pPr>
              <w:spacing w:line="440" w:lineRule="exact"/>
              <w:textAlignment w:val="center"/>
              <w:rPr>
                <w:rFonts w:ascii="宋体" w:hAnsi="宋体" w:cs="宋体"/>
                <w:b/>
                <w:color w:val="auto"/>
                <w:sz w:val="24"/>
                <w:highlight w:val="none"/>
                <w:u w:val="single"/>
              </w:rPr>
            </w:pPr>
            <w:r>
              <w:rPr>
                <w:rFonts w:hint="eastAsia" w:ascii="宋体" w:hAnsi="宋体" w:cs="宋体"/>
                <w:b/>
                <w:bCs/>
                <w:color w:val="auto"/>
                <w:sz w:val="24"/>
                <w:highlight w:val="none"/>
              </w:rPr>
              <w:t>2.系统使用费：</w:t>
            </w:r>
            <w:r>
              <w:rPr>
                <w:rFonts w:hint="eastAsia" w:ascii="宋体" w:hAnsi="宋体" w:cs="宋体"/>
                <w:color w:val="auto"/>
                <w:sz w:val="24"/>
                <w:highlight w:val="none"/>
              </w:rPr>
              <w:t>平台系统使用费收取按照绍兴市阳光采购服务平台公示的收费标准执行（https://ygcg.sxjypt.com/detail?articleId=347），本项目成交系统使用费为</w:t>
            </w:r>
            <w:r>
              <w:rPr>
                <w:rFonts w:hint="eastAsia" w:ascii="宋体" w:hAnsi="宋体" w:cs="宋体"/>
                <w:color w:val="auto"/>
                <w:sz w:val="24"/>
                <w:highlight w:val="none"/>
                <w:u w:val="single"/>
              </w:rPr>
              <w:t xml:space="preserve">成交（中标）价的千分之二点五（2.5‰） </w:t>
            </w:r>
            <w:r>
              <w:rPr>
                <w:rFonts w:hint="eastAsia" w:ascii="宋体" w:hAnsi="宋体" w:cs="宋体"/>
                <w:color w:val="auto"/>
                <w:sz w:val="24"/>
                <w:highlight w:val="none"/>
              </w:rPr>
              <w:t>。中标供应商在系统使用费订单生成后5日内未完成支付的，采购人有权取消其中标资格。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18</w:t>
            </w:r>
          </w:p>
        </w:tc>
        <w:tc>
          <w:tcPr>
            <w:tcW w:w="8370" w:type="dxa"/>
            <w:gridSpan w:val="2"/>
            <w:vAlign w:val="center"/>
          </w:tcPr>
          <w:p>
            <w:pPr>
              <w:spacing w:line="440" w:lineRule="exact"/>
              <w:textAlignment w:val="center"/>
              <w:rPr>
                <w:rFonts w:ascii="仿宋" w:hAnsi="仿宋" w:eastAsia="仿宋" w:cs="仿宋"/>
                <w:b/>
                <w:color w:val="auto"/>
                <w:sz w:val="24"/>
                <w:highlight w:val="none"/>
              </w:rPr>
            </w:pPr>
            <w:r>
              <w:rPr>
                <w:rFonts w:hint="eastAsia" w:ascii="宋体" w:hAnsi="宋体" w:cs="宋体"/>
                <w:b/>
                <w:color w:val="auto"/>
                <w:sz w:val="24"/>
                <w:highlight w:val="none"/>
                <w:u w:val="single"/>
              </w:rPr>
              <w:t>其他事项：1、如遇两家（含）以上已签到供应商的IP地址相同，系统自动触发预警，并提示“响应无效”的当场拒收此类响应文件。</w:t>
            </w:r>
          </w:p>
          <w:p>
            <w:pPr>
              <w:numPr>
                <w:ilvl w:val="0"/>
                <w:numId w:val="3"/>
              </w:numPr>
              <w:spacing w:line="440" w:lineRule="exact"/>
              <w:textAlignment w:val="center"/>
              <w:rPr>
                <w:rFonts w:hint="eastAsia" w:ascii="宋体" w:hAnsi="宋体" w:cs="宋体"/>
                <w:b/>
                <w:color w:val="auto"/>
                <w:sz w:val="24"/>
                <w:highlight w:val="none"/>
                <w:u w:val="single"/>
              </w:rPr>
            </w:pPr>
            <w:r>
              <w:rPr>
                <w:rFonts w:hint="eastAsia" w:ascii="宋体" w:hAnsi="宋体" w:cs="宋体"/>
                <w:b/>
                <w:color w:val="auto"/>
                <w:sz w:val="24"/>
                <w:highlight w:val="none"/>
                <w:u w:val="single"/>
              </w:rPr>
              <w:t>本项目中标供应商需在中标候选人公示结束后3日内向采购代理机构提供一正四副纸质投标文件。</w:t>
            </w:r>
          </w:p>
          <w:p>
            <w:pPr>
              <w:numPr>
                <w:ilvl w:val="0"/>
                <w:numId w:val="0"/>
              </w:numPr>
              <w:spacing w:line="440" w:lineRule="exact"/>
              <w:textAlignment w:val="center"/>
              <w:rPr>
                <w:rFonts w:ascii="宋体" w:hAnsi="宋体" w:cs="宋体"/>
                <w:b/>
                <w:color w:val="auto"/>
                <w:sz w:val="24"/>
                <w:highlight w:val="none"/>
                <w:u w:val="single"/>
              </w:rPr>
            </w:pPr>
            <w:r>
              <w:rPr>
                <w:rFonts w:hint="eastAsia" w:ascii="宋体" w:hAnsi="宋体" w:cs="宋体"/>
                <w:b/>
                <w:color w:val="auto"/>
                <w:sz w:val="24"/>
                <w:highlight w:val="none"/>
                <w:u w:val="single"/>
              </w:rPr>
              <w:t>3、本项目招标文件内对开标现场原件核验不作要求，招标人有权在标后对中标候选人进行原件核验。投标人对所提供的全部资料的真实性承担法律责任。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pStyle w:val="24"/>
              <w:spacing w:line="360" w:lineRule="auto"/>
              <w:rPr>
                <w:rFonts w:ascii="宋体" w:hAnsi="宋体" w:cs="宋体"/>
                <w:b/>
                <w:color w:val="auto"/>
                <w:sz w:val="24"/>
                <w:highlight w:val="none"/>
              </w:rPr>
            </w:pPr>
            <w:r>
              <w:rPr>
                <w:rFonts w:hint="eastAsia" w:ascii="宋体" w:hAnsi="宋体" w:cs="宋体"/>
                <w:b/>
                <w:color w:val="auto"/>
                <w:sz w:val="24"/>
                <w:highlight w:val="none"/>
              </w:rPr>
              <w:t>注：排名第一的中标候选人放弃中标、因不可抗力不能履行合同、不按照招标文件要求提交履约保证金，或者被查实存在影响中标结果的违法行为等情形，不符合中标条件的，招标人可以按照评</w:t>
            </w:r>
            <w:r>
              <w:rPr>
                <w:rFonts w:hint="eastAsia" w:ascii="宋体" w:hAnsi="宋体" w:cs="宋体"/>
                <w:b/>
                <w:color w:val="auto"/>
                <w:sz w:val="24"/>
                <w:highlight w:val="none"/>
                <w:lang w:val="en-US" w:eastAsia="zh-CN"/>
              </w:rPr>
              <w:t>审小组</w:t>
            </w:r>
            <w:r>
              <w:rPr>
                <w:rFonts w:hint="eastAsia" w:ascii="宋体" w:hAnsi="宋体" w:cs="宋体"/>
                <w:b/>
                <w:color w:val="auto"/>
                <w:sz w:val="24"/>
                <w:highlight w:val="none"/>
              </w:rPr>
              <w:t xml:space="preserve">出具的中标候选人名单排序确定第二名中标候选人为中标人，补选的中标候选人放弃中标、因不可抗力不能履行合同、不按照招标文件要求提交履约保证金，或者被查实存在影响中标结果的违法行为等情形，不符合中标条件的，该项目重新招标。                                                 </w:t>
            </w:r>
          </w:p>
        </w:tc>
      </w:tr>
    </w:tbl>
    <w:p>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9"/>
    <w:p>
      <w:pPr>
        <w:adjustRightInd/>
        <w:spacing w:line="360" w:lineRule="auto"/>
        <w:jc w:val="center"/>
        <w:outlineLvl w:val="0"/>
        <w:rPr>
          <w:rFonts w:ascii="宋体" w:hAnsi="宋体" w:cs="宋体"/>
          <w:b/>
          <w:color w:val="auto"/>
          <w:sz w:val="32"/>
          <w:szCs w:val="32"/>
          <w:highlight w:val="none"/>
        </w:rPr>
      </w:pPr>
      <w:bookmarkStart w:id="27" w:name="_Hlt68073093"/>
      <w:bookmarkEnd w:id="27"/>
      <w:bookmarkStart w:id="28" w:name="_Hlt74730295"/>
      <w:bookmarkEnd w:id="28"/>
      <w:bookmarkStart w:id="29" w:name="_Hlt68057669"/>
      <w:bookmarkEnd w:id="29"/>
      <w:bookmarkStart w:id="30" w:name="_Hlt75236290"/>
      <w:bookmarkEnd w:id="30"/>
      <w:bookmarkStart w:id="31" w:name="_Hlt68072998"/>
      <w:bookmarkEnd w:id="31"/>
      <w:bookmarkStart w:id="32" w:name="_Hlt75236101"/>
      <w:bookmarkEnd w:id="32"/>
      <w:bookmarkStart w:id="33" w:name="_Hlt68072990"/>
      <w:bookmarkEnd w:id="33"/>
      <w:bookmarkStart w:id="34" w:name="_Hlt75236011"/>
      <w:bookmarkEnd w:id="34"/>
      <w:bookmarkStart w:id="35" w:name="_Hlt74714665"/>
      <w:bookmarkEnd w:id="35"/>
      <w:bookmarkStart w:id="36" w:name="_Hlt68403820"/>
      <w:bookmarkEnd w:id="36"/>
      <w:bookmarkStart w:id="37" w:name="_Hlt74707468"/>
      <w:bookmarkEnd w:id="37"/>
      <w:bookmarkStart w:id="38" w:name="_Hlt74729768"/>
      <w:bookmarkEnd w:id="38"/>
      <w:bookmarkStart w:id="39" w:name="第三部分"/>
      <w:bookmarkStart w:id="40" w:name="_Toc164416483"/>
      <w:r>
        <w:rPr>
          <w:rFonts w:hint="eastAsia" w:ascii="宋体" w:hAnsi="宋体" w:cs="宋体"/>
          <w:b/>
          <w:color w:val="auto"/>
          <w:sz w:val="32"/>
          <w:szCs w:val="32"/>
          <w:highlight w:val="none"/>
        </w:rPr>
        <w:t>一、总则</w:t>
      </w:r>
    </w:p>
    <w:p>
      <w:pPr>
        <w:snapToGrid w:val="0"/>
        <w:spacing w:line="44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44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w:t>
      </w:r>
      <w:r>
        <w:rPr>
          <w:rFonts w:hint="eastAsia"/>
          <w:color w:val="auto"/>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”系指招标公告中载明的本项目的采购人。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2.2“采购代理机构”系指招标公告中载明的本项目的采购代理机构。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2.3“供应商”“投标人”“投标单位”系指是指响应招标、参加投标竞争的法人、其他组织或者自然人。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印章”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2.6“电子交易平台”系指本项目采购活动所依托的绍兴市阳光采购服务平台（https://ygcg.sxjypt.com）。</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3.采购项目需要落实的采购政策</w:t>
      </w:r>
    </w:p>
    <w:p>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无</w:t>
      </w:r>
    </w:p>
    <w:p>
      <w:pPr>
        <w:spacing w:line="440" w:lineRule="exact"/>
        <w:rPr>
          <w:rFonts w:ascii="宋体" w:hAnsi="宋体" w:cs="宋体"/>
          <w:color w:val="auto"/>
          <w:sz w:val="24"/>
          <w:highlight w:val="none"/>
        </w:rPr>
      </w:pPr>
      <w:r>
        <w:rPr>
          <w:rFonts w:hint="eastAsia" w:ascii="宋体" w:hAnsi="宋体" w:cs="宋体"/>
          <w:color w:val="auto"/>
          <w:sz w:val="24"/>
          <w:highlight w:val="none"/>
        </w:rPr>
        <w:t>★4.特别说明：</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4.1供应商应仔细阅读招标文件的所有内容，按照招标文件的要求提交投标文件，并对所提供的全部资料的真实性承担法律责任。</w:t>
      </w:r>
    </w:p>
    <w:p>
      <w:pPr>
        <w:pStyle w:val="131"/>
        <w:snapToGrid w:val="0"/>
        <w:spacing w:before="0" w:line="440" w:lineRule="exact"/>
        <w:ind w:firstLine="640"/>
        <w:rPr>
          <w:rFonts w:ascii="宋体" w:hAnsi="宋体" w:cs="宋体"/>
          <w:color w:val="auto"/>
          <w:sz w:val="32"/>
          <w:szCs w:val="32"/>
          <w:highlight w:val="none"/>
        </w:rPr>
      </w:pPr>
    </w:p>
    <w:p>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二、招标文件</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1.采购方式</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1.1本次招标采用公开招标方式进行。</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1.2本次招标设定限价，即招标公告中公布的各标项预算金额或最高限价（各标项之间的预算金额不能互相调整）。</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2.授权委托</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本项目为电子投标项目，供应商的法定代表人或其授权代表或个体工商户不需要参加现场投标和开标。</w:t>
      </w:r>
    </w:p>
    <w:p>
      <w:pPr>
        <w:jc w:val="left"/>
        <w:rPr>
          <w:rFonts w:ascii="宋体" w:hAnsi="宋体" w:cs="宋体"/>
          <w:b/>
          <w:color w:val="auto"/>
          <w:sz w:val="24"/>
          <w:highlight w:val="none"/>
        </w:rPr>
      </w:pPr>
      <w:r>
        <w:rPr>
          <w:rFonts w:hint="eastAsia" w:ascii="宋体" w:hAnsi="宋体" w:cs="宋体"/>
          <w:b/>
          <w:color w:val="auto"/>
          <w:sz w:val="24"/>
          <w:highlight w:val="none"/>
        </w:rPr>
        <w:t>3.投标费用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供应商应自行承担编制投标文件及参加本次投标所涉及的一切费用。不管投标结果如何，采购人对上述费用不负任何责任。</w:t>
      </w:r>
    </w:p>
    <w:p>
      <w:pPr>
        <w:jc w:val="left"/>
        <w:rPr>
          <w:rFonts w:ascii="宋体" w:hAnsi="宋体" w:cs="宋体"/>
          <w:b/>
          <w:color w:val="auto"/>
          <w:sz w:val="24"/>
          <w:highlight w:val="none"/>
        </w:rPr>
      </w:pPr>
      <w:r>
        <w:rPr>
          <w:rFonts w:hint="eastAsia" w:ascii="宋体" w:hAnsi="宋体" w:cs="宋体"/>
          <w:b/>
          <w:color w:val="auto"/>
          <w:sz w:val="24"/>
          <w:highlight w:val="none"/>
        </w:rPr>
        <w:t>4.招标文件的澄清与修改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4.1招标文件包括本招标文件及所有的招标答疑记录（澄清、修改）和发出的补充通知。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4.2招标文件的澄清</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对招标文件如有疑点要求澄清，可通过绍兴市阳光采购服务平台（https://ygcg.sxjypt.com）以书面形式通知采购人或采购代理机构，采购人或采购代理机构将通过绍兴市阳光采购服务平台予以答复。招标文件澄清的内容对所有供应商均有约束力</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4.3招标文件的修改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投标截止时间前，采购人有权修改招标文件，并在绍兴市阳光采购服务平台（https://ygcg.sxjypt.com）以更正或澄清公告的形式通知所有供应商，更正或澄清公告中没有注明更改投标截止时间的视为截止时间不变。招标文件修改的内容作为招标文件的补充和组成部分，对所有供应商均有约束力。</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4.4为使供应商有足够的时间修正投标文件，如采购人澄清或修改的内容可能影响投标文件编制的，澄清或修改发出时间应在投标截止时间</w:t>
      </w:r>
      <w:r>
        <w:rPr>
          <w:rFonts w:hint="eastAsia" w:ascii="宋体" w:hAnsi="宋体" w:cs="宋体"/>
          <w:b w:val="0"/>
          <w:bCs w:val="0"/>
          <w:color w:val="auto"/>
          <w:sz w:val="24"/>
          <w:highlight w:val="none"/>
          <w:u w:val="single"/>
        </w:rPr>
        <w:t>5</w:t>
      </w:r>
      <w:r>
        <w:rPr>
          <w:rFonts w:hint="eastAsia" w:ascii="宋体" w:hAnsi="宋体" w:cs="宋体"/>
          <w:color w:val="auto"/>
          <w:sz w:val="24"/>
          <w:highlight w:val="none"/>
        </w:rPr>
        <w:t>日前，不足</w:t>
      </w:r>
      <w:r>
        <w:rPr>
          <w:rFonts w:hint="eastAsia" w:ascii="宋体" w:hAnsi="宋体" w:cs="宋体"/>
          <w:b/>
          <w:bCs/>
          <w:color w:val="auto"/>
          <w:sz w:val="24"/>
          <w:highlight w:val="none"/>
          <w:u w:val="single"/>
        </w:rPr>
        <w:t>5</w:t>
      </w:r>
      <w:r>
        <w:rPr>
          <w:rFonts w:hint="eastAsia" w:ascii="宋体" w:hAnsi="宋体" w:cs="宋体"/>
          <w:color w:val="auto"/>
          <w:sz w:val="24"/>
          <w:highlight w:val="none"/>
        </w:rPr>
        <w:t>日的应当顺延投标截止时间。在这种情况下，采购人与供应商以前在投标截止期方面的全部权力、责任和义务，将适用于延长后新的投标截止期。</w:t>
      </w:r>
    </w:p>
    <w:p>
      <w:pPr>
        <w:jc w:val="left"/>
        <w:rPr>
          <w:rFonts w:ascii="宋体" w:hAnsi="宋体" w:cs="宋体"/>
          <w:b/>
          <w:bCs/>
          <w:color w:val="auto"/>
          <w:sz w:val="24"/>
          <w:highlight w:val="none"/>
        </w:rPr>
      </w:pPr>
      <w:r>
        <w:rPr>
          <w:rFonts w:hint="eastAsia" w:ascii="宋体" w:hAnsi="宋体" w:cs="宋体"/>
          <w:b/>
          <w:color w:val="auto"/>
          <w:sz w:val="24"/>
          <w:highlight w:val="none"/>
        </w:rPr>
        <w:t>5.参考品牌（如果有）</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如涉及各类品牌、型号，则所述品牌、型号是结合实际现有情况的推荐性参考方案，投标方也可根据招标文件的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pPr>
        <w:pStyle w:val="80"/>
        <w:rPr>
          <w:rFonts w:ascii="宋体" w:hAnsi="宋体" w:eastAsia="宋体" w:cs="宋体"/>
          <w:color w:val="auto"/>
          <w:highlight w:val="none"/>
        </w:rPr>
      </w:pPr>
    </w:p>
    <w:p>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三、投标文件</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1.投标文件的语言、计量单位、形式及效力</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1.1供应商应仔细阅读招标文件中的所有内容，按照招标文件要求，详细编制投标文件，并保证投标文件的正确性和真实性。</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1.2投标文件以及供应商与采购人就有关投标事宜的所有来往函电，均应以中文书写（技术术语除外）。</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1.3投标计量单位，除招标文件中有特殊要求外，应采用中华人民共和国法定计量单位，货币单位：人民币元。</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1.4不按招标文件的要求提供的投标文件可能导致被拒绝。</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1.5投标文件的形式和效力</w:t>
      </w:r>
    </w:p>
    <w:p>
      <w:pPr>
        <w:snapToGrid w:val="0"/>
        <w:spacing w:line="44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1.5.1</w:t>
      </w:r>
      <w:r>
        <w:rPr>
          <w:rFonts w:hint="eastAsia" w:ascii="宋体" w:hAnsi="宋体" w:cs="宋体"/>
          <w:b/>
          <w:color w:val="auto"/>
          <w:sz w:val="24"/>
          <w:highlight w:val="none"/>
        </w:rPr>
        <w:t>投标文件为电子投标文件，电子投标文件按《绍兴市阳光采购服务平台投标人电子投标文件制作工具使用手册》及本招标文件要求制作、加密传输</w:t>
      </w:r>
      <w:r>
        <w:rPr>
          <w:rFonts w:hint="eastAsia" w:ascii="宋体" w:hAnsi="宋体" w:cs="宋体"/>
          <w:bCs/>
          <w:color w:val="auto"/>
          <w:sz w:val="24"/>
          <w:highlight w:val="none"/>
        </w:rPr>
        <w:t>。</w:t>
      </w:r>
    </w:p>
    <w:p>
      <w:pPr>
        <w:snapToGrid w:val="0"/>
        <w:spacing w:line="44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1.5.2投标文件的效力：</w:t>
      </w:r>
    </w:p>
    <w:p>
      <w:pPr>
        <w:snapToGrid w:val="0"/>
        <w:spacing w:line="440" w:lineRule="exact"/>
        <w:ind w:firstLine="723" w:firstLineChars="300"/>
        <w:jc w:val="left"/>
        <w:rPr>
          <w:rFonts w:ascii="宋体" w:hAnsi="宋体" w:cs="宋体"/>
          <w:b/>
          <w:color w:val="auto"/>
          <w:sz w:val="24"/>
          <w:highlight w:val="none"/>
        </w:rPr>
      </w:pPr>
      <w:r>
        <w:rPr>
          <w:rFonts w:hint="eastAsia" w:ascii="宋体" w:hAnsi="宋体" w:cs="宋体"/>
          <w:b/>
          <w:color w:val="auto"/>
          <w:sz w:val="24"/>
          <w:highlight w:val="none"/>
        </w:rPr>
        <w:t>投标文件未在投标截止时间前完成传输的，视为投标文件撤回；</w:t>
      </w:r>
      <w:r>
        <w:rPr>
          <w:rFonts w:hint="eastAsia" w:ascii="宋体" w:hAnsi="宋体" w:cs="宋体"/>
          <w:b/>
          <w:color w:val="auto"/>
          <w:sz w:val="24"/>
          <w:highlight w:val="none"/>
          <w:u w:val="single"/>
        </w:rPr>
        <w:t>投标文件未按时解密的处理，详见本招标文件“第二部分 投标须知”的“前附表”第15项内容</w:t>
      </w:r>
      <w:r>
        <w:rPr>
          <w:rFonts w:hint="eastAsia" w:ascii="宋体" w:hAnsi="宋体" w:cs="宋体"/>
          <w:b/>
          <w:color w:val="auto"/>
          <w:sz w:val="24"/>
          <w:highlight w:val="none"/>
        </w:rPr>
        <w:t>。</w:t>
      </w:r>
    </w:p>
    <w:p>
      <w:pPr>
        <w:pStyle w:val="35"/>
        <w:spacing w:line="440" w:lineRule="exact"/>
        <w:rPr>
          <w:rFonts w:hAnsi="宋体" w:cs="宋体"/>
          <w:b/>
          <w:color w:val="auto"/>
          <w:sz w:val="24"/>
          <w:szCs w:val="24"/>
          <w:highlight w:val="none"/>
        </w:rPr>
      </w:pPr>
      <w:r>
        <w:rPr>
          <w:rFonts w:hint="eastAsia" w:hAnsi="宋体" w:cs="宋体"/>
          <w:b/>
          <w:color w:val="auto"/>
          <w:sz w:val="24"/>
          <w:szCs w:val="24"/>
          <w:highlight w:val="none"/>
        </w:rPr>
        <w:t>2.投标文件的组成</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投标文件由“资格文件”、“商务技术文件”、“报价文件”三部分组成，其中</w:t>
      </w:r>
      <w:r>
        <w:rPr>
          <w:rFonts w:hint="eastAsia" w:ascii="宋体" w:hAnsi="宋体" w:cs="宋体"/>
          <w:b/>
          <w:color w:val="auto"/>
          <w:sz w:val="24"/>
          <w:highlight w:val="none"/>
        </w:rPr>
        <w:t>电子投标文件中所须加盖公章部分均应采用电子印章。</w:t>
      </w:r>
    </w:p>
    <w:p>
      <w:pPr>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2</w:t>
      </w:r>
      <w:r>
        <w:rPr>
          <w:rFonts w:hint="eastAsia" w:ascii="宋体" w:hAnsi="宋体" w:cs="宋体"/>
          <w:b/>
          <w:color w:val="auto"/>
          <w:sz w:val="24"/>
          <w:highlight w:val="none"/>
          <w:lang w:val="zh-CN"/>
        </w:rPr>
        <w:t>.1资格文件：</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2.1.1符合参加采购活动应当具备的一般条件的承诺函；</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2.1.2营业执照复印件（并加盖公章）；</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eastAsia="宋体" w:cs="宋体"/>
          <w:color w:val="auto"/>
          <w:sz w:val="24"/>
          <w:highlight w:val="none"/>
        </w:rPr>
        <w:t>（如果有)；</w:t>
      </w:r>
    </w:p>
    <w:p>
      <w:pPr>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2.2.1供应商提供的技术评审打分资料索引表；</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2.2.2投标函；</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2.2.3法定代表人授权委托书；</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2.2.4授权代表社保证明（2025年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月至2025年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2.2.5法定代表人及其授权代表身份证复印件；</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2.2.6法定代表人身份证明书；</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2.2.7商务技术偏离表；</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代理机构将把这一情况报送采购监督单位（部门）。</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2.2.8采购供应商廉洁自律承诺书；</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2.2.9主要业绩证明。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2.2.10技术解决方案；</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2.2.11组织实施方案；</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本项目详细工作实施组织方案，包括（但不限于）以下内容：组织机构、工作时间进度表、工作程序和步骤、管理和协调方法、关键步骤的思路和要点；</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2.2.12售后服务方案；</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针对本项目的售后服务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2.2.13供应商售后服务能力证明材料；</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合作单位营业执照或供应商在设立的项目部、办公室、办事处等机构的证明材料或供应商作出的成交后提供服务的承诺。</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2.2.14供应商为完成本项目组建的项目小组名单；</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每个专业人员的情况和人员数应该明确表示，明确各阶段投入人数，在提交的投标文件中安排的人员，须为供应商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2.2.15优惠条件及特殊承诺（如果有）；</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供应商承诺给予采购人的各种优惠条件，包括设备价格、运输、保险、安装调试、付款条件、技术服务、售后服务等方面的优惠；当优惠条件涉及“报价单”中的各项费用时，必须与最后报价相统一；</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2.2.16备品备件清单及供选择的配套零部件清单（如果有）；</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含随机自带的备品备件和质保期后供采购人选择的备品备件及配套零部件，明细备品备件及价格，且供货价格不高于成交价格；成交货物设备应提供易损部件的备件和整机备品；</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2.2.17培训计划（如果有）；</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2.2.18验收方案；</w:t>
      </w:r>
    </w:p>
    <w:p>
      <w:pPr>
        <w:snapToGrid w:val="0"/>
        <w:spacing w:line="440" w:lineRule="exact"/>
        <w:ind w:firstLine="720" w:firstLineChars="300"/>
        <w:rPr>
          <w:rFonts w:ascii="宋体" w:hAnsi="宋体" w:cs="宋体"/>
          <w:color w:val="auto"/>
          <w:sz w:val="24"/>
          <w:highlight w:val="none"/>
          <w:u w:val="wave"/>
        </w:rPr>
      </w:pPr>
      <w:r>
        <w:rPr>
          <w:rFonts w:hint="eastAsia" w:ascii="宋体" w:hAnsi="宋体" w:cs="宋体"/>
          <w:color w:val="auto"/>
          <w:sz w:val="24"/>
          <w:highlight w:val="none"/>
        </w:rPr>
        <w:t>2.2.19</w:t>
      </w:r>
      <w:r>
        <w:rPr>
          <w:rFonts w:hint="eastAsia" w:ascii="宋体" w:hAnsi="宋体" w:cs="宋体"/>
          <w:color w:val="auto"/>
          <w:sz w:val="24"/>
          <w:highlight w:val="none"/>
          <w:u w:val="wave"/>
        </w:rPr>
        <w:t>未尽事宜请各投标供应商按评分标准和相对应标项相关要求制作；</w:t>
      </w:r>
    </w:p>
    <w:p>
      <w:pPr>
        <w:snapToGrid w:val="0"/>
        <w:spacing w:line="440" w:lineRule="exact"/>
        <w:ind w:firstLine="720" w:firstLineChars="300"/>
        <w:rPr>
          <w:rFonts w:ascii="宋体" w:hAnsi="宋体" w:cs="宋体"/>
          <w:color w:val="auto"/>
          <w:highlight w:val="none"/>
          <w:lang w:val="zh-CN"/>
        </w:rPr>
      </w:pPr>
      <w:r>
        <w:rPr>
          <w:rFonts w:hint="eastAsia" w:ascii="宋体" w:hAnsi="宋体" w:cs="宋体"/>
          <w:color w:val="auto"/>
          <w:sz w:val="24"/>
          <w:highlight w:val="none"/>
        </w:rPr>
        <w:t>2.2.20</w:t>
      </w:r>
      <w:r>
        <w:rPr>
          <w:rFonts w:hint="eastAsia" w:ascii="宋体" w:hAnsi="宋体" w:cs="宋体"/>
          <w:color w:val="auto"/>
          <w:kern w:val="0"/>
          <w:sz w:val="24"/>
          <w:highlight w:val="none"/>
          <w:lang w:val="zh-CN"/>
        </w:rPr>
        <w:t>认为需要的其他商务技术文件或说明</w:t>
      </w:r>
      <w:r>
        <w:rPr>
          <w:rFonts w:hint="eastAsia" w:ascii="宋体" w:hAnsi="宋体" w:cs="宋体"/>
          <w:color w:val="auto"/>
          <w:sz w:val="24"/>
          <w:highlight w:val="none"/>
        </w:rPr>
        <w:t>（格式自拟）。</w:t>
      </w:r>
    </w:p>
    <w:p>
      <w:pPr>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2.3报价文件：</w:t>
      </w:r>
    </w:p>
    <w:p>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440" w:lineRule="exact"/>
        <w:rPr>
          <w:rFonts w:ascii="宋体" w:hAnsi="宋体" w:cs="宋体"/>
          <w:b/>
          <w:bCs/>
          <w:color w:val="auto"/>
          <w:sz w:val="32"/>
          <w:highlight w:val="none"/>
        </w:rPr>
      </w:pPr>
      <w:r>
        <w:rPr>
          <w:rFonts w:hint="eastAsia" w:ascii="宋体" w:hAnsi="宋体" w:cs="宋体"/>
          <w:b/>
          <w:bCs/>
          <w:color w:val="auto"/>
          <w:sz w:val="24"/>
          <w:szCs w:val="20"/>
          <w:highlight w:val="none"/>
        </w:rPr>
        <w:t>3.投标报价</w:t>
      </w:r>
    </w:p>
    <w:p>
      <w:pPr>
        <w:pStyle w:val="5"/>
        <w:autoSpaceDE/>
        <w:autoSpaceDN/>
        <w:snapToGrid w:val="0"/>
        <w:spacing w:line="440" w:lineRule="exact"/>
        <w:ind w:firstLine="720" w:firstLineChars="300"/>
        <w:rPr>
          <w:rFonts w:hAnsi="宋体" w:cs="宋体"/>
          <w:color w:val="auto"/>
          <w:highlight w:val="none"/>
          <w:lang w:val="en-US"/>
        </w:rPr>
      </w:pPr>
      <w:r>
        <w:rPr>
          <w:rFonts w:hint="eastAsia" w:hAnsi="宋体" w:cs="宋体"/>
          <w:color w:val="auto"/>
          <w:highlight w:val="none"/>
          <w:lang w:val="en-US"/>
        </w:rPr>
        <w:t>3.1供应商应按招标文件中《开标一览表》（报价表）等附表要求填写；</w:t>
      </w:r>
    </w:p>
    <w:p>
      <w:pPr>
        <w:pStyle w:val="5"/>
        <w:autoSpaceDE/>
        <w:autoSpaceDN/>
        <w:snapToGrid w:val="0"/>
        <w:spacing w:line="440" w:lineRule="exact"/>
        <w:ind w:firstLine="720" w:firstLineChars="300"/>
        <w:rPr>
          <w:rFonts w:hAnsi="宋体" w:cs="宋体"/>
          <w:color w:val="auto"/>
          <w:highlight w:val="none"/>
          <w:lang w:val="en-US"/>
        </w:rPr>
      </w:pPr>
      <w:r>
        <w:rPr>
          <w:rFonts w:hint="eastAsia" w:hAnsi="宋体" w:cs="宋体"/>
          <w:color w:val="auto"/>
          <w:highlight w:val="none"/>
          <w:lang w:val="en-US"/>
        </w:rPr>
        <w:t>3.2报价为采购人可以合格使用产品或服务的价格，包括货款、包装、运输、保险、货到就位以及安装、调试、培训、保修及产品知识产权等一切费用；</w:t>
      </w:r>
    </w:p>
    <w:p>
      <w:pPr>
        <w:pStyle w:val="5"/>
        <w:autoSpaceDE/>
        <w:autoSpaceDN/>
        <w:snapToGrid w:val="0"/>
        <w:spacing w:line="440" w:lineRule="exact"/>
        <w:ind w:firstLine="720" w:firstLineChars="300"/>
        <w:rPr>
          <w:rFonts w:hAnsi="宋体" w:cs="宋体"/>
          <w:color w:val="auto"/>
          <w:highlight w:val="none"/>
          <w:lang w:val="en-US"/>
        </w:rPr>
      </w:pPr>
      <w:r>
        <w:rPr>
          <w:rFonts w:hint="eastAsia" w:hAnsi="宋体" w:cs="宋体"/>
          <w:color w:val="auto"/>
          <w:highlight w:val="none"/>
          <w:lang w:val="en-US"/>
        </w:rPr>
        <w:t>3.3招标文件未列明，而供应商认为必需的费用也需列入报价；</w:t>
      </w:r>
    </w:p>
    <w:p>
      <w:pPr>
        <w:pStyle w:val="5"/>
        <w:autoSpaceDE/>
        <w:autoSpaceDN/>
        <w:snapToGrid w:val="0"/>
        <w:spacing w:line="440" w:lineRule="exact"/>
        <w:ind w:firstLine="720" w:firstLineChars="300"/>
        <w:rPr>
          <w:rFonts w:hAnsi="宋体" w:cs="宋体"/>
          <w:color w:val="auto"/>
          <w:szCs w:val="24"/>
          <w:highlight w:val="none"/>
        </w:rPr>
      </w:pPr>
      <w:r>
        <w:rPr>
          <w:rFonts w:hint="eastAsia" w:hAnsi="宋体" w:cs="宋体"/>
          <w:color w:val="auto"/>
          <w:highlight w:val="none"/>
          <w:lang w:val="en-US"/>
        </w:rPr>
        <w:t>3.4投标报价只允许有一个报价，有选择的报价将不予接受（除指定外）。</w:t>
      </w:r>
    </w:p>
    <w:p>
      <w:pPr>
        <w:pStyle w:val="131"/>
        <w:snapToGrid w:val="0"/>
        <w:spacing w:before="0" w:line="440" w:lineRule="exact"/>
        <w:ind w:firstLine="0" w:firstLineChars="0"/>
        <w:outlineLvl w:val="0"/>
        <w:rPr>
          <w:rFonts w:ascii="宋体" w:hAnsi="宋体" w:cs="宋体"/>
          <w:b/>
          <w:color w:val="auto"/>
          <w:szCs w:val="24"/>
          <w:highlight w:val="none"/>
        </w:rPr>
      </w:pPr>
      <w:r>
        <w:rPr>
          <w:rFonts w:hint="eastAsia" w:ascii="宋体" w:hAnsi="宋体" w:cs="宋体"/>
          <w:b/>
          <w:color w:val="auto"/>
          <w:kern w:val="0"/>
          <w:szCs w:val="24"/>
          <w:highlight w:val="none"/>
        </w:rPr>
        <w:t>4.</w:t>
      </w:r>
      <w:r>
        <w:rPr>
          <w:rFonts w:hint="eastAsia" w:ascii="宋体" w:hAnsi="宋体" w:cs="宋体"/>
          <w:b/>
          <w:color w:val="auto"/>
          <w:szCs w:val="24"/>
          <w:highlight w:val="none"/>
        </w:rPr>
        <w:t>投标文件的编制和</w:t>
      </w:r>
      <w:r>
        <w:rPr>
          <w:rFonts w:hint="eastAsia" w:ascii="宋体" w:hAnsi="宋体" w:cs="宋体"/>
          <w:b/>
          <w:color w:val="auto"/>
          <w:highlight w:val="none"/>
        </w:rPr>
        <w:t>签署</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.1投标文件分为资格文件、商务技术文件、报价文件三部分。各供应商在编制投标文件时请按照招标文件第六部分规定的格式进行，混乱的编排导致投标文件被误读或</w:t>
      </w:r>
      <w:r>
        <w:rPr>
          <w:rFonts w:hint="eastAsia" w:ascii="宋体" w:hAnsi="宋体" w:cs="宋体"/>
          <w:color w:val="auto"/>
          <w:sz w:val="24"/>
          <w:highlight w:val="none"/>
        </w:rPr>
        <w:t>评审小组</w:t>
      </w:r>
      <w:r>
        <w:rPr>
          <w:rFonts w:hint="eastAsia" w:ascii="宋体" w:hAnsi="宋体" w:cs="宋体"/>
          <w:color w:val="auto"/>
          <w:sz w:val="24"/>
          <w:highlight w:val="none"/>
          <w:lang w:val="zh-CN"/>
        </w:rPr>
        <w:t>查找不到有效文件是供应商的风险。</w:t>
      </w:r>
    </w:p>
    <w:p>
      <w:pPr>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.2电子投标文件：供应商应根据《绍兴市阳光采购服务平台投标人电子投标文件制作工具使用手册》及本招标文件规定的格式和顺序编制电子投标文件并进行关联定位。</w:t>
      </w:r>
    </w:p>
    <w:p>
      <w:pPr>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4.3</w:t>
      </w:r>
      <w:r>
        <w:rPr>
          <w:rFonts w:hint="eastAsia" w:ascii="宋体" w:hAnsi="宋体" w:cs="宋体"/>
          <w:color w:val="auto"/>
          <w:sz w:val="24"/>
          <w:highlight w:val="none"/>
          <w:lang w:val="zh-CN"/>
        </w:rPr>
        <w:t>投标文件</w:t>
      </w:r>
      <w:r>
        <w:rPr>
          <w:rFonts w:hint="eastAsia" w:ascii="宋体" w:hAnsi="宋体" w:cs="宋体"/>
          <w:color w:val="auto"/>
          <w:sz w:val="24"/>
          <w:highlight w:val="none"/>
        </w:rPr>
        <w:t>应</w:t>
      </w:r>
      <w:r>
        <w:rPr>
          <w:rFonts w:hint="eastAsia" w:ascii="宋体" w:hAnsi="宋体" w:cs="宋体"/>
          <w:color w:val="auto"/>
          <w:sz w:val="24"/>
          <w:highlight w:val="none"/>
          <w:lang w:val="zh-CN"/>
        </w:rPr>
        <w:t>按照招标文件第六部分</w:t>
      </w:r>
      <w:r>
        <w:rPr>
          <w:rFonts w:hint="eastAsia" w:ascii="宋体" w:hAnsi="宋体" w:cs="宋体"/>
          <w:color w:val="auto"/>
          <w:sz w:val="24"/>
          <w:highlight w:val="none"/>
        </w:rPr>
        <w:t>规定的</w:t>
      </w:r>
      <w:r>
        <w:rPr>
          <w:rFonts w:hint="eastAsia" w:ascii="宋体" w:hAnsi="宋体" w:cs="宋体"/>
          <w:color w:val="auto"/>
          <w:sz w:val="24"/>
          <w:highlight w:val="none"/>
          <w:lang w:val="zh-CN"/>
        </w:rPr>
        <w:t>格式要求进行签署、盖章。供应商的投标文件未按照招标文件要求签署、盖章的，其投标无效。</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为确保网上操作合法、有效和安全，供应商应当在投标截止时间前完成在</w:t>
      </w:r>
      <w:r>
        <w:rPr>
          <w:rFonts w:hint="eastAsia" w:ascii="宋体" w:hAnsi="宋体" w:cs="宋体"/>
          <w:color w:val="auto"/>
          <w:sz w:val="24"/>
          <w:highlight w:val="none"/>
        </w:rPr>
        <w:t>绍兴市阳光采购服务平台的CA绑定等</w:t>
      </w:r>
      <w:r>
        <w:rPr>
          <w:rFonts w:hint="eastAsia" w:ascii="宋体" w:hAnsi="宋体" w:cs="宋体"/>
          <w:color w:val="auto"/>
          <w:sz w:val="24"/>
          <w:highlight w:val="none"/>
          <w:lang w:val="zh-CN"/>
        </w:rPr>
        <w:t>身份认证</w:t>
      </w:r>
      <w:r>
        <w:rPr>
          <w:rFonts w:hint="eastAsia" w:ascii="宋体" w:hAnsi="宋体" w:cs="宋体"/>
          <w:color w:val="auto"/>
          <w:sz w:val="24"/>
          <w:highlight w:val="none"/>
        </w:rPr>
        <w:t>操作</w:t>
      </w:r>
      <w:r>
        <w:rPr>
          <w:rFonts w:hint="eastAsia" w:ascii="宋体" w:hAnsi="宋体" w:cs="宋体"/>
          <w:color w:val="auto"/>
          <w:sz w:val="24"/>
          <w:highlight w:val="none"/>
          <w:lang w:val="zh-CN"/>
        </w:rPr>
        <w:t>，确保在电子投标过程中能够对相关数据电文进行加密和使用电子印章。</w:t>
      </w:r>
    </w:p>
    <w:p>
      <w:pPr>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4.5</w:t>
      </w:r>
      <w:r>
        <w:rPr>
          <w:rFonts w:hint="eastAsia" w:ascii="宋体" w:hAnsi="宋体" w:cs="宋体"/>
          <w:color w:val="auto"/>
          <w:sz w:val="24"/>
          <w:highlight w:val="none"/>
          <w:lang w:val="zh-CN"/>
        </w:rPr>
        <w:t>招标文件对投标文件签署、盖章的要求适用于电子印章。</w:t>
      </w:r>
    </w:p>
    <w:p>
      <w:pPr>
        <w:pStyle w:val="131"/>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5.投标文件的提交、补充、修改、撤回</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5.1供应商应当在投标截止时间前完成投标文件的传输递交，并可以补充、修改或者撤回投标文件。补充或者修改投标文件的，应当先行撤回原投标文件，</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5.2在投标截止时间前，除供应商补充、修改或者撤回投标文件外，任何单位和个人不得解密或提取投标文件。</w:t>
      </w:r>
    </w:p>
    <w:p>
      <w:pPr>
        <w:spacing w:line="440" w:lineRule="exact"/>
        <w:rPr>
          <w:rFonts w:ascii="宋体" w:hAnsi="宋体" w:cs="宋体"/>
          <w:b/>
          <w:color w:val="auto"/>
          <w:sz w:val="32"/>
          <w:highlight w:val="none"/>
        </w:rPr>
      </w:pPr>
      <w:r>
        <w:rPr>
          <w:rFonts w:hint="eastAsia" w:ascii="宋体" w:hAnsi="宋体" w:cs="宋体"/>
          <w:b/>
          <w:bCs/>
          <w:color w:val="auto"/>
          <w:sz w:val="24"/>
          <w:highlight w:val="none"/>
        </w:rPr>
        <w:t>6.投标有效期</w:t>
      </w:r>
    </w:p>
    <w:p>
      <w:pPr>
        <w:snapToGrid w:val="0"/>
        <w:spacing w:line="440" w:lineRule="exact"/>
        <w:ind w:firstLine="480" w:firstLineChars="200"/>
        <w:jc w:val="left"/>
        <w:rPr>
          <w:rFonts w:ascii="宋体" w:hAnsi="宋体" w:cs="宋体"/>
          <w:b/>
          <w:color w:val="auto"/>
          <w:sz w:val="32"/>
          <w:highlight w:val="none"/>
        </w:rPr>
      </w:pPr>
      <w:r>
        <w:rPr>
          <w:rFonts w:hint="eastAsia" w:ascii="宋体" w:hAnsi="宋体" w:cs="宋体"/>
          <w:color w:val="auto"/>
          <w:sz w:val="24"/>
          <w:highlight w:val="none"/>
        </w:rPr>
        <w:t>6.1投标有效期详见本招标文件“第二部分 投标须知”的“前附表”第3项内容。供应商的投标文件中承诺的投标有效期少于招标文件中载明的投标有效期的，投标无效。</w:t>
      </w:r>
    </w:p>
    <w:p>
      <w:pPr>
        <w:snapToGrid w:val="0"/>
        <w:spacing w:line="440" w:lineRule="exact"/>
        <w:ind w:firstLine="480" w:firstLineChars="200"/>
        <w:jc w:val="left"/>
        <w:rPr>
          <w:rFonts w:ascii="宋体" w:hAnsi="宋体" w:cs="宋体"/>
          <w:b/>
          <w:color w:val="auto"/>
          <w:sz w:val="32"/>
          <w:highlight w:val="none"/>
        </w:rPr>
      </w:pPr>
      <w:r>
        <w:rPr>
          <w:rFonts w:hint="eastAsia" w:ascii="宋体" w:hAnsi="宋体" w:cs="宋体"/>
          <w:color w:val="auto"/>
          <w:sz w:val="24"/>
          <w:highlight w:val="none"/>
        </w:rPr>
        <w:t>6.2投标文件合格投递后，自投标截止日期起，在投标有效期内有效。</w:t>
      </w:r>
    </w:p>
    <w:p>
      <w:pPr>
        <w:pStyle w:val="131"/>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6.3在原定投标有效期满之前，如果出现特殊情况，采购人可以以书面形式通知供应商延长投标有效期。供应商同意延长的，不得要求或被允许修改其投标文件，供应商拒绝延长的，其投标无效。</w:t>
      </w:r>
    </w:p>
    <w:p>
      <w:pPr>
        <w:pStyle w:val="131"/>
        <w:spacing w:before="0" w:line="440" w:lineRule="exact"/>
        <w:ind w:firstLine="643"/>
        <w:rPr>
          <w:rFonts w:ascii="宋体" w:hAnsi="宋体" w:cs="宋体"/>
          <w:b/>
          <w:color w:val="auto"/>
          <w:sz w:val="32"/>
          <w:highlight w:val="none"/>
        </w:rPr>
      </w:pPr>
    </w:p>
    <w:p>
      <w:pPr>
        <w:spacing w:line="360" w:lineRule="auto"/>
        <w:jc w:val="center"/>
        <w:rPr>
          <w:rFonts w:ascii="宋体" w:hAnsi="宋体" w:cs="宋体"/>
          <w:b/>
          <w:color w:val="auto"/>
          <w:sz w:val="32"/>
          <w:szCs w:val="32"/>
          <w:highlight w:val="none"/>
        </w:rPr>
      </w:pPr>
      <w:bookmarkStart w:id="41" w:name="_Toc91899903"/>
      <w:r>
        <w:rPr>
          <w:rFonts w:hint="eastAsia" w:ascii="宋体" w:hAnsi="宋体" w:cs="宋体"/>
          <w:b/>
          <w:color w:val="auto"/>
          <w:sz w:val="32"/>
          <w:szCs w:val="32"/>
          <w:highlight w:val="none"/>
        </w:rPr>
        <w:t>四、开标和评标</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1.电子招投标开标及评审程序</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1.1投标截止时间后，主持人宣布开标会开始。</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1.2供应商登录绍兴市阳光采购服务平台电子投标文件制作工具，使用解密功能对电子投标文件进行在线解密。在线解密电子投标文件时间为开标时间起60分钟内（以绍兴市阳光采购服务平台系统时间为准）。</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1.3评审小组对资格和商务技术响应文件进行评审。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1.4主持人宣布商务技术得分及无效（废）投标情形（如果有），公布经商务技术评审符合招标文件要求的供应商名单及其商务技术得分。</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1.5主持人开启报价文件。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1.6评审小组对投标文件报价文件进行评审，核准投标报价及计算价格分，汇总商务技术分、价格分，根据得分排序确定中标候选人。</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1.7主持人公布评标结果。</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特别说明：绍兴市阳光采购服务平台如对电子化开标及评审程序有调整的，按调整后的程序操作。</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2.采购过程中出现以下情形，导致电子交易平台无法正常运行，或者无法保证电子交易的公平、公正和安全时，采购人可暂停或延期交易活动：</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2.1交易场所电力（网络）供应异常；</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2.2电子交易平台被非法网络攻击；</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2.3电子交易平台硬件技术故障；</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2.4电子交易平台系统软件异常； </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2.5其他导致电子交易平台无法正常运行，影响交易活动正常开展，或无法保证电子交易的公平、公正和安全的情况。</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人可以将项目暂停或延期，待上述情形消除后继续组织电子交易活动，也可以决定某些环节以纸质形式进行；影响或可能影响采购公平、公正性的，应当重新组织采购。</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3.评标</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3.1评审小组由采购人依法组建，负责评标活动。评审小组遵循公开、公平、公正、科学合理、竞争择优的原则。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3.2评审小组由采购人代表和有关方面的专家组成，成员人数为</w:t>
      </w:r>
      <w:r>
        <w:rPr>
          <w:rFonts w:hint="eastAsia" w:ascii="宋体" w:hAnsi="宋体" w:cs="宋体"/>
          <w:color w:val="auto"/>
          <w:sz w:val="24"/>
          <w:highlight w:val="none"/>
          <w:u w:val="single"/>
        </w:rPr>
        <w:t>五</w:t>
      </w:r>
      <w:r>
        <w:rPr>
          <w:rFonts w:hint="eastAsia" w:ascii="宋体" w:hAnsi="宋体" w:cs="宋体"/>
          <w:color w:val="auto"/>
          <w:sz w:val="24"/>
          <w:highlight w:val="none"/>
        </w:rPr>
        <w:t>人及以上单数。其中评审专家人数比例原则上应达到三分之二及以上。</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3.3评审小组负责对供应商资格的最终审定。</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3.4评审小组可以要求供应商对其投标文件中含义不明确的内容做必要的澄清或者说明，但澄清或者说明不得超过投标文件的范围或者改变投标文件的实质性内容。</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评审中需要供应商对投标、响应文件作出澄清、说明或者补正的，评审小组和供应商应当通过绍兴市阳光采购服务平台交换数据电文。给予供应商提交澄清说明或补正的时间</w:t>
      </w:r>
      <w:r>
        <w:rPr>
          <w:rFonts w:hint="eastAsia" w:ascii="宋体" w:hAnsi="宋体" w:cs="宋体"/>
          <w:b/>
          <w:bCs/>
          <w:color w:val="auto"/>
          <w:sz w:val="24"/>
          <w:highlight w:val="none"/>
        </w:rPr>
        <w:t>不少于半小时</w:t>
      </w:r>
      <w:r>
        <w:rPr>
          <w:rFonts w:hint="eastAsia" w:ascii="宋体" w:hAnsi="宋体" w:cs="宋体"/>
          <w:color w:val="auto"/>
          <w:sz w:val="24"/>
          <w:highlight w:val="none"/>
        </w:rPr>
        <w:t>，供应商已经明确表示澄清说明或补正完毕的除外。</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评审小组组长组织评审人员独立评审。评审小组对拟认定为采购响应文件无效、供应商资格不符合的，应组织相关供应商代表进行陈述、澄清或申辩；采购人或采购代理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采购监管人员据实记录；评审人员的评审、修改记录应保留原件，随项目其他资料一并存档。</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3.6评审小组对投标文件的判定，只依据投标文件和招标文件内容本身，不依据任何外来证明。</w:t>
      </w:r>
    </w:p>
    <w:p>
      <w:pP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3.7评审小组不向落标方解释落标的原因。</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4.投标文件的初审鉴定</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4.1资格性审查</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4.1.1依据法律、法规和招标文件规定，本项目由 评审小组 组织资格审查，并出具资格审查报告。</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w:t>
      </w:r>
      <w:r>
        <w:rPr>
          <w:rFonts w:ascii="宋体" w:hAnsi="宋体" w:cs="宋体"/>
          <w:color w:val="auto"/>
          <w:sz w:val="24"/>
          <w:highlight w:val="none"/>
        </w:rPr>
        <w:t>2</w:t>
      </w:r>
      <w:r>
        <w:rPr>
          <w:rFonts w:hint="eastAsia" w:ascii="宋体" w:hAnsi="宋体" w:cs="宋体"/>
          <w:color w:val="auto"/>
          <w:sz w:val="24"/>
          <w:highlight w:val="none"/>
        </w:rPr>
        <w:t>本项目招标文件内对开标现场原件核验不作要求，采购人有权在标后对中标候选人进行原件核验。供应商对所提供的全部资料的真实性承担法律责任。</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4.2符合性审查</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评标时，评审小组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审小组决定投标文件的响应性只根据投标文件本身的内容，而不寻求外部证据。</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4.3如果投标文件实质不响应招标文件的各项要求，评审小组将予以拒绝，并且不允许供应商通过修改或撤销其不符合要求的差异或保留，使之成为具有实质性响应的投标。</w:t>
      </w:r>
    </w:p>
    <w:p>
      <w:pPr>
        <w:spacing w:line="440" w:lineRule="exact"/>
        <w:jc w:val="left"/>
        <w:rPr>
          <w:rFonts w:ascii="宋体" w:hAnsi="宋体" w:cs="宋体"/>
          <w:b/>
          <w:color w:val="auto"/>
          <w:sz w:val="24"/>
          <w:highlight w:val="none"/>
        </w:rPr>
      </w:pPr>
      <w:r>
        <w:rPr>
          <w:rFonts w:hint="eastAsia" w:ascii="宋体" w:hAnsi="宋体" w:cs="宋体"/>
          <w:b/>
          <w:color w:val="auto"/>
          <w:kern w:val="0"/>
          <w:sz w:val="24"/>
          <w:highlight w:val="none"/>
        </w:rPr>
        <w:t>5.</w:t>
      </w:r>
      <w:r>
        <w:rPr>
          <w:rFonts w:hint="eastAsia" w:ascii="宋体" w:hAnsi="宋体" w:cs="宋体"/>
          <w:b/>
          <w:color w:val="auto"/>
          <w:sz w:val="24"/>
          <w:highlight w:val="none"/>
        </w:rPr>
        <w:t>投标文件报价出现前后不一致的，按照下列规定修正：</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w:t>
      </w:r>
      <w:r>
        <w:rPr>
          <w:rFonts w:hint="eastAsia" w:ascii="宋体" w:hAnsi="宋体" w:cs="宋体"/>
          <w:color w:val="auto"/>
          <w:highlight w:val="none"/>
        </w:rPr>
        <w:t>（报价表）</w:t>
      </w:r>
      <w:r>
        <w:rPr>
          <w:rFonts w:hint="eastAsia" w:ascii="宋体" w:hAnsi="宋体" w:cs="宋体"/>
          <w:color w:val="auto"/>
          <w:sz w:val="24"/>
          <w:highlight w:val="none"/>
        </w:rPr>
        <w:t>的总价为准，并修改单价；</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同时出现两种以上不一致的，按照前款规定的顺序修正。修正后的报价经供应商确认后产生约束力，供应商不确认的，其投标无效。</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6.投标文件的评审、比较和否决</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6.1评审小组将对在实质上响应招标文件要求的投标文件进行评估和比较。</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6.2在评审过程中，评审小组可以书面形式要求供应商就投标文件含义不明确的内容可对其通过绍兴市阳光采购服务平台进行书面说明并提供相关材料，但不得超过投标文件的范围或者改变投标文件的实质性内容。</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6.3在评标过程中，如发现与招标文件要求相偏离的，评审小组可对其偏离情形进行必要的核实。</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6.4在评审过程中，如属于实质性偏离或符合无效响应条件的，应当询问相关供应商，并可对其通过绍兴市阳光采购服务平台进行线上确认，但不允许对偏离条款进行补充、修正或撤回。</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6.5比较与评价。评审小组应当按照评标标准，对符合性审查合格的投标文件进行商务和技术评估，综合比较与评价。</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6.6汇总（商务技术得分情况）。评审小组各成员应当独立对每个供应商的商务技术文件进行评价，并汇总商务技术得分情况。</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6.7报价审核。对符合采购需求且通过商务技术评审的供应商的报价的合理性、准确性等进行审查核实。</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6.7.1评审小组认为供应商的报价明显低于其他通过符合性审查的供应商的报价，有可能影响产品质量或者不能诚信履约的，应当要求其在合理的时间内通过绍兴市阳光采购服务平台提供线上说明，必要时提交相关证明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6.8评审小组依据招标文件规定的评标标准和方法，对投标文件进行评审和比较后，向采购人或采购代理机构提供书面评审报告，并按得分高低排序推荐中标候选供应商。</w:t>
      </w:r>
    </w:p>
    <w:p>
      <w:pPr>
        <w:pStyle w:val="20"/>
        <w:widowControl w:val="0"/>
        <w:tabs>
          <w:tab w:val="clear" w:pos="390"/>
          <w:tab w:val="clear" w:pos="454"/>
        </w:tabs>
        <w:spacing w:after="120" w:line="440" w:lineRule="exact"/>
        <w:ind w:left="0" w:firstLine="0"/>
        <w:rPr>
          <w:rFonts w:ascii="宋体" w:hAnsi="宋体" w:cs="宋体"/>
          <w:b/>
          <w:color w:val="auto"/>
          <w:highlight w:val="none"/>
        </w:rPr>
      </w:pPr>
      <w:r>
        <w:rPr>
          <w:rFonts w:hint="eastAsia" w:ascii="宋体" w:hAnsi="宋体" w:cs="宋体"/>
          <w:b/>
          <w:color w:val="auto"/>
          <w:highlight w:val="none"/>
        </w:rPr>
        <w:t>7.投标文件的澄清</w:t>
      </w:r>
    </w:p>
    <w:p>
      <w:pPr>
        <w:pStyle w:val="20"/>
        <w:widowControl w:val="0"/>
        <w:tabs>
          <w:tab w:val="clear" w:pos="390"/>
          <w:tab w:val="clear" w:pos="454"/>
        </w:tabs>
        <w:spacing w:after="120" w:line="440" w:lineRule="exact"/>
        <w:ind w:left="0" w:firstLine="480" w:firstLineChars="200"/>
        <w:rPr>
          <w:rFonts w:ascii="宋体" w:hAnsi="宋体" w:cs="宋体"/>
          <w:color w:val="auto"/>
          <w:highlight w:val="none"/>
        </w:rPr>
      </w:pPr>
      <w:r>
        <w:rPr>
          <w:rFonts w:hint="eastAsia" w:ascii="宋体" w:hAnsi="宋体" w:cs="宋体"/>
          <w:color w:val="auto"/>
          <w:szCs w:val="24"/>
          <w:highlight w:val="none"/>
        </w:rPr>
        <w:t>对投标文件中含义不明、表述不一致或有明显计算错误等内容，</w:t>
      </w:r>
      <w:r>
        <w:rPr>
          <w:rFonts w:hint="eastAsia" w:ascii="宋体" w:hAnsi="宋体" w:cs="宋体"/>
          <w:color w:val="auto"/>
          <w:highlight w:val="none"/>
        </w:rPr>
        <w:t>评审小组</w:t>
      </w:r>
      <w:r>
        <w:rPr>
          <w:rFonts w:hint="eastAsia" w:ascii="宋体" w:hAnsi="宋体" w:cs="宋体"/>
          <w:color w:val="auto"/>
          <w:szCs w:val="24"/>
          <w:highlight w:val="none"/>
        </w:rPr>
        <w:t>将对供应商进行询标，并可要求供应商作澄清，作为投标文件的补充部分，但澄清的内容不得改变投标文件的实质性内容。</w:t>
      </w:r>
    </w:p>
    <w:p>
      <w:pPr>
        <w:rPr>
          <w:rFonts w:ascii="宋体" w:hAnsi="宋体" w:cs="宋体"/>
          <w:b/>
          <w:color w:val="auto"/>
          <w:sz w:val="24"/>
          <w:highlight w:val="none"/>
        </w:rPr>
      </w:pPr>
      <w:r>
        <w:rPr>
          <w:rFonts w:hint="eastAsia" w:ascii="宋体" w:hAnsi="宋体" w:cs="宋体"/>
          <w:b/>
          <w:color w:val="auto"/>
          <w:sz w:val="24"/>
          <w:highlight w:val="none"/>
        </w:rPr>
        <w:t>8.无效投标的情形</w:t>
      </w:r>
    </w:p>
    <w:p>
      <w:pP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投标文件有下列情形之一的作无效投标处理：</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8.1未按照招标文件规定要求电子印章、签字或盖章的；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8.2单位负责人为同一人或者存在直接控股、管理关系的不同供应商参加同一合同项下的采购活动的（均无效）；</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8.3为采购项目提供整体设计、规范编制或者项目管理、监理、检测等服务的供应商参加该采购项目的其他采购活动的；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8.4供应商未提供招标文件中规定的基本资格条件书面承诺函的，或供应商未提供有效的特定资格证明文件的，视为供应商不具备招标文件中规定的资格要求；</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8.5《法定代表人身份证明书》与提供的身份证复印件信息不符的；《法定代表人授权委托书》与提供的身份证复印件信息不符的；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8.6《法定代表人授权委托书》或《法定代表人身份证明书》填写不全、错误、未电子印章（《法定代表人授权委托书》要求“电子印章”和“签字或盖章”缺一不可）的；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8.7授权代表非投标单位正式职工的（以社保证明为准，如授权代表为离退休返聘人员的，需提供退休证明及单位聘用证明），法定代表人及个体工商户除外；</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8.8投标文件中的投标函无供应商的电子印章或填写不全的；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8.9报价一经涂改，未在涂改处加盖投标单位公章或者未经法定代表人或其授权代表签字或盖章的；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8.10未按招标文件规定的格式填写，或对招标服务或技术或产品等要求未详细应答或应答内容不全、有缺失的，经评审小组认定为无法评审的；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8.11出现同一标的物或本次招标产品（服务）内的主要产品（重要组成部分）出现商务技术文件、报价文件描述不一致或前后描述不一致，经评审小组认定后为无法评审的；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8.12《商务技术偏离表》不真实填写或弄虚作假的；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8.13投标文件含有采购人不能接受的附加条件；</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8.14评审小组认为供应商的报价明显低于其他通过符合性审查供应商的报价，有可能影响产品质量或者不能诚信履约的，未能按要求提供书面说明或者提交相关证明材料证明其报价合理性的；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8.15报价超过招标文件中规定的预算金额或最高限价的；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8.16投标文件“商务技术文件”部分中出现《开标一览表》（报价表）相关内容的；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8.17《开标一览表》填写不完整或字迹不能辨认或有漏项的，经评审小组认定属于重大偏差的；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8.18供应商对根据修正原则修正后的报价不确认的；</w:t>
      </w:r>
    </w:p>
    <w:p>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8.19供应商提供虚假材料投标的；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8.20下列情形之一的，视为供应商串通投标，其投标无效：</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8.20.1不同供应商的投标文件由同一单位或者个人编制的；</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8.20.2不同供应商使用同一单位或者个人的IP地址、设备下载采购文件或者制作、提交投标文件的；</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8.20.3不同供应商委托同一单位或者个人办理投标事宜的；</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8.20.4不同供应商的投标文件载明的项目管理成员或者联系人员为同一人；</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8.20.5不同供应商的投标文件异常一致或者投标报价呈现规律性差异；</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8.20.6不同供应商的投标文件相互混装；</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8.20.7不同供应商的保证金从同一单位或者个人的账户转出；</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8.20.8以他人名义参与响应或者以其他方式弄虚作假，骗取中标的；</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8.20.9经评审小组评定认为可以判定无效的其他情形。</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8.21有下列情形之一的，属于恶意串通，其投标无效：</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.1供应商直接或者间接从采购人或者采购代理机构处获得其他供应商的相关情况并修改其投标文件或者响应文件；</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.2供应商按照采购人或者采购代理机构的授意撤换、修改投标文件或者响应文件；</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.3供应商之间协商报价、技术方案等投标文件或者响应文件的实质性内容；</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.4属于同一集团、协会、商会等组织成员的供应商按照该组织要求协同参加采购活动；</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.5供应商之间事先约定由某一特定供应商中标、成交；</w:t>
      </w:r>
    </w:p>
    <w:p>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.6供应商之间商定部分供应商放弃参加采购活动或者放弃中标、成交；</w:t>
      </w:r>
    </w:p>
    <w:p>
      <w:pPr>
        <w:tabs>
          <w:tab w:val="left" w:pos="3870"/>
          <w:tab w:val="left" w:pos="4085"/>
        </w:tabs>
        <w:snapToGrid w:val="0"/>
        <w:spacing w:line="440" w:lineRule="exact"/>
        <w:ind w:firstLine="720" w:firstLineChars="300"/>
        <w:jc w:val="left"/>
        <w:rPr>
          <w:rFonts w:ascii="宋体" w:hAnsi="宋体" w:cs="宋体"/>
          <w:b/>
          <w:color w:val="auto"/>
          <w:sz w:val="24"/>
          <w:highlight w:val="none"/>
        </w:rPr>
      </w:pPr>
      <w:r>
        <w:rPr>
          <w:rFonts w:hint="eastAsia" w:ascii="宋体" w:hAnsi="宋体" w:cs="宋体"/>
          <w:color w:val="auto"/>
          <w:sz w:val="24"/>
          <w:highlight w:val="none"/>
        </w:rPr>
        <w:t>8.</w:t>
      </w:r>
      <w:r>
        <w:rPr>
          <w:rFonts w:hint="eastAsia" w:ascii="宋体" w:hAnsi="宋体" w:cs="宋体"/>
          <w:bCs/>
          <w:color w:val="auto"/>
          <w:sz w:val="24"/>
          <w:highlight w:val="none"/>
        </w:rPr>
        <w:t>21</w:t>
      </w:r>
      <w:r>
        <w:rPr>
          <w:rFonts w:hint="eastAsia" w:ascii="宋体" w:hAnsi="宋体" w:cs="宋体"/>
          <w:color w:val="auto"/>
          <w:sz w:val="24"/>
          <w:highlight w:val="none"/>
        </w:rPr>
        <w:t>.7供应商与采购人或者采购代理机构之间、供应商相互之间，为谋求特定供应商中标、成交或者排斥其他供应商的其他串通行为。</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8.22评审小组认定有重大偏差或实质性不响应招标文件要求的；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8.23投标文件出现不是唯一的、有选择性投标报价的；</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8.24列入绍兴市公用事业集团有限公司、绍兴市水务产业有限公司禁止交易企业名单的单位，在禁止交易范围内，其投标文件将作无效标处理；</w:t>
      </w:r>
    </w:p>
    <w:p>
      <w:pPr>
        <w:snapToGrid w:val="0"/>
        <w:spacing w:line="440" w:lineRule="exact"/>
        <w:ind w:firstLine="482" w:firstLineChars="200"/>
        <w:jc w:val="left"/>
        <w:rPr>
          <w:rFonts w:ascii="宋体" w:hAnsi="宋体" w:cs="宋体"/>
          <w:color w:val="auto"/>
          <w:highlight w:val="none"/>
        </w:rPr>
      </w:pPr>
      <w:r>
        <w:rPr>
          <w:rFonts w:hint="eastAsia" w:ascii="宋体" w:hAnsi="宋体" w:cs="宋体"/>
          <w:b/>
          <w:color w:val="auto"/>
          <w:sz w:val="24"/>
          <w:highlight w:val="none"/>
        </w:rPr>
        <w:t>8.25其他违反法律、法规的情形。</w:t>
      </w:r>
    </w:p>
    <w:p>
      <w:pPr>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9.评标过程保密</w:t>
      </w:r>
    </w:p>
    <w:p>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9.1</w:t>
      </w:r>
      <w:r>
        <w:rPr>
          <w:rFonts w:hint="eastAsia" w:ascii="宋体" w:hAnsi="宋体" w:cs="宋体"/>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小组成员、采购人和采购代理机构工作人员、相关监管人员等与评审有关的人员应当予以保密。</w:t>
      </w:r>
    </w:p>
    <w:p>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9.2在评标期间，供应商企图影响采购人或</w:t>
      </w:r>
      <w:r>
        <w:rPr>
          <w:rFonts w:hint="eastAsia" w:ascii="宋体" w:hAnsi="宋体" w:cs="宋体"/>
          <w:color w:val="auto"/>
          <w:sz w:val="24"/>
          <w:highlight w:val="none"/>
        </w:rPr>
        <w:t>评审小组</w:t>
      </w:r>
      <w:r>
        <w:rPr>
          <w:rFonts w:hint="eastAsia" w:ascii="宋体" w:hAnsi="宋体" w:cs="宋体"/>
          <w:color w:val="auto"/>
          <w:kern w:val="0"/>
          <w:sz w:val="24"/>
          <w:highlight w:val="none"/>
        </w:rPr>
        <w:t>的任何活动，都将导致投标被拒绝，并由其承担相应的法律责任。</w:t>
      </w:r>
    </w:p>
    <w:p>
      <w:pPr>
        <w:snapToGrid w:val="0"/>
        <w:spacing w:line="360" w:lineRule="auto"/>
        <w:ind w:firstLine="482" w:firstLineChars="150"/>
        <w:jc w:val="center"/>
        <w:rPr>
          <w:rFonts w:ascii="宋体" w:hAnsi="宋体" w:cs="宋体"/>
          <w:b/>
          <w:color w:val="auto"/>
          <w:sz w:val="32"/>
          <w:highlight w:val="none"/>
        </w:rPr>
      </w:pPr>
    </w:p>
    <w:bookmarkEnd w:id="41"/>
    <w:p>
      <w:pPr>
        <w:pStyle w:val="35"/>
        <w:spacing w:line="360" w:lineRule="auto"/>
        <w:ind w:firstLine="726"/>
        <w:jc w:val="center"/>
        <w:rPr>
          <w:rFonts w:hAnsi="宋体" w:cs="宋体"/>
          <w:b/>
          <w:color w:val="auto"/>
          <w:sz w:val="32"/>
          <w:szCs w:val="32"/>
          <w:highlight w:val="none"/>
        </w:rPr>
      </w:pPr>
      <w:bookmarkStart w:id="42" w:name="_Toc84325929"/>
      <w:bookmarkStart w:id="43" w:name="_Toc81372776"/>
      <w:bookmarkStart w:id="44" w:name="_Toc81372953"/>
      <w:r>
        <w:rPr>
          <w:rFonts w:hint="eastAsia" w:hAnsi="宋体" w:cs="宋体"/>
          <w:b/>
          <w:color w:val="auto"/>
          <w:sz w:val="32"/>
          <w:szCs w:val="32"/>
          <w:highlight w:val="none"/>
        </w:rPr>
        <w:t>五、授予合同</w:t>
      </w:r>
    </w:p>
    <w:bookmarkEnd w:id="42"/>
    <w:bookmarkEnd w:id="43"/>
    <w:bookmarkEnd w:id="44"/>
    <w:p>
      <w:pPr>
        <w:pStyle w:val="20"/>
        <w:tabs>
          <w:tab w:val="clear" w:pos="390"/>
          <w:tab w:val="clear" w:pos="454"/>
        </w:tabs>
        <w:spacing w:after="120" w:line="440" w:lineRule="exact"/>
        <w:ind w:left="0" w:firstLine="0"/>
        <w:rPr>
          <w:rFonts w:ascii="宋体" w:hAnsi="宋体" w:cs="宋体"/>
          <w:b/>
          <w:color w:val="auto"/>
          <w:szCs w:val="24"/>
          <w:highlight w:val="none"/>
        </w:rPr>
      </w:pPr>
      <w:r>
        <w:rPr>
          <w:rFonts w:hint="eastAsia" w:ascii="宋体" w:hAnsi="宋体" w:cs="宋体"/>
          <w:b/>
          <w:color w:val="auto"/>
          <w:szCs w:val="24"/>
          <w:highlight w:val="none"/>
        </w:rPr>
        <w:t>1.中标条件</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1.1投标文件基本符合招标文件要求；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1.2供应商有很好地执行合同的能力；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1.3实施方案最合理并对采购人最为有利，最大限度满足招标文件的要求；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1.4供应商能够提供质量技术、商务经济占综合优势的系统及服务。</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1.5采购人将把中标通知书授予最佳投标者，但最低价不是中标的绝对保证。</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2.中标候选公示</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2.1采购人应当自收到评审报告之日起3日内，</w:t>
      </w:r>
      <w:r>
        <w:rPr>
          <w:rFonts w:hint="eastAsia" w:ascii="宋体" w:hAnsi="宋体" w:cs="宋体"/>
          <w:color w:val="auto"/>
          <w:sz w:val="24"/>
          <w:highlight w:val="none"/>
          <w:u w:val="single"/>
        </w:rPr>
        <w:t>按评审报告推荐的排名顺序确定中标候选人</w:t>
      </w:r>
      <w:r>
        <w:rPr>
          <w:rFonts w:hint="eastAsia" w:ascii="宋体" w:hAnsi="宋体" w:cs="宋体"/>
          <w:color w:val="auto"/>
          <w:sz w:val="24"/>
          <w:highlight w:val="none"/>
        </w:rPr>
        <w:t>，并在绍兴市阳光采购服务平台https://ygcg.sxjypt.com/home</w:t>
      </w:r>
      <w:r>
        <w:rPr>
          <w:rFonts w:hint="eastAsia" w:ascii="宋体" w:hAnsi="宋体" w:cs="宋体"/>
          <w:color w:val="auto"/>
          <w:sz w:val="24"/>
          <w:highlight w:val="none"/>
          <w:lang w:eastAsia="zh-CN"/>
        </w:rPr>
        <w:t>、</w:t>
      </w:r>
      <w:r>
        <w:rPr>
          <w:rFonts w:hint="eastAsia" w:ascii="宋体" w:hAnsi="宋体" w:cs="宋体"/>
          <w:color w:val="auto"/>
          <w:sz w:val="24"/>
          <w:highlight w:val="none"/>
        </w:rPr>
        <w:t>绍兴市公用事业集团有限公司官网https://www.zjsxpug.com/</w:t>
      </w:r>
      <w:r>
        <w:rPr>
          <w:rFonts w:hint="eastAsia" w:ascii="宋体" w:hAnsi="宋体" w:cs="宋体"/>
          <w:color w:val="auto"/>
          <w:sz w:val="24"/>
          <w:highlight w:val="none"/>
          <w:lang w:eastAsia="zh-CN"/>
        </w:rPr>
        <w:t>、浙江政府采购网http://zfcg.czt.zj.gov.cn/</w:t>
      </w:r>
      <w:r>
        <w:rPr>
          <w:rFonts w:hint="eastAsia" w:ascii="宋体" w:hAnsi="宋体" w:cs="宋体"/>
          <w:color w:val="auto"/>
          <w:sz w:val="24"/>
          <w:highlight w:val="none"/>
        </w:rPr>
        <w:t>发布中标候选人公示，公示期为</w:t>
      </w:r>
      <w:r>
        <w:rPr>
          <w:rFonts w:hint="eastAsia" w:ascii="宋体" w:hAnsi="宋体" w:cs="宋体"/>
          <w:color w:val="auto"/>
          <w:sz w:val="24"/>
          <w:highlight w:val="none"/>
          <w:u w:val="single"/>
        </w:rPr>
        <w:t>3</w:t>
      </w:r>
      <w:r>
        <w:rPr>
          <w:rFonts w:hint="eastAsia" w:ascii="宋体" w:hAnsi="宋体" w:cs="宋体"/>
          <w:color w:val="auto"/>
          <w:sz w:val="24"/>
          <w:highlight w:val="none"/>
        </w:rPr>
        <w:t>日。</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3．中标确认及通知</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3.1中标候选人公示期结束且无尚未处理的异议（质疑）的，确认中标候选人为中标供应商。</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3.2采购人通过绍兴市阳光采购服务平台向中标供应商发出中标通知书并发布中标结果公告。中标供应商自行登录绍兴市阳光采购服务平台下载并打印中标通知书。</w:t>
      </w:r>
    </w:p>
    <w:p>
      <w:pPr>
        <w:snapToGrid w:val="0"/>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3.3采购人应在确认中标供应商前再次对资格条件和相关证件材料进一步查验核实。在发出中标通知书前，中标供应商如有违反有关法律法规和本项目要求行为的，则取消该供应商的中标资格</w:t>
      </w:r>
      <w:r>
        <w:rPr>
          <w:rFonts w:hint="eastAsia" w:ascii="宋体" w:hAnsi="宋体" w:cs="宋体"/>
          <w:color w:val="auto"/>
          <w:sz w:val="24"/>
          <w:highlight w:val="none"/>
          <w:lang w:val="zh-CN"/>
        </w:rPr>
        <w:t>。</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3.4采购人或采购代理机构对中标结果不作任何说明和解释，也不回答任何提问。</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4.履约保证金</w:t>
      </w:r>
    </w:p>
    <w:p>
      <w:pPr>
        <w:shd w:val="clear"/>
        <w:spacing w:line="440" w:lineRule="exact"/>
        <w:ind w:firstLine="420"/>
        <w:jc w:val="left"/>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4.1采购人在签订合同时，按规定缴纳中标金额（合同金额）2.5%的履约保证金至甲方账户</w:t>
      </w:r>
      <w:r>
        <w:rPr>
          <w:rFonts w:hint="eastAsia" w:ascii="宋体" w:hAnsi="宋体" w:cs="宋体"/>
          <w:b w:val="0"/>
          <w:bCs/>
          <w:i w:val="0"/>
          <w:iCs w:val="0"/>
          <w:color w:val="auto"/>
          <w:sz w:val="24"/>
          <w:highlight w:val="none"/>
          <w:lang w:val="en-US" w:eastAsia="zh-CN"/>
        </w:rPr>
        <w:t>，缴纳形式为现金、支票、转账、汇票或保函（保险公司保险、银行保函、专业担保公司担保）</w:t>
      </w:r>
      <w:r>
        <w:rPr>
          <w:rFonts w:hint="eastAsia" w:ascii="宋体" w:hAnsi="宋体" w:eastAsia="宋体" w:cs="宋体"/>
          <w:b w:val="0"/>
          <w:bCs/>
          <w:i w:val="0"/>
          <w:iCs w:val="0"/>
          <w:color w:val="auto"/>
          <w:sz w:val="24"/>
          <w:highlight w:val="none"/>
          <w:lang w:val="en-US" w:eastAsia="zh-CN"/>
        </w:rPr>
        <w:t>。</w:t>
      </w:r>
    </w:p>
    <w:p>
      <w:pPr>
        <w:shd w:val="clear"/>
        <w:spacing w:line="440" w:lineRule="exact"/>
        <w:ind w:firstLine="420"/>
        <w:jc w:val="left"/>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4.2投标人不履行与招标人订立的合同的，履约保证金不予退还，给招标人造成损失的，应当对招标人的损失承担赔偿责任。</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5.合同签订</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5.1中标供应商应当在中标通知书发出之日起30天内与采购人签订采购合同。</w:t>
      </w:r>
    </w:p>
    <w:p>
      <w:pPr>
        <w:snapToGrid w:val="0"/>
        <w:spacing w:line="440" w:lineRule="exact"/>
        <w:ind w:firstLine="480" w:firstLineChars="200"/>
        <w:rPr>
          <w:rFonts w:ascii="宋体" w:hAnsi="宋体" w:cs="宋体"/>
          <w:strike/>
          <w:color w:val="auto"/>
          <w:sz w:val="24"/>
          <w:highlight w:val="none"/>
        </w:rPr>
      </w:pPr>
      <w:r>
        <w:rPr>
          <w:rFonts w:hint="eastAsia" w:ascii="宋体" w:hAnsi="宋体" w:cs="宋体"/>
          <w:strike/>
          <w:color w:val="auto"/>
          <w:sz w:val="24"/>
          <w:highlight w:val="none"/>
        </w:rPr>
        <w:t>5.2如中标供应商为联合体的，由联合体成员各方法定代表人或其授权代表与采购人代表签订采购合同。</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6.验收</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6.1采购人组织对供应商履约的验收。如果发现与合同中要求不符，供应商须承担由此发生的一切损失和费用，并承担相应的法律责任。</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6.2采购人可以邀请参加本项目的其他供应商或者第三方机构参与验收。参与验收的供应商或者第三方机构的意见作为验收书的参考资料一并存档。</w:t>
      </w:r>
    </w:p>
    <w:p>
      <w:pPr>
        <w:snapToGrid w:val="0"/>
        <w:spacing w:line="440" w:lineRule="exact"/>
        <w:ind w:firstLine="480" w:firstLineChars="200"/>
        <w:rPr>
          <w:rFonts w:ascii="宋体" w:hAnsi="宋体" w:cs="宋体"/>
          <w:color w:val="auto"/>
          <w:sz w:val="24"/>
          <w:highlight w:val="none"/>
        </w:rPr>
      </w:pPr>
    </w:p>
    <w:p>
      <w:pPr>
        <w:adjustRightInd/>
        <w:spacing w:line="336"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bCs/>
          <w:color w:val="auto"/>
          <w:sz w:val="32"/>
          <w:szCs w:val="20"/>
          <w:highlight w:val="none"/>
        </w:rPr>
        <w:t>质疑与投诉</w:t>
      </w:r>
    </w:p>
    <w:p>
      <w:pPr>
        <w:spacing w:line="440" w:lineRule="exact"/>
        <w:rPr>
          <w:rFonts w:ascii="宋体" w:hAnsi="宋体" w:cs="宋体"/>
          <w:b/>
          <w:color w:val="auto"/>
          <w:sz w:val="32"/>
          <w:szCs w:val="32"/>
          <w:highlight w:val="none"/>
        </w:rPr>
      </w:pPr>
      <w:r>
        <w:rPr>
          <w:rFonts w:hint="eastAsia" w:ascii="宋体" w:hAnsi="宋体" w:cs="宋体"/>
          <w:b/>
          <w:bCs/>
          <w:color w:val="auto"/>
          <w:sz w:val="24"/>
          <w:szCs w:val="20"/>
          <w:highlight w:val="none"/>
        </w:rPr>
        <w:t>1.</w:t>
      </w:r>
      <w:r>
        <w:rPr>
          <w:rFonts w:hint="eastAsia" w:ascii="宋体" w:hAnsi="宋体" w:cs="宋体"/>
          <w:b/>
          <w:bCs/>
          <w:color w:val="auto"/>
          <w:sz w:val="24"/>
          <w:highlight w:val="none"/>
        </w:rPr>
        <w:t>供应商质疑</w:t>
      </w:r>
    </w:p>
    <w:p>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.1质疑提出</w:t>
      </w:r>
    </w:p>
    <w:p>
      <w:pPr>
        <w:widowControl/>
        <w:adjustRightInd/>
        <w:spacing w:line="44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szCs w:val="20"/>
          <w:highlight w:val="none"/>
        </w:rPr>
        <w:t>1.1.1</w:t>
      </w:r>
      <w:r>
        <w:rPr>
          <w:rFonts w:hint="eastAsia" w:ascii="宋体" w:hAnsi="宋体" w:cs="宋体"/>
          <w:color w:val="auto"/>
          <w:kern w:val="0"/>
          <w:sz w:val="24"/>
          <w:highlight w:val="none"/>
          <w:lang w:bidi="ar"/>
        </w:rPr>
        <w:t>供应商认为采购文件、采购过程和成交</w:t>
      </w:r>
      <w:r>
        <w:rPr>
          <w:rFonts w:hint="eastAsia" w:ascii="宋体" w:hAnsi="宋体" w:cs="宋体"/>
          <w:color w:val="auto"/>
          <w:spacing w:val="-1"/>
          <w:kern w:val="0"/>
          <w:sz w:val="24"/>
          <w:highlight w:val="none"/>
          <w:lang w:bidi="ar"/>
        </w:rPr>
        <w:t>结果使自己的合法权益受到损害的，应通过绍兴</w:t>
      </w:r>
      <w:r>
        <w:rPr>
          <w:rFonts w:hint="eastAsia" w:ascii="宋体" w:hAnsi="宋体" w:cs="宋体"/>
          <w:color w:val="auto"/>
          <w:spacing w:val="-2"/>
          <w:kern w:val="0"/>
          <w:sz w:val="24"/>
          <w:highlight w:val="none"/>
          <w:lang w:bidi="ar"/>
        </w:rPr>
        <w:t>市阳光采购服务平台交易系统以书面形式向采购人或者采购代理机构提出质疑，</w:t>
      </w:r>
      <w:r>
        <w:rPr>
          <w:rFonts w:hint="eastAsia" w:ascii="宋体" w:hAnsi="宋体" w:cs="宋体"/>
          <w:color w:val="auto"/>
          <w:sz w:val="24"/>
          <w:szCs w:val="20"/>
          <w:highlight w:val="none"/>
        </w:rPr>
        <w:t>质疑路径为：绍兴市阳光采购服务平台供应商登录-左侧菜单栏：异议（质疑）-选择对应异议（质疑）节点-新建质疑-在弹出窗口中选择对应项目，填写质疑内容并上传盖章附件。供应商未按要求进行质疑的，采购人或者采购代理机构不予受理。</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1.1.2提出质疑的供应商应当是参与所质疑项目采购活动的供应商。供应商已依法获取其可质疑采购文件的，可以对该文件提出质疑。</w:t>
      </w:r>
    </w:p>
    <w:p>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.2质疑提出时效</w:t>
      </w:r>
    </w:p>
    <w:p>
      <w:pPr>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1.2.1对采购文件提出质疑的，应当在采购文件获取截止时间（详见</w:t>
      </w:r>
      <w:r>
        <w:rPr>
          <w:rFonts w:hint="eastAsia" w:ascii="宋体" w:hAnsi="宋体" w:cs="宋体"/>
          <w:color w:val="auto"/>
          <w:sz w:val="24"/>
          <w:highlight w:val="none"/>
        </w:rPr>
        <w:t>本招标文件</w:t>
      </w:r>
      <w:r>
        <w:rPr>
          <w:rFonts w:hint="eastAsia" w:ascii="宋体" w:hAnsi="宋体" w:cs="宋体"/>
          <w:color w:val="auto"/>
          <w:sz w:val="24"/>
          <w:szCs w:val="20"/>
          <w:highlight w:val="none"/>
        </w:rPr>
        <w:t>“第一部分 招标公告”中“三、获取招标文件”内容）之前提出；</w:t>
      </w:r>
    </w:p>
    <w:p>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1.2.2对采购过程有质疑的，应当在采购结果公告前提出。其中，对开标有质疑的，应当在开标期间提出；</w:t>
      </w:r>
    </w:p>
    <w:p>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1.2.3对采购结果有质疑的，应当在中标候选人公示期间提出；</w:t>
      </w:r>
    </w:p>
    <w:p>
      <w:pPr>
        <w:widowControl/>
        <w:kinsoku w:val="0"/>
        <w:autoSpaceDE w:val="0"/>
        <w:autoSpaceDN w:val="0"/>
        <w:snapToGrid w:val="0"/>
        <w:spacing w:line="440" w:lineRule="exact"/>
        <w:ind w:firstLine="480" w:firstLineChars="200"/>
        <w:jc w:val="left"/>
        <w:textAlignment w:val="baseline"/>
        <w:rPr>
          <w:rFonts w:ascii="宋体" w:hAnsi="宋体" w:cs="宋体"/>
          <w:color w:val="auto"/>
          <w:sz w:val="24"/>
          <w:szCs w:val="20"/>
          <w:highlight w:val="none"/>
        </w:rPr>
      </w:pPr>
      <w:r>
        <w:rPr>
          <w:rFonts w:hint="eastAsia" w:ascii="宋体" w:hAnsi="宋体" w:cs="宋体"/>
          <w:color w:val="auto"/>
          <w:sz w:val="24"/>
          <w:szCs w:val="20"/>
          <w:highlight w:val="none"/>
        </w:rPr>
        <w:t>1.2.4</w:t>
      </w:r>
      <w:r>
        <w:rPr>
          <w:rFonts w:hint="eastAsia" w:ascii="宋体" w:hAnsi="宋体" w:cs="宋体"/>
          <w:color w:val="auto"/>
          <w:spacing w:val="-1"/>
          <w:kern w:val="0"/>
          <w:sz w:val="24"/>
          <w:highlight w:val="none"/>
          <w:lang w:bidi="ar"/>
        </w:rPr>
        <w:t>同一采购程序环节的质疑，供应商须一次性提出</w:t>
      </w:r>
    </w:p>
    <w:p>
      <w:pPr>
        <w:spacing w:line="440" w:lineRule="exact"/>
        <w:ind w:firstLine="482" w:firstLineChars="200"/>
        <w:rPr>
          <w:rFonts w:ascii="宋体" w:hAnsi="宋体" w:cs="宋体"/>
          <w:b/>
          <w:color w:val="auto"/>
          <w:sz w:val="32"/>
          <w:szCs w:val="32"/>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kern w:val="0"/>
          <w:sz w:val="24"/>
          <w:szCs w:val="20"/>
          <w:highlight w:val="none"/>
          <w:lang w:val="zh-CN"/>
        </w:rPr>
        <w:t>.</w:t>
      </w:r>
      <w:r>
        <w:rPr>
          <w:rFonts w:hint="eastAsia" w:ascii="宋体" w:hAnsi="宋体" w:cs="宋体"/>
          <w:b/>
          <w:bCs/>
          <w:color w:val="auto"/>
          <w:kern w:val="0"/>
          <w:sz w:val="24"/>
          <w:szCs w:val="20"/>
          <w:highlight w:val="none"/>
        </w:rPr>
        <w:t>3</w:t>
      </w:r>
      <w:r>
        <w:rPr>
          <w:rFonts w:hint="eastAsia" w:ascii="宋体" w:hAnsi="宋体" w:cs="宋体"/>
          <w:b/>
          <w:bCs/>
          <w:color w:val="auto"/>
          <w:kern w:val="0"/>
          <w:sz w:val="24"/>
          <w:szCs w:val="20"/>
          <w:highlight w:val="none"/>
          <w:lang w:val="zh-CN"/>
        </w:rPr>
        <w:t>质疑函</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1.3.1供应商提出质疑应当提交质疑函和必要的证明材料。质疑函应当包括下列内容：</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供应商的姓名或者名称、地址、邮编、联系人及联系电话；</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具体、明确的质疑事项和与质疑事项相关的请求；</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事实依据；</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必要的法律依据；</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提出质疑的日期。</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供应商为自然人的，质疑函应当由本人签字；供应商为法人或者其他组织的，质疑函应当由法定代表人、主要负责人，或者其授权代表签字或者盖章，并加盖公章。</w:t>
      </w:r>
    </w:p>
    <w:p>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sz w:val="24"/>
          <w:szCs w:val="20"/>
          <w:highlight w:val="none"/>
        </w:rPr>
        <w:t>质疑函范本及制作说明详见附件1。</w:t>
      </w:r>
    </w:p>
    <w:p>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.4质疑答复</w:t>
      </w:r>
    </w:p>
    <w:p>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1.4.1采购人或采购代理机构应当在收到质疑函后3日内作出答复。</w:t>
      </w:r>
    </w:p>
    <w:p>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1.4.2采购人委托采购代理机构采购的，采购代理机构在委托授权范围内作出答复。供应商提出的质疑超出采购人对采购代理机构委托授权范围的，采购代理机构应当告知供应商向采购人提出。</w:t>
      </w:r>
    </w:p>
    <w:p>
      <w:pPr>
        <w:spacing w:line="440" w:lineRule="exact"/>
        <w:rPr>
          <w:rFonts w:ascii="宋体" w:hAnsi="宋体" w:cs="宋体"/>
          <w:b/>
          <w:color w:val="auto"/>
          <w:sz w:val="32"/>
          <w:szCs w:val="32"/>
          <w:highlight w:val="none"/>
        </w:rPr>
      </w:pPr>
      <w:r>
        <w:rPr>
          <w:rFonts w:hint="eastAsia" w:ascii="宋体" w:hAnsi="宋体" w:cs="宋体"/>
          <w:b/>
          <w:bCs/>
          <w:color w:val="auto"/>
          <w:sz w:val="24"/>
          <w:highlight w:val="none"/>
        </w:rPr>
        <w:t>2.供应商投诉</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2.1质疑供应商对采购人或采购代理机构的答复不满意或者采购人、采购代理机构未在规定的时间内作出答复的，可以在答复期满后</w:t>
      </w:r>
      <w:r>
        <w:rPr>
          <w:rFonts w:hint="eastAsia" w:ascii="宋体" w:hAnsi="宋体" w:cs="宋体"/>
          <w:color w:val="auto"/>
          <w:sz w:val="24"/>
          <w:szCs w:val="20"/>
          <w:highlight w:val="none"/>
          <w:u w:val="single"/>
        </w:rPr>
        <w:t>15</w:t>
      </w:r>
      <w:r>
        <w:rPr>
          <w:rFonts w:hint="eastAsia" w:ascii="宋体" w:hAnsi="宋体" w:cs="宋体"/>
          <w:color w:val="auto"/>
          <w:sz w:val="24"/>
          <w:szCs w:val="20"/>
          <w:highlight w:val="none"/>
        </w:rPr>
        <w:t>个工作日内向监督单位（部门）提出投诉。</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2.2供应商投诉的事项不得超出已质疑事项的范围，基于质疑答复内容提出的投诉事项除外。</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2.3供应商投诉应当有明确的请求和必要的证明材料。</w:t>
      </w:r>
    </w:p>
    <w:p>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2.4以联合体形式参加采购活动的，其投诉应当由组成联合体的所有供应商共同提出。</w:t>
      </w:r>
    </w:p>
    <w:p>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sz w:val="24"/>
          <w:szCs w:val="20"/>
          <w:highlight w:val="none"/>
        </w:rPr>
        <w:t>投诉书范本及制作说明详见附件2。</w:t>
      </w:r>
    </w:p>
    <w:p>
      <w:pPr>
        <w:pStyle w:val="80"/>
        <w:rPr>
          <w:rFonts w:ascii="宋体" w:hAnsi="宋体" w:eastAsia="宋体" w:cs="宋体"/>
          <w:color w:val="auto"/>
          <w:highlight w:val="none"/>
        </w:rPr>
      </w:pPr>
    </w:p>
    <w:p>
      <w:pPr>
        <w:pStyle w:val="6"/>
        <w:spacing w:line="440" w:lineRule="exact"/>
        <w:ind w:firstLine="480" w:firstLineChars="200"/>
        <w:rPr>
          <w:rFonts w:hAnsi="宋体" w:cs="宋体"/>
          <w:color w:val="auto"/>
          <w:kern w:val="0"/>
          <w:highlight w:val="none"/>
        </w:rPr>
        <w:sectPr>
          <w:footerReference r:id="rId11" w:type="first"/>
          <w:headerReference r:id="rId9" w:type="default"/>
          <w:footerReference r:id="rId10" w:type="default"/>
          <w:pgSz w:w="11906" w:h="16838"/>
          <w:pgMar w:top="1134" w:right="1134" w:bottom="1134" w:left="1134" w:header="851" w:footer="992" w:gutter="0"/>
          <w:pgNumType w:start="1"/>
          <w:cols w:space="0" w:num="1"/>
          <w:docGrid w:linePitch="312" w:charSpace="0"/>
        </w:sectPr>
      </w:pPr>
    </w:p>
    <w:bookmarkEnd w:id="39"/>
    <w:bookmarkEnd w:id="40"/>
    <w:p>
      <w:pPr>
        <w:spacing w:line="360" w:lineRule="auto"/>
        <w:jc w:val="center"/>
        <w:outlineLvl w:val="0"/>
        <w:rPr>
          <w:rFonts w:ascii="宋体" w:hAnsi="宋体" w:cs="宋体"/>
          <w:b/>
          <w:color w:val="auto"/>
          <w:sz w:val="36"/>
          <w:szCs w:val="36"/>
          <w:highlight w:val="none"/>
        </w:rPr>
      </w:pPr>
      <w:bookmarkStart w:id="45" w:name="_Toc86217003"/>
      <w:bookmarkStart w:id="46" w:name="第五部分"/>
      <w:r>
        <w:rPr>
          <w:rFonts w:hint="eastAsia" w:ascii="宋体" w:hAnsi="宋体" w:cs="宋体"/>
          <w:b/>
          <w:color w:val="auto"/>
          <w:sz w:val="36"/>
          <w:szCs w:val="36"/>
          <w:highlight w:val="none"/>
        </w:rPr>
        <w:t>第三部分   招标项目范围及要求</w:t>
      </w:r>
    </w:p>
    <w:p>
      <w:pPr>
        <w:pStyle w:val="9"/>
        <w:spacing w:line="360" w:lineRule="auto"/>
        <w:ind w:firstLine="482"/>
        <w:rPr>
          <w:rFonts w:hint="eastAsia" w:ascii="宋体" w:hAnsi="宋体" w:cs="宋体"/>
          <w:color w:val="auto"/>
          <w:sz w:val="24"/>
          <w:highlight w:val="none"/>
        </w:rPr>
      </w:pPr>
      <w:r>
        <w:rPr>
          <w:rFonts w:hint="eastAsia" w:ascii="宋体" w:hAnsi="宋体" w:cs="宋体"/>
          <w:b/>
          <w:bCs/>
          <w:color w:val="auto"/>
          <w:sz w:val="24"/>
          <w:highlight w:val="none"/>
        </w:rPr>
        <w:t>一、设备（材料）要求</w:t>
      </w:r>
    </w:p>
    <w:p>
      <w:pPr>
        <w:pStyle w:val="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1.1投标人投标提供的设备必须是厂商原装的、全新的，型号、性能及指标符合国家及招标文件提出的有关技术、质量、安全标准。</w:t>
      </w:r>
    </w:p>
    <w:p>
      <w:pPr>
        <w:pStyle w:val="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1.2所有设备在开箱检验时必须完好，无破损，配置与装箱单相符。数量、质量及性能不低于本需求书中提出的要求。</w:t>
      </w:r>
    </w:p>
    <w:p>
      <w:pPr>
        <w:pStyle w:val="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1.3设备外观清洁，标记编号以及盘面显示等字体清晰，明确。铭牌、使用指示、警告指示应以中文或英文及易懂的通用符号来表示；应准确无误地表明设备之型号、规格、制造厂及生产或出厂日期。</w:t>
      </w:r>
    </w:p>
    <w:p>
      <w:pPr>
        <w:pStyle w:val="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1.4对于影响设备正常工作的必要组成部分，无论在技术规范中指出与否，投标人都应提供并在投标文件中明确列出。</w:t>
      </w:r>
    </w:p>
    <w:p>
      <w:pPr>
        <w:pStyle w:val="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1.5所有货物提供出厂合格证等质量证明文件，国外生产的必须有合法的进货渠道证明，如海关报关单、原产地证明、商检证明等。</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.安装及调试、验收</w:t>
      </w:r>
    </w:p>
    <w:p>
      <w:pPr>
        <w:pStyle w:val="9"/>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w:t>
      </w:r>
      <w:r>
        <w:rPr>
          <w:rFonts w:ascii="宋体" w:hAnsi="宋体" w:cs="宋体"/>
          <w:color w:val="auto"/>
          <w:sz w:val="24"/>
          <w:highlight w:val="none"/>
        </w:rPr>
        <w:t>标人</w:t>
      </w:r>
      <w:r>
        <w:rPr>
          <w:rFonts w:hint="eastAsia" w:ascii="宋体" w:hAnsi="宋体" w:cs="宋体"/>
          <w:color w:val="auto"/>
          <w:sz w:val="24"/>
          <w:highlight w:val="none"/>
        </w:rPr>
        <w:t>应派经招标人认可的有经验和能力、具有相应资质的技术人员，负责系统设备安装工作，在设备安装期间应充分了解设备安装进度要求，解决安装中出现的技术问题。</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.1投标</w:t>
      </w:r>
      <w:r>
        <w:rPr>
          <w:rFonts w:ascii="宋体" w:hAnsi="宋体" w:cs="宋体"/>
          <w:color w:val="auto"/>
          <w:sz w:val="24"/>
          <w:highlight w:val="none"/>
        </w:rPr>
        <w:t>人</w:t>
      </w:r>
      <w:r>
        <w:rPr>
          <w:rFonts w:hint="eastAsia" w:ascii="宋体" w:hAnsi="宋体" w:cs="宋体"/>
          <w:color w:val="auto"/>
          <w:sz w:val="24"/>
          <w:highlight w:val="none"/>
        </w:rPr>
        <w:t>负责设备的安装、调试。</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.2调试所需专用工具设施物料由投标</w:t>
      </w:r>
      <w:r>
        <w:rPr>
          <w:rFonts w:ascii="宋体" w:hAnsi="宋体" w:cs="宋体"/>
          <w:color w:val="auto"/>
          <w:sz w:val="24"/>
          <w:highlight w:val="none"/>
        </w:rPr>
        <w:t>人</w:t>
      </w:r>
      <w:r>
        <w:rPr>
          <w:rFonts w:hint="eastAsia" w:ascii="宋体" w:hAnsi="宋体" w:cs="宋体"/>
          <w:color w:val="auto"/>
          <w:sz w:val="24"/>
          <w:highlight w:val="none"/>
        </w:rPr>
        <w:t>自备、自费运到现场，完工后自费搬走。</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.3安装完成后，进行调试、验收按国家有关规范标准（国家无验收规范标准的按双方合同规定的要求）进行。</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.4设备的拆箱、通电、调试等各项工作由投标人负责，但必须在招标人指定人员的参与下进行。在实际实施前必须先经招标人同意方可进行。调试的原始记录须经各方签字后作为验收的文件之一。</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.5所有的招标设备应按照国家有关技术标准在制造厂检查和试验合格，以表明其运行性能、安全性能以及设备材料和结构在电气、机械上的完整性。</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.技术培训</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.1投标人须对招标人及所属企业的技术人员培训。投标人须在投标文件中提供详细的培训计划，包括培训内容、培训时间、培训费用等。</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.2投标人提供的负责培训的人员应具备同类设备二年及以上的经验。</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.3技术培训费用应包含在投标总价中。</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.4技术培训至少应包括下列内容：</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.4.1原理、构成和功能的描述。</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.4.2常见故障的处理或排除。</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.4.3各系统部件（设备）的检查、调整和维护。</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rPr>
        <w:t>.4.4对使用者关于设备基本操作技能的培训。</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4</w:t>
      </w:r>
      <w:r>
        <w:rPr>
          <w:rFonts w:hint="eastAsia" w:ascii="宋体" w:hAnsi="宋体" w:cs="宋体"/>
          <w:color w:val="auto"/>
          <w:sz w:val="24"/>
          <w:highlight w:val="none"/>
        </w:rPr>
        <w:t>.售后服务</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4</w:t>
      </w:r>
      <w:r>
        <w:rPr>
          <w:rFonts w:hint="eastAsia" w:ascii="宋体" w:hAnsi="宋体" w:cs="宋体"/>
          <w:color w:val="auto"/>
          <w:sz w:val="24"/>
          <w:highlight w:val="none"/>
        </w:rPr>
        <w:t>.1</w:t>
      </w:r>
      <w:bookmarkStart w:id="47" w:name="OLE_LINK14"/>
      <w:r>
        <w:rPr>
          <w:rFonts w:hint="eastAsia" w:ascii="宋体" w:hAnsi="宋体" w:cs="宋体"/>
          <w:color w:val="auto"/>
          <w:sz w:val="24"/>
          <w:highlight w:val="none"/>
        </w:rPr>
        <w:t>投标人须对投标存储设备、网关设备提供经调试、试运行、验收合格后至少</w:t>
      </w:r>
      <w:r>
        <w:rPr>
          <w:rFonts w:hint="eastAsia" w:hAnsi="宋体" w:cs="宋体"/>
          <w:color w:val="auto"/>
          <w:sz w:val="24"/>
          <w:highlight w:val="none"/>
          <w:u w:val="single"/>
          <w:lang w:val="en-US" w:eastAsia="zh-CN"/>
        </w:rPr>
        <w:t xml:space="preserve"> 3 </w:t>
      </w:r>
      <w:r>
        <w:rPr>
          <w:rFonts w:hint="eastAsia" w:ascii="宋体" w:hAnsi="宋体" w:cs="宋体"/>
          <w:color w:val="auto"/>
          <w:sz w:val="24"/>
          <w:highlight w:val="none"/>
        </w:rPr>
        <w:t>年的设备制造商原厂质保期(投标人可根据自身实力做出更长时间的质保承诺)</w:t>
      </w:r>
      <w:bookmarkEnd w:id="47"/>
      <w:r>
        <w:rPr>
          <w:rFonts w:hint="eastAsia" w:ascii="宋体" w:hAnsi="宋体" w:cs="宋体"/>
          <w:color w:val="auto"/>
          <w:sz w:val="24"/>
          <w:highlight w:val="none"/>
        </w:rPr>
        <w:t>。在此期间，投标人应免费处理因质量发生的故障。</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4</w:t>
      </w:r>
      <w:r>
        <w:rPr>
          <w:rFonts w:hint="eastAsia" w:ascii="宋体" w:hAnsi="宋体" w:cs="宋体"/>
          <w:color w:val="auto"/>
          <w:sz w:val="24"/>
          <w:highlight w:val="none"/>
        </w:rPr>
        <w:t>.2投标人必须有可靠的售后服务保障包括但不限于在绍兴附近有固定的维修服务点，能提供正常的技术、备品备件服务。质保期内，中标人在接到招标人通知后，</w:t>
      </w:r>
      <w:r>
        <w:rPr>
          <w:rFonts w:hint="eastAsia" w:ascii="宋体" w:hAnsi="宋体" w:eastAsia="宋体" w:cs="宋体"/>
          <w:b w:val="0"/>
          <w:bCs w:val="0"/>
          <w:color w:val="auto"/>
          <w:sz w:val="24"/>
          <w:highlight w:val="none"/>
          <w:lang w:val="en-US" w:eastAsia="zh-CN"/>
        </w:rPr>
        <w:t>30分钟内对常规问题进行实质性响应</w:t>
      </w:r>
      <w:r>
        <w:rPr>
          <w:rFonts w:hint="eastAsia" w:hAnsi="宋体" w:cs="宋体"/>
          <w:b w:val="0"/>
          <w:bCs w:val="0"/>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小时内派人赴现场处理设备质量问题</w:t>
      </w:r>
      <w:r>
        <w:rPr>
          <w:rFonts w:hint="eastAsia" w:hAnsi="宋体" w:cs="宋体"/>
          <w:color w:val="auto"/>
          <w:sz w:val="24"/>
          <w:highlight w:val="none"/>
          <w:lang w:eastAsia="zh-CN"/>
        </w:rPr>
        <w:t>，</w:t>
      </w:r>
      <w:r>
        <w:rPr>
          <w:rFonts w:hint="eastAsia" w:ascii="宋体" w:hAnsi="宋体" w:eastAsia="宋体" w:cs="宋体"/>
          <w:b w:val="0"/>
          <w:bCs w:val="0"/>
          <w:color w:val="auto"/>
          <w:sz w:val="24"/>
          <w:highlight w:val="none"/>
          <w:lang w:val="en-US" w:eastAsia="zh-CN"/>
        </w:rPr>
        <w:t>最迟在6小时内排除故障</w:t>
      </w:r>
      <w:r>
        <w:rPr>
          <w:rFonts w:hint="eastAsia" w:ascii="宋体" w:hAnsi="宋体" w:cs="宋体"/>
          <w:color w:val="auto"/>
          <w:sz w:val="24"/>
          <w:highlight w:val="none"/>
        </w:rPr>
        <w:t>。24小时内不能修复的，中标人需无偿提供备机或备用零件供招标人使用，且备品备件必须在48小时内送达现场，并负责安装调试。中标人未及时进行维修的，招标人有权另行委托第三方对设备进行维修，所产生所有费用均由中标人承担。中标人未按本标书要求履行保修义务，每次应承担1000元的违约金，该款在质保金中扣除，不足的由中标人另行支付，对招标人造成损失的，所有费用均由中标人承担，款项在质保金中扣除，不足的由中标人另行支付。</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5</w:t>
      </w:r>
      <w:r>
        <w:rPr>
          <w:rFonts w:hint="eastAsia" w:ascii="宋体" w:hAnsi="宋体" w:cs="宋体"/>
          <w:color w:val="auto"/>
          <w:sz w:val="24"/>
          <w:highlight w:val="none"/>
        </w:rPr>
        <w:t>.服务要求</w:t>
      </w:r>
    </w:p>
    <w:p>
      <w:pPr>
        <w:pStyle w:val="9"/>
        <w:spacing w:line="360" w:lineRule="auto"/>
        <w:ind w:firstLine="480"/>
        <w:rPr>
          <w:rFonts w:hint="eastAsia" w:ascii="宋体" w:hAnsi="宋体" w:cs="宋体"/>
          <w:color w:val="auto"/>
          <w:sz w:val="24"/>
          <w:highlight w:val="none"/>
        </w:rPr>
      </w:pPr>
      <w:r>
        <w:rPr>
          <w:rFonts w:hint="eastAsia" w:hAnsi="宋体" w:cs="宋体"/>
          <w:color w:val="auto"/>
          <w:sz w:val="24"/>
          <w:highlight w:val="none"/>
          <w:lang w:val="en-US" w:eastAsia="zh-CN"/>
        </w:rPr>
        <w:t>5</w:t>
      </w:r>
      <w:r>
        <w:rPr>
          <w:rFonts w:hint="eastAsia" w:ascii="宋体" w:hAnsi="宋体" w:cs="宋体"/>
          <w:color w:val="auto"/>
          <w:sz w:val="24"/>
          <w:highlight w:val="none"/>
        </w:rPr>
        <w:t>.1设备保修期内（各标项内已有要求的除外），如出现故障，投标人在接到电话</w:t>
      </w:r>
      <w:r>
        <w:rPr>
          <w:rFonts w:hint="eastAsia" w:hAnsi="宋体" w:cs="宋体"/>
          <w:color w:val="auto"/>
          <w:sz w:val="24"/>
          <w:highlight w:val="none"/>
          <w:lang w:val="en-US" w:eastAsia="zh-CN"/>
        </w:rPr>
        <w:t>2</w:t>
      </w:r>
      <w:r>
        <w:rPr>
          <w:rFonts w:hint="eastAsia" w:ascii="宋体" w:hAnsi="宋体" w:cs="宋体"/>
          <w:color w:val="auto"/>
          <w:sz w:val="24"/>
          <w:highlight w:val="none"/>
        </w:rPr>
        <w:t>小时内</w:t>
      </w:r>
      <w:r>
        <w:rPr>
          <w:rFonts w:hint="eastAsia" w:hAnsi="宋体" w:cs="宋体"/>
          <w:color w:val="auto"/>
          <w:sz w:val="24"/>
          <w:highlight w:val="none"/>
          <w:lang w:val="en-US" w:eastAsia="zh-CN"/>
        </w:rPr>
        <w:t>派人</w:t>
      </w:r>
      <w:r>
        <w:rPr>
          <w:rFonts w:hint="eastAsia" w:ascii="宋体" w:hAnsi="宋体" w:cs="宋体"/>
          <w:color w:val="auto"/>
          <w:sz w:val="24"/>
          <w:highlight w:val="none"/>
        </w:rPr>
        <w:t>到达招标人指定地点，</w:t>
      </w:r>
    </w:p>
    <w:p>
      <w:pPr>
        <w:pStyle w:val="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 投标人提供的设备，必须符合招标文件及其投标文件规定的要求，如有不符，招标人可以无条件退货，造成的损失由中标人承担。</w:t>
      </w:r>
    </w:p>
    <w:p>
      <w:pPr>
        <w:pStyle w:val="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 投标人、供货人名称必须一致，否则作违约处理，其履约保证金或投标保证金不予退还。</w:t>
      </w:r>
    </w:p>
    <w:p>
      <w:pPr>
        <w:pStyle w:val="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6.项目实施人员费用投标人应自行承担选派专业人员的住宿、就餐和交通等费用。</w:t>
      </w:r>
    </w:p>
    <w:p>
      <w:pPr>
        <w:pStyle w:val="131"/>
        <w:tabs>
          <w:tab w:val="left" w:pos="0"/>
        </w:tabs>
        <w:spacing w:before="0" w:line="440" w:lineRule="exact"/>
        <w:ind w:firstLine="0" w:firstLineChars="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二、招标项目设备清单</w:t>
      </w:r>
    </w:p>
    <w:tbl>
      <w:tblPr>
        <w:tblStyle w:val="6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07"/>
        <w:gridCol w:w="1190"/>
        <w:gridCol w:w="5580"/>
        <w:gridCol w:w="50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52"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07"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1190"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推荐品牌</w:t>
            </w:r>
          </w:p>
        </w:tc>
        <w:tc>
          <w:tcPr>
            <w:tcW w:w="5580"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主要配置/功能</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（具体以设备技术参数为准）</w:t>
            </w:r>
          </w:p>
        </w:tc>
        <w:tc>
          <w:tcPr>
            <w:tcW w:w="502"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6" w:type="dxa"/>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上限价</w:t>
            </w:r>
          </w:p>
          <w:p>
            <w:pPr>
              <w:pStyle w:val="8"/>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5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7"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存储</w:t>
            </w:r>
            <w:r>
              <w:rPr>
                <w:rFonts w:hint="eastAsia" w:ascii="宋体" w:hAnsi="宋体" w:eastAsia="宋体" w:cs="宋体"/>
                <w:color w:val="auto"/>
                <w:sz w:val="21"/>
                <w:szCs w:val="21"/>
                <w:highlight w:val="none"/>
                <w:lang w:val="en-US" w:eastAsia="zh-CN"/>
              </w:rPr>
              <w:t>扩展柜</w:t>
            </w:r>
          </w:p>
        </w:tc>
        <w:tc>
          <w:tcPr>
            <w:tcW w:w="1190" w:type="dxa"/>
            <w:noWrap w:val="0"/>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详见技术参数</w:t>
            </w:r>
          </w:p>
        </w:tc>
        <w:tc>
          <w:tcPr>
            <w:tcW w:w="5580" w:type="dxa"/>
            <w:noWrap w:val="0"/>
            <w:vAlign w:val="top"/>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1）容量配置≥24块1.92TB NVMe SSD</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）设备高度≥2U，标配冗余电源≥2，标配原厂导轨</w:t>
            </w:r>
          </w:p>
        </w:tc>
        <w:tc>
          <w:tcPr>
            <w:tcW w:w="50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5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84.4</w:t>
            </w:r>
          </w:p>
        </w:tc>
      </w:tr>
    </w:tbl>
    <w:p>
      <w:pPr>
        <w:pStyle w:val="131"/>
        <w:tabs>
          <w:tab w:val="left" w:pos="0"/>
        </w:tabs>
        <w:spacing w:before="0" w:line="440" w:lineRule="exact"/>
        <w:ind w:firstLine="0" w:firstLineChars="0"/>
        <w:rPr>
          <w:rFonts w:hint="default" w:ascii="宋体" w:hAnsi="宋体" w:eastAsia="宋体" w:cs="宋体"/>
          <w:color w:val="auto"/>
          <w:szCs w:val="24"/>
          <w:highlight w:val="none"/>
        </w:rPr>
      </w:pPr>
      <w:r>
        <w:rPr>
          <w:rFonts w:hint="eastAsia" w:ascii="宋体" w:hAnsi="宋体" w:cs="宋体"/>
          <w:color w:val="auto"/>
          <w:szCs w:val="24"/>
          <w:highlight w:val="none"/>
          <w:lang w:val="en-US" w:eastAsia="zh-CN"/>
        </w:rPr>
        <w:t>三、设备技术参数</w:t>
      </w:r>
    </w:p>
    <w:tbl>
      <w:tblPr>
        <w:tblStyle w:val="63"/>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46"/>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746" w:type="dxa"/>
            <w:noWrap w:val="0"/>
            <w:vAlign w:val="top"/>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功能项</w:t>
            </w:r>
          </w:p>
        </w:tc>
        <w:tc>
          <w:tcPr>
            <w:tcW w:w="7485" w:type="dxa"/>
            <w:noWrap w:val="0"/>
            <w:vAlign w:val="top"/>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1</w:t>
            </w:r>
          </w:p>
        </w:tc>
        <w:tc>
          <w:tcPr>
            <w:tcW w:w="1746"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品牌要求</w:t>
            </w:r>
          </w:p>
        </w:tc>
        <w:tc>
          <w:tcPr>
            <w:tcW w:w="7485" w:type="dxa"/>
            <w:noWrap w:val="0"/>
            <w:vAlign w:val="top"/>
          </w:tcPr>
          <w:p>
            <w:pPr>
              <w:pStyle w:val="35"/>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当前在用设备为H3C品牌，要求所投产品能完全兼容现有设备，实现资源的统一管理。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17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存储架构</w:t>
            </w:r>
          </w:p>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smallCaps w:val="0"/>
                <w:color w:val="auto"/>
                <w:spacing w:val="0"/>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1）存储架构专为高性能环境和高可用存储场景设计，全冗余配置，性能无损；在单控制器故障、更换、升级、自动切换的情况下，存储系统性能不受影响；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多控制器架构，多个控制器之间采用PCI-E、RDMA或Infiniband总线全网状互联，要求非万兆网络或FC链路互联模式。当多控时，支持控制节点与数据节点独立分离部署且节点之间全活互联，可独立添加和减少控制或数据节点，灵活部署容量和性能资源；（要求官网截图证明存储阵列采用架构设计满足要求，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▲3）专为NVMe全闪存设计，支持高端NVMe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4）采用NVDIMM非易失性缓存，通过对写入不同大小的数据块进行整理和聚合，实现条带顺序写入后端介质，极速提升随机写入效率；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5）支持三盘校验，同一RAID组内，当任意三块数据磁盘(不含热备盘)发生失效或故障时，数据不丢失；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6）支持盘内校验，即使失去Raid保护后，也从不可恢复的读取错误（URE）中恢复；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tcBorders>
              <w:bottom w:val="single" w:color="000000" w:sz="8" w:space="0"/>
            </w:tcBorders>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p>
        </w:tc>
        <w:tc>
          <w:tcPr>
            <w:tcW w:w="7485" w:type="dxa"/>
            <w:tcBorders>
              <w:top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7）设备高度≥2U，标配冗余电源≥2，标配原厂导轨；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tcBorders>
              <w:top w:val="single" w:color="000000" w:sz="8" w:space="0"/>
              <w:bottom w:val="single" w:color="000000" w:sz="8" w:space="0"/>
            </w:tcBorders>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bidi="ar"/>
              </w:rPr>
            </w:pPr>
            <w:r>
              <w:rPr>
                <w:rFonts w:hint="eastAsia" w:hAnsi="宋体" w:eastAsia="宋体" w:cs="宋体"/>
                <w:color w:val="auto"/>
                <w:kern w:val="0"/>
                <w:sz w:val="22"/>
                <w:szCs w:val="22"/>
                <w:highlight w:val="none"/>
                <w:lang w:val="en-US" w:eastAsia="zh-CN" w:bidi="ar"/>
              </w:rPr>
              <w:t>容量配置</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mallCaps w:val="0"/>
                <w:color w:val="auto"/>
                <w:spacing w:val="0"/>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★容量：单台配置≥24块1.92TB NVMe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restart"/>
            <w:tcBorders>
              <w:top w:val="single" w:color="000000" w:sz="8" w:space="0"/>
            </w:tcBorders>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性能要求</w:t>
            </w:r>
          </w:p>
        </w:tc>
        <w:tc>
          <w:tcPr>
            <w:tcW w:w="7485" w:type="dxa"/>
            <w:tcBorders>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color w:val="auto"/>
                <w:sz w:val="21"/>
                <w:szCs w:val="24"/>
                <w:highlight w:val="none"/>
                <w:lang w:val="zh-TW" w:eastAsia="zh-CN"/>
              </w:rPr>
            </w:pPr>
            <w:r>
              <w:rPr>
                <w:rFonts w:hint="eastAsia" w:ascii="宋体" w:hAnsi="宋体" w:eastAsia="宋体" w:cs="宋体"/>
                <w:color w:val="auto"/>
                <w:kern w:val="0"/>
                <w:sz w:val="22"/>
                <w:szCs w:val="22"/>
                <w:highlight w:val="none"/>
                <w:lang w:val="en-US" w:eastAsia="zh-CN"/>
              </w:rPr>
              <w:t>▲1）满足服务稳定性要求，当单一存储控制器发生故障时，系统IOPS性能数值≥140000 IOPS，访问延迟≤0.5ms (实现条件：使用vdbench软件，条件同时满足4KB数据块、100%随机写入操作、开启2倍以上的实时重删压缩)；（要求提供CNAS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CMA认证的第三方测试报告证明访问延迟≤0.5ms ，并加盖投标人公章）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en-US" w:eastAsia="zh-CN"/>
              </w:rPr>
              <w:t>▲2）开启重删、压缩、快照功能，存储系统性能不受影响；（要求官网截图及CNAS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CMA认证的第三方测试报告证明用户可自定义开启或关闭重删压缩功能，开启重删、压缩功能，存储系统性能不受影响，并加盖投标人公章）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en-US" w:eastAsia="zh-CN"/>
              </w:rPr>
              <w:t>3）支持在线微码（固件）升级，且升级过程业务不中断，IOPS 性能及访问延时不受影响；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en-US" w:eastAsia="zh-CN"/>
              </w:rPr>
              <w:t>4）支持ROW快照，开启快照功能，存储系统性能都完全不会受到影响；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en-US" w:eastAsia="zh-CN"/>
              </w:rPr>
              <w:t>5）开启克隆对存储IOPS 性能及访问延时不受影响，且克隆时不会增加存储系统整体容量；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zh-TW" w:eastAsia="zh-CN"/>
              </w:rPr>
              <w:t>6）在配置双控制器时，具备三份缓存数据副本保护的能力，最大化保证缓存数据不丢失，提高数据可用性</w:t>
            </w:r>
            <w:r>
              <w:rPr>
                <w:rFonts w:hint="eastAsia" w:ascii="宋体" w:hAnsi="宋体" w:eastAsia="宋体" w:cs="宋体"/>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zh-TW" w:eastAsia="zh-CN"/>
              </w:rPr>
              <w:t>7）存储具备独立式缓存掉电保护机制，当系统意外掉电时，无需BBU和电容参与仍可以保证缓存数据不丢失，应用数据一致且持续可用，消除电池或电容的故障导致缓存数据丢失的风险</w:t>
            </w:r>
            <w:r>
              <w:rPr>
                <w:rFonts w:hint="eastAsia" w:ascii="宋体" w:hAnsi="宋体" w:eastAsia="宋体" w:cs="宋体"/>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2"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p>
        </w:tc>
        <w:tc>
          <w:tcPr>
            <w:tcW w:w="1746"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p>
        </w:tc>
        <w:tc>
          <w:tcPr>
            <w:tcW w:w="7485" w:type="dxa"/>
            <w:tcBorders>
              <w:top w:val="single" w:color="000000" w:sz="8"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zh-TW" w:eastAsia="zh-CN"/>
              </w:rPr>
            </w:pPr>
            <w:r>
              <w:rPr>
                <w:rFonts w:hint="eastAsia" w:ascii="宋体" w:hAnsi="宋体" w:eastAsia="宋体" w:cs="宋体"/>
                <w:color w:val="auto"/>
                <w:kern w:val="0"/>
                <w:sz w:val="22"/>
                <w:szCs w:val="22"/>
                <w:highlight w:val="none"/>
                <w:lang w:val="zh-TW" w:eastAsia="zh-CN"/>
              </w:rPr>
              <w:t>8）存储提供双控LUN数量≥64k。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软件授权</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smallCaps w:val="0"/>
                <w:color w:val="auto"/>
                <w:spacing w:val="0"/>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★全包式软件许可，包含所有基础版、高级版授权，无容量、数量等限制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快照授权</w:t>
            </w:r>
          </w:p>
        </w:tc>
        <w:tc>
          <w:tcPr>
            <w:tcW w:w="748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配置数据快照、数据快速恢复许可证，无容量限制。数据快照无性能影响。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5</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克隆授权</w:t>
            </w:r>
          </w:p>
        </w:tc>
        <w:tc>
          <w:tcPr>
            <w:tcW w:w="748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配置数据快速零拷贝克隆许可证，无容量限制。数据克隆无性能影响。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6</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重删压缩授权</w:t>
            </w:r>
          </w:p>
        </w:tc>
        <w:tc>
          <w:tcPr>
            <w:tcW w:w="748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配置重删压缩许可证，无容量限制。重删压缩性能无损。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7</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容灾复制授权</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配置数据容灾复制功能许可证，无容量限制。要求支持存储系统之间、存储系统到存储集群、存储集群之间的多对一数据复制、双向数据复制。要求对Oracle, Exchange, MS Sql Server等应用必须配置一致性数据卷组(Consistency Group)保护功能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8</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双活授权</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配置双活功能许可，无容量限制，在不加额外网关或双活节点硬件的情况下可以实现存储系统的双活，在一台阵列故障的情况下，主机IO访问可以无缝切换到另外一台阵列而不会中断业务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9</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精简配置</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配置精简配置功能，无容量限制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10</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集群负载均衡</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配置存储集群负载均衡管理软件，无客户端及容量限制。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hAnsi="宋体" w:cs="宋体"/>
                <w:color w:val="auto"/>
                <w:sz w:val="22"/>
                <w:szCs w:val="22"/>
                <w:highlight w:val="none"/>
                <w:lang w:val="en-US" w:eastAsia="zh-CN"/>
              </w:rPr>
              <w:t>1</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配置管理</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配置图形化管理界面，配置命令行及存储集群统一图形化管理界面，支持日志监控及审计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12</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操作系统</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支持MS Windows、VMware ESX、Linux、AIX、PowerVM、HP UNIX、Solaris、Oracle Linux、Oracle VM等多种操作系统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13</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平台对接</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支持REST API、OpenStack、Hadoop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14</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应用集成</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支持VMware VAAI、SRM、vCenter、vVols、Oracle、SAP、SAP HANA TDI、CITRIX、MS ODX、MS HyperV、MC SCVMM、CommVault等集成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15</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虚机与存储之间性能瓶颈确认</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2"/>
                <w:szCs w:val="22"/>
                <w:highlight w:val="none"/>
                <w:lang w:val="en-US" w:eastAsia="zh-CN"/>
              </w:rPr>
              <w:t>支持 VMware、Hyper-V Cross Stack分析，能够定位虚拟机到存储之间性能瓶颈所在，可以看到主机、网络、存储端分别 IOPS、时延、带宽占用情况（要求提供CNAS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CMA认证的第三方测试报告佐证并加盖投标人公章）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hAnsi="宋体" w:cs="宋体"/>
                <w:color w:val="auto"/>
                <w:sz w:val="22"/>
                <w:szCs w:val="22"/>
                <w:highlight w:val="none"/>
                <w:lang w:val="en-US" w:eastAsia="zh-CN"/>
              </w:rPr>
              <w:t>6</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虚机性能和容量分析</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2"/>
                <w:szCs w:val="22"/>
                <w:highlight w:val="none"/>
                <w:lang w:val="en-US" w:eastAsia="zh-CN"/>
              </w:rPr>
              <w:t>支持树状图分析每个虚机占用的性能和容量，能够准确发现环境中吵闹的邻居，优化存储性能（要求提供CNAS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CMA认证的第三方测试报告佐证并加盖投标人公章）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17</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智能数据缩减策略</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支持根据应用类型，智能创建不同的数据缩减策略，提供不少于25种应用策略（要求提供CNAS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CMA认证的第三方测试报告佐证并加盖投标人公章）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hAnsi="宋体" w:cs="宋体"/>
                <w:color w:val="auto"/>
                <w:sz w:val="22"/>
                <w:szCs w:val="22"/>
                <w:highlight w:val="none"/>
                <w:lang w:val="en-US" w:eastAsia="zh-CN"/>
              </w:rPr>
              <w:t>8</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性能推荐</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 AI 性能推荐功能，使用后台机器学习模块分析性能问题并提供具体的解决性能问题的方案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hAnsi="宋体" w:cs="宋体"/>
                <w:color w:val="auto"/>
                <w:sz w:val="22"/>
                <w:szCs w:val="22"/>
                <w:highlight w:val="none"/>
                <w:lang w:val="en-US" w:eastAsia="zh-CN"/>
              </w:rPr>
              <w:t>9</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跨堆栈推荐</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2"/>
                <w:szCs w:val="22"/>
                <w:highlight w:val="none"/>
                <w:lang w:val="en-US" w:eastAsia="zh-CN"/>
              </w:rPr>
              <w:t>提供基于 VMware 虚拟化环境的 20 种跨主机、存储、存储网络、Datastore 和虚拟机层的性能分析(包含 MBPS 限流、SSD 带宽饱和度、随机读缓存未命中、存储 CPU 饱和度、顺序 IO 争用、顺序读缓存未命、硬盘带宽饱和度、网络瓶颈)（要求提供CNAS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CMA认证的第三方测试报告佐证并加盖投标人公章）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20</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智能升级推荐</w:t>
            </w:r>
          </w:p>
        </w:tc>
        <w:tc>
          <w:tcPr>
            <w:tcW w:w="74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支持按照最近 4周的性能和容量运行状况进行智能升级包括控制器升级、Cache 和容量扩展推荐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21</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卷应用属性</w:t>
            </w:r>
          </w:p>
        </w:tc>
        <w:tc>
          <w:tcPr>
            <w:tcW w:w="748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支持LUN应用属性，支持按照应用程序展示卷、容量及性能信息（要求提供CNAS</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CMA认证的第三方测试报告佐证并加盖投标人公章）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hAnsi="宋体" w:cs="宋体"/>
                <w:color w:val="auto"/>
                <w:sz w:val="22"/>
                <w:szCs w:val="22"/>
                <w:highlight w:val="none"/>
                <w:lang w:val="en-US" w:eastAsia="zh-CN"/>
              </w:rPr>
              <w:t>2</w:t>
            </w:r>
          </w:p>
        </w:tc>
        <w:tc>
          <w:tcPr>
            <w:tcW w:w="1746" w:type="dxa"/>
            <w:noWrap w:val="0"/>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售后服务</w:t>
            </w:r>
          </w:p>
        </w:tc>
        <w:tc>
          <w:tcPr>
            <w:tcW w:w="7485" w:type="dxa"/>
            <w:noWrap w:val="0"/>
            <w:vAlign w:val="top"/>
          </w:tcPr>
          <w:p>
            <w:pPr>
              <w:pStyle w:val="35"/>
              <w:keepNext w:val="0"/>
              <w:keepLines w:val="0"/>
              <w:pageBreakBefore w:val="0"/>
              <w:widowControl w:val="0"/>
              <w:kinsoku/>
              <w:wordWrap/>
              <w:overflowPunct/>
              <w:topLinePunct w:val="0"/>
              <w:autoSpaceDE/>
              <w:autoSpaceDN/>
              <w:bidi w:val="0"/>
              <w:adjustRightInd w:val="0"/>
              <w:snapToGrid/>
              <w:spacing w:before="100" w:beforeAutospacing="1" w:after="100" w:afterAutospacing="1" w:line="360" w:lineRule="auto"/>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2"/>
                <w:szCs w:val="22"/>
                <w:highlight w:val="none"/>
              </w:rPr>
              <w:t>售后服务：提供</w:t>
            </w:r>
            <w:r>
              <w:rPr>
                <w:rFonts w:hint="eastAsia" w:hAnsi="宋体" w:eastAsia="宋体" w:cs="宋体"/>
                <w:color w:val="auto"/>
                <w:sz w:val="22"/>
                <w:szCs w:val="22"/>
                <w:highlight w:val="none"/>
                <w:lang w:val="en-US" w:eastAsia="zh-CN"/>
              </w:rPr>
              <w:t>不少于</w:t>
            </w:r>
            <w:r>
              <w:rPr>
                <w:rFonts w:hint="eastAsia" w:ascii="宋体" w:hAnsi="宋体" w:eastAsia="宋体" w:cs="宋体"/>
                <w:color w:val="auto"/>
                <w:sz w:val="22"/>
                <w:szCs w:val="22"/>
                <w:highlight w:val="none"/>
              </w:rPr>
              <w:t>3年</w:t>
            </w:r>
            <w:r>
              <w:rPr>
                <w:rFonts w:hint="eastAsia" w:hAnsi="宋体" w:eastAsia="宋体" w:cs="宋体"/>
                <w:color w:val="auto"/>
                <w:sz w:val="22"/>
                <w:szCs w:val="22"/>
                <w:highlight w:val="none"/>
                <w:lang w:val="en-US" w:eastAsia="zh-CN"/>
              </w:rPr>
              <w:t>原厂</w:t>
            </w:r>
            <w:r>
              <w:rPr>
                <w:rFonts w:hint="eastAsia" w:ascii="宋体" w:hAnsi="宋体" w:eastAsia="宋体" w:cs="宋体"/>
                <w:color w:val="auto"/>
                <w:sz w:val="22"/>
                <w:szCs w:val="22"/>
                <w:highlight w:val="none"/>
              </w:rPr>
              <w:t>专业支持服务</w:t>
            </w:r>
            <w:r>
              <w:rPr>
                <w:rFonts w:hint="eastAsia"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安装服务：（7x24）电话支持、远程支持等和关键任务: (7x24) 4小时上门服务。</w:t>
            </w:r>
            <w:r>
              <w:rPr>
                <w:rFonts w:hint="eastAsia" w:hAnsi="宋体" w:eastAsia="宋体" w:cs="宋体"/>
                <w:color w:val="auto"/>
                <w:sz w:val="22"/>
                <w:szCs w:val="22"/>
                <w:highlight w:val="none"/>
                <w:lang w:val="en-US" w:eastAsia="zh-CN"/>
              </w:rPr>
              <w:t>投标时</w:t>
            </w:r>
            <w:r>
              <w:rPr>
                <w:rFonts w:hint="eastAsia" w:ascii="宋体" w:hAnsi="宋体" w:eastAsia="宋体" w:cs="宋体"/>
                <w:color w:val="auto"/>
                <w:sz w:val="22"/>
                <w:szCs w:val="22"/>
                <w:highlight w:val="none"/>
              </w:rPr>
              <w:t>提供设备制造厂商针对本项目的服务承诺函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签订合同前提供设备原厂商针对本项目的授权函原件</w:t>
            </w:r>
            <w:r>
              <w:rPr>
                <w:rFonts w:hint="eastAsia" w:ascii="宋体" w:hAnsi="宋体" w:eastAsia="宋体" w:cs="宋体"/>
                <w:color w:val="auto"/>
                <w:sz w:val="22"/>
                <w:szCs w:val="22"/>
                <w:highlight w:val="none"/>
                <w:lang w:eastAsia="zh-CN"/>
              </w:rPr>
              <w:t>。</w:t>
            </w:r>
          </w:p>
        </w:tc>
      </w:tr>
    </w:tbl>
    <w:p>
      <w:pPr>
        <w:shd w:val="clear"/>
        <w:spacing w:line="360" w:lineRule="auto"/>
        <w:jc w:val="both"/>
        <w:outlineLvl w:val="0"/>
        <w:rPr>
          <w:rFonts w:hint="eastAsia" w:ascii="宋体" w:hAnsi="宋体" w:eastAsia="宋体" w:cs="宋体"/>
          <w:b/>
          <w:i w:val="0"/>
          <w:iCs w:val="0"/>
          <w:color w:val="auto"/>
          <w:sz w:val="36"/>
          <w:szCs w:val="36"/>
          <w:highlight w:val="none"/>
        </w:rPr>
      </w:pPr>
    </w:p>
    <w:p>
      <w:pPr>
        <w:pStyle w:val="8"/>
        <w:rPr>
          <w:rFonts w:hint="eastAsia" w:ascii="宋体" w:hAnsi="宋体" w:eastAsia="宋体" w:cs="宋体"/>
          <w:b/>
          <w:i w:val="0"/>
          <w:iCs w:val="0"/>
          <w:color w:val="auto"/>
          <w:sz w:val="36"/>
          <w:szCs w:val="36"/>
          <w:highlight w:val="none"/>
        </w:rPr>
      </w:pPr>
    </w:p>
    <w:p>
      <w:pPr>
        <w:pStyle w:val="9"/>
        <w:rPr>
          <w:rFonts w:hint="eastAsia" w:ascii="宋体" w:hAnsi="宋体" w:eastAsia="宋体" w:cs="宋体"/>
          <w:b/>
          <w:i w:val="0"/>
          <w:iCs w:val="0"/>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pStyle w:val="9"/>
        <w:rPr>
          <w:rFonts w:hAnsi="宋体" w:cs="宋体"/>
          <w:color w:val="auto"/>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拟签订的合同文本</w:t>
      </w:r>
    </w:p>
    <w:p>
      <w:pPr>
        <w:ind w:firstLine="1200" w:firstLineChars="500"/>
        <w:rPr>
          <w:rFonts w:ascii="宋体" w:hAnsi="宋体" w:cs="宋体"/>
          <w:color w:val="auto"/>
          <w:sz w:val="24"/>
          <w:highlight w:val="none"/>
        </w:rPr>
      </w:pPr>
    </w:p>
    <w:p>
      <w:pPr>
        <w:ind w:firstLine="1200" w:firstLineChars="500"/>
        <w:rPr>
          <w:rFonts w:ascii="宋体" w:hAnsi="宋体" w:cs="宋体"/>
          <w:color w:val="auto"/>
          <w:sz w:val="24"/>
          <w:highlight w:val="none"/>
        </w:rPr>
      </w:pPr>
    </w:p>
    <w:p>
      <w:pPr>
        <w:ind w:firstLine="1200" w:firstLineChars="500"/>
        <w:rPr>
          <w:rFonts w:ascii="宋体" w:hAnsi="宋体" w:cs="宋体"/>
          <w:color w:val="auto"/>
          <w:sz w:val="24"/>
          <w:highlight w:val="none"/>
          <w:u w:val="single"/>
        </w:rPr>
      </w:pPr>
      <w:r>
        <w:rPr>
          <w:rFonts w:hint="eastAsia" w:ascii="宋体" w:hAnsi="宋体" w:cs="宋体"/>
          <w:color w:val="auto"/>
          <w:sz w:val="24"/>
          <w:highlight w:val="none"/>
        </w:rPr>
        <w:t>合同编号：</w:t>
      </w:r>
    </w:p>
    <w:p>
      <w:pPr>
        <w:spacing w:line="480" w:lineRule="auto"/>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ind w:firstLine="3614" w:firstLineChars="150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ind w:left="960" w:firstLine="1200" w:firstLineChars="500"/>
        <w:rPr>
          <w:rFonts w:ascii="宋体" w:hAnsi="宋体" w:cs="宋体"/>
          <w:color w:val="auto"/>
          <w:sz w:val="24"/>
          <w:highlight w:val="none"/>
        </w:rPr>
      </w:pPr>
    </w:p>
    <w:p>
      <w:pPr>
        <w:spacing w:before="120" w:line="22" w:lineRule="atLeast"/>
        <w:ind w:left="960" w:firstLine="1200" w:firstLineChars="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绍</w:t>
      </w:r>
      <w:r>
        <w:rPr>
          <w:rFonts w:hint="eastAsia" w:ascii="宋体" w:hAnsi="宋体" w:cs="宋体"/>
          <w:color w:val="auto"/>
          <w:sz w:val="24"/>
          <w:highlight w:val="none"/>
        </w:rPr>
        <w:t>兴市水务产业有限公司存储空间扩容设备采购项目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线上重招</w:t>
      </w:r>
      <w:r>
        <w:rPr>
          <w:rFonts w:hint="eastAsia" w:ascii="宋体" w:hAnsi="宋体" w:cs="宋体"/>
          <w:color w:val="auto"/>
          <w:sz w:val="24"/>
          <w:highlight w:val="none"/>
          <w:lang w:eastAsia="zh-CN"/>
        </w:rPr>
        <w:t>）</w:t>
      </w:r>
    </w:p>
    <w:p>
      <w:pPr>
        <w:spacing w:before="120" w:line="22" w:lineRule="atLeast"/>
        <w:ind w:left="960" w:firstLine="1084" w:firstLineChars="300"/>
        <w:rPr>
          <w:rFonts w:ascii="宋体" w:hAnsi="宋体" w:cs="宋体"/>
          <w:b/>
          <w:color w:val="auto"/>
          <w:sz w:val="36"/>
          <w:szCs w:val="36"/>
          <w:highlight w:val="none"/>
        </w:rPr>
      </w:pPr>
    </w:p>
    <w:p>
      <w:pPr>
        <w:spacing w:before="120" w:line="22" w:lineRule="atLeast"/>
        <w:ind w:left="960" w:firstLine="1084" w:firstLineChars="300"/>
        <w:rPr>
          <w:rFonts w:ascii="宋体" w:hAnsi="宋体" w:cs="宋体"/>
          <w:color w:val="auto"/>
          <w:sz w:val="24"/>
          <w:highlight w:val="none"/>
          <w:u w:val="single"/>
        </w:rPr>
      </w:pPr>
      <w:r>
        <w:rPr>
          <w:rFonts w:hint="eastAsia" w:ascii="宋体" w:hAnsi="宋体" w:cs="宋体"/>
          <w:b/>
          <w:color w:val="auto"/>
          <w:sz w:val="36"/>
          <w:szCs w:val="36"/>
          <w:highlight w:val="none"/>
        </w:rPr>
        <w:t xml:space="preserve"> </w:t>
      </w:r>
      <w:r>
        <w:rPr>
          <w:rFonts w:hint="eastAsia" w:ascii="宋体" w:hAnsi="宋体" w:cs="宋体"/>
          <w:color w:val="auto"/>
          <w:sz w:val="24"/>
          <w:highlight w:val="none"/>
        </w:rPr>
        <w:t>甲方：绍兴市水务产业有限公司</w:t>
      </w:r>
    </w:p>
    <w:p>
      <w:pPr>
        <w:spacing w:before="120" w:line="22" w:lineRule="atLeast"/>
        <w:ind w:left="960" w:firstLine="480" w:firstLineChars="200"/>
        <w:rPr>
          <w:rFonts w:ascii="宋体" w:hAnsi="宋体" w:cs="宋体"/>
          <w:color w:val="auto"/>
          <w:sz w:val="24"/>
          <w:highlight w:val="none"/>
        </w:rPr>
      </w:pPr>
    </w:p>
    <w:p>
      <w:pPr>
        <w:spacing w:before="120" w:line="22" w:lineRule="atLeast"/>
        <w:ind w:left="960" w:firstLine="1200" w:firstLineChars="500"/>
        <w:rPr>
          <w:rFonts w:ascii="宋体" w:hAnsi="宋体" w:cs="宋体"/>
          <w:color w:val="auto"/>
          <w:sz w:val="24"/>
          <w:highlight w:val="none"/>
        </w:rPr>
      </w:pPr>
      <w:r>
        <w:rPr>
          <w:rFonts w:hint="eastAsia" w:ascii="宋体" w:hAnsi="宋体" w:cs="宋体"/>
          <w:color w:val="auto"/>
          <w:sz w:val="24"/>
          <w:highlight w:val="none"/>
        </w:rPr>
        <w:t>乙方：</w:t>
      </w:r>
    </w:p>
    <w:p>
      <w:pPr>
        <w:pStyle w:val="8"/>
        <w:rPr>
          <w:rFonts w:ascii="宋体" w:hAnsi="宋体" w:eastAsia="宋体" w:cs="宋体"/>
          <w:color w:val="auto"/>
          <w:sz w:val="24"/>
          <w:highlight w:val="none"/>
        </w:rPr>
      </w:pPr>
    </w:p>
    <w:p>
      <w:pPr>
        <w:spacing w:before="120" w:line="22" w:lineRule="atLeast"/>
        <w:ind w:firstLine="2160" w:firstLineChars="900"/>
        <w:rPr>
          <w:rFonts w:ascii="宋体" w:hAnsi="宋体" w:cs="宋体"/>
          <w:color w:val="auto"/>
          <w:sz w:val="24"/>
          <w:highlight w:val="none"/>
        </w:rPr>
      </w:pPr>
      <w:r>
        <w:rPr>
          <w:rFonts w:hint="eastAsia" w:ascii="宋体" w:hAnsi="宋体" w:cs="宋体"/>
          <w:color w:val="auto"/>
          <w:sz w:val="24"/>
          <w:highlight w:val="none"/>
        </w:rPr>
        <w:t>签订地：绍兴市水务产业有限公司</w:t>
      </w:r>
    </w:p>
    <w:p>
      <w:pPr>
        <w:spacing w:before="120" w:line="22" w:lineRule="atLeast"/>
        <w:ind w:firstLine="2160" w:firstLineChars="900"/>
        <w:rPr>
          <w:rFonts w:ascii="宋体" w:hAnsi="宋体" w:cs="宋体"/>
          <w:color w:val="auto"/>
          <w:sz w:val="24"/>
          <w:highlight w:val="none"/>
        </w:rPr>
      </w:pPr>
    </w:p>
    <w:p>
      <w:pPr>
        <w:spacing w:before="120" w:line="22" w:lineRule="atLeast"/>
        <w:ind w:firstLine="2160" w:firstLineChars="900"/>
        <w:rPr>
          <w:rFonts w:ascii="宋体" w:hAnsi="宋体" w:cs="宋体"/>
          <w:color w:val="auto"/>
          <w:sz w:val="24"/>
          <w:highlight w:val="none"/>
          <w:u w:val="single"/>
        </w:rPr>
      </w:pPr>
      <w:r>
        <w:rPr>
          <w:rFonts w:hint="eastAsia" w:ascii="宋体" w:hAnsi="宋体" w:cs="宋体"/>
          <w:color w:val="auto"/>
          <w:sz w:val="24"/>
          <w:highlight w:val="none"/>
        </w:rPr>
        <w:t>签订日期：2025年  月  日</w:t>
      </w:r>
    </w:p>
    <w:p>
      <w:pPr>
        <w:rPr>
          <w:rFonts w:ascii="宋体" w:hAnsi="宋体" w:cs="宋体"/>
          <w:color w:val="auto"/>
          <w:highlight w:val="none"/>
        </w:rPr>
      </w:pPr>
    </w:p>
    <w:p>
      <w:pPr>
        <w:rPr>
          <w:rFonts w:ascii="宋体" w:hAnsi="宋体" w:cs="宋体"/>
          <w:color w:val="auto"/>
          <w:highlight w:val="none"/>
        </w:rPr>
      </w:pPr>
    </w:p>
    <w:p>
      <w:pPr>
        <w:pStyle w:val="8"/>
        <w:rPr>
          <w:rFonts w:ascii="宋体" w:hAnsi="宋体" w:eastAsia="宋体" w:cs="宋体"/>
          <w:color w:val="auto"/>
          <w:highlight w:val="none"/>
          <w:lang w:val="en-US"/>
        </w:rPr>
      </w:pPr>
    </w:p>
    <w:p>
      <w:pPr>
        <w:spacing w:line="480" w:lineRule="auto"/>
        <w:jc w:val="center"/>
        <w:rPr>
          <w:rFonts w:ascii="宋体" w:hAnsi="宋体" w:cs="宋体"/>
          <w:b/>
          <w:color w:val="auto"/>
          <w:sz w:val="36"/>
          <w:szCs w:val="36"/>
          <w:highlight w:val="none"/>
        </w:rPr>
      </w:pPr>
    </w:p>
    <w:p>
      <w:pPr>
        <w:spacing w:line="480" w:lineRule="auto"/>
        <w:jc w:val="center"/>
        <w:rPr>
          <w:rFonts w:ascii="宋体" w:hAnsi="宋体" w:cs="宋体"/>
          <w:b/>
          <w:color w:val="auto"/>
          <w:sz w:val="36"/>
          <w:szCs w:val="36"/>
          <w:highlight w:val="none"/>
        </w:rPr>
      </w:pPr>
    </w:p>
    <w:p>
      <w:pPr>
        <w:spacing w:line="560" w:lineRule="exact"/>
        <w:rPr>
          <w:rFonts w:ascii="宋体" w:hAnsi="宋体" w:cs="宋体"/>
          <w:color w:val="auto"/>
          <w:sz w:val="24"/>
          <w:highlight w:val="none"/>
          <w:lang w:val="zh-CN"/>
        </w:rPr>
      </w:pPr>
    </w:p>
    <w:p>
      <w:pPr>
        <w:spacing w:line="560" w:lineRule="exact"/>
        <w:rPr>
          <w:rFonts w:ascii="宋体" w:hAnsi="宋体" w:cs="宋体"/>
          <w:color w:val="auto"/>
          <w:sz w:val="24"/>
          <w:highlight w:val="none"/>
          <w:lang w:val="zh-CN"/>
        </w:r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2025</w:t>
      </w: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绍兴市水务产业有限公司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绍兴市水务产业有限公司存储空间扩容设备采购项目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线上重招</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（ZJRC-202</w:t>
      </w:r>
      <w:r>
        <w:rPr>
          <w:rFonts w:hint="eastAsia" w:ascii="宋体" w:hAnsi="宋体" w:cs="宋体"/>
          <w:color w:val="auto"/>
          <w:sz w:val="24"/>
          <w:highlight w:val="none"/>
          <w:u w:val="single"/>
          <w:lang w:val="en-US" w:eastAsia="zh-CN"/>
        </w:rPr>
        <w:t>5-16</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为该项目中标或者成交供应商。现于中标或者成交通知书发出之日起30天内，按照采购文件确定的事项签订本合同。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绍兴市水务产业有限公司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pStyle w:val="81"/>
        <w:numPr>
          <w:ilvl w:val="0"/>
          <w:numId w:val="4"/>
        </w:numPr>
        <w:wordWrap/>
        <w:spacing w:line="400" w:lineRule="exact"/>
        <w:ind w:left="0"/>
        <w:rPr>
          <w:rFonts w:eastAsia="宋体" w:cs="宋体"/>
          <w:b/>
          <w:color w:val="auto"/>
          <w:kern w:val="2"/>
          <w:sz w:val="24"/>
          <w:szCs w:val="24"/>
          <w:highlight w:val="none"/>
          <w:lang w:val="zh-CN"/>
        </w:rPr>
      </w:pPr>
      <w:r>
        <w:rPr>
          <w:rFonts w:hint="eastAsia" w:eastAsia="宋体" w:cs="宋体"/>
          <w:b/>
          <w:color w:val="auto"/>
          <w:kern w:val="2"/>
          <w:sz w:val="24"/>
          <w:szCs w:val="24"/>
          <w:highlight w:val="none"/>
          <w:lang w:val="en-US" w:eastAsia="zh-CN"/>
        </w:rPr>
        <w:t>采购</w:t>
      </w:r>
      <w:r>
        <w:rPr>
          <w:rFonts w:hint="eastAsia" w:eastAsia="宋体" w:cs="宋体"/>
          <w:b/>
          <w:color w:val="auto"/>
          <w:kern w:val="2"/>
          <w:sz w:val="24"/>
          <w:szCs w:val="24"/>
          <w:highlight w:val="none"/>
          <w:lang w:val="zh-CN"/>
        </w:rPr>
        <w:t>清单</w:t>
      </w:r>
    </w:p>
    <w:tbl>
      <w:tblPr>
        <w:tblStyle w:val="64"/>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89"/>
        <w:gridCol w:w="2579"/>
        <w:gridCol w:w="1045"/>
        <w:gridCol w:w="966"/>
        <w:gridCol w:w="1253"/>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序号</w:t>
            </w:r>
          </w:p>
        </w:tc>
        <w:tc>
          <w:tcPr>
            <w:tcW w:w="1789" w:type="dxa"/>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设备</w:t>
            </w:r>
            <w:r>
              <w:rPr>
                <w:rFonts w:hint="eastAsia" w:ascii="宋体" w:hAnsi="宋体" w:eastAsia="宋体" w:cs="宋体"/>
                <w:color w:val="auto"/>
                <w:kern w:val="2"/>
                <w:sz w:val="21"/>
                <w:szCs w:val="21"/>
                <w:highlight w:val="none"/>
                <w:lang w:val="zh-CN"/>
              </w:rPr>
              <w:t>名称</w:t>
            </w:r>
          </w:p>
        </w:tc>
        <w:tc>
          <w:tcPr>
            <w:tcW w:w="2579" w:type="dxa"/>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设备型号及配置</w:t>
            </w:r>
          </w:p>
        </w:tc>
        <w:tc>
          <w:tcPr>
            <w:tcW w:w="1045" w:type="dxa"/>
            <w:vAlign w:val="center"/>
          </w:tcPr>
          <w:p>
            <w:pPr>
              <w:spacing w:line="500" w:lineRule="exact"/>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单位</w:t>
            </w:r>
          </w:p>
        </w:tc>
        <w:tc>
          <w:tcPr>
            <w:tcW w:w="966" w:type="dxa"/>
            <w:vAlign w:val="center"/>
          </w:tcPr>
          <w:p>
            <w:pPr>
              <w:spacing w:line="500" w:lineRule="exact"/>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数量</w:t>
            </w:r>
          </w:p>
        </w:tc>
        <w:tc>
          <w:tcPr>
            <w:tcW w:w="1253" w:type="dxa"/>
            <w:vAlign w:val="center"/>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c>
          <w:tcPr>
            <w:tcW w:w="972" w:type="dxa"/>
            <w:vAlign w:val="center"/>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1789" w:type="dxa"/>
            <w:vAlign w:val="center"/>
          </w:tcPr>
          <w:p>
            <w:pPr>
              <w:spacing w:line="400" w:lineRule="exact"/>
              <w:jc w:val="center"/>
              <w:rPr>
                <w:rFonts w:hint="eastAsia" w:ascii="宋体" w:hAnsi="宋体" w:eastAsia="宋体" w:cs="宋体"/>
                <w:color w:val="auto"/>
                <w:kern w:val="2"/>
                <w:sz w:val="21"/>
                <w:szCs w:val="21"/>
                <w:highlight w:val="none"/>
                <w:lang w:val="zh-CN"/>
              </w:rPr>
            </w:pPr>
            <w:r>
              <w:rPr>
                <w:rFonts w:hint="eastAsia" w:ascii="宋体" w:hAnsi="宋体" w:cs="宋体"/>
                <w:color w:val="auto"/>
                <w:sz w:val="21"/>
                <w:szCs w:val="21"/>
                <w:highlight w:val="none"/>
                <w:lang w:val="en-US" w:eastAsia="zh-CN"/>
              </w:rPr>
              <w:t>存储扩展柜</w:t>
            </w:r>
          </w:p>
        </w:tc>
        <w:tc>
          <w:tcPr>
            <w:tcW w:w="2579" w:type="dxa"/>
            <w:vAlign w:val="center"/>
          </w:tcPr>
          <w:p>
            <w:pPr>
              <w:spacing w:line="400" w:lineRule="exact"/>
              <w:jc w:val="center"/>
              <w:rPr>
                <w:rFonts w:hint="eastAsia" w:ascii="宋体" w:hAnsi="宋体" w:eastAsia="宋体" w:cs="宋体"/>
                <w:color w:val="auto"/>
                <w:kern w:val="2"/>
                <w:sz w:val="21"/>
                <w:szCs w:val="21"/>
                <w:highlight w:val="none"/>
                <w:lang w:val="zh-CN"/>
              </w:rPr>
            </w:pPr>
          </w:p>
        </w:tc>
        <w:tc>
          <w:tcPr>
            <w:tcW w:w="1045" w:type="dxa"/>
            <w:vAlign w:val="center"/>
          </w:tcPr>
          <w:p>
            <w:pPr>
              <w:spacing w:line="400" w:lineRule="exact"/>
              <w:jc w:val="center"/>
              <w:rPr>
                <w:rFonts w:hint="eastAsia" w:ascii="宋体" w:hAnsi="宋体" w:eastAsia="宋体" w:cs="宋体"/>
                <w:color w:val="auto"/>
                <w:kern w:val="2"/>
                <w:sz w:val="21"/>
                <w:szCs w:val="21"/>
                <w:highlight w:val="none"/>
                <w:lang w:val="zh-CN" w:eastAsia="zh-CN"/>
              </w:rPr>
            </w:pPr>
            <w:r>
              <w:rPr>
                <w:rFonts w:hint="eastAsia" w:ascii="宋体" w:hAnsi="宋体" w:cs="宋体"/>
                <w:color w:val="auto"/>
                <w:sz w:val="18"/>
                <w:szCs w:val="18"/>
                <w:highlight w:val="none"/>
                <w:lang w:val="en-US" w:eastAsia="zh-CN"/>
              </w:rPr>
              <w:t>套</w:t>
            </w:r>
          </w:p>
        </w:tc>
        <w:tc>
          <w:tcPr>
            <w:tcW w:w="966" w:type="dxa"/>
            <w:vAlign w:val="center"/>
          </w:tcPr>
          <w:p>
            <w:pPr>
              <w:spacing w:line="400" w:lineRule="exact"/>
              <w:jc w:val="center"/>
              <w:rPr>
                <w:rFonts w:hint="eastAsia" w:ascii="宋体" w:hAnsi="宋体" w:eastAsia="宋体" w:cs="宋体"/>
                <w:color w:val="auto"/>
                <w:kern w:val="2"/>
                <w:sz w:val="21"/>
                <w:szCs w:val="21"/>
                <w:highlight w:val="none"/>
                <w:lang w:val="zh-CN"/>
              </w:rPr>
            </w:pPr>
            <w:r>
              <w:rPr>
                <w:rFonts w:hint="eastAsia" w:ascii="宋体" w:hAnsi="宋体" w:cs="宋体"/>
                <w:color w:val="auto"/>
                <w:sz w:val="18"/>
                <w:szCs w:val="18"/>
                <w:highlight w:val="none"/>
                <w:lang w:val="en-US" w:eastAsia="zh-CN"/>
              </w:rPr>
              <w:t>2</w:t>
            </w:r>
          </w:p>
        </w:tc>
        <w:tc>
          <w:tcPr>
            <w:tcW w:w="1253" w:type="dxa"/>
          </w:tcPr>
          <w:p>
            <w:pPr>
              <w:pStyle w:val="80"/>
              <w:keepNext w:val="0"/>
              <w:keepLines w:val="0"/>
              <w:suppressLineNumbers w:val="0"/>
              <w:spacing w:before="0" w:beforeAutospacing="0" w:after="0" w:afterAutospacing="0" w:line="400" w:lineRule="exact"/>
              <w:ind w:left="0" w:right="0" w:firstLine="367"/>
              <w:jc w:val="both"/>
              <w:rPr>
                <w:rFonts w:hint="eastAsia" w:ascii="宋体" w:hAnsi="宋体" w:eastAsia="宋体" w:cs="宋体"/>
                <w:color w:val="auto"/>
                <w:kern w:val="2"/>
                <w:sz w:val="21"/>
                <w:szCs w:val="21"/>
                <w:highlight w:val="none"/>
                <w:lang w:val="zh-CN"/>
              </w:rPr>
            </w:pPr>
          </w:p>
        </w:tc>
        <w:tc>
          <w:tcPr>
            <w:tcW w:w="972" w:type="dxa"/>
            <w:vAlign w:val="center"/>
          </w:tcPr>
          <w:p>
            <w:pPr>
              <w:spacing w:line="500" w:lineRule="exact"/>
              <w:jc w:val="center"/>
              <w:rPr>
                <w:rFonts w:hint="default" w:ascii="宋体" w:hAnsi="宋体" w:eastAsia="宋体" w:cs="宋体"/>
                <w:color w:val="auto"/>
                <w:kern w:val="2"/>
                <w:sz w:val="21"/>
                <w:szCs w:val="21"/>
                <w:highlight w:val="none"/>
                <w:lang w:val="en-US"/>
              </w:rPr>
            </w:pPr>
            <w:r>
              <w:rPr>
                <w:rFonts w:hint="eastAsia" w:ascii="宋体" w:hAnsi="宋体" w:cs="宋体"/>
                <w:color w:val="auto"/>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015" w:type="dxa"/>
            <w:gridSpan w:val="3"/>
            <w:vAlign w:val="center"/>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合计金额：</w:t>
            </w:r>
          </w:p>
        </w:tc>
        <w:tc>
          <w:tcPr>
            <w:tcW w:w="3264" w:type="dxa"/>
            <w:gridSpan w:val="3"/>
            <w:vAlign w:val="center"/>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元</w:t>
            </w:r>
          </w:p>
        </w:tc>
        <w:tc>
          <w:tcPr>
            <w:tcW w:w="972" w:type="dxa"/>
            <w:vAlign w:val="center"/>
          </w:tcPr>
          <w:p>
            <w:pPr>
              <w:pStyle w:val="80"/>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79" w:type="dxa"/>
            <w:gridSpan w:val="6"/>
            <w:vAlign w:val="center"/>
          </w:tcPr>
          <w:p>
            <w:pPr>
              <w:pStyle w:val="80"/>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大写：</w:t>
            </w:r>
          </w:p>
        </w:tc>
        <w:tc>
          <w:tcPr>
            <w:tcW w:w="972" w:type="dxa"/>
            <w:vAlign w:val="center"/>
          </w:tcPr>
          <w:p>
            <w:pPr>
              <w:pStyle w:val="80"/>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zh-CN"/>
              </w:rPr>
            </w:pPr>
          </w:p>
        </w:tc>
      </w:tr>
    </w:tbl>
    <w:p>
      <w:pPr>
        <w:rPr>
          <w:rFonts w:ascii="宋体" w:hAnsi="宋体" w:cs="宋体"/>
          <w:b/>
          <w:color w:val="auto"/>
          <w:highlight w:val="none"/>
          <w:lang w:val="zh-CN"/>
        </w:rPr>
      </w:pPr>
    </w:p>
    <w:p>
      <w:pPr>
        <w:pStyle w:val="80"/>
        <w:spacing w:line="400" w:lineRule="exact"/>
        <w:rPr>
          <w:rFonts w:ascii="宋体" w:hAnsi="宋体" w:eastAsia="宋体" w:cs="宋体"/>
          <w:color w:val="auto"/>
          <w:kern w:val="2"/>
          <w:highlight w:val="none"/>
          <w:lang w:val="zh-CN"/>
        </w:rPr>
      </w:pPr>
      <w:r>
        <w:rPr>
          <w:rFonts w:hint="eastAsia" w:ascii="宋体" w:hAnsi="宋体" w:eastAsia="宋体" w:cs="宋体"/>
          <w:b/>
          <w:color w:val="auto"/>
          <w:kern w:val="2"/>
          <w:highlight w:val="none"/>
          <w:lang w:val="zh-CN"/>
        </w:rPr>
        <w:t>2</w:t>
      </w:r>
      <w:r>
        <w:rPr>
          <w:rFonts w:hint="eastAsia" w:ascii="宋体" w:hAnsi="宋体" w:eastAsia="宋体" w:cs="宋体"/>
          <w:b/>
          <w:color w:val="auto"/>
          <w:kern w:val="2"/>
          <w:highlight w:val="none"/>
        </w:rPr>
        <w:t>.</w:t>
      </w:r>
      <w:r>
        <w:rPr>
          <w:rFonts w:hint="eastAsia" w:ascii="宋体" w:hAnsi="宋体" w:eastAsia="宋体" w:cs="宋体"/>
          <w:b/>
          <w:color w:val="auto"/>
          <w:kern w:val="2"/>
          <w:highlight w:val="none"/>
          <w:lang w:val="zh-CN"/>
        </w:rPr>
        <w:t>合同金额及付款方式</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中标</w:t>
      </w:r>
      <w:r>
        <w:rPr>
          <w:rFonts w:hint="eastAsia" w:ascii="宋体" w:hAnsi="宋体" w:eastAsia="宋体" w:cs="宋体"/>
          <w:color w:val="auto"/>
          <w:sz w:val="24"/>
          <w:highlight w:val="none"/>
          <w:lang w:val="en-US" w:eastAsia="zh-CN"/>
        </w:rPr>
        <w:t>价</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lang w:val="zh-CN"/>
        </w:rPr>
        <w:t>。</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甲乙双方之间发生的本合同项下的一切价款、费用、金额均以人民币结算及支付。本合同价包含乙方提供货物及服务所发生的一切费用，包含但不限于设备费用、运输、装卸、系统调试、运行维护、税金、售后服务、培训、交通、住宿、保险等费用。</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付款方式：</w:t>
      </w:r>
      <w:r>
        <w:rPr>
          <w:rFonts w:hint="eastAsia" w:ascii="宋体" w:hAnsi="宋体" w:eastAsia="宋体" w:cs="宋体"/>
          <w:color w:val="auto"/>
          <w:sz w:val="24"/>
          <w:highlight w:val="none"/>
          <w:lang w:val="en-US" w:eastAsia="zh-CN"/>
        </w:rPr>
        <w:t>采用分期付款方式，单价固定</w:t>
      </w:r>
      <w:r>
        <w:rPr>
          <w:rFonts w:hint="eastAsia" w:ascii="宋体" w:hAnsi="宋体" w:cs="宋体"/>
          <w:color w:val="auto"/>
          <w:sz w:val="24"/>
          <w:highlight w:val="none"/>
          <w:lang w:val="en-US" w:eastAsia="zh-CN"/>
        </w:rPr>
        <w:t>，合同期内</w:t>
      </w:r>
      <w:r>
        <w:rPr>
          <w:rFonts w:hint="eastAsia" w:ascii="宋体" w:hAnsi="宋体" w:cs="宋体"/>
          <w:color w:val="auto"/>
          <w:sz w:val="24"/>
          <w:highlight w:val="none"/>
        </w:rPr>
        <w:t>不做调整。</w:t>
      </w:r>
    </w:p>
    <w:p>
      <w:pPr>
        <w:pStyle w:val="80"/>
        <w:keepNext w:val="0"/>
        <w:keepLines w:val="0"/>
        <w:pageBreakBefore w:val="0"/>
        <w:kinsoku/>
        <w:wordWrap/>
        <w:overflowPunct/>
        <w:topLinePunct w:val="0"/>
        <w:bidi w:val="0"/>
        <w:snapToGrid/>
        <w:spacing w:line="5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2.3.1签订合同前提供设备生产厂家出具的针对本项目原厂不少于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年质保函（以实际中标服务时间为准），合同签订生效并在所有设备到货之日起一周内，甲方支付合同价的30%。</w:t>
      </w:r>
    </w:p>
    <w:p>
      <w:pPr>
        <w:pStyle w:val="80"/>
        <w:keepNext w:val="0"/>
        <w:keepLines w:val="0"/>
        <w:pageBreakBefore w:val="0"/>
        <w:kinsoku/>
        <w:wordWrap/>
        <w:overflowPunct/>
        <w:topLinePunct w:val="0"/>
        <w:bidi w:val="0"/>
        <w:snapToGrid/>
        <w:spacing w:line="5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2.3.2完成设备安装、调试，试运行1个月，并经甲方验收确认后一周内，支付至合同价的95%。</w:t>
      </w:r>
    </w:p>
    <w:p>
      <w:pPr>
        <w:pStyle w:val="80"/>
        <w:keepNext w:val="0"/>
        <w:keepLines w:val="0"/>
        <w:pageBreakBefore w:val="0"/>
        <w:kinsoku/>
        <w:wordWrap/>
        <w:overflowPunct/>
        <w:topLinePunct w:val="0"/>
        <w:bidi w:val="0"/>
        <w:snapToGrid/>
        <w:spacing w:line="5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2.3.3</w:t>
      </w:r>
      <w:r>
        <w:rPr>
          <w:rFonts w:hint="eastAsia" w:ascii="宋体" w:hAnsi="宋体" w:eastAsia="宋体" w:cs="宋体"/>
          <w:color w:val="auto"/>
          <w:kern w:val="2"/>
          <w:highlight w:val="none"/>
          <w:lang w:val="en-US" w:eastAsia="zh-CN"/>
        </w:rPr>
        <w:t>余款</w:t>
      </w:r>
      <w:r>
        <w:rPr>
          <w:rFonts w:hint="eastAsia" w:ascii="宋体" w:hAnsi="宋体" w:eastAsia="宋体" w:cs="宋体"/>
          <w:color w:val="auto"/>
          <w:kern w:val="2"/>
          <w:sz w:val="24"/>
          <w:szCs w:val="24"/>
          <w:highlight w:val="none"/>
          <w:lang w:val="en-US" w:eastAsia="zh-CN" w:bidi="ar-SA"/>
        </w:rPr>
        <w:t>在项目验收合格质保期满后（若投标人承诺延长时间则按投标人延长的时间计算）一个月内支付。</w:t>
      </w:r>
    </w:p>
    <w:p>
      <w:pPr>
        <w:pStyle w:val="80"/>
        <w:keepNext w:val="0"/>
        <w:keepLines w:val="0"/>
        <w:pageBreakBefore w:val="0"/>
        <w:kinsoku/>
        <w:wordWrap/>
        <w:overflowPunct/>
        <w:topLinePunct w:val="0"/>
        <w:bidi w:val="0"/>
        <w:snapToGrid/>
        <w:spacing w:line="560" w:lineRule="exact"/>
        <w:ind w:firstLine="480" w:firstLineChars="20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2.3.4履约保证金按中标价的2.5%计取，</w:t>
      </w:r>
      <w:r>
        <w:rPr>
          <w:rFonts w:hint="eastAsia"/>
          <w:color w:val="auto"/>
          <w:highlight w:val="none"/>
          <w:lang w:val="en-US" w:eastAsia="zh-CN"/>
        </w:rPr>
        <w:t>即</w:t>
      </w:r>
      <w:r>
        <w:rPr>
          <w:rFonts w:hint="eastAsia"/>
          <w:color w:val="auto"/>
          <w:highlight w:val="none"/>
          <w:u w:val="single"/>
          <w:lang w:val="en-US" w:eastAsia="zh-CN"/>
        </w:rPr>
        <w:t xml:space="preserve">       </w:t>
      </w:r>
      <w:r>
        <w:rPr>
          <w:rFonts w:hint="eastAsia"/>
          <w:color w:val="auto"/>
          <w:highlight w:val="none"/>
          <w:lang w:val="en-US" w:eastAsia="zh-CN"/>
        </w:rPr>
        <w:t>元（大写</w:t>
      </w:r>
      <w:r>
        <w:rPr>
          <w:rFonts w:hint="eastAsia"/>
          <w:color w:val="auto"/>
          <w:highlight w:val="none"/>
          <w:u w:val="single"/>
          <w:lang w:val="en-US" w:eastAsia="zh-CN"/>
        </w:rPr>
        <w:t xml:space="preserve">      </w:t>
      </w:r>
      <w:r>
        <w:rPr>
          <w:rFonts w:hint="eastAsia"/>
          <w:color w:val="auto"/>
          <w:highlight w:val="none"/>
          <w:lang w:val="en-US" w:eastAsia="zh-CN"/>
        </w:rPr>
        <w:t>）</w:t>
      </w:r>
      <w:r>
        <w:rPr>
          <w:rFonts w:hint="eastAsia" w:ascii="宋体" w:hAnsi="宋体" w:eastAsia="宋体" w:cs="宋体"/>
          <w:color w:val="auto"/>
          <w:kern w:val="2"/>
          <w:sz w:val="24"/>
          <w:szCs w:val="24"/>
          <w:highlight w:val="none"/>
          <w:lang w:val="en-US" w:eastAsia="zh-CN" w:bidi="ar-SA"/>
        </w:rPr>
        <w:t>，缴纳形式为现金、支票、汇票或保函（保险公司保险、银行保函、专业担保公司担保），合同签订时缴纳至甲方处。待项目验收合格且不存在违约行为后一个月内予以退还（不计息）</w:t>
      </w:r>
    </w:p>
    <w:p>
      <w:pPr>
        <w:pStyle w:val="80"/>
        <w:keepNext w:val="0"/>
        <w:keepLines w:val="0"/>
        <w:pageBreakBefore w:val="0"/>
        <w:kinsoku/>
        <w:wordWrap/>
        <w:overflowPunct/>
        <w:topLinePunct w:val="0"/>
        <w:bidi w:val="0"/>
        <w:snapToGrid/>
        <w:spacing w:line="5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2.3.5支付凭证：每次付款前，乙方均应向甲方开具相应增值税专用发票（税务部门认可），若乙方未及时提供发票的，甲方付款相应顺延。</w:t>
      </w:r>
    </w:p>
    <w:p>
      <w:pPr>
        <w:pStyle w:val="80"/>
        <w:wordWrap/>
        <w:spacing w:line="560" w:lineRule="exact"/>
        <w:ind w:firstLine="48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sz w:val="24"/>
          <w:szCs w:val="24"/>
          <w:highlight w:val="none"/>
          <w:lang w:val="en-US" w:eastAsia="zh-CN" w:bidi="ar-SA"/>
        </w:rPr>
        <w:t>2.4</w:t>
      </w:r>
      <w:r>
        <w:rPr>
          <w:rFonts w:hint="eastAsia" w:ascii="宋体" w:hAnsi="宋体" w:eastAsia="宋体" w:cs="宋体"/>
          <w:color w:val="auto"/>
          <w:kern w:val="2"/>
          <w:highlight w:val="none"/>
          <w:lang w:val="en-US" w:eastAsia="zh-CN"/>
        </w:rPr>
        <w:t>项目工期：在合同签订后40个日历天内完成，其中交货期限在合同签订后10个日历天内完成；试运行期限为设备安装调试完毕交付给甲方后30个日历天内完成；自交货期限完成后起算，甲方在设备使用过程中发现问题的，乙方无偿进行调整、解决或更换，问题解决后，试运行期限重新计算，直至设备符合甲方要求为止；甲方出具验收报告视为项目交付，交付前项目的风险由乙方承担。</w:t>
      </w:r>
    </w:p>
    <w:p>
      <w:pPr>
        <w:pStyle w:val="80"/>
        <w:wordWrap/>
        <w:spacing w:line="560" w:lineRule="exact"/>
        <w:ind w:firstLine="48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2.5 交货地点：绍兴市水务产业有限公司。</w:t>
      </w:r>
    </w:p>
    <w:p>
      <w:pPr>
        <w:pStyle w:val="81"/>
        <w:ind w:left="0" w:leftChars="0" w:firstLine="0" w:firstLineChars="0"/>
        <w:rPr>
          <w:rFonts w:hint="eastAsia" w:ascii="宋体" w:hAnsi="宋体" w:eastAsia="宋体" w:cs="宋体"/>
          <w:b/>
          <w:bCs/>
          <w:color w:val="auto"/>
          <w:sz w:val="24"/>
          <w:highlight w:val="none"/>
          <w:lang w:val="zh-CN"/>
        </w:rPr>
      </w:pPr>
      <w:bookmarkStart w:id="48" w:name="_Toc15583"/>
      <w:bookmarkStart w:id="49" w:name="_Toc28375"/>
      <w:bookmarkStart w:id="50" w:name="_Toc16021"/>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zh-CN"/>
        </w:rPr>
        <w:t>.合同修改</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.1双方的任何一方对合同内容提出修改，均应以书面形式通知对方，并达成由双方签署的合同修改书。</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.2除非</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对</w:t>
      </w:r>
      <w:r>
        <w:rPr>
          <w:rFonts w:hint="eastAsia" w:ascii="宋体" w:hAnsi="宋体" w:cs="宋体"/>
          <w:color w:val="auto"/>
          <w:sz w:val="24"/>
          <w:highlight w:val="none"/>
          <w:lang w:val="zh-CN"/>
        </w:rPr>
        <w:t>质保</w:t>
      </w:r>
      <w:r>
        <w:rPr>
          <w:rFonts w:hint="eastAsia" w:ascii="宋体" w:hAnsi="宋体" w:eastAsia="宋体" w:cs="宋体"/>
          <w:color w:val="auto"/>
          <w:sz w:val="24"/>
          <w:highlight w:val="none"/>
          <w:lang w:val="zh-CN"/>
        </w:rPr>
        <w:t>服务条款提出修改，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不得对合同价格提出修改要求。</w:t>
      </w:r>
    </w:p>
    <w:p>
      <w:pPr>
        <w:spacing w:line="56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val="zh-CN"/>
        </w:rPr>
        <w:t>. 质量标准和验收</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.1验收由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根据</w:t>
      </w:r>
      <w:r>
        <w:rPr>
          <w:rFonts w:hint="eastAsia" w:ascii="宋体" w:hAnsi="宋体" w:cs="宋体"/>
          <w:color w:val="auto"/>
          <w:sz w:val="24"/>
          <w:highlight w:val="none"/>
          <w:lang w:val="zh-CN"/>
        </w:rPr>
        <w:t>乙方</w:t>
      </w:r>
      <w:r>
        <w:rPr>
          <w:rFonts w:hint="eastAsia" w:ascii="宋体" w:hAnsi="宋体" w:eastAsia="宋体" w:cs="宋体"/>
          <w:color w:val="auto"/>
          <w:sz w:val="24"/>
          <w:highlight w:val="none"/>
          <w:lang w:val="zh-CN"/>
        </w:rPr>
        <w:t>提供官方</w:t>
      </w:r>
      <w:r>
        <w:rPr>
          <w:rFonts w:hint="eastAsia" w:ascii="宋体" w:hAnsi="宋体" w:cs="宋体"/>
          <w:color w:val="auto"/>
          <w:sz w:val="24"/>
          <w:highlight w:val="none"/>
          <w:lang w:val="zh-CN"/>
        </w:rPr>
        <w:t>质保</w:t>
      </w:r>
      <w:r>
        <w:rPr>
          <w:rFonts w:hint="eastAsia" w:ascii="宋体" w:hAnsi="宋体" w:eastAsia="宋体" w:cs="宋体"/>
          <w:color w:val="auto"/>
          <w:sz w:val="24"/>
          <w:highlight w:val="none"/>
          <w:lang w:val="zh-CN"/>
        </w:rPr>
        <w:t>服务信息进行双方确认，验收工作所发生的全部费用均由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负责承担。</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.2双方对货物或服务的质量有争议的，由双方同意的专业检测机构鉴定，所需费用及因此造成的损失由责任方承担，双方均有责任的，双方根据其责任分别承担。</w:t>
      </w:r>
    </w:p>
    <w:p>
      <w:pPr>
        <w:spacing w:line="56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val="zh-CN"/>
        </w:rPr>
        <w:t>.</w:t>
      </w:r>
      <w:r>
        <w:rPr>
          <w:rFonts w:hint="eastAsia" w:ascii="宋体" w:hAnsi="宋体" w:cs="宋体"/>
          <w:b/>
          <w:bCs/>
          <w:color w:val="auto"/>
          <w:sz w:val="24"/>
          <w:highlight w:val="none"/>
          <w:lang w:val="zh-CN"/>
        </w:rPr>
        <w:t>甲方</w:t>
      </w:r>
      <w:r>
        <w:rPr>
          <w:rFonts w:hint="eastAsia" w:ascii="宋体" w:hAnsi="宋体" w:eastAsia="宋体" w:cs="宋体"/>
          <w:b/>
          <w:bCs/>
          <w:color w:val="auto"/>
          <w:sz w:val="24"/>
          <w:highlight w:val="none"/>
          <w:lang w:val="zh-CN"/>
        </w:rPr>
        <w:t>的权利义务</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.1根据招标文件和合同要求，甲方派专人对乙方提供的设备进行确认验收</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5.2</w:t>
      </w:r>
      <w:r>
        <w:rPr>
          <w:rFonts w:hint="eastAsia" w:ascii="宋体" w:hAnsi="宋体" w:eastAsia="宋体" w:cs="宋体"/>
          <w:color w:val="auto"/>
          <w:sz w:val="24"/>
          <w:highlight w:val="none"/>
          <w:lang w:val="zh-CN"/>
        </w:rPr>
        <w:t>按合同规定的付款办法及时向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支付合同款。</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指派专人负责对本项目实施和办理本合同中商定的事宜。</w:t>
      </w:r>
    </w:p>
    <w:p>
      <w:pPr>
        <w:spacing w:line="56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val="zh-CN"/>
        </w:rPr>
        <w:t>.</w:t>
      </w:r>
      <w:r>
        <w:rPr>
          <w:rFonts w:hint="eastAsia" w:ascii="宋体" w:hAnsi="宋体" w:cs="宋体"/>
          <w:b/>
          <w:bCs/>
          <w:color w:val="auto"/>
          <w:sz w:val="24"/>
          <w:highlight w:val="none"/>
          <w:lang w:val="zh-CN"/>
        </w:rPr>
        <w:t>乙方</w:t>
      </w:r>
      <w:r>
        <w:rPr>
          <w:rFonts w:hint="eastAsia" w:ascii="宋体" w:hAnsi="宋体" w:eastAsia="宋体" w:cs="宋体"/>
          <w:b/>
          <w:bCs/>
          <w:color w:val="auto"/>
          <w:sz w:val="24"/>
          <w:highlight w:val="none"/>
          <w:lang w:val="zh-CN"/>
        </w:rPr>
        <w:t>的权利义务</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1.按合同确定的品牌、规格和数量，在合同规定的时间和地点交货。</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2.提供的货物必须为招标文件中规定的规格型号和技术性能，且为原厂产品，符合国家和生产厂家产品技术标准、质量检测标准，具有该产品出厂标准。同时，提供进货单、保修卡和设备的性能指标、技术指标，使用说明书，合格证等相关文件。</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3.对甲方提供的业务资料、技术资料及项目中产生的技术、管理资料系甲方的商业机密，乙方应严格保密，不得扩散。因履行本合同产生的知识产权归甲方所有。乙方应保证其所提供的设备、软件均具有完整、独立的知识产权，若乙方提供的设备、软件侵犯他人权益的，一切责任由乙方承担，与甲方无关。乙方处理上述纠纷产生的一切费用，包括赔偿款、律师费、诉讼费、交通费等一切费用均由乙方承担。</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4.履行本合同的过程中，因乙方原因导致相关系统部分或全部损坏或遗失所造成的损失，风险责任由乙方全部承担。</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5.在履行合同期间,所有的安全事故均由乙方全部负责,如出现安全事故,一切责任由乙方承担,与甲方无关。</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6.所有设备和器材验收前均由乙方妥善保管。甲方出具验收报告，损坏或遗失的责任转至甲方。</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7.对现场所有的建筑及建筑装修、设备、器具有保护的责任，安装调试时如损坏甲方财产，由乙方负责赔偿。</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8.负责技术支持，免费对甲方操作人员进行必要的技术指导和培训。</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9.根据售后服务工作的要求，响应甲方的服务要求，认真做好现场技术服务工作。</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10.配合甲方做好项目验收工作，提交验收所需资料。</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11.根据招标文件及合同约定要求，做好设备原厂质保期内的售后服务保障工作。</w:t>
      </w:r>
    </w:p>
    <w:p>
      <w:pPr>
        <w:spacing w:line="56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设备检验、安装、调试、交付、试运行及验收</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1.设备检验</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1.1设备到达现场后，乙方应通知甲方一起开箱检验，按本合同要求及相关国家标准或行业标准进行清点和确认，若有缺少或损坏，乙方应立即补足或更换全新同规格产品，甲方保留向乙方索赔的权利。</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1.2乙方应提供所有合同设备出厂时，应有的产品质量合格证书和出厂试验记录等质量证明文件交至甲方指定人员查验，查验完毕后由乙方统一归档。</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2.安装</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2.1乙方负责设备的安装，并应严格遵循国家有关法律法规和相关技术规范的要求规范施工。</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2.2在安装前乙方需向甲方提供详细的安装图纸及安装计划，包括时间、步骤、人员、设备及需甲方提供的配合等，并征得甲方的同意。</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2.3在安装过程中乙方应始终派技术人员在场，并对安装质量进行书面确认，以保证下一步安装和调试工作的顺利进行。</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2.4安装除应执行相应的施工及验收规范、标准外，还应按供货厂家的具体安装要求进行。</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2.5所有安装工作结束后，乙方委派的技术人员应和甲方一起对所完成的安装内容进行逐一调试检查并确认。</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2.6乙方还应按约定时间和要求，完成以下安装、调试的相关工作：</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2.6.1乙方负责实施方案的设计，实施方案经甲方批准后方可实施；如乙方未经甲方认可擅自施工的，甲方有权要求暂停施工并整改，并由乙方承担所有损失，并且甲方保留追究由于此延误造成项目总工期延误的索赔权力。</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2.6.2项目总进度计划按双方的约定施行。</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2.6.3实施过程中出现的乙方人员或因乙方原因引起的第三方人员、财务损失，造成的责任和因此发生的费用，由乙方承担。</w:t>
      </w:r>
    </w:p>
    <w:p>
      <w:pPr>
        <w:spacing w:line="560" w:lineRule="exact"/>
        <w:ind w:firstLine="420" w:firstLineChars="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3.调试</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3.1设备调试前，乙方应对设备进行全面检查确保设备可正常运行。这类检查均应有书面记录，并报甲方审查。在全面检查完成并通过甲方审查批准后，方能开始调试。</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3.2乙方参加调试的人员，必须了解设备结构、性能，掌握操作程序和方法。具有安全知识和事故应急处理的能力，熟悉调试过程。乙方应根据需要合理配备安排调试人员。</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3.3在调试期间，乙方负责对设备进行监测和调整，直至运行正常。</w:t>
      </w:r>
    </w:p>
    <w:p>
      <w:pPr>
        <w:spacing w:line="560" w:lineRule="exact"/>
        <w:ind w:firstLine="420" w:firstLineChars="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4.交付</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4.1设备安装调试完毕后，由乙方向甲方书面提交交付申请，经甲方书面确认后方可交付，交付地点为甲方指定。</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4.2乙方应按照合同及其附件所约定的内容交付货物和技术文件。其中技术文件应同时提供电子版和纸质版，包括但不限于：货物签收单、产品说明书、产品合格证、设计图纸、调试检查记录、操作手册、维护手册等。</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4.3乙方应向甲方交付正常运维所需的图纸、工具、口令、软件及相关软件的注册码、密码等，确保甲方不受限制的无限期使用。　</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 xml:space="preserve">4.4如发现乙方所交付项目存在故障或问题，经甲方要求，乙方应在30分钟内给予有效响应，24小时内处理完毕故障或问题。 </w:t>
      </w:r>
    </w:p>
    <w:p>
      <w:pPr>
        <w:spacing w:line="560" w:lineRule="exact"/>
        <w:ind w:firstLine="420" w:firstLineChars="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5.试运行</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5.1自交付通过之日起，甲方拥有30天的试运行权利；如遇因政府行为（如因大型体育赛事、政治活动等因素出台的政府限制措施）致使甲方试运行受阻时，试运行时间应不计违约无条件顺延；</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5.2如由于乙方原因，在试运行期间出现故障或问题，乙方应及时排除该方面的故障或问题，所引起的相关费用由乙方承担，造成工期延误的视为乙方违约，并承担违约责任。</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5.3乙方应在合理的期限内排除故障或处理问题。如以上故障或问题影响系统正常运行的，且排除故障或处理问题的时间超过24小时的，则视为乙方违约，承担违约责任，除非上述故障和问题是由甲方引起。</w:t>
      </w:r>
    </w:p>
    <w:p>
      <w:pPr>
        <w:spacing w:line="560" w:lineRule="exact"/>
        <w:ind w:firstLine="420" w:firstLineChars="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6.验收</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6.1 完成存储和交换机设备上架、安装和调试调优；</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6.2提供原厂</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b w:val="0"/>
          <w:bCs w:val="0"/>
          <w:color w:val="auto"/>
          <w:sz w:val="24"/>
          <w:highlight w:val="none"/>
          <w:lang w:val="en-US" w:eastAsia="zh-CN"/>
        </w:rPr>
        <w:t>年质保函；</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6.3乙方应按照合同及其附件所约定的内容交付货物和技术文件。其中技术文件应同时提供电子版和纸质版，包括但不限于设备产品手册、产品合格证、设备调试记录等；</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6.4乙方应在项目工期内完成验收工作，造成工期延误的视为乙方违约，承担违约责任，除非由甲方原因、政府行为、不可抗力及其它经双方同意属于不可抗力事故的不计违约；验收前乙方应提供相关数据、证明、检验等出厂报告；</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6.5甲、乙双方共同验收，如乙方届时不派人参加，则验收结果以甲方的验收报告为最终验收结果；</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6.6乙方制造的设备、材料等均应符合国家相关部门的相关规定及规范。如因上述原因导致设备无法正常运行，乙方承担所有责任；</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6.7双方对货物或服务的质量有争议的，由双方同意的专业检测机构鉴定，所需费及因此造成的损失由责任方承担，双方均有责任的，双方根据其责任分别承担；</w:t>
      </w:r>
    </w:p>
    <w:p>
      <w:pPr>
        <w:spacing w:line="56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维修保养</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1.</w:t>
      </w:r>
      <w:bookmarkStart w:id="51" w:name="OLE_LINK9"/>
      <w:r>
        <w:rPr>
          <w:rFonts w:hint="eastAsia" w:ascii="宋体" w:hAnsi="宋体" w:eastAsia="宋体" w:cs="宋体"/>
          <w:b w:val="0"/>
          <w:bCs w:val="0"/>
          <w:color w:val="auto"/>
          <w:sz w:val="24"/>
          <w:highlight w:val="none"/>
          <w:lang w:val="en-US" w:eastAsia="zh-CN"/>
        </w:rPr>
        <w:t>质保期：</w:t>
      </w:r>
      <w:bookmarkStart w:id="52" w:name="OLE_LINK6"/>
      <w:r>
        <w:rPr>
          <w:rFonts w:hint="eastAsia" w:ascii="宋体" w:hAnsi="宋体" w:eastAsia="宋体" w:cs="宋体"/>
          <w:b w:val="0"/>
          <w:bCs w:val="0"/>
          <w:color w:val="auto"/>
          <w:sz w:val="24"/>
          <w:highlight w:val="none"/>
          <w:lang w:val="en-US" w:eastAsia="zh-CN"/>
        </w:rPr>
        <w:t>自验收合格签署验收文件之日起</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none"/>
          <w:lang w:val="en-US" w:eastAsia="zh-CN"/>
        </w:rPr>
        <w:t>年</w:t>
      </w:r>
      <w:r>
        <w:rPr>
          <w:rFonts w:hint="eastAsia" w:ascii="宋体" w:hAnsi="宋体" w:cs="宋体"/>
          <w:b w:val="0"/>
          <w:bCs w:val="0"/>
          <w:color w:val="auto"/>
          <w:sz w:val="24"/>
          <w:highlight w:val="none"/>
          <w:lang w:val="en-US" w:eastAsia="zh-CN"/>
        </w:rPr>
        <w:t>（</w:t>
      </w:r>
      <w:bookmarkEnd w:id="52"/>
      <w:r>
        <w:rPr>
          <w:rFonts w:hint="eastAsia" w:ascii="宋体" w:hAnsi="宋体" w:cs="宋体"/>
          <w:b w:val="0"/>
          <w:bCs w:val="0"/>
          <w:color w:val="auto"/>
          <w:sz w:val="24"/>
          <w:highlight w:val="none"/>
          <w:lang w:val="en-US" w:eastAsia="zh-CN"/>
        </w:rPr>
        <w:t>具体时间以乙方质保承诺时间为准）</w:t>
      </w:r>
      <w:bookmarkEnd w:id="51"/>
      <w:r>
        <w:rPr>
          <w:rFonts w:hint="eastAsia" w:ascii="宋体" w:hAnsi="宋体" w:eastAsia="宋体" w:cs="宋体"/>
          <w:b w:val="0"/>
          <w:bCs w:val="0"/>
          <w:color w:val="auto"/>
          <w:sz w:val="24"/>
          <w:highlight w:val="none"/>
          <w:lang w:val="en-US" w:eastAsia="zh-CN"/>
        </w:rPr>
        <w:t>；项目竣工后，且经调试、试运行、验收合格后进入质保期；质保期内发生质量问题的，乙方应根据合同履行质保责任，及时排除由此引起的故障或问题，相关费用由乙方承担。</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2.</w:t>
      </w:r>
      <w:bookmarkStart w:id="53" w:name="OLE_LINK11"/>
      <w:r>
        <w:rPr>
          <w:rFonts w:hint="eastAsia" w:ascii="宋体" w:hAnsi="宋体" w:eastAsia="宋体" w:cs="宋体"/>
          <w:b w:val="0"/>
          <w:bCs w:val="0"/>
          <w:color w:val="auto"/>
          <w:sz w:val="24"/>
          <w:highlight w:val="none"/>
          <w:lang w:val="en-US" w:eastAsia="zh-CN"/>
        </w:rPr>
        <w:t>在质保期内，对甲方的服务需求，乙方应提供远程服务与现场服务两种方式，其中远程服务指采取电话、传真、电子邮件、远程维护等方式；现场服务指当远程服务未奏效时，乙方的专业维护工程师应在接到甲方通知后</w:t>
      </w:r>
      <w:r>
        <w:rPr>
          <w:rFonts w:hint="eastAsia" w:ascii="宋体" w:hAnsi="宋体" w:cs="宋体"/>
          <w:color w:val="auto"/>
          <w:sz w:val="24"/>
          <w:highlight w:val="none"/>
          <w:lang w:val="en-US" w:eastAsia="zh-CN"/>
        </w:rPr>
        <w:t>5分钟内</w:t>
      </w:r>
      <w:r>
        <w:rPr>
          <w:rFonts w:hint="eastAsia" w:ascii="宋体" w:hAnsi="宋体" w:eastAsia="宋体" w:cs="宋体"/>
          <w:b w:val="0"/>
          <w:bCs w:val="0"/>
          <w:color w:val="auto"/>
          <w:sz w:val="24"/>
          <w:highlight w:val="none"/>
          <w:lang w:val="en-US" w:eastAsia="zh-CN"/>
        </w:rPr>
        <w:t>做出解答，</w:t>
      </w:r>
      <w:bookmarkEnd w:id="53"/>
      <w:r>
        <w:rPr>
          <w:rFonts w:hint="eastAsia" w:ascii="宋体" w:hAnsi="宋体" w:eastAsia="宋体" w:cs="宋体"/>
          <w:b w:val="0"/>
          <w:bCs w:val="0"/>
          <w:color w:val="auto"/>
          <w:sz w:val="24"/>
          <w:highlight w:val="none"/>
          <w:lang w:val="en-US" w:eastAsia="zh-CN"/>
        </w:rPr>
        <w:t>30分钟内对常规问题进行实质性响应，2小时内派人赴现场处理解决，最迟在6小时内排除故障，并在24小时内提交详细的故障报告和故障防范措施建议；24小时内不能修复的，则</w:t>
      </w:r>
      <w:r>
        <w:rPr>
          <w:rFonts w:hint="eastAsia" w:ascii="宋体" w:hAnsi="宋体" w:cs="宋体"/>
          <w:b w:val="0"/>
          <w:bCs w:val="0"/>
          <w:color w:val="auto"/>
          <w:sz w:val="24"/>
          <w:highlight w:val="none"/>
          <w:lang w:val="en-US" w:eastAsia="zh-CN"/>
        </w:rPr>
        <w:t>乙方需</w:t>
      </w:r>
      <w:r>
        <w:rPr>
          <w:rFonts w:hint="eastAsia" w:ascii="宋体" w:hAnsi="宋体" w:eastAsia="宋体" w:cs="宋体"/>
          <w:b w:val="0"/>
          <w:bCs w:val="0"/>
          <w:color w:val="auto"/>
          <w:sz w:val="24"/>
          <w:highlight w:val="none"/>
          <w:lang w:val="en-US" w:eastAsia="zh-CN"/>
        </w:rPr>
        <w:t>无偿提供备机或备用零件供甲方使用。</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3.质保期内，乙方在接到甲方维护请求通知后24小时后故障仍无法处理完毕的，甲方有权自行委托第三方处理，但其风险和费用将由乙方承担，该笔费用将从乙方的质量保证金中扣除，不足部分乙方仍需支付。</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4.在质保期外，乙方有义务继续提供有偿维护，保证设备及零部件费用不高于投标报价，其他费用不高于浙江地区市场价，双方可在质保期后另行签订维护合同。</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5在质保期内，对甲方的服务需求，在接到甲方的电话后2小时内响应并派人赴现场，以保证甲方的正常使用。如乙方未按要求提供质保服务的，甲方有权自行委托第三方处理，但其风险和费用将由乙方承担，该笔费用将从乙方的质量保证金中扣除，不足部分乙方仍需支付。</w:t>
      </w:r>
    </w:p>
    <w:p>
      <w:pPr>
        <w:spacing w:line="560" w:lineRule="exact"/>
        <w:ind w:firstLine="42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8.6 </w:t>
      </w:r>
      <w:r>
        <w:rPr>
          <w:rFonts w:hint="eastAsia" w:ascii="宋体" w:hAnsi="宋体" w:eastAsia="宋体" w:cs="宋体"/>
          <w:b w:val="0"/>
          <w:bCs w:val="0"/>
          <w:color w:val="auto"/>
          <w:sz w:val="24"/>
          <w:highlight w:val="none"/>
          <w:lang w:val="en-US" w:eastAsia="zh-CN"/>
        </w:rPr>
        <w:t>乙方有义务向甲方提供长期免费的技术咨询服务。</w:t>
      </w:r>
    </w:p>
    <w:p>
      <w:pPr>
        <w:spacing w:line="560" w:lineRule="exact"/>
        <w:rPr>
          <w:rFonts w:hint="eastAsia" w:ascii="宋体" w:hAnsi="宋体" w:eastAsia="宋体" w:cs="宋体"/>
          <w:b/>
          <w:bCs/>
          <w:color w:val="auto"/>
          <w:sz w:val="24"/>
          <w:highlight w:val="none"/>
          <w:lang w:val="zh-CN"/>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zh-CN"/>
        </w:rPr>
        <w:t>.违约责任</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.1提供的货物或服务质量必须达到合格，凡项目执行过程中发现的不符合约定要求的问题，</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必须无偿更换直至符合约定要求，承担更换所发生的一切费用和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的直接经济损失。</w:t>
      </w:r>
    </w:p>
    <w:p>
      <w:pPr>
        <w:spacing w:line="560" w:lineRule="exact"/>
        <w:rPr>
          <w:rFonts w:hint="eastAsia" w:ascii="宋体" w:hAnsi="宋体" w:eastAsia="宋体" w:cs="宋体"/>
          <w:b/>
          <w:bCs/>
          <w:color w:val="auto"/>
          <w:sz w:val="24"/>
          <w:highlight w:val="none"/>
          <w:lang w:val="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zh-CN"/>
        </w:rPr>
        <w:t>．违约赔偿</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zh-CN"/>
        </w:rPr>
        <w:t>质保</w:t>
      </w:r>
      <w:r>
        <w:rPr>
          <w:rFonts w:hint="eastAsia" w:ascii="宋体" w:hAnsi="宋体" w:eastAsia="宋体" w:cs="宋体"/>
          <w:color w:val="auto"/>
          <w:sz w:val="24"/>
          <w:highlight w:val="none"/>
          <w:lang w:val="zh-CN"/>
        </w:rPr>
        <w:t>期内如果因</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原因造成未能按合同约定提供服务（含提供服务达不到合同要求），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可按次向</w:t>
      </w:r>
      <w:r>
        <w:rPr>
          <w:rFonts w:hint="eastAsia" w:ascii="宋体" w:hAnsi="宋体" w:cs="宋体"/>
          <w:color w:val="auto"/>
          <w:sz w:val="24"/>
          <w:highlight w:val="none"/>
          <w:lang w:val="zh-CN"/>
        </w:rPr>
        <w:t>乙方</w:t>
      </w:r>
      <w:r>
        <w:rPr>
          <w:rFonts w:hint="eastAsia" w:ascii="宋体" w:hAnsi="宋体" w:eastAsia="宋体" w:cs="宋体"/>
          <w:color w:val="auto"/>
          <w:sz w:val="24"/>
          <w:highlight w:val="none"/>
          <w:lang w:val="zh-CN"/>
        </w:rPr>
        <w:t>扣减本合同总金额</w:t>
      </w:r>
      <w:r>
        <w:rPr>
          <w:rFonts w:hint="eastAsia" w:ascii="宋体" w:hAnsi="宋体" w:cs="宋体"/>
          <w:color w:val="auto"/>
          <w:sz w:val="24"/>
          <w:highlight w:val="none"/>
          <w:lang w:val="en-US" w:eastAsia="zh-CN"/>
        </w:rPr>
        <w:t>5</w:t>
      </w:r>
      <w:r>
        <w:rPr>
          <w:rFonts w:hint="default" w:ascii="Arial" w:hAnsi="Arial" w:cs="Arial"/>
          <w:color w:val="auto"/>
          <w:sz w:val="24"/>
          <w:highlight w:val="none"/>
          <w:lang w:val="en-US" w:eastAsia="zh-CN"/>
        </w:rPr>
        <w:t>‰</w:t>
      </w:r>
      <w:r>
        <w:rPr>
          <w:rFonts w:hint="eastAsia" w:ascii="宋体" w:hAnsi="宋体" w:eastAsia="宋体" w:cs="宋体"/>
          <w:color w:val="auto"/>
          <w:sz w:val="24"/>
          <w:highlight w:val="none"/>
          <w:lang w:val="zh-CN"/>
        </w:rPr>
        <w:t>的违约金，且</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有权请其它专业服务公司进行维修服务，由此造成的费用和损失由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承担。</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.2因</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服务问题造成事故，使得</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设备遭受损失，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有权要求</w:t>
      </w:r>
      <w:r>
        <w:rPr>
          <w:rFonts w:hint="eastAsia" w:ascii="宋体" w:hAnsi="宋体" w:cs="宋体"/>
          <w:color w:val="auto"/>
          <w:sz w:val="24"/>
          <w:highlight w:val="none"/>
          <w:lang w:val="zh-CN"/>
        </w:rPr>
        <w:t>乙方</w:t>
      </w:r>
      <w:r>
        <w:rPr>
          <w:rFonts w:hint="eastAsia" w:ascii="宋体" w:hAnsi="宋体" w:eastAsia="宋体" w:cs="宋体"/>
          <w:color w:val="auto"/>
          <w:sz w:val="24"/>
          <w:highlight w:val="none"/>
          <w:lang w:val="zh-CN"/>
        </w:rPr>
        <w:t>赔偿相应损失。</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.3</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违约造成</w:t>
      </w:r>
      <w:r>
        <w:rPr>
          <w:rFonts w:hint="eastAsia" w:ascii="宋体" w:hAnsi="宋体" w:cs="宋体"/>
          <w:color w:val="auto"/>
          <w:sz w:val="24"/>
          <w:highlight w:val="none"/>
          <w:lang w:val="zh-CN"/>
        </w:rPr>
        <w:t>甲方</w:t>
      </w:r>
      <w:r>
        <w:rPr>
          <w:rFonts w:hint="eastAsia" w:ascii="宋体" w:hAnsi="宋体" w:eastAsia="宋体" w:cs="宋体"/>
          <w:color w:val="auto"/>
          <w:sz w:val="24"/>
          <w:highlight w:val="none"/>
          <w:lang w:val="zh-CN"/>
        </w:rPr>
        <w:t>的费用的增加和损失，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有权从剩余合同款项中直接扣除。如待支付的合同剩余款项不足以弥补</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上述费用和损失，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应向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支付不足部分款项。</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双方均可由于对方没有履行其在本合同项下的义务而终止本合同，但应提前一个月以书面形式通知对方。</w:t>
      </w:r>
    </w:p>
    <w:p>
      <w:pPr>
        <w:spacing w:line="560" w:lineRule="exact"/>
        <w:rPr>
          <w:rFonts w:hint="eastAsia" w:ascii="宋体" w:hAnsi="宋体" w:eastAsia="宋体" w:cs="宋体"/>
          <w:b/>
          <w:bCs/>
          <w:color w:val="auto"/>
          <w:sz w:val="24"/>
          <w:highlight w:val="none"/>
          <w:lang w:val="zh-CN"/>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zh-CN"/>
        </w:rPr>
        <w:t>.知识产权及保密</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保证，其根据本合同提供的产品及服务没有任何权利瑕疵，没有侵犯任何第三方权利，</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在使用该产品或服务的任何一部分时，免受第三方提出的侵犯其知识产权的起诉。如果任何人对</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使用该产品或服务主张权利，由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负责处理一切纠纷及相关事宜。由此给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造成的损失，由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承担，其承担范围包括但不限于：赔偿费、律师费、仲裁费和与仲裁相关的费用。</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尊重</w:t>
      </w:r>
      <w:r>
        <w:rPr>
          <w:rFonts w:hint="eastAsia" w:ascii="宋体" w:hAnsi="宋体" w:cs="宋体"/>
          <w:color w:val="auto"/>
          <w:sz w:val="24"/>
          <w:highlight w:val="none"/>
          <w:lang w:val="zh-CN"/>
        </w:rPr>
        <w:t>乙方</w:t>
      </w:r>
      <w:r>
        <w:rPr>
          <w:rFonts w:hint="eastAsia" w:ascii="宋体" w:hAnsi="宋体" w:eastAsia="宋体" w:cs="宋体"/>
          <w:color w:val="auto"/>
          <w:sz w:val="24"/>
          <w:highlight w:val="none"/>
          <w:lang w:val="zh-CN"/>
        </w:rPr>
        <w:t>软件产品的著作权,不在</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 xml:space="preserve">以外的第三方做非法复制和扩散。 </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zh-CN"/>
        </w:rPr>
        <w:t>.3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pPr>
        <w:spacing w:line="56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zh-CN"/>
        </w:rPr>
        <w:t>.不可抗力</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zh-CN"/>
        </w:rPr>
        <w:t>.1如果双方中任何一方由于战争、严重火灾、水灾和地震以及其它经双方同意属于不可抗力的事故，致使合同履行受阻时，履行合同的期限应予延长，延长的期限应相当于事故所影响的时间。</w:t>
      </w:r>
    </w:p>
    <w:p>
      <w:pPr>
        <w:spacing w:line="560" w:lineRule="exact"/>
        <w:ind w:firstLine="480" w:firstLineChars="200"/>
        <w:rPr>
          <w:rFonts w:hint="eastAsia" w:ascii="宋体" w:hAnsi="宋体" w:eastAsia="宋体" w:cs="宋体"/>
          <w:b/>
          <w:color w:val="auto"/>
          <w:kern w:val="2"/>
          <w:sz w:val="24"/>
          <w:szCs w:val="24"/>
          <w:highlight w:val="none"/>
          <w:lang w:val="zh-CN"/>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.2如果不可抗力影响时间延续30天以上的，双方应通过友好协商在合理的时间内达成进一步履行合同的协议。</w:t>
      </w:r>
    </w:p>
    <w:p>
      <w:pPr>
        <w:spacing w:line="44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合同争议的解决</w:t>
      </w:r>
      <w:bookmarkEnd w:id="48"/>
      <w:bookmarkEnd w:id="49"/>
      <w:bookmarkEnd w:id="50"/>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本合同履行过程中发生的任何争议，双方当事人均可通过和解或者调解解决；不愿和解、调解或者和解、调解不成的，可以选择以下</w:t>
      </w:r>
      <w:r>
        <w:rPr>
          <w:rFonts w:hint="eastAsia" w:ascii="宋体" w:hAnsi="宋体" w:eastAsia="宋体" w:cs="宋体"/>
          <w:color w:val="auto"/>
          <w:sz w:val="24"/>
          <w:highlight w:val="none"/>
          <w:u w:val="single"/>
          <w:lang w:val="zh-CN"/>
        </w:rPr>
        <w:t>（2）</w:t>
      </w:r>
      <w:r>
        <w:rPr>
          <w:rFonts w:hint="eastAsia" w:ascii="宋体" w:hAnsi="宋体" w:eastAsia="宋体" w:cs="宋体"/>
          <w:color w:val="auto"/>
          <w:sz w:val="24"/>
          <w:highlight w:val="none"/>
          <w:lang w:val="zh-CN"/>
        </w:rPr>
        <w:t xml:space="preserve">条款规定的方式解决：        </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（1）可向绍兴仲裁委员会申请仲裁。</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向甲方当地人民法院起诉。</w:t>
      </w:r>
    </w:p>
    <w:p>
      <w:pPr>
        <w:pStyle w:val="80"/>
        <w:spacing w:line="400" w:lineRule="exact"/>
        <w:rPr>
          <w:rFonts w:hint="eastAsia" w:ascii="宋体" w:hAnsi="宋体" w:eastAsia="宋体" w:cs="宋体"/>
          <w:b/>
          <w:color w:val="auto"/>
          <w:kern w:val="2"/>
          <w:highlight w:val="none"/>
          <w:lang w:val="zh-CN"/>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kern w:val="2"/>
          <w:highlight w:val="none"/>
          <w:lang w:val="zh-CN"/>
        </w:rPr>
        <w:t>未尽事项</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本合同未尽事宜经双方协商一致，可以签订书面补充合同，补充合同与本合同具有同等法律效力。</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本合同自双方法定代表人或委托代理人签字并加盖单位公章后生效。本合同一式陆份，乙方执叁份，甲方执叁份。</w:t>
      </w:r>
    </w:p>
    <w:p>
      <w:pPr>
        <w:autoSpaceDE w:val="0"/>
        <w:autoSpaceDN w:val="0"/>
        <w:spacing w:line="440" w:lineRule="exact"/>
        <w:rPr>
          <w:rFonts w:hint="eastAsia" w:ascii="宋体" w:hAnsi="宋体" w:eastAsia="宋体" w:cs="宋体"/>
          <w:b/>
          <w:color w:val="auto"/>
          <w:sz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                                  乙方：</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                      统一社会信用代码：</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住所：                                 住所：</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或其授权委托人（签字）：               或其授权委托人（签字）：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联系人：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                             开户账号：</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val="0"/>
        <w:autoSpaceDN w:val="0"/>
        <w:bidi w:val="0"/>
        <w:adjustRightInd w:val="0"/>
        <w:snapToGrid/>
        <w:spacing w:line="420" w:lineRule="exact"/>
        <w:ind w:firstLine="2150" w:firstLineChars="89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shd w:val="clear"/>
        <w:spacing w:line="440" w:lineRule="exact"/>
        <w:ind w:left="1680" w:hanging="1960" w:hangingChars="700"/>
        <w:jc w:val="both"/>
        <w:rPr>
          <w:rFonts w:hint="eastAsia" w:ascii="宋体" w:hAnsi="宋体" w:eastAsia="宋体" w:cs="宋体"/>
          <w:color w:val="auto"/>
          <w:kern w:val="0"/>
          <w:sz w:val="28"/>
          <w:szCs w:val="28"/>
          <w:highlight w:val="none"/>
          <w:lang w:val="en-US" w:eastAsia="zh-CN"/>
        </w:rPr>
      </w:pPr>
      <w:bookmarkStart w:id="54" w:name="_Toc331685784"/>
      <w:bookmarkEnd w:id="54"/>
      <w:r>
        <w:rPr>
          <w:rFonts w:hint="eastAsia" w:ascii="宋体" w:hAnsi="宋体" w:eastAsia="宋体" w:cs="宋体"/>
          <w:color w:val="auto"/>
          <w:kern w:val="0"/>
          <w:sz w:val="28"/>
          <w:szCs w:val="28"/>
          <w:highlight w:val="none"/>
          <w:lang w:val="en-US" w:eastAsia="zh-CN"/>
        </w:rPr>
        <w:t>合同附件</w:t>
      </w:r>
    </w:p>
    <w:p>
      <w:pPr>
        <w:shd w:val="clear"/>
        <w:spacing w:line="440" w:lineRule="exact"/>
        <w:ind w:left="1680" w:hanging="2240" w:hangingChars="700"/>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廉政责任协议书</w:t>
      </w:r>
    </w:p>
    <w:p>
      <w:pPr>
        <w:pStyle w:val="9"/>
        <w:rPr>
          <w:rFonts w:hint="eastAsia"/>
          <w:color w:val="auto"/>
          <w:highlight w:val="none"/>
        </w:rPr>
      </w:pPr>
    </w:p>
    <w:p>
      <w:pPr>
        <w:shd w:val="clear"/>
        <w:spacing w:line="440" w:lineRule="exact"/>
        <w:ind w:left="1680" w:hanging="1680" w:hangingChars="7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lang w:eastAsia="zh-CN"/>
        </w:rPr>
        <w:t>绍兴市水务产业有限公司存储空间扩容设备采购项目（</w:t>
      </w:r>
      <w:r>
        <w:rPr>
          <w:rFonts w:hint="eastAsia" w:ascii="宋体" w:hAnsi="宋体" w:cs="宋体"/>
          <w:color w:val="auto"/>
          <w:kern w:val="0"/>
          <w:sz w:val="24"/>
          <w:highlight w:val="none"/>
          <w:lang w:val="en-US" w:eastAsia="zh-CN"/>
        </w:rPr>
        <w:t>线上重招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 </w:t>
      </w:r>
    </w:p>
    <w:p>
      <w:pPr>
        <w:shd w:val="clea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采购人(全称)：绍兴市水务产业有限公司                  （以下简称甲方）</w:t>
      </w:r>
    </w:p>
    <w:p>
      <w:pPr>
        <w:shd w:val="clea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中标供应商(全称)：</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（以下简称乙方）</w:t>
      </w:r>
    </w:p>
    <w:p>
      <w:pPr>
        <w:widowControl/>
        <w:shd w:val="clear"/>
        <w:adjustRightInd/>
        <w:spacing w:line="440" w:lineRule="exact"/>
        <w:jc w:val="center"/>
        <w:rPr>
          <w:rFonts w:hint="eastAsia" w:ascii="宋体" w:hAnsi="宋体" w:eastAsia="宋体" w:cs="宋体"/>
          <w:color w:val="auto"/>
          <w:kern w:val="0"/>
          <w:sz w:val="24"/>
          <w:highlight w:val="none"/>
        </w:rPr>
      </w:pPr>
    </w:p>
    <w:p>
      <w:pPr>
        <w:shd w:val="clea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根据有关廉政内容的规定，为做好物资采购中的党风廉政建设，保证采购高效优质，保证资金的安全和有效使用，双方特订立如下合同：</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甲方和乙方双方的权利和义务</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（一）严格遵守党和国家有关法律法规及建设部的有关规定。</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（二）严格执行</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绍兴市水务产业有限公司存储空间扩容设备采购项目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线上重招</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采购合同文件，自觉按合同办事。</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（三）双方的业务活动坚持公开、公正、诚信、透明的原则（除法律认定的商业秘密和合同文件另有规定之外），不得损害国家和集体利益，违反物资采购管理规章制度。</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（四）建立健全廉政制度，开展廉政教育，公布举报电话，监督并认真查处违法违纪行为。</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（五）发现对方在业务活动中有违反廉政规定的行为，有及时提醒对方纠正的权利和义务。</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（六）发现对方严重违反本合同义务条款的行为，有向其上级有关部门举报、建议给予处理并要求告知处理结果的权利。</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甲方的义务</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（一）甲方及其工作人员不得索要或接受乙方的礼金、有价证券和贵重物品，不得在乙方报销任何应由甲方或个人支付的费用等。</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（二）甲方工作人员不得参加乙方安排的超标准宴请和娱乐活动，不得接受乙方提供的通讯工具、交通工具和高档办公用品等。</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（三）甲方及其工作人员不得要求或者接受乙方为其住房装修、婚丧嫁娶活动、配偶子女的工作安排以及出国出境、旅游等提供方便等。</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（四）甲方工作人员的配偶、子女不得从事与甲方采购有关的材料设备供应、劳务等经济活动等。</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乙方的义务</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（一）乙方不得以任何理由向甲方及其工作人员行贿或馈赠礼金，有价证券、贵重礼品。</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（二）乙方不得以任何名义为甲方及其工作人员报销应由甲方单位或个人支付的任何费用。</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（三）乙方不得以任何理由安排甲方工作人员参加超标准宴请及娱乐活动。</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（四）乙方不得为甲方单位和个人购置或提供通讯工具、交通工具和高档办公用品等。</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违约责任</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及其工作人员违反本合同第一、三条，按管理权限，依据有关规定、给予党纪、政纪或组织处理；给甲方单位造成经济损失的，应予以赔偿；情节严重的，甲方建议相关主管部门给予乙方一至三年内不得进入其主管的项目市场的处罚。</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双方约定</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本合同由双方或双方上级单位的纪检监察机关负责监督。由甲方或甲方上级单位的纪检监察机关约请乙方或乙方上级单位纪检监察机关对本合同履行情况进行检查提出在本合同规定范围内的裁定意见。</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本合同有效期为甲方和乙方双方签署之日起至该采购项目实施阶段全过程服务完成并经甲方认可后止。</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本合同作为</w:t>
      </w:r>
      <w:r>
        <w:rPr>
          <w:rFonts w:hint="eastAsia" w:ascii="宋体" w:hAnsi="宋体" w:cs="宋体"/>
          <w:color w:val="auto"/>
          <w:sz w:val="24"/>
          <w:highlight w:val="none"/>
          <w:u w:val="single"/>
          <w:lang w:eastAsia="zh-CN"/>
        </w:rPr>
        <w:t>绍兴市水务产业有限公司存储空间扩容设备采购项目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线上重招</w:t>
      </w:r>
      <w:r>
        <w:rPr>
          <w:rFonts w:hint="eastAsia" w:ascii="宋体" w:hAnsi="宋体" w:cs="宋体"/>
          <w:color w:val="auto"/>
          <w:kern w:val="0"/>
          <w:sz w:val="24"/>
          <w:highlight w:val="none"/>
          <w:u w:val="single"/>
          <w:lang w:eastAsia="zh-CN"/>
        </w:rPr>
        <w:t>）</w:t>
      </w:r>
      <w:r>
        <w:rPr>
          <w:rFonts w:hint="eastAsia" w:ascii="宋体" w:hAnsi="宋体" w:eastAsia="宋体" w:cs="宋体"/>
          <w:color w:val="auto"/>
          <w:sz w:val="24"/>
          <w:highlight w:val="none"/>
        </w:rPr>
        <w:t>采购合同的附件，与采购合同具有同等的法律效力，经合同双方签署立即生效。</w:t>
      </w:r>
    </w:p>
    <w:p>
      <w:pPr>
        <w:shd w:val="clea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本合同甲方和乙方双方各执一份。</w:t>
      </w:r>
    </w:p>
    <w:p>
      <w:pPr>
        <w:shd w:val="clear"/>
        <w:adjustRightInd/>
        <w:spacing w:line="440" w:lineRule="exact"/>
        <w:rPr>
          <w:rFonts w:hint="eastAsia" w:ascii="宋体" w:hAnsi="宋体" w:eastAsia="宋体" w:cs="宋体"/>
          <w:color w:val="auto"/>
          <w:sz w:val="24"/>
          <w:highlight w:val="none"/>
        </w:rPr>
      </w:pPr>
    </w:p>
    <w:p>
      <w:pPr>
        <w:keepNext w:val="0"/>
        <w:keepLines w:val="0"/>
        <w:pageBreakBefore w:val="0"/>
        <w:widowControl w:val="0"/>
        <w:shd w:val="clear"/>
        <w:kinsoku/>
        <w:wordWrap/>
        <w:overflowPunct/>
        <w:topLinePunct w:val="0"/>
        <w:autoSpaceDE/>
        <w:autoSpaceDN/>
        <w:bidi w:val="0"/>
        <w:adjustRightInd w:val="0"/>
        <w:snapToGrid/>
        <w:spacing w:line="48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甲方（盖章）                            乙方（盖章）</w:t>
      </w:r>
    </w:p>
    <w:p>
      <w:pPr>
        <w:keepNext w:val="0"/>
        <w:keepLines w:val="0"/>
        <w:pageBreakBefore w:val="0"/>
        <w:widowControl w:val="0"/>
        <w:shd w:val="clear"/>
        <w:kinsoku/>
        <w:wordWrap/>
        <w:overflowPunct/>
        <w:topLinePunct w:val="0"/>
        <w:autoSpaceDE/>
        <w:autoSpaceDN/>
        <w:bidi w:val="0"/>
        <w:adjustRightInd w:val="0"/>
        <w:snapToGrid/>
        <w:spacing w:line="48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法定代表人或其授权代表                  法定代表人或其授权代表</w:t>
      </w:r>
    </w:p>
    <w:p>
      <w:pPr>
        <w:keepNext w:val="0"/>
        <w:keepLines w:val="0"/>
        <w:pageBreakBefore w:val="0"/>
        <w:widowControl w:val="0"/>
        <w:shd w:val="clear"/>
        <w:kinsoku/>
        <w:wordWrap/>
        <w:overflowPunct/>
        <w:topLinePunct w:val="0"/>
        <w:autoSpaceDE/>
        <w:autoSpaceDN/>
        <w:bidi w:val="0"/>
        <w:adjustRightInd w:val="0"/>
        <w:snapToGrid/>
        <w:spacing w:line="48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（签字或盖章）：                       （签字或盖章）：</w:t>
      </w:r>
    </w:p>
    <w:p>
      <w:pPr>
        <w:keepNext w:val="0"/>
        <w:keepLines w:val="0"/>
        <w:pageBreakBefore w:val="0"/>
        <w:widowControl w:val="0"/>
        <w:shd w:val="clear"/>
        <w:kinsoku/>
        <w:wordWrap/>
        <w:overflowPunct/>
        <w:topLinePunct w:val="0"/>
        <w:autoSpaceDE/>
        <w:autoSpaceDN/>
        <w:bidi w:val="0"/>
        <w:adjustRightInd w:val="0"/>
        <w:snapToGrid/>
        <w:spacing w:line="480" w:lineRule="auto"/>
        <w:jc w:val="center"/>
        <w:textAlignment w:val="auto"/>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                               </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rPr>
        <w:t>年   月   日</w:t>
      </w:r>
    </w:p>
    <w:p>
      <w:pPr>
        <w:shd w:val="clea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br w:type="page"/>
      </w:r>
    </w:p>
    <w:p>
      <w:pPr>
        <w:shd w:val="clear"/>
        <w:spacing w:line="440" w:lineRule="exact"/>
        <w:jc w:val="center"/>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安全协议书</w:t>
      </w:r>
    </w:p>
    <w:p>
      <w:pPr>
        <w:shd w:val="clear"/>
        <w:spacing w:line="440" w:lineRule="exact"/>
        <w:jc w:val="center"/>
        <w:rPr>
          <w:rFonts w:hint="eastAsia" w:ascii="宋体" w:hAnsi="宋体" w:eastAsia="宋体" w:cs="宋体"/>
          <w:color w:val="auto"/>
          <w:kern w:val="0"/>
          <w:sz w:val="32"/>
          <w:szCs w:val="32"/>
          <w:highlight w:val="none"/>
        </w:rPr>
      </w:pPr>
    </w:p>
    <w:p>
      <w:pPr>
        <w:shd w:val="clear"/>
        <w:spacing w:line="440" w:lineRule="exact"/>
        <w:ind w:left="1680" w:hanging="1680" w:hangingChars="7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项目名称：</w:t>
      </w:r>
      <w:r>
        <w:rPr>
          <w:rFonts w:hint="eastAsia" w:ascii="宋体" w:hAnsi="宋体" w:cs="宋体"/>
          <w:color w:val="auto"/>
          <w:sz w:val="24"/>
          <w:highlight w:val="none"/>
          <w:u w:val="single"/>
          <w:lang w:eastAsia="zh-CN"/>
        </w:rPr>
        <w:t>绍兴市水务产业有限公司存储空间扩容设备采购项目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线上重招</w:t>
      </w:r>
      <w:r>
        <w:rPr>
          <w:rFonts w:hint="eastAsia" w:ascii="宋体" w:hAnsi="宋体" w:cs="宋体"/>
          <w:color w:val="auto"/>
          <w:kern w:val="0"/>
          <w:sz w:val="24"/>
          <w:highlight w:val="none"/>
          <w:u w:val="single"/>
          <w:lang w:eastAsia="zh-CN"/>
        </w:rPr>
        <w:t>）</w:t>
      </w:r>
    </w:p>
    <w:p>
      <w:pPr>
        <w:shd w:val="clear"/>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采购人：绍兴市水务产业有限公司            (以下简称甲方)</w:t>
      </w:r>
    </w:p>
    <w:p>
      <w:pPr>
        <w:shd w:val="clear"/>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中标供应商：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(以下简称乙方)</w:t>
      </w:r>
    </w:p>
    <w:p>
      <w:pPr>
        <w:widowControl/>
        <w:shd w:val="clear"/>
        <w:adjustRightInd/>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为了切实加强实施人员现场安全作业管理，双方本着平等、自愿的原则，签订本协议书。甲方和乙方均严格遵守本协议书规定的权力、责任和义务，确保实施人员现场作业的安全。</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一、甲方的权利、责任和义务：</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1、贯彻落实国家有关安全作业的法规和管理规定，对乙方作业人员服务现场和区域的安全生产进行安全检查与指导。</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2、及时纠正乙方作业人员违章指挥和违章作业行为，并按照有关规定予以查处。</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3、对乙方的安全作业培训和危险预知工作提出指导意见，并监督落实情况。</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4、对乙方提出的安全作业要求积极提供帮助。</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二、乙方的权利、责任和义务：</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1、遵守国家有关服务现场安全作业的法规和管理制度，建立健全安全作业责任制度。</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现场作业应遵守国家和地方关于劳动安全，劳务用工法律法规及规章制度，保证其用工的合法性；同时应遵守甲方的有关规章制度要求。乙方必须按国家或地方政府的有关规定，为施工人员办理人身意外保险。</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作业前，乙方人员对作业区域、作业环境、操作设施设备、工器具等应认真检查，发现隐患，严禁作业，经整改完成后方可作业。一经作业，就表示已确认甲方提供的作业场所、作业环境、操作设施设备、工器具等符合安全要求和处于安全状态。</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4、乙方在作业时，必须落实相应的安全防护设施，作业人员应按规定使用和穿戴个人劳动防护用品。特种作业人员必须持有政府部门核发的合格有效的上岗资格证书。</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5.施工时的各类特殊危险作业必须提前向甲方报备，并办理审批手续、落实监护人，采取防范措施方可进行。</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乙方施工时需临时使用甲方的电源、机械、机具设备、设施等必须事前与甲方相关管理部门联系，在征得同意后由甲方相关管理部门指定人员进行协配。未经许可，乙方不得擅自动用或更改甲方的电源、机械、机具设备、设施及安全装置等。</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7、乙方要做到文明施工，保护甲方现场设备、设施等，如造成损失，乙方要照价或加倍赔偿。</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8、乙方应自觉接受甲方的安全生产监督，并为甲方的监督检查工作提供方便。</w:t>
      </w:r>
    </w:p>
    <w:p>
      <w:pPr>
        <w:widowControl/>
        <w:shd w:val="clear"/>
        <w:adjustRightIn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9、项目造成的安全事故，由乙方承担事故责任和经济责任。</w:t>
      </w:r>
    </w:p>
    <w:p>
      <w:pPr>
        <w:widowControl/>
        <w:shd w:val="clear"/>
        <w:adjustRightInd/>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本协议</w:t>
      </w:r>
      <w:r>
        <w:rPr>
          <w:rFonts w:hint="eastAsia" w:ascii="宋体" w:hAnsi="宋体" w:eastAsia="宋体" w:cs="宋体"/>
          <w:color w:val="auto"/>
          <w:sz w:val="24"/>
          <w:highlight w:val="none"/>
        </w:rPr>
        <w:t>作为</w:t>
      </w:r>
      <w:r>
        <w:rPr>
          <w:rFonts w:hint="eastAsia" w:ascii="宋体" w:hAnsi="宋体" w:cs="宋体"/>
          <w:color w:val="auto"/>
          <w:sz w:val="24"/>
          <w:highlight w:val="none"/>
          <w:u w:val="single"/>
          <w:lang w:eastAsia="zh-CN"/>
        </w:rPr>
        <w:t>绍兴市水务产业有限公司存储空间扩容设备采购项目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线上重招</w:t>
      </w:r>
      <w:r>
        <w:rPr>
          <w:rFonts w:hint="eastAsia" w:ascii="宋体" w:hAnsi="宋体" w:cs="宋体"/>
          <w:color w:val="auto"/>
          <w:kern w:val="0"/>
          <w:sz w:val="24"/>
          <w:highlight w:val="none"/>
          <w:u w:val="single"/>
          <w:lang w:eastAsia="zh-CN"/>
        </w:rPr>
        <w:t>）</w:t>
      </w:r>
      <w:r>
        <w:rPr>
          <w:rFonts w:hint="eastAsia" w:ascii="宋体" w:hAnsi="宋体" w:eastAsia="宋体" w:cs="宋体"/>
          <w:color w:val="auto"/>
          <w:sz w:val="24"/>
          <w:highlight w:val="none"/>
        </w:rPr>
        <w:t>承包合同的附件，与项目承包合同具有同等的法律效力，经合同双方签署立即生效。</w:t>
      </w:r>
    </w:p>
    <w:p>
      <w:pPr>
        <w:shd w:val="clear"/>
        <w:autoSpaceDE w:val="0"/>
        <w:autoSpaceDN w:val="0"/>
        <w:spacing w:line="440" w:lineRule="exact"/>
        <w:ind w:left="840" w:hanging="420"/>
        <w:rPr>
          <w:rFonts w:hint="eastAsia" w:ascii="宋体" w:hAnsi="宋体" w:eastAsia="宋体" w:cs="宋体"/>
          <w:snapToGrid w:val="0"/>
          <w:color w:val="auto"/>
          <w:sz w:val="24"/>
          <w:szCs w:val="21"/>
          <w:highlight w:val="none"/>
          <w:lang w:val="zh-CN"/>
        </w:rPr>
      </w:pPr>
    </w:p>
    <w:p>
      <w:pPr>
        <w:shd w:val="clear"/>
        <w:autoSpaceDE w:val="0"/>
        <w:autoSpaceDN w:val="0"/>
        <w:spacing w:line="440" w:lineRule="exact"/>
        <w:ind w:left="840" w:hanging="420"/>
        <w:rPr>
          <w:rFonts w:hint="eastAsia" w:ascii="宋体" w:hAnsi="宋体" w:eastAsia="宋体" w:cs="宋体"/>
          <w:snapToGrid w:val="0"/>
          <w:color w:val="auto"/>
          <w:sz w:val="24"/>
          <w:szCs w:val="21"/>
          <w:highlight w:val="none"/>
          <w:lang w:val="zh-CN"/>
        </w:rPr>
      </w:pPr>
    </w:p>
    <w:p>
      <w:pPr>
        <w:keepNext w:val="0"/>
        <w:keepLines w:val="0"/>
        <w:pageBreakBefore w:val="0"/>
        <w:widowControl w:val="0"/>
        <w:shd w:val="clear"/>
        <w:kinsoku/>
        <w:wordWrap/>
        <w:overflowPunct/>
        <w:topLinePunct w:val="0"/>
        <w:autoSpaceDE/>
        <w:autoSpaceDN/>
        <w:bidi w:val="0"/>
        <w:adjustRightInd w:val="0"/>
        <w:snapToGrid/>
        <w:spacing w:line="48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甲方（盖章）                            乙方（盖章）</w:t>
      </w:r>
    </w:p>
    <w:p>
      <w:pPr>
        <w:keepNext w:val="0"/>
        <w:keepLines w:val="0"/>
        <w:pageBreakBefore w:val="0"/>
        <w:widowControl w:val="0"/>
        <w:shd w:val="clear"/>
        <w:kinsoku/>
        <w:wordWrap/>
        <w:overflowPunct/>
        <w:topLinePunct w:val="0"/>
        <w:autoSpaceDE/>
        <w:autoSpaceDN/>
        <w:bidi w:val="0"/>
        <w:adjustRightInd w:val="0"/>
        <w:snapToGrid/>
        <w:spacing w:line="48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法定代表人（签名或盖章）                法定代表人（签名或盖章）</w:t>
      </w:r>
    </w:p>
    <w:p>
      <w:pPr>
        <w:keepNext w:val="0"/>
        <w:keepLines w:val="0"/>
        <w:pageBreakBefore w:val="0"/>
        <w:widowControl w:val="0"/>
        <w:shd w:val="clear"/>
        <w:kinsoku/>
        <w:wordWrap/>
        <w:overflowPunct/>
        <w:topLinePunct w:val="0"/>
        <w:autoSpaceDE/>
        <w:autoSpaceDN/>
        <w:bidi w:val="0"/>
        <w:adjustRightInd w:val="0"/>
        <w:snapToGrid/>
        <w:spacing w:line="48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或其授权代表（签名或盖章）              或其授权代表（签名或盖章） </w:t>
      </w:r>
    </w:p>
    <w:p>
      <w:pPr>
        <w:shd w:val="clear"/>
        <w:spacing w:line="560" w:lineRule="exact"/>
        <w:ind w:firstLine="960" w:firstLineChars="4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  月  日</w:t>
      </w:r>
      <w:r>
        <w:rPr>
          <w:rFonts w:hint="eastAsia" w:ascii="宋体" w:hAnsi="宋体" w:eastAsia="宋体" w:cs="宋体"/>
          <w:color w:val="auto"/>
          <w:kern w:val="0"/>
          <w:sz w:val="24"/>
          <w:highlight w:val="none"/>
          <w:lang w:val="en-US" w:eastAsia="zh-CN"/>
        </w:rPr>
        <w:t xml:space="preserve">                               年  月   日</w:t>
      </w:r>
    </w:p>
    <w:p>
      <w:pPr>
        <w:shd w:val="clear"/>
        <w:spacing w:line="560" w:lineRule="exact"/>
        <w:ind w:firstLine="960" w:firstLineChars="400"/>
        <w:rPr>
          <w:rFonts w:hint="eastAsia" w:ascii="宋体" w:hAnsi="宋体" w:eastAsia="宋体" w:cs="宋体"/>
          <w:color w:val="auto"/>
          <w:kern w:val="0"/>
          <w:sz w:val="24"/>
          <w:highlight w:val="none"/>
          <w:lang w:val="en-US" w:eastAsia="zh-CN"/>
        </w:rPr>
      </w:pPr>
    </w:p>
    <w:p>
      <w:pPr>
        <w:shd w:val="clear"/>
        <w:spacing w:line="560" w:lineRule="exact"/>
        <w:ind w:firstLine="960" w:firstLineChars="400"/>
        <w:rPr>
          <w:rFonts w:hint="eastAsia" w:ascii="宋体" w:hAnsi="宋体" w:eastAsia="宋体" w:cs="宋体"/>
          <w:color w:val="auto"/>
          <w:kern w:val="0"/>
          <w:sz w:val="24"/>
          <w:highlight w:val="none"/>
          <w:lang w:val="en-US" w:eastAsia="zh-CN"/>
        </w:rPr>
      </w:pPr>
    </w:p>
    <w:p>
      <w:pPr>
        <w:shd w:val="clear"/>
        <w:spacing w:line="560" w:lineRule="exact"/>
        <w:ind w:firstLine="960" w:firstLineChars="400"/>
        <w:rPr>
          <w:rFonts w:hint="eastAsia" w:ascii="宋体" w:hAnsi="宋体" w:eastAsia="宋体" w:cs="宋体"/>
          <w:color w:val="auto"/>
          <w:kern w:val="0"/>
          <w:sz w:val="24"/>
          <w:highlight w:val="none"/>
          <w:lang w:val="en-US" w:eastAsia="zh-CN"/>
        </w:rPr>
      </w:pPr>
    </w:p>
    <w:p>
      <w:pPr>
        <w:shd w:val="clear"/>
        <w:spacing w:line="560" w:lineRule="exact"/>
        <w:ind w:firstLine="960" w:firstLine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pPr>
        <w:widowControl/>
        <w:adjustRightInd/>
        <w:spacing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保密协议</w:t>
      </w:r>
    </w:p>
    <w:p>
      <w:pPr>
        <w:adjustRightInd/>
        <w:spacing w:line="240" w:lineRule="auto"/>
        <w:jc w:val="center"/>
        <w:rPr>
          <w:rFonts w:hint="eastAsia" w:ascii="宋体" w:hAnsi="宋体" w:eastAsia="宋体" w:cs="宋体"/>
          <w:b/>
          <w:color w:val="auto"/>
          <w:sz w:val="21"/>
          <w:szCs w:val="21"/>
          <w:highlight w:val="none"/>
        </w:rPr>
      </w:pPr>
    </w:p>
    <w:p>
      <w:pPr>
        <w:widowControl/>
        <w:adjustRightInd/>
        <w:spacing w:line="46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绍兴市水务产业有限公司</w:t>
      </w:r>
    </w:p>
    <w:p>
      <w:pPr>
        <w:widowControl/>
        <w:adjustRightInd/>
        <w:spacing w:line="46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pPr>
        <w:adjustRightInd/>
        <w:spacing w:line="240" w:lineRule="auto"/>
        <w:rPr>
          <w:rFonts w:hint="eastAsia" w:ascii="宋体" w:hAnsi="宋体" w:eastAsia="宋体" w:cs="宋体"/>
          <w:color w:val="auto"/>
          <w:sz w:val="21"/>
          <w:szCs w:val="21"/>
          <w:highlight w:val="none"/>
          <w:u w:val="single"/>
          <w:lang w:val="en-US" w:eastAsia="zh-CN"/>
        </w:rPr>
      </w:pPr>
    </w:p>
    <w:p>
      <w:pPr>
        <w:widowControl/>
        <w:adjustRightInd/>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鉴于乙方为甲方提供的</w:t>
      </w:r>
      <w:r>
        <w:rPr>
          <w:rFonts w:hint="eastAsia" w:ascii="宋体" w:hAnsi="宋体" w:cs="宋体"/>
          <w:color w:val="auto"/>
          <w:sz w:val="24"/>
          <w:highlight w:val="none"/>
          <w:u w:val="single"/>
          <w:lang w:eastAsia="zh-CN"/>
        </w:rPr>
        <w:t>绍兴市水务产业有限公司存储空间扩容设备采购项目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线上重招</w:t>
      </w:r>
      <w:r>
        <w:rPr>
          <w:rFonts w:hint="eastAsia" w:ascii="宋体" w:hAnsi="宋体" w:cs="宋体"/>
          <w:color w:val="auto"/>
          <w:kern w:val="0"/>
          <w:sz w:val="24"/>
          <w:highlight w:val="none"/>
          <w:u w:val="single"/>
          <w:lang w:eastAsia="zh-CN"/>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过程中，乙方能够接触或从甲方处获得资料、文档和相关业务数据等保密信息，</w:t>
      </w:r>
      <w:r>
        <w:rPr>
          <w:rFonts w:hint="eastAsia" w:ascii="宋体" w:hAnsi="宋体" w:eastAsia="宋体" w:cs="宋体"/>
          <w:color w:val="auto"/>
          <w:sz w:val="24"/>
          <w:szCs w:val="24"/>
          <w:highlight w:val="none"/>
          <w:lang w:val="en-US" w:eastAsia="zh-CN"/>
        </w:rPr>
        <w:t>并能</w:t>
      </w:r>
      <w:r>
        <w:rPr>
          <w:rFonts w:hint="eastAsia" w:ascii="宋体" w:hAnsi="宋体" w:eastAsia="宋体" w:cs="宋体"/>
          <w:color w:val="auto"/>
          <w:sz w:val="24"/>
          <w:szCs w:val="24"/>
          <w:highlight w:val="none"/>
        </w:rPr>
        <w:t>访问相关软、硬件平台环境。为确保对甲方的业务应用系统、信息系统设备及软、硬件平台环境进行有效保护，保障各类信息安全，经双方协商，达成本协议。</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一、保密信息</w:t>
      </w:r>
      <w:r>
        <w:rPr>
          <w:rFonts w:hint="eastAsia" w:ascii="宋体" w:hAnsi="宋体" w:eastAsia="宋体" w:cs="宋体"/>
          <w:b/>
          <w:bCs/>
          <w:color w:val="auto"/>
          <w:sz w:val="24"/>
          <w:szCs w:val="24"/>
          <w:highlight w:val="none"/>
          <w:lang w:val="en-US" w:eastAsia="zh-CN"/>
        </w:rPr>
        <w:t>的定义</w:t>
      </w:r>
    </w:p>
    <w:p>
      <w:pPr>
        <w:widowControl/>
        <w:adjustRightInd/>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本协议所指的保密信息</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但不限于甲方业务、技术、管理、客户、数据等领域的敏感信息与资料，</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GIS管线数据、地形图数据、SCADA系统数据、OA系统中的人事信息、客户信息、生产信息、视频监控记录、商业秘密、技术文档、源代码、数据库、设计方案、经营策略、市场规划、财务状况等，以及任何与公司运营相关需保密的信息。此外，乙方在合作期间获知的甲方专有信息及甲方对第三方负有保密义务的信息，无论其形式如何（书面、口头、图形、电磁等），均属保密范畴，包括但不限于信息系统漏洞信息、安全策略配置、IT基础设施数据、技术模型与方案等。</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、保密义务</w:t>
      </w:r>
    </w:p>
    <w:p>
      <w:pPr>
        <w:widowControl/>
        <w:adjustRightInd/>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全面遵循甲方制定的保密管理制度，确保从甲方获取的所有专有信息（包括但不限于文档、图纸、资料、磁盘、胶片及电子数据等）严格限定于双方合作范畴内使用，并采取有效且充分的保密措施，严防信息外泄。保证派遣符合安全要求与保密要求的人员参加</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承担的项目，并承担法律上的担保责任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需通过书面形式明确承诺其保密义务。此外，乙方应严格限制涉密信息的传播范围，仅限于必要的工作负责人及雇员，并在信息分享前清晰传达保密要求，以保障信息在内部的安全流通与管理。</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三、保密期限</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本协议保密期限不论主合同是否变更、解除、终止，长期有效。</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、资料管理与归还</w:t>
      </w:r>
    </w:p>
    <w:p>
      <w:pPr>
        <w:widowControl/>
        <w:adjustRightInd/>
        <w:spacing w:line="46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）资料携带与存储：未经甲方书面许可，乙方不得将载有甲方专有信息的任何介质带出指定工作范围。因工作需要必须携带的，需经甲方书面许可后加密或封条存储，确保数据保密性。</w:t>
      </w:r>
    </w:p>
    <w:p>
      <w:pPr>
        <w:widowControl/>
        <w:adjustRightInd/>
        <w:spacing w:line="46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）资料归还与销毁：乙方在甲方工作期满或项目完成后，应将所有包含甲方专有信息的资料及其复印件如数交还甲方，不得擅自保留。对于电子形式的专有信息，必须在甲方监控下销毁。</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、网络安全</w:t>
      </w:r>
      <w:r>
        <w:rPr>
          <w:rFonts w:hint="eastAsia" w:ascii="宋体" w:hAnsi="宋体" w:eastAsia="宋体" w:cs="宋体"/>
          <w:b/>
          <w:bCs/>
          <w:color w:val="auto"/>
          <w:sz w:val="24"/>
          <w:szCs w:val="24"/>
          <w:highlight w:val="none"/>
          <w:lang w:val="en-US" w:eastAsia="zh-CN"/>
        </w:rPr>
        <w:t>责任与义务</w:t>
      </w:r>
    </w:p>
    <w:p>
      <w:pPr>
        <w:widowControl/>
        <w:adjustRightInd/>
        <w:spacing w:line="46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网络安全责任：乙方应遵守《中华人民共和国网络安全法》《中华人民共和国保守国家秘密法》《中华人民共和国计算机信息系统安全保护条例》《中华人民共和国数据安全法》《中华人民共和国个人信息保护法》《浙江省公共数据条例》等法律法规</w:t>
      </w:r>
      <w:r>
        <w:rPr>
          <w:rFonts w:hint="eastAsia" w:ascii="宋体" w:hAnsi="宋体" w:eastAsia="宋体" w:cs="宋体"/>
          <w:b w:val="0"/>
          <w:bCs w:val="0"/>
          <w:color w:val="auto"/>
          <w:sz w:val="24"/>
          <w:szCs w:val="24"/>
          <w:highlight w:val="none"/>
          <w:lang w:val="en-US" w:eastAsia="zh-CN"/>
        </w:rPr>
        <w:t>及甲方</w:t>
      </w:r>
      <w:r>
        <w:rPr>
          <w:rFonts w:hint="eastAsia" w:ascii="宋体" w:hAnsi="宋体" w:eastAsia="宋体" w:cs="宋体"/>
          <w:b w:val="0"/>
          <w:bCs w:val="0"/>
          <w:color w:val="auto"/>
          <w:sz w:val="24"/>
          <w:szCs w:val="24"/>
          <w:highlight w:val="none"/>
          <w:lang w:eastAsia="zh-CN"/>
        </w:rPr>
        <w:t>规章制度，建立完善的技术措施，防止信息泄露和非法控制，确保系统安全可靠运行。</w:t>
      </w:r>
    </w:p>
    <w:p>
      <w:pPr>
        <w:widowControl/>
        <w:adjustRightInd/>
        <w:spacing w:line="46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网络安全义务：当发生网络安全事件、数据安全事件等突发事件，立即报告贵公司，保留原始记录，积极配合贵公司做好安全事件的处置及调查工作，并采取相应措施，及时排除安全隐患，修复漏洞。</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、资源使用与管理</w:t>
      </w:r>
    </w:p>
    <w:p>
      <w:pPr>
        <w:widowControl/>
        <w:adjustRightInd/>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资源</w:t>
      </w:r>
      <w:r>
        <w:rPr>
          <w:rFonts w:hint="eastAsia" w:ascii="宋体" w:hAnsi="宋体" w:eastAsia="宋体" w:cs="宋体"/>
          <w:b w:val="0"/>
          <w:bCs w:val="0"/>
          <w:color w:val="auto"/>
          <w:sz w:val="24"/>
          <w:szCs w:val="24"/>
          <w:highlight w:val="none"/>
          <w:lang w:val="en-US" w:eastAsia="zh-CN"/>
        </w:rPr>
        <w:t>使用限制</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对于甲方提供的任何资源，乙方仅能用于工作目的，不得用于其他用途，特别是不得从事侵害甲方利益的活动。</w:t>
      </w:r>
    </w:p>
    <w:p>
      <w:pPr>
        <w:widowControl/>
        <w:adjustRightInd/>
        <w:spacing w:line="46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管理制度遵守：乙方同意遵守甲方的各项管理制度，接受甲方的检查，并对违反制度的行为承担相应责任。</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禁止行为：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严禁在用户网络上查阅、复制、传播违法信息，破坏、盗用信息资源，以及从事其他违反网络安全规定的行为</w:t>
      </w:r>
      <w:r>
        <w:rPr>
          <w:rFonts w:hint="eastAsia" w:ascii="宋体" w:hAnsi="宋体" w:eastAsia="宋体" w:cs="宋体"/>
          <w:color w:val="auto"/>
          <w:sz w:val="24"/>
          <w:szCs w:val="24"/>
          <w:highlight w:val="none"/>
          <w:lang w:eastAsia="zh-CN"/>
        </w:rPr>
        <w:t>，不从事任何危害网络安全及数据安全的活动，包括但不限于：</w:t>
      </w:r>
      <w:r>
        <w:rPr>
          <w:rFonts w:hint="eastAsia" w:ascii="宋体" w:hAnsi="宋体" w:eastAsia="宋体" w:cs="宋体"/>
          <w:color w:val="auto"/>
          <w:sz w:val="24"/>
          <w:szCs w:val="24"/>
          <w:highlight w:val="none"/>
        </w:rPr>
        <w:t>未经允许，进入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信息系统或者使用网络资源的；未经允许，对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信息系统进行删除、修改或者增加的；未经允许，对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存储或者传输的数据进行删除、修改、增加或者复制的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未经允许，将</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数据、资料提供泄露给第三方或用于其他商业目的；故意制作、传播计算机病毒等破坏性程序的；法律法规禁止的其他危害网络安全的。</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、违约责任</w:t>
      </w:r>
    </w:p>
    <w:p>
      <w:pPr>
        <w:widowControl/>
        <w:adjustRightInd/>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接受方违反本协议任何规定，均视为违约。违约方应当对其违约行为给披露方造成的损失承担赔偿责任。</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、争议的解决</w:t>
      </w:r>
    </w:p>
    <w:p>
      <w:pPr>
        <w:widowControl/>
        <w:adjustRightInd/>
        <w:spacing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凡有关本合同或与本合同中发生的争端，双方应通过友好协商，妥善解决。如通过协商仍不能解决时，任何一方可将争议问题提交</w:t>
      </w:r>
      <w:r>
        <w:rPr>
          <w:rFonts w:hint="eastAsia" w:ascii="宋体" w:hAnsi="宋体" w:eastAsia="宋体" w:cs="宋体"/>
          <w:color w:val="auto"/>
          <w:sz w:val="24"/>
          <w:szCs w:val="24"/>
          <w:highlight w:val="none"/>
          <w:lang w:val="en-US" w:eastAsia="zh-CN"/>
        </w:rPr>
        <w:t>下列第（1）项解决：</w:t>
      </w:r>
    </w:p>
    <w:p>
      <w:pPr>
        <w:widowControl/>
        <w:numPr>
          <w:ilvl w:val="-1"/>
          <w:numId w:val="0"/>
        </w:numPr>
        <w:adjustRightInd/>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可向甲方所在地</w:t>
      </w:r>
      <w:r>
        <w:rPr>
          <w:rFonts w:hint="eastAsia" w:ascii="宋体" w:hAnsi="宋体" w:eastAsia="宋体" w:cs="宋体"/>
          <w:color w:val="auto"/>
          <w:sz w:val="24"/>
          <w:szCs w:val="24"/>
          <w:highlight w:val="none"/>
          <w:lang w:val="en-US" w:eastAsia="zh-CN"/>
        </w:rPr>
        <w:t>人民</w:t>
      </w:r>
      <w:r>
        <w:rPr>
          <w:rFonts w:hint="eastAsia" w:ascii="宋体" w:hAnsi="宋体" w:eastAsia="宋体" w:cs="宋体"/>
          <w:color w:val="auto"/>
          <w:sz w:val="24"/>
          <w:szCs w:val="24"/>
          <w:highlight w:val="none"/>
        </w:rPr>
        <w:t>法院起诉</w:t>
      </w:r>
      <w:r>
        <w:rPr>
          <w:rFonts w:hint="eastAsia" w:ascii="宋体" w:hAnsi="宋体" w:eastAsia="宋体" w:cs="宋体"/>
          <w:color w:val="auto"/>
          <w:sz w:val="24"/>
          <w:szCs w:val="24"/>
          <w:highlight w:val="none"/>
          <w:lang w:eastAsia="zh-CN"/>
        </w:rPr>
        <w:t>；</w:t>
      </w:r>
    </w:p>
    <w:p>
      <w:pPr>
        <w:widowControl/>
        <w:numPr>
          <w:ilvl w:val="-1"/>
          <w:numId w:val="0"/>
        </w:numPr>
        <w:adjustRightInd/>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bookmarkStart w:id="55" w:name="OLE_LINK12"/>
      <w:r>
        <w:rPr>
          <w:rFonts w:hint="eastAsia" w:ascii="宋体" w:hAnsi="宋体" w:eastAsia="宋体" w:cs="宋体"/>
          <w:color w:val="auto"/>
          <w:sz w:val="24"/>
          <w:szCs w:val="24"/>
          <w:highlight w:val="none"/>
          <w:lang w:val="en-US" w:eastAsia="zh-CN"/>
        </w:rPr>
        <w:t>可向绍兴</w:t>
      </w:r>
      <w:r>
        <w:rPr>
          <w:rFonts w:hint="eastAsia" w:ascii="宋体" w:hAnsi="宋体" w:eastAsia="宋体" w:cs="宋体"/>
          <w:color w:val="auto"/>
          <w:sz w:val="24"/>
          <w:szCs w:val="24"/>
          <w:highlight w:val="none"/>
        </w:rPr>
        <w:t>仲裁</w:t>
      </w:r>
      <w:r>
        <w:rPr>
          <w:rFonts w:hint="eastAsia" w:ascii="宋体" w:hAnsi="宋体" w:eastAsia="宋体" w:cs="宋体"/>
          <w:color w:val="auto"/>
          <w:sz w:val="24"/>
          <w:szCs w:val="24"/>
          <w:highlight w:val="none"/>
          <w:lang w:val="en-US" w:eastAsia="zh-CN"/>
        </w:rPr>
        <w:t>委员会申请仲裁</w:t>
      </w:r>
      <w:r>
        <w:rPr>
          <w:rFonts w:hint="eastAsia" w:ascii="宋体" w:hAnsi="宋体" w:eastAsia="宋体" w:cs="宋体"/>
          <w:color w:val="auto"/>
          <w:sz w:val="24"/>
          <w:szCs w:val="24"/>
          <w:highlight w:val="none"/>
        </w:rPr>
        <w:t>。</w:t>
      </w:r>
      <w:bookmarkEnd w:id="55"/>
    </w:p>
    <w:p>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十、其他</w:t>
      </w:r>
    </w:p>
    <w:p>
      <w:pPr>
        <w:widowControl/>
        <w:numPr>
          <w:ilvl w:val="-1"/>
          <w:numId w:val="0"/>
        </w:numPr>
        <w:adjustRightInd/>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）本协议作为</w:t>
      </w:r>
      <w:r>
        <w:rPr>
          <w:rFonts w:hint="eastAsia" w:ascii="宋体" w:hAnsi="宋体" w:cs="宋体"/>
          <w:color w:val="auto"/>
          <w:sz w:val="24"/>
          <w:highlight w:val="none"/>
          <w:u w:val="single"/>
          <w:lang w:eastAsia="zh-CN"/>
        </w:rPr>
        <w:t>绍兴市水务产业有限公司存储空间扩容设备采购项目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线上重招</w:t>
      </w:r>
      <w:r>
        <w:rPr>
          <w:rFonts w:hint="eastAsia" w:ascii="宋体" w:hAnsi="宋体" w:cs="宋体"/>
          <w:color w:val="auto"/>
          <w:kern w:val="0"/>
          <w:sz w:val="24"/>
          <w:highlight w:val="none"/>
          <w:u w:val="single"/>
          <w:lang w:eastAsia="zh-CN"/>
        </w:rPr>
        <w:t>）</w:t>
      </w:r>
      <w:r>
        <w:rPr>
          <w:rFonts w:hint="eastAsia" w:ascii="宋体" w:hAnsi="宋体" w:eastAsia="宋体" w:cs="宋体"/>
          <w:color w:val="auto"/>
          <w:sz w:val="24"/>
          <w:szCs w:val="24"/>
          <w:highlight w:val="none"/>
          <w:lang w:eastAsia="zh-CN"/>
        </w:rPr>
        <w:t>承包合同的附件，与项目承包合同具有同等的法律效力，经合同双方</w:t>
      </w:r>
      <w:r>
        <w:rPr>
          <w:rFonts w:hint="eastAsia" w:ascii="宋体" w:hAnsi="宋体" w:eastAsia="宋体" w:cs="宋体"/>
          <w:color w:val="auto"/>
          <w:sz w:val="24"/>
          <w:szCs w:val="24"/>
          <w:highlight w:val="none"/>
          <w:lang w:val="en-US" w:eastAsia="zh-CN"/>
        </w:rPr>
        <w:t>签字盖章后</w:t>
      </w:r>
      <w:r>
        <w:rPr>
          <w:rFonts w:hint="eastAsia" w:ascii="宋体" w:hAnsi="宋体" w:eastAsia="宋体" w:cs="宋体"/>
          <w:color w:val="auto"/>
          <w:sz w:val="24"/>
          <w:szCs w:val="24"/>
          <w:highlight w:val="none"/>
          <w:lang w:eastAsia="zh-CN"/>
        </w:rPr>
        <w:t>立即生效。</w:t>
      </w:r>
    </w:p>
    <w:p>
      <w:pPr>
        <w:widowControl/>
        <w:numPr>
          <w:ilvl w:val="-1"/>
          <w:numId w:val="0"/>
        </w:numPr>
        <w:adjustRightInd/>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本协议</w:t>
      </w:r>
      <w:r>
        <w:rPr>
          <w:rFonts w:hint="eastAsia" w:ascii="宋体" w:hAnsi="宋体" w:eastAsia="宋体" w:cs="宋体"/>
          <w:color w:val="auto"/>
          <w:sz w:val="24"/>
          <w:szCs w:val="24"/>
          <w:highlight w:val="none"/>
          <w:lang w:val="en-US" w:eastAsia="zh-CN"/>
        </w:rPr>
        <w:t>一式四份，由甲方管理部门、运营管理处、办公室、服务单位各存档一份。</w:t>
      </w:r>
    </w:p>
    <w:p>
      <w:pPr>
        <w:keepNext w:val="0"/>
        <w:keepLines w:val="0"/>
        <w:pageBreakBefore w:val="0"/>
        <w:widowControl/>
        <w:numPr>
          <w:ilvl w:val="0"/>
          <w:numId w:val="5"/>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乙方项目组成员名单</w:t>
      </w:r>
      <w:r>
        <w:rPr>
          <w:rFonts w:hint="eastAsia" w:ascii="宋体" w:hAnsi="宋体" w:eastAsia="宋体" w:cs="宋体"/>
          <w:color w:val="auto"/>
          <w:sz w:val="24"/>
          <w:szCs w:val="24"/>
          <w:highlight w:val="none"/>
          <w:lang w:eastAsia="zh-CN"/>
        </w:rPr>
        <w:t>：</w:t>
      </w:r>
    </w:p>
    <w:tbl>
      <w:tblPr>
        <w:tblStyle w:val="63"/>
        <w:tblpPr w:leftFromText="180" w:rightFromText="180" w:vertAnchor="text" w:horzAnchor="page" w:tblpX="1822" w:tblpY="686"/>
        <w:tblOverlap w:val="never"/>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24"/>
        <w:gridCol w:w="372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24"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722"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2346"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hint="eastAsia" w:ascii="宋体" w:hAnsi="宋体" w:eastAsia="宋体" w:cs="宋体"/>
                <w:color w:val="auto"/>
                <w:sz w:val="21"/>
                <w:szCs w:val="21"/>
                <w:highlight w:val="none"/>
              </w:rPr>
            </w:pPr>
          </w:p>
        </w:tc>
        <w:tc>
          <w:tcPr>
            <w:tcW w:w="1524"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ind w:firstLine="420" w:firstLineChars="200"/>
              <w:jc w:val="center"/>
              <w:rPr>
                <w:rFonts w:hint="eastAsia" w:ascii="宋体" w:hAnsi="宋体" w:eastAsia="宋体" w:cs="宋体"/>
                <w:color w:val="auto"/>
                <w:sz w:val="21"/>
                <w:szCs w:val="21"/>
                <w:highlight w:val="none"/>
              </w:rPr>
            </w:pPr>
          </w:p>
        </w:tc>
      </w:tr>
    </w:tbl>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auto"/>
          <w:sz w:val="24"/>
          <w:szCs w:val="24"/>
          <w:highlight w:val="none"/>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auto"/>
          <w:sz w:val="24"/>
          <w:szCs w:val="24"/>
          <w:highlight w:val="none"/>
          <w:lang w:val="en-US" w:eastAsia="zh-CN"/>
        </w:rPr>
      </w:pPr>
    </w:p>
    <w:p>
      <w:pPr>
        <w:spacing w:line="360" w:lineRule="auto"/>
        <w:ind w:firstLine="960" w:firstLineChars="400"/>
        <w:rPr>
          <w:rFonts w:hint="eastAsia" w:ascii="宋体" w:hAnsi="宋体" w:eastAsia="宋体" w:cs="宋体"/>
          <w:bCs/>
          <w:color w:val="auto"/>
          <w:sz w:val="24"/>
          <w:highlight w:val="none"/>
        </w:rPr>
      </w:pPr>
    </w:p>
    <w:p>
      <w:pPr>
        <w:spacing w:line="360" w:lineRule="auto"/>
        <w:ind w:firstLine="960" w:firstLineChars="400"/>
        <w:rPr>
          <w:rFonts w:hint="eastAsia" w:ascii="宋体" w:hAnsi="宋体" w:eastAsia="宋体" w:cs="宋体"/>
          <w:bCs/>
          <w:color w:val="auto"/>
          <w:sz w:val="24"/>
          <w:highlight w:val="none"/>
        </w:rPr>
      </w:pPr>
    </w:p>
    <w:p>
      <w:pPr>
        <w:spacing w:line="360" w:lineRule="auto"/>
        <w:ind w:firstLine="960" w:firstLineChars="400"/>
        <w:rPr>
          <w:rFonts w:hint="eastAsia" w:ascii="宋体" w:hAnsi="宋体" w:eastAsia="宋体" w:cs="宋体"/>
          <w:bCs/>
          <w:color w:val="auto"/>
          <w:sz w:val="24"/>
          <w:highlight w:val="none"/>
        </w:rPr>
      </w:pPr>
    </w:p>
    <w:p>
      <w:pPr>
        <w:spacing w:line="360" w:lineRule="auto"/>
        <w:ind w:firstLine="960" w:firstLineChars="400"/>
        <w:rPr>
          <w:rFonts w:hint="eastAsia" w:ascii="宋体" w:hAnsi="宋体" w:eastAsia="宋体" w:cs="宋体"/>
          <w:bCs/>
          <w:color w:val="auto"/>
          <w:sz w:val="24"/>
          <w:highlight w:val="none"/>
        </w:rPr>
      </w:pPr>
    </w:p>
    <w:p>
      <w:pPr>
        <w:spacing w:line="360" w:lineRule="auto"/>
        <w:ind w:firstLine="960" w:firstLineChars="4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甲方：（盖章）                            乙方：（盖章）</w:t>
      </w:r>
    </w:p>
    <w:p>
      <w:pPr>
        <w:spacing w:line="360" w:lineRule="auto"/>
        <w:ind w:firstLine="480" w:firstLineChars="200"/>
        <w:rPr>
          <w:rFonts w:hint="eastAsia" w:ascii="宋体" w:hAnsi="宋体" w:eastAsia="宋体" w:cs="宋体"/>
          <w:bCs/>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                    法定代表人或其授权代表</w:t>
      </w:r>
    </w:p>
    <w:p>
      <w:pPr>
        <w:spacing w:line="360" w:lineRule="auto"/>
        <w:ind w:firstLine="960" w:firstLineChars="4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（签字或盖章）：                           （签字或盖章）：</w:t>
      </w:r>
    </w:p>
    <w:p>
      <w:pPr>
        <w:spacing w:line="360" w:lineRule="auto"/>
        <w:ind w:firstLine="480" w:firstLineChars="200"/>
        <w:rPr>
          <w:rFonts w:hint="eastAsia" w:ascii="宋体" w:hAnsi="宋体" w:eastAsia="宋体" w:cs="宋体"/>
          <w:bCs/>
          <w:color w:val="auto"/>
          <w:sz w:val="24"/>
          <w:highlight w:val="none"/>
        </w:rPr>
      </w:pP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年    月    日                               年    月    日</w:t>
      </w:r>
    </w:p>
    <w:p>
      <w:pPr>
        <w:spacing w:line="560" w:lineRule="exact"/>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评审方法及标准</w:t>
      </w:r>
    </w:p>
    <w:p>
      <w:pPr>
        <w:spacing w:line="440" w:lineRule="exact"/>
        <w:jc w:val="left"/>
        <w:rPr>
          <w:rFonts w:ascii="宋体" w:hAnsi="宋体" w:cs="宋体"/>
          <w:bCs/>
          <w:color w:val="auto"/>
          <w:sz w:val="24"/>
          <w:highlight w:val="none"/>
        </w:rPr>
      </w:pPr>
      <w:r>
        <w:rPr>
          <w:rFonts w:hint="eastAsia" w:ascii="宋体" w:hAnsi="宋体" w:cs="宋体"/>
          <w:b/>
          <w:color w:val="auto"/>
          <w:sz w:val="24"/>
          <w:highlight w:val="none"/>
        </w:rPr>
        <w:t>1.评审方法：</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spacing w:line="440" w:lineRule="exact"/>
        <w:jc w:val="left"/>
        <w:rPr>
          <w:rFonts w:ascii="宋体" w:hAnsi="宋体" w:cs="宋体"/>
          <w:color w:val="auto"/>
          <w:sz w:val="24"/>
          <w:highlight w:val="none"/>
        </w:rPr>
      </w:pPr>
      <w:r>
        <w:rPr>
          <w:rFonts w:hint="eastAsia" w:ascii="宋体" w:hAnsi="宋体" w:cs="宋体"/>
          <w:b/>
          <w:color w:val="auto"/>
          <w:sz w:val="24"/>
          <w:highlight w:val="none"/>
        </w:rPr>
        <w:t>2.评分标准：</w:t>
      </w:r>
      <w:r>
        <w:rPr>
          <w:rFonts w:hint="eastAsia" w:ascii="宋体" w:hAnsi="宋体" w:cs="宋体"/>
          <w:color w:val="auto"/>
          <w:sz w:val="24"/>
          <w:highlight w:val="none"/>
        </w:rPr>
        <w:t>共100分，其中商务技术分</w:t>
      </w:r>
      <w:r>
        <w:rPr>
          <w:rFonts w:hint="eastAsia" w:ascii="宋体" w:hAnsi="宋体" w:cs="宋体"/>
          <w:color w:val="auto"/>
          <w:sz w:val="24"/>
          <w:highlight w:val="none"/>
          <w:u w:val="single"/>
        </w:rPr>
        <w:t>40</w:t>
      </w:r>
      <w:r>
        <w:rPr>
          <w:rFonts w:hint="eastAsia" w:ascii="宋体" w:hAnsi="宋体" w:cs="宋体"/>
          <w:color w:val="auto"/>
          <w:sz w:val="24"/>
          <w:highlight w:val="none"/>
        </w:rPr>
        <w:t>分，价格分</w:t>
      </w:r>
      <w:r>
        <w:rPr>
          <w:rFonts w:hint="eastAsia" w:ascii="宋体" w:hAnsi="宋体" w:cs="宋体"/>
          <w:color w:val="auto"/>
          <w:sz w:val="24"/>
          <w:highlight w:val="none"/>
          <w:u w:val="single"/>
        </w:rPr>
        <w:t>60</w:t>
      </w:r>
      <w:r>
        <w:rPr>
          <w:rFonts w:hint="eastAsia" w:ascii="宋体" w:hAnsi="宋体" w:cs="宋体"/>
          <w:color w:val="auto"/>
          <w:sz w:val="24"/>
          <w:highlight w:val="none"/>
        </w:rPr>
        <w:t>分。评分依下述所列为评标打分依据，分值如下（计算分值时，按其算术平均值保留小数2位）。</w:t>
      </w:r>
    </w:p>
    <w:p>
      <w:pPr>
        <w:spacing w:line="440" w:lineRule="exact"/>
        <w:rPr>
          <w:rFonts w:ascii="宋体" w:hAnsi="宋体" w:cs="宋体"/>
          <w:b/>
          <w:color w:val="auto"/>
          <w:sz w:val="32"/>
          <w:szCs w:val="20"/>
          <w:highlight w:val="none"/>
        </w:rPr>
      </w:pPr>
      <w:r>
        <w:rPr>
          <w:rFonts w:hint="eastAsia" w:ascii="宋体" w:hAnsi="宋体" w:cs="宋体"/>
          <w:b/>
          <w:bCs/>
          <w:color w:val="auto"/>
          <w:sz w:val="24"/>
          <w:highlight w:val="none"/>
        </w:rPr>
        <w:t>2.1商务技术分（</w:t>
      </w:r>
      <w:r>
        <w:rPr>
          <w:rFonts w:hint="eastAsia" w:ascii="宋体" w:hAnsi="宋体" w:cs="宋体"/>
          <w:b/>
          <w:bCs/>
          <w:color w:val="auto"/>
          <w:sz w:val="24"/>
          <w:highlight w:val="none"/>
          <w:u w:val="single"/>
        </w:rPr>
        <w:t>40</w:t>
      </w:r>
      <w:r>
        <w:rPr>
          <w:rFonts w:hint="eastAsia" w:ascii="宋体" w:hAnsi="宋体" w:cs="宋体"/>
          <w:b/>
          <w:bCs/>
          <w:color w:val="auto"/>
          <w:sz w:val="24"/>
          <w:highlight w:val="none"/>
        </w:rPr>
        <w:t>分）</w:t>
      </w:r>
    </w:p>
    <w:tbl>
      <w:tblPr>
        <w:tblStyle w:val="63"/>
        <w:tblW w:w="98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5"/>
        <w:gridCol w:w="1469"/>
        <w:gridCol w:w="6844"/>
        <w:gridCol w:w="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0" w:hRule="atLeast"/>
        </w:trPr>
        <w:tc>
          <w:tcPr>
            <w:tcW w:w="735" w:type="dxa"/>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469" w:type="dxa"/>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w:t>
            </w:r>
          </w:p>
        </w:tc>
        <w:tc>
          <w:tcPr>
            <w:tcW w:w="6844" w:type="dxa"/>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评分标准</w:t>
            </w:r>
          </w:p>
        </w:tc>
        <w:tc>
          <w:tcPr>
            <w:tcW w:w="780" w:type="dxa"/>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0" w:hRule="atLeast"/>
        </w:trPr>
        <w:tc>
          <w:tcPr>
            <w:tcW w:w="735" w:type="dxa"/>
            <w:tcBorders>
              <w:tl2br w:val="nil"/>
              <w:tr2bl w:val="nil"/>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469" w:type="dxa"/>
            <w:tcBorders>
              <w:tl2br w:val="nil"/>
              <w:tr2bl w:val="nil"/>
            </w:tcBorders>
            <w:noWrap w:val="0"/>
            <w:vAlign w:val="center"/>
          </w:tcPr>
          <w:p>
            <w:pPr>
              <w:widowControl/>
              <w:spacing w:line="42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投标响应情况评价</w:t>
            </w:r>
          </w:p>
        </w:tc>
        <w:tc>
          <w:tcPr>
            <w:tcW w:w="684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1.完全满足或高于招标文件要求的得满分。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2.打“</w:t>
            </w:r>
            <w:bookmarkStart w:id="56" w:name="OLE_LINK3"/>
            <w:r>
              <w:rPr>
                <w:rFonts w:hint="eastAsia" w:ascii="宋体" w:hAnsi="宋体" w:eastAsia="宋体" w:cs="宋体"/>
                <w:color w:val="auto"/>
                <w:sz w:val="24"/>
                <w:szCs w:val="24"/>
                <w:highlight w:val="none"/>
                <w:lang w:val="en-US" w:eastAsia="zh-CN"/>
              </w:rPr>
              <w:t>★</w:t>
            </w:r>
            <w:bookmarkEnd w:id="56"/>
            <w:r>
              <w:rPr>
                <w:rFonts w:hint="eastAsia" w:ascii="宋体" w:hAnsi="宋体" w:eastAsia="宋体" w:cs="宋体"/>
                <w:color w:val="auto"/>
                <w:sz w:val="24"/>
                <w:szCs w:val="24"/>
                <w:highlight w:val="none"/>
                <w:lang w:val="en-US" w:eastAsia="zh-CN"/>
              </w:rPr>
              <w:t>”号性能指标必须满足，如任意一条指标出现负偏离的，则作为无效标处理。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3.打“▲”号性能指标，每有一条指标负偏离扣2分,扣完为止。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4.没有标志的普通指标每负偏离一条指标扣1分，扣完为止。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注：投标文件中所提供的资质证明文件复印件需盖投标人公章有效。</w:t>
            </w:r>
          </w:p>
        </w:tc>
        <w:tc>
          <w:tcPr>
            <w:tcW w:w="780" w:type="dxa"/>
            <w:tcBorders>
              <w:tl2br w:val="nil"/>
              <w:tr2bl w:val="nil"/>
            </w:tcBorders>
            <w:noWrap w:val="0"/>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16</w:t>
            </w:r>
            <w:r>
              <w:rPr>
                <w:rFonts w:hint="eastAsia" w:ascii="宋体" w:hAnsi="宋体" w:eastAsia="宋体" w:cs="宋体"/>
                <w:b w:val="0"/>
                <w:bCs w:val="0"/>
                <w:color w:val="auto"/>
                <w:kern w:val="0"/>
                <w:sz w:val="21"/>
                <w:szCs w:val="21"/>
                <w:highlight w:val="none"/>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92" w:hRule="atLeast"/>
        </w:trPr>
        <w:tc>
          <w:tcPr>
            <w:tcW w:w="735" w:type="dxa"/>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469" w:type="dxa"/>
            <w:tcBorders>
              <w:tl2br w:val="nil"/>
              <w:tr2bl w:val="nil"/>
            </w:tcBorders>
            <w:noWrap w:val="0"/>
            <w:vAlign w:val="center"/>
          </w:tcPr>
          <w:p>
            <w:pPr>
              <w:widowControl/>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制造商实力</w:t>
            </w:r>
          </w:p>
        </w:tc>
        <w:tc>
          <w:tcPr>
            <w:tcW w:w="684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bookmarkStart w:id="57" w:name="OLE_LINK15"/>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制造商</w:t>
            </w:r>
            <w:r>
              <w:rPr>
                <w:rFonts w:hint="eastAsia" w:ascii="宋体" w:hAnsi="宋体" w:eastAsia="宋体" w:cs="宋体"/>
                <w:color w:val="auto"/>
                <w:sz w:val="24"/>
                <w:szCs w:val="24"/>
                <w:highlight w:val="none"/>
                <w:lang w:val="en-US" w:eastAsia="zh-CN"/>
              </w:rPr>
              <w:t>具备CNAS认可的可靠性实验室，可独立完成元器件至整机的全链条测试（含信号质量、安全性、电磁兼容性、环境适应性）；获得中国质量认证中心（CQC）授权的CCC现场检测实验室资质。每提供一项得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制造商</w:t>
            </w:r>
            <w:r>
              <w:rPr>
                <w:rFonts w:hint="eastAsia" w:ascii="宋体" w:hAnsi="宋体" w:eastAsia="宋体" w:cs="宋体"/>
                <w:color w:val="auto"/>
                <w:sz w:val="24"/>
                <w:szCs w:val="24"/>
                <w:highlight w:val="none"/>
                <w:lang w:val="en-US" w:eastAsia="zh-CN"/>
              </w:rPr>
              <w:t>具备CMMI5级证书的得3分，CMMI4级证书得2分，CMMI3级证书得1分，其它不得分。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3.制造商具备ISO38505数据治理证书，ISO 27001信息安全管理体系证书、ISO27018信息安全控制管理体系认证证书，每提供一项得1分，最多得3分</w:t>
            </w:r>
          </w:p>
          <w:bookmarkEnd w:id="57"/>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备注：投标时1-2项需提供设备厂商相关技术材料证明，并加盖供应商公章，第3项需提供该评分项中所要求的相关证书复印件以及该证书在全国认证认可信息公共服务平台（http://cx.cnca.cn/）上的查询截图并加盖供应商公章，不提供的不得分。</w:t>
            </w:r>
          </w:p>
        </w:tc>
        <w:tc>
          <w:tcPr>
            <w:tcW w:w="780" w:type="dxa"/>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2" w:hRule="atLeast"/>
        </w:trPr>
        <w:tc>
          <w:tcPr>
            <w:tcW w:w="735" w:type="dxa"/>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469" w:type="dxa"/>
            <w:tcBorders>
              <w:tl2br w:val="nil"/>
              <w:tr2bl w:val="nil"/>
            </w:tcBorders>
            <w:noWrap w:val="0"/>
            <w:vAlign w:val="center"/>
          </w:tcPr>
          <w:p>
            <w:pPr>
              <w:widowControl/>
              <w:spacing w:line="42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项目方案及实施管理</w:t>
            </w:r>
          </w:p>
        </w:tc>
        <w:tc>
          <w:tcPr>
            <w:tcW w:w="684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1.根据投标人实施方案内容的完整性、针对性，由</w:t>
            </w:r>
            <w:r>
              <w:rPr>
                <w:rFonts w:hint="eastAsia" w:ascii="宋体" w:hAnsi="宋体" w:cs="宋体"/>
                <w:color w:val="auto"/>
                <w:sz w:val="24"/>
                <w:szCs w:val="24"/>
                <w:highlight w:val="none"/>
                <w:lang w:val="en-US" w:eastAsia="zh-CN"/>
              </w:rPr>
              <w:t>评审小组</w:t>
            </w:r>
            <w:r>
              <w:rPr>
                <w:rFonts w:hint="eastAsia" w:ascii="宋体" w:hAnsi="宋体" w:eastAsia="宋体" w:cs="宋体"/>
                <w:color w:val="auto"/>
                <w:sz w:val="24"/>
                <w:szCs w:val="24"/>
                <w:highlight w:val="none"/>
                <w:lang w:val="en-US" w:eastAsia="zh-CN"/>
              </w:rPr>
              <w:t>进行评议，酌情评分0-2分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2.根据投标人对本项目管理措施的可行性、实施计划的科学性、质量保障措施的完整性，由</w:t>
            </w:r>
            <w:r>
              <w:rPr>
                <w:rFonts w:hint="eastAsia" w:ascii="宋体" w:hAnsi="宋体" w:cs="宋体"/>
                <w:color w:val="auto"/>
                <w:sz w:val="24"/>
                <w:szCs w:val="24"/>
                <w:highlight w:val="none"/>
                <w:lang w:val="en-US" w:eastAsia="zh-CN"/>
              </w:rPr>
              <w:t>评审小组</w:t>
            </w:r>
            <w:r>
              <w:rPr>
                <w:rFonts w:hint="eastAsia" w:ascii="宋体" w:hAnsi="宋体" w:eastAsia="宋体" w:cs="宋体"/>
                <w:color w:val="auto"/>
                <w:sz w:val="24"/>
                <w:szCs w:val="24"/>
                <w:highlight w:val="none"/>
                <w:lang w:val="en-US" w:eastAsia="zh-CN"/>
              </w:rPr>
              <w:t>进行评议，酌情评分0-2分。</w:t>
            </w:r>
          </w:p>
        </w:tc>
        <w:tc>
          <w:tcPr>
            <w:tcW w:w="78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07" w:hRule="atLeast"/>
        </w:trPr>
        <w:tc>
          <w:tcPr>
            <w:tcW w:w="735" w:type="dxa"/>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469" w:type="dxa"/>
            <w:tcBorders>
              <w:tl2br w:val="nil"/>
              <w:tr2bl w:val="nil"/>
            </w:tcBorders>
            <w:noWrap w:val="0"/>
            <w:vAlign w:val="center"/>
          </w:tcPr>
          <w:p>
            <w:pPr>
              <w:widowControl/>
              <w:spacing w:line="42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tc>
        <w:tc>
          <w:tcPr>
            <w:tcW w:w="6844" w:type="dxa"/>
            <w:tcBorders>
              <w:tl2br w:val="nil"/>
              <w:tr2bl w:val="nil"/>
            </w:tcBorders>
            <w:noWrap w:val="0"/>
            <w:vAlign w:val="center"/>
          </w:tcPr>
          <w:p>
            <w:pPr>
              <w:spacing w:line="420" w:lineRule="exact"/>
              <w:rPr>
                <w:rFonts w:hint="eastAsia" w:ascii="宋体" w:hAnsi="宋体" w:eastAsia="宋体" w:cs="宋体"/>
                <w:color w:val="auto"/>
                <w:sz w:val="24"/>
                <w:szCs w:val="24"/>
                <w:highlight w:val="none"/>
                <w:u w:val="none"/>
              </w:rPr>
            </w:pPr>
            <w:bookmarkStart w:id="58" w:name="OLE_LINK10"/>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szCs w:val="24"/>
                <w:highlight w:val="none"/>
                <w:u w:val="none"/>
                <w:lang w:eastAsia="zh-CN"/>
              </w:rPr>
              <w:t>自</w:t>
            </w:r>
            <w:r>
              <w:rPr>
                <w:rFonts w:hint="eastAsia" w:ascii="宋体" w:hAnsi="宋体" w:eastAsia="宋体" w:cs="宋体"/>
                <w:color w:val="auto"/>
                <w:sz w:val="24"/>
                <w:szCs w:val="24"/>
                <w:highlight w:val="none"/>
                <w:u w:val="none"/>
              </w:rPr>
              <w:t>20</w:t>
            </w: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月至今同类设备采购项目</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非监控视频存储</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成功案例，每提供一个案例的得</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分，最高不超过</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分。</w:t>
            </w:r>
          </w:p>
          <w:bookmarkEnd w:id="58"/>
          <w:p>
            <w:pPr>
              <w:widowControl/>
              <w:spacing w:line="420" w:lineRule="exact"/>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highlight w:val="none"/>
              </w:rPr>
              <w:t>同一单位业绩只计一次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提供证明材料合同复印件加盖公章，不提供不得分</w:t>
            </w:r>
          </w:p>
        </w:tc>
        <w:tc>
          <w:tcPr>
            <w:tcW w:w="780" w:type="dxa"/>
            <w:tcBorders>
              <w:tl2br w:val="nil"/>
              <w:tr2bl w:val="nil"/>
            </w:tcBorders>
            <w:noWrap w:val="0"/>
            <w:vAlign w:val="center"/>
          </w:tcPr>
          <w:p>
            <w:pPr>
              <w:widowControl/>
              <w:spacing w:line="360" w:lineRule="auto"/>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95" w:hRule="atLeast"/>
        </w:trPr>
        <w:tc>
          <w:tcPr>
            <w:tcW w:w="735" w:type="dxa"/>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469" w:type="dxa"/>
            <w:tcBorders>
              <w:tl2br w:val="nil"/>
              <w:tr2bl w:val="nil"/>
            </w:tcBorders>
            <w:noWrap w:val="0"/>
            <w:vAlign w:val="center"/>
          </w:tcPr>
          <w:p>
            <w:pPr>
              <w:widowControl/>
              <w:spacing w:line="42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保修及</w:t>
            </w:r>
            <w:r>
              <w:rPr>
                <w:rFonts w:hint="eastAsia" w:ascii="宋体" w:hAnsi="宋体" w:eastAsia="宋体" w:cs="宋体"/>
                <w:color w:val="auto"/>
                <w:kern w:val="0"/>
                <w:sz w:val="24"/>
                <w:szCs w:val="24"/>
                <w:highlight w:val="none"/>
              </w:rPr>
              <w:t>售后服务</w:t>
            </w:r>
          </w:p>
        </w:tc>
        <w:tc>
          <w:tcPr>
            <w:tcW w:w="6844" w:type="dxa"/>
            <w:tcBorders>
              <w:tl2br w:val="nil"/>
              <w:tr2bl w:val="nil"/>
            </w:tcBorders>
            <w:noWrap w:val="0"/>
            <w:vAlign w:val="center"/>
          </w:tcPr>
          <w:p>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提供的售后服务承诺、维护响应计划、应急售后保障方案等内容（如保修期内的</w:t>
            </w:r>
            <w:r>
              <w:rPr>
                <w:rFonts w:hint="eastAsia" w:ascii="宋体" w:hAnsi="宋体" w:eastAsia="宋体" w:cs="宋体"/>
                <w:color w:val="auto"/>
                <w:sz w:val="24"/>
                <w:szCs w:val="24"/>
                <w:highlight w:val="none"/>
                <w:lang w:eastAsia="zh-CN"/>
              </w:rPr>
              <w:t>质保</w:t>
            </w:r>
            <w:r>
              <w:rPr>
                <w:rFonts w:hint="eastAsia" w:ascii="宋体" w:hAnsi="宋体" w:eastAsia="宋体" w:cs="宋体"/>
                <w:color w:val="auto"/>
                <w:sz w:val="24"/>
                <w:szCs w:val="24"/>
                <w:highlight w:val="none"/>
              </w:rPr>
              <w:t>服务内容、服务措施等；保修期外的后续技术支持、维护能力情况，保修期内应急售后保障方案的可行性、合理性以及免费质保期期满后服务内容及备品备件的提供情况等）由评标委员进行横向比较综合评分（0-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42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2.在招标文件要求的3年质保期基础上，投标人额外承诺延长原厂质保期每增1年的，得1分，不足1年不得分，最多得2分。</w:t>
            </w:r>
            <w:r>
              <w:rPr>
                <w:rFonts w:hint="eastAsia" w:ascii="宋体" w:hAnsi="宋体" w:eastAsia="宋体" w:cs="宋体"/>
                <w:color w:val="auto"/>
                <w:sz w:val="24"/>
                <w:szCs w:val="24"/>
                <w:highlight w:val="none"/>
                <w:lang w:val="en-US" w:eastAsia="zh-CN"/>
              </w:rPr>
              <w:t>以投标时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设备制造厂商针对本项目的服务承诺函</w:t>
            </w:r>
            <w:r>
              <w:rPr>
                <w:rFonts w:hint="eastAsia" w:ascii="宋体" w:hAnsi="宋体" w:eastAsia="宋体" w:cs="宋体"/>
                <w:color w:val="auto"/>
                <w:sz w:val="24"/>
                <w:szCs w:val="24"/>
                <w:highlight w:val="none"/>
                <w:lang w:val="en-US" w:eastAsia="zh-CN"/>
              </w:rPr>
              <w:t>为准。</w:t>
            </w:r>
          </w:p>
        </w:tc>
        <w:tc>
          <w:tcPr>
            <w:tcW w:w="780" w:type="dxa"/>
            <w:tcBorders>
              <w:tl2br w:val="nil"/>
              <w:tr2bl w:val="nil"/>
            </w:tcBorders>
            <w:noWrap w:val="0"/>
            <w:vAlign w:val="center"/>
          </w:tcPr>
          <w:p>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分</w:t>
            </w:r>
          </w:p>
        </w:tc>
      </w:tr>
    </w:tbl>
    <w:p>
      <w:pPr>
        <w:shd w:val="clear"/>
        <w:snapToGrid w:val="0"/>
        <w:spacing w:line="440" w:lineRule="exac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注：所有的证书及检测报告必须在有效期内，不在有效期内的不得分。</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2.2价格分（60分）</w:t>
      </w:r>
    </w:p>
    <w:p>
      <w:pPr>
        <w:spacing w:line="440" w:lineRule="exact"/>
        <w:ind w:firstLine="480" w:firstLineChars="200"/>
        <w:rPr>
          <w:rFonts w:ascii="宋体" w:hAnsi="宋体" w:cs="宋体"/>
          <w:bCs/>
          <w:color w:val="auto"/>
          <w:sz w:val="24"/>
          <w:highlight w:val="none"/>
        </w:rPr>
      </w:pPr>
      <w:r>
        <w:rPr>
          <w:rFonts w:hint="eastAsia" w:ascii="宋体" w:hAnsi="宋体" w:cs="宋体"/>
          <w:bCs/>
          <w:iCs/>
          <w:color w:val="auto"/>
          <w:sz w:val="24"/>
          <w:highlight w:val="none"/>
        </w:rPr>
        <w:t>2.2.1评标基准价：即满足招标文件要求且</w:t>
      </w:r>
      <w:r>
        <w:rPr>
          <w:rFonts w:hint="eastAsia" w:ascii="宋体" w:hAnsi="宋体" w:cs="宋体"/>
          <w:bCs/>
          <w:iCs/>
          <w:color w:val="auto"/>
          <w:sz w:val="24"/>
          <w:highlight w:val="none"/>
          <w:u w:val="single"/>
        </w:rPr>
        <w:t>投标价格最低的投标报价为评标基准价</w:t>
      </w:r>
      <w:r>
        <w:rPr>
          <w:rFonts w:hint="eastAsia" w:ascii="宋体" w:hAnsi="宋体" w:cs="宋体"/>
          <w:bCs/>
          <w:iCs/>
          <w:color w:val="auto"/>
          <w:sz w:val="24"/>
          <w:highlight w:val="none"/>
        </w:rPr>
        <w:t>，其价格分为满分。</w:t>
      </w:r>
    </w:p>
    <w:p>
      <w:pPr>
        <w:spacing w:line="440" w:lineRule="exact"/>
        <w:ind w:firstLine="480" w:firstLineChars="200"/>
        <w:rPr>
          <w:rFonts w:ascii="宋体" w:hAnsi="宋体" w:cs="宋体"/>
          <w:bCs/>
          <w:iCs/>
          <w:color w:val="auto"/>
          <w:sz w:val="24"/>
          <w:highlight w:val="none"/>
        </w:rPr>
      </w:pPr>
      <w:r>
        <w:rPr>
          <w:rFonts w:hint="eastAsia" w:ascii="宋体" w:hAnsi="宋体" w:cs="宋体"/>
          <w:bCs/>
          <w:iCs/>
          <w:color w:val="auto"/>
          <w:sz w:val="24"/>
          <w:highlight w:val="none"/>
        </w:rPr>
        <w:t>2.2.2其他供应商的价格分统一按照下列公式计算：</w:t>
      </w:r>
    </w:p>
    <w:p>
      <w:pPr>
        <w:spacing w:line="440" w:lineRule="exact"/>
        <w:ind w:firstLine="480" w:firstLineChars="200"/>
        <w:rPr>
          <w:rFonts w:ascii="宋体" w:hAnsi="宋体" w:cs="宋体"/>
          <w:bCs/>
          <w:iCs/>
          <w:color w:val="auto"/>
          <w:sz w:val="24"/>
          <w:highlight w:val="none"/>
        </w:rPr>
      </w:pPr>
      <w:r>
        <w:rPr>
          <w:rFonts w:hint="eastAsia" w:ascii="宋体" w:hAnsi="宋体" w:cs="宋体"/>
          <w:bCs/>
          <w:iCs/>
          <w:color w:val="auto"/>
          <w:sz w:val="24"/>
          <w:highlight w:val="none"/>
        </w:rPr>
        <w:t>投标报价得分=（评标基准价／投标报价）×价格权值×100</w:t>
      </w:r>
    </w:p>
    <w:p>
      <w:pPr>
        <w:spacing w:line="440" w:lineRule="exact"/>
        <w:ind w:firstLine="480" w:firstLineChars="200"/>
        <w:rPr>
          <w:rFonts w:ascii="宋体" w:hAnsi="宋体" w:cs="宋体"/>
          <w:bCs/>
          <w:iCs/>
          <w:color w:val="auto"/>
          <w:sz w:val="24"/>
          <w:highlight w:val="none"/>
        </w:rPr>
      </w:pPr>
      <w:r>
        <w:rPr>
          <w:rFonts w:hint="eastAsia" w:ascii="宋体" w:hAnsi="宋体" w:cs="宋体"/>
          <w:bCs/>
          <w:iCs/>
          <w:color w:val="auto"/>
          <w:sz w:val="24"/>
          <w:highlight w:val="none"/>
        </w:rPr>
        <w:t xml:space="preserve">即：投标报价得分=（评标基准价／投标报价）×60 </w:t>
      </w:r>
    </w:p>
    <w:bookmarkEnd w:id="45"/>
    <w:bookmarkEnd w:id="46"/>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p>
    <w:p>
      <w:pPr>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投标文件及其附件格式</w:t>
      </w:r>
    </w:p>
    <w:p>
      <w:pPr>
        <w:widowControl/>
        <w:adjustRightInd/>
        <w:jc w:val="center"/>
        <w:rPr>
          <w:rFonts w:ascii="宋体" w:hAnsi="宋体" w:cs="宋体"/>
          <w:b/>
          <w:color w:val="auto"/>
          <w:sz w:val="36"/>
          <w:szCs w:val="20"/>
          <w:highlight w:val="none"/>
        </w:rPr>
      </w:pP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（2）营业执照复印件（并加盖公章） ………………………………………（页码）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 …………………………………………………（页码）</w:t>
      </w:r>
    </w:p>
    <w:p>
      <w:pPr>
        <w:pStyle w:val="7"/>
        <w:rPr>
          <w:rFonts w:ascii="宋体" w:hAnsi="宋体" w:cs="宋体"/>
          <w:color w:val="auto"/>
          <w:highlight w:val="none"/>
        </w:rPr>
      </w:pPr>
    </w:p>
    <w:p>
      <w:pPr>
        <w:snapToGrid w:val="0"/>
        <w:spacing w:line="360" w:lineRule="auto"/>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hint="eastAsia" w:ascii="宋体" w:hAnsi="宋体" w:cs="宋体"/>
          <w:color w:val="auto"/>
          <w:kern w:val="0"/>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供应商名称（电子印章）：</w:t>
      </w:r>
    </w:p>
    <w:p>
      <w:pPr>
        <w:pStyle w:val="80"/>
        <w:rPr>
          <w:rFonts w:ascii="宋体" w:hAnsi="宋体" w:eastAsia="宋体" w:cs="宋体"/>
          <w:color w:val="auto"/>
          <w:highlight w:val="none"/>
        </w:rPr>
      </w:pPr>
    </w:p>
    <w:p>
      <w:pPr>
        <w:wordWrap w:val="0"/>
        <w:snapToGrid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p>
    <w:p>
      <w:pPr>
        <w:snapToGrid w:val="0"/>
        <w:spacing w:line="360" w:lineRule="auto"/>
        <w:ind w:right="480"/>
        <w:jc w:val="center"/>
        <w:rPr>
          <w:rFonts w:ascii="宋体" w:hAnsi="宋体" w:cs="宋体"/>
          <w:b/>
          <w:color w:val="auto"/>
          <w:kern w:val="0"/>
          <w:sz w:val="32"/>
          <w:szCs w:val="32"/>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rPr>
          <w:rFonts w:ascii="宋体" w:hAnsi="宋体" w:cs="宋体"/>
          <w:color w:val="auto"/>
          <w:highlight w:val="none"/>
        </w:rPr>
      </w:pPr>
    </w:p>
    <w:p>
      <w:pPr>
        <w:widowControl/>
        <w:spacing w:line="360" w:lineRule="auto"/>
        <w:jc w:val="center"/>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32"/>
          <w:szCs w:val="32"/>
          <w:highlight w:val="none"/>
        </w:rPr>
      </w:pPr>
    </w:p>
    <w:p>
      <w:pPr>
        <w:pStyle w:val="80"/>
        <w:rPr>
          <w:rFonts w:ascii="宋体" w:hAnsi="宋体" w:eastAsia="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二、营业执照</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（提供营业执照复印件加盖电子印章）</w:t>
      </w:r>
    </w:p>
    <w:p>
      <w:pPr>
        <w:spacing w:line="336" w:lineRule="auto"/>
        <w:jc w:val="center"/>
        <w:rPr>
          <w:rFonts w:ascii="宋体" w:hAnsi="宋体" w:cs="宋体"/>
          <w:color w:val="auto"/>
          <w:sz w:val="24"/>
          <w:highlight w:val="none"/>
        </w:rPr>
      </w:pPr>
    </w:p>
    <w:p>
      <w:pPr>
        <w:spacing w:line="336" w:lineRule="auto"/>
        <w:jc w:val="center"/>
        <w:rPr>
          <w:rFonts w:ascii="宋体" w:hAnsi="宋体" w:cs="宋体"/>
          <w:color w:val="auto"/>
          <w:sz w:val="24"/>
          <w:highlight w:val="none"/>
        </w:rPr>
      </w:pPr>
    </w:p>
    <w:p>
      <w:pPr>
        <w:spacing w:line="336" w:lineRule="auto"/>
        <w:jc w:val="center"/>
        <w:rPr>
          <w:rFonts w:ascii="宋体" w:hAnsi="宋体" w:cs="宋体"/>
          <w:color w:val="auto"/>
          <w:sz w:val="24"/>
          <w:highlight w:val="none"/>
        </w:rPr>
      </w:pPr>
    </w:p>
    <w:p>
      <w:pPr>
        <w:spacing w:line="336" w:lineRule="auto"/>
        <w:jc w:val="center"/>
        <w:rPr>
          <w:rFonts w:ascii="宋体" w:hAnsi="宋体" w:cs="宋体"/>
          <w:b/>
          <w:bCs/>
          <w:color w:val="auto"/>
          <w:kern w:val="0"/>
          <w:sz w:val="36"/>
          <w:szCs w:val="36"/>
          <w:highlight w:val="none"/>
        </w:rPr>
      </w:pPr>
      <w:r>
        <w:rPr>
          <w:rFonts w:hint="eastAsia" w:ascii="宋体" w:hAnsi="宋体" w:cs="宋体"/>
          <w:b/>
          <w:bCs/>
          <w:color w:val="auto"/>
          <w:sz w:val="24"/>
          <w:highlight w:val="none"/>
        </w:rPr>
        <w:t>三、本项目的特定资格要求</w:t>
      </w:r>
    </w:p>
    <w:p>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jc w:val="left"/>
        <w:rPr>
          <w:rFonts w:ascii="宋体" w:hAnsi="宋体" w:cs="宋体"/>
          <w:b/>
          <w:color w:val="auto"/>
          <w:kern w:val="0"/>
          <w:sz w:val="36"/>
          <w:szCs w:val="36"/>
          <w:highlight w:val="none"/>
        </w:rPr>
      </w:pPr>
    </w:p>
    <w:p>
      <w:pPr>
        <w:spacing w:line="336"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36" w:lineRule="auto"/>
        <w:jc w:val="center"/>
        <w:outlineLvl w:val="0"/>
        <w:rPr>
          <w:rFonts w:ascii="宋体" w:hAnsi="宋体" w:cs="宋体"/>
          <w:b/>
          <w:color w:val="auto"/>
          <w:kern w:val="0"/>
          <w:sz w:val="24"/>
          <w:highlight w:val="none"/>
        </w:rPr>
      </w:pPr>
    </w:p>
    <w:p>
      <w:pPr>
        <w:spacing w:line="336"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pacing w:line="336" w:lineRule="auto"/>
        <w:outlineLvl w:val="0"/>
        <w:rPr>
          <w:rFonts w:ascii="宋体" w:hAnsi="宋体" w:cs="宋体"/>
          <w:color w:val="auto"/>
          <w:sz w:val="24"/>
          <w:highlight w:val="none"/>
        </w:rPr>
      </w:pPr>
      <w:r>
        <w:rPr>
          <w:rFonts w:hint="eastAsia" w:ascii="宋体" w:hAnsi="宋体" w:cs="宋体"/>
          <w:color w:val="auto"/>
          <w:sz w:val="24"/>
          <w:highlight w:val="none"/>
        </w:rPr>
        <w:t>（1）供应商提供的技术评审打分资料索引表…………………………………（页码）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（2）投标函………………………………………………………………………（页码）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（3）法定代表人授权委托书……………………………………………………（页码）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（4）授权代表社保证明…………………………………………………………（页码）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（5）法定代表人及其授权代表身份证复印件…………………………………（页码）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（6）法定代表人身份证明书……………………………………………………（页码）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（7）商务技术偏离表……………………………………………………………（页码）</w:t>
      </w:r>
    </w:p>
    <w:p>
      <w:pPr>
        <w:pStyle w:val="905"/>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）采购供应商廉洁自律承诺书</w:t>
      </w:r>
      <w:r>
        <w:rPr>
          <w:rFonts w:hint="eastAsia" w:ascii="宋体" w:hAnsi="宋体" w:eastAsia="宋体" w:cs="宋体"/>
          <w:color w:val="auto"/>
          <w:highlight w:val="none"/>
        </w:rPr>
        <w:t>………………………………………………（页码）</w:t>
      </w:r>
    </w:p>
    <w:p>
      <w:pPr>
        <w:spacing w:line="360" w:lineRule="auto"/>
        <w:ind w:right="-510" w:rightChars="-243"/>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zh-CN"/>
        </w:rPr>
        <w:t>主要业绩证明……………………………</w:t>
      </w:r>
      <w:r>
        <w:rPr>
          <w:rFonts w:hint="eastAsia" w:ascii="宋体" w:hAnsi="宋体" w:cs="宋体"/>
          <w:color w:val="auto"/>
          <w:sz w:val="24"/>
          <w:highlight w:val="none"/>
        </w:rPr>
        <w:t>…………………………………（页码）</w:t>
      </w:r>
    </w:p>
    <w:p>
      <w:pPr>
        <w:spacing w:line="360" w:lineRule="auto"/>
        <w:ind w:right="-510" w:rightChars="-243"/>
        <w:outlineLvl w:val="0"/>
        <w:rPr>
          <w:rFonts w:ascii="宋体" w:hAnsi="宋体" w:cs="宋体"/>
          <w:color w:val="auto"/>
          <w:kern w:val="0"/>
          <w:sz w:val="24"/>
          <w:highlight w:val="none"/>
        </w:rPr>
      </w:pPr>
      <w:r>
        <w:rPr>
          <w:rFonts w:hint="eastAsia" w:ascii="宋体" w:hAnsi="宋体" w:cs="宋体"/>
          <w:color w:val="auto"/>
          <w:kern w:val="0"/>
          <w:sz w:val="24"/>
          <w:highlight w:val="none"/>
        </w:rPr>
        <w:t>（10）技术解决方案</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outlineLvl w:val="0"/>
        <w:rPr>
          <w:rFonts w:ascii="宋体" w:hAnsi="宋体" w:cs="宋体"/>
          <w:color w:val="auto"/>
          <w:kern w:val="0"/>
          <w:sz w:val="24"/>
          <w:highlight w:val="none"/>
        </w:rPr>
      </w:pPr>
      <w:r>
        <w:rPr>
          <w:rFonts w:hint="eastAsia" w:ascii="宋体" w:hAnsi="宋体" w:cs="宋体"/>
          <w:color w:val="auto"/>
          <w:kern w:val="0"/>
          <w:sz w:val="24"/>
          <w:highlight w:val="none"/>
        </w:rPr>
        <w:t>（11）组织实施方案</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（12）售后服务方案</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rPr>
          <w:rFonts w:ascii="宋体" w:hAnsi="宋体" w:cs="宋体"/>
          <w:color w:val="auto"/>
          <w:sz w:val="24"/>
          <w:highlight w:val="none"/>
        </w:rPr>
      </w:pPr>
      <w:r>
        <w:rPr>
          <w:rFonts w:hint="eastAsia" w:ascii="宋体" w:hAnsi="宋体" w:cs="宋体"/>
          <w:color w:val="auto"/>
          <w:sz w:val="24"/>
          <w:highlight w:val="none"/>
        </w:rPr>
        <w:t>（13）供应商售后服务能力证明材料……………………………………………（页码）</w:t>
      </w:r>
    </w:p>
    <w:p>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（14）项目小组人员名单</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（15）</w:t>
      </w:r>
      <w:r>
        <w:rPr>
          <w:rFonts w:hint="eastAsia" w:ascii="宋体" w:hAnsi="宋体" w:cs="宋体"/>
          <w:color w:val="auto"/>
          <w:kern w:val="0"/>
          <w:sz w:val="24"/>
          <w:highlight w:val="none"/>
          <w:lang w:val="zh-CN"/>
        </w:rPr>
        <w:t>优惠条件及特殊承诺</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（16）</w:t>
      </w:r>
      <w:r>
        <w:rPr>
          <w:rFonts w:hint="eastAsia" w:ascii="宋体" w:hAnsi="宋体" w:cs="宋体"/>
          <w:color w:val="auto"/>
          <w:kern w:val="0"/>
          <w:sz w:val="24"/>
          <w:highlight w:val="none"/>
          <w:lang w:val="zh-CN"/>
        </w:rPr>
        <w:t>备品备件及供选择的配套零部件清单</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（17）</w:t>
      </w:r>
      <w:r>
        <w:rPr>
          <w:rFonts w:hint="eastAsia" w:ascii="宋体" w:hAnsi="宋体" w:cs="宋体"/>
          <w:color w:val="auto"/>
          <w:kern w:val="0"/>
          <w:sz w:val="24"/>
          <w:highlight w:val="none"/>
          <w:lang w:val="zh-CN"/>
        </w:rPr>
        <w:t>培训计划</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（18）</w:t>
      </w:r>
      <w:r>
        <w:rPr>
          <w:rFonts w:hint="eastAsia" w:ascii="宋体" w:hAnsi="宋体" w:cs="宋体"/>
          <w:color w:val="auto"/>
          <w:kern w:val="0"/>
          <w:sz w:val="24"/>
          <w:highlight w:val="none"/>
          <w:lang w:val="zh-CN"/>
        </w:rPr>
        <w:t>验收方案</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pacing w:line="360" w:lineRule="auto"/>
        <w:ind w:right="-368" w:rightChars="-175"/>
        <w:rPr>
          <w:rFonts w:ascii="宋体" w:hAnsi="宋体" w:cs="宋体"/>
          <w:b/>
          <w:bCs/>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zh-CN"/>
        </w:rPr>
        <w:t>认为需要的其他商务技术文件或说明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pStyle w:val="80"/>
        <w:rPr>
          <w:rFonts w:ascii="宋体" w:hAnsi="宋体" w:eastAsia="宋体" w:cs="宋体"/>
          <w:color w:val="auto"/>
          <w:highlight w:val="none"/>
          <w:lang w:val="zh-CN"/>
        </w:rPr>
      </w:pPr>
    </w:p>
    <w:p>
      <w:pPr>
        <w:pStyle w:val="81"/>
        <w:rPr>
          <w:rFonts w:eastAsia="宋体" w:cs="宋体"/>
          <w:color w:val="auto"/>
          <w:highlight w:val="none"/>
          <w:lang w:val="zh-CN"/>
        </w:rPr>
      </w:pPr>
    </w:p>
    <w:p>
      <w:pPr>
        <w:rPr>
          <w:rFonts w:ascii="宋体" w:hAnsi="宋体" w:cs="宋体"/>
          <w:color w:val="auto"/>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keepLines/>
        <w:snapToGrid w:val="0"/>
        <w:spacing w:line="360" w:lineRule="auto"/>
        <w:jc w:val="center"/>
        <w:outlineLvl w:val="3"/>
        <w:rPr>
          <w:rFonts w:hint="eastAsia" w:ascii="宋体" w:hAnsi="宋体" w:cs="宋体"/>
          <w:b/>
          <w:bCs/>
          <w:color w:val="auto"/>
          <w:sz w:val="28"/>
          <w:szCs w:val="28"/>
          <w:highlight w:val="none"/>
        </w:rPr>
      </w:pPr>
    </w:p>
    <w:p>
      <w:pPr>
        <w:keepNext/>
        <w:keepLines/>
        <w:snapToGrid w:val="0"/>
        <w:spacing w:line="360" w:lineRule="auto"/>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一、供应商提供的技术评审打分资料索引表</w:t>
      </w:r>
    </w:p>
    <w:p>
      <w:pPr>
        <w:spacing w:line="360" w:lineRule="auto"/>
        <w:jc w:val="center"/>
        <w:rPr>
          <w:rFonts w:ascii="宋体" w:hAnsi="宋体" w:cs="宋体"/>
          <w:color w:val="auto"/>
          <w:highlight w:val="none"/>
        </w:rPr>
      </w:pPr>
      <w:r>
        <w:rPr>
          <w:rFonts w:hint="eastAsia" w:ascii="宋体" w:hAnsi="宋体" w:cs="宋体"/>
          <w:color w:val="auto"/>
          <w:sz w:val="24"/>
          <w:highlight w:val="none"/>
        </w:rPr>
        <w:t>（对照第五部分技术标评分表逐一填写）</w:t>
      </w:r>
    </w:p>
    <w:tbl>
      <w:tblPr>
        <w:tblStyle w:val="6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5166"/>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51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评审内容</w:t>
            </w:r>
          </w:p>
        </w:tc>
        <w:tc>
          <w:tcPr>
            <w:tcW w:w="139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39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autoSpaceDE w:val="0"/>
              <w:autoSpaceDN w:val="0"/>
              <w:spacing w:line="360" w:lineRule="auto"/>
              <w:ind w:firstLine="405"/>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pPr>
              <w:snapToGrid w:val="0"/>
              <w:spacing w:line="360" w:lineRule="auto"/>
              <w:jc w:val="center"/>
              <w:rPr>
                <w:rFonts w:ascii="宋体" w:hAnsi="宋体" w:cs="宋体"/>
                <w:color w:val="auto"/>
                <w:sz w:val="24"/>
                <w:highlight w:val="none"/>
              </w:rPr>
            </w:pPr>
          </w:p>
        </w:tc>
        <w:tc>
          <w:tcPr>
            <w:tcW w:w="5166"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r>
    </w:tbl>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二、投标</w:t>
      </w:r>
      <w:r>
        <w:rPr>
          <w:rFonts w:hint="eastAsia" w:ascii="宋体" w:hAnsi="宋体" w:cs="宋体"/>
          <w:b/>
          <w:color w:val="auto"/>
          <w:sz w:val="32"/>
          <w:szCs w:val="32"/>
          <w:highlight w:val="none"/>
        </w:rPr>
        <w:t>函</w:t>
      </w:r>
    </w:p>
    <w:p>
      <w:pPr>
        <w:pStyle w:val="396"/>
        <w:spacing w:after="120" w:line="336" w:lineRule="auto"/>
        <w:ind w:firstLine="0" w:firstLineChars="0"/>
        <w:rPr>
          <w:rFonts w:ascii="宋体" w:hAnsi="宋体" w:cs="宋体"/>
          <w:color w:val="auto"/>
          <w:szCs w:val="24"/>
          <w:highlight w:val="none"/>
        </w:rPr>
      </w:pPr>
      <w:r>
        <w:rPr>
          <w:rFonts w:hint="eastAsia" w:ascii="宋体" w:hAnsi="宋体" w:cs="宋体"/>
          <w:color w:val="auto"/>
          <w:szCs w:val="24"/>
          <w:highlight w:val="none"/>
        </w:rPr>
        <w:t>致：</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根据贵方招标文件（</w:t>
      </w:r>
      <w:r>
        <w:rPr>
          <w:rFonts w:hint="eastAsia" w:ascii="宋体" w:hAnsi="宋体" w:cs="宋体"/>
          <w:b/>
          <w:color w:val="auto"/>
          <w:szCs w:val="24"/>
          <w:highlight w:val="none"/>
          <w:u w:val="single"/>
        </w:rPr>
        <w:t>填写招标编号：</w:t>
      </w:r>
      <w:r>
        <w:rPr>
          <w:rFonts w:hint="eastAsia" w:ascii="宋体" w:hAnsi="宋体" w:cs="宋体"/>
          <w:color w:val="auto"/>
          <w:szCs w:val="24"/>
          <w:highlight w:val="none"/>
        </w:rPr>
        <w:t>）的要求，正式授权</w:t>
      </w:r>
      <w:r>
        <w:rPr>
          <w:rFonts w:hint="eastAsia" w:ascii="宋体" w:hAnsi="宋体" w:cs="宋体"/>
          <w:b/>
          <w:color w:val="auto"/>
          <w:szCs w:val="24"/>
          <w:highlight w:val="none"/>
          <w:u w:val="single"/>
        </w:rPr>
        <w:t>（全权代表姓名    、单位    、职务   ）</w:t>
      </w:r>
      <w:r>
        <w:rPr>
          <w:rFonts w:hint="eastAsia" w:ascii="宋体" w:hAnsi="宋体" w:cs="宋体"/>
          <w:color w:val="auto"/>
          <w:szCs w:val="24"/>
          <w:highlight w:val="none"/>
        </w:rPr>
        <w:t>代表供应商</w:t>
      </w:r>
      <w:r>
        <w:rPr>
          <w:rFonts w:hint="eastAsia" w:ascii="宋体" w:hAnsi="宋体" w:cs="宋体"/>
          <w:color w:val="auto"/>
          <w:szCs w:val="24"/>
          <w:highlight w:val="none"/>
          <w:u w:val="single"/>
        </w:rPr>
        <w:t>（</w:t>
      </w:r>
      <w:r>
        <w:rPr>
          <w:rFonts w:hint="eastAsia" w:ascii="宋体" w:hAnsi="宋体" w:cs="宋体"/>
          <w:b/>
          <w:color w:val="auto"/>
          <w:szCs w:val="24"/>
          <w:highlight w:val="none"/>
          <w:u w:val="single"/>
        </w:rPr>
        <w:t xml:space="preserve">填写单位    、地址   </w:t>
      </w:r>
      <w:r>
        <w:rPr>
          <w:rFonts w:hint="eastAsia" w:ascii="宋体" w:hAnsi="宋体" w:cs="宋体"/>
          <w:color w:val="auto"/>
          <w:szCs w:val="24"/>
          <w:highlight w:val="none"/>
          <w:u w:val="single"/>
        </w:rPr>
        <w:t>）</w:t>
      </w:r>
      <w:r>
        <w:rPr>
          <w:rFonts w:hint="eastAsia" w:ascii="宋体" w:hAnsi="宋体" w:cs="宋体"/>
          <w:color w:val="auto"/>
          <w:szCs w:val="24"/>
          <w:highlight w:val="none"/>
        </w:rPr>
        <w:t>提交投标文件。</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我方已完全明白招标文件的所有条款要求，兹声明同意如下：</w:t>
      </w:r>
    </w:p>
    <w:p>
      <w:pPr>
        <w:pStyle w:val="18"/>
        <w:tabs>
          <w:tab w:val="clear" w:pos="1697"/>
        </w:tabs>
        <w:spacing w:after="120" w:line="336"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1.我方同意在供应商</w:t>
      </w:r>
      <w:r>
        <w:rPr>
          <w:rFonts w:hint="eastAsia" w:ascii="宋体" w:hAnsi="宋体" w:cs="宋体"/>
          <w:color w:val="auto"/>
          <w:kern w:val="44"/>
          <w:szCs w:val="24"/>
          <w:highlight w:val="none"/>
        </w:rPr>
        <w:t>须知</w:t>
      </w:r>
      <w:r>
        <w:rPr>
          <w:rFonts w:hint="eastAsia" w:ascii="宋体" w:hAnsi="宋体" w:cs="宋体"/>
          <w:color w:val="auto"/>
          <w:szCs w:val="24"/>
          <w:highlight w:val="none"/>
        </w:rPr>
        <w:t>规定的开标日期起遵守本投标文件中的承诺且在投标有效期满之前均具有约束力。</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2.我方承诺已经具备本项目招标文件中要求的参加采购活动的供应商应当具备的条件。</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3.我方投标文件中填列的技术参数、配置、服务、数量等相关内容都是真实、准确的。保证在本次项目中所提供的资料全部真实和合法。同意向采购人或采购代理机构提供可能另外要求的与投标有关的任何数据或资料。</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 xml:space="preserve">4.我方理解贵方将不受所收到的最低报价的约束。  </w:t>
      </w:r>
    </w:p>
    <w:p>
      <w:pPr>
        <w:pStyle w:val="18"/>
        <w:tabs>
          <w:tab w:val="clear" w:pos="1697"/>
        </w:tabs>
        <w:spacing w:after="120" w:line="336"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5.本投标自开标之日（投标截止之日）起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天内有效。</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6.我方将严格遵守以下条款，即供应商有下列情形之一的，列入不良行为记录名单，在-至三年内禁止参加本项目采购人（即绍兴市公用事业集团有限公司、绍兴市水务产业有限公司及下属单位）发起的采购活动；构成犯罪的，依法追究刑事责任；</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a）提供虚假材料谋取中标、成交的；</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b）采取不正当手段诋毁、排挤其他供应商的；</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c）与采购人、其他供应商或者采购代理机构恶意串通的；</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d）向采购人、采购代理机构行贿或者提供其他不正当利益的；</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e）在招标采购过程中与采购人进行协商谈判的；</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f）拒绝有关部门监督检查或提供虚假情况的。</w:t>
      </w:r>
    </w:p>
    <w:p>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供应商有前款第a）至e）项情形之一的，中标、成交无效。</w:t>
      </w:r>
    </w:p>
    <w:p>
      <w:pPr>
        <w:pStyle w:val="396"/>
        <w:spacing w:after="120" w:line="336" w:lineRule="auto"/>
        <w:ind w:firstLine="480"/>
        <w:rPr>
          <w:rFonts w:ascii="宋体" w:hAnsi="宋体" w:cs="宋体"/>
          <w:color w:val="auto"/>
          <w:szCs w:val="24"/>
          <w:highlight w:val="none"/>
        </w:rPr>
      </w:pPr>
      <w:r>
        <w:rPr>
          <w:rFonts w:hint="eastAsia" w:ascii="宋体" w:hAnsi="宋体" w:cs="宋体"/>
          <w:color w:val="auto"/>
          <w:szCs w:val="24"/>
          <w:highlight w:val="none"/>
        </w:rPr>
        <w:t>法定代表人或其授权代表（签字或盖章）：</w:t>
      </w:r>
    </w:p>
    <w:p>
      <w:pPr>
        <w:snapToGrid w:val="0"/>
        <w:spacing w:line="336" w:lineRule="auto"/>
        <w:ind w:firstLine="480" w:firstLineChars="200"/>
        <w:jc w:val="left"/>
        <w:rPr>
          <w:rFonts w:ascii="宋体" w:hAnsi="宋体" w:cs="宋体"/>
          <w:b/>
          <w:color w:val="auto"/>
          <w:kern w:val="0"/>
          <w:sz w:val="32"/>
          <w:szCs w:val="32"/>
          <w:highlight w:val="none"/>
        </w:rPr>
      </w:pPr>
      <w:r>
        <w:rPr>
          <w:rFonts w:hint="eastAsia" w:ascii="宋体" w:hAnsi="宋体" w:cs="宋体"/>
          <w:color w:val="auto"/>
          <w:sz w:val="24"/>
          <w:highlight w:val="none"/>
        </w:rPr>
        <w:t xml:space="preserve">供应商（电子印章）：　　　　　　　　　日期：  </w:t>
      </w: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widowControl/>
        <w:adjustRightInd/>
        <w:jc w:val="center"/>
        <w:rPr>
          <w:rFonts w:hint="eastAsia" w:ascii="宋体" w:hAnsi="宋体" w:cs="宋体"/>
          <w:b/>
          <w:color w:val="auto"/>
          <w:sz w:val="30"/>
          <w:szCs w:val="30"/>
          <w:highlight w:val="none"/>
        </w:rPr>
      </w:pPr>
    </w:p>
    <w:p>
      <w:pPr>
        <w:widowControl/>
        <w:adjustRightInd/>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三、法定代表人授权委托书（格式） </w:t>
      </w:r>
    </w:p>
    <w:p>
      <w:pPr>
        <w:jc w:val="center"/>
        <w:rPr>
          <w:rFonts w:ascii="宋体" w:hAnsi="宋体" w:cs="宋体"/>
          <w:b/>
          <w:color w:val="auto"/>
          <w:sz w:val="24"/>
          <w:highlight w:val="none"/>
        </w:rPr>
      </w:pPr>
    </w:p>
    <w:p>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（填写姓名）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（填写供应商单位全称）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（填写单位全称）</w:t>
      </w:r>
      <w:r>
        <w:rPr>
          <w:rFonts w:hint="eastAsia" w:ascii="宋体" w:hAnsi="宋体" w:cs="宋体"/>
          <w:color w:val="auto"/>
          <w:sz w:val="24"/>
          <w:highlight w:val="none"/>
        </w:rPr>
        <w:t>的（填写姓名）为我公司授权代表，</w:t>
      </w:r>
      <w:r>
        <w:rPr>
          <w:rFonts w:hint="eastAsia" w:ascii="宋体" w:hAnsi="宋体" w:cs="宋体"/>
          <w:color w:val="auto"/>
          <w:sz w:val="24"/>
          <w:highlight w:val="none"/>
          <w:u w:val="single"/>
        </w:rPr>
        <w:t>（填写身份证号码：                       ）</w:t>
      </w:r>
      <w:r>
        <w:rPr>
          <w:rFonts w:hint="eastAsia" w:ascii="宋体" w:hAnsi="宋体" w:cs="宋体"/>
          <w:color w:val="auto"/>
          <w:sz w:val="24"/>
          <w:highlight w:val="none"/>
        </w:rPr>
        <w:t>。以本公司的名义参加组织的投标活动。授权代表在开标、评标、合同谈判过程中所签署的一切文件和处理与之有关的一切事务，我均予以承认。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授权代表无转委托权。特此委托。</w:t>
      </w:r>
    </w:p>
    <w:p>
      <w:pPr>
        <w:snapToGrid w:val="0"/>
        <w:spacing w:line="600" w:lineRule="exact"/>
        <w:jc w:val="left"/>
        <w:rPr>
          <w:rFonts w:ascii="宋体" w:hAnsi="宋体" w:cs="宋体"/>
          <w:color w:val="auto"/>
          <w:sz w:val="24"/>
          <w:highlight w:val="none"/>
        </w:rPr>
      </w:pPr>
    </w:p>
    <w:p>
      <w:pPr>
        <w:spacing w:line="360" w:lineRule="exact"/>
        <w:rPr>
          <w:rFonts w:ascii="宋体" w:hAnsi="宋体" w:cs="宋体"/>
          <w:color w:val="auto"/>
          <w:sz w:val="24"/>
          <w:highlight w:val="none"/>
        </w:rPr>
      </w:pPr>
      <w:r>
        <w:rPr>
          <w:rFonts w:hint="eastAsia" w:ascii="宋体" w:hAnsi="宋体" w:cs="宋体"/>
          <w:color w:val="auto"/>
          <w:sz w:val="24"/>
          <w:highlight w:val="none"/>
        </w:rPr>
        <w:t>授权代表姓名：              性别：               年龄：</w:t>
      </w:r>
    </w:p>
    <w:p>
      <w:pPr>
        <w:spacing w:line="360" w:lineRule="exact"/>
        <w:rPr>
          <w:rFonts w:ascii="宋体" w:hAnsi="宋体" w:cs="宋体"/>
          <w:color w:val="auto"/>
          <w:sz w:val="24"/>
          <w:highlight w:val="none"/>
        </w:rPr>
      </w:pPr>
    </w:p>
    <w:p>
      <w:pPr>
        <w:spacing w:line="360" w:lineRule="exact"/>
        <w:rPr>
          <w:rFonts w:ascii="宋体" w:hAnsi="宋体" w:cs="宋体"/>
          <w:color w:val="auto"/>
          <w:sz w:val="24"/>
          <w:highlight w:val="none"/>
        </w:rPr>
      </w:pPr>
      <w:r>
        <w:rPr>
          <w:rFonts w:hint="eastAsia" w:ascii="宋体" w:hAnsi="宋体" w:cs="宋体"/>
          <w:color w:val="auto"/>
          <w:sz w:val="24"/>
          <w:highlight w:val="none"/>
        </w:rPr>
        <w:t>单位：                      部门：               职务：</w:t>
      </w:r>
    </w:p>
    <w:p>
      <w:pPr>
        <w:spacing w:line="360" w:lineRule="exact"/>
        <w:rPr>
          <w:rFonts w:ascii="宋体" w:hAnsi="宋体" w:cs="宋体"/>
          <w:color w:val="auto"/>
          <w:sz w:val="24"/>
          <w:highlight w:val="none"/>
        </w:rPr>
      </w:pPr>
    </w:p>
    <w:p>
      <w:pPr>
        <w:widowControl/>
        <w:snapToGrid w:val="0"/>
        <w:spacing w:line="440" w:lineRule="exact"/>
        <w:rPr>
          <w:rFonts w:ascii="宋体" w:hAnsi="宋体" w:cs="宋体"/>
          <w:color w:val="auto"/>
          <w:sz w:val="24"/>
          <w:highlight w:val="none"/>
        </w:rPr>
      </w:pPr>
      <w:r>
        <w:rPr>
          <w:rFonts w:hint="eastAsia" w:ascii="宋体" w:hAnsi="宋体" w:cs="宋体"/>
          <w:color w:val="auto"/>
          <w:kern w:val="0"/>
          <w:sz w:val="24"/>
          <w:highlight w:val="none"/>
        </w:rPr>
        <w:t>办公地址：                  联系电话：           传真：</w:t>
      </w:r>
    </w:p>
    <w:p>
      <w:pPr>
        <w:spacing w:line="360" w:lineRule="exact"/>
        <w:rPr>
          <w:rFonts w:ascii="宋体" w:hAnsi="宋体" w:cs="宋体"/>
          <w:color w:val="auto"/>
          <w:sz w:val="24"/>
          <w:highlight w:val="none"/>
        </w:rPr>
      </w:pPr>
    </w:p>
    <w:p>
      <w:pPr>
        <w:spacing w:line="360" w:lineRule="exact"/>
        <w:rPr>
          <w:rFonts w:ascii="宋体" w:hAnsi="宋体" w:cs="宋体"/>
          <w:color w:val="auto"/>
          <w:sz w:val="24"/>
          <w:highlight w:val="none"/>
        </w:rPr>
      </w:pPr>
    </w:p>
    <w:p>
      <w:pPr>
        <w:spacing w:line="360" w:lineRule="exact"/>
        <w:rPr>
          <w:rFonts w:ascii="宋体" w:hAnsi="宋体" w:cs="宋体"/>
          <w:color w:val="auto"/>
          <w:sz w:val="24"/>
          <w:highlight w:val="none"/>
        </w:rPr>
      </w:pPr>
      <w:r>
        <w:rPr>
          <w:rFonts w:hint="eastAsia" w:ascii="宋体" w:hAnsi="宋体" w:cs="宋体"/>
          <w:color w:val="auto"/>
          <w:sz w:val="24"/>
          <w:highlight w:val="none"/>
        </w:rPr>
        <w:t>供应商（电子印章）：</w:t>
      </w:r>
    </w:p>
    <w:p>
      <w:pPr>
        <w:spacing w:line="360" w:lineRule="exact"/>
        <w:rPr>
          <w:rFonts w:ascii="宋体" w:hAnsi="宋体" w:cs="宋体"/>
          <w:color w:val="auto"/>
          <w:sz w:val="24"/>
          <w:highlight w:val="none"/>
        </w:rPr>
      </w:pPr>
    </w:p>
    <w:p>
      <w:pPr>
        <w:spacing w:line="360" w:lineRule="exact"/>
        <w:rPr>
          <w:rFonts w:ascii="宋体" w:hAnsi="宋体" w:cs="宋体"/>
          <w:color w:val="auto"/>
          <w:sz w:val="24"/>
          <w:highlight w:val="none"/>
        </w:rPr>
      </w:pPr>
    </w:p>
    <w:p>
      <w:pPr>
        <w:spacing w:line="36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exact"/>
        <w:rPr>
          <w:rFonts w:ascii="宋体" w:hAnsi="宋体" w:cs="宋体"/>
          <w:color w:val="auto"/>
          <w:sz w:val="24"/>
          <w:highlight w:val="none"/>
        </w:rPr>
      </w:pPr>
    </w:p>
    <w:p>
      <w:pPr>
        <w:spacing w:line="360" w:lineRule="exact"/>
        <w:rPr>
          <w:rFonts w:ascii="宋体" w:hAnsi="宋体" w:cs="宋体"/>
          <w:color w:val="auto"/>
          <w:sz w:val="24"/>
          <w:highlight w:val="none"/>
        </w:rPr>
      </w:pPr>
    </w:p>
    <w:p>
      <w:pPr>
        <w:ind w:firstLine="5280" w:firstLineChars="2200"/>
        <w:jc w:val="left"/>
        <w:rPr>
          <w:rFonts w:ascii="宋体" w:hAnsi="宋体" w:cs="宋体"/>
          <w:color w:val="auto"/>
          <w:sz w:val="24"/>
          <w:highlight w:val="none"/>
        </w:rPr>
      </w:pPr>
      <w:r>
        <w:rPr>
          <w:rFonts w:hint="eastAsia" w:ascii="宋体" w:hAnsi="宋体" w:cs="宋体"/>
          <w:color w:val="auto"/>
          <w:sz w:val="24"/>
          <w:highlight w:val="none"/>
        </w:rPr>
        <w:t>日期：    年   月   日</w:t>
      </w:r>
    </w:p>
    <w:p>
      <w:pPr>
        <w:ind w:firstLine="4920" w:firstLineChars="2050"/>
        <w:jc w:val="left"/>
        <w:rPr>
          <w:rFonts w:ascii="宋体" w:hAnsi="宋体" w:cs="宋体"/>
          <w:color w:val="auto"/>
          <w:sz w:val="24"/>
          <w:highlight w:val="none"/>
        </w:rPr>
      </w:pPr>
    </w:p>
    <w:p>
      <w:pPr>
        <w:spacing w:line="800" w:lineRule="exact"/>
        <w:rPr>
          <w:rFonts w:ascii="宋体" w:hAnsi="宋体" w:cs="宋体"/>
          <w:b/>
          <w:color w:val="auto"/>
          <w:sz w:val="24"/>
          <w:highlight w:val="none"/>
        </w:rPr>
      </w:pPr>
    </w:p>
    <w:p>
      <w:pPr>
        <w:autoSpaceDE w:val="0"/>
        <w:autoSpaceDN w:val="0"/>
        <w:spacing w:line="360" w:lineRule="auto"/>
        <w:jc w:val="center"/>
        <w:rPr>
          <w:rFonts w:ascii="宋体" w:hAnsi="宋体" w:cs="宋体"/>
          <w:b/>
          <w:color w:val="auto"/>
          <w:kern w:val="0"/>
          <w:sz w:val="32"/>
          <w:szCs w:val="32"/>
          <w:highlight w:val="none"/>
          <w:lang w:val="zh-CN"/>
        </w:rPr>
      </w:pPr>
    </w:p>
    <w:p>
      <w:pPr>
        <w:spacing w:line="800" w:lineRule="exact"/>
        <w:jc w:val="center"/>
        <w:rPr>
          <w:rFonts w:ascii="宋体" w:hAnsi="宋体" w:cs="宋体"/>
          <w:b/>
          <w:color w:val="auto"/>
          <w:sz w:val="30"/>
          <w:szCs w:val="30"/>
          <w:highlight w:val="none"/>
        </w:rPr>
      </w:pPr>
    </w:p>
    <w:p>
      <w:pPr>
        <w:spacing w:line="800" w:lineRule="exact"/>
        <w:jc w:val="center"/>
        <w:rPr>
          <w:rFonts w:ascii="宋体" w:hAnsi="宋体" w:cs="宋体"/>
          <w:b/>
          <w:color w:val="auto"/>
          <w:sz w:val="30"/>
          <w:szCs w:val="30"/>
          <w:highlight w:val="none"/>
        </w:rPr>
      </w:pPr>
    </w:p>
    <w:p>
      <w:pPr>
        <w:spacing w:line="8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四、授权代表社保证明</w:t>
      </w:r>
    </w:p>
    <w:p>
      <w:pPr>
        <w:spacing w:line="800" w:lineRule="exact"/>
        <w:ind w:firstLine="480" w:firstLineChars="200"/>
        <w:jc w:val="left"/>
        <w:rPr>
          <w:rFonts w:ascii="宋体" w:hAnsi="宋体" w:cs="宋体"/>
          <w:b/>
          <w:color w:val="auto"/>
          <w:sz w:val="30"/>
          <w:szCs w:val="30"/>
          <w:highlight w:val="none"/>
        </w:rPr>
      </w:pPr>
      <w:r>
        <w:rPr>
          <w:rFonts w:hint="eastAsia" w:ascii="宋体" w:hAnsi="宋体" w:cs="宋体"/>
          <w:color w:val="auto"/>
          <w:sz w:val="24"/>
          <w:highlight w:val="none"/>
          <w:u w:val="wave"/>
        </w:rPr>
        <w:t>出具距投标截止时间一个月以内（2025年</w:t>
      </w:r>
      <w:r>
        <w:rPr>
          <w:rFonts w:hint="eastAsia" w:ascii="宋体" w:hAnsi="宋体" w:cs="宋体"/>
          <w:color w:val="auto"/>
          <w:sz w:val="24"/>
          <w:highlight w:val="none"/>
          <w:u w:val="wave"/>
          <w:lang w:val="en-US" w:eastAsia="zh-CN"/>
        </w:rPr>
        <w:t>04</w:t>
      </w:r>
      <w:r>
        <w:rPr>
          <w:rFonts w:hint="eastAsia" w:ascii="宋体" w:hAnsi="宋体" w:cs="宋体"/>
          <w:color w:val="auto"/>
          <w:sz w:val="24"/>
          <w:highlight w:val="none"/>
          <w:u w:val="wave"/>
        </w:rPr>
        <w:t>月- 2025年</w:t>
      </w:r>
      <w:r>
        <w:rPr>
          <w:rFonts w:hint="eastAsia" w:ascii="宋体" w:hAnsi="宋体" w:cs="宋体"/>
          <w:color w:val="auto"/>
          <w:sz w:val="24"/>
          <w:highlight w:val="none"/>
          <w:u w:val="wave"/>
          <w:lang w:val="en-US" w:eastAsia="zh-CN"/>
        </w:rPr>
        <w:t>06</w:t>
      </w:r>
      <w:r>
        <w:rPr>
          <w:rFonts w:hint="eastAsia" w:ascii="宋体" w:hAnsi="宋体" w:cs="宋体"/>
          <w:color w:val="auto"/>
          <w:sz w:val="24"/>
          <w:highlight w:val="none"/>
          <w:u w:val="wave"/>
        </w:rPr>
        <w:t>月）的社保机构盖公章的授权代表社保缴纳证明（如授权代表为离退休返聘人员的，投标响应文件技术部分内需提供退休证明及单位聘用证明；如由第三方代理社保事项的，则需提供委托代理协议复印件），格式自拟。</w:t>
      </w:r>
    </w:p>
    <w:p>
      <w:pPr>
        <w:spacing w:line="800" w:lineRule="exact"/>
        <w:rPr>
          <w:rFonts w:ascii="宋体" w:hAnsi="宋体" w:cs="宋体"/>
          <w:b/>
          <w:color w:val="auto"/>
          <w:sz w:val="24"/>
          <w:highlight w:val="none"/>
        </w:rPr>
      </w:pPr>
    </w:p>
    <w:p>
      <w:pPr>
        <w:pStyle w:val="80"/>
        <w:rPr>
          <w:rFonts w:ascii="宋体" w:hAnsi="宋体" w:eastAsia="宋体" w:cs="宋体"/>
          <w:color w:val="auto"/>
          <w:highlight w:val="none"/>
        </w:rPr>
      </w:pP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spacing w:line="8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五、法定代表人及其授权代表身份证复印件（正反面）</w:t>
      </w:r>
    </w:p>
    <w:p>
      <w:pPr>
        <w:rPr>
          <w:rFonts w:ascii="宋体" w:hAnsi="宋体" w:cs="宋体"/>
          <w:b/>
          <w:color w:val="auto"/>
          <w:sz w:val="24"/>
          <w:highlight w:val="none"/>
        </w:rPr>
      </w:pPr>
    </w:p>
    <w:p>
      <w:pPr>
        <w:rPr>
          <w:rFonts w:ascii="宋体" w:hAnsi="宋体" w:cs="宋体"/>
          <w:b/>
          <w:color w:val="auto"/>
          <w:sz w:val="24"/>
          <w:highlight w:val="none"/>
        </w:rPr>
      </w:pPr>
    </w:p>
    <w:p>
      <w:pPr>
        <w:pStyle w:val="80"/>
        <w:rPr>
          <w:rFonts w:ascii="宋体" w:hAnsi="宋体" w:eastAsia="宋体" w:cs="宋体"/>
          <w:color w:val="auto"/>
          <w:highlight w:val="none"/>
        </w:rPr>
      </w:pPr>
    </w:p>
    <w:p>
      <w:pPr>
        <w:spacing w:line="8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六、法定代表人身份证明书（格式）</w:t>
      </w:r>
    </w:p>
    <w:p>
      <w:pPr>
        <w:spacing w:line="440" w:lineRule="exact"/>
        <w:rPr>
          <w:rFonts w:ascii="宋体" w:hAnsi="宋体" w:cs="宋体"/>
          <w:color w:val="auto"/>
          <w:sz w:val="24"/>
          <w:highlight w:val="none"/>
        </w:rPr>
      </w:pPr>
      <w:r>
        <w:rPr>
          <w:rFonts w:hint="eastAsia" w:ascii="宋体" w:hAnsi="宋体" w:cs="宋体"/>
          <w:color w:val="auto"/>
          <w:sz w:val="24"/>
          <w:highlight w:val="none"/>
        </w:rPr>
        <w:t>供 应 商：</w:t>
      </w:r>
    </w:p>
    <w:p>
      <w:pPr>
        <w:spacing w:line="440" w:lineRule="exact"/>
        <w:rPr>
          <w:rFonts w:ascii="宋体" w:hAnsi="宋体" w:cs="宋体"/>
          <w:color w:val="auto"/>
          <w:sz w:val="24"/>
          <w:highlight w:val="none"/>
        </w:rPr>
      </w:pPr>
      <w:r>
        <w:rPr>
          <w:rFonts w:hint="eastAsia" w:ascii="宋体" w:hAnsi="宋体" w:cs="宋体"/>
          <w:color w:val="auto"/>
          <w:sz w:val="24"/>
          <w:highlight w:val="none"/>
        </w:rPr>
        <w:t>地    址：</w:t>
      </w:r>
    </w:p>
    <w:p>
      <w:pPr>
        <w:spacing w:line="440" w:lineRule="exact"/>
        <w:ind w:right="281" w:rightChars="134"/>
        <w:rPr>
          <w:rFonts w:ascii="宋体" w:hAnsi="宋体" w:cs="宋体"/>
          <w:color w:val="auto"/>
          <w:sz w:val="24"/>
          <w:highlight w:val="none"/>
          <w:u w:val="single"/>
        </w:rPr>
      </w:pPr>
      <w:r>
        <w:rPr>
          <w:rFonts w:hint="eastAsia" w:ascii="宋体" w:hAnsi="宋体" w:cs="宋体"/>
          <w:color w:val="auto"/>
          <w:sz w:val="24"/>
          <w:highlight w:val="none"/>
        </w:rPr>
        <w:t>姓    名：</w:t>
      </w:r>
    </w:p>
    <w:p>
      <w:pPr>
        <w:spacing w:line="440" w:lineRule="exact"/>
        <w:ind w:right="281" w:rightChars="134"/>
        <w:rPr>
          <w:rFonts w:ascii="宋体" w:hAnsi="宋体" w:cs="宋体"/>
          <w:color w:val="auto"/>
          <w:sz w:val="24"/>
          <w:highlight w:val="none"/>
          <w:u w:val="single"/>
        </w:rPr>
      </w:pPr>
      <w:r>
        <w:rPr>
          <w:rFonts w:hint="eastAsia" w:ascii="宋体" w:hAnsi="宋体" w:cs="宋体"/>
          <w:color w:val="auto"/>
          <w:sz w:val="24"/>
          <w:highlight w:val="none"/>
        </w:rPr>
        <w:t>身份证号码：</w:t>
      </w:r>
    </w:p>
    <w:p>
      <w:pPr>
        <w:spacing w:line="440" w:lineRule="exact"/>
        <w:ind w:right="281" w:rightChars="134"/>
        <w:rPr>
          <w:rFonts w:ascii="宋体" w:hAnsi="宋体" w:cs="宋体"/>
          <w:color w:val="auto"/>
          <w:sz w:val="24"/>
          <w:highlight w:val="none"/>
        </w:rPr>
      </w:pPr>
      <w:r>
        <w:rPr>
          <w:rFonts w:hint="eastAsia" w:ascii="宋体" w:hAnsi="宋体" w:cs="宋体"/>
          <w:color w:val="auto"/>
          <w:sz w:val="24"/>
          <w:highlight w:val="none"/>
        </w:rPr>
        <w:t>职   务：</w:t>
      </w:r>
    </w:p>
    <w:p>
      <w:pPr>
        <w:spacing w:line="440" w:lineRule="exact"/>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（填写供应商名称）</w:t>
      </w:r>
      <w:r>
        <w:rPr>
          <w:rFonts w:hint="eastAsia" w:ascii="宋体" w:hAnsi="宋体" w:cs="宋体"/>
          <w:color w:val="auto"/>
          <w:sz w:val="24"/>
          <w:highlight w:val="none"/>
        </w:rPr>
        <w:t>的法定代表人。</w:t>
      </w:r>
    </w:p>
    <w:p>
      <w:pPr>
        <w:spacing w:line="440" w:lineRule="exact"/>
        <w:rPr>
          <w:rFonts w:ascii="宋体" w:hAnsi="宋体" w:cs="宋体"/>
          <w:color w:val="auto"/>
          <w:sz w:val="24"/>
          <w:highlight w:val="none"/>
        </w:rPr>
      </w:pPr>
      <w:r>
        <w:rPr>
          <w:rFonts w:hint="eastAsia" w:ascii="宋体" w:hAnsi="宋体" w:cs="宋体"/>
          <w:color w:val="auto"/>
          <w:sz w:val="24"/>
          <w:highlight w:val="none"/>
        </w:rPr>
        <w:t>特此证明。</w:t>
      </w:r>
    </w:p>
    <w:p>
      <w:pPr>
        <w:spacing w:line="440" w:lineRule="exact"/>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供应商名称（电子印章）：</w:t>
      </w:r>
    </w:p>
    <w:p>
      <w:pPr>
        <w:spacing w:line="440" w:lineRule="exact"/>
        <w:ind w:right="480"/>
        <w:rPr>
          <w:rFonts w:ascii="宋体" w:hAnsi="宋体" w:cs="宋体"/>
          <w:color w:val="auto"/>
          <w:sz w:val="24"/>
          <w:highlight w:val="none"/>
        </w:rPr>
      </w:pPr>
    </w:p>
    <w:p>
      <w:pPr>
        <w:spacing w:line="440" w:lineRule="exact"/>
        <w:ind w:right="720"/>
        <w:jc w:val="right"/>
        <w:rPr>
          <w:rFonts w:ascii="宋体" w:hAnsi="宋体" w:cs="宋体"/>
          <w:color w:val="auto"/>
          <w:sz w:val="24"/>
          <w:highlight w:val="none"/>
        </w:rPr>
      </w:pPr>
      <w:r>
        <w:rPr>
          <w:rFonts w:hint="eastAsia" w:ascii="宋体" w:hAnsi="宋体" w:cs="宋体"/>
          <w:color w:val="auto"/>
          <w:sz w:val="24"/>
          <w:highlight w:val="none"/>
        </w:rPr>
        <w:t>年   月   日</w:t>
      </w:r>
    </w:p>
    <w:p>
      <w:pPr>
        <w:jc w:val="center"/>
        <w:rPr>
          <w:rFonts w:ascii="宋体" w:hAnsi="宋体" w:cs="宋体"/>
          <w:b/>
          <w:color w:val="auto"/>
          <w:kern w:val="0"/>
          <w:sz w:val="32"/>
          <w:szCs w:val="32"/>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utoSpaceDE w:val="0"/>
              <w:autoSpaceDN w:val="0"/>
              <w:spacing w:line="240" w:lineRule="atLeas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3546"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1276"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40" w:lineRule="atLeas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3546"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1276"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40" w:lineRule="atLeas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3546"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1276" w:type="dxa"/>
            <w:vAlign w:val="center"/>
          </w:tcPr>
          <w:p>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pStyle w:val="80"/>
        <w:ind w:firstLine="1428"/>
        <w:rPr>
          <w:rFonts w:ascii="宋体" w:hAnsi="宋体" w:eastAsia="宋体" w:cs="宋体"/>
          <w:color w:val="auto"/>
          <w:highlight w:val="none"/>
        </w:rPr>
      </w:pPr>
    </w:p>
    <w:p>
      <w:pPr>
        <w:pStyle w:val="81"/>
        <w:ind w:firstLine="1249"/>
        <w:rPr>
          <w:rFonts w:eastAsia="宋体" w:cs="宋体"/>
          <w:color w:val="auto"/>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widowControl/>
        <w:adjustRightInd/>
        <w:jc w:val="center"/>
        <w:rPr>
          <w:rFonts w:ascii="宋体" w:hAnsi="宋体" w:cs="宋体"/>
          <w:b/>
          <w:bCs/>
          <w:color w:val="auto"/>
          <w:sz w:val="32"/>
          <w:szCs w:val="32"/>
          <w:highlight w:val="none"/>
        </w:rPr>
      </w:pPr>
    </w:p>
    <w:p>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w:t>
      </w:r>
      <w:r>
        <w:rPr>
          <w:rFonts w:hint="eastAsia" w:ascii="宋体" w:hAnsi="宋体" w:cs="宋体"/>
          <w:color w:val="auto"/>
          <w:kern w:val="0"/>
          <w:sz w:val="24"/>
          <w:highlight w:val="none"/>
        </w:rPr>
        <w:t>单位</w:t>
      </w:r>
      <w:r>
        <w:rPr>
          <w:rFonts w:hint="eastAsia" w:ascii="宋体" w:hAnsi="宋体" w:cs="宋体"/>
          <w:color w:val="auto"/>
          <w:kern w:val="0"/>
          <w:sz w:val="24"/>
          <w:highlight w:val="none"/>
          <w:lang w:val="zh-CN"/>
        </w:rPr>
        <w:t>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w:t>
      </w:r>
      <w:r>
        <w:rPr>
          <w:rFonts w:hint="eastAsia" w:ascii="宋体" w:hAnsi="宋体" w:cs="宋体"/>
          <w:color w:val="auto"/>
          <w:kern w:val="0"/>
          <w:sz w:val="24"/>
          <w:highlight w:val="none"/>
        </w:rPr>
        <w:t>单位</w:t>
      </w:r>
      <w:r>
        <w:rPr>
          <w:rFonts w:hint="eastAsia" w:ascii="宋体" w:hAnsi="宋体" w:cs="宋体"/>
          <w:color w:val="auto"/>
          <w:kern w:val="0"/>
          <w:sz w:val="24"/>
          <w:highlight w:val="none"/>
          <w:lang w:val="zh-CN"/>
        </w:rPr>
        <w:t>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w:t>
      </w:r>
      <w:r>
        <w:rPr>
          <w:rFonts w:hint="eastAsia" w:ascii="宋体" w:hAnsi="宋体" w:cs="宋体"/>
          <w:color w:val="auto"/>
          <w:kern w:val="0"/>
          <w:sz w:val="24"/>
          <w:highlight w:val="none"/>
        </w:rPr>
        <w:t>单位</w:t>
      </w:r>
      <w:r>
        <w:rPr>
          <w:rFonts w:hint="eastAsia" w:ascii="宋体" w:hAnsi="宋体" w:cs="宋体"/>
          <w:color w:val="auto"/>
          <w:kern w:val="0"/>
          <w:sz w:val="24"/>
          <w:highlight w:val="none"/>
          <w:lang w:val="zh-CN"/>
        </w:rPr>
        <w:t>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项目所在行业主管部门（如有）</w:t>
      </w:r>
      <w:r>
        <w:rPr>
          <w:rFonts w:hint="eastAsia" w:ascii="宋体" w:hAnsi="宋体" w:cs="宋体"/>
          <w:color w:val="auto"/>
          <w:kern w:val="0"/>
          <w:sz w:val="24"/>
          <w:highlight w:val="none"/>
          <w:lang w:val="zh-CN"/>
        </w:rPr>
        <w:t>。由此引起的相应损失均由我单位承担。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电子印章</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b/>
          <w:color w:val="auto"/>
          <w:sz w:val="32"/>
          <w:szCs w:val="32"/>
          <w:highlight w:val="none"/>
        </w:rPr>
        <w:t>九、</w:t>
      </w:r>
      <w:r>
        <w:rPr>
          <w:rFonts w:hint="eastAsia" w:ascii="宋体" w:hAnsi="宋体" w:cs="宋体"/>
          <w:b/>
          <w:color w:val="auto"/>
          <w:kern w:val="0"/>
          <w:sz w:val="32"/>
          <w:szCs w:val="32"/>
          <w:highlight w:val="none"/>
          <w:lang w:val="zh-CN"/>
        </w:rPr>
        <w:t>主要业绩证明</w:t>
      </w:r>
    </w:p>
    <w:p>
      <w:pPr>
        <w:autoSpaceDE w:val="0"/>
        <w:autoSpaceDN w:val="0"/>
        <w:spacing w:line="360" w:lineRule="auto"/>
        <w:ind w:firstLine="120"/>
        <w:rPr>
          <w:rFonts w:ascii="宋体" w:hAnsi="宋体" w:cs="宋体"/>
          <w:b/>
          <w:color w:val="auto"/>
          <w:sz w:val="24"/>
          <w:highlight w:val="none"/>
        </w:rPr>
      </w:pPr>
      <w:r>
        <w:rPr>
          <w:rFonts w:hint="eastAsia" w:ascii="宋体" w:hAnsi="宋体" w:cs="宋体"/>
          <w:b/>
          <w:color w:val="auto"/>
          <w:sz w:val="24"/>
          <w:highlight w:val="none"/>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注：供应商可按上述的格式自行编制，须随表提交相应的合同复印件和用户单位验收证明并注明页码。</w:t>
      </w:r>
    </w:p>
    <w:p>
      <w:pPr>
        <w:autoSpaceDE w:val="0"/>
        <w:autoSpaceDN w:val="0"/>
        <w:spacing w:line="360" w:lineRule="auto"/>
        <w:rPr>
          <w:rFonts w:ascii="宋体" w:hAnsi="宋体" w:cs="宋体"/>
          <w:b/>
          <w:color w:val="auto"/>
          <w:sz w:val="24"/>
          <w:highlight w:val="none"/>
        </w:rPr>
      </w:pPr>
    </w:p>
    <w:p>
      <w:pPr>
        <w:autoSpaceDE w:val="0"/>
        <w:autoSpaceDN w:val="0"/>
        <w:spacing w:line="360" w:lineRule="auto"/>
        <w:rPr>
          <w:rFonts w:ascii="宋体" w:hAnsi="宋体" w:cs="宋体"/>
          <w:color w:val="auto"/>
          <w:sz w:val="24"/>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十、投标产品规格配置清单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737"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31"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设备名称</w:t>
            </w:r>
          </w:p>
        </w:tc>
        <w:tc>
          <w:tcPr>
            <w:tcW w:w="2160"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投标品牌及型号</w:t>
            </w:r>
          </w:p>
        </w:tc>
        <w:tc>
          <w:tcPr>
            <w:tcW w:w="2340"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1080"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332"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531"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1531"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1531"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1531"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1531"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pPr>
              <w:keepNext/>
              <w:keepLines/>
              <w:tabs>
                <w:tab w:val="left" w:pos="432"/>
              </w:tabs>
              <w:spacing w:line="360" w:lineRule="auto"/>
              <w:jc w:val="center"/>
              <w:textAlignment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kern w:val="0"/>
          <w:sz w:val="24"/>
          <w:highlight w:val="none"/>
        </w:rPr>
        <w:t>注：1.</w:t>
      </w:r>
      <w:r>
        <w:rPr>
          <w:rFonts w:hint="eastAsia" w:ascii="宋体" w:hAnsi="宋体" w:cs="宋体"/>
          <w:b/>
          <w:color w:val="auto"/>
          <w:sz w:val="24"/>
          <w:highlight w:val="none"/>
        </w:rPr>
        <w:t>如果本项目涉及硬件设备采购，须在技术文件中提供此配置清单，提供主要投标产品的技术参数证明材料（如官网截图、产品彩页、原厂技术说明等）。</w:t>
      </w:r>
    </w:p>
    <w:p>
      <w:pPr>
        <w:autoSpaceDE w:val="0"/>
        <w:autoSpaceDN w:val="0"/>
        <w:spacing w:line="360" w:lineRule="auto"/>
        <w:ind w:firstLine="4560" w:firstLineChars="1900"/>
        <w:rPr>
          <w:rFonts w:ascii="宋体" w:hAnsi="宋体" w:cs="宋体"/>
          <w:color w:val="auto"/>
          <w:kern w:val="0"/>
          <w:sz w:val="24"/>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tabs>
          <w:tab w:val="left" w:pos="2790"/>
          <w:tab w:val="center" w:pos="3835"/>
          <w:tab w:val="left" w:pos="4230"/>
          <w:tab w:val="left" w:pos="4695"/>
        </w:tabs>
        <w:autoSpaceDE w:val="0"/>
        <w:autoSpaceDN w:val="0"/>
        <w:spacing w:line="360" w:lineRule="auto"/>
        <w:ind w:right="1400"/>
        <w:jc w:val="center"/>
        <w:outlineLvl w:val="1"/>
        <w:rPr>
          <w:rFonts w:hint="eastAsia" w:ascii="宋体" w:hAnsi="宋体" w:cs="宋体"/>
          <w:b/>
          <w:bCs/>
          <w:color w:val="auto"/>
          <w:kern w:val="0"/>
          <w:sz w:val="32"/>
          <w:szCs w:val="32"/>
          <w:highlight w:val="none"/>
        </w:rPr>
      </w:pPr>
    </w:p>
    <w:p>
      <w:pPr>
        <w:tabs>
          <w:tab w:val="left" w:pos="2790"/>
          <w:tab w:val="center" w:pos="3835"/>
          <w:tab w:val="left" w:pos="4230"/>
          <w:tab w:val="left" w:pos="4695"/>
        </w:tabs>
        <w:autoSpaceDE w:val="0"/>
        <w:autoSpaceDN w:val="0"/>
        <w:spacing w:line="360" w:lineRule="auto"/>
        <w:ind w:right="1400"/>
        <w:jc w:val="center"/>
        <w:outlineLvl w:val="1"/>
        <w:rPr>
          <w:rFonts w:hint="eastAsia" w:ascii="宋体" w:hAnsi="宋体" w:cs="宋体"/>
          <w:b/>
          <w:bCs/>
          <w:color w:val="auto"/>
          <w:kern w:val="0"/>
          <w:sz w:val="32"/>
          <w:szCs w:val="32"/>
          <w:highlight w:val="none"/>
        </w:rPr>
      </w:pPr>
    </w:p>
    <w:p>
      <w:pPr>
        <w:tabs>
          <w:tab w:val="left" w:pos="2790"/>
          <w:tab w:val="center" w:pos="3835"/>
          <w:tab w:val="left" w:pos="4230"/>
          <w:tab w:val="left" w:pos="4695"/>
        </w:tabs>
        <w:autoSpaceDE w:val="0"/>
        <w:autoSpaceDN w:val="0"/>
        <w:spacing w:line="360" w:lineRule="auto"/>
        <w:ind w:right="1400"/>
        <w:jc w:val="center"/>
        <w:outlineLvl w:val="1"/>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rPr>
        <w:t>十一</w:t>
      </w:r>
      <w:r>
        <w:rPr>
          <w:rFonts w:hint="eastAsia" w:ascii="宋体" w:hAnsi="宋体" w:cs="宋体"/>
          <w:b/>
          <w:bCs/>
          <w:color w:val="auto"/>
          <w:kern w:val="0"/>
          <w:sz w:val="32"/>
          <w:szCs w:val="32"/>
          <w:highlight w:val="none"/>
          <w:lang w:val="zh-CN"/>
        </w:rPr>
        <w:t>、组织实施方案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（由供应商根据采购需求及招标文件要求编制；未要求的，无需提供。）</w:t>
      </w:r>
    </w:p>
    <w:p>
      <w:pPr>
        <w:pStyle w:val="80"/>
        <w:rPr>
          <w:rFonts w:ascii="宋体" w:hAnsi="宋体" w:eastAsia="宋体" w:cs="宋体"/>
          <w:color w:val="auto"/>
          <w:highlight w:val="none"/>
        </w:rPr>
      </w:pPr>
    </w:p>
    <w:p>
      <w:pPr>
        <w:tabs>
          <w:tab w:val="left" w:pos="2790"/>
          <w:tab w:val="left" w:pos="4230"/>
        </w:tabs>
        <w:autoSpaceDE w:val="0"/>
        <w:autoSpaceDN w:val="0"/>
        <w:spacing w:line="360" w:lineRule="auto"/>
        <w:ind w:right="1400"/>
        <w:outlineLvl w:val="1"/>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 xml:space="preserve">  工作日</w:t>
            </w:r>
          </w:p>
          <w:p>
            <w:pPr>
              <w:autoSpaceDE w:val="0"/>
              <w:autoSpaceDN w:val="0"/>
              <w:rPr>
                <w:rFonts w:ascii="宋体" w:hAnsi="宋体" w:cs="宋体"/>
                <w:color w:val="auto"/>
                <w:sz w:val="24"/>
                <w:highlight w:val="none"/>
              </w:rPr>
            </w:pPr>
            <w:r>
              <w:rPr>
                <w:rFonts w:hint="eastAsia" w:ascii="宋体" w:hAnsi="宋体" w:cs="宋体"/>
                <w:color w:val="auto"/>
                <w:sz w:val="24"/>
                <w:highlight w:val="none"/>
              </w:rPr>
              <w:t>内容</w:t>
            </w:r>
          </w:p>
        </w:tc>
        <w:tc>
          <w:tcPr>
            <w:tcW w:w="552"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w:t>
            </w:r>
          </w:p>
        </w:tc>
        <w:tc>
          <w:tcPr>
            <w:tcW w:w="552"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2</w:t>
            </w:r>
          </w:p>
        </w:tc>
        <w:tc>
          <w:tcPr>
            <w:tcW w:w="552"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3</w:t>
            </w:r>
          </w:p>
        </w:tc>
        <w:tc>
          <w:tcPr>
            <w:tcW w:w="552"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4</w:t>
            </w:r>
          </w:p>
        </w:tc>
        <w:tc>
          <w:tcPr>
            <w:tcW w:w="552"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5</w:t>
            </w:r>
          </w:p>
        </w:tc>
        <w:tc>
          <w:tcPr>
            <w:tcW w:w="552"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6</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7</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8</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9</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10</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11</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12</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13</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14</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15</w:t>
            </w:r>
          </w:p>
        </w:tc>
        <w:tc>
          <w:tcPr>
            <w:tcW w:w="553" w:type="dxa"/>
            <w:vAlign w:val="center"/>
          </w:tcPr>
          <w:p>
            <w:pPr>
              <w:autoSpaceDE w:val="0"/>
              <w:autoSpaceDN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pPr>
              <w:keepNext/>
              <w:keepLines/>
              <w:tabs>
                <w:tab w:val="left" w:pos="900"/>
              </w:tabs>
              <w:spacing w:line="360" w:lineRule="auto"/>
              <w:ind w:hanging="720"/>
              <w:outlineLvl w:val="2"/>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注：供应商可按上述时间表的格式自行编制切合实际的具体时间表。</w:t>
      </w: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十二、售后服务方案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（由供应商根据采购需求及招标文件要求编制；未要求的，无需提供。）</w:t>
      </w:r>
    </w:p>
    <w:p>
      <w:pPr>
        <w:pStyle w:val="80"/>
        <w:rPr>
          <w:rFonts w:ascii="宋体" w:hAnsi="宋体" w:eastAsia="宋体" w:cs="宋体"/>
          <w:color w:val="auto"/>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0"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620"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2175"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vAlign w:val="center"/>
          </w:tcPr>
          <w:p>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6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62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45"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75"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6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62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45"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75"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6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62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45"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75"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r>
    </w:tbl>
    <w:p>
      <w:pPr>
        <w:autoSpaceDE w:val="0"/>
        <w:autoSpaceDN w:val="0"/>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pPr>
        <w:pStyle w:val="80"/>
        <w:rPr>
          <w:rFonts w:ascii="宋体" w:hAnsi="宋体" w:eastAsia="宋体" w:cs="宋体"/>
          <w:color w:val="auto"/>
          <w:highlight w:val="none"/>
        </w:rPr>
      </w:pPr>
    </w:p>
    <w:p>
      <w:pPr>
        <w:autoSpaceDE w:val="0"/>
        <w:autoSpaceDN w:val="0"/>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63"/>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pPr>
              <w:keepNext/>
              <w:keepLines/>
              <w:tabs>
                <w:tab w:val="left" w:pos="432"/>
              </w:tabs>
              <w:autoSpaceDE w:val="0"/>
              <w:autoSpaceDN w:val="0"/>
              <w:spacing w:line="240" w:lineRule="exact"/>
              <w:ind w:left="432" w:hanging="432"/>
              <w:jc w:val="center"/>
              <w:outlineLvl w:val="0"/>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r>
      <w:tr>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pPr>
              <w:keepNext/>
              <w:keepLines/>
              <w:tabs>
                <w:tab w:val="left" w:pos="432"/>
              </w:tabs>
              <w:autoSpaceDE w:val="0"/>
              <w:autoSpaceDN w:val="0"/>
              <w:spacing w:line="240" w:lineRule="exact"/>
              <w:ind w:left="432" w:hanging="432"/>
              <w:jc w:val="center"/>
              <w:outlineLvl w:val="0"/>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r>
      <w:tr>
        <w:tblPrEx>
          <w:tblCellMar>
            <w:top w:w="0" w:type="dxa"/>
            <w:left w:w="108" w:type="dxa"/>
            <w:bottom w:w="0" w:type="dxa"/>
            <w:right w:w="108" w:type="dxa"/>
          </w:tblCellMar>
        </w:tblPrEx>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pPr>
              <w:keepNext/>
              <w:keepLines/>
              <w:tabs>
                <w:tab w:val="left" w:pos="432"/>
              </w:tabs>
              <w:autoSpaceDE w:val="0"/>
              <w:autoSpaceDN w:val="0"/>
              <w:spacing w:line="240" w:lineRule="exact"/>
              <w:ind w:left="432" w:hanging="432"/>
              <w:jc w:val="center"/>
              <w:outlineLvl w:val="0"/>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r>
    </w:tbl>
    <w:p>
      <w:pPr>
        <w:spacing w:line="360" w:lineRule="auto"/>
        <w:ind w:firstLine="480" w:firstLineChars="200"/>
        <w:rPr>
          <w:rFonts w:ascii="宋体" w:hAnsi="宋体" w:cs="宋体"/>
          <w:color w:val="auto"/>
          <w:sz w:val="24"/>
          <w:szCs w:val="20"/>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rPr>
          <w:rFonts w:ascii="宋体" w:hAnsi="宋体" w:cs="宋体"/>
          <w:b/>
          <w:color w:val="auto"/>
          <w:sz w:val="30"/>
          <w:szCs w:val="30"/>
          <w:highlight w:val="none"/>
        </w:rPr>
      </w:pPr>
    </w:p>
    <w:p>
      <w:pPr>
        <w:spacing w:line="360" w:lineRule="auto"/>
        <w:rPr>
          <w:rFonts w:ascii="宋体" w:hAnsi="宋体" w:cs="宋体"/>
          <w:b/>
          <w:color w:val="auto"/>
          <w:sz w:val="30"/>
          <w:szCs w:val="30"/>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十三、供应商售后服务能力证明材料</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w:t>
      </w:r>
    </w:p>
    <w:p>
      <w:pPr>
        <w:spacing w:line="336" w:lineRule="auto"/>
        <w:ind w:firstLine="3600" w:firstLineChars="1500"/>
        <w:rPr>
          <w:rFonts w:ascii="宋体" w:hAnsi="宋体" w:cs="宋体"/>
          <w:color w:val="auto"/>
          <w:sz w:val="24"/>
          <w:highlight w:val="none"/>
        </w:rPr>
      </w:pPr>
    </w:p>
    <w:p>
      <w:pPr>
        <w:pStyle w:val="80"/>
        <w:rPr>
          <w:rFonts w:ascii="宋体" w:hAnsi="宋体" w:eastAsia="宋体" w:cs="宋体"/>
          <w:color w:val="auto"/>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pageBreakBefore/>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十四、项目小组人员名单</w:t>
      </w:r>
    </w:p>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（由供应商根据采购需求及招标文件要求编制；未要求的，无需提供。）</w:t>
      </w:r>
    </w:p>
    <w:p>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63"/>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截止投标时间近3年业绩及承担的主要工作情况，曾担任项目经理的项目应列明细</w:t>
            </w:r>
          </w:p>
        </w:tc>
      </w:tr>
      <w:tr>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pPr>
        <w:pStyle w:val="80"/>
        <w:rPr>
          <w:rFonts w:ascii="宋体" w:hAnsi="宋体" w:eastAsia="宋体" w:cs="宋体"/>
          <w:color w:val="auto"/>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学历</w:t>
            </w:r>
          </w:p>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专业</w:t>
            </w:r>
          </w:p>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职称</w:t>
            </w:r>
          </w:p>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jc w:val="center"/>
              <w:textAlignment w:val="center"/>
              <w:outlineLvl w:val="0"/>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jc w:val="center"/>
              <w:textAlignment w:val="center"/>
              <w:outlineLvl w:val="0"/>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r>
    </w:tbl>
    <w:p>
      <w:pPr>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注：供应商可按上述的格式自行编制，须随表提交相应的证书复印件并注明所在投标技术文件页码。</w:t>
      </w:r>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附表C：本项目的项目负责人和小组人员社会保障资金记录情况表</w:t>
      </w:r>
      <w:r>
        <w:rPr>
          <w:rFonts w:hint="eastAsia" w:ascii="宋体" w:hAnsi="宋体" w:cs="宋体"/>
          <w:color w:val="auto"/>
          <w:sz w:val="24"/>
          <w:highlight w:val="none"/>
        </w:rPr>
        <w:t>（2025年0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月- 2025年0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月）的社保机构盖公章）</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供应商名称（电子印章）：</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napToGrid w:val="0"/>
        <w:spacing w:line="360" w:lineRule="auto"/>
        <w:ind w:right="960"/>
        <w:jc w:val="center"/>
        <w:rPr>
          <w:rFonts w:hint="eastAsia" w:ascii="宋体" w:hAnsi="宋体" w:cs="宋体"/>
          <w:b/>
          <w:bCs/>
          <w:color w:val="auto"/>
          <w:sz w:val="32"/>
          <w:szCs w:val="32"/>
          <w:highlight w:val="none"/>
        </w:rPr>
      </w:pPr>
    </w:p>
    <w:p>
      <w:pPr>
        <w:snapToGrid w:val="0"/>
        <w:spacing w:line="360" w:lineRule="auto"/>
        <w:ind w:right="960"/>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十五、</w:t>
      </w:r>
      <w:r>
        <w:rPr>
          <w:rFonts w:hint="eastAsia" w:ascii="宋体" w:hAnsi="宋体" w:cs="宋体"/>
          <w:b/>
          <w:color w:val="auto"/>
          <w:kern w:val="0"/>
          <w:sz w:val="32"/>
          <w:szCs w:val="32"/>
          <w:highlight w:val="none"/>
          <w:lang w:val="zh-CN"/>
        </w:rPr>
        <w:t>优惠条件及特殊承诺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pPr>
        <w:spacing w:line="360" w:lineRule="auto"/>
        <w:rPr>
          <w:rFonts w:ascii="宋体" w:hAnsi="宋体" w:cs="宋体"/>
          <w:color w:val="auto"/>
          <w:sz w:val="18"/>
          <w:szCs w:val="18"/>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pStyle w:val="80"/>
        <w:rPr>
          <w:rFonts w:ascii="宋体" w:hAnsi="宋体" w:eastAsia="宋体" w:cs="宋体"/>
          <w:color w:val="auto"/>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十六、</w:t>
      </w:r>
      <w:r>
        <w:rPr>
          <w:rFonts w:hint="eastAsia" w:ascii="宋体" w:hAnsi="宋体" w:cs="宋体"/>
          <w:b/>
          <w:color w:val="auto"/>
          <w:kern w:val="0"/>
          <w:sz w:val="32"/>
          <w:szCs w:val="32"/>
          <w:highlight w:val="none"/>
          <w:lang w:val="zh-CN"/>
        </w:rPr>
        <w:t>备品备件及供选择的配套零部件清单</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pStyle w:val="80"/>
        <w:rPr>
          <w:rFonts w:ascii="宋体" w:hAnsi="宋体" w:eastAsia="宋体" w:cs="宋体"/>
          <w:color w:val="auto"/>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十七、</w:t>
      </w:r>
      <w:r>
        <w:rPr>
          <w:rFonts w:hint="eastAsia" w:ascii="宋体" w:hAnsi="宋体" w:cs="宋体"/>
          <w:b/>
          <w:color w:val="auto"/>
          <w:kern w:val="0"/>
          <w:sz w:val="32"/>
          <w:szCs w:val="32"/>
          <w:highlight w:val="none"/>
          <w:lang w:val="zh-CN"/>
        </w:rPr>
        <w:t>培训计划</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（由供应商根据采购需求自行编制；未要求的，无需提供。）</w:t>
      </w:r>
    </w:p>
    <w:p>
      <w:pPr>
        <w:keepNext/>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63"/>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pPr>
              <w:tabs>
                <w:tab w:val="center" w:pos="595"/>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1305"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276"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color w:val="auto"/>
                <w:sz w:val="24"/>
                <w:highlight w:val="none"/>
              </w:rPr>
            </w:pPr>
          </w:p>
        </w:tc>
        <w:tc>
          <w:tcPr>
            <w:tcW w:w="1514" w:type="dxa"/>
            <w:tcBorders>
              <w:top w:val="single" w:color="auto" w:sz="6" w:space="0"/>
              <w:left w:val="single" w:color="auto" w:sz="6" w:space="0"/>
              <w:bottom w:val="nil"/>
              <w:right w:val="single" w:color="auto" w:sz="6" w:space="0"/>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color w:val="auto"/>
                <w:sz w:val="24"/>
                <w:highlight w:val="none"/>
              </w:rPr>
            </w:pPr>
          </w:p>
        </w:tc>
        <w:tc>
          <w:tcPr>
            <w:tcW w:w="1305" w:type="dxa"/>
            <w:tcBorders>
              <w:top w:val="single" w:color="auto" w:sz="6" w:space="0"/>
              <w:left w:val="single" w:color="auto" w:sz="6" w:space="0"/>
              <w:bottom w:val="nil"/>
              <w:right w:val="nil"/>
            </w:tcBorders>
          </w:tcPr>
          <w:p>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color w:val="auto"/>
                <w:sz w:val="24"/>
                <w:highlight w:val="none"/>
              </w:rPr>
            </w:pPr>
          </w:p>
        </w:tc>
        <w:tc>
          <w:tcPr>
            <w:tcW w:w="1276" w:type="dxa"/>
            <w:tcBorders>
              <w:top w:val="single" w:color="auto" w:sz="6" w:space="0"/>
              <w:left w:val="single" w:color="auto" w:sz="6" w:space="0"/>
              <w:bottom w:val="nil"/>
              <w:right w:val="nil"/>
            </w:tcBorders>
          </w:tcPr>
          <w:p>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color w:val="auto"/>
                <w:sz w:val="24"/>
                <w:highlight w:val="none"/>
              </w:rPr>
            </w:pPr>
          </w:p>
        </w:tc>
        <w:tc>
          <w:tcPr>
            <w:tcW w:w="1476" w:type="dxa"/>
            <w:tcBorders>
              <w:top w:val="single" w:color="auto" w:sz="6" w:space="0"/>
              <w:left w:val="single" w:color="auto" w:sz="6" w:space="0"/>
              <w:bottom w:val="nil"/>
              <w:right w:val="single" w:color="auto" w:sz="6" w:space="0"/>
            </w:tcBorders>
          </w:tcPr>
          <w:p>
            <w:pPr>
              <w:keepNext/>
              <w:keepLines/>
              <w:tabs>
                <w:tab w:val="left" w:pos="432"/>
              </w:tabs>
              <w:suppressAutoHyphens/>
              <w:autoSpaceDE w:val="0"/>
              <w:autoSpaceDN w:val="0"/>
              <w:spacing w:line="360" w:lineRule="auto"/>
              <w:ind w:hanging="432"/>
              <w:outlineLvl w:val="0"/>
              <w:rPr>
                <w:rFonts w:ascii="宋体" w:hAnsi="宋体" w:cs="宋体"/>
                <w:color w:val="auto"/>
                <w:sz w:val="24"/>
                <w:highlight w:val="none"/>
              </w:rPr>
            </w:pPr>
          </w:p>
        </w:tc>
      </w:tr>
      <w:tr>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514" w:type="dxa"/>
            <w:tcBorders>
              <w:top w:val="single" w:color="auto" w:sz="6" w:space="0"/>
              <w:left w:val="single" w:color="auto" w:sz="6" w:space="0"/>
              <w:bottom w:val="single" w:color="auto" w:sz="6" w:space="0"/>
              <w:right w:val="single" w:color="auto" w:sz="6" w:space="0"/>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color w:val="auto"/>
                <w:sz w:val="24"/>
                <w:highlight w:val="none"/>
              </w:rPr>
            </w:pPr>
          </w:p>
        </w:tc>
        <w:tc>
          <w:tcPr>
            <w:tcW w:w="1305" w:type="dxa"/>
            <w:tcBorders>
              <w:top w:val="single" w:color="auto" w:sz="6" w:space="0"/>
              <w:left w:val="single" w:color="auto" w:sz="6" w:space="0"/>
              <w:bottom w:val="single" w:color="auto" w:sz="6" w:space="0"/>
              <w:right w:val="single" w:color="auto" w:sz="6" w:space="0"/>
            </w:tcBorders>
          </w:tcPr>
          <w:p>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keepLines/>
              <w:tabs>
                <w:tab w:val="left" w:pos="7"/>
                <w:tab w:val="left" w:pos="432"/>
              </w:tabs>
              <w:suppressAutoHyphens/>
              <w:autoSpaceDE w:val="0"/>
              <w:autoSpaceDN w:val="0"/>
              <w:spacing w:line="360" w:lineRule="auto"/>
              <w:ind w:hanging="432"/>
              <w:outlineLvl w:val="0"/>
              <w:rPr>
                <w:rFonts w:ascii="宋体" w:hAnsi="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tcPr>
          <w:p>
            <w:pPr>
              <w:keepNext/>
              <w:keepLines/>
              <w:tabs>
                <w:tab w:val="left" w:pos="432"/>
              </w:tabs>
              <w:suppressAutoHyphens/>
              <w:autoSpaceDE w:val="0"/>
              <w:autoSpaceDN w:val="0"/>
              <w:spacing w:line="360" w:lineRule="auto"/>
              <w:ind w:hanging="432"/>
              <w:outlineLvl w:val="0"/>
              <w:rPr>
                <w:rFonts w:ascii="宋体" w:hAnsi="宋体" w:cs="宋体"/>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pageBreakBefore/>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十八、验收方案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pPr>
        <w:spacing w:line="360" w:lineRule="auto"/>
        <w:jc w:val="center"/>
        <w:rPr>
          <w:rFonts w:ascii="宋体" w:hAnsi="宋体" w:cs="宋体"/>
          <w:color w:val="auto"/>
          <w:sz w:val="24"/>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jc w:val="center"/>
        <w:rPr>
          <w:rFonts w:ascii="宋体" w:hAnsi="宋体" w:cs="宋体"/>
          <w:b/>
          <w:bCs/>
          <w:color w:val="auto"/>
          <w:sz w:val="30"/>
          <w:szCs w:val="30"/>
          <w:highlight w:val="none"/>
        </w:rPr>
      </w:pPr>
    </w:p>
    <w:p>
      <w:pPr>
        <w:spacing w:line="360" w:lineRule="auto"/>
        <w:jc w:val="center"/>
        <w:rPr>
          <w:rFonts w:ascii="宋体" w:hAnsi="宋体" w:cs="宋体"/>
          <w:b/>
          <w:bCs/>
          <w:color w:val="auto"/>
          <w:sz w:val="24"/>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十九、认为需要的</w:t>
      </w:r>
      <w:r>
        <w:rPr>
          <w:rFonts w:hint="eastAsia" w:ascii="宋体" w:hAnsi="宋体" w:cs="宋体"/>
          <w:b/>
          <w:color w:val="auto"/>
          <w:kern w:val="0"/>
          <w:sz w:val="32"/>
          <w:szCs w:val="32"/>
          <w:highlight w:val="none"/>
          <w:lang w:val="zh-CN"/>
        </w:rPr>
        <w:t>其他商务技术文件或说明</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pPr>
        <w:spacing w:line="360" w:lineRule="auto"/>
        <w:rPr>
          <w:rFonts w:ascii="宋体" w:hAnsi="宋体" w:cs="宋体"/>
          <w:color w:val="auto"/>
          <w:sz w:val="24"/>
          <w:highlight w:val="none"/>
        </w:rPr>
      </w:pPr>
    </w:p>
    <w:p>
      <w:pPr>
        <w:pStyle w:val="80"/>
        <w:rPr>
          <w:rFonts w:ascii="宋体" w:hAnsi="宋体" w:eastAsia="宋体" w:cs="宋体"/>
          <w:color w:val="auto"/>
          <w:highlight w:val="none"/>
        </w:rPr>
      </w:pPr>
    </w:p>
    <w:p>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pStyle w:val="81"/>
        <w:rPr>
          <w:rFonts w:eastAsia="宋体" w:cs="宋体"/>
          <w:color w:val="auto"/>
          <w:highlight w:val="none"/>
        </w:rPr>
        <w:sectPr>
          <w:headerReference r:id="rId12" w:type="default"/>
          <w:footerReference r:id="rId13" w:type="default"/>
          <w:pgSz w:w="11906" w:h="16838"/>
          <w:pgMar w:top="1134" w:right="1134" w:bottom="1134" w:left="1134" w:header="850" w:footer="680" w:gutter="0"/>
          <w:cols w:space="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32"/>
          <w:szCs w:val="32"/>
          <w:highlight w:val="none"/>
        </w:rPr>
        <w:sectPr>
          <w:footerReference r:id="rId15" w:type="first"/>
          <w:footerReference r:id="rId14" w:type="default"/>
          <w:pgSz w:w="11906" w:h="16838"/>
          <w:pgMar w:top="1134" w:right="1134" w:bottom="1134" w:left="1134" w:header="851" w:footer="992" w:gutter="0"/>
          <w:cols w:space="0" w:num="1"/>
          <w:titlePg/>
          <w:docGrid w:linePitch="312" w:charSpace="0"/>
        </w:sectPr>
      </w:pPr>
      <w:r>
        <w:rPr>
          <w:rFonts w:hint="eastAsia" w:ascii="宋体" w:hAnsi="宋体" w:cs="宋体"/>
          <w:color w:val="auto"/>
          <w:sz w:val="24"/>
          <w:highlight w:val="none"/>
        </w:rPr>
        <w:t>（1）开标一览表（报价表）………………………………………………………（页码）</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w:t>
      </w:r>
      <w:r>
        <w:rPr>
          <w:rFonts w:hint="eastAsia" w:ascii="宋体" w:hAnsi="宋体" w:cs="宋体"/>
          <w:color w:val="auto"/>
          <w:kern w:val="0"/>
          <w:sz w:val="24"/>
          <w:highlight w:val="none"/>
        </w:rPr>
        <w:t>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zh-CN"/>
        </w:rPr>
        <w:t>供应商</w:t>
      </w:r>
      <w:r>
        <w:rPr>
          <w:rFonts w:hint="eastAsia" w:ascii="宋体" w:hAnsi="宋体" w:cs="宋体"/>
          <w:color w:val="auto"/>
          <w:sz w:val="24"/>
          <w:highlight w:val="none"/>
        </w:rPr>
        <w:t>全称</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rPr>
        <w:t>货物适用</w:t>
      </w:r>
      <w:r>
        <w:rPr>
          <w:rFonts w:hint="eastAsia" w:ascii="宋体" w:hAnsi="宋体" w:cs="宋体"/>
          <w:b/>
          <w:color w:val="auto"/>
          <w:kern w:val="0"/>
          <w:sz w:val="24"/>
          <w:highlight w:val="none"/>
          <w:lang w:val="zh-CN"/>
        </w:rPr>
        <w:t>】</w:t>
      </w:r>
    </w:p>
    <w:tbl>
      <w:tblPr>
        <w:tblStyle w:val="63"/>
        <w:tblpPr w:leftFromText="180" w:rightFromText="180" w:vertAnchor="text" w:horzAnchor="page" w:tblpX="1598" w:tblpY="214"/>
        <w:tblOverlap w:val="never"/>
        <w:tblW w:w="131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90"/>
        <w:gridCol w:w="1102"/>
        <w:gridCol w:w="1323"/>
        <w:gridCol w:w="1457"/>
        <w:gridCol w:w="1843"/>
        <w:gridCol w:w="1340"/>
        <w:gridCol w:w="35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675"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标段</w:t>
            </w:r>
          </w:p>
        </w:tc>
        <w:tc>
          <w:tcPr>
            <w:tcW w:w="1790"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标段名称</w:t>
            </w:r>
          </w:p>
        </w:tc>
        <w:tc>
          <w:tcPr>
            <w:tcW w:w="1102"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货物名称</w:t>
            </w:r>
          </w:p>
        </w:tc>
        <w:tc>
          <w:tcPr>
            <w:tcW w:w="1323"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数量</w:t>
            </w:r>
          </w:p>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（单位：套）</w:t>
            </w:r>
          </w:p>
        </w:tc>
        <w:tc>
          <w:tcPr>
            <w:tcW w:w="1457" w:type="dxa"/>
            <w:noWrap/>
            <w:vAlign w:val="center"/>
          </w:tcPr>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品牌、型号</w:t>
            </w:r>
          </w:p>
        </w:tc>
        <w:tc>
          <w:tcPr>
            <w:tcW w:w="1843"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单价</w:t>
            </w:r>
          </w:p>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（单位：元/套）</w:t>
            </w:r>
          </w:p>
        </w:tc>
        <w:tc>
          <w:tcPr>
            <w:tcW w:w="1340"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总价</w:t>
            </w:r>
          </w:p>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（单位：元）</w:t>
            </w:r>
          </w:p>
        </w:tc>
        <w:tc>
          <w:tcPr>
            <w:tcW w:w="3580"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675"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790" w:type="dxa"/>
            <w:noWrap/>
            <w:vAlign w:val="center"/>
          </w:tcPr>
          <w:p>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s="宋体"/>
                <w:color w:val="auto"/>
                <w:sz w:val="18"/>
                <w:szCs w:val="18"/>
                <w:highlight w:val="none"/>
                <w:u w:val="none"/>
                <w:lang w:eastAsia="zh-CN"/>
              </w:rPr>
              <w:t>绍兴市水务产业有限公司存储空间扩容设备采购项目</w:t>
            </w:r>
            <w:r>
              <w:rPr>
                <w:rFonts w:hint="eastAsia" w:ascii="宋体" w:hAnsi="宋体" w:cs="宋体"/>
                <w:color w:val="auto"/>
                <w:kern w:val="0"/>
                <w:sz w:val="18"/>
                <w:szCs w:val="18"/>
                <w:highlight w:val="none"/>
                <w:u w:val="none"/>
                <w:lang w:eastAsia="zh-CN"/>
              </w:rPr>
              <w:t>（</w:t>
            </w:r>
            <w:r>
              <w:rPr>
                <w:rFonts w:hint="eastAsia" w:ascii="宋体" w:hAnsi="宋体" w:cs="宋体"/>
                <w:color w:val="auto"/>
                <w:kern w:val="0"/>
                <w:sz w:val="18"/>
                <w:szCs w:val="18"/>
                <w:highlight w:val="none"/>
                <w:u w:val="none"/>
                <w:lang w:val="en-US" w:eastAsia="zh-CN"/>
              </w:rPr>
              <w:t>线上重招</w:t>
            </w:r>
            <w:r>
              <w:rPr>
                <w:rFonts w:hint="eastAsia" w:ascii="宋体" w:hAnsi="宋体" w:cs="宋体"/>
                <w:color w:val="auto"/>
                <w:kern w:val="0"/>
                <w:sz w:val="18"/>
                <w:szCs w:val="18"/>
                <w:highlight w:val="none"/>
                <w:u w:val="none"/>
                <w:lang w:eastAsia="zh-CN"/>
              </w:rPr>
              <w:t>）</w:t>
            </w:r>
          </w:p>
        </w:tc>
        <w:tc>
          <w:tcPr>
            <w:tcW w:w="1102" w:type="dxa"/>
            <w:noWrap/>
            <w:vAlign w:val="center"/>
          </w:tcPr>
          <w:p>
            <w:pPr>
              <w:snapToGrid w:val="0"/>
              <w:spacing w:line="400" w:lineRule="exact"/>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存储扩展柜</w:t>
            </w:r>
          </w:p>
        </w:tc>
        <w:tc>
          <w:tcPr>
            <w:tcW w:w="1323" w:type="dxa"/>
            <w:noWrap/>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1457" w:type="dxa"/>
            <w:noWrap/>
            <w:vAlign w:val="center"/>
          </w:tcPr>
          <w:p>
            <w:pPr>
              <w:snapToGrid w:val="0"/>
              <w:spacing w:line="400" w:lineRule="exact"/>
              <w:rPr>
                <w:rFonts w:hint="eastAsia" w:ascii="宋体" w:hAnsi="宋体"/>
                <w:color w:val="auto"/>
                <w:sz w:val="21"/>
                <w:szCs w:val="21"/>
                <w:highlight w:val="none"/>
              </w:rPr>
            </w:pPr>
          </w:p>
        </w:tc>
        <w:tc>
          <w:tcPr>
            <w:tcW w:w="1843" w:type="dxa"/>
            <w:noWrap/>
            <w:vAlign w:val="center"/>
          </w:tcPr>
          <w:p>
            <w:pPr>
              <w:snapToGrid w:val="0"/>
              <w:spacing w:line="400" w:lineRule="exact"/>
              <w:rPr>
                <w:rFonts w:hint="eastAsia" w:ascii="宋体" w:hAnsi="宋体"/>
                <w:color w:val="auto"/>
                <w:sz w:val="21"/>
                <w:szCs w:val="21"/>
                <w:highlight w:val="none"/>
              </w:rPr>
            </w:pPr>
          </w:p>
        </w:tc>
        <w:tc>
          <w:tcPr>
            <w:tcW w:w="1340" w:type="dxa"/>
            <w:noWrap/>
            <w:vAlign w:val="center"/>
          </w:tcPr>
          <w:p>
            <w:pPr>
              <w:snapToGrid w:val="0"/>
              <w:spacing w:line="400" w:lineRule="exact"/>
              <w:rPr>
                <w:rFonts w:hint="eastAsia" w:ascii="宋体" w:hAnsi="宋体"/>
                <w:color w:val="auto"/>
                <w:sz w:val="21"/>
                <w:szCs w:val="21"/>
                <w:highlight w:val="none"/>
              </w:rPr>
            </w:pPr>
          </w:p>
        </w:tc>
        <w:tc>
          <w:tcPr>
            <w:tcW w:w="3580" w:type="dxa"/>
            <w:noWrap/>
            <w:vAlign w:val="center"/>
          </w:tcPr>
          <w:p>
            <w:pPr>
              <w:snapToGrid w:val="0"/>
              <w:spacing w:line="400" w:lineRule="exact"/>
              <w:rPr>
                <w:rFonts w:hint="eastAsia" w:ascii="宋体"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3567" w:type="dxa"/>
            <w:gridSpan w:val="3"/>
            <w:vMerge w:val="restart"/>
            <w:vAlign w:val="center"/>
          </w:tcPr>
          <w:p>
            <w:pPr>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投标报价（元）</w:t>
            </w:r>
          </w:p>
        </w:tc>
        <w:tc>
          <w:tcPr>
            <w:tcW w:w="9543" w:type="dxa"/>
            <w:gridSpan w:val="5"/>
            <w:vAlign w:val="center"/>
          </w:tcPr>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567" w:type="dxa"/>
            <w:gridSpan w:val="3"/>
            <w:vMerge w:val="continue"/>
            <w:vAlign w:val="center"/>
          </w:tcPr>
          <w:p>
            <w:pPr>
              <w:snapToGrid w:val="0"/>
              <w:spacing w:line="400" w:lineRule="exact"/>
              <w:rPr>
                <w:rFonts w:hint="eastAsia" w:ascii="宋体" w:hAnsi="宋体"/>
                <w:color w:val="auto"/>
                <w:sz w:val="21"/>
                <w:szCs w:val="21"/>
                <w:highlight w:val="none"/>
              </w:rPr>
            </w:pPr>
          </w:p>
        </w:tc>
        <w:tc>
          <w:tcPr>
            <w:tcW w:w="9543" w:type="dxa"/>
            <w:gridSpan w:val="5"/>
            <w:vAlign w:val="center"/>
          </w:tcPr>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大写：</w:t>
            </w:r>
          </w:p>
        </w:tc>
      </w:tr>
    </w:tbl>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p>
    <w:p>
      <w:pPr>
        <w:snapToGrid w:val="0"/>
        <w:spacing w:line="360" w:lineRule="auto"/>
        <w:ind w:left="480" w:firstLine="241" w:firstLineChars="100"/>
        <w:rPr>
          <w:rFonts w:ascii="宋体" w:hAnsi="宋体" w:cs="宋体"/>
          <w:b/>
          <w:color w:val="auto"/>
          <w:kern w:val="0"/>
          <w:sz w:val="24"/>
          <w:highlight w:val="none"/>
          <w:lang w:val="zh-CN"/>
        </w:rPr>
      </w:pPr>
    </w:p>
    <w:p>
      <w:pPr>
        <w:snapToGrid w:val="0"/>
        <w:spacing w:line="360" w:lineRule="auto"/>
        <w:ind w:left="480" w:firstLine="241" w:firstLineChars="100"/>
        <w:rPr>
          <w:rFonts w:hint="eastAsia" w:ascii="宋体" w:hAnsi="宋体" w:cs="宋体"/>
          <w:b/>
          <w:color w:val="auto"/>
          <w:kern w:val="0"/>
          <w:sz w:val="24"/>
          <w:highlight w:val="none"/>
          <w:lang w:val="zh-CN"/>
        </w:rPr>
      </w:pPr>
    </w:p>
    <w:p>
      <w:pPr>
        <w:snapToGrid w:val="0"/>
        <w:spacing w:line="360" w:lineRule="auto"/>
        <w:ind w:left="480" w:firstLine="241" w:firstLineChars="1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960" w:firstLineChars="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336" w:lineRule="auto"/>
        <w:ind w:firstLine="480" w:firstLineChars="200"/>
        <w:rPr>
          <w:rFonts w:ascii="宋体" w:hAnsi="宋体" w:cs="宋体"/>
          <w:color w:val="auto"/>
          <w:sz w:val="24"/>
          <w:highlight w:val="none"/>
        </w:rPr>
      </w:pPr>
    </w:p>
    <w:p>
      <w:pPr>
        <w:spacing w:line="336" w:lineRule="auto"/>
        <w:ind w:firstLine="11760" w:firstLineChars="49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pPr>
        <w:snapToGrid w:val="0"/>
        <w:spacing w:line="360" w:lineRule="auto"/>
        <w:ind w:firstLine="480" w:firstLineChars="200"/>
        <w:jc w:val="right"/>
        <w:rPr>
          <w:rFonts w:ascii="宋体" w:hAnsi="宋体" w:cs="宋体"/>
          <w:color w:val="auto"/>
          <w:kern w:val="0"/>
          <w:sz w:val="24"/>
          <w:highlight w:val="none"/>
          <w:lang w:val="zh-CN"/>
        </w:rPr>
        <w:sectPr>
          <w:headerReference r:id="rId17" w:type="first"/>
          <w:headerReference r:id="rId16" w:type="default"/>
          <w:pgSz w:w="16838" w:h="11906" w:orient="landscape"/>
          <w:pgMar w:top="1134" w:right="1134" w:bottom="1134" w:left="1134" w:header="851" w:footer="992" w:gutter="0"/>
          <w:cols w:space="0" w:num="1"/>
          <w:titlePg/>
          <w:docGrid w:linePitch="312" w:charSpace="0"/>
        </w:sectPr>
      </w:pPr>
      <w:r>
        <w:rPr>
          <w:rFonts w:hint="eastAsia" w:ascii="宋体" w:hAnsi="宋体" w:cs="宋体"/>
          <w:color w:val="auto"/>
          <w:sz w:val="24"/>
          <w:highlight w:val="none"/>
        </w:rPr>
        <w:t xml:space="preserve">    日期：  年   月   日</w:t>
      </w: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9" w:name="_Toc465665161"/>
      <w:r>
        <w:rPr>
          <w:rFonts w:hint="eastAsia" w:ascii="宋体" w:hAnsi="宋体" w:cs="宋体"/>
          <w:color w:val="auto"/>
          <w:highlight w:val="none"/>
        </w:rPr>
        <w:t>附件</w:t>
      </w:r>
      <w:bookmarkEnd w:id="59"/>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rPr>
          <w:rFonts w:ascii="宋体" w:hAnsi="宋体" w:cs="宋体"/>
          <w:color w:val="auto"/>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rPr>
          <w:rFonts w:ascii="宋体" w:hAnsi="宋体" w:cs="宋体"/>
          <w:color w:val="auto"/>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rPr>
          <w:rFonts w:ascii="宋体" w:hAnsi="宋体" w:cs="宋体"/>
          <w:color w:val="auto"/>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rPr>
          <w:rFonts w:ascii="宋体" w:hAnsi="宋体" w:cs="宋体"/>
          <w:color w:val="auto"/>
          <w:highlight w:val="none"/>
        </w:rPr>
      </w:pPr>
    </w:p>
    <w:p>
      <w:pPr>
        <w:pStyle w:val="80"/>
        <w:rPr>
          <w:rFonts w:ascii="宋体" w:hAnsi="宋体" w:eastAsia="宋体" w:cs="宋体"/>
          <w:color w:val="auto"/>
          <w:highlight w:val="none"/>
        </w:rPr>
      </w:pPr>
    </w:p>
    <w:p>
      <w:pPr>
        <w:pStyle w:val="81"/>
        <w:rPr>
          <w:rFonts w:eastAsia="宋体" w:cs="宋体"/>
          <w:color w:val="auto"/>
          <w:highlight w:val="none"/>
        </w:rPr>
      </w:pPr>
    </w:p>
    <w:p>
      <w:pPr>
        <w:rPr>
          <w:rFonts w:ascii="宋体" w:hAnsi="宋体" w:cs="宋体"/>
          <w:color w:val="auto"/>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采购文件公示：</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公示期限：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采购结果公示：</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公示期限：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    年   月  日,向       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   年  月  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Cs/>
          <w:color w:val="auto"/>
          <w:sz w:val="24"/>
          <w:highlight w:val="none"/>
        </w:rPr>
      </w:pPr>
    </w:p>
    <w:sectPr>
      <w:headerReference r:id="rId19" w:type="first"/>
      <w:footerReference r:id="rId21" w:type="first"/>
      <w:headerReference r:id="rId18" w:type="default"/>
      <w:footerReference r:id="rId20" w:type="default"/>
      <w:pgSz w:w="11906"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fldChar w:fldCharType="begin"/>
                          </w:r>
                          <w:r>
                            <w:instrText xml:space="preserve"> PAGE   \* MERGEFORMAT </w:instrText>
                          </w:r>
                          <w:r>
                            <w:fldChar w:fldCharType="separate"/>
                          </w:r>
                          <w:r>
                            <w:rPr>
                              <w:lang w:val="zh-CN"/>
                            </w:rP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rPr>
                        <w:lang w:val="zh-CN"/>
                      </w:rPr>
                      <w:t>84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r>
                            <w:fldChar w:fldCharType="begin"/>
                          </w:r>
                          <w:r>
                            <w:instrText xml:space="preserve"> PAGE   \* MERGEFORMAT </w:instrText>
                          </w:r>
                          <w:r>
                            <w:fldChar w:fldCharType="separate"/>
                          </w:r>
                          <w:r>
                            <w:rPr>
                              <w:lang w:val="zh-CN"/>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rPr>
                        <w:lang w:val="zh-CN"/>
                      </w:rPr>
                      <w:t>64</w:t>
                    </w:r>
                    <w:r>
                      <w:fldChar w:fldCharType="end"/>
                    </w:r>
                  </w:p>
                </w:txbxContent>
              </v:textbox>
            </v:shape>
          </w:pict>
        </mc:Fallback>
      </mc:AlternateContent>
    </w:r>
  </w:p>
  <w:p>
    <w:pPr>
      <w:pStyle w:val="4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208"/>
                          </w:sdtPr>
                          <w:sdtContent>
                            <w:p>
                              <w:pPr>
                                <w:pStyle w:val="42"/>
                                <w:jc w:val="center"/>
                              </w:pPr>
                              <w:r>
                                <w:fldChar w:fldCharType="begin"/>
                              </w:r>
                              <w:r>
                                <w:instrText xml:space="preserve"> PAGE   \* MERGEFORMAT </w:instrText>
                              </w:r>
                              <w:r>
                                <w:fldChar w:fldCharType="separate"/>
                              </w:r>
                              <w:r>
                                <w:rPr>
                                  <w:lang w:val="zh-CN"/>
                                </w:rPr>
                                <w:t>22</w:t>
                              </w:r>
                              <w: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5208"/>
                    </w:sdtPr>
                    <w:sdtContent>
                      <w:p>
                        <w:pPr>
                          <w:pStyle w:val="42"/>
                          <w:jc w:val="center"/>
                        </w:pPr>
                        <w:r>
                          <w:fldChar w:fldCharType="begin"/>
                        </w:r>
                        <w:r>
                          <w:instrText xml:space="preserve"> PAGE   \* MERGEFORMAT </w:instrText>
                        </w:r>
                        <w:r>
                          <w:fldChar w:fldCharType="separate"/>
                        </w:r>
                        <w:r>
                          <w:rPr>
                            <w:lang w:val="zh-CN"/>
                          </w:rPr>
                          <w:t>22</w:t>
                        </w:r>
                        <w:r>
                          <w:fldChar w:fldCharType="end"/>
                        </w:r>
                      </w:p>
                    </w:sdtContent>
                  </w:sdt>
                  <w:p>
                    <w:pPr>
                      <w:pStyle w:val="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181"/>
                          </w:sdtPr>
                          <w:sdtContent>
                            <w:p>
                              <w:pPr>
                                <w:pStyle w:val="42"/>
                                <w:jc w:val="center"/>
                              </w:pPr>
                              <w:r>
                                <w:fldChar w:fldCharType="begin"/>
                              </w:r>
                              <w:r>
                                <w:instrText xml:space="preserve"> PAGE   \* MERGEFORMAT </w:instrText>
                              </w:r>
                              <w:r>
                                <w:fldChar w:fldCharType="separate"/>
                              </w:r>
                              <w:r>
                                <w:rPr>
                                  <w:lang w:val="zh-CN"/>
                                </w:rPr>
                                <w:t>60</w:t>
                              </w:r>
                              <w: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54181"/>
                    </w:sdtPr>
                    <w:sdtContent>
                      <w:p>
                        <w:pPr>
                          <w:pStyle w:val="42"/>
                          <w:jc w:val="center"/>
                        </w:pPr>
                        <w:r>
                          <w:fldChar w:fldCharType="begin"/>
                        </w:r>
                        <w:r>
                          <w:instrText xml:space="preserve"> PAGE   \* MERGEFORMAT </w:instrText>
                        </w:r>
                        <w:r>
                          <w:fldChar w:fldCharType="separate"/>
                        </w:r>
                        <w:r>
                          <w:rPr>
                            <w:lang w:val="zh-CN"/>
                          </w:rPr>
                          <w:t>60</w:t>
                        </w:r>
                        <w:r>
                          <w:fldChar w:fldCharType="end"/>
                        </w:r>
                      </w:p>
                    </w:sdtContent>
                  </w:sdt>
                  <w:p>
                    <w:pPr>
                      <w:pStyle w:val="7"/>
                    </w:pP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193"/>
                          </w:sdtPr>
                          <w:sdtContent>
                            <w:p>
                              <w:pPr>
                                <w:pStyle w:val="42"/>
                                <w:jc w:val="center"/>
                              </w:pPr>
                              <w:r>
                                <w:fldChar w:fldCharType="begin"/>
                              </w:r>
                              <w:r>
                                <w:instrText xml:space="preserve"> PAGE   \* MERGEFORMAT </w:instrText>
                              </w:r>
                              <w:r>
                                <w:fldChar w:fldCharType="separate"/>
                              </w:r>
                              <w:r>
                                <w:rPr>
                                  <w:lang w:val="zh-CN"/>
                                </w:rPr>
                                <w:t>63</w:t>
                              </w:r>
                              <w: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66193"/>
                    </w:sdtPr>
                    <w:sdtContent>
                      <w:p>
                        <w:pPr>
                          <w:pStyle w:val="42"/>
                          <w:jc w:val="center"/>
                        </w:pPr>
                        <w:r>
                          <w:fldChar w:fldCharType="begin"/>
                        </w:r>
                        <w:r>
                          <w:instrText xml:space="preserve"> PAGE   \* MERGEFORMAT </w:instrText>
                        </w:r>
                        <w:r>
                          <w:fldChar w:fldCharType="separate"/>
                        </w:r>
                        <w:r>
                          <w:rPr>
                            <w:lang w:val="zh-CN"/>
                          </w:rPr>
                          <w:t>63</w:t>
                        </w:r>
                        <w:r>
                          <w:fldChar w:fldCharType="end"/>
                        </w:r>
                      </w:p>
                    </w:sdtContent>
                  </w:sdt>
                  <w:p>
                    <w:pPr>
                      <w:pStyle w:val="7"/>
                    </w:pP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521"/>
                          </w:sdtPr>
                          <w:sdtContent>
                            <w:p>
                              <w:pPr>
                                <w:pStyle w:val="42"/>
                                <w:jc w:val="center"/>
                              </w:pPr>
                              <w:r>
                                <w:fldChar w:fldCharType="begin"/>
                              </w:r>
                              <w:r>
                                <w:instrText xml:space="preserve"> PAGE   \* MERGEFORMAT </w:instrText>
                              </w:r>
                              <w:r>
                                <w:fldChar w:fldCharType="separate"/>
                              </w:r>
                              <w:r>
                                <w:rPr>
                                  <w:lang w:val="zh-CN"/>
                                </w:rPr>
                                <w:t>62</w:t>
                              </w:r>
                              <w: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7479521"/>
                    </w:sdtPr>
                    <w:sdtContent>
                      <w:p>
                        <w:pPr>
                          <w:pStyle w:val="42"/>
                          <w:jc w:val="center"/>
                        </w:pPr>
                        <w:r>
                          <w:fldChar w:fldCharType="begin"/>
                        </w:r>
                        <w:r>
                          <w:instrText xml:space="preserve"> PAGE   \* MERGEFORMAT </w:instrText>
                        </w:r>
                        <w:r>
                          <w:fldChar w:fldCharType="separate"/>
                        </w:r>
                        <w:r>
                          <w:rPr>
                            <w:lang w:val="zh-CN"/>
                          </w:rPr>
                          <w:t>62</w:t>
                        </w:r>
                        <w:r>
                          <w:fldChar w:fldCharType="end"/>
                        </w:r>
                      </w:p>
                    </w:sdtContent>
                  </w:sd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r>
      <w:rPr>
        <w:rFonts w:hint="eastAsia" w:ascii="仿宋" w:hAnsi="仿宋" w:eastAsia="仿宋" w:cs="仿宋"/>
        <w:highlight w:val="yellow"/>
        <w:lang w:val="en-US"/>
      </w:rPr>
      <w:t xml:space="preserve"> </w:t>
    </w:r>
    <w:r>
      <w:rPr>
        <w:rFonts w:hint="eastAsia" w:ascii="仿宋" w:hAnsi="仿宋" w:eastAsia="仿宋" w:cs="仿宋"/>
        <w:highlight w:val="yellow"/>
        <w:u w:val="single"/>
        <w:lang w:val="en-US"/>
      </w:rPr>
      <w:t xml:space="preserve">    浙江瑞辰工程咨询有限公司（代理机构）            文件编号:ZJRC-2025-01     </w:t>
    </w:r>
    <w:r>
      <w:rPr>
        <w:rFonts w:hint="eastAsia" w:ascii="仿宋" w:hAnsi="仿宋" w:eastAsia="仿宋" w:cs="仿宋"/>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lear" w:pos="4153"/>
        <w:tab w:val="clear" w:pos="8306"/>
      </w:tabs>
      <w:spacing w:line="360" w:lineRule="exact"/>
      <w:jc w:val="both"/>
      <w:rPr>
        <w:rFonts w:ascii="仿宋" w:hAnsi="仿宋" w:eastAsia="仿宋" w:cs="仿宋"/>
        <w:u w:val="single"/>
      </w:rPr>
    </w:pPr>
    <w:r>
      <w:rPr>
        <w:rFonts w:hint="eastAsia" w:ascii="仿宋" w:hAnsi="仿宋" w:eastAsia="仿宋" w:cs="仿宋"/>
        <w:u w:val="single"/>
      </w:rPr>
      <w:t xml:space="preserve">      </w:t>
    </w:r>
    <w:r>
      <w:rPr>
        <w:rFonts w:hint="eastAsia" w:ascii="仿宋" w:hAnsi="仿宋" w:eastAsia="仿宋" w:cs="仿宋"/>
        <w:b/>
        <w:bCs/>
        <w:u w:val="single"/>
      </w:rPr>
      <w:t xml:space="preserve">   浙江瑞辰工程咨询有限公司（</w:t>
    </w:r>
    <w:r>
      <w:rPr>
        <w:rFonts w:hint="eastAsia" w:ascii="仿宋" w:hAnsi="仿宋" w:eastAsia="仿宋" w:cs="仿宋"/>
        <w:b/>
        <w:bCs/>
        <w:u w:val="single"/>
        <w:lang w:val="en-US" w:eastAsia="zh-CN"/>
      </w:rPr>
      <w:t>采购</w:t>
    </w:r>
    <w:r>
      <w:rPr>
        <w:rFonts w:hint="eastAsia" w:ascii="仿宋" w:hAnsi="仿宋" w:eastAsia="仿宋" w:cs="仿宋"/>
        <w:b/>
        <w:bCs/>
        <w:u w:val="single"/>
      </w:rPr>
      <w:t>代理机构）                             文件编号:ZJRC-2025-1</w:t>
    </w:r>
    <w:r>
      <w:rPr>
        <w:rFonts w:hint="eastAsia" w:ascii="仿宋" w:hAnsi="仿宋" w:eastAsia="仿宋" w:cs="仿宋"/>
        <w:b/>
        <w:bCs/>
        <w:u w:val="single"/>
        <w:lang w:val="en-US" w:eastAsia="zh-CN"/>
      </w:rPr>
      <w:t>6</w:t>
    </w:r>
    <w:r>
      <w:rPr>
        <w:rFonts w:hint="eastAsia" w:ascii="仿宋" w:hAnsi="仿宋" w:eastAsia="仿宋" w:cs="仿宋"/>
        <w:b/>
        <w:bCs/>
        <w:u w:val="single"/>
      </w:rPr>
      <w:t xml:space="preserve">        </w:t>
    </w:r>
    <w:r>
      <w:rPr>
        <w:rFonts w:hint="eastAsia" w:ascii="仿宋" w:hAnsi="仿宋" w:eastAsia="仿宋" w:cs="仿宋"/>
        <w:u w:val="single"/>
      </w:rPr>
      <w:t xml:space="preserve"> </w:t>
    </w:r>
  </w:p>
  <w:p>
    <w:pPr>
      <w:pStyle w:val="43"/>
      <w:pBdr>
        <w:bottom w:val="none" w:color="auto" w:sz="0" w:space="0"/>
      </w:pBdr>
      <w:tabs>
        <w:tab w:val="clear" w:pos="4153"/>
        <w:tab w:val="clear" w:pos="8306"/>
      </w:tabs>
      <w:jc w:val="left"/>
      <w:rPr>
        <w:highlight w:val="yellow"/>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spacing w:line="360" w:lineRule="exact"/>
      <w:jc w:val="both"/>
      <w:rPr>
        <w:rFonts w:ascii="仿宋_GB2312" w:eastAsia="仿宋_GB2312"/>
        <w:b w:val="0"/>
        <w:i/>
        <w:sz w:val="18"/>
        <w:u w:val="single"/>
        <w:lang w:val="en-US"/>
      </w:rPr>
    </w:pPr>
    <w:r>
      <w:rPr>
        <w:rFonts w:hint="eastAsia" w:ascii="仿宋" w:hAnsi="仿宋" w:eastAsia="仿宋" w:cs="仿宋"/>
        <w:lang w:val="en-US"/>
      </w:rPr>
      <w:t xml:space="preserve"> </w:t>
    </w:r>
    <w:r>
      <w:rPr>
        <w:rFonts w:hint="eastAsia" w:ascii="仿宋" w:hAnsi="仿宋" w:eastAsia="仿宋" w:cs="仿宋"/>
        <w:u w:val="single"/>
        <w:lang w:val="en-US"/>
      </w:rPr>
      <w:t xml:space="preserve">   </w:t>
    </w:r>
    <w:r>
      <w:rPr>
        <w:rFonts w:hint="eastAsia" w:ascii="仿宋" w:hAnsi="仿宋" w:eastAsia="仿宋" w:cs="仿宋"/>
        <w:sz w:val="18"/>
        <w:szCs w:val="18"/>
        <w:u w:val="single"/>
        <w:lang w:val="en-US"/>
      </w:rPr>
      <w:t xml:space="preserve"> 浙江瑞辰工程咨询有限公司（</w:t>
    </w:r>
    <w:r>
      <w:rPr>
        <w:rFonts w:hint="eastAsia" w:ascii="仿宋" w:hAnsi="仿宋" w:eastAsia="仿宋" w:cs="仿宋"/>
        <w:sz w:val="18"/>
        <w:szCs w:val="18"/>
        <w:u w:val="single"/>
        <w:lang w:val="en-US" w:eastAsia="zh-CN"/>
      </w:rPr>
      <w:t>采购</w:t>
    </w:r>
    <w:r>
      <w:rPr>
        <w:rFonts w:hint="eastAsia" w:ascii="仿宋" w:hAnsi="仿宋" w:eastAsia="仿宋" w:cs="仿宋"/>
        <w:sz w:val="18"/>
        <w:szCs w:val="18"/>
        <w:u w:val="single"/>
        <w:lang w:val="en-US"/>
      </w:rPr>
      <w:t>代理机构）                                文件编号:ZJRC-2025-1</w:t>
    </w:r>
    <w:r>
      <w:rPr>
        <w:rFonts w:hint="eastAsia" w:ascii="仿宋" w:hAnsi="仿宋" w:eastAsia="仿宋" w:cs="仿宋"/>
        <w:sz w:val="18"/>
        <w:szCs w:val="18"/>
        <w:u w:val="single"/>
        <w:lang w:val="en-US" w:eastAsia="zh-CN"/>
      </w:rPr>
      <w:t>6</w:t>
    </w:r>
    <w:r>
      <w:rPr>
        <w:rFonts w:hint="eastAsia" w:ascii="仿宋" w:hAnsi="仿宋" w:eastAsia="仿宋" w:cs="仿宋"/>
        <w:sz w:val="18"/>
        <w:szCs w:val="18"/>
        <w:u w:val="single"/>
        <w:lang w:val="en-US"/>
      </w:rPr>
      <w:t xml:space="preserve">         </w:t>
    </w:r>
    <w:r>
      <w:rPr>
        <w:rFonts w:hint="eastAsia" w:ascii="仿宋" w:hAnsi="仿宋" w:eastAsia="仿宋" w:cs="仿宋"/>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r>
      <w:rPr>
        <w:rFonts w:hint="eastAsia" w:ascii="仿宋" w:hAnsi="仿宋" w:eastAsia="仿宋" w:cs="仿宋"/>
        <w:u w:val="single"/>
        <w:lang w:val="en-US"/>
      </w:rPr>
      <w:t xml:space="preserve">   </w:t>
    </w:r>
    <w:r>
      <w:rPr>
        <w:rFonts w:hint="eastAsia" w:ascii="仿宋" w:hAnsi="仿宋" w:eastAsia="仿宋" w:cs="仿宋"/>
        <w:sz w:val="21"/>
        <w:szCs w:val="21"/>
        <w:u w:val="single"/>
        <w:lang w:val="en-US"/>
      </w:rPr>
      <w:t>浙江瑞辰工程咨询有限公司（</w:t>
    </w:r>
    <w:r>
      <w:rPr>
        <w:rFonts w:hint="eastAsia" w:ascii="仿宋" w:hAnsi="仿宋" w:eastAsia="仿宋" w:cs="仿宋"/>
        <w:sz w:val="21"/>
        <w:szCs w:val="21"/>
        <w:u w:val="single"/>
        <w:lang w:val="en-US" w:eastAsia="zh-CN"/>
      </w:rPr>
      <w:t>采购</w:t>
    </w:r>
    <w:r>
      <w:rPr>
        <w:rFonts w:hint="eastAsia" w:ascii="仿宋" w:hAnsi="仿宋" w:eastAsia="仿宋" w:cs="仿宋"/>
        <w:sz w:val="21"/>
        <w:szCs w:val="21"/>
        <w:u w:val="single"/>
        <w:lang w:val="en-US"/>
      </w:rPr>
      <w:t>代理机构）               文件编号:ZJRC-2025-1</w:t>
    </w:r>
    <w:r>
      <w:rPr>
        <w:rFonts w:hint="eastAsia" w:ascii="仿宋" w:hAnsi="仿宋" w:eastAsia="仿宋" w:cs="仿宋"/>
        <w:sz w:val="21"/>
        <w:szCs w:val="21"/>
        <w:u w:val="single"/>
        <w:lang w:val="en-US" w:eastAsia="zh-CN"/>
      </w:rPr>
      <w:t>6</w:t>
    </w:r>
    <w:r>
      <w:rPr>
        <w:rFonts w:hint="eastAsia" w:ascii="仿宋" w:hAnsi="仿宋" w:eastAsia="仿宋" w:cs="仿宋"/>
        <w:sz w:val="21"/>
        <w:szCs w:val="21"/>
        <w:u w:val="single"/>
        <w:lang w:val="en-US"/>
      </w:rPr>
      <w:t xml:space="preserve">  </w:t>
    </w:r>
    <w:r>
      <w:rPr>
        <w:rFonts w:hint="eastAsia" w:ascii="仿宋" w:hAnsi="仿宋" w:eastAsia="仿宋" w:cs="仿宋"/>
        <w:u w:val="single"/>
        <w:lang w:val="en-US"/>
      </w:rPr>
      <w:t xml:space="preserve">      </w:t>
    </w:r>
    <w:r>
      <w:rPr>
        <w:rFonts w:hint="eastAsia" w:ascii="仿宋" w:hAnsi="仿宋" w:eastAsia="仿宋" w:cs="仿宋"/>
        <w:lang w:val="en-U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r>
      <w:rPr>
        <w:rFonts w:hint="eastAsia" w:ascii="仿宋" w:hAnsi="仿宋" w:eastAsia="仿宋" w:cs="仿宋"/>
        <w:u w:val="single"/>
        <w:lang w:val="en-US"/>
      </w:rPr>
      <w:t xml:space="preserve">   </w:t>
    </w:r>
    <w:r>
      <w:rPr>
        <w:rFonts w:hint="eastAsia" w:ascii="仿宋" w:hAnsi="仿宋" w:eastAsia="仿宋" w:cs="仿宋"/>
        <w:sz w:val="21"/>
        <w:szCs w:val="21"/>
        <w:u w:val="single"/>
        <w:lang w:val="en-US"/>
      </w:rPr>
      <w:t>浙江瑞辰工程咨询有限公司（</w:t>
    </w:r>
    <w:r>
      <w:rPr>
        <w:rFonts w:hint="eastAsia" w:ascii="仿宋" w:hAnsi="仿宋" w:eastAsia="仿宋" w:cs="仿宋"/>
        <w:sz w:val="21"/>
        <w:szCs w:val="21"/>
        <w:u w:val="single"/>
        <w:lang w:val="en-US" w:eastAsia="zh-CN"/>
      </w:rPr>
      <w:t>采购</w:t>
    </w:r>
    <w:r>
      <w:rPr>
        <w:rFonts w:hint="eastAsia" w:ascii="仿宋" w:hAnsi="仿宋" w:eastAsia="仿宋" w:cs="仿宋"/>
        <w:sz w:val="21"/>
        <w:szCs w:val="21"/>
        <w:u w:val="single"/>
        <w:lang w:val="en-US"/>
      </w:rPr>
      <w:t>代理机构）                                                    文件编号:ZJRC-2025-1</w:t>
    </w:r>
    <w:r>
      <w:rPr>
        <w:rFonts w:hint="eastAsia" w:ascii="仿宋" w:hAnsi="仿宋" w:eastAsia="仿宋" w:cs="仿宋"/>
        <w:sz w:val="21"/>
        <w:szCs w:val="21"/>
        <w:u w:val="single"/>
        <w:lang w:val="en-US" w:eastAsia="zh-CN"/>
      </w:rPr>
      <w:t>6</w:t>
    </w:r>
    <w:r>
      <w:rPr>
        <w:rFonts w:hint="eastAsia" w:ascii="仿宋" w:hAnsi="仿宋" w:eastAsia="仿宋" w:cs="仿宋"/>
        <w:sz w:val="21"/>
        <w:szCs w:val="21"/>
        <w:u w:val="single"/>
        <w:lang w:val="en-US"/>
      </w:rPr>
      <w:t xml:space="preserve"> </w:t>
    </w:r>
    <w:r>
      <w:rPr>
        <w:rFonts w:hint="eastAsia" w:ascii="仿宋" w:hAnsi="仿宋" w:eastAsia="仿宋" w:cs="仿宋"/>
        <w:u w:val="single"/>
        <w:lang w:val="en-US"/>
      </w:rPr>
      <w:t xml:space="preserve">      </w:t>
    </w:r>
    <w:r>
      <w:rPr>
        <w:rFonts w:hint="eastAsia" w:ascii="仿宋" w:hAnsi="仿宋" w:eastAsia="仿宋" w:cs="仿宋"/>
        <w:lang w:val="en-U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lear" w:pos="4153"/>
        <w:tab w:val="clear" w:pos="8306"/>
      </w:tabs>
      <w:spacing w:line="360" w:lineRule="exact"/>
      <w:jc w:val="both"/>
      <w:rPr>
        <w:rFonts w:ascii="仿宋" w:hAnsi="仿宋" w:eastAsia="仿宋" w:cs="仿宋"/>
        <w:u w:val="single"/>
      </w:rPr>
    </w:pPr>
    <w:r>
      <w:rPr>
        <w:rFonts w:hint="eastAsia" w:ascii="仿宋" w:hAnsi="仿宋" w:eastAsia="仿宋" w:cs="仿宋"/>
        <w:u w:val="single"/>
      </w:rPr>
      <w:t xml:space="preserve">      </w:t>
    </w:r>
    <w:r>
      <w:rPr>
        <w:rFonts w:hint="eastAsia" w:ascii="仿宋" w:hAnsi="仿宋" w:eastAsia="仿宋" w:cs="仿宋"/>
        <w:b/>
        <w:bCs/>
        <w:u w:val="single"/>
      </w:rPr>
      <w:t xml:space="preserve">   浙江瑞辰工程咨询有限公司（</w:t>
    </w:r>
    <w:r>
      <w:rPr>
        <w:rFonts w:hint="eastAsia" w:ascii="仿宋" w:hAnsi="仿宋" w:eastAsia="仿宋" w:cs="仿宋"/>
        <w:b/>
        <w:bCs/>
        <w:u w:val="single"/>
        <w:lang w:val="en-US" w:eastAsia="zh-CN"/>
      </w:rPr>
      <w:t>采购</w:t>
    </w:r>
    <w:r>
      <w:rPr>
        <w:rFonts w:hint="eastAsia" w:ascii="仿宋" w:hAnsi="仿宋" w:eastAsia="仿宋" w:cs="仿宋"/>
        <w:b/>
        <w:bCs/>
        <w:u w:val="single"/>
      </w:rPr>
      <w:t>代理机构）                                                                                  文件编号:ZJRC-2025-1</w:t>
    </w:r>
    <w:r>
      <w:rPr>
        <w:rFonts w:hint="eastAsia" w:ascii="仿宋" w:hAnsi="仿宋" w:eastAsia="仿宋" w:cs="仿宋"/>
        <w:b/>
        <w:bCs/>
        <w:u w:val="single"/>
        <w:lang w:val="en-US" w:eastAsia="zh-CN"/>
      </w:rPr>
      <w:t>6</w:t>
    </w:r>
    <w:r>
      <w:rPr>
        <w:rFonts w:hint="eastAsia" w:ascii="仿宋" w:hAnsi="仿宋" w:eastAsia="仿宋" w:cs="仿宋"/>
        <w:b/>
        <w:bCs/>
        <w:u w:val="single"/>
      </w:rPr>
      <w:t xml:space="preserve">       </w:t>
    </w:r>
  </w:p>
  <w:p>
    <w:pPr>
      <w:pStyle w:val="43"/>
      <w:pBdr>
        <w:bottom w:val="none" w:color="auto" w:sz="0" w:space="0"/>
      </w:pBdr>
      <w:tabs>
        <w:tab w:val="clear" w:pos="4153"/>
        <w:tab w:val="clear" w:pos="8306"/>
      </w:tabs>
      <w:jc w:val="left"/>
      <w:rPr>
        <w:highlight w:val="yellow"/>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r>
      <w:rPr>
        <w:rFonts w:hint="eastAsia" w:ascii="仿宋" w:hAnsi="仿宋" w:eastAsia="仿宋" w:cs="仿宋"/>
        <w:u w:val="single"/>
        <w:lang w:val="en-US"/>
      </w:rPr>
      <w:t xml:space="preserve">   </w:t>
    </w:r>
    <w:r>
      <w:rPr>
        <w:rFonts w:hint="eastAsia" w:ascii="仿宋" w:hAnsi="仿宋" w:eastAsia="仿宋" w:cs="仿宋"/>
        <w:sz w:val="21"/>
        <w:szCs w:val="21"/>
        <w:u w:val="single"/>
        <w:lang w:val="en-US"/>
      </w:rPr>
      <w:t>浙江瑞辰工程咨询有限公司（</w:t>
    </w:r>
    <w:r>
      <w:rPr>
        <w:rFonts w:hint="eastAsia" w:ascii="仿宋" w:hAnsi="仿宋" w:eastAsia="仿宋" w:cs="仿宋"/>
        <w:sz w:val="21"/>
        <w:szCs w:val="21"/>
        <w:u w:val="single"/>
        <w:lang w:val="en-US" w:eastAsia="zh-CN"/>
      </w:rPr>
      <w:t>采购</w:t>
    </w:r>
    <w:r>
      <w:rPr>
        <w:rFonts w:hint="eastAsia" w:ascii="仿宋" w:hAnsi="仿宋" w:eastAsia="仿宋" w:cs="仿宋"/>
        <w:sz w:val="21"/>
        <w:szCs w:val="21"/>
        <w:u w:val="single"/>
        <w:lang w:val="en-US"/>
      </w:rPr>
      <w:t>代理机构）                   文件编号:ZJRC-2025-1</w:t>
    </w:r>
    <w:r>
      <w:rPr>
        <w:rFonts w:hint="eastAsia" w:ascii="仿宋" w:hAnsi="仿宋" w:eastAsia="仿宋" w:cs="仿宋"/>
        <w:sz w:val="21"/>
        <w:szCs w:val="21"/>
        <w:u w:val="single"/>
        <w:lang w:val="en-US" w:eastAsia="zh-CN"/>
      </w:rPr>
      <w:t>6</w:t>
    </w:r>
    <w:r>
      <w:rPr>
        <w:rFonts w:hint="eastAsia" w:ascii="仿宋" w:hAnsi="仿宋" w:eastAsia="仿宋" w:cs="仿宋"/>
        <w:sz w:val="21"/>
        <w:szCs w:val="21"/>
        <w:u w:val="single"/>
        <w:lang w:val="en-US"/>
      </w:rPr>
      <w:t xml:space="preserve">  </w:t>
    </w:r>
    <w:r>
      <w:rPr>
        <w:rFonts w:hint="eastAsia" w:ascii="仿宋" w:hAnsi="仿宋" w:eastAsia="仿宋" w:cs="仿宋"/>
        <w:u w:val="single"/>
        <w:lang w:val="en-US"/>
      </w:rPr>
      <w:t xml:space="preserve">      </w:t>
    </w:r>
    <w:r>
      <w:rPr>
        <w:rFonts w:hint="eastAsia" w:ascii="仿宋" w:hAnsi="仿宋" w:eastAsia="仿宋" w:cs="仿宋"/>
        <w:lang w:val="en-US"/>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lear" w:pos="4153"/>
        <w:tab w:val="clear" w:pos="8306"/>
      </w:tabs>
      <w:spacing w:line="360" w:lineRule="exact"/>
      <w:jc w:val="both"/>
      <w:rPr>
        <w:rFonts w:ascii="仿宋" w:hAnsi="仿宋" w:eastAsia="仿宋" w:cs="仿宋"/>
        <w:u w:val="single"/>
      </w:rPr>
    </w:pPr>
    <w:r>
      <w:rPr>
        <w:rFonts w:hint="eastAsia" w:ascii="仿宋" w:hAnsi="仿宋" w:eastAsia="仿宋" w:cs="仿宋"/>
        <w:u w:val="single"/>
      </w:rPr>
      <w:t xml:space="preserve">      </w:t>
    </w:r>
    <w:r>
      <w:rPr>
        <w:rFonts w:hint="eastAsia" w:ascii="仿宋" w:hAnsi="仿宋" w:eastAsia="仿宋" w:cs="仿宋"/>
        <w:b/>
        <w:bCs/>
        <w:u w:val="single"/>
      </w:rPr>
      <w:t xml:space="preserve">   浙江瑞辰工程咨询有限公司（</w:t>
    </w:r>
    <w:r>
      <w:rPr>
        <w:rFonts w:hint="eastAsia" w:ascii="仿宋" w:hAnsi="仿宋" w:eastAsia="仿宋" w:cs="仿宋"/>
        <w:b/>
        <w:bCs/>
        <w:u w:val="single"/>
        <w:lang w:val="en-US" w:eastAsia="zh-CN"/>
      </w:rPr>
      <w:t>采购</w:t>
    </w:r>
    <w:r>
      <w:rPr>
        <w:rFonts w:hint="eastAsia" w:ascii="仿宋" w:hAnsi="仿宋" w:eastAsia="仿宋" w:cs="仿宋"/>
        <w:b/>
        <w:bCs/>
        <w:u w:val="single"/>
      </w:rPr>
      <w:t>代理机构）                             文件编号:ZJRC-2025-1</w:t>
    </w:r>
    <w:r>
      <w:rPr>
        <w:rFonts w:hint="eastAsia" w:ascii="仿宋" w:hAnsi="仿宋" w:eastAsia="仿宋" w:cs="仿宋"/>
        <w:b/>
        <w:bCs/>
        <w:u w:val="single"/>
        <w:lang w:val="en-US" w:eastAsia="zh-CN"/>
      </w:rPr>
      <w:t>6</w:t>
    </w:r>
    <w:r>
      <w:rPr>
        <w:rFonts w:hint="eastAsia" w:ascii="仿宋" w:hAnsi="仿宋" w:eastAsia="仿宋" w:cs="仿宋"/>
        <w:b/>
        <w:bCs/>
        <w:u w:val="single"/>
      </w:rPr>
      <w:t xml:space="preserve">          </w:t>
    </w:r>
    <w:r>
      <w:rPr>
        <w:rFonts w:hint="eastAsia" w:ascii="仿宋" w:hAnsi="仿宋" w:eastAsia="仿宋" w:cs="仿宋"/>
        <w:u w:val="single"/>
      </w:rPr>
      <w:t xml:space="preserve"> </w:t>
    </w:r>
  </w:p>
  <w:p>
    <w:pPr>
      <w:pStyle w:val="43"/>
      <w:pBdr>
        <w:bottom w:val="none" w:color="auto" w:sz="0" w:space="0"/>
      </w:pBdr>
      <w:tabs>
        <w:tab w:val="clear" w:pos="4153"/>
        <w:tab w:val="clear" w:pos="8306"/>
      </w:tabs>
      <w:jc w:val="left"/>
      <w:rPr>
        <w:highlight w:val="yellow"/>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90F4"/>
    <w:multiLevelType w:val="singleLevel"/>
    <w:tmpl w:val="926790F4"/>
    <w:lvl w:ilvl="0" w:tentative="0">
      <w:start w:val="1"/>
      <w:numFmt w:val="decimal"/>
      <w:lvlText w:val="%1."/>
      <w:lvlJc w:val="left"/>
      <w:pPr>
        <w:tabs>
          <w:tab w:val="left" w:pos="312"/>
        </w:tabs>
      </w:pPr>
    </w:lvl>
  </w:abstractNum>
  <w:abstractNum w:abstractNumId="1">
    <w:nsid w:val="D4E75401"/>
    <w:multiLevelType w:val="singleLevel"/>
    <w:tmpl w:val="D4E75401"/>
    <w:lvl w:ilvl="0" w:tentative="0">
      <w:start w:val="1"/>
      <w:numFmt w:val="decimal"/>
      <w:lvlText w:val="%1."/>
      <w:lvlJc w:val="left"/>
      <w:pPr>
        <w:tabs>
          <w:tab w:val="left" w:pos="312"/>
        </w:tabs>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3">
    <w:nsid w:val="10D1C977"/>
    <w:multiLevelType w:val="singleLevel"/>
    <w:tmpl w:val="10D1C977"/>
    <w:lvl w:ilvl="0" w:tentative="0">
      <w:start w:val="3"/>
      <w:numFmt w:val="chineseCounting"/>
      <w:suff w:val="nothing"/>
      <w:lvlText w:val="（%1）"/>
      <w:lvlJc w:val="left"/>
      <w:rPr>
        <w:rFonts w:hint="eastAsia"/>
      </w:rPr>
    </w:lvl>
  </w:abstractNum>
  <w:abstractNum w:abstractNumId="4">
    <w:nsid w:val="35780D87"/>
    <w:multiLevelType w:val="singleLevel"/>
    <w:tmpl w:val="35780D87"/>
    <w:lvl w:ilvl="0" w:tentative="0">
      <w:start w:val="1"/>
      <w:numFmt w:val="decimal"/>
      <w:lvlText w:val="%1."/>
      <w:lvlJc w:val="left"/>
      <w:pPr>
        <w:tabs>
          <w:tab w:val="left" w:pos="312"/>
        </w:tabs>
      </w:pPr>
    </w:lvl>
  </w:abstractNum>
  <w:abstractNum w:abstractNumId="5">
    <w:nsid w:val="48D0C5FF"/>
    <w:multiLevelType w:val="singleLevel"/>
    <w:tmpl w:val="48D0C5FF"/>
    <w:lvl w:ilvl="0" w:tentative="0">
      <w:start w:val="2"/>
      <w:numFmt w:val="decimal"/>
      <w:suff w:val="nothing"/>
      <w:lvlText w:val="%1、"/>
      <w:lvlJc w:val="left"/>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U2YTY3MjIwMjhlNDk0NTZkODNkYmZlZGJiOTIifQ=="/>
    <w:docVar w:name="KSO_WPS_MARK_KEY" w:val="002f8e70-dff8-4261-bb58-d8b63a7734f7"/>
  </w:docVars>
  <w:rsids>
    <w:rsidRoot w:val="00172A27"/>
    <w:rsid w:val="0000631B"/>
    <w:rsid w:val="0001199A"/>
    <w:rsid w:val="00020B3B"/>
    <w:rsid w:val="000233D4"/>
    <w:rsid w:val="00070649"/>
    <w:rsid w:val="000814D0"/>
    <w:rsid w:val="000827EC"/>
    <w:rsid w:val="000A0F42"/>
    <w:rsid w:val="000A640B"/>
    <w:rsid w:val="000B417D"/>
    <w:rsid w:val="000B50A3"/>
    <w:rsid w:val="000C2561"/>
    <w:rsid w:val="000C3156"/>
    <w:rsid w:val="000E1B3E"/>
    <w:rsid w:val="00115871"/>
    <w:rsid w:val="00140D63"/>
    <w:rsid w:val="00144B86"/>
    <w:rsid w:val="00172A27"/>
    <w:rsid w:val="001808AF"/>
    <w:rsid w:val="00181FF2"/>
    <w:rsid w:val="001A00E8"/>
    <w:rsid w:val="001D2014"/>
    <w:rsid w:val="00206137"/>
    <w:rsid w:val="00237559"/>
    <w:rsid w:val="00241B3E"/>
    <w:rsid w:val="00246E1D"/>
    <w:rsid w:val="002758E2"/>
    <w:rsid w:val="0028101A"/>
    <w:rsid w:val="002A03F0"/>
    <w:rsid w:val="002A4CDA"/>
    <w:rsid w:val="002E7838"/>
    <w:rsid w:val="00321F66"/>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A6F85"/>
    <w:rsid w:val="006E4AF1"/>
    <w:rsid w:val="007247EB"/>
    <w:rsid w:val="007350A1"/>
    <w:rsid w:val="00753040"/>
    <w:rsid w:val="007531C0"/>
    <w:rsid w:val="0075656A"/>
    <w:rsid w:val="007710C9"/>
    <w:rsid w:val="00772B78"/>
    <w:rsid w:val="00781C7D"/>
    <w:rsid w:val="00783F38"/>
    <w:rsid w:val="007B724A"/>
    <w:rsid w:val="007F1A8A"/>
    <w:rsid w:val="00802FC0"/>
    <w:rsid w:val="0081639C"/>
    <w:rsid w:val="008C21A0"/>
    <w:rsid w:val="008D3E5D"/>
    <w:rsid w:val="008F0F2F"/>
    <w:rsid w:val="00912C08"/>
    <w:rsid w:val="00916455"/>
    <w:rsid w:val="00923FF9"/>
    <w:rsid w:val="00932BB2"/>
    <w:rsid w:val="00940150"/>
    <w:rsid w:val="00945277"/>
    <w:rsid w:val="0099132D"/>
    <w:rsid w:val="0099313C"/>
    <w:rsid w:val="009C5EE9"/>
    <w:rsid w:val="009E4DD7"/>
    <w:rsid w:val="00A25271"/>
    <w:rsid w:val="00A27C9B"/>
    <w:rsid w:val="00A44607"/>
    <w:rsid w:val="00A56FD7"/>
    <w:rsid w:val="00A832A6"/>
    <w:rsid w:val="00A91C81"/>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73D7"/>
    <w:rsid w:val="00BF0220"/>
    <w:rsid w:val="00BF0BFD"/>
    <w:rsid w:val="00C16734"/>
    <w:rsid w:val="00C202D9"/>
    <w:rsid w:val="00C5095E"/>
    <w:rsid w:val="00C8494E"/>
    <w:rsid w:val="00CA5593"/>
    <w:rsid w:val="00CB25BB"/>
    <w:rsid w:val="00CD4990"/>
    <w:rsid w:val="00D01FF3"/>
    <w:rsid w:val="00D10971"/>
    <w:rsid w:val="00D163E4"/>
    <w:rsid w:val="00D25EAF"/>
    <w:rsid w:val="00D3215E"/>
    <w:rsid w:val="00D3557D"/>
    <w:rsid w:val="00D502F1"/>
    <w:rsid w:val="00D61852"/>
    <w:rsid w:val="00D94B4A"/>
    <w:rsid w:val="00DB0813"/>
    <w:rsid w:val="00DB18F6"/>
    <w:rsid w:val="00DE3E75"/>
    <w:rsid w:val="00E0190B"/>
    <w:rsid w:val="00E025E7"/>
    <w:rsid w:val="00E22BC0"/>
    <w:rsid w:val="00E24DAB"/>
    <w:rsid w:val="00E27700"/>
    <w:rsid w:val="00E30D19"/>
    <w:rsid w:val="00E54EAD"/>
    <w:rsid w:val="00E67738"/>
    <w:rsid w:val="00E83FA8"/>
    <w:rsid w:val="00E8671B"/>
    <w:rsid w:val="00EA3C2D"/>
    <w:rsid w:val="00EE5EA4"/>
    <w:rsid w:val="00F071CA"/>
    <w:rsid w:val="00F10C25"/>
    <w:rsid w:val="00F14037"/>
    <w:rsid w:val="00F21078"/>
    <w:rsid w:val="00F408CF"/>
    <w:rsid w:val="00F45F10"/>
    <w:rsid w:val="00F47484"/>
    <w:rsid w:val="00F62C11"/>
    <w:rsid w:val="00F714C4"/>
    <w:rsid w:val="00F749E4"/>
    <w:rsid w:val="00F901DA"/>
    <w:rsid w:val="00FC5095"/>
    <w:rsid w:val="02715E83"/>
    <w:rsid w:val="033E089E"/>
    <w:rsid w:val="0383256E"/>
    <w:rsid w:val="03994130"/>
    <w:rsid w:val="03D76F4D"/>
    <w:rsid w:val="03E7138E"/>
    <w:rsid w:val="04772B4F"/>
    <w:rsid w:val="04BA7DB9"/>
    <w:rsid w:val="05386307"/>
    <w:rsid w:val="05834461"/>
    <w:rsid w:val="05B64FC4"/>
    <w:rsid w:val="06384A98"/>
    <w:rsid w:val="063D58D9"/>
    <w:rsid w:val="064D3B69"/>
    <w:rsid w:val="06D62677"/>
    <w:rsid w:val="06D74677"/>
    <w:rsid w:val="06DD024B"/>
    <w:rsid w:val="07121A8D"/>
    <w:rsid w:val="07167E96"/>
    <w:rsid w:val="09514463"/>
    <w:rsid w:val="0983157E"/>
    <w:rsid w:val="0A330AAB"/>
    <w:rsid w:val="0AEC4F01"/>
    <w:rsid w:val="0B3643CE"/>
    <w:rsid w:val="0BAD4690"/>
    <w:rsid w:val="0C450D6C"/>
    <w:rsid w:val="0CB101B0"/>
    <w:rsid w:val="0DDC1E38"/>
    <w:rsid w:val="0EB805C6"/>
    <w:rsid w:val="0FA0239A"/>
    <w:rsid w:val="0FA71142"/>
    <w:rsid w:val="0FC63F72"/>
    <w:rsid w:val="105D41FA"/>
    <w:rsid w:val="10615A49"/>
    <w:rsid w:val="10E57E8E"/>
    <w:rsid w:val="112E6273"/>
    <w:rsid w:val="11897CF0"/>
    <w:rsid w:val="12623816"/>
    <w:rsid w:val="129C4D99"/>
    <w:rsid w:val="13584580"/>
    <w:rsid w:val="137222BF"/>
    <w:rsid w:val="14127BE9"/>
    <w:rsid w:val="143767E4"/>
    <w:rsid w:val="14752E70"/>
    <w:rsid w:val="14E43291"/>
    <w:rsid w:val="14EF2697"/>
    <w:rsid w:val="14EF7AC7"/>
    <w:rsid w:val="14F450DE"/>
    <w:rsid w:val="15396F94"/>
    <w:rsid w:val="1546345F"/>
    <w:rsid w:val="162966BF"/>
    <w:rsid w:val="16325AD1"/>
    <w:rsid w:val="163E0FB2"/>
    <w:rsid w:val="16557DE1"/>
    <w:rsid w:val="169E17AF"/>
    <w:rsid w:val="184032EC"/>
    <w:rsid w:val="190A1EDE"/>
    <w:rsid w:val="1915453B"/>
    <w:rsid w:val="19655489"/>
    <w:rsid w:val="197C1CE1"/>
    <w:rsid w:val="19CD6537"/>
    <w:rsid w:val="19DE09EF"/>
    <w:rsid w:val="1AFD20ED"/>
    <w:rsid w:val="1C8C0C2E"/>
    <w:rsid w:val="1CA229FA"/>
    <w:rsid w:val="1CB414EC"/>
    <w:rsid w:val="1CD129C4"/>
    <w:rsid w:val="1CDA2A85"/>
    <w:rsid w:val="1CF43042"/>
    <w:rsid w:val="1D1074A2"/>
    <w:rsid w:val="1D8D6848"/>
    <w:rsid w:val="1E585301"/>
    <w:rsid w:val="1E7A2AF8"/>
    <w:rsid w:val="1EC91389"/>
    <w:rsid w:val="1F1D5CC9"/>
    <w:rsid w:val="1F33006A"/>
    <w:rsid w:val="1F7826CB"/>
    <w:rsid w:val="1F9A1574"/>
    <w:rsid w:val="203E23A3"/>
    <w:rsid w:val="20726686"/>
    <w:rsid w:val="20D85DAC"/>
    <w:rsid w:val="2100198A"/>
    <w:rsid w:val="213F0A2B"/>
    <w:rsid w:val="21662364"/>
    <w:rsid w:val="21E83A2C"/>
    <w:rsid w:val="2254555D"/>
    <w:rsid w:val="23006339"/>
    <w:rsid w:val="233C6EB0"/>
    <w:rsid w:val="23C94A47"/>
    <w:rsid w:val="24303D8A"/>
    <w:rsid w:val="245D5DD5"/>
    <w:rsid w:val="24604006"/>
    <w:rsid w:val="248A0129"/>
    <w:rsid w:val="24D2641F"/>
    <w:rsid w:val="257B07B5"/>
    <w:rsid w:val="257E1996"/>
    <w:rsid w:val="259D3570"/>
    <w:rsid w:val="25B52AD9"/>
    <w:rsid w:val="2610275B"/>
    <w:rsid w:val="27AE2E63"/>
    <w:rsid w:val="27B33FBE"/>
    <w:rsid w:val="28A9252C"/>
    <w:rsid w:val="291678C1"/>
    <w:rsid w:val="29225FD8"/>
    <w:rsid w:val="299441DD"/>
    <w:rsid w:val="299F4D4D"/>
    <w:rsid w:val="2A2E398A"/>
    <w:rsid w:val="2A994CD3"/>
    <w:rsid w:val="2AD74E2E"/>
    <w:rsid w:val="2BA80578"/>
    <w:rsid w:val="2BAD07CB"/>
    <w:rsid w:val="2C027C88"/>
    <w:rsid w:val="2C2B67C0"/>
    <w:rsid w:val="2CDA6E57"/>
    <w:rsid w:val="2D467298"/>
    <w:rsid w:val="2D5A4D2D"/>
    <w:rsid w:val="2D8121C1"/>
    <w:rsid w:val="2D95296F"/>
    <w:rsid w:val="2DA50295"/>
    <w:rsid w:val="2DF1788B"/>
    <w:rsid w:val="2E3F6F72"/>
    <w:rsid w:val="2E862DF3"/>
    <w:rsid w:val="2F253D3B"/>
    <w:rsid w:val="2F5711FE"/>
    <w:rsid w:val="2F807842"/>
    <w:rsid w:val="2FB721C3"/>
    <w:rsid w:val="2FE30D7A"/>
    <w:rsid w:val="2FF64F7E"/>
    <w:rsid w:val="30080D43"/>
    <w:rsid w:val="3040496A"/>
    <w:rsid w:val="30491230"/>
    <w:rsid w:val="305E37B0"/>
    <w:rsid w:val="30744ECD"/>
    <w:rsid w:val="30B74336"/>
    <w:rsid w:val="30C119E6"/>
    <w:rsid w:val="31D265F5"/>
    <w:rsid w:val="32275DF9"/>
    <w:rsid w:val="323668DE"/>
    <w:rsid w:val="330F5F53"/>
    <w:rsid w:val="33AD497E"/>
    <w:rsid w:val="3480347A"/>
    <w:rsid w:val="34C76BD3"/>
    <w:rsid w:val="354A367F"/>
    <w:rsid w:val="35640879"/>
    <w:rsid w:val="36107446"/>
    <w:rsid w:val="36B81960"/>
    <w:rsid w:val="36C750D9"/>
    <w:rsid w:val="37CB7E31"/>
    <w:rsid w:val="37EC6B43"/>
    <w:rsid w:val="38FC1A2B"/>
    <w:rsid w:val="3AE258BB"/>
    <w:rsid w:val="3B5B5C4A"/>
    <w:rsid w:val="3B892174"/>
    <w:rsid w:val="3CA72477"/>
    <w:rsid w:val="3CE1162D"/>
    <w:rsid w:val="3D681FCA"/>
    <w:rsid w:val="3D7A462F"/>
    <w:rsid w:val="3F2C01F2"/>
    <w:rsid w:val="3F326AC0"/>
    <w:rsid w:val="3F87220A"/>
    <w:rsid w:val="401C69AE"/>
    <w:rsid w:val="404909B9"/>
    <w:rsid w:val="412B45A6"/>
    <w:rsid w:val="419943ED"/>
    <w:rsid w:val="421A43C5"/>
    <w:rsid w:val="42511838"/>
    <w:rsid w:val="431E474F"/>
    <w:rsid w:val="43FF37BB"/>
    <w:rsid w:val="445B31C8"/>
    <w:rsid w:val="449776B0"/>
    <w:rsid w:val="44CC4D58"/>
    <w:rsid w:val="45006FDA"/>
    <w:rsid w:val="459D6525"/>
    <w:rsid w:val="460008C3"/>
    <w:rsid w:val="467F47C1"/>
    <w:rsid w:val="469B0FAE"/>
    <w:rsid w:val="46EC05E8"/>
    <w:rsid w:val="46F43BF8"/>
    <w:rsid w:val="472D0E05"/>
    <w:rsid w:val="475D39FC"/>
    <w:rsid w:val="476961F9"/>
    <w:rsid w:val="4798567B"/>
    <w:rsid w:val="47F170D7"/>
    <w:rsid w:val="49165A38"/>
    <w:rsid w:val="493902B5"/>
    <w:rsid w:val="49A76262"/>
    <w:rsid w:val="49B43922"/>
    <w:rsid w:val="49CA0BBD"/>
    <w:rsid w:val="4A3B0ADD"/>
    <w:rsid w:val="4A5F3829"/>
    <w:rsid w:val="4AB4454F"/>
    <w:rsid w:val="4CBB5F06"/>
    <w:rsid w:val="4D78514E"/>
    <w:rsid w:val="4DCF39AC"/>
    <w:rsid w:val="4DD728CB"/>
    <w:rsid w:val="4DE4148C"/>
    <w:rsid w:val="4E0B134A"/>
    <w:rsid w:val="4EEE7B4F"/>
    <w:rsid w:val="4F0D115C"/>
    <w:rsid w:val="4F7D39F4"/>
    <w:rsid w:val="4FAE554B"/>
    <w:rsid w:val="50387330"/>
    <w:rsid w:val="50446212"/>
    <w:rsid w:val="5051105B"/>
    <w:rsid w:val="50675ECC"/>
    <w:rsid w:val="50C301CB"/>
    <w:rsid w:val="50F32112"/>
    <w:rsid w:val="515659E4"/>
    <w:rsid w:val="51C5160B"/>
    <w:rsid w:val="52BD28FF"/>
    <w:rsid w:val="53770328"/>
    <w:rsid w:val="537C5E20"/>
    <w:rsid w:val="53FB2B59"/>
    <w:rsid w:val="54AF79A4"/>
    <w:rsid w:val="54B675F4"/>
    <w:rsid w:val="550C4D95"/>
    <w:rsid w:val="555A14FB"/>
    <w:rsid w:val="55723314"/>
    <w:rsid w:val="56D15596"/>
    <w:rsid w:val="572D3B6A"/>
    <w:rsid w:val="57876737"/>
    <w:rsid w:val="57A16E9E"/>
    <w:rsid w:val="57DAE6E1"/>
    <w:rsid w:val="580F1A05"/>
    <w:rsid w:val="589F6E26"/>
    <w:rsid w:val="59040B88"/>
    <w:rsid w:val="5975743C"/>
    <w:rsid w:val="59DD3C62"/>
    <w:rsid w:val="59EF5441"/>
    <w:rsid w:val="5A451E90"/>
    <w:rsid w:val="5B3F7D02"/>
    <w:rsid w:val="5B6D277B"/>
    <w:rsid w:val="5BD95101"/>
    <w:rsid w:val="5BF717FD"/>
    <w:rsid w:val="5C4F0418"/>
    <w:rsid w:val="5C78499F"/>
    <w:rsid w:val="5CBF734C"/>
    <w:rsid w:val="5CEC099B"/>
    <w:rsid w:val="5D3C274B"/>
    <w:rsid w:val="5E4E5CAE"/>
    <w:rsid w:val="5EC54839"/>
    <w:rsid w:val="5ECA3D86"/>
    <w:rsid w:val="5EDA030D"/>
    <w:rsid w:val="5EFD23AE"/>
    <w:rsid w:val="5F665FB3"/>
    <w:rsid w:val="60447635"/>
    <w:rsid w:val="60657BD9"/>
    <w:rsid w:val="61396E17"/>
    <w:rsid w:val="62A67E1F"/>
    <w:rsid w:val="63186CDC"/>
    <w:rsid w:val="63F02D6C"/>
    <w:rsid w:val="642152E2"/>
    <w:rsid w:val="645D5FE8"/>
    <w:rsid w:val="65077AE2"/>
    <w:rsid w:val="650F7C99"/>
    <w:rsid w:val="659B647C"/>
    <w:rsid w:val="65B752C3"/>
    <w:rsid w:val="65D2277D"/>
    <w:rsid w:val="66001110"/>
    <w:rsid w:val="664A412A"/>
    <w:rsid w:val="66EA76BB"/>
    <w:rsid w:val="66F944DB"/>
    <w:rsid w:val="675937CE"/>
    <w:rsid w:val="676832AC"/>
    <w:rsid w:val="67F26A3D"/>
    <w:rsid w:val="68295FC1"/>
    <w:rsid w:val="68AD1EDB"/>
    <w:rsid w:val="68E004BD"/>
    <w:rsid w:val="68E933FF"/>
    <w:rsid w:val="69D41F5D"/>
    <w:rsid w:val="69F16499"/>
    <w:rsid w:val="6A7C762B"/>
    <w:rsid w:val="6A93573D"/>
    <w:rsid w:val="6A9B6047"/>
    <w:rsid w:val="6AB46016"/>
    <w:rsid w:val="6ABB2BA8"/>
    <w:rsid w:val="6AD7692A"/>
    <w:rsid w:val="6AEF1016"/>
    <w:rsid w:val="6B136DC1"/>
    <w:rsid w:val="6B1937EA"/>
    <w:rsid w:val="6B1E6808"/>
    <w:rsid w:val="6BCF777F"/>
    <w:rsid w:val="6C0C7A0D"/>
    <w:rsid w:val="6CC1045F"/>
    <w:rsid w:val="6CE314D4"/>
    <w:rsid w:val="6D396CA7"/>
    <w:rsid w:val="6D937F05"/>
    <w:rsid w:val="6DA1522F"/>
    <w:rsid w:val="6E2F3C06"/>
    <w:rsid w:val="6F065537"/>
    <w:rsid w:val="6F6DE783"/>
    <w:rsid w:val="6FCB1FDB"/>
    <w:rsid w:val="6FCF3A9D"/>
    <w:rsid w:val="70544E4E"/>
    <w:rsid w:val="710670E0"/>
    <w:rsid w:val="71293962"/>
    <w:rsid w:val="713C0A29"/>
    <w:rsid w:val="71BC3A02"/>
    <w:rsid w:val="721270E4"/>
    <w:rsid w:val="72133F6A"/>
    <w:rsid w:val="72897D89"/>
    <w:rsid w:val="729E74BD"/>
    <w:rsid w:val="73041967"/>
    <w:rsid w:val="745439C3"/>
    <w:rsid w:val="746633C8"/>
    <w:rsid w:val="7487378B"/>
    <w:rsid w:val="74D85432"/>
    <w:rsid w:val="75D92DD5"/>
    <w:rsid w:val="75E769CD"/>
    <w:rsid w:val="767013CD"/>
    <w:rsid w:val="76F125B0"/>
    <w:rsid w:val="776E39F1"/>
    <w:rsid w:val="77770CD9"/>
    <w:rsid w:val="77E9446C"/>
    <w:rsid w:val="786643A0"/>
    <w:rsid w:val="7896705F"/>
    <w:rsid w:val="796E4CAE"/>
    <w:rsid w:val="79755DD4"/>
    <w:rsid w:val="79A039C1"/>
    <w:rsid w:val="79A57E03"/>
    <w:rsid w:val="79BF1562"/>
    <w:rsid w:val="79C31B22"/>
    <w:rsid w:val="79E64706"/>
    <w:rsid w:val="7A2417D0"/>
    <w:rsid w:val="7A5D60E1"/>
    <w:rsid w:val="7B0A70AA"/>
    <w:rsid w:val="7B135211"/>
    <w:rsid w:val="7B421E54"/>
    <w:rsid w:val="7BBC20BD"/>
    <w:rsid w:val="7C8915B1"/>
    <w:rsid w:val="7DF34F77"/>
    <w:rsid w:val="7E0208AF"/>
    <w:rsid w:val="7E2E2786"/>
    <w:rsid w:val="7E9F2324"/>
    <w:rsid w:val="7EA10C22"/>
    <w:rsid w:val="7EB7B118"/>
    <w:rsid w:val="7EC243A0"/>
    <w:rsid w:val="7EF537AD"/>
    <w:rsid w:val="7EFFEA3D"/>
    <w:rsid w:val="7F227838"/>
    <w:rsid w:val="7F2C33F3"/>
    <w:rsid w:val="7F35379D"/>
    <w:rsid w:val="7F3D2DE9"/>
    <w:rsid w:val="7F4DBC21"/>
    <w:rsid w:val="7FFD82EA"/>
    <w:rsid w:val="AFB93E2D"/>
    <w:rsid w:val="BBFF3968"/>
    <w:rsid w:val="BD630731"/>
    <w:rsid w:val="DD7BA43F"/>
    <w:rsid w:val="ECDF148A"/>
    <w:rsid w:val="F1EF04B5"/>
    <w:rsid w:val="F8EDAF5B"/>
    <w:rsid w:val="FBCB48A5"/>
    <w:rsid w:val="FDBF45F0"/>
    <w:rsid w:val="FED57E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8"/>
    <w:next w:val="1"/>
    <w:qFormat/>
    <w:uiPriority w:val="0"/>
    <w:pPr>
      <w:tabs>
        <w:tab w:val="left" w:pos="900"/>
        <w:tab w:val="clear" w:pos="432"/>
      </w:tabs>
      <w:spacing w:before="260" w:after="260" w:line="416" w:lineRule="auto"/>
      <w:ind w:left="900" w:hanging="720"/>
      <w:outlineLvl w:val="2"/>
    </w:pPr>
  </w:style>
  <w:style w:type="paragraph" w:styleId="11">
    <w:name w:val="heading 4"/>
    <w:basedOn w:val="10"/>
    <w:next w:val="1"/>
    <w:link w:val="326"/>
    <w:qFormat/>
    <w:uiPriority w:val="0"/>
    <w:pPr>
      <w:tabs>
        <w:tab w:val="left" w:pos="864"/>
        <w:tab w:val="clear" w:pos="900"/>
      </w:tabs>
      <w:spacing w:before="280" w:after="290" w:line="376" w:lineRule="auto"/>
      <w:ind w:left="864" w:hanging="864"/>
      <w:outlineLvl w:val="3"/>
    </w:pPr>
    <w:rPr>
      <w:rFonts w:ascii="Arial" w:hAnsi="Arial" w:eastAsia="黑体"/>
      <w:sz w:val="28"/>
      <w:szCs w:val="28"/>
    </w:rPr>
  </w:style>
  <w:style w:type="paragraph" w:styleId="12">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1"/>
    <w:qFormat/>
    <w:uiPriority w:val="0"/>
    <w:pPr>
      <w:adjustRightInd/>
      <w:spacing w:after="120" w:line="240" w:lineRule="auto"/>
      <w:ind w:left="420" w:leftChars="200" w:firstLine="210"/>
    </w:pPr>
    <w:rPr>
      <w:sz w:val="21"/>
    </w:rPr>
  </w:style>
  <w:style w:type="paragraph" w:styleId="3">
    <w:name w:val="Body Text Indent"/>
    <w:basedOn w:val="1"/>
    <w:next w:val="4"/>
    <w:link w:val="264"/>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2"/>
    <w:link w:val="320"/>
    <w:qFormat/>
    <w:uiPriority w:val="0"/>
    <w:pPr>
      <w:ind w:firstLine="420"/>
    </w:pPr>
    <w:rPr>
      <w:rFonts w:hAnsi="Calibri" w:cs="Times New Roman"/>
      <w:snapToGrid/>
      <w:szCs w:val="20"/>
    </w:rPr>
  </w:style>
  <w:style w:type="paragraph" w:styleId="6">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3"/>
    <w:qFormat/>
    <w:uiPriority w:val="99"/>
    <w:pPr>
      <w:jc w:val="left"/>
    </w:pPr>
  </w:style>
  <w:style w:type="paragraph" w:styleId="25">
    <w:name w:val="Salutation"/>
    <w:basedOn w:val="1"/>
    <w:next w:val="1"/>
    <w:link w:val="297"/>
    <w:qFormat/>
    <w:uiPriority w:val="0"/>
    <w:rPr>
      <w:rFonts w:ascii="仿宋_GB2312" w:eastAsia="仿宋_GB2312"/>
      <w:sz w:val="28"/>
      <w:szCs w:val="20"/>
    </w:rPr>
  </w:style>
  <w:style w:type="paragraph" w:styleId="26">
    <w:name w:val="Body Text 3"/>
    <w:basedOn w:val="1"/>
    <w:link w:val="329"/>
    <w:qFormat/>
    <w:uiPriority w:val="0"/>
    <w:pPr>
      <w:jc w:val="center"/>
    </w:pPr>
    <w:rPr>
      <w:szCs w:val="20"/>
    </w:rPr>
  </w:style>
  <w:style w:type="paragraph" w:styleId="27">
    <w:name w:val="List Bullet 3"/>
    <w:basedOn w:val="1"/>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9"/>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3"/>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8"/>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6"/>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9"/>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10"/>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1"/>
    <w:link w:val="222"/>
    <w:qFormat/>
    <w:uiPriority w:val="0"/>
    <w:pPr>
      <w:tabs>
        <w:tab w:val="clear" w:pos="864"/>
      </w:tabs>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7"/>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2"/>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5"/>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1"/>
    <w:link w:val="412"/>
    <w:qFormat/>
    <w:uiPriority w:val="0"/>
    <w:pPr>
      <w:tabs>
        <w:tab w:val="clear" w:pos="864"/>
      </w:tabs>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4"/>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1"/>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6"/>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4"/>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5"/>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6"/>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1"/>
    <w:qFormat/>
    <w:uiPriority w:val="0"/>
    <w:pPr>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8"/>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10"/>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2"/>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10"/>
    <w:qFormat/>
    <w:uiPriority w:val="0"/>
    <w:pPr>
      <w:tabs>
        <w:tab w:val="left" w:pos="1680"/>
      </w:tabs>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1"/>
    <w:qFormat/>
    <w:uiPriority w:val="0"/>
    <w:pPr>
      <w:widowControl/>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8"/>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8"/>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10"/>
    <w:qFormat/>
    <w:uiPriority w:val="0"/>
    <w:pPr>
      <w:spacing w:before="200" w:after="200" w:line="560" w:lineRule="exac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7"/>
    <w:qFormat/>
    <w:uiPriority w:val="0"/>
    <w:pPr>
      <w:tabs>
        <w:tab w:val="left" w:pos="840"/>
      </w:tabs>
      <w:adjustRightInd/>
      <w:ind w:left="840" w:hanging="420"/>
    </w:pPr>
  </w:style>
  <w:style w:type="paragraph" w:customStyle="1" w:styleId="625">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1"/>
    <w:qFormat/>
    <w:uiPriority w:val="0"/>
    <w:pPr>
      <w:tabs>
        <w:tab w:val="left" w:pos="2100"/>
      </w:tabs>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10"/>
    <w:qFormat/>
    <w:uiPriority w:val="0"/>
    <w:pPr>
      <w:keepLines w:val="0"/>
      <w:spacing w:before="0" w:after="0" w:line="240" w:lineRule="auto"/>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6"/>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10"/>
    <w:next w:val="55"/>
    <w:qFormat/>
    <w:uiPriority w:val="0"/>
    <w:pPr>
      <w:tabs>
        <w:tab w:val="clear" w:pos="900"/>
      </w:tabs>
      <w:spacing w:after="0" w:line="360" w:lineRule="auto"/>
    </w:pPr>
    <w:rPr>
      <w:rFonts w:asci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1"/>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10"/>
    <w:qFormat/>
    <w:uiPriority w:val="0"/>
    <w:pPr>
      <w:snapToGrid w:val="0"/>
      <w:ind w:left="0" w:firstLine="0"/>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3"/>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10"/>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90">
    <w:name w:val="TOC 标题11"/>
    <w:basedOn w:val="7"/>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qFormat/>
    <w:uiPriority w:val="0"/>
    <w:pPr>
      <w:tabs>
        <w:tab w:val="left" w:pos="1080"/>
      </w:tabs>
      <w:ind w:left="1080" w:hanging="1080"/>
    </w:pPr>
  </w:style>
  <w:style w:type="paragraph" w:customStyle="1" w:styleId="896">
    <w:name w:val="数字标题1"/>
    <w:basedOn w:val="7"/>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styleId="964">
    <w:name w:val="List Paragraph"/>
    <w:basedOn w:val="1"/>
    <w:qFormat/>
    <w:uiPriority w:val="34"/>
    <w:pPr>
      <w:ind w:firstLine="420" w:firstLineChars="200"/>
    </w:pPr>
  </w:style>
  <w:style w:type="paragraph" w:customStyle="1" w:styleId="965">
    <w:name w:val="样式 样式 左侧:  2 字符 + 左侧:  0.85 厘米 首行缩进:  2 字符1"/>
    <w:basedOn w:val="1"/>
    <w:qFormat/>
    <w:uiPriority w:val="0"/>
    <w:pPr>
      <w:ind w:left="482" w:firstLine="200" w:firstLineChars="200"/>
    </w:pPr>
    <w:rPr>
      <w:rFonts w:ascii="宋体" w:cs="宋体"/>
      <w:kern w:val="0"/>
      <w:position w:val="-6"/>
      <w:sz w:val="32"/>
      <w:szCs w:val="20"/>
    </w:rPr>
  </w:style>
  <w:style w:type="paragraph" w:customStyle="1" w:styleId="966">
    <w:name w:val="技术文档正文"/>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35127</Words>
  <Characters>37506</Characters>
  <Lines>279</Lines>
  <Paragraphs>78</Paragraphs>
  <TotalTime>7</TotalTime>
  <ScaleCrop>false</ScaleCrop>
  <LinksUpToDate>false</LinksUpToDate>
  <CharactersWithSpaces>39607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叶子</cp:lastModifiedBy>
  <cp:lastPrinted>2025-04-10T16:11:00Z</cp:lastPrinted>
  <dcterms:modified xsi:type="dcterms:W3CDTF">2025-08-12T06:36:15Z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F9CC6E057027466A9CBB293F2AE97F9D_13</vt:lpwstr>
  </property>
  <property fmtid="{D5CDD505-2E9C-101B-9397-08002B2CF9AE}" pid="5" name="KSOTemplateDocerSaveRecord">
    <vt:lpwstr>eyJoZGlkIjoiN2IyN2E3NTE4ZGI2NTI2ZTVkM2ZhZGVhMWExYmZjZWMiLCJ1c2VySWQiOiIyMDk3NDI1NDIifQ==</vt:lpwstr>
  </property>
</Properties>
</file>