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69C6">
      <w:pPr>
        <w:keepNext w:val="0"/>
        <w:keepLines w:val="0"/>
        <w:pageBreakBefore w:val="0"/>
        <w:widowControl/>
        <w:suppressLineNumbers w:val="0"/>
        <w:kinsoku/>
        <w:wordWrap/>
        <w:overflowPunct/>
        <w:topLinePunct w:val="0"/>
        <w:autoSpaceDE/>
        <w:autoSpaceDN/>
        <w:bidi w:val="0"/>
        <w:spacing w:line="360" w:lineRule="auto"/>
        <w:jc w:val="center"/>
        <w:textAlignment w:val="auto"/>
        <w:rPr>
          <w:rStyle w:val="41"/>
          <w:rFonts w:hint="eastAsia" w:ascii="宋体" w:cs="Times New Roman"/>
          <w:b/>
          <w:bCs/>
          <w:color w:val="auto"/>
          <w:sz w:val="52"/>
          <w:szCs w:val="52"/>
          <w:highlight w:val="none"/>
          <w:lang w:val="en-US" w:eastAsia="zh-CN"/>
        </w:rPr>
      </w:pPr>
    </w:p>
    <w:p w14:paraId="21BF8B93">
      <w:pPr>
        <w:keepNext w:val="0"/>
        <w:keepLines w:val="0"/>
        <w:pageBreakBefore w:val="0"/>
        <w:widowControl/>
        <w:suppressLineNumbers w:val="0"/>
        <w:kinsoku/>
        <w:wordWrap/>
        <w:overflowPunct/>
        <w:topLinePunct w:val="0"/>
        <w:autoSpaceDE/>
        <w:autoSpaceDN/>
        <w:bidi w:val="0"/>
        <w:spacing w:line="360" w:lineRule="auto"/>
        <w:jc w:val="center"/>
        <w:textAlignment w:val="auto"/>
        <w:rPr>
          <w:rStyle w:val="41"/>
          <w:rFonts w:hint="eastAsia" w:ascii="宋体" w:cs="Times New Roman"/>
          <w:b/>
          <w:bCs/>
          <w:color w:val="auto"/>
          <w:sz w:val="52"/>
          <w:szCs w:val="52"/>
          <w:highlight w:val="none"/>
          <w:lang w:val="en-US" w:eastAsia="zh-CN"/>
        </w:rPr>
      </w:pPr>
    </w:p>
    <w:p w14:paraId="0FD8655E">
      <w:pPr>
        <w:jc w:val="center"/>
        <w:rPr>
          <w:rStyle w:val="41"/>
          <w:rFonts w:hint="eastAsia" w:ascii="宋体" w:cs="Times New Roman"/>
          <w:b/>
          <w:bCs/>
          <w:color w:val="auto"/>
          <w:sz w:val="60"/>
          <w:szCs w:val="60"/>
          <w:highlight w:val="none"/>
          <w:lang w:val="en-US" w:eastAsia="zh-CN"/>
        </w:rPr>
      </w:pPr>
      <w:r>
        <w:rPr>
          <w:rStyle w:val="41"/>
          <w:rFonts w:hint="eastAsia" w:ascii="宋体" w:cs="Times New Roman"/>
          <w:b/>
          <w:bCs/>
          <w:color w:val="auto"/>
          <w:sz w:val="60"/>
          <w:szCs w:val="60"/>
          <w:highlight w:val="none"/>
          <w:lang w:val="en-US" w:eastAsia="zh-CN"/>
        </w:rPr>
        <w:t>新疆三塘湖矿区条湖一号煤矿及配套选煤厂 EPC 项目</w:t>
      </w:r>
    </w:p>
    <w:p w14:paraId="4BB9C640">
      <w:pPr>
        <w:jc w:val="center"/>
        <w:rPr>
          <w:rFonts w:hint="default"/>
          <w:color w:val="auto"/>
          <w:sz w:val="22"/>
          <w:szCs w:val="22"/>
          <w:highlight w:val="none"/>
          <w:lang w:val="en-US" w:eastAsia="zh-CN"/>
        </w:rPr>
      </w:pPr>
      <w:r>
        <w:rPr>
          <w:rStyle w:val="41"/>
          <w:rFonts w:hint="eastAsia" w:ascii="宋体" w:cs="Times New Roman"/>
          <w:b/>
          <w:bCs/>
          <w:color w:val="auto"/>
          <w:sz w:val="60"/>
          <w:szCs w:val="60"/>
          <w:highlight w:val="none"/>
          <w:lang w:val="en-US" w:eastAsia="zh-CN"/>
        </w:rPr>
        <w:t>井下水仓清淤设备</w:t>
      </w:r>
    </w:p>
    <w:p w14:paraId="121DDAFB">
      <w:pPr>
        <w:pStyle w:val="5"/>
        <w:jc w:val="center"/>
        <w:rPr>
          <w:rStyle w:val="41"/>
          <w:rFonts w:hint="eastAsia" w:ascii="宋体" w:cs="Times New Roman"/>
          <w:b/>
          <w:bCs/>
          <w:color w:val="auto"/>
          <w:sz w:val="52"/>
          <w:szCs w:val="52"/>
          <w:highlight w:val="none"/>
          <w:lang w:val="en-US" w:eastAsia="zh-CN"/>
        </w:rPr>
      </w:pPr>
    </w:p>
    <w:p w14:paraId="4B68926D">
      <w:pPr>
        <w:pStyle w:val="5"/>
        <w:jc w:val="center"/>
        <w:rPr>
          <w:rStyle w:val="41"/>
          <w:rFonts w:ascii="宋体"/>
          <w:color w:val="auto"/>
          <w:szCs w:val="21"/>
          <w:highlight w:val="none"/>
        </w:rPr>
      </w:pPr>
      <w:r>
        <w:rPr>
          <w:rStyle w:val="41"/>
          <w:rFonts w:hint="eastAsia" w:ascii="宋体" w:cs="Times New Roman"/>
          <w:b/>
          <w:bCs/>
          <w:color w:val="auto"/>
          <w:sz w:val="52"/>
          <w:szCs w:val="52"/>
          <w:highlight w:val="none"/>
          <w:lang w:val="en-US" w:eastAsia="zh-CN"/>
        </w:rPr>
        <w:t>公开谈判采购文件</w:t>
      </w:r>
    </w:p>
    <w:p w14:paraId="63CD7171">
      <w:pPr>
        <w:pStyle w:val="5"/>
        <w:rPr>
          <w:rStyle w:val="41"/>
          <w:rFonts w:ascii="宋体"/>
          <w:color w:val="auto"/>
          <w:szCs w:val="21"/>
          <w:highlight w:val="none"/>
        </w:rPr>
      </w:pPr>
    </w:p>
    <w:p w14:paraId="16A047E9">
      <w:pPr>
        <w:pStyle w:val="5"/>
        <w:rPr>
          <w:rStyle w:val="41"/>
          <w:rFonts w:ascii="宋体"/>
          <w:color w:val="auto"/>
          <w:szCs w:val="21"/>
          <w:highlight w:val="none"/>
        </w:rPr>
      </w:pPr>
    </w:p>
    <w:p w14:paraId="4BA3D944">
      <w:pPr>
        <w:pStyle w:val="5"/>
        <w:rPr>
          <w:rStyle w:val="41"/>
          <w:rFonts w:ascii="宋体"/>
          <w:color w:val="auto"/>
          <w:szCs w:val="21"/>
          <w:highlight w:val="none"/>
        </w:rPr>
      </w:pPr>
    </w:p>
    <w:p w14:paraId="03DB8A79">
      <w:pPr>
        <w:adjustRightInd w:val="0"/>
        <w:snapToGrid w:val="0"/>
        <w:ind w:firstLine="640" w:firstLineChars="200"/>
        <w:jc w:val="center"/>
        <w:rPr>
          <w:rFonts w:ascii="宋体"/>
          <w:color w:val="auto"/>
          <w:sz w:val="32"/>
          <w:szCs w:val="32"/>
          <w:highlight w:val="none"/>
        </w:rPr>
      </w:pPr>
    </w:p>
    <w:p w14:paraId="5E45A143">
      <w:pPr>
        <w:adjustRightInd w:val="0"/>
        <w:snapToGrid w:val="0"/>
        <w:spacing w:line="360" w:lineRule="auto"/>
        <w:ind w:firstLine="1280" w:firstLineChars="400"/>
        <w:rPr>
          <w:rFonts w:hint="eastAsia" w:ascii="宋体"/>
          <w:color w:val="auto"/>
          <w:sz w:val="32"/>
          <w:szCs w:val="32"/>
          <w:highlight w:val="none"/>
        </w:rPr>
      </w:pPr>
    </w:p>
    <w:p w14:paraId="696B95B3">
      <w:pPr>
        <w:adjustRightInd w:val="0"/>
        <w:snapToGrid w:val="0"/>
        <w:spacing w:line="360" w:lineRule="auto"/>
        <w:ind w:firstLine="1280" w:firstLineChars="400"/>
        <w:rPr>
          <w:rFonts w:hint="eastAsia" w:ascii="宋体"/>
          <w:color w:val="auto"/>
          <w:sz w:val="32"/>
          <w:szCs w:val="32"/>
          <w:highlight w:val="none"/>
        </w:rPr>
      </w:pPr>
    </w:p>
    <w:p w14:paraId="43CC3BB3">
      <w:pPr>
        <w:adjustRightInd w:val="0"/>
        <w:snapToGrid w:val="0"/>
        <w:spacing w:line="360" w:lineRule="auto"/>
        <w:ind w:firstLine="1280" w:firstLineChars="400"/>
        <w:rPr>
          <w:rFonts w:hint="eastAsia" w:ascii="宋体"/>
          <w:color w:val="auto"/>
          <w:sz w:val="32"/>
          <w:szCs w:val="32"/>
          <w:highlight w:val="none"/>
        </w:rPr>
      </w:pPr>
    </w:p>
    <w:p w14:paraId="7D03C78B">
      <w:pPr>
        <w:adjustRightInd w:val="0"/>
        <w:snapToGrid w:val="0"/>
        <w:spacing w:line="360" w:lineRule="auto"/>
        <w:ind w:firstLine="1280" w:firstLineChars="400"/>
        <w:rPr>
          <w:rFonts w:hint="eastAsia" w:ascii="宋体"/>
          <w:color w:val="auto"/>
          <w:sz w:val="32"/>
          <w:szCs w:val="32"/>
          <w:highlight w:val="none"/>
        </w:rPr>
      </w:pPr>
    </w:p>
    <w:p w14:paraId="5C13FC95">
      <w:pPr>
        <w:adjustRightInd w:val="0"/>
        <w:snapToGrid w:val="0"/>
        <w:spacing w:line="360" w:lineRule="auto"/>
        <w:ind w:firstLine="1280" w:firstLineChars="400"/>
        <w:rPr>
          <w:rFonts w:hint="eastAsia" w:ascii="宋体"/>
          <w:color w:val="auto"/>
          <w:sz w:val="32"/>
          <w:szCs w:val="32"/>
          <w:highlight w:val="none"/>
        </w:rPr>
      </w:pPr>
    </w:p>
    <w:p w14:paraId="246FB749">
      <w:pPr>
        <w:adjustRightInd w:val="0"/>
        <w:snapToGrid w:val="0"/>
        <w:spacing w:line="480" w:lineRule="auto"/>
        <w:ind w:firstLine="1280" w:firstLineChars="400"/>
        <w:rPr>
          <w:rFonts w:hint="eastAsia" w:ascii="宋体" w:eastAsia="宋体"/>
          <w:color w:val="auto"/>
          <w:sz w:val="32"/>
          <w:szCs w:val="32"/>
          <w:highlight w:val="none"/>
          <w:lang w:eastAsia="zh-CN"/>
        </w:rPr>
      </w:pPr>
      <w:r>
        <w:rPr>
          <w:rFonts w:hint="eastAsia" w:ascii="宋体"/>
          <w:color w:val="auto"/>
          <w:sz w:val="32"/>
          <w:szCs w:val="32"/>
          <w:highlight w:val="none"/>
        </w:rPr>
        <w:t>采购项目编号：XJ20250902803</w:t>
      </w:r>
    </w:p>
    <w:p w14:paraId="77504AAE">
      <w:pPr>
        <w:adjustRightInd w:val="0"/>
        <w:snapToGrid w:val="0"/>
        <w:spacing w:line="480" w:lineRule="auto"/>
        <w:ind w:firstLine="1280" w:firstLineChars="400"/>
        <w:rPr>
          <w:rFonts w:ascii="宋体"/>
          <w:color w:val="auto"/>
          <w:sz w:val="32"/>
          <w:szCs w:val="32"/>
          <w:highlight w:val="none"/>
        </w:rPr>
      </w:pPr>
      <w:r>
        <w:rPr>
          <w:rFonts w:hint="eastAsia" w:ascii="宋体"/>
          <w:color w:val="auto"/>
          <w:sz w:val="32"/>
          <w:szCs w:val="32"/>
          <w:highlight w:val="none"/>
        </w:rPr>
        <w:t>采   购   人：中煤天津设计工程有限责任公司</w:t>
      </w:r>
    </w:p>
    <w:p w14:paraId="6D8E7DBE">
      <w:pPr>
        <w:pStyle w:val="11"/>
        <w:spacing w:line="480" w:lineRule="auto"/>
        <w:jc w:val="center"/>
        <w:rPr>
          <w:rFonts w:ascii="黑体" w:eastAsia="黑体"/>
          <w:bCs/>
          <w:color w:val="auto"/>
          <w:kern w:val="2"/>
          <w:sz w:val="36"/>
          <w:szCs w:val="36"/>
          <w:highlight w:val="none"/>
        </w:rPr>
      </w:pPr>
      <w:r>
        <w:rPr>
          <w:rFonts w:ascii="宋体"/>
          <w:color w:val="auto"/>
          <w:sz w:val="32"/>
          <w:szCs w:val="32"/>
          <w:highlight w:val="none"/>
        </w:rPr>
        <w:t>202</w:t>
      </w:r>
      <w:r>
        <w:rPr>
          <w:rFonts w:hint="eastAsia" w:ascii="宋体"/>
          <w:color w:val="auto"/>
          <w:sz w:val="32"/>
          <w:szCs w:val="32"/>
          <w:highlight w:val="none"/>
          <w:lang w:val="en-US" w:eastAsia="zh-CN"/>
        </w:rPr>
        <w:t xml:space="preserve">5 </w:t>
      </w:r>
      <w:r>
        <w:rPr>
          <w:rFonts w:hint="eastAsia" w:ascii="宋体"/>
          <w:color w:val="auto"/>
          <w:sz w:val="32"/>
          <w:szCs w:val="32"/>
          <w:highlight w:val="none"/>
        </w:rPr>
        <w:t>年</w:t>
      </w:r>
      <w:r>
        <w:rPr>
          <w:rFonts w:hint="eastAsia" w:ascii="宋体"/>
          <w:color w:val="auto"/>
          <w:sz w:val="32"/>
          <w:szCs w:val="32"/>
          <w:highlight w:val="none"/>
          <w:lang w:val="en-US" w:eastAsia="zh-CN"/>
        </w:rPr>
        <w:t xml:space="preserve"> 9 </w:t>
      </w:r>
      <w:r>
        <w:rPr>
          <w:rFonts w:hint="eastAsia" w:ascii="宋体"/>
          <w:color w:val="auto"/>
          <w:sz w:val="32"/>
          <w:szCs w:val="32"/>
          <w:highlight w:val="none"/>
        </w:rPr>
        <w:t>月</w:t>
      </w:r>
    </w:p>
    <w:p w14:paraId="3693BBC7">
      <w:pPr>
        <w:pStyle w:val="23"/>
        <w:ind w:firstLine="4392" w:firstLineChars="1823"/>
        <w:rPr>
          <w:color w:val="auto"/>
          <w:highlight w:val="none"/>
        </w:rPr>
      </w:pPr>
      <w:r>
        <w:rPr>
          <w:rFonts w:ascii="宋体" w:eastAsia="宋体"/>
          <w:color w:val="auto"/>
          <w:highlight w:val="none"/>
        </w:rPr>
        <w:br w:type="page"/>
      </w:r>
      <w:r>
        <w:rPr>
          <w:rFonts w:ascii="宋体" w:eastAsia="宋体"/>
          <w:color w:val="auto"/>
          <w:highlight w:val="none"/>
        </w:rPr>
        <w:fldChar w:fldCharType="begin"/>
      </w:r>
      <w:r>
        <w:rPr>
          <w:rFonts w:ascii="宋体" w:eastAsia="宋体"/>
          <w:color w:val="auto"/>
          <w:highlight w:val="none"/>
        </w:rPr>
        <w:instrText xml:space="preserve"> TOC \o "1-2" \h \z \u </w:instrText>
      </w:r>
      <w:r>
        <w:rPr>
          <w:rFonts w:ascii="宋体" w:eastAsia="宋体"/>
          <w:color w:val="auto"/>
          <w:highlight w:val="none"/>
        </w:rPr>
        <w:fldChar w:fldCharType="separate"/>
      </w:r>
    </w:p>
    <w:p w14:paraId="0084C5D2">
      <w:pPr>
        <w:pStyle w:val="23"/>
        <w:rPr>
          <w:rFonts w:hint="eastAsia" w:ascii="Calibri" w:hAnsi="Calibri" w:eastAsia="黑体" w:cs="Arial"/>
          <w:b w:val="0"/>
          <w:bCs w:val="0"/>
          <w:caps w:val="0"/>
          <w:color w:val="auto"/>
          <w:sz w:val="21"/>
          <w:szCs w:val="22"/>
          <w:highlight w:val="none"/>
          <w:lang w:eastAsia="zh-CN"/>
        </w:rPr>
      </w:pPr>
      <w:r>
        <w:rPr>
          <w:color w:val="auto"/>
          <w:highlight w:val="none"/>
        </w:rPr>
        <w:fldChar w:fldCharType="begin"/>
      </w:r>
      <w:r>
        <w:rPr>
          <w:color w:val="auto"/>
          <w:highlight w:val="none"/>
        </w:rPr>
        <w:instrText xml:space="preserve"> HYPERLINK \l "_Toc10184872" </w:instrText>
      </w:r>
      <w:r>
        <w:rPr>
          <w:color w:val="auto"/>
          <w:highlight w:val="none"/>
        </w:rPr>
        <w:fldChar w:fldCharType="separate"/>
      </w:r>
      <w:r>
        <w:rPr>
          <w:rFonts w:hint="eastAsia" w:ascii="宋体" w:hAnsi="宋体"/>
          <w:color w:val="auto"/>
          <w:highlight w:val="none"/>
        </w:rPr>
        <w:t>第一章 采购</w:t>
      </w:r>
      <w:r>
        <w:rPr>
          <w:rFonts w:hint="eastAsia" w:ascii="宋体" w:hAnsi="宋体"/>
          <w:color w:val="auto"/>
          <w:highlight w:val="none"/>
          <w:lang w:eastAsia="zh-CN"/>
        </w:rPr>
        <w:t>公</w:t>
      </w:r>
      <w:r>
        <w:rPr>
          <w:rFonts w:hint="eastAsia" w:ascii="宋体" w:hAnsi="宋体"/>
          <w:color w:val="auto"/>
          <w:highlight w:val="none"/>
        </w:rPr>
        <w:fldChar w:fldCharType="end"/>
      </w:r>
      <w:r>
        <w:rPr>
          <w:rFonts w:hint="eastAsia" w:ascii="宋体" w:hAnsi="宋体"/>
          <w:color w:val="auto"/>
          <w:highlight w:val="none"/>
          <w:lang w:eastAsia="zh-CN"/>
        </w:rPr>
        <w:t>告</w:t>
      </w:r>
    </w:p>
    <w:p w14:paraId="767F196D">
      <w:pPr>
        <w:pStyle w:val="23"/>
        <w:rPr>
          <w:color w:val="auto"/>
          <w:highlight w:val="none"/>
        </w:rPr>
      </w:pPr>
    </w:p>
    <w:p w14:paraId="6B3D257D">
      <w:pPr>
        <w:pStyle w:val="23"/>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"_Toc10184873" </w:instrText>
      </w:r>
      <w:r>
        <w:rPr>
          <w:color w:val="auto"/>
          <w:highlight w:val="none"/>
        </w:rPr>
        <w:fldChar w:fldCharType="separate"/>
      </w:r>
      <w:r>
        <w:rPr>
          <w:rFonts w:hint="eastAsia" w:ascii="宋体" w:hAnsi="宋体"/>
          <w:color w:val="auto"/>
          <w:highlight w:val="none"/>
        </w:rPr>
        <w:t>第二章 供应商须知及前附表</w:t>
      </w:r>
      <w:r>
        <w:rPr>
          <w:rFonts w:hint="eastAsia" w:ascii="宋体" w:hAnsi="宋体"/>
          <w:color w:val="auto"/>
          <w:highlight w:val="none"/>
        </w:rPr>
        <w:fldChar w:fldCharType="end"/>
      </w:r>
    </w:p>
    <w:p w14:paraId="36A6DB3F">
      <w:pPr>
        <w:pStyle w:val="23"/>
        <w:rPr>
          <w:color w:val="auto"/>
          <w:highlight w:val="none"/>
        </w:rPr>
      </w:pPr>
    </w:p>
    <w:p w14:paraId="44AAD2FA">
      <w:pPr>
        <w:pStyle w:val="23"/>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"_Toc10184881" </w:instrText>
      </w:r>
      <w:r>
        <w:rPr>
          <w:color w:val="auto"/>
          <w:highlight w:val="none"/>
        </w:rPr>
        <w:fldChar w:fldCharType="separate"/>
      </w:r>
      <w:r>
        <w:rPr>
          <w:rFonts w:hint="eastAsia" w:ascii="宋体" w:hAnsi="宋体"/>
          <w:color w:val="auto"/>
          <w:highlight w:val="none"/>
        </w:rPr>
        <w:t>第三章 合同主要条款</w:t>
      </w:r>
      <w:r>
        <w:rPr>
          <w:rFonts w:hint="eastAsia" w:ascii="宋体" w:hAnsi="宋体"/>
          <w:color w:val="auto"/>
          <w:highlight w:val="none"/>
        </w:rPr>
        <w:fldChar w:fldCharType="end"/>
      </w:r>
    </w:p>
    <w:p w14:paraId="7D5956C7">
      <w:pPr>
        <w:pStyle w:val="23"/>
        <w:rPr>
          <w:color w:val="auto"/>
          <w:highlight w:val="none"/>
        </w:rPr>
      </w:pPr>
    </w:p>
    <w:p w14:paraId="6DDC7961">
      <w:pPr>
        <w:pStyle w:val="23"/>
        <w:rPr>
          <w:rFonts w:ascii="Calibri" w:hAnsi="Calibri" w:eastAsia="宋体" w:cs="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"_Toc10184882" </w:instrText>
      </w:r>
      <w:r>
        <w:rPr>
          <w:color w:val="auto"/>
          <w:highlight w:val="none"/>
        </w:rPr>
        <w:fldChar w:fldCharType="separate"/>
      </w:r>
      <w:r>
        <w:rPr>
          <w:rFonts w:hint="eastAsia" w:ascii="宋体" w:hAnsi="宋体"/>
          <w:color w:val="auto"/>
          <w:highlight w:val="none"/>
        </w:rPr>
        <w:t>第四章 技术规格书</w:t>
      </w:r>
      <w:r>
        <w:rPr>
          <w:rFonts w:hint="eastAsia" w:ascii="宋体" w:hAnsi="宋体"/>
          <w:color w:val="auto"/>
          <w:highlight w:val="none"/>
        </w:rPr>
        <w:fldChar w:fldCharType="end"/>
      </w:r>
    </w:p>
    <w:p w14:paraId="2EF90460">
      <w:pPr>
        <w:pStyle w:val="23"/>
        <w:rPr>
          <w:color w:val="auto"/>
          <w:highlight w:val="none"/>
        </w:rPr>
      </w:pPr>
    </w:p>
    <w:p w14:paraId="6C01CD71">
      <w:pPr>
        <w:pStyle w:val="23"/>
        <w:rPr>
          <w:rFonts w:hint="eastAsia"/>
          <w:color w:val="auto"/>
          <w:highlight w:val="none"/>
        </w:rPr>
      </w:pPr>
      <w:r>
        <w:rPr>
          <w:color w:val="auto"/>
          <w:highlight w:val="none"/>
        </w:rPr>
        <w:fldChar w:fldCharType="begin"/>
      </w:r>
      <w:r>
        <w:rPr>
          <w:color w:val="auto"/>
          <w:highlight w:val="none"/>
        </w:rPr>
        <w:instrText xml:space="preserve"> HYPERLINK \l "_Toc10184883" </w:instrText>
      </w:r>
      <w:r>
        <w:rPr>
          <w:color w:val="auto"/>
          <w:highlight w:val="none"/>
        </w:rPr>
        <w:fldChar w:fldCharType="separate"/>
      </w:r>
      <w:r>
        <w:rPr>
          <w:rFonts w:hint="eastAsia"/>
          <w:color w:val="auto"/>
          <w:highlight w:val="none"/>
        </w:rPr>
        <w:t>第五章 采购响应文件格式</w:t>
      </w:r>
      <w:r>
        <w:rPr>
          <w:rFonts w:hint="eastAsia"/>
          <w:color w:val="auto"/>
          <w:highlight w:val="none"/>
        </w:rPr>
        <w:fldChar w:fldCharType="end"/>
      </w:r>
    </w:p>
    <w:p w14:paraId="1FA96183">
      <w:pPr>
        <w:keepNext w:val="0"/>
        <w:keepLines w:val="0"/>
        <w:pageBreakBefore w:val="0"/>
        <w:widowControl/>
        <w:kinsoku/>
        <w:wordWrap/>
        <w:overflowPunct/>
        <w:topLinePunct w:val="0"/>
        <w:autoSpaceDE/>
        <w:autoSpaceDN/>
        <w:bidi w:val="0"/>
        <w:adjustRightInd/>
        <w:snapToGrid/>
        <w:ind w:firstLine="100" w:firstLineChars="50"/>
        <w:jc w:val="center"/>
        <w:textAlignment w:val="auto"/>
        <w:outlineLvl w:val="0"/>
        <w:rPr>
          <w:rFonts w:ascii="宋体"/>
          <w:color w:val="auto"/>
          <w:highlight w:val="none"/>
        </w:rPr>
        <w:sectPr>
          <w:footerReference r:id="rId4" w:type="first"/>
          <w:footerReference r:id="rId3" w:type="default"/>
          <w:pgSz w:w="11907" w:h="16840"/>
          <w:pgMar w:top="1418" w:right="1275" w:bottom="1418" w:left="1531" w:header="1021" w:footer="907" w:gutter="0"/>
          <w:cols w:space="720" w:num="1"/>
          <w:docGrid w:linePitch="312" w:charSpace="0"/>
        </w:sectPr>
      </w:pPr>
    </w:p>
    <w:p w14:paraId="3E0997D2">
      <w:pPr>
        <w:keepNext w:val="0"/>
        <w:keepLines w:val="0"/>
        <w:pageBreakBefore w:val="0"/>
        <w:widowControl/>
        <w:kinsoku/>
        <w:wordWrap/>
        <w:overflowPunct/>
        <w:topLinePunct w:val="0"/>
        <w:autoSpaceDE/>
        <w:autoSpaceDN/>
        <w:bidi w:val="0"/>
        <w:adjustRightInd/>
        <w:snapToGrid/>
        <w:ind w:firstLine="100" w:firstLineChars="50"/>
        <w:jc w:val="center"/>
        <w:textAlignment w:val="auto"/>
        <w:outlineLvl w:val="0"/>
        <w:rPr>
          <w:rFonts w:hint="eastAsia" w:ascii="宋体" w:eastAsia="宋体"/>
          <w:b/>
          <w:color w:val="auto"/>
          <w:kern w:val="2"/>
          <w:sz w:val="32"/>
          <w:szCs w:val="32"/>
          <w:highlight w:val="none"/>
          <w:lang w:eastAsia="zh-CN"/>
        </w:rPr>
      </w:pPr>
      <w:r>
        <w:rPr>
          <w:rFonts w:ascii="宋体"/>
          <w:color w:val="auto"/>
          <w:highlight w:val="none"/>
        </w:rPr>
        <w:fldChar w:fldCharType="end"/>
      </w:r>
      <w:bookmarkStart w:id="0" w:name="_Toc4336"/>
      <w:bookmarkStart w:id="1" w:name="_Toc10184872"/>
      <w:bookmarkStart w:id="2" w:name="_Toc376793708"/>
      <w:bookmarkStart w:id="3" w:name="_Toc376793553"/>
      <w:bookmarkStart w:id="4" w:name="_Toc199062850"/>
      <w:bookmarkStart w:id="5" w:name="_Toc382509453"/>
      <w:bookmarkStart w:id="6" w:name="_Toc199065441"/>
      <w:bookmarkStart w:id="7" w:name="_Toc376164237"/>
      <w:bookmarkStart w:id="8" w:name="_Toc376793572"/>
      <w:bookmarkStart w:id="9" w:name="_Toc199040648"/>
      <w:r>
        <w:rPr>
          <w:rFonts w:hint="eastAsia" w:ascii="宋体"/>
          <w:b/>
          <w:color w:val="auto"/>
          <w:kern w:val="2"/>
          <w:sz w:val="32"/>
          <w:szCs w:val="32"/>
          <w:highlight w:val="none"/>
        </w:rPr>
        <w:t>第一</w:t>
      </w:r>
      <w:r>
        <w:rPr>
          <w:rFonts w:ascii="宋体"/>
          <w:b/>
          <w:color w:val="auto"/>
          <w:kern w:val="2"/>
          <w:sz w:val="32"/>
          <w:szCs w:val="32"/>
          <w:highlight w:val="none"/>
        </w:rPr>
        <w:t>章</w:t>
      </w:r>
      <w:bookmarkEnd w:id="0"/>
      <w:r>
        <w:rPr>
          <w:rFonts w:hint="eastAsia" w:ascii="宋体"/>
          <w:b/>
          <w:color w:val="auto"/>
          <w:kern w:val="2"/>
          <w:sz w:val="32"/>
          <w:szCs w:val="32"/>
          <w:highlight w:val="none"/>
        </w:rPr>
        <w:t xml:space="preserve"> 采购</w:t>
      </w:r>
      <w:bookmarkEnd w:id="1"/>
      <w:r>
        <w:rPr>
          <w:rFonts w:hint="eastAsia" w:ascii="宋体"/>
          <w:b/>
          <w:color w:val="auto"/>
          <w:kern w:val="2"/>
          <w:sz w:val="32"/>
          <w:szCs w:val="32"/>
          <w:highlight w:val="none"/>
          <w:lang w:eastAsia="zh-CN"/>
        </w:rPr>
        <w:t>公告</w:t>
      </w:r>
    </w:p>
    <w:p w14:paraId="0DC7A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olor w:val="auto"/>
          <w:sz w:val="24"/>
          <w:szCs w:val="24"/>
          <w:highlight w:val="none"/>
          <w:lang w:eastAsia="zh-CN"/>
        </w:rPr>
      </w:pPr>
      <w:r>
        <w:rPr>
          <w:rFonts w:hint="eastAsia" w:ascii="Arial" w:hAnsi="Arial" w:cs="Arial"/>
          <w:color w:val="auto"/>
          <w:sz w:val="24"/>
          <w:szCs w:val="24"/>
          <w:highlight w:val="none"/>
        </w:rPr>
        <w:t>项目编号：XJ20250902803</w:t>
      </w:r>
    </w:p>
    <w:p w14:paraId="12F97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color w:val="auto"/>
          <w:sz w:val="24"/>
          <w:szCs w:val="24"/>
          <w:highlight w:val="none"/>
          <w:lang w:val="en-US" w:eastAsia="zh-CN"/>
        </w:rPr>
      </w:pPr>
      <w:r>
        <w:rPr>
          <w:rFonts w:hint="eastAsia" w:ascii="Arial" w:hAnsi="Arial" w:cs="Arial"/>
          <w:color w:val="auto"/>
          <w:sz w:val="24"/>
          <w:szCs w:val="24"/>
          <w:highlight w:val="none"/>
        </w:rPr>
        <w:t xml:space="preserve">类   </w:t>
      </w:r>
      <w:r>
        <w:rPr>
          <w:rFonts w:hint="eastAsia" w:ascii="Arial" w:hAnsi="Arial" w:cs="Arial"/>
          <w:color w:val="auto"/>
          <w:sz w:val="24"/>
          <w:szCs w:val="24"/>
          <w:highlight w:val="none"/>
          <w:lang w:val="en-US" w:eastAsia="zh-CN"/>
        </w:rPr>
        <w:t xml:space="preserve"> </w:t>
      </w:r>
      <w:r>
        <w:rPr>
          <w:rFonts w:hint="eastAsia" w:ascii="Arial" w:hAnsi="Arial" w:cs="Arial"/>
          <w:color w:val="auto"/>
          <w:sz w:val="24"/>
          <w:szCs w:val="24"/>
          <w:highlight w:val="none"/>
        </w:rPr>
        <w:t>别：</w:t>
      </w:r>
      <w:r>
        <w:rPr>
          <w:rFonts w:hint="eastAsia" w:ascii="Arial" w:hAnsi="Arial" w:cs="Arial"/>
          <w:color w:val="auto"/>
          <w:sz w:val="24"/>
          <w:szCs w:val="24"/>
          <w:highlight w:val="none"/>
          <w:lang w:val="en-US" w:eastAsia="zh-CN"/>
        </w:rPr>
        <w:t>公开谈判</w:t>
      </w:r>
    </w:p>
    <w:p w14:paraId="4AF29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cs="Arial"/>
          <w:color w:val="auto"/>
          <w:kern w:val="0"/>
          <w:sz w:val="24"/>
          <w:szCs w:val="24"/>
          <w:highlight w:val="none"/>
        </w:rPr>
      </w:pPr>
      <w:r>
        <w:rPr>
          <w:rFonts w:hint="eastAsia" w:ascii="Arial" w:hAnsi="Arial" w:cs="Arial"/>
          <w:color w:val="auto"/>
          <w:kern w:val="0"/>
          <w:sz w:val="24"/>
          <w:szCs w:val="24"/>
          <w:highlight w:val="none"/>
        </w:rPr>
        <w:t>谈判时间：</w:t>
      </w:r>
      <w:bookmarkStart w:id="10" w:name="NoticeOpenTime_0_5149"/>
      <w:r>
        <w:rPr>
          <w:rFonts w:hint="eastAsia" w:ascii="Arial" w:hAnsi="Arial" w:cs="Arial"/>
          <w:color w:val="auto"/>
          <w:kern w:val="0"/>
          <w:sz w:val="24"/>
          <w:szCs w:val="24"/>
          <w:highlight w:val="none"/>
        </w:rPr>
        <w:t>202</w:t>
      </w:r>
      <w:r>
        <w:rPr>
          <w:rFonts w:hint="eastAsia" w:ascii="Arial" w:hAnsi="Arial" w:cs="Arial"/>
          <w:color w:val="auto"/>
          <w:kern w:val="0"/>
          <w:sz w:val="24"/>
          <w:szCs w:val="24"/>
          <w:highlight w:val="none"/>
          <w:lang w:val="en-US" w:eastAsia="zh-CN"/>
        </w:rPr>
        <w:t>5</w:t>
      </w:r>
      <w:r>
        <w:rPr>
          <w:rFonts w:hint="eastAsia" w:ascii="Arial" w:hAnsi="Arial" w:cs="Arial"/>
          <w:color w:val="auto"/>
          <w:kern w:val="0"/>
          <w:sz w:val="24"/>
          <w:szCs w:val="24"/>
          <w:highlight w:val="none"/>
        </w:rPr>
        <w:t>-</w:t>
      </w:r>
      <w:r>
        <w:rPr>
          <w:rFonts w:hint="eastAsia" w:ascii="Arial" w:hAnsi="Arial" w:cs="Arial"/>
          <w:color w:val="auto"/>
          <w:kern w:val="0"/>
          <w:sz w:val="24"/>
          <w:szCs w:val="24"/>
          <w:highlight w:val="none"/>
          <w:lang w:val="en-US" w:eastAsia="zh-CN"/>
        </w:rPr>
        <w:t>09-17  15</w:t>
      </w:r>
      <w:bookmarkStart w:id="222" w:name="_GoBack"/>
      <w:bookmarkEnd w:id="222"/>
      <w:r>
        <w:rPr>
          <w:rFonts w:hint="eastAsia" w:ascii="Arial" w:hAnsi="Arial" w:cs="Arial"/>
          <w:color w:val="auto"/>
          <w:kern w:val="0"/>
          <w:sz w:val="24"/>
          <w:szCs w:val="24"/>
          <w:highlight w:val="none"/>
        </w:rPr>
        <w:t>:</w:t>
      </w:r>
      <w:r>
        <w:rPr>
          <w:rFonts w:hint="eastAsia" w:ascii="Arial" w:hAnsi="Arial" w:cs="Arial"/>
          <w:color w:val="auto"/>
          <w:kern w:val="0"/>
          <w:sz w:val="24"/>
          <w:szCs w:val="24"/>
          <w:highlight w:val="none"/>
          <w:lang w:val="en-US" w:eastAsia="zh-CN"/>
        </w:rPr>
        <w:t>0</w:t>
      </w:r>
      <w:r>
        <w:rPr>
          <w:rFonts w:hint="eastAsia" w:ascii="Arial" w:hAnsi="Arial" w:cs="Arial"/>
          <w:color w:val="auto"/>
          <w:kern w:val="0"/>
          <w:sz w:val="24"/>
          <w:szCs w:val="24"/>
          <w:highlight w:val="none"/>
        </w:rPr>
        <w:t>0</w:t>
      </w:r>
      <w:bookmarkEnd w:id="10"/>
    </w:p>
    <w:p w14:paraId="466EF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color w:val="auto"/>
          <w:sz w:val="24"/>
          <w:szCs w:val="24"/>
          <w:highlight w:val="none"/>
          <w:lang w:val="en-US"/>
        </w:rPr>
      </w:pPr>
      <w:r>
        <w:rPr>
          <w:rFonts w:hint="default" w:ascii="宋体" w:hAnsi="宋体" w:eastAsia="宋体" w:cs="Times New Roman"/>
          <w:color w:val="auto"/>
          <w:sz w:val="24"/>
          <w:szCs w:val="24"/>
          <w:highlight w:val="none"/>
          <w:lang w:val="en-US" w:eastAsia="zh-CN" w:bidi="ar-SA"/>
        </w:rPr>
        <w:t>根据相关法律法规，遵循公开、公平、公正和诚实信用的原则，现对</w:t>
      </w:r>
      <w:r>
        <w:rPr>
          <w:rFonts w:hint="eastAsia" w:ascii="宋体" w:hAnsi="宋体" w:eastAsia="宋体" w:cs="Times New Roman"/>
          <w:color w:val="auto"/>
          <w:sz w:val="24"/>
          <w:szCs w:val="24"/>
          <w:highlight w:val="none"/>
          <w:lang w:val="en-US" w:eastAsia="zh-CN" w:bidi="ar-SA"/>
        </w:rPr>
        <w:t>新疆三塘湖矿区条湖一号煤矿及配套选煤厂 EPC 项目地面建筑热水系统</w:t>
      </w:r>
      <w:r>
        <w:rPr>
          <w:rFonts w:hint="eastAsia" w:ascii="宋体" w:hAnsi="宋体" w:cs="Times New Roman"/>
          <w:color w:val="auto"/>
          <w:sz w:val="24"/>
          <w:szCs w:val="24"/>
          <w:highlight w:val="none"/>
          <w:lang w:val="en-US" w:eastAsia="zh-CN" w:bidi="ar-SA"/>
        </w:rPr>
        <w:t>重新谈判</w:t>
      </w:r>
      <w:r>
        <w:rPr>
          <w:rFonts w:hint="eastAsia" w:ascii="宋体" w:hAnsi="宋体" w:eastAsia="宋体" w:cs="Times New Roman"/>
          <w:color w:val="auto"/>
          <w:sz w:val="24"/>
          <w:szCs w:val="24"/>
          <w:highlight w:val="none"/>
          <w:lang w:val="en-US" w:eastAsia="zh-CN" w:bidi="ar-SA"/>
        </w:rPr>
        <w:t>进行</w:t>
      </w:r>
      <w:r>
        <w:rPr>
          <w:rFonts w:hint="eastAsia" w:ascii="宋体" w:hAnsi="宋体" w:cs="Times New Roman"/>
          <w:color w:val="auto"/>
          <w:sz w:val="24"/>
          <w:szCs w:val="24"/>
          <w:highlight w:val="none"/>
          <w:lang w:val="en-US" w:eastAsia="zh-CN" w:bidi="ar-SA"/>
        </w:rPr>
        <w:t>公开谈判，现邀请合格的潜在供应商参加。</w:t>
      </w:r>
    </w:p>
    <w:p w14:paraId="49971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本工程范围主要包括：</w:t>
      </w:r>
      <w:bookmarkStart w:id="11" w:name="OLE_LINK3"/>
      <w:r>
        <w:rPr>
          <w:rFonts w:hint="eastAsia" w:ascii="宋体" w:hAnsi="宋体" w:cs="Times New Roman"/>
          <w:b/>
          <w:bCs/>
          <w:color w:val="auto"/>
          <w:sz w:val="24"/>
          <w:szCs w:val="24"/>
          <w:highlight w:val="none"/>
          <w:lang w:val="en-US" w:eastAsia="zh-CN" w:bidi="ar-SA"/>
        </w:rPr>
        <w:t>井下水仓清淤设备一套</w:t>
      </w:r>
      <w:r>
        <w:rPr>
          <w:rFonts w:hint="eastAsia" w:ascii="宋体" w:hAnsi="宋体" w:cs="Times New Roman"/>
          <w:b/>
          <w:bCs/>
          <w:color w:val="auto"/>
          <w:sz w:val="24"/>
          <w:szCs w:val="24"/>
          <w:highlight w:val="none"/>
          <w:lang w:val="en-US" w:eastAsia="zh-CN" w:bidi="ar-SA"/>
        </w:rPr>
        <w:t>。</w:t>
      </w:r>
      <w:r>
        <w:rPr>
          <w:rFonts w:hint="eastAsia" w:ascii="宋体" w:hAnsi="宋体" w:cs="Times New Roman"/>
          <w:color w:val="auto"/>
          <w:sz w:val="24"/>
          <w:szCs w:val="24"/>
          <w:highlight w:val="none"/>
          <w:lang w:val="en-US" w:eastAsia="zh-CN" w:bidi="ar-SA"/>
        </w:rPr>
        <w:t>详见技术规格书</w:t>
      </w:r>
      <w:r>
        <w:rPr>
          <w:rFonts w:hint="eastAsia" w:ascii="宋体" w:hAnsi="宋体" w:eastAsia="宋体" w:cs="Times New Roman"/>
          <w:color w:val="auto"/>
          <w:sz w:val="24"/>
          <w:szCs w:val="24"/>
          <w:highlight w:val="none"/>
          <w:lang w:val="en-US" w:eastAsia="zh-CN" w:bidi="ar-SA"/>
        </w:rPr>
        <w:t>。</w:t>
      </w:r>
    </w:p>
    <w:bookmarkEnd w:id="11"/>
    <w:p w14:paraId="19F646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color w:val="auto"/>
          <w:sz w:val="24"/>
          <w:szCs w:val="24"/>
          <w:highlight w:val="none"/>
        </w:rPr>
      </w:pPr>
      <w:r>
        <w:rPr>
          <w:rStyle w:val="33"/>
          <w:rFonts w:ascii="宋体" w:hAnsi="宋体" w:eastAsia="宋体" w:cs="宋体"/>
          <w:b/>
          <w:color w:val="auto"/>
          <w:sz w:val="24"/>
          <w:szCs w:val="24"/>
          <w:highlight w:val="none"/>
        </w:rPr>
        <w:t>2、质量标准</w:t>
      </w:r>
    </w:p>
    <w:p w14:paraId="2F26D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Times New Roman"/>
          <w:color w:val="auto"/>
          <w:sz w:val="24"/>
          <w:szCs w:val="24"/>
          <w:highlight w:val="none"/>
          <w:lang w:val="en-US" w:eastAsia="zh-CN" w:bidi="ar-SA"/>
        </w:rPr>
      </w:pPr>
      <w:r>
        <w:rPr>
          <w:rFonts w:hint="eastAsia" w:hAnsi="宋体" w:cs="Times New Roman"/>
          <w:color w:val="auto"/>
          <w:sz w:val="24"/>
          <w:szCs w:val="24"/>
          <w:highlight w:val="none"/>
          <w:lang w:val="en-US" w:eastAsia="zh-CN" w:bidi="ar-SA"/>
        </w:rPr>
        <w:t>产品符合国家有关安全生产、环境保护、职业健康、消防方面的法律、法规及国家、行业标准。</w:t>
      </w:r>
    </w:p>
    <w:p w14:paraId="3C38F7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Times New Roman" w:eastAsia="宋体" w:cs="Times New Roman"/>
          <w:color w:val="auto"/>
          <w:sz w:val="24"/>
          <w:szCs w:val="24"/>
          <w:highlight w:val="none"/>
          <w:lang w:val="en-US" w:eastAsia="zh-CN" w:bidi="ar-SA"/>
        </w:rPr>
      </w:pPr>
      <w:r>
        <w:rPr>
          <w:rStyle w:val="33"/>
          <w:rFonts w:ascii="宋体" w:hAnsi="宋体" w:eastAsia="宋体" w:cs="宋体"/>
          <w:b/>
          <w:color w:val="auto"/>
          <w:sz w:val="24"/>
          <w:szCs w:val="24"/>
          <w:highlight w:val="none"/>
        </w:rPr>
        <w:t>3、地点</w:t>
      </w:r>
      <w:r>
        <w:rPr>
          <w:rFonts w:ascii="宋体" w:hAnsi="宋体" w:eastAsia="宋体" w:cs="宋体"/>
          <w:b w:val="0"/>
          <w:color w:val="auto"/>
          <w:sz w:val="24"/>
          <w:szCs w:val="24"/>
          <w:highlight w:val="none"/>
        </w:rPr>
        <w:t>：</w:t>
      </w:r>
      <w:r>
        <w:rPr>
          <w:rFonts w:hint="eastAsia" w:cs="Times New Roman"/>
          <w:color w:val="auto"/>
          <w:sz w:val="24"/>
          <w:szCs w:val="24"/>
          <w:highlight w:val="none"/>
          <w:lang w:val="en-US" w:eastAsia="zh-CN" w:bidi="ar-SA"/>
        </w:rPr>
        <w:t>新疆哈密市巴里坤哈萨克自治县三塘湖镇条湖一号煤矿工业场地。</w:t>
      </w:r>
    </w:p>
    <w:p w14:paraId="24C823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33"/>
          <w:rFonts w:ascii="宋体" w:hAnsi="宋体" w:eastAsia="宋体" w:cs="宋体"/>
          <w:color w:val="auto"/>
          <w:sz w:val="24"/>
          <w:szCs w:val="24"/>
          <w:highlight w:val="none"/>
          <w:lang w:val="en-US" w:eastAsia="zh-CN" w:bidi="ar-SA"/>
        </w:rPr>
      </w:pPr>
      <w:r>
        <w:rPr>
          <w:rStyle w:val="33"/>
          <w:rFonts w:ascii="宋体" w:hAnsi="宋体" w:eastAsia="宋体" w:cs="宋体"/>
          <w:color w:val="auto"/>
          <w:sz w:val="24"/>
          <w:szCs w:val="24"/>
          <w:highlight w:val="none"/>
          <w:lang w:val="en-US" w:eastAsia="zh-CN" w:bidi="ar-SA"/>
        </w:rPr>
        <w:t>4、</w:t>
      </w:r>
      <w:r>
        <w:rPr>
          <w:rStyle w:val="33"/>
          <w:rFonts w:hint="eastAsia" w:ascii="宋体" w:hAnsi="宋体" w:cs="宋体"/>
          <w:color w:val="auto"/>
          <w:sz w:val="24"/>
          <w:szCs w:val="24"/>
          <w:highlight w:val="none"/>
          <w:lang w:val="en-US" w:eastAsia="zh-CN" w:bidi="ar-SA"/>
        </w:rPr>
        <w:t>工期</w:t>
      </w:r>
      <w:r>
        <w:rPr>
          <w:rStyle w:val="33"/>
          <w:rFonts w:ascii="宋体" w:hAnsi="宋体" w:eastAsia="宋体" w:cs="宋体"/>
          <w:color w:val="auto"/>
          <w:sz w:val="24"/>
          <w:szCs w:val="24"/>
          <w:highlight w:val="none"/>
          <w:lang w:val="en-US" w:eastAsia="zh-CN" w:bidi="ar-SA"/>
        </w:rPr>
        <w:t>：</w:t>
      </w:r>
    </w:p>
    <w:p w14:paraId="6EB21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3"/>
          <w:rFonts w:hint="eastAsia" w:ascii="宋体" w:hAnsi="宋体" w:cs="宋体"/>
          <w:b w:val="0"/>
          <w:bCs/>
          <w:color w:val="auto"/>
          <w:sz w:val="24"/>
          <w:szCs w:val="24"/>
          <w:highlight w:val="none"/>
          <w:lang w:val="en-US" w:eastAsia="zh-CN" w:bidi="ar-SA"/>
        </w:rPr>
      </w:pPr>
      <w:r>
        <w:rPr>
          <w:rStyle w:val="33"/>
          <w:rFonts w:hint="eastAsia" w:ascii="宋体" w:hAnsi="宋体" w:cs="宋体"/>
          <w:b w:val="0"/>
          <w:bCs/>
          <w:color w:val="auto"/>
          <w:sz w:val="24"/>
          <w:szCs w:val="24"/>
          <w:highlight w:val="none"/>
          <w:lang w:val="en-US" w:eastAsia="zh-CN" w:bidi="ar-SA"/>
        </w:rPr>
        <w:t>在合同生效后45天内，乙方将本合同项下首批次产品交至甲方指定地点：新疆哈密市巴里坤县三塘湖乡条湖一号矿井工业场地（乙方负责卸货），并于货物到达交货地 2 日内通知甲方收货联系人。</w:t>
      </w:r>
    </w:p>
    <w:p w14:paraId="2CDB61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33"/>
          <w:rFonts w:hint="default"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5、付款方式：</w:t>
      </w:r>
    </w:p>
    <w:p w14:paraId="0A047A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eastAsia="zh-CN"/>
        </w:rPr>
        <w:t>）在产品依据技术标准及验收条件验收合格、签署交货验收单、乙方出具供货产品全部价款100%增值税专用发票后，甲方向乙方支付供货产品全部价款金额的60%。</w:t>
      </w:r>
    </w:p>
    <w:p w14:paraId="72BBFC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2</w:t>
      </w:r>
      <w:r>
        <w:rPr>
          <w:rFonts w:hint="eastAsia" w:hAnsi="宋体" w:cs="宋体"/>
          <w:b w:val="0"/>
          <w:bCs w:val="0"/>
          <w:color w:val="auto"/>
          <w:sz w:val="24"/>
          <w:szCs w:val="24"/>
          <w:highlight w:val="none"/>
          <w:lang w:eastAsia="zh-CN"/>
        </w:rPr>
        <w:t xml:space="preserve">）甲方完成设备安装，单机试运转合格后，甲方向乙方支付合同金额的30%。 </w:t>
      </w:r>
    </w:p>
    <w:p w14:paraId="701B7F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lang w:eastAsia="zh-CN"/>
        </w:rPr>
        <w:t>）本合同范围内</w:t>
      </w:r>
      <w:r>
        <w:rPr>
          <w:rFonts w:hint="eastAsia" w:hAnsi="宋体" w:cs="宋体"/>
          <w:b w:val="0"/>
          <w:bCs w:val="0"/>
          <w:color w:val="auto"/>
          <w:sz w:val="24"/>
          <w:szCs w:val="24"/>
          <w:highlight w:val="none"/>
          <w:lang w:val="en-US" w:eastAsia="zh-CN"/>
        </w:rPr>
        <w:t>供货产品</w:t>
      </w:r>
      <w:r>
        <w:rPr>
          <w:rFonts w:hint="eastAsia" w:hAnsi="宋体" w:cs="宋体"/>
          <w:b w:val="0"/>
          <w:bCs w:val="0"/>
          <w:color w:val="auto"/>
          <w:sz w:val="24"/>
          <w:szCs w:val="24"/>
          <w:highlight w:val="none"/>
          <w:lang w:eastAsia="zh-CN"/>
        </w:rPr>
        <w:t xml:space="preserve">安装调试完成，且全部质保期期满，货物或者服务符合质量保证要求，经甲方检查没有发现任何质量问题后，无乙方向甲方支付的违约金、赔偿金的甲方向乙方支付本合同范围内全部产品价款金额的10%，如有双方按照多退少补的原则结算。 </w:t>
      </w:r>
    </w:p>
    <w:p w14:paraId="568456A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lang w:eastAsia="zh-CN"/>
        </w:rPr>
        <w:t xml:space="preserve">）乙方未按本合同约定提供发票或提供的发票不合格的，甲方有权拒付相关款项，并不因此承担违约责任。 </w:t>
      </w:r>
    </w:p>
    <w:p w14:paraId="2FFDF9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33"/>
          <w:rFonts w:ascii="宋体" w:hAnsi="宋体" w:eastAsia="宋体" w:cs="宋体"/>
          <w:color w:val="auto"/>
          <w:sz w:val="24"/>
          <w:szCs w:val="24"/>
          <w:highlight w:val="none"/>
          <w:lang w:val="en-US" w:eastAsia="zh-CN" w:bidi="ar-SA"/>
        </w:rPr>
      </w:pPr>
      <w:r>
        <w:rPr>
          <w:rStyle w:val="33"/>
          <w:rFonts w:hint="eastAsia" w:ascii="宋体" w:hAnsi="宋体" w:eastAsia="宋体" w:cs="宋体"/>
          <w:color w:val="auto"/>
          <w:sz w:val="24"/>
          <w:szCs w:val="24"/>
          <w:highlight w:val="none"/>
          <w:lang w:val="en-US" w:eastAsia="zh-CN" w:bidi="ar-SA"/>
        </w:rPr>
        <w:t>6</w:t>
      </w:r>
      <w:r>
        <w:rPr>
          <w:rStyle w:val="33"/>
          <w:rFonts w:ascii="宋体" w:hAnsi="宋体" w:eastAsia="宋体" w:cs="宋体"/>
          <w:color w:val="auto"/>
          <w:sz w:val="24"/>
          <w:szCs w:val="24"/>
          <w:highlight w:val="none"/>
          <w:lang w:val="en-US" w:eastAsia="zh-CN" w:bidi="ar-SA"/>
        </w:rPr>
        <w:t>、供应商资格要求</w:t>
      </w:r>
    </w:p>
    <w:p w14:paraId="528A5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eastAsia="zh-CN"/>
        </w:rPr>
        <w:t>）投标人须为在中华人民共和国境内注册的独立法人，投标人应具备合法有效的营业执照，具有独立承担民事责任的能力（提供营业执照扫描件）；</w:t>
      </w:r>
    </w:p>
    <w:p w14:paraId="5D66FE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eastAsia="宋体" w:cs="宋体"/>
          <w:color w:val="auto"/>
          <w:highlight w:val="none"/>
          <w:lang w:val="en-US" w:eastAsia="zh-CN"/>
        </w:rPr>
      </w:pPr>
      <w:r>
        <w:rPr>
          <w:rFonts w:hint="eastAsia" w:hAnsi="宋体" w:cs="宋体"/>
          <w:color w:val="auto"/>
          <w:highlight w:val="none"/>
          <w:lang w:val="en-US" w:eastAsia="zh-CN"/>
        </w:rPr>
        <w:t>（2）</w:t>
      </w:r>
      <w:r>
        <w:rPr>
          <w:rFonts w:ascii="宋体" w:hAnsi="宋体" w:eastAsia="宋体" w:cs="宋体"/>
          <w:color w:val="auto"/>
          <w:sz w:val="24"/>
          <w:szCs w:val="24"/>
          <w:highlight w:val="none"/>
        </w:rPr>
        <w:t>供应商须为</w:t>
      </w:r>
      <w:r>
        <w:rPr>
          <w:rFonts w:hint="eastAsia" w:hAnsi="宋体" w:cs="宋体"/>
          <w:color w:val="auto"/>
          <w:sz w:val="24"/>
          <w:szCs w:val="24"/>
          <w:highlight w:val="none"/>
          <w:lang w:val="en-US" w:eastAsia="zh-CN"/>
        </w:rPr>
        <w:t>井下水仓清淤设备的</w:t>
      </w:r>
      <w:r>
        <w:rPr>
          <w:rFonts w:ascii="宋体" w:hAnsi="宋体" w:eastAsia="宋体" w:cs="宋体"/>
          <w:color w:val="auto"/>
          <w:sz w:val="24"/>
          <w:szCs w:val="24"/>
          <w:highlight w:val="none"/>
        </w:rPr>
        <w:t>生产厂家，本项目不接受代理商、经销商等“中间商”参与报价</w:t>
      </w:r>
      <w:r>
        <w:rPr>
          <w:rFonts w:hint="eastAsia" w:ascii="宋体" w:hAnsi="宋体" w:eastAsia="宋体" w:cs="宋体"/>
          <w:color w:val="auto"/>
          <w:sz w:val="24"/>
          <w:szCs w:val="24"/>
          <w:highlight w:val="none"/>
          <w:lang w:eastAsia="zh-CN"/>
        </w:rPr>
        <w:t>。</w:t>
      </w:r>
    </w:p>
    <w:p w14:paraId="737DB9F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highlight w:val="none"/>
          <w:lang w:eastAsia="zh-CN"/>
        </w:rPr>
      </w:pPr>
      <w:r>
        <w:rPr>
          <w:rFonts w:hint="eastAsia" w:hAnsi="宋体" w:cs="宋体"/>
          <w:color w:val="auto"/>
          <w:highlight w:val="none"/>
          <w:lang w:val="en-US" w:eastAsia="zh-CN"/>
        </w:rPr>
        <w:t>（3）</w:t>
      </w:r>
      <w:r>
        <w:rPr>
          <w:rFonts w:hint="eastAsia" w:hAnsi="宋体" w:cs="宋体"/>
          <w:b w:val="0"/>
          <w:bCs w:val="0"/>
          <w:color w:val="auto"/>
          <w:sz w:val="24"/>
          <w:szCs w:val="24"/>
          <w:highlight w:val="none"/>
          <w:lang w:eastAsia="zh-CN"/>
        </w:rPr>
        <w:t>投标人应提供近三年所投</w:t>
      </w:r>
      <w:r>
        <w:rPr>
          <w:rFonts w:hint="eastAsia" w:hAnsi="宋体" w:cs="宋体"/>
          <w:color w:val="auto"/>
          <w:sz w:val="24"/>
          <w:szCs w:val="24"/>
          <w:highlight w:val="none"/>
          <w:lang w:val="en-US" w:eastAsia="zh-CN"/>
        </w:rPr>
        <w:t>井下水仓清淤设备</w:t>
      </w:r>
      <w:r>
        <w:rPr>
          <w:rFonts w:hint="eastAsia" w:hAnsi="宋体" w:cs="宋体"/>
          <w:b w:val="0"/>
          <w:bCs w:val="0"/>
          <w:color w:val="auto"/>
          <w:sz w:val="24"/>
          <w:szCs w:val="24"/>
          <w:highlight w:val="none"/>
          <w:lang w:eastAsia="zh-CN"/>
        </w:rPr>
        <w:t>产品（2022年1月1日起至今，以合同签订时间为准）</w:t>
      </w:r>
      <w:r>
        <w:rPr>
          <w:rFonts w:hint="eastAsia" w:hAnsi="宋体" w:cs="宋体"/>
          <w:b w:val="0"/>
          <w:bCs w:val="0"/>
          <w:color w:val="auto"/>
          <w:sz w:val="24"/>
          <w:szCs w:val="24"/>
          <w:highlight w:val="none"/>
          <w:lang w:val="en-US" w:eastAsia="zh-CN"/>
        </w:rPr>
        <w:t>至少一项业绩</w:t>
      </w:r>
      <w:r>
        <w:rPr>
          <w:rFonts w:hint="eastAsia" w:hAnsi="宋体" w:cs="宋体"/>
          <w:b w:val="0"/>
          <w:bCs w:val="0"/>
          <w:color w:val="auto"/>
          <w:sz w:val="24"/>
          <w:szCs w:val="24"/>
          <w:highlight w:val="none"/>
          <w:lang w:eastAsia="zh-CN"/>
        </w:rPr>
        <w:t>（提供合同扫描件，合同无签订生效时间、合同首页、主要内容页、签字盖章页、印章不全的合同视为无效业绩）</w:t>
      </w:r>
      <w:r>
        <w:rPr>
          <w:rFonts w:hint="eastAsia" w:hAnsi="宋体" w:cs="宋体"/>
          <w:color w:val="auto"/>
          <w:highlight w:val="none"/>
          <w:lang w:val="en-US" w:eastAsia="zh-CN"/>
        </w:rPr>
        <w:t>。</w:t>
      </w:r>
    </w:p>
    <w:p w14:paraId="2F44D81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（4）单位负责人为同一人或者存在控股、管理关系、关联关系的不同单位，不可以在同一标段投标或者未划分标段的同一采购项目中参加报价。</w:t>
      </w:r>
    </w:p>
    <w:p w14:paraId="135E5A5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（5）本项目是否接受联合体投标：否。</w:t>
      </w:r>
    </w:p>
    <w:p w14:paraId="313A700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ascii="宋体" w:hAnsi="宋体" w:eastAsia="宋体" w:cs="宋体"/>
          <w:color w:val="auto"/>
          <w:sz w:val="24"/>
          <w:szCs w:val="24"/>
          <w:highlight w:val="none"/>
        </w:rPr>
      </w:pPr>
      <w:r>
        <w:rPr>
          <w:rStyle w:val="33"/>
          <w:rFonts w:hint="eastAsia" w:hAnsi="宋体" w:cs="宋体"/>
          <w:b/>
          <w:color w:val="auto"/>
          <w:sz w:val="24"/>
          <w:szCs w:val="24"/>
          <w:highlight w:val="none"/>
          <w:lang w:val="en-US" w:eastAsia="zh-CN"/>
        </w:rPr>
        <w:t>7</w:t>
      </w:r>
      <w:r>
        <w:rPr>
          <w:rStyle w:val="33"/>
          <w:rFonts w:ascii="宋体" w:hAnsi="宋体" w:eastAsia="宋体" w:cs="宋体"/>
          <w:b/>
          <w:color w:val="auto"/>
          <w:sz w:val="24"/>
          <w:szCs w:val="24"/>
          <w:highlight w:val="none"/>
        </w:rPr>
        <w:t>、联系方式</w:t>
      </w:r>
    </w:p>
    <w:p w14:paraId="3863209D">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采购人：中煤天津设计工程有限责任公司</w:t>
      </w:r>
    </w:p>
    <w:p w14:paraId="7AB13518">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地址：天津市红桥区大丰路安顺大厦（西北角水游城）3号楼</w:t>
      </w:r>
    </w:p>
    <w:p w14:paraId="59642D98">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联系人：</w:t>
      </w:r>
      <w:r>
        <w:rPr>
          <w:rFonts w:hint="eastAsia" w:hAnsi="宋体" w:cs="宋体"/>
          <w:b w:val="0"/>
          <w:color w:val="auto"/>
          <w:sz w:val="24"/>
          <w:szCs w:val="24"/>
          <w:highlight w:val="none"/>
          <w:lang w:val="en-US" w:eastAsia="zh-CN"/>
        </w:rPr>
        <w:t>张工</w:t>
      </w:r>
    </w:p>
    <w:p w14:paraId="2E3681DD">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电话：022-87779088</w:t>
      </w:r>
    </w:p>
    <w:p w14:paraId="226815CA">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hAnsi="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项目联系人：王经理</w:t>
      </w:r>
    </w:p>
    <w:p w14:paraId="0734E207">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hAnsi="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电话：17526590321</w:t>
      </w:r>
    </w:p>
    <w:p w14:paraId="5C165B78">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2" w:firstLineChars="200"/>
        <w:textAlignment w:val="auto"/>
        <w:rPr>
          <w:rFonts w:hAnsi="宋体" w:cs="宋体"/>
          <w:b/>
          <w:bCs/>
          <w:color w:val="auto"/>
          <w:highlight w:val="none"/>
        </w:rPr>
      </w:pPr>
      <w:r>
        <w:rPr>
          <w:rFonts w:hint="eastAsia" w:hAnsi="宋体" w:cs="宋体"/>
          <w:b/>
          <w:bCs/>
          <w:color w:val="auto"/>
          <w:highlight w:val="none"/>
          <w:lang w:val="en-US" w:eastAsia="zh-CN"/>
        </w:rPr>
        <w:t>8</w:t>
      </w:r>
      <w:r>
        <w:rPr>
          <w:rFonts w:hint="eastAsia" w:hAnsi="宋体" w:cs="宋体"/>
          <w:b/>
          <w:bCs/>
          <w:color w:val="auto"/>
          <w:highlight w:val="none"/>
        </w:rPr>
        <w:t>、投标须知</w:t>
      </w:r>
    </w:p>
    <w:p w14:paraId="2B012F4C">
      <w:pPr>
        <w:pStyle w:val="25"/>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firstLine="480" w:firstLineChars="200"/>
        <w:textAlignment w:val="auto"/>
        <w:rPr>
          <w:rFonts w:hAnsi="宋体" w:cs="宋体"/>
          <w:color w:val="auto"/>
          <w:highlight w:val="none"/>
        </w:rPr>
      </w:pPr>
      <w:r>
        <w:rPr>
          <w:rFonts w:hint="eastAsia" w:hAnsi="宋体" w:cs="宋体"/>
          <w:color w:val="auto"/>
          <w:highlight w:val="none"/>
        </w:rPr>
        <w:t>请各投标供应商投标时将投标文件扫描件（签字盖章</w:t>
      </w:r>
      <w:r>
        <w:rPr>
          <w:rFonts w:hint="eastAsia" w:hAnsi="宋体" w:cs="宋体"/>
          <w:color w:val="auto"/>
          <w:highlight w:val="none"/>
          <w:lang w:val="en-US" w:eastAsia="zh-CN"/>
        </w:rPr>
        <w:t>pdf</w:t>
      </w:r>
      <w:r>
        <w:rPr>
          <w:rFonts w:hint="eastAsia" w:hAnsi="宋体" w:cs="宋体"/>
          <w:color w:val="auto"/>
          <w:highlight w:val="none"/>
        </w:rPr>
        <w:t>版本）作为附件上传</w:t>
      </w:r>
      <w:r>
        <w:rPr>
          <w:rFonts w:hint="eastAsia" w:hAnsi="宋体" w:cs="宋体"/>
          <w:color w:val="auto"/>
          <w:highlight w:val="none"/>
          <w:lang w:val="en-US" w:eastAsia="zh-CN"/>
        </w:rPr>
        <w:t>至中煤易购平台报价附件</w:t>
      </w:r>
      <w:r>
        <w:rPr>
          <w:rFonts w:hint="eastAsia" w:hAnsi="宋体" w:cs="宋体"/>
          <w:color w:val="auto"/>
          <w:highlight w:val="none"/>
        </w:rPr>
        <w:t>，如未按规定上传投标文件将被视为未响应招标文件。</w:t>
      </w:r>
    </w:p>
    <w:p w14:paraId="0C0E17CE">
      <w:pPr>
        <w:rPr>
          <w:bCs/>
          <w:color w:val="auto"/>
          <w:highlight w:val="none"/>
        </w:rPr>
      </w:pPr>
      <w:r>
        <w:rPr>
          <w:bCs/>
          <w:color w:val="auto"/>
          <w:highlight w:val="none"/>
        </w:rPr>
        <w:br w:type="page"/>
      </w:r>
    </w:p>
    <w:p w14:paraId="64427794">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outlineLvl w:val="0"/>
        <w:rPr>
          <w:rFonts w:ascii="宋体" w:hAnsi="Times New Roman" w:eastAsia="宋体" w:cs="Times New Roman"/>
          <w:b/>
          <w:color w:val="auto"/>
          <w:kern w:val="2"/>
          <w:sz w:val="32"/>
          <w:szCs w:val="32"/>
          <w:highlight w:val="none"/>
        </w:rPr>
      </w:pPr>
      <w:bookmarkStart w:id="12" w:name="_Toc10184873"/>
      <w:bookmarkStart w:id="13" w:name="_Toc28419"/>
      <w:r>
        <w:rPr>
          <w:rFonts w:ascii="宋体" w:hAnsi="Times New Roman" w:eastAsia="宋体" w:cs="Times New Roman"/>
          <w:b/>
          <w:color w:val="auto"/>
          <w:kern w:val="2"/>
          <w:sz w:val="32"/>
          <w:szCs w:val="32"/>
          <w:highlight w:val="none"/>
        </w:rPr>
        <w:t xml:space="preserve">第二章 </w:t>
      </w:r>
      <w:r>
        <w:rPr>
          <w:rFonts w:hint="eastAsia" w:ascii="宋体" w:hAnsi="Times New Roman" w:eastAsia="宋体" w:cs="Times New Roman"/>
          <w:b/>
          <w:color w:val="auto"/>
          <w:kern w:val="2"/>
          <w:sz w:val="32"/>
          <w:szCs w:val="32"/>
          <w:highlight w:val="none"/>
        </w:rPr>
        <w:t>供应商</w:t>
      </w:r>
      <w:r>
        <w:rPr>
          <w:rFonts w:ascii="宋体" w:hAnsi="Times New Roman" w:eastAsia="宋体" w:cs="Times New Roman"/>
          <w:b/>
          <w:color w:val="auto"/>
          <w:kern w:val="2"/>
          <w:sz w:val="32"/>
          <w:szCs w:val="32"/>
          <w:highlight w:val="none"/>
        </w:rPr>
        <w:t>须知</w:t>
      </w:r>
      <w:bookmarkStart w:id="14" w:name="_Toc34420943"/>
      <w:bookmarkStart w:id="15" w:name="_Toc40668281"/>
      <w:bookmarkStart w:id="16" w:name="_Toc35881739"/>
      <w:bookmarkStart w:id="17" w:name="_Toc34382767"/>
      <w:bookmarkStart w:id="18" w:name="_Toc33084570"/>
      <w:bookmarkStart w:id="19" w:name="_Toc35881603"/>
      <w:bookmarkStart w:id="20" w:name="_Toc35883024"/>
      <w:bookmarkStart w:id="21" w:name="_Toc33084454"/>
      <w:bookmarkStart w:id="22" w:name="_Toc33094715"/>
      <w:bookmarkStart w:id="23" w:name="_Toc33094937"/>
      <w:bookmarkStart w:id="24" w:name="_Toc35882039"/>
      <w:bookmarkStart w:id="25" w:name="_Toc37576450"/>
      <w:bookmarkStart w:id="26" w:name="_Toc35882139"/>
      <w:bookmarkStart w:id="27" w:name="_Toc37576399"/>
      <w:bookmarkStart w:id="28" w:name="_Toc33094625"/>
      <w:r>
        <w:rPr>
          <w:rFonts w:ascii="宋体" w:hAnsi="Times New Roman" w:eastAsia="宋体" w:cs="Times New Roman"/>
          <w:b/>
          <w:color w:val="auto"/>
          <w:kern w:val="2"/>
          <w:sz w:val="32"/>
          <w:szCs w:val="32"/>
          <w:highlight w:val="none"/>
        </w:rPr>
        <w:t>及前附表</w:t>
      </w:r>
      <w:bookmarkEnd w:id="2"/>
      <w:bookmarkEnd w:id="3"/>
      <w:bookmarkEnd w:id="4"/>
      <w:bookmarkEnd w:id="5"/>
      <w:bookmarkEnd w:id="6"/>
      <w:bookmarkEnd w:id="7"/>
      <w:bookmarkEnd w:id="8"/>
      <w:bookmarkEnd w:id="9"/>
      <w:bookmarkEnd w:id="12"/>
      <w:bookmarkEnd w:id="13"/>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2229B73D">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outlineLvl w:val="0"/>
        <w:rPr>
          <w:rFonts w:ascii="宋体" w:hAnsi="Times New Roman" w:eastAsia="宋体" w:cs="Times New Roman"/>
          <w:b/>
          <w:color w:val="auto"/>
          <w:kern w:val="2"/>
          <w:sz w:val="32"/>
          <w:szCs w:val="32"/>
          <w:highlight w:val="none"/>
        </w:rPr>
      </w:pPr>
      <w:bookmarkStart w:id="29" w:name="_Toc10184874"/>
      <w:bookmarkStart w:id="30" w:name="_Toc67210880"/>
      <w:bookmarkStart w:id="31" w:name="_Toc199062851"/>
      <w:bookmarkStart w:id="32" w:name="_Toc199065442"/>
      <w:bookmarkStart w:id="33" w:name="_Toc199040649"/>
      <w:bookmarkStart w:id="34" w:name="_Toc1396_WPSOffice_Level2"/>
      <w:bookmarkStart w:id="35" w:name="_Toc376164238"/>
      <w:bookmarkStart w:id="36" w:name="_Toc195209739"/>
      <w:bookmarkStart w:id="37" w:name="_Toc10122263"/>
      <w:bookmarkStart w:id="38" w:name="_Toc191969098"/>
      <w:bookmarkStart w:id="39" w:name="_Toc17216785"/>
      <w:bookmarkStart w:id="40" w:name="_Toc376793555"/>
      <w:bookmarkStart w:id="41" w:name="_Toc376793710"/>
      <w:bookmarkStart w:id="42" w:name="_Toc382509454"/>
      <w:bookmarkStart w:id="43" w:name="_Toc382505439"/>
      <w:bookmarkStart w:id="44" w:name="_Toc376793574"/>
      <w:r>
        <w:rPr>
          <w:rFonts w:hint="eastAsia" w:ascii="宋体" w:hAnsi="Times New Roman" w:eastAsia="宋体" w:cs="Times New Roman"/>
          <w:b/>
          <w:color w:val="auto"/>
          <w:kern w:val="2"/>
          <w:sz w:val="32"/>
          <w:szCs w:val="32"/>
          <w:highlight w:val="none"/>
        </w:rPr>
        <w:t>供应商</w:t>
      </w:r>
      <w:r>
        <w:rPr>
          <w:rFonts w:ascii="宋体" w:hAnsi="Times New Roman" w:eastAsia="宋体" w:cs="Times New Roman"/>
          <w:b/>
          <w:color w:val="auto"/>
          <w:kern w:val="2"/>
          <w:sz w:val="32"/>
          <w:szCs w:val="32"/>
          <w:highlight w:val="none"/>
        </w:rPr>
        <w:t>须知前附表</w:t>
      </w:r>
      <w:bookmarkEnd w:id="29"/>
      <w:bookmarkEnd w:id="30"/>
      <w:bookmarkEnd w:id="31"/>
      <w:bookmarkEnd w:id="32"/>
      <w:bookmarkEnd w:id="33"/>
      <w:bookmarkEnd w:id="34"/>
      <w:bookmarkEnd w:id="35"/>
      <w:bookmarkEnd w:id="36"/>
      <w:bookmarkEnd w:id="37"/>
      <w:bookmarkEnd w:id="38"/>
      <w:bookmarkEnd w:id="39"/>
    </w:p>
    <w:tbl>
      <w:tblPr>
        <w:tblStyle w:val="29"/>
        <w:tblW w:w="9060" w:type="dxa"/>
        <w:tblInd w:w="-1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2"/>
        <w:gridCol w:w="1982"/>
        <w:gridCol w:w="6486"/>
      </w:tblGrid>
      <w:tr w14:paraId="6C309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blHeader/>
        </w:trPr>
        <w:tc>
          <w:tcPr>
            <w:tcW w:w="592" w:type="dxa"/>
            <w:tcBorders>
              <w:top w:val="single" w:color="auto" w:sz="4" w:space="0"/>
              <w:left w:val="single" w:color="auto" w:sz="4" w:space="0"/>
              <w:bottom w:val="single" w:color="auto" w:sz="4" w:space="0"/>
              <w:right w:val="single" w:color="auto" w:sz="4" w:space="0"/>
            </w:tcBorders>
            <w:vAlign w:val="center"/>
          </w:tcPr>
          <w:p w14:paraId="16F74240">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项号</w:t>
            </w:r>
          </w:p>
        </w:tc>
        <w:tc>
          <w:tcPr>
            <w:tcW w:w="1982" w:type="dxa"/>
            <w:tcBorders>
              <w:top w:val="single" w:color="auto" w:sz="4" w:space="0"/>
              <w:left w:val="single" w:color="auto" w:sz="4" w:space="0"/>
              <w:bottom w:val="single" w:color="auto" w:sz="4" w:space="0"/>
              <w:right w:val="single" w:color="auto" w:sz="4" w:space="0"/>
            </w:tcBorders>
            <w:vAlign w:val="center"/>
          </w:tcPr>
          <w:p w14:paraId="35B17850">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内    容</w:t>
            </w:r>
          </w:p>
        </w:tc>
        <w:tc>
          <w:tcPr>
            <w:tcW w:w="6486" w:type="dxa"/>
            <w:tcBorders>
              <w:top w:val="single" w:color="auto" w:sz="4" w:space="0"/>
              <w:left w:val="single" w:color="auto" w:sz="4" w:space="0"/>
              <w:bottom w:val="single" w:color="auto" w:sz="4" w:space="0"/>
              <w:right w:val="single" w:color="auto" w:sz="4" w:space="0"/>
            </w:tcBorders>
            <w:vAlign w:val="center"/>
          </w:tcPr>
          <w:p w14:paraId="4A5B91EC">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说明与要求</w:t>
            </w:r>
          </w:p>
        </w:tc>
      </w:tr>
      <w:tr w14:paraId="65F5A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92" w:type="dxa"/>
            <w:tcBorders>
              <w:top w:val="single" w:color="auto" w:sz="4" w:space="0"/>
              <w:left w:val="single" w:color="auto" w:sz="4" w:space="0"/>
              <w:bottom w:val="single" w:color="auto" w:sz="4" w:space="0"/>
              <w:right w:val="single" w:color="auto" w:sz="4" w:space="0"/>
            </w:tcBorders>
            <w:vAlign w:val="center"/>
          </w:tcPr>
          <w:p w14:paraId="0910D7D1">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1</w:t>
            </w:r>
          </w:p>
        </w:tc>
        <w:tc>
          <w:tcPr>
            <w:tcW w:w="1982" w:type="dxa"/>
            <w:tcBorders>
              <w:top w:val="single" w:color="auto" w:sz="4" w:space="0"/>
              <w:left w:val="single" w:color="auto" w:sz="4" w:space="0"/>
              <w:bottom w:val="single" w:color="auto" w:sz="4" w:space="0"/>
              <w:right w:val="single" w:color="auto" w:sz="4" w:space="0"/>
            </w:tcBorders>
            <w:vAlign w:val="center"/>
          </w:tcPr>
          <w:p w14:paraId="38E6E4F9">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项目名称</w:t>
            </w:r>
          </w:p>
        </w:tc>
        <w:tc>
          <w:tcPr>
            <w:tcW w:w="6486" w:type="dxa"/>
            <w:tcBorders>
              <w:top w:val="single" w:color="auto" w:sz="4" w:space="0"/>
              <w:left w:val="single" w:color="auto" w:sz="4" w:space="0"/>
              <w:bottom w:val="single" w:color="auto" w:sz="4" w:space="0"/>
              <w:right w:val="single" w:color="auto" w:sz="4" w:space="0"/>
            </w:tcBorders>
            <w:vAlign w:val="center"/>
          </w:tcPr>
          <w:p w14:paraId="45FDC997">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default" w:hAnsi="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bidi="ar-SA"/>
              </w:rPr>
              <w:t>新疆三塘湖矿区条湖一号煤矿及配套选煤厂 EPC 项目</w:t>
            </w:r>
            <w:r>
              <w:rPr>
                <w:rFonts w:hint="eastAsia" w:ascii="宋体" w:hAnsi="宋体" w:cs="Times New Roman"/>
                <w:color w:val="auto"/>
                <w:sz w:val="24"/>
                <w:szCs w:val="24"/>
                <w:highlight w:val="none"/>
                <w:lang w:val="en-US" w:eastAsia="zh-CN" w:bidi="ar-SA"/>
              </w:rPr>
              <w:t>井下水仓清淤设备</w:t>
            </w:r>
          </w:p>
        </w:tc>
      </w:tr>
      <w:tr w14:paraId="6B6CE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05020667">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2</w:t>
            </w:r>
          </w:p>
        </w:tc>
        <w:tc>
          <w:tcPr>
            <w:tcW w:w="1982" w:type="dxa"/>
            <w:tcBorders>
              <w:top w:val="single" w:color="auto" w:sz="4" w:space="0"/>
              <w:left w:val="single" w:color="auto" w:sz="4" w:space="0"/>
              <w:bottom w:val="single" w:color="auto" w:sz="4" w:space="0"/>
              <w:right w:val="single" w:color="auto" w:sz="4" w:space="0"/>
            </w:tcBorders>
            <w:vAlign w:val="center"/>
          </w:tcPr>
          <w:p w14:paraId="22AE06B3">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到货地点</w:t>
            </w:r>
          </w:p>
        </w:tc>
        <w:tc>
          <w:tcPr>
            <w:tcW w:w="6486" w:type="dxa"/>
            <w:tcBorders>
              <w:top w:val="single" w:color="auto" w:sz="4" w:space="0"/>
              <w:left w:val="single" w:color="auto" w:sz="4" w:space="0"/>
              <w:bottom w:val="single" w:color="auto" w:sz="4" w:space="0"/>
              <w:right w:val="single" w:color="auto" w:sz="4" w:space="0"/>
            </w:tcBorders>
            <w:vAlign w:val="center"/>
          </w:tcPr>
          <w:p w14:paraId="42C92E73">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val="en-US" w:eastAsia="zh-CN"/>
              </w:rPr>
              <w:t>新疆哈密市巴里坤哈萨克自治县三塘湖镇</w:t>
            </w:r>
          </w:p>
        </w:tc>
      </w:tr>
      <w:tr w14:paraId="060A6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58D920FC">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3</w:t>
            </w:r>
          </w:p>
        </w:tc>
        <w:tc>
          <w:tcPr>
            <w:tcW w:w="1982" w:type="dxa"/>
            <w:tcBorders>
              <w:top w:val="single" w:color="auto" w:sz="4" w:space="0"/>
              <w:left w:val="single" w:color="auto" w:sz="4" w:space="0"/>
              <w:bottom w:val="single" w:color="auto" w:sz="4" w:space="0"/>
              <w:right w:val="single" w:color="auto" w:sz="4" w:space="0"/>
            </w:tcBorders>
            <w:vAlign w:val="center"/>
          </w:tcPr>
          <w:p w14:paraId="1938E13C">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报价方式</w:t>
            </w:r>
          </w:p>
        </w:tc>
        <w:tc>
          <w:tcPr>
            <w:tcW w:w="6486" w:type="dxa"/>
            <w:tcBorders>
              <w:top w:val="single" w:color="auto" w:sz="4" w:space="0"/>
              <w:left w:val="single" w:color="auto" w:sz="4" w:space="0"/>
              <w:bottom w:val="single" w:color="auto" w:sz="4" w:space="0"/>
              <w:right w:val="single" w:color="auto" w:sz="4" w:space="0"/>
            </w:tcBorders>
            <w:vAlign w:val="center"/>
          </w:tcPr>
          <w:p w14:paraId="68578068">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固定总价（含税）</w:t>
            </w:r>
          </w:p>
        </w:tc>
      </w:tr>
      <w:tr w14:paraId="09D10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60CC810D">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4</w:t>
            </w:r>
          </w:p>
        </w:tc>
        <w:tc>
          <w:tcPr>
            <w:tcW w:w="1982" w:type="dxa"/>
            <w:tcBorders>
              <w:top w:val="single" w:color="auto" w:sz="4" w:space="0"/>
              <w:left w:val="single" w:color="auto" w:sz="4" w:space="0"/>
              <w:bottom w:val="single" w:color="auto" w:sz="4" w:space="0"/>
              <w:right w:val="single" w:color="auto" w:sz="4" w:space="0"/>
            </w:tcBorders>
            <w:vAlign w:val="center"/>
          </w:tcPr>
          <w:p w14:paraId="416DFE36">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采购内容及范围</w:t>
            </w:r>
          </w:p>
        </w:tc>
        <w:tc>
          <w:tcPr>
            <w:tcW w:w="6486" w:type="dxa"/>
            <w:tcBorders>
              <w:top w:val="single" w:color="auto" w:sz="4" w:space="0"/>
              <w:left w:val="single" w:color="auto" w:sz="4" w:space="0"/>
              <w:bottom w:val="single" w:color="auto" w:sz="4" w:space="0"/>
              <w:right w:val="single" w:color="auto" w:sz="4" w:space="0"/>
            </w:tcBorders>
            <w:vAlign w:val="center"/>
          </w:tcPr>
          <w:p w14:paraId="6FEFE437">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详见采购文件技术规范书</w:t>
            </w:r>
          </w:p>
        </w:tc>
      </w:tr>
      <w:tr w14:paraId="227C8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27EB468D">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5</w:t>
            </w:r>
          </w:p>
        </w:tc>
        <w:tc>
          <w:tcPr>
            <w:tcW w:w="1982" w:type="dxa"/>
            <w:tcBorders>
              <w:top w:val="single" w:color="auto" w:sz="4" w:space="0"/>
              <w:left w:val="single" w:color="auto" w:sz="4" w:space="0"/>
              <w:bottom w:val="single" w:color="auto" w:sz="4" w:space="0"/>
              <w:right w:val="single" w:color="auto" w:sz="4" w:space="0"/>
            </w:tcBorders>
            <w:vAlign w:val="center"/>
          </w:tcPr>
          <w:p w14:paraId="429AD118">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资金来源</w:t>
            </w:r>
          </w:p>
        </w:tc>
        <w:tc>
          <w:tcPr>
            <w:tcW w:w="6486" w:type="dxa"/>
            <w:tcBorders>
              <w:top w:val="single" w:color="auto" w:sz="4" w:space="0"/>
              <w:left w:val="single" w:color="auto" w:sz="4" w:space="0"/>
              <w:bottom w:val="single" w:color="auto" w:sz="4" w:space="0"/>
              <w:right w:val="single" w:color="auto" w:sz="4" w:space="0"/>
            </w:tcBorders>
            <w:vAlign w:val="center"/>
          </w:tcPr>
          <w:p w14:paraId="482EFD98">
            <w:pPr>
              <w:keepNext w:val="0"/>
              <w:keepLines w:val="0"/>
              <w:pageBreakBefore w:val="0"/>
              <w:widowControl w:val="0"/>
              <w:kinsoku/>
              <w:wordWrap/>
              <w:overflowPunct/>
              <w:topLinePunct w:val="0"/>
              <w:autoSpaceDE/>
              <w:autoSpaceDN/>
              <w:bidi w:val="0"/>
              <w:adjustRightInd/>
              <w:snapToGrid/>
              <w:spacing w:line="240" w:lineRule="auto"/>
              <w:ind w:leftChars="0" w:right="0" w:firstLine="0" w:firstLineChars="0"/>
              <w:jc w:val="both"/>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企业自筹</w:t>
            </w:r>
          </w:p>
        </w:tc>
      </w:tr>
      <w:tr w14:paraId="39F64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3" w:hRule="atLeast"/>
        </w:trPr>
        <w:tc>
          <w:tcPr>
            <w:tcW w:w="592" w:type="dxa"/>
            <w:tcBorders>
              <w:top w:val="single" w:color="auto" w:sz="4" w:space="0"/>
              <w:left w:val="single" w:color="auto" w:sz="4" w:space="0"/>
              <w:bottom w:val="single" w:color="auto" w:sz="4" w:space="0"/>
              <w:right w:val="single" w:color="auto" w:sz="4" w:space="0"/>
            </w:tcBorders>
            <w:vAlign w:val="center"/>
          </w:tcPr>
          <w:p w14:paraId="4B6D0642">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ascii="宋体"/>
                <w:color w:val="auto"/>
                <w:sz w:val="24"/>
                <w:szCs w:val="24"/>
                <w:highlight w:val="none"/>
              </w:rPr>
            </w:pPr>
            <w:r>
              <w:rPr>
                <w:rFonts w:hint="eastAsia" w:ascii="宋体"/>
                <w:color w:val="auto"/>
                <w:sz w:val="24"/>
                <w:szCs w:val="24"/>
                <w:highlight w:val="none"/>
              </w:rPr>
              <w:t>6</w:t>
            </w:r>
          </w:p>
        </w:tc>
        <w:tc>
          <w:tcPr>
            <w:tcW w:w="1982" w:type="dxa"/>
            <w:tcBorders>
              <w:top w:val="single" w:color="auto" w:sz="4" w:space="0"/>
              <w:left w:val="single" w:color="auto" w:sz="4" w:space="0"/>
              <w:bottom w:val="single" w:color="auto" w:sz="4" w:space="0"/>
              <w:right w:val="single" w:color="auto" w:sz="4" w:space="0"/>
            </w:tcBorders>
            <w:vAlign w:val="center"/>
          </w:tcPr>
          <w:p w14:paraId="17D0B4C6">
            <w:pPr>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资格标准</w:t>
            </w:r>
          </w:p>
        </w:tc>
        <w:tc>
          <w:tcPr>
            <w:tcW w:w="6486" w:type="dxa"/>
            <w:tcBorders>
              <w:top w:val="single" w:color="auto" w:sz="4" w:space="0"/>
              <w:left w:val="single" w:color="auto" w:sz="4" w:space="0"/>
              <w:bottom w:val="single" w:color="auto" w:sz="4" w:space="0"/>
              <w:right w:val="single" w:color="auto" w:sz="4" w:space="0"/>
            </w:tcBorders>
            <w:vAlign w:val="center"/>
          </w:tcPr>
          <w:p w14:paraId="3BA0B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auto"/>
                <w:sz w:val="24"/>
                <w:szCs w:val="24"/>
                <w:highlight w:val="none"/>
                <w:lang w:eastAsia="zh-CN"/>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eastAsia="zh-CN"/>
              </w:rPr>
              <w:t>）投标人须为在中华人民共和国境内注册的独立法人，投标人应具备合法有效的营业执照，具有独立承担民事责任的能力（提供营业执照扫描件）；</w:t>
            </w:r>
          </w:p>
          <w:p w14:paraId="6C4D6F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eastAsia="宋体" w:cs="宋体"/>
                <w:color w:val="auto"/>
                <w:highlight w:val="none"/>
                <w:lang w:val="en-US" w:eastAsia="zh-CN"/>
              </w:rPr>
            </w:pPr>
            <w:r>
              <w:rPr>
                <w:rFonts w:hint="eastAsia" w:hAnsi="宋体" w:cs="宋体"/>
                <w:color w:val="auto"/>
                <w:highlight w:val="none"/>
                <w:lang w:val="en-US" w:eastAsia="zh-CN"/>
              </w:rPr>
              <w:t>（2）</w:t>
            </w:r>
            <w:r>
              <w:rPr>
                <w:rFonts w:ascii="宋体" w:hAnsi="宋体" w:eastAsia="宋体" w:cs="宋体"/>
                <w:color w:val="auto"/>
                <w:sz w:val="24"/>
                <w:szCs w:val="24"/>
                <w:highlight w:val="none"/>
              </w:rPr>
              <w:t>供应商须为</w:t>
            </w:r>
            <w:r>
              <w:rPr>
                <w:rFonts w:hint="eastAsia" w:hAnsi="宋体" w:cs="宋体"/>
                <w:color w:val="auto"/>
                <w:sz w:val="24"/>
                <w:szCs w:val="24"/>
                <w:highlight w:val="none"/>
                <w:lang w:val="en-US" w:eastAsia="zh-CN"/>
              </w:rPr>
              <w:t>井下水仓清淤设备的</w:t>
            </w:r>
            <w:r>
              <w:rPr>
                <w:rFonts w:ascii="宋体" w:hAnsi="宋体" w:eastAsia="宋体" w:cs="宋体"/>
                <w:color w:val="auto"/>
                <w:sz w:val="24"/>
                <w:szCs w:val="24"/>
                <w:highlight w:val="none"/>
              </w:rPr>
              <w:t>生产厂家，本项目不接受代理商、经销商等“中间商”参与报价</w:t>
            </w:r>
            <w:r>
              <w:rPr>
                <w:rFonts w:hint="eastAsia" w:hAnsi="宋体" w:cs="宋体"/>
                <w:color w:val="auto"/>
                <w:sz w:val="24"/>
                <w:szCs w:val="24"/>
                <w:highlight w:val="none"/>
                <w:lang w:eastAsia="zh-CN"/>
              </w:rPr>
              <w:t>；</w:t>
            </w:r>
          </w:p>
          <w:p w14:paraId="33CF135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highlight w:val="none"/>
                <w:lang w:eastAsia="zh-CN"/>
              </w:rPr>
            </w:pPr>
            <w:r>
              <w:rPr>
                <w:rFonts w:hint="eastAsia" w:hAnsi="宋体" w:cs="宋体"/>
                <w:color w:val="auto"/>
                <w:highlight w:val="none"/>
                <w:lang w:val="en-US" w:eastAsia="zh-CN"/>
              </w:rPr>
              <w:t>（3）</w:t>
            </w:r>
            <w:r>
              <w:rPr>
                <w:rFonts w:hint="eastAsia" w:hAnsi="宋体" w:cs="宋体"/>
                <w:b w:val="0"/>
                <w:bCs w:val="0"/>
                <w:color w:val="auto"/>
                <w:sz w:val="24"/>
                <w:szCs w:val="24"/>
                <w:highlight w:val="none"/>
                <w:lang w:eastAsia="zh-CN"/>
              </w:rPr>
              <w:t>投标人应提供近三年所投</w:t>
            </w:r>
            <w:r>
              <w:rPr>
                <w:rFonts w:hint="eastAsia" w:hAnsi="宋体" w:cs="宋体"/>
                <w:color w:val="auto"/>
                <w:sz w:val="24"/>
                <w:szCs w:val="24"/>
                <w:highlight w:val="none"/>
                <w:lang w:val="en-US" w:eastAsia="zh-CN"/>
              </w:rPr>
              <w:t>井下水仓清淤设备</w:t>
            </w:r>
            <w:r>
              <w:rPr>
                <w:rFonts w:hint="eastAsia" w:hAnsi="宋体" w:cs="宋体"/>
                <w:b w:val="0"/>
                <w:bCs w:val="0"/>
                <w:color w:val="auto"/>
                <w:sz w:val="24"/>
                <w:szCs w:val="24"/>
                <w:highlight w:val="none"/>
                <w:lang w:eastAsia="zh-CN"/>
              </w:rPr>
              <w:t>产品（2022年1月1日起至今，以合同签订时间为准）</w:t>
            </w:r>
            <w:r>
              <w:rPr>
                <w:rFonts w:hint="eastAsia" w:hAnsi="宋体" w:cs="宋体"/>
                <w:b w:val="0"/>
                <w:bCs w:val="0"/>
                <w:color w:val="auto"/>
                <w:sz w:val="24"/>
                <w:szCs w:val="24"/>
                <w:highlight w:val="none"/>
                <w:lang w:val="en-US" w:eastAsia="zh-CN"/>
              </w:rPr>
              <w:t>至少一项业绩</w:t>
            </w:r>
            <w:r>
              <w:rPr>
                <w:rFonts w:hint="eastAsia" w:hAnsi="宋体" w:cs="宋体"/>
                <w:b w:val="0"/>
                <w:bCs w:val="0"/>
                <w:color w:val="auto"/>
                <w:sz w:val="24"/>
                <w:szCs w:val="24"/>
                <w:highlight w:val="none"/>
                <w:lang w:eastAsia="zh-CN"/>
              </w:rPr>
              <w:t>（提供合同扫描件，合同无签订生效时间、合同首页、主要内容页、签字盖章页、印章不全的合同视为无效业绩）</w:t>
            </w:r>
            <w:r>
              <w:rPr>
                <w:rFonts w:hint="eastAsia" w:hAnsi="宋体" w:cs="宋体"/>
                <w:color w:val="auto"/>
                <w:highlight w:val="none"/>
                <w:lang w:val="en-US" w:eastAsia="zh-CN"/>
              </w:rPr>
              <w:t>；</w:t>
            </w:r>
          </w:p>
          <w:p w14:paraId="514998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（4）单位负责人为同一人或者存在控股、管理关系、关联关系的不同单位，不可以在同一标段投标或者未划分标段的同一采购项目中参加报价；</w:t>
            </w:r>
          </w:p>
          <w:p w14:paraId="5A2EAE4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（5）本项目是否接受联合体投标：否。</w:t>
            </w:r>
          </w:p>
          <w:p w14:paraId="3E0A0EC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olor w:val="auto"/>
                <w:highlight w:val="none"/>
                <w:lang w:eastAsia="zh-CN"/>
              </w:rPr>
            </w:pPr>
          </w:p>
        </w:tc>
      </w:tr>
      <w:tr w14:paraId="06D0A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04D05341">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ascii="宋体"/>
                <w:color w:val="auto"/>
                <w:sz w:val="24"/>
                <w:szCs w:val="24"/>
                <w:highlight w:val="none"/>
              </w:rPr>
            </w:pPr>
            <w:r>
              <w:rPr>
                <w:rFonts w:hint="eastAsia" w:ascii="宋体"/>
                <w:color w:val="auto"/>
                <w:sz w:val="24"/>
                <w:szCs w:val="24"/>
                <w:highlight w:val="none"/>
              </w:rPr>
              <w:t>7</w:t>
            </w:r>
          </w:p>
        </w:tc>
        <w:tc>
          <w:tcPr>
            <w:tcW w:w="1982" w:type="dxa"/>
            <w:tcBorders>
              <w:top w:val="single" w:color="auto" w:sz="4" w:space="0"/>
              <w:left w:val="single" w:color="auto" w:sz="4" w:space="0"/>
              <w:bottom w:val="single" w:color="auto" w:sz="4" w:space="0"/>
              <w:right w:val="single" w:color="auto" w:sz="4" w:space="0"/>
            </w:tcBorders>
            <w:vAlign w:val="center"/>
          </w:tcPr>
          <w:p w14:paraId="305AA78A">
            <w:pPr>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sz w:val="24"/>
                <w:szCs w:val="24"/>
                <w:highlight w:val="none"/>
              </w:rPr>
            </w:pPr>
            <w:r>
              <w:rPr>
                <w:rFonts w:ascii="宋体"/>
                <w:color w:val="auto"/>
                <w:sz w:val="24"/>
                <w:szCs w:val="24"/>
                <w:highlight w:val="none"/>
              </w:rPr>
              <w:t>资格审查方式</w:t>
            </w:r>
          </w:p>
        </w:tc>
        <w:tc>
          <w:tcPr>
            <w:tcW w:w="6486" w:type="dxa"/>
            <w:tcBorders>
              <w:top w:val="single" w:color="auto" w:sz="4" w:space="0"/>
              <w:left w:val="single" w:color="auto" w:sz="4" w:space="0"/>
              <w:bottom w:val="single" w:color="auto" w:sz="4" w:space="0"/>
              <w:right w:val="single" w:color="auto" w:sz="4" w:space="0"/>
            </w:tcBorders>
            <w:vAlign w:val="center"/>
          </w:tcPr>
          <w:p w14:paraId="0CBE6DE8">
            <w:pPr>
              <w:pStyle w:val="20"/>
              <w:keepNext w:val="0"/>
              <w:keepLines w:val="0"/>
              <w:pageBreakBefore w:val="0"/>
              <w:kinsoku/>
              <w:wordWrap/>
              <w:overflowPunct/>
              <w:topLinePunct w:val="0"/>
              <w:autoSpaceDE/>
              <w:autoSpaceDN/>
              <w:bidi w:val="0"/>
              <w:adjustRightInd/>
              <w:snapToGrid/>
              <w:spacing w:line="240" w:lineRule="auto"/>
              <w:ind w:left="0" w:leftChars="0" w:right="0" w:firstLine="0" w:firstLineChars="0"/>
              <w:jc w:val="both"/>
              <w:textAlignment w:val="auto"/>
              <w:rPr>
                <w:rFonts w:ascii="宋体"/>
                <w:color w:val="auto"/>
                <w:kern w:val="0"/>
                <w:sz w:val="24"/>
                <w:szCs w:val="24"/>
                <w:highlight w:val="none"/>
              </w:rPr>
            </w:pPr>
            <w:r>
              <w:rPr>
                <w:rFonts w:ascii="宋体"/>
                <w:color w:val="auto"/>
                <w:kern w:val="0"/>
                <w:sz w:val="24"/>
                <w:szCs w:val="24"/>
                <w:highlight w:val="none"/>
              </w:rPr>
              <w:t>资格</w:t>
            </w:r>
            <w:r>
              <w:rPr>
                <w:rFonts w:hint="eastAsia" w:ascii="宋体"/>
                <w:color w:val="auto"/>
                <w:kern w:val="0"/>
                <w:sz w:val="24"/>
                <w:szCs w:val="24"/>
                <w:highlight w:val="none"/>
              </w:rPr>
              <w:t>后</w:t>
            </w:r>
            <w:r>
              <w:rPr>
                <w:rFonts w:ascii="宋体"/>
                <w:color w:val="auto"/>
                <w:kern w:val="0"/>
                <w:sz w:val="24"/>
                <w:szCs w:val="24"/>
                <w:highlight w:val="none"/>
              </w:rPr>
              <w:t>审</w:t>
            </w:r>
          </w:p>
        </w:tc>
      </w:tr>
      <w:tr w14:paraId="5D16B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18EDCAC5">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ascii="宋体"/>
                <w:color w:val="auto"/>
                <w:sz w:val="24"/>
                <w:szCs w:val="24"/>
                <w:highlight w:val="none"/>
              </w:rPr>
            </w:pPr>
            <w:r>
              <w:rPr>
                <w:rFonts w:hint="eastAsia" w:ascii="宋体"/>
                <w:color w:val="auto"/>
                <w:sz w:val="24"/>
                <w:szCs w:val="24"/>
                <w:highlight w:val="none"/>
              </w:rPr>
              <w:t>8</w:t>
            </w:r>
          </w:p>
        </w:tc>
        <w:tc>
          <w:tcPr>
            <w:tcW w:w="1982" w:type="dxa"/>
            <w:tcBorders>
              <w:top w:val="single" w:color="auto" w:sz="4" w:space="0"/>
              <w:left w:val="single" w:color="auto" w:sz="4" w:space="0"/>
              <w:bottom w:val="single" w:color="auto" w:sz="4" w:space="0"/>
              <w:right w:val="single" w:color="auto" w:sz="4" w:space="0"/>
            </w:tcBorders>
            <w:vAlign w:val="center"/>
          </w:tcPr>
          <w:p w14:paraId="5278C24D">
            <w:pPr>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sz w:val="24"/>
                <w:szCs w:val="24"/>
                <w:highlight w:val="none"/>
              </w:rPr>
            </w:pPr>
            <w:r>
              <w:rPr>
                <w:rFonts w:hint="eastAsia" w:ascii="宋体"/>
                <w:color w:val="auto"/>
                <w:sz w:val="24"/>
                <w:szCs w:val="24"/>
                <w:highlight w:val="none"/>
              </w:rPr>
              <w:t>采购</w:t>
            </w:r>
            <w:r>
              <w:rPr>
                <w:rFonts w:ascii="宋体"/>
                <w:color w:val="auto"/>
                <w:sz w:val="24"/>
                <w:szCs w:val="24"/>
                <w:highlight w:val="none"/>
              </w:rPr>
              <w:t>有效期</w:t>
            </w:r>
          </w:p>
        </w:tc>
        <w:tc>
          <w:tcPr>
            <w:tcW w:w="6486" w:type="dxa"/>
            <w:tcBorders>
              <w:top w:val="single" w:color="auto" w:sz="4" w:space="0"/>
              <w:left w:val="single" w:color="auto" w:sz="4" w:space="0"/>
              <w:bottom w:val="single" w:color="auto" w:sz="4" w:space="0"/>
              <w:right w:val="single" w:color="auto" w:sz="4" w:space="0"/>
            </w:tcBorders>
            <w:vAlign w:val="center"/>
          </w:tcPr>
          <w:p w14:paraId="2FDA9CD1">
            <w:pPr>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sz w:val="24"/>
                <w:szCs w:val="24"/>
                <w:highlight w:val="none"/>
              </w:rPr>
            </w:pPr>
            <w:r>
              <w:rPr>
                <w:rFonts w:ascii="宋体"/>
                <w:color w:val="auto"/>
                <w:sz w:val="24"/>
                <w:szCs w:val="24"/>
                <w:highlight w:val="none"/>
              </w:rPr>
              <w:t>自</w:t>
            </w:r>
            <w:r>
              <w:rPr>
                <w:rFonts w:hint="eastAsia" w:ascii="宋体"/>
                <w:color w:val="auto"/>
                <w:sz w:val="24"/>
                <w:szCs w:val="24"/>
                <w:highlight w:val="none"/>
              </w:rPr>
              <w:t>洽谈</w:t>
            </w:r>
            <w:r>
              <w:rPr>
                <w:rFonts w:ascii="宋体"/>
                <w:color w:val="auto"/>
                <w:sz w:val="24"/>
                <w:szCs w:val="24"/>
                <w:highlight w:val="none"/>
              </w:rPr>
              <w:t>之日起</w:t>
            </w:r>
            <w:r>
              <w:rPr>
                <w:rFonts w:hint="eastAsia" w:ascii="宋体"/>
                <w:color w:val="auto"/>
                <w:sz w:val="24"/>
                <w:szCs w:val="24"/>
                <w:highlight w:val="none"/>
              </w:rPr>
              <w:t>90日历日</w:t>
            </w:r>
          </w:p>
        </w:tc>
      </w:tr>
      <w:tr w14:paraId="5A185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92" w:type="dxa"/>
            <w:tcBorders>
              <w:top w:val="single" w:color="auto" w:sz="4" w:space="0"/>
              <w:left w:val="single" w:color="auto" w:sz="4" w:space="0"/>
              <w:bottom w:val="single" w:color="auto" w:sz="4" w:space="0"/>
              <w:right w:val="single" w:color="auto" w:sz="4" w:space="0"/>
            </w:tcBorders>
            <w:vAlign w:val="center"/>
          </w:tcPr>
          <w:p w14:paraId="4A7A65CF">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ascii="宋体"/>
                <w:color w:val="auto"/>
                <w:sz w:val="24"/>
                <w:szCs w:val="24"/>
                <w:highlight w:val="none"/>
              </w:rPr>
            </w:pPr>
            <w:r>
              <w:rPr>
                <w:rFonts w:hint="eastAsia" w:ascii="宋体"/>
                <w:color w:val="auto"/>
                <w:sz w:val="24"/>
                <w:szCs w:val="24"/>
                <w:highlight w:val="none"/>
              </w:rPr>
              <w:t>9</w:t>
            </w:r>
          </w:p>
        </w:tc>
        <w:tc>
          <w:tcPr>
            <w:tcW w:w="1982" w:type="dxa"/>
            <w:tcBorders>
              <w:top w:val="single" w:color="auto" w:sz="4" w:space="0"/>
              <w:left w:val="single" w:color="auto" w:sz="4" w:space="0"/>
              <w:bottom w:val="single" w:color="auto" w:sz="4" w:space="0"/>
              <w:right w:val="single" w:color="auto" w:sz="4" w:space="0"/>
            </w:tcBorders>
            <w:vAlign w:val="center"/>
          </w:tcPr>
          <w:p w14:paraId="2E0A12DD">
            <w:pPr>
              <w:pStyle w:val="20"/>
              <w:keepNext w:val="0"/>
              <w:keepLines w:val="0"/>
              <w:pageBreakBefore w:val="0"/>
              <w:kinsoku/>
              <w:wordWrap/>
              <w:overflowPunct/>
              <w:topLinePunct w:val="0"/>
              <w:autoSpaceDE/>
              <w:autoSpaceDN/>
              <w:bidi w:val="0"/>
              <w:adjustRightInd/>
              <w:snapToGrid/>
              <w:spacing w:line="240" w:lineRule="auto"/>
              <w:ind w:left="0" w:leftChars="0" w:right="0" w:firstLine="0" w:firstLineChars="0"/>
              <w:jc w:val="both"/>
              <w:textAlignment w:val="auto"/>
              <w:rPr>
                <w:rFonts w:ascii="宋体"/>
                <w:color w:val="auto"/>
                <w:kern w:val="0"/>
                <w:sz w:val="24"/>
                <w:szCs w:val="24"/>
                <w:highlight w:val="none"/>
              </w:rPr>
            </w:pPr>
            <w:r>
              <w:rPr>
                <w:rFonts w:ascii="宋体"/>
                <w:color w:val="auto"/>
                <w:kern w:val="0"/>
                <w:sz w:val="24"/>
                <w:szCs w:val="24"/>
                <w:highlight w:val="none"/>
              </w:rPr>
              <w:t>现场勘查</w:t>
            </w:r>
          </w:p>
        </w:tc>
        <w:tc>
          <w:tcPr>
            <w:tcW w:w="6486" w:type="dxa"/>
            <w:tcBorders>
              <w:top w:val="single" w:color="auto" w:sz="4" w:space="0"/>
              <w:left w:val="single" w:color="auto" w:sz="4" w:space="0"/>
              <w:bottom w:val="single" w:color="auto" w:sz="4" w:space="0"/>
              <w:right w:val="single" w:color="auto" w:sz="4" w:space="0"/>
            </w:tcBorders>
            <w:vAlign w:val="center"/>
          </w:tcPr>
          <w:p w14:paraId="53B15A9F">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rFonts w:ascii="宋体"/>
                <w:color w:val="auto"/>
                <w:sz w:val="24"/>
                <w:szCs w:val="24"/>
                <w:highlight w:val="none"/>
              </w:rPr>
            </w:pPr>
            <w:r>
              <w:rPr>
                <w:rFonts w:hint="eastAsia" w:ascii="宋体"/>
                <w:color w:val="auto"/>
                <w:sz w:val="24"/>
                <w:szCs w:val="24"/>
                <w:highlight w:val="none"/>
              </w:rPr>
              <w:t>采购人不安排踏勘。供应商可自行安排，相关一切费用自理</w:t>
            </w:r>
          </w:p>
        </w:tc>
      </w:tr>
      <w:tr w14:paraId="3B93A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92" w:type="dxa"/>
            <w:tcBorders>
              <w:top w:val="single" w:color="auto" w:sz="4" w:space="0"/>
              <w:left w:val="single" w:color="auto" w:sz="4" w:space="0"/>
              <w:bottom w:val="single" w:color="auto" w:sz="4" w:space="0"/>
              <w:right w:val="single" w:color="auto" w:sz="4" w:space="0"/>
            </w:tcBorders>
            <w:vAlign w:val="center"/>
          </w:tcPr>
          <w:p w14:paraId="13A05367">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hint="eastAsia" w:ascii="宋体" w:eastAsia="宋体"/>
                <w:color w:val="auto"/>
                <w:sz w:val="24"/>
                <w:szCs w:val="24"/>
                <w:highlight w:val="none"/>
                <w:lang w:val="en-US" w:eastAsia="zh-CN"/>
              </w:rPr>
            </w:pPr>
            <w:r>
              <w:rPr>
                <w:rFonts w:ascii="宋体"/>
                <w:color w:val="auto"/>
                <w:sz w:val="24"/>
                <w:szCs w:val="24"/>
                <w:highlight w:val="none"/>
              </w:rPr>
              <w:t>1</w:t>
            </w:r>
            <w:r>
              <w:rPr>
                <w:rFonts w:hint="eastAsia" w:ascii="宋体"/>
                <w:color w:val="auto"/>
                <w:sz w:val="24"/>
                <w:szCs w:val="24"/>
                <w:highlight w:val="none"/>
                <w:lang w:val="en-US" w:eastAsia="zh-CN"/>
              </w:rPr>
              <w:t>0</w:t>
            </w:r>
          </w:p>
        </w:tc>
        <w:tc>
          <w:tcPr>
            <w:tcW w:w="1982" w:type="dxa"/>
            <w:tcBorders>
              <w:top w:val="single" w:color="auto" w:sz="4" w:space="0"/>
              <w:left w:val="single" w:color="auto" w:sz="4" w:space="0"/>
              <w:bottom w:val="single" w:color="auto" w:sz="4" w:space="0"/>
              <w:right w:val="single" w:color="auto" w:sz="4" w:space="0"/>
            </w:tcBorders>
            <w:vAlign w:val="center"/>
          </w:tcPr>
          <w:p w14:paraId="5F94A19B">
            <w:pPr>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sz w:val="24"/>
                <w:szCs w:val="24"/>
                <w:highlight w:val="none"/>
              </w:rPr>
            </w:pPr>
            <w:r>
              <w:rPr>
                <w:rFonts w:hint="eastAsia" w:ascii="宋体"/>
                <w:color w:val="auto"/>
                <w:sz w:val="24"/>
                <w:szCs w:val="24"/>
                <w:highlight w:val="none"/>
              </w:rPr>
              <w:t>响应</w:t>
            </w:r>
            <w:r>
              <w:rPr>
                <w:rFonts w:ascii="宋体"/>
                <w:color w:val="auto"/>
                <w:sz w:val="24"/>
                <w:szCs w:val="24"/>
                <w:highlight w:val="none"/>
              </w:rPr>
              <w:t>文件份数</w:t>
            </w:r>
            <w:r>
              <w:rPr>
                <w:rFonts w:hint="eastAsia" w:ascii="宋体"/>
                <w:color w:val="auto"/>
                <w:sz w:val="24"/>
                <w:szCs w:val="24"/>
                <w:highlight w:val="none"/>
              </w:rPr>
              <w:t>及封装要求</w:t>
            </w:r>
          </w:p>
        </w:tc>
        <w:tc>
          <w:tcPr>
            <w:tcW w:w="6486" w:type="dxa"/>
            <w:tcBorders>
              <w:top w:val="single" w:color="auto" w:sz="4" w:space="0"/>
              <w:left w:val="single" w:color="auto" w:sz="4" w:space="0"/>
              <w:bottom w:val="single" w:color="auto" w:sz="4" w:space="0"/>
              <w:right w:val="single" w:color="auto" w:sz="4" w:space="0"/>
            </w:tcBorders>
            <w:vAlign w:val="center"/>
          </w:tcPr>
          <w:p w14:paraId="0E7B10EB">
            <w:pPr>
              <w:pStyle w:val="25"/>
              <w:keepNext w:val="0"/>
              <w:keepLines w:val="0"/>
              <w:pageBreakBefore w:val="0"/>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rFonts w:ascii="宋体"/>
                <w:color w:val="auto"/>
                <w:sz w:val="24"/>
                <w:szCs w:val="24"/>
                <w:highlight w:val="none"/>
              </w:rPr>
            </w:pPr>
            <w:r>
              <w:rPr>
                <w:rFonts w:hint="eastAsia" w:hAnsi="宋体" w:cs="宋体"/>
                <w:color w:val="auto"/>
                <w:highlight w:val="none"/>
              </w:rPr>
              <w:t>请各投标供应商投标时将投标文件扫描件（签字盖章</w:t>
            </w:r>
            <w:r>
              <w:rPr>
                <w:rFonts w:hint="eastAsia" w:hAnsi="宋体" w:cs="宋体"/>
                <w:color w:val="auto"/>
                <w:highlight w:val="none"/>
                <w:lang w:val="en-US" w:eastAsia="zh-CN"/>
              </w:rPr>
              <w:t>pdf</w:t>
            </w:r>
            <w:r>
              <w:rPr>
                <w:rFonts w:hint="eastAsia" w:hAnsi="宋体" w:cs="宋体"/>
                <w:color w:val="auto"/>
                <w:highlight w:val="none"/>
              </w:rPr>
              <w:t>版本）作为附件上传</w:t>
            </w:r>
            <w:r>
              <w:rPr>
                <w:rFonts w:hint="eastAsia" w:hAnsi="宋体" w:cs="宋体"/>
                <w:color w:val="auto"/>
                <w:highlight w:val="none"/>
                <w:lang w:val="en-US" w:eastAsia="zh-CN"/>
              </w:rPr>
              <w:t>至中煤易购平台报价附件</w:t>
            </w:r>
            <w:r>
              <w:rPr>
                <w:rFonts w:hint="eastAsia" w:hAnsi="宋体" w:cs="宋体"/>
                <w:color w:val="auto"/>
                <w:highlight w:val="none"/>
              </w:rPr>
              <w:t>，如未按规定上传投标文件将被视为未</w:t>
            </w:r>
            <w:r>
              <w:rPr>
                <w:rFonts w:hint="eastAsia" w:ascii="宋体" w:hAnsi="宋体" w:eastAsia="宋体" w:cs="宋体"/>
                <w:color w:val="auto"/>
                <w:highlight w:val="none"/>
              </w:rPr>
              <w:t>响应</w:t>
            </w:r>
            <w:r>
              <w:rPr>
                <w:rFonts w:hint="eastAsia" w:hAnsi="宋体" w:cs="宋体"/>
                <w:color w:val="auto"/>
                <w:highlight w:val="none"/>
              </w:rPr>
              <w:t>招标文件。</w:t>
            </w:r>
          </w:p>
        </w:tc>
      </w:tr>
      <w:tr w14:paraId="7E25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2" w:type="dxa"/>
            <w:tcBorders>
              <w:top w:val="single" w:color="auto" w:sz="4" w:space="0"/>
              <w:left w:val="single" w:color="auto" w:sz="4" w:space="0"/>
              <w:bottom w:val="single" w:color="auto" w:sz="4" w:space="0"/>
              <w:right w:val="single" w:color="auto" w:sz="4" w:space="0"/>
            </w:tcBorders>
            <w:vAlign w:val="center"/>
          </w:tcPr>
          <w:p w14:paraId="55F796DE">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11</w:t>
            </w:r>
          </w:p>
        </w:tc>
        <w:tc>
          <w:tcPr>
            <w:tcW w:w="1982" w:type="dxa"/>
            <w:tcBorders>
              <w:top w:val="single" w:color="auto" w:sz="4" w:space="0"/>
              <w:left w:val="single" w:color="auto" w:sz="4" w:space="0"/>
              <w:bottom w:val="single" w:color="auto" w:sz="4" w:space="0"/>
              <w:right w:val="single" w:color="auto" w:sz="4" w:space="0"/>
            </w:tcBorders>
            <w:vAlign w:val="center"/>
          </w:tcPr>
          <w:p w14:paraId="4DFF89DE">
            <w:pPr>
              <w:pStyle w:val="5"/>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hint="default" w:ascii="宋体"/>
                <w:color w:val="auto"/>
                <w:kern w:val="0"/>
                <w:sz w:val="24"/>
                <w:highlight w:val="none"/>
                <w:lang w:val="en-US"/>
              </w:rPr>
            </w:pPr>
            <w:r>
              <w:rPr>
                <w:rFonts w:hint="default" w:ascii="宋体"/>
                <w:color w:val="auto"/>
                <w:kern w:val="0"/>
                <w:sz w:val="24"/>
                <w:highlight w:val="none"/>
                <w:lang w:val="en-US"/>
              </w:rPr>
              <w:t>成交供应商</w:t>
            </w:r>
          </w:p>
        </w:tc>
        <w:tc>
          <w:tcPr>
            <w:tcW w:w="6486" w:type="dxa"/>
            <w:tcBorders>
              <w:top w:val="single" w:color="auto" w:sz="4" w:space="0"/>
              <w:left w:val="single" w:color="auto" w:sz="4" w:space="0"/>
              <w:bottom w:val="single" w:color="auto" w:sz="4" w:space="0"/>
              <w:right w:val="single" w:color="auto" w:sz="4" w:space="0"/>
            </w:tcBorders>
            <w:vAlign w:val="center"/>
          </w:tcPr>
          <w:p w14:paraId="1AA75573">
            <w:pPr>
              <w:pStyle w:val="5"/>
              <w:keepNext w:val="0"/>
              <w:keepLines w:val="0"/>
              <w:pageBreakBefore w:val="0"/>
              <w:kinsoku/>
              <w:wordWrap/>
              <w:overflowPunct/>
              <w:topLinePunct w:val="0"/>
              <w:autoSpaceDE/>
              <w:autoSpaceDN/>
              <w:bidi w:val="0"/>
              <w:adjustRightInd/>
              <w:snapToGrid/>
              <w:spacing w:line="240" w:lineRule="auto"/>
              <w:ind w:leftChars="0" w:right="0" w:firstLine="0" w:firstLineChars="0"/>
              <w:jc w:val="both"/>
              <w:textAlignment w:val="auto"/>
              <w:rPr>
                <w:rFonts w:ascii="宋体"/>
                <w:color w:val="auto"/>
                <w:kern w:val="0"/>
                <w:sz w:val="24"/>
                <w:highlight w:val="none"/>
              </w:rPr>
            </w:pPr>
            <w:r>
              <w:rPr>
                <w:rFonts w:ascii="宋体"/>
                <w:color w:val="auto"/>
                <w:kern w:val="0"/>
                <w:sz w:val="24"/>
                <w:highlight w:val="none"/>
              </w:rPr>
              <w:t>由</w:t>
            </w:r>
            <w:r>
              <w:rPr>
                <w:rFonts w:hint="eastAsia" w:ascii="宋体"/>
                <w:color w:val="auto"/>
                <w:kern w:val="0"/>
                <w:sz w:val="24"/>
                <w:highlight w:val="none"/>
              </w:rPr>
              <w:t>采购</w:t>
            </w:r>
            <w:r>
              <w:rPr>
                <w:rFonts w:ascii="宋体"/>
                <w:color w:val="auto"/>
                <w:kern w:val="0"/>
                <w:sz w:val="24"/>
                <w:highlight w:val="none"/>
              </w:rPr>
              <w:t>人确定</w:t>
            </w:r>
            <w:r>
              <w:rPr>
                <w:rFonts w:hint="eastAsia" w:ascii="宋体"/>
                <w:color w:val="auto"/>
                <w:kern w:val="0"/>
                <w:sz w:val="24"/>
                <w:highlight w:val="none"/>
              </w:rPr>
              <w:t>成交供应商</w:t>
            </w:r>
            <w:r>
              <w:rPr>
                <w:rFonts w:ascii="宋体"/>
                <w:color w:val="auto"/>
                <w:kern w:val="0"/>
                <w:sz w:val="24"/>
                <w:highlight w:val="none"/>
              </w:rPr>
              <w:t>。</w:t>
            </w:r>
          </w:p>
        </w:tc>
      </w:tr>
      <w:tr w14:paraId="5B7CC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2" w:type="dxa"/>
            <w:tcBorders>
              <w:top w:val="single" w:color="auto" w:sz="4" w:space="0"/>
              <w:left w:val="single" w:color="auto" w:sz="4" w:space="0"/>
              <w:bottom w:val="single" w:color="auto" w:sz="4" w:space="0"/>
              <w:right w:val="single" w:color="auto" w:sz="4" w:space="0"/>
            </w:tcBorders>
            <w:vAlign w:val="center"/>
          </w:tcPr>
          <w:p w14:paraId="4E7EDD9D">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hint="default" w:ascii="宋体"/>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12</w:t>
            </w:r>
          </w:p>
        </w:tc>
        <w:tc>
          <w:tcPr>
            <w:tcW w:w="1982" w:type="dxa"/>
            <w:tcBorders>
              <w:top w:val="single" w:color="auto" w:sz="4" w:space="0"/>
              <w:left w:val="single" w:color="auto" w:sz="4" w:space="0"/>
              <w:bottom w:val="single" w:color="auto" w:sz="4" w:space="0"/>
              <w:right w:val="single" w:color="auto" w:sz="4" w:space="0"/>
            </w:tcBorders>
            <w:vAlign w:val="center"/>
          </w:tcPr>
          <w:p w14:paraId="3FD9060B">
            <w:pPr>
              <w:pStyle w:val="5"/>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宋体"/>
                <w:color w:val="auto"/>
                <w:kern w:val="0"/>
                <w:sz w:val="24"/>
                <w:highlight w:val="none"/>
                <w:lang w:val="en-US"/>
              </w:rPr>
            </w:pPr>
            <w:r>
              <w:rPr>
                <w:rFonts w:hint="eastAsia" w:ascii="宋体"/>
                <w:color w:val="auto"/>
                <w:kern w:val="0"/>
                <w:sz w:val="21"/>
                <w:szCs w:val="21"/>
                <w:highlight w:val="none"/>
              </w:rPr>
              <w:t>其他要求</w:t>
            </w:r>
          </w:p>
        </w:tc>
        <w:tc>
          <w:tcPr>
            <w:tcW w:w="6486" w:type="dxa"/>
            <w:tcBorders>
              <w:top w:val="single" w:color="auto" w:sz="4" w:space="0"/>
              <w:left w:val="single" w:color="auto" w:sz="4" w:space="0"/>
              <w:bottom w:val="single" w:color="auto" w:sz="4" w:space="0"/>
              <w:right w:val="single" w:color="auto" w:sz="4" w:space="0"/>
            </w:tcBorders>
            <w:vAlign w:val="center"/>
          </w:tcPr>
          <w:p w14:paraId="59639A5C">
            <w:pPr>
              <w:pStyle w:val="5"/>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both"/>
              <w:textAlignment w:val="auto"/>
              <w:rPr>
                <w:rFonts w:ascii="宋体"/>
                <w:color w:val="auto"/>
                <w:kern w:val="0"/>
                <w:sz w:val="24"/>
                <w:highlight w:val="none"/>
              </w:rPr>
            </w:pPr>
            <w:r>
              <w:rPr>
                <w:rFonts w:hint="eastAsia" w:ascii="宋体"/>
                <w:color w:val="auto"/>
                <w:kern w:val="0"/>
                <w:sz w:val="24"/>
                <w:szCs w:val="24"/>
                <w:highlight w:val="none"/>
                <w:lang w:eastAsia="zh-CN"/>
              </w:rPr>
              <w:t>投标人</w:t>
            </w:r>
            <w:r>
              <w:rPr>
                <w:rFonts w:hint="eastAsia" w:ascii="宋体"/>
                <w:color w:val="auto"/>
                <w:kern w:val="0"/>
                <w:sz w:val="24"/>
                <w:szCs w:val="24"/>
                <w:highlight w:val="none"/>
              </w:rPr>
              <w:t>必须保证响应文件中的内容真实有效并且满足询价文件中标★项，否则其响应将被拒绝</w:t>
            </w:r>
          </w:p>
        </w:tc>
      </w:tr>
      <w:tr w14:paraId="309AF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592" w:type="dxa"/>
            <w:tcBorders>
              <w:top w:val="single" w:color="auto" w:sz="4" w:space="0"/>
              <w:left w:val="single" w:color="auto" w:sz="4" w:space="0"/>
              <w:bottom w:val="single" w:color="auto" w:sz="4" w:space="0"/>
              <w:right w:val="single" w:color="auto" w:sz="4" w:space="0"/>
            </w:tcBorders>
            <w:vAlign w:val="center"/>
          </w:tcPr>
          <w:p w14:paraId="797A0B1C">
            <w:pPr>
              <w:keepNext w:val="0"/>
              <w:keepLines w:val="0"/>
              <w:pageBreakBefore w:val="0"/>
              <w:kinsoku/>
              <w:wordWrap/>
              <w:overflowPunct/>
              <w:topLinePunct w:val="0"/>
              <w:autoSpaceDE/>
              <w:autoSpaceDN/>
              <w:bidi w:val="0"/>
              <w:adjustRightInd/>
              <w:snapToGrid/>
              <w:spacing w:line="240" w:lineRule="auto"/>
              <w:ind w:leftChars="0" w:right="0" w:firstLine="0" w:firstLineChars="0"/>
              <w:jc w:val="center"/>
              <w:textAlignment w:val="auto"/>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13</w:t>
            </w:r>
          </w:p>
        </w:tc>
        <w:tc>
          <w:tcPr>
            <w:tcW w:w="8468" w:type="dxa"/>
            <w:gridSpan w:val="2"/>
            <w:tcBorders>
              <w:top w:val="single" w:color="auto" w:sz="4" w:space="0"/>
              <w:left w:val="single" w:color="auto" w:sz="4" w:space="0"/>
              <w:bottom w:val="single" w:color="auto" w:sz="4" w:space="0"/>
              <w:right w:val="single" w:color="auto" w:sz="4" w:space="0"/>
            </w:tcBorders>
            <w:vAlign w:val="center"/>
          </w:tcPr>
          <w:p w14:paraId="77227C6F">
            <w:pPr>
              <w:pStyle w:val="25"/>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rFonts w:hint="eastAsia"/>
                <w:bCs/>
                <w:color w:val="auto"/>
                <w:highlight w:val="none"/>
              </w:rPr>
            </w:pPr>
            <w:r>
              <w:rPr>
                <w:rFonts w:hint="eastAsia"/>
                <w:bCs/>
                <w:color w:val="auto"/>
                <w:highlight w:val="none"/>
              </w:rPr>
              <w:t>采购人：中煤天津设计工程有限责任公司</w:t>
            </w:r>
          </w:p>
          <w:p w14:paraId="29ABDF00">
            <w:pPr>
              <w:pStyle w:val="25"/>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rFonts w:hint="eastAsia"/>
                <w:bCs/>
                <w:color w:val="auto"/>
                <w:highlight w:val="none"/>
              </w:rPr>
            </w:pPr>
            <w:r>
              <w:rPr>
                <w:rFonts w:hint="eastAsia"/>
                <w:bCs/>
                <w:color w:val="auto"/>
                <w:highlight w:val="none"/>
              </w:rPr>
              <w:t>地址：天津市红桥区大丰路安顺大厦（西北角水游城）3号楼</w:t>
            </w:r>
          </w:p>
          <w:p w14:paraId="43509A68">
            <w:pPr>
              <w:pStyle w:val="25"/>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rFonts w:hint="eastAsia" w:eastAsia="宋体"/>
                <w:bCs/>
                <w:color w:val="auto"/>
                <w:highlight w:val="none"/>
                <w:lang w:val="en-US" w:eastAsia="zh-CN"/>
              </w:rPr>
            </w:pPr>
            <w:r>
              <w:rPr>
                <w:rFonts w:hint="eastAsia"/>
                <w:bCs/>
                <w:color w:val="auto"/>
                <w:highlight w:val="none"/>
              </w:rPr>
              <w:t>项目联系人：</w:t>
            </w:r>
            <w:r>
              <w:rPr>
                <w:rFonts w:hint="eastAsia"/>
                <w:bCs/>
                <w:color w:val="auto"/>
                <w:highlight w:val="none"/>
                <w:lang w:val="en-US" w:eastAsia="zh-CN"/>
              </w:rPr>
              <w:t>张工</w:t>
            </w:r>
          </w:p>
          <w:p w14:paraId="720EFE1B">
            <w:pPr>
              <w:pStyle w:val="25"/>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240" w:lineRule="auto"/>
              <w:ind w:leftChars="0" w:right="0" w:firstLine="0" w:firstLineChars="0"/>
              <w:jc w:val="both"/>
              <w:textAlignment w:val="auto"/>
              <w:rPr>
                <w:color w:val="auto"/>
                <w:highlight w:val="none"/>
              </w:rPr>
            </w:pPr>
            <w:r>
              <w:rPr>
                <w:rFonts w:hint="eastAsia"/>
                <w:bCs/>
                <w:color w:val="auto"/>
                <w:highlight w:val="none"/>
              </w:rPr>
              <w:t>电  话：022-87779088</w:t>
            </w:r>
          </w:p>
        </w:tc>
      </w:tr>
    </w:tbl>
    <w:p w14:paraId="5423C056">
      <w:pPr>
        <w:pStyle w:val="4"/>
        <w:keepNext/>
        <w:keepLines/>
        <w:pageBreakBefore w:val="0"/>
        <w:widowControl w:val="0"/>
        <w:kinsoku/>
        <w:wordWrap/>
        <w:overflowPunct w:val="0"/>
        <w:topLinePunct w:val="0"/>
        <w:autoSpaceDE/>
        <w:autoSpaceDN/>
        <w:bidi w:val="0"/>
        <w:adjustRightInd/>
        <w:snapToGrid/>
        <w:spacing w:before="157" w:beforeLines="50" w:after="0" w:line="360" w:lineRule="auto"/>
        <w:jc w:val="both"/>
        <w:textAlignment w:val="auto"/>
        <w:rPr>
          <w:rFonts w:ascii="宋体"/>
          <w:color w:val="auto"/>
          <w:kern w:val="2"/>
          <w:sz w:val="24"/>
          <w:szCs w:val="24"/>
          <w:highlight w:val="none"/>
        </w:rPr>
      </w:pPr>
      <w:r>
        <w:rPr>
          <w:rFonts w:ascii="宋体"/>
          <w:color w:val="auto"/>
          <w:kern w:val="2"/>
          <w:highlight w:val="none"/>
        </w:rPr>
        <w:br w:type="page"/>
      </w:r>
      <w:bookmarkEnd w:id="40"/>
      <w:bookmarkEnd w:id="41"/>
      <w:bookmarkEnd w:id="42"/>
      <w:bookmarkEnd w:id="43"/>
      <w:bookmarkEnd w:id="44"/>
      <w:bookmarkStart w:id="45" w:name="_Toc14771"/>
      <w:bookmarkStart w:id="46" w:name="_Toc14424_WPSOffice_Level2"/>
      <w:bookmarkStart w:id="47" w:name="_Toc10184875"/>
      <w:bookmarkStart w:id="48" w:name="_Toc10122264"/>
      <w:r>
        <w:rPr>
          <w:rStyle w:val="42"/>
          <w:b/>
          <w:bCs/>
          <w:color w:val="auto"/>
          <w:highlight w:val="none"/>
        </w:rPr>
        <w:t>一、总则</w:t>
      </w:r>
      <w:bookmarkEnd w:id="45"/>
      <w:bookmarkEnd w:id="46"/>
      <w:bookmarkEnd w:id="47"/>
      <w:bookmarkEnd w:id="48"/>
    </w:p>
    <w:p w14:paraId="5BE4BB90">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1、采购说明</w:t>
      </w:r>
    </w:p>
    <w:p w14:paraId="339FF9AF">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项目说明见本须知前附表</w:t>
      </w:r>
      <w:r>
        <w:rPr>
          <w:rFonts w:hint="eastAsia"/>
          <w:bCs/>
          <w:color w:val="auto"/>
          <w:highlight w:val="none"/>
        </w:rPr>
        <w:t>。</w:t>
      </w:r>
    </w:p>
    <w:p w14:paraId="38191757">
      <w:pPr>
        <w:pStyle w:val="25"/>
        <w:tabs>
          <w:tab w:val="left" w:pos="720"/>
        </w:tabs>
        <w:spacing w:before="0" w:beforeAutospacing="0" w:after="0" w:afterAutospacing="0" w:line="360" w:lineRule="auto"/>
        <w:ind w:left="-2" w:leftChars="-1" w:right="26" w:firstLine="482" w:firstLineChars="200"/>
        <w:jc w:val="both"/>
        <w:rPr>
          <w:b/>
          <w:bCs/>
          <w:color w:val="auto"/>
          <w:kern w:val="2"/>
          <w:highlight w:val="none"/>
        </w:rPr>
      </w:pPr>
      <w:r>
        <w:rPr>
          <w:b/>
          <w:bCs/>
          <w:color w:val="auto"/>
          <w:kern w:val="2"/>
          <w:highlight w:val="none"/>
        </w:rPr>
        <w:t>2、资金来源</w:t>
      </w:r>
    </w:p>
    <w:p w14:paraId="025B2753">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项目的资金来源为</w:t>
      </w:r>
      <w:r>
        <w:rPr>
          <w:rFonts w:hint="eastAsia"/>
          <w:color w:val="auto"/>
          <w:szCs w:val="21"/>
          <w:highlight w:val="none"/>
        </w:rPr>
        <w:t>企业自筹</w:t>
      </w:r>
      <w:r>
        <w:rPr>
          <w:bCs/>
          <w:color w:val="auto"/>
          <w:highlight w:val="none"/>
        </w:rPr>
        <w:t>。</w:t>
      </w:r>
    </w:p>
    <w:p w14:paraId="7B935CD6">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3、资格与合格条件的要求</w:t>
      </w:r>
    </w:p>
    <w:p w14:paraId="7B5DF0F9">
      <w:pPr>
        <w:widowControl w:val="0"/>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供应商</w:t>
      </w:r>
      <w:r>
        <w:rPr>
          <w:rFonts w:ascii="宋体"/>
          <w:bCs/>
          <w:color w:val="auto"/>
          <w:sz w:val="24"/>
          <w:szCs w:val="24"/>
          <w:highlight w:val="none"/>
        </w:rPr>
        <w:t>资格标准</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14:paraId="635AEED1">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参与洽谈的活动</w:t>
      </w:r>
      <w:r>
        <w:rPr>
          <w:rFonts w:ascii="宋体"/>
          <w:b/>
          <w:bCs/>
          <w:color w:val="auto"/>
          <w:kern w:val="2"/>
          <w:sz w:val="24"/>
          <w:szCs w:val="24"/>
          <w:highlight w:val="none"/>
        </w:rPr>
        <w:t>费用</w:t>
      </w:r>
    </w:p>
    <w:p w14:paraId="549CA6FD">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应承担编制</w:t>
      </w:r>
      <w:r>
        <w:rPr>
          <w:rFonts w:hint="eastAsia"/>
          <w:bCs/>
          <w:color w:val="auto"/>
          <w:highlight w:val="none"/>
        </w:rPr>
        <w:t>响应</w:t>
      </w:r>
      <w:r>
        <w:rPr>
          <w:bCs/>
          <w:color w:val="auto"/>
          <w:highlight w:val="none"/>
        </w:rPr>
        <w:t>文件与递交</w:t>
      </w:r>
      <w:r>
        <w:rPr>
          <w:rFonts w:hint="eastAsia"/>
          <w:bCs/>
          <w:color w:val="auto"/>
          <w:highlight w:val="none"/>
        </w:rPr>
        <w:t>响应</w:t>
      </w:r>
      <w:r>
        <w:rPr>
          <w:bCs/>
          <w:color w:val="auto"/>
          <w:highlight w:val="none"/>
        </w:rPr>
        <w:t>文件所涉及的一切费用，不管</w:t>
      </w:r>
      <w:r>
        <w:rPr>
          <w:rFonts w:hint="eastAsia"/>
          <w:bCs/>
          <w:color w:val="auto"/>
          <w:highlight w:val="none"/>
        </w:rPr>
        <w:t>洽谈</w:t>
      </w:r>
      <w:r>
        <w:rPr>
          <w:bCs/>
          <w:color w:val="auto"/>
          <w:highlight w:val="none"/>
        </w:rPr>
        <w:t>结果如何，</w:t>
      </w:r>
      <w:r>
        <w:rPr>
          <w:rFonts w:hint="eastAsia"/>
          <w:bCs/>
          <w:color w:val="auto"/>
          <w:highlight w:val="none"/>
        </w:rPr>
        <w:t>采购</w:t>
      </w:r>
      <w:r>
        <w:rPr>
          <w:bCs/>
          <w:color w:val="auto"/>
          <w:highlight w:val="none"/>
        </w:rPr>
        <w:t>人不承担</w:t>
      </w:r>
      <w:r>
        <w:rPr>
          <w:rFonts w:hint="eastAsia"/>
          <w:bCs/>
          <w:color w:val="auto"/>
          <w:highlight w:val="none"/>
        </w:rPr>
        <w:t>供应商</w:t>
      </w:r>
      <w:r>
        <w:rPr>
          <w:bCs/>
          <w:color w:val="auto"/>
          <w:highlight w:val="none"/>
        </w:rPr>
        <w:t>因</w:t>
      </w:r>
      <w:r>
        <w:rPr>
          <w:rFonts w:hint="eastAsia"/>
          <w:bCs/>
          <w:color w:val="auto"/>
          <w:highlight w:val="none"/>
        </w:rPr>
        <w:t>洽谈活动</w:t>
      </w:r>
      <w:r>
        <w:rPr>
          <w:bCs/>
          <w:color w:val="auto"/>
          <w:highlight w:val="none"/>
        </w:rPr>
        <w:t>所发生的一切费用。</w:t>
      </w:r>
    </w:p>
    <w:p w14:paraId="7D544F8B">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w:t>
      </w:r>
      <w:r>
        <w:rPr>
          <w:rFonts w:hint="eastAsia"/>
          <w:bCs/>
          <w:color w:val="auto"/>
          <w:highlight w:val="none"/>
        </w:rPr>
        <w:t>采购</w:t>
      </w:r>
      <w:r>
        <w:rPr>
          <w:bCs/>
          <w:color w:val="auto"/>
          <w:highlight w:val="none"/>
        </w:rPr>
        <w:t>人向</w:t>
      </w:r>
      <w:r>
        <w:rPr>
          <w:rFonts w:hint="eastAsia"/>
          <w:bCs/>
          <w:color w:val="auto"/>
          <w:highlight w:val="none"/>
        </w:rPr>
        <w:t>供应商</w:t>
      </w:r>
      <w:r>
        <w:rPr>
          <w:bCs/>
          <w:color w:val="auto"/>
          <w:highlight w:val="none"/>
        </w:rPr>
        <w:t>提供的有关现场的数据和资料，是</w:t>
      </w:r>
      <w:r>
        <w:rPr>
          <w:rFonts w:hint="eastAsia"/>
          <w:bCs/>
          <w:color w:val="auto"/>
          <w:highlight w:val="none"/>
        </w:rPr>
        <w:t>采购</w:t>
      </w:r>
      <w:r>
        <w:rPr>
          <w:bCs/>
          <w:color w:val="auto"/>
          <w:highlight w:val="none"/>
        </w:rPr>
        <w:t>人现有的能被</w:t>
      </w:r>
      <w:r>
        <w:rPr>
          <w:rFonts w:hint="eastAsia"/>
          <w:bCs/>
          <w:color w:val="auto"/>
          <w:highlight w:val="none"/>
        </w:rPr>
        <w:t>供应商</w:t>
      </w:r>
      <w:r>
        <w:rPr>
          <w:bCs/>
          <w:color w:val="auto"/>
          <w:highlight w:val="none"/>
        </w:rPr>
        <w:t>利用的资料，</w:t>
      </w:r>
      <w:r>
        <w:rPr>
          <w:rFonts w:hint="eastAsia"/>
          <w:bCs/>
          <w:color w:val="auto"/>
          <w:highlight w:val="none"/>
        </w:rPr>
        <w:t>采购</w:t>
      </w:r>
      <w:r>
        <w:rPr>
          <w:bCs/>
          <w:color w:val="auto"/>
          <w:highlight w:val="none"/>
        </w:rPr>
        <w:t>人对</w:t>
      </w:r>
      <w:r>
        <w:rPr>
          <w:rFonts w:hint="eastAsia"/>
          <w:bCs/>
          <w:color w:val="auto"/>
          <w:highlight w:val="none"/>
        </w:rPr>
        <w:t>供应商</w:t>
      </w:r>
      <w:r>
        <w:rPr>
          <w:bCs/>
          <w:color w:val="auto"/>
          <w:highlight w:val="none"/>
        </w:rPr>
        <w:t>做出的任何推论、理解和结论概不负责。</w:t>
      </w:r>
    </w:p>
    <w:p w14:paraId="55ADDB3A">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6、经</w:t>
      </w:r>
      <w:r>
        <w:rPr>
          <w:rFonts w:hint="eastAsia"/>
          <w:bCs/>
          <w:color w:val="auto"/>
          <w:highlight w:val="none"/>
        </w:rPr>
        <w:t>采购</w:t>
      </w:r>
      <w:r>
        <w:rPr>
          <w:bCs/>
          <w:color w:val="auto"/>
          <w:highlight w:val="none"/>
        </w:rPr>
        <w:t>人同意，</w:t>
      </w:r>
      <w:r>
        <w:rPr>
          <w:rFonts w:hint="eastAsia"/>
          <w:bCs/>
          <w:color w:val="auto"/>
          <w:highlight w:val="none"/>
        </w:rPr>
        <w:t>供应商</w:t>
      </w:r>
      <w:r>
        <w:rPr>
          <w:bCs/>
          <w:color w:val="auto"/>
          <w:highlight w:val="none"/>
        </w:rPr>
        <w:t>因</w:t>
      </w:r>
      <w:r>
        <w:rPr>
          <w:rFonts w:hint="eastAsia"/>
          <w:bCs/>
          <w:color w:val="auto"/>
          <w:highlight w:val="none"/>
        </w:rPr>
        <w:t>洽谈</w:t>
      </w:r>
      <w:r>
        <w:rPr>
          <w:bCs/>
          <w:color w:val="auto"/>
          <w:highlight w:val="none"/>
        </w:rPr>
        <w:t>可进入项目现场进行踏勘，但</w:t>
      </w:r>
      <w:r>
        <w:rPr>
          <w:rFonts w:hint="eastAsia"/>
          <w:bCs/>
          <w:color w:val="auto"/>
          <w:highlight w:val="none"/>
        </w:rPr>
        <w:t>供应商</w:t>
      </w:r>
      <w:r>
        <w:rPr>
          <w:bCs/>
          <w:color w:val="auto"/>
          <w:highlight w:val="none"/>
        </w:rPr>
        <w:t>不得因此使</w:t>
      </w:r>
      <w:r>
        <w:rPr>
          <w:rFonts w:hint="eastAsia"/>
          <w:bCs/>
          <w:color w:val="auto"/>
          <w:highlight w:val="none"/>
        </w:rPr>
        <w:t>采购</w:t>
      </w:r>
      <w:r>
        <w:rPr>
          <w:bCs/>
          <w:color w:val="auto"/>
          <w:highlight w:val="none"/>
        </w:rPr>
        <w:t>人承担有关的责任和蒙受损失。</w:t>
      </w:r>
      <w:r>
        <w:rPr>
          <w:rFonts w:hint="eastAsia"/>
          <w:bCs/>
          <w:color w:val="auto"/>
          <w:highlight w:val="none"/>
        </w:rPr>
        <w:t>供应商</w:t>
      </w:r>
      <w:r>
        <w:rPr>
          <w:bCs/>
          <w:color w:val="auto"/>
          <w:highlight w:val="none"/>
        </w:rPr>
        <w:t>应承担踏勘现场的责任和风险，并自理踏勘所发生的费用。</w:t>
      </w:r>
    </w:p>
    <w:p w14:paraId="12408A80">
      <w:pPr>
        <w:pStyle w:val="4"/>
        <w:pageBreakBefore w:val="0"/>
        <w:kinsoku/>
        <w:wordWrap/>
        <w:topLinePunct w:val="0"/>
        <w:autoSpaceDE/>
        <w:autoSpaceDN/>
        <w:bidi w:val="0"/>
        <w:adjustRightInd/>
        <w:snapToGrid/>
        <w:spacing w:line="360" w:lineRule="auto"/>
        <w:textAlignment w:val="auto"/>
        <w:rPr>
          <w:color w:val="auto"/>
          <w:highlight w:val="none"/>
        </w:rPr>
      </w:pPr>
      <w:bookmarkStart w:id="49" w:name="_Toc10184876"/>
      <w:bookmarkStart w:id="50" w:name="_Toc376793575"/>
      <w:bookmarkStart w:id="51" w:name="_Toc10122265"/>
      <w:bookmarkStart w:id="52" w:name="_Toc28617"/>
      <w:bookmarkStart w:id="53" w:name="_Toc382509455"/>
      <w:bookmarkStart w:id="54" w:name="_Toc376793711"/>
      <w:bookmarkStart w:id="55" w:name="_Toc376793556"/>
      <w:bookmarkStart w:id="56" w:name="_Toc16163_WPSOffice_Level2"/>
      <w:r>
        <w:rPr>
          <w:color w:val="auto"/>
          <w:highlight w:val="none"/>
        </w:rPr>
        <w:t>二、</w:t>
      </w:r>
      <w:r>
        <w:rPr>
          <w:rFonts w:hint="eastAsia"/>
          <w:color w:val="auto"/>
          <w:highlight w:val="none"/>
        </w:rPr>
        <w:t>采购</w:t>
      </w:r>
      <w:r>
        <w:rPr>
          <w:color w:val="auto"/>
          <w:highlight w:val="none"/>
        </w:rPr>
        <w:t>文件</w:t>
      </w:r>
      <w:bookmarkEnd w:id="49"/>
      <w:bookmarkEnd w:id="50"/>
      <w:bookmarkEnd w:id="51"/>
      <w:bookmarkEnd w:id="52"/>
      <w:bookmarkEnd w:id="53"/>
      <w:bookmarkEnd w:id="54"/>
      <w:bookmarkEnd w:id="55"/>
      <w:bookmarkEnd w:id="56"/>
    </w:p>
    <w:p w14:paraId="5119EC0B">
      <w:pPr>
        <w:pageBreakBefore w:val="0"/>
        <w:widowControl w:val="0"/>
        <w:kinsoku/>
        <w:wordWrap/>
        <w:overflowPunct w:val="0"/>
        <w:topLinePunct w:val="0"/>
        <w:autoSpaceDE/>
        <w:autoSpaceDN/>
        <w:bidi w:val="0"/>
        <w:adjustRightInd/>
        <w:snapToGrid/>
        <w:spacing w:line="360" w:lineRule="auto"/>
        <w:ind w:firstLine="482" w:firstLineChars="200"/>
        <w:textAlignment w:val="auto"/>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w:t>
      </w:r>
      <w:r>
        <w:rPr>
          <w:rFonts w:ascii="宋体"/>
          <w:b/>
          <w:bCs/>
          <w:color w:val="auto"/>
          <w:kern w:val="2"/>
          <w:sz w:val="24"/>
          <w:szCs w:val="24"/>
          <w:highlight w:val="none"/>
        </w:rPr>
        <w:t>文件的组成</w:t>
      </w:r>
    </w:p>
    <w:p w14:paraId="03F723F8">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本</w:t>
      </w:r>
      <w:r>
        <w:rPr>
          <w:rFonts w:hint="eastAsia"/>
          <w:bCs/>
          <w:color w:val="auto"/>
          <w:highlight w:val="none"/>
        </w:rPr>
        <w:t>采购</w:t>
      </w:r>
      <w:r>
        <w:rPr>
          <w:bCs/>
          <w:color w:val="auto"/>
          <w:highlight w:val="none"/>
        </w:rPr>
        <w:t>文件包括下列内容及所有按本须知发出的补充资料、答疑或补遗记录。</w:t>
      </w:r>
    </w:p>
    <w:p w14:paraId="2DBE19B0">
      <w:pPr>
        <w:pStyle w:val="25"/>
        <w:tabs>
          <w:tab w:val="left" w:pos="720"/>
        </w:tabs>
        <w:spacing w:before="0" w:beforeAutospacing="0" w:after="0" w:afterAutospacing="0" w:line="360" w:lineRule="auto"/>
        <w:ind w:left="-2" w:leftChars="-1" w:right="26" w:firstLine="480" w:firstLineChars="200"/>
        <w:jc w:val="both"/>
        <w:rPr>
          <w:rFonts w:hint="eastAsia" w:eastAsia="宋体"/>
          <w:bCs/>
          <w:color w:val="auto"/>
          <w:highlight w:val="none"/>
          <w:lang w:val="en-US" w:eastAsia="zh-CN"/>
        </w:rPr>
      </w:pPr>
      <w:r>
        <w:rPr>
          <w:bCs/>
          <w:color w:val="auto"/>
          <w:highlight w:val="none"/>
        </w:rPr>
        <w:t>第一章</w:t>
      </w:r>
      <w:r>
        <w:rPr>
          <w:rFonts w:hint="eastAsia"/>
          <w:bCs/>
          <w:color w:val="auto"/>
          <w:highlight w:val="none"/>
        </w:rPr>
        <w:t xml:space="preserve"> 采购</w:t>
      </w:r>
      <w:r>
        <w:rPr>
          <w:rFonts w:hint="eastAsia"/>
          <w:bCs/>
          <w:color w:val="auto"/>
          <w:highlight w:val="none"/>
          <w:lang w:val="en-US" w:eastAsia="zh-CN"/>
        </w:rPr>
        <w:t>公告</w:t>
      </w:r>
    </w:p>
    <w:p w14:paraId="2290BB35">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 xml:space="preserve">第二章 </w:t>
      </w:r>
      <w:r>
        <w:rPr>
          <w:rFonts w:hint="eastAsia"/>
          <w:bCs/>
          <w:color w:val="auto"/>
          <w:highlight w:val="none"/>
        </w:rPr>
        <w:t>供应商</w:t>
      </w:r>
      <w:r>
        <w:rPr>
          <w:bCs/>
          <w:color w:val="auto"/>
          <w:highlight w:val="none"/>
        </w:rPr>
        <w:t>须知及前附表</w:t>
      </w:r>
    </w:p>
    <w:p w14:paraId="57C84065">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第三章 合同主要价款</w:t>
      </w:r>
    </w:p>
    <w:p w14:paraId="70974F9D">
      <w:pPr>
        <w:pStyle w:val="25"/>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第四章</w:t>
      </w:r>
      <w:r>
        <w:rPr>
          <w:rFonts w:hint="eastAsia"/>
          <w:bCs/>
          <w:color w:val="auto"/>
          <w:highlight w:val="none"/>
        </w:rPr>
        <w:t xml:space="preserve"> 技术规格及要求</w:t>
      </w:r>
    </w:p>
    <w:p w14:paraId="3C6FE076">
      <w:pPr>
        <w:pStyle w:val="25"/>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第</w:t>
      </w:r>
      <w:r>
        <w:rPr>
          <w:rFonts w:hint="eastAsia"/>
          <w:bCs/>
          <w:color w:val="auto"/>
          <w:highlight w:val="none"/>
        </w:rPr>
        <w:t>五</w:t>
      </w:r>
      <w:r>
        <w:rPr>
          <w:bCs/>
          <w:color w:val="auto"/>
          <w:highlight w:val="none"/>
        </w:rPr>
        <w:t xml:space="preserve">章 </w:t>
      </w:r>
      <w:r>
        <w:rPr>
          <w:rFonts w:hint="eastAsia"/>
          <w:bCs/>
          <w:color w:val="auto"/>
          <w:highlight w:val="none"/>
        </w:rPr>
        <w:t>响应</w:t>
      </w:r>
      <w:r>
        <w:rPr>
          <w:bCs/>
          <w:color w:val="auto"/>
          <w:highlight w:val="none"/>
        </w:rPr>
        <w:t>文件格式</w:t>
      </w:r>
    </w:p>
    <w:p w14:paraId="297765D1">
      <w:pPr>
        <w:pStyle w:val="25"/>
        <w:widowControl w:val="0"/>
        <w:tabs>
          <w:tab w:val="left" w:pos="720"/>
        </w:tabs>
        <w:spacing w:before="0" w:beforeAutospacing="0" w:after="0" w:afterAutospacing="0" w:line="360" w:lineRule="auto"/>
        <w:ind w:left="-2" w:leftChars="-1" w:right="28" w:firstLine="480" w:firstLineChars="200"/>
        <w:jc w:val="both"/>
        <w:rPr>
          <w:bCs/>
          <w:color w:val="auto"/>
          <w:highlight w:val="none"/>
        </w:rPr>
      </w:pPr>
      <w:r>
        <w:rPr>
          <w:bCs/>
          <w:color w:val="auto"/>
          <w:highlight w:val="none"/>
        </w:rPr>
        <w:t>2、</w:t>
      </w:r>
      <w:r>
        <w:rPr>
          <w:rFonts w:hint="eastAsia"/>
          <w:bCs/>
          <w:color w:val="auto"/>
          <w:highlight w:val="none"/>
        </w:rPr>
        <w:t>供应商</w:t>
      </w:r>
      <w:r>
        <w:rPr>
          <w:bCs/>
          <w:color w:val="auto"/>
          <w:highlight w:val="none"/>
        </w:rPr>
        <w:t>获取</w:t>
      </w:r>
      <w:r>
        <w:rPr>
          <w:rFonts w:hint="eastAsia"/>
          <w:bCs/>
          <w:color w:val="auto"/>
          <w:highlight w:val="none"/>
        </w:rPr>
        <w:t>采购</w:t>
      </w:r>
      <w:r>
        <w:rPr>
          <w:bCs/>
          <w:color w:val="auto"/>
          <w:highlight w:val="none"/>
        </w:rPr>
        <w:t>文件后，应认真检查</w:t>
      </w:r>
      <w:r>
        <w:rPr>
          <w:rFonts w:hint="eastAsia"/>
          <w:bCs/>
          <w:color w:val="auto"/>
          <w:highlight w:val="none"/>
        </w:rPr>
        <w:t>采购</w:t>
      </w:r>
      <w:r>
        <w:rPr>
          <w:bCs/>
          <w:color w:val="auto"/>
          <w:highlight w:val="none"/>
        </w:rPr>
        <w:t>文件的所有内容，如有残缺等问题应在获得</w:t>
      </w:r>
      <w:r>
        <w:rPr>
          <w:rFonts w:hint="eastAsia"/>
          <w:bCs/>
          <w:color w:val="auto"/>
          <w:highlight w:val="none"/>
        </w:rPr>
        <w:t>采购</w:t>
      </w:r>
      <w:r>
        <w:rPr>
          <w:bCs/>
          <w:color w:val="auto"/>
          <w:highlight w:val="none"/>
        </w:rPr>
        <w:t>文件1日内向</w:t>
      </w:r>
      <w:r>
        <w:rPr>
          <w:rFonts w:hint="eastAsia"/>
          <w:bCs/>
          <w:color w:val="auto"/>
          <w:highlight w:val="none"/>
        </w:rPr>
        <w:t>采购人</w:t>
      </w:r>
      <w:r>
        <w:rPr>
          <w:bCs/>
          <w:color w:val="auto"/>
          <w:highlight w:val="none"/>
        </w:rPr>
        <w:t>提出，否则，由此引起的损失由</w:t>
      </w:r>
      <w:r>
        <w:rPr>
          <w:rFonts w:hint="eastAsia"/>
          <w:bCs/>
          <w:color w:val="auto"/>
          <w:highlight w:val="none"/>
        </w:rPr>
        <w:t>供应商</w:t>
      </w:r>
      <w:r>
        <w:rPr>
          <w:bCs/>
          <w:color w:val="auto"/>
          <w:highlight w:val="none"/>
        </w:rPr>
        <w:t>自己负责。</w:t>
      </w:r>
      <w:r>
        <w:rPr>
          <w:rFonts w:hint="eastAsia"/>
          <w:bCs/>
          <w:color w:val="auto"/>
          <w:highlight w:val="none"/>
        </w:rPr>
        <w:t>供应商</w:t>
      </w:r>
      <w:r>
        <w:rPr>
          <w:bCs/>
          <w:color w:val="auto"/>
          <w:highlight w:val="none"/>
        </w:rPr>
        <w:t>同时应认真审阅</w:t>
      </w:r>
      <w:r>
        <w:rPr>
          <w:rFonts w:hint="eastAsia"/>
          <w:bCs/>
          <w:color w:val="auto"/>
          <w:highlight w:val="none"/>
        </w:rPr>
        <w:t>采购</w:t>
      </w:r>
      <w:r>
        <w:rPr>
          <w:bCs/>
          <w:color w:val="auto"/>
          <w:highlight w:val="none"/>
        </w:rPr>
        <w:t>文件中所有的</w:t>
      </w:r>
      <w:r>
        <w:rPr>
          <w:rFonts w:hint="eastAsia"/>
          <w:bCs/>
          <w:color w:val="auto"/>
          <w:highlight w:val="none"/>
        </w:rPr>
        <w:t>供应商</w:t>
      </w:r>
      <w:r>
        <w:rPr>
          <w:bCs/>
          <w:color w:val="auto"/>
          <w:highlight w:val="none"/>
        </w:rPr>
        <w:t>须知、合同主要条款、规定格式、技术要求等内容。若</w:t>
      </w:r>
      <w:r>
        <w:rPr>
          <w:rFonts w:hint="eastAsia"/>
          <w:bCs/>
          <w:color w:val="auto"/>
          <w:highlight w:val="none"/>
        </w:rPr>
        <w:t>供应商</w:t>
      </w:r>
      <w:r>
        <w:rPr>
          <w:bCs/>
          <w:color w:val="auto"/>
          <w:highlight w:val="none"/>
        </w:rPr>
        <w:t>没有按照</w:t>
      </w:r>
      <w:r>
        <w:rPr>
          <w:rFonts w:hint="eastAsia"/>
          <w:bCs/>
          <w:color w:val="auto"/>
          <w:highlight w:val="none"/>
        </w:rPr>
        <w:t>采购</w:t>
      </w:r>
      <w:r>
        <w:rPr>
          <w:bCs/>
          <w:color w:val="auto"/>
          <w:highlight w:val="none"/>
        </w:rPr>
        <w:t>文件的要求提交全部资料，责任由</w:t>
      </w:r>
      <w:r>
        <w:rPr>
          <w:rFonts w:hint="eastAsia"/>
          <w:bCs/>
          <w:color w:val="auto"/>
          <w:highlight w:val="none"/>
        </w:rPr>
        <w:t>供应商自负</w:t>
      </w:r>
      <w:r>
        <w:rPr>
          <w:bCs/>
          <w:color w:val="auto"/>
          <w:highlight w:val="none"/>
        </w:rPr>
        <w:t>。</w:t>
      </w:r>
    </w:p>
    <w:p w14:paraId="16385A1A">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rPr>
        <w:t>3</w:t>
      </w:r>
      <w:r>
        <w:rPr>
          <w:rFonts w:ascii="宋体"/>
          <w:b/>
          <w:bCs/>
          <w:color w:val="auto"/>
          <w:kern w:val="2"/>
          <w:sz w:val="24"/>
          <w:szCs w:val="24"/>
          <w:highlight w:val="none"/>
        </w:rPr>
        <w:t>、</w:t>
      </w:r>
      <w:r>
        <w:rPr>
          <w:rFonts w:hint="eastAsia" w:ascii="宋体"/>
          <w:b/>
          <w:bCs/>
          <w:color w:val="auto"/>
          <w:kern w:val="2"/>
          <w:sz w:val="24"/>
          <w:szCs w:val="24"/>
          <w:highlight w:val="none"/>
        </w:rPr>
        <w:t>采购</w:t>
      </w:r>
      <w:r>
        <w:rPr>
          <w:rFonts w:ascii="宋体"/>
          <w:b/>
          <w:bCs/>
          <w:color w:val="auto"/>
          <w:kern w:val="2"/>
          <w:sz w:val="24"/>
          <w:szCs w:val="24"/>
          <w:highlight w:val="none"/>
        </w:rPr>
        <w:t>文件的修改</w:t>
      </w:r>
    </w:p>
    <w:p w14:paraId="38960906">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.1</w:t>
      </w:r>
      <w:r>
        <w:rPr>
          <w:rFonts w:hint="eastAsia"/>
          <w:color w:val="auto"/>
          <w:szCs w:val="21"/>
          <w:highlight w:val="none"/>
        </w:rPr>
        <w:t>采购人可能对采购文件进行</w:t>
      </w:r>
      <w:r>
        <w:rPr>
          <w:bCs/>
          <w:color w:val="auto"/>
          <w:highlight w:val="none"/>
        </w:rPr>
        <w:t>澄清和修改</w:t>
      </w:r>
      <w:r>
        <w:rPr>
          <w:rFonts w:hint="eastAsia"/>
          <w:color w:val="auto"/>
          <w:szCs w:val="21"/>
          <w:highlight w:val="none"/>
        </w:rPr>
        <w:t>，采购单位会将这些</w:t>
      </w:r>
      <w:r>
        <w:rPr>
          <w:bCs/>
          <w:color w:val="auto"/>
          <w:highlight w:val="none"/>
        </w:rPr>
        <w:t>澄清和修改</w:t>
      </w:r>
      <w:r>
        <w:rPr>
          <w:rFonts w:hint="eastAsia"/>
          <w:color w:val="auto"/>
          <w:szCs w:val="21"/>
          <w:highlight w:val="none"/>
        </w:rPr>
        <w:t>在与供应商洽谈之前或之中以书面补充方式告知供应商。</w:t>
      </w:r>
    </w:p>
    <w:p w14:paraId="5A3F8228">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.2澄清和修改以书面补充通知的方式发给</w:t>
      </w:r>
      <w:r>
        <w:rPr>
          <w:rFonts w:hint="eastAsia"/>
          <w:bCs/>
          <w:color w:val="auto"/>
          <w:highlight w:val="none"/>
        </w:rPr>
        <w:t>供应商</w:t>
      </w:r>
      <w:r>
        <w:rPr>
          <w:bCs/>
          <w:color w:val="auto"/>
          <w:highlight w:val="none"/>
        </w:rPr>
        <w:t>。补充通知作为</w:t>
      </w:r>
      <w:r>
        <w:rPr>
          <w:rFonts w:hint="eastAsia"/>
          <w:bCs/>
          <w:color w:val="auto"/>
          <w:highlight w:val="none"/>
        </w:rPr>
        <w:t>采购</w:t>
      </w:r>
      <w:r>
        <w:rPr>
          <w:bCs/>
          <w:color w:val="auto"/>
          <w:highlight w:val="none"/>
        </w:rPr>
        <w:t>文件的组成部分，对</w:t>
      </w:r>
      <w:r>
        <w:rPr>
          <w:rFonts w:hint="eastAsia"/>
          <w:bCs/>
          <w:color w:val="auto"/>
          <w:highlight w:val="none"/>
        </w:rPr>
        <w:t>供应商</w:t>
      </w:r>
      <w:r>
        <w:rPr>
          <w:bCs/>
          <w:color w:val="auto"/>
          <w:highlight w:val="none"/>
        </w:rPr>
        <w:t>起约束作用。</w:t>
      </w:r>
    </w:p>
    <w:p w14:paraId="0C342B9D">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w:t>
      </w:r>
      <w:r>
        <w:rPr>
          <w:bCs/>
          <w:color w:val="auto"/>
          <w:highlight w:val="none"/>
        </w:rPr>
        <w:t>.3</w:t>
      </w:r>
      <w:r>
        <w:rPr>
          <w:rFonts w:hint="eastAsia"/>
          <w:bCs/>
          <w:color w:val="auto"/>
          <w:highlight w:val="none"/>
        </w:rPr>
        <w:t>采购</w:t>
      </w:r>
      <w:r>
        <w:rPr>
          <w:bCs/>
          <w:color w:val="auto"/>
          <w:highlight w:val="none"/>
        </w:rPr>
        <w:t>文件的澄清、修改、补充等内容均以书面的形式明确的内容为准。当</w:t>
      </w:r>
      <w:r>
        <w:rPr>
          <w:rFonts w:hint="eastAsia"/>
          <w:bCs/>
          <w:color w:val="auto"/>
          <w:highlight w:val="none"/>
        </w:rPr>
        <w:t>采购</w:t>
      </w:r>
      <w:r>
        <w:rPr>
          <w:bCs/>
          <w:color w:val="auto"/>
          <w:highlight w:val="none"/>
        </w:rPr>
        <w:t>文件、</w:t>
      </w:r>
      <w:r>
        <w:rPr>
          <w:rFonts w:hint="eastAsia"/>
          <w:bCs/>
          <w:color w:val="auto"/>
          <w:highlight w:val="none"/>
        </w:rPr>
        <w:t>采购</w:t>
      </w:r>
      <w:r>
        <w:rPr>
          <w:bCs/>
          <w:color w:val="auto"/>
          <w:highlight w:val="none"/>
        </w:rPr>
        <w:t>文件的澄清、修改、补充等在同一内容的表述不一致时，以最后发出的书面文件为准。</w:t>
      </w:r>
    </w:p>
    <w:p w14:paraId="7A9731DB">
      <w:pPr>
        <w:pStyle w:val="4"/>
        <w:spacing w:line="360" w:lineRule="auto"/>
        <w:rPr>
          <w:color w:val="auto"/>
          <w:highlight w:val="none"/>
        </w:rPr>
      </w:pPr>
      <w:bookmarkStart w:id="57" w:name="_Toc10184877"/>
      <w:bookmarkStart w:id="58" w:name="_Toc18914"/>
      <w:bookmarkStart w:id="59" w:name="_Toc376793557"/>
      <w:bookmarkStart w:id="60" w:name="_Toc382509456"/>
      <w:bookmarkStart w:id="61" w:name="_Toc376793576"/>
      <w:bookmarkStart w:id="62" w:name="_Toc10640_WPSOffice_Level2"/>
      <w:bookmarkStart w:id="63" w:name="_Toc10122266"/>
      <w:bookmarkStart w:id="64" w:name="_Toc376793712"/>
      <w:r>
        <w:rPr>
          <w:color w:val="auto"/>
          <w:highlight w:val="none"/>
        </w:rPr>
        <w:t>三、</w:t>
      </w:r>
      <w:r>
        <w:rPr>
          <w:rFonts w:hint="eastAsia"/>
          <w:color w:val="auto"/>
          <w:highlight w:val="none"/>
        </w:rPr>
        <w:t>采购响应</w:t>
      </w:r>
      <w:r>
        <w:rPr>
          <w:color w:val="auto"/>
          <w:highlight w:val="none"/>
        </w:rPr>
        <w:t>文件</w:t>
      </w:r>
      <w:bookmarkEnd w:id="57"/>
      <w:bookmarkEnd w:id="58"/>
      <w:bookmarkEnd w:id="59"/>
      <w:bookmarkEnd w:id="60"/>
      <w:bookmarkEnd w:id="61"/>
      <w:bookmarkEnd w:id="62"/>
      <w:bookmarkEnd w:id="63"/>
      <w:bookmarkEnd w:id="64"/>
    </w:p>
    <w:p w14:paraId="60206049">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1、</w:t>
      </w:r>
      <w:r>
        <w:rPr>
          <w:rFonts w:hint="eastAsia" w:ascii="宋体"/>
          <w:b/>
          <w:bCs/>
          <w:color w:val="auto"/>
          <w:kern w:val="2"/>
          <w:sz w:val="24"/>
          <w:szCs w:val="24"/>
          <w:highlight w:val="none"/>
        </w:rPr>
        <w:t>采购响应</w:t>
      </w:r>
      <w:r>
        <w:rPr>
          <w:rFonts w:ascii="宋体"/>
          <w:b/>
          <w:bCs/>
          <w:color w:val="auto"/>
          <w:kern w:val="2"/>
          <w:sz w:val="24"/>
          <w:szCs w:val="24"/>
          <w:highlight w:val="none"/>
        </w:rPr>
        <w:t>文件的语言</w:t>
      </w:r>
    </w:p>
    <w:p w14:paraId="4A8E21A1">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1.1响应</w:t>
      </w:r>
      <w:r>
        <w:rPr>
          <w:bCs/>
          <w:color w:val="auto"/>
          <w:highlight w:val="none"/>
        </w:rPr>
        <w:t>文件及</w:t>
      </w:r>
      <w:r>
        <w:rPr>
          <w:rFonts w:hint="eastAsia"/>
          <w:bCs/>
          <w:color w:val="auto"/>
          <w:highlight w:val="none"/>
        </w:rPr>
        <w:t>供应商、采购</w:t>
      </w:r>
      <w:r>
        <w:rPr>
          <w:bCs/>
          <w:color w:val="auto"/>
          <w:highlight w:val="none"/>
        </w:rPr>
        <w:t>人之间所有与</w:t>
      </w:r>
      <w:r>
        <w:rPr>
          <w:rFonts w:hint="eastAsia"/>
          <w:bCs/>
          <w:color w:val="auto"/>
          <w:highlight w:val="none"/>
        </w:rPr>
        <w:t>洽谈</w:t>
      </w:r>
      <w:r>
        <w:rPr>
          <w:bCs/>
          <w:color w:val="auto"/>
          <w:highlight w:val="none"/>
        </w:rPr>
        <w:t>有关的来往通知、函件和文件均应使用中文。</w:t>
      </w:r>
    </w:p>
    <w:p w14:paraId="2427FFDD">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1.2如果供应商在采购响应文件中附有外文资料，必须把这些外文资料翻译成中文。对于关键性的证明文件，供应商应该提供与英文内容相同、且由同一人签署（或盖章）的中文原件，或经国内公证部门公证的中文翻译件。</w:t>
      </w:r>
    </w:p>
    <w:p w14:paraId="1880BA2B">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2、</w:t>
      </w:r>
      <w:r>
        <w:rPr>
          <w:rFonts w:hint="eastAsia" w:ascii="宋体"/>
          <w:b/>
          <w:bCs/>
          <w:color w:val="auto"/>
          <w:kern w:val="2"/>
          <w:sz w:val="24"/>
          <w:szCs w:val="24"/>
          <w:highlight w:val="none"/>
        </w:rPr>
        <w:t>响应</w:t>
      </w:r>
      <w:r>
        <w:rPr>
          <w:rFonts w:ascii="宋体"/>
          <w:b/>
          <w:bCs/>
          <w:color w:val="auto"/>
          <w:kern w:val="2"/>
          <w:sz w:val="24"/>
          <w:szCs w:val="24"/>
          <w:highlight w:val="none"/>
        </w:rPr>
        <w:t>文件的组成</w:t>
      </w:r>
    </w:p>
    <w:p w14:paraId="7292B1B3">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2.1响应</w:t>
      </w:r>
      <w:r>
        <w:rPr>
          <w:bCs/>
          <w:color w:val="auto"/>
          <w:highlight w:val="none"/>
        </w:rPr>
        <w:t>文件应该包括</w:t>
      </w:r>
    </w:p>
    <w:p w14:paraId="502F83AB">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 按要求填写的报价函、报价一览表、分项报价表；</w:t>
      </w:r>
    </w:p>
    <w:p w14:paraId="00E82D1D">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 服务方案说明；</w:t>
      </w:r>
    </w:p>
    <w:p w14:paraId="1436E8DB">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(3) 按要求出具的资格证明文件；</w:t>
      </w:r>
    </w:p>
    <w:p w14:paraId="463B0508">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w:t>
      </w:r>
      <w:r>
        <w:rPr>
          <w:rFonts w:hint="eastAsia"/>
          <w:bCs/>
          <w:color w:val="auto"/>
          <w:highlight w:val="none"/>
          <w:lang w:val="en-US" w:eastAsia="zh-CN"/>
        </w:rPr>
        <w:t>4</w:t>
      </w:r>
      <w:r>
        <w:rPr>
          <w:rFonts w:hint="eastAsia"/>
          <w:bCs/>
          <w:color w:val="auto"/>
          <w:highlight w:val="none"/>
        </w:rPr>
        <w:t>) 按要求提交的保证金（如有要求）；</w:t>
      </w:r>
    </w:p>
    <w:p w14:paraId="348FF06E">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w:t>
      </w:r>
      <w:r>
        <w:rPr>
          <w:rFonts w:hint="eastAsia"/>
          <w:bCs/>
          <w:color w:val="auto"/>
          <w:highlight w:val="none"/>
          <w:lang w:val="en-US" w:eastAsia="zh-CN"/>
        </w:rPr>
        <w:t>5</w:t>
      </w:r>
      <w:r>
        <w:rPr>
          <w:rFonts w:hint="eastAsia"/>
          <w:bCs/>
          <w:color w:val="auto"/>
          <w:highlight w:val="none"/>
        </w:rPr>
        <w:t>) 其它需要说明的事项。</w:t>
      </w:r>
    </w:p>
    <w:p w14:paraId="03D87A8C">
      <w:pPr>
        <w:widowControl w:val="0"/>
        <w:spacing w:line="360" w:lineRule="auto"/>
        <w:ind w:firstLine="480" w:firstLineChars="200"/>
        <w:rPr>
          <w:rFonts w:ascii="宋体"/>
          <w:bCs/>
          <w:color w:val="auto"/>
          <w:sz w:val="24"/>
          <w:szCs w:val="24"/>
          <w:highlight w:val="none"/>
        </w:rPr>
      </w:pPr>
      <w:r>
        <w:rPr>
          <w:rFonts w:ascii="宋体"/>
          <w:bCs/>
          <w:color w:val="auto"/>
          <w:sz w:val="24"/>
          <w:szCs w:val="24"/>
          <w:highlight w:val="none"/>
        </w:rPr>
        <w:t>2.</w:t>
      </w:r>
      <w:r>
        <w:rPr>
          <w:rFonts w:hint="eastAsia" w:ascii="宋体"/>
          <w:bCs/>
          <w:color w:val="auto"/>
          <w:sz w:val="24"/>
          <w:szCs w:val="24"/>
          <w:highlight w:val="none"/>
        </w:rPr>
        <w:t>2</w:t>
      </w:r>
      <w:r>
        <w:rPr>
          <w:rFonts w:ascii="宋体"/>
          <w:bCs/>
          <w:color w:val="auto"/>
          <w:sz w:val="24"/>
          <w:szCs w:val="24"/>
          <w:highlight w:val="none"/>
        </w:rPr>
        <w:t>资格证明文件</w:t>
      </w:r>
      <w:r>
        <w:rPr>
          <w:rFonts w:hint="eastAsia" w:ascii="宋体"/>
          <w:bCs/>
          <w:color w:val="auto"/>
          <w:sz w:val="24"/>
          <w:szCs w:val="24"/>
          <w:highlight w:val="none"/>
        </w:rPr>
        <w:t>见供应商</w:t>
      </w:r>
      <w:r>
        <w:rPr>
          <w:rFonts w:ascii="宋体"/>
          <w:bCs/>
          <w:color w:val="auto"/>
          <w:sz w:val="24"/>
          <w:szCs w:val="24"/>
          <w:highlight w:val="none"/>
        </w:rPr>
        <w:t>须知前附表</w:t>
      </w:r>
      <w:r>
        <w:rPr>
          <w:rFonts w:hint="eastAsia" w:ascii="宋体"/>
          <w:bCs/>
          <w:color w:val="auto"/>
          <w:sz w:val="24"/>
          <w:szCs w:val="24"/>
          <w:highlight w:val="none"/>
        </w:rPr>
        <w:t>。</w:t>
      </w:r>
    </w:p>
    <w:p w14:paraId="4C67E812">
      <w:pPr>
        <w:pStyle w:val="25"/>
        <w:widowControl w:val="0"/>
        <w:tabs>
          <w:tab w:val="left" w:pos="720"/>
        </w:tabs>
        <w:spacing w:before="0" w:beforeAutospacing="0" w:after="0" w:afterAutospacing="0" w:line="360" w:lineRule="auto"/>
        <w:ind w:right="26" w:firstLine="480" w:firstLineChars="200"/>
        <w:jc w:val="both"/>
        <w:rPr>
          <w:bCs/>
          <w:color w:val="auto"/>
          <w:highlight w:val="none"/>
        </w:rPr>
      </w:pPr>
      <w:r>
        <w:rPr>
          <w:bCs/>
          <w:color w:val="auto"/>
          <w:highlight w:val="none"/>
        </w:rPr>
        <w:t>2.</w:t>
      </w:r>
      <w:r>
        <w:rPr>
          <w:rFonts w:hint="eastAsia"/>
          <w:bCs/>
          <w:color w:val="auto"/>
          <w:highlight w:val="none"/>
        </w:rPr>
        <w:t>3采购响应文件</w:t>
      </w:r>
      <w:r>
        <w:rPr>
          <w:bCs/>
          <w:color w:val="auto"/>
          <w:highlight w:val="none"/>
        </w:rPr>
        <w:t>包括</w:t>
      </w:r>
    </w:p>
    <w:p w14:paraId="60BF0BF9">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响应文件</w:t>
      </w:r>
      <w:r>
        <w:rPr>
          <w:bCs/>
          <w:color w:val="auto"/>
          <w:highlight w:val="none"/>
        </w:rPr>
        <w:t>分两个部分，第一部分为商务部分，第二部分为技术部分，两部分合并装订成</w:t>
      </w:r>
      <w:r>
        <w:rPr>
          <w:rFonts w:hint="eastAsia"/>
          <w:bCs/>
          <w:color w:val="auto"/>
          <w:highlight w:val="none"/>
        </w:rPr>
        <w:t>一</w:t>
      </w:r>
      <w:r>
        <w:rPr>
          <w:bCs/>
          <w:color w:val="auto"/>
          <w:highlight w:val="none"/>
        </w:rPr>
        <w:t>册。技术部分按照国家有关编制的规定进行封面、章节及内容的编制；</w:t>
      </w:r>
      <w:r>
        <w:rPr>
          <w:rFonts w:hint="eastAsia"/>
          <w:bCs/>
          <w:color w:val="auto"/>
          <w:highlight w:val="none"/>
        </w:rPr>
        <w:t>供应商</w:t>
      </w:r>
      <w:r>
        <w:rPr>
          <w:bCs/>
          <w:color w:val="auto"/>
          <w:highlight w:val="none"/>
        </w:rPr>
        <w:t>所递交的</w:t>
      </w:r>
      <w:r>
        <w:rPr>
          <w:rFonts w:hint="eastAsia"/>
          <w:bCs/>
          <w:color w:val="auto"/>
          <w:highlight w:val="none"/>
        </w:rPr>
        <w:t>响应</w:t>
      </w:r>
      <w:r>
        <w:rPr>
          <w:bCs/>
          <w:color w:val="auto"/>
          <w:highlight w:val="none"/>
        </w:rPr>
        <w:t>书应包括下述文件：</w:t>
      </w:r>
    </w:p>
    <w:p w14:paraId="326A89AC">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.1商务部分</w:t>
      </w:r>
    </w:p>
    <w:p w14:paraId="4CDC0707">
      <w:pPr>
        <w:pStyle w:val="25"/>
        <w:tabs>
          <w:tab w:val="left" w:pos="720"/>
        </w:tabs>
        <w:spacing w:before="0" w:beforeAutospacing="0" w:after="0" w:afterAutospacing="0" w:line="360" w:lineRule="auto"/>
        <w:ind w:right="26" w:firstLine="480" w:firstLineChars="200"/>
        <w:jc w:val="both"/>
        <w:rPr>
          <w:bCs/>
          <w:color w:val="auto"/>
          <w:highlight w:val="none"/>
        </w:rPr>
      </w:pPr>
      <w:r>
        <w:rPr>
          <w:rFonts w:hint="eastAsia"/>
          <w:bCs/>
          <w:color w:val="auto"/>
          <w:highlight w:val="none"/>
        </w:rPr>
        <w:t>1）</w:t>
      </w:r>
      <w:r>
        <w:rPr>
          <w:bCs/>
          <w:color w:val="auto"/>
          <w:highlight w:val="none"/>
        </w:rPr>
        <w:t>报价函</w:t>
      </w:r>
    </w:p>
    <w:p w14:paraId="093C481E">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2）报价一览表</w:t>
      </w:r>
    </w:p>
    <w:p w14:paraId="44BB6F72">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3</w:t>
      </w:r>
      <w:r>
        <w:rPr>
          <w:rFonts w:hint="eastAsia"/>
          <w:bCs/>
          <w:color w:val="auto"/>
          <w:highlight w:val="none"/>
        </w:rPr>
        <w:t>）分项报价表</w:t>
      </w:r>
    </w:p>
    <w:p w14:paraId="1FA0CAAD">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4）供应商基本情况表</w:t>
      </w:r>
    </w:p>
    <w:p w14:paraId="2D6A4D19">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5）法定代表人身份证明</w:t>
      </w:r>
      <w:r>
        <w:rPr>
          <w:bCs/>
          <w:color w:val="auto"/>
          <w:highlight w:val="none"/>
        </w:rPr>
        <w:tab/>
      </w:r>
    </w:p>
    <w:p w14:paraId="4F57199A">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6）法人授权委托书</w:t>
      </w:r>
    </w:p>
    <w:p w14:paraId="567085C2">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7）供应商资格证明文件</w:t>
      </w:r>
    </w:p>
    <w:p w14:paraId="3F859346">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8）供应商资料真实性承诺书</w:t>
      </w:r>
    </w:p>
    <w:p w14:paraId="7F79CEFD">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9</w:t>
      </w:r>
      <w:r>
        <w:rPr>
          <w:rFonts w:hint="eastAsia"/>
          <w:bCs/>
          <w:color w:val="auto"/>
          <w:highlight w:val="none"/>
        </w:rPr>
        <w:t>)技术部分/商务部分差异表</w:t>
      </w:r>
    </w:p>
    <w:p w14:paraId="017536B8">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0</w:t>
      </w:r>
      <w:r>
        <w:rPr>
          <w:rFonts w:hint="eastAsia"/>
          <w:bCs/>
          <w:color w:val="auto"/>
          <w:highlight w:val="none"/>
        </w:rPr>
        <w:t>)廉洁承诺书,供需双方廉洁互保协议</w:t>
      </w:r>
    </w:p>
    <w:p w14:paraId="1ADD7817">
      <w:pPr>
        <w:pStyle w:val="25"/>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1</w:t>
      </w:r>
      <w:r>
        <w:rPr>
          <w:rFonts w:hint="eastAsia"/>
          <w:bCs/>
          <w:color w:val="auto"/>
          <w:highlight w:val="none"/>
        </w:rPr>
        <w:t>）</w:t>
      </w:r>
      <w:r>
        <w:rPr>
          <w:rFonts w:hint="eastAsia"/>
          <w:bCs/>
          <w:color w:val="auto"/>
          <w:highlight w:val="none"/>
          <w:lang w:eastAsia="zh-CN"/>
        </w:rPr>
        <w:t>供应商</w:t>
      </w:r>
      <w:r>
        <w:rPr>
          <w:rFonts w:hint="eastAsia"/>
          <w:bCs/>
          <w:color w:val="auto"/>
          <w:highlight w:val="none"/>
        </w:rPr>
        <w:t>认为有必要提供的声明及文件</w:t>
      </w:r>
    </w:p>
    <w:p w14:paraId="132F703E">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2.</w:t>
      </w:r>
      <w:r>
        <w:rPr>
          <w:rFonts w:hint="eastAsia"/>
          <w:bCs/>
          <w:color w:val="auto"/>
          <w:highlight w:val="none"/>
        </w:rPr>
        <w:t>3</w:t>
      </w:r>
      <w:r>
        <w:rPr>
          <w:bCs/>
          <w:color w:val="auto"/>
          <w:highlight w:val="none"/>
        </w:rPr>
        <w:t>.2技术部分</w:t>
      </w:r>
    </w:p>
    <w:p w14:paraId="7FA8FBA5">
      <w:pPr>
        <w:pStyle w:val="25"/>
        <w:widowControl w:val="0"/>
        <w:numPr>
          <w:ilvl w:val="0"/>
          <w:numId w:val="6"/>
        </w:numPr>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cs="宋体"/>
          <w:color w:val="auto"/>
          <w:highlight w:val="none"/>
        </w:rPr>
        <w:t>服务方案，包括详细的实施方案等。技术部分应满足或者高于技术规格书的要求</w:t>
      </w:r>
    </w:p>
    <w:p w14:paraId="647FCA79">
      <w:pPr>
        <w:widowControl w:val="0"/>
        <w:spacing w:line="360" w:lineRule="auto"/>
        <w:ind w:firstLine="480" w:firstLineChars="200"/>
        <w:jc w:val="both"/>
        <w:rPr>
          <w:rFonts w:ascii="宋体" w:cs="宋体"/>
          <w:color w:val="auto"/>
          <w:sz w:val="24"/>
          <w:highlight w:val="none"/>
        </w:rPr>
      </w:pPr>
      <w:r>
        <w:rPr>
          <w:rFonts w:hint="eastAsia" w:ascii="宋体"/>
          <w:bCs/>
          <w:color w:val="auto"/>
          <w:sz w:val="24"/>
          <w:szCs w:val="24"/>
          <w:highlight w:val="none"/>
        </w:rPr>
        <w:t xml:space="preserve">2) </w:t>
      </w:r>
      <w:r>
        <w:rPr>
          <w:rFonts w:hint="eastAsia" w:ascii="宋体" w:cs="宋体"/>
          <w:color w:val="auto"/>
          <w:sz w:val="24"/>
          <w:highlight w:val="none"/>
        </w:rPr>
        <w:t>对采购人提出的协作和配合要求</w:t>
      </w:r>
    </w:p>
    <w:p w14:paraId="4D043417">
      <w:pPr>
        <w:widowControl w:val="0"/>
        <w:spacing w:line="360" w:lineRule="auto"/>
        <w:ind w:firstLine="480" w:firstLineChars="200"/>
        <w:jc w:val="both"/>
        <w:rPr>
          <w:rFonts w:ascii="宋体" w:cs="宋体"/>
          <w:color w:val="auto"/>
          <w:sz w:val="24"/>
          <w:highlight w:val="none"/>
        </w:rPr>
      </w:pPr>
      <w:r>
        <w:rPr>
          <w:rFonts w:hint="eastAsia" w:ascii="宋体" w:cs="宋体"/>
          <w:color w:val="auto"/>
          <w:sz w:val="24"/>
          <w:highlight w:val="none"/>
        </w:rPr>
        <w:t>3）对服务内容和方式、人员设置等相关问题，做出明确的说明和承诺</w:t>
      </w:r>
    </w:p>
    <w:p w14:paraId="408C2135">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lang w:val="en-US" w:eastAsia="zh-CN"/>
        </w:rPr>
        <w:t>4</w:t>
      </w:r>
      <w:r>
        <w:rPr>
          <w:rFonts w:hint="eastAsia"/>
          <w:bCs/>
          <w:color w:val="auto"/>
          <w:highlight w:val="none"/>
        </w:rPr>
        <w:t xml:space="preserve">) </w:t>
      </w:r>
      <w:r>
        <w:rPr>
          <w:rFonts w:hint="eastAsia" w:cs="宋体"/>
          <w:color w:val="auto"/>
          <w:highlight w:val="none"/>
        </w:rPr>
        <w:t>认为有必要说明的其它问题。</w:t>
      </w:r>
    </w:p>
    <w:p w14:paraId="2B6830F8">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3、</w:t>
      </w:r>
      <w:r>
        <w:rPr>
          <w:rFonts w:hint="eastAsia" w:ascii="宋体"/>
          <w:b/>
          <w:bCs/>
          <w:color w:val="auto"/>
          <w:kern w:val="2"/>
          <w:sz w:val="24"/>
          <w:szCs w:val="24"/>
          <w:highlight w:val="none"/>
        </w:rPr>
        <w:t>响应</w:t>
      </w:r>
      <w:r>
        <w:rPr>
          <w:rFonts w:ascii="宋体"/>
          <w:b/>
          <w:bCs/>
          <w:color w:val="auto"/>
          <w:kern w:val="2"/>
          <w:sz w:val="24"/>
          <w:szCs w:val="24"/>
          <w:highlight w:val="none"/>
        </w:rPr>
        <w:t>文件格式</w:t>
      </w:r>
    </w:p>
    <w:p w14:paraId="022A8EAE">
      <w:pPr>
        <w:pStyle w:val="25"/>
        <w:widowControl w:val="0"/>
        <w:tabs>
          <w:tab w:val="left" w:pos="720"/>
        </w:tabs>
        <w:spacing w:before="0" w:beforeAutospacing="0" w:after="0" w:afterAutospacing="0" w:line="360" w:lineRule="auto"/>
        <w:ind w:firstLine="480" w:firstLineChars="200"/>
        <w:jc w:val="both"/>
        <w:rPr>
          <w:bCs/>
          <w:color w:val="auto"/>
          <w:highlight w:val="none"/>
        </w:rPr>
      </w:pPr>
      <w:r>
        <w:rPr>
          <w:rFonts w:hint="eastAsia"/>
          <w:bCs/>
          <w:color w:val="auto"/>
          <w:highlight w:val="none"/>
        </w:rPr>
        <w:t>供应商</w:t>
      </w:r>
      <w:r>
        <w:rPr>
          <w:bCs/>
          <w:color w:val="auto"/>
          <w:highlight w:val="none"/>
        </w:rPr>
        <w:t>按</w:t>
      </w:r>
      <w:r>
        <w:rPr>
          <w:rFonts w:hint="eastAsia"/>
          <w:bCs/>
          <w:color w:val="auto"/>
          <w:highlight w:val="none"/>
        </w:rPr>
        <w:t>采购</w:t>
      </w:r>
      <w:r>
        <w:rPr>
          <w:bCs/>
          <w:color w:val="auto"/>
          <w:highlight w:val="none"/>
        </w:rPr>
        <w:t>文件提供的</w:t>
      </w:r>
      <w:r>
        <w:rPr>
          <w:rFonts w:hint="eastAsia"/>
          <w:bCs/>
          <w:color w:val="auto"/>
          <w:highlight w:val="none"/>
        </w:rPr>
        <w:t>响应</w:t>
      </w:r>
      <w:r>
        <w:rPr>
          <w:bCs/>
          <w:color w:val="auto"/>
          <w:highlight w:val="none"/>
        </w:rPr>
        <w:t>文件格式编写</w:t>
      </w:r>
      <w:r>
        <w:rPr>
          <w:rFonts w:hint="eastAsia"/>
          <w:bCs/>
          <w:color w:val="auto"/>
          <w:highlight w:val="none"/>
        </w:rPr>
        <w:t>响应</w:t>
      </w:r>
      <w:r>
        <w:rPr>
          <w:bCs/>
          <w:color w:val="auto"/>
          <w:highlight w:val="none"/>
        </w:rPr>
        <w:t>文件，对</w:t>
      </w:r>
      <w:r>
        <w:rPr>
          <w:rFonts w:hint="eastAsia"/>
          <w:bCs/>
          <w:color w:val="auto"/>
          <w:highlight w:val="none"/>
        </w:rPr>
        <w:t>本项目</w:t>
      </w:r>
      <w:r>
        <w:rPr>
          <w:bCs/>
          <w:color w:val="auto"/>
          <w:highlight w:val="none"/>
        </w:rPr>
        <w:t>进行</w:t>
      </w:r>
      <w:r>
        <w:rPr>
          <w:rFonts w:hint="eastAsia"/>
          <w:bCs/>
          <w:color w:val="auto"/>
          <w:highlight w:val="none"/>
        </w:rPr>
        <w:t>报价</w:t>
      </w:r>
      <w:r>
        <w:rPr>
          <w:bCs/>
          <w:color w:val="auto"/>
          <w:highlight w:val="none"/>
        </w:rPr>
        <w:t xml:space="preserve">，不得将内容拆开。 </w:t>
      </w:r>
    </w:p>
    <w:p w14:paraId="097741B2">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4、</w:t>
      </w:r>
      <w:r>
        <w:rPr>
          <w:rFonts w:hint="eastAsia" w:ascii="宋体"/>
          <w:b/>
          <w:bCs/>
          <w:color w:val="auto"/>
          <w:kern w:val="2"/>
          <w:sz w:val="24"/>
          <w:szCs w:val="24"/>
          <w:highlight w:val="none"/>
        </w:rPr>
        <w:t>供应商</w:t>
      </w:r>
      <w:r>
        <w:rPr>
          <w:rFonts w:ascii="宋体"/>
          <w:b/>
          <w:bCs/>
          <w:color w:val="auto"/>
          <w:kern w:val="2"/>
          <w:sz w:val="24"/>
          <w:szCs w:val="24"/>
          <w:highlight w:val="none"/>
        </w:rPr>
        <w:t>资格证明文件</w:t>
      </w:r>
    </w:p>
    <w:p w14:paraId="75A288A2">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rFonts w:hint="eastAsia"/>
          <w:bCs/>
          <w:color w:val="auto"/>
          <w:highlight w:val="none"/>
        </w:rPr>
        <w:t>供应商</w:t>
      </w:r>
      <w:r>
        <w:rPr>
          <w:bCs/>
          <w:color w:val="auto"/>
          <w:highlight w:val="none"/>
        </w:rPr>
        <w:t>资格证明文件是</w:t>
      </w:r>
      <w:r>
        <w:rPr>
          <w:rFonts w:hint="eastAsia"/>
          <w:bCs/>
          <w:color w:val="auto"/>
          <w:highlight w:val="none"/>
        </w:rPr>
        <w:t>响应</w:t>
      </w:r>
      <w:r>
        <w:rPr>
          <w:bCs/>
          <w:color w:val="auto"/>
          <w:highlight w:val="none"/>
        </w:rPr>
        <w:t xml:space="preserve">文件的组成部分。 </w:t>
      </w:r>
    </w:p>
    <w:p w14:paraId="7165D3D8">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5、</w:t>
      </w:r>
      <w:r>
        <w:rPr>
          <w:rFonts w:hint="eastAsia" w:ascii="宋体"/>
          <w:b/>
          <w:bCs/>
          <w:color w:val="auto"/>
          <w:kern w:val="2"/>
          <w:sz w:val="24"/>
          <w:szCs w:val="24"/>
          <w:highlight w:val="none"/>
        </w:rPr>
        <w:t>采购</w:t>
      </w:r>
      <w:r>
        <w:rPr>
          <w:rFonts w:ascii="宋体"/>
          <w:b/>
          <w:bCs/>
          <w:color w:val="auto"/>
          <w:kern w:val="2"/>
          <w:sz w:val="24"/>
          <w:szCs w:val="24"/>
          <w:highlight w:val="none"/>
        </w:rPr>
        <w:t>有效期</w:t>
      </w:r>
    </w:p>
    <w:p w14:paraId="5E1E482A">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5.1所有</w:t>
      </w:r>
      <w:r>
        <w:rPr>
          <w:rFonts w:hint="eastAsia"/>
          <w:bCs/>
          <w:color w:val="auto"/>
          <w:highlight w:val="none"/>
        </w:rPr>
        <w:t>响应文件</w:t>
      </w:r>
      <w:r>
        <w:rPr>
          <w:bCs/>
          <w:color w:val="auto"/>
          <w:highlight w:val="none"/>
        </w:rPr>
        <w:t>应从</w:t>
      </w:r>
      <w:r>
        <w:rPr>
          <w:rFonts w:hint="eastAsia"/>
          <w:bCs/>
          <w:color w:val="auto"/>
          <w:highlight w:val="none"/>
        </w:rPr>
        <w:t>洽谈</w:t>
      </w:r>
      <w:r>
        <w:rPr>
          <w:bCs/>
          <w:color w:val="auto"/>
          <w:highlight w:val="none"/>
        </w:rPr>
        <w:t>之日起，在</w:t>
      </w:r>
      <w:r>
        <w:rPr>
          <w:rFonts w:hint="eastAsia"/>
          <w:bCs/>
          <w:color w:val="auto"/>
          <w:highlight w:val="none"/>
        </w:rPr>
        <w:t>90</w:t>
      </w:r>
      <w:r>
        <w:rPr>
          <w:bCs/>
          <w:color w:val="auto"/>
          <w:highlight w:val="none"/>
        </w:rPr>
        <w:t>日历</w:t>
      </w:r>
      <w:r>
        <w:rPr>
          <w:rFonts w:hint="eastAsia"/>
          <w:bCs/>
          <w:color w:val="auto"/>
          <w:highlight w:val="none"/>
        </w:rPr>
        <w:t>日</w:t>
      </w:r>
      <w:r>
        <w:rPr>
          <w:bCs/>
          <w:color w:val="auto"/>
          <w:highlight w:val="none"/>
        </w:rPr>
        <w:t>内有效。</w:t>
      </w:r>
      <w:r>
        <w:rPr>
          <w:rFonts w:hint="eastAsia"/>
          <w:bCs/>
          <w:color w:val="auto"/>
          <w:highlight w:val="none"/>
        </w:rPr>
        <w:t>采购</w:t>
      </w:r>
      <w:r>
        <w:rPr>
          <w:bCs/>
          <w:color w:val="auto"/>
          <w:highlight w:val="none"/>
        </w:rPr>
        <w:t>有效期比规定短的可以视为非响应</w:t>
      </w:r>
      <w:r>
        <w:rPr>
          <w:rFonts w:hint="eastAsia"/>
          <w:bCs/>
          <w:color w:val="auto"/>
          <w:highlight w:val="none"/>
        </w:rPr>
        <w:t>采购文件</w:t>
      </w:r>
      <w:r>
        <w:rPr>
          <w:bCs/>
          <w:color w:val="auto"/>
          <w:highlight w:val="none"/>
        </w:rPr>
        <w:t>而予以拒绝。</w:t>
      </w:r>
    </w:p>
    <w:p w14:paraId="4D3DDCB2">
      <w:pPr>
        <w:pStyle w:val="25"/>
        <w:widowControl w:val="0"/>
        <w:tabs>
          <w:tab w:val="left" w:pos="720"/>
        </w:tabs>
        <w:spacing w:before="0" w:beforeAutospacing="0" w:after="0" w:afterAutospacing="0" w:line="360" w:lineRule="auto"/>
        <w:ind w:left="-2" w:leftChars="-1" w:right="26" w:firstLine="480" w:firstLineChars="200"/>
        <w:jc w:val="both"/>
        <w:rPr>
          <w:bCs/>
          <w:color w:val="auto"/>
          <w:highlight w:val="none"/>
        </w:rPr>
      </w:pPr>
      <w:r>
        <w:rPr>
          <w:bCs/>
          <w:color w:val="auto"/>
          <w:highlight w:val="none"/>
        </w:rPr>
        <w:t>5.2在特殊情况下，在原</w:t>
      </w:r>
      <w:r>
        <w:rPr>
          <w:rFonts w:hint="eastAsia"/>
          <w:bCs/>
          <w:color w:val="auto"/>
          <w:highlight w:val="none"/>
        </w:rPr>
        <w:t>采购</w:t>
      </w:r>
      <w:r>
        <w:rPr>
          <w:bCs/>
          <w:color w:val="auto"/>
          <w:highlight w:val="none"/>
        </w:rPr>
        <w:t>有效期期满之前，</w:t>
      </w:r>
      <w:r>
        <w:rPr>
          <w:rFonts w:hint="eastAsia"/>
          <w:bCs/>
          <w:color w:val="auto"/>
          <w:highlight w:val="none"/>
        </w:rPr>
        <w:t>采购人</w:t>
      </w:r>
      <w:r>
        <w:rPr>
          <w:bCs/>
          <w:color w:val="auto"/>
          <w:highlight w:val="none"/>
        </w:rPr>
        <w:t>可征得</w:t>
      </w:r>
      <w:r>
        <w:rPr>
          <w:rFonts w:hint="eastAsia"/>
          <w:bCs/>
          <w:color w:val="auto"/>
          <w:highlight w:val="none"/>
        </w:rPr>
        <w:t>供应商</w:t>
      </w:r>
      <w:r>
        <w:rPr>
          <w:bCs/>
          <w:color w:val="auto"/>
          <w:highlight w:val="none"/>
        </w:rPr>
        <w:t>同意延长</w:t>
      </w:r>
      <w:r>
        <w:rPr>
          <w:rFonts w:hint="eastAsia"/>
          <w:bCs/>
          <w:color w:val="auto"/>
          <w:highlight w:val="none"/>
        </w:rPr>
        <w:t>采购</w:t>
      </w:r>
      <w:r>
        <w:rPr>
          <w:bCs/>
          <w:color w:val="auto"/>
          <w:highlight w:val="none"/>
        </w:rPr>
        <w:t>有效期。这种要求与答复均应为书面形式如：电传、传真等。</w:t>
      </w:r>
      <w:r>
        <w:rPr>
          <w:rFonts w:hint="eastAsia"/>
          <w:bCs/>
          <w:color w:val="auto"/>
          <w:highlight w:val="none"/>
        </w:rPr>
        <w:t>供应商</w:t>
      </w:r>
      <w:r>
        <w:rPr>
          <w:bCs/>
          <w:color w:val="auto"/>
          <w:highlight w:val="none"/>
        </w:rPr>
        <w:t>可以拒绝</w:t>
      </w:r>
      <w:r>
        <w:rPr>
          <w:rFonts w:hint="eastAsia"/>
          <w:bCs/>
          <w:color w:val="auto"/>
          <w:highlight w:val="none"/>
        </w:rPr>
        <w:t>采购人</w:t>
      </w:r>
      <w:r>
        <w:rPr>
          <w:bCs/>
          <w:color w:val="auto"/>
          <w:highlight w:val="none"/>
        </w:rPr>
        <w:t>的这种要求，其</w:t>
      </w:r>
      <w:r>
        <w:rPr>
          <w:rFonts w:hint="eastAsia"/>
          <w:bCs/>
          <w:color w:val="auto"/>
          <w:highlight w:val="none"/>
        </w:rPr>
        <w:t>采购响应</w:t>
      </w:r>
      <w:r>
        <w:rPr>
          <w:bCs/>
          <w:color w:val="auto"/>
          <w:highlight w:val="none"/>
        </w:rPr>
        <w:t>保证金不会被没收。接受延长</w:t>
      </w:r>
      <w:r>
        <w:rPr>
          <w:rFonts w:hint="eastAsia"/>
          <w:bCs/>
          <w:color w:val="auto"/>
          <w:highlight w:val="none"/>
        </w:rPr>
        <w:t>采购</w:t>
      </w:r>
      <w:r>
        <w:rPr>
          <w:bCs/>
          <w:color w:val="auto"/>
          <w:highlight w:val="none"/>
        </w:rPr>
        <w:t>有效期的</w:t>
      </w:r>
      <w:r>
        <w:rPr>
          <w:rFonts w:hint="eastAsia"/>
          <w:bCs/>
          <w:color w:val="auto"/>
          <w:highlight w:val="none"/>
        </w:rPr>
        <w:t>供应商</w:t>
      </w:r>
      <w:r>
        <w:rPr>
          <w:bCs/>
          <w:color w:val="auto"/>
          <w:highlight w:val="none"/>
        </w:rPr>
        <w:t>将不会被要求和允许修正其</w:t>
      </w:r>
      <w:r>
        <w:rPr>
          <w:rFonts w:hint="eastAsia"/>
          <w:bCs/>
          <w:color w:val="auto"/>
          <w:highlight w:val="none"/>
        </w:rPr>
        <w:t>响应文件</w:t>
      </w:r>
      <w:r>
        <w:rPr>
          <w:bCs/>
          <w:color w:val="auto"/>
          <w:highlight w:val="none"/>
        </w:rPr>
        <w:t>，而只会被要求相应地延长其</w:t>
      </w:r>
      <w:r>
        <w:rPr>
          <w:rFonts w:hint="eastAsia"/>
          <w:bCs/>
          <w:color w:val="auto"/>
          <w:highlight w:val="none"/>
        </w:rPr>
        <w:t>采购响应</w:t>
      </w:r>
      <w:r>
        <w:rPr>
          <w:bCs/>
          <w:color w:val="auto"/>
          <w:highlight w:val="none"/>
        </w:rPr>
        <w:t>保证金的有效期。</w:t>
      </w:r>
    </w:p>
    <w:p w14:paraId="5C77D4BF">
      <w:pPr>
        <w:widowControl w:val="0"/>
        <w:overflowPunct w:val="0"/>
        <w:spacing w:line="360" w:lineRule="auto"/>
        <w:ind w:firstLine="482" w:firstLineChars="200"/>
        <w:rPr>
          <w:rFonts w:ascii="宋体"/>
          <w:b/>
          <w:bCs/>
          <w:color w:val="auto"/>
          <w:kern w:val="2"/>
          <w:sz w:val="24"/>
          <w:szCs w:val="24"/>
          <w:highlight w:val="none"/>
        </w:rPr>
      </w:pPr>
      <w:r>
        <w:rPr>
          <w:rFonts w:ascii="宋体"/>
          <w:b/>
          <w:bCs/>
          <w:color w:val="auto"/>
          <w:kern w:val="2"/>
          <w:sz w:val="24"/>
          <w:szCs w:val="24"/>
          <w:highlight w:val="none"/>
        </w:rPr>
        <w:t>6、</w:t>
      </w:r>
      <w:r>
        <w:rPr>
          <w:rFonts w:hint="eastAsia" w:ascii="宋体"/>
          <w:b/>
          <w:bCs/>
          <w:color w:val="auto"/>
          <w:kern w:val="2"/>
          <w:sz w:val="24"/>
          <w:szCs w:val="24"/>
          <w:highlight w:val="none"/>
        </w:rPr>
        <w:t>响应</w:t>
      </w:r>
      <w:r>
        <w:rPr>
          <w:rFonts w:ascii="宋体"/>
          <w:b/>
          <w:bCs/>
          <w:color w:val="auto"/>
          <w:kern w:val="2"/>
          <w:sz w:val="24"/>
          <w:szCs w:val="24"/>
          <w:highlight w:val="none"/>
        </w:rPr>
        <w:t>文件的签署及规定</w:t>
      </w:r>
    </w:p>
    <w:p w14:paraId="2A25826E">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6.1响应文件应准备一份正本。</w:t>
      </w:r>
    </w:p>
    <w:p w14:paraId="63BBDB85">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6.2严格按照采购方要求的技术参数和图纸报价</w:t>
      </w:r>
    </w:p>
    <w:p w14:paraId="4797FD70">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6.3响应文件正本须打印并由供应商法定代表人或供应商法定代表人委托人签字或签章并加盖单位公章（红章）（副本可复印，副本中企业法人营业执照等资格文件须加盖单位公章（红章））。授权代表须将以书面形式出具的“授权委托书”附在响应文件中。</w:t>
      </w:r>
    </w:p>
    <w:p w14:paraId="719A1E18">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6.4提供验收标准和验收方法。</w:t>
      </w:r>
    </w:p>
    <w:p w14:paraId="028B281F">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6.5售后服务、承诺细则。</w:t>
      </w:r>
    </w:p>
    <w:p w14:paraId="032A1EB3">
      <w:pPr>
        <w:widowControl w:val="0"/>
        <w:overflowPunct w:val="0"/>
        <w:spacing w:line="360" w:lineRule="auto"/>
        <w:ind w:firstLine="480" w:firstLineChars="200"/>
        <w:rPr>
          <w:rFonts w:hint="eastAsia" w:ascii="宋体" w:hAnsi="Times New Roman" w:eastAsia="宋体" w:cs="Times New Roman"/>
          <w:bCs/>
          <w:color w:val="auto"/>
          <w:sz w:val="24"/>
          <w:szCs w:val="24"/>
          <w:highlight w:val="none"/>
          <w:lang w:val="en-US" w:eastAsia="zh-CN" w:bidi="ar-SA"/>
        </w:rPr>
      </w:pPr>
      <w:r>
        <w:rPr>
          <w:rFonts w:hint="eastAsia" w:ascii="宋体" w:hAnsi="Times New Roman" w:eastAsia="宋体" w:cs="Times New Roman"/>
          <w:bCs/>
          <w:color w:val="auto"/>
          <w:sz w:val="24"/>
          <w:szCs w:val="24"/>
          <w:highlight w:val="none"/>
          <w:lang w:val="en-US" w:eastAsia="zh-CN" w:bidi="ar-SA"/>
        </w:rPr>
        <w:t>6.6电报、电话、传真形式的报价概不接受。</w:t>
      </w:r>
    </w:p>
    <w:p w14:paraId="10CE96A4">
      <w:pPr>
        <w:widowControl w:val="0"/>
        <w:overflowPunct w:val="0"/>
        <w:spacing w:line="360" w:lineRule="auto"/>
        <w:ind w:firstLine="482" w:firstLineChars="200"/>
        <w:rPr>
          <w:rFonts w:ascii="宋体"/>
          <w:b/>
          <w:bCs/>
          <w:color w:val="auto"/>
          <w:kern w:val="2"/>
          <w:sz w:val="24"/>
          <w:szCs w:val="24"/>
          <w:highlight w:val="none"/>
        </w:rPr>
      </w:pPr>
      <w:r>
        <w:rPr>
          <w:rFonts w:hint="eastAsia" w:ascii="宋体"/>
          <w:b/>
          <w:bCs/>
          <w:color w:val="auto"/>
          <w:kern w:val="2"/>
          <w:sz w:val="24"/>
          <w:szCs w:val="24"/>
          <w:highlight w:val="none"/>
          <w:lang w:val="en-US" w:eastAsia="zh-CN"/>
        </w:rPr>
        <w:t>7</w:t>
      </w:r>
      <w:r>
        <w:rPr>
          <w:rFonts w:ascii="宋体"/>
          <w:b/>
          <w:bCs/>
          <w:color w:val="auto"/>
          <w:kern w:val="2"/>
          <w:sz w:val="24"/>
          <w:szCs w:val="24"/>
          <w:highlight w:val="none"/>
        </w:rPr>
        <w:t>、</w:t>
      </w:r>
      <w:r>
        <w:rPr>
          <w:rFonts w:hint="eastAsia" w:ascii="宋体"/>
          <w:b/>
          <w:bCs/>
          <w:color w:val="auto"/>
          <w:kern w:val="2"/>
          <w:sz w:val="24"/>
          <w:szCs w:val="24"/>
          <w:highlight w:val="none"/>
        </w:rPr>
        <w:t>采购响应</w:t>
      </w:r>
      <w:r>
        <w:rPr>
          <w:rFonts w:ascii="宋体"/>
          <w:b/>
          <w:bCs/>
          <w:color w:val="auto"/>
          <w:kern w:val="2"/>
          <w:sz w:val="24"/>
          <w:szCs w:val="24"/>
          <w:highlight w:val="none"/>
        </w:rPr>
        <w:t>文件的递交</w:t>
      </w:r>
    </w:p>
    <w:p w14:paraId="56E7AA8C">
      <w:pPr>
        <w:pStyle w:val="25"/>
        <w:tabs>
          <w:tab w:val="left" w:pos="720"/>
        </w:tabs>
        <w:spacing w:before="0" w:beforeAutospacing="0" w:after="0" w:afterAutospacing="0" w:line="360" w:lineRule="auto"/>
        <w:ind w:right="26" w:firstLine="480" w:firstLineChars="200"/>
        <w:jc w:val="both"/>
        <w:rPr>
          <w:b/>
          <w:bCs w:val="0"/>
          <w:color w:val="auto"/>
          <w:highlight w:val="none"/>
        </w:rPr>
      </w:pPr>
      <w:bookmarkStart w:id="65" w:name="_Toc376793577"/>
      <w:bookmarkStart w:id="66" w:name="_Toc382509457"/>
      <w:bookmarkStart w:id="67" w:name="_Toc376793558"/>
      <w:bookmarkStart w:id="68" w:name="_Toc376793713"/>
      <w:bookmarkStart w:id="69" w:name="_Toc27961"/>
      <w:bookmarkStart w:id="70" w:name="_Toc5706_WPSOffice_Level2"/>
      <w:bookmarkStart w:id="71" w:name="_Toc10122267"/>
      <w:bookmarkStart w:id="72" w:name="_Toc10184878"/>
      <w:r>
        <w:rPr>
          <w:rFonts w:hint="eastAsia" w:hAnsi="宋体" w:cs="宋体"/>
          <w:color w:val="auto"/>
          <w:highlight w:val="none"/>
        </w:rPr>
        <w:t>请各投标供应商投标时将投标文件扫描件（签字盖章版本）作为附件上传</w:t>
      </w:r>
      <w:r>
        <w:rPr>
          <w:rFonts w:hint="eastAsia" w:hAnsi="宋体" w:cs="宋体"/>
          <w:color w:val="auto"/>
          <w:highlight w:val="none"/>
          <w:lang w:val="en-US" w:eastAsia="zh-CN"/>
        </w:rPr>
        <w:t>至中煤易购平台报价附件</w:t>
      </w:r>
      <w:r>
        <w:rPr>
          <w:rFonts w:hint="eastAsia" w:hAnsi="宋体" w:cs="宋体"/>
          <w:color w:val="auto"/>
          <w:highlight w:val="none"/>
        </w:rPr>
        <w:t>，如未按规定上传投标文件将被视为未响应招标文件。</w:t>
      </w:r>
    </w:p>
    <w:p w14:paraId="5557547C">
      <w:pPr>
        <w:pStyle w:val="4"/>
        <w:spacing w:line="360" w:lineRule="auto"/>
        <w:rPr>
          <w:color w:val="auto"/>
          <w:highlight w:val="none"/>
        </w:rPr>
      </w:pPr>
      <w:r>
        <w:rPr>
          <w:color w:val="auto"/>
          <w:highlight w:val="none"/>
        </w:rPr>
        <w:t>四、</w:t>
      </w:r>
      <w:r>
        <w:rPr>
          <w:rFonts w:hint="eastAsia"/>
          <w:color w:val="auto"/>
          <w:highlight w:val="none"/>
        </w:rPr>
        <w:t>采购响应</w:t>
      </w:r>
      <w:r>
        <w:rPr>
          <w:color w:val="auto"/>
          <w:highlight w:val="none"/>
        </w:rPr>
        <w:t>文件的</w:t>
      </w:r>
      <w:bookmarkEnd w:id="65"/>
      <w:bookmarkEnd w:id="66"/>
      <w:bookmarkEnd w:id="67"/>
      <w:bookmarkEnd w:id="68"/>
      <w:r>
        <w:rPr>
          <w:rFonts w:hint="eastAsia"/>
          <w:color w:val="auto"/>
          <w:highlight w:val="none"/>
        </w:rPr>
        <w:t>要求</w:t>
      </w:r>
      <w:bookmarkEnd w:id="69"/>
      <w:bookmarkEnd w:id="70"/>
      <w:bookmarkEnd w:id="71"/>
      <w:bookmarkEnd w:id="72"/>
    </w:p>
    <w:p w14:paraId="44004F51">
      <w:pPr>
        <w:pageBreakBefore w:val="0"/>
        <w:widowControl w:val="0"/>
        <w:kinsoku/>
        <w:wordWrap/>
        <w:overflowPunct w:val="0"/>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kern w:val="2"/>
          <w:sz w:val="24"/>
          <w:szCs w:val="24"/>
          <w:highlight w:val="none"/>
        </w:rPr>
      </w:pPr>
      <w:bookmarkStart w:id="73" w:name="_Toc376793714"/>
      <w:bookmarkStart w:id="74" w:name="_Toc376793559"/>
      <w:bookmarkStart w:id="75" w:name="_Toc376793578"/>
      <w:bookmarkStart w:id="76" w:name="_Toc382509458"/>
      <w:bookmarkStart w:id="77" w:name="_Toc10122268"/>
      <w:bookmarkStart w:id="78" w:name="_Toc10184879"/>
      <w:bookmarkStart w:id="79" w:name="_Toc4807_WPSOffice_Level2"/>
      <w:bookmarkStart w:id="80" w:name="_Toc14910"/>
      <w:r>
        <w:rPr>
          <w:rFonts w:hint="eastAsia" w:ascii="宋体" w:hAnsi="宋体" w:eastAsia="宋体" w:cs="宋体"/>
          <w:b/>
          <w:bCs/>
          <w:color w:val="auto"/>
          <w:kern w:val="2"/>
          <w:sz w:val="24"/>
          <w:szCs w:val="24"/>
          <w:highlight w:val="none"/>
        </w:rPr>
        <w:t>1、采购响应文件报价</w:t>
      </w:r>
    </w:p>
    <w:p w14:paraId="62680EFD">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w:t>
      </w:r>
      <w:r>
        <w:rPr>
          <w:rFonts w:hint="eastAsia" w:ascii="宋体" w:hAnsi="宋体" w:eastAsia="宋体" w:cs="宋体"/>
          <w:bCs/>
          <w:color w:val="auto"/>
          <w:sz w:val="24"/>
          <w:szCs w:val="24"/>
          <w:highlight w:val="none"/>
          <w:lang w:val="en-US" w:eastAsia="zh-CN"/>
        </w:rPr>
        <w:t>报价为</w:t>
      </w:r>
      <w:r>
        <w:rPr>
          <w:rFonts w:hint="eastAsia" w:ascii="宋体" w:hAnsi="宋体" w:eastAsia="宋体" w:cs="宋体"/>
          <w:bCs/>
          <w:color w:val="auto"/>
          <w:sz w:val="24"/>
          <w:szCs w:val="24"/>
          <w:highlight w:val="none"/>
        </w:rPr>
        <w:t>固定总价（含税）。</w:t>
      </w:r>
    </w:p>
    <w:p w14:paraId="3FF89667">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2" w:firstLineChars="200"/>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bCs w:val="0"/>
          <w:i w:val="0"/>
          <w:iCs w:val="0"/>
          <w:color w:val="auto"/>
          <w:sz w:val="24"/>
          <w:szCs w:val="24"/>
          <w:highlight w:val="none"/>
        </w:rPr>
        <w:t>1.2报价为目的地含税价</w:t>
      </w:r>
      <w:r>
        <w:rPr>
          <w:rFonts w:hint="eastAsia" w:ascii="宋体" w:hAnsi="宋体" w:eastAsia="宋体" w:cs="宋体"/>
          <w:b/>
          <w:bCs w:val="0"/>
          <w:i w:val="0"/>
          <w:iCs w:val="0"/>
          <w:color w:val="auto"/>
          <w:sz w:val="24"/>
          <w:szCs w:val="24"/>
          <w:highlight w:val="none"/>
          <w:lang w:eastAsia="zh-CN"/>
        </w:rPr>
        <w:t>，</w:t>
      </w:r>
      <w:r>
        <w:rPr>
          <w:rFonts w:hint="eastAsia" w:ascii="宋体" w:hAnsi="宋体" w:eastAsia="宋体" w:cs="宋体"/>
          <w:b/>
          <w:bCs w:val="0"/>
          <w:i w:val="0"/>
          <w:iCs w:val="0"/>
          <w:color w:val="auto"/>
          <w:sz w:val="24"/>
          <w:szCs w:val="24"/>
          <w:highlight w:val="none"/>
          <w:lang w:val="en-US" w:eastAsia="zh-CN"/>
        </w:rPr>
        <w:t>需注明税率</w:t>
      </w:r>
      <w:r>
        <w:rPr>
          <w:rFonts w:hint="eastAsia" w:ascii="宋体" w:hAnsi="宋体" w:eastAsia="宋体" w:cs="宋体"/>
          <w:b/>
          <w:bCs w:val="0"/>
          <w:i w:val="0"/>
          <w:iCs w:val="0"/>
          <w:color w:val="auto"/>
          <w:sz w:val="24"/>
          <w:szCs w:val="24"/>
          <w:highlight w:val="none"/>
        </w:rPr>
        <w:t>。报价应包括原材料、生产加工、检验、包装、保险、管理、运杂</w:t>
      </w:r>
      <w:r>
        <w:rPr>
          <w:rFonts w:hint="eastAsia" w:hAnsi="宋体" w:cs="宋体"/>
          <w:b/>
          <w:bCs w:val="0"/>
          <w:i w:val="0"/>
          <w:iCs w:val="0"/>
          <w:color w:val="auto"/>
          <w:sz w:val="24"/>
          <w:szCs w:val="24"/>
          <w:highlight w:val="none"/>
          <w:lang w:eastAsia="zh-CN"/>
        </w:rPr>
        <w:t>（</w:t>
      </w:r>
      <w:r>
        <w:rPr>
          <w:rFonts w:hint="eastAsia" w:hAnsi="宋体" w:cs="宋体"/>
          <w:b/>
          <w:bCs w:val="0"/>
          <w:i w:val="0"/>
          <w:iCs w:val="0"/>
          <w:color w:val="auto"/>
          <w:sz w:val="24"/>
          <w:szCs w:val="24"/>
          <w:highlight w:val="none"/>
          <w:lang w:val="en-US" w:eastAsia="zh-CN"/>
        </w:rPr>
        <w:t>含卸车费用</w:t>
      </w:r>
      <w:r>
        <w:rPr>
          <w:rFonts w:hint="eastAsia" w:hAnsi="宋体" w:cs="宋体"/>
          <w:b/>
          <w:bCs w:val="0"/>
          <w:i w:val="0"/>
          <w:iCs w:val="0"/>
          <w:color w:val="auto"/>
          <w:sz w:val="24"/>
          <w:szCs w:val="24"/>
          <w:highlight w:val="none"/>
          <w:lang w:eastAsia="zh-CN"/>
        </w:rPr>
        <w:t>）</w:t>
      </w:r>
      <w:r>
        <w:rPr>
          <w:rFonts w:hint="eastAsia" w:ascii="宋体" w:hAnsi="宋体" w:eastAsia="宋体" w:cs="宋体"/>
          <w:b/>
          <w:bCs w:val="0"/>
          <w:i w:val="0"/>
          <w:iCs w:val="0"/>
          <w:color w:val="auto"/>
          <w:sz w:val="24"/>
          <w:szCs w:val="24"/>
          <w:highlight w:val="none"/>
        </w:rPr>
        <w:t>、</w:t>
      </w:r>
      <w:r>
        <w:rPr>
          <w:rFonts w:hint="eastAsia" w:hAnsi="宋体" w:cs="宋体"/>
          <w:b/>
          <w:bCs w:val="0"/>
          <w:i w:val="0"/>
          <w:iCs w:val="0"/>
          <w:color w:val="auto"/>
          <w:sz w:val="24"/>
          <w:szCs w:val="24"/>
          <w:highlight w:val="none"/>
          <w:lang w:val="en-US" w:eastAsia="zh-CN"/>
        </w:rPr>
        <w:t>指导安装、调试、</w:t>
      </w:r>
      <w:r>
        <w:rPr>
          <w:rFonts w:hint="eastAsia" w:ascii="宋体" w:hAnsi="宋体" w:eastAsia="宋体" w:cs="宋体"/>
          <w:b/>
          <w:bCs w:val="0"/>
          <w:i w:val="0"/>
          <w:iCs w:val="0"/>
          <w:color w:val="auto"/>
          <w:sz w:val="24"/>
          <w:szCs w:val="24"/>
          <w:highlight w:val="none"/>
        </w:rPr>
        <w:t>培训等全部费用</w:t>
      </w:r>
      <w:r>
        <w:rPr>
          <w:rFonts w:hint="eastAsia" w:ascii="宋体" w:hAnsi="宋体" w:eastAsia="宋体" w:cs="宋体"/>
          <w:bCs/>
          <w:i w:val="0"/>
          <w:iCs w:val="0"/>
          <w:color w:val="auto"/>
          <w:sz w:val="24"/>
          <w:szCs w:val="24"/>
          <w:highlight w:val="none"/>
        </w:rPr>
        <w:t>。</w:t>
      </w:r>
    </w:p>
    <w:p w14:paraId="58D9DEBA">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报价表上的价格应按下列方式分开填报:</w:t>
      </w:r>
    </w:p>
    <w:p w14:paraId="6CDB38F3">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1)设备目的地交货价报价；</w:t>
      </w:r>
    </w:p>
    <w:p w14:paraId="4F46175D">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指导</w:t>
      </w:r>
      <w:r>
        <w:rPr>
          <w:rFonts w:hint="eastAsia" w:ascii="宋体" w:hAnsi="宋体" w:eastAsia="宋体" w:cs="宋体"/>
          <w:bCs/>
          <w:color w:val="auto"/>
          <w:sz w:val="24"/>
          <w:szCs w:val="24"/>
          <w:highlight w:val="none"/>
        </w:rPr>
        <w:t>安装、调试、培训等其他服务的费用需列出清单</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但不体现单项报价，包含在设备总价款中</w:t>
      </w:r>
      <w:r>
        <w:rPr>
          <w:rFonts w:hint="eastAsia" w:ascii="宋体" w:hAnsi="宋体" w:eastAsia="宋体" w:cs="宋体"/>
          <w:bCs/>
          <w:color w:val="auto"/>
          <w:sz w:val="24"/>
          <w:szCs w:val="24"/>
          <w:highlight w:val="none"/>
        </w:rPr>
        <w:t>；</w:t>
      </w:r>
    </w:p>
    <w:p w14:paraId="13BBCBFA">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供应商应在谈判响应书中的报价表上标明，拟提供货物的名称、数量、单价和总价。每种货物只允许有一种报价，如果报价中单价与总价有出入，以单价为准。若报价中数字和文字表示的金额之间有差异，则以文字金额为准，并对数字作相应的修正。</w:t>
      </w:r>
    </w:p>
    <w:p w14:paraId="6D3B27C6">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1.4供应商在填报报价时，应认真计算，不应遗留须在合同执行中再行议价和另外支付费用的项目，并在分项价格表中详细列明价格的各组成部分。任何以可调整的价格提交的报价将作为非响应性报价而予以拒绝。</w:t>
      </w:r>
    </w:p>
    <w:p w14:paraId="42E46DD5">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1.5供应商填写的单价和总价在合同实施期间不因市场变化因素而变动，供应商在计算报价时可考虑一定的风险系数。</w:t>
      </w:r>
    </w:p>
    <w:p w14:paraId="658EC8D5">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1.6报价以人民币报价。</w:t>
      </w:r>
    </w:p>
    <w:p w14:paraId="39CA7731">
      <w:pPr>
        <w:pStyle w:val="25"/>
        <w:pageBreakBefore w:val="0"/>
        <w:widowControl w:val="0"/>
        <w:numPr>
          <w:ilvl w:val="0"/>
          <w:numId w:val="7"/>
        </w:numPr>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经采购人同意，供应商可到现场踏勘现场以充分了解现场位置、道路、储存空间、装卸限制及任何其他足以影响报价的情况，任何因忽视或误解情况而导致的索赔或工期延长申请将不被批准。</w:t>
      </w:r>
    </w:p>
    <w:p w14:paraId="1250C1F8">
      <w:pPr>
        <w:pageBreakBefore w:val="0"/>
        <w:widowControl w:val="0"/>
        <w:kinsoku/>
        <w:wordWrap/>
        <w:overflowPunct w:val="0"/>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3、报价货币</w:t>
      </w:r>
    </w:p>
    <w:p w14:paraId="44AF6DF3">
      <w:pPr>
        <w:pStyle w:val="25"/>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6"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本项目报价全部采用的币种为人民币。</w:t>
      </w:r>
    </w:p>
    <w:p w14:paraId="5D92D7DF">
      <w:pPr>
        <w:pStyle w:val="4"/>
        <w:spacing w:line="360" w:lineRule="auto"/>
        <w:rPr>
          <w:rFonts w:hint="default" w:eastAsia="宋体"/>
          <w:color w:val="auto"/>
          <w:highlight w:val="none"/>
          <w:lang w:val="en-US" w:eastAsia="zh-CN"/>
        </w:rPr>
      </w:pPr>
      <w:r>
        <w:rPr>
          <w:color w:val="auto"/>
          <w:highlight w:val="none"/>
        </w:rPr>
        <w:t>五、</w:t>
      </w:r>
      <w:bookmarkEnd w:id="73"/>
      <w:bookmarkEnd w:id="74"/>
      <w:bookmarkEnd w:id="75"/>
      <w:bookmarkEnd w:id="76"/>
      <w:r>
        <w:rPr>
          <w:rFonts w:hint="eastAsia"/>
          <w:color w:val="auto"/>
          <w:highlight w:val="none"/>
        </w:rPr>
        <w:t>评审</w:t>
      </w:r>
      <w:bookmarkEnd w:id="77"/>
      <w:bookmarkEnd w:id="78"/>
      <w:bookmarkEnd w:id="79"/>
      <w:bookmarkEnd w:id="80"/>
      <w:r>
        <w:rPr>
          <w:rFonts w:hint="eastAsia"/>
          <w:color w:val="auto"/>
          <w:highlight w:val="none"/>
          <w:lang w:val="en-US" w:eastAsia="zh-CN"/>
        </w:rPr>
        <w:t>及谈判</w:t>
      </w:r>
    </w:p>
    <w:p w14:paraId="60DF7C05">
      <w:pPr>
        <w:keepNext w:val="0"/>
        <w:keepLines w:val="0"/>
        <w:pageBreakBefore w:val="0"/>
        <w:widowControl w:val="0"/>
        <w:kinsoku/>
        <w:wordWrap/>
        <w:overflowPunct w:val="0"/>
        <w:topLinePunct w:val="0"/>
        <w:autoSpaceDE/>
        <w:autoSpaceDN/>
        <w:bidi w:val="0"/>
        <w:adjustRightInd/>
        <w:snapToGrid/>
        <w:spacing w:before="157" w:beforeLines="50" w:after="157" w:afterLines="50" w:line="360" w:lineRule="auto"/>
        <w:ind w:firstLine="482" w:firstLineChars="200"/>
        <w:textAlignment w:val="auto"/>
        <w:rPr>
          <w:rFonts w:hint="eastAsia" w:ascii="宋体"/>
          <w:b/>
          <w:bCs/>
          <w:color w:val="auto"/>
          <w:kern w:val="2"/>
          <w:sz w:val="24"/>
          <w:szCs w:val="24"/>
          <w:highlight w:val="none"/>
          <w:lang w:val="en-US" w:eastAsia="zh-CN"/>
        </w:rPr>
      </w:pPr>
      <w:bookmarkStart w:id="81" w:name="_Toc382509460"/>
      <w:r>
        <w:rPr>
          <w:rFonts w:hint="eastAsia" w:ascii="宋体"/>
          <w:b/>
          <w:bCs/>
          <w:color w:val="auto"/>
          <w:kern w:val="2"/>
          <w:sz w:val="24"/>
          <w:szCs w:val="24"/>
          <w:highlight w:val="none"/>
          <w:lang w:val="en-US" w:eastAsia="zh-CN"/>
        </w:rPr>
        <w:t>1.评审</w:t>
      </w:r>
    </w:p>
    <w:p w14:paraId="46CF4C57">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1.1采购方将在“供应商须知前附表”规定的时间组织洽谈。供应商应由其法定代表人或授权代表以及专业技术人员参与。</w:t>
      </w:r>
    </w:p>
    <w:p w14:paraId="0C50B678">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1.2采购方的洽谈小组由采购人依法依规组建，采购人代表、商务代表及技术人员三名或三名以上单数评审人员组成。</w:t>
      </w:r>
    </w:p>
    <w:p w14:paraId="2EFEBE16">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1.3洽谈开始前，洽谈小组将首先认真审查各供应商之间是否存在相互围串、报价文件造假等其他禁止报价的情形和供应商提交的采购响应文件，了解其与采购文件的要求是否有偏离，包括但不限于以下内容：</w:t>
      </w:r>
    </w:p>
    <w:p w14:paraId="6059EE82">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1.4.1  采购响应文件是否存在混装、雷同、报价规律性差异等情形；</w:t>
      </w:r>
    </w:p>
    <w:p w14:paraId="5F58897D">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1.4.2 采购响应文件是否照规定的要求进行编制、装订和签署；</w:t>
      </w:r>
    </w:p>
    <w:p w14:paraId="2EA98F6C">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1.4.3 所提交的各种资格证明文件是否满足供应商资格要求并真实、完整、合法、有效；</w:t>
      </w:r>
    </w:p>
    <w:p w14:paraId="2C26AE13">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1.4.4 根据采购文件要求所提出的技术方案是否完整、可行；</w:t>
      </w:r>
    </w:p>
    <w:p w14:paraId="0BC7C63C">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1.4.5 采购响应书对法律、法规和采购文件其他明确要求的符合性。</w:t>
      </w:r>
    </w:p>
    <w:p w14:paraId="533BA3B1">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1.5 在掌握了供应商采购响应文件的基本情况后，洽谈小组将与供应商进行磋商、谈判。</w:t>
      </w:r>
    </w:p>
    <w:p w14:paraId="594CC8FE">
      <w:pPr>
        <w:keepNext w:val="0"/>
        <w:keepLines w:val="0"/>
        <w:pageBreakBefore w:val="0"/>
        <w:widowControl w:val="0"/>
        <w:kinsoku/>
        <w:wordWrap/>
        <w:overflowPunct w:val="0"/>
        <w:topLinePunct w:val="0"/>
        <w:autoSpaceDE/>
        <w:autoSpaceDN/>
        <w:bidi w:val="0"/>
        <w:adjustRightInd/>
        <w:snapToGrid/>
        <w:spacing w:before="157" w:beforeLines="50" w:after="157" w:afterLines="50" w:line="360" w:lineRule="auto"/>
        <w:ind w:firstLine="482" w:firstLineChars="200"/>
        <w:textAlignment w:val="auto"/>
        <w:rPr>
          <w:rFonts w:hint="eastAsia" w:ascii="宋体"/>
          <w:b/>
          <w:bCs/>
          <w:color w:val="auto"/>
          <w:kern w:val="2"/>
          <w:sz w:val="24"/>
          <w:szCs w:val="24"/>
          <w:highlight w:val="none"/>
          <w:lang w:val="en-US" w:eastAsia="zh-CN"/>
        </w:rPr>
      </w:pPr>
      <w:r>
        <w:rPr>
          <w:rFonts w:hint="eastAsia" w:ascii="宋体"/>
          <w:b/>
          <w:bCs/>
          <w:color w:val="auto"/>
          <w:kern w:val="2"/>
          <w:sz w:val="24"/>
          <w:szCs w:val="24"/>
          <w:highlight w:val="none"/>
          <w:lang w:val="en-US" w:eastAsia="zh-CN"/>
        </w:rPr>
        <w:t>2、谈判</w:t>
      </w:r>
    </w:p>
    <w:p w14:paraId="4E8787A2">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2.1谈判小组按照递交的采购响应性文件应就采购项目的技术要求、市场价格、工程承诺等与供应商进行谈判,并给予所有参加谈判的供应商平等的机会。在第一轮谈判中，首先会要求供应商就采购响应书中含糊不清、错漏的地方进行澄清，并提出问题，然后与供应商就其价格构成与高低进行谈判。在其后的谈判中，谈判小组将要求供应商就之前提出的问题进行确认，然后报出自己能承受的最终价格，以书面形式确认，并由法定代表人或其授权人签署；</w:t>
      </w:r>
    </w:p>
    <w:p w14:paraId="74FD160C">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2.2谈判中，采购方的采购文件如有实质性变动的，谈判小组将以书面形式通知参加谈判的供应商。供应商也可以对自己采购响应文件中的有关技术配置、售后服务和报价等方面的问题进行修改，以符合采购文件的要求；</w:t>
      </w:r>
    </w:p>
    <w:p w14:paraId="1E790368">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2.3谈判小组将依据供应商最终提交的最终确认文件进行认真的审查，如满足采购文件的要求、价格合理，谈判小组将按照评审后综合得分由高到低顺序推荐成交候选供应商。否则，重新组织采购或终止采购。</w:t>
      </w:r>
    </w:p>
    <w:p w14:paraId="4574E3D4">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2.4谈判的任何一方在未征得另一方同意的情况下，不得向第三方透露与谈判有关的一切技术资料、价格或其他信息。</w:t>
      </w:r>
    </w:p>
    <w:p w14:paraId="05C201F9">
      <w:pPr>
        <w:keepNext w:val="0"/>
        <w:keepLines w:val="0"/>
        <w:pageBreakBefore w:val="0"/>
        <w:widowControl w:val="0"/>
        <w:kinsoku/>
        <w:wordWrap/>
        <w:overflowPunct w:val="0"/>
        <w:topLinePunct w:val="0"/>
        <w:autoSpaceDE/>
        <w:autoSpaceDN/>
        <w:bidi w:val="0"/>
        <w:adjustRightInd/>
        <w:snapToGrid/>
        <w:spacing w:before="157" w:beforeLines="50" w:after="157" w:afterLines="50" w:line="360" w:lineRule="auto"/>
        <w:ind w:firstLine="482" w:firstLineChars="200"/>
        <w:textAlignment w:val="auto"/>
        <w:rPr>
          <w:rFonts w:hint="eastAsia" w:ascii="宋体"/>
          <w:b/>
          <w:bCs/>
          <w:color w:val="auto"/>
          <w:kern w:val="2"/>
          <w:sz w:val="24"/>
          <w:szCs w:val="24"/>
          <w:highlight w:val="none"/>
          <w:lang w:val="en-US" w:eastAsia="zh-CN"/>
        </w:rPr>
      </w:pPr>
      <w:bookmarkStart w:id="82" w:name="_Toc20290"/>
      <w:bookmarkStart w:id="83" w:name="_Toc11276"/>
      <w:bookmarkStart w:id="84" w:name="_Toc55664556"/>
      <w:bookmarkStart w:id="85" w:name="_Toc14265"/>
      <w:r>
        <w:rPr>
          <w:rFonts w:hint="eastAsia" w:ascii="宋体"/>
          <w:b/>
          <w:bCs/>
          <w:color w:val="auto"/>
          <w:kern w:val="2"/>
          <w:sz w:val="24"/>
          <w:szCs w:val="24"/>
          <w:highlight w:val="none"/>
          <w:lang w:val="en-US" w:eastAsia="zh-CN"/>
        </w:rPr>
        <w:t>3、评审报告</w:t>
      </w:r>
      <w:bookmarkEnd w:id="82"/>
      <w:bookmarkEnd w:id="83"/>
      <w:bookmarkEnd w:id="84"/>
      <w:bookmarkEnd w:id="85"/>
    </w:p>
    <w:p w14:paraId="4B2F9222">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3.1 洽谈小组完成评审后，应当向采购人提出书面评审报告。</w:t>
      </w:r>
    </w:p>
    <w:p w14:paraId="05F20C2D">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3.2 评审报告由洽谈小组全体成员签字。对评审结论持有异议的洽谈小组成员可以书面方式阐述其不同意见和理由。洽谈小组成员拒绝在评审报告上签字且不陈述其不同意见和理由的，视为同意评审结论。洽谈小组应当对此作出书面说明并记录在案。</w:t>
      </w:r>
    </w:p>
    <w:p w14:paraId="51F7421E">
      <w:pPr>
        <w:pageBreakBefore w:val="0"/>
        <w:widowControl w:val="0"/>
        <w:tabs>
          <w:tab w:val="left" w:pos="720"/>
        </w:tabs>
        <w:kinsoku/>
        <w:wordWrap/>
        <w:topLinePunct w:val="0"/>
        <w:autoSpaceDE/>
        <w:autoSpaceDN/>
        <w:bidi w:val="0"/>
        <w:adjustRightInd/>
        <w:snapToGrid/>
        <w:spacing w:before="0" w:beforeAutospacing="0" w:after="0" w:afterAutospacing="0" w:line="420" w:lineRule="exact"/>
        <w:ind w:left="-2" w:leftChars="-1" w:right="28" w:firstLine="480" w:firstLineChars="200"/>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3.3 洽谈小组向采购人提交书面评审报告后，洽谈小组即告解散。</w:t>
      </w:r>
    </w:p>
    <w:p w14:paraId="6A077EEB">
      <w:pPr>
        <w:keepNext w:val="0"/>
        <w:keepLines w:val="0"/>
        <w:pageBreakBefore w:val="0"/>
        <w:widowControl w:val="0"/>
        <w:kinsoku/>
        <w:wordWrap/>
        <w:overflowPunct w:val="0"/>
        <w:topLinePunct w:val="0"/>
        <w:autoSpaceDE/>
        <w:autoSpaceDN/>
        <w:bidi w:val="0"/>
        <w:adjustRightInd/>
        <w:snapToGrid/>
        <w:spacing w:before="157" w:beforeLines="50" w:after="157" w:afterLines="50" w:line="360" w:lineRule="auto"/>
        <w:ind w:firstLine="482" w:firstLineChars="200"/>
        <w:textAlignment w:val="auto"/>
        <w:rPr>
          <w:rFonts w:hint="eastAsia" w:ascii="宋体"/>
          <w:b/>
          <w:bCs/>
          <w:color w:val="auto"/>
          <w:kern w:val="2"/>
          <w:sz w:val="24"/>
          <w:szCs w:val="24"/>
          <w:highlight w:val="none"/>
        </w:rPr>
      </w:pPr>
      <w:bookmarkStart w:id="86" w:name="_Toc25834"/>
      <w:bookmarkStart w:id="87" w:name="_Toc32227"/>
      <w:bookmarkStart w:id="88" w:name="_Toc24596"/>
      <w:bookmarkStart w:id="89" w:name="_Toc55664557"/>
      <w:r>
        <w:rPr>
          <w:rFonts w:hint="eastAsia" w:ascii="宋体"/>
          <w:b/>
          <w:bCs/>
          <w:color w:val="auto"/>
          <w:kern w:val="2"/>
          <w:sz w:val="24"/>
          <w:szCs w:val="24"/>
          <w:highlight w:val="none"/>
        </w:rPr>
        <w:t>4、评分办法</w:t>
      </w:r>
      <w:bookmarkEnd w:id="86"/>
      <w:bookmarkEnd w:id="87"/>
      <w:bookmarkEnd w:id="88"/>
      <w:bookmarkEnd w:id="89"/>
    </w:p>
    <w:p w14:paraId="4208C7B1">
      <w:pPr>
        <w:pageBreakBefore w:val="0"/>
        <w:kinsoku/>
        <w:wordWrap/>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本次谈判采用综合评审法，只对有效的且进行实质性响应的文件进行评分，对响应文件提出的货物质量和技术性能、产品业绩、交货期及保证措施、质量保证和售后服务、企业信誉及综合实力、产品报价等逐项进行打分，满分为100分，最后综合各评委的打分情况，根据得分由高向低推荐出成交候选人排序。供应商必须保证响应文件中的内容真实有效，否则其响应将被拒绝。</w:t>
      </w:r>
    </w:p>
    <w:p w14:paraId="5E1E943D">
      <w:pPr>
        <w:pStyle w:val="18"/>
        <w:numPr>
          <w:ilvl w:val="0"/>
          <w:numId w:val="0"/>
        </w:numPr>
        <w:rPr>
          <w:rFonts w:hint="eastAsia" w:ascii="宋体" w:hAnsi="宋体" w:eastAsia="宋体" w:cs="宋体"/>
          <w:bCs/>
          <w:color w:val="auto"/>
          <w:sz w:val="24"/>
          <w:szCs w:val="24"/>
          <w:highlight w:val="none"/>
          <w:lang w:val="en-US" w:eastAsia="zh-CN" w:bidi="ar-SA"/>
        </w:rPr>
      </w:pPr>
    </w:p>
    <w:p w14:paraId="0691DF8B">
      <w:pPr>
        <w:pStyle w:val="18"/>
        <w:numPr>
          <w:ilvl w:val="0"/>
          <w:numId w:val="0"/>
        </w:numP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评分细则（合计100分）：</w:t>
      </w:r>
    </w:p>
    <w:tbl>
      <w:tblPr>
        <w:tblStyle w:val="29"/>
        <w:tblW w:w="86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23"/>
        <w:gridCol w:w="5821"/>
        <w:gridCol w:w="861"/>
      </w:tblGrid>
      <w:tr w14:paraId="7840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8" w:type="dxa"/>
            <w:vAlign w:val="center"/>
          </w:tcPr>
          <w:p w14:paraId="3402D8BC">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bCs/>
                <w:color w:val="auto"/>
                <w:kern w:val="2"/>
                <w:sz w:val="22"/>
                <w:szCs w:val="22"/>
                <w:highlight w:val="none"/>
              </w:rPr>
            </w:pPr>
            <w:r>
              <w:rPr>
                <w:rFonts w:hint="eastAsia" w:ascii="宋体" w:hAnsi="宋体" w:cs="宋体" w:eastAsiaTheme="minorEastAsia"/>
                <w:bCs/>
                <w:color w:val="auto"/>
                <w:kern w:val="2"/>
                <w:sz w:val="22"/>
                <w:szCs w:val="22"/>
                <w:highlight w:val="none"/>
              </w:rPr>
              <w:t>序号</w:t>
            </w:r>
          </w:p>
        </w:tc>
        <w:tc>
          <w:tcPr>
            <w:tcW w:w="7144" w:type="dxa"/>
            <w:gridSpan w:val="2"/>
            <w:vAlign w:val="center"/>
          </w:tcPr>
          <w:p w14:paraId="47CB0E6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eastAsia" w:ascii="宋体" w:hAnsi="宋体" w:cs="宋体" w:eastAsiaTheme="minorEastAsia"/>
                <w:bCs/>
                <w:color w:val="auto"/>
                <w:kern w:val="2"/>
                <w:sz w:val="22"/>
                <w:szCs w:val="22"/>
                <w:highlight w:val="none"/>
                <w:lang w:val="en-US" w:eastAsia="zh-CN" w:bidi="ar-SA"/>
              </w:rPr>
            </w:pPr>
            <w:r>
              <w:rPr>
                <w:rFonts w:hint="eastAsia" w:ascii="宋体" w:hAnsi="宋体" w:cs="宋体" w:eastAsiaTheme="minorEastAsia"/>
                <w:bCs/>
                <w:color w:val="auto"/>
                <w:kern w:val="2"/>
                <w:sz w:val="22"/>
                <w:szCs w:val="22"/>
                <w:highlight w:val="none"/>
                <w:lang w:val="en-US" w:eastAsia="zh-CN" w:bidi="ar-SA"/>
              </w:rPr>
              <w:t>评分标准</w:t>
            </w:r>
          </w:p>
        </w:tc>
        <w:tc>
          <w:tcPr>
            <w:tcW w:w="861" w:type="dxa"/>
            <w:vAlign w:val="center"/>
          </w:tcPr>
          <w:p w14:paraId="12F5122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eastAsia" w:ascii="宋体" w:hAnsi="宋体" w:cs="宋体" w:eastAsiaTheme="minorEastAsia"/>
                <w:bCs/>
                <w:color w:val="auto"/>
                <w:kern w:val="2"/>
                <w:sz w:val="22"/>
                <w:szCs w:val="22"/>
                <w:highlight w:val="none"/>
                <w:lang w:val="en-US" w:eastAsia="zh-CN" w:bidi="ar-SA"/>
              </w:rPr>
            </w:pPr>
            <w:r>
              <w:rPr>
                <w:rFonts w:hint="eastAsia" w:ascii="宋体" w:hAnsi="宋体" w:cs="宋体" w:eastAsiaTheme="minorEastAsia"/>
                <w:bCs/>
                <w:color w:val="auto"/>
                <w:kern w:val="2"/>
                <w:sz w:val="22"/>
                <w:szCs w:val="22"/>
                <w:highlight w:val="none"/>
                <w:lang w:val="en-US" w:eastAsia="zh-CN" w:bidi="ar-SA"/>
              </w:rPr>
              <w:t>得分</w:t>
            </w:r>
          </w:p>
        </w:tc>
      </w:tr>
      <w:tr w14:paraId="6679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8" w:type="dxa"/>
            <w:vMerge w:val="restart"/>
            <w:vAlign w:val="center"/>
          </w:tcPr>
          <w:p w14:paraId="70E34701">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一</w:t>
            </w:r>
          </w:p>
        </w:tc>
        <w:tc>
          <w:tcPr>
            <w:tcW w:w="7144" w:type="dxa"/>
            <w:gridSpan w:val="2"/>
            <w:vAlign w:val="center"/>
          </w:tcPr>
          <w:p w14:paraId="196913E4">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b/>
                <w:color w:val="auto"/>
                <w:kern w:val="2"/>
                <w:sz w:val="22"/>
                <w:szCs w:val="22"/>
                <w:highlight w:val="none"/>
              </w:rPr>
            </w:pPr>
            <w:r>
              <w:rPr>
                <w:rFonts w:hint="eastAsia" w:ascii="宋体" w:hAnsi="宋体" w:cs="宋体" w:eastAsiaTheme="minorEastAsia"/>
                <w:b/>
                <w:color w:val="auto"/>
                <w:kern w:val="2"/>
                <w:sz w:val="22"/>
                <w:szCs w:val="22"/>
                <w:highlight w:val="none"/>
              </w:rPr>
              <w:t>报价部分</w:t>
            </w:r>
          </w:p>
        </w:tc>
        <w:tc>
          <w:tcPr>
            <w:tcW w:w="861" w:type="dxa"/>
            <w:vAlign w:val="center"/>
          </w:tcPr>
          <w:p w14:paraId="0230E854">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b/>
                <w:color w:val="auto"/>
                <w:kern w:val="2"/>
                <w:sz w:val="22"/>
                <w:szCs w:val="22"/>
                <w:highlight w:val="none"/>
                <w:lang w:val="en-US" w:eastAsia="zh-CN"/>
              </w:rPr>
            </w:pPr>
            <w:r>
              <w:rPr>
                <w:rFonts w:hint="eastAsia" w:ascii="宋体" w:hAnsi="宋体" w:cs="宋体" w:eastAsiaTheme="minorEastAsia"/>
                <w:b/>
                <w:color w:val="auto"/>
                <w:kern w:val="2"/>
                <w:sz w:val="22"/>
                <w:szCs w:val="22"/>
                <w:highlight w:val="none"/>
                <w:lang w:val="en-US" w:eastAsia="zh-CN"/>
              </w:rPr>
              <w:t>50</w:t>
            </w:r>
          </w:p>
        </w:tc>
      </w:tr>
      <w:tr w14:paraId="6B0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trPr>
        <w:tc>
          <w:tcPr>
            <w:tcW w:w="658" w:type="dxa"/>
            <w:vMerge w:val="continue"/>
            <w:vAlign w:val="center"/>
          </w:tcPr>
          <w:p w14:paraId="2A04F4B9">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p>
        </w:tc>
        <w:tc>
          <w:tcPr>
            <w:tcW w:w="1323" w:type="dxa"/>
            <w:tcBorders>
              <w:bottom w:val="single" w:color="auto" w:sz="4" w:space="0"/>
            </w:tcBorders>
            <w:vAlign w:val="center"/>
          </w:tcPr>
          <w:p w14:paraId="5A0235AC">
            <w:pPr>
              <w:keepNext w:val="0"/>
              <w:keepLines w:val="0"/>
              <w:pageBreakBefore w:val="0"/>
              <w:widowControl w:val="0"/>
              <w:kinsoku/>
              <w:wordWrap/>
              <w:overflowPunct/>
              <w:topLinePunct w:val="0"/>
              <w:autoSpaceDE/>
              <w:autoSpaceDN/>
              <w:bidi w:val="0"/>
              <w:snapToGrid/>
              <w:spacing w:line="240" w:lineRule="auto"/>
              <w:ind w:firstLine="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投标报价</w:t>
            </w:r>
          </w:p>
          <w:p w14:paraId="2688D08C">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得分</w:t>
            </w:r>
          </w:p>
        </w:tc>
        <w:tc>
          <w:tcPr>
            <w:tcW w:w="5821" w:type="dxa"/>
            <w:tcBorders>
              <w:bottom w:val="single" w:color="auto" w:sz="4" w:space="0"/>
            </w:tcBorders>
            <w:vAlign w:val="center"/>
          </w:tcPr>
          <w:p w14:paraId="0FB994B4">
            <w:pPr>
              <w:keepNext w:val="0"/>
              <w:keepLines w:val="0"/>
              <w:pageBreakBefore w:val="0"/>
              <w:widowControl w:val="0"/>
              <w:kinsoku/>
              <w:wordWrap/>
              <w:overflowPunct/>
              <w:topLinePunct w:val="0"/>
              <w:autoSpaceDE/>
              <w:autoSpaceDN/>
              <w:bidi w:val="0"/>
              <w:snapToGrid/>
              <w:spacing w:line="240" w:lineRule="auto"/>
              <w:ind w:firstLine="0" w:firstLineChars="0"/>
              <w:jc w:val="both"/>
              <w:rPr>
                <w:rFonts w:hint="eastAsia" w:ascii="宋体" w:hAnsi="宋体" w:cs="宋体" w:eastAsiaTheme="minorEastAsia"/>
                <w:color w:val="auto"/>
                <w:kern w:val="2"/>
                <w:sz w:val="22"/>
                <w:szCs w:val="22"/>
                <w:highlight w:val="none"/>
                <w:lang w:eastAsia="zh-CN"/>
              </w:rPr>
            </w:pPr>
            <w:r>
              <w:rPr>
                <w:rFonts w:hint="eastAsia" w:ascii="宋体" w:hAnsi="宋体" w:cs="宋体" w:eastAsiaTheme="minorEastAsia"/>
                <w:color w:val="auto"/>
                <w:kern w:val="2"/>
                <w:sz w:val="22"/>
                <w:szCs w:val="22"/>
                <w:highlight w:val="none"/>
              </w:rPr>
              <w:t>以有效供应商中的平均价格的95%作为评标基准价。若供应商为6家（含6家）以上时，分别去掉一个最高有效投标报价和一个最低有效投标报价，取剩余有效投标报价的平均价格的95%作为评标基准价。投标报价等于评标基准价得40分，每高于评标基准价1%扣0.5分，最多扣10分；每低于评标基准价1%加0.5分，最多加10分。不足1%按插入法计算，保留两位小数。若投标人报价被评标委员会认定为严重偏离，其报价将认定为无效报价。</w:t>
            </w:r>
          </w:p>
        </w:tc>
        <w:tc>
          <w:tcPr>
            <w:tcW w:w="861" w:type="dxa"/>
            <w:tcBorders>
              <w:bottom w:val="single" w:color="auto" w:sz="4" w:space="0"/>
            </w:tcBorders>
            <w:vAlign w:val="center"/>
          </w:tcPr>
          <w:p w14:paraId="7062A528">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b/>
                <w:color w:val="auto"/>
                <w:kern w:val="2"/>
                <w:sz w:val="22"/>
                <w:szCs w:val="22"/>
                <w:highlight w:val="none"/>
                <w:lang w:val="en-US" w:eastAsia="zh-CN"/>
              </w:rPr>
            </w:pPr>
            <w:r>
              <w:rPr>
                <w:rFonts w:hint="eastAsia" w:ascii="宋体" w:hAnsi="宋体" w:cs="宋体" w:eastAsiaTheme="minorEastAsia"/>
                <w:b/>
                <w:bCs/>
                <w:color w:val="auto"/>
                <w:kern w:val="2"/>
                <w:sz w:val="22"/>
                <w:szCs w:val="22"/>
                <w:highlight w:val="none"/>
                <w:lang w:val="en-US" w:eastAsia="zh-CN"/>
              </w:rPr>
              <w:t>30-50</w:t>
            </w:r>
          </w:p>
        </w:tc>
      </w:tr>
      <w:tr w14:paraId="2409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58" w:type="dxa"/>
            <w:vAlign w:val="center"/>
          </w:tcPr>
          <w:p w14:paraId="503C2E3F">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二</w:t>
            </w:r>
          </w:p>
        </w:tc>
        <w:tc>
          <w:tcPr>
            <w:tcW w:w="7144" w:type="dxa"/>
            <w:gridSpan w:val="2"/>
            <w:vAlign w:val="center"/>
          </w:tcPr>
          <w:p w14:paraId="2AA8334E">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b/>
                <w:color w:val="auto"/>
                <w:kern w:val="2"/>
                <w:sz w:val="22"/>
                <w:szCs w:val="22"/>
                <w:highlight w:val="none"/>
              </w:rPr>
            </w:pPr>
            <w:r>
              <w:rPr>
                <w:rFonts w:hint="eastAsia" w:ascii="宋体" w:hAnsi="宋体" w:cs="宋体" w:eastAsiaTheme="minorEastAsia"/>
                <w:b/>
                <w:color w:val="auto"/>
                <w:kern w:val="2"/>
                <w:sz w:val="22"/>
                <w:szCs w:val="22"/>
                <w:highlight w:val="none"/>
              </w:rPr>
              <w:t>商务部分</w:t>
            </w:r>
          </w:p>
        </w:tc>
        <w:tc>
          <w:tcPr>
            <w:tcW w:w="861" w:type="dxa"/>
            <w:vAlign w:val="center"/>
          </w:tcPr>
          <w:p w14:paraId="3BD7D100">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b/>
                <w:strike/>
                <w:color w:val="auto"/>
                <w:kern w:val="2"/>
                <w:sz w:val="22"/>
                <w:szCs w:val="22"/>
                <w:highlight w:val="none"/>
              </w:rPr>
            </w:pPr>
            <w:r>
              <w:rPr>
                <w:rFonts w:hint="eastAsia" w:ascii="宋体" w:hAnsi="宋体" w:cs="宋体" w:eastAsiaTheme="minorEastAsia"/>
                <w:b/>
                <w:color w:val="auto"/>
                <w:kern w:val="2"/>
                <w:sz w:val="22"/>
                <w:szCs w:val="22"/>
                <w:highlight w:val="none"/>
                <w:lang w:val="en-US" w:eastAsia="zh-CN"/>
              </w:rPr>
              <w:t>15</w:t>
            </w:r>
          </w:p>
        </w:tc>
      </w:tr>
      <w:tr w14:paraId="568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658" w:type="dxa"/>
            <w:vAlign w:val="center"/>
          </w:tcPr>
          <w:p w14:paraId="7A32FEA2">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1</w:t>
            </w:r>
          </w:p>
        </w:tc>
        <w:tc>
          <w:tcPr>
            <w:tcW w:w="1323" w:type="dxa"/>
            <w:vAlign w:val="center"/>
          </w:tcPr>
          <w:p w14:paraId="2F0A5540">
            <w:pPr>
              <w:keepNext w:val="0"/>
              <w:keepLines w:val="0"/>
              <w:pageBreakBefore w:val="0"/>
              <w:widowControl w:val="0"/>
              <w:kinsoku/>
              <w:wordWrap/>
              <w:overflowPunct/>
              <w:topLinePunct w:val="0"/>
              <w:autoSpaceDE/>
              <w:autoSpaceDN/>
              <w:bidi w:val="0"/>
              <w:snapToGrid/>
              <w:spacing w:line="240" w:lineRule="auto"/>
              <w:ind w:firstLine="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投标人</w:t>
            </w:r>
          </w:p>
          <w:p w14:paraId="281F3FE9">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业绩</w:t>
            </w:r>
          </w:p>
        </w:tc>
        <w:tc>
          <w:tcPr>
            <w:tcW w:w="5821" w:type="dxa"/>
            <w:tcBorders>
              <w:bottom w:val="single" w:color="auto" w:sz="4" w:space="0"/>
            </w:tcBorders>
            <w:vAlign w:val="center"/>
          </w:tcPr>
          <w:p w14:paraId="6228488D">
            <w:pPr>
              <w:keepNext w:val="0"/>
              <w:keepLines w:val="0"/>
              <w:pageBreakBefore w:val="0"/>
              <w:widowControl w:val="0"/>
              <w:kinsoku/>
              <w:wordWrap/>
              <w:overflowPunct/>
              <w:topLinePunct w:val="0"/>
              <w:autoSpaceDE/>
              <w:autoSpaceDN/>
              <w:bidi w:val="0"/>
              <w:snapToGrid/>
              <w:spacing w:line="240" w:lineRule="auto"/>
              <w:ind w:firstLine="0" w:firstLineChars="0"/>
              <w:jc w:val="both"/>
              <w:rPr>
                <w:rFonts w:hint="eastAsia" w:ascii="宋体" w:hAnsi="宋体" w:cs="宋体" w:eastAsiaTheme="minorEastAsia"/>
                <w:b/>
                <w:color w:val="auto"/>
                <w:kern w:val="2"/>
                <w:sz w:val="22"/>
                <w:szCs w:val="22"/>
                <w:highlight w:val="none"/>
              </w:rPr>
            </w:pPr>
            <w:r>
              <w:rPr>
                <w:rFonts w:hint="eastAsia" w:ascii="宋体" w:hAnsi="宋体" w:cs="宋体" w:eastAsiaTheme="minorEastAsia"/>
                <w:color w:val="auto"/>
                <w:kern w:val="2"/>
                <w:sz w:val="22"/>
                <w:szCs w:val="22"/>
                <w:highlight w:val="none"/>
              </w:rPr>
              <w:t>投标人须提供近三年（202</w:t>
            </w:r>
            <w:r>
              <w:rPr>
                <w:rFonts w:hint="eastAsia" w:ascii="宋体" w:hAnsi="宋体" w:cs="宋体" w:eastAsiaTheme="minorEastAsia"/>
                <w:color w:val="auto"/>
                <w:kern w:val="2"/>
                <w:sz w:val="22"/>
                <w:szCs w:val="22"/>
                <w:highlight w:val="none"/>
                <w:lang w:val="en-US" w:eastAsia="zh-CN"/>
              </w:rPr>
              <w:t>2</w:t>
            </w:r>
            <w:r>
              <w:rPr>
                <w:rFonts w:hint="eastAsia" w:ascii="宋体" w:hAnsi="宋体" w:cs="宋体" w:eastAsiaTheme="minorEastAsia"/>
                <w:color w:val="auto"/>
                <w:kern w:val="2"/>
                <w:sz w:val="22"/>
                <w:szCs w:val="22"/>
                <w:highlight w:val="none"/>
              </w:rPr>
              <w:t>年1月1日-至今）同类产品（含合同额）的销售业绩，每项1分，最高得5分(附合同复印件）。</w:t>
            </w:r>
          </w:p>
        </w:tc>
        <w:tc>
          <w:tcPr>
            <w:tcW w:w="861" w:type="dxa"/>
            <w:vAlign w:val="center"/>
          </w:tcPr>
          <w:p w14:paraId="2C7BF2A7">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rPr>
              <w:t>0-</w:t>
            </w:r>
            <w:r>
              <w:rPr>
                <w:rFonts w:hint="eastAsia" w:ascii="宋体" w:hAnsi="宋体" w:cs="宋体" w:eastAsiaTheme="minorEastAsia"/>
                <w:color w:val="auto"/>
                <w:kern w:val="2"/>
                <w:sz w:val="22"/>
                <w:szCs w:val="22"/>
                <w:highlight w:val="none"/>
                <w:lang w:val="en-US" w:eastAsia="zh-CN"/>
              </w:rPr>
              <w:t>5</w:t>
            </w:r>
          </w:p>
        </w:tc>
      </w:tr>
      <w:tr w14:paraId="3535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658" w:type="dxa"/>
            <w:vAlign w:val="center"/>
          </w:tcPr>
          <w:p w14:paraId="70DB7012">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2</w:t>
            </w:r>
          </w:p>
        </w:tc>
        <w:tc>
          <w:tcPr>
            <w:tcW w:w="1323" w:type="dxa"/>
            <w:vAlign w:val="center"/>
          </w:tcPr>
          <w:p w14:paraId="7E9D7C7A">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财务状况</w:t>
            </w:r>
            <w:r>
              <w:rPr>
                <w:rFonts w:hint="eastAsia" w:ascii="宋体" w:hAnsi="宋体" w:cs="宋体" w:eastAsiaTheme="minorEastAsia"/>
                <w:color w:val="auto"/>
                <w:kern w:val="2"/>
                <w:sz w:val="22"/>
                <w:szCs w:val="22"/>
                <w:highlight w:val="none"/>
                <w:lang w:eastAsia="zh-Hans"/>
              </w:rPr>
              <w:t>及信誉</w:t>
            </w:r>
          </w:p>
        </w:tc>
        <w:tc>
          <w:tcPr>
            <w:tcW w:w="5821" w:type="dxa"/>
            <w:tcBorders>
              <w:bottom w:val="single" w:color="auto" w:sz="4" w:space="0"/>
            </w:tcBorders>
            <w:vAlign w:val="center"/>
          </w:tcPr>
          <w:p w14:paraId="33CEDEB7">
            <w:pPr>
              <w:keepNext w:val="0"/>
              <w:keepLines w:val="0"/>
              <w:pageBreakBefore w:val="0"/>
              <w:widowControl w:val="0"/>
              <w:kinsoku/>
              <w:wordWrap/>
              <w:overflowPunct/>
              <w:topLinePunct w:val="0"/>
              <w:autoSpaceDE/>
              <w:autoSpaceDN/>
              <w:bidi w:val="0"/>
              <w:snapToGrid/>
              <w:spacing w:line="240" w:lineRule="auto"/>
              <w:ind w:firstLine="0" w:firstLineChars="0"/>
              <w:jc w:val="both"/>
              <w:rPr>
                <w:rFonts w:hint="eastAsia" w:ascii="宋体" w:hAnsi="宋体" w:eastAsia="黑体" w:cs="宋体"/>
                <w:color w:val="auto"/>
                <w:sz w:val="22"/>
                <w:szCs w:val="22"/>
                <w:highlight w:val="none"/>
                <w:lang w:val="en-US" w:eastAsia="zh-CN" w:bidi="ar-SA"/>
              </w:rPr>
            </w:pPr>
            <w:r>
              <w:rPr>
                <w:rFonts w:hint="eastAsia" w:ascii="宋体" w:hAnsi="宋体" w:cs="宋体" w:eastAsiaTheme="minorEastAsia"/>
                <w:color w:val="auto"/>
                <w:kern w:val="2"/>
                <w:sz w:val="22"/>
                <w:szCs w:val="22"/>
                <w:highlight w:val="none"/>
              </w:rPr>
              <w:t>提供近三年或公司成立以来经第三方会计师事务所审计的财务报告，报告齐全、完整得</w:t>
            </w:r>
            <w:r>
              <w:rPr>
                <w:rFonts w:hint="eastAsia" w:ascii="宋体" w:hAnsi="宋体" w:cs="宋体" w:eastAsiaTheme="minorEastAsia"/>
                <w:color w:val="auto"/>
                <w:kern w:val="2"/>
                <w:sz w:val="22"/>
                <w:szCs w:val="22"/>
                <w:highlight w:val="none"/>
                <w:lang w:val="en-US" w:eastAsia="zh-CN"/>
              </w:rPr>
              <w:t>3</w:t>
            </w:r>
            <w:r>
              <w:rPr>
                <w:rFonts w:hint="eastAsia" w:ascii="宋体" w:hAnsi="宋体" w:cs="宋体" w:eastAsiaTheme="minorEastAsia"/>
                <w:color w:val="auto"/>
                <w:kern w:val="2"/>
                <w:sz w:val="22"/>
                <w:szCs w:val="22"/>
                <w:highlight w:val="none"/>
              </w:rPr>
              <w:t>分，缺少1个年份报告扣1分，扣至0分为止；公司成立不足3年的，按照实际成立年份所需对应审计报告得分；</w:t>
            </w:r>
          </w:p>
        </w:tc>
        <w:tc>
          <w:tcPr>
            <w:tcW w:w="861" w:type="dxa"/>
            <w:vAlign w:val="center"/>
          </w:tcPr>
          <w:p w14:paraId="227E4DA5">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0-</w:t>
            </w:r>
            <w:r>
              <w:rPr>
                <w:rFonts w:hint="eastAsia" w:ascii="宋体" w:hAnsi="宋体" w:cs="宋体" w:eastAsiaTheme="minorEastAsia"/>
                <w:color w:val="auto"/>
                <w:kern w:val="2"/>
                <w:sz w:val="22"/>
                <w:szCs w:val="22"/>
                <w:highlight w:val="none"/>
                <w:lang w:val="en-US" w:eastAsia="zh-CN"/>
              </w:rPr>
              <w:t>3</w:t>
            </w:r>
          </w:p>
        </w:tc>
      </w:tr>
      <w:tr w14:paraId="220A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58" w:type="dxa"/>
            <w:vAlign w:val="center"/>
          </w:tcPr>
          <w:p w14:paraId="0D45C8BB">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3</w:t>
            </w:r>
          </w:p>
        </w:tc>
        <w:tc>
          <w:tcPr>
            <w:tcW w:w="1323" w:type="dxa"/>
            <w:vAlign w:val="center"/>
          </w:tcPr>
          <w:p w14:paraId="4CC571BD">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lang w:val="en-US" w:eastAsia="zh-CN"/>
              </w:rPr>
              <w:t>供应商</w:t>
            </w:r>
            <w:r>
              <w:rPr>
                <w:rFonts w:hint="eastAsia" w:ascii="宋体" w:hAnsi="宋体" w:cs="宋体" w:eastAsiaTheme="minorEastAsia"/>
                <w:color w:val="auto"/>
                <w:kern w:val="2"/>
                <w:sz w:val="22"/>
                <w:szCs w:val="22"/>
                <w:highlight w:val="none"/>
              </w:rPr>
              <w:t>年度考核</w:t>
            </w:r>
          </w:p>
        </w:tc>
        <w:tc>
          <w:tcPr>
            <w:tcW w:w="5821" w:type="dxa"/>
            <w:tcBorders>
              <w:bottom w:val="single" w:color="auto" w:sz="4" w:space="0"/>
            </w:tcBorders>
            <w:vAlign w:val="center"/>
          </w:tcPr>
          <w:p w14:paraId="378743C8">
            <w:pPr>
              <w:keepNext w:val="0"/>
              <w:keepLines w:val="0"/>
              <w:pageBreakBefore w:val="0"/>
              <w:widowControl w:val="0"/>
              <w:kinsoku/>
              <w:wordWrap/>
              <w:overflowPunct/>
              <w:topLinePunct w:val="0"/>
              <w:autoSpaceDE/>
              <w:autoSpaceDN/>
              <w:bidi w:val="0"/>
              <w:snapToGrid/>
              <w:spacing w:line="240" w:lineRule="auto"/>
              <w:ind w:firstLine="0" w:firstLineChars="0"/>
              <w:jc w:val="both"/>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lang w:eastAsia="zh-Hans"/>
              </w:rPr>
              <w:t>招标人年度考核A类得4分，B类得3分，C类得2分，没有考核结果的投标人统一按照考核C类标准计分</w:t>
            </w:r>
          </w:p>
        </w:tc>
        <w:tc>
          <w:tcPr>
            <w:tcW w:w="861" w:type="dxa"/>
            <w:vAlign w:val="center"/>
          </w:tcPr>
          <w:p w14:paraId="689889DF">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eastAsia="zh-CN"/>
              </w:rPr>
            </w:pPr>
            <w:r>
              <w:rPr>
                <w:rFonts w:hint="eastAsia" w:ascii="宋体" w:hAnsi="宋体" w:cs="宋体" w:eastAsiaTheme="minorEastAsia"/>
                <w:color w:val="auto"/>
                <w:kern w:val="2"/>
                <w:sz w:val="22"/>
                <w:szCs w:val="22"/>
                <w:highlight w:val="none"/>
              </w:rPr>
              <w:t>0-</w:t>
            </w:r>
            <w:r>
              <w:rPr>
                <w:rFonts w:hint="eastAsia" w:ascii="宋体" w:hAnsi="宋体" w:cs="宋体" w:eastAsiaTheme="minorEastAsia"/>
                <w:color w:val="auto"/>
                <w:kern w:val="2"/>
                <w:sz w:val="22"/>
                <w:szCs w:val="22"/>
                <w:highlight w:val="none"/>
                <w:lang w:val="en-US" w:eastAsia="zh-CN"/>
              </w:rPr>
              <w:t>4</w:t>
            </w:r>
          </w:p>
        </w:tc>
      </w:tr>
      <w:tr w14:paraId="7661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658" w:type="dxa"/>
            <w:vAlign w:val="center"/>
          </w:tcPr>
          <w:p w14:paraId="48494049">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4</w:t>
            </w:r>
          </w:p>
        </w:tc>
        <w:tc>
          <w:tcPr>
            <w:tcW w:w="1323" w:type="dxa"/>
            <w:vAlign w:val="center"/>
          </w:tcPr>
          <w:p w14:paraId="3294CA43">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eastAsia="zh-Hans"/>
              </w:rPr>
            </w:pPr>
            <w:r>
              <w:rPr>
                <w:rFonts w:hint="eastAsia" w:ascii="宋体" w:hAnsi="宋体" w:cs="宋体" w:eastAsiaTheme="minorEastAsia"/>
                <w:color w:val="auto"/>
                <w:kern w:val="2"/>
                <w:sz w:val="22"/>
                <w:szCs w:val="22"/>
                <w:highlight w:val="none"/>
                <w:lang w:val="en-US" w:eastAsia="zh-CN"/>
              </w:rPr>
              <w:t>主要商务条款响应程度</w:t>
            </w:r>
          </w:p>
        </w:tc>
        <w:tc>
          <w:tcPr>
            <w:tcW w:w="5821" w:type="dxa"/>
            <w:vAlign w:val="center"/>
          </w:tcPr>
          <w:p w14:paraId="53DDF67C">
            <w:pPr>
              <w:keepNext w:val="0"/>
              <w:keepLines w:val="0"/>
              <w:pageBreakBefore w:val="0"/>
              <w:widowControl w:val="0"/>
              <w:kinsoku/>
              <w:wordWrap/>
              <w:overflowPunct/>
              <w:topLinePunct w:val="0"/>
              <w:autoSpaceDE/>
              <w:autoSpaceDN/>
              <w:bidi w:val="0"/>
              <w:snapToGrid/>
              <w:spacing w:line="240" w:lineRule="auto"/>
              <w:ind w:firstLine="0"/>
              <w:jc w:val="both"/>
              <w:rPr>
                <w:rFonts w:hint="eastAsia"/>
                <w:color w:val="auto"/>
                <w:sz w:val="22"/>
                <w:szCs w:val="22"/>
                <w:highlight w:val="none"/>
                <w:lang w:eastAsia="zh-Hans"/>
              </w:rPr>
            </w:pPr>
            <w:r>
              <w:rPr>
                <w:rFonts w:hint="eastAsia"/>
                <w:color w:val="auto"/>
                <w:sz w:val="22"/>
                <w:szCs w:val="22"/>
                <w:highlight w:val="none"/>
                <w:lang w:eastAsia="zh-Hans"/>
              </w:rPr>
              <w:t>投标报价完整性、主要商务条款（非否决性条款）全部响应招标文件要求得2分，否则酌情扣分。</w:t>
            </w:r>
          </w:p>
          <w:p w14:paraId="19C444F4">
            <w:pPr>
              <w:pStyle w:val="5"/>
              <w:keepNext w:val="0"/>
              <w:keepLines w:val="0"/>
              <w:pageBreakBefore w:val="0"/>
              <w:widowControl w:val="0"/>
              <w:kinsoku/>
              <w:wordWrap/>
              <w:overflowPunct/>
              <w:topLinePunct w:val="0"/>
              <w:autoSpaceDE/>
              <w:autoSpaceDN/>
              <w:bidi w:val="0"/>
              <w:snapToGrid/>
              <w:spacing w:line="240" w:lineRule="auto"/>
              <w:ind w:left="0" w:leftChars="0" w:firstLine="0" w:firstLineChars="0"/>
              <w:rPr>
                <w:highlight w:val="none"/>
              </w:rPr>
            </w:pPr>
            <w:r>
              <w:rPr>
                <w:rFonts w:hint="eastAsia" w:ascii="Times New Roman" w:hAnsi="Times New Roman" w:cs="Times New Roman"/>
                <w:b w:val="0"/>
                <w:bCs w:val="0"/>
                <w:color w:val="auto"/>
                <w:kern w:val="0"/>
                <w:sz w:val="22"/>
                <w:szCs w:val="22"/>
                <w:highlight w:val="none"/>
                <w:lang w:val="en-US" w:eastAsia="zh-Hans"/>
              </w:rPr>
              <w:t>注：</w:t>
            </w:r>
            <w:r>
              <w:rPr>
                <w:rFonts w:hint="eastAsia" w:ascii="Times New Roman" w:hAnsi="Times New Roman" w:cs="Times New Roman"/>
                <w:b/>
                <w:bCs/>
                <w:color w:val="auto"/>
                <w:kern w:val="0"/>
                <w:sz w:val="22"/>
                <w:szCs w:val="22"/>
                <w:highlight w:val="none"/>
                <w:lang w:val="en-US" w:eastAsia="zh-Hans"/>
              </w:rPr>
              <w:t>主要商务条款（否决性条款）包含：项目工期、交货地点、付款方式</w:t>
            </w:r>
          </w:p>
        </w:tc>
        <w:tc>
          <w:tcPr>
            <w:tcW w:w="861" w:type="dxa"/>
            <w:vAlign w:val="center"/>
          </w:tcPr>
          <w:p w14:paraId="11E82C01">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eastAsia="zh-CN"/>
              </w:rPr>
            </w:pPr>
            <w:r>
              <w:rPr>
                <w:rFonts w:hint="eastAsia" w:ascii="宋体" w:hAnsi="宋体" w:cs="宋体" w:eastAsiaTheme="minorEastAsia"/>
                <w:color w:val="auto"/>
                <w:kern w:val="2"/>
                <w:sz w:val="22"/>
                <w:szCs w:val="22"/>
                <w:highlight w:val="none"/>
                <w:lang w:val="en-US" w:eastAsia="zh-CN"/>
              </w:rPr>
              <w:t>0-2</w:t>
            </w:r>
          </w:p>
        </w:tc>
      </w:tr>
      <w:tr w14:paraId="14A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58" w:type="dxa"/>
            <w:vAlign w:val="center"/>
          </w:tcPr>
          <w:p w14:paraId="21CF3A20">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5</w:t>
            </w:r>
          </w:p>
        </w:tc>
        <w:tc>
          <w:tcPr>
            <w:tcW w:w="1323" w:type="dxa"/>
            <w:vAlign w:val="center"/>
          </w:tcPr>
          <w:p w14:paraId="5575DFB1">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投标文件编制质量</w:t>
            </w:r>
          </w:p>
        </w:tc>
        <w:tc>
          <w:tcPr>
            <w:tcW w:w="5821" w:type="dxa"/>
            <w:tcBorders>
              <w:bottom w:val="single" w:color="auto" w:sz="4" w:space="0"/>
            </w:tcBorders>
            <w:vAlign w:val="center"/>
          </w:tcPr>
          <w:p w14:paraId="5F1441FD">
            <w:pPr>
              <w:keepNext w:val="0"/>
              <w:keepLines w:val="0"/>
              <w:pageBreakBefore w:val="0"/>
              <w:widowControl w:val="0"/>
              <w:kinsoku/>
              <w:wordWrap/>
              <w:overflowPunct/>
              <w:topLinePunct w:val="0"/>
              <w:autoSpaceDE/>
              <w:autoSpaceDN/>
              <w:bidi w:val="0"/>
              <w:snapToGrid/>
              <w:spacing w:line="240" w:lineRule="auto"/>
              <w:ind w:firstLine="0"/>
              <w:jc w:val="both"/>
              <w:rPr>
                <w:rFonts w:hint="eastAsia" w:ascii="宋体" w:hAnsi="宋体" w:cs="宋体" w:eastAsiaTheme="minorEastAsia"/>
                <w:color w:val="auto"/>
                <w:kern w:val="2"/>
                <w:sz w:val="22"/>
                <w:szCs w:val="22"/>
                <w:highlight w:val="none"/>
                <w:lang w:eastAsia="zh-Hans"/>
              </w:rPr>
            </w:pPr>
            <w:r>
              <w:rPr>
                <w:rFonts w:hint="eastAsia" w:ascii="宋体" w:hAnsi="宋体" w:cs="宋体" w:eastAsiaTheme="minorEastAsia"/>
                <w:color w:val="auto"/>
                <w:kern w:val="2"/>
                <w:sz w:val="22"/>
                <w:szCs w:val="22"/>
                <w:highlight w:val="none"/>
                <w:lang w:eastAsia="zh-Hans"/>
              </w:rPr>
              <w:t>投标文件清晰完整、按招标文件要求格式、顺序编制，</w:t>
            </w:r>
          </w:p>
          <w:p w14:paraId="5A7F8C54">
            <w:pPr>
              <w:keepNext w:val="0"/>
              <w:keepLines w:val="0"/>
              <w:pageBreakBefore w:val="0"/>
              <w:widowControl w:val="0"/>
              <w:kinsoku/>
              <w:wordWrap/>
              <w:overflowPunct/>
              <w:topLinePunct w:val="0"/>
              <w:autoSpaceDE/>
              <w:autoSpaceDN/>
              <w:bidi w:val="0"/>
              <w:snapToGrid/>
              <w:spacing w:line="240" w:lineRule="auto"/>
              <w:ind w:firstLine="0"/>
              <w:jc w:val="both"/>
              <w:rPr>
                <w:rFonts w:hint="eastAsia" w:ascii="宋体" w:hAnsi="宋体" w:cs="宋体" w:eastAsiaTheme="minorEastAsia"/>
                <w:color w:val="auto"/>
                <w:kern w:val="2"/>
                <w:sz w:val="22"/>
                <w:szCs w:val="22"/>
                <w:highlight w:val="none"/>
                <w:lang w:eastAsia="zh-Hans"/>
              </w:rPr>
            </w:pPr>
            <w:r>
              <w:rPr>
                <w:rFonts w:hint="eastAsia" w:ascii="宋体" w:hAnsi="宋体" w:cs="宋体" w:eastAsiaTheme="minorEastAsia"/>
                <w:color w:val="auto"/>
                <w:kern w:val="2"/>
                <w:sz w:val="22"/>
                <w:szCs w:val="22"/>
                <w:highlight w:val="none"/>
                <w:lang w:eastAsia="zh-Hans"/>
              </w:rPr>
              <w:t>优秀，得1分；一般，</w:t>
            </w:r>
            <w:r>
              <w:rPr>
                <w:rFonts w:hint="eastAsia" w:ascii="宋体" w:hAnsi="宋体" w:cs="宋体" w:eastAsiaTheme="minorEastAsia"/>
                <w:color w:val="auto"/>
                <w:kern w:val="2"/>
                <w:sz w:val="22"/>
                <w:szCs w:val="22"/>
                <w:highlight w:val="none"/>
                <w:lang w:val="en-US" w:eastAsia="zh-CN"/>
              </w:rPr>
              <w:t>0-1分</w:t>
            </w:r>
            <w:r>
              <w:rPr>
                <w:rFonts w:hint="eastAsia" w:ascii="宋体" w:hAnsi="宋体" w:cs="宋体" w:eastAsiaTheme="minorEastAsia"/>
                <w:color w:val="auto"/>
                <w:kern w:val="2"/>
                <w:sz w:val="22"/>
                <w:szCs w:val="22"/>
                <w:highlight w:val="none"/>
                <w:lang w:eastAsia="zh-Hans"/>
              </w:rPr>
              <w:t>；</w:t>
            </w:r>
          </w:p>
          <w:p w14:paraId="44541317">
            <w:pPr>
              <w:keepNext w:val="0"/>
              <w:keepLines w:val="0"/>
              <w:pageBreakBefore w:val="0"/>
              <w:widowControl w:val="0"/>
              <w:kinsoku/>
              <w:wordWrap/>
              <w:overflowPunct/>
              <w:topLinePunct w:val="0"/>
              <w:autoSpaceDE/>
              <w:autoSpaceDN/>
              <w:bidi w:val="0"/>
              <w:snapToGrid/>
              <w:spacing w:line="240" w:lineRule="auto"/>
              <w:ind w:firstLine="0" w:firstLineChars="0"/>
              <w:jc w:val="both"/>
              <w:rPr>
                <w:rFonts w:hint="eastAsia" w:ascii="Times New Roman" w:hAnsi="Times New Roman" w:eastAsia="宋体" w:cs="Times New Roman"/>
                <w:color w:val="auto"/>
                <w:kern w:val="2"/>
                <w:sz w:val="24"/>
                <w:szCs w:val="32"/>
                <w:highlight w:val="none"/>
                <w:lang w:val="en-US" w:eastAsia="zh-Hans" w:bidi="ar-SA"/>
              </w:rPr>
            </w:pPr>
            <w:r>
              <w:rPr>
                <w:rFonts w:hint="eastAsia" w:ascii="宋体" w:hAnsi="宋体" w:cs="宋体" w:eastAsiaTheme="minorEastAsia"/>
                <w:color w:val="auto"/>
                <w:kern w:val="2"/>
                <w:sz w:val="22"/>
                <w:szCs w:val="22"/>
                <w:highlight w:val="none"/>
                <w:lang w:eastAsia="zh-Hans"/>
              </w:rPr>
              <w:t>投标文件关键章节缺失、格式错乱或不清晰的，不得分。</w:t>
            </w:r>
          </w:p>
        </w:tc>
        <w:tc>
          <w:tcPr>
            <w:tcW w:w="861" w:type="dxa"/>
            <w:vAlign w:val="center"/>
          </w:tcPr>
          <w:p w14:paraId="636CF3D3">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0-1</w:t>
            </w:r>
          </w:p>
        </w:tc>
      </w:tr>
      <w:tr w14:paraId="61FD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658" w:type="dxa"/>
            <w:vAlign w:val="center"/>
          </w:tcPr>
          <w:p w14:paraId="18E88610">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bidi="ar-SA"/>
              </w:rPr>
              <w:t>三</w:t>
            </w:r>
          </w:p>
        </w:tc>
        <w:tc>
          <w:tcPr>
            <w:tcW w:w="7144" w:type="dxa"/>
            <w:gridSpan w:val="2"/>
            <w:vAlign w:val="center"/>
          </w:tcPr>
          <w:p w14:paraId="23DE9B60">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eastAsia="zh-Hans"/>
              </w:rPr>
            </w:pPr>
            <w:r>
              <w:rPr>
                <w:rFonts w:hint="eastAsia" w:ascii="宋体" w:hAnsi="宋体" w:cs="宋体" w:eastAsiaTheme="minorEastAsia"/>
                <w:b/>
                <w:color w:val="auto"/>
                <w:kern w:val="2"/>
                <w:sz w:val="22"/>
                <w:szCs w:val="22"/>
                <w:highlight w:val="none"/>
              </w:rPr>
              <w:t>技术部分</w:t>
            </w:r>
          </w:p>
        </w:tc>
        <w:tc>
          <w:tcPr>
            <w:tcW w:w="861" w:type="dxa"/>
            <w:vAlign w:val="center"/>
          </w:tcPr>
          <w:p w14:paraId="6EC7A7C2">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b/>
                <w:color w:val="auto"/>
                <w:kern w:val="2"/>
                <w:sz w:val="22"/>
                <w:szCs w:val="22"/>
                <w:highlight w:val="none"/>
                <w:lang w:val="en-US" w:eastAsia="zh-CN"/>
              </w:rPr>
              <w:t>35</w:t>
            </w:r>
          </w:p>
        </w:tc>
      </w:tr>
      <w:tr w14:paraId="1CE9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658" w:type="dxa"/>
            <w:vMerge w:val="restart"/>
            <w:vAlign w:val="center"/>
          </w:tcPr>
          <w:p w14:paraId="5EFBD254">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bidi="ar-SA"/>
              </w:rPr>
            </w:pPr>
            <w:r>
              <w:rPr>
                <w:rFonts w:hint="eastAsia" w:ascii="宋体" w:hAnsi="宋体" w:cs="宋体" w:eastAsiaTheme="minorEastAsia"/>
                <w:color w:val="auto"/>
                <w:kern w:val="2"/>
                <w:sz w:val="22"/>
                <w:szCs w:val="22"/>
                <w:highlight w:val="none"/>
                <w:lang w:val="en-US" w:eastAsia="zh-CN" w:bidi="ar-SA"/>
              </w:rPr>
              <w:t>1</w:t>
            </w:r>
          </w:p>
        </w:tc>
        <w:tc>
          <w:tcPr>
            <w:tcW w:w="1323" w:type="dxa"/>
            <w:vMerge w:val="restart"/>
            <w:vAlign w:val="center"/>
          </w:tcPr>
          <w:p w14:paraId="27508C88">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技术部分及响应</w:t>
            </w:r>
          </w:p>
        </w:tc>
        <w:tc>
          <w:tcPr>
            <w:tcW w:w="5821" w:type="dxa"/>
            <w:vAlign w:val="center"/>
          </w:tcPr>
          <w:p w14:paraId="6C0DBB0B">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color w:val="auto"/>
                <w:highlight w:val="none"/>
              </w:rPr>
            </w:pPr>
            <w:r>
              <w:rPr>
                <w:rFonts w:hint="eastAsia" w:ascii="宋体" w:hAnsi="宋体" w:cs="宋体" w:eastAsiaTheme="minorEastAsia"/>
                <w:color w:val="auto"/>
                <w:kern w:val="2"/>
                <w:sz w:val="22"/>
                <w:szCs w:val="22"/>
                <w:highlight w:val="none"/>
              </w:rPr>
              <w:t>技术部分内容完整、数据准确、文字描述准确；投标设备对技术及品牌要求的响应程度高。良好的得7-8分，一般的得4-6分，较差的得0-3分。</w:t>
            </w:r>
          </w:p>
        </w:tc>
        <w:tc>
          <w:tcPr>
            <w:tcW w:w="861" w:type="dxa"/>
            <w:vAlign w:val="center"/>
          </w:tcPr>
          <w:p w14:paraId="0EB51C65">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center"/>
              <w:textAlignment w:val="center"/>
              <w:rPr>
                <w:rFonts w:hint="eastAsia" w:ascii="宋体" w:hAnsi="宋体" w:cs="宋体" w:eastAsiaTheme="minorEastAsia"/>
                <w:b/>
                <w:color w:val="auto"/>
                <w:kern w:val="2"/>
                <w:sz w:val="22"/>
                <w:szCs w:val="22"/>
                <w:highlight w:val="none"/>
              </w:rPr>
            </w:pPr>
            <w:r>
              <w:rPr>
                <w:rFonts w:hint="eastAsia" w:ascii="宋体" w:hAnsi="宋体" w:cs="宋体" w:eastAsiaTheme="minorEastAsia"/>
                <w:color w:val="auto"/>
                <w:kern w:val="2"/>
                <w:sz w:val="22"/>
                <w:szCs w:val="22"/>
                <w:highlight w:val="none"/>
                <w:lang w:val="en-US" w:eastAsia="zh-CN"/>
              </w:rPr>
              <w:t>0</w:t>
            </w:r>
            <w:r>
              <w:rPr>
                <w:rFonts w:hint="eastAsia" w:ascii="宋体" w:hAnsi="宋体" w:cs="宋体" w:eastAsiaTheme="minorEastAsia"/>
                <w:color w:val="auto"/>
                <w:kern w:val="2"/>
                <w:sz w:val="22"/>
                <w:szCs w:val="22"/>
                <w:highlight w:val="none"/>
              </w:rPr>
              <w:t>-</w:t>
            </w:r>
            <w:r>
              <w:rPr>
                <w:rFonts w:hint="eastAsia" w:ascii="宋体" w:hAnsi="宋体" w:cs="宋体" w:eastAsiaTheme="minorEastAsia"/>
                <w:color w:val="auto"/>
                <w:kern w:val="2"/>
                <w:sz w:val="22"/>
                <w:szCs w:val="22"/>
                <w:highlight w:val="none"/>
                <w:lang w:val="en-US" w:eastAsia="zh-CN"/>
              </w:rPr>
              <w:t>8</w:t>
            </w:r>
          </w:p>
        </w:tc>
      </w:tr>
      <w:tr w14:paraId="694A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58" w:type="dxa"/>
            <w:vMerge w:val="continue"/>
            <w:vAlign w:val="center"/>
          </w:tcPr>
          <w:p w14:paraId="74B6C97F">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bidi="ar-SA"/>
              </w:rPr>
            </w:pPr>
          </w:p>
        </w:tc>
        <w:tc>
          <w:tcPr>
            <w:tcW w:w="1323" w:type="dxa"/>
            <w:vMerge w:val="continue"/>
            <w:shd w:val="clear" w:color="auto" w:fill="auto"/>
            <w:vAlign w:val="center"/>
          </w:tcPr>
          <w:p w14:paraId="04778465">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p>
        </w:tc>
        <w:tc>
          <w:tcPr>
            <w:tcW w:w="5821" w:type="dxa"/>
            <w:tcBorders>
              <w:bottom w:val="single" w:color="auto" w:sz="4" w:space="0"/>
            </w:tcBorders>
            <w:shd w:val="clear" w:color="auto" w:fill="auto"/>
            <w:vAlign w:val="center"/>
          </w:tcPr>
          <w:p w14:paraId="204B301E">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设备（部件）质量可靠、质量检验/检测方法合理科学、质量保证措施完善，良好的得5-6分，一般的得3-4分，较差的得0-2分；</w:t>
            </w:r>
          </w:p>
        </w:tc>
        <w:tc>
          <w:tcPr>
            <w:tcW w:w="861" w:type="dxa"/>
            <w:shd w:val="clear" w:color="auto" w:fill="auto"/>
            <w:vAlign w:val="center"/>
          </w:tcPr>
          <w:p w14:paraId="42CD6C64">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center"/>
              <w:textAlignment w:val="center"/>
              <w:rPr>
                <w:rFonts w:hint="default"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2"/>
                <w:szCs w:val="22"/>
                <w:highlight w:val="none"/>
                <w:lang w:val="en-US" w:eastAsia="zh-CN"/>
              </w:rPr>
              <w:t>0-6</w:t>
            </w:r>
          </w:p>
        </w:tc>
      </w:tr>
      <w:tr w14:paraId="4605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658" w:type="dxa"/>
            <w:vAlign w:val="center"/>
          </w:tcPr>
          <w:p w14:paraId="7DD9FD45">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bidi="ar-SA"/>
              </w:rPr>
            </w:pPr>
            <w:r>
              <w:rPr>
                <w:rFonts w:hint="eastAsia" w:ascii="宋体" w:hAnsi="宋体" w:cs="宋体" w:eastAsiaTheme="minorEastAsia"/>
                <w:color w:val="auto"/>
                <w:kern w:val="2"/>
                <w:sz w:val="22"/>
                <w:szCs w:val="22"/>
                <w:highlight w:val="none"/>
                <w:lang w:val="en-US" w:eastAsia="zh-CN" w:bidi="ar-SA"/>
              </w:rPr>
              <w:t>2</w:t>
            </w:r>
          </w:p>
        </w:tc>
        <w:tc>
          <w:tcPr>
            <w:tcW w:w="1323" w:type="dxa"/>
            <w:shd w:val="clear" w:color="auto" w:fill="auto"/>
            <w:vAlign w:val="center"/>
          </w:tcPr>
          <w:p w14:paraId="34DCFA4B">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设备配置</w:t>
            </w:r>
          </w:p>
        </w:tc>
        <w:tc>
          <w:tcPr>
            <w:tcW w:w="5821" w:type="dxa"/>
            <w:tcBorders>
              <w:bottom w:val="single" w:color="auto" w:sz="4" w:space="0"/>
            </w:tcBorders>
            <w:shd w:val="clear" w:color="auto" w:fill="auto"/>
            <w:vAlign w:val="center"/>
          </w:tcPr>
          <w:p w14:paraId="768CD7C2">
            <w:pPr>
              <w:pStyle w:val="2"/>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设备（部件）配置的合理、功能可靠完善；设备的操作、维护简便、灵活，设备电气与控制设备配置及方案合理、自动化程度高。良好的得7-8分，一般的得4-6分，较差的得0-3分。</w:t>
            </w:r>
          </w:p>
        </w:tc>
        <w:tc>
          <w:tcPr>
            <w:tcW w:w="861" w:type="dxa"/>
            <w:shd w:val="clear" w:color="auto" w:fill="auto"/>
            <w:vAlign w:val="center"/>
          </w:tcPr>
          <w:p w14:paraId="474CB17D">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eastAsia="zh-CN"/>
              </w:rPr>
            </w:pPr>
            <w:r>
              <w:rPr>
                <w:rFonts w:hint="eastAsia" w:ascii="宋体" w:hAnsi="宋体" w:cs="宋体" w:eastAsiaTheme="minorEastAsia"/>
                <w:color w:val="auto"/>
                <w:kern w:val="2"/>
                <w:sz w:val="24"/>
                <w:szCs w:val="24"/>
                <w:highlight w:val="none"/>
                <w:lang w:val="en-US" w:eastAsia="zh-CN"/>
              </w:rPr>
              <w:t>0</w:t>
            </w:r>
            <w:r>
              <w:rPr>
                <w:rFonts w:hint="eastAsia" w:ascii="宋体" w:hAnsi="宋体" w:cs="宋体" w:eastAsiaTheme="minorEastAsia"/>
                <w:color w:val="auto"/>
                <w:kern w:val="2"/>
                <w:sz w:val="24"/>
                <w:szCs w:val="24"/>
                <w:highlight w:val="none"/>
              </w:rPr>
              <w:t>-</w:t>
            </w:r>
            <w:r>
              <w:rPr>
                <w:rFonts w:hint="eastAsia" w:ascii="宋体" w:hAnsi="宋体" w:cs="宋体" w:eastAsiaTheme="minorEastAsia"/>
                <w:color w:val="auto"/>
                <w:kern w:val="2"/>
                <w:sz w:val="24"/>
                <w:szCs w:val="24"/>
                <w:highlight w:val="none"/>
                <w:lang w:val="en-US" w:eastAsia="zh-CN"/>
              </w:rPr>
              <w:t>8</w:t>
            </w:r>
          </w:p>
        </w:tc>
      </w:tr>
      <w:tr w14:paraId="6E4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658" w:type="dxa"/>
            <w:vAlign w:val="center"/>
          </w:tcPr>
          <w:p w14:paraId="3F444EE0">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bidi="ar-SA"/>
              </w:rPr>
            </w:pPr>
            <w:r>
              <w:rPr>
                <w:rFonts w:hint="eastAsia" w:ascii="宋体" w:hAnsi="宋体" w:cs="宋体" w:eastAsiaTheme="minorEastAsia"/>
                <w:color w:val="auto"/>
                <w:kern w:val="2"/>
                <w:sz w:val="22"/>
                <w:szCs w:val="22"/>
                <w:highlight w:val="none"/>
                <w:lang w:val="en-US" w:eastAsia="zh-CN" w:bidi="ar-SA"/>
              </w:rPr>
              <w:t>3</w:t>
            </w:r>
          </w:p>
        </w:tc>
        <w:tc>
          <w:tcPr>
            <w:tcW w:w="1323" w:type="dxa"/>
            <w:shd w:val="clear" w:color="auto" w:fill="auto"/>
            <w:vAlign w:val="center"/>
          </w:tcPr>
          <w:p w14:paraId="7F4069E6">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设备部件及备品备件</w:t>
            </w:r>
          </w:p>
        </w:tc>
        <w:tc>
          <w:tcPr>
            <w:tcW w:w="5821" w:type="dxa"/>
            <w:tcBorders>
              <w:bottom w:val="single" w:color="auto" w:sz="4" w:space="0"/>
            </w:tcBorders>
            <w:shd w:val="clear" w:color="auto" w:fill="auto"/>
            <w:vAlign w:val="center"/>
          </w:tcPr>
          <w:p w14:paraId="1FC373C3">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设备易维修、整体安全性高；备品、备件的种类齐全、数量充足，分包与外购设备配置清单详细具体，质量档次高，配置合理。供货范围符合采购文件规定，必备的随机备品备件和专用工具的种类和数量满足安装调试、试运行期间使用的。良好的得</w:t>
            </w:r>
            <w:r>
              <w:rPr>
                <w:rFonts w:hint="eastAsia" w:ascii="宋体" w:hAnsi="宋体" w:cs="宋体" w:eastAsiaTheme="minorEastAsia"/>
                <w:color w:val="auto"/>
                <w:kern w:val="2"/>
                <w:sz w:val="22"/>
                <w:szCs w:val="22"/>
                <w:highlight w:val="none"/>
                <w:lang w:val="en-US" w:eastAsia="zh-CN"/>
              </w:rPr>
              <w:t>2</w:t>
            </w:r>
            <w:r>
              <w:rPr>
                <w:rFonts w:hint="eastAsia" w:ascii="宋体" w:hAnsi="宋体" w:cs="宋体" w:eastAsiaTheme="minorEastAsia"/>
                <w:color w:val="auto"/>
                <w:kern w:val="2"/>
                <w:sz w:val="22"/>
                <w:szCs w:val="22"/>
                <w:highlight w:val="none"/>
              </w:rPr>
              <w:t>-</w:t>
            </w:r>
            <w:r>
              <w:rPr>
                <w:rFonts w:hint="eastAsia" w:ascii="宋体" w:hAnsi="宋体" w:cs="宋体" w:eastAsiaTheme="minorEastAsia"/>
                <w:color w:val="auto"/>
                <w:kern w:val="2"/>
                <w:sz w:val="22"/>
                <w:szCs w:val="22"/>
                <w:highlight w:val="none"/>
                <w:lang w:val="en-US" w:eastAsia="zh-CN"/>
              </w:rPr>
              <w:t>3</w:t>
            </w:r>
            <w:r>
              <w:rPr>
                <w:rFonts w:hint="eastAsia" w:ascii="宋体" w:hAnsi="宋体" w:cs="宋体" w:eastAsiaTheme="minorEastAsia"/>
                <w:color w:val="auto"/>
                <w:kern w:val="2"/>
                <w:sz w:val="22"/>
                <w:szCs w:val="22"/>
                <w:highlight w:val="none"/>
              </w:rPr>
              <w:t>分，一般的得1-</w:t>
            </w:r>
            <w:r>
              <w:rPr>
                <w:rFonts w:hint="eastAsia" w:ascii="宋体" w:hAnsi="宋体" w:cs="宋体" w:eastAsiaTheme="minorEastAsia"/>
                <w:color w:val="auto"/>
                <w:kern w:val="2"/>
                <w:sz w:val="22"/>
                <w:szCs w:val="22"/>
                <w:highlight w:val="none"/>
                <w:lang w:val="en-US" w:eastAsia="zh-CN"/>
              </w:rPr>
              <w:t>2</w:t>
            </w:r>
            <w:r>
              <w:rPr>
                <w:rFonts w:hint="eastAsia" w:ascii="宋体" w:hAnsi="宋体" w:cs="宋体" w:eastAsiaTheme="minorEastAsia"/>
                <w:color w:val="auto"/>
                <w:kern w:val="2"/>
                <w:sz w:val="22"/>
                <w:szCs w:val="22"/>
                <w:highlight w:val="none"/>
              </w:rPr>
              <w:t>分，较差的得0分。</w:t>
            </w:r>
          </w:p>
          <w:p w14:paraId="588E4887">
            <w:pPr>
              <w:pStyle w:val="2"/>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lang w:val="en-US" w:eastAsia="zh-CN" w:bidi="ar-SA"/>
              </w:rPr>
              <w:t>设备材质优于采购文件要求得2分，基本满足采购文件要求得1分，不满足采购文件要求不得分。</w:t>
            </w:r>
          </w:p>
        </w:tc>
        <w:tc>
          <w:tcPr>
            <w:tcW w:w="861" w:type="dxa"/>
            <w:shd w:val="clear" w:color="auto" w:fill="auto"/>
            <w:vAlign w:val="center"/>
          </w:tcPr>
          <w:p w14:paraId="5E58E212">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rPr>
            </w:pPr>
            <w:r>
              <w:rPr>
                <w:rFonts w:hint="eastAsia" w:ascii="宋体" w:hAnsi="宋体" w:cs="宋体" w:eastAsiaTheme="minorEastAsia"/>
                <w:color w:val="auto"/>
                <w:kern w:val="2"/>
                <w:sz w:val="24"/>
                <w:szCs w:val="24"/>
                <w:highlight w:val="none"/>
                <w:lang w:val="en-US" w:eastAsia="zh-CN"/>
              </w:rPr>
              <w:t>0</w:t>
            </w:r>
            <w:r>
              <w:rPr>
                <w:rFonts w:hint="eastAsia" w:ascii="宋体" w:hAnsi="宋体" w:cs="宋体" w:eastAsiaTheme="minorEastAsia"/>
                <w:color w:val="auto"/>
                <w:kern w:val="2"/>
                <w:sz w:val="24"/>
                <w:szCs w:val="24"/>
                <w:highlight w:val="none"/>
              </w:rPr>
              <w:t>-</w:t>
            </w:r>
            <w:r>
              <w:rPr>
                <w:rFonts w:hint="eastAsia" w:ascii="宋体" w:hAnsi="宋体" w:cs="宋体" w:eastAsiaTheme="minorEastAsia"/>
                <w:color w:val="auto"/>
                <w:kern w:val="2"/>
                <w:sz w:val="24"/>
                <w:szCs w:val="24"/>
                <w:highlight w:val="none"/>
                <w:lang w:val="en-US" w:eastAsia="zh-CN"/>
              </w:rPr>
              <w:t>5</w:t>
            </w:r>
          </w:p>
        </w:tc>
      </w:tr>
      <w:tr w14:paraId="48FD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658" w:type="dxa"/>
            <w:vAlign w:val="center"/>
          </w:tcPr>
          <w:p w14:paraId="3A4A2AF4">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lang w:val="en-US" w:eastAsia="zh-CN" w:bidi="ar-SA"/>
              </w:rPr>
            </w:pPr>
            <w:r>
              <w:rPr>
                <w:rFonts w:hint="eastAsia" w:ascii="宋体" w:hAnsi="宋体" w:cs="宋体" w:eastAsiaTheme="minorEastAsia"/>
                <w:color w:val="auto"/>
                <w:kern w:val="2"/>
                <w:sz w:val="22"/>
                <w:szCs w:val="22"/>
                <w:highlight w:val="none"/>
                <w:lang w:val="en-US" w:eastAsia="zh-CN" w:bidi="ar-SA"/>
              </w:rPr>
              <w:t>4</w:t>
            </w:r>
          </w:p>
        </w:tc>
        <w:tc>
          <w:tcPr>
            <w:tcW w:w="1323" w:type="dxa"/>
            <w:shd w:val="clear" w:color="auto" w:fill="auto"/>
            <w:vAlign w:val="center"/>
          </w:tcPr>
          <w:p w14:paraId="5C2D2A8B">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安全、ESG指标</w:t>
            </w:r>
          </w:p>
        </w:tc>
        <w:tc>
          <w:tcPr>
            <w:tcW w:w="5821" w:type="dxa"/>
            <w:tcBorders>
              <w:bottom w:val="single" w:color="auto" w:sz="4" w:space="0"/>
            </w:tcBorders>
            <w:shd w:val="clear" w:color="auto" w:fill="auto"/>
            <w:vAlign w:val="center"/>
          </w:tcPr>
          <w:p w14:paraId="564401BE">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具备相应安全资格，具备安全生产许可证得2分；</w:t>
            </w:r>
          </w:p>
          <w:p w14:paraId="5B1A4AB6">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拥有“企业绿码”的得1分，没有“企业绿码”不得分。（绿码企业提供由政府相关部门颁发的“企业绿码”截图，否则不得分）。</w:t>
            </w:r>
          </w:p>
        </w:tc>
        <w:tc>
          <w:tcPr>
            <w:tcW w:w="861" w:type="dxa"/>
            <w:shd w:val="clear" w:color="auto" w:fill="auto"/>
            <w:vAlign w:val="center"/>
          </w:tcPr>
          <w:p w14:paraId="549D17D7">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center"/>
              <w:textAlignment w:val="center"/>
              <w:rPr>
                <w:rFonts w:hint="eastAsia" w:ascii="宋体" w:hAnsi="宋体" w:cs="宋体" w:eastAsiaTheme="minorEastAsia"/>
                <w:color w:val="auto"/>
                <w:kern w:val="2"/>
                <w:sz w:val="22"/>
                <w:szCs w:val="22"/>
                <w:highlight w:val="none"/>
                <w:lang w:eastAsia="zh-CN"/>
              </w:rPr>
            </w:pPr>
            <w:r>
              <w:rPr>
                <w:rFonts w:hint="eastAsia" w:ascii="宋体" w:hAnsi="宋体" w:cs="宋体" w:eastAsiaTheme="minorEastAsia"/>
                <w:color w:val="auto"/>
                <w:kern w:val="2"/>
                <w:sz w:val="24"/>
                <w:szCs w:val="24"/>
                <w:highlight w:val="none"/>
              </w:rPr>
              <w:t>0-</w:t>
            </w:r>
            <w:r>
              <w:rPr>
                <w:rFonts w:hint="eastAsia" w:ascii="宋体" w:hAnsi="宋体" w:cs="宋体" w:eastAsiaTheme="minorEastAsia"/>
                <w:color w:val="auto"/>
                <w:kern w:val="2"/>
                <w:sz w:val="24"/>
                <w:szCs w:val="24"/>
                <w:highlight w:val="none"/>
                <w:lang w:val="en-US" w:eastAsia="zh-CN"/>
              </w:rPr>
              <w:t>3</w:t>
            </w:r>
          </w:p>
        </w:tc>
      </w:tr>
      <w:tr w14:paraId="7924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658" w:type="dxa"/>
            <w:vAlign w:val="center"/>
          </w:tcPr>
          <w:p w14:paraId="6B54AB3C">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lang w:val="en-US" w:eastAsia="zh-CN" w:bidi="ar-SA"/>
              </w:rPr>
              <w:t>5</w:t>
            </w:r>
          </w:p>
        </w:tc>
        <w:tc>
          <w:tcPr>
            <w:tcW w:w="1323" w:type="dxa"/>
            <w:vAlign w:val="center"/>
          </w:tcPr>
          <w:p w14:paraId="0ED2F838">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2"/>
                <w:szCs w:val="22"/>
                <w:highlight w:val="none"/>
              </w:rPr>
              <w:t>服务及</w:t>
            </w:r>
          </w:p>
          <w:p w14:paraId="77879B5B">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highlight w:val="none"/>
              </w:rPr>
            </w:pPr>
            <w:r>
              <w:rPr>
                <w:rFonts w:hint="eastAsia" w:ascii="宋体" w:hAnsi="宋体" w:cs="宋体" w:eastAsiaTheme="minorEastAsia"/>
                <w:color w:val="auto"/>
                <w:kern w:val="2"/>
                <w:sz w:val="22"/>
                <w:szCs w:val="22"/>
                <w:highlight w:val="none"/>
              </w:rPr>
              <w:t>资料</w:t>
            </w:r>
          </w:p>
        </w:tc>
        <w:tc>
          <w:tcPr>
            <w:tcW w:w="5821" w:type="dxa"/>
            <w:vAlign w:val="center"/>
          </w:tcPr>
          <w:p w14:paraId="51ED8FED">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center"/>
              <w:rPr>
                <w:highlight w:val="none"/>
              </w:rPr>
            </w:pPr>
            <w:r>
              <w:rPr>
                <w:rFonts w:hint="eastAsia" w:ascii="宋体" w:hAnsi="宋体" w:cs="宋体" w:eastAsiaTheme="minorEastAsia"/>
                <w:color w:val="auto"/>
                <w:kern w:val="2"/>
                <w:sz w:val="22"/>
                <w:szCs w:val="22"/>
                <w:highlight w:val="none"/>
              </w:rPr>
              <w:t>技术服务和技术支持承诺全面，可行性强。设备生产、包装、运输计划合理、可行，保障措施周全、有效售后服务零部件价格合理。提供的技术资料、图纸全面、合理。售后服务保障措施完善，保证服务质量。良好的得4-5分，一般的得1-3分，较差的得0分。</w:t>
            </w:r>
          </w:p>
        </w:tc>
        <w:tc>
          <w:tcPr>
            <w:tcW w:w="861" w:type="dxa"/>
            <w:vAlign w:val="center"/>
          </w:tcPr>
          <w:p w14:paraId="515C3ACC">
            <w:pPr>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宋体" w:hAnsi="宋体" w:cs="宋体" w:eastAsiaTheme="minorEastAsia"/>
                <w:color w:val="auto"/>
                <w:kern w:val="2"/>
                <w:sz w:val="22"/>
                <w:szCs w:val="22"/>
                <w:highlight w:val="none"/>
              </w:rPr>
            </w:pPr>
            <w:r>
              <w:rPr>
                <w:rFonts w:hint="eastAsia" w:ascii="宋体" w:hAnsi="宋体" w:cs="宋体" w:eastAsiaTheme="minorEastAsia"/>
                <w:color w:val="auto"/>
                <w:kern w:val="2"/>
                <w:sz w:val="24"/>
                <w:szCs w:val="24"/>
                <w:highlight w:val="none"/>
                <w:lang w:val="en-US" w:eastAsia="zh-CN"/>
              </w:rPr>
              <w:t>0</w:t>
            </w:r>
            <w:r>
              <w:rPr>
                <w:rFonts w:hint="eastAsia" w:ascii="宋体" w:hAnsi="宋体" w:cs="宋体" w:eastAsiaTheme="minorEastAsia"/>
                <w:color w:val="auto"/>
                <w:kern w:val="2"/>
                <w:sz w:val="24"/>
                <w:szCs w:val="24"/>
                <w:highlight w:val="none"/>
              </w:rPr>
              <w:t>-</w:t>
            </w:r>
            <w:r>
              <w:rPr>
                <w:rFonts w:hint="eastAsia" w:ascii="宋体" w:hAnsi="宋体" w:cs="宋体" w:eastAsiaTheme="minorEastAsia"/>
                <w:color w:val="auto"/>
                <w:kern w:val="2"/>
                <w:sz w:val="24"/>
                <w:szCs w:val="24"/>
                <w:highlight w:val="none"/>
                <w:lang w:val="en-US" w:eastAsia="zh-CN"/>
              </w:rPr>
              <w:t>5</w:t>
            </w:r>
          </w:p>
        </w:tc>
      </w:tr>
    </w:tbl>
    <w:p w14:paraId="023321A5">
      <w:pPr>
        <w:rPr>
          <w:rFonts w:hint="eastAsia"/>
          <w:color w:val="auto"/>
          <w:highlight w:val="none"/>
          <w:lang w:val="en-US" w:eastAsia="zh-CN"/>
        </w:rPr>
      </w:pPr>
    </w:p>
    <w:p w14:paraId="7269C114">
      <w:pPr>
        <w:pStyle w:val="4"/>
        <w:spacing w:line="360" w:lineRule="auto"/>
        <w:rPr>
          <w:color w:val="auto"/>
          <w:highlight w:val="none"/>
        </w:rPr>
      </w:pPr>
      <w:bookmarkStart w:id="90" w:name="_Toc10184880"/>
      <w:bookmarkStart w:id="91" w:name="_Toc10122269"/>
      <w:bookmarkStart w:id="92" w:name="_Toc2627"/>
      <w:bookmarkStart w:id="93" w:name="_Toc16706_WPSOffice_Level2"/>
      <w:r>
        <w:rPr>
          <w:rFonts w:hint="eastAsia"/>
          <w:color w:val="auto"/>
          <w:highlight w:val="none"/>
        </w:rPr>
        <w:t>六</w:t>
      </w:r>
      <w:r>
        <w:rPr>
          <w:color w:val="auto"/>
          <w:highlight w:val="none"/>
        </w:rPr>
        <w:t>、</w:t>
      </w:r>
      <w:r>
        <w:rPr>
          <w:rFonts w:hint="eastAsia"/>
          <w:color w:val="auto"/>
          <w:highlight w:val="none"/>
        </w:rPr>
        <w:t>签订</w:t>
      </w:r>
      <w:r>
        <w:rPr>
          <w:color w:val="auto"/>
          <w:highlight w:val="none"/>
        </w:rPr>
        <w:t>合同</w:t>
      </w:r>
      <w:bookmarkEnd w:id="81"/>
      <w:bookmarkEnd w:id="90"/>
      <w:bookmarkEnd w:id="91"/>
      <w:bookmarkEnd w:id="92"/>
      <w:bookmarkEnd w:id="93"/>
    </w:p>
    <w:p w14:paraId="38B988CD">
      <w:pPr>
        <w:pStyle w:val="25"/>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420" w:lineRule="exact"/>
        <w:ind w:left="0" w:leftChars="0" w:right="0" w:firstLine="480" w:firstLineChars="200"/>
        <w:jc w:val="both"/>
        <w:textAlignment w:val="auto"/>
        <w:rPr>
          <w:rFonts w:hint="eastAsia" w:hAnsi="Times New Roman" w:cs="Times New Roman"/>
          <w:bCs/>
          <w:color w:val="auto"/>
          <w:highlight w:val="none"/>
        </w:rPr>
      </w:pPr>
      <w:bookmarkStart w:id="94" w:name="_Toc38285484"/>
      <w:bookmarkStart w:id="95" w:name="_Toc521678032"/>
      <w:bookmarkStart w:id="96" w:name="_Toc15625_WPSOffice_Level2"/>
      <w:bookmarkStart w:id="97" w:name="_Toc15659_WPSOffice_Level2"/>
      <w:bookmarkStart w:id="98" w:name="_Toc376793722"/>
      <w:bookmarkStart w:id="99" w:name="_Toc376793587"/>
      <w:bookmarkStart w:id="100" w:name="_Toc376793568"/>
      <w:bookmarkStart w:id="101" w:name="_Toc382509462"/>
      <w:bookmarkStart w:id="102" w:name="_Toc9289"/>
      <w:bookmarkStart w:id="103" w:name="_Toc10184882"/>
      <w:r>
        <w:rPr>
          <w:rFonts w:hint="eastAsia" w:hAnsi="Times New Roman" w:cs="Times New Roman"/>
          <w:bCs/>
          <w:color w:val="auto"/>
          <w:highlight w:val="none"/>
        </w:rPr>
        <w:t>1、采购人向成交供应商发出成交通知书。</w:t>
      </w:r>
    </w:p>
    <w:p w14:paraId="4A24C931">
      <w:pPr>
        <w:pStyle w:val="25"/>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420" w:lineRule="exact"/>
        <w:ind w:left="0" w:leftChars="0" w:right="0" w:firstLine="480" w:firstLineChars="200"/>
        <w:jc w:val="both"/>
        <w:textAlignment w:val="auto"/>
        <w:rPr>
          <w:rFonts w:hint="eastAsia" w:hAnsi="Times New Roman" w:cs="Times New Roman"/>
          <w:bCs/>
          <w:color w:val="auto"/>
          <w:highlight w:val="none"/>
        </w:rPr>
      </w:pPr>
      <w:r>
        <w:rPr>
          <w:rFonts w:hint="eastAsia" w:hAnsi="Times New Roman" w:cs="Times New Roman"/>
          <w:bCs/>
          <w:color w:val="auto"/>
          <w:highlight w:val="none"/>
        </w:rPr>
        <w:t>2、成交供应商收到成交通知书后</w:t>
      </w:r>
      <w:r>
        <w:rPr>
          <w:rFonts w:hint="eastAsia" w:cs="Times New Roman"/>
          <w:bCs/>
          <w:color w:val="auto"/>
          <w:highlight w:val="none"/>
          <w:lang w:val="en-US" w:eastAsia="zh-CN"/>
        </w:rPr>
        <w:t>起30日内与采购人完成合同谈判并签订正式合同。</w:t>
      </w:r>
    </w:p>
    <w:p w14:paraId="4AE9D05E">
      <w:pPr>
        <w:pStyle w:val="25"/>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420" w:lineRule="exact"/>
        <w:ind w:left="0" w:leftChars="0" w:right="0" w:firstLine="480" w:firstLineChars="200"/>
        <w:jc w:val="both"/>
        <w:textAlignment w:val="auto"/>
        <w:rPr>
          <w:rFonts w:hint="default" w:hAnsi="Times New Roman" w:eastAsia="宋体" w:cs="Times New Roman"/>
          <w:bCs/>
          <w:color w:val="auto"/>
          <w:highlight w:val="none"/>
          <w:lang w:val="en-US" w:eastAsia="zh-CN"/>
        </w:rPr>
      </w:pPr>
      <w:r>
        <w:rPr>
          <w:rFonts w:hint="eastAsia" w:hAnsi="Times New Roman" w:cs="Times New Roman"/>
          <w:bCs/>
          <w:color w:val="auto"/>
          <w:highlight w:val="none"/>
        </w:rPr>
        <w:t>3、成交供应商因不可抗力不能履行采购合同的，采购人可以提出本次采购作废，并进行重新采购</w:t>
      </w:r>
      <w:r>
        <w:rPr>
          <w:rFonts w:hint="eastAsia" w:cs="Times New Roman"/>
          <w:bCs/>
          <w:color w:val="auto"/>
          <w:highlight w:val="none"/>
          <w:lang w:eastAsia="zh-CN"/>
        </w:rPr>
        <w:t>；</w:t>
      </w:r>
      <w:r>
        <w:rPr>
          <w:rFonts w:hint="eastAsia" w:cs="Times New Roman"/>
          <w:bCs/>
          <w:color w:val="auto"/>
          <w:highlight w:val="none"/>
          <w:lang w:val="en-US" w:eastAsia="zh-CN"/>
        </w:rPr>
        <w:t>因自身原因不履行合同时，采购人除将重新采购外，还将视情形综合进行考评，将其列入集团/公司级黑名单。</w:t>
      </w:r>
    </w:p>
    <w:bookmarkEnd w:id="94"/>
    <w:bookmarkEnd w:id="95"/>
    <w:p w14:paraId="242C86E9">
      <w:pPr>
        <w:pageBreakBefore/>
        <w:tabs>
          <w:tab w:val="left" w:pos="3060"/>
          <w:tab w:val="left" w:pos="3420"/>
        </w:tabs>
        <w:spacing w:line="400" w:lineRule="exact"/>
        <w:jc w:val="center"/>
        <w:outlineLvl w:val="0"/>
        <w:rPr>
          <w:rFonts w:ascii="宋体"/>
          <w:b/>
          <w:color w:val="auto"/>
          <w:sz w:val="32"/>
          <w:szCs w:val="32"/>
          <w:highlight w:val="none"/>
        </w:rPr>
      </w:pPr>
      <w:r>
        <w:rPr>
          <w:rFonts w:ascii="宋体"/>
          <w:b/>
          <w:color w:val="auto"/>
          <w:sz w:val="32"/>
          <w:szCs w:val="32"/>
          <w:highlight w:val="none"/>
        </w:rPr>
        <w:t>第三章 合同主要条款</w:t>
      </w:r>
      <w:r>
        <w:rPr>
          <w:rFonts w:hint="eastAsia" w:ascii="宋体"/>
          <w:b/>
          <w:color w:val="auto"/>
          <w:sz w:val="32"/>
          <w:szCs w:val="32"/>
          <w:highlight w:val="none"/>
        </w:rPr>
        <w:t>（基本格式）</w:t>
      </w:r>
    </w:p>
    <w:p w14:paraId="16CC31F9">
      <w:pPr>
        <w:tabs>
          <w:tab w:val="left" w:pos="7020"/>
        </w:tabs>
        <w:spacing w:line="360" w:lineRule="auto"/>
        <w:jc w:val="center"/>
        <w:rPr>
          <w:rFonts w:ascii="宋体"/>
          <w:color w:val="auto"/>
          <w:sz w:val="22"/>
          <w:szCs w:val="22"/>
          <w:highlight w:val="none"/>
        </w:rPr>
      </w:pPr>
    </w:p>
    <w:bookmarkEnd w:id="96"/>
    <w:bookmarkEnd w:id="97"/>
    <w:p w14:paraId="378C7824">
      <w:pPr>
        <w:pStyle w:val="5"/>
        <w:numPr>
          <w:ilvl w:val="0"/>
          <w:numId w:val="0"/>
        </w:numPr>
        <w:rPr>
          <w:rFonts w:hint="eastAsia" w:ascii="宋体" w:hAnsi="宋体" w:eastAsia="宋体" w:cs="宋体"/>
          <w:color w:val="auto"/>
          <w:sz w:val="24"/>
          <w:szCs w:val="24"/>
          <w:highlight w:val="none"/>
        </w:rPr>
      </w:pPr>
    </w:p>
    <w:p w14:paraId="3877623A">
      <w:pPr>
        <w:widowControl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Times New Roman" w:hAnsi="Times New Roman" w:eastAsia="黑体"/>
          <w:color w:val="auto"/>
          <w:kern w:val="2"/>
          <w:sz w:val="36"/>
          <w:szCs w:val="36"/>
          <w:highlight w:val="none"/>
        </w:rPr>
        <w:t>合 同 条 款</w:t>
      </w:r>
    </w:p>
    <w:p w14:paraId="619F80C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Calibri" w:hAnsi="Calibri"/>
          <w:color w:val="auto"/>
          <w:kern w:val="2"/>
          <w:sz w:val="21"/>
          <w:szCs w:val="22"/>
          <w:highlight w:val="none"/>
        </w:rPr>
      </w:pPr>
      <w:r>
        <w:rPr>
          <w:rFonts w:hint="eastAsia" w:ascii="宋体" w:hAnsi="宋体" w:eastAsia="宋体" w:cs="宋体"/>
          <w:color w:val="auto"/>
          <w:kern w:val="0"/>
          <w:sz w:val="21"/>
          <w:szCs w:val="21"/>
          <w:highlight w:val="none"/>
          <w:lang w:val="en-US" w:eastAsia="zh-CN" w:bidi="ar"/>
        </w:rPr>
        <w:t>甲方</w:t>
      </w:r>
      <w:r>
        <w:rPr>
          <w:rFonts w:hint="eastAsia" w:ascii="Times New Roman" w:hAnsi="Times New Roman" w:cs="Times New Roman"/>
          <w:color w:val="auto"/>
          <w:kern w:val="2"/>
          <w:sz w:val="21"/>
          <w:szCs w:val="21"/>
          <w:highlight w:val="none"/>
          <w:lang w:val="en-US" w:eastAsia="zh-CN"/>
        </w:rPr>
        <w:t>：</w:t>
      </w:r>
      <w:r>
        <w:rPr>
          <w:rFonts w:hint="eastAsia" w:ascii="Times New Roman" w:hAnsi="Times New Roman" w:cs="Times New Roman"/>
          <w:color w:val="auto"/>
          <w:kern w:val="2"/>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
        </w:rPr>
        <w:t xml:space="preserve">（以下简称“甲方”） </w:t>
      </w:r>
    </w:p>
    <w:p w14:paraId="141F6F8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Calibri" w:hAnsi="Calibri"/>
          <w:color w:val="auto"/>
          <w:kern w:val="2"/>
          <w:sz w:val="21"/>
          <w:szCs w:val="22"/>
          <w:highlight w:val="none"/>
        </w:rPr>
      </w:pPr>
      <w:r>
        <w:rPr>
          <w:rFonts w:hint="eastAsia" w:ascii="宋体" w:hAnsi="宋体" w:eastAsia="宋体" w:cs="宋体"/>
          <w:color w:val="auto"/>
          <w:kern w:val="0"/>
          <w:sz w:val="21"/>
          <w:szCs w:val="21"/>
          <w:highlight w:val="none"/>
          <w:lang w:val="en-US" w:eastAsia="zh-CN" w:bidi="ar"/>
        </w:rPr>
        <w:t>乙方：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（以下简称“乙方”） </w:t>
      </w:r>
    </w:p>
    <w:p w14:paraId="40EBA1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Calibri" w:hAnsi="Calibri"/>
          <w:color w:val="auto"/>
          <w:kern w:val="2"/>
          <w:sz w:val="21"/>
          <w:szCs w:val="22"/>
          <w:highlight w:val="none"/>
        </w:rPr>
      </w:pPr>
      <w:r>
        <w:rPr>
          <w:rFonts w:hint="eastAsia" w:ascii="宋体" w:hAnsi="宋体" w:eastAsia="宋体" w:cs="宋体"/>
          <w:color w:val="auto"/>
          <w:kern w:val="0"/>
          <w:sz w:val="21"/>
          <w:szCs w:val="21"/>
          <w:highlight w:val="none"/>
          <w:lang w:val="en-US" w:eastAsia="zh-CN" w:bidi="ar"/>
        </w:rPr>
        <w:t>本合同由双方经过平等协商， 根据《中华人民共和国民法典》的规定，就甲方向乙方购买</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产品和服务的事宜自愿达成如下协议，并由双方共同遵守。 </w:t>
      </w:r>
    </w:p>
    <w:p w14:paraId="345F2D6F">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40" w:lineRule="exact"/>
        <w:ind w:left="575" w:leftChars="0" w:hanging="575"/>
        <w:jc w:val="both"/>
        <w:textAlignment w:val="auto"/>
        <w:outlineLvl w:val="1"/>
        <w:rPr>
          <w:rFonts w:hint="default" w:ascii="Times New Roman" w:hAnsi="Times New Roman" w:eastAsia="黑体" w:cs="Times New Roman"/>
          <w:b/>
          <w:bCs/>
          <w:color w:val="auto"/>
          <w:kern w:val="2"/>
          <w:sz w:val="32"/>
          <w:szCs w:val="32"/>
          <w:highlight w:val="none"/>
          <w:lang w:val="en-US" w:eastAsia="zh-CN" w:bidi="ar-SA"/>
        </w:rPr>
      </w:pPr>
      <w:r>
        <w:rPr>
          <w:rFonts w:hint="default" w:ascii="Times New Roman" w:hAnsi="Times New Roman" w:eastAsia="黑体" w:cs="Times New Roman"/>
          <w:b/>
          <w:bCs/>
          <w:color w:val="auto"/>
          <w:kern w:val="2"/>
          <w:sz w:val="32"/>
          <w:szCs w:val="32"/>
          <w:highlight w:val="none"/>
          <w:lang w:val="en-US" w:eastAsia="zh-CN" w:bidi="ar-SA"/>
        </w:rPr>
        <w:t xml:space="preserve">一、定义 </w:t>
      </w:r>
    </w:p>
    <w:p w14:paraId="6D99DB4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第1条 合同指经甲乙双方签字、盖章的书面文件。明确为“附件”或“补充协议”的文件，视为对“合同”的补充和完善，作为合同的组成部分。 </w:t>
      </w:r>
    </w:p>
    <w:p w14:paraId="0EE2E7B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第2条 产品、服务：合同、附件及补充协议中所确定的相关产品、软件、服务等。 </w:t>
      </w:r>
    </w:p>
    <w:p w14:paraId="2C25B5A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第3条 交付：乙方将合同产品的所有权转移到甲方的行为。 </w:t>
      </w:r>
    </w:p>
    <w:p w14:paraId="2836A5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第4条 验收：在乙方将产品交至甲方指定地点，甲方对产品考核达到合同约定的技术性能指标后，甲方作出是否接受合同产品的确认。 </w:t>
      </w:r>
    </w:p>
    <w:p w14:paraId="68721E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第5条 质量保证期：指合同产品验收合格后，乙方按合同约定保证合同产品适当、稳定运行，并负责消除合同产品故障的期限。 </w:t>
      </w:r>
    </w:p>
    <w:p w14:paraId="05318F5A">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40" w:lineRule="exact"/>
        <w:ind w:left="575" w:leftChars="0" w:hanging="575"/>
        <w:jc w:val="both"/>
        <w:textAlignment w:val="auto"/>
        <w:outlineLvl w:val="1"/>
        <w:rPr>
          <w:rFonts w:hint="default"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二、</w:t>
      </w:r>
      <w:r>
        <w:rPr>
          <w:rFonts w:hint="default" w:ascii="Times New Roman" w:hAnsi="Times New Roman" w:eastAsia="黑体" w:cs="Times New Roman"/>
          <w:b/>
          <w:bCs/>
          <w:color w:val="auto"/>
          <w:kern w:val="2"/>
          <w:sz w:val="32"/>
          <w:szCs w:val="32"/>
          <w:highlight w:val="none"/>
          <w:lang w:val="en-US" w:eastAsia="zh-CN" w:bidi="ar-SA"/>
        </w:rPr>
        <w:t xml:space="preserve">产品名称、数量、范围 </w:t>
      </w:r>
    </w:p>
    <w:p w14:paraId="16EBED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6 条 产品名称、数量、价款及交（提）货时间： </w:t>
      </w:r>
    </w:p>
    <w:tbl>
      <w:tblPr>
        <w:tblStyle w:val="3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85"/>
        <w:gridCol w:w="885"/>
        <w:gridCol w:w="885"/>
        <w:gridCol w:w="885"/>
        <w:gridCol w:w="885"/>
        <w:gridCol w:w="885"/>
        <w:gridCol w:w="885"/>
        <w:gridCol w:w="885"/>
        <w:gridCol w:w="885"/>
      </w:tblGrid>
      <w:tr w14:paraId="2BB9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1E660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序号</w:t>
            </w:r>
          </w:p>
        </w:tc>
        <w:tc>
          <w:tcPr>
            <w:tcW w:w="885" w:type="dxa"/>
            <w:vAlign w:val="center"/>
          </w:tcPr>
          <w:p w14:paraId="68D9DC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产品</w:t>
            </w:r>
          </w:p>
          <w:p w14:paraId="435DD5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名称</w:t>
            </w:r>
          </w:p>
        </w:tc>
        <w:tc>
          <w:tcPr>
            <w:tcW w:w="885" w:type="dxa"/>
            <w:vAlign w:val="center"/>
          </w:tcPr>
          <w:p w14:paraId="4BB707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规格</w:t>
            </w:r>
          </w:p>
          <w:p w14:paraId="6AC5BD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型号</w:t>
            </w:r>
          </w:p>
        </w:tc>
        <w:tc>
          <w:tcPr>
            <w:tcW w:w="885" w:type="dxa"/>
            <w:vAlign w:val="center"/>
          </w:tcPr>
          <w:p w14:paraId="02FFF2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厂家</w:t>
            </w:r>
          </w:p>
        </w:tc>
        <w:tc>
          <w:tcPr>
            <w:tcW w:w="885" w:type="dxa"/>
            <w:vAlign w:val="center"/>
          </w:tcPr>
          <w:p w14:paraId="4B911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计量</w:t>
            </w:r>
          </w:p>
          <w:p w14:paraId="2654E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单位</w:t>
            </w:r>
          </w:p>
        </w:tc>
        <w:tc>
          <w:tcPr>
            <w:tcW w:w="885" w:type="dxa"/>
            <w:vAlign w:val="center"/>
          </w:tcPr>
          <w:p w14:paraId="700E0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数量</w:t>
            </w:r>
          </w:p>
        </w:tc>
        <w:tc>
          <w:tcPr>
            <w:tcW w:w="885" w:type="dxa"/>
            <w:vAlign w:val="center"/>
          </w:tcPr>
          <w:p w14:paraId="7F2258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单价（元）</w:t>
            </w:r>
          </w:p>
        </w:tc>
        <w:tc>
          <w:tcPr>
            <w:tcW w:w="885" w:type="dxa"/>
            <w:vAlign w:val="center"/>
          </w:tcPr>
          <w:p w14:paraId="32154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总价（元）</w:t>
            </w:r>
          </w:p>
        </w:tc>
        <w:tc>
          <w:tcPr>
            <w:tcW w:w="885" w:type="dxa"/>
            <w:vAlign w:val="center"/>
          </w:tcPr>
          <w:p w14:paraId="0B345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交（提）货时间</w:t>
            </w:r>
          </w:p>
        </w:tc>
        <w:tc>
          <w:tcPr>
            <w:tcW w:w="885" w:type="dxa"/>
            <w:vAlign w:val="center"/>
          </w:tcPr>
          <w:p w14:paraId="11766A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备注</w:t>
            </w:r>
          </w:p>
        </w:tc>
      </w:tr>
      <w:tr w14:paraId="2F58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dxa"/>
            <w:vAlign w:val="center"/>
          </w:tcPr>
          <w:p w14:paraId="086F0A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3D10A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237FB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782F50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5E40AE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3AEE1E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23C229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7CD0D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39A59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65AA0F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r>
      <w:tr w14:paraId="2AF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dxa"/>
            <w:vAlign w:val="center"/>
          </w:tcPr>
          <w:p w14:paraId="1A470D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6A44F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026D2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46EE5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2BF22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237C8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33688D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0279D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2CFCC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885" w:type="dxa"/>
            <w:vAlign w:val="center"/>
          </w:tcPr>
          <w:p w14:paraId="4AD0BC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r>
      <w:tr w14:paraId="0ECA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5" w:type="dxa"/>
            <w:vAlign w:val="center"/>
          </w:tcPr>
          <w:p w14:paraId="431E7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7965" w:type="dxa"/>
            <w:gridSpan w:val="9"/>
            <w:vAlign w:val="center"/>
          </w:tcPr>
          <w:p w14:paraId="58AB4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合计人民币金额（大写）：          ，￥：      元</w:t>
            </w:r>
          </w:p>
        </w:tc>
      </w:tr>
    </w:tbl>
    <w:p w14:paraId="1A95011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注：本合同单价、总价为含税价，其中不含税部分固定不变。</w:t>
      </w:r>
    </w:p>
    <w:p w14:paraId="5344D26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第7条 本合同供货范围包括了所有产品、技术资料、</w:t>
      </w:r>
      <w:r>
        <w:rPr>
          <w:rFonts w:hint="eastAsia" w:ascii="Times New Roman" w:hAnsi="Times New Roman" w:cs="Times New Roman"/>
          <w:color w:val="auto"/>
          <w:kern w:val="0"/>
          <w:sz w:val="21"/>
          <w:szCs w:val="21"/>
          <w:highlight w:val="none"/>
          <w:lang w:val="en-US" w:eastAsia="zh-CN" w:bidi="ar"/>
        </w:rPr>
        <w:t>出厂试验报告、</w:t>
      </w:r>
      <w:r>
        <w:rPr>
          <w:rFonts w:hint="default" w:ascii="Times New Roman" w:hAnsi="Times New Roman" w:eastAsia="宋体" w:cs="Times New Roman"/>
          <w:color w:val="auto"/>
          <w:kern w:val="0"/>
          <w:sz w:val="21"/>
          <w:szCs w:val="21"/>
          <w:highlight w:val="none"/>
          <w:lang w:val="en-US" w:eastAsia="zh-CN" w:bidi="ar"/>
        </w:rPr>
        <w:t>专用工具、备品备件、服务及技术指导。如果甲方在执行合同过程中发现在发货清单中存在并未列入乙方供货范围，但是为了满足合同相关附件对合同产品的性能保证的要求而应当列入发货清单的产品、技术资料、专用工具、备品备件、</w:t>
      </w:r>
      <w:r>
        <w:rPr>
          <w:rFonts w:hint="eastAsia" w:cs="Times New Roman"/>
          <w:color w:val="auto"/>
          <w:kern w:val="0"/>
          <w:sz w:val="21"/>
          <w:szCs w:val="21"/>
          <w:highlight w:val="none"/>
          <w:lang w:val="en-US" w:eastAsia="zh-CN" w:bidi="ar"/>
        </w:rPr>
        <w:t>调试</w:t>
      </w:r>
      <w:r>
        <w:rPr>
          <w:rFonts w:hint="default" w:ascii="Times New Roman" w:hAnsi="Times New Roman" w:eastAsia="宋体" w:cs="Times New Roman"/>
          <w:color w:val="auto"/>
          <w:kern w:val="0"/>
          <w:sz w:val="21"/>
          <w:szCs w:val="21"/>
          <w:highlight w:val="none"/>
          <w:lang w:val="en-US" w:eastAsia="zh-CN" w:bidi="ar"/>
        </w:rPr>
        <w:t xml:space="preserve">服务及技术指导，均应由乙方负责将所缺的产品、技术资料、专用工具、备品备件、服务及技术指导等补全，甲方无需为补全内容支付额外的任何款项。 </w:t>
      </w:r>
    </w:p>
    <w:p w14:paraId="58E23CAA">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三、合同价款 </w:t>
      </w:r>
    </w:p>
    <w:p w14:paraId="6601EE8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cs="Times New Roman"/>
          <w:color w:val="auto"/>
          <w:kern w:val="2"/>
          <w:sz w:val="21"/>
          <w:szCs w:val="22"/>
          <w:highlight w:val="none"/>
        </w:rPr>
      </w:pPr>
      <w:r>
        <w:rPr>
          <w:rFonts w:hint="default" w:ascii="Times New Roman" w:hAnsi="Times New Roman" w:eastAsia="宋体" w:cs="Times New Roman"/>
          <w:color w:val="auto"/>
          <w:kern w:val="0"/>
          <w:sz w:val="21"/>
          <w:szCs w:val="21"/>
          <w:highlight w:val="none"/>
          <w:lang w:val="en-US" w:eastAsia="zh-CN" w:bidi="ar"/>
        </w:rPr>
        <w:t>第8条 本合同价款以人民币支付，合同金额为¥ 元（人民币大写：</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，含税率 13%，税额¥</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元。若因国家政策调整税率，按照调整后的税率执行，不含税价不变）。</w:t>
      </w:r>
    </w:p>
    <w:p w14:paraId="2E4D90E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cs="Times New Roman"/>
          <w:color w:val="auto"/>
          <w:kern w:val="2"/>
          <w:sz w:val="21"/>
          <w:szCs w:val="22"/>
          <w:highlight w:val="none"/>
        </w:rPr>
      </w:pPr>
      <w:r>
        <w:rPr>
          <w:rFonts w:hint="default" w:ascii="Times New Roman" w:hAnsi="Times New Roman" w:eastAsia="宋体" w:cs="Times New Roman"/>
          <w:color w:val="auto"/>
          <w:kern w:val="0"/>
          <w:sz w:val="21"/>
          <w:szCs w:val="21"/>
          <w:highlight w:val="none"/>
          <w:lang w:val="en-US" w:eastAsia="zh-CN" w:bidi="ar"/>
        </w:rPr>
        <w:t>第9条 本合同价格包括乙方向甲方提供的供货范围内所有产品</w:t>
      </w:r>
      <w:r>
        <w:rPr>
          <w:rFonts w:hint="eastAsia" w:ascii="Times New Roman" w:hAnsi="Times New Roman" w:cs="Times New Roman"/>
          <w:color w:val="auto"/>
          <w:kern w:val="0"/>
          <w:sz w:val="21"/>
          <w:szCs w:val="21"/>
          <w:highlight w:val="none"/>
          <w:lang w:val="en-US" w:eastAsia="zh-CN" w:bidi="ar"/>
        </w:rPr>
        <w:t>、设备调试及试运行期间内的整系统润滑油液压油</w:t>
      </w:r>
      <w:r>
        <w:rPr>
          <w:rFonts w:hint="default" w:ascii="Times New Roman" w:hAnsi="Times New Roman" w:eastAsia="宋体" w:cs="Times New Roman"/>
          <w:color w:val="auto"/>
          <w:kern w:val="0"/>
          <w:sz w:val="21"/>
          <w:szCs w:val="21"/>
          <w:highlight w:val="none"/>
          <w:lang w:val="en-US" w:eastAsia="zh-CN" w:bidi="ar"/>
        </w:rPr>
        <w:t>、技术资料、安装服务及技术指导的价款、产品到甲方指定地点的装车费、运保费、</w:t>
      </w:r>
      <w:r>
        <w:rPr>
          <w:rFonts w:hint="eastAsia" w:ascii="Times New Roman" w:hAnsi="Times New Roman" w:cs="Times New Roman"/>
          <w:color w:val="auto"/>
          <w:kern w:val="0"/>
          <w:sz w:val="21"/>
          <w:szCs w:val="21"/>
          <w:highlight w:val="none"/>
          <w:lang w:val="en-US" w:eastAsia="zh-CN" w:bidi="ar"/>
        </w:rPr>
        <w:t>卸车费、</w:t>
      </w:r>
      <w:r>
        <w:rPr>
          <w:rFonts w:hint="default" w:ascii="Times New Roman" w:hAnsi="Times New Roman" w:eastAsia="宋体" w:cs="Times New Roman"/>
          <w:color w:val="auto"/>
          <w:kern w:val="0"/>
          <w:sz w:val="21"/>
          <w:szCs w:val="21"/>
          <w:highlight w:val="none"/>
          <w:lang w:val="en-US" w:eastAsia="zh-CN" w:bidi="ar"/>
        </w:rPr>
        <w:t xml:space="preserve">产品保修期内的技术支持和服务费用等所有实现甲方签订、履行本合同目的，及乙方完成本合同所有义务产生或者将产生的费用。 </w:t>
      </w:r>
    </w:p>
    <w:p w14:paraId="45BC2EAE">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四、交货、验收 </w:t>
      </w:r>
    </w:p>
    <w:p w14:paraId="5CFB3D0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第10条 在合同生效后</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个工作日内，乙方将本合同项下产品交至甲方指定地点：</w:t>
      </w:r>
      <w:r>
        <w:rPr>
          <w:rFonts w:hint="default" w:ascii="Times New Roman" w:hAnsi="Times New Roman" w:eastAsia="宋体" w:cs="Times New Roman"/>
          <w:color w:val="auto"/>
          <w:kern w:val="0"/>
          <w:sz w:val="21"/>
          <w:szCs w:val="21"/>
          <w:highlight w:val="none"/>
          <w:u w:val="single"/>
          <w:lang w:val="en-US" w:eastAsia="zh-CN" w:bidi="ar"/>
        </w:rPr>
        <w:t>新疆哈密市</w:t>
      </w:r>
      <w:r>
        <w:rPr>
          <w:rFonts w:hint="default" w:ascii="Times New Roman" w:hAnsi="Times New Roman" w:eastAsia="宋体" w:cs="Times New Roman"/>
          <w:color w:val="auto"/>
          <w:kern w:val="0"/>
          <w:sz w:val="21"/>
          <w:szCs w:val="21"/>
          <w:highlight w:val="none"/>
          <w:lang w:val="en-US" w:eastAsia="zh-CN" w:bidi="ar"/>
        </w:rPr>
        <w:t>巴里坤县</w:t>
      </w:r>
      <w:r>
        <w:rPr>
          <w:rFonts w:hint="default" w:ascii="Times New Roman" w:hAnsi="Times New Roman" w:eastAsia="宋体" w:cs="Times New Roman"/>
          <w:color w:val="auto"/>
          <w:kern w:val="0"/>
          <w:sz w:val="21"/>
          <w:szCs w:val="21"/>
          <w:highlight w:val="none"/>
          <w:u w:val="single"/>
          <w:lang w:val="en-US" w:eastAsia="zh-CN" w:bidi="ar"/>
        </w:rPr>
        <w:t>三塘湖乡条湖一号矿井</w:t>
      </w:r>
      <w:r>
        <w:rPr>
          <w:rFonts w:hint="default" w:ascii="Times New Roman" w:hAnsi="Times New Roman" w:cs="Times New Roman"/>
          <w:color w:val="auto"/>
          <w:kern w:val="0"/>
          <w:sz w:val="21"/>
          <w:szCs w:val="21"/>
          <w:highlight w:val="none"/>
          <w:u w:val="single"/>
          <w:lang w:val="en-US" w:eastAsia="zh-CN" w:bidi="ar"/>
        </w:rPr>
        <w:t>工业场地</w:t>
      </w:r>
      <w:r>
        <w:rPr>
          <w:rFonts w:hint="default" w:ascii="Times New Roman" w:hAnsi="Times New Roman" w:eastAsia="宋体" w:cs="Times New Roman"/>
          <w:color w:val="auto"/>
          <w:kern w:val="0"/>
          <w:sz w:val="21"/>
          <w:szCs w:val="21"/>
          <w:highlight w:val="none"/>
          <w:u w:val="single"/>
          <w:lang w:val="en-US" w:eastAsia="zh-CN" w:bidi="ar"/>
        </w:rPr>
        <w:t>（</w:t>
      </w:r>
      <w:r>
        <w:rPr>
          <w:rFonts w:hint="default" w:ascii="Times New Roman" w:hAnsi="Times New Roman" w:cs="Times New Roman"/>
          <w:color w:val="auto"/>
          <w:kern w:val="0"/>
          <w:sz w:val="21"/>
          <w:szCs w:val="21"/>
          <w:highlight w:val="none"/>
          <w:u w:val="single"/>
          <w:lang w:val="en-US" w:eastAsia="zh-CN" w:bidi="ar"/>
        </w:rPr>
        <w:t>乙</w:t>
      </w:r>
      <w:r>
        <w:rPr>
          <w:rFonts w:hint="default" w:ascii="Times New Roman" w:hAnsi="Times New Roman" w:eastAsia="宋体" w:cs="Times New Roman"/>
          <w:color w:val="auto"/>
          <w:kern w:val="0"/>
          <w:sz w:val="21"/>
          <w:szCs w:val="21"/>
          <w:highlight w:val="none"/>
          <w:u w:val="single"/>
          <w:lang w:val="en-US" w:eastAsia="zh-CN" w:bidi="ar"/>
        </w:rPr>
        <w:t>方负责卸货）</w:t>
      </w:r>
      <w:r>
        <w:rPr>
          <w:rFonts w:hint="default" w:ascii="Times New Roman" w:hAnsi="Times New Roman" w:eastAsia="宋体" w:cs="Times New Roman"/>
          <w:color w:val="auto"/>
          <w:kern w:val="0"/>
          <w:sz w:val="21"/>
          <w:szCs w:val="21"/>
          <w:highlight w:val="none"/>
          <w:lang w:val="en-US" w:eastAsia="zh-CN" w:bidi="ar"/>
        </w:rPr>
        <w:t>，并于货物到达交货地</w:t>
      </w:r>
      <w:r>
        <w:rPr>
          <w:rFonts w:hint="default" w:ascii="Times New Roman" w:hAnsi="Times New Roman" w:eastAsia="宋体" w:cs="Times New Roman"/>
          <w:color w:val="auto"/>
          <w:kern w:val="0"/>
          <w:sz w:val="21"/>
          <w:szCs w:val="21"/>
          <w:highlight w:val="none"/>
          <w:u w:val="single"/>
          <w:lang w:val="en-US" w:eastAsia="zh-CN" w:bidi="ar"/>
        </w:rPr>
        <w:t xml:space="preserve"> 2 </w:t>
      </w:r>
      <w:r>
        <w:rPr>
          <w:rFonts w:hint="default" w:ascii="Times New Roman" w:hAnsi="Times New Roman" w:eastAsia="宋体" w:cs="Times New Roman"/>
          <w:color w:val="auto"/>
          <w:kern w:val="0"/>
          <w:sz w:val="21"/>
          <w:szCs w:val="21"/>
          <w:highlight w:val="none"/>
          <w:lang w:val="en-US" w:eastAsia="zh-CN" w:bidi="ar"/>
        </w:rPr>
        <w:t xml:space="preserve">日内通知甲方收货联系人。 </w:t>
      </w:r>
    </w:p>
    <w:p w14:paraId="23578FC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default" w:ascii="Times New Roman" w:hAnsi="Times New Roman" w:eastAsia="宋体" w:cs="Times New Roman"/>
          <w:color w:val="auto"/>
          <w:kern w:val="0"/>
          <w:sz w:val="21"/>
          <w:szCs w:val="21"/>
          <w:highlight w:val="none"/>
          <w:lang w:val="en-US" w:eastAsia="zh-CN" w:bidi="ar"/>
        </w:rPr>
        <w:t>甲方收货联系人：</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cs="Times New Roman"/>
          <w:color w:val="auto"/>
          <w:kern w:val="0"/>
          <w:sz w:val="21"/>
          <w:szCs w:val="21"/>
          <w:highlight w:val="none"/>
          <w:u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联系电话：</w:t>
      </w:r>
      <w:r>
        <w:rPr>
          <w:rFonts w:hint="default" w:ascii="Times New Roman" w:hAnsi="Times New Roman" w:cs="Times New Roman"/>
          <w:color w:val="auto"/>
          <w:kern w:val="0"/>
          <w:sz w:val="21"/>
          <w:szCs w:val="21"/>
          <w:highlight w:val="none"/>
          <w:u w:val="single"/>
          <w:lang w:val="en-US" w:eastAsia="zh-CN" w:bidi="ar"/>
        </w:rPr>
        <w:t xml:space="preserve">                         </w:t>
      </w:r>
    </w:p>
    <w:p w14:paraId="11A5F74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11 条 乙方在发货前应自行对产品的质量、技术规格、性能、数量和重量进行精确和全面的检验，并应在发运前告知甲方：发运车辆信息、运输人员信息、预计到达时间及甲方要求的其他相关信息。 </w:t>
      </w:r>
    </w:p>
    <w:p w14:paraId="003EBDD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 12 条 产品货交甲方之前的运费及保险费、装车费</w:t>
      </w:r>
      <w:r>
        <w:rPr>
          <w:rFonts w:hint="eastAsia" w:ascii="Times New Roman" w:hAnsi="Times New Roman" w:cs="Times New Roman"/>
          <w:color w:val="auto"/>
          <w:kern w:val="0"/>
          <w:sz w:val="21"/>
          <w:szCs w:val="21"/>
          <w:highlight w:val="none"/>
          <w:lang w:val="en-US" w:eastAsia="zh-CN" w:bidi="ar"/>
        </w:rPr>
        <w:t>、卸车费、调试期间所需要的润滑油脂、液压油脂等</w:t>
      </w:r>
      <w:r>
        <w:rPr>
          <w:rFonts w:hint="default" w:ascii="Times New Roman" w:hAnsi="Times New Roman" w:eastAsia="宋体" w:cs="Times New Roman"/>
          <w:color w:val="auto"/>
          <w:kern w:val="0"/>
          <w:sz w:val="21"/>
          <w:szCs w:val="21"/>
          <w:highlight w:val="none"/>
          <w:lang w:val="en-US" w:eastAsia="zh-CN" w:bidi="ar"/>
        </w:rPr>
        <w:t xml:space="preserve">所有费用均由乙方承担。在产品运抵甲方指定地点后，甲方做好验收准备，并协助乙方做好产品的保管工作；甲方验收合格后接收货物视为交付，交付后货物风险、所有权转移。 </w:t>
      </w:r>
    </w:p>
    <w:p w14:paraId="7E3EEBF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13 条 产品运抵交货地点，甲方对合同所涉及的全部产品和服务进行评估验收。验收标准按照国家标准、行业标准，以及符合甲方产品技术要求、性能、标准及质量要求。甲方的验收合格及接收货物不能够免除或者减轻乙方对货物质量责任承担及担保，不能够视为甲方认可并自行承担货物内在的、甲方未能检验处出的质量问题的责任。 </w:t>
      </w:r>
    </w:p>
    <w:p w14:paraId="68A586A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14 条 甲方按本合同规定及清单对货物的品牌、外观、规格、型号及抽样检测后的质量情况进行验收，验收合格后，甲方签署交货验收单。 </w:t>
      </w:r>
    </w:p>
    <w:p w14:paraId="68570B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15 条 甲方验收不合格，应妥为保管并在 5 个工作日内书面通知乙方，在紧急情况下，甲方电话通知乙方，视为甲方已向乙方提出书面异议。乙方应在接到甲方通知后，5 个工作日内负责解决，逾期未解决的，视为默认甲方提出的异议和处理意见。对验收不合格的产品，甲方有权拒绝接收并向乙方提出索赔，乙方应承担违约责任及赔偿责任。 </w:t>
      </w:r>
    </w:p>
    <w:p w14:paraId="4B9AC0C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 16 条 如产品存在质量缺陷、质量问题，包括但不限于潜在的缺陷或乙方使用了不合适的材料等所有涉及产品质量问题或者质量缺陷的情况，甲方有权向乙方提出索赔，乙方应承担 违约、赔偿责任。 </w:t>
      </w:r>
    </w:p>
    <w:p w14:paraId="20A4DE9A">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五、结算方式 </w:t>
      </w:r>
    </w:p>
    <w:p w14:paraId="19F9DE3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第17条 结算方式如下： </w:t>
      </w:r>
    </w:p>
    <w:p w14:paraId="0B4FBFB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17.</w:t>
      </w:r>
      <w:r>
        <w:rPr>
          <w:rFonts w:hint="eastAsia"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在产品依据技术标准及验收条件验收合格、签署交货验收单、乙方出具</w:t>
      </w:r>
      <w:bookmarkStart w:id="104" w:name="OLE_LINK1"/>
      <w:r>
        <w:rPr>
          <w:rFonts w:hint="eastAsia" w:ascii="Times New Roman" w:hAnsi="Times New Roman" w:cs="Times New Roman"/>
          <w:color w:val="auto"/>
          <w:kern w:val="0"/>
          <w:sz w:val="21"/>
          <w:szCs w:val="21"/>
          <w:highlight w:val="none"/>
          <w:lang w:val="en-US" w:eastAsia="zh-CN" w:bidi="ar"/>
        </w:rPr>
        <w:t>本批次供货产品全部价款</w:t>
      </w:r>
      <w:bookmarkEnd w:id="104"/>
      <w:r>
        <w:rPr>
          <w:rFonts w:hint="default" w:ascii="Times New Roman" w:hAnsi="Times New Roman" w:eastAsia="宋体" w:cs="Times New Roman"/>
          <w:color w:val="auto"/>
          <w:kern w:val="0"/>
          <w:sz w:val="21"/>
          <w:szCs w:val="21"/>
          <w:highlight w:val="none"/>
          <w:lang w:val="en-US" w:eastAsia="zh-CN" w:bidi="ar"/>
        </w:rPr>
        <w:t>100 %增值税专用发票后，甲方向乙方支付</w:t>
      </w:r>
      <w:r>
        <w:rPr>
          <w:rFonts w:hint="eastAsia" w:ascii="Times New Roman" w:hAnsi="Times New Roman" w:cs="Times New Roman"/>
          <w:color w:val="auto"/>
          <w:kern w:val="0"/>
          <w:sz w:val="21"/>
          <w:szCs w:val="21"/>
          <w:highlight w:val="none"/>
          <w:lang w:val="en-US" w:eastAsia="zh-CN" w:bidi="ar"/>
        </w:rPr>
        <w:t>本批次供货产品全部价款</w:t>
      </w:r>
      <w:r>
        <w:rPr>
          <w:rFonts w:hint="default" w:ascii="Times New Roman" w:hAnsi="Times New Roman" w:eastAsia="宋体" w:cs="Times New Roman"/>
          <w:color w:val="auto"/>
          <w:kern w:val="0"/>
          <w:sz w:val="21"/>
          <w:szCs w:val="21"/>
          <w:highlight w:val="none"/>
          <w:lang w:val="en-US" w:eastAsia="zh-CN" w:bidi="ar"/>
        </w:rPr>
        <w:t>金额的</w:t>
      </w:r>
      <w:r>
        <w:rPr>
          <w:rFonts w:hint="eastAsia" w:ascii="Times New Roman" w:hAnsi="Times New Roman"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0 %，即¥</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元（人民币大写</w:t>
      </w:r>
      <w:r>
        <w:rPr>
          <w:rFonts w:hint="default" w:ascii="Times New Roman" w:hAnsi="Times New Roman" w:eastAsia="宋体" w:cs="Times New Roman"/>
          <w:color w:val="auto"/>
          <w:kern w:val="0"/>
          <w:sz w:val="21"/>
          <w:szCs w:val="21"/>
          <w:highlight w:val="none"/>
          <w:u w:val="single"/>
          <w:lang w:val="en-US" w:eastAsia="zh-CN" w:bidi="ar"/>
        </w:rPr>
        <w:t>：</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p>
    <w:p w14:paraId="228BA86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17.</w:t>
      </w:r>
      <w:r>
        <w:rPr>
          <w:rFonts w:hint="eastAsia"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 甲方完成设备安装，单机试运转合格后，甲方向乙方支付合同金额的30 %，即¥</w:t>
      </w:r>
      <w:r>
        <w:rPr>
          <w:rFonts w:hint="default" w:ascii="Times New Roman" w:hAnsi="Times New Roman" w:cs="Times New Roman"/>
          <w:color w:val="auto"/>
          <w:kern w:val="0"/>
          <w:sz w:val="21"/>
          <w:szCs w:val="21"/>
          <w:highlight w:val="none"/>
          <w:u w:val="single"/>
          <w:lang w:val="en-US" w:eastAsia="zh-CN" w:bidi="ar"/>
        </w:rPr>
        <w:t xml:space="preserve">        元</w:t>
      </w:r>
      <w:r>
        <w:rPr>
          <w:rFonts w:hint="default" w:ascii="Times New Roman" w:hAnsi="Times New Roman" w:eastAsia="宋体" w:cs="Times New Roman"/>
          <w:color w:val="auto"/>
          <w:kern w:val="0"/>
          <w:sz w:val="21"/>
          <w:szCs w:val="21"/>
          <w:highlight w:val="none"/>
          <w:lang w:val="en-US" w:eastAsia="zh-CN" w:bidi="ar"/>
        </w:rPr>
        <w:t>（人民币大写：</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p>
    <w:p w14:paraId="4FAD39B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17.</w:t>
      </w:r>
      <w:r>
        <w:rPr>
          <w:rFonts w:hint="eastAsia"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cs="Times New Roman"/>
          <w:color w:val="auto"/>
          <w:kern w:val="0"/>
          <w:sz w:val="21"/>
          <w:szCs w:val="21"/>
          <w:highlight w:val="none"/>
          <w:lang w:val="en-US" w:eastAsia="zh-CN" w:bidi="ar"/>
        </w:rPr>
        <w:t>本合同范围内全部</w:t>
      </w:r>
      <w:r>
        <w:rPr>
          <w:rFonts w:hint="eastAsia" w:cs="Times New Roman"/>
          <w:color w:val="auto"/>
          <w:kern w:val="0"/>
          <w:sz w:val="21"/>
          <w:szCs w:val="21"/>
          <w:highlight w:val="none"/>
          <w:lang w:val="en-US" w:eastAsia="zh-CN" w:bidi="ar"/>
        </w:rPr>
        <w:t>产品货物</w:t>
      </w:r>
      <w:r>
        <w:rPr>
          <w:rFonts w:hint="eastAsia" w:ascii="Times New Roman" w:hAnsi="Times New Roman" w:cs="Times New Roman"/>
          <w:color w:val="auto"/>
          <w:kern w:val="0"/>
          <w:sz w:val="21"/>
          <w:szCs w:val="21"/>
          <w:highlight w:val="none"/>
          <w:lang w:val="en-US" w:eastAsia="zh-CN" w:bidi="ar"/>
        </w:rPr>
        <w:t>调试完成，且全部</w:t>
      </w:r>
      <w:r>
        <w:rPr>
          <w:rFonts w:hint="default" w:ascii="Times New Roman" w:hAnsi="Times New Roman" w:eastAsia="宋体" w:cs="Times New Roman"/>
          <w:color w:val="auto"/>
          <w:kern w:val="0"/>
          <w:sz w:val="21"/>
          <w:szCs w:val="21"/>
          <w:highlight w:val="none"/>
          <w:lang w:val="en-US" w:eastAsia="zh-CN" w:bidi="ar"/>
        </w:rPr>
        <w:t>质保期期满，货物或者服务符合质量保证要求</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经甲方检查没有发现任何质量问题后</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无乙方向甲方支付的违约金、赔偿金的甲方向乙方支付</w:t>
      </w:r>
      <w:r>
        <w:rPr>
          <w:rFonts w:hint="eastAsia" w:ascii="Times New Roman" w:hAnsi="Times New Roman" w:cs="Times New Roman"/>
          <w:color w:val="auto"/>
          <w:kern w:val="0"/>
          <w:sz w:val="21"/>
          <w:szCs w:val="21"/>
          <w:highlight w:val="none"/>
          <w:lang w:val="en-US" w:eastAsia="zh-CN" w:bidi="ar"/>
        </w:rPr>
        <w:t>本合同范围内全部产品价款</w:t>
      </w:r>
      <w:r>
        <w:rPr>
          <w:rFonts w:hint="default" w:ascii="Times New Roman" w:hAnsi="Times New Roman" w:eastAsia="宋体" w:cs="Times New Roman"/>
          <w:color w:val="auto"/>
          <w:kern w:val="0"/>
          <w:sz w:val="21"/>
          <w:szCs w:val="21"/>
          <w:highlight w:val="none"/>
          <w:lang w:val="en-US" w:eastAsia="zh-CN" w:bidi="ar"/>
        </w:rPr>
        <w:t>金额的10%，即质保金¥</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元（人民币大写：</w:t>
      </w:r>
      <w:r>
        <w:rPr>
          <w:rFonts w:hint="default" w:ascii="Times New Roman" w:hAnsi="Times New Roman"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元），如有双方按照多退少补的原则结算。 </w:t>
      </w:r>
    </w:p>
    <w:p w14:paraId="1D974D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17.</w:t>
      </w:r>
      <w:r>
        <w:rPr>
          <w:rFonts w:hint="eastAsia" w:ascii="Times New Roman" w:hAnsi="Times New Roman"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 xml:space="preserve"> 乙方未按本合同约定提供发票或提供的发票不合格的，甲方有权拒付相关款项，并不因此承担违约责任。 </w:t>
      </w:r>
    </w:p>
    <w:p w14:paraId="55BD4271">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六、质量保证 </w:t>
      </w:r>
    </w:p>
    <w:p w14:paraId="5926318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第18条 乙方保证所提供的产品符合国家有关安全生产、环境保护、职业健康、消防方面的法律、法规及国家、行业标准。 </w:t>
      </w:r>
    </w:p>
    <w:p w14:paraId="1A0A2A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第19条 本合同中的产品应该是由原生产厂商制造的、全新的、未曾使用过的产品，并且完全符合本合同规定的规格、性能和描述，在正确安装、使用和维修的情况下运转良好，否则甲方有权拒绝接收。乙方必须保证所提供的产品标有原生产厂家的铭牌或钢印标识并向甲方提 供生产厂家出具的出厂检验合格证书，否则甲方有权拒绝接收。 </w:t>
      </w:r>
    </w:p>
    <w:p w14:paraId="77F8F9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第20条 乙方保证，当所供的产品在乙方指导下正确地进行安装和操作，并按乙方提供的使用说明书进行操作和维护得当时，产品能成功运行，达到附件质量保证中所列的总担保、延伸担保、备件担保的要求。 </w:t>
      </w:r>
    </w:p>
    <w:p w14:paraId="69534F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第21条 乙方保证所提供产品没有因设计、材料、加工及乙方的行为或疏忽所造成的缺陷，并保证在质量、技术规格和性能方面完全符合合同的规定。 </w:t>
      </w:r>
    </w:p>
    <w:p w14:paraId="7452B47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第22条 本合同产品甲方保留中检权力,甲方可不定期的派出有关人员抵达产品制造工厂，对产品制造过程进行质量监督和进度检查，乙方应向甲方开放全部与本合同产品制造相关的文件及生产进度，并提供在质量检查中的各种方便，如安全保护、办公设施及检验中的其他必要工具、仪器等。 </w:t>
      </w:r>
    </w:p>
    <w:p w14:paraId="4EC1C6D9">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七、质量保证期 </w:t>
      </w:r>
    </w:p>
    <w:p w14:paraId="041BA29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第23条 质量保证期以设备安装完成试运行并验收合格后 1</w:t>
      </w:r>
      <w:r>
        <w:rPr>
          <w:rFonts w:hint="eastAsia" w:ascii="Times New Roman" w:hAnsi="Times New Roman" w:cs="Times New Roman"/>
          <w:b/>
          <w:bCs/>
          <w:color w:val="auto"/>
          <w:kern w:val="0"/>
          <w:sz w:val="21"/>
          <w:szCs w:val="21"/>
          <w:highlight w:val="none"/>
          <w:lang w:val="en-US" w:eastAsia="zh-CN" w:bidi="ar"/>
        </w:rPr>
        <w:t>8</w:t>
      </w:r>
      <w:r>
        <w:rPr>
          <w:rFonts w:hint="default" w:ascii="Times New Roman" w:hAnsi="Times New Roman" w:eastAsia="宋体" w:cs="Times New Roman"/>
          <w:b/>
          <w:bCs/>
          <w:color w:val="auto"/>
          <w:kern w:val="0"/>
          <w:sz w:val="21"/>
          <w:szCs w:val="21"/>
          <w:highlight w:val="none"/>
          <w:lang w:val="en-US" w:eastAsia="zh-CN" w:bidi="ar"/>
        </w:rPr>
        <w:t xml:space="preserve"> 个月。</w:t>
      </w:r>
      <w:r>
        <w:rPr>
          <w:rFonts w:hint="default" w:ascii="Times New Roman" w:hAnsi="Times New Roman" w:eastAsia="宋体" w:cs="Times New Roman"/>
          <w:color w:val="auto"/>
          <w:kern w:val="0"/>
          <w:sz w:val="21"/>
          <w:szCs w:val="21"/>
          <w:highlight w:val="none"/>
          <w:lang w:val="en-US" w:eastAsia="zh-CN" w:bidi="ar"/>
        </w:rPr>
        <w:t xml:space="preserve"> </w:t>
      </w:r>
    </w:p>
    <w:p w14:paraId="27B7E81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第24条 在质量保证期内，乙方对所提供的货物、备件发生的任何故障或损坏自行承担费用负责修理、更换，且由乙方向甲方承担违约责任，如果因此给甲方造成损失的乙方承担赔偿责任。乙方有证据证明系甲方非正常操作引起的故障除外。 </w:t>
      </w:r>
    </w:p>
    <w:p w14:paraId="5B6E974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第25条 在质量保证期内，对保修范围内的保修服务所发生的全部物质损耗和人员费用， 均由乙方予以承担。乙方未及时承担保修责任的，甲方有权采用其它渠道和方式对产品进行维修，由此产生的费用由乙方承担。对因产品在保修期间发生的质量缺陷造成的甲方损失，乙方应予以赔偿。对本款中应由乙方承担的全部保修和（或）赔偿费用，甲方有权在乙方的质量保证金中予以直接扣除，不足部分，甲方有权继续追索。 </w:t>
      </w:r>
    </w:p>
    <w:p w14:paraId="69AE1959">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八、知识产权 </w:t>
      </w:r>
    </w:p>
    <w:p w14:paraId="304B609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cs="Times New Roman"/>
          <w:color w:val="auto"/>
          <w:kern w:val="2"/>
          <w:sz w:val="21"/>
          <w:szCs w:val="22"/>
          <w:highlight w:val="none"/>
        </w:rPr>
      </w:pPr>
      <w:r>
        <w:rPr>
          <w:rFonts w:hint="default" w:ascii="Times New Roman" w:hAnsi="Times New Roman" w:eastAsia="宋体" w:cs="Times New Roman"/>
          <w:color w:val="auto"/>
          <w:kern w:val="0"/>
          <w:sz w:val="21"/>
          <w:szCs w:val="21"/>
          <w:highlight w:val="none"/>
          <w:lang w:val="en-US" w:eastAsia="zh-CN" w:bidi="ar"/>
        </w:rPr>
        <w:t xml:space="preserve">第26条 乙方应保证甲方在使用由乙方提供的产品或产品的任何部分不受第三方关于侵犯其所有权、专利权、商标权、工业设计权等的指控，若发生，由乙方负责解决，并承担全部责任。 </w:t>
      </w:r>
    </w:p>
    <w:p w14:paraId="11A8C41B">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九、售后服务 </w:t>
      </w:r>
    </w:p>
    <w:p w14:paraId="57BD060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第27条 质量保证期内货物如出现故障、有潜在问题或存在应急故障及应急备件，乙方应在收到甲方通知后12小时内到现场，进行修理或更换有缺陷的部分、零部件或货物。如果乙方逾期没有修理或更换有缺陷的部分、零部件或货物，甲方可采取必要的补救措施，但风险和费用将由乙方负担。 </w:t>
      </w:r>
    </w:p>
    <w:p w14:paraId="5D2E597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第28条 质保期满后，对相关软件免费升级维护，易损件及配件损坏或者老化按照产品成本价进行维护。 </w:t>
      </w:r>
    </w:p>
    <w:p w14:paraId="2012BAC0">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十、培训 </w:t>
      </w:r>
    </w:p>
    <w:p w14:paraId="3A6804E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cs="Times New Roman"/>
          <w:bCs/>
          <w:color w:val="auto"/>
          <w:kern w:val="2"/>
          <w:sz w:val="21"/>
          <w:szCs w:val="32"/>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第29条 乙方技术人员应在产品交付甲方后、安装完成前根据甲方需要赴甲方指定地点培训甲方人员，乙方免费提供教材，对产品制造、组装、操作使用、产品运行维修等知识进行讲解。甲方指定受训人员，双方共同商定培训时间和内容。</w:t>
      </w:r>
      <w:r>
        <w:rPr>
          <w:rFonts w:hint="eastAsia" w:ascii="Times New Roman" w:hAnsi="Times New Roman" w:cs="Times New Roman"/>
          <w:bCs/>
          <w:color w:val="auto"/>
          <w:kern w:val="2"/>
          <w:sz w:val="21"/>
          <w:szCs w:val="32"/>
          <w:highlight w:val="none"/>
          <w:lang w:val="en-US" w:eastAsia="zh-CN"/>
        </w:rPr>
        <w:t xml:space="preserve"> </w:t>
      </w:r>
    </w:p>
    <w:p w14:paraId="279F939A">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十一、包装、运输 </w:t>
      </w:r>
    </w:p>
    <w:p w14:paraId="5153AC5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第30条 除双方另有约定外，本合同中的产品包装以原生产厂商包装为准，但应遵守国家 的强制性规定。每个独立包装箱内应附装箱清单、质量合格证、装配图、说明书、操作指南等资料。 </w:t>
      </w:r>
    </w:p>
    <w:p w14:paraId="7B8E197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第31条 所有产品包装标准应按国家标准或者行业标准，以适应远距离铁路运输、汽运、 海运或者空运以及气候变化的要求，如防潮、防震、防腐蚀、防锈、防爆炸等保护措施并符合安全环保的储运要求，以确保产品安全无损运抵甲方指定地点。 </w:t>
      </w:r>
    </w:p>
    <w:p w14:paraId="6F126F6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第32条 对于特殊物品(易燃、易爆、有毒物品及其它危险品和运输过程中对温度等环境因素和震动有特殊要求的货物或物品)，必须特别标明其品名、性质、特殊保护措施、保存方法以及处理意外情况的方法。 </w:t>
      </w:r>
    </w:p>
    <w:p w14:paraId="1C7058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第33条 所有产品包装应具有适合多次搬运、装卸的坚固包装并适宜保管，不能造成运输 过程中箱件破损，产品和零件散失。 </w:t>
      </w:r>
    </w:p>
    <w:p w14:paraId="23B34F8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第34条 乙方承担包装</w:t>
      </w:r>
      <w:r>
        <w:rPr>
          <w:rFonts w:hint="eastAsia"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运输</w:t>
      </w:r>
      <w:r>
        <w:rPr>
          <w:rFonts w:hint="eastAsia" w:ascii="Times New Roman" w:hAnsi="Times New Roman" w:cs="Times New Roman"/>
          <w:color w:val="auto"/>
          <w:kern w:val="0"/>
          <w:sz w:val="21"/>
          <w:szCs w:val="21"/>
          <w:highlight w:val="none"/>
          <w:lang w:val="en-US" w:eastAsia="zh-CN" w:bidi="ar"/>
        </w:rPr>
        <w:t>、卸车等</w:t>
      </w:r>
      <w:r>
        <w:rPr>
          <w:rFonts w:hint="default" w:ascii="Times New Roman" w:hAnsi="Times New Roman" w:eastAsia="宋体" w:cs="Times New Roman"/>
          <w:color w:val="auto"/>
          <w:kern w:val="0"/>
          <w:sz w:val="21"/>
          <w:szCs w:val="21"/>
          <w:highlight w:val="none"/>
          <w:lang w:val="en-US" w:eastAsia="zh-CN" w:bidi="ar"/>
        </w:rPr>
        <w:t xml:space="preserve">过程中的一切费用，并对因包装不当所造成的运输过程中发 生的锈蚀、损坏或损失承担全部责任和费用。 </w:t>
      </w:r>
    </w:p>
    <w:p w14:paraId="40782DE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第35条 乙方应对交通情况和当地政府运输时限及通道的限制规定(不论是正常还是临时情况)有充分的了解及准备,不能因此提出索赔或要求延长或不合理地变更交货地点和时间，运输过程中的安全事故责任由乙方自行承担。 </w:t>
      </w:r>
    </w:p>
    <w:p w14:paraId="7634B87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第36条 乙方在供货过程中进入甲方区域，应遵守甲方的相关安全管理规定，由于乙方原因造成的甲方的安全事故、造成甲方及其工作人员任何人身、财产损失的，责任由乙方自行承担。 </w:t>
      </w:r>
    </w:p>
    <w:p w14:paraId="4BB5D01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第37条 本合同项目下产品的包装物符合安全、环保、卫生标准要求，由此产生的费用由乙方承担，且包装物不予回收。 </w:t>
      </w:r>
    </w:p>
    <w:p w14:paraId="1F46B1AF">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十二、违约责任 </w:t>
      </w:r>
    </w:p>
    <w:p w14:paraId="7292F2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第38条 除不可抗力因素外，如果乙方未能按照合同约定的日期交付产品，乙方应向甲方支付违约金，违约金的标准为迟延交付产品部分对应合同价款的 5％/1 周、10％/1 周以上。如果乙方延迟交货超过30日</w:t>
      </w:r>
      <w:r>
        <w:rPr>
          <w:rFonts w:hint="eastAsia"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甲方有权单方解除合同。除要求乙方退还甲方已支付的合同价款外，甲方有权要求乙方赔偿合同全部金额30%的违约金，违约金不能弥补甲方损失的，乙方对不足部分承担赔偿责任。 </w:t>
      </w:r>
    </w:p>
    <w:p w14:paraId="4360BC9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xml:space="preserve">第39条 乙方交付的产品未通过甲方验收的，乙方应在【 5 】日内进行更换，由此产生的费用由乙方负担，如乙方拒绝更换、未在前述时间内进行解决或更换后仍不能通过验收的，甲方有权要求乙方赔偿合同全部金额30%的违约金，违约金不能弥补甲方损失的，乙方对不足部分承担赔偿责任。 </w:t>
      </w:r>
    </w:p>
    <w:p w14:paraId="19E03CF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条 乙方交付的产品若有质量问题，甲方有权拒收或退货，并向甲方支付合同价款30% 的违约金；若在质保期使用中出现质量问题，乙方应免费更换、修理直至退货，并向</w:t>
      </w:r>
      <w:r>
        <w:rPr>
          <w:rFonts w:hint="eastAsia" w:ascii="Times New Roman" w:hAnsi="Times New Roman" w:cs="Times New Roman"/>
          <w:color w:val="auto"/>
          <w:kern w:val="0"/>
          <w:sz w:val="21"/>
          <w:szCs w:val="21"/>
          <w:highlight w:val="none"/>
          <w:lang w:val="en-US" w:eastAsia="zh-CN" w:bidi="ar"/>
        </w:rPr>
        <w:t>甲方</w:t>
      </w:r>
      <w:r>
        <w:rPr>
          <w:rFonts w:hint="default" w:ascii="Times New Roman" w:hAnsi="Times New Roman" w:eastAsia="宋体" w:cs="Times New Roman"/>
          <w:color w:val="auto"/>
          <w:kern w:val="0"/>
          <w:sz w:val="21"/>
          <w:szCs w:val="21"/>
          <w:highlight w:val="none"/>
          <w:lang w:val="en-US" w:eastAsia="zh-CN" w:bidi="ar"/>
        </w:rPr>
        <w:t xml:space="preserve">支 付合同标的额30%的违约金，违约金不能弥补甲方损失的，乙方对不足部分承担赔偿责任。 </w:t>
      </w:r>
    </w:p>
    <w:p w14:paraId="4565EC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 xml:space="preserve">条 乙方未按照合同约定全部或者部分履行义务的，向甲方支付该合同价款5%的违约金，违约金不能弥补甲方损失的，对不足的部分由乙方承担赔偿责任。 </w:t>
      </w:r>
    </w:p>
    <w:p w14:paraId="6FA975A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 xml:space="preserve">条 因乙方的原因或违约行为，致使甲方通过发律师函诉讼等途径主张权利的，甲方 因此支付律师费、诉讼保全担保费、公证费、调查取证等所有费用均由乙方承担。 </w:t>
      </w:r>
    </w:p>
    <w:p w14:paraId="31FAE15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3</w:t>
      </w:r>
      <w:r>
        <w:rPr>
          <w:rFonts w:hint="default" w:ascii="Times New Roman" w:hAnsi="Times New Roman" w:eastAsia="宋体" w:cs="Times New Roman"/>
          <w:color w:val="auto"/>
          <w:kern w:val="0"/>
          <w:sz w:val="21"/>
          <w:szCs w:val="21"/>
          <w:highlight w:val="none"/>
          <w:lang w:val="en-US" w:eastAsia="zh-CN" w:bidi="ar"/>
        </w:rPr>
        <w:t>条 如果由于战争、严重的火灾、水灾、台风、地震等依法视为不可抗拒之因素而造 成无法按时履行义务时，双方可以免责任，但应于不可抗力发生后20日内以书面方式通知对方</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待不可抗力情形消失后，应当及时履行。 </w:t>
      </w:r>
    </w:p>
    <w:p w14:paraId="36DD3270">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十三、保密义务 </w:t>
      </w:r>
    </w:p>
    <w:p w14:paraId="65E1EBD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4</w:t>
      </w:r>
      <w:r>
        <w:rPr>
          <w:rFonts w:hint="default" w:ascii="Times New Roman" w:hAnsi="Times New Roman" w:eastAsia="宋体" w:cs="Times New Roman"/>
          <w:color w:val="auto"/>
          <w:kern w:val="0"/>
          <w:sz w:val="21"/>
          <w:szCs w:val="21"/>
          <w:highlight w:val="none"/>
          <w:lang w:val="en-US" w:eastAsia="zh-CN" w:bidi="ar"/>
        </w:rPr>
        <w:t xml:space="preserve">条 乙方因本合同的签署与履行而知悉的与甲方的一切信息，包括但不限于甲方的商业秘密、经营信息以及甲方数据信息，不得以任何方式将其全部或部分披露给任何第三方，并 不得用于与本项目无关的其他目的。乙方不论是故意还是过失都不得以任何方式导致上述信息被第三人知悉，乙方应向甲方支付合同标的额30%的违约金，给甲方造成损失的，还应赔偿全部损失。 </w:t>
      </w:r>
    </w:p>
    <w:p w14:paraId="5CF34CA1">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十四、合同纠纷的解决 </w:t>
      </w:r>
    </w:p>
    <w:p w14:paraId="27D0227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5</w:t>
      </w:r>
      <w:r>
        <w:rPr>
          <w:rFonts w:hint="default" w:ascii="Times New Roman" w:hAnsi="Times New Roman" w:eastAsia="宋体" w:cs="Times New Roman"/>
          <w:color w:val="auto"/>
          <w:kern w:val="0"/>
          <w:sz w:val="21"/>
          <w:szCs w:val="21"/>
          <w:highlight w:val="none"/>
          <w:lang w:val="en-US" w:eastAsia="zh-CN" w:bidi="ar"/>
        </w:rPr>
        <w:t xml:space="preserve">条 甲乙双方履行本合同发生争议不能协商解决的，则任何一方均可向甲方所在地人民法院提起诉讼。 </w:t>
      </w:r>
    </w:p>
    <w:p w14:paraId="41C9688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条 在诉讼期间，除正在进行诉讼的部分外，本协议其他不涉及争议的条款仍然有效</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协议双方均应继续履行。 </w:t>
      </w:r>
    </w:p>
    <w:p w14:paraId="5F0DDA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7</w:t>
      </w:r>
      <w:r>
        <w:rPr>
          <w:rFonts w:hint="default" w:ascii="Times New Roman" w:hAnsi="Times New Roman" w:eastAsia="宋体" w:cs="Times New Roman"/>
          <w:color w:val="auto"/>
          <w:kern w:val="0"/>
          <w:sz w:val="21"/>
          <w:szCs w:val="21"/>
          <w:highlight w:val="none"/>
          <w:lang w:val="en-US" w:eastAsia="zh-CN" w:bidi="ar"/>
        </w:rPr>
        <w:t>条 本条的效力不因本协议的终止、解除、无效或撤销受到影响。</w:t>
      </w:r>
      <w:r>
        <w:rPr>
          <w:rFonts w:hint="eastAsia" w:ascii="宋体" w:hAnsi="宋体" w:eastAsia="宋体" w:cs="宋体"/>
          <w:color w:val="auto"/>
          <w:kern w:val="0"/>
          <w:sz w:val="21"/>
          <w:szCs w:val="21"/>
          <w:highlight w:val="none"/>
          <w:lang w:val="en-US" w:eastAsia="zh-CN" w:bidi="ar"/>
        </w:rPr>
        <w:t xml:space="preserve"> </w:t>
      </w:r>
    </w:p>
    <w:p w14:paraId="039E08F7">
      <w:pPr>
        <w:keepNext/>
        <w:keepLines/>
        <w:pageBreakBefore w:val="0"/>
        <w:widowControl w:val="0"/>
        <w:numPr>
          <w:ilvl w:val="1"/>
          <w:numId w:val="0"/>
        </w:numPr>
        <w:kinsoku/>
        <w:wordWrap/>
        <w:overflowPunct/>
        <w:topLinePunct w:val="0"/>
        <w:autoSpaceDE/>
        <w:autoSpaceDN/>
        <w:bidi w:val="0"/>
        <w:adjustRightInd/>
        <w:snapToGrid/>
        <w:spacing w:before="100" w:beforeLines="0" w:beforeAutospacing="0" w:after="100" w:afterLines="0" w:afterAutospacing="0" w:line="400" w:lineRule="exact"/>
        <w:ind w:left="575" w:leftChars="0" w:hanging="575"/>
        <w:jc w:val="both"/>
        <w:textAlignment w:val="auto"/>
        <w:outlineLvl w:val="1"/>
        <w:rPr>
          <w:rFonts w:hint="eastAsia" w:ascii="Times New Roman" w:hAnsi="Times New Roman" w:eastAsia="黑体" w:cs="Times New Roman"/>
          <w:b/>
          <w:bCs/>
          <w:color w:val="auto"/>
          <w:kern w:val="2"/>
          <w:sz w:val="32"/>
          <w:szCs w:val="32"/>
          <w:highlight w:val="none"/>
          <w:lang w:val="en-US" w:eastAsia="zh-CN" w:bidi="ar-SA"/>
        </w:rPr>
      </w:pPr>
      <w:r>
        <w:rPr>
          <w:rFonts w:hint="eastAsia" w:ascii="Times New Roman" w:hAnsi="Times New Roman" w:eastAsia="黑体" w:cs="Times New Roman"/>
          <w:b/>
          <w:bCs/>
          <w:color w:val="auto"/>
          <w:kern w:val="2"/>
          <w:sz w:val="32"/>
          <w:szCs w:val="32"/>
          <w:highlight w:val="none"/>
          <w:lang w:val="en-US" w:eastAsia="zh-CN" w:bidi="ar-SA"/>
        </w:rPr>
        <w:t xml:space="preserve">十五、其他事宜 </w:t>
      </w:r>
    </w:p>
    <w:p w14:paraId="603C748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第4</w:t>
      </w:r>
      <w:r>
        <w:rPr>
          <w:rFonts w:hint="eastAsia" w:cs="Times New Roman"/>
          <w:color w:val="auto"/>
          <w:kern w:val="0"/>
          <w:sz w:val="21"/>
          <w:szCs w:val="21"/>
          <w:highlight w:val="none"/>
          <w:lang w:val="en-US" w:eastAsia="zh-CN" w:bidi="ar"/>
        </w:rPr>
        <w:t>8</w:t>
      </w:r>
      <w:r>
        <w:rPr>
          <w:rFonts w:hint="default" w:ascii="Times New Roman" w:hAnsi="Times New Roman" w:eastAsia="宋体" w:cs="Times New Roman"/>
          <w:color w:val="auto"/>
          <w:kern w:val="0"/>
          <w:sz w:val="21"/>
          <w:szCs w:val="21"/>
          <w:highlight w:val="none"/>
          <w:lang w:val="en-US" w:eastAsia="zh-CN" w:bidi="ar"/>
        </w:rPr>
        <w:t xml:space="preserve">条 本合同自双方法定代表人或其委托代理人签字、盖章后生效。 </w:t>
      </w:r>
    </w:p>
    <w:p w14:paraId="3DEA26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w:t>
      </w:r>
      <w:r>
        <w:rPr>
          <w:rFonts w:hint="eastAsia" w:cs="Times New Roman"/>
          <w:color w:val="auto"/>
          <w:kern w:val="0"/>
          <w:sz w:val="21"/>
          <w:szCs w:val="21"/>
          <w:highlight w:val="none"/>
          <w:lang w:val="en-US" w:eastAsia="zh-CN" w:bidi="ar"/>
        </w:rPr>
        <w:t>49</w:t>
      </w:r>
      <w:r>
        <w:rPr>
          <w:rFonts w:hint="default" w:ascii="Times New Roman" w:hAnsi="Times New Roman" w:eastAsia="宋体" w:cs="Times New Roman"/>
          <w:color w:val="auto"/>
          <w:kern w:val="0"/>
          <w:sz w:val="21"/>
          <w:szCs w:val="21"/>
          <w:highlight w:val="none"/>
          <w:lang w:val="en-US" w:eastAsia="zh-CN" w:bidi="ar"/>
        </w:rPr>
        <w:t xml:space="preserve">条 本合同一式捌份，甲方陆份，乙方贰份，具有同等法律效力。 </w:t>
      </w:r>
    </w:p>
    <w:p w14:paraId="2E482E9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第5</w:t>
      </w:r>
      <w:r>
        <w:rPr>
          <w:rFonts w:hint="eastAsia" w:cs="Times New Roman"/>
          <w:color w:val="auto"/>
          <w:kern w:val="0"/>
          <w:sz w:val="21"/>
          <w:szCs w:val="21"/>
          <w:highlight w:val="none"/>
          <w:lang w:val="en-US" w:eastAsia="zh-CN" w:bidi="ar"/>
        </w:rPr>
        <w:t>0</w:t>
      </w:r>
      <w:r>
        <w:rPr>
          <w:rFonts w:hint="default" w:ascii="Times New Roman" w:hAnsi="Times New Roman" w:eastAsia="宋体" w:cs="Times New Roman"/>
          <w:color w:val="auto"/>
          <w:kern w:val="0"/>
          <w:sz w:val="21"/>
          <w:szCs w:val="21"/>
          <w:highlight w:val="none"/>
          <w:lang w:val="en-US" w:eastAsia="zh-CN" w:bidi="ar"/>
        </w:rPr>
        <w:t>条 合同之未尽事宜双方协商解决，必要时可签定补充协议。补充协议经双方签字</w:t>
      </w:r>
      <w:r>
        <w:rPr>
          <w:rFonts w:hint="default" w:ascii="Times New Roman" w:hAnsi="Times New Roman"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盖章后具有与本合同同等法律效力。本合同所附附件与合同正本具有同等法律效力。附件或补充协议不一致的，以较晚订立者为准。</w:t>
      </w:r>
      <w:r>
        <w:rPr>
          <w:rFonts w:hint="eastAsia" w:ascii="宋体" w:hAnsi="宋体" w:eastAsia="宋体" w:cs="宋体"/>
          <w:color w:val="auto"/>
          <w:kern w:val="0"/>
          <w:sz w:val="21"/>
          <w:szCs w:val="21"/>
          <w:highlight w:val="none"/>
          <w:lang w:val="en-US" w:eastAsia="zh-CN" w:bidi="ar"/>
        </w:rPr>
        <w:t xml:space="preserve"> </w:t>
      </w:r>
    </w:p>
    <w:p w14:paraId="1F616F67">
      <w:pPr>
        <w:widowControl w:val="0"/>
        <w:spacing w:after="120" w:afterLines="0" w:afterAutospacing="0"/>
        <w:jc w:val="both"/>
        <w:rPr>
          <w:rFonts w:hint="eastAsia" w:ascii="Calibri" w:hAnsi="Calibri" w:eastAsia="宋体" w:cs="Times New Roman"/>
          <w:color w:val="auto"/>
          <w:kern w:val="2"/>
          <w:sz w:val="21"/>
          <w:szCs w:val="22"/>
          <w:highlight w:val="none"/>
          <w:lang w:val="en-US" w:eastAsia="zh-CN" w:bidi="ar-SA"/>
        </w:rPr>
      </w:pPr>
    </w:p>
    <w:tbl>
      <w:tblPr>
        <w:tblStyle w:val="29"/>
        <w:tblW w:w="8850"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Layout w:type="fixed"/>
        <w:tblCellMar>
          <w:top w:w="0" w:type="dxa"/>
          <w:left w:w="108" w:type="dxa"/>
          <w:bottom w:w="0" w:type="dxa"/>
          <w:right w:w="108" w:type="dxa"/>
        </w:tblCellMar>
      </w:tblPr>
      <w:tblGrid>
        <w:gridCol w:w="4263"/>
        <w:gridCol w:w="4587"/>
      </w:tblGrid>
      <w:tr w14:paraId="41BC77D9">
        <w:tblPrEx>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CellMar>
            <w:top w:w="0" w:type="dxa"/>
            <w:left w:w="108" w:type="dxa"/>
            <w:bottom w:w="0" w:type="dxa"/>
            <w:right w:w="108" w:type="dxa"/>
          </w:tblCellMar>
        </w:tblPrEx>
        <w:trPr>
          <w:cantSplit/>
          <w:trHeight w:val="3968" w:hRule="atLeast"/>
          <w:jc w:val="center"/>
        </w:trPr>
        <w:tc>
          <w:tcPr>
            <w:tcW w:w="4263" w:type="dxa"/>
            <w:tcBorders>
              <w:top w:val="single" w:color="auto" w:sz="12" w:space="0"/>
              <w:left w:val="single" w:color="auto" w:sz="12" w:space="0"/>
              <w:bottom w:val="single" w:color="auto" w:sz="12" w:space="0"/>
              <w:right w:val="single" w:color="auto" w:sz="8" w:space="0"/>
            </w:tcBorders>
            <w:vAlign w:val="top"/>
          </w:tcPr>
          <w:p w14:paraId="5B8D5E5B">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hint="eastAsia" w:ascii="宋体" w:hAnsi="宋体"/>
                <w:color w:val="auto"/>
                <w:kern w:val="2"/>
                <w:sz w:val="22"/>
                <w:szCs w:val="22"/>
                <w:highlight w:val="none"/>
                <w:lang w:val="en-US" w:eastAsia="zh-CN"/>
              </w:rPr>
              <w:t>甲方</w:t>
            </w:r>
            <w:r>
              <w:rPr>
                <w:rFonts w:hint="eastAsia" w:ascii="宋体" w:hAnsi="宋体"/>
                <w:color w:val="auto"/>
                <w:kern w:val="2"/>
                <w:sz w:val="22"/>
                <w:szCs w:val="22"/>
                <w:highlight w:val="none"/>
              </w:rPr>
              <w:t>(章)：</w:t>
            </w:r>
          </w:p>
          <w:p w14:paraId="18D2BA5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0" w:firstLineChars="0"/>
              <w:jc w:val="both"/>
              <w:textAlignment w:val="auto"/>
              <w:rPr>
                <w:rFonts w:ascii="宋体" w:hAnsi="Calibri" w:eastAsia="宋体" w:cs="Times New Roman"/>
                <w:color w:val="auto"/>
                <w:kern w:val="2"/>
                <w:sz w:val="22"/>
                <w:szCs w:val="22"/>
                <w:highlight w:val="none"/>
                <w:lang w:val="en-US" w:eastAsia="zh-CN" w:bidi="ar-SA"/>
              </w:rPr>
            </w:pPr>
          </w:p>
          <w:p w14:paraId="331EE27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Calibri" w:eastAsia="宋体" w:cs="Times New Roman"/>
                <w:color w:val="auto"/>
                <w:kern w:val="2"/>
                <w:sz w:val="22"/>
                <w:szCs w:val="22"/>
                <w:highlight w:val="none"/>
                <w:lang w:val="en-US" w:eastAsia="zh-CN" w:bidi="ar-SA"/>
              </w:rPr>
            </w:pPr>
            <w:r>
              <w:rPr>
                <w:rFonts w:hint="eastAsia" w:ascii="宋体" w:hAnsi="Calibri" w:eastAsia="宋体" w:cs="Times New Roman"/>
                <w:color w:val="auto"/>
                <w:kern w:val="2"/>
                <w:sz w:val="22"/>
                <w:szCs w:val="22"/>
                <w:highlight w:val="none"/>
                <w:lang w:val="en-US" w:eastAsia="zh-CN" w:bidi="ar-SA"/>
              </w:rPr>
              <w:t>住      所：</w:t>
            </w:r>
          </w:p>
          <w:p w14:paraId="3529BA7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Calibri" w:eastAsia="宋体" w:cs="Times New Roman"/>
                <w:color w:val="auto"/>
                <w:kern w:val="2"/>
                <w:sz w:val="22"/>
                <w:szCs w:val="22"/>
                <w:highlight w:val="none"/>
                <w:lang w:val="en-US" w:eastAsia="zh-CN" w:bidi="ar-SA"/>
              </w:rPr>
            </w:pPr>
          </w:p>
          <w:p w14:paraId="447DDA25">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hint="eastAsia" w:ascii="宋体" w:hAnsi="宋体"/>
                <w:color w:val="auto"/>
                <w:kern w:val="2"/>
                <w:sz w:val="22"/>
                <w:szCs w:val="22"/>
                <w:highlight w:val="none"/>
              </w:rPr>
              <w:t>法定代表人(或委托代理人)：</w:t>
            </w:r>
          </w:p>
          <w:p w14:paraId="64E22D78">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p>
          <w:p w14:paraId="67C088EA">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ascii="宋体" w:hAnsi="宋体"/>
                <w:color w:val="auto"/>
                <w:kern w:val="2"/>
                <w:sz w:val="22"/>
                <w:szCs w:val="22"/>
                <w:highlight w:val="none"/>
              </w:rPr>
              <w:t>联</w:t>
            </w:r>
            <w:r>
              <w:rPr>
                <w:rFonts w:hint="eastAsia" w:ascii="宋体" w:hAnsi="宋体"/>
                <w:color w:val="auto"/>
                <w:kern w:val="2"/>
                <w:sz w:val="22"/>
                <w:szCs w:val="22"/>
                <w:highlight w:val="none"/>
              </w:rPr>
              <w:t xml:space="preserve"> </w:t>
            </w:r>
            <w:r>
              <w:rPr>
                <w:rFonts w:ascii="宋体" w:hAnsi="宋体"/>
                <w:color w:val="auto"/>
                <w:kern w:val="2"/>
                <w:sz w:val="22"/>
                <w:szCs w:val="22"/>
                <w:highlight w:val="none"/>
              </w:rPr>
              <w:t>系</w:t>
            </w:r>
            <w:r>
              <w:rPr>
                <w:rFonts w:hint="eastAsia" w:ascii="宋体" w:hAnsi="宋体"/>
                <w:color w:val="auto"/>
                <w:kern w:val="2"/>
                <w:sz w:val="22"/>
                <w:szCs w:val="22"/>
                <w:highlight w:val="none"/>
              </w:rPr>
              <w:t xml:space="preserve"> </w:t>
            </w:r>
            <w:r>
              <w:rPr>
                <w:rFonts w:ascii="宋体" w:hAnsi="宋体"/>
                <w:color w:val="auto"/>
                <w:kern w:val="2"/>
                <w:sz w:val="22"/>
                <w:szCs w:val="22"/>
                <w:highlight w:val="none"/>
              </w:rPr>
              <w:t>人：</w:t>
            </w:r>
          </w:p>
          <w:p w14:paraId="02CA0AAE">
            <w:pPr>
              <w:widowControl w:val="0"/>
              <w:ind w:left="400" w:leftChars="200"/>
              <w:jc w:val="both"/>
              <w:rPr>
                <w:rFonts w:ascii="Calibri" w:hAnsi="Calibri" w:eastAsia="宋体" w:cs="Times New Roman"/>
                <w:color w:val="auto"/>
                <w:kern w:val="2"/>
                <w:sz w:val="21"/>
                <w:szCs w:val="22"/>
                <w:highlight w:val="none"/>
                <w:lang w:val="en-US" w:eastAsia="zh-CN" w:bidi="ar-SA"/>
              </w:rPr>
            </w:pPr>
          </w:p>
          <w:p w14:paraId="15238C63">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color w:val="auto"/>
                <w:kern w:val="2"/>
                <w:sz w:val="22"/>
                <w:szCs w:val="22"/>
                <w:highlight w:val="none"/>
              </w:rPr>
            </w:pPr>
            <w:r>
              <w:rPr>
                <w:rFonts w:hint="eastAsia" w:ascii="宋体" w:hAnsi="宋体"/>
                <w:color w:val="auto"/>
                <w:kern w:val="2"/>
                <w:sz w:val="22"/>
                <w:szCs w:val="22"/>
                <w:highlight w:val="none"/>
              </w:rPr>
              <w:t xml:space="preserve">电    话： </w:t>
            </w:r>
          </w:p>
          <w:p w14:paraId="44A02A60">
            <w:pPr>
              <w:widowControl w:val="0"/>
              <w:ind w:left="400" w:leftChars="200"/>
              <w:jc w:val="both"/>
              <w:rPr>
                <w:rFonts w:ascii="Calibri" w:hAnsi="Calibri" w:eastAsia="宋体" w:cs="Times New Roman"/>
                <w:color w:val="auto"/>
                <w:kern w:val="2"/>
                <w:sz w:val="21"/>
                <w:szCs w:val="22"/>
                <w:highlight w:val="none"/>
                <w:lang w:val="en-US" w:eastAsia="zh-CN" w:bidi="ar-SA"/>
              </w:rPr>
            </w:pPr>
          </w:p>
          <w:p w14:paraId="4D9C901C">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color w:val="auto"/>
                <w:kern w:val="2"/>
                <w:sz w:val="22"/>
                <w:szCs w:val="22"/>
                <w:highlight w:val="none"/>
              </w:rPr>
            </w:pPr>
            <w:r>
              <w:rPr>
                <w:rFonts w:hint="eastAsia" w:ascii="宋体" w:hAnsi="宋体"/>
                <w:color w:val="auto"/>
                <w:kern w:val="2"/>
                <w:sz w:val="22"/>
                <w:szCs w:val="22"/>
                <w:highlight w:val="none"/>
              </w:rPr>
              <w:t>开户银行：</w:t>
            </w:r>
          </w:p>
          <w:p w14:paraId="76AE19D4">
            <w:pPr>
              <w:widowControl w:val="0"/>
              <w:ind w:left="400" w:leftChars="200"/>
              <w:jc w:val="both"/>
              <w:rPr>
                <w:rFonts w:ascii="Calibri" w:hAnsi="Calibri" w:eastAsia="宋体" w:cs="Times New Roman"/>
                <w:color w:val="auto"/>
                <w:kern w:val="2"/>
                <w:sz w:val="21"/>
                <w:szCs w:val="22"/>
                <w:highlight w:val="none"/>
                <w:lang w:val="en-US" w:eastAsia="zh-CN" w:bidi="ar-SA"/>
              </w:rPr>
            </w:pPr>
          </w:p>
          <w:p w14:paraId="0328F0D4">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hint="eastAsia" w:ascii="宋体" w:hAnsi="宋体"/>
                <w:color w:val="auto"/>
                <w:kern w:val="2"/>
                <w:sz w:val="22"/>
                <w:szCs w:val="22"/>
                <w:highlight w:val="none"/>
              </w:rPr>
              <w:t>账    号：</w:t>
            </w:r>
          </w:p>
        </w:tc>
        <w:tc>
          <w:tcPr>
            <w:tcW w:w="4587" w:type="dxa"/>
            <w:tcBorders>
              <w:top w:val="single" w:color="auto" w:sz="12" w:space="0"/>
              <w:left w:val="single" w:color="auto" w:sz="8" w:space="0"/>
              <w:bottom w:val="single" w:color="auto" w:sz="12" w:space="0"/>
              <w:right w:val="single" w:color="auto" w:sz="12" w:space="0"/>
            </w:tcBorders>
            <w:vAlign w:val="top"/>
          </w:tcPr>
          <w:p w14:paraId="630B5A34">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1"/>
                <w:szCs w:val="21"/>
                <w:highlight w:val="none"/>
              </w:rPr>
            </w:pPr>
            <w:r>
              <w:rPr>
                <w:rFonts w:hint="eastAsia" w:ascii="宋体" w:hAnsi="宋体"/>
                <w:color w:val="auto"/>
                <w:kern w:val="2"/>
                <w:sz w:val="22"/>
                <w:szCs w:val="22"/>
                <w:highlight w:val="none"/>
                <w:lang w:val="en-US" w:eastAsia="zh-CN"/>
              </w:rPr>
              <w:t>乙方</w:t>
            </w:r>
            <w:r>
              <w:rPr>
                <w:rFonts w:hint="eastAsia" w:ascii="宋体" w:hAnsi="宋体"/>
                <w:color w:val="auto"/>
                <w:kern w:val="2"/>
                <w:sz w:val="22"/>
                <w:szCs w:val="22"/>
                <w:highlight w:val="none"/>
              </w:rPr>
              <w:t>(章)：</w:t>
            </w:r>
          </w:p>
          <w:p w14:paraId="62C597B8">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p>
          <w:p w14:paraId="4F6F7BB2">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color w:val="auto"/>
                <w:kern w:val="2"/>
                <w:sz w:val="22"/>
                <w:szCs w:val="22"/>
                <w:highlight w:val="none"/>
              </w:rPr>
            </w:pPr>
            <w:r>
              <w:rPr>
                <w:rFonts w:hint="eastAsia" w:ascii="宋体" w:hAnsi="宋体"/>
                <w:color w:val="auto"/>
                <w:kern w:val="2"/>
                <w:sz w:val="22"/>
                <w:szCs w:val="22"/>
                <w:highlight w:val="none"/>
              </w:rPr>
              <w:t xml:space="preserve">住 </w:t>
            </w:r>
            <w:r>
              <w:rPr>
                <w:rFonts w:ascii="宋体" w:hAnsi="宋体"/>
                <w:color w:val="auto"/>
                <w:kern w:val="2"/>
                <w:sz w:val="22"/>
                <w:szCs w:val="22"/>
                <w:highlight w:val="none"/>
              </w:rPr>
              <w:t xml:space="preserve"> </w:t>
            </w:r>
            <w:r>
              <w:rPr>
                <w:rFonts w:hint="eastAsia" w:ascii="宋体" w:hAnsi="宋体"/>
                <w:color w:val="auto"/>
                <w:kern w:val="2"/>
                <w:sz w:val="22"/>
                <w:szCs w:val="22"/>
                <w:highlight w:val="none"/>
              </w:rPr>
              <w:t xml:space="preserve"> 所： </w:t>
            </w:r>
          </w:p>
          <w:p w14:paraId="6CCC6269">
            <w:pPr>
              <w:widowControl w:val="0"/>
              <w:ind w:left="400" w:leftChars="200"/>
              <w:jc w:val="both"/>
              <w:rPr>
                <w:rFonts w:hint="eastAsia" w:ascii="Calibri" w:hAnsi="Calibri" w:eastAsia="宋体" w:cs="Times New Roman"/>
                <w:color w:val="auto"/>
                <w:kern w:val="2"/>
                <w:sz w:val="21"/>
                <w:szCs w:val="22"/>
                <w:highlight w:val="none"/>
                <w:lang w:val="en-US" w:eastAsia="zh-CN" w:bidi="ar-SA"/>
              </w:rPr>
            </w:pPr>
          </w:p>
          <w:p w14:paraId="750C3988">
            <w:pPr>
              <w:widowControl w:val="0"/>
              <w:ind w:left="400" w:leftChars="200"/>
              <w:jc w:val="both"/>
              <w:rPr>
                <w:rFonts w:ascii="Calibri" w:hAnsi="Calibri" w:eastAsia="宋体" w:cs="Times New Roman"/>
                <w:color w:val="auto"/>
                <w:kern w:val="2"/>
                <w:sz w:val="21"/>
                <w:szCs w:val="22"/>
                <w:highlight w:val="none"/>
                <w:lang w:val="en-US" w:eastAsia="zh-CN" w:bidi="ar-SA"/>
              </w:rPr>
            </w:pPr>
          </w:p>
          <w:p w14:paraId="36D36D34">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hint="eastAsia" w:ascii="宋体" w:hAnsi="宋体"/>
                <w:color w:val="auto"/>
                <w:spacing w:val="20"/>
                <w:kern w:val="2"/>
                <w:sz w:val="22"/>
                <w:szCs w:val="22"/>
                <w:highlight w:val="none"/>
              </w:rPr>
              <w:t>法定代表</w:t>
            </w:r>
            <w:r>
              <w:rPr>
                <w:rFonts w:hint="eastAsia" w:ascii="宋体" w:hAnsi="宋体"/>
                <w:color w:val="auto"/>
                <w:kern w:val="2"/>
                <w:sz w:val="22"/>
                <w:szCs w:val="22"/>
                <w:highlight w:val="none"/>
              </w:rPr>
              <w:t xml:space="preserve">人(或委托代理人)： </w:t>
            </w:r>
          </w:p>
          <w:p w14:paraId="58013D3A">
            <w:pPr>
              <w:keepNext w:val="0"/>
              <w:keepLines w:val="0"/>
              <w:pageBreakBefore w:val="0"/>
              <w:widowControl/>
              <w:tabs>
                <w:tab w:val="center" w:pos="2353"/>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p>
          <w:p w14:paraId="26F7C952">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ascii="宋体" w:hAnsi="宋体"/>
                <w:color w:val="auto"/>
                <w:kern w:val="2"/>
                <w:sz w:val="22"/>
                <w:szCs w:val="22"/>
                <w:highlight w:val="none"/>
              </w:rPr>
              <w:t>联</w:t>
            </w:r>
            <w:r>
              <w:rPr>
                <w:rFonts w:hint="eastAsia" w:ascii="宋体" w:hAnsi="宋体"/>
                <w:color w:val="auto"/>
                <w:kern w:val="2"/>
                <w:sz w:val="22"/>
                <w:szCs w:val="22"/>
                <w:highlight w:val="none"/>
              </w:rPr>
              <w:t xml:space="preserve"> </w:t>
            </w:r>
            <w:r>
              <w:rPr>
                <w:rFonts w:ascii="宋体" w:hAnsi="宋体"/>
                <w:color w:val="auto"/>
                <w:kern w:val="2"/>
                <w:sz w:val="22"/>
                <w:szCs w:val="22"/>
                <w:highlight w:val="none"/>
              </w:rPr>
              <w:t>系</w:t>
            </w:r>
            <w:r>
              <w:rPr>
                <w:rFonts w:hint="eastAsia" w:ascii="宋体" w:hAnsi="宋体"/>
                <w:color w:val="auto"/>
                <w:kern w:val="2"/>
                <w:sz w:val="22"/>
                <w:szCs w:val="22"/>
                <w:highlight w:val="none"/>
              </w:rPr>
              <w:t xml:space="preserve"> </w:t>
            </w:r>
            <w:r>
              <w:rPr>
                <w:rFonts w:ascii="宋体" w:hAnsi="宋体"/>
                <w:color w:val="auto"/>
                <w:kern w:val="2"/>
                <w:sz w:val="22"/>
                <w:szCs w:val="22"/>
                <w:highlight w:val="none"/>
              </w:rPr>
              <w:t>人：</w:t>
            </w:r>
          </w:p>
          <w:p w14:paraId="1781E510">
            <w:pPr>
              <w:widowControl w:val="0"/>
              <w:ind w:left="400" w:leftChars="200"/>
              <w:jc w:val="both"/>
              <w:rPr>
                <w:rFonts w:ascii="Calibri" w:hAnsi="Calibri" w:eastAsia="宋体" w:cs="Times New Roman"/>
                <w:color w:val="auto"/>
                <w:kern w:val="2"/>
                <w:sz w:val="21"/>
                <w:szCs w:val="22"/>
                <w:highlight w:val="none"/>
                <w:lang w:val="en-US" w:eastAsia="zh-CN" w:bidi="ar-SA"/>
              </w:rPr>
            </w:pPr>
          </w:p>
          <w:p w14:paraId="3058E9A8">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color w:val="auto"/>
                <w:kern w:val="2"/>
                <w:sz w:val="22"/>
                <w:szCs w:val="22"/>
                <w:highlight w:val="none"/>
              </w:rPr>
            </w:pPr>
            <w:r>
              <w:rPr>
                <w:rFonts w:hint="eastAsia" w:ascii="宋体" w:hAnsi="宋体"/>
                <w:color w:val="auto"/>
                <w:kern w:val="2"/>
                <w:sz w:val="22"/>
                <w:szCs w:val="22"/>
                <w:highlight w:val="none"/>
              </w:rPr>
              <w:t xml:space="preserve">电    话： </w:t>
            </w:r>
          </w:p>
          <w:p w14:paraId="7A5BCDBB">
            <w:pPr>
              <w:widowControl w:val="0"/>
              <w:ind w:left="400" w:leftChars="200"/>
              <w:jc w:val="both"/>
              <w:rPr>
                <w:rFonts w:ascii="Calibri" w:hAnsi="Calibri" w:eastAsia="宋体" w:cs="Times New Roman"/>
                <w:color w:val="auto"/>
                <w:kern w:val="2"/>
                <w:sz w:val="21"/>
                <w:szCs w:val="22"/>
                <w:highlight w:val="none"/>
                <w:lang w:val="en-US" w:eastAsia="zh-CN" w:bidi="ar-SA"/>
              </w:rPr>
            </w:pPr>
          </w:p>
          <w:p w14:paraId="3A4E47FC">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color w:val="auto"/>
                <w:kern w:val="2"/>
                <w:sz w:val="22"/>
                <w:szCs w:val="22"/>
                <w:highlight w:val="none"/>
              </w:rPr>
            </w:pPr>
            <w:r>
              <w:rPr>
                <w:rFonts w:hint="eastAsia" w:ascii="宋体" w:hAnsi="宋体"/>
                <w:color w:val="auto"/>
                <w:kern w:val="2"/>
                <w:sz w:val="22"/>
                <w:szCs w:val="22"/>
                <w:highlight w:val="none"/>
              </w:rPr>
              <w:t>开户银行：</w:t>
            </w:r>
          </w:p>
          <w:p w14:paraId="06A46F37">
            <w:pPr>
              <w:widowControl w:val="0"/>
              <w:ind w:left="400" w:leftChars="200"/>
              <w:jc w:val="both"/>
              <w:rPr>
                <w:rFonts w:ascii="Calibri" w:hAnsi="Calibri" w:eastAsia="宋体" w:cs="Times New Roman"/>
                <w:color w:val="auto"/>
                <w:kern w:val="2"/>
                <w:sz w:val="21"/>
                <w:szCs w:val="22"/>
                <w:highlight w:val="none"/>
                <w:lang w:val="en-US" w:eastAsia="zh-CN" w:bidi="ar-SA"/>
              </w:rPr>
            </w:pPr>
          </w:p>
          <w:p w14:paraId="77E81349">
            <w:pPr>
              <w:keepNext w:val="0"/>
              <w:keepLines w:val="0"/>
              <w:pageBreakBefore w:val="0"/>
              <w:widowControl/>
              <w:tabs>
                <w:tab w:val="left" w:pos="7020"/>
              </w:tabs>
              <w:kinsoku/>
              <w:wordWrap/>
              <w:overflowPunct/>
              <w:topLinePunct w:val="0"/>
              <w:autoSpaceDE/>
              <w:autoSpaceDN/>
              <w:bidi w:val="0"/>
              <w:adjustRightInd/>
              <w:snapToGrid/>
              <w:spacing w:line="360" w:lineRule="auto"/>
              <w:ind w:left="0" w:firstLine="0" w:firstLineChars="0"/>
              <w:jc w:val="both"/>
              <w:textAlignment w:val="auto"/>
              <w:rPr>
                <w:rFonts w:ascii="宋体" w:hAnsi="宋体"/>
                <w:color w:val="auto"/>
                <w:kern w:val="2"/>
                <w:sz w:val="22"/>
                <w:szCs w:val="22"/>
                <w:highlight w:val="none"/>
              </w:rPr>
            </w:pPr>
            <w:r>
              <w:rPr>
                <w:rFonts w:hint="eastAsia" w:ascii="宋体" w:hAnsi="宋体"/>
                <w:color w:val="auto"/>
                <w:kern w:val="2"/>
                <w:sz w:val="22"/>
                <w:szCs w:val="22"/>
                <w:highlight w:val="none"/>
              </w:rPr>
              <w:t>账    号：</w:t>
            </w:r>
          </w:p>
        </w:tc>
      </w:tr>
    </w:tbl>
    <w:p w14:paraId="30B15BD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kern w:val="0"/>
          <w:sz w:val="21"/>
          <w:szCs w:val="21"/>
          <w:highlight w:val="none"/>
          <w:lang w:val="en-US" w:eastAsia="zh-CN" w:bidi="ar"/>
        </w:rPr>
      </w:pPr>
    </w:p>
    <w:p w14:paraId="01C0F82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Calibri" w:hAnsi="Calibri"/>
          <w:b w:val="0"/>
          <w:bCs/>
          <w:color w:val="auto"/>
          <w:kern w:val="2"/>
          <w:sz w:val="28"/>
          <w:szCs w:val="28"/>
          <w:highlight w:val="none"/>
          <w:lang w:val="en-US" w:eastAsia="zh-CN"/>
        </w:rPr>
      </w:pPr>
      <w:bookmarkStart w:id="105" w:name="_Toc246997062"/>
      <w:bookmarkEnd w:id="105"/>
      <w:bookmarkStart w:id="106" w:name="_Toc184635117"/>
      <w:bookmarkEnd w:id="106"/>
      <w:bookmarkStart w:id="107" w:name="_Toc247085834"/>
      <w:bookmarkEnd w:id="107"/>
      <w:bookmarkStart w:id="108" w:name="_Toc369531675"/>
      <w:bookmarkEnd w:id="108"/>
      <w:bookmarkStart w:id="109" w:name="_Toc9766"/>
      <w:bookmarkEnd w:id="109"/>
      <w:bookmarkStart w:id="110" w:name="_Toc246996319"/>
      <w:bookmarkEnd w:id="110"/>
      <w:bookmarkStart w:id="111" w:name="_Toc29298"/>
      <w:bookmarkEnd w:id="111"/>
      <w:bookmarkStart w:id="112" w:name="_Toc369531676"/>
      <w:bookmarkEnd w:id="112"/>
      <w:bookmarkStart w:id="113" w:name="_Toc296602565"/>
      <w:bookmarkEnd w:id="113"/>
    </w:p>
    <w:p w14:paraId="27A06722">
      <w:pPr>
        <w:tabs>
          <w:tab w:val="left" w:pos="7020"/>
        </w:tabs>
        <w:spacing w:line="360" w:lineRule="auto"/>
        <w:rPr>
          <w:rFonts w:ascii="宋体" w:hAnsi="宋体" w:eastAsia="宋体"/>
          <w:b/>
          <w:bCs/>
          <w:color w:val="auto"/>
          <w:sz w:val="22"/>
          <w:szCs w:val="22"/>
          <w:highlight w:val="none"/>
        </w:rPr>
      </w:pPr>
    </w:p>
    <w:p w14:paraId="61B56F20">
      <w:pPr>
        <w:rPr>
          <w:rFonts w:eastAsia="宋体"/>
          <w:color w:val="auto"/>
          <w:highlight w:val="none"/>
        </w:rPr>
      </w:pPr>
    </w:p>
    <w:p w14:paraId="7ACC386F">
      <w:pPr>
        <w:rPr>
          <w:rFonts w:ascii="宋体"/>
          <w:b/>
          <w:color w:val="auto"/>
          <w:kern w:val="2"/>
          <w:sz w:val="32"/>
          <w:szCs w:val="32"/>
          <w:highlight w:val="none"/>
        </w:rPr>
      </w:pPr>
      <w:r>
        <w:rPr>
          <w:rFonts w:ascii="宋体"/>
          <w:b/>
          <w:color w:val="auto"/>
          <w:kern w:val="2"/>
          <w:sz w:val="32"/>
          <w:szCs w:val="32"/>
          <w:highlight w:val="none"/>
        </w:rPr>
        <w:br w:type="page"/>
      </w:r>
    </w:p>
    <w:p w14:paraId="120A787A">
      <w:pPr>
        <w:pageBreakBefore/>
        <w:tabs>
          <w:tab w:val="left" w:pos="3060"/>
          <w:tab w:val="left" w:pos="3420"/>
        </w:tabs>
        <w:spacing w:line="400" w:lineRule="exact"/>
        <w:jc w:val="center"/>
        <w:outlineLvl w:val="0"/>
        <w:rPr>
          <w:rFonts w:hint="default" w:ascii="Times New Roman" w:hAnsi="Times New Roman" w:cs="Times New Roman"/>
          <w:color w:val="auto"/>
          <w:highlight w:val="none"/>
        </w:rPr>
      </w:pPr>
      <w:r>
        <w:rPr>
          <w:rFonts w:ascii="宋体"/>
          <w:b/>
          <w:color w:val="auto"/>
          <w:kern w:val="2"/>
          <w:sz w:val="32"/>
          <w:szCs w:val="32"/>
          <w:highlight w:val="none"/>
        </w:rPr>
        <w:t xml:space="preserve">第四章 </w:t>
      </w:r>
      <w:bookmarkEnd w:id="98"/>
      <w:bookmarkEnd w:id="99"/>
      <w:bookmarkEnd w:id="100"/>
      <w:bookmarkEnd w:id="101"/>
      <w:r>
        <w:rPr>
          <w:rFonts w:hint="eastAsia" w:ascii="宋体"/>
          <w:b/>
          <w:color w:val="auto"/>
          <w:kern w:val="2"/>
          <w:sz w:val="32"/>
          <w:szCs w:val="32"/>
          <w:highlight w:val="none"/>
        </w:rPr>
        <w:t>技术规格书</w:t>
      </w:r>
      <w:bookmarkEnd w:id="102"/>
      <w:bookmarkEnd w:id="103"/>
      <w:bookmarkStart w:id="114" w:name="_Toc157586098"/>
      <w:bookmarkEnd w:id="114"/>
      <w:bookmarkStart w:id="115" w:name="_Toc10184883"/>
      <w:bookmarkStart w:id="116" w:name="_Toc152042549"/>
      <w:bookmarkStart w:id="117" w:name="_Toc152042388"/>
      <w:bookmarkStart w:id="118" w:name="_Toc152045610"/>
      <w:bookmarkStart w:id="119" w:name="_Toc10122274"/>
      <w:bookmarkStart w:id="120" w:name="_Toc247527798"/>
      <w:bookmarkStart w:id="121" w:name="_Toc247514197"/>
      <w:bookmarkStart w:id="122" w:name="_Toc300835199"/>
      <w:bookmarkStart w:id="123" w:name="_Toc22166"/>
      <w:bookmarkStart w:id="124" w:name="_Toc184635122"/>
      <w:bookmarkStart w:id="125" w:name="_Toc144974578"/>
      <w:bookmarkStart w:id="126" w:name="_Toc144974829"/>
    </w:p>
    <w:p w14:paraId="152A1471">
      <w:pPr>
        <w:rPr>
          <w:rFonts w:hint="eastAsia"/>
          <w:color w:val="auto"/>
          <w:highlight w:val="none"/>
          <w:lang w:val="en-US" w:eastAsia="zh-CN"/>
        </w:rPr>
      </w:pPr>
    </w:p>
    <w:p w14:paraId="67987C3D">
      <w:pPr>
        <w:snapToGrid w:val="0"/>
        <w:spacing w:before="30" w:after="30" w:line="360" w:lineRule="auto"/>
        <w:jc w:val="center"/>
        <w:rPr>
          <w:rFonts w:hint="default" w:ascii="Times New Roman" w:hAnsi="Times New Roman" w:cs="Times New Roman"/>
          <w:b/>
          <w:color w:val="auto"/>
          <w:spacing w:val="5"/>
          <w:sz w:val="28"/>
          <w:szCs w:val="28"/>
          <w:highlight w:val="none"/>
        </w:rPr>
      </w:pPr>
    </w:p>
    <w:p w14:paraId="67ABC930">
      <w:pPr>
        <w:widowControl/>
        <w:spacing w:line="289" w:lineRule="atLeast"/>
        <w:jc w:val="center"/>
        <w:rPr>
          <w:rFonts w:ascii="Times New Roman" w:hAnsi="Times New Roman"/>
          <w:b/>
          <w:bCs/>
          <w:color w:val="auto"/>
          <w:kern w:val="0"/>
          <w:sz w:val="32"/>
          <w:szCs w:val="32"/>
          <w:highlight w:val="none"/>
        </w:rPr>
      </w:pPr>
    </w:p>
    <w:p w14:paraId="15BBC45B">
      <w:pPr>
        <w:widowControl w:val="0"/>
        <w:snapToGrid w:val="0"/>
        <w:spacing w:before="156" w:beforeLines="50" w:line="288" w:lineRule="auto"/>
        <w:ind w:firstLine="0" w:firstLineChars="0"/>
        <w:jc w:val="center"/>
        <w:rPr>
          <w:rFonts w:hint="eastAsia" w:ascii="黑体" w:hAnsi="黑体" w:eastAsia="黑体" w:cs="黑体"/>
          <w:b/>
          <w:bCs/>
          <w:kern w:val="2"/>
          <w:sz w:val="36"/>
          <w:szCs w:val="36"/>
          <w:highlight w:val="none"/>
        </w:rPr>
      </w:pPr>
      <w:bookmarkStart w:id="127" w:name="_Hlk10552431"/>
      <w:bookmarkStart w:id="128" w:name="_Toc29704"/>
      <w:bookmarkStart w:id="129" w:name="_Toc3873"/>
      <w:bookmarkStart w:id="130" w:name="_Toc7559"/>
      <w:bookmarkStart w:id="131" w:name="_Toc9334"/>
      <w:r>
        <w:rPr>
          <w:rFonts w:hint="eastAsia" w:ascii="黑体" w:hAnsi="黑体" w:eastAsia="黑体" w:cs="黑体"/>
          <w:b/>
          <w:bCs/>
          <w:kern w:val="2"/>
          <w:sz w:val="36"/>
          <w:szCs w:val="36"/>
          <w:highlight w:val="none"/>
        </w:rPr>
        <w:t>中煤集团新疆能源有限公司新疆三塘湖矿区</w:t>
      </w:r>
    </w:p>
    <w:p w14:paraId="0910D735">
      <w:pPr>
        <w:widowControl w:val="0"/>
        <w:snapToGrid w:val="0"/>
        <w:spacing w:before="156" w:beforeLines="50" w:line="288" w:lineRule="auto"/>
        <w:ind w:firstLine="0" w:firstLineChars="0"/>
        <w:jc w:val="center"/>
        <w:rPr>
          <w:rFonts w:hint="eastAsia" w:ascii="黑体" w:hAnsi="黑体" w:eastAsia="黑体" w:cs="黑体"/>
          <w:b/>
          <w:bCs/>
          <w:kern w:val="2"/>
          <w:sz w:val="36"/>
          <w:szCs w:val="36"/>
          <w:highlight w:val="none"/>
        </w:rPr>
      </w:pPr>
      <w:r>
        <w:rPr>
          <w:rFonts w:hint="eastAsia" w:ascii="黑体" w:hAnsi="黑体" w:eastAsia="黑体" w:cs="黑体"/>
          <w:b/>
          <w:bCs/>
          <w:kern w:val="2"/>
          <w:sz w:val="36"/>
          <w:szCs w:val="36"/>
          <w:highlight w:val="none"/>
        </w:rPr>
        <w:t>条湖一号矿井井下</w:t>
      </w:r>
      <w:r>
        <w:rPr>
          <w:rFonts w:hint="eastAsia" w:ascii="黑体" w:hAnsi="黑体" w:eastAsia="黑体" w:cs="黑体"/>
          <w:b/>
          <w:bCs/>
          <w:kern w:val="2"/>
          <w:sz w:val="36"/>
          <w:szCs w:val="36"/>
          <w:highlight w:val="none"/>
          <w:lang w:val="en-US" w:eastAsia="zh-CN"/>
        </w:rPr>
        <w:t>水仓清淤</w:t>
      </w:r>
      <w:r>
        <w:rPr>
          <w:rFonts w:hint="eastAsia" w:ascii="黑体" w:hAnsi="黑体" w:eastAsia="黑体" w:cs="黑体"/>
          <w:b/>
          <w:bCs/>
          <w:kern w:val="2"/>
          <w:sz w:val="36"/>
          <w:szCs w:val="36"/>
          <w:highlight w:val="none"/>
        </w:rPr>
        <w:t>设备</w:t>
      </w:r>
      <w:r>
        <w:rPr>
          <w:rFonts w:hint="eastAsia" w:ascii="黑体" w:hAnsi="黑体" w:eastAsia="黑体" w:cs="黑体"/>
          <w:b/>
          <w:bCs/>
          <w:kern w:val="2"/>
          <w:sz w:val="36"/>
          <w:szCs w:val="36"/>
          <w:highlight w:val="none"/>
          <w:lang w:eastAsia="zh-CN"/>
        </w:rPr>
        <w:t>（</w:t>
      </w:r>
      <w:r>
        <w:rPr>
          <w:rFonts w:hint="eastAsia" w:ascii="黑体" w:hAnsi="黑体" w:eastAsia="黑体" w:cs="黑体"/>
          <w:b/>
          <w:bCs/>
          <w:kern w:val="2"/>
          <w:sz w:val="36"/>
          <w:szCs w:val="36"/>
          <w:highlight w:val="none"/>
          <w:lang w:val="en-US" w:eastAsia="zh-CN"/>
        </w:rPr>
        <w:t>含电控</w:t>
      </w:r>
      <w:r>
        <w:rPr>
          <w:rFonts w:hint="eastAsia" w:ascii="黑体" w:hAnsi="黑体" w:eastAsia="黑体" w:cs="黑体"/>
          <w:b/>
          <w:bCs/>
          <w:kern w:val="2"/>
          <w:sz w:val="36"/>
          <w:szCs w:val="36"/>
          <w:highlight w:val="none"/>
          <w:lang w:eastAsia="zh-CN"/>
        </w:rPr>
        <w:t>）</w:t>
      </w:r>
      <w:r>
        <w:rPr>
          <w:rFonts w:hint="eastAsia" w:ascii="黑体" w:hAnsi="黑体" w:eastAsia="黑体" w:cs="黑体"/>
          <w:b/>
          <w:bCs/>
          <w:kern w:val="2"/>
          <w:sz w:val="36"/>
          <w:szCs w:val="36"/>
          <w:highlight w:val="none"/>
        </w:rPr>
        <w:t>订货</w:t>
      </w:r>
    </w:p>
    <w:p w14:paraId="742B47E0">
      <w:pPr>
        <w:widowControl w:val="0"/>
        <w:snapToGrid w:val="0"/>
        <w:spacing w:before="156" w:beforeLines="50" w:line="288" w:lineRule="auto"/>
        <w:ind w:firstLine="0" w:firstLineChars="0"/>
        <w:jc w:val="center"/>
        <w:rPr>
          <w:rFonts w:hint="eastAsia" w:ascii="黑体" w:hAnsi="黑体" w:eastAsia="黑体" w:cs="黑体"/>
          <w:b/>
          <w:bCs/>
          <w:kern w:val="2"/>
          <w:sz w:val="36"/>
          <w:szCs w:val="36"/>
          <w:highlight w:val="none"/>
        </w:rPr>
      </w:pPr>
    </w:p>
    <w:p w14:paraId="63D84EB1">
      <w:pPr>
        <w:widowControl w:val="0"/>
        <w:snapToGrid w:val="0"/>
        <w:spacing w:before="156" w:beforeLines="50" w:line="288" w:lineRule="auto"/>
        <w:ind w:firstLine="0" w:firstLineChars="0"/>
        <w:jc w:val="center"/>
        <w:rPr>
          <w:rFonts w:hint="eastAsia" w:ascii="黑体" w:hAnsi="黑体" w:eastAsia="黑体" w:cs="黑体"/>
          <w:b/>
          <w:bCs/>
          <w:kern w:val="2"/>
          <w:sz w:val="36"/>
          <w:szCs w:val="36"/>
          <w:highlight w:val="none"/>
        </w:rPr>
      </w:pPr>
      <w:r>
        <w:rPr>
          <w:rFonts w:hint="eastAsia" w:ascii="黑体" w:hAnsi="黑体" w:eastAsia="黑体" w:cs="黑体"/>
          <w:b/>
          <w:bCs/>
          <w:kern w:val="2"/>
          <w:sz w:val="72"/>
          <w:szCs w:val="72"/>
          <w:highlight w:val="none"/>
        </w:rPr>
        <w:t>技术规格书</w:t>
      </w:r>
    </w:p>
    <w:p w14:paraId="6610FDBB">
      <w:pPr>
        <w:widowControl w:val="0"/>
        <w:spacing w:before="156" w:beforeLines="50" w:line="288" w:lineRule="auto"/>
        <w:ind w:firstLine="0" w:firstLineChars="0"/>
        <w:jc w:val="center"/>
        <w:rPr>
          <w:rFonts w:hint="eastAsia" w:ascii="黑体" w:hAnsi="黑体" w:eastAsia="黑体" w:cs="黑体"/>
          <w:b/>
          <w:bCs/>
          <w:kern w:val="2"/>
          <w:sz w:val="36"/>
          <w:szCs w:val="36"/>
          <w:highlight w:val="none"/>
        </w:rPr>
      </w:pPr>
    </w:p>
    <w:bookmarkEnd w:id="127"/>
    <w:p w14:paraId="1BF91C98">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3A953B16">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6C6CE40D">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7910BC98">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04738189">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0AA8FF75">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229879E4">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2247EC2B">
      <w:pPr>
        <w:keepNext w:val="0"/>
        <w:keepLines w:val="0"/>
        <w:widowControl w:val="0"/>
        <w:suppressLineNumbers w:val="0"/>
        <w:spacing w:before="156" w:beforeLines="50" w:beforeAutospacing="0" w:after="0" w:afterAutospacing="0" w:line="240" w:lineRule="auto"/>
        <w:ind w:left="0" w:right="0" w:firstLine="420" w:firstLineChars="200"/>
        <w:jc w:val="both"/>
        <w:rPr>
          <w:rFonts w:hint="eastAsia" w:ascii="Times New Roman" w:hAnsi="Times New Roman" w:eastAsia="宋体" w:cs="Times New Roman"/>
          <w:kern w:val="2"/>
          <w:sz w:val="21"/>
          <w:szCs w:val="24"/>
          <w:highlight w:val="none"/>
          <w:lang w:val="en-US" w:eastAsia="zh-CN" w:bidi="ar"/>
        </w:rPr>
      </w:pPr>
    </w:p>
    <w:p w14:paraId="73F1447E">
      <w:pPr>
        <w:pStyle w:val="5"/>
        <w:rPr>
          <w:rFonts w:hint="eastAsia" w:ascii="Times New Roman" w:hAnsi="Times New Roman" w:eastAsia="宋体" w:cs="Times New Roman"/>
          <w:kern w:val="2"/>
          <w:sz w:val="21"/>
          <w:szCs w:val="24"/>
          <w:highlight w:val="none"/>
          <w:lang w:val="en-US" w:eastAsia="zh-CN" w:bidi="ar"/>
        </w:rPr>
      </w:pPr>
    </w:p>
    <w:p w14:paraId="2592BC28">
      <w:pPr>
        <w:rPr>
          <w:rFonts w:hint="eastAsia" w:ascii="Times New Roman" w:hAnsi="Times New Roman" w:eastAsia="宋体" w:cs="Times New Roman"/>
          <w:kern w:val="2"/>
          <w:sz w:val="21"/>
          <w:szCs w:val="24"/>
          <w:highlight w:val="none"/>
          <w:lang w:val="en-US" w:eastAsia="zh-CN" w:bidi="ar"/>
        </w:rPr>
      </w:pPr>
    </w:p>
    <w:p w14:paraId="35AA6B1C">
      <w:pPr>
        <w:pStyle w:val="5"/>
        <w:rPr>
          <w:rFonts w:hint="eastAsia" w:ascii="Times New Roman" w:hAnsi="Times New Roman" w:eastAsia="宋体" w:cs="Times New Roman"/>
          <w:kern w:val="2"/>
          <w:sz w:val="21"/>
          <w:szCs w:val="24"/>
          <w:highlight w:val="none"/>
          <w:lang w:val="en-US" w:eastAsia="zh-CN" w:bidi="ar"/>
        </w:rPr>
      </w:pPr>
    </w:p>
    <w:p w14:paraId="6FFECA6B">
      <w:pPr>
        <w:rPr>
          <w:rFonts w:hint="eastAsia"/>
          <w:highlight w:val="none"/>
          <w:lang w:val="en-US" w:eastAsia="zh-CN"/>
        </w:rPr>
      </w:pPr>
    </w:p>
    <w:p w14:paraId="67D3F0CE">
      <w:pPr>
        <w:widowControl w:val="0"/>
        <w:spacing w:before="156" w:beforeLines="50" w:line="360" w:lineRule="auto"/>
        <w:ind w:firstLine="480" w:firstLineChars="200"/>
        <w:jc w:val="both"/>
        <w:rPr>
          <w:rFonts w:hint="eastAsia" w:ascii="Calibri" w:hAnsi="Calibri"/>
          <w:kern w:val="2"/>
          <w:sz w:val="24"/>
          <w:highlight w:val="none"/>
        </w:rPr>
      </w:pPr>
    </w:p>
    <w:p w14:paraId="26B7B049">
      <w:pPr>
        <w:widowControl w:val="0"/>
        <w:adjustRightInd/>
        <w:snapToGrid/>
        <w:spacing w:before="0" w:beforeLines="0" w:line="240" w:lineRule="auto"/>
        <w:ind w:firstLine="1807" w:firstLineChars="500"/>
        <w:jc w:val="both"/>
        <w:textAlignment w:val="auto"/>
        <w:rPr>
          <w:rFonts w:hint="eastAsia" w:ascii="Times New Roman" w:hAnsi="Times New Roman" w:eastAsia="黑体" w:cs="Times New Roman"/>
          <w:b/>
          <w:spacing w:val="0"/>
          <w:kern w:val="2"/>
          <w:sz w:val="36"/>
          <w:szCs w:val="36"/>
          <w:highlight w:val="none"/>
          <w:lang w:val="en-US" w:eastAsia="zh-CN" w:bidi="ar-SA"/>
        </w:rPr>
      </w:pPr>
      <w:r>
        <w:rPr>
          <w:rFonts w:hint="eastAsia" w:ascii="Times New Roman" w:hAnsi="Times New Roman" w:eastAsia="黑体" w:cs="Times New Roman"/>
          <w:b/>
          <w:spacing w:val="0"/>
          <w:kern w:val="2"/>
          <w:sz w:val="36"/>
          <w:szCs w:val="36"/>
          <w:highlight w:val="none"/>
          <w:lang w:val="en-US" w:eastAsia="zh-CN" w:bidi="ar-SA"/>
        </w:rPr>
        <w:t>中煤天津设计工程有限责任公司</w:t>
      </w:r>
    </w:p>
    <w:p w14:paraId="7E50B871">
      <w:pPr>
        <w:widowControl w:val="0"/>
        <w:spacing w:before="156" w:beforeLines="50" w:line="360" w:lineRule="auto"/>
        <w:ind w:firstLine="480" w:firstLineChars="200"/>
        <w:jc w:val="both"/>
        <w:rPr>
          <w:rFonts w:ascii="Times New Roman" w:hAnsi="Times New Roman"/>
          <w:kern w:val="2"/>
          <w:sz w:val="24"/>
          <w:highlight w:val="none"/>
        </w:rPr>
      </w:pPr>
    </w:p>
    <w:p w14:paraId="698E10E3">
      <w:pPr>
        <w:rPr>
          <w:rFonts w:ascii="Times New Roman" w:hAnsi="Times New Roman"/>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701" w:bottom="1440" w:left="1701" w:header="851" w:footer="992" w:gutter="0"/>
          <w:pgNumType w:fmt="decimal" w:start="1"/>
          <w:cols w:space="720" w:num="1"/>
          <w:titlePg/>
          <w:docGrid w:type="lines" w:linePitch="312" w:charSpace="0"/>
        </w:sectPr>
      </w:pPr>
    </w:p>
    <w:bookmarkEnd w:id="128"/>
    <w:bookmarkEnd w:id="129"/>
    <w:bookmarkEnd w:id="130"/>
    <w:bookmarkEnd w:id="131"/>
    <w:p w14:paraId="061C9E9A">
      <w:pPr>
        <w:pStyle w:val="3"/>
        <w:numPr>
          <w:ilvl w:val="0"/>
          <w:numId w:val="0"/>
        </w:numPr>
        <w:rPr>
          <w:rFonts w:hint="eastAsia" w:ascii="Times New Roman" w:hAnsi="Times New Roman"/>
          <w:color w:val="auto"/>
          <w:highlight w:val="none"/>
        </w:rPr>
      </w:pPr>
      <w:bookmarkStart w:id="132" w:name="_Toc23589"/>
      <w:bookmarkStart w:id="133" w:name="_Toc194515506"/>
      <w:r>
        <w:rPr>
          <w:rFonts w:hint="eastAsia" w:ascii="Times New Roman" w:hAnsi="Times New Roman"/>
          <w:color w:val="auto"/>
          <w:highlight w:val="none"/>
        </w:rPr>
        <w:t>一、总则</w:t>
      </w:r>
      <w:bookmarkEnd w:id="132"/>
    </w:p>
    <w:p w14:paraId="2B261CC1">
      <w:pPr>
        <w:tabs>
          <w:tab w:val="left" w:pos="567"/>
          <w:tab w:val="left" w:pos="1418"/>
        </w:tabs>
        <w:spacing w:line="360" w:lineRule="auto"/>
        <w:ind w:firstLine="482" w:firstLineChars="200"/>
        <w:rPr>
          <w:rFonts w:hint="eastAsia" w:ascii="Times New Roman" w:hAnsi="Times New Roman" w:cs="Arial"/>
          <w:color w:val="auto"/>
          <w:sz w:val="24"/>
          <w:highlight w:val="none"/>
        </w:rPr>
      </w:pPr>
      <w:r>
        <w:rPr>
          <w:rFonts w:hint="eastAsia" w:ascii="Times New Roman" w:hAnsi="Times New Roman"/>
          <w:b/>
          <w:color w:val="auto"/>
          <w:sz w:val="24"/>
          <w:highlight w:val="none"/>
        </w:rPr>
        <w:t>投标方应提供满足工艺的设备，技术规范中仅对设备的参数及数量提出一般要求，投标方有责任在满足招标方土建工程、设备参数与设备配套的合理性进行审核。如无疑义则视为本技术规范完全满足生产及国家环保等相关要求，项目进行中或生产过程中出现的一切问题，投标方负全责。工程范围为所有设备供货、</w:t>
      </w:r>
      <w:r>
        <w:rPr>
          <w:rFonts w:hint="eastAsia" w:ascii="Times New Roman" w:hAnsi="Times New Roman"/>
          <w:b/>
          <w:color w:val="auto"/>
          <w:sz w:val="24"/>
          <w:highlight w:val="none"/>
          <w:lang w:val="en-US" w:eastAsia="zh-CN"/>
        </w:rPr>
        <w:t>备品备件、指导</w:t>
      </w:r>
      <w:r>
        <w:rPr>
          <w:rFonts w:hint="eastAsia" w:ascii="Times New Roman" w:hAnsi="Times New Roman"/>
          <w:b/>
          <w:color w:val="auto"/>
          <w:sz w:val="24"/>
          <w:highlight w:val="none"/>
        </w:rPr>
        <w:t>安装</w:t>
      </w:r>
      <w:r>
        <w:rPr>
          <w:rFonts w:hint="eastAsia" w:ascii="Times New Roman" w:hAnsi="Times New Roman"/>
          <w:b/>
          <w:color w:val="auto"/>
          <w:sz w:val="24"/>
          <w:highlight w:val="none"/>
          <w:lang w:eastAsia="zh-CN"/>
        </w:rPr>
        <w:t>、</w:t>
      </w:r>
      <w:r>
        <w:rPr>
          <w:rFonts w:hint="eastAsia" w:ascii="Times New Roman" w:hAnsi="Times New Roman"/>
          <w:b/>
          <w:color w:val="auto"/>
          <w:sz w:val="24"/>
          <w:highlight w:val="none"/>
        </w:rPr>
        <w:t>调试工作。</w:t>
      </w:r>
    </w:p>
    <w:p w14:paraId="0BCCD88E">
      <w:pPr>
        <w:tabs>
          <w:tab w:val="left" w:pos="567"/>
          <w:tab w:val="left" w:pos="1418"/>
        </w:tabs>
        <w:spacing w:line="360" w:lineRule="auto"/>
        <w:ind w:firstLine="480" w:firstLineChars="200"/>
        <w:rPr>
          <w:rFonts w:hint="eastAsia" w:ascii="Times New Roman" w:hAnsi="Times New Roman"/>
          <w:b w:val="0"/>
          <w:bCs w:val="0"/>
          <w:color w:val="auto"/>
          <w:sz w:val="24"/>
          <w:highlight w:val="none"/>
        </w:rPr>
      </w:pPr>
      <w:r>
        <w:rPr>
          <w:rFonts w:hint="eastAsia" w:ascii="Times New Roman" w:hAnsi="Times New Roman"/>
          <w:b w:val="0"/>
          <w:bCs w:val="0"/>
          <w:color w:val="auto"/>
          <w:sz w:val="24"/>
          <w:highlight w:val="none"/>
        </w:rPr>
        <w:t>1.1  本招标</w:t>
      </w:r>
      <w:r>
        <w:rPr>
          <w:rFonts w:hint="eastAsia" w:ascii="Times New Roman" w:hAnsi="Times New Roman"/>
          <w:b w:val="0"/>
          <w:bCs w:val="0"/>
          <w:color w:val="auto"/>
          <w:sz w:val="24"/>
          <w:highlight w:val="none"/>
          <w:lang w:eastAsia="zh-CN"/>
        </w:rPr>
        <w:t>技术规范</w:t>
      </w:r>
      <w:r>
        <w:rPr>
          <w:rFonts w:hint="eastAsia" w:ascii="Times New Roman" w:hAnsi="Times New Roman"/>
          <w:b w:val="0"/>
          <w:bCs w:val="0"/>
          <w:color w:val="auto"/>
          <w:sz w:val="24"/>
          <w:highlight w:val="none"/>
        </w:rPr>
        <w:t>书用于</w:t>
      </w:r>
      <w:r>
        <w:rPr>
          <w:rFonts w:hint="eastAsia" w:ascii="Times New Roman" w:hAnsi="Times New Roman"/>
          <w:b w:val="0"/>
          <w:bCs w:val="0"/>
          <w:color w:val="auto"/>
          <w:sz w:val="24"/>
          <w:highlight w:val="none"/>
          <w:lang w:val="en-US" w:eastAsia="zh-CN"/>
        </w:rPr>
        <w:t>中煤集团新疆能源有限公司新疆三塘湖矿区条湖一号矿井井下主水仓清淤设备</w:t>
      </w:r>
      <w:r>
        <w:rPr>
          <w:rFonts w:ascii="Times New Roman" w:hAnsi="Times New Roman"/>
          <w:b w:val="0"/>
          <w:bCs w:val="0"/>
          <w:color w:val="auto"/>
          <w:sz w:val="24"/>
          <w:highlight w:val="none"/>
        </w:rPr>
        <w:t>本体及其辅助装置的功能设计、结构、性能、安装和试验等方面的技术要求。</w:t>
      </w:r>
      <w:r>
        <w:rPr>
          <w:rFonts w:hint="eastAsia" w:ascii="Times New Roman" w:hAnsi="Times New Roman"/>
          <w:b w:val="0"/>
          <w:bCs w:val="0"/>
          <w:color w:val="auto"/>
          <w:sz w:val="24"/>
          <w:highlight w:val="none"/>
          <w:lang w:val="en-US" w:eastAsia="zh-CN"/>
        </w:rPr>
        <w:t>井下主水仓清淤设备</w:t>
      </w:r>
      <w:r>
        <w:rPr>
          <w:rFonts w:hint="eastAsia" w:ascii="Times New Roman" w:hAnsi="Times New Roman"/>
          <w:b w:val="0"/>
          <w:bCs w:val="0"/>
          <w:color w:val="auto"/>
          <w:sz w:val="24"/>
          <w:highlight w:val="none"/>
        </w:rPr>
        <w:t>主要包括</w:t>
      </w:r>
      <w:r>
        <w:rPr>
          <w:rFonts w:hint="eastAsia" w:ascii="Times New Roman" w:hAnsi="Times New Roman"/>
          <w:b w:val="0"/>
          <w:bCs w:val="0"/>
          <w:color w:val="auto"/>
          <w:sz w:val="24"/>
          <w:highlight w:val="none"/>
          <w:lang w:eastAsia="zh-CN"/>
        </w:rPr>
        <w:t>斗式液压清挖输送车、</w:t>
      </w:r>
      <w:r>
        <w:rPr>
          <w:rFonts w:hint="eastAsia" w:ascii="Times New Roman" w:hAnsi="Times New Roman"/>
          <w:b w:val="0"/>
          <w:bCs w:val="0"/>
          <w:color w:val="auto"/>
          <w:sz w:val="24"/>
          <w:highlight w:val="none"/>
        </w:rPr>
        <w:t>煤泥粗分机、缓冲搅拌设备、矿用泥浆泵（压滤）、双工作区压滤机、</w:t>
      </w:r>
      <w:r>
        <w:rPr>
          <w:rFonts w:hint="eastAsia" w:ascii="Times New Roman" w:hAnsi="Times New Roman"/>
          <w:b w:val="0"/>
          <w:bCs w:val="0"/>
          <w:color w:val="auto"/>
          <w:sz w:val="24"/>
          <w:highlight w:val="none"/>
          <w:lang w:eastAsia="zh-CN"/>
        </w:rPr>
        <w:t>液压控制泵站、</w:t>
      </w:r>
      <w:r>
        <w:rPr>
          <w:rFonts w:hint="eastAsia" w:ascii="Times New Roman" w:hAnsi="Times New Roman"/>
          <w:b w:val="0"/>
          <w:bCs w:val="0"/>
          <w:color w:val="auto"/>
          <w:sz w:val="24"/>
          <w:highlight w:val="none"/>
          <w:lang w:val="en-US" w:eastAsia="zh-CN"/>
        </w:rPr>
        <w:t>强力胶管及配套电控设备</w:t>
      </w:r>
      <w:r>
        <w:rPr>
          <w:rFonts w:hint="eastAsia" w:ascii="Times New Roman" w:hAnsi="Times New Roman"/>
          <w:b w:val="0"/>
          <w:bCs w:val="0"/>
          <w:color w:val="auto"/>
          <w:sz w:val="24"/>
          <w:highlight w:val="none"/>
        </w:rPr>
        <w:t>等，可实现全自动控制。</w:t>
      </w:r>
    </w:p>
    <w:p w14:paraId="0E2D8043">
      <w:pPr>
        <w:tabs>
          <w:tab w:val="left" w:pos="567"/>
          <w:tab w:val="left" w:pos="1418"/>
        </w:tabs>
        <w:spacing w:line="360" w:lineRule="auto"/>
        <w:ind w:firstLine="480" w:firstLineChars="200"/>
        <w:rPr>
          <w:rFonts w:hint="eastAsia" w:ascii="Times New Roman" w:hAnsi="Times New Roman"/>
          <w:b w:val="0"/>
          <w:bCs w:val="0"/>
          <w:color w:val="auto"/>
          <w:sz w:val="24"/>
          <w:highlight w:val="none"/>
        </w:rPr>
      </w:pPr>
      <w:r>
        <w:rPr>
          <w:rFonts w:hint="eastAsia" w:ascii="宋体"/>
          <w:color w:val="auto"/>
          <w:kern w:val="0"/>
          <w:sz w:val="24"/>
          <w:szCs w:val="24"/>
          <w:highlight w:val="none"/>
        </w:rPr>
        <w:t>★</w:t>
      </w:r>
      <w:r>
        <w:rPr>
          <w:rFonts w:hint="eastAsia" w:ascii="Times New Roman" w:hAnsi="Times New Roman"/>
          <w:b w:val="0"/>
          <w:bCs w:val="0"/>
          <w:color w:val="auto"/>
          <w:sz w:val="24"/>
          <w:highlight w:val="none"/>
        </w:rPr>
        <w:t>设备应取得</w:t>
      </w:r>
      <w:r>
        <w:rPr>
          <w:rFonts w:hint="eastAsia" w:ascii="Times New Roman" w:hAnsi="Times New Roman"/>
          <w:b/>
          <w:bCs/>
          <w:color w:val="auto"/>
          <w:sz w:val="24"/>
          <w:highlight w:val="none"/>
        </w:rPr>
        <w:t>国家矿用产品安全标志证书、防爆合格证</w:t>
      </w:r>
      <w:r>
        <w:rPr>
          <w:rFonts w:hint="eastAsia" w:ascii="Times New Roman" w:hAnsi="Times New Roman"/>
          <w:b w:val="0"/>
          <w:bCs w:val="0"/>
          <w:color w:val="auto"/>
          <w:sz w:val="24"/>
          <w:highlight w:val="none"/>
        </w:rPr>
        <w:t>。同时还应提供相应的技术资料及技术服务。</w:t>
      </w:r>
    </w:p>
    <w:p w14:paraId="20F3B3AD">
      <w:pPr>
        <w:tabs>
          <w:tab w:val="left" w:pos="567"/>
          <w:tab w:val="left" w:pos="1418"/>
        </w:tabs>
        <w:spacing w:line="360" w:lineRule="auto"/>
        <w:ind w:firstLine="480" w:firstLineChars="200"/>
        <w:rPr>
          <w:rFonts w:hint="eastAsia" w:ascii="Times New Roman" w:hAnsi="Times New Roman" w:cs="Arial"/>
          <w:b w:val="0"/>
          <w:bCs w:val="0"/>
          <w:color w:val="auto"/>
          <w:sz w:val="24"/>
          <w:highlight w:val="none"/>
        </w:rPr>
      </w:pPr>
      <w:r>
        <w:rPr>
          <w:rFonts w:hint="eastAsia" w:ascii="Times New Roman" w:hAnsi="Times New Roman" w:cs="Arial"/>
          <w:b w:val="0"/>
          <w:bCs w:val="0"/>
          <w:color w:val="auto"/>
          <w:sz w:val="24"/>
          <w:highlight w:val="none"/>
        </w:rPr>
        <w:t>1.2  本招标</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书提出的是最低限度的技术要求，并未对一切技术细节作出明确规定，也未充分引述有关标准和规范的条文，投标方应保证提供符合本招标</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书和工业标准的优质产品。</w:t>
      </w:r>
    </w:p>
    <w:p w14:paraId="2AA78850">
      <w:pPr>
        <w:tabs>
          <w:tab w:val="left" w:pos="567"/>
          <w:tab w:val="left" w:pos="1418"/>
        </w:tabs>
        <w:spacing w:line="360" w:lineRule="auto"/>
        <w:ind w:firstLine="480" w:firstLineChars="200"/>
        <w:rPr>
          <w:rFonts w:hint="eastAsia" w:ascii="Times New Roman" w:hAnsi="Times New Roman" w:cs="Arial"/>
          <w:b w:val="0"/>
          <w:bCs w:val="0"/>
          <w:color w:val="auto"/>
          <w:sz w:val="24"/>
          <w:highlight w:val="none"/>
        </w:rPr>
      </w:pPr>
      <w:r>
        <w:rPr>
          <w:rFonts w:hint="eastAsia" w:ascii="Times New Roman" w:hAnsi="Times New Roman" w:cs="Arial"/>
          <w:b w:val="0"/>
          <w:bCs w:val="0"/>
          <w:color w:val="auto"/>
          <w:sz w:val="24"/>
          <w:highlight w:val="none"/>
        </w:rPr>
        <w:t>1</w:t>
      </w:r>
      <w:r>
        <w:rPr>
          <w:rFonts w:ascii="Times New Roman" w:hAnsi="Times New Roman" w:cs="Arial"/>
          <w:b w:val="0"/>
          <w:bCs w:val="0"/>
          <w:color w:val="auto"/>
          <w:sz w:val="24"/>
          <w:highlight w:val="none"/>
        </w:rPr>
        <w:t>.</w:t>
      </w:r>
      <w:r>
        <w:rPr>
          <w:rFonts w:hint="eastAsia" w:ascii="Times New Roman" w:hAnsi="Times New Roman" w:cs="Arial"/>
          <w:b w:val="0"/>
          <w:bCs w:val="0"/>
          <w:color w:val="auto"/>
          <w:sz w:val="24"/>
          <w:highlight w:val="none"/>
        </w:rPr>
        <w:t>3  如投标方没有以书面形式对本</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书的条文提出异议，则意味着投标方提供的设备完全符合本</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书的要求。如有异议，无论多么微小，都应在投标书中以“对</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书的意见和同</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书的差异”为标题的专门章节加以详细描述。</w:t>
      </w:r>
    </w:p>
    <w:p w14:paraId="00B87A0B">
      <w:pPr>
        <w:tabs>
          <w:tab w:val="left" w:pos="567"/>
          <w:tab w:val="left" w:pos="1418"/>
        </w:tabs>
        <w:spacing w:line="360" w:lineRule="auto"/>
        <w:ind w:firstLine="480" w:firstLineChars="200"/>
        <w:rPr>
          <w:rFonts w:hint="eastAsia" w:ascii="Times New Roman" w:hAnsi="Times New Roman" w:cs="Arial"/>
          <w:b w:val="0"/>
          <w:bCs w:val="0"/>
          <w:color w:val="auto"/>
          <w:sz w:val="24"/>
          <w:highlight w:val="none"/>
        </w:rPr>
      </w:pPr>
      <w:r>
        <w:rPr>
          <w:rFonts w:hint="eastAsia" w:ascii="Times New Roman" w:hAnsi="Times New Roman" w:cs="Arial"/>
          <w:b w:val="0"/>
          <w:bCs w:val="0"/>
          <w:color w:val="auto"/>
          <w:sz w:val="24"/>
          <w:highlight w:val="none"/>
        </w:rPr>
        <w:t>1.4  在签订合同后，如由于其它原因引起的设计变更，招标方保留对本</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书提出补充要求和修改的权利，投标方应允诺予以配合。如提出修改，具体项目和条件由双方共同商定。</w:t>
      </w:r>
    </w:p>
    <w:p w14:paraId="520ED955">
      <w:pPr>
        <w:tabs>
          <w:tab w:val="left" w:pos="567"/>
          <w:tab w:val="left" w:pos="1418"/>
        </w:tabs>
        <w:spacing w:line="360" w:lineRule="auto"/>
        <w:ind w:firstLine="480" w:firstLineChars="200"/>
        <w:rPr>
          <w:rFonts w:hint="eastAsia" w:ascii="Times New Roman" w:hAnsi="Times New Roman" w:cs="Arial"/>
          <w:b w:val="0"/>
          <w:bCs w:val="0"/>
          <w:color w:val="auto"/>
          <w:sz w:val="24"/>
          <w:highlight w:val="none"/>
        </w:rPr>
      </w:pPr>
      <w:r>
        <w:rPr>
          <w:rFonts w:hint="eastAsia" w:ascii="Times New Roman" w:hAnsi="Times New Roman" w:cs="Arial"/>
          <w:b w:val="0"/>
          <w:bCs w:val="0"/>
          <w:color w:val="auto"/>
          <w:sz w:val="24"/>
          <w:highlight w:val="none"/>
        </w:rPr>
        <w:t>1.5  本招标书所使用的标准如与投标方所执行的标准发生矛盾时，应按较高标准执行。</w:t>
      </w:r>
    </w:p>
    <w:p w14:paraId="5D21F3E0">
      <w:pPr>
        <w:tabs>
          <w:tab w:val="left" w:pos="567"/>
          <w:tab w:val="left" w:pos="1418"/>
        </w:tabs>
        <w:spacing w:line="360" w:lineRule="auto"/>
        <w:ind w:firstLine="480" w:firstLineChars="200"/>
        <w:rPr>
          <w:rFonts w:hint="eastAsia" w:ascii="Times New Roman" w:hAnsi="Times New Roman" w:cs="Arial"/>
          <w:b w:val="0"/>
          <w:bCs w:val="0"/>
          <w:color w:val="auto"/>
          <w:sz w:val="24"/>
          <w:highlight w:val="none"/>
        </w:rPr>
      </w:pPr>
      <w:r>
        <w:rPr>
          <w:rFonts w:hint="eastAsia" w:ascii="Times New Roman" w:hAnsi="Times New Roman" w:cs="Arial"/>
          <w:b w:val="0"/>
          <w:bCs w:val="0"/>
          <w:color w:val="auto"/>
          <w:sz w:val="24"/>
          <w:highlight w:val="none"/>
        </w:rPr>
        <w:t>1.6  本</w:t>
      </w:r>
      <w:r>
        <w:rPr>
          <w:rFonts w:hint="eastAsia" w:ascii="Times New Roman" w:hAnsi="Times New Roman" w:cs="Arial"/>
          <w:b w:val="0"/>
          <w:bCs w:val="0"/>
          <w:color w:val="auto"/>
          <w:sz w:val="24"/>
          <w:highlight w:val="none"/>
          <w:lang w:eastAsia="zh-CN"/>
        </w:rPr>
        <w:t>技术规范</w:t>
      </w:r>
      <w:r>
        <w:rPr>
          <w:rFonts w:hint="eastAsia" w:ascii="Times New Roman" w:hAnsi="Times New Roman" w:cs="Arial"/>
          <w:b w:val="0"/>
          <w:bCs w:val="0"/>
          <w:color w:val="auto"/>
          <w:sz w:val="24"/>
          <w:highlight w:val="none"/>
        </w:rPr>
        <w:t>书经双方签字后作为订货合同的技术条件，与《技术协议书》和合同正文具有同等效力。</w:t>
      </w:r>
    </w:p>
    <w:p w14:paraId="64DF2901">
      <w:pPr>
        <w:pStyle w:val="3"/>
        <w:numPr>
          <w:ilvl w:val="0"/>
          <w:numId w:val="0"/>
        </w:numPr>
        <w:rPr>
          <w:rFonts w:hint="eastAsia" w:ascii="Times New Roman" w:hAnsi="Times New Roman"/>
          <w:color w:val="auto"/>
          <w:highlight w:val="none"/>
        </w:rPr>
      </w:pPr>
      <w:bookmarkStart w:id="134" w:name="_Toc3944"/>
      <w:r>
        <w:rPr>
          <w:rFonts w:hint="eastAsia" w:ascii="Times New Roman" w:hAnsi="Times New Roman"/>
          <w:color w:val="auto"/>
          <w:highlight w:val="none"/>
        </w:rPr>
        <w:t>二、工程概况</w:t>
      </w:r>
      <w:bookmarkEnd w:id="134"/>
    </w:p>
    <w:p w14:paraId="547CC0CB">
      <w:pPr>
        <w:pStyle w:val="55"/>
        <w:rPr>
          <w:rFonts w:hint="default" w:ascii="Times New Roman" w:hAnsi="Times New Roman" w:eastAsia="宋体"/>
          <w:color w:val="auto"/>
          <w:highlight w:val="none"/>
          <w:lang w:val="en-US" w:eastAsia="zh-CN"/>
        </w:rPr>
      </w:pPr>
      <w:r>
        <w:rPr>
          <w:rFonts w:hint="default" w:ascii="Times New Roman" w:hAnsi="Times New Roman" w:cs="Times New Roman"/>
          <w:color w:val="auto"/>
          <w:highlight w:val="none"/>
          <w:lang w:val="en-US" w:eastAsia="zh-CN"/>
        </w:rPr>
        <w:t>条湖一号矿井</w:t>
      </w:r>
      <w:r>
        <w:rPr>
          <w:rFonts w:hint="default" w:ascii="Times New Roman" w:hAnsi="Times New Roman" w:cs="Times New Roman"/>
          <w:color w:val="auto"/>
          <w:highlight w:val="none"/>
        </w:rPr>
        <w:t>位于</w:t>
      </w:r>
      <w:r>
        <w:rPr>
          <w:rFonts w:hint="default" w:ascii="Times New Roman" w:hAnsi="Times New Roman" w:cs="Times New Roman"/>
          <w:color w:val="auto"/>
          <w:highlight w:val="none"/>
          <w:lang w:val="en-US" w:eastAsia="zh-CN"/>
        </w:rPr>
        <w:t>新疆</w:t>
      </w:r>
      <w:r>
        <w:rPr>
          <w:rFonts w:hint="default" w:ascii="Times New Roman" w:hAnsi="Times New Roman" w:cs="Times New Roman"/>
          <w:color w:val="auto"/>
          <w:highlight w:val="none"/>
        </w:rPr>
        <w:t>哈密三塘湖矿区，距约10km，行政区划隶属于新疆巴里坤哈萨克自治县</w:t>
      </w:r>
      <w:r>
        <w:rPr>
          <w:rFonts w:hint="default" w:ascii="Times New Roman" w:hAnsi="Times New Roman" w:cs="Times New Roman"/>
          <w:color w:val="auto"/>
          <w:highlight w:val="none"/>
          <w:lang w:eastAsia="zh-CN"/>
        </w:rPr>
        <w:t>三塘湖镇</w:t>
      </w:r>
      <w:r>
        <w:rPr>
          <w:rFonts w:hint="default" w:ascii="Times New Roman" w:hAnsi="Times New Roman" w:cs="Times New Roman"/>
          <w:color w:val="auto"/>
          <w:highlight w:val="none"/>
        </w:rPr>
        <w:t>管辖。</w:t>
      </w:r>
      <w:r>
        <w:rPr>
          <w:rFonts w:hint="eastAsia" w:ascii="Times New Roman" w:hAnsi="Times New Roman" w:cs="Times New Roman"/>
          <w:color w:val="auto"/>
          <w:highlight w:val="none"/>
          <w:lang w:val="en-US" w:eastAsia="zh-CN"/>
        </w:rPr>
        <w:t>矿井建设规模</w:t>
      </w:r>
      <w:r>
        <w:rPr>
          <w:rFonts w:hint="eastAsia" w:ascii="Times New Roman" w:hAnsi="Times New Roman"/>
          <w:color w:val="auto"/>
          <w:highlight w:val="none"/>
          <w:lang w:val="en-US" w:eastAsia="zh-CN"/>
        </w:rPr>
        <w:t>10.00Mt/a。</w:t>
      </w:r>
    </w:p>
    <w:p w14:paraId="0B8EA610">
      <w:pPr>
        <w:pStyle w:val="5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条湖一号矿井项目由中煤集团新疆能源有限公司（下称“中煤新疆公司”）负责建设。中煤新疆公司是中国中煤能源集团有限公司全资子公司，成立于2020年3月，注册地址为新疆乌鲁木齐经济技术开发区（头屯河区）卫星路447号，注册资本金10亿元，营业期限为无固定期限，统一社会信用代码为91650000MA78L4W9XD。</w:t>
      </w:r>
    </w:p>
    <w:p w14:paraId="33E9EE40">
      <w:pPr>
        <w:pStyle w:val="5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中煤新疆公司前身是中国中煤能源股份有限公司新疆分公司。按照中煤集团区域一体化管理改革工作部署，中煤新疆公司统一负责中煤集团在疆企业安全监管、地方协调、市场营销、区域规划、新能源开发等业务。主营业务包括煤炭、煤化工、煤焦化、电力、铁路、新能源等项目的开发建设和运营，参股中煤电力公司哈密电厂，装机容量132万千瓦。中煤新疆公司所属及管理企业6家，主要项目有：1.50Mt/a犁能露天矿（生产）、1200Mt/a大南湖七号煤矿及选煤厂项目（基建）、10.00Mt/a条湖一矿及配套选煤厂项目（前期）、8.00Mt/a条湖二矿项目及配套选煤厂项目（储备）、8.00Mt/a汉水泉二矿项目（储备）、10.00Mt/a大南湖十号煤矿项目（储备）。</w:t>
      </w:r>
    </w:p>
    <w:p w14:paraId="055AE076">
      <w:pPr>
        <w:pStyle w:val="3"/>
        <w:numPr>
          <w:ilvl w:val="0"/>
          <w:numId w:val="0"/>
        </w:numPr>
        <w:rPr>
          <w:rFonts w:hint="eastAsia" w:ascii="Times New Roman" w:hAnsi="Times New Roman"/>
          <w:color w:val="auto"/>
          <w:highlight w:val="none"/>
        </w:rPr>
      </w:pPr>
      <w:bookmarkStart w:id="135" w:name="_Toc2424"/>
      <w:r>
        <w:rPr>
          <w:rFonts w:hint="eastAsia" w:ascii="Times New Roman" w:hAnsi="Times New Roman"/>
          <w:color w:val="auto"/>
          <w:highlight w:val="none"/>
        </w:rPr>
        <w:t>三、设备运行环境条件</w:t>
      </w:r>
      <w:bookmarkEnd w:id="135"/>
    </w:p>
    <w:p w14:paraId="58D698D5">
      <w:pPr>
        <w:tabs>
          <w:tab w:val="left" w:pos="567"/>
          <w:tab w:val="left" w:pos="1418"/>
        </w:tabs>
        <w:spacing w:line="360" w:lineRule="auto"/>
        <w:ind w:firstLine="482" w:firstLineChars="200"/>
        <w:rPr>
          <w:rFonts w:hint="eastAsia" w:ascii="Times New Roman" w:hAnsi="Times New Roman" w:cs="Arial"/>
          <w:b/>
          <w:color w:val="auto"/>
          <w:sz w:val="24"/>
          <w:highlight w:val="none"/>
        </w:rPr>
      </w:pPr>
      <w:r>
        <w:rPr>
          <w:rFonts w:hint="eastAsia" w:ascii="Times New Roman" w:hAnsi="Times New Roman" w:cs="Arial"/>
          <w:b/>
          <w:color w:val="auto"/>
          <w:sz w:val="24"/>
          <w:highlight w:val="none"/>
        </w:rPr>
        <w:t>3.1</w:t>
      </w:r>
      <w:r>
        <w:rPr>
          <w:rFonts w:hint="eastAsia" w:ascii="Times New Roman" w:hAnsi="Times New Roman" w:cs="Arial"/>
          <w:b/>
          <w:color w:val="auto"/>
          <w:sz w:val="24"/>
          <w:highlight w:val="none"/>
          <w:lang w:val="en-US" w:eastAsia="zh-CN"/>
        </w:rPr>
        <w:t xml:space="preserve">  </w:t>
      </w:r>
      <w:r>
        <w:rPr>
          <w:rFonts w:hint="eastAsia" w:ascii="Times New Roman" w:hAnsi="Times New Roman" w:cs="Arial"/>
          <w:b/>
          <w:color w:val="auto"/>
          <w:sz w:val="24"/>
          <w:highlight w:val="none"/>
        </w:rPr>
        <w:t>地形地貌</w:t>
      </w:r>
    </w:p>
    <w:p w14:paraId="0E58A34A">
      <w:pPr>
        <w:pStyle w:val="55"/>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条湖一号井田位于三塘湖盆地条湖凹陷西部，地势总体为东北低，西南高。最高处</w:t>
      </w:r>
      <w:r>
        <w:rPr>
          <w:rFonts w:hint="eastAsia" w:ascii="Times New Roman" w:hAnsi="Times New Roman"/>
          <w:color w:val="auto"/>
          <w:highlight w:val="none"/>
          <w:lang w:val="en-US" w:eastAsia="zh-CN"/>
        </w:rPr>
        <w:t>位于</w:t>
      </w:r>
      <w:r>
        <w:rPr>
          <w:rFonts w:hint="default" w:ascii="Times New Roman" w:hAnsi="Times New Roman"/>
          <w:color w:val="auto"/>
          <w:highlight w:val="none"/>
          <w:lang w:val="en-US" w:eastAsia="zh-CN"/>
        </w:rPr>
        <w:t>井田南部，地面标高为</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870m，最低处</w:t>
      </w:r>
      <w:r>
        <w:rPr>
          <w:rFonts w:hint="eastAsia" w:ascii="Times New Roman" w:hAnsi="Times New Roman"/>
          <w:color w:val="auto"/>
          <w:highlight w:val="none"/>
          <w:lang w:val="en-US" w:eastAsia="zh-CN"/>
        </w:rPr>
        <w:t>位于</w:t>
      </w:r>
      <w:r>
        <w:rPr>
          <w:rFonts w:hint="default" w:ascii="Times New Roman" w:hAnsi="Times New Roman"/>
          <w:color w:val="auto"/>
          <w:highlight w:val="none"/>
          <w:lang w:val="en-US" w:eastAsia="zh-CN"/>
        </w:rPr>
        <w:t>井田北部，地面标高为</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680m，相对高差190m，总体地形较为平坦；地表多为第四系戈壁砾石，东部发育有数组南北向冲沟。</w:t>
      </w:r>
    </w:p>
    <w:p w14:paraId="43B6C043">
      <w:pPr>
        <w:pStyle w:val="55"/>
        <w:rPr>
          <w:rFonts w:hint="default" w:ascii="Times New Roman" w:hAnsi="Times New Roman" w:cs="Times New Roman"/>
          <w:color w:val="auto"/>
          <w:highlight w:val="none"/>
        </w:rPr>
      </w:pPr>
      <w:r>
        <w:rPr>
          <w:rFonts w:hint="default" w:ascii="Times New Roman" w:hAnsi="Times New Roman"/>
          <w:color w:val="auto"/>
          <w:highlight w:val="none"/>
          <w:lang w:val="en-US" w:eastAsia="zh-CN"/>
        </w:rPr>
        <w:t>井田内无地表水系，仅在暴雨时在局部区域形成短暂的洪水。井田周边水系主要为莫钦乌拉山北</w:t>
      </w:r>
      <w:r>
        <w:rPr>
          <w:rFonts w:hint="eastAsia" w:ascii="Times New Roman" w:hAnsi="Times New Roman"/>
          <w:color w:val="auto"/>
          <w:highlight w:val="none"/>
          <w:lang w:val="en-US" w:eastAsia="zh-CN"/>
        </w:rPr>
        <w:t>坡</w:t>
      </w:r>
      <w:r>
        <w:rPr>
          <w:rFonts w:hint="default" w:ascii="Times New Roman" w:hAnsi="Times New Roman"/>
          <w:color w:val="auto"/>
          <w:highlight w:val="none"/>
          <w:lang w:val="en-US" w:eastAsia="zh-CN"/>
        </w:rPr>
        <w:t>的头道沟、二道沟、三道沟、四道沟、头道白杨沟、二道白杨沟、三道白杨沟等七条常年性河沟，依据《新疆哈密地区水资源评价》，在P=97%</w:t>
      </w:r>
      <w:r>
        <w:rPr>
          <w:rFonts w:hint="default" w:ascii="Times New Roman" w:hAnsi="Times New Roman" w:cs="Times New Roman"/>
          <w:color w:val="auto"/>
          <w:sz w:val="24"/>
          <w:highlight w:val="none"/>
        </w:rPr>
        <w:t>的频率下，三塘湖矿区七条河沟</w:t>
      </w:r>
      <w:r>
        <w:rPr>
          <w:rFonts w:hint="eastAsia" w:ascii="Times New Roman" w:hAnsi="Times New Roman" w:cs="Times New Roman"/>
          <w:color w:val="auto"/>
          <w:sz w:val="24"/>
          <w:highlight w:val="none"/>
          <w:lang w:val="en-US" w:eastAsia="zh-CN"/>
        </w:rPr>
        <w:t>年</w:t>
      </w:r>
      <w:r>
        <w:rPr>
          <w:rFonts w:hint="default" w:ascii="Times New Roman" w:hAnsi="Times New Roman" w:cs="Times New Roman"/>
          <w:color w:val="auto"/>
          <w:sz w:val="24"/>
          <w:highlight w:val="none"/>
        </w:rPr>
        <w:t>径流量为1.598×10</w:t>
      </w:r>
      <w:r>
        <w:rPr>
          <w:rFonts w:hint="default" w:ascii="Times New Roman" w:hAnsi="Times New Roman" w:cs="Times New Roman"/>
          <w:color w:val="auto"/>
          <w:sz w:val="24"/>
          <w:highlight w:val="none"/>
          <w:vertAlign w:val="superscript"/>
        </w:rPr>
        <w:t>7</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p>
    <w:p w14:paraId="7DED370E">
      <w:pPr>
        <w:tabs>
          <w:tab w:val="left" w:pos="567"/>
          <w:tab w:val="left" w:pos="1418"/>
        </w:tabs>
        <w:spacing w:line="360" w:lineRule="auto"/>
        <w:ind w:firstLine="482" w:firstLineChars="200"/>
        <w:rPr>
          <w:rFonts w:hint="eastAsia" w:ascii="Times New Roman" w:hAnsi="Times New Roman" w:cs="Arial"/>
          <w:b/>
          <w:color w:val="auto"/>
          <w:sz w:val="24"/>
          <w:highlight w:val="none"/>
        </w:rPr>
      </w:pPr>
      <w:r>
        <w:rPr>
          <w:rFonts w:hint="eastAsia" w:ascii="Times New Roman" w:hAnsi="Times New Roman" w:cs="Arial"/>
          <w:b/>
          <w:color w:val="auto"/>
          <w:sz w:val="24"/>
          <w:highlight w:val="none"/>
          <w:lang w:val="en-US" w:eastAsia="zh-CN"/>
        </w:rPr>
        <w:t xml:space="preserve">3.2  </w:t>
      </w:r>
      <w:r>
        <w:rPr>
          <w:rFonts w:hint="eastAsia" w:ascii="Times New Roman" w:hAnsi="Times New Roman" w:cs="Arial"/>
          <w:b/>
          <w:color w:val="auto"/>
          <w:sz w:val="24"/>
          <w:highlight w:val="none"/>
        </w:rPr>
        <w:t>气候与气象</w:t>
      </w:r>
    </w:p>
    <w:p w14:paraId="36F1881B">
      <w:pPr>
        <w:pStyle w:val="55"/>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本井田所在地属典型大陆性干旱气候，多风少雨。</w:t>
      </w:r>
    </w:p>
    <w:p w14:paraId="06DAD47C">
      <w:pPr>
        <w:pStyle w:val="55"/>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根据巴里坤气象站多年统计资料：该区风向多为西风，年均风速5.9m/s，最大风速27m/s，7级以上大风年均115.5天；年均气温8℃，高温期在6～9月，7月最高气温40.3℃；冬季在11～3月，1月最低气温-34.3℃；年均降水量199mm；年均蒸发量1716mm；最大积雪厚度0.24m；最大冻土深度1.</w:t>
      </w:r>
      <w:r>
        <w:rPr>
          <w:rFonts w:hint="eastAsia" w:ascii="Times New Roman" w:hAnsi="Times New Roman"/>
          <w:color w:val="auto"/>
          <w:highlight w:val="none"/>
          <w:lang w:val="en-US" w:eastAsia="zh-CN"/>
        </w:rPr>
        <w:t>6</w:t>
      </w:r>
      <w:r>
        <w:rPr>
          <w:rFonts w:hint="default" w:ascii="Times New Roman" w:hAnsi="Times New Roman"/>
          <w:color w:val="auto"/>
          <w:highlight w:val="none"/>
          <w:lang w:val="en-US" w:eastAsia="zh-CN"/>
        </w:rPr>
        <w:t>m左右。</w:t>
      </w:r>
    </w:p>
    <w:p w14:paraId="60944AD8">
      <w:pPr>
        <w:tabs>
          <w:tab w:val="left" w:pos="567"/>
          <w:tab w:val="left" w:pos="1418"/>
        </w:tabs>
        <w:spacing w:line="360" w:lineRule="auto"/>
        <w:ind w:firstLine="482" w:firstLineChars="200"/>
        <w:rPr>
          <w:rFonts w:hint="eastAsia" w:ascii="Times New Roman" w:hAnsi="Times New Roman" w:cs="Arial"/>
          <w:b/>
          <w:color w:val="auto"/>
          <w:sz w:val="24"/>
          <w:highlight w:val="none"/>
        </w:rPr>
      </w:pPr>
      <w:r>
        <w:rPr>
          <w:rFonts w:hint="eastAsia" w:ascii="Times New Roman" w:hAnsi="Times New Roman" w:cs="Arial"/>
          <w:b/>
          <w:color w:val="auto"/>
          <w:sz w:val="24"/>
          <w:highlight w:val="none"/>
          <w:lang w:val="en-US" w:eastAsia="zh-CN"/>
        </w:rPr>
        <w:t xml:space="preserve">3.3  </w:t>
      </w:r>
      <w:r>
        <w:rPr>
          <w:rFonts w:hint="eastAsia" w:ascii="Times New Roman" w:hAnsi="Times New Roman" w:cs="Arial"/>
          <w:b/>
          <w:color w:val="auto"/>
          <w:sz w:val="24"/>
          <w:highlight w:val="none"/>
        </w:rPr>
        <w:t>地震烈度</w:t>
      </w:r>
    </w:p>
    <w:p w14:paraId="4C0806B6">
      <w:pPr>
        <w:pStyle w:val="45"/>
        <w:ind w:firstLine="480"/>
        <w:rPr>
          <w:rFonts w:hint="eastAsia" w:ascii="Times New Roman" w:hAnsi="Times New Roman"/>
          <w:color w:val="auto"/>
          <w:highlight w:val="none"/>
        </w:rPr>
      </w:pPr>
      <w:r>
        <w:rPr>
          <w:rFonts w:hint="eastAsia" w:ascii="Times New Roman" w:hAnsi="Times New Roman"/>
          <w:color w:val="auto"/>
          <w:kern w:val="2"/>
          <w:sz w:val="24"/>
          <w:szCs w:val="20"/>
          <w:highlight w:val="none"/>
          <w:lang w:val="en-US" w:eastAsia="zh-CN" w:bidi="ar-SA"/>
        </w:rPr>
        <w:t>条湖一号井田</w:t>
      </w:r>
      <w:r>
        <w:rPr>
          <w:rFonts w:hint="default" w:ascii="Times New Roman" w:hAnsi="Times New Roman"/>
          <w:color w:val="auto"/>
          <w:kern w:val="2"/>
          <w:sz w:val="24"/>
          <w:szCs w:val="20"/>
          <w:highlight w:val="none"/>
          <w:lang w:val="en-US" w:eastAsia="zh-CN" w:bidi="ar-SA"/>
        </w:rPr>
        <w:t>位于</w:t>
      </w:r>
      <w:r>
        <w:rPr>
          <w:rFonts w:hint="eastAsia" w:ascii="Times New Roman" w:hAnsi="Times New Roman"/>
          <w:color w:val="auto"/>
          <w:kern w:val="2"/>
          <w:sz w:val="24"/>
          <w:szCs w:val="20"/>
          <w:highlight w:val="none"/>
          <w:lang w:val="en-US" w:eastAsia="zh-CN" w:bidi="ar-SA"/>
        </w:rPr>
        <w:t>三塘湖镇</w:t>
      </w:r>
      <w:r>
        <w:rPr>
          <w:rFonts w:hint="default" w:ascii="Times New Roman" w:hAnsi="Times New Roman"/>
          <w:color w:val="auto"/>
          <w:kern w:val="2"/>
          <w:sz w:val="24"/>
          <w:szCs w:val="20"/>
          <w:highlight w:val="none"/>
          <w:lang w:val="en-US" w:eastAsia="zh-CN" w:bidi="ar-SA"/>
        </w:rPr>
        <w:t>，</w:t>
      </w:r>
      <w:r>
        <w:rPr>
          <w:rFonts w:hint="eastAsia" w:ascii="Times New Roman" w:hAnsi="Times New Roman"/>
          <w:color w:val="auto"/>
          <w:kern w:val="2"/>
          <w:sz w:val="24"/>
          <w:szCs w:val="20"/>
          <w:highlight w:val="none"/>
          <w:lang w:val="en-US" w:eastAsia="zh-CN" w:bidi="ar-SA"/>
        </w:rPr>
        <w:t>根据《建筑抗震设计标准》GB/T 50011-2010（2024年版）附录A和《中国地震动参数区划图》GB 18306-2015，抗震设防烈度为7度，设计基本地震加速度值0.10g。</w:t>
      </w:r>
    </w:p>
    <w:p w14:paraId="01F87F2F">
      <w:pPr>
        <w:tabs>
          <w:tab w:val="left" w:pos="567"/>
          <w:tab w:val="left" w:pos="1418"/>
        </w:tabs>
        <w:spacing w:line="360" w:lineRule="auto"/>
        <w:ind w:firstLine="482" w:firstLineChars="200"/>
        <w:rPr>
          <w:rFonts w:hint="default" w:ascii="Times New Roman" w:hAnsi="Times New Roman" w:eastAsia="宋体" w:cs="Arial"/>
          <w:b/>
          <w:color w:val="auto"/>
          <w:sz w:val="24"/>
          <w:highlight w:val="none"/>
          <w:lang w:val="en-US" w:eastAsia="zh-CN"/>
        </w:rPr>
      </w:pPr>
      <w:r>
        <w:rPr>
          <w:rFonts w:hint="eastAsia" w:ascii="Times New Roman" w:hAnsi="Times New Roman" w:cs="Arial"/>
          <w:b/>
          <w:color w:val="auto"/>
          <w:sz w:val="24"/>
          <w:highlight w:val="none"/>
        </w:rPr>
        <w:t>3.</w:t>
      </w:r>
      <w:r>
        <w:rPr>
          <w:rFonts w:hint="eastAsia" w:ascii="Times New Roman" w:hAnsi="Times New Roman" w:cs="Arial"/>
          <w:b/>
          <w:color w:val="auto"/>
          <w:sz w:val="24"/>
          <w:highlight w:val="none"/>
          <w:lang w:val="en-US" w:eastAsia="zh-CN"/>
        </w:rPr>
        <w:t>4  设备运行环境条件</w:t>
      </w:r>
    </w:p>
    <w:p w14:paraId="59E332AE">
      <w:pPr>
        <w:pStyle w:val="45"/>
        <w:ind w:firstLine="480"/>
        <w:rPr>
          <w:rFonts w:hint="default" w:ascii="Times New Roman" w:hAnsi="Times New Roman" w:eastAsia="宋体"/>
          <w:color w:val="auto"/>
          <w:highlight w:val="none"/>
          <w:lang w:val="en-US" w:eastAsia="zh-CN"/>
        </w:rPr>
      </w:pPr>
      <w:r>
        <w:rPr>
          <w:rFonts w:ascii="Times New Roman" w:hAnsi="Times New Roman"/>
          <w:color w:val="auto"/>
          <w:highlight w:val="none"/>
        </w:rPr>
        <w:t>设备安装地点</w:t>
      </w:r>
      <w:r>
        <w:rPr>
          <w:rFonts w:hint="eastAsia" w:ascii="Times New Roman" w:hAnsi="Times New Roman"/>
          <w:color w:val="auto"/>
          <w:highlight w:val="none"/>
        </w:rPr>
        <w:t>：</w:t>
      </w:r>
      <w:r>
        <w:rPr>
          <w:rFonts w:hint="eastAsia" w:ascii="Times New Roman" w:hAnsi="Times New Roman"/>
          <w:color w:val="auto"/>
          <w:highlight w:val="none"/>
          <w:lang w:val="en-US" w:eastAsia="zh-CN"/>
        </w:rPr>
        <w:t>井底水仓附近，水仓入口绝对标高约-1.067m。</w:t>
      </w:r>
    </w:p>
    <w:p w14:paraId="36703861">
      <w:pPr>
        <w:pStyle w:val="45"/>
        <w:ind w:firstLine="480"/>
        <w:rPr>
          <w:rFonts w:ascii="Times New Roman" w:hAnsi="Times New Roman"/>
          <w:color w:val="auto"/>
          <w:highlight w:val="none"/>
        </w:rPr>
      </w:pPr>
      <w:r>
        <w:rPr>
          <w:rFonts w:hint="eastAsia" w:ascii="Times New Roman" w:hAnsi="Times New Roman"/>
          <w:color w:val="auto"/>
          <w:highlight w:val="none"/>
          <w:lang w:val="en-US" w:eastAsia="zh-CN"/>
        </w:rPr>
        <w:t>矿井瓦斯等级</w:t>
      </w:r>
      <w:r>
        <w:rPr>
          <w:rFonts w:hint="eastAsia" w:ascii="Times New Roman" w:hAnsi="Times New Roman"/>
          <w:color w:val="auto"/>
          <w:highlight w:val="none"/>
        </w:rPr>
        <w:t>：低瓦斯矿井，煤尘有爆炸危险</w:t>
      </w:r>
    </w:p>
    <w:p w14:paraId="38CBA415">
      <w:pPr>
        <w:pStyle w:val="45"/>
        <w:ind w:firstLine="480"/>
        <w:rPr>
          <w:rFonts w:hint="eastAsia" w:ascii="Times New Roman" w:hAnsi="Times New Roman"/>
          <w:color w:val="auto"/>
          <w:kern w:val="0"/>
          <w:highlight w:val="none"/>
          <w:lang w:eastAsia="zh-CN"/>
        </w:rPr>
      </w:pPr>
      <w:r>
        <w:rPr>
          <w:rFonts w:hint="eastAsia" w:ascii="Times New Roman" w:hAnsi="Times New Roman"/>
          <w:color w:val="auto"/>
          <w:highlight w:val="none"/>
          <w:lang w:val="en-US" w:eastAsia="zh-CN"/>
        </w:rPr>
        <w:t>系统电源</w:t>
      </w:r>
      <w:r>
        <w:rPr>
          <w:rFonts w:hint="eastAsia" w:ascii="Times New Roman" w:hAnsi="Times New Roman"/>
          <w:color w:val="auto"/>
          <w:highlight w:val="none"/>
        </w:rPr>
        <w:t>：电压</w:t>
      </w:r>
      <w:r>
        <w:rPr>
          <w:rFonts w:hint="eastAsia" w:ascii="Times New Roman" w:hAnsi="Times New Roman"/>
          <w:color w:val="auto"/>
          <w:highlight w:val="none"/>
          <w:lang w:eastAsia="zh-CN"/>
        </w:rPr>
        <w:t>1140V</w:t>
      </w:r>
      <w:r>
        <w:rPr>
          <w:rFonts w:hint="eastAsia" w:ascii="Times New Roman" w:hAnsi="Times New Roman"/>
          <w:color w:val="auto"/>
          <w:highlight w:val="none"/>
        </w:rPr>
        <w:t>。</w:t>
      </w:r>
    </w:p>
    <w:p w14:paraId="03B87FDD">
      <w:pPr>
        <w:pStyle w:val="45"/>
        <w:ind w:firstLine="480"/>
        <w:rPr>
          <w:rFonts w:hint="default" w:ascii="Times New Roman" w:hAnsi="Times New Roman"/>
          <w:color w:val="auto"/>
          <w:kern w:val="0"/>
          <w:highlight w:val="none"/>
          <w:lang w:val="en-US" w:eastAsia="zh-CN"/>
        </w:rPr>
      </w:pPr>
      <w:r>
        <w:rPr>
          <w:rFonts w:hint="eastAsia" w:ascii="Times New Roman" w:hAnsi="Times New Roman"/>
          <w:color w:val="auto"/>
          <w:kern w:val="0"/>
          <w:highlight w:val="none"/>
          <w:lang w:val="en-US" w:eastAsia="zh-CN"/>
        </w:rPr>
        <w:t>水仓概况：水仓总有效容积2400m</w:t>
      </w:r>
      <w:r>
        <w:rPr>
          <w:rFonts w:hint="eastAsia" w:ascii="Times New Roman" w:hAnsi="Times New Roman"/>
          <w:color w:val="auto"/>
          <w:kern w:val="0"/>
          <w:highlight w:val="none"/>
          <w:vertAlign w:val="superscript"/>
          <w:lang w:val="en-US" w:eastAsia="zh-CN"/>
        </w:rPr>
        <w:t>3</w:t>
      </w:r>
      <w:r>
        <w:rPr>
          <w:rFonts w:hint="eastAsia" w:ascii="Times New Roman" w:hAnsi="Times New Roman"/>
          <w:color w:val="auto"/>
          <w:kern w:val="0"/>
          <w:highlight w:val="none"/>
          <w:lang w:val="en-US" w:eastAsia="zh-CN"/>
        </w:rPr>
        <w:t>，水仓断面：5000×3650mm。水仓内未铺设轨道，坡度2‰，水仓内煤泥淤积不均匀。井底水仓平面图详见图1。</w:t>
      </w:r>
    </w:p>
    <w:p w14:paraId="3D5C229D">
      <w:pPr>
        <w:pStyle w:val="3"/>
        <w:numPr>
          <w:ilvl w:val="0"/>
          <w:numId w:val="0"/>
        </w:numPr>
        <w:rPr>
          <w:rFonts w:hint="eastAsia" w:ascii="Times New Roman" w:hAnsi="Times New Roman" w:cs="Arial"/>
          <w:b w:val="0"/>
          <w:color w:val="auto"/>
          <w:sz w:val="24"/>
          <w:highlight w:val="none"/>
        </w:rPr>
      </w:pPr>
      <w:bookmarkStart w:id="136" w:name="_Toc31025"/>
      <w:r>
        <w:rPr>
          <w:rFonts w:hint="eastAsia" w:ascii="Times New Roman" w:hAnsi="Times New Roman"/>
          <w:color w:val="auto"/>
          <w:highlight w:val="none"/>
        </w:rPr>
        <w:t>四、设备要求</w:t>
      </w:r>
      <w:bookmarkEnd w:id="136"/>
    </w:p>
    <w:p w14:paraId="6A347C4B">
      <w:pPr>
        <w:spacing w:line="360" w:lineRule="auto"/>
        <w:ind w:firstLine="482" w:firstLineChars="200"/>
        <w:jc w:val="left"/>
        <w:rPr>
          <w:rFonts w:hint="eastAsia" w:ascii="Times New Roman" w:hAnsi="Times New Roman" w:eastAsia="宋体" w:cs="Arial"/>
          <w:b/>
          <w:color w:val="auto"/>
          <w:sz w:val="24"/>
          <w:highlight w:val="none"/>
          <w:lang w:val="en-US" w:eastAsia="zh-CN"/>
        </w:rPr>
      </w:pPr>
      <w:r>
        <w:rPr>
          <w:rFonts w:hint="eastAsia" w:ascii="Times New Roman" w:hAnsi="Times New Roman" w:eastAsia="宋体" w:cs="Arial"/>
          <w:b/>
          <w:color w:val="auto"/>
          <w:sz w:val="24"/>
          <w:highlight w:val="none"/>
          <w:lang w:val="en-US" w:eastAsia="zh-CN"/>
        </w:rPr>
        <w:t>4.1设备工作原理</w:t>
      </w:r>
    </w:p>
    <w:p w14:paraId="4A72C49F">
      <w:pPr>
        <w:spacing w:line="360" w:lineRule="auto"/>
        <w:ind w:firstLine="480" w:firstLineChars="200"/>
        <w:jc w:val="left"/>
        <w:rPr>
          <w:rFonts w:hint="eastAsia" w:ascii="Times New Roman" w:hAnsi="Times New Roman" w:cs="Arial"/>
          <w:b/>
          <w:color w:val="auto"/>
          <w:sz w:val="24"/>
          <w:highlight w:val="none"/>
        </w:rPr>
      </w:pPr>
      <w:r>
        <w:rPr>
          <w:rFonts w:hint="eastAsia" w:ascii="Times New Roman" w:hAnsi="Times New Roman" w:cs="Arial"/>
          <w:color w:val="auto"/>
          <w:sz w:val="24"/>
          <w:highlight w:val="none"/>
          <w:lang w:val="en-US" w:eastAsia="zh-CN"/>
        </w:rPr>
        <w:t>水仓清理工作首先由斗式液压清挖输送车将煤泥浆料运送到煤泥粗分机内，煤泥粗分机对煤泥进行初步的粗细分离、粗煤泥由矿方指定车辆外运，细煤泥浆进入粗分机下部搅缓冲搅拌设备内，通过搅拌叶片对煤泥进行二次搅拌，使之均匀不沉淀，矿用泥浆泵将搅拌罐内的细煤泥浆压入双工作区压滤机进行脱水。脱水后的煤泥由矿车外运，清仓过程完毕。</w:t>
      </w:r>
    </w:p>
    <w:p w14:paraId="7BEB68B2">
      <w:pPr>
        <w:spacing w:line="360" w:lineRule="auto"/>
        <w:ind w:firstLine="482" w:firstLineChars="200"/>
        <w:jc w:val="left"/>
        <w:rPr>
          <w:rFonts w:hint="eastAsia" w:ascii="Times New Roman" w:hAnsi="Times New Roman" w:cs="Arial"/>
          <w:b/>
          <w:color w:val="auto"/>
          <w:sz w:val="24"/>
          <w:highlight w:val="none"/>
        </w:rPr>
      </w:pPr>
      <w:r>
        <w:rPr>
          <w:rFonts w:hint="eastAsia" w:ascii="Times New Roman" w:hAnsi="Times New Roman" w:cs="Arial"/>
          <w:b/>
          <w:color w:val="auto"/>
          <w:sz w:val="24"/>
          <w:highlight w:val="none"/>
        </w:rPr>
        <w:t>4.</w:t>
      </w:r>
      <w:r>
        <w:rPr>
          <w:rFonts w:hint="eastAsia" w:ascii="Times New Roman" w:hAnsi="Times New Roman" w:cs="Arial"/>
          <w:b/>
          <w:color w:val="auto"/>
          <w:sz w:val="24"/>
          <w:highlight w:val="none"/>
          <w:lang w:val="en-US" w:eastAsia="zh-CN"/>
        </w:rPr>
        <w:t>2</w:t>
      </w:r>
      <w:r>
        <w:rPr>
          <w:rFonts w:hint="eastAsia" w:ascii="Times New Roman" w:hAnsi="Times New Roman" w:cs="Arial"/>
          <w:b/>
          <w:color w:val="auto"/>
          <w:sz w:val="24"/>
          <w:highlight w:val="none"/>
        </w:rPr>
        <w:t xml:space="preserve">  主要工艺设备的技术要求</w:t>
      </w:r>
    </w:p>
    <w:p w14:paraId="66CFDC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rPr>
        <w:t xml:space="preserve">4.2.1  </w:t>
      </w:r>
      <w:r>
        <w:rPr>
          <w:rFonts w:hint="eastAsia" w:ascii="Times New Roman" w:hAnsi="Times New Roman" w:eastAsia="宋体" w:cs="宋体"/>
          <w:b w:val="0"/>
          <w:bCs/>
          <w:color w:val="auto"/>
          <w:kern w:val="2"/>
          <w:sz w:val="24"/>
          <w:szCs w:val="24"/>
          <w:highlight w:val="none"/>
          <w:lang w:val="en-US" w:eastAsia="zh-CN" w:bidi="ar-SA"/>
        </w:rPr>
        <w:t>斗式液压清挖输送车</w:t>
      </w:r>
      <w:r>
        <w:rPr>
          <w:rFonts w:hint="eastAsia" w:ascii="Times New Roman" w:hAnsi="Times New Roman" w:cs="宋体"/>
          <w:color w:val="auto"/>
          <w:kern w:val="0"/>
          <w:sz w:val="24"/>
          <w:szCs w:val="24"/>
          <w:highlight w:val="none"/>
          <w:lang w:eastAsia="zh-CN"/>
        </w:rPr>
        <w:t>（</w:t>
      </w:r>
      <w:r>
        <w:rPr>
          <w:rFonts w:hint="eastAsia" w:ascii="Times New Roman" w:hAnsi="Times New Roman" w:cs="宋体"/>
          <w:color w:val="auto"/>
          <w:kern w:val="0"/>
          <w:sz w:val="24"/>
          <w:szCs w:val="24"/>
          <w:highlight w:val="none"/>
          <w:lang w:val="en-US" w:eastAsia="zh-CN"/>
        </w:rPr>
        <w:t>煤矿用清仓机）（煤安防爆）</w:t>
      </w:r>
    </w:p>
    <w:p w14:paraId="587451B4">
      <w:pPr>
        <w:pStyle w:val="45"/>
        <w:ind w:firstLine="480"/>
        <w:rPr>
          <w:rFonts w:hint="eastAsia" w:ascii="Times New Roman" w:hAnsi="Times New Roman"/>
          <w:color w:val="auto"/>
          <w:sz w:val="24"/>
          <w:szCs w:val="24"/>
          <w:highlight w:val="none"/>
          <w:lang w:eastAsia="zh-CN"/>
        </w:rPr>
      </w:pPr>
      <w:r>
        <w:rPr>
          <w:rFonts w:hint="eastAsia" w:ascii="Times New Roman" w:hAnsi="Times New Roman" w:cs="宋体"/>
          <w:color w:val="auto"/>
          <w:kern w:val="0"/>
          <w:sz w:val="24"/>
          <w:szCs w:val="24"/>
          <w:highlight w:val="none"/>
          <w:lang w:val="en-US" w:eastAsia="zh-CN"/>
        </w:rPr>
        <w:t>数量</w:t>
      </w:r>
      <w:r>
        <w:rPr>
          <w:rFonts w:hint="eastAsia" w:ascii="Times New Roman" w:hAnsi="Times New Roman"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1台。</w:t>
      </w:r>
    </w:p>
    <w:p w14:paraId="570F6459">
      <w:pPr>
        <w:tabs>
          <w:tab w:val="left" w:pos="2820"/>
        </w:tabs>
        <w:autoSpaceDE w:val="0"/>
        <w:autoSpaceDN w:val="0"/>
        <w:adjustRightInd w:val="0"/>
        <w:spacing w:line="360" w:lineRule="auto"/>
        <w:ind w:firstLine="480" w:firstLineChars="200"/>
        <w:jc w:val="left"/>
        <w:rPr>
          <w:rFonts w:hint="eastAsia" w:ascii="Times New Roman" w:cs="宋体"/>
          <w:color w:val="auto"/>
          <w:kern w:val="0"/>
          <w:sz w:val="24"/>
          <w:szCs w:val="24"/>
          <w:highlight w:val="none"/>
          <w:lang w:val="en-US" w:eastAsia="zh-CN"/>
        </w:rPr>
      </w:pPr>
      <w:r>
        <w:rPr>
          <w:rFonts w:hint="eastAsia" w:ascii="Times New Roman" w:hAnsi="Times New Roman"/>
          <w:color w:val="auto"/>
          <w:sz w:val="24"/>
          <w:szCs w:val="24"/>
          <w:highlight w:val="none"/>
          <w:lang w:val="en-US" w:eastAsia="zh-CN"/>
        </w:rPr>
        <w:t>输送流量：0</w:t>
      </w:r>
      <w:r>
        <w:rPr>
          <w:rFonts w:hint="eastAsia" w:ascii="Times New Roman" w:hAnsi="Times New Roman" w:eastAsia="宋体" w:cs="宋体"/>
          <w:color w:val="auto"/>
          <w:sz w:val="24"/>
          <w:szCs w:val="24"/>
          <w:highlight w:val="none"/>
          <w:lang w:val="en-US" w:eastAsia="zh-CN"/>
        </w:rPr>
        <w:t>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vertAlign w:val="baseline"/>
          <w:lang w:val="en-US" w:eastAsia="zh-CN"/>
        </w:rPr>
        <w:t>/h</w:t>
      </w:r>
      <w:r>
        <w:rPr>
          <w:rFonts w:hint="eastAsia" w:ascii="Times New Roman" w:hAnsi="Times New Roman"/>
          <w:color w:val="auto"/>
          <w:sz w:val="24"/>
          <w:szCs w:val="24"/>
          <w:highlight w:val="none"/>
          <w:lang w:val="en-US" w:eastAsia="zh-CN"/>
        </w:rPr>
        <w:t>～30</w:t>
      </w:r>
      <w:r>
        <w:rPr>
          <w:rFonts w:hint="eastAsia" w:ascii="Times New Roman" w:hAnsi="Times New Roman" w:eastAsia="宋体" w:cs="宋体"/>
          <w:color w:val="auto"/>
          <w:sz w:val="24"/>
          <w:szCs w:val="24"/>
          <w:highlight w:val="none"/>
          <w:lang w:val="en-US" w:eastAsia="zh-CN"/>
        </w:rPr>
        <w:t>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vertAlign w:val="baseline"/>
          <w:lang w:val="en-US" w:eastAsia="zh-CN"/>
        </w:rPr>
        <w:t>/h</w:t>
      </w:r>
      <w:r>
        <w:rPr>
          <w:rFonts w:hint="eastAsia" w:ascii="Times New Roman" w:hAnsi="Times New Roman"/>
          <w:color w:val="auto"/>
          <w:sz w:val="24"/>
          <w:szCs w:val="24"/>
          <w:highlight w:val="none"/>
          <w:lang w:val="en-US" w:eastAsia="zh-CN"/>
        </w:rPr>
        <w:t>；输送距离：水平≥500m，垂直≥50m；输送压力：0MPa～1.6MPa；集料螺旋上下行程：-100mm～+500mm；输送物料粒度：</w:t>
      </w:r>
      <w:r>
        <w:rPr>
          <w:rFonts w:hint="eastAsia" w:ascii="Times New Roman" w:hAnsi="Times New Roman" w:cs="宋体"/>
          <w:color w:val="auto"/>
          <w:kern w:val="0"/>
          <w:sz w:val="24"/>
          <w:szCs w:val="24"/>
          <w:highlight w:val="none"/>
          <w:lang w:val="en-US" w:eastAsia="zh-CN"/>
        </w:rPr>
        <w:t>≤30mm；行走方式：液压履带；工作行走速度：8m/min，适应坡度±18°；</w:t>
      </w:r>
      <w:r>
        <w:rPr>
          <w:rFonts w:hint="eastAsia" w:ascii="Times New Roman" w:hAnsi="Times New Roman" w:cs="宋体"/>
          <w:color w:val="auto"/>
          <w:kern w:val="0"/>
          <w:sz w:val="24"/>
          <w:highlight w:val="none"/>
          <w:lang w:val="en-US" w:eastAsia="zh-CN"/>
        </w:rPr>
        <w:t>额定电压：1140V；</w:t>
      </w:r>
      <w:r>
        <w:rPr>
          <w:rFonts w:hint="eastAsia" w:ascii="Times New Roman" w:hAnsi="Times New Roman" w:cs="宋体"/>
          <w:color w:val="auto"/>
          <w:kern w:val="0"/>
          <w:sz w:val="24"/>
          <w:szCs w:val="24"/>
          <w:highlight w:val="none"/>
          <w:lang w:val="en-US" w:eastAsia="zh-CN"/>
        </w:rPr>
        <w:t>驱动功率45kW（以实际订货为准）。</w:t>
      </w:r>
      <w:r>
        <w:rPr>
          <w:rFonts w:hint="eastAsia" w:ascii="Times New Roman" w:cs="宋体"/>
          <w:color w:val="auto"/>
          <w:kern w:val="0"/>
          <w:sz w:val="24"/>
          <w:szCs w:val="24"/>
          <w:highlight w:val="none"/>
          <w:lang w:val="en-US" w:eastAsia="zh-CN"/>
        </w:rPr>
        <w:t>配套激光传感器，探测距离1m～5m；配套超声波物位传感器，探测距离：0m～2m；配套位态传感器，测定车身倾斜范围±60°；配套电子围栏系统，识别车身周围的人配套员靠近，当人员靠近时可发出报警信号。</w:t>
      </w:r>
    </w:p>
    <w:p w14:paraId="7BA2E899">
      <w:pPr>
        <w:tabs>
          <w:tab w:val="left" w:pos="2820"/>
        </w:tabs>
        <w:autoSpaceDE w:val="0"/>
        <w:autoSpaceDN w:val="0"/>
        <w:adjustRightInd w:val="0"/>
        <w:spacing w:line="360" w:lineRule="auto"/>
        <w:ind w:firstLine="480" w:firstLineChars="200"/>
        <w:jc w:val="left"/>
        <w:rPr>
          <w:rFonts w:hint="eastAsia" w:ascii="Times New Roman" w:hAnsi="Times New Roman" w:cs="宋体"/>
          <w:color w:val="auto"/>
          <w:kern w:val="0"/>
          <w:sz w:val="24"/>
          <w:highlight w:val="none"/>
        </w:rPr>
      </w:pPr>
      <w:r>
        <w:rPr>
          <w:rFonts w:hint="eastAsia" w:ascii="Times New Roman" w:hAnsi="Times New Roman" w:cs="宋体"/>
          <w:color w:val="auto"/>
          <w:kern w:val="0"/>
          <w:sz w:val="24"/>
          <w:szCs w:val="24"/>
          <w:highlight w:val="none"/>
          <w:lang w:val="en-US" w:eastAsia="zh-CN"/>
        </w:rPr>
        <w:t xml:space="preserve">4.2.2  </w:t>
      </w:r>
      <w:r>
        <w:rPr>
          <w:rFonts w:hint="eastAsia" w:ascii="Times New Roman" w:hAnsi="Times New Roman" w:cs="宋体"/>
          <w:color w:val="auto"/>
          <w:kern w:val="0"/>
          <w:sz w:val="24"/>
          <w:szCs w:val="24"/>
          <w:highlight w:val="none"/>
        </w:rPr>
        <w:t>煤泥粗分机</w:t>
      </w:r>
      <w:r>
        <w:rPr>
          <w:rFonts w:hint="eastAsia" w:ascii="Times New Roman" w:hAnsi="Times New Roman" w:cs="宋体"/>
          <w:color w:val="auto"/>
          <w:kern w:val="0"/>
          <w:sz w:val="24"/>
          <w:szCs w:val="24"/>
          <w:highlight w:val="none"/>
          <w:lang w:eastAsia="zh-CN"/>
        </w:rPr>
        <w:t>（矿用振动筛式固液分离机）（</w:t>
      </w:r>
      <w:r>
        <w:rPr>
          <w:rFonts w:hint="eastAsia" w:ascii="Times New Roman" w:hAnsi="Times New Roman" w:cs="宋体"/>
          <w:color w:val="auto"/>
          <w:kern w:val="0"/>
          <w:sz w:val="24"/>
          <w:szCs w:val="24"/>
          <w:highlight w:val="none"/>
          <w:lang w:val="en-US" w:eastAsia="zh-CN"/>
        </w:rPr>
        <w:t>煤安防爆</w:t>
      </w:r>
      <w:r>
        <w:rPr>
          <w:rFonts w:hint="eastAsia" w:ascii="Times New Roman" w:hAnsi="Times New Roman" w:cs="宋体"/>
          <w:color w:val="auto"/>
          <w:kern w:val="0"/>
          <w:sz w:val="24"/>
          <w:szCs w:val="24"/>
          <w:highlight w:val="none"/>
          <w:lang w:eastAsia="zh-CN"/>
        </w:rPr>
        <w:t>）</w:t>
      </w:r>
    </w:p>
    <w:p w14:paraId="242B201F">
      <w:pPr>
        <w:tabs>
          <w:tab w:val="left" w:pos="2820"/>
        </w:tabs>
        <w:autoSpaceDE w:val="0"/>
        <w:autoSpaceDN w:val="0"/>
        <w:adjustRightInd w:val="0"/>
        <w:spacing w:line="360" w:lineRule="auto"/>
        <w:ind w:firstLine="480" w:firstLineChars="200"/>
        <w:jc w:val="left"/>
        <w:rPr>
          <w:rFonts w:hint="default" w:ascii="Times New Roman" w:hAnsi="Times New Roman" w:eastAsia="宋体" w:cs="宋体"/>
          <w:color w:val="auto"/>
          <w:kern w:val="0"/>
          <w:sz w:val="24"/>
          <w:highlight w:val="none"/>
          <w:lang w:val="en-US" w:eastAsia="zh-CN"/>
        </w:rPr>
      </w:pPr>
      <w:r>
        <w:rPr>
          <w:rFonts w:hint="eastAsia" w:ascii="Times New Roman" w:hAnsi="Times New Roman" w:cs="宋体"/>
          <w:color w:val="auto"/>
          <w:kern w:val="0"/>
          <w:sz w:val="24"/>
          <w:highlight w:val="none"/>
          <w:lang w:val="en-US" w:eastAsia="zh-CN"/>
        </w:rPr>
        <w:t>数量</w:t>
      </w:r>
      <w:r>
        <w:rPr>
          <w:rFonts w:hint="eastAsia" w:ascii="Times New Roman" w:hAnsi="Times New Roman" w:cs="宋体"/>
          <w:color w:val="auto"/>
          <w:kern w:val="0"/>
          <w:sz w:val="24"/>
          <w:highlight w:val="none"/>
        </w:rPr>
        <w:t>：</w:t>
      </w:r>
      <w:r>
        <w:rPr>
          <w:rFonts w:hint="eastAsia" w:ascii="Times New Roman" w:hAnsi="Times New Roman" w:cs="宋体"/>
          <w:color w:val="auto"/>
          <w:kern w:val="0"/>
          <w:sz w:val="24"/>
          <w:highlight w:val="none"/>
          <w:lang w:val="en-US" w:eastAsia="zh-CN"/>
        </w:rPr>
        <w:t>1台。</w:t>
      </w:r>
    </w:p>
    <w:p w14:paraId="54F1E99C">
      <w:pPr>
        <w:tabs>
          <w:tab w:val="left" w:pos="2820"/>
        </w:tabs>
        <w:autoSpaceDE w:val="0"/>
        <w:autoSpaceDN w:val="0"/>
        <w:adjustRightInd w:val="0"/>
        <w:spacing w:line="360" w:lineRule="auto"/>
        <w:ind w:firstLine="480" w:firstLineChars="200"/>
        <w:jc w:val="left"/>
        <w:rPr>
          <w:rFonts w:hint="eastAsia" w:ascii="Times New Roman" w:hAnsi="Times New Roman" w:cs="宋体"/>
          <w:color w:val="auto"/>
          <w:kern w:val="0"/>
          <w:sz w:val="24"/>
          <w:highlight w:val="none"/>
          <w:lang w:val="en-US" w:eastAsia="zh-CN"/>
        </w:rPr>
      </w:pPr>
      <w:r>
        <w:rPr>
          <w:rFonts w:hint="eastAsia" w:ascii="Times New Roman" w:hAnsi="Times New Roman" w:cs="宋体"/>
          <w:color w:val="auto"/>
          <w:kern w:val="0"/>
          <w:sz w:val="24"/>
          <w:highlight w:val="none"/>
          <w:lang w:val="en-US" w:eastAsia="zh-CN"/>
        </w:rPr>
        <w:t>分离粒度：0.5mm～30mm；粗分机产量（筛上物）：10 t/h；筛网面积：3m</w:t>
      </w:r>
      <w:r>
        <w:rPr>
          <w:rFonts w:hint="eastAsia" w:ascii="Times New Roman" w:hAnsi="Times New Roman" w:cs="宋体"/>
          <w:color w:val="auto"/>
          <w:kern w:val="0"/>
          <w:sz w:val="24"/>
          <w:highlight w:val="none"/>
          <w:vertAlign w:val="superscript"/>
          <w:lang w:val="en-US" w:eastAsia="zh-CN"/>
        </w:rPr>
        <w:t>2</w:t>
      </w:r>
      <w:r>
        <w:rPr>
          <w:rFonts w:hint="eastAsia" w:ascii="Times New Roman" w:hAnsi="Times New Roman" w:cs="宋体"/>
          <w:color w:val="auto"/>
          <w:kern w:val="0"/>
          <w:sz w:val="24"/>
          <w:highlight w:val="none"/>
          <w:lang w:val="en-US" w:eastAsia="zh-CN"/>
        </w:rPr>
        <w:t>；额定电压：1140V；额定功率：4kW</w:t>
      </w:r>
      <w:bookmarkStart w:id="137" w:name="OLE_LINK2"/>
      <w:r>
        <w:rPr>
          <w:rFonts w:hint="eastAsia" w:ascii="Times New Roman" w:hAnsi="Times New Roman" w:cs="宋体"/>
          <w:color w:val="auto"/>
          <w:kern w:val="0"/>
          <w:sz w:val="24"/>
          <w:highlight w:val="none"/>
          <w:lang w:val="en-US" w:eastAsia="zh-CN"/>
        </w:rPr>
        <w:t>（以实际订货为准）。</w:t>
      </w:r>
      <w:bookmarkEnd w:id="137"/>
    </w:p>
    <w:p w14:paraId="6AFD17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cs="宋体"/>
          <w:color w:val="auto"/>
          <w:kern w:val="0"/>
          <w:sz w:val="24"/>
          <w:highlight w:val="none"/>
          <w:lang w:val="en-US" w:eastAsia="zh-CN"/>
        </w:rPr>
        <w:t xml:space="preserve">4.2.3  </w:t>
      </w:r>
      <w:r>
        <w:rPr>
          <w:rFonts w:hint="eastAsia" w:ascii="Times New Roman" w:hAnsi="Times New Roman" w:eastAsia="宋体" w:cs="宋体"/>
          <w:b w:val="0"/>
          <w:bCs/>
          <w:color w:val="auto"/>
          <w:kern w:val="2"/>
          <w:sz w:val="24"/>
          <w:szCs w:val="24"/>
          <w:highlight w:val="none"/>
          <w:lang w:val="en-US" w:eastAsia="zh-CN" w:bidi="ar-SA"/>
        </w:rPr>
        <w:t>缓冲搅拌设备</w:t>
      </w:r>
      <w:r>
        <w:rPr>
          <w:rFonts w:hint="eastAsia" w:ascii="Times New Roman" w:hAnsi="Times New Roman" w:cs="宋体"/>
          <w:color w:val="auto"/>
          <w:kern w:val="0"/>
          <w:sz w:val="24"/>
          <w:highlight w:val="none"/>
          <w:lang w:eastAsia="zh-CN"/>
        </w:rPr>
        <w:t>（</w:t>
      </w:r>
      <w:r>
        <w:rPr>
          <w:rFonts w:hint="eastAsia" w:ascii="Times New Roman" w:hAnsi="Times New Roman" w:cs="宋体"/>
          <w:color w:val="auto"/>
          <w:kern w:val="0"/>
          <w:sz w:val="24"/>
          <w:highlight w:val="none"/>
          <w:lang w:val="en-US" w:eastAsia="zh-CN"/>
        </w:rPr>
        <w:t>煤安防爆</w:t>
      </w:r>
      <w:r>
        <w:rPr>
          <w:rFonts w:hint="eastAsia" w:ascii="Times New Roman" w:hAnsi="Times New Roman" w:cs="宋体"/>
          <w:color w:val="auto"/>
          <w:kern w:val="0"/>
          <w:sz w:val="24"/>
          <w:highlight w:val="none"/>
          <w:lang w:eastAsia="zh-CN"/>
        </w:rPr>
        <w:t>）</w:t>
      </w:r>
    </w:p>
    <w:p w14:paraId="3F2F48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宋体"/>
          <w:color w:val="auto"/>
          <w:sz w:val="24"/>
          <w:szCs w:val="24"/>
          <w:highlight w:val="none"/>
          <w:lang w:val="en-US" w:eastAsia="zh-CN"/>
        </w:rPr>
      </w:pPr>
      <w:r>
        <w:rPr>
          <w:rFonts w:hint="eastAsia" w:ascii="Times New Roman" w:hAnsi="Times New Roman" w:cs="宋体"/>
          <w:color w:val="auto"/>
          <w:kern w:val="0"/>
          <w:sz w:val="24"/>
          <w:highlight w:val="none"/>
          <w:lang w:val="en-US" w:eastAsia="zh-CN"/>
        </w:rPr>
        <w:t>数量</w:t>
      </w:r>
      <w:r>
        <w:rPr>
          <w:rFonts w:hint="eastAsia" w:ascii="Times New Roman" w:hAnsi="Times New Roman" w:cs="宋体"/>
          <w:color w:val="auto"/>
          <w:kern w:val="0"/>
          <w:sz w:val="24"/>
          <w:highlight w:val="none"/>
        </w:rPr>
        <w:t>：</w:t>
      </w:r>
      <w:r>
        <w:rPr>
          <w:rFonts w:hint="eastAsia" w:ascii="Times New Roman" w:hAnsi="Times New Roman" w:cs="宋体"/>
          <w:color w:val="auto"/>
          <w:kern w:val="0"/>
          <w:sz w:val="24"/>
          <w:highlight w:val="none"/>
          <w:lang w:val="en-US" w:eastAsia="zh-CN"/>
        </w:rPr>
        <w:t>1台。</w:t>
      </w:r>
    </w:p>
    <w:p w14:paraId="7BF98A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eastAsia="宋体" w:cs="宋体"/>
          <w:color w:val="auto"/>
          <w:sz w:val="24"/>
          <w:szCs w:val="24"/>
          <w:highlight w:val="none"/>
          <w:lang w:val="en-US" w:eastAsia="zh-CN"/>
        </w:rPr>
        <w:t>缓冲容积：2.5m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；配套搅拌器，</w:t>
      </w:r>
      <w:r>
        <w:rPr>
          <w:rFonts w:hint="eastAsia" w:ascii="Times New Roman" w:hAnsi="Times New Roman" w:cs="宋体"/>
          <w:color w:val="auto"/>
          <w:kern w:val="0"/>
          <w:sz w:val="24"/>
          <w:highlight w:val="none"/>
          <w:lang w:val="en-US" w:eastAsia="zh-CN"/>
        </w:rPr>
        <w:t>额定电压：1140V；额定功率：2.2kW（以实际订货为准）。</w:t>
      </w:r>
    </w:p>
    <w:p w14:paraId="4587D0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rPr>
        <w:t xml:space="preserve">4.2.4  </w:t>
      </w:r>
      <w:r>
        <w:rPr>
          <w:rFonts w:hint="eastAsia" w:ascii="Times New Roman" w:hAnsi="Times New Roman" w:eastAsia="宋体" w:cs="宋体"/>
          <w:b w:val="0"/>
          <w:bCs/>
          <w:color w:val="auto"/>
          <w:kern w:val="2"/>
          <w:sz w:val="24"/>
          <w:szCs w:val="24"/>
          <w:highlight w:val="none"/>
          <w:lang w:val="en-US" w:eastAsia="zh-CN" w:bidi="ar-SA"/>
        </w:rPr>
        <w:t>矿用泥浆泵（压滤）</w:t>
      </w:r>
      <w:r>
        <w:rPr>
          <w:rFonts w:hint="eastAsia" w:ascii="Times New Roman" w:hAnsi="Times New Roman" w:cs="宋体"/>
          <w:color w:val="auto"/>
          <w:kern w:val="0"/>
          <w:sz w:val="24"/>
          <w:szCs w:val="24"/>
          <w:highlight w:val="none"/>
          <w:lang w:eastAsia="zh-CN"/>
        </w:rPr>
        <w:t>（</w:t>
      </w:r>
      <w:r>
        <w:rPr>
          <w:rFonts w:hint="eastAsia" w:ascii="Times New Roman" w:hAnsi="Times New Roman" w:cs="宋体"/>
          <w:color w:val="auto"/>
          <w:kern w:val="0"/>
          <w:sz w:val="24"/>
          <w:szCs w:val="24"/>
          <w:highlight w:val="none"/>
          <w:lang w:val="en-US" w:eastAsia="zh-CN"/>
        </w:rPr>
        <w:t>煤安防爆</w:t>
      </w:r>
      <w:r>
        <w:rPr>
          <w:rFonts w:hint="eastAsia" w:ascii="Times New Roman" w:hAnsi="Times New Roman" w:cs="宋体"/>
          <w:color w:val="auto"/>
          <w:kern w:val="0"/>
          <w:sz w:val="24"/>
          <w:szCs w:val="24"/>
          <w:highlight w:val="none"/>
          <w:lang w:eastAsia="zh-CN"/>
        </w:rPr>
        <w:t>）</w:t>
      </w:r>
    </w:p>
    <w:p w14:paraId="37016024">
      <w:pPr>
        <w:pStyle w:val="45"/>
        <w:ind w:firstLine="480"/>
        <w:rPr>
          <w:rFonts w:hint="eastAsia" w:ascii="Times New Roman" w:hAnsi="Times New Roman"/>
          <w:color w:val="auto"/>
          <w:sz w:val="24"/>
          <w:szCs w:val="24"/>
          <w:highlight w:val="none"/>
          <w:lang w:eastAsia="zh-CN"/>
        </w:rPr>
      </w:pPr>
      <w:r>
        <w:rPr>
          <w:rFonts w:hint="eastAsia" w:ascii="Times New Roman" w:hAnsi="Times New Roman" w:cs="宋体"/>
          <w:color w:val="auto"/>
          <w:kern w:val="0"/>
          <w:sz w:val="24"/>
          <w:szCs w:val="24"/>
          <w:highlight w:val="none"/>
          <w:lang w:val="en-US" w:eastAsia="zh-CN"/>
        </w:rPr>
        <w:t>数量</w:t>
      </w:r>
      <w:r>
        <w:rPr>
          <w:rFonts w:hint="eastAsia" w:ascii="Times New Roman" w:hAnsi="Times New Roman"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1台。</w:t>
      </w:r>
    </w:p>
    <w:p w14:paraId="22FA8EC6">
      <w:pPr>
        <w:tabs>
          <w:tab w:val="left" w:pos="2820"/>
        </w:tabs>
        <w:autoSpaceDE w:val="0"/>
        <w:autoSpaceDN w:val="0"/>
        <w:adjustRightInd w:val="0"/>
        <w:spacing w:line="360" w:lineRule="auto"/>
        <w:ind w:firstLine="480" w:firstLineChars="200"/>
        <w:jc w:val="left"/>
        <w:rPr>
          <w:rFonts w:hint="eastAsia" w:ascii="Times New Roman" w:hAnsi="Times New Roman" w:cs="宋体"/>
          <w:color w:val="auto"/>
          <w:kern w:val="0"/>
          <w:sz w:val="24"/>
          <w:szCs w:val="24"/>
          <w:highlight w:val="none"/>
          <w:lang w:val="en-US" w:eastAsia="zh-CN"/>
        </w:rPr>
      </w:pPr>
      <w:r>
        <w:rPr>
          <w:rFonts w:hint="eastAsia" w:ascii="Times New Roman" w:hAnsi="Times New Roman"/>
          <w:color w:val="auto"/>
          <w:sz w:val="24"/>
          <w:szCs w:val="24"/>
          <w:highlight w:val="none"/>
          <w:lang w:val="en-US" w:eastAsia="zh-CN"/>
        </w:rPr>
        <w:t>流量：25</w:t>
      </w:r>
      <w:r>
        <w:rPr>
          <w:rFonts w:hint="eastAsia" w:ascii="Times New Roman" w:hAnsi="Times New Roman" w:eastAsia="宋体" w:cs="宋体"/>
          <w:color w:val="auto"/>
          <w:sz w:val="24"/>
          <w:szCs w:val="24"/>
          <w:highlight w:val="none"/>
          <w:lang w:val="en-US" w:eastAsia="zh-CN"/>
        </w:rPr>
        <w:t>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vertAlign w:val="baseline"/>
          <w:lang w:val="en-US" w:eastAsia="zh-CN"/>
        </w:rPr>
        <w:t>/h</w:t>
      </w:r>
      <w:r>
        <w:rPr>
          <w:rFonts w:hint="eastAsia" w:ascii="Times New Roman" w:hAnsi="Times New Roman"/>
          <w:color w:val="auto"/>
          <w:sz w:val="24"/>
          <w:szCs w:val="24"/>
          <w:highlight w:val="none"/>
          <w:lang w:val="en-US" w:eastAsia="zh-CN"/>
        </w:rPr>
        <w:t>；扬程：60m；</w:t>
      </w:r>
      <w:r>
        <w:rPr>
          <w:rFonts w:hint="eastAsia" w:ascii="Times New Roman" w:hAnsi="Times New Roman" w:cs="宋体"/>
          <w:color w:val="auto"/>
          <w:kern w:val="0"/>
          <w:sz w:val="24"/>
          <w:szCs w:val="24"/>
          <w:highlight w:val="none"/>
          <w:lang w:val="en-US" w:eastAsia="zh-CN"/>
        </w:rPr>
        <w:t>额定电压：1140V；</w:t>
      </w:r>
      <w:r>
        <w:rPr>
          <w:rFonts w:hint="eastAsia" w:ascii="Times New Roman" w:hAnsi="Times New Roman"/>
          <w:color w:val="auto"/>
          <w:sz w:val="24"/>
          <w:szCs w:val="24"/>
          <w:highlight w:val="none"/>
          <w:lang w:val="en-US" w:eastAsia="zh-CN"/>
        </w:rPr>
        <w:t>功率：22kW</w:t>
      </w:r>
      <w:r>
        <w:rPr>
          <w:rFonts w:hint="eastAsia" w:ascii="Times New Roman" w:hAnsi="Times New Roman" w:cs="宋体"/>
          <w:color w:val="auto"/>
          <w:kern w:val="0"/>
          <w:sz w:val="24"/>
          <w:szCs w:val="24"/>
          <w:highlight w:val="none"/>
          <w:lang w:val="en-US" w:eastAsia="zh-CN"/>
        </w:rPr>
        <w:t>（以实际订货为准）。</w:t>
      </w:r>
    </w:p>
    <w:p w14:paraId="3417AFCC">
      <w:pPr>
        <w:tabs>
          <w:tab w:val="left" w:pos="2820"/>
        </w:tabs>
        <w:autoSpaceDE w:val="0"/>
        <w:autoSpaceDN w:val="0"/>
        <w:adjustRightInd w:val="0"/>
        <w:spacing w:line="360" w:lineRule="auto"/>
        <w:ind w:firstLine="480" w:firstLineChars="200"/>
        <w:jc w:val="left"/>
        <w:rPr>
          <w:rFonts w:hint="eastAsia" w:ascii="Times New Roman" w:hAnsi="Times New Roman" w:eastAsia="宋体" w:cs="宋体"/>
          <w:color w:val="auto"/>
          <w:kern w:val="0"/>
          <w:sz w:val="24"/>
          <w:szCs w:val="24"/>
          <w:highlight w:val="none"/>
          <w:lang w:eastAsia="zh-CN"/>
        </w:rPr>
      </w:pPr>
      <w:r>
        <w:rPr>
          <w:rFonts w:hint="eastAsia" w:ascii="Times New Roman" w:hAnsi="Times New Roman" w:cs="宋体"/>
          <w:color w:val="auto"/>
          <w:kern w:val="0"/>
          <w:sz w:val="24"/>
          <w:szCs w:val="24"/>
          <w:highlight w:val="none"/>
          <w:lang w:val="en-US" w:eastAsia="zh-CN"/>
        </w:rPr>
        <w:t xml:space="preserve">4.2.5  </w:t>
      </w:r>
      <w:r>
        <w:rPr>
          <w:rFonts w:hint="eastAsia" w:ascii="Times New Roman" w:hAnsi="Times New Roman" w:cs="宋体"/>
          <w:color w:val="auto"/>
          <w:kern w:val="0"/>
          <w:sz w:val="24"/>
          <w:szCs w:val="24"/>
          <w:highlight w:val="none"/>
        </w:rPr>
        <w:t>双工作区压滤机</w:t>
      </w:r>
      <w:r>
        <w:rPr>
          <w:rFonts w:hint="eastAsia" w:ascii="Times New Roman" w:hAnsi="Times New Roman" w:cs="宋体"/>
          <w:color w:val="auto"/>
          <w:kern w:val="0"/>
          <w:sz w:val="24"/>
          <w:szCs w:val="24"/>
          <w:highlight w:val="none"/>
          <w:lang w:eastAsia="zh-CN"/>
        </w:rPr>
        <w:t>（矿用压滤式固液分离机）（</w:t>
      </w:r>
      <w:r>
        <w:rPr>
          <w:rFonts w:hint="eastAsia" w:ascii="Times New Roman" w:hAnsi="Times New Roman" w:cs="宋体"/>
          <w:color w:val="auto"/>
          <w:kern w:val="0"/>
          <w:sz w:val="24"/>
          <w:szCs w:val="24"/>
          <w:highlight w:val="none"/>
          <w:lang w:val="en-US" w:eastAsia="zh-CN"/>
        </w:rPr>
        <w:t>煤安防爆</w:t>
      </w:r>
      <w:r>
        <w:rPr>
          <w:rFonts w:hint="eastAsia" w:ascii="Times New Roman" w:hAnsi="Times New Roman" w:cs="宋体"/>
          <w:color w:val="auto"/>
          <w:kern w:val="0"/>
          <w:sz w:val="24"/>
          <w:szCs w:val="24"/>
          <w:highlight w:val="none"/>
          <w:lang w:eastAsia="zh-CN"/>
        </w:rPr>
        <w:t>）</w:t>
      </w:r>
    </w:p>
    <w:p w14:paraId="4FCF933A">
      <w:pPr>
        <w:tabs>
          <w:tab w:val="left" w:pos="2820"/>
        </w:tabs>
        <w:autoSpaceDE w:val="0"/>
        <w:autoSpaceDN w:val="0"/>
        <w:adjustRightInd w:val="0"/>
        <w:spacing w:line="360" w:lineRule="auto"/>
        <w:ind w:firstLine="480" w:firstLineChars="200"/>
        <w:jc w:val="left"/>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kern w:val="0"/>
          <w:sz w:val="24"/>
          <w:szCs w:val="24"/>
          <w:highlight w:val="none"/>
          <w:lang w:val="en-US" w:eastAsia="zh-CN"/>
        </w:rPr>
        <w:t>数量</w:t>
      </w:r>
      <w:r>
        <w:rPr>
          <w:rFonts w:hint="eastAsia" w:ascii="Times New Roman" w:hAnsi="Times New Roman"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1台。</w:t>
      </w:r>
    </w:p>
    <w:p w14:paraId="26CE209A">
      <w:pPr>
        <w:tabs>
          <w:tab w:val="left" w:pos="2820"/>
        </w:tabs>
        <w:autoSpaceDE w:val="0"/>
        <w:autoSpaceDN w:val="0"/>
        <w:adjustRightInd w:val="0"/>
        <w:spacing w:line="360" w:lineRule="auto"/>
        <w:ind w:firstLine="480" w:firstLineChars="200"/>
        <w:jc w:val="left"/>
        <w:rPr>
          <w:rFonts w:hint="eastAsia" w:ascii="Times New Roman" w:hAnsi="Times New Roman"/>
          <w:color w:val="auto"/>
          <w:sz w:val="24"/>
          <w:highlight w:val="none"/>
        </w:rPr>
      </w:pPr>
      <w:r>
        <w:rPr>
          <w:rFonts w:hint="eastAsia" w:ascii="Times New Roman" w:hAnsi="Times New Roman" w:cs="宋体"/>
          <w:color w:val="auto"/>
          <w:kern w:val="0"/>
          <w:sz w:val="24"/>
          <w:szCs w:val="24"/>
          <w:highlight w:val="none"/>
        </w:rPr>
        <w:t>入料浓度：</w:t>
      </w:r>
      <w:r>
        <w:rPr>
          <w:rFonts w:hint="eastAsia" w:ascii="Times New Roman" w:hAnsi="Times New Roman" w:cs="宋体"/>
          <w:color w:val="auto"/>
          <w:kern w:val="0"/>
          <w:sz w:val="24"/>
          <w:szCs w:val="24"/>
          <w:highlight w:val="none"/>
          <w:lang w:val="en-US" w:eastAsia="zh-CN"/>
        </w:rPr>
        <w:t>含煤泥量</w:t>
      </w:r>
      <w:r>
        <w:rPr>
          <w:rFonts w:hint="eastAsia" w:ascii="Times New Roman" w:hAnsi="Times New Roman" w:cs="宋体"/>
          <w:color w:val="auto"/>
          <w:kern w:val="0"/>
          <w:sz w:val="24"/>
          <w:szCs w:val="24"/>
          <w:highlight w:val="none"/>
        </w:rPr>
        <w:t>40</w:t>
      </w:r>
      <w:r>
        <w:rPr>
          <w:rFonts w:hint="eastAsia" w:ascii="Times New Roman" w:hAnsi="Times New Roman" w:cs="宋体"/>
          <w:color w:val="auto"/>
          <w:kern w:val="0"/>
          <w:sz w:val="24"/>
          <w:szCs w:val="24"/>
          <w:highlight w:val="none"/>
          <w:lang w:val="en-US" w:eastAsia="zh-CN"/>
        </w:rPr>
        <w:t>%～</w:t>
      </w:r>
      <w:r>
        <w:rPr>
          <w:rFonts w:hint="eastAsia" w:ascii="Times New Roman" w:hAnsi="Times New Roman" w:cs="宋体"/>
          <w:color w:val="auto"/>
          <w:kern w:val="0"/>
          <w:sz w:val="24"/>
          <w:szCs w:val="24"/>
          <w:highlight w:val="none"/>
        </w:rPr>
        <w:t>60</w:t>
      </w:r>
      <w:r>
        <w:rPr>
          <w:rFonts w:hint="eastAsia" w:ascii="Times New Roman" w:hAnsi="Times New Roman" w:cs="宋体"/>
          <w:color w:val="auto"/>
          <w:kern w:val="0"/>
          <w:sz w:val="24"/>
          <w:szCs w:val="24"/>
          <w:highlight w:val="none"/>
          <w:lang w:val="en-US" w:eastAsia="zh-CN"/>
        </w:rPr>
        <w:t>%；干泥处理量5t/h</w:t>
      </w:r>
      <w:r>
        <w:rPr>
          <w:rFonts w:hint="eastAsia" w:ascii="Times New Roman" w:hAnsi="Times New Roman" w:cs="宋体"/>
          <w:color w:val="auto"/>
          <w:kern w:val="0"/>
          <w:sz w:val="24"/>
          <w:highlight w:val="none"/>
          <w:lang w:val="en-US" w:eastAsia="zh-CN"/>
        </w:rPr>
        <w:t>～8t/h；出料水分：≤30%；回收物料粒度：0.02mm～15mm；滤板材质要求：聚丙烯滤板；滤布材质要求：单丝滤布；滤板规格：1000mm*1000mm*50mm；数量：≥66块；过滤面积110m</w:t>
      </w:r>
      <w:r>
        <w:rPr>
          <w:rFonts w:hint="eastAsia" w:ascii="Times New Roman" w:hAnsi="Times New Roman" w:cs="宋体"/>
          <w:color w:val="auto"/>
          <w:kern w:val="0"/>
          <w:sz w:val="24"/>
          <w:highlight w:val="none"/>
          <w:vertAlign w:val="superscript"/>
          <w:lang w:val="en-US" w:eastAsia="zh-CN"/>
        </w:rPr>
        <w:t>2</w:t>
      </w:r>
      <w:r>
        <w:rPr>
          <w:rFonts w:hint="eastAsia" w:ascii="Times New Roman" w:hAnsi="Times New Roman" w:cs="宋体"/>
          <w:color w:val="auto"/>
          <w:kern w:val="0"/>
          <w:sz w:val="24"/>
          <w:highlight w:val="none"/>
          <w:lang w:val="en-US" w:eastAsia="zh-CN"/>
        </w:rPr>
        <w:t>；推荐外形尺寸：6500mm×1670mm×1750mm。额定电压：1140V；额定功率：15kW（以实际订货为准）。</w:t>
      </w:r>
    </w:p>
    <w:p w14:paraId="44F3AC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cs="宋体"/>
          <w:color w:val="auto"/>
          <w:kern w:val="0"/>
          <w:sz w:val="24"/>
          <w:highlight w:val="none"/>
          <w:lang w:val="en-US" w:eastAsia="zh-CN"/>
        </w:rPr>
        <w:t>4.2.6  液压控制泵站</w:t>
      </w:r>
      <w:r>
        <w:rPr>
          <w:rFonts w:hint="eastAsia" w:ascii="Times New Roman" w:hAnsi="Times New Roman" w:cs="宋体"/>
          <w:color w:val="auto"/>
          <w:kern w:val="0"/>
          <w:sz w:val="24"/>
          <w:highlight w:val="none"/>
          <w:lang w:eastAsia="zh-CN"/>
        </w:rPr>
        <w:t>（</w:t>
      </w:r>
      <w:r>
        <w:rPr>
          <w:rFonts w:hint="eastAsia" w:ascii="Times New Roman" w:hAnsi="Times New Roman" w:cs="宋体"/>
          <w:color w:val="auto"/>
          <w:kern w:val="0"/>
          <w:sz w:val="24"/>
          <w:highlight w:val="none"/>
          <w:lang w:val="en-US" w:eastAsia="zh-CN"/>
        </w:rPr>
        <w:t>煤安防爆</w:t>
      </w:r>
      <w:r>
        <w:rPr>
          <w:rFonts w:hint="eastAsia" w:ascii="Times New Roman" w:hAnsi="Times New Roman" w:cs="宋体"/>
          <w:color w:val="auto"/>
          <w:kern w:val="0"/>
          <w:sz w:val="24"/>
          <w:highlight w:val="none"/>
          <w:lang w:eastAsia="zh-CN"/>
        </w:rPr>
        <w:t>）</w:t>
      </w:r>
    </w:p>
    <w:p w14:paraId="24E6DCE9">
      <w:pPr>
        <w:pStyle w:val="45"/>
        <w:ind w:firstLine="480"/>
        <w:rPr>
          <w:rFonts w:hint="eastAsia" w:ascii="Times New Roman" w:hAnsi="Times New Roman"/>
          <w:color w:val="auto"/>
          <w:highlight w:val="none"/>
          <w:lang w:eastAsia="zh-CN"/>
        </w:rPr>
      </w:pPr>
      <w:r>
        <w:rPr>
          <w:rFonts w:hint="eastAsia" w:ascii="Times New Roman" w:hAnsi="Times New Roman" w:cs="宋体"/>
          <w:color w:val="auto"/>
          <w:kern w:val="0"/>
          <w:sz w:val="24"/>
          <w:highlight w:val="none"/>
          <w:lang w:val="en-US" w:eastAsia="zh-CN"/>
        </w:rPr>
        <w:t>数量</w:t>
      </w:r>
      <w:r>
        <w:rPr>
          <w:rFonts w:hint="eastAsia" w:ascii="Times New Roman" w:hAnsi="Times New Roman" w:cs="宋体"/>
          <w:color w:val="auto"/>
          <w:kern w:val="0"/>
          <w:sz w:val="24"/>
          <w:highlight w:val="none"/>
        </w:rPr>
        <w:t>：</w:t>
      </w:r>
      <w:r>
        <w:rPr>
          <w:rFonts w:hint="eastAsia" w:ascii="Times New Roman" w:hAnsi="Times New Roman" w:cs="宋体"/>
          <w:color w:val="auto"/>
          <w:kern w:val="0"/>
          <w:sz w:val="24"/>
          <w:highlight w:val="none"/>
          <w:lang w:val="en-US" w:eastAsia="zh-CN"/>
        </w:rPr>
        <w:t>1台。</w:t>
      </w:r>
    </w:p>
    <w:p w14:paraId="50A684BA">
      <w:pPr>
        <w:pStyle w:val="45"/>
        <w:ind w:firstLine="48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液压系统压力16MPa；</w:t>
      </w:r>
      <w:r>
        <w:rPr>
          <w:rFonts w:hint="eastAsia" w:ascii="Times New Roman" w:hAnsi="Times New Roman" w:cs="宋体"/>
          <w:color w:val="auto"/>
          <w:kern w:val="0"/>
          <w:sz w:val="24"/>
          <w:szCs w:val="24"/>
          <w:highlight w:val="none"/>
          <w:lang w:val="en-US" w:eastAsia="zh-CN"/>
        </w:rPr>
        <w:t>额定电压：1140V；</w:t>
      </w:r>
      <w:r>
        <w:rPr>
          <w:rFonts w:hint="eastAsia" w:ascii="Times New Roman" w:hAnsi="Times New Roman"/>
          <w:color w:val="auto"/>
          <w:highlight w:val="none"/>
          <w:lang w:val="en-US" w:eastAsia="zh-CN"/>
        </w:rPr>
        <w:t>功率：11kW</w:t>
      </w:r>
      <w:r>
        <w:rPr>
          <w:rFonts w:hint="eastAsia" w:ascii="Times New Roman" w:hAnsi="Times New Roman" w:cs="宋体"/>
          <w:color w:val="auto"/>
          <w:kern w:val="0"/>
          <w:sz w:val="24"/>
          <w:highlight w:val="none"/>
          <w:lang w:val="en-US" w:eastAsia="zh-CN"/>
        </w:rPr>
        <w:t>（以实际订货为准）。</w:t>
      </w:r>
    </w:p>
    <w:p w14:paraId="65D710F0">
      <w:pPr>
        <w:pStyle w:val="45"/>
        <w:ind w:firstLine="48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4.2.7强力胶管</w:t>
      </w:r>
    </w:p>
    <w:p w14:paraId="13BCAE25">
      <w:pPr>
        <w:pStyle w:val="45"/>
        <w:ind w:firstLine="480"/>
        <w:rPr>
          <w:rFonts w:hint="eastAsia" w:ascii="Times New Roman" w:hAnsi="Times New Roman"/>
          <w:color w:val="auto"/>
          <w:highlight w:val="none"/>
          <w:lang w:val="en-US" w:eastAsia="zh-CN"/>
        </w:rPr>
        <w:sectPr>
          <w:headerReference r:id="rId12" w:type="first"/>
          <w:footerReference r:id="rId14" w:type="first"/>
          <w:headerReference r:id="rId11" w:type="default"/>
          <w:footerReference r:id="rId13" w:type="default"/>
          <w:pgSz w:w="11906" w:h="16838"/>
          <w:pgMar w:top="1417" w:right="1304" w:bottom="1417" w:left="1531" w:header="1134" w:footer="1134" w:gutter="0"/>
          <w:pgNumType w:fmt="decimal"/>
          <w:cols w:space="720" w:num="1"/>
          <w:titlePg/>
          <w:rtlGutter w:val="0"/>
          <w:docGrid w:type="lines" w:linePitch="312" w:charSpace="0"/>
        </w:sectPr>
      </w:pPr>
      <w:r>
        <w:rPr>
          <w:rFonts w:hint="eastAsia" w:ascii="Times New Roman" w:hAnsi="Times New Roman"/>
          <w:color w:val="auto"/>
          <w:highlight w:val="none"/>
          <w:lang w:val="en-US" w:eastAsia="zh-CN"/>
        </w:rPr>
        <w:t>投标方配套提供，需满足井下水仓清淤功能。</w:t>
      </w:r>
    </w:p>
    <w:p w14:paraId="2673C3E6">
      <w:pPr>
        <w:pStyle w:val="45"/>
        <w:ind w:firstLine="480"/>
        <w:jc w:val="center"/>
        <w:rPr>
          <w:rFonts w:hint="default" w:ascii="Times New Roman" w:hAnsi="Times New Roman"/>
          <w:color w:val="auto"/>
          <w:highlight w:val="none"/>
          <w:lang w:val="en-US" w:eastAsia="zh-CN"/>
        </w:rPr>
      </w:pPr>
      <w:r>
        <w:rPr>
          <w:color w:val="auto"/>
          <w:highlight w:val="none"/>
        </w:rPr>
        <w:drawing>
          <wp:anchor distT="0" distB="0" distL="114300" distR="114300" simplePos="0" relativeHeight="251659264" behindDoc="0" locked="0" layoutInCell="1" allowOverlap="1">
            <wp:simplePos x="0" y="0"/>
            <wp:positionH relativeFrom="column">
              <wp:posOffset>243205</wp:posOffset>
            </wp:positionH>
            <wp:positionV relativeFrom="paragraph">
              <wp:posOffset>14605</wp:posOffset>
            </wp:positionV>
            <wp:extent cx="9018905" cy="5033645"/>
            <wp:effectExtent l="0" t="0" r="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9018905" cy="5033645"/>
                    </a:xfrm>
                    <a:prstGeom prst="rect">
                      <a:avLst/>
                    </a:prstGeom>
                    <a:noFill/>
                    <a:ln>
                      <a:noFill/>
                    </a:ln>
                  </pic:spPr>
                </pic:pic>
              </a:graphicData>
            </a:graphic>
          </wp:anchor>
        </w:drawing>
      </w:r>
      <w:r>
        <w:rPr>
          <w:rFonts w:hint="eastAsia" w:ascii="Times New Roman" w:hAnsi="Times New Roman"/>
          <w:color w:val="auto"/>
          <w:highlight w:val="none"/>
          <w:lang w:val="en-US" w:eastAsia="zh-CN"/>
        </w:rPr>
        <w:t>图1 井底水仓平面图</w:t>
      </w:r>
    </w:p>
    <w:p w14:paraId="24FA414E">
      <w:pPr>
        <w:pStyle w:val="45"/>
        <w:ind w:left="0" w:leftChars="0" w:firstLine="0" w:firstLineChars="0"/>
        <w:rPr>
          <w:rFonts w:hint="default" w:ascii="Times New Roman" w:hAnsi="Times New Roman"/>
          <w:color w:val="auto"/>
          <w:highlight w:val="none"/>
          <w:lang w:val="en-US" w:eastAsia="zh-CN"/>
        </w:rPr>
        <w:sectPr>
          <w:pgSz w:w="16838" w:h="11906" w:orient="landscape"/>
          <w:pgMar w:top="1531" w:right="1417" w:bottom="1304" w:left="1417" w:header="1134" w:footer="1134" w:gutter="0"/>
          <w:pgNumType w:fmt="decimal"/>
          <w:cols w:space="720" w:num="1"/>
          <w:titlePg/>
          <w:rtlGutter w:val="0"/>
          <w:docGrid w:type="lines" w:linePitch="312" w:charSpace="0"/>
        </w:sectPr>
      </w:pPr>
    </w:p>
    <w:p w14:paraId="7FA8C521">
      <w:pPr>
        <w:tabs>
          <w:tab w:val="left" w:pos="567"/>
          <w:tab w:val="left" w:pos="1418"/>
        </w:tabs>
        <w:spacing w:line="360" w:lineRule="auto"/>
        <w:rPr>
          <w:rFonts w:hint="eastAsia" w:ascii="Times New Roman" w:hAnsi="Times New Roman" w:cs="Arial"/>
          <w:b/>
          <w:color w:val="auto"/>
          <w:sz w:val="24"/>
          <w:highlight w:val="none"/>
        </w:rPr>
      </w:pPr>
      <w:r>
        <w:rPr>
          <w:rFonts w:hint="eastAsia" w:ascii="Times New Roman" w:hAnsi="Times New Roman" w:cs="Arial"/>
          <w:b/>
          <w:color w:val="auto"/>
          <w:sz w:val="24"/>
          <w:highlight w:val="none"/>
        </w:rPr>
        <w:t xml:space="preserve">4.2  性能要求 </w:t>
      </w:r>
    </w:p>
    <w:p w14:paraId="28A36801">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w:t>
      </w:r>
      <w:r>
        <w:rPr>
          <w:rFonts w:hint="eastAsia" w:ascii="Times New Roman" w:hAnsi="Times New Roman" w:cs="Arial"/>
          <w:color w:val="auto"/>
          <w:sz w:val="24"/>
          <w:highlight w:val="none"/>
        </w:rPr>
        <w:t>.</w:t>
      </w:r>
      <w:r>
        <w:rPr>
          <w:rFonts w:hint="eastAsia" w:ascii="Times New Roman" w:hAnsi="Times New Roman" w:cs="Arial"/>
          <w:color w:val="auto"/>
          <w:sz w:val="24"/>
          <w:highlight w:val="none"/>
          <w:lang w:val="en-US" w:eastAsia="zh-CN"/>
        </w:rPr>
        <w:t>1设备总体技术要求</w:t>
      </w:r>
    </w:p>
    <w:p w14:paraId="37BC6499">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4.2.1.1</w:t>
      </w:r>
      <w:r>
        <w:rPr>
          <w:rFonts w:hint="eastAsia" w:ascii="Times New Roman" w:hAnsi="Times New Roman" w:cs="Arial"/>
          <w:color w:val="auto"/>
          <w:sz w:val="24"/>
          <w:highlight w:val="none"/>
        </w:rPr>
        <w:t>安全性要求：</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、煤泥粗分机、缓冲搅拌设备、矿用泥浆泵、双工作区压滤机、液压控制泵站等</w:t>
      </w:r>
      <w:r>
        <w:rPr>
          <w:rFonts w:hint="eastAsia" w:ascii="Times New Roman" w:hAnsi="Times New Roman" w:cs="Arial"/>
          <w:color w:val="auto"/>
          <w:sz w:val="24"/>
          <w:highlight w:val="none"/>
          <w:lang w:val="en-US" w:eastAsia="zh-CN"/>
        </w:rPr>
        <w:t>电气</w:t>
      </w:r>
      <w:r>
        <w:rPr>
          <w:rFonts w:hint="eastAsia" w:ascii="Times New Roman" w:hAnsi="Times New Roman" w:cs="Arial"/>
          <w:color w:val="auto"/>
          <w:sz w:val="24"/>
          <w:highlight w:val="none"/>
        </w:rPr>
        <w:t>设备</w:t>
      </w:r>
      <w:r>
        <w:rPr>
          <w:rFonts w:hint="eastAsia" w:ascii="Times New Roman" w:hAnsi="Times New Roman" w:cs="Arial"/>
          <w:color w:val="auto"/>
          <w:sz w:val="24"/>
          <w:highlight w:val="none"/>
          <w:lang w:val="en-US" w:eastAsia="zh-CN"/>
        </w:rPr>
        <w:t>均应</w:t>
      </w:r>
      <w:r>
        <w:rPr>
          <w:rFonts w:hint="eastAsia" w:ascii="Times New Roman" w:hAnsi="Times New Roman" w:cs="Arial"/>
          <w:color w:val="auto"/>
          <w:sz w:val="24"/>
          <w:highlight w:val="none"/>
        </w:rPr>
        <w:t>符合国家有关煤矿井下电器防爆要求，并有</w:t>
      </w:r>
      <w:r>
        <w:rPr>
          <w:rFonts w:hint="eastAsia" w:ascii="Times New Roman" w:hAnsi="Times New Roman" w:cs="Arial"/>
          <w:color w:val="auto"/>
          <w:sz w:val="24"/>
          <w:highlight w:val="none"/>
          <w:lang w:val="en-US" w:eastAsia="zh-CN"/>
        </w:rPr>
        <w:t>煤安</w:t>
      </w:r>
      <w:r>
        <w:rPr>
          <w:rFonts w:hint="eastAsia" w:ascii="Times New Roman" w:hAnsi="Times New Roman" w:cs="Arial"/>
          <w:color w:val="auto"/>
          <w:sz w:val="24"/>
          <w:highlight w:val="none"/>
        </w:rPr>
        <w:t>标志</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lang w:val="en-US" w:eastAsia="zh-CN"/>
        </w:rPr>
        <w:t>供货设备可实现</w:t>
      </w:r>
      <w:r>
        <w:rPr>
          <w:rFonts w:hint="eastAsia" w:ascii="Times New Roman" w:hAnsi="Times New Roman" w:cs="Arial"/>
          <w:color w:val="auto"/>
          <w:sz w:val="24"/>
          <w:highlight w:val="none"/>
        </w:rPr>
        <w:t>对整个</w:t>
      </w:r>
      <w:r>
        <w:rPr>
          <w:rFonts w:hint="eastAsia" w:ascii="Times New Roman" w:hAnsi="Times New Roman" w:cs="Arial"/>
          <w:color w:val="auto"/>
          <w:sz w:val="24"/>
          <w:highlight w:val="none"/>
          <w:lang w:val="en-US" w:eastAsia="zh-CN"/>
        </w:rPr>
        <w:t>系统</w:t>
      </w:r>
      <w:r>
        <w:rPr>
          <w:rFonts w:hint="eastAsia" w:ascii="Times New Roman" w:hAnsi="Times New Roman" w:cs="Arial"/>
          <w:color w:val="auto"/>
          <w:sz w:val="24"/>
          <w:highlight w:val="none"/>
        </w:rPr>
        <w:t>的运行状态进行实时监控和过载、过流、短路</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主电机的磁力启动器必须支持</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，障碍等保护。</w:t>
      </w:r>
    </w:p>
    <w:p w14:paraId="50E19F64">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4.2.1.2</w:t>
      </w:r>
      <w:r>
        <w:rPr>
          <w:rFonts w:hint="eastAsia" w:ascii="Times New Roman" w:hAnsi="Times New Roman" w:cs="Arial"/>
          <w:color w:val="auto"/>
          <w:sz w:val="24"/>
          <w:highlight w:val="none"/>
        </w:rPr>
        <w:t>可靠性要求：产品在煤矿井下爆炸性环境中，应正常连续工作，满足煤矿工作制要求。</w:t>
      </w:r>
    </w:p>
    <w:p w14:paraId="2526ACF1">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4.2.1.3</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按水仓清挖工艺</w:t>
      </w:r>
      <w:r>
        <w:rPr>
          <w:rFonts w:hint="eastAsia" w:ascii="Times New Roman" w:hAnsi="Times New Roman" w:cs="Arial"/>
          <w:color w:val="auto"/>
          <w:sz w:val="24"/>
          <w:highlight w:val="none"/>
          <w:lang w:val="en-US" w:eastAsia="zh-CN"/>
        </w:rPr>
        <w:t>可实现</w:t>
      </w:r>
      <w:r>
        <w:rPr>
          <w:rFonts w:hint="eastAsia" w:ascii="Times New Roman" w:hAnsi="Times New Roman" w:cs="Arial"/>
          <w:color w:val="auto"/>
          <w:sz w:val="24"/>
          <w:highlight w:val="none"/>
        </w:rPr>
        <w:t>远程操控、可视遥控、手动运行，故障报警，超限提示</w:t>
      </w:r>
      <w:r>
        <w:rPr>
          <w:rFonts w:hint="eastAsia" w:ascii="Times New Roman" w:hAnsi="Times New Roman" w:cs="Arial"/>
          <w:color w:val="auto"/>
          <w:sz w:val="24"/>
          <w:highlight w:val="none"/>
          <w:lang w:val="en-US" w:eastAsia="zh-CN"/>
        </w:rPr>
        <w:t>的要求</w:t>
      </w:r>
      <w:r>
        <w:rPr>
          <w:rFonts w:hint="eastAsia" w:ascii="Times New Roman" w:hAnsi="Times New Roman" w:cs="Arial"/>
          <w:color w:val="auto"/>
          <w:sz w:val="24"/>
          <w:highlight w:val="none"/>
        </w:rPr>
        <w:t>。</w:t>
      </w:r>
    </w:p>
    <w:p w14:paraId="29BA7952">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4.2.1.4</w:t>
      </w:r>
      <w:r>
        <w:rPr>
          <w:rFonts w:hint="eastAsia" w:ascii="Times New Roman" w:hAnsi="Times New Roman" w:cs="Arial"/>
          <w:color w:val="auto"/>
          <w:sz w:val="24"/>
          <w:highlight w:val="none"/>
        </w:rPr>
        <w:t>固液分离设备（煤泥粗分机、缓冲搅拌设备、矿用泥浆泵</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双工作区压滤机）</w:t>
      </w:r>
      <w:r>
        <w:rPr>
          <w:rFonts w:hint="eastAsia" w:ascii="Times New Roman" w:hAnsi="Times New Roman" w:cs="Arial"/>
          <w:color w:val="auto"/>
          <w:sz w:val="24"/>
          <w:highlight w:val="none"/>
          <w:lang w:val="en-US" w:eastAsia="zh-CN"/>
        </w:rPr>
        <w:t>可实现</w:t>
      </w:r>
      <w:r>
        <w:rPr>
          <w:rFonts w:hint="eastAsia" w:ascii="Times New Roman" w:hAnsi="Times New Roman" w:cs="Arial"/>
          <w:color w:val="auto"/>
          <w:sz w:val="24"/>
          <w:highlight w:val="none"/>
        </w:rPr>
        <w:t>有人值守、无人操作、自动运行</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lang w:val="en-US" w:eastAsia="zh-CN"/>
        </w:rPr>
        <w:t>并具有</w:t>
      </w:r>
      <w:r>
        <w:rPr>
          <w:rFonts w:hint="eastAsia" w:ascii="Times New Roman" w:hAnsi="Times New Roman" w:cs="Arial"/>
          <w:color w:val="auto"/>
          <w:sz w:val="24"/>
          <w:highlight w:val="none"/>
        </w:rPr>
        <w:t>故障报警、超限提示，摄像仪监控、电子围栏监控</w:t>
      </w:r>
      <w:r>
        <w:rPr>
          <w:rFonts w:hint="eastAsia" w:ascii="Times New Roman" w:hAnsi="Times New Roman" w:cs="Arial"/>
          <w:color w:val="auto"/>
          <w:sz w:val="24"/>
          <w:highlight w:val="none"/>
          <w:lang w:val="en-US" w:eastAsia="zh-CN"/>
        </w:rPr>
        <w:t>等功能</w:t>
      </w:r>
      <w:r>
        <w:rPr>
          <w:rFonts w:hint="eastAsia" w:ascii="Times New Roman" w:hAnsi="Times New Roman" w:cs="Arial"/>
          <w:color w:val="auto"/>
          <w:sz w:val="24"/>
          <w:highlight w:val="none"/>
        </w:rPr>
        <w:t>。</w:t>
      </w:r>
    </w:p>
    <w:p w14:paraId="7AAC73E0">
      <w:pPr>
        <w:tabs>
          <w:tab w:val="left" w:pos="567"/>
          <w:tab w:val="left" w:pos="1418"/>
        </w:tabs>
        <w:spacing w:line="360" w:lineRule="auto"/>
        <w:ind w:firstLine="480" w:firstLineChars="200"/>
        <w:rPr>
          <w:rFonts w:hint="eastAsia" w:ascii="Times New Roman" w:hAnsi="Times New Roman" w:eastAsia="宋体" w:cs="Arial"/>
          <w:color w:val="auto"/>
          <w:sz w:val="24"/>
          <w:highlight w:val="none"/>
          <w:lang w:eastAsia="zh-CN"/>
        </w:rPr>
      </w:pPr>
      <w:r>
        <w:rPr>
          <w:rFonts w:hint="eastAsia" w:ascii="Times New Roman" w:hAnsi="Times New Roman" w:cs="Arial"/>
          <w:color w:val="auto"/>
          <w:sz w:val="24"/>
          <w:highlight w:val="none"/>
          <w:lang w:val="en-US" w:eastAsia="zh-CN"/>
        </w:rPr>
        <w:t>4.2.1.5</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和固液分离设备能够统一控制，运行协调一致。延时小于一秒</w:t>
      </w:r>
      <w:r>
        <w:rPr>
          <w:rFonts w:hint="eastAsia" w:ascii="Times New Roman" w:hAnsi="Times New Roman" w:cs="Arial"/>
          <w:color w:val="auto"/>
          <w:sz w:val="24"/>
          <w:highlight w:val="none"/>
          <w:lang w:eastAsia="zh-CN"/>
        </w:rPr>
        <w:t>。</w:t>
      </w:r>
    </w:p>
    <w:p w14:paraId="61CD5225">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4.2.1.6</w:t>
      </w:r>
      <w:r>
        <w:rPr>
          <w:rFonts w:hint="eastAsia" w:ascii="Times New Roman" w:hAnsi="Times New Roman" w:cs="Arial"/>
          <w:color w:val="auto"/>
          <w:sz w:val="24"/>
          <w:highlight w:val="none"/>
        </w:rPr>
        <w:t>系统工艺参数应可根据现场情况进行调整和优化。</w:t>
      </w:r>
    </w:p>
    <w:p w14:paraId="5CAF34D8">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4.2.1.7</w:t>
      </w:r>
      <w:r>
        <w:rPr>
          <w:rFonts w:hint="eastAsia" w:ascii="Times New Roman" w:hAnsi="Times New Roman" w:cs="Arial"/>
          <w:color w:val="auto"/>
          <w:sz w:val="24"/>
          <w:highlight w:val="none"/>
        </w:rPr>
        <w:t>总控台上的网络接口，符合《矿山机电设备通信接口和协议》。通讯接口：系统具有Ethernet/IP、TCP/IP、EtherCAT、Modbus TCP、OPC UA等标准工业以太网协议，且应免费开放；应配备标准的以太网光纤接口（LC）及5G信号转换设备，满足接入矿井井下主干控制网络及5G无线网络的要求。总控台面板功能菜单采用手柄和按钮，保证信号传输同步化。</w:t>
      </w:r>
    </w:p>
    <w:p w14:paraId="453D009A">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4.2.1.8</w:t>
      </w:r>
      <w:r>
        <w:rPr>
          <w:rFonts w:hint="eastAsia" w:ascii="Times New Roman" w:hAnsi="Times New Roman" w:cs="Arial"/>
          <w:color w:val="auto"/>
          <w:sz w:val="24"/>
          <w:highlight w:val="none"/>
        </w:rPr>
        <w:t>设备运行数据应自动保存。</w:t>
      </w:r>
    </w:p>
    <w:p w14:paraId="13D6C8E1">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技术要求</w:t>
      </w:r>
    </w:p>
    <w:p w14:paraId="1F461DB2">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由履带底盘行走、物料清挖收集机构、物料输送泵、液压泵站及液压控制、电气控制、设备运行状态及运行参数收集反馈和远程传输监控网络等部分组成。配有全景摄像仪、高清摄像仪、距离传感器、激光传感器、温度、压力以及周围环境中的氧气、瓦斯等传感器，各传感器收集的信号进入可编程控制箱</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通过无线网桥基站传输到移动控制台，再由移动控制台通过光纤传到手持操作台、井下智能总控台或地面控制台。</w:t>
      </w:r>
    </w:p>
    <w:p w14:paraId="1545EEFD">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4.2.2.2</w:t>
      </w:r>
      <w:r>
        <w:rPr>
          <w:rFonts w:hint="eastAsia" w:ascii="Times New Roman" w:hAnsi="Times New Roman" w:cs="Arial"/>
          <w:color w:val="auto"/>
          <w:sz w:val="24"/>
          <w:highlight w:val="none"/>
        </w:rPr>
        <w:t xml:space="preserve"> </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具有智能防撞功能（防撞巷道壁）、智能防过量进入煤泥等保护功能。机前及两侧装有距离传感器。</w:t>
      </w:r>
    </w:p>
    <w:p w14:paraId="365D8760">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4.2.2.3</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前端</w:t>
      </w:r>
      <w:r>
        <w:rPr>
          <w:rFonts w:hint="eastAsia" w:ascii="Times New Roman" w:hAnsi="Times New Roman" w:cs="Arial"/>
          <w:color w:val="auto"/>
          <w:sz w:val="24"/>
          <w:highlight w:val="none"/>
          <w:lang w:val="en-US" w:eastAsia="zh-CN"/>
        </w:rPr>
        <w:t>需设置</w:t>
      </w:r>
      <w:r>
        <w:rPr>
          <w:rFonts w:hint="eastAsia" w:ascii="Times New Roman" w:hAnsi="Times New Roman" w:cs="Arial"/>
          <w:color w:val="auto"/>
          <w:sz w:val="24"/>
          <w:highlight w:val="none"/>
        </w:rPr>
        <w:t>全景摄像仪，可以实现无死角反映工作环境真实情况，监控设备运行状况。后端高清摄像仪可通过车辆后面影像，对车辆后部运行情况实时掌控。</w:t>
      </w:r>
    </w:p>
    <w:p w14:paraId="4DD92EF3">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4.2.2.4</w:t>
      </w:r>
      <w:r>
        <w:rPr>
          <w:rFonts w:hint="eastAsia" w:ascii="Times New Roman" w:hAnsi="Times New Roman" w:cs="Arial"/>
          <w:color w:val="auto"/>
          <w:sz w:val="24"/>
          <w:highlight w:val="none"/>
        </w:rPr>
        <w:t xml:space="preserve"> </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的行走部分为8吨液压履带底盘，满足井下复杂地面环境下的行走要求。</w:t>
      </w:r>
    </w:p>
    <w:p w14:paraId="50295D9B">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4.2.2.5</w:t>
      </w:r>
      <w:r>
        <w:rPr>
          <w:rFonts w:hint="eastAsia" w:ascii="Times New Roman" w:hAnsi="Times New Roman" w:cs="Arial"/>
          <w:color w:val="auto"/>
          <w:sz w:val="24"/>
          <w:highlight w:val="none"/>
        </w:rPr>
        <w:t xml:space="preserve"> </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使用长节距履带板，增加履带底盘与地面的接触面积，降低清挖输送车的接地比压，有效的保护水仓地面的硬化面。</w:t>
      </w:r>
    </w:p>
    <w:p w14:paraId="5E19E0B9">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4.2.2.6</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采用对称搅拌螺旋进行物料的收集</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采用提斗结构可以有效的输送各种形态的淤泥（粗/细物料和高低浓度的物料均可有效输送）。清挖输送车挖装部采用双螺旋集泥装置和提斗运输作为装载机构，可输送各种状态的煤泥，对粘性比较大的煤泥和松散物料均能适应，集泥装置悬臂可上下升降（升降范围-100mm</w:t>
      </w:r>
      <w:r>
        <w:rPr>
          <w:rFonts w:hint="eastAsia" w:ascii="Times New Roman" w:hAnsi="Times New Roman" w:cs="Arial"/>
          <w:color w:val="auto"/>
          <w:sz w:val="24"/>
          <w:highlight w:val="none"/>
          <w:lang w:val="en-US" w:eastAsia="zh-CN"/>
        </w:rPr>
        <w:t>～</w:t>
      </w:r>
      <w:r>
        <w:rPr>
          <w:rFonts w:hint="eastAsia" w:ascii="Times New Roman" w:hAnsi="Times New Roman" w:cs="Arial"/>
          <w:color w:val="auto"/>
          <w:sz w:val="24"/>
          <w:highlight w:val="none"/>
        </w:rPr>
        <w:t>650mm）。</w:t>
      </w:r>
    </w:p>
    <w:p w14:paraId="6EE5DFBC">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4.2.2.7</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物料泵</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为S阀式摆缸泵，能输送高浓度大颗粒（输送浓度可达60%，颗粒直径可达30mm）高粘度物料。</w:t>
      </w:r>
    </w:p>
    <w:p w14:paraId="0EF4F011">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4.2.2.8</w:t>
      </w:r>
      <w:r>
        <w:rPr>
          <w:rFonts w:hint="eastAsia" w:ascii="Times New Roman" w:hAnsi="Times New Roman" w:cs="Arial"/>
          <w:color w:val="auto"/>
          <w:sz w:val="24"/>
          <w:highlight w:val="none"/>
        </w:rPr>
        <w:t>液压控制阀部分采用手动和自动控制一体阀，可在自动控制部分失效或操作需要时切换成手动控制智能型清挖输送车的运行。</w:t>
      </w:r>
    </w:p>
    <w:p w14:paraId="783F6485">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4.2.2.9</w:t>
      </w:r>
      <w:r>
        <w:rPr>
          <w:rFonts w:hint="eastAsia" w:ascii="Times New Roman" w:hAnsi="Times New Roman" w:cs="Arial"/>
          <w:color w:val="auto"/>
          <w:sz w:val="24"/>
          <w:highlight w:val="none"/>
        </w:rPr>
        <w:t xml:space="preserve"> 总控台具有总画面和分画面切换功能。能够显示仓里仓外工况及设备各种运行参数（姿态、温度、压力以及周围环境中的氧气、瓦斯等参数）。操作采用手柄键钮操作形式，防止动作延误。</w:t>
      </w:r>
    </w:p>
    <w:p w14:paraId="4BC2E0F5">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4.2.2.10</w:t>
      </w:r>
      <w:r>
        <w:rPr>
          <w:rFonts w:hint="eastAsia" w:ascii="Times New Roman" w:hAnsi="Times New Roman" w:cs="Arial"/>
          <w:color w:val="auto"/>
          <w:sz w:val="24"/>
          <w:highlight w:val="none"/>
        </w:rPr>
        <w:t>可视遥控器由矿用本安型基站、矿用本质安全型平板电脑、近距无线遥控操作系统（器）组成，可在200米直线距离内的进行操作。遥控器具有可视屏幕，显示清挖输送车周围的工况。遥控器上具有紧急停止按钮装置，遥控器行走控制按钮必须有组合键控制功能，防止误操作。</w:t>
      </w:r>
    </w:p>
    <w:p w14:paraId="0844F6BE">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4.2.2.11</w:t>
      </w:r>
      <w:r>
        <w:rPr>
          <w:rFonts w:hint="eastAsia" w:ascii="Times New Roman" w:hAnsi="Times New Roman" w:cs="Arial"/>
          <w:color w:val="auto"/>
          <w:sz w:val="24"/>
          <w:highlight w:val="none"/>
        </w:rPr>
        <w:t>智能远程操作台和遥控操作台上的按钮布置、操作杆位置均相同，只需熟练掌握一种就可熟练同时操作，手持遥控器及井下/地面操作台可实现清挖输送车油泵的启/停、清挖输送车前进/后退、清挖输送车左转/右转、运输机正/反转、运输机油缸升/降、泵送油缸启/停、电缆装置收/放、系统紧急停车等动作。清挖输送车具有紧急停止按钮装置，遥控器行走控制按钮必须有组合键控制功能，防止误操作。</w:t>
      </w:r>
    </w:p>
    <w:p w14:paraId="69DDCA0D">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4.2.2.12</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液压泵站安装油温/油位传感器，在油温/油位出现异常时会自动报警。</w:t>
      </w:r>
    </w:p>
    <w:p w14:paraId="63D649D5">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4.2.2.13</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遥控器与相应控制设备之间使用特有频率或站号，避免遥控器控制命令发送至匹配设备以外的其它设备情况。</w:t>
      </w:r>
    </w:p>
    <w:p w14:paraId="4E4D0545">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4.2.2.14</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具备水位报警控制功能：水仓内由于局部存有大量的淤泥，在清挖过程中，可能会出现涌仓情况，淤泥忽然塌陷淹没清挖输送车。如清挖车前方淤泥厚度过深或者淤泥层距离清挖车距离过近，激光传感器会自动报警，需要观察视频画面人工干预，确认水仓内情况安全后，再操作清挖输送车继续工作。</w:t>
      </w:r>
    </w:p>
    <w:p w14:paraId="44F20CCF">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4.2.2.15</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具备雷达测距避障功能：清挖输送车的车身左右各设有2个雷达测距传感器，可发出雷达波，探测清挖输送车周围（0</w:t>
      </w:r>
      <w:r>
        <w:rPr>
          <w:rFonts w:hint="eastAsia" w:ascii="Times New Roman" w:hAnsi="Times New Roman" w:cs="Arial"/>
          <w:color w:val="auto"/>
          <w:sz w:val="24"/>
          <w:highlight w:val="none"/>
          <w:lang w:val="en-US" w:eastAsia="zh-CN"/>
        </w:rPr>
        <w:t>～</w:t>
      </w:r>
      <w:r>
        <w:rPr>
          <w:rFonts w:hint="eastAsia" w:ascii="Times New Roman" w:hAnsi="Times New Roman" w:cs="Arial"/>
          <w:color w:val="auto"/>
          <w:sz w:val="24"/>
          <w:highlight w:val="none"/>
        </w:rPr>
        <w:t>3m可设置范围内）遇有障碍物可发出语音告警。</w:t>
      </w:r>
    </w:p>
    <w:p w14:paraId="133B11D8">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4.2.2.16</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具备电子围栏系统，可以对人员识别检测功能。若水仓内清挖输送车周围有人员活动，实现报警和停机功能，报警、停机距离可以分别进行设置调整，以保证水仓内人员安全。</w:t>
      </w:r>
    </w:p>
    <w:p w14:paraId="1E8233E1">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4.2.2.17</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安装倾角传感器，可以实时监测清挖输送车的纵向（俯仰角）角度，并在控制器显示面板模拟虚拟画面，实时显示数据。</w:t>
      </w:r>
    </w:p>
    <w:p w14:paraId="4A197BCB">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4.2.2.18</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lang w:val="en-US" w:eastAsia="zh-CN"/>
        </w:rPr>
        <w:t>需</w:t>
      </w:r>
      <w:r>
        <w:rPr>
          <w:rFonts w:hint="eastAsia" w:ascii="Times New Roman" w:hAnsi="Times New Roman" w:cs="Arial"/>
          <w:color w:val="auto"/>
          <w:sz w:val="24"/>
          <w:highlight w:val="none"/>
        </w:rPr>
        <w:t>配备有喷水电磁阀，在遥控/远控状态下可以控制喷水电磁阀的开关按钮完成对水仓煤泥的自动稀释功能。</w:t>
      </w:r>
    </w:p>
    <w:p w14:paraId="7CE300F6">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w:t>
      </w:r>
      <w:r>
        <w:rPr>
          <w:rFonts w:hint="eastAsia" w:ascii="Times New Roman" w:hAnsi="Times New Roman" w:cs="Arial"/>
          <w:color w:val="auto"/>
          <w:sz w:val="24"/>
          <w:highlight w:val="none"/>
        </w:rPr>
        <w:t>粗分机</w:t>
      </w:r>
      <w:r>
        <w:rPr>
          <w:rFonts w:hint="eastAsia" w:ascii="Times New Roman" w:hAnsi="Times New Roman" w:cs="Arial"/>
          <w:color w:val="auto"/>
          <w:sz w:val="24"/>
          <w:highlight w:val="none"/>
          <w:lang w:val="en-US" w:eastAsia="zh-CN"/>
        </w:rPr>
        <w:t>和</w:t>
      </w:r>
      <w:r>
        <w:rPr>
          <w:rFonts w:hint="eastAsia" w:ascii="Times New Roman" w:hAnsi="Times New Roman" w:cs="Arial"/>
          <w:color w:val="auto"/>
          <w:sz w:val="24"/>
          <w:highlight w:val="none"/>
        </w:rPr>
        <w:t>缓冲搅拌设备技术要求</w:t>
      </w:r>
    </w:p>
    <w:p w14:paraId="57B49A8A">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4.2.3.1</w:t>
      </w:r>
      <w:r>
        <w:rPr>
          <w:rFonts w:hint="eastAsia" w:ascii="Times New Roman" w:hAnsi="Times New Roman" w:cs="Arial"/>
          <w:color w:val="auto"/>
          <w:sz w:val="24"/>
          <w:highlight w:val="none"/>
        </w:rPr>
        <w:t>粗分机</w:t>
      </w:r>
      <w:r>
        <w:rPr>
          <w:rFonts w:hint="eastAsia" w:ascii="Times New Roman" w:hAnsi="Times New Roman" w:cs="Arial"/>
          <w:color w:val="auto"/>
          <w:sz w:val="24"/>
          <w:highlight w:val="none"/>
          <w:lang w:val="en-US" w:eastAsia="zh-CN"/>
        </w:rPr>
        <w:t>是物料固液分离的预处理，可以把大颗粒和杂物处理出来，避免堵塞管道和保护滤布寿命。处理能力要与清仓机能力匹配。缓冲搅拌罐要带有搅拌器，防止物料沉淀。缓冲搅拌罐装要有液位开关，和压滤泵配合使用。</w:t>
      </w:r>
    </w:p>
    <w:p w14:paraId="36F851CB">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4.2.3.2</w:t>
      </w:r>
      <w:r>
        <w:rPr>
          <w:rFonts w:hint="eastAsia" w:ascii="Times New Roman" w:hAnsi="Times New Roman" w:cs="Arial"/>
          <w:color w:val="auto"/>
          <w:sz w:val="24"/>
          <w:highlight w:val="none"/>
        </w:rPr>
        <w:t>设备工艺参数现场可设置、可调整，设备按工艺顺序自动运行</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操作员值守监控</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具有参数显示，故障报警、故障暂停、恢复等功能。</w:t>
      </w:r>
    </w:p>
    <w:p w14:paraId="0AB50FF4">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4.2.3.3</w:t>
      </w:r>
      <w:r>
        <w:rPr>
          <w:rFonts w:hint="eastAsia" w:ascii="Times New Roman" w:hAnsi="Times New Roman" w:cs="Arial"/>
          <w:color w:val="auto"/>
          <w:sz w:val="24"/>
          <w:highlight w:val="none"/>
        </w:rPr>
        <w:t>摄像仪监控粗分机</w:t>
      </w:r>
      <w:r>
        <w:rPr>
          <w:rFonts w:hint="eastAsia" w:ascii="Times New Roman" w:hAnsi="Times New Roman" w:cs="Arial"/>
          <w:color w:val="auto"/>
          <w:sz w:val="24"/>
          <w:highlight w:val="none"/>
          <w:lang w:val="en-US" w:eastAsia="zh-CN"/>
        </w:rPr>
        <w:t>和</w:t>
      </w:r>
      <w:r>
        <w:rPr>
          <w:rFonts w:hint="eastAsia" w:ascii="Times New Roman" w:hAnsi="Times New Roman" w:cs="Arial"/>
          <w:color w:val="auto"/>
          <w:sz w:val="24"/>
          <w:highlight w:val="none"/>
        </w:rPr>
        <w:t>缓冲搅拌设备运行。</w:t>
      </w:r>
    </w:p>
    <w:p w14:paraId="68DE4312">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4.2.3.4</w:t>
      </w:r>
      <w:r>
        <w:rPr>
          <w:rFonts w:hint="eastAsia" w:ascii="Times New Roman" w:hAnsi="Times New Roman" w:cs="Arial"/>
          <w:color w:val="auto"/>
          <w:sz w:val="24"/>
          <w:highlight w:val="none"/>
        </w:rPr>
        <w:t>设备运行数据包括现场画面</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搅拌罐液位状态</w:t>
      </w:r>
      <w:r>
        <w:rPr>
          <w:rFonts w:hint="eastAsia" w:ascii="Times New Roman" w:hAnsi="Times New Roman" w:cs="Arial"/>
          <w:color w:val="auto"/>
          <w:sz w:val="24"/>
          <w:highlight w:val="none"/>
          <w:lang w:val="en-US" w:eastAsia="zh-CN"/>
        </w:rPr>
        <w:t>等</w:t>
      </w:r>
      <w:r>
        <w:rPr>
          <w:rFonts w:hint="eastAsia" w:ascii="Times New Roman" w:hAnsi="Times New Roman" w:cs="Arial"/>
          <w:color w:val="auto"/>
          <w:sz w:val="24"/>
          <w:highlight w:val="none"/>
        </w:rPr>
        <w:t>应传输至总控台，所有监控界面都应显示，以确定设备是否工作正常。</w:t>
      </w:r>
    </w:p>
    <w:p w14:paraId="248474C0">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4.2.3.5</w:t>
      </w:r>
      <w:r>
        <w:rPr>
          <w:rFonts w:hint="eastAsia" w:ascii="Times New Roman" w:hAnsi="Times New Roman" w:cs="Arial"/>
          <w:color w:val="auto"/>
          <w:sz w:val="24"/>
          <w:highlight w:val="none"/>
        </w:rPr>
        <w:t>压滤机运行与</w:t>
      </w:r>
      <w:r>
        <w:rPr>
          <w:rFonts w:hint="eastAsia" w:ascii="Times New Roman" w:hAnsi="Times New Roman" w:cs="Arial"/>
          <w:color w:val="auto"/>
          <w:sz w:val="24"/>
          <w:highlight w:val="none"/>
          <w:lang w:eastAsia="zh-CN"/>
        </w:rPr>
        <w:t>斗式液压清挖输送车</w:t>
      </w:r>
      <w:r>
        <w:rPr>
          <w:rFonts w:hint="eastAsia" w:ascii="Times New Roman" w:hAnsi="Times New Roman" w:cs="Arial"/>
          <w:color w:val="auto"/>
          <w:sz w:val="24"/>
          <w:highlight w:val="none"/>
        </w:rPr>
        <w:t>智能联动（粗分机搅拌罐液位制约压滤泵和清挖输送车启停）。</w:t>
      </w:r>
    </w:p>
    <w:p w14:paraId="3886172A">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4.2.3.6</w:t>
      </w:r>
      <w:r>
        <w:rPr>
          <w:rFonts w:hint="eastAsia" w:ascii="Times New Roman" w:hAnsi="Times New Roman" w:cs="Arial"/>
          <w:color w:val="auto"/>
          <w:sz w:val="24"/>
          <w:highlight w:val="none"/>
        </w:rPr>
        <w:t>设备运行参数显示</w:t>
      </w:r>
    </w:p>
    <w:p w14:paraId="3E0EEDAF">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（1）</w:t>
      </w:r>
      <w:r>
        <w:rPr>
          <w:rFonts w:hint="eastAsia" w:ascii="Times New Roman" w:hAnsi="Times New Roman" w:cs="Arial"/>
          <w:color w:val="auto"/>
          <w:sz w:val="24"/>
          <w:highlight w:val="none"/>
        </w:rPr>
        <w:t>所有电机的工作状态</w:t>
      </w:r>
    </w:p>
    <w:p w14:paraId="4A6B0260">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lang w:val="en-US" w:eastAsia="zh-CN"/>
        </w:rPr>
        <w:t>2</w:t>
      </w:r>
      <w:r>
        <w:rPr>
          <w:rFonts w:hint="eastAsia" w:ascii="Times New Roman" w:hAnsi="Times New Roman" w:cs="Arial"/>
          <w:color w:val="auto"/>
          <w:sz w:val="24"/>
          <w:highlight w:val="none"/>
          <w:lang w:eastAsia="zh-CN"/>
        </w:rPr>
        <w:t>）</w:t>
      </w:r>
      <w:r>
        <w:rPr>
          <w:rFonts w:hint="eastAsia" w:ascii="Times New Roman" w:hAnsi="Times New Roman" w:cs="Arial"/>
          <w:color w:val="auto"/>
          <w:sz w:val="24"/>
          <w:highlight w:val="none"/>
        </w:rPr>
        <w:t>压滤机运行：压滤泵入料压力（隔膜压力表）Y1、主油缸压力（两工作区）Y2，拉板马达压力Y3。</w:t>
      </w:r>
    </w:p>
    <w:p w14:paraId="07F0E202">
      <w:pPr>
        <w:tabs>
          <w:tab w:val="left" w:pos="567"/>
          <w:tab w:val="left" w:pos="1418"/>
        </w:tabs>
        <w:spacing w:line="360" w:lineRule="auto"/>
        <w:ind w:firstLine="480" w:firstLineChars="200"/>
        <w:rPr>
          <w:rFonts w:hint="default" w:ascii="Times New Roman" w:hAnsi="Times New Roman" w:eastAsia="宋体" w:cs="Arial"/>
          <w:color w:val="auto"/>
          <w:sz w:val="24"/>
          <w:highlight w:val="none"/>
          <w:lang w:val="en-US" w:eastAsia="zh-CN"/>
        </w:rPr>
      </w:pPr>
      <w:r>
        <w:rPr>
          <w:rFonts w:hint="eastAsia" w:ascii="Times New Roman" w:hAnsi="Times New Roman" w:cs="Arial"/>
          <w:color w:val="auto"/>
          <w:sz w:val="24"/>
          <w:highlight w:val="none"/>
          <w:lang w:val="en-US" w:eastAsia="zh-CN"/>
        </w:rPr>
        <w:t>4.2.4</w:t>
      </w:r>
      <w:r>
        <w:rPr>
          <w:rFonts w:hint="eastAsia" w:ascii="Times New Roman" w:hAnsi="Times New Roman" w:cs="Arial"/>
          <w:color w:val="auto"/>
          <w:sz w:val="24"/>
          <w:highlight w:val="none"/>
        </w:rPr>
        <w:t>多功能压滤机</w:t>
      </w:r>
      <w:r>
        <w:rPr>
          <w:rFonts w:hint="eastAsia" w:ascii="Times New Roman" w:hAnsi="Times New Roman" w:cs="Arial"/>
          <w:color w:val="auto"/>
          <w:sz w:val="24"/>
          <w:highlight w:val="none"/>
          <w:lang w:val="en-US" w:eastAsia="zh-CN"/>
        </w:rPr>
        <w:t>及液压泵站</w:t>
      </w:r>
      <w:r>
        <w:rPr>
          <w:rFonts w:hint="eastAsia" w:ascii="Times New Roman" w:hAnsi="Times New Roman" w:cs="Arial"/>
          <w:color w:val="auto"/>
          <w:sz w:val="24"/>
          <w:highlight w:val="none"/>
        </w:rPr>
        <w:t>技术要求</w:t>
      </w:r>
    </w:p>
    <w:p w14:paraId="092701C3">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4.2.4.1</w:t>
      </w:r>
      <w:r>
        <w:rPr>
          <w:rFonts w:hint="eastAsia" w:ascii="Times New Roman" w:hAnsi="Times New Roman" w:cs="Arial"/>
          <w:color w:val="auto"/>
          <w:sz w:val="24"/>
          <w:highlight w:val="none"/>
        </w:rPr>
        <w:t>一台压滤机可实现单双工作区互换使用，正常情况下，使用双工作区提高效率。粘度大颗粒小的特殊情况下，使用单工作区压滤保证压滤产量。高强度耐磨滤板、耐磨高分子材料滤布，两个工作室可以交替作业，整个工作过程可以连续。</w:t>
      </w:r>
    </w:p>
    <w:p w14:paraId="5C290D39">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4.2.4.2</w:t>
      </w:r>
      <w:r>
        <w:rPr>
          <w:rFonts w:hint="eastAsia" w:ascii="Times New Roman" w:hAnsi="Times New Roman" w:cs="Arial"/>
          <w:color w:val="auto"/>
          <w:sz w:val="24"/>
          <w:highlight w:val="none"/>
        </w:rPr>
        <w:t>卸料方式：拉板小车自动卸料；</w:t>
      </w:r>
    </w:p>
    <w:p w14:paraId="7C738265">
      <w:pPr>
        <w:tabs>
          <w:tab w:val="left" w:pos="567"/>
          <w:tab w:val="left" w:pos="1418"/>
        </w:tabs>
        <w:spacing w:line="360" w:lineRule="auto"/>
        <w:ind w:firstLine="480" w:firstLineChars="200"/>
        <w:rPr>
          <w:rFonts w:hint="eastAsia" w:ascii="Times New Roman" w:hAnsi="Times New Roman" w:eastAsia="宋体" w:cs="Arial"/>
          <w:color w:val="auto"/>
          <w:sz w:val="24"/>
          <w:highlight w:val="none"/>
          <w:lang w:val="en-US" w:eastAsia="zh-CN"/>
        </w:rPr>
      </w:pPr>
      <w:r>
        <w:rPr>
          <w:rFonts w:hint="eastAsia" w:ascii="Times New Roman" w:hAnsi="Times New Roman" w:cs="Arial"/>
          <w:color w:val="auto"/>
          <w:sz w:val="24"/>
          <w:highlight w:val="none"/>
          <w:lang w:val="en-US" w:eastAsia="zh-CN"/>
        </w:rPr>
        <w:t>4.2.4.3</w:t>
      </w:r>
      <w:r>
        <w:rPr>
          <w:rFonts w:hint="eastAsia" w:ascii="Times New Roman" w:hAnsi="Times New Roman" w:cs="Arial"/>
          <w:color w:val="auto"/>
          <w:sz w:val="24"/>
          <w:highlight w:val="none"/>
        </w:rPr>
        <w:t>液压泵站具有配置合理、结构紧凑；高压过滤、过载保护、自动冷却；具有温度、压力显示，机构自锁功能；系统工作压力稳定、无冲击、泄露</w:t>
      </w:r>
      <w:r>
        <w:rPr>
          <w:rFonts w:hint="eastAsia" w:ascii="Times New Roman" w:hAnsi="Times New Roman" w:cs="Arial"/>
          <w:color w:val="auto"/>
          <w:sz w:val="24"/>
          <w:highlight w:val="none"/>
          <w:lang w:eastAsia="zh-CN"/>
        </w:rPr>
        <w:t>。</w:t>
      </w:r>
    </w:p>
    <w:p w14:paraId="74EC349C">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4.2.4.4压滤机系统设有保压和溢流装置。</w:t>
      </w:r>
    </w:p>
    <w:p w14:paraId="45047232">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4.2.4.5通过井下操作台可实现压滤系统油泵启/停、压滤机油缸伸/缩、粗分机启/停、泥浆泵启/停、压滤机拉板小车启/停、控制阀启/停、系统紧急停车等动作的实时监测监控及PLC自动运行控制。可以实现自动与手动之间的切换，出现突发情况时通过人工干预。</w:t>
      </w:r>
    </w:p>
    <w:p w14:paraId="70ABCBC9">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4.2.4.6压滤系统和液压泵站有压力表和压力传感，可实时监测和显示整个液压系统的压力；</w:t>
      </w:r>
    </w:p>
    <w:p w14:paraId="03C126FD">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4.2.4.7多功能压滤机及液压泵站需设置有矿用隔爆型高清摄像仪，可接入控制总台；</w:t>
      </w:r>
    </w:p>
    <w:p w14:paraId="62212785">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4.2.4.8压滤机装有接近开关和进液换向开关，使压滤机两个工作区交替作业。</w:t>
      </w:r>
    </w:p>
    <w:p w14:paraId="576ED520">
      <w:pPr>
        <w:tabs>
          <w:tab w:val="left" w:pos="567"/>
          <w:tab w:val="left" w:pos="1418"/>
        </w:tabs>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4.2.4.9 压滤泵装有压力传感器，根据压力大小启停。</w:t>
      </w:r>
    </w:p>
    <w:p w14:paraId="2A5135C3">
      <w:pPr>
        <w:tabs>
          <w:tab w:val="left" w:pos="567"/>
          <w:tab w:val="left" w:pos="1418"/>
        </w:tabs>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lang w:val="en-US" w:eastAsia="zh-CN"/>
        </w:rPr>
        <w:t>4.2.5</w:t>
      </w:r>
      <w:r>
        <w:rPr>
          <w:rFonts w:hint="eastAsia" w:ascii="Times New Roman" w:hAnsi="Times New Roman" w:cs="Arial"/>
          <w:color w:val="auto"/>
          <w:sz w:val="24"/>
          <w:highlight w:val="none"/>
        </w:rPr>
        <w:t>清仓系统配套电控设备一套。</w:t>
      </w:r>
    </w:p>
    <w:p w14:paraId="7D7FE0E8">
      <w:pPr>
        <w:tabs>
          <w:tab w:val="left" w:pos="567"/>
          <w:tab w:val="left" w:pos="1418"/>
        </w:tabs>
        <w:spacing w:line="360" w:lineRule="auto"/>
        <w:ind w:firstLine="480" w:firstLineChars="200"/>
        <w:rPr>
          <w:rFonts w:hint="eastAsia" w:ascii="Times New Roman" w:hAnsi="Times New Roman" w:eastAsia="宋体" w:cs="Arial"/>
          <w:b/>
          <w:color w:val="auto"/>
          <w:sz w:val="24"/>
          <w:highlight w:val="none"/>
          <w:lang w:val="en-US" w:eastAsia="zh-CN"/>
        </w:rPr>
      </w:pPr>
      <w:r>
        <w:rPr>
          <w:rFonts w:hint="eastAsia" w:ascii="Times New Roman" w:hAnsi="Times New Roman" w:cs="Arial"/>
          <w:color w:val="auto"/>
          <w:sz w:val="24"/>
          <w:highlight w:val="none"/>
        </w:rPr>
        <w:t>煤泥粗分机、矿用泥浆泵（压滤）以及双工作区压滤机均为架空安装，架空高度距地面至少2.6m，压滤机出泥直接排入胶轮车斗内。架空平台、钢梁及支架后续由矿建专业考虑，也可由厂家负责安装，供方提供设备运行荷载等具体参数。</w:t>
      </w:r>
      <w:r>
        <w:rPr>
          <w:rFonts w:hint="eastAsia" w:ascii="Times New Roman" w:hAnsi="Times New Roman" w:cs="Arial"/>
          <w:color w:val="auto"/>
          <w:sz w:val="24"/>
          <w:highlight w:val="none"/>
          <w:lang w:eastAsia="zh-CN"/>
        </w:rPr>
        <w:t>投标方</w:t>
      </w:r>
      <w:r>
        <w:rPr>
          <w:rFonts w:hint="eastAsia" w:ascii="Times New Roman" w:hAnsi="Times New Roman" w:cs="Arial"/>
          <w:color w:val="auto"/>
          <w:sz w:val="24"/>
          <w:highlight w:val="none"/>
        </w:rPr>
        <w:t>应统筹考虑清挖输送车与后续架空安装设备的整体协调和工作连续稳定性。</w:t>
      </w:r>
      <w:r>
        <w:rPr>
          <w:rFonts w:hint="eastAsia" w:ascii="Times New Roman" w:hAnsi="Times New Roman" w:cs="Arial"/>
          <w:color w:val="auto"/>
          <w:sz w:val="24"/>
          <w:highlight w:val="none"/>
        </w:rPr>
        <w:br w:type="textWrapping"/>
      </w:r>
      <w:bookmarkStart w:id="138" w:name="_Toc1019"/>
      <w:r>
        <w:rPr>
          <w:rFonts w:hint="eastAsia" w:ascii="Times New Roman" w:hAnsi="Times New Roman" w:eastAsia="宋体" w:cs="Arial"/>
          <w:b/>
          <w:color w:val="auto"/>
          <w:sz w:val="24"/>
          <w:highlight w:val="none"/>
          <w:lang w:val="en-US" w:eastAsia="zh-CN"/>
        </w:rPr>
        <w:t>4.3 电气要求</w:t>
      </w:r>
    </w:p>
    <w:p w14:paraId="743EF26A">
      <w:pPr>
        <w:pStyle w:val="45"/>
        <w:ind w:firstLine="48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4.3.1</w:t>
      </w:r>
      <w:r>
        <w:rPr>
          <w:rFonts w:hint="default" w:ascii="Times New Roman" w:hAnsi="Times New Roman" w:eastAsia="宋体" w:cs="Times New Roman"/>
          <w:color w:val="auto"/>
          <w:highlight w:val="none"/>
          <w:lang w:val="en-US" w:eastAsia="zh-CN"/>
        </w:rPr>
        <w:t>本工程清仓设备配电及控制设备均由清仓设备厂家成套提供，现场仅向该电控系统提供两回1140V电源（如清仓系统所需电源数量有变化，应及时与招标方沟通。）。系统所需的操作台、控制箱、遥控器、摄像仪、各种传感器及所有线缆均由清仓设备厂家成套提供。系统需具有短路、漏电、过载、缺相等电气保护功能。所提供的系统必须完整，并能够实现操作台及遥控操作，实现远程操作功能。并预留通讯接口，开放通信协议，能够通过井下工业以太网接入矿井综合管控平台。</w:t>
      </w:r>
    </w:p>
    <w:p w14:paraId="7664648F">
      <w:pPr>
        <w:pStyle w:val="4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所有电气开关及电控系统的配置及电气参数必须满足煤矿安全规程及矿井相关设计规范的要求。</w:t>
      </w:r>
    </w:p>
    <w:p w14:paraId="42801BCD">
      <w:pPr>
        <w:pStyle w:val="45"/>
        <w:ind w:firstLine="48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4.3.2</w:t>
      </w:r>
      <w:r>
        <w:rPr>
          <w:rFonts w:hint="default" w:ascii="Times New Roman" w:hAnsi="Times New Roman" w:eastAsia="宋体" w:cs="Times New Roman"/>
          <w:color w:val="auto"/>
          <w:highlight w:val="none"/>
          <w:lang w:val="en-US" w:eastAsia="zh-CN"/>
        </w:rPr>
        <w:t>电控系统由智能远程操作台、PLC可编程控制箱、手持遥控操作器、移动控制台、传感器、摄像机等组成。PLC选用进口知名品牌系列。PLC可编程控制器采用西门子系列、AB系列、三菱等或同等及以上档次。</w:t>
      </w:r>
    </w:p>
    <w:p w14:paraId="095B9A74">
      <w:pPr>
        <w:pStyle w:val="45"/>
        <w:ind w:firstLine="48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4.3.3 </w:t>
      </w:r>
      <w:r>
        <w:rPr>
          <w:rFonts w:hint="default" w:ascii="Times New Roman" w:hAnsi="Times New Roman" w:eastAsia="宋体" w:cs="Times New Roman"/>
          <w:color w:val="auto"/>
          <w:highlight w:val="none"/>
          <w:lang w:val="en-US" w:eastAsia="zh-CN"/>
        </w:rPr>
        <w:t>PLC采用高性能、模块化结构。由电源模块、CPU、数字量模块、模拟量模块、485通信模块、以太网通信模块等组成。PLC控制系统的输入输出采用信号隔离模块。PLC与上位机组态软件数据通信延时不能大于0.5秒。PLC 的I/O接口应有不少于20%的余量。</w:t>
      </w:r>
    </w:p>
    <w:p w14:paraId="01A0FA5B">
      <w:pPr>
        <w:pStyle w:val="45"/>
        <w:spacing w:line="360" w:lineRule="auto"/>
        <w:ind w:firstLine="480"/>
        <w:rPr>
          <w:rFonts w:hint="default" w:ascii="Times New Roman" w:hAnsi="Times New Roman" w:eastAsia="宋体" w:cs="Times New Roman"/>
          <w:color w:val="auto"/>
          <w:highlight w:val="none"/>
          <w:lang w:val="en-US" w:eastAsia="zh-CN"/>
        </w:rPr>
      </w:pPr>
      <w:r>
        <w:rPr>
          <w:rFonts w:hint="eastAsia" w:ascii="宋体"/>
          <w:color w:val="auto"/>
          <w:kern w:val="0"/>
          <w:sz w:val="24"/>
          <w:szCs w:val="24"/>
          <w:highlight w:val="none"/>
        </w:rPr>
        <w:t>★</w:t>
      </w:r>
      <w:r>
        <w:rPr>
          <w:rFonts w:hint="eastAsia" w:ascii="Times New Roman" w:hAnsi="Times New Roman" w:eastAsia="宋体" w:cs="Times New Roman"/>
          <w:color w:val="auto"/>
          <w:highlight w:val="none"/>
          <w:lang w:val="en-US" w:eastAsia="zh-CN"/>
        </w:rPr>
        <w:t>4.3.4</w:t>
      </w:r>
      <w:r>
        <w:rPr>
          <w:rFonts w:hint="default" w:ascii="Times New Roman" w:hAnsi="Times New Roman" w:eastAsia="宋体" w:cs="Times New Roman"/>
          <w:color w:val="auto"/>
          <w:highlight w:val="none"/>
          <w:lang w:val="en-US" w:eastAsia="zh-CN"/>
        </w:rPr>
        <w:t>传感器包括超声波传感器、红外测距传感器、激光传感器、气体传感器、姿态传感器等。传感器要求选用知名企业的产品，必须具有</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产品合格证</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防爆合格证</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煤矿矿用产品安全标志</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w:t>
      </w:r>
    </w:p>
    <w:p w14:paraId="690E756A">
      <w:pPr>
        <w:pStyle w:val="45"/>
        <w:spacing w:line="360" w:lineRule="auto"/>
        <w:ind w:firstLine="48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4.3.5</w:t>
      </w:r>
      <w:r>
        <w:rPr>
          <w:rFonts w:hint="default" w:ascii="Times New Roman" w:hAnsi="Times New Roman" w:eastAsia="宋体" w:cs="Times New Roman"/>
          <w:color w:val="auto"/>
          <w:highlight w:val="none"/>
          <w:lang w:val="en-US" w:eastAsia="zh-CN"/>
        </w:rPr>
        <w:t>通讯接口：具有Ethernet/IP、TCP/IP、EtherCAT、Modbus TCP、OPC UA等标准工业以太网协议，且应免费开放；应配备标准的以太网光纤接口（LC）及5G信号转换设备，满足接入矿井井下主干控制网络及5G无线网络的要求。总控台面板功能菜单采用手柄和按钮，保证信号传输同步化。</w:t>
      </w:r>
    </w:p>
    <w:p w14:paraId="564BDAA9">
      <w:pPr>
        <w:pStyle w:val="45"/>
        <w:spacing w:line="360" w:lineRule="auto"/>
        <w:ind w:firstLine="480"/>
        <w:rPr>
          <w:rFonts w:hint="default" w:ascii="Times New Roman" w:hAnsi="Times New Roman" w:eastAsia="宋体" w:cs="Times New Roman"/>
          <w:color w:val="auto"/>
          <w:highlight w:val="none"/>
          <w:lang w:val="en-US" w:eastAsia="zh-CN"/>
        </w:rPr>
      </w:pPr>
      <w:r>
        <w:rPr>
          <w:rFonts w:hint="eastAsia" w:ascii="宋体"/>
          <w:color w:val="auto"/>
          <w:kern w:val="0"/>
          <w:sz w:val="24"/>
          <w:szCs w:val="24"/>
          <w:highlight w:val="none"/>
        </w:rPr>
        <w:t>★</w:t>
      </w:r>
      <w:r>
        <w:rPr>
          <w:rFonts w:hint="eastAsia" w:ascii="Times New Roman" w:hAnsi="Times New Roman" w:eastAsia="宋体" w:cs="Times New Roman"/>
          <w:color w:val="auto"/>
          <w:highlight w:val="none"/>
          <w:lang w:val="en-US" w:eastAsia="zh-CN"/>
        </w:rPr>
        <w:t>4.3.6</w:t>
      </w:r>
      <w:r>
        <w:rPr>
          <w:rFonts w:hint="default" w:ascii="Times New Roman" w:hAnsi="Times New Roman" w:eastAsia="宋体" w:cs="Times New Roman"/>
          <w:color w:val="auto"/>
          <w:highlight w:val="none"/>
          <w:lang w:val="en-US" w:eastAsia="zh-CN"/>
        </w:rPr>
        <w:t>电控系统应符合国家有关煤矿井下防爆要求，并有MA安全标志。</w:t>
      </w:r>
    </w:p>
    <w:p w14:paraId="4E3A6D6D">
      <w:pPr>
        <w:tabs>
          <w:tab w:val="left" w:pos="567"/>
          <w:tab w:val="left" w:pos="1418"/>
        </w:tabs>
        <w:spacing w:line="360" w:lineRule="auto"/>
        <w:rPr>
          <w:rFonts w:hint="eastAsia" w:ascii="Times New Roman" w:hAnsi="Times New Roman" w:eastAsia="宋体" w:cs="Arial"/>
          <w:b/>
          <w:color w:val="auto"/>
          <w:sz w:val="24"/>
          <w:highlight w:val="none"/>
          <w:lang w:val="en-US" w:eastAsia="zh-CN"/>
        </w:rPr>
      </w:pPr>
      <w:r>
        <w:rPr>
          <w:rFonts w:hint="eastAsia" w:ascii="Times New Roman" w:hAnsi="Times New Roman" w:eastAsia="宋体" w:cs="Arial"/>
          <w:b/>
          <w:color w:val="auto"/>
          <w:sz w:val="24"/>
          <w:highlight w:val="none"/>
          <w:lang w:val="en-US" w:eastAsia="zh-CN"/>
        </w:rPr>
        <w:t>4.4 设备颜色要求</w:t>
      </w:r>
    </w:p>
    <w:p w14:paraId="236203D2">
      <w:pPr>
        <w:pStyle w:val="45"/>
        <w:spacing w:line="360" w:lineRule="auto"/>
        <w:ind w:firstLine="480"/>
        <w:rPr>
          <w:rFonts w:hint="eastAsia" w:ascii="Times New Roman" w:hAnsi="Times New Roman" w:eastAsia="宋体" w:cs="宋体"/>
          <w:b w:val="0"/>
          <w:bCs/>
          <w:color w:val="auto"/>
          <w:kern w:val="2"/>
          <w:sz w:val="24"/>
          <w:szCs w:val="24"/>
          <w:highlight w:val="none"/>
          <w:lang w:val="en-US" w:eastAsia="zh-CN" w:bidi="ar-SA"/>
        </w:rPr>
      </w:pPr>
      <w:r>
        <w:rPr>
          <w:rFonts w:hint="eastAsia" w:ascii="Times New Roman" w:hAnsi="Times New Roman" w:eastAsia="宋体" w:cs="宋体"/>
          <w:b w:val="0"/>
          <w:bCs/>
          <w:color w:val="auto"/>
          <w:kern w:val="2"/>
          <w:sz w:val="24"/>
          <w:szCs w:val="24"/>
          <w:highlight w:val="none"/>
          <w:lang w:val="en-US" w:eastAsia="zh-CN" w:bidi="ar-SA"/>
        </w:rPr>
        <w:t>4.4.1  PLC柜、操作台体颜色：GSB05-1426-2001 77# GY09 冰灰涂装。</w:t>
      </w:r>
    </w:p>
    <w:p w14:paraId="090BB7C2">
      <w:pPr>
        <w:tabs>
          <w:tab w:val="left" w:pos="567"/>
          <w:tab w:val="left" w:pos="1418"/>
        </w:tabs>
        <w:spacing w:line="360" w:lineRule="auto"/>
        <w:ind w:firstLine="480" w:firstLineChars="200"/>
        <w:rPr>
          <w:rFonts w:hint="default" w:ascii="Times New Roman" w:hAnsi="Times New Roman" w:eastAsia="宋体" w:cs="Arial"/>
          <w:color w:val="auto"/>
          <w:sz w:val="24"/>
          <w:highlight w:val="none"/>
          <w:lang w:val="en-US" w:eastAsia="zh-CN"/>
        </w:rPr>
      </w:pPr>
      <w:r>
        <w:rPr>
          <w:rFonts w:hint="eastAsia" w:ascii="Times New Roman" w:hAnsi="Times New Roman" w:eastAsia="宋体" w:cs="Arial"/>
          <w:color w:val="auto"/>
          <w:sz w:val="24"/>
          <w:highlight w:val="none"/>
          <w:lang w:val="en-US" w:eastAsia="zh-CN"/>
        </w:rPr>
        <w:t>4.4.2  水泵颜色要求采用海蓝色、电机要求采用冰灰色、水泵与电动机共用底座采用红色，配套的阀门采用海蓝色。</w:t>
      </w:r>
    </w:p>
    <w:p w14:paraId="017177D3">
      <w:pPr>
        <w:tabs>
          <w:tab w:val="left" w:pos="567"/>
          <w:tab w:val="left" w:pos="1418"/>
        </w:tabs>
        <w:spacing w:line="360" w:lineRule="auto"/>
        <w:rPr>
          <w:rFonts w:hint="eastAsia" w:ascii="Times New Roman" w:hAnsi="Times New Roman" w:eastAsia="宋体" w:cs="Arial"/>
          <w:b/>
          <w:color w:val="auto"/>
          <w:sz w:val="24"/>
          <w:highlight w:val="none"/>
          <w:lang w:val="en-US" w:eastAsia="zh-CN"/>
        </w:rPr>
      </w:pPr>
      <w:r>
        <w:rPr>
          <w:rFonts w:hint="eastAsia" w:ascii="Times New Roman" w:hAnsi="Times New Roman" w:eastAsia="宋体" w:cs="Arial"/>
          <w:b/>
          <w:color w:val="auto"/>
          <w:sz w:val="24"/>
          <w:highlight w:val="none"/>
          <w:lang w:val="en-US" w:eastAsia="zh-CN"/>
        </w:rPr>
        <w:t>4.5 品牌要求</w:t>
      </w:r>
    </w:p>
    <w:p w14:paraId="216B83ED">
      <w:pPr>
        <w:spacing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可编程控制器建议采用国产PLC品牌，和利时、浙大中控、汇川、工贝或同等及以上档次。</w:t>
      </w:r>
    </w:p>
    <w:p w14:paraId="45EB91BF">
      <w:pPr>
        <w:pStyle w:val="3"/>
        <w:numPr>
          <w:ilvl w:val="0"/>
          <w:numId w:val="0"/>
        </w:numPr>
        <w:rPr>
          <w:rFonts w:hint="eastAsia" w:ascii="Times New Roman" w:hAnsi="Times New Roman"/>
          <w:color w:val="auto"/>
          <w:highlight w:val="none"/>
        </w:rPr>
      </w:pPr>
      <w:r>
        <w:rPr>
          <w:rFonts w:hint="eastAsia" w:ascii="Times New Roman" w:hAnsi="Times New Roman"/>
          <w:color w:val="auto"/>
          <w:highlight w:val="none"/>
        </w:rPr>
        <w:t>五、供货范围</w:t>
      </w:r>
      <w:bookmarkEnd w:id="138"/>
    </w:p>
    <w:p w14:paraId="60ED9055">
      <w:pPr>
        <w:spacing w:line="360" w:lineRule="auto"/>
        <w:ind w:firstLine="480"/>
        <w:rPr>
          <w:rFonts w:hint="eastAsia" w:ascii="Times New Roman" w:hAnsi="Times New Roman"/>
          <w:b/>
          <w:color w:val="auto"/>
          <w:sz w:val="24"/>
          <w:highlight w:val="none"/>
        </w:rPr>
      </w:pPr>
      <w:r>
        <w:rPr>
          <w:rFonts w:hint="eastAsia" w:ascii="Times New Roman" w:hAnsi="Times New Roman"/>
          <w:b/>
          <w:bCs/>
          <w:color w:val="auto"/>
          <w:sz w:val="24"/>
          <w:highlight w:val="none"/>
        </w:rPr>
        <w:t>5</w:t>
      </w:r>
      <w:r>
        <w:rPr>
          <w:rFonts w:ascii="Times New Roman" w:hAnsi="Times New Roman"/>
          <w:b/>
          <w:bCs/>
          <w:color w:val="auto"/>
          <w:sz w:val="24"/>
          <w:highlight w:val="none"/>
        </w:rPr>
        <w:t>.1</w:t>
      </w:r>
      <w:r>
        <w:rPr>
          <w:rFonts w:hint="eastAsia" w:ascii="Times New Roman" w:hAnsi="Times New Roman"/>
          <w:b/>
          <w:bCs/>
          <w:color w:val="auto"/>
          <w:sz w:val="24"/>
          <w:highlight w:val="none"/>
        </w:rPr>
        <w:t xml:space="preserve">  </w:t>
      </w:r>
      <w:r>
        <w:rPr>
          <w:rFonts w:hint="eastAsia" w:ascii="Times New Roman" w:hAnsi="Times New Roman"/>
          <w:b/>
          <w:color w:val="auto"/>
          <w:sz w:val="24"/>
          <w:highlight w:val="none"/>
        </w:rPr>
        <w:t>技术文件及图纸资料</w:t>
      </w:r>
    </w:p>
    <w:p w14:paraId="59AF726B">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 xml:space="preserve">     投标方应随机提供设备合格证、试验报告、监督检验证书、铭牌等随机资料，另外中标方要在中标10日内提供技术文件及图纸资料一式8份（技术文件及图纸资料均要加盖公章）。</w:t>
      </w:r>
    </w:p>
    <w:p w14:paraId="04B02394">
      <w:pPr>
        <w:spacing w:line="360" w:lineRule="auto"/>
        <w:ind w:firstLine="480"/>
        <w:rPr>
          <w:rFonts w:hint="eastAsia" w:ascii="Times New Roman" w:hAnsi="Times New Roman"/>
          <w:b/>
          <w:bCs/>
          <w:color w:val="auto"/>
          <w:sz w:val="24"/>
          <w:highlight w:val="none"/>
        </w:rPr>
      </w:pPr>
      <w:r>
        <w:rPr>
          <w:rFonts w:hint="eastAsia" w:ascii="Times New Roman" w:hAnsi="Times New Roman"/>
          <w:b/>
          <w:bCs/>
          <w:color w:val="auto"/>
          <w:sz w:val="24"/>
          <w:highlight w:val="none"/>
        </w:rPr>
        <w:t>5.2 主要供货设备材料清单</w:t>
      </w:r>
    </w:p>
    <w:p w14:paraId="37F5D71A">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投标方负责填写下列详细供货清单，清单中依次说明型号及规格、数量、产地、生产厂家等内容。对于属于整套设备运行和施工所必需的部件，即使本技术</w:t>
      </w:r>
      <w:r>
        <w:rPr>
          <w:rFonts w:hint="eastAsia" w:ascii="Times New Roman" w:hAnsi="Times New Roman"/>
          <w:color w:val="auto"/>
          <w:sz w:val="24"/>
          <w:highlight w:val="none"/>
          <w:lang w:val="en-US" w:eastAsia="zh-CN"/>
        </w:rPr>
        <w:t>规范</w:t>
      </w:r>
      <w:r>
        <w:rPr>
          <w:rFonts w:hint="eastAsia" w:ascii="Times New Roman" w:hAnsi="Times New Roman"/>
          <w:color w:val="auto"/>
          <w:sz w:val="24"/>
          <w:highlight w:val="none"/>
        </w:rPr>
        <w:t>书未列出或数目不足，投标方仍须填写，并在执行合同时无条件补足，但不得作为追加费用的依据。规格和型号项中，投标方应详细填写设备技术参数，如水泵流量、扬程、功率、数量、材质等。</w:t>
      </w:r>
    </w:p>
    <w:p w14:paraId="3E6E1BAB">
      <w:pPr>
        <w:spacing w:line="360" w:lineRule="auto"/>
        <w:ind w:firstLine="480" w:firstLineChars="200"/>
        <w:jc w:val="center"/>
        <w:rPr>
          <w:rFonts w:hint="eastAsia" w:ascii="Times New Roman" w:hAnsi="Times New Roman" w:eastAsia="宋体" w:cs="Arial"/>
          <w:b/>
          <w:bCs/>
          <w:color w:val="auto"/>
          <w:sz w:val="24"/>
          <w:highlight w:val="none"/>
          <w:lang w:eastAsia="zh-CN"/>
        </w:rPr>
      </w:pPr>
      <w:r>
        <w:rPr>
          <w:rFonts w:hint="eastAsia" w:ascii="Times New Roman" w:hAnsi="Times New Roman"/>
          <w:color w:val="auto"/>
          <w:sz w:val="24"/>
          <w:highlight w:val="none"/>
        </w:rPr>
        <w:br w:type="page"/>
      </w:r>
      <w:r>
        <w:rPr>
          <w:rFonts w:hint="eastAsia" w:ascii="Times New Roman" w:hAnsi="Times New Roman" w:cs="Arial"/>
          <w:b/>
          <w:bCs/>
          <w:color w:val="auto"/>
          <w:sz w:val="24"/>
          <w:highlight w:val="none"/>
        </w:rPr>
        <w:t>表5-1主要供货设备材料清单</w:t>
      </w:r>
      <w:r>
        <w:rPr>
          <w:rFonts w:hint="eastAsia" w:ascii="Times New Roman" w:hAnsi="Times New Roman" w:cs="Arial"/>
          <w:b/>
          <w:bCs/>
          <w:color w:val="auto"/>
          <w:sz w:val="24"/>
          <w:highlight w:val="none"/>
          <w:lang w:eastAsia="zh-CN"/>
        </w:rPr>
        <w:t>（</w:t>
      </w:r>
      <w:r>
        <w:rPr>
          <w:rFonts w:hint="eastAsia" w:ascii="Times New Roman" w:hAnsi="Times New Roman" w:cs="Arial"/>
          <w:b/>
          <w:bCs/>
          <w:color w:val="auto"/>
          <w:sz w:val="24"/>
          <w:highlight w:val="none"/>
          <w:lang w:val="en-US" w:eastAsia="zh-CN"/>
        </w:rPr>
        <w:t>设备功率以投标方最终填报为准</w:t>
      </w:r>
      <w:r>
        <w:rPr>
          <w:rFonts w:hint="eastAsia" w:ascii="Times New Roman" w:hAnsi="Times New Roman" w:cs="Arial"/>
          <w:b/>
          <w:bCs/>
          <w:color w:val="auto"/>
          <w:sz w:val="24"/>
          <w:highlight w:val="none"/>
          <w:lang w:eastAsia="zh-CN"/>
        </w:rPr>
        <w:t>）</w:t>
      </w:r>
    </w:p>
    <w:tbl>
      <w:tblPr>
        <w:tblStyle w:val="29"/>
        <w:tblW w:w="499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1"/>
        <w:gridCol w:w="2208"/>
        <w:gridCol w:w="3641"/>
        <w:gridCol w:w="881"/>
        <w:gridCol w:w="1889"/>
      </w:tblGrid>
      <w:tr w14:paraId="4A68AE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658E716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185" w:type="pct"/>
            <w:noWrap w:val="0"/>
            <w:vAlign w:val="center"/>
          </w:tcPr>
          <w:p w14:paraId="7E1DD5C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p>
        </w:tc>
        <w:tc>
          <w:tcPr>
            <w:tcW w:w="1954" w:type="pct"/>
            <w:noWrap w:val="0"/>
            <w:vAlign w:val="center"/>
          </w:tcPr>
          <w:p w14:paraId="6C7784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  术  参  数</w:t>
            </w:r>
          </w:p>
        </w:tc>
        <w:tc>
          <w:tcPr>
            <w:tcW w:w="473" w:type="pct"/>
            <w:noWrap w:val="0"/>
            <w:vAlign w:val="center"/>
          </w:tcPr>
          <w:p w14:paraId="42D355E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w:t>
            </w:r>
          </w:p>
        </w:tc>
        <w:tc>
          <w:tcPr>
            <w:tcW w:w="1014" w:type="pct"/>
            <w:noWrap w:val="0"/>
            <w:vAlign w:val="center"/>
          </w:tcPr>
          <w:p w14:paraId="4019668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      注</w:t>
            </w:r>
          </w:p>
        </w:tc>
      </w:tr>
      <w:tr w14:paraId="27A694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35CCC21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185" w:type="pct"/>
            <w:noWrap w:val="0"/>
            <w:vAlign w:val="center"/>
          </w:tcPr>
          <w:p w14:paraId="3D02DCF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斗式液压清挖输送车</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（煤矿用清仓机）</w:t>
            </w:r>
          </w:p>
        </w:tc>
        <w:tc>
          <w:tcPr>
            <w:tcW w:w="1954" w:type="pct"/>
            <w:noWrap w:val="0"/>
            <w:vAlign w:val="center"/>
          </w:tcPr>
          <w:p w14:paraId="0BEAA1C3">
            <w:pPr>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输送流量：0m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/h～30m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/h；输送压力：0MPa～1.6MPa；集料螺旋上下行程：-100mm～+500mm；输送物料粒度：≤30mm；行走方式：</w:t>
            </w:r>
            <w:r>
              <w:rPr>
                <w:rFonts w:hint="eastAsia" w:ascii="Times New Roman" w:hAnsi="Times New Roman" w:eastAsia="宋体" w:cs="Times New Roman"/>
                <w:color w:val="auto"/>
                <w:sz w:val="21"/>
                <w:szCs w:val="21"/>
                <w:highlight w:val="none"/>
                <w:lang w:val="en-US" w:eastAsia="zh-CN"/>
              </w:rPr>
              <w:t>液压钢制履带</w:t>
            </w:r>
            <w:r>
              <w:rPr>
                <w:rFonts w:hint="default" w:ascii="Times New Roman" w:hAnsi="Times New Roman" w:eastAsia="宋体" w:cs="Times New Roman"/>
                <w:color w:val="auto"/>
                <w:sz w:val="21"/>
                <w:szCs w:val="21"/>
                <w:highlight w:val="none"/>
              </w:rPr>
              <w:t>；工作行走速度：8m/min，适应坡度±18°</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473" w:type="pct"/>
            <w:noWrap w:val="0"/>
            <w:vAlign w:val="center"/>
          </w:tcPr>
          <w:p w14:paraId="6425DD2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1台</w:t>
            </w:r>
          </w:p>
        </w:tc>
        <w:tc>
          <w:tcPr>
            <w:tcW w:w="1014" w:type="pct"/>
            <w:noWrap w:val="0"/>
            <w:vAlign w:val="center"/>
          </w:tcPr>
          <w:p w14:paraId="49FAFDA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0422A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36" w:hRule="atLeast"/>
        </w:trPr>
        <w:tc>
          <w:tcPr>
            <w:tcW w:w="371" w:type="pct"/>
            <w:noWrap w:val="0"/>
            <w:vAlign w:val="center"/>
          </w:tcPr>
          <w:p w14:paraId="37711D7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185" w:type="pct"/>
            <w:noWrap w:val="0"/>
            <w:vAlign w:val="center"/>
          </w:tcPr>
          <w:p w14:paraId="1CC17DD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煤泥粗分机</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（矿用振动筛式固液分离机）</w:t>
            </w:r>
          </w:p>
        </w:tc>
        <w:tc>
          <w:tcPr>
            <w:tcW w:w="1954" w:type="pct"/>
            <w:noWrap w:val="0"/>
            <w:vAlign w:val="center"/>
          </w:tcPr>
          <w:p w14:paraId="28671CBF">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分离粒度：0.5mm～30mm；粗分机产量（筛上物）：10t/h；筛网面积：3m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；搅拌罐容积：3 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473" w:type="pct"/>
            <w:noWrap w:val="0"/>
            <w:vAlign w:val="center"/>
          </w:tcPr>
          <w:p w14:paraId="5320278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c>
          <w:tcPr>
            <w:tcW w:w="1014" w:type="pct"/>
            <w:noWrap w:val="0"/>
            <w:vAlign w:val="center"/>
          </w:tcPr>
          <w:p w14:paraId="613AC5B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4831F3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60C74A1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185" w:type="pct"/>
            <w:noWrap w:val="0"/>
            <w:vAlign w:val="center"/>
          </w:tcPr>
          <w:p w14:paraId="19CA9F9A">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缓冲搅拌设备</w:t>
            </w:r>
          </w:p>
        </w:tc>
        <w:tc>
          <w:tcPr>
            <w:tcW w:w="1954" w:type="pct"/>
            <w:noWrap w:val="0"/>
            <w:vAlign w:val="center"/>
          </w:tcPr>
          <w:p w14:paraId="185DD278">
            <w:pPr>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缓冲容积：2.5m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宋体"/>
                <w:color w:val="auto"/>
                <w:sz w:val="24"/>
                <w:szCs w:val="24"/>
                <w:highlight w:val="none"/>
                <w:lang w:val="en-US" w:eastAsia="zh-CN"/>
              </w:rPr>
              <w:t>配套搅拌器，</w:t>
            </w:r>
            <w:r>
              <w:rPr>
                <w:rFonts w:hint="default" w:ascii="Times New Roman" w:hAnsi="Times New Roman" w:eastAsia="宋体" w:cs="Times New Roman"/>
                <w:color w:val="auto"/>
                <w:sz w:val="21"/>
                <w:szCs w:val="21"/>
                <w:highlight w:val="none"/>
                <w:lang w:val="en-US" w:eastAsia="zh-CN"/>
              </w:rPr>
              <w:t>额定电压：</w:t>
            </w:r>
            <w:r>
              <w:rPr>
                <w:rFonts w:hint="eastAsia" w:ascii="Times New Roman" w:hAnsi="Times New Roman" w:eastAsia="宋体" w:cs="Times New Roman"/>
                <w:color w:val="auto"/>
                <w:sz w:val="21"/>
                <w:szCs w:val="21"/>
                <w:highlight w:val="none"/>
                <w:lang w:val="en-US" w:eastAsia="zh-CN"/>
              </w:rPr>
              <w:t>1140V</w:t>
            </w:r>
          </w:p>
        </w:tc>
        <w:tc>
          <w:tcPr>
            <w:tcW w:w="473" w:type="pct"/>
            <w:noWrap w:val="0"/>
            <w:vAlign w:val="center"/>
          </w:tcPr>
          <w:p w14:paraId="44EC6184">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c>
          <w:tcPr>
            <w:tcW w:w="1014" w:type="pct"/>
            <w:noWrap w:val="0"/>
            <w:vAlign w:val="center"/>
          </w:tcPr>
          <w:p w14:paraId="727A245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煤安防爆</w:t>
            </w:r>
          </w:p>
        </w:tc>
      </w:tr>
      <w:tr w14:paraId="653E4B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6D5FF53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185" w:type="pct"/>
            <w:noWrap w:val="0"/>
            <w:vAlign w:val="center"/>
          </w:tcPr>
          <w:p w14:paraId="42A6FD43">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矿用泥浆泵（压滤）</w:t>
            </w:r>
          </w:p>
        </w:tc>
        <w:tc>
          <w:tcPr>
            <w:tcW w:w="1954" w:type="pct"/>
            <w:noWrap w:val="0"/>
            <w:vAlign w:val="center"/>
          </w:tcPr>
          <w:p w14:paraId="4927966A">
            <w:pPr>
              <w:jc w:val="lef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流量：25m</w:t>
            </w:r>
            <w:r>
              <w:rPr>
                <w:rFonts w:hint="default" w:ascii="Times New Roman" w:hAnsi="Times New Roman" w:eastAsia="宋体" w:cs="Times New Roman"/>
                <w:color w:val="auto"/>
                <w:sz w:val="21"/>
                <w:szCs w:val="21"/>
                <w:highlight w:val="none"/>
                <w:vertAlign w:val="superscript"/>
                <w:lang w:val="en-US"/>
              </w:rPr>
              <w:t>3</w:t>
            </w:r>
            <w:r>
              <w:rPr>
                <w:rFonts w:hint="default" w:ascii="Times New Roman" w:hAnsi="Times New Roman" w:eastAsia="宋体" w:cs="Times New Roman"/>
                <w:color w:val="auto"/>
                <w:sz w:val="21"/>
                <w:szCs w:val="21"/>
                <w:highlight w:val="none"/>
                <w:lang w:val="en-US"/>
              </w:rPr>
              <w:t>/h；扬程：60m；额定电压：</w:t>
            </w:r>
            <w:r>
              <w:rPr>
                <w:rFonts w:hint="eastAsia" w:ascii="Times New Roman" w:hAnsi="Times New Roman" w:eastAsia="宋体" w:cs="Times New Roman"/>
                <w:color w:val="auto"/>
                <w:sz w:val="21"/>
                <w:szCs w:val="21"/>
                <w:highlight w:val="none"/>
                <w:lang w:val="en-US" w:eastAsia="zh-CN"/>
              </w:rPr>
              <w:t>1140V</w:t>
            </w:r>
          </w:p>
        </w:tc>
        <w:tc>
          <w:tcPr>
            <w:tcW w:w="473" w:type="pct"/>
            <w:noWrap w:val="0"/>
            <w:vAlign w:val="center"/>
          </w:tcPr>
          <w:p w14:paraId="705C94A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1台</w:t>
            </w:r>
          </w:p>
        </w:tc>
        <w:tc>
          <w:tcPr>
            <w:tcW w:w="1014" w:type="pct"/>
            <w:noWrap w:val="0"/>
            <w:vAlign w:val="center"/>
          </w:tcPr>
          <w:p w14:paraId="2CC4AFF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789284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176D264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185" w:type="pct"/>
            <w:noWrap w:val="0"/>
            <w:vAlign w:val="center"/>
          </w:tcPr>
          <w:p w14:paraId="59C4A4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双工作区压滤机</w:t>
            </w:r>
            <w:r>
              <w:rPr>
                <w:rFonts w:hint="default" w:ascii="Times New Roman" w:hAnsi="Times New Roman" w:eastAsia="宋体" w:cs="Times New Roman"/>
                <w:color w:val="auto"/>
                <w:kern w:val="0"/>
                <w:sz w:val="21"/>
                <w:szCs w:val="21"/>
                <w:highlight w:val="none"/>
                <w:lang w:val="en-US" w:eastAsia="zh-CN"/>
              </w:rPr>
              <w:br w:type="textWrapping"/>
            </w:r>
            <w:r>
              <w:rPr>
                <w:rFonts w:hint="default" w:ascii="Times New Roman" w:hAnsi="Times New Roman" w:eastAsia="宋体" w:cs="Times New Roman"/>
                <w:color w:val="auto"/>
                <w:kern w:val="0"/>
                <w:sz w:val="21"/>
                <w:szCs w:val="21"/>
                <w:highlight w:val="none"/>
                <w:lang w:val="en-US" w:eastAsia="zh-CN"/>
              </w:rPr>
              <w:t>（矿用压滤式固液分离机）</w:t>
            </w:r>
          </w:p>
        </w:tc>
        <w:tc>
          <w:tcPr>
            <w:tcW w:w="1954" w:type="pct"/>
            <w:noWrap w:val="0"/>
            <w:vAlign w:val="center"/>
          </w:tcPr>
          <w:p w14:paraId="55B76F0B">
            <w:pPr>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入料浓度：含煤泥量40%～60%；干泥处理量5t/h～8t/h；出料水分：≤30%；回收物料粒度：0.02mm～15mm；滤板材质要求：聚丙烯滤板；滤布材质要求：单丝滤布；滤板规格1000mm×1000mm×50mm；数量：≥66块；过滤面积110m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473" w:type="pct"/>
            <w:noWrap w:val="0"/>
            <w:vAlign w:val="center"/>
          </w:tcPr>
          <w:p w14:paraId="05F9269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台</w:t>
            </w:r>
          </w:p>
        </w:tc>
        <w:tc>
          <w:tcPr>
            <w:tcW w:w="1014" w:type="pct"/>
            <w:noWrap w:val="0"/>
            <w:vAlign w:val="center"/>
          </w:tcPr>
          <w:p w14:paraId="3180F3F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1C91C1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1EB2769A">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185" w:type="pct"/>
            <w:noWrap w:val="0"/>
            <w:vAlign w:val="center"/>
          </w:tcPr>
          <w:p w14:paraId="40113B78">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液压控制泵站</w:t>
            </w:r>
          </w:p>
        </w:tc>
        <w:tc>
          <w:tcPr>
            <w:tcW w:w="1954" w:type="pct"/>
            <w:noWrap w:val="0"/>
            <w:vAlign w:val="center"/>
          </w:tcPr>
          <w:p w14:paraId="26341D14">
            <w:pPr>
              <w:jc w:val="left"/>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液压系统压力16MPa</w:t>
            </w:r>
          </w:p>
        </w:tc>
        <w:tc>
          <w:tcPr>
            <w:tcW w:w="473" w:type="pct"/>
            <w:noWrap w:val="0"/>
            <w:vAlign w:val="center"/>
          </w:tcPr>
          <w:p w14:paraId="6F9240F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1台</w:t>
            </w:r>
          </w:p>
        </w:tc>
        <w:tc>
          <w:tcPr>
            <w:tcW w:w="1014" w:type="pct"/>
            <w:noWrap w:val="0"/>
            <w:vAlign w:val="center"/>
          </w:tcPr>
          <w:p w14:paraId="061A12A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4E1487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42B380A4">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185" w:type="pct"/>
            <w:noWrap w:val="0"/>
            <w:vAlign w:val="center"/>
          </w:tcPr>
          <w:p w14:paraId="28B68107">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强力胶管</w:t>
            </w:r>
          </w:p>
        </w:tc>
        <w:tc>
          <w:tcPr>
            <w:tcW w:w="1954" w:type="pct"/>
            <w:noWrap w:val="0"/>
            <w:vAlign w:val="center"/>
          </w:tcPr>
          <w:p w14:paraId="20E3F5D0">
            <w:pPr>
              <w:jc w:val="left"/>
              <w:rPr>
                <w:rFonts w:hint="default" w:ascii="Times New Roman" w:hAnsi="Times New Roman" w:eastAsia="宋体" w:cs="Times New Roman"/>
                <w:color w:val="auto"/>
                <w:sz w:val="21"/>
                <w:szCs w:val="21"/>
                <w:highlight w:val="none"/>
                <w:lang w:val="en-US" w:eastAsia="zh-CN"/>
              </w:rPr>
            </w:pPr>
          </w:p>
        </w:tc>
        <w:tc>
          <w:tcPr>
            <w:tcW w:w="473" w:type="pct"/>
            <w:noWrap w:val="0"/>
            <w:vAlign w:val="center"/>
          </w:tcPr>
          <w:p w14:paraId="3FA20ED4">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1套</w:t>
            </w:r>
          </w:p>
        </w:tc>
        <w:tc>
          <w:tcPr>
            <w:tcW w:w="1014" w:type="pct"/>
            <w:noWrap w:val="0"/>
            <w:vAlign w:val="center"/>
          </w:tcPr>
          <w:p w14:paraId="61AEFB2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投标方配套提供</w:t>
            </w:r>
          </w:p>
        </w:tc>
      </w:tr>
      <w:tr w14:paraId="1184ED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0644AECC">
            <w:pPr>
              <w:jc w:val="center"/>
              <w:rPr>
                <w:rFonts w:hint="default" w:ascii="Times New Roman" w:hAnsi="Times New Roman" w:eastAsia="宋体" w:cs="Times New Roman"/>
                <w:color w:val="auto"/>
                <w:sz w:val="21"/>
                <w:szCs w:val="21"/>
                <w:highlight w:val="none"/>
                <w:lang w:val="en-US" w:eastAsia="zh-CN"/>
              </w:rPr>
            </w:pPr>
            <w:bookmarkStart w:id="139" w:name="_Toc15022"/>
            <w:r>
              <w:rPr>
                <w:rFonts w:hint="eastAsia" w:ascii="Times New Roman" w:hAnsi="Times New Roman" w:eastAsia="宋体" w:cs="Times New Roman"/>
                <w:color w:val="auto"/>
                <w:sz w:val="21"/>
                <w:szCs w:val="21"/>
                <w:highlight w:val="none"/>
                <w:lang w:val="en-US" w:eastAsia="zh-CN"/>
              </w:rPr>
              <w:t>8</w:t>
            </w:r>
          </w:p>
        </w:tc>
        <w:tc>
          <w:tcPr>
            <w:tcW w:w="1185" w:type="pct"/>
            <w:noWrap w:val="0"/>
            <w:vAlign w:val="center"/>
          </w:tcPr>
          <w:p w14:paraId="3EF0163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配套电控设备</w:t>
            </w:r>
          </w:p>
        </w:tc>
        <w:tc>
          <w:tcPr>
            <w:tcW w:w="1954" w:type="pct"/>
            <w:noWrap w:val="0"/>
            <w:vAlign w:val="center"/>
          </w:tcPr>
          <w:p w14:paraId="41B50D86">
            <w:pPr>
              <w:jc w:val="left"/>
              <w:rPr>
                <w:rFonts w:hint="default" w:ascii="Times New Roman" w:hAnsi="Times New Roman" w:eastAsia="宋体" w:cs="Times New Roman"/>
                <w:color w:val="auto"/>
                <w:sz w:val="21"/>
                <w:szCs w:val="21"/>
                <w:highlight w:val="none"/>
                <w:lang w:val="en-US" w:eastAsia="zh-CN"/>
              </w:rPr>
            </w:pPr>
          </w:p>
        </w:tc>
        <w:tc>
          <w:tcPr>
            <w:tcW w:w="473" w:type="pct"/>
            <w:noWrap w:val="0"/>
            <w:vAlign w:val="center"/>
          </w:tcPr>
          <w:p w14:paraId="6EBD4A6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1套</w:t>
            </w:r>
          </w:p>
        </w:tc>
        <w:tc>
          <w:tcPr>
            <w:tcW w:w="1014" w:type="pct"/>
            <w:noWrap w:val="0"/>
            <w:vAlign w:val="center"/>
          </w:tcPr>
          <w:p w14:paraId="7CE8786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煤安防爆</w:t>
            </w:r>
          </w:p>
        </w:tc>
      </w:tr>
      <w:tr w14:paraId="36B627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679E22CD">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6ABFF39E">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矿用隔爆兼本安型可编程控制箱</w:t>
            </w:r>
          </w:p>
        </w:tc>
        <w:tc>
          <w:tcPr>
            <w:tcW w:w="1954" w:type="pct"/>
            <w:noWrap w:val="0"/>
            <w:vAlign w:val="center"/>
          </w:tcPr>
          <w:p w14:paraId="3686B174">
            <w:pPr>
              <w:jc w:val="center"/>
              <w:rPr>
                <w:rFonts w:hint="default"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6CF81EF1">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2台</w:t>
            </w:r>
          </w:p>
        </w:tc>
        <w:tc>
          <w:tcPr>
            <w:tcW w:w="1014" w:type="pct"/>
            <w:noWrap w:val="0"/>
            <w:vAlign w:val="center"/>
          </w:tcPr>
          <w:p w14:paraId="6D5ADC4D">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2E18E0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22F45B44">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5E6C668F">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智能远程操作台</w:t>
            </w:r>
          </w:p>
        </w:tc>
        <w:tc>
          <w:tcPr>
            <w:tcW w:w="1954" w:type="pct"/>
            <w:noWrap w:val="0"/>
            <w:vAlign w:val="center"/>
          </w:tcPr>
          <w:p w14:paraId="3E467576">
            <w:pPr>
              <w:jc w:val="center"/>
              <w:rPr>
                <w:rFonts w:hint="default"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7B01C7C9">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1台</w:t>
            </w:r>
          </w:p>
        </w:tc>
        <w:tc>
          <w:tcPr>
            <w:tcW w:w="1014" w:type="pct"/>
            <w:noWrap w:val="0"/>
            <w:vAlign w:val="center"/>
          </w:tcPr>
          <w:p w14:paraId="5CA01F12">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4C26F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046BB521">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4AFD8FC0">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无线基站光纤电缆移动平台+基站小车</w:t>
            </w:r>
          </w:p>
        </w:tc>
        <w:tc>
          <w:tcPr>
            <w:tcW w:w="1954" w:type="pct"/>
            <w:noWrap w:val="0"/>
            <w:vAlign w:val="center"/>
          </w:tcPr>
          <w:p w14:paraId="22CE3323">
            <w:pPr>
              <w:jc w:val="center"/>
              <w:rPr>
                <w:rFonts w:hint="default"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655B7168">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1套</w:t>
            </w:r>
          </w:p>
        </w:tc>
        <w:tc>
          <w:tcPr>
            <w:tcW w:w="1014" w:type="pct"/>
            <w:noWrap w:val="0"/>
            <w:vAlign w:val="center"/>
          </w:tcPr>
          <w:p w14:paraId="2590DC90">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5FE776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52E2A2D3">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0F97A522">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手持遥控操作器</w:t>
            </w:r>
          </w:p>
        </w:tc>
        <w:tc>
          <w:tcPr>
            <w:tcW w:w="1954" w:type="pct"/>
            <w:noWrap w:val="0"/>
            <w:vAlign w:val="center"/>
          </w:tcPr>
          <w:p w14:paraId="35BEFE1F">
            <w:pPr>
              <w:jc w:val="center"/>
              <w:rPr>
                <w:rFonts w:hint="default"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1723E2DD">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1套</w:t>
            </w:r>
          </w:p>
        </w:tc>
        <w:tc>
          <w:tcPr>
            <w:tcW w:w="1014" w:type="pct"/>
            <w:noWrap w:val="0"/>
            <w:vAlign w:val="center"/>
          </w:tcPr>
          <w:p w14:paraId="4814F5BD">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5C2A0A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75F733AF">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32EC1425">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传感器</w:t>
            </w:r>
          </w:p>
        </w:tc>
        <w:tc>
          <w:tcPr>
            <w:tcW w:w="1954" w:type="pct"/>
            <w:noWrap w:val="0"/>
            <w:vAlign w:val="center"/>
          </w:tcPr>
          <w:p w14:paraId="4962759F">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超声波传感器、红外测距传感器、激光传感器、气体传感器、姿态传感器等</w:t>
            </w:r>
          </w:p>
        </w:tc>
        <w:tc>
          <w:tcPr>
            <w:tcW w:w="473" w:type="pct"/>
            <w:noWrap w:val="0"/>
            <w:vAlign w:val="center"/>
          </w:tcPr>
          <w:p w14:paraId="27294F31">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1套</w:t>
            </w:r>
          </w:p>
        </w:tc>
        <w:tc>
          <w:tcPr>
            <w:tcW w:w="1014" w:type="pct"/>
            <w:noWrap w:val="0"/>
            <w:vAlign w:val="center"/>
          </w:tcPr>
          <w:p w14:paraId="0651A048">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216C6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57A70D5C">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37ADEACB">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矿用隔爆型高清摄像机</w:t>
            </w:r>
          </w:p>
        </w:tc>
        <w:tc>
          <w:tcPr>
            <w:tcW w:w="1954" w:type="pct"/>
            <w:noWrap w:val="0"/>
            <w:vAlign w:val="center"/>
          </w:tcPr>
          <w:p w14:paraId="7FD93473">
            <w:pPr>
              <w:jc w:val="center"/>
              <w:rPr>
                <w:rFonts w:hint="eastAsia"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2361CF0A">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2台</w:t>
            </w:r>
          </w:p>
        </w:tc>
        <w:tc>
          <w:tcPr>
            <w:tcW w:w="1014" w:type="pct"/>
            <w:noWrap w:val="0"/>
            <w:vAlign w:val="center"/>
          </w:tcPr>
          <w:p w14:paraId="33D7272A">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583147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51709D8A">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6BF7EDBB">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矿用隔爆型全景摄像仪</w:t>
            </w:r>
          </w:p>
        </w:tc>
        <w:tc>
          <w:tcPr>
            <w:tcW w:w="1954" w:type="pct"/>
            <w:noWrap w:val="0"/>
            <w:vAlign w:val="center"/>
          </w:tcPr>
          <w:p w14:paraId="1C9BEA3E">
            <w:pPr>
              <w:jc w:val="center"/>
              <w:rPr>
                <w:rFonts w:hint="eastAsia"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54F97FD4">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1台</w:t>
            </w:r>
          </w:p>
        </w:tc>
        <w:tc>
          <w:tcPr>
            <w:tcW w:w="1014" w:type="pct"/>
            <w:noWrap w:val="0"/>
            <w:vAlign w:val="center"/>
          </w:tcPr>
          <w:p w14:paraId="31394264">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r w14:paraId="086D3D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71" w:type="pct"/>
            <w:noWrap w:val="0"/>
            <w:vAlign w:val="center"/>
          </w:tcPr>
          <w:p w14:paraId="20221858">
            <w:pPr>
              <w:jc w:val="center"/>
              <w:rPr>
                <w:rFonts w:hint="eastAsia" w:ascii="Times New Roman" w:hAnsi="Times New Roman" w:eastAsia="宋体" w:cs="Times New Roman"/>
                <w:color w:val="auto"/>
                <w:sz w:val="21"/>
                <w:szCs w:val="21"/>
                <w:highlight w:val="none"/>
                <w:lang w:val="en-US" w:eastAsia="zh-CN"/>
              </w:rPr>
            </w:pPr>
          </w:p>
        </w:tc>
        <w:tc>
          <w:tcPr>
            <w:tcW w:w="1185" w:type="pct"/>
            <w:noWrap w:val="0"/>
            <w:vAlign w:val="center"/>
          </w:tcPr>
          <w:p w14:paraId="5DF61FC8">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电气围栏</w:t>
            </w:r>
          </w:p>
        </w:tc>
        <w:tc>
          <w:tcPr>
            <w:tcW w:w="1954" w:type="pct"/>
            <w:noWrap w:val="0"/>
            <w:vAlign w:val="center"/>
          </w:tcPr>
          <w:p w14:paraId="6F91529C">
            <w:pPr>
              <w:jc w:val="center"/>
              <w:rPr>
                <w:rFonts w:hint="eastAsia" w:ascii="Times New Roman" w:hAnsi="Times New Roman" w:eastAsia="宋体" w:cs="Times New Roman"/>
                <w:color w:val="auto"/>
                <w:kern w:val="0"/>
                <w:sz w:val="21"/>
                <w:szCs w:val="21"/>
                <w:highlight w:val="none"/>
                <w:lang w:val="en-US" w:eastAsia="zh-CN" w:bidi="ar-SA"/>
              </w:rPr>
            </w:pPr>
          </w:p>
        </w:tc>
        <w:tc>
          <w:tcPr>
            <w:tcW w:w="473" w:type="pct"/>
            <w:noWrap w:val="0"/>
            <w:vAlign w:val="center"/>
          </w:tcPr>
          <w:p w14:paraId="16C2A571">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1套</w:t>
            </w:r>
          </w:p>
        </w:tc>
        <w:tc>
          <w:tcPr>
            <w:tcW w:w="1014" w:type="pct"/>
            <w:noWrap w:val="0"/>
            <w:vAlign w:val="center"/>
          </w:tcPr>
          <w:p w14:paraId="4C4391C9">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煤安防爆</w:t>
            </w:r>
          </w:p>
        </w:tc>
      </w:tr>
    </w:tbl>
    <w:p w14:paraId="5D74A3F7">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注：表中电控设备不代表全部设备，</w:t>
      </w:r>
      <w:r>
        <w:rPr>
          <w:rFonts w:hint="eastAsia" w:ascii="Times New Roman" w:hAnsi="Times New Roman" w:eastAsia="宋体" w:cs="Times New Roman"/>
          <w:color w:val="auto"/>
          <w:sz w:val="24"/>
          <w:highlight w:val="none"/>
          <w:lang w:val="en-US" w:eastAsia="zh-CN"/>
        </w:rPr>
        <w:t>投</w:t>
      </w:r>
      <w:r>
        <w:rPr>
          <w:rFonts w:hint="eastAsia" w:ascii="Times New Roman" w:hAnsi="Times New Roman" w:eastAsia="宋体" w:cs="Times New Roman"/>
          <w:color w:val="auto"/>
          <w:sz w:val="24"/>
          <w:highlight w:val="none"/>
        </w:rPr>
        <w:t>标方可根据实际情况增加配置。对于实现以上功能所需要、而文中未述及项目设备及控制系统，投标方应无条件补充供货</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且保障系统完善，安全可靠运行。</w:t>
      </w:r>
    </w:p>
    <w:p w14:paraId="055F4286">
      <w:pPr>
        <w:pStyle w:val="3"/>
        <w:numPr>
          <w:ilvl w:val="0"/>
          <w:numId w:val="0"/>
        </w:numPr>
        <w:rPr>
          <w:rFonts w:hint="eastAsia" w:ascii="Times New Roman" w:hAnsi="Times New Roman"/>
          <w:color w:val="auto"/>
          <w:highlight w:val="none"/>
        </w:rPr>
      </w:pPr>
      <w:r>
        <w:rPr>
          <w:rFonts w:hint="eastAsia" w:ascii="Times New Roman" w:hAnsi="Times New Roman"/>
          <w:color w:val="auto"/>
          <w:highlight w:val="none"/>
        </w:rPr>
        <w:t>六、设备包装、标志、运输</w:t>
      </w:r>
      <w:bookmarkEnd w:id="139"/>
    </w:p>
    <w:p w14:paraId="672297D3">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6</w:t>
      </w:r>
      <w:r>
        <w:rPr>
          <w:rFonts w:ascii="Times New Roman" w:hAnsi="Times New Roman"/>
          <w:b/>
          <w:bCs/>
          <w:color w:val="auto"/>
          <w:sz w:val="24"/>
          <w:highlight w:val="none"/>
        </w:rPr>
        <w:t>.1</w:t>
      </w:r>
      <w:r>
        <w:rPr>
          <w:rFonts w:hint="eastAsia" w:ascii="Times New Roman" w:hAnsi="Times New Roman"/>
          <w:b/>
          <w:bCs/>
          <w:color w:val="auto"/>
          <w:sz w:val="24"/>
          <w:highlight w:val="none"/>
        </w:rPr>
        <w:t xml:space="preserve">  包装</w:t>
      </w:r>
    </w:p>
    <w:p w14:paraId="705BF2BF">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.1.1</w:t>
      </w:r>
      <w:r>
        <w:rPr>
          <w:rFonts w:hint="eastAsia" w:ascii="Times New Roman" w:hAnsi="Times New Roman"/>
          <w:color w:val="auto"/>
          <w:sz w:val="24"/>
          <w:highlight w:val="none"/>
        </w:rPr>
        <w:t xml:space="preserve">  设备包装应符合GB/T13384标准的规定。</w:t>
      </w:r>
    </w:p>
    <w:p w14:paraId="72B9889A">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.1.2</w:t>
      </w:r>
      <w:r>
        <w:rPr>
          <w:rFonts w:hint="eastAsia" w:ascii="Times New Roman" w:hAnsi="Times New Roman"/>
          <w:color w:val="auto"/>
          <w:sz w:val="24"/>
          <w:highlight w:val="none"/>
        </w:rPr>
        <w:t xml:space="preserve">  泵的进出口、管孔等应用盖板封住，防止异物进入，以保证设备安全地运到施工现场。设备必须接到招标方正式通知后才能由投标方发往现场。</w:t>
      </w:r>
    </w:p>
    <w:p w14:paraId="28EC9ECB">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.1.3</w:t>
      </w:r>
      <w:r>
        <w:rPr>
          <w:rFonts w:hint="eastAsia" w:ascii="Times New Roman" w:hAnsi="Times New Roman"/>
          <w:color w:val="auto"/>
          <w:sz w:val="24"/>
          <w:highlight w:val="none"/>
        </w:rPr>
        <w:t xml:space="preserve">  每个包装件必须有与该包装件相符合的装箱单，放置于包装件明显位置上，并应采用防潮的密封袋包装。包装件内装入的零部件，必须有明显的标记与标签，标明部件号、编号、名称、数量等，并应与装箱单一致。</w:t>
      </w:r>
    </w:p>
    <w:p w14:paraId="4F945C9D">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.1.4</w:t>
      </w:r>
      <w:r>
        <w:rPr>
          <w:rFonts w:hint="eastAsia" w:ascii="Times New Roman" w:hAnsi="Times New Roman"/>
          <w:color w:val="auto"/>
          <w:sz w:val="24"/>
          <w:highlight w:val="none"/>
        </w:rPr>
        <w:t xml:space="preserve">  包装件应符合运输作业的规定，应避免在运输和装卸时包装件内的部件产生滑动、撞击和磨损，造成部件的损坏。</w:t>
      </w:r>
    </w:p>
    <w:p w14:paraId="2622A5AA">
      <w:pPr>
        <w:pStyle w:val="56"/>
        <w:ind w:firstLine="480"/>
        <w:rPr>
          <w:rFonts w:hint="eastAsia" w:ascii="Times New Roman" w:hAnsi="Times New Roman"/>
          <w:color w:val="auto"/>
          <w:highlight w:val="none"/>
        </w:rPr>
      </w:pPr>
      <w:r>
        <w:rPr>
          <w:rFonts w:hint="eastAsia" w:ascii="Times New Roman" w:hAnsi="Times New Roman"/>
          <w:color w:val="auto"/>
          <w:sz w:val="24"/>
          <w:highlight w:val="none"/>
        </w:rPr>
        <w:t>6.1.5  所有设备颜色应与招标方商讨后确定。</w:t>
      </w:r>
    </w:p>
    <w:p w14:paraId="66BBEEEE">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6</w:t>
      </w:r>
      <w:r>
        <w:rPr>
          <w:rFonts w:ascii="Times New Roman" w:hAnsi="Times New Roman"/>
          <w:b/>
          <w:bCs/>
          <w:color w:val="auto"/>
          <w:sz w:val="24"/>
          <w:highlight w:val="none"/>
        </w:rPr>
        <w:t>.2</w:t>
      </w:r>
      <w:r>
        <w:rPr>
          <w:rFonts w:hint="eastAsia" w:ascii="Times New Roman" w:hAnsi="Times New Roman"/>
          <w:b/>
          <w:bCs/>
          <w:color w:val="auto"/>
          <w:sz w:val="24"/>
          <w:highlight w:val="none"/>
        </w:rPr>
        <w:t xml:space="preserve">  运输</w:t>
      </w:r>
    </w:p>
    <w:p w14:paraId="2644E688">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6.2.1  产品应适应于运输要求，符合国家有关规定及标准。</w:t>
      </w:r>
    </w:p>
    <w:p w14:paraId="03FF9B36">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6.2.2  投标方负责运输、卸货。</w:t>
      </w:r>
    </w:p>
    <w:p w14:paraId="52107A01">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6</w:t>
      </w:r>
      <w:r>
        <w:rPr>
          <w:rFonts w:ascii="Times New Roman" w:hAnsi="Times New Roman"/>
          <w:b/>
          <w:bCs/>
          <w:color w:val="auto"/>
          <w:sz w:val="24"/>
          <w:highlight w:val="none"/>
        </w:rPr>
        <w:t>.3</w:t>
      </w:r>
      <w:r>
        <w:rPr>
          <w:rFonts w:hint="eastAsia" w:ascii="Times New Roman" w:hAnsi="Times New Roman"/>
          <w:b/>
          <w:bCs/>
          <w:color w:val="auto"/>
          <w:sz w:val="24"/>
          <w:highlight w:val="none"/>
        </w:rPr>
        <w:t xml:space="preserve">  每个设备包装件上应有以下标志</w:t>
      </w:r>
    </w:p>
    <w:p w14:paraId="760717B3">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.3.1</w:t>
      </w:r>
      <w:r>
        <w:rPr>
          <w:rFonts w:hint="eastAsia" w:ascii="Times New Roman" w:hAnsi="Times New Roman"/>
          <w:color w:val="auto"/>
          <w:sz w:val="24"/>
          <w:highlight w:val="none"/>
        </w:rPr>
        <w:t xml:space="preserve">  运输作业标志（包括防潮、防震、放置位置方向、重心位置、绳索固定部位等）。</w:t>
      </w:r>
    </w:p>
    <w:p w14:paraId="08730D3D">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.3.2</w:t>
      </w:r>
      <w:r>
        <w:rPr>
          <w:rFonts w:hint="eastAsia" w:ascii="Times New Roman" w:hAnsi="Times New Roman"/>
          <w:color w:val="auto"/>
          <w:sz w:val="24"/>
          <w:highlight w:val="none"/>
        </w:rPr>
        <w:t xml:space="preserve">  发货标志：出厂编号、箱号、发货站（港）、到货站（港）、体积（长×宽×高）、设备名称、毛重（公斤）、发货单位、收货单位、设备存放和保管要求等级。</w:t>
      </w:r>
    </w:p>
    <w:p w14:paraId="71F35A41">
      <w:pPr>
        <w:pStyle w:val="3"/>
        <w:numPr>
          <w:ilvl w:val="0"/>
          <w:numId w:val="0"/>
        </w:numPr>
        <w:rPr>
          <w:rFonts w:hint="eastAsia" w:ascii="Times New Roman" w:hAnsi="Times New Roman"/>
          <w:color w:val="auto"/>
          <w:highlight w:val="none"/>
        </w:rPr>
      </w:pPr>
      <w:bookmarkStart w:id="140" w:name="_Toc8847"/>
      <w:r>
        <w:rPr>
          <w:rFonts w:hint="eastAsia" w:ascii="Times New Roman" w:hAnsi="Times New Roman"/>
          <w:color w:val="auto"/>
          <w:highlight w:val="none"/>
        </w:rPr>
        <w:t>七、交货地点、设备中检及验收</w:t>
      </w:r>
      <w:bookmarkEnd w:id="140"/>
    </w:p>
    <w:p w14:paraId="58FBD40C">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7.1  交货地点</w:t>
      </w:r>
    </w:p>
    <w:p w14:paraId="54A39FB6">
      <w:pPr>
        <w:spacing w:line="360" w:lineRule="auto"/>
        <w:ind w:firstLine="480" w:firstLineChars="200"/>
        <w:rPr>
          <w:rFonts w:hint="eastAsia" w:ascii="Times New Roman" w:hAnsi="Times New Roman"/>
          <w:color w:val="auto"/>
          <w:sz w:val="24"/>
          <w:highlight w:val="none"/>
        </w:rPr>
      </w:pPr>
      <w:bookmarkStart w:id="141" w:name="_Toc439248506"/>
      <w:bookmarkStart w:id="142" w:name="_Toc439152219"/>
      <w:bookmarkStart w:id="143" w:name="_Toc439162450"/>
      <w:r>
        <w:rPr>
          <w:rFonts w:hint="eastAsia" w:ascii="Times New Roman" w:hAnsi="Times New Roman"/>
          <w:color w:val="auto"/>
          <w:sz w:val="24"/>
          <w:highlight w:val="none"/>
        </w:rPr>
        <w:t>新疆维吾尔族自治区哈密市</w:t>
      </w:r>
      <w:r>
        <w:rPr>
          <w:rFonts w:hint="default" w:ascii="Times New Roman" w:hAnsi="Times New Roman"/>
          <w:color w:val="auto"/>
          <w:sz w:val="24"/>
          <w:highlight w:val="none"/>
        </w:rPr>
        <w:t>巴里坤哈萨克自治县</w:t>
      </w:r>
      <w:r>
        <w:rPr>
          <w:rFonts w:hint="default" w:ascii="Times New Roman" w:hAnsi="Times New Roman"/>
          <w:color w:val="auto"/>
          <w:sz w:val="24"/>
          <w:highlight w:val="none"/>
          <w:lang w:eastAsia="zh-CN"/>
        </w:rPr>
        <w:t>三塘湖镇</w:t>
      </w:r>
      <w:r>
        <w:rPr>
          <w:rFonts w:hint="eastAsia" w:ascii="Times New Roman" w:hAnsi="Times New Roman"/>
          <w:color w:val="auto"/>
          <w:sz w:val="24"/>
          <w:highlight w:val="none"/>
          <w:lang w:val="en-US" w:eastAsia="zh-CN"/>
        </w:rPr>
        <w:t>条湖一号煤矿工业</w:t>
      </w:r>
      <w:r>
        <w:rPr>
          <w:rFonts w:hint="eastAsia" w:ascii="Times New Roman" w:hAnsi="Times New Roman"/>
          <w:color w:val="auto"/>
          <w:sz w:val="24"/>
          <w:highlight w:val="none"/>
        </w:rPr>
        <w:t>场地。</w:t>
      </w:r>
      <w:bookmarkEnd w:id="141"/>
      <w:bookmarkEnd w:id="142"/>
      <w:bookmarkEnd w:id="143"/>
    </w:p>
    <w:p w14:paraId="012A137E">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7</w:t>
      </w:r>
      <w:r>
        <w:rPr>
          <w:rFonts w:ascii="Times New Roman" w:hAnsi="Times New Roman"/>
          <w:b/>
          <w:bCs/>
          <w:color w:val="auto"/>
          <w:sz w:val="24"/>
          <w:highlight w:val="none"/>
        </w:rPr>
        <w:t>.</w:t>
      </w:r>
      <w:r>
        <w:rPr>
          <w:rFonts w:hint="eastAsia" w:ascii="Times New Roman" w:hAnsi="Times New Roman"/>
          <w:b/>
          <w:bCs/>
          <w:color w:val="auto"/>
          <w:sz w:val="24"/>
          <w:highlight w:val="none"/>
        </w:rPr>
        <w:t>2  设备中检</w:t>
      </w:r>
    </w:p>
    <w:p w14:paraId="69CE0C94">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设备出厂前，需提前告知招标方，招标方派技术人员对设备进行中检。中检合格方可发货。</w:t>
      </w:r>
    </w:p>
    <w:p w14:paraId="5824CEC1">
      <w:pPr>
        <w:spacing w:line="360" w:lineRule="auto"/>
        <w:ind w:firstLine="482" w:firstLineChars="200"/>
        <w:rPr>
          <w:rFonts w:hint="eastAsia" w:ascii="Times New Roman" w:hAnsi="Times New Roman"/>
          <w:b/>
          <w:color w:val="auto"/>
          <w:sz w:val="24"/>
          <w:highlight w:val="none"/>
        </w:rPr>
      </w:pPr>
      <w:r>
        <w:rPr>
          <w:rFonts w:hint="eastAsia" w:ascii="Times New Roman" w:hAnsi="Times New Roman"/>
          <w:b/>
          <w:color w:val="auto"/>
          <w:sz w:val="24"/>
          <w:highlight w:val="none"/>
        </w:rPr>
        <w:t>7.3  设备验收</w:t>
      </w:r>
    </w:p>
    <w:p w14:paraId="29CBE22D">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货到现场后，由招标方、投标方双方共同对设备外观、证件进行预验收，安装调试完运行72h后进行初步验收。</w:t>
      </w:r>
    </w:p>
    <w:p w14:paraId="5842EAF6">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验收时应按照国家规定的相关规范规程进行。</w:t>
      </w:r>
    </w:p>
    <w:p w14:paraId="5345F810">
      <w:pPr>
        <w:pStyle w:val="3"/>
        <w:numPr>
          <w:ilvl w:val="0"/>
          <w:numId w:val="0"/>
        </w:numPr>
        <w:rPr>
          <w:rFonts w:hint="eastAsia" w:ascii="Times New Roman" w:hAnsi="Times New Roman"/>
          <w:color w:val="auto"/>
          <w:highlight w:val="none"/>
        </w:rPr>
      </w:pPr>
      <w:bookmarkStart w:id="144" w:name="_Toc21363"/>
      <w:r>
        <w:rPr>
          <w:rFonts w:hint="eastAsia" w:ascii="Times New Roman" w:hAnsi="Times New Roman"/>
          <w:color w:val="auto"/>
          <w:highlight w:val="none"/>
        </w:rPr>
        <w:t>八、技术文件及图纸资料</w:t>
      </w:r>
      <w:bookmarkEnd w:id="144"/>
    </w:p>
    <w:p w14:paraId="32ACE697">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投标方应提供符合本技术协议书要求的技术文件及资料（不包括装箱资料）。</w:t>
      </w:r>
    </w:p>
    <w:p w14:paraId="254B6E4D">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8</w:t>
      </w:r>
      <w:r>
        <w:rPr>
          <w:rFonts w:ascii="Times New Roman" w:hAnsi="Times New Roman"/>
          <w:b/>
          <w:bCs/>
          <w:color w:val="auto"/>
          <w:sz w:val="24"/>
          <w:highlight w:val="none"/>
        </w:rPr>
        <w:t>.1</w:t>
      </w:r>
      <w:r>
        <w:rPr>
          <w:rFonts w:hint="eastAsia" w:ascii="Times New Roman" w:hAnsi="Times New Roman"/>
          <w:b/>
          <w:bCs/>
          <w:color w:val="auto"/>
          <w:sz w:val="24"/>
          <w:highlight w:val="none"/>
        </w:rPr>
        <w:t xml:space="preserve">  主要部件的材料</w:t>
      </w:r>
    </w:p>
    <w:p w14:paraId="1F7FF7F9">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投标方应提供设备主要部件的零件名称、材料名称及标准代号。</w:t>
      </w:r>
    </w:p>
    <w:p w14:paraId="2574A409">
      <w:pPr>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8</w:t>
      </w:r>
      <w:r>
        <w:rPr>
          <w:rFonts w:ascii="Times New Roman" w:hAnsi="Times New Roman"/>
          <w:b/>
          <w:bCs/>
          <w:color w:val="auto"/>
          <w:sz w:val="24"/>
          <w:highlight w:val="none"/>
        </w:rPr>
        <w:t>.2</w:t>
      </w:r>
      <w:r>
        <w:rPr>
          <w:rFonts w:hint="eastAsia" w:ascii="Times New Roman" w:hAnsi="Times New Roman"/>
          <w:b/>
          <w:bCs/>
          <w:color w:val="auto"/>
          <w:sz w:val="24"/>
          <w:highlight w:val="none"/>
        </w:rPr>
        <w:t xml:space="preserve">  图纸、说明书</w:t>
      </w:r>
    </w:p>
    <w:p w14:paraId="01F9F610">
      <w:pPr>
        <w:pStyle w:val="17"/>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投标方应在投标时应提供以下资料：</w:t>
      </w:r>
    </w:p>
    <w:p w14:paraId="197CFBAD">
      <w:pPr>
        <w:spacing w:line="360" w:lineRule="auto"/>
        <w:ind w:firstLine="482" w:firstLineChars="200"/>
        <w:rPr>
          <w:rFonts w:hint="eastAsia" w:ascii="Times New Roman" w:hAnsi="Times New Roman"/>
          <w:b/>
          <w:color w:val="auto"/>
          <w:sz w:val="24"/>
          <w:highlight w:val="none"/>
        </w:rPr>
      </w:pPr>
      <w:r>
        <w:rPr>
          <w:rFonts w:hint="eastAsia" w:ascii="Times New Roman" w:hAnsi="Times New Roman"/>
          <w:b/>
          <w:color w:val="auto"/>
          <w:sz w:val="24"/>
          <w:highlight w:val="none"/>
        </w:rPr>
        <w:t>水泵技术数据及泵的性能曲线。其中包括流量、扬程、效率、轴功率、汽蚀余量及电动机性能参数。配电系统图、二次接线图、二次原理图、控制流程图、控制原理图、控制接线图，设备的总装配图及外形图，包括外形尺寸、检修起吊重量、基础尺寸及动静荷载分布、接口定位尺寸及详图，与管道接口允许承受的荷载等，要求技术文件的格式为.doc或dwg格式。</w:t>
      </w:r>
    </w:p>
    <w:p w14:paraId="675CCD7D">
      <w:pPr>
        <w:spacing w:line="360" w:lineRule="auto"/>
        <w:ind w:firstLine="482" w:firstLineChars="200"/>
        <w:rPr>
          <w:rFonts w:hint="eastAsia" w:ascii="Times New Roman" w:hAnsi="Times New Roman" w:eastAsia="宋体" w:cs="Arial"/>
          <w:b/>
          <w:color w:val="auto"/>
          <w:sz w:val="24"/>
          <w:highlight w:val="none"/>
          <w:lang w:eastAsia="zh-CN"/>
        </w:rPr>
      </w:pPr>
      <w:r>
        <w:rPr>
          <w:rFonts w:hint="eastAsia" w:ascii="Times New Roman" w:hAnsi="Times New Roman" w:cs="Arial"/>
          <w:b/>
          <w:color w:val="auto"/>
          <w:sz w:val="24"/>
          <w:highlight w:val="none"/>
        </w:rPr>
        <w:t>厂家提供设备</w:t>
      </w:r>
      <w:r>
        <w:rPr>
          <w:rFonts w:hint="eastAsia" w:ascii="Times New Roman" w:hAnsi="Times New Roman" w:cs="Arial"/>
          <w:b/>
          <w:color w:val="auto"/>
          <w:sz w:val="24"/>
          <w:highlight w:val="none"/>
          <w:lang w:eastAsia="zh-CN"/>
        </w:rPr>
        <w:t>三维</w:t>
      </w:r>
      <w:r>
        <w:rPr>
          <w:rFonts w:hint="eastAsia" w:ascii="Times New Roman" w:hAnsi="Times New Roman" w:cs="Arial"/>
          <w:b/>
          <w:color w:val="auto"/>
          <w:sz w:val="24"/>
          <w:highlight w:val="none"/>
        </w:rPr>
        <w:t>模型（</w:t>
      </w:r>
      <w:r>
        <w:rPr>
          <w:rFonts w:hint="eastAsia" w:ascii="Times New Roman" w:hAnsi="Times New Roman" w:cs="Arial"/>
          <w:b/>
          <w:color w:val="auto"/>
          <w:sz w:val="24"/>
          <w:highlight w:val="none"/>
          <w:lang w:eastAsia="zh-CN"/>
        </w:rPr>
        <w:t>应</w:t>
      </w:r>
      <w:r>
        <w:rPr>
          <w:rFonts w:hint="eastAsia" w:ascii="Times New Roman" w:hAnsi="Times New Roman" w:cs="Arial"/>
          <w:b/>
          <w:color w:val="auto"/>
          <w:sz w:val="24"/>
          <w:highlight w:val="none"/>
        </w:rPr>
        <w:t>为.rfa、.3ds、.fbx、.dgn、.sat、.stp、.igs等常用格式），模型精度不低于LOD3.0，保证外形正确，并提供设备属性参数</w:t>
      </w:r>
      <w:r>
        <w:rPr>
          <w:rFonts w:hint="eastAsia" w:ascii="Times New Roman" w:hAnsi="Times New Roman" w:cs="Arial"/>
          <w:b/>
          <w:color w:val="auto"/>
          <w:sz w:val="24"/>
          <w:highlight w:val="none"/>
          <w:lang w:eastAsia="zh-CN"/>
        </w:rPr>
        <w:t>。</w:t>
      </w:r>
    </w:p>
    <w:p w14:paraId="520D7A4F">
      <w:pPr>
        <w:pStyle w:val="3"/>
        <w:numPr>
          <w:ilvl w:val="0"/>
          <w:numId w:val="0"/>
        </w:numPr>
        <w:spacing w:line="360" w:lineRule="auto"/>
        <w:rPr>
          <w:rFonts w:hint="eastAsia" w:ascii="Times New Roman" w:hAnsi="Times New Roman"/>
          <w:color w:val="auto"/>
          <w:highlight w:val="none"/>
        </w:rPr>
      </w:pPr>
      <w:bookmarkStart w:id="145" w:name="_Toc8672"/>
      <w:r>
        <w:rPr>
          <w:rFonts w:hint="eastAsia" w:ascii="Times New Roman" w:hAnsi="Times New Roman"/>
          <w:color w:val="auto"/>
          <w:highlight w:val="none"/>
        </w:rPr>
        <w:t>九、安装调试、培训、试运行</w:t>
      </w:r>
      <w:bookmarkEnd w:id="145"/>
    </w:p>
    <w:p w14:paraId="42E7F884">
      <w:pPr>
        <w:spacing w:line="360" w:lineRule="auto"/>
        <w:ind w:firstLine="482" w:firstLineChars="200"/>
        <w:rPr>
          <w:rFonts w:hint="eastAsia" w:ascii="Times New Roman" w:hAnsi="Times New Roman"/>
          <w:color w:val="auto"/>
          <w:sz w:val="24"/>
          <w:highlight w:val="none"/>
        </w:rPr>
      </w:pPr>
      <w:r>
        <w:rPr>
          <w:rFonts w:hint="eastAsia" w:ascii="Times New Roman" w:hAnsi="Times New Roman" w:cs="Arial"/>
          <w:b/>
          <w:color w:val="auto"/>
          <w:sz w:val="24"/>
          <w:highlight w:val="none"/>
        </w:rPr>
        <w:t xml:space="preserve">9.1  </w:t>
      </w:r>
      <w:r>
        <w:rPr>
          <w:rFonts w:hint="eastAsia" w:ascii="Times New Roman" w:hAnsi="Times New Roman"/>
          <w:color w:val="auto"/>
          <w:sz w:val="24"/>
          <w:highlight w:val="none"/>
        </w:rPr>
        <w:t>投标方指导安装，负责调试。</w:t>
      </w:r>
    </w:p>
    <w:p w14:paraId="241CAA45">
      <w:pPr>
        <w:spacing w:line="360" w:lineRule="auto"/>
        <w:ind w:firstLine="482" w:firstLineChars="200"/>
        <w:rPr>
          <w:rFonts w:hint="eastAsia" w:ascii="Times New Roman" w:hAnsi="Times New Roman"/>
          <w:color w:val="auto"/>
          <w:sz w:val="24"/>
          <w:highlight w:val="none"/>
        </w:rPr>
      </w:pPr>
      <w:r>
        <w:rPr>
          <w:rFonts w:hint="eastAsia" w:ascii="Times New Roman" w:hAnsi="Times New Roman" w:cs="Arial"/>
          <w:b/>
          <w:color w:val="auto"/>
          <w:sz w:val="24"/>
          <w:highlight w:val="none"/>
        </w:rPr>
        <w:t xml:space="preserve">9.2  </w:t>
      </w:r>
      <w:r>
        <w:rPr>
          <w:rFonts w:hint="eastAsia" w:ascii="Times New Roman" w:hAnsi="Times New Roman"/>
          <w:bCs/>
          <w:color w:val="auto"/>
          <w:sz w:val="24"/>
          <w:highlight w:val="none"/>
        </w:rPr>
        <w:t>人员培训：</w:t>
      </w:r>
      <w:r>
        <w:rPr>
          <w:rFonts w:hint="eastAsia" w:ascii="Times New Roman" w:hAnsi="Times New Roman"/>
          <w:bCs/>
          <w:color w:val="auto"/>
          <w:sz w:val="24"/>
          <w:highlight w:val="none"/>
          <w:lang w:eastAsia="zh-CN"/>
        </w:rPr>
        <w:t>投标方</w:t>
      </w:r>
      <w:r>
        <w:rPr>
          <w:rFonts w:hint="eastAsia" w:ascii="Times New Roman" w:hAnsi="Times New Roman"/>
          <w:bCs/>
          <w:color w:val="auto"/>
          <w:sz w:val="24"/>
          <w:highlight w:val="none"/>
        </w:rPr>
        <w:t>免费为建设方培训操作维护人员，使操作维护人员达到知设备结构、知设备性能、知安全设施的作用原理；会操作、会维修、会保养、会排除故障。</w:t>
      </w:r>
    </w:p>
    <w:p w14:paraId="6BFE299C">
      <w:pPr>
        <w:spacing w:line="360" w:lineRule="auto"/>
        <w:ind w:firstLine="482" w:firstLineChars="200"/>
        <w:rPr>
          <w:rFonts w:hint="eastAsia" w:ascii="Times New Roman" w:hAnsi="Times New Roman"/>
          <w:color w:val="auto"/>
          <w:sz w:val="24"/>
          <w:highlight w:val="none"/>
        </w:rPr>
      </w:pPr>
      <w:r>
        <w:rPr>
          <w:rFonts w:hint="eastAsia" w:ascii="Times New Roman" w:hAnsi="Times New Roman"/>
          <w:b/>
          <w:color w:val="auto"/>
          <w:sz w:val="24"/>
          <w:highlight w:val="none"/>
        </w:rPr>
        <w:t xml:space="preserve">9.3  </w:t>
      </w:r>
      <w:r>
        <w:rPr>
          <w:rFonts w:hint="eastAsia" w:ascii="Times New Roman" w:hAnsi="Times New Roman"/>
          <w:color w:val="auto"/>
          <w:sz w:val="24"/>
          <w:highlight w:val="none"/>
        </w:rPr>
        <w:t>设备安装、调试完毕正常运行后，应连续带负荷正常工作72h。</w:t>
      </w:r>
    </w:p>
    <w:p w14:paraId="38FE25C7">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11FF8D1F">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398AD10C">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31BB0861">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0AFCE886">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7B2064C8">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p w14:paraId="163D77DC">
      <w:pPr>
        <w:pStyle w:val="62"/>
        <w:numPr>
          <w:ilvl w:val="0"/>
          <w:numId w:val="0"/>
        </w:numPr>
        <w:adjustRightInd w:val="0"/>
        <w:snapToGrid w:val="0"/>
        <w:spacing w:before="0" w:beforeLines="0" w:after="0" w:line="360" w:lineRule="auto"/>
        <w:rPr>
          <w:rFonts w:hint="eastAsia" w:ascii="Times New Roman" w:hAnsi="Times New Roman"/>
          <w:sz w:val="30"/>
          <w:szCs w:val="30"/>
          <w:highlight w:val="none"/>
        </w:rPr>
      </w:pPr>
    </w:p>
    <w:bookmarkEnd w:id="133"/>
    <w:p w14:paraId="2BB87C11">
      <w:pPr>
        <w:pStyle w:val="2"/>
        <w:rPr>
          <w:rFonts w:hint="eastAsia"/>
          <w:highlight w:val="none"/>
          <w:lang w:val="en-US" w:eastAsia="zh-CN"/>
        </w:rPr>
      </w:pPr>
    </w:p>
    <w:bookmarkEnd w:id="115"/>
    <w:bookmarkEnd w:id="116"/>
    <w:bookmarkEnd w:id="117"/>
    <w:bookmarkEnd w:id="118"/>
    <w:bookmarkEnd w:id="119"/>
    <w:bookmarkEnd w:id="120"/>
    <w:bookmarkEnd w:id="121"/>
    <w:bookmarkEnd w:id="122"/>
    <w:bookmarkEnd w:id="123"/>
    <w:bookmarkEnd w:id="124"/>
    <w:bookmarkEnd w:id="125"/>
    <w:bookmarkEnd w:id="126"/>
    <w:p w14:paraId="2E917749">
      <w:pPr>
        <w:ind w:firstLine="2570" w:firstLineChars="800"/>
        <w:jc w:val="both"/>
        <w:rPr>
          <w:rFonts w:ascii="宋体" w:hAnsi="Times New Roman" w:eastAsia="宋体" w:cs="Times New Roman"/>
          <w:b/>
          <w:color w:val="auto"/>
          <w:kern w:val="2"/>
          <w:sz w:val="32"/>
          <w:szCs w:val="32"/>
          <w:highlight w:val="none"/>
          <w:lang w:val="en-US" w:eastAsia="zh-CN" w:bidi="ar-SA"/>
        </w:rPr>
      </w:pPr>
      <w:r>
        <w:rPr>
          <w:rFonts w:ascii="宋体" w:hAnsi="Times New Roman" w:eastAsia="宋体" w:cs="Times New Roman"/>
          <w:b/>
          <w:color w:val="auto"/>
          <w:kern w:val="2"/>
          <w:sz w:val="32"/>
          <w:szCs w:val="32"/>
          <w:highlight w:val="none"/>
          <w:lang w:val="en-US" w:eastAsia="zh-CN" w:bidi="ar-SA"/>
        </w:rPr>
        <w:t>第</w:t>
      </w:r>
      <w:r>
        <w:rPr>
          <w:rFonts w:hint="eastAsia" w:ascii="宋体" w:hAnsi="Times New Roman" w:eastAsia="宋体" w:cs="Times New Roman"/>
          <w:b/>
          <w:color w:val="auto"/>
          <w:kern w:val="2"/>
          <w:sz w:val="32"/>
          <w:szCs w:val="32"/>
          <w:highlight w:val="none"/>
          <w:lang w:val="en-US" w:eastAsia="zh-CN" w:bidi="ar-SA"/>
        </w:rPr>
        <w:t>五</w:t>
      </w:r>
      <w:r>
        <w:rPr>
          <w:rFonts w:ascii="宋体" w:hAnsi="Times New Roman" w:eastAsia="宋体" w:cs="Times New Roman"/>
          <w:b/>
          <w:color w:val="auto"/>
          <w:kern w:val="2"/>
          <w:sz w:val="32"/>
          <w:szCs w:val="32"/>
          <w:highlight w:val="none"/>
          <w:lang w:val="en-US" w:eastAsia="zh-CN" w:bidi="ar-SA"/>
        </w:rPr>
        <w:t xml:space="preserve">章  </w:t>
      </w:r>
      <w:r>
        <w:rPr>
          <w:rFonts w:hint="eastAsia" w:ascii="宋体" w:hAnsi="Times New Roman" w:eastAsia="宋体" w:cs="Times New Roman"/>
          <w:b/>
          <w:color w:val="auto"/>
          <w:kern w:val="2"/>
          <w:sz w:val="32"/>
          <w:szCs w:val="32"/>
          <w:highlight w:val="none"/>
          <w:lang w:val="en-US" w:eastAsia="zh-CN" w:bidi="ar-SA"/>
        </w:rPr>
        <w:t>采购响应</w:t>
      </w:r>
      <w:r>
        <w:rPr>
          <w:rFonts w:ascii="宋体" w:hAnsi="Times New Roman" w:eastAsia="宋体" w:cs="Times New Roman"/>
          <w:b/>
          <w:color w:val="auto"/>
          <w:kern w:val="2"/>
          <w:sz w:val="32"/>
          <w:szCs w:val="32"/>
          <w:highlight w:val="none"/>
          <w:lang w:val="en-US" w:eastAsia="zh-CN" w:bidi="ar-SA"/>
        </w:rPr>
        <w:t>文件格式</w:t>
      </w:r>
    </w:p>
    <w:p w14:paraId="761F8143">
      <w:pPr>
        <w:jc w:val="center"/>
        <w:rPr>
          <w:rFonts w:ascii="宋体" w:hAnsi="Times New Roman" w:eastAsia="宋体" w:cs="Times New Roman"/>
          <w:color w:val="auto"/>
          <w:sz w:val="36"/>
          <w:highlight w:val="none"/>
        </w:rPr>
      </w:pPr>
    </w:p>
    <w:p w14:paraId="434E22F8">
      <w:pPr>
        <w:pStyle w:val="5"/>
        <w:rPr>
          <w:color w:val="auto"/>
          <w:highlight w:val="none"/>
        </w:rPr>
      </w:pPr>
    </w:p>
    <w:p w14:paraId="6829F7E0">
      <w:pPr>
        <w:jc w:val="both"/>
        <w:rPr>
          <w:rFonts w:ascii="宋体" w:hAnsi="Times New Roman" w:eastAsia="宋体" w:cs="Times New Roman"/>
          <w:color w:val="auto"/>
          <w:sz w:val="36"/>
          <w:highlight w:val="none"/>
        </w:rPr>
      </w:pPr>
    </w:p>
    <w:p w14:paraId="60810375">
      <w:pPr>
        <w:jc w:val="both"/>
        <w:rPr>
          <w:rFonts w:ascii="宋体" w:hAnsi="Times New Roman" w:eastAsia="宋体" w:cs="Times New Roman"/>
          <w:color w:val="auto"/>
          <w:sz w:val="36"/>
          <w:highlight w:val="none"/>
        </w:rPr>
      </w:pPr>
    </w:p>
    <w:p w14:paraId="28DC1741">
      <w:pPr>
        <w:jc w:val="both"/>
        <w:rPr>
          <w:rFonts w:ascii="宋体" w:hAnsi="Times New Roman" w:eastAsia="宋体" w:cs="Times New Roman"/>
          <w:color w:val="auto"/>
          <w:sz w:val="36"/>
          <w:highlight w:val="none"/>
        </w:rPr>
      </w:pPr>
    </w:p>
    <w:p w14:paraId="7AB78F84">
      <w:pPr>
        <w:jc w:val="both"/>
        <w:rPr>
          <w:rFonts w:ascii="宋体" w:hAnsi="Times New Roman" w:eastAsia="宋体" w:cs="Times New Roman"/>
          <w:color w:val="auto"/>
          <w:sz w:val="36"/>
          <w:highlight w:val="none"/>
        </w:rPr>
      </w:pPr>
    </w:p>
    <w:p w14:paraId="23D9E4D4">
      <w:pPr>
        <w:widowControl w:val="0"/>
        <w:snapToGrid w:val="0"/>
        <w:jc w:val="center"/>
        <w:rPr>
          <w:rFonts w:ascii="宋体" w:hAnsi="Times New Roman" w:eastAsia="宋体" w:cs="Times New Roman"/>
          <w:color w:val="auto"/>
          <w:kern w:val="2"/>
          <w:sz w:val="110"/>
          <w:szCs w:val="24"/>
          <w:highlight w:val="none"/>
        </w:rPr>
      </w:pPr>
      <w:bookmarkStart w:id="146" w:name="_Toc22467_WPSOffice_Level1"/>
      <w:r>
        <w:rPr>
          <w:rFonts w:hint="eastAsia" w:ascii="宋体" w:hAnsi="Times New Roman" w:eastAsia="宋体" w:cs="Times New Roman"/>
          <w:color w:val="auto"/>
          <w:kern w:val="2"/>
          <w:sz w:val="110"/>
          <w:szCs w:val="24"/>
          <w:highlight w:val="none"/>
        </w:rPr>
        <w:t>采购响应</w:t>
      </w:r>
      <w:r>
        <w:rPr>
          <w:rFonts w:ascii="宋体" w:hAnsi="Times New Roman" w:eastAsia="宋体" w:cs="Times New Roman"/>
          <w:color w:val="auto"/>
          <w:kern w:val="2"/>
          <w:sz w:val="110"/>
          <w:szCs w:val="24"/>
          <w:highlight w:val="none"/>
        </w:rPr>
        <w:t>文件</w:t>
      </w:r>
      <w:bookmarkEnd w:id="146"/>
    </w:p>
    <w:p w14:paraId="06259705">
      <w:pPr>
        <w:jc w:val="center"/>
        <w:rPr>
          <w:rFonts w:ascii="宋体" w:hAnsi="Times New Roman" w:eastAsia="宋体" w:cs="Times New Roman"/>
          <w:color w:val="auto"/>
          <w:sz w:val="36"/>
          <w:szCs w:val="36"/>
          <w:highlight w:val="none"/>
        </w:rPr>
      </w:pPr>
      <w:bookmarkStart w:id="147" w:name="_Toc19430_WPSOffice_Level1"/>
      <w:r>
        <w:rPr>
          <w:rFonts w:ascii="宋体" w:hAnsi="Times New Roman" w:eastAsia="宋体" w:cs="Times New Roman"/>
          <w:color w:val="auto"/>
          <w:sz w:val="36"/>
          <w:szCs w:val="36"/>
          <w:highlight w:val="none"/>
        </w:rPr>
        <w:t>（封  面）</w:t>
      </w:r>
      <w:bookmarkEnd w:id="147"/>
    </w:p>
    <w:p w14:paraId="053E5A41">
      <w:pPr>
        <w:jc w:val="both"/>
        <w:rPr>
          <w:rFonts w:ascii="宋体" w:hAnsi="Times New Roman" w:eastAsia="宋体" w:cs="Times New Roman"/>
          <w:color w:val="auto"/>
          <w:sz w:val="36"/>
          <w:highlight w:val="none"/>
        </w:rPr>
      </w:pPr>
    </w:p>
    <w:p w14:paraId="48CD7E0D">
      <w:pPr>
        <w:jc w:val="both"/>
        <w:rPr>
          <w:rFonts w:ascii="宋体" w:hAnsi="Times New Roman" w:eastAsia="宋体" w:cs="Times New Roman"/>
          <w:color w:val="auto"/>
          <w:sz w:val="36"/>
          <w:highlight w:val="none"/>
        </w:rPr>
      </w:pPr>
    </w:p>
    <w:p w14:paraId="5AB1FFDD">
      <w:pPr>
        <w:jc w:val="both"/>
        <w:rPr>
          <w:rFonts w:ascii="宋体" w:hAnsi="Times New Roman" w:eastAsia="宋体" w:cs="Times New Roman"/>
          <w:color w:val="auto"/>
          <w:sz w:val="36"/>
          <w:highlight w:val="none"/>
        </w:rPr>
      </w:pPr>
    </w:p>
    <w:p w14:paraId="7F120059">
      <w:pPr>
        <w:jc w:val="both"/>
        <w:rPr>
          <w:rFonts w:ascii="宋体" w:hAnsi="Times New Roman" w:eastAsia="宋体" w:cs="Times New Roman"/>
          <w:color w:val="auto"/>
          <w:sz w:val="36"/>
          <w:highlight w:val="none"/>
        </w:rPr>
      </w:pPr>
    </w:p>
    <w:p w14:paraId="16171F40">
      <w:pPr>
        <w:jc w:val="both"/>
        <w:rPr>
          <w:rFonts w:ascii="宋体" w:hAnsi="Times New Roman" w:eastAsia="宋体" w:cs="Times New Roman"/>
          <w:color w:val="auto"/>
          <w:sz w:val="36"/>
          <w:highlight w:val="none"/>
        </w:rPr>
      </w:pPr>
    </w:p>
    <w:p w14:paraId="2F96A934">
      <w:pPr>
        <w:jc w:val="both"/>
        <w:rPr>
          <w:rFonts w:ascii="宋体" w:hAnsi="Times New Roman" w:eastAsia="宋体" w:cs="Times New Roman"/>
          <w:color w:val="auto"/>
          <w:sz w:val="36"/>
          <w:highlight w:val="none"/>
        </w:rPr>
      </w:pPr>
    </w:p>
    <w:p w14:paraId="79BA5DC1">
      <w:pPr>
        <w:jc w:val="both"/>
        <w:rPr>
          <w:rFonts w:ascii="宋体" w:hAnsi="Times New Roman" w:eastAsia="宋体" w:cs="Times New Roman"/>
          <w:color w:val="auto"/>
          <w:sz w:val="36"/>
          <w:highlight w:val="none"/>
        </w:rPr>
      </w:pPr>
    </w:p>
    <w:p w14:paraId="33CB087A">
      <w:pPr>
        <w:jc w:val="both"/>
        <w:rPr>
          <w:rFonts w:ascii="宋体" w:hAnsi="Times New Roman" w:eastAsia="宋体" w:cs="Times New Roman"/>
          <w:color w:val="auto"/>
          <w:sz w:val="36"/>
          <w:highlight w:val="none"/>
        </w:rPr>
      </w:pPr>
    </w:p>
    <w:p w14:paraId="3CFF8741">
      <w:pPr>
        <w:widowControl w:val="0"/>
        <w:tabs>
          <w:tab w:val="left" w:pos="4860"/>
        </w:tabs>
        <w:snapToGrid w:val="0"/>
        <w:spacing w:line="700" w:lineRule="exact"/>
        <w:ind w:left="2844" w:leftChars="672" w:hanging="1500" w:hangingChars="500"/>
        <w:jc w:val="both"/>
        <w:rPr>
          <w:rFonts w:ascii="宋体" w:hAnsi="Times New Roman" w:eastAsia="宋体" w:cs="Times New Roman"/>
          <w:bCs/>
          <w:color w:val="auto"/>
          <w:kern w:val="2"/>
          <w:sz w:val="30"/>
          <w:szCs w:val="30"/>
          <w:highlight w:val="none"/>
        </w:rPr>
      </w:pPr>
      <w:bookmarkStart w:id="148" w:name="_Toc15062_WPSOffice_Level1"/>
      <w:r>
        <w:rPr>
          <w:rFonts w:ascii="宋体" w:hAnsi="Times New Roman" w:eastAsia="宋体" w:cs="Times New Roman"/>
          <w:bCs/>
          <w:color w:val="auto"/>
          <w:kern w:val="2"/>
          <w:sz w:val="30"/>
          <w:szCs w:val="30"/>
          <w:highlight w:val="none"/>
        </w:rPr>
        <w:t>项目名称：</w:t>
      </w:r>
      <w:bookmarkEnd w:id="148"/>
    </w:p>
    <w:p w14:paraId="2F2921BC">
      <w:pPr>
        <w:widowControl w:val="0"/>
        <w:tabs>
          <w:tab w:val="left" w:pos="4860"/>
        </w:tabs>
        <w:snapToGrid w:val="0"/>
        <w:spacing w:line="700" w:lineRule="exact"/>
        <w:ind w:left="2844" w:leftChars="672" w:hanging="1500" w:hangingChars="500"/>
        <w:jc w:val="both"/>
        <w:rPr>
          <w:rFonts w:ascii="宋体" w:hAnsi="Times New Roman" w:eastAsia="宋体" w:cs="Times New Roman"/>
          <w:bCs/>
          <w:color w:val="auto"/>
          <w:kern w:val="2"/>
          <w:sz w:val="30"/>
          <w:szCs w:val="30"/>
          <w:highlight w:val="none"/>
        </w:rPr>
      </w:pPr>
      <w:r>
        <w:rPr>
          <w:rFonts w:hint="eastAsia" w:ascii="宋体" w:hAnsi="Times New Roman" w:eastAsia="宋体" w:cs="Times New Roman"/>
          <w:bCs/>
          <w:color w:val="auto"/>
          <w:kern w:val="2"/>
          <w:sz w:val="30"/>
          <w:szCs w:val="30"/>
          <w:highlight w:val="none"/>
        </w:rPr>
        <w:t>项目编号：</w:t>
      </w:r>
    </w:p>
    <w:p w14:paraId="76BCE924">
      <w:pPr>
        <w:widowControl w:val="0"/>
        <w:tabs>
          <w:tab w:val="left" w:pos="4860"/>
        </w:tabs>
        <w:snapToGrid w:val="0"/>
        <w:spacing w:line="700" w:lineRule="exact"/>
        <w:ind w:left="2844" w:leftChars="672" w:hanging="1500" w:hangingChars="500"/>
        <w:jc w:val="both"/>
        <w:rPr>
          <w:rFonts w:ascii="宋体" w:hAnsi="Times New Roman" w:eastAsia="宋体" w:cs="Times New Roman"/>
          <w:bCs/>
          <w:color w:val="auto"/>
          <w:kern w:val="2"/>
          <w:sz w:val="30"/>
          <w:szCs w:val="30"/>
          <w:highlight w:val="none"/>
        </w:rPr>
      </w:pPr>
      <w:bookmarkStart w:id="149" w:name="_Toc20974_WPSOffice_Level1"/>
      <w:r>
        <w:rPr>
          <w:rFonts w:hint="eastAsia" w:ascii="宋体" w:hAnsi="Times New Roman" w:eastAsia="宋体" w:cs="Times New Roman"/>
          <w:bCs/>
          <w:color w:val="auto"/>
          <w:kern w:val="2"/>
          <w:sz w:val="30"/>
          <w:szCs w:val="30"/>
          <w:highlight w:val="none"/>
        </w:rPr>
        <w:t>供 应 商</w:t>
      </w:r>
      <w:r>
        <w:rPr>
          <w:rFonts w:ascii="宋体" w:hAnsi="Times New Roman" w:eastAsia="宋体" w:cs="Times New Roman"/>
          <w:bCs/>
          <w:color w:val="auto"/>
          <w:kern w:val="2"/>
          <w:sz w:val="30"/>
          <w:szCs w:val="30"/>
          <w:highlight w:val="none"/>
        </w:rPr>
        <w:t>（盖章）：</w:t>
      </w:r>
      <w:bookmarkEnd w:id="149"/>
    </w:p>
    <w:p w14:paraId="2C57817E">
      <w:pPr>
        <w:widowControl w:val="0"/>
        <w:tabs>
          <w:tab w:val="left" w:pos="4860"/>
        </w:tabs>
        <w:snapToGrid w:val="0"/>
        <w:spacing w:line="700" w:lineRule="exact"/>
        <w:ind w:left="2844" w:leftChars="672" w:hanging="1500" w:hangingChars="500"/>
        <w:jc w:val="both"/>
        <w:rPr>
          <w:rFonts w:ascii="宋体" w:hAnsi="Times New Roman" w:eastAsia="宋体" w:cs="Times New Roman"/>
          <w:bCs/>
          <w:color w:val="auto"/>
          <w:kern w:val="2"/>
          <w:sz w:val="30"/>
          <w:szCs w:val="30"/>
          <w:highlight w:val="none"/>
        </w:rPr>
      </w:pPr>
      <w:bookmarkStart w:id="150" w:name="_Toc20260_WPSOffice_Level1"/>
      <w:r>
        <w:rPr>
          <w:rFonts w:ascii="宋体" w:hAnsi="Times New Roman" w:eastAsia="宋体" w:cs="Times New Roman"/>
          <w:bCs/>
          <w:color w:val="auto"/>
          <w:kern w:val="2"/>
          <w:sz w:val="30"/>
          <w:szCs w:val="30"/>
          <w:highlight w:val="none"/>
        </w:rPr>
        <w:t>法定代表人（盖章）：</w:t>
      </w:r>
      <w:bookmarkEnd w:id="150"/>
    </w:p>
    <w:p w14:paraId="4E74B8D8">
      <w:pPr>
        <w:widowControl w:val="0"/>
        <w:tabs>
          <w:tab w:val="left" w:pos="4860"/>
        </w:tabs>
        <w:snapToGrid w:val="0"/>
        <w:spacing w:line="700" w:lineRule="exact"/>
        <w:ind w:left="2844" w:leftChars="672" w:hanging="1500" w:hangingChars="500"/>
        <w:jc w:val="both"/>
        <w:rPr>
          <w:rFonts w:ascii="宋体" w:hAnsi="Times New Roman" w:eastAsia="宋体" w:cs="Times New Roman"/>
          <w:bCs/>
          <w:color w:val="auto"/>
          <w:kern w:val="2"/>
          <w:sz w:val="30"/>
          <w:szCs w:val="30"/>
          <w:highlight w:val="none"/>
        </w:rPr>
      </w:pPr>
      <w:bookmarkStart w:id="151" w:name="_Toc1396_WPSOffice_Level1"/>
      <w:r>
        <w:rPr>
          <w:rFonts w:ascii="宋体" w:hAnsi="Times New Roman" w:eastAsia="宋体" w:cs="Times New Roman"/>
          <w:bCs/>
          <w:color w:val="auto"/>
          <w:kern w:val="2"/>
          <w:sz w:val="30"/>
          <w:szCs w:val="30"/>
          <w:highlight w:val="none"/>
        </w:rPr>
        <w:t>日期：   年   月   日</w:t>
      </w:r>
      <w:bookmarkEnd w:id="151"/>
    </w:p>
    <w:p w14:paraId="6CF7AE35">
      <w:pPr>
        <w:tabs>
          <w:tab w:val="left" w:pos="720"/>
        </w:tabs>
        <w:spacing w:before="0" w:beforeAutospacing="0" w:after="0" w:afterAutospacing="0" w:line="500" w:lineRule="exact"/>
        <w:ind w:left="-2" w:leftChars="-1" w:right="26" w:firstLine="720" w:firstLineChars="200"/>
        <w:jc w:val="both"/>
        <w:rPr>
          <w:rFonts w:ascii="宋体" w:hAnsi="Times New Roman" w:eastAsia="宋体" w:cs="Times New Roman"/>
          <w:bCs/>
          <w:color w:val="auto"/>
          <w:sz w:val="24"/>
          <w:szCs w:val="24"/>
          <w:highlight w:val="none"/>
          <w:lang w:val="en-US" w:eastAsia="zh-CN" w:bidi="ar-SA"/>
        </w:rPr>
      </w:pPr>
      <w:r>
        <w:rPr>
          <w:rFonts w:ascii="宋体" w:hAnsi="Times New Roman" w:eastAsia="宋体" w:cs="Times New Roman"/>
          <w:color w:val="auto"/>
          <w:sz w:val="36"/>
          <w:szCs w:val="24"/>
          <w:highlight w:val="none"/>
          <w:lang w:val="en-US" w:eastAsia="zh-CN" w:bidi="ar-SA"/>
        </w:rPr>
        <w:br w:type="page"/>
      </w:r>
    </w:p>
    <w:p w14:paraId="3DDE23DF">
      <w:pPr>
        <w:pStyle w:val="5"/>
        <w:rPr>
          <w:rFonts w:hint="eastAsia"/>
          <w:color w:val="auto"/>
          <w:highlight w:val="none"/>
          <w:lang w:val="en-US" w:eastAsia="zh-CN"/>
        </w:rPr>
      </w:pPr>
    </w:p>
    <w:p w14:paraId="1FF80003">
      <w:pPr>
        <w:widowControl w:val="0"/>
        <w:spacing w:line="500" w:lineRule="exact"/>
        <w:jc w:val="both"/>
        <w:rPr>
          <w:rFonts w:ascii="宋体"/>
          <w:b/>
          <w:bCs/>
          <w:color w:val="auto"/>
          <w:kern w:val="2"/>
          <w:sz w:val="32"/>
          <w:szCs w:val="32"/>
          <w:highlight w:val="none"/>
        </w:rPr>
      </w:pPr>
    </w:p>
    <w:p w14:paraId="65CFAF37">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第一部分：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文件商务</w:t>
      </w:r>
      <w:r>
        <w:rPr>
          <w:rFonts w:hint="eastAsia" w:ascii="宋体"/>
          <w:b/>
          <w:bCs/>
          <w:color w:val="auto"/>
          <w:kern w:val="2"/>
          <w:sz w:val="32"/>
          <w:szCs w:val="32"/>
          <w:highlight w:val="none"/>
        </w:rPr>
        <w:t>部分</w:t>
      </w:r>
    </w:p>
    <w:p w14:paraId="20F03F67">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1）洽谈报价函</w:t>
      </w:r>
    </w:p>
    <w:p w14:paraId="26314CEF">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2）报价一览表</w:t>
      </w:r>
    </w:p>
    <w:p w14:paraId="69455B14">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3) 分项报价表</w:t>
      </w:r>
    </w:p>
    <w:p w14:paraId="003DEA6B">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4）供应商基本情况表</w:t>
      </w:r>
    </w:p>
    <w:p w14:paraId="761E73CD">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5）法定代表人身份证明</w:t>
      </w:r>
      <w:r>
        <w:rPr>
          <w:rFonts w:hint="eastAsia"/>
          <w:bCs/>
          <w:color w:val="auto"/>
          <w:highlight w:val="none"/>
        </w:rPr>
        <w:tab/>
      </w:r>
    </w:p>
    <w:p w14:paraId="001B90CD">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6）法人授权委托书</w:t>
      </w:r>
    </w:p>
    <w:p w14:paraId="496B8F97">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7）供应商资格证明文件</w:t>
      </w:r>
    </w:p>
    <w:p w14:paraId="45035DF4">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8）供应商资料真实性承诺书</w:t>
      </w:r>
    </w:p>
    <w:p w14:paraId="42F33449">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lang w:val="en-US" w:eastAsia="zh-CN"/>
        </w:rPr>
        <w:t>9</w:t>
      </w:r>
      <w:r>
        <w:rPr>
          <w:rFonts w:hint="eastAsia"/>
          <w:bCs/>
          <w:color w:val="auto"/>
          <w:highlight w:val="none"/>
        </w:rPr>
        <w:t>)技术部分/商务部分差异表</w:t>
      </w:r>
    </w:p>
    <w:p w14:paraId="2C9640AE">
      <w:pPr>
        <w:pStyle w:val="25"/>
        <w:tabs>
          <w:tab w:val="left" w:pos="720"/>
        </w:tabs>
        <w:spacing w:before="0" w:beforeAutospacing="0" w:after="0" w:afterAutospacing="0" w:line="500" w:lineRule="exact"/>
        <w:ind w:left="-2" w:leftChars="-1" w:right="26" w:firstLine="480" w:firstLineChars="200"/>
        <w:jc w:val="both"/>
        <w:rPr>
          <w:bCs/>
          <w:color w:val="auto"/>
          <w:highlight w:val="none"/>
        </w:rPr>
      </w:pPr>
      <w:r>
        <w:rPr>
          <w:rFonts w:hint="eastAsia"/>
          <w:bCs/>
          <w:color w:val="auto"/>
          <w:highlight w:val="none"/>
        </w:rPr>
        <w:t>1</w:t>
      </w:r>
      <w:r>
        <w:rPr>
          <w:rFonts w:hint="eastAsia"/>
          <w:bCs/>
          <w:color w:val="auto"/>
          <w:highlight w:val="none"/>
          <w:lang w:val="en-US" w:eastAsia="zh-CN"/>
        </w:rPr>
        <w:t>0</w:t>
      </w:r>
      <w:r>
        <w:rPr>
          <w:rFonts w:hint="eastAsia"/>
          <w:bCs/>
          <w:color w:val="auto"/>
          <w:highlight w:val="none"/>
        </w:rPr>
        <w:t>)廉洁承诺书,供需双方廉洁互保协议</w:t>
      </w:r>
    </w:p>
    <w:p w14:paraId="4FBD6F66">
      <w:pPr>
        <w:widowControl w:val="0"/>
        <w:spacing w:line="500" w:lineRule="exact"/>
        <w:jc w:val="both"/>
        <w:rPr>
          <w:rFonts w:ascii="宋体"/>
          <w:b/>
          <w:bCs/>
          <w:color w:val="auto"/>
          <w:kern w:val="2"/>
          <w:sz w:val="32"/>
          <w:szCs w:val="32"/>
          <w:highlight w:val="none"/>
        </w:rPr>
      </w:pPr>
    </w:p>
    <w:p w14:paraId="5087A7B7">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第二部分：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w:t>
      </w:r>
      <w:r>
        <w:rPr>
          <w:rFonts w:hint="eastAsia" w:ascii="宋体"/>
          <w:b/>
          <w:bCs/>
          <w:color w:val="auto"/>
          <w:kern w:val="2"/>
          <w:sz w:val="32"/>
          <w:szCs w:val="32"/>
          <w:highlight w:val="none"/>
        </w:rPr>
        <w:t>技术部分</w:t>
      </w:r>
    </w:p>
    <w:p w14:paraId="1E98D785">
      <w:pPr>
        <w:widowControl w:val="0"/>
        <w:tabs>
          <w:tab w:val="left" w:pos="360"/>
          <w:tab w:val="left" w:pos="720"/>
          <w:tab w:val="left" w:pos="3060"/>
        </w:tabs>
        <w:spacing w:line="400" w:lineRule="exact"/>
        <w:outlineLvl w:val="1"/>
        <w:rPr>
          <w:rFonts w:ascii="宋体"/>
          <w:b/>
          <w:color w:val="auto"/>
          <w:kern w:val="2"/>
          <w:sz w:val="28"/>
          <w:szCs w:val="28"/>
          <w:highlight w:val="none"/>
        </w:rPr>
      </w:pPr>
      <w:r>
        <w:rPr>
          <w:rFonts w:ascii="宋体"/>
          <w:b/>
          <w:color w:val="auto"/>
          <w:sz w:val="24"/>
          <w:szCs w:val="24"/>
          <w:highlight w:val="none"/>
        </w:rPr>
        <w:br w:type="page"/>
      </w:r>
      <w:bookmarkStart w:id="152" w:name="_Toc484699854"/>
      <w:bookmarkStart w:id="153" w:name="_Toc10184884"/>
      <w:bookmarkStart w:id="154" w:name="_Toc10122275"/>
      <w:bookmarkStart w:id="155" w:name="_Toc512354292"/>
      <w:bookmarkStart w:id="156" w:name="_Toc31166"/>
      <w:bookmarkStart w:id="157" w:name="_Toc512354290"/>
      <w:bookmarkStart w:id="158" w:name="_Toc382509464"/>
      <w:bookmarkStart w:id="159" w:name="_Toc484699852"/>
      <w:r>
        <w:rPr>
          <w:rStyle w:val="42"/>
          <w:rFonts w:hint="eastAsia"/>
          <w:color w:val="auto"/>
          <w:highlight w:val="none"/>
        </w:rPr>
        <w:t>格式一                  洽谈</w:t>
      </w:r>
      <w:r>
        <w:rPr>
          <w:rStyle w:val="42"/>
          <w:color w:val="auto"/>
          <w:highlight w:val="none"/>
        </w:rPr>
        <w:t>报价函</w:t>
      </w:r>
      <w:bookmarkEnd w:id="152"/>
      <w:bookmarkEnd w:id="153"/>
      <w:bookmarkEnd w:id="154"/>
      <w:bookmarkEnd w:id="155"/>
      <w:bookmarkEnd w:id="156"/>
    </w:p>
    <w:p w14:paraId="24A0364E">
      <w:pPr>
        <w:spacing w:line="400" w:lineRule="exact"/>
        <w:jc w:val="both"/>
        <w:rPr>
          <w:rFonts w:ascii="宋体"/>
          <w:color w:val="auto"/>
          <w:sz w:val="28"/>
          <w:szCs w:val="28"/>
          <w:highlight w:val="none"/>
        </w:rPr>
      </w:pPr>
    </w:p>
    <w:p w14:paraId="59250BD8">
      <w:pPr>
        <w:spacing w:line="36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14:paraId="64F93397">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根据已收到的</w:t>
      </w:r>
      <w:r>
        <w:rPr>
          <w:rFonts w:hint="eastAsia" w:ascii="宋体"/>
          <w:color w:val="auto"/>
          <w:sz w:val="24"/>
          <w:szCs w:val="24"/>
          <w:highlight w:val="none"/>
        </w:rPr>
        <w:t>采购</w:t>
      </w:r>
      <w:r>
        <w:rPr>
          <w:rFonts w:ascii="宋体"/>
          <w:color w:val="auto"/>
          <w:sz w:val="24"/>
          <w:szCs w:val="24"/>
          <w:highlight w:val="none"/>
        </w:rPr>
        <w:t>文件，我公司经过研究</w:t>
      </w:r>
      <w:r>
        <w:rPr>
          <w:rFonts w:hint="eastAsia" w:ascii="宋体"/>
          <w:color w:val="auto"/>
          <w:sz w:val="24"/>
          <w:szCs w:val="24"/>
          <w:highlight w:val="none"/>
        </w:rPr>
        <w:t>采购</w:t>
      </w:r>
      <w:r>
        <w:rPr>
          <w:rFonts w:ascii="宋体"/>
          <w:color w:val="auto"/>
          <w:sz w:val="24"/>
          <w:szCs w:val="24"/>
          <w:highlight w:val="none"/>
        </w:rPr>
        <w:t>文件之后，决定授权</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w:t>
      </w:r>
      <w:r>
        <w:rPr>
          <w:rFonts w:hint="eastAsia" w:ascii="宋体"/>
          <w:color w:val="auto"/>
          <w:sz w:val="24"/>
          <w:szCs w:val="24"/>
          <w:highlight w:val="none"/>
          <w:lang w:val="en-US" w:eastAsia="zh-CN"/>
        </w:rPr>
        <w:t>法人代表或授权</w:t>
      </w:r>
      <w:r>
        <w:rPr>
          <w:rFonts w:ascii="宋体"/>
          <w:color w:val="auto"/>
          <w:sz w:val="24"/>
          <w:szCs w:val="24"/>
          <w:highlight w:val="none"/>
        </w:rPr>
        <w:t xml:space="preserve">代理人），参加贵单位组织的 </w:t>
      </w:r>
      <w:r>
        <w:rPr>
          <w:rFonts w:ascii="宋体"/>
          <w:color w:val="auto"/>
          <w:sz w:val="24"/>
          <w:szCs w:val="24"/>
          <w:highlight w:val="none"/>
          <w:u w:val="single"/>
        </w:rPr>
        <w:t xml:space="preserve">            </w:t>
      </w:r>
      <w:r>
        <w:rPr>
          <w:rFonts w:ascii="宋体"/>
          <w:color w:val="auto"/>
          <w:sz w:val="24"/>
          <w:szCs w:val="24"/>
          <w:highlight w:val="none"/>
        </w:rPr>
        <w:t>（</w:t>
      </w:r>
      <w:r>
        <w:rPr>
          <w:rFonts w:hint="eastAsia" w:ascii="宋体"/>
          <w:color w:val="auto"/>
          <w:sz w:val="24"/>
          <w:szCs w:val="24"/>
          <w:highlight w:val="none"/>
        </w:rPr>
        <w:t>项目</w:t>
      </w:r>
      <w:r>
        <w:rPr>
          <w:rFonts w:ascii="宋体"/>
          <w:color w:val="auto"/>
          <w:sz w:val="24"/>
          <w:szCs w:val="24"/>
          <w:highlight w:val="none"/>
        </w:rPr>
        <w:t>名称）</w:t>
      </w:r>
      <w:r>
        <w:rPr>
          <w:rFonts w:hint="eastAsia" w:ascii="宋体"/>
          <w:color w:val="auto"/>
          <w:sz w:val="24"/>
          <w:szCs w:val="24"/>
          <w:highlight w:val="none"/>
        </w:rPr>
        <w:t>采购</w:t>
      </w:r>
      <w:r>
        <w:rPr>
          <w:rFonts w:ascii="宋体"/>
          <w:color w:val="auto"/>
          <w:sz w:val="24"/>
          <w:szCs w:val="24"/>
          <w:highlight w:val="none"/>
        </w:rPr>
        <w:t>活动，并根据法定代表人身份证书（或法人授权委托书）赋予的权限参加整个</w:t>
      </w:r>
      <w:r>
        <w:rPr>
          <w:rFonts w:hint="eastAsia" w:ascii="宋体"/>
          <w:color w:val="auto"/>
          <w:sz w:val="24"/>
          <w:szCs w:val="24"/>
          <w:highlight w:val="none"/>
        </w:rPr>
        <w:t>采购</w:t>
      </w:r>
      <w:r>
        <w:rPr>
          <w:rFonts w:ascii="宋体"/>
          <w:color w:val="auto"/>
          <w:sz w:val="24"/>
          <w:szCs w:val="24"/>
          <w:highlight w:val="none"/>
        </w:rPr>
        <w:t>工作的全过程。为此：</w:t>
      </w:r>
    </w:p>
    <w:p w14:paraId="18DEBA46">
      <w:pPr>
        <w:numPr>
          <w:ilvl w:val="0"/>
          <w:numId w:val="8"/>
        </w:numPr>
        <w:spacing w:line="440" w:lineRule="exact"/>
        <w:ind w:firstLine="480" w:firstLineChars="200"/>
        <w:jc w:val="both"/>
        <w:rPr>
          <w:rFonts w:ascii="宋体"/>
          <w:color w:val="auto"/>
          <w:sz w:val="24"/>
          <w:szCs w:val="24"/>
          <w:highlight w:val="none"/>
        </w:rPr>
      </w:pPr>
      <w:r>
        <w:rPr>
          <w:rFonts w:ascii="宋体"/>
          <w:color w:val="auto"/>
          <w:sz w:val="24"/>
          <w:szCs w:val="24"/>
          <w:highlight w:val="none"/>
        </w:rPr>
        <w:t>提供</w:t>
      </w:r>
      <w:r>
        <w:rPr>
          <w:rFonts w:hint="eastAsia" w:ascii="宋体"/>
          <w:color w:val="auto"/>
          <w:sz w:val="24"/>
          <w:szCs w:val="24"/>
          <w:highlight w:val="none"/>
        </w:rPr>
        <w:t>供应商</w:t>
      </w:r>
      <w:r>
        <w:rPr>
          <w:rFonts w:ascii="宋体"/>
          <w:color w:val="auto"/>
          <w:sz w:val="24"/>
          <w:szCs w:val="24"/>
          <w:highlight w:val="none"/>
        </w:rPr>
        <w:t>须知规定的全部</w:t>
      </w:r>
      <w:r>
        <w:rPr>
          <w:rFonts w:hint="eastAsia" w:ascii="宋体"/>
          <w:color w:val="auto"/>
          <w:sz w:val="24"/>
          <w:szCs w:val="24"/>
          <w:highlight w:val="none"/>
        </w:rPr>
        <w:t>采购响应</w:t>
      </w:r>
      <w:r>
        <w:rPr>
          <w:rFonts w:ascii="宋体"/>
          <w:color w:val="auto"/>
          <w:sz w:val="24"/>
          <w:szCs w:val="24"/>
          <w:highlight w:val="none"/>
        </w:rPr>
        <w:t>文件，其中：</w:t>
      </w:r>
      <w:r>
        <w:rPr>
          <w:rFonts w:hint="eastAsia" w:ascii="宋体"/>
          <w:color w:val="auto"/>
          <w:sz w:val="24"/>
          <w:szCs w:val="24"/>
          <w:highlight w:val="none"/>
        </w:rPr>
        <w:t>响应文件</w:t>
      </w:r>
      <w:r>
        <w:rPr>
          <w:rFonts w:ascii="宋体"/>
          <w:color w:val="auto"/>
          <w:sz w:val="24"/>
          <w:szCs w:val="24"/>
          <w:highlight w:val="none"/>
        </w:rPr>
        <w:t>正本一份</w:t>
      </w:r>
    </w:p>
    <w:p w14:paraId="05DC6527">
      <w:pPr>
        <w:numPr>
          <w:ilvl w:val="0"/>
          <w:numId w:val="8"/>
        </w:numPr>
        <w:spacing w:line="440" w:lineRule="exact"/>
        <w:ind w:firstLine="480" w:firstLineChars="200"/>
        <w:jc w:val="both"/>
        <w:rPr>
          <w:rFonts w:ascii="宋体"/>
          <w:color w:val="auto"/>
          <w:sz w:val="24"/>
          <w:szCs w:val="24"/>
          <w:highlight w:val="none"/>
        </w:rPr>
      </w:pPr>
      <w:r>
        <w:rPr>
          <w:rFonts w:hint="eastAsia" w:ascii="宋体"/>
          <w:color w:val="auto"/>
          <w:sz w:val="24"/>
          <w:szCs w:val="24"/>
          <w:highlight w:val="none"/>
        </w:rPr>
        <w:t>固定总价</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none"/>
          <w:lang w:val="en-US" w:eastAsia="zh-CN"/>
        </w:rPr>
        <w:t>元</w:t>
      </w:r>
      <w:r>
        <w:rPr>
          <w:rFonts w:hint="eastAsia" w:ascii="宋体"/>
          <w:color w:val="auto"/>
          <w:sz w:val="24"/>
          <w:szCs w:val="24"/>
          <w:highlight w:val="none"/>
        </w:rPr>
        <w:t>（含税报价），其中增值税税率</w:t>
      </w:r>
      <w:r>
        <w:rPr>
          <w:rFonts w:hint="eastAsia" w:ascii="宋体"/>
          <w:color w:val="auto"/>
          <w:sz w:val="24"/>
          <w:szCs w:val="24"/>
          <w:highlight w:val="none"/>
          <w:u w:val="none"/>
        </w:rPr>
        <w:t>为</w:t>
      </w:r>
      <w:r>
        <w:rPr>
          <w:rFonts w:hint="eastAsia" w:ascii="宋体"/>
          <w:color w:val="auto"/>
          <w:sz w:val="24"/>
          <w:szCs w:val="24"/>
          <w:highlight w:val="none"/>
          <w:u w:val="non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427FE60B">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3、贵单位的</w:t>
      </w:r>
      <w:r>
        <w:rPr>
          <w:rFonts w:hint="eastAsia" w:ascii="宋体"/>
          <w:color w:val="auto"/>
          <w:sz w:val="24"/>
          <w:szCs w:val="24"/>
          <w:highlight w:val="none"/>
        </w:rPr>
        <w:t>采购</w:t>
      </w:r>
      <w:r>
        <w:rPr>
          <w:rFonts w:ascii="宋体"/>
          <w:color w:val="auto"/>
          <w:sz w:val="24"/>
          <w:szCs w:val="24"/>
          <w:highlight w:val="none"/>
        </w:rPr>
        <w:t>文件、</w:t>
      </w:r>
      <w:r>
        <w:rPr>
          <w:rFonts w:hint="eastAsia" w:ascii="宋体"/>
          <w:color w:val="auto"/>
          <w:sz w:val="24"/>
          <w:szCs w:val="24"/>
          <w:highlight w:val="none"/>
        </w:rPr>
        <w:t>成交</w:t>
      </w:r>
      <w:r>
        <w:rPr>
          <w:rFonts w:ascii="宋体"/>
          <w:color w:val="auto"/>
          <w:sz w:val="24"/>
          <w:szCs w:val="24"/>
          <w:highlight w:val="none"/>
        </w:rPr>
        <w:t>通知书和本</w:t>
      </w:r>
      <w:r>
        <w:rPr>
          <w:rFonts w:hint="eastAsia" w:ascii="宋体"/>
          <w:color w:val="auto"/>
          <w:sz w:val="24"/>
          <w:szCs w:val="24"/>
          <w:highlight w:val="none"/>
        </w:rPr>
        <w:t>响应</w:t>
      </w:r>
      <w:r>
        <w:rPr>
          <w:rFonts w:ascii="宋体"/>
          <w:color w:val="auto"/>
          <w:sz w:val="24"/>
          <w:szCs w:val="24"/>
          <w:highlight w:val="none"/>
        </w:rPr>
        <w:t>文件构成约束双方的合同。</w:t>
      </w:r>
    </w:p>
    <w:p w14:paraId="0E3D08BE">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4、本</w:t>
      </w:r>
      <w:r>
        <w:rPr>
          <w:rFonts w:hint="eastAsia" w:ascii="宋体"/>
          <w:color w:val="auto"/>
          <w:sz w:val="24"/>
          <w:szCs w:val="24"/>
          <w:highlight w:val="none"/>
        </w:rPr>
        <w:t>供应商</w:t>
      </w:r>
      <w:r>
        <w:rPr>
          <w:rFonts w:ascii="宋体"/>
          <w:color w:val="auto"/>
          <w:sz w:val="24"/>
          <w:szCs w:val="24"/>
          <w:highlight w:val="none"/>
        </w:rPr>
        <w:t>已详细审查全部</w:t>
      </w:r>
      <w:r>
        <w:rPr>
          <w:rFonts w:hint="eastAsia" w:ascii="宋体"/>
          <w:color w:val="auto"/>
          <w:sz w:val="24"/>
          <w:szCs w:val="24"/>
          <w:highlight w:val="none"/>
        </w:rPr>
        <w:t>采购</w:t>
      </w:r>
      <w:r>
        <w:rPr>
          <w:rFonts w:ascii="宋体"/>
          <w:color w:val="auto"/>
          <w:sz w:val="24"/>
          <w:szCs w:val="24"/>
          <w:highlight w:val="none"/>
        </w:rPr>
        <w:t>文件，包括修改文件以及全部参考资料和有关附件。我们完全理解并同意放弃对这方面有不明及误解的权利。</w:t>
      </w:r>
    </w:p>
    <w:p w14:paraId="33B53D43">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5、如果在</w:t>
      </w:r>
      <w:r>
        <w:rPr>
          <w:rFonts w:hint="eastAsia" w:ascii="宋体"/>
          <w:color w:val="auto"/>
          <w:sz w:val="24"/>
          <w:szCs w:val="24"/>
          <w:highlight w:val="none"/>
        </w:rPr>
        <w:t>采购响应</w:t>
      </w:r>
      <w:r>
        <w:rPr>
          <w:rFonts w:ascii="宋体"/>
          <w:color w:val="auto"/>
          <w:sz w:val="24"/>
          <w:szCs w:val="24"/>
          <w:highlight w:val="none"/>
        </w:rPr>
        <w:t>文件送达截止时间后，我们撤回</w:t>
      </w:r>
      <w:r>
        <w:rPr>
          <w:rFonts w:hint="eastAsia" w:ascii="宋体"/>
          <w:color w:val="auto"/>
          <w:sz w:val="24"/>
          <w:szCs w:val="24"/>
          <w:highlight w:val="none"/>
        </w:rPr>
        <w:t>报价</w:t>
      </w:r>
      <w:r>
        <w:rPr>
          <w:rFonts w:ascii="宋体"/>
          <w:color w:val="auto"/>
          <w:sz w:val="24"/>
          <w:szCs w:val="24"/>
          <w:highlight w:val="none"/>
        </w:rPr>
        <w:t>，则</w:t>
      </w:r>
      <w:r>
        <w:rPr>
          <w:rFonts w:hint="eastAsia" w:ascii="宋体"/>
          <w:color w:val="auto"/>
          <w:sz w:val="24"/>
          <w:szCs w:val="24"/>
          <w:highlight w:val="none"/>
        </w:rPr>
        <w:t>采购响应</w:t>
      </w:r>
      <w:r>
        <w:rPr>
          <w:rFonts w:ascii="宋体"/>
          <w:color w:val="auto"/>
          <w:sz w:val="24"/>
          <w:szCs w:val="24"/>
          <w:highlight w:val="none"/>
        </w:rPr>
        <w:t>保证金</w:t>
      </w:r>
      <w:r>
        <w:rPr>
          <w:rFonts w:hint="eastAsia" w:ascii="宋体"/>
          <w:color w:val="auto"/>
          <w:sz w:val="24"/>
          <w:szCs w:val="24"/>
          <w:highlight w:val="none"/>
        </w:rPr>
        <w:t>采购</w:t>
      </w:r>
      <w:r>
        <w:rPr>
          <w:rFonts w:ascii="宋体"/>
          <w:color w:val="auto"/>
          <w:sz w:val="24"/>
          <w:szCs w:val="24"/>
          <w:highlight w:val="none"/>
        </w:rPr>
        <w:t>人不予返还。</w:t>
      </w:r>
    </w:p>
    <w:p w14:paraId="3A18A48F">
      <w:pPr>
        <w:spacing w:line="440" w:lineRule="exact"/>
        <w:ind w:firstLine="480" w:firstLineChars="200"/>
        <w:jc w:val="both"/>
        <w:rPr>
          <w:rFonts w:ascii="宋体"/>
          <w:color w:val="auto"/>
          <w:sz w:val="24"/>
          <w:szCs w:val="24"/>
          <w:highlight w:val="none"/>
        </w:rPr>
      </w:pPr>
      <w:r>
        <w:rPr>
          <w:rFonts w:ascii="宋体"/>
          <w:color w:val="auto"/>
          <w:sz w:val="24"/>
          <w:szCs w:val="24"/>
          <w:highlight w:val="none"/>
        </w:rPr>
        <w:t>6、本</w:t>
      </w:r>
      <w:r>
        <w:rPr>
          <w:rFonts w:hint="eastAsia" w:ascii="宋体"/>
          <w:color w:val="auto"/>
          <w:sz w:val="24"/>
          <w:szCs w:val="24"/>
          <w:highlight w:val="none"/>
        </w:rPr>
        <w:t>供应商</w:t>
      </w:r>
      <w:r>
        <w:rPr>
          <w:rFonts w:ascii="宋体"/>
          <w:color w:val="auto"/>
          <w:sz w:val="24"/>
          <w:szCs w:val="24"/>
          <w:highlight w:val="none"/>
        </w:rPr>
        <w:t>同意提供按照</w:t>
      </w:r>
      <w:r>
        <w:rPr>
          <w:rFonts w:hint="eastAsia" w:ascii="宋体"/>
          <w:color w:val="auto"/>
          <w:sz w:val="24"/>
          <w:szCs w:val="24"/>
          <w:highlight w:val="none"/>
        </w:rPr>
        <w:t>采购方</w:t>
      </w:r>
      <w:r>
        <w:rPr>
          <w:rFonts w:ascii="宋体"/>
          <w:color w:val="auto"/>
          <w:sz w:val="24"/>
          <w:szCs w:val="24"/>
          <w:highlight w:val="none"/>
        </w:rPr>
        <w:t>可能要求的与本</w:t>
      </w:r>
      <w:r>
        <w:rPr>
          <w:rFonts w:hint="eastAsia" w:ascii="宋体"/>
          <w:color w:val="auto"/>
          <w:sz w:val="24"/>
          <w:szCs w:val="24"/>
          <w:highlight w:val="none"/>
        </w:rPr>
        <w:t>采购</w:t>
      </w:r>
      <w:r>
        <w:rPr>
          <w:rFonts w:ascii="宋体"/>
          <w:color w:val="auto"/>
          <w:sz w:val="24"/>
          <w:szCs w:val="24"/>
          <w:highlight w:val="none"/>
        </w:rPr>
        <w:t>有关的一切数据或资料，完全理解</w:t>
      </w:r>
      <w:r>
        <w:rPr>
          <w:rFonts w:hint="eastAsia" w:ascii="宋体"/>
          <w:color w:val="auto"/>
          <w:sz w:val="24"/>
          <w:szCs w:val="24"/>
          <w:highlight w:val="none"/>
        </w:rPr>
        <w:t>采购方</w:t>
      </w:r>
      <w:r>
        <w:rPr>
          <w:rFonts w:ascii="宋体"/>
          <w:color w:val="auto"/>
          <w:sz w:val="24"/>
          <w:szCs w:val="24"/>
          <w:highlight w:val="none"/>
        </w:rPr>
        <w:t>拒绝迟到的任何</w:t>
      </w:r>
      <w:r>
        <w:rPr>
          <w:rFonts w:hint="eastAsia" w:ascii="宋体"/>
          <w:color w:val="auto"/>
          <w:sz w:val="24"/>
          <w:szCs w:val="24"/>
          <w:highlight w:val="none"/>
        </w:rPr>
        <w:t>报价</w:t>
      </w:r>
      <w:r>
        <w:rPr>
          <w:rFonts w:ascii="宋体"/>
          <w:color w:val="auto"/>
          <w:sz w:val="24"/>
          <w:szCs w:val="24"/>
          <w:highlight w:val="none"/>
        </w:rPr>
        <w:t>和最低报价不是被授予合同的唯一条件</w:t>
      </w:r>
      <w:r>
        <w:rPr>
          <w:rFonts w:hint="eastAsia" w:ascii="宋体"/>
          <w:color w:val="auto"/>
          <w:sz w:val="24"/>
          <w:szCs w:val="24"/>
          <w:highlight w:val="none"/>
        </w:rPr>
        <w:t>，并不要求对不成交原因做出解释。</w:t>
      </w:r>
    </w:p>
    <w:p w14:paraId="75DE88E2">
      <w:pPr>
        <w:spacing w:line="400" w:lineRule="exact"/>
        <w:ind w:firstLine="480" w:firstLineChars="200"/>
        <w:jc w:val="both"/>
        <w:rPr>
          <w:rFonts w:ascii="宋体"/>
          <w:color w:val="auto"/>
          <w:sz w:val="24"/>
          <w:szCs w:val="24"/>
          <w:highlight w:val="none"/>
        </w:rPr>
      </w:pPr>
    </w:p>
    <w:p w14:paraId="07686D31">
      <w:pPr>
        <w:spacing w:line="400" w:lineRule="exact"/>
        <w:ind w:firstLine="480" w:firstLineChars="200"/>
        <w:jc w:val="both"/>
        <w:rPr>
          <w:rFonts w:ascii="宋体"/>
          <w:color w:val="auto"/>
          <w:sz w:val="24"/>
          <w:szCs w:val="24"/>
          <w:highlight w:val="none"/>
        </w:rPr>
      </w:pPr>
    </w:p>
    <w:p w14:paraId="4BFC3B28">
      <w:pPr>
        <w:spacing w:line="400" w:lineRule="exact"/>
        <w:ind w:firstLine="480" w:firstLineChars="200"/>
        <w:jc w:val="both"/>
        <w:rPr>
          <w:rFonts w:ascii="宋体"/>
          <w:color w:val="auto"/>
          <w:sz w:val="24"/>
          <w:szCs w:val="24"/>
          <w:highlight w:val="none"/>
        </w:rPr>
      </w:pPr>
    </w:p>
    <w:p w14:paraId="2F00E382">
      <w:pPr>
        <w:spacing w:line="400" w:lineRule="exact"/>
        <w:jc w:val="both"/>
        <w:rPr>
          <w:rFonts w:ascii="宋体"/>
          <w:color w:val="auto"/>
          <w:sz w:val="24"/>
          <w:szCs w:val="24"/>
          <w:highlight w:val="none"/>
        </w:rPr>
      </w:pPr>
      <w:r>
        <w:rPr>
          <w:rFonts w:hint="eastAsia" w:ascii="宋体"/>
          <w:color w:val="auto"/>
          <w:sz w:val="24"/>
          <w:szCs w:val="24"/>
          <w:highlight w:val="none"/>
        </w:rPr>
        <w:t>供应商</w:t>
      </w:r>
      <w:r>
        <w:rPr>
          <w:rFonts w:ascii="宋体"/>
          <w:color w:val="auto"/>
          <w:sz w:val="24"/>
          <w:szCs w:val="24"/>
          <w:highlight w:val="none"/>
        </w:rPr>
        <w:t>（盖章）：</w:t>
      </w:r>
      <w:r>
        <w:rPr>
          <w:rFonts w:hint="eastAsia" w:ascii="宋体"/>
          <w:color w:val="auto"/>
          <w:sz w:val="24"/>
          <w:szCs w:val="24"/>
          <w:highlight w:val="none"/>
        </w:rPr>
        <w:t xml:space="preserve">                   </w:t>
      </w:r>
      <w:r>
        <w:rPr>
          <w:rFonts w:ascii="宋体"/>
          <w:color w:val="auto"/>
          <w:sz w:val="24"/>
          <w:szCs w:val="24"/>
          <w:highlight w:val="none"/>
        </w:rPr>
        <w:t>     法定代表人签</w:t>
      </w:r>
      <w:r>
        <w:rPr>
          <w:rFonts w:hint="eastAsia" w:ascii="宋体"/>
          <w:color w:val="auto"/>
          <w:sz w:val="24"/>
          <w:szCs w:val="24"/>
          <w:highlight w:val="none"/>
        </w:rPr>
        <w:t>字</w:t>
      </w:r>
      <w:r>
        <w:rPr>
          <w:rFonts w:hint="eastAsia" w:ascii="宋体"/>
          <w:color w:val="auto"/>
          <w:sz w:val="24"/>
          <w:szCs w:val="24"/>
          <w:highlight w:val="none"/>
          <w:lang w:val="en-US" w:eastAsia="zh-CN"/>
        </w:rPr>
        <w:t>或印鉴</w:t>
      </w:r>
      <w:r>
        <w:rPr>
          <w:rFonts w:ascii="宋体"/>
          <w:color w:val="auto"/>
          <w:sz w:val="24"/>
          <w:szCs w:val="24"/>
          <w:highlight w:val="none"/>
        </w:rPr>
        <w:t>：</w:t>
      </w:r>
    </w:p>
    <w:p w14:paraId="29AEB978">
      <w:pPr>
        <w:spacing w:line="400" w:lineRule="exact"/>
        <w:jc w:val="both"/>
        <w:rPr>
          <w:rFonts w:ascii="宋体"/>
          <w:color w:val="auto"/>
          <w:sz w:val="24"/>
          <w:szCs w:val="24"/>
          <w:highlight w:val="none"/>
        </w:rPr>
      </w:pPr>
    </w:p>
    <w:p w14:paraId="39D9A3DB">
      <w:pPr>
        <w:spacing w:line="400" w:lineRule="exact"/>
        <w:jc w:val="both"/>
        <w:rPr>
          <w:rFonts w:ascii="宋体"/>
          <w:color w:val="auto"/>
          <w:sz w:val="24"/>
          <w:szCs w:val="24"/>
          <w:highlight w:val="none"/>
        </w:rPr>
      </w:pPr>
      <w:r>
        <w:rPr>
          <w:rFonts w:ascii="宋体"/>
          <w:color w:val="auto"/>
          <w:sz w:val="24"/>
          <w:szCs w:val="24"/>
          <w:highlight w:val="none"/>
        </w:rPr>
        <w:t> </w:t>
      </w:r>
    </w:p>
    <w:p w14:paraId="1186B333">
      <w:pPr>
        <w:spacing w:line="400" w:lineRule="exact"/>
        <w:ind w:firstLine="6240" w:firstLineChars="2600"/>
        <w:jc w:val="both"/>
        <w:rPr>
          <w:rFonts w:ascii="宋体"/>
          <w:color w:val="auto"/>
          <w:sz w:val="24"/>
          <w:szCs w:val="24"/>
          <w:highlight w:val="none"/>
        </w:rPr>
      </w:pPr>
      <w:r>
        <w:rPr>
          <w:rFonts w:ascii="宋体"/>
          <w:color w:val="auto"/>
          <w:sz w:val="24"/>
          <w:szCs w:val="24"/>
          <w:highlight w:val="none"/>
        </w:rPr>
        <w:t>日期：</w:t>
      </w:r>
    </w:p>
    <w:p w14:paraId="69EE4FF9">
      <w:pPr>
        <w:widowControl w:val="0"/>
        <w:spacing w:line="400" w:lineRule="exact"/>
        <w:ind w:left="306"/>
        <w:jc w:val="both"/>
        <w:rPr>
          <w:rFonts w:ascii="宋体"/>
          <w:b/>
          <w:color w:val="auto"/>
          <w:sz w:val="24"/>
          <w:szCs w:val="24"/>
          <w:highlight w:val="none"/>
        </w:rPr>
      </w:pPr>
      <w:bookmarkStart w:id="160" w:name="_Toc69321507"/>
      <w:bookmarkStart w:id="161" w:name="_Toc267389606"/>
      <w:bookmarkStart w:id="162" w:name="_Toc267398721"/>
      <w:bookmarkStart w:id="163" w:name="_Toc237354726"/>
      <w:bookmarkStart w:id="164" w:name="_Toc286842570"/>
      <w:bookmarkStart w:id="165" w:name="_Toc267398559"/>
      <w:bookmarkStart w:id="166" w:name="_Toc235710542"/>
      <w:bookmarkStart w:id="167" w:name="_Toc234036500"/>
      <w:bookmarkStart w:id="168" w:name="_Toc267398988"/>
      <w:r>
        <w:rPr>
          <w:rFonts w:ascii="宋体"/>
          <w:b/>
          <w:color w:val="auto"/>
          <w:sz w:val="24"/>
          <w:szCs w:val="24"/>
          <w:highlight w:val="none"/>
        </w:rPr>
        <w:br w:type="page"/>
      </w:r>
    </w:p>
    <w:p w14:paraId="0D910B15">
      <w:pPr>
        <w:pStyle w:val="4"/>
        <w:rPr>
          <w:color w:val="auto"/>
          <w:highlight w:val="none"/>
        </w:rPr>
      </w:pPr>
      <w:bookmarkStart w:id="169" w:name="_Toc26632"/>
      <w:bookmarkStart w:id="170" w:name="_Toc10184885"/>
      <w:bookmarkStart w:id="171" w:name="_Toc484699855"/>
      <w:bookmarkStart w:id="172" w:name="_Toc382509468"/>
      <w:bookmarkStart w:id="173" w:name="_Toc10122276"/>
      <w:bookmarkStart w:id="174" w:name="_Toc512354293"/>
      <w:r>
        <w:rPr>
          <w:rFonts w:hint="eastAsia"/>
          <w:color w:val="auto"/>
          <w:highlight w:val="none"/>
        </w:rPr>
        <w:t xml:space="preserve">格式二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color w:val="auto"/>
          <w:highlight w:val="none"/>
        </w:rPr>
        <w:t>报价一览表</w:t>
      </w:r>
    </w:p>
    <w:p w14:paraId="2FB58EA0">
      <w:pPr>
        <w:widowControl w:val="0"/>
        <w:spacing w:line="400" w:lineRule="exact"/>
        <w:ind w:left="306"/>
        <w:jc w:val="both"/>
        <w:rPr>
          <w:rFonts w:ascii="宋体"/>
          <w:b/>
          <w:bCs/>
          <w:color w:val="auto"/>
          <w:sz w:val="22"/>
          <w:szCs w:val="22"/>
          <w:highlight w:val="none"/>
        </w:rPr>
      </w:pPr>
      <w:r>
        <w:rPr>
          <w:rFonts w:hint="eastAsia" w:ascii="宋体"/>
          <w:b/>
          <w:bCs/>
          <w:color w:val="auto"/>
          <w:sz w:val="22"/>
          <w:szCs w:val="22"/>
          <w:highlight w:val="none"/>
        </w:rPr>
        <w:t>项目名称：                                        项目编号：</w:t>
      </w:r>
    </w:p>
    <w:tbl>
      <w:tblPr>
        <w:tblStyle w:val="29"/>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391"/>
        <w:gridCol w:w="1560"/>
      </w:tblGrid>
      <w:tr w14:paraId="06C1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14:paraId="691D5D5B">
            <w:pPr>
              <w:adjustRightInd w:val="0"/>
              <w:snapToGrid w:val="0"/>
              <w:spacing w:before="100" w:beforeAutospacing="1" w:after="100" w:afterAutospacing="1"/>
              <w:rPr>
                <w:rFonts w:ascii="宋体"/>
                <w:b/>
                <w:color w:val="auto"/>
                <w:szCs w:val="21"/>
                <w:highlight w:val="none"/>
              </w:rPr>
            </w:pPr>
            <w:bookmarkStart w:id="175" w:name="_Toc10184886"/>
            <w:bookmarkStart w:id="176" w:name="_Toc10122277"/>
            <w:bookmarkStart w:id="177" w:name="_Toc17685"/>
            <w:r>
              <w:rPr>
                <w:rFonts w:hint="eastAsia" w:ascii="宋体"/>
                <w:b/>
                <w:color w:val="auto"/>
                <w:szCs w:val="21"/>
                <w:highlight w:val="none"/>
              </w:rPr>
              <w:t>序号</w:t>
            </w:r>
          </w:p>
        </w:tc>
        <w:tc>
          <w:tcPr>
            <w:tcW w:w="2266" w:type="dxa"/>
            <w:tcBorders>
              <w:top w:val="single" w:color="auto" w:sz="4" w:space="0"/>
              <w:left w:val="single" w:color="auto" w:sz="4" w:space="0"/>
              <w:bottom w:val="single" w:color="auto" w:sz="4" w:space="0"/>
              <w:right w:val="single" w:color="auto" w:sz="4" w:space="0"/>
            </w:tcBorders>
            <w:vAlign w:val="center"/>
          </w:tcPr>
          <w:p w14:paraId="4A4820E1">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分项</w:t>
            </w:r>
          </w:p>
        </w:tc>
        <w:tc>
          <w:tcPr>
            <w:tcW w:w="4391" w:type="dxa"/>
            <w:tcBorders>
              <w:top w:val="single" w:color="auto" w:sz="4" w:space="0"/>
              <w:left w:val="single" w:color="auto" w:sz="4" w:space="0"/>
              <w:bottom w:val="single" w:color="auto" w:sz="4" w:space="0"/>
              <w:right w:val="single" w:color="auto" w:sz="4" w:space="0"/>
            </w:tcBorders>
            <w:vAlign w:val="center"/>
          </w:tcPr>
          <w:p w14:paraId="2013BB82">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报价内容</w:t>
            </w:r>
          </w:p>
        </w:tc>
        <w:tc>
          <w:tcPr>
            <w:tcW w:w="1560" w:type="dxa"/>
            <w:tcBorders>
              <w:top w:val="single" w:color="auto" w:sz="4" w:space="0"/>
              <w:left w:val="single" w:color="auto" w:sz="4" w:space="0"/>
              <w:bottom w:val="single" w:color="auto" w:sz="4" w:space="0"/>
              <w:right w:val="single" w:color="auto" w:sz="4" w:space="0"/>
            </w:tcBorders>
            <w:vAlign w:val="center"/>
          </w:tcPr>
          <w:p w14:paraId="5009A587">
            <w:pPr>
              <w:adjustRightInd w:val="0"/>
              <w:snapToGrid w:val="0"/>
              <w:spacing w:before="100" w:beforeAutospacing="1" w:after="100" w:afterAutospacing="1"/>
              <w:jc w:val="center"/>
              <w:rPr>
                <w:rFonts w:ascii="宋体"/>
                <w:b/>
                <w:color w:val="auto"/>
                <w:szCs w:val="21"/>
                <w:highlight w:val="none"/>
              </w:rPr>
            </w:pPr>
            <w:r>
              <w:rPr>
                <w:rFonts w:hint="eastAsia" w:ascii="宋体"/>
                <w:b/>
                <w:color w:val="auto"/>
                <w:szCs w:val="21"/>
                <w:highlight w:val="none"/>
              </w:rPr>
              <w:t>备注</w:t>
            </w:r>
          </w:p>
        </w:tc>
      </w:tr>
      <w:tr w14:paraId="55D1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49296F0D">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1</w:t>
            </w:r>
          </w:p>
        </w:tc>
        <w:tc>
          <w:tcPr>
            <w:tcW w:w="2266" w:type="dxa"/>
            <w:tcBorders>
              <w:top w:val="single" w:color="auto" w:sz="4" w:space="0"/>
              <w:left w:val="single" w:color="auto" w:sz="4" w:space="0"/>
              <w:bottom w:val="single" w:color="auto" w:sz="4" w:space="0"/>
              <w:right w:val="single" w:color="auto" w:sz="4" w:space="0"/>
            </w:tcBorders>
            <w:vAlign w:val="center"/>
          </w:tcPr>
          <w:p w14:paraId="60664C1E">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lang w:val="en-US" w:eastAsia="zh-CN"/>
              </w:rPr>
              <w:t>服务</w:t>
            </w:r>
            <w:r>
              <w:rPr>
                <w:rFonts w:hint="eastAsia" w:ascii="宋体"/>
                <w:b/>
                <w:color w:val="auto"/>
                <w:szCs w:val="21"/>
                <w:highlight w:val="none"/>
              </w:rPr>
              <w:t>名称</w:t>
            </w:r>
          </w:p>
        </w:tc>
        <w:tc>
          <w:tcPr>
            <w:tcW w:w="4391" w:type="dxa"/>
            <w:tcBorders>
              <w:top w:val="single" w:color="auto" w:sz="4" w:space="0"/>
              <w:left w:val="single" w:color="auto" w:sz="4" w:space="0"/>
              <w:bottom w:val="single" w:color="auto" w:sz="4" w:space="0"/>
              <w:right w:val="single" w:color="auto" w:sz="4" w:space="0"/>
            </w:tcBorders>
            <w:vAlign w:val="center"/>
          </w:tcPr>
          <w:p w14:paraId="7E574278">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239AE34">
            <w:pPr>
              <w:adjustRightInd w:val="0"/>
              <w:snapToGrid w:val="0"/>
              <w:spacing w:before="100" w:beforeAutospacing="1" w:after="100" w:afterAutospacing="1"/>
              <w:rPr>
                <w:rFonts w:ascii="宋体"/>
                <w:color w:val="auto"/>
                <w:szCs w:val="21"/>
                <w:highlight w:val="none"/>
              </w:rPr>
            </w:pPr>
          </w:p>
        </w:tc>
      </w:tr>
      <w:tr w14:paraId="3C39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45142F13">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2</w:t>
            </w:r>
          </w:p>
        </w:tc>
        <w:tc>
          <w:tcPr>
            <w:tcW w:w="2266" w:type="dxa"/>
            <w:tcBorders>
              <w:top w:val="single" w:color="auto" w:sz="4" w:space="0"/>
              <w:left w:val="single" w:color="auto" w:sz="4" w:space="0"/>
              <w:bottom w:val="single" w:color="auto" w:sz="4" w:space="0"/>
              <w:right w:val="single" w:color="auto" w:sz="4" w:space="0"/>
            </w:tcBorders>
            <w:vAlign w:val="center"/>
          </w:tcPr>
          <w:p w14:paraId="17843E1D">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报价总价（小写）</w:t>
            </w:r>
          </w:p>
        </w:tc>
        <w:tc>
          <w:tcPr>
            <w:tcW w:w="4391" w:type="dxa"/>
            <w:tcBorders>
              <w:top w:val="single" w:color="auto" w:sz="4" w:space="0"/>
              <w:left w:val="single" w:color="auto" w:sz="4" w:space="0"/>
              <w:bottom w:val="single" w:color="auto" w:sz="4" w:space="0"/>
              <w:right w:val="single" w:color="auto" w:sz="4" w:space="0"/>
            </w:tcBorders>
            <w:vAlign w:val="center"/>
          </w:tcPr>
          <w:p w14:paraId="20EBF324">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w:t>
            </w:r>
          </w:p>
        </w:tc>
        <w:tc>
          <w:tcPr>
            <w:tcW w:w="1560" w:type="dxa"/>
            <w:tcBorders>
              <w:top w:val="single" w:color="auto" w:sz="4" w:space="0"/>
              <w:left w:val="single" w:color="auto" w:sz="4" w:space="0"/>
              <w:bottom w:val="single" w:color="auto" w:sz="4" w:space="0"/>
              <w:right w:val="single" w:color="auto" w:sz="4" w:space="0"/>
            </w:tcBorders>
            <w:vAlign w:val="center"/>
          </w:tcPr>
          <w:p w14:paraId="3E1296F9">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单位：万元</w:t>
            </w:r>
          </w:p>
        </w:tc>
      </w:tr>
      <w:tr w14:paraId="1A4E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5BDAD0CC">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3</w:t>
            </w:r>
          </w:p>
        </w:tc>
        <w:tc>
          <w:tcPr>
            <w:tcW w:w="2266" w:type="dxa"/>
            <w:tcBorders>
              <w:top w:val="single" w:color="auto" w:sz="4" w:space="0"/>
              <w:left w:val="single" w:color="auto" w:sz="4" w:space="0"/>
              <w:bottom w:val="single" w:color="auto" w:sz="4" w:space="0"/>
              <w:right w:val="single" w:color="auto" w:sz="4" w:space="0"/>
            </w:tcBorders>
            <w:vAlign w:val="center"/>
          </w:tcPr>
          <w:p w14:paraId="7BE93B4F">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报价总价（大写）</w:t>
            </w:r>
          </w:p>
        </w:tc>
        <w:tc>
          <w:tcPr>
            <w:tcW w:w="4391" w:type="dxa"/>
            <w:tcBorders>
              <w:top w:val="single" w:color="auto" w:sz="4" w:space="0"/>
              <w:left w:val="single" w:color="auto" w:sz="4" w:space="0"/>
              <w:bottom w:val="single" w:color="auto" w:sz="4" w:space="0"/>
              <w:right w:val="single" w:color="auto" w:sz="4" w:space="0"/>
            </w:tcBorders>
            <w:vAlign w:val="center"/>
          </w:tcPr>
          <w:p w14:paraId="18C82735">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人民币     万元整</w:t>
            </w:r>
          </w:p>
        </w:tc>
        <w:tc>
          <w:tcPr>
            <w:tcW w:w="1560" w:type="dxa"/>
            <w:tcBorders>
              <w:top w:val="single" w:color="auto" w:sz="4" w:space="0"/>
              <w:left w:val="single" w:color="auto" w:sz="4" w:space="0"/>
              <w:bottom w:val="single" w:color="auto" w:sz="4" w:space="0"/>
              <w:right w:val="single" w:color="auto" w:sz="4" w:space="0"/>
            </w:tcBorders>
            <w:vAlign w:val="center"/>
          </w:tcPr>
          <w:p w14:paraId="0D0AFBE1">
            <w:pPr>
              <w:adjustRightInd w:val="0"/>
              <w:snapToGrid w:val="0"/>
              <w:spacing w:before="100" w:beforeAutospacing="1" w:after="100" w:afterAutospacing="1"/>
              <w:rPr>
                <w:rFonts w:ascii="宋体"/>
                <w:color w:val="auto"/>
                <w:szCs w:val="21"/>
                <w:highlight w:val="none"/>
              </w:rPr>
            </w:pPr>
          </w:p>
        </w:tc>
      </w:tr>
      <w:tr w14:paraId="327F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14:paraId="735827E5">
            <w:pPr>
              <w:adjustRightInd w:val="0"/>
              <w:snapToGrid w:val="0"/>
              <w:spacing w:before="100" w:beforeAutospacing="1" w:after="100" w:afterAutospacing="1"/>
              <w:jc w:val="center"/>
              <w:rPr>
                <w:rFonts w:ascii="宋体"/>
                <w:color w:val="auto"/>
                <w:szCs w:val="21"/>
                <w:highlight w:val="none"/>
              </w:rPr>
            </w:pPr>
            <w:r>
              <w:rPr>
                <w:rFonts w:hint="eastAsia" w:ascii="宋体"/>
                <w:color w:val="auto"/>
                <w:szCs w:val="21"/>
                <w:highlight w:val="none"/>
              </w:rPr>
              <w:t>4</w:t>
            </w:r>
          </w:p>
        </w:tc>
        <w:tc>
          <w:tcPr>
            <w:tcW w:w="2266" w:type="dxa"/>
            <w:tcBorders>
              <w:top w:val="single" w:color="auto" w:sz="4" w:space="0"/>
              <w:left w:val="single" w:color="auto" w:sz="4" w:space="0"/>
              <w:bottom w:val="single" w:color="auto" w:sz="4" w:space="0"/>
              <w:right w:val="single" w:color="auto" w:sz="4" w:space="0"/>
            </w:tcBorders>
            <w:vAlign w:val="center"/>
          </w:tcPr>
          <w:p w14:paraId="3CBE0FCF">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交货期</w:t>
            </w:r>
          </w:p>
        </w:tc>
        <w:tc>
          <w:tcPr>
            <w:tcW w:w="4391" w:type="dxa"/>
            <w:tcBorders>
              <w:top w:val="single" w:color="auto" w:sz="4" w:space="0"/>
              <w:left w:val="single" w:color="auto" w:sz="4" w:space="0"/>
              <w:bottom w:val="single" w:color="auto" w:sz="4" w:space="0"/>
              <w:right w:val="single" w:color="auto" w:sz="4" w:space="0"/>
            </w:tcBorders>
            <w:vAlign w:val="center"/>
          </w:tcPr>
          <w:p w14:paraId="22342F3C">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CD7FFE">
            <w:pPr>
              <w:adjustRightInd w:val="0"/>
              <w:snapToGrid w:val="0"/>
              <w:spacing w:before="100" w:beforeAutospacing="1" w:after="100" w:afterAutospacing="1"/>
              <w:rPr>
                <w:rFonts w:ascii="宋体"/>
                <w:color w:val="auto"/>
                <w:szCs w:val="21"/>
                <w:highlight w:val="none"/>
              </w:rPr>
            </w:pPr>
          </w:p>
        </w:tc>
      </w:tr>
      <w:tr w14:paraId="71B9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tcBorders>
              <w:top w:val="single" w:color="auto" w:sz="4" w:space="0"/>
              <w:left w:val="single" w:color="auto" w:sz="4" w:space="0"/>
              <w:bottom w:val="single" w:color="auto" w:sz="4" w:space="0"/>
              <w:right w:val="single" w:color="auto" w:sz="4" w:space="0"/>
            </w:tcBorders>
            <w:vAlign w:val="center"/>
          </w:tcPr>
          <w:p w14:paraId="642604C7">
            <w:pPr>
              <w:adjustRightInd w:val="0"/>
              <w:snapToGrid w:val="0"/>
              <w:spacing w:before="100" w:beforeAutospacing="1" w:after="100" w:afterAutospacing="1"/>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5</w:t>
            </w:r>
          </w:p>
        </w:tc>
        <w:tc>
          <w:tcPr>
            <w:tcW w:w="2266" w:type="dxa"/>
            <w:tcBorders>
              <w:top w:val="single" w:color="auto" w:sz="4" w:space="0"/>
              <w:left w:val="single" w:color="auto" w:sz="4" w:space="0"/>
              <w:bottom w:val="single" w:color="auto" w:sz="4" w:space="0"/>
              <w:right w:val="single" w:color="auto" w:sz="4" w:space="0"/>
            </w:tcBorders>
            <w:vAlign w:val="center"/>
          </w:tcPr>
          <w:p w14:paraId="252E0317">
            <w:pPr>
              <w:adjustRightInd w:val="0"/>
              <w:snapToGrid w:val="0"/>
              <w:spacing w:before="100" w:beforeAutospacing="1" w:after="100" w:afterAutospacing="1"/>
              <w:rPr>
                <w:rFonts w:ascii="宋体"/>
                <w:b/>
                <w:color w:val="auto"/>
                <w:szCs w:val="21"/>
                <w:highlight w:val="none"/>
              </w:rPr>
            </w:pPr>
            <w:r>
              <w:rPr>
                <w:rFonts w:hint="eastAsia" w:ascii="宋体"/>
                <w:b/>
                <w:color w:val="auto"/>
                <w:szCs w:val="21"/>
                <w:highlight w:val="none"/>
              </w:rPr>
              <w:t>报价声明</w:t>
            </w:r>
          </w:p>
        </w:tc>
        <w:tc>
          <w:tcPr>
            <w:tcW w:w="4391" w:type="dxa"/>
            <w:tcBorders>
              <w:top w:val="single" w:color="auto" w:sz="4" w:space="0"/>
              <w:left w:val="single" w:color="auto" w:sz="4" w:space="0"/>
              <w:bottom w:val="single" w:color="auto" w:sz="4" w:space="0"/>
              <w:right w:val="single" w:color="auto" w:sz="4" w:space="0"/>
            </w:tcBorders>
            <w:vAlign w:val="center"/>
          </w:tcPr>
          <w:p w14:paraId="07DF3441">
            <w:pPr>
              <w:adjustRightInd w:val="0"/>
              <w:snapToGrid w:val="0"/>
              <w:spacing w:before="100" w:beforeAutospacing="1" w:after="100" w:afterAutospacing="1"/>
              <w:rPr>
                <w:rFonts w:ascii="宋体"/>
                <w:color w:val="auto"/>
                <w:szCs w:val="21"/>
                <w:highlight w:val="none"/>
              </w:rPr>
            </w:pPr>
          </w:p>
          <w:p w14:paraId="7023D04A">
            <w:pPr>
              <w:adjustRightInd w:val="0"/>
              <w:snapToGrid w:val="0"/>
              <w:spacing w:before="100" w:beforeAutospacing="1" w:after="100" w:afterAutospacing="1"/>
              <w:rPr>
                <w:rFonts w:asci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4D3689">
            <w:pPr>
              <w:adjustRightInd w:val="0"/>
              <w:snapToGrid w:val="0"/>
              <w:spacing w:before="100" w:beforeAutospacing="1" w:after="100" w:afterAutospacing="1"/>
              <w:rPr>
                <w:rFonts w:ascii="宋体"/>
                <w:color w:val="auto"/>
                <w:szCs w:val="21"/>
                <w:highlight w:val="none"/>
              </w:rPr>
            </w:pPr>
          </w:p>
        </w:tc>
      </w:tr>
      <w:tr w14:paraId="7762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14:paraId="1371C4A0">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授权代表签字</w:t>
            </w:r>
            <w:r>
              <w:rPr>
                <w:rFonts w:hint="eastAsia" w:ascii="宋体"/>
                <w:color w:val="auto"/>
                <w:szCs w:val="21"/>
                <w:highlight w:val="none"/>
                <w:lang w:val="en-US" w:eastAsia="zh-CN"/>
              </w:rPr>
              <w:t>或印鉴</w:t>
            </w:r>
            <w:r>
              <w:rPr>
                <w:rFonts w:hint="eastAsia" w:ascii="宋体"/>
                <w:color w:val="auto"/>
                <w:szCs w:val="21"/>
                <w:highlight w:val="none"/>
              </w:rPr>
              <w:t xml:space="preserve">：                      日期：   </w:t>
            </w:r>
            <w:r>
              <w:rPr>
                <w:rFonts w:hint="eastAsia" w:ascii="宋体"/>
                <w:color w:val="auto"/>
                <w:szCs w:val="21"/>
                <w:highlight w:val="none"/>
                <w:lang w:val="en-US" w:eastAsia="zh-CN"/>
              </w:rPr>
              <w:t xml:space="preserve">     </w:t>
            </w:r>
            <w:r>
              <w:rPr>
                <w:rFonts w:hint="eastAsia" w:ascii="宋体"/>
                <w:color w:val="auto"/>
                <w:szCs w:val="21"/>
                <w:highlight w:val="none"/>
              </w:rPr>
              <w:t>年  月  日</w:t>
            </w:r>
          </w:p>
          <w:p w14:paraId="762FD3B5">
            <w:pPr>
              <w:adjustRightInd w:val="0"/>
              <w:snapToGrid w:val="0"/>
              <w:spacing w:before="100" w:beforeAutospacing="1" w:after="100" w:afterAutospacing="1"/>
              <w:rPr>
                <w:rFonts w:ascii="宋体"/>
                <w:color w:val="auto"/>
                <w:szCs w:val="21"/>
                <w:highlight w:val="none"/>
              </w:rPr>
            </w:pPr>
          </w:p>
        </w:tc>
      </w:tr>
      <w:tr w14:paraId="09BA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14:paraId="6109468C">
            <w:pPr>
              <w:adjustRightInd w:val="0"/>
              <w:snapToGrid w:val="0"/>
              <w:spacing w:before="100" w:beforeAutospacing="1" w:after="100" w:afterAutospacing="1"/>
              <w:rPr>
                <w:rFonts w:ascii="宋体"/>
                <w:color w:val="auto"/>
                <w:szCs w:val="21"/>
                <w:highlight w:val="none"/>
              </w:rPr>
            </w:pPr>
            <w:r>
              <w:rPr>
                <w:rFonts w:hint="eastAsia" w:ascii="宋体"/>
                <w:color w:val="auto"/>
                <w:szCs w:val="21"/>
                <w:highlight w:val="none"/>
              </w:rPr>
              <w:t xml:space="preserve">报价单位（盖章）：                 </w:t>
            </w:r>
          </w:p>
          <w:p w14:paraId="60E40E6B">
            <w:pPr>
              <w:adjustRightInd w:val="0"/>
              <w:snapToGrid w:val="0"/>
              <w:spacing w:before="100" w:beforeAutospacing="1" w:after="100" w:afterAutospacing="1"/>
              <w:rPr>
                <w:rFonts w:ascii="宋体"/>
                <w:color w:val="auto"/>
                <w:szCs w:val="21"/>
                <w:highlight w:val="none"/>
              </w:rPr>
            </w:pPr>
          </w:p>
        </w:tc>
      </w:tr>
      <w:tr w14:paraId="71C0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2" w:type="dxa"/>
            <w:gridSpan w:val="4"/>
            <w:tcBorders>
              <w:top w:val="single" w:color="auto" w:sz="4" w:space="0"/>
              <w:left w:val="single" w:color="auto" w:sz="4" w:space="0"/>
              <w:bottom w:val="single" w:color="auto" w:sz="4" w:space="0"/>
              <w:right w:val="single" w:color="auto" w:sz="4" w:space="0"/>
            </w:tcBorders>
            <w:vAlign w:val="center"/>
          </w:tcPr>
          <w:p w14:paraId="37923598">
            <w:pPr>
              <w:adjustRightInd w:val="0"/>
              <w:snapToGrid w:val="0"/>
              <w:spacing w:before="20" w:after="20"/>
              <w:rPr>
                <w:rFonts w:ascii="宋体"/>
                <w:b/>
                <w:color w:val="auto"/>
                <w:szCs w:val="21"/>
                <w:highlight w:val="none"/>
              </w:rPr>
            </w:pPr>
            <w:r>
              <w:rPr>
                <w:rFonts w:hint="eastAsia" w:ascii="宋体"/>
                <w:b/>
                <w:color w:val="auto"/>
                <w:szCs w:val="21"/>
                <w:highlight w:val="none"/>
              </w:rPr>
              <w:t>备注：</w:t>
            </w:r>
          </w:p>
          <w:p w14:paraId="1E494869">
            <w:pPr>
              <w:adjustRightInd w:val="0"/>
              <w:snapToGrid w:val="0"/>
              <w:spacing w:before="20" w:after="20"/>
              <w:rPr>
                <w:rFonts w:ascii="宋体"/>
                <w:b/>
                <w:color w:val="auto"/>
                <w:szCs w:val="21"/>
                <w:highlight w:val="none"/>
              </w:rPr>
            </w:pPr>
            <w:r>
              <w:rPr>
                <w:rFonts w:hint="eastAsia" w:ascii="宋体"/>
                <w:b/>
                <w:color w:val="auto"/>
                <w:szCs w:val="21"/>
                <w:highlight w:val="none"/>
              </w:rPr>
              <w:t xml:space="preserve">      报价为</w:t>
            </w:r>
            <w:r>
              <w:rPr>
                <w:rFonts w:hint="eastAsia" w:ascii="宋体"/>
                <w:b/>
                <w:color w:val="auto"/>
                <w:szCs w:val="21"/>
                <w:highlight w:val="none"/>
                <w:u w:val="single"/>
              </w:rPr>
              <w:t>目的地交货含税价格</w:t>
            </w:r>
            <w:r>
              <w:rPr>
                <w:rFonts w:hint="eastAsia" w:ascii="宋体"/>
                <w:b/>
                <w:color w:val="auto"/>
                <w:szCs w:val="21"/>
                <w:highlight w:val="none"/>
              </w:rPr>
              <w:t>；</w:t>
            </w:r>
          </w:p>
          <w:p w14:paraId="407DB2C4">
            <w:pPr>
              <w:adjustRightInd w:val="0"/>
              <w:snapToGrid w:val="0"/>
              <w:spacing w:before="20" w:after="20"/>
              <w:ind w:firstLine="720" w:firstLineChars="300"/>
              <w:rPr>
                <w:rFonts w:ascii="宋体"/>
                <w:color w:val="auto"/>
                <w:sz w:val="24"/>
                <w:highlight w:val="none"/>
              </w:rPr>
            </w:pPr>
          </w:p>
        </w:tc>
      </w:tr>
    </w:tbl>
    <w:p w14:paraId="7561C434">
      <w:pPr>
        <w:tabs>
          <w:tab w:val="center" w:pos="4535"/>
          <w:tab w:val="left" w:pos="5840"/>
        </w:tabs>
        <w:spacing w:line="360" w:lineRule="auto"/>
        <w:jc w:val="both"/>
        <w:rPr>
          <w:rStyle w:val="42"/>
          <w:color w:val="auto"/>
          <w:highlight w:val="none"/>
        </w:rPr>
      </w:pPr>
    </w:p>
    <w:p w14:paraId="13826685">
      <w:pPr>
        <w:tabs>
          <w:tab w:val="center" w:pos="4535"/>
          <w:tab w:val="left" w:pos="5840"/>
        </w:tabs>
        <w:spacing w:line="360" w:lineRule="auto"/>
        <w:jc w:val="both"/>
        <w:rPr>
          <w:rStyle w:val="42"/>
          <w:color w:val="auto"/>
          <w:highlight w:val="none"/>
        </w:rPr>
      </w:pPr>
    </w:p>
    <w:p w14:paraId="6D9BAE55">
      <w:pPr>
        <w:widowControl w:val="0"/>
        <w:spacing w:line="400" w:lineRule="exact"/>
        <w:ind w:left="306"/>
        <w:jc w:val="both"/>
        <w:rPr>
          <w:rFonts w:ascii="宋体"/>
          <w:b/>
          <w:color w:val="auto"/>
          <w:sz w:val="24"/>
          <w:szCs w:val="24"/>
          <w:highlight w:val="none"/>
        </w:rPr>
      </w:pPr>
      <w:r>
        <w:rPr>
          <w:rFonts w:ascii="宋体"/>
          <w:b/>
          <w:color w:val="auto"/>
          <w:sz w:val="24"/>
          <w:szCs w:val="24"/>
          <w:highlight w:val="none"/>
        </w:rPr>
        <w:br w:type="page"/>
      </w:r>
    </w:p>
    <w:p w14:paraId="0A85A178">
      <w:pPr>
        <w:tabs>
          <w:tab w:val="center" w:pos="4535"/>
          <w:tab w:val="left" w:pos="5840"/>
        </w:tabs>
        <w:spacing w:line="360" w:lineRule="auto"/>
        <w:ind w:firstLine="321" w:firstLineChars="100"/>
        <w:jc w:val="both"/>
        <w:outlineLvl w:val="1"/>
        <w:rPr>
          <w:rStyle w:val="42"/>
          <w:color w:val="auto"/>
          <w:highlight w:val="none"/>
        </w:rPr>
      </w:pPr>
      <w:r>
        <w:rPr>
          <w:rStyle w:val="42"/>
          <w:rFonts w:hint="eastAsia"/>
          <w:color w:val="auto"/>
          <w:highlight w:val="none"/>
        </w:rPr>
        <w:t xml:space="preserve">格式三              分项报价表 </w:t>
      </w:r>
      <w:r>
        <w:rPr>
          <w:rStyle w:val="42"/>
          <w:rFonts w:hint="eastAsia"/>
          <w:color w:val="auto"/>
          <w:highlight w:val="none"/>
          <w:lang w:eastAsia="zh-CN"/>
        </w:rPr>
        <w:t>（</w:t>
      </w:r>
      <w:r>
        <w:rPr>
          <w:rStyle w:val="42"/>
          <w:rFonts w:hint="eastAsia"/>
          <w:color w:val="auto"/>
          <w:highlight w:val="none"/>
          <w:lang w:val="en-US" w:eastAsia="zh-CN"/>
        </w:rPr>
        <w:t>格式可自拟</w:t>
      </w:r>
      <w:r>
        <w:rPr>
          <w:rStyle w:val="42"/>
          <w:rFonts w:hint="eastAsia"/>
          <w:color w:val="auto"/>
          <w:highlight w:val="none"/>
          <w:lang w:eastAsia="zh-CN"/>
        </w:rPr>
        <w:t>）</w:t>
      </w:r>
      <w:r>
        <w:rPr>
          <w:rStyle w:val="42"/>
          <w:rFonts w:hint="eastAsia"/>
          <w:color w:val="auto"/>
          <w:highlight w:val="none"/>
        </w:rPr>
        <w:t xml:space="preserve">                            </w:t>
      </w:r>
    </w:p>
    <w:p w14:paraId="40B46E93">
      <w:pPr>
        <w:rPr>
          <w:rFonts w:ascii="宋体"/>
          <w:b/>
          <w:color w:val="auto"/>
          <w:sz w:val="24"/>
          <w:highlight w:val="none"/>
        </w:rPr>
      </w:pPr>
      <w:r>
        <w:rPr>
          <w:rFonts w:hint="eastAsia" w:ascii="宋体"/>
          <w:b/>
          <w:color w:val="auto"/>
          <w:sz w:val="24"/>
          <w:highlight w:val="none"/>
          <w:lang w:eastAsia="zh-CN"/>
        </w:rPr>
        <w:t>供应商</w:t>
      </w:r>
      <w:r>
        <w:rPr>
          <w:rFonts w:hint="eastAsia" w:ascii="宋体"/>
          <w:b/>
          <w:color w:val="auto"/>
          <w:sz w:val="24"/>
          <w:highlight w:val="none"/>
        </w:rPr>
        <w:t xml:space="preserve">名称：            采购编号：                    </w:t>
      </w:r>
    </w:p>
    <w:tbl>
      <w:tblPr>
        <w:tblStyle w:val="2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0"/>
        <w:gridCol w:w="3342"/>
        <w:gridCol w:w="516"/>
        <w:gridCol w:w="512"/>
        <w:gridCol w:w="722"/>
        <w:gridCol w:w="868"/>
        <w:gridCol w:w="1388"/>
      </w:tblGrid>
      <w:tr w14:paraId="3B5B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12EF2AFA">
            <w:pPr>
              <w:jc w:val="center"/>
              <w:rPr>
                <w:rFonts w:ascii="宋体"/>
                <w:b/>
                <w:color w:val="auto"/>
                <w:szCs w:val="21"/>
                <w:highlight w:val="none"/>
              </w:rPr>
            </w:pPr>
            <w:r>
              <w:rPr>
                <w:rFonts w:hint="eastAsia" w:ascii="宋体"/>
                <w:b/>
                <w:color w:val="auto"/>
                <w:szCs w:val="21"/>
                <w:highlight w:val="none"/>
              </w:rPr>
              <w:t>序号</w:t>
            </w:r>
          </w:p>
        </w:tc>
        <w:tc>
          <w:tcPr>
            <w:tcW w:w="1550" w:type="dxa"/>
            <w:tcBorders>
              <w:top w:val="single" w:color="auto" w:sz="4" w:space="0"/>
              <w:left w:val="single" w:color="auto" w:sz="4" w:space="0"/>
              <w:bottom w:val="single" w:color="auto" w:sz="4" w:space="0"/>
              <w:right w:val="single" w:color="auto" w:sz="4" w:space="0"/>
            </w:tcBorders>
            <w:vAlign w:val="center"/>
          </w:tcPr>
          <w:p w14:paraId="6F82E031">
            <w:pPr>
              <w:jc w:val="center"/>
              <w:rPr>
                <w:rFonts w:ascii="宋体"/>
                <w:b/>
                <w:color w:val="auto"/>
                <w:szCs w:val="21"/>
                <w:highlight w:val="none"/>
              </w:rPr>
            </w:pPr>
            <w:r>
              <w:rPr>
                <w:rFonts w:hint="eastAsia" w:ascii="宋体"/>
                <w:b/>
                <w:color w:val="auto"/>
                <w:szCs w:val="21"/>
                <w:highlight w:val="none"/>
              </w:rPr>
              <w:t>货物名称</w:t>
            </w:r>
          </w:p>
        </w:tc>
        <w:tc>
          <w:tcPr>
            <w:tcW w:w="3342" w:type="dxa"/>
            <w:tcBorders>
              <w:top w:val="single" w:color="auto" w:sz="4" w:space="0"/>
              <w:left w:val="single" w:color="auto" w:sz="4" w:space="0"/>
              <w:bottom w:val="single" w:color="auto" w:sz="4" w:space="0"/>
              <w:right w:val="single" w:color="auto" w:sz="4" w:space="0"/>
            </w:tcBorders>
            <w:vAlign w:val="center"/>
          </w:tcPr>
          <w:p w14:paraId="558E1FC5">
            <w:pPr>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规格型号</w:t>
            </w:r>
          </w:p>
        </w:tc>
        <w:tc>
          <w:tcPr>
            <w:tcW w:w="516" w:type="dxa"/>
            <w:tcBorders>
              <w:top w:val="single" w:color="auto" w:sz="4" w:space="0"/>
              <w:left w:val="single" w:color="auto" w:sz="4" w:space="0"/>
              <w:bottom w:val="single" w:color="auto" w:sz="4" w:space="0"/>
              <w:right w:val="single" w:color="auto" w:sz="4" w:space="0"/>
            </w:tcBorders>
            <w:vAlign w:val="center"/>
          </w:tcPr>
          <w:p w14:paraId="1ACE9201">
            <w:pPr>
              <w:jc w:val="center"/>
              <w:rPr>
                <w:rFonts w:hint="eastAsia" w:ascii="宋体" w:eastAsia="宋体"/>
                <w:b/>
                <w:color w:val="auto"/>
                <w:szCs w:val="21"/>
                <w:highlight w:val="none"/>
                <w:lang w:val="en-US" w:eastAsia="zh-CN"/>
              </w:rPr>
            </w:pPr>
            <w:r>
              <w:rPr>
                <w:rFonts w:hint="eastAsia" w:ascii="宋体"/>
                <w:b/>
                <w:color w:val="auto"/>
                <w:szCs w:val="21"/>
                <w:highlight w:val="none"/>
                <w:lang w:val="en-US" w:eastAsia="zh-CN"/>
              </w:rPr>
              <w:t>单位</w:t>
            </w:r>
          </w:p>
        </w:tc>
        <w:tc>
          <w:tcPr>
            <w:tcW w:w="512" w:type="dxa"/>
            <w:tcBorders>
              <w:top w:val="single" w:color="auto" w:sz="4" w:space="0"/>
              <w:left w:val="single" w:color="auto" w:sz="4" w:space="0"/>
              <w:bottom w:val="single" w:color="auto" w:sz="4" w:space="0"/>
              <w:right w:val="single" w:color="auto" w:sz="4" w:space="0"/>
            </w:tcBorders>
            <w:vAlign w:val="center"/>
          </w:tcPr>
          <w:p w14:paraId="5A8E7D23">
            <w:pPr>
              <w:jc w:val="center"/>
              <w:rPr>
                <w:rFonts w:hint="eastAsia" w:ascii="宋体" w:eastAsia="宋体"/>
                <w:b/>
                <w:color w:val="auto"/>
                <w:szCs w:val="21"/>
                <w:highlight w:val="none"/>
                <w:lang w:val="en-US" w:eastAsia="zh-CN"/>
              </w:rPr>
            </w:pPr>
            <w:r>
              <w:rPr>
                <w:rFonts w:hint="eastAsia" w:ascii="宋体"/>
                <w:b/>
                <w:color w:val="auto"/>
                <w:szCs w:val="21"/>
                <w:highlight w:val="none"/>
                <w:lang w:val="en-US" w:eastAsia="zh-CN"/>
              </w:rPr>
              <w:t>数量</w:t>
            </w:r>
          </w:p>
        </w:tc>
        <w:tc>
          <w:tcPr>
            <w:tcW w:w="722" w:type="dxa"/>
            <w:tcBorders>
              <w:top w:val="single" w:color="auto" w:sz="4" w:space="0"/>
              <w:left w:val="single" w:color="auto" w:sz="4" w:space="0"/>
              <w:bottom w:val="single" w:color="auto" w:sz="4" w:space="0"/>
              <w:right w:val="single" w:color="auto" w:sz="4" w:space="0"/>
            </w:tcBorders>
            <w:vAlign w:val="center"/>
          </w:tcPr>
          <w:p w14:paraId="3ED67EAC">
            <w:pPr>
              <w:jc w:val="center"/>
              <w:rPr>
                <w:rFonts w:ascii="宋体"/>
                <w:b/>
                <w:color w:val="auto"/>
                <w:szCs w:val="21"/>
                <w:highlight w:val="none"/>
              </w:rPr>
            </w:pPr>
            <w:r>
              <w:rPr>
                <w:rFonts w:hint="eastAsia" w:ascii="宋体"/>
                <w:b/>
                <w:color w:val="auto"/>
                <w:szCs w:val="21"/>
                <w:highlight w:val="none"/>
              </w:rPr>
              <w:t>单价(元)</w:t>
            </w:r>
          </w:p>
        </w:tc>
        <w:tc>
          <w:tcPr>
            <w:tcW w:w="868" w:type="dxa"/>
            <w:tcBorders>
              <w:top w:val="single" w:color="auto" w:sz="4" w:space="0"/>
              <w:left w:val="single" w:color="auto" w:sz="4" w:space="0"/>
              <w:bottom w:val="single" w:color="auto" w:sz="4" w:space="0"/>
              <w:right w:val="single" w:color="auto" w:sz="4" w:space="0"/>
            </w:tcBorders>
            <w:vAlign w:val="center"/>
          </w:tcPr>
          <w:p w14:paraId="6352E39A">
            <w:pPr>
              <w:jc w:val="center"/>
              <w:rPr>
                <w:rFonts w:ascii="宋体"/>
                <w:b/>
                <w:color w:val="auto"/>
                <w:szCs w:val="21"/>
                <w:highlight w:val="none"/>
              </w:rPr>
            </w:pPr>
            <w:r>
              <w:rPr>
                <w:rFonts w:hint="eastAsia" w:ascii="宋体"/>
                <w:b/>
                <w:color w:val="auto"/>
                <w:szCs w:val="21"/>
                <w:highlight w:val="none"/>
              </w:rPr>
              <w:t>总价(元)</w:t>
            </w:r>
          </w:p>
        </w:tc>
        <w:tc>
          <w:tcPr>
            <w:tcW w:w="1388" w:type="dxa"/>
            <w:tcBorders>
              <w:top w:val="single" w:color="auto" w:sz="4" w:space="0"/>
              <w:left w:val="single" w:color="auto" w:sz="4" w:space="0"/>
              <w:bottom w:val="single" w:color="auto" w:sz="4" w:space="0"/>
              <w:right w:val="single" w:color="auto" w:sz="4" w:space="0"/>
            </w:tcBorders>
            <w:vAlign w:val="center"/>
          </w:tcPr>
          <w:p w14:paraId="20C1B494">
            <w:pPr>
              <w:jc w:val="center"/>
              <w:rPr>
                <w:rFonts w:ascii="宋体"/>
                <w:b/>
                <w:color w:val="auto"/>
                <w:szCs w:val="21"/>
                <w:highlight w:val="none"/>
              </w:rPr>
            </w:pPr>
            <w:r>
              <w:rPr>
                <w:rFonts w:hint="eastAsia" w:ascii="宋体"/>
                <w:b/>
                <w:color w:val="auto"/>
                <w:szCs w:val="21"/>
                <w:highlight w:val="none"/>
              </w:rPr>
              <w:t>备注</w:t>
            </w:r>
          </w:p>
        </w:tc>
      </w:tr>
      <w:tr w14:paraId="7878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12417330">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w:t>
            </w:r>
          </w:p>
        </w:tc>
        <w:tc>
          <w:tcPr>
            <w:tcW w:w="1550" w:type="dxa"/>
            <w:tcBorders>
              <w:top w:val="single" w:color="auto" w:sz="4" w:space="0"/>
              <w:left w:val="single" w:color="auto" w:sz="4" w:space="0"/>
              <w:bottom w:val="single" w:color="auto" w:sz="4" w:space="0"/>
              <w:right w:val="single" w:color="auto" w:sz="4" w:space="0"/>
            </w:tcBorders>
            <w:vAlign w:val="center"/>
          </w:tcPr>
          <w:p w14:paraId="6110F686">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斗式液压清挖输送车</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（煤矿用清仓机）</w:t>
            </w:r>
          </w:p>
        </w:tc>
        <w:tc>
          <w:tcPr>
            <w:tcW w:w="3342" w:type="dxa"/>
            <w:tcBorders>
              <w:top w:val="single" w:color="auto" w:sz="4" w:space="0"/>
              <w:left w:val="single" w:color="auto" w:sz="4" w:space="0"/>
              <w:bottom w:val="single" w:color="auto" w:sz="4" w:space="0"/>
              <w:right w:val="single" w:color="auto" w:sz="4" w:space="0"/>
            </w:tcBorders>
            <w:vAlign w:val="center"/>
          </w:tcPr>
          <w:p w14:paraId="36FE9CBB">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输送流量：0m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/h～30m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/h；输送压力：0MPa～1.6MPa；集料螺旋上下行程：-100mm～+500mm；输送物料粒度：≤30mm；行走方式：</w:t>
            </w:r>
            <w:r>
              <w:rPr>
                <w:rFonts w:hint="eastAsia" w:ascii="Times New Roman" w:hAnsi="Times New Roman" w:eastAsia="宋体" w:cs="Times New Roman"/>
                <w:color w:val="auto"/>
                <w:sz w:val="21"/>
                <w:szCs w:val="21"/>
                <w:highlight w:val="none"/>
                <w:lang w:val="en-US" w:eastAsia="zh-CN"/>
              </w:rPr>
              <w:t>液压钢制履带</w:t>
            </w:r>
            <w:r>
              <w:rPr>
                <w:rFonts w:hint="default" w:ascii="Times New Roman" w:hAnsi="Times New Roman" w:eastAsia="宋体" w:cs="Times New Roman"/>
                <w:color w:val="auto"/>
                <w:sz w:val="21"/>
                <w:szCs w:val="21"/>
                <w:highlight w:val="none"/>
              </w:rPr>
              <w:t>；工作行走速度：8m/min，适应坡度±18°</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516" w:type="dxa"/>
            <w:tcBorders>
              <w:top w:val="single" w:color="auto" w:sz="4" w:space="0"/>
              <w:left w:val="single" w:color="auto" w:sz="4" w:space="0"/>
              <w:bottom w:val="single" w:color="auto" w:sz="4" w:space="0"/>
              <w:right w:val="single" w:color="auto" w:sz="4" w:space="0"/>
            </w:tcBorders>
            <w:vAlign w:val="center"/>
          </w:tcPr>
          <w:p w14:paraId="06320713">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6C603124">
            <w:pPr>
              <w:jc w:val="center"/>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76F05012">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61C85FAB">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6C7A7CD0">
            <w:pPr>
              <w:pStyle w:val="65"/>
              <w:adjustRightInd w:val="0"/>
              <w:snapToGrid w:val="0"/>
              <w:ind w:firstLine="0" w:firstLineChars="0"/>
              <w:jc w:val="center"/>
              <w:rPr>
                <w:rFonts w:hint="default" w:ascii="Times New Roman" w:hAnsi="Times New Roman" w:eastAsia="宋体" w:cs="Arial"/>
                <w:kern w:val="2"/>
                <w:sz w:val="24"/>
                <w:szCs w:val="24"/>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3659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4AE906D9">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2</w:t>
            </w:r>
          </w:p>
        </w:tc>
        <w:tc>
          <w:tcPr>
            <w:tcW w:w="1550" w:type="dxa"/>
            <w:tcBorders>
              <w:top w:val="single" w:color="auto" w:sz="4" w:space="0"/>
              <w:left w:val="single" w:color="auto" w:sz="4" w:space="0"/>
              <w:bottom w:val="single" w:color="auto" w:sz="4" w:space="0"/>
              <w:right w:val="single" w:color="auto" w:sz="4" w:space="0"/>
            </w:tcBorders>
            <w:vAlign w:val="center"/>
          </w:tcPr>
          <w:p w14:paraId="1A0F7759">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煤泥粗分机</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（矿用振动筛式固液分离机）</w:t>
            </w:r>
          </w:p>
        </w:tc>
        <w:tc>
          <w:tcPr>
            <w:tcW w:w="3342" w:type="dxa"/>
            <w:tcBorders>
              <w:top w:val="single" w:color="auto" w:sz="4" w:space="0"/>
              <w:left w:val="single" w:color="auto" w:sz="4" w:space="0"/>
              <w:bottom w:val="single" w:color="auto" w:sz="4" w:space="0"/>
              <w:right w:val="single" w:color="auto" w:sz="4" w:space="0"/>
            </w:tcBorders>
            <w:vAlign w:val="center"/>
          </w:tcPr>
          <w:p w14:paraId="2FB7EC73">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分离粒度：0.5mm～30mm；粗分机产量（筛上物）：10t/h；筛网面积：3m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；搅拌罐容积：3 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516" w:type="dxa"/>
            <w:tcBorders>
              <w:top w:val="single" w:color="auto" w:sz="4" w:space="0"/>
              <w:left w:val="single" w:color="auto" w:sz="4" w:space="0"/>
              <w:bottom w:val="single" w:color="auto" w:sz="4" w:space="0"/>
              <w:right w:val="single" w:color="auto" w:sz="4" w:space="0"/>
            </w:tcBorders>
            <w:vAlign w:val="center"/>
          </w:tcPr>
          <w:p w14:paraId="7F158638">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3E46E321">
            <w:pPr>
              <w:pStyle w:val="65"/>
              <w:adjustRightInd w:val="0"/>
              <w:snapToGrid w:val="0"/>
              <w:ind w:firstLine="0" w:firstLineChars="0"/>
              <w:jc w:val="center"/>
              <w:rPr>
                <w:rFonts w:hint="default" w:ascii="宋体" w:hAnsi="Times New Roman" w:eastAsia="宋体" w:cs="Times New Roman"/>
                <w:color w:val="auto"/>
                <w:kern w:val="0"/>
                <w:sz w:val="20"/>
                <w:szCs w:val="21"/>
                <w:highlight w:val="none"/>
                <w:lang w:val="en-US" w:eastAsia="zh-CN" w:bidi="ar-SA"/>
              </w:rPr>
            </w:pPr>
            <w:r>
              <w:rPr>
                <w:rFonts w:hint="eastAsia" w:ascii="宋体" w:hAnsi="Times New Roman" w:eastAsia="宋体" w:cs="Times New Roman"/>
                <w:color w:val="auto"/>
                <w:kern w:val="0"/>
                <w:sz w:val="20"/>
                <w:szCs w:val="21"/>
                <w:highlight w:val="none"/>
                <w:lang w:val="en-US" w:eastAsia="zh-CN" w:bidi="ar-SA"/>
              </w:rPr>
              <w:t>1</w:t>
            </w:r>
          </w:p>
        </w:tc>
        <w:tc>
          <w:tcPr>
            <w:tcW w:w="722" w:type="dxa"/>
            <w:tcBorders>
              <w:top w:val="single" w:color="auto" w:sz="4" w:space="0"/>
              <w:left w:val="single" w:color="auto" w:sz="4" w:space="0"/>
              <w:bottom w:val="single" w:color="auto" w:sz="4" w:space="0"/>
              <w:right w:val="single" w:color="auto" w:sz="4" w:space="0"/>
            </w:tcBorders>
            <w:vAlign w:val="center"/>
          </w:tcPr>
          <w:p w14:paraId="50C550B4">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6490564F">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50A733B5">
            <w:pPr>
              <w:pStyle w:val="65"/>
              <w:adjustRightInd w:val="0"/>
              <w:snapToGrid w:val="0"/>
              <w:ind w:firstLine="0" w:firstLineChars="0"/>
              <w:jc w:val="center"/>
              <w:rPr>
                <w:rFonts w:hint="default" w:ascii="Times New Roman" w:hAnsi="Times New Roman" w:eastAsia="宋体" w:cs="Arial"/>
                <w:kern w:val="2"/>
                <w:sz w:val="24"/>
                <w:szCs w:val="24"/>
                <w:highlight w:val="none"/>
                <w:lang w:val="en-US" w:eastAsia="zh-CN" w:bidi="ar-SA"/>
              </w:rPr>
            </w:pPr>
            <w:r>
              <w:rPr>
                <w:rFonts w:hint="default" w:ascii="Times New Roman" w:hAnsi="Times New Roman" w:eastAsia="宋体" w:cs="Times New Roman"/>
                <w:color w:val="auto"/>
                <w:sz w:val="21"/>
                <w:szCs w:val="21"/>
                <w:highlight w:val="none"/>
                <w:lang w:val="en-US" w:eastAsia="zh-CN"/>
              </w:rPr>
              <w:t>煤安防爆</w:t>
            </w:r>
          </w:p>
        </w:tc>
      </w:tr>
      <w:tr w14:paraId="63AE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63DEF83A">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1550" w:type="dxa"/>
            <w:tcBorders>
              <w:top w:val="single" w:color="auto" w:sz="4" w:space="0"/>
              <w:left w:val="single" w:color="auto" w:sz="4" w:space="0"/>
              <w:bottom w:val="single" w:color="auto" w:sz="4" w:space="0"/>
              <w:right w:val="single" w:color="auto" w:sz="4" w:space="0"/>
            </w:tcBorders>
            <w:vAlign w:val="center"/>
          </w:tcPr>
          <w:p w14:paraId="521B924C">
            <w:pPr>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缓冲搅拌设备</w:t>
            </w:r>
          </w:p>
        </w:tc>
        <w:tc>
          <w:tcPr>
            <w:tcW w:w="3342" w:type="dxa"/>
            <w:tcBorders>
              <w:top w:val="single" w:color="auto" w:sz="4" w:space="0"/>
              <w:left w:val="single" w:color="auto" w:sz="4" w:space="0"/>
              <w:bottom w:val="single" w:color="auto" w:sz="4" w:space="0"/>
              <w:right w:val="single" w:color="auto" w:sz="4" w:space="0"/>
            </w:tcBorders>
            <w:vAlign w:val="center"/>
          </w:tcPr>
          <w:p w14:paraId="51BE51C6">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缓冲容积：2.5m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宋体"/>
                <w:color w:val="auto"/>
                <w:sz w:val="24"/>
                <w:szCs w:val="24"/>
                <w:highlight w:val="none"/>
                <w:lang w:val="en-US" w:eastAsia="zh-CN"/>
              </w:rPr>
              <w:t>配套搅拌器，</w:t>
            </w:r>
            <w:r>
              <w:rPr>
                <w:rFonts w:hint="default" w:ascii="Times New Roman" w:hAnsi="Times New Roman" w:eastAsia="宋体" w:cs="Times New Roman"/>
                <w:color w:val="auto"/>
                <w:sz w:val="21"/>
                <w:szCs w:val="21"/>
                <w:highlight w:val="none"/>
                <w:lang w:val="en-US" w:eastAsia="zh-CN"/>
              </w:rPr>
              <w:t>额定电压：</w:t>
            </w:r>
            <w:r>
              <w:rPr>
                <w:rFonts w:hint="eastAsia" w:ascii="Times New Roman" w:hAnsi="Times New Roman" w:eastAsia="宋体" w:cs="Times New Roman"/>
                <w:color w:val="auto"/>
                <w:sz w:val="21"/>
                <w:szCs w:val="21"/>
                <w:highlight w:val="none"/>
                <w:lang w:val="en-US" w:eastAsia="zh-CN"/>
              </w:rPr>
              <w:t>1140V</w:t>
            </w:r>
          </w:p>
        </w:tc>
        <w:tc>
          <w:tcPr>
            <w:tcW w:w="516" w:type="dxa"/>
            <w:tcBorders>
              <w:top w:val="single" w:color="auto" w:sz="4" w:space="0"/>
              <w:left w:val="single" w:color="auto" w:sz="4" w:space="0"/>
              <w:bottom w:val="single" w:color="auto" w:sz="4" w:space="0"/>
              <w:right w:val="single" w:color="auto" w:sz="4" w:space="0"/>
            </w:tcBorders>
            <w:vAlign w:val="center"/>
          </w:tcPr>
          <w:p w14:paraId="16FC4B9C">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798E0A98">
            <w:pPr>
              <w:jc w:val="center"/>
              <w:rPr>
                <w:rFonts w:hint="default" w:ascii="宋体" w:hAnsi="Times New Roman" w:eastAsia="宋体" w:cs="Times New Roman"/>
                <w:color w:val="auto"/>
                <w:kern w:val="0"/>
                <w:sz w:val="20"/>
                <w:szCs w:val="21"/>
                <w:highlight w:val="none"/>
                <w:lang w:val="en-US" w:eastAsia="zh-CN" w:bidi="ar-SA"/>
              </w:rPr>
            </w:pPr>
            <w:r>
              <w:rPr>
                <w:rFonts w:hint="eastAsia" w:ascii="宋体" w:hAnsi="Times New Roman" w:eastAsia="宋体" w:cs="Times New Roman"/>
                <w:color w:val="auto"/>
                <w:kern w:val="0"/>
                <w:sz w:val="20"/>
                <w:szCs w:val="21"/>
                <w:highlight w:val="none"/>
                <w:lang w:val="en-US" w:eastAsia="zh-CN" w:bidi="ar-SA"/>
              </w:rPr>
              <w:t>1</w:t>
            </w:r>
          </w:p>
        </w:tc>
        <w:tc>
          <w:tcPr>
            <w:tcW w:w="722" w:type="dxa"/>
            <w:tcBorders>
              <w:top w:val="single" w:color="auto" w:sz="4" w:space="0"/>
              <w:left w:val="single" w:color="auto" w:sz="4" w:space="0"/>
              <w:bottom w:val="single" w:color="auto" w:sz="4" w:space="0"/>
              <w:right w:val="single" w:color="auto" w:sz="4" w:space="0"/>
            </w:tcBorders>
            <w:vAlign w:val="center"/>
          </w:tcPr>
          <w:p w14:paraId="0C4CBC9B">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52770BD1">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6D9D9A50">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476A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3344FEFC">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4</w:t>
            </w:r>
          </w:p>
        </w:tc>
        <w:tc>
          <w:tcPr>
            <w:tcW w:w="1550" w:type="dxa"/>
            <w:tcBorders>
              <w:top w:val="single" w:color="auto" w:sz="4" w:space="0"/>
              <w:left w:val="single" w:color="auto" w:sz="4" w:space="0"/>
              <w:bottom w:val="single" w:color="auto" w:sz="4" w:space="0"/>
              <w:right w:val="single" w:color="auto" w:sz="4" w:space="0"/>
            </w:tcBorders>
            <w:vAlign w:val="center"/>
          </w:tcPr>
          <w:p w14:paraId="66BAD10A">
            <w:pPr>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矿用泥浆泵（压滤）</w:t>
            </w:r>
          </w:p>
        </w:tc>
        <w:tc>
          <w:tcPr>
            <w:tcW w:w="3342" w:type="dxa"/>
            <w:tcBorders>
              <w:top w:val="single" w:color="auto" w:sz="4" w:space="0"/>
              <w:left w:val="single" w:color="auto" w:sz="4" w:space="0"/>
              <w:bottom w:val="single" w:color="auto" w:sz="4" w:space="0"/>
              <w:right w:val="single" w:color="auto" w:sz="4" w:space="0"/>
            </w:tcBorders>
            <w:vAlign w:val="center"/>
          </w:tcPr>
          <w:p w14:paraId="1441DBA1">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rPr>
              <w:t>流量：25m</w:t>
            </w:r>
            <w:r>
              <w:rPr>
                <w:rFonts w:hint="default" w:ascii="Times New Roman" w:hAnsi="Times New Roman" w:eastAsia="宋体" w:cs="Times New Roman"/>
                <w:color w:val="auto"/>
                <w:sz w:val="21"/>
                <w:szCs w:val="21"/>
                <w:highlight w:val="none"/>
                <w:vertAlign w:val="superscript"/>
                <w:lang w:val="en-US"/>
              </w:rPr>
              <w:t>3</w:t>
            </w:r>
            <w:r>
              <w:rPr>
                <w:rFonts w:hint="default" w:ascii="Times New Roman" w:hAnsi="Times New Roman" w:eastAsia="宋体" w:cs="Times New Roman"/>
                <w:color w:val="auto"/>
                <w:sz w:val="21"/>
                <w:szCs w:val="21"/>
                <w:highlight w:val="none"/>
                <w:lang w:val="en-US"/>
              </w:rPr>
              <w:t>/h；扬程：60m；额定电压：</w:t>
            </w:r>
            <w:r>
              <w:rPr>
                <w:rFonts w:hint="eastAsia" w:ascii="Times New Roman" w:hAnsi="Times New Roman" w:eastAsia="宋体" w:cs="Times New Roman"/>
                <w:color w:val="auto"/>
                <w:sz w:val="21"/>
                <w:szCs w:val="21"/>
                <w:highlight w:val="none"/>
                <w:lang w:val="en-US" w:eastAsia="zh-CN"/>
              </w:rPr>
              <w:t>1140V</w:t>
            </w:r>
          </w:p>
        </w:tc>
        <w:tc>
          <w:tcPr>
            <w:tcW w:w="516" w:type="dxa"/>
            <w:tcBorders>
              <w:top w:val="single" w:color="auto" w:sz="4" w:space="0"/>
              <w:left w:val="single" w:color="auto" w:sz="4" w:space="0"/>
              <w:bottom w:val="single" w:color="auto" w:sz="4" w:space="0"/>
              <w:right w:val="single" w:color="auto" w:sz="4" w:space="0"/>
            </w:tcBorders>
            <w:vAlign w:val="center"/>
          </w:tcPr>
          <w:p w14:paraId="2D17550A">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1D0A34A1">
            <w:pPr>
              <w:jc w:val="center"/>
              <w:rPr>
                <w:rFonts w:hint="default" w:ascii="宋体" w:hAnsi="Times New Roman" w:eastAsia="宋体" w:cs="Times New Roman"/>
                <w:color w:val="auto"/>
                <w:kern w:val="0"/>
                <w:sz w:val="20"/>
                <w:szCs w:val="21"/>
                <w:highlight w:val="none"/>
                <w:lang w:val="en-US" w:eastAsia="zh-CN" w:bidi="ar-SA"/>
              </w:rPr>
            </w:pPr>
            <w:r>
              <w:rPr>
                <w:rFonts w:hint="eastAsia" w:ascii="宋体" w:hAnsi="Times New Roman" w:eastAsia="宋体" w:cs="Times New Roman"/>
                <w:color w:val="auto"/>
                <w:kern w:val="0"/>
                <w:sz w:val="20"/>
                <w:szCs w:val="21"/>
                <w:highlight w:val="none"/>
                <w:lang w:val="en-US" w:eastAsia="zh-CN" w:bidi="ar-SA"/>
              </w:rPr>
              <w:t>1</w:t>
            </w:r>
          </w:p>
        </w:tc>
        <w:tc>
          <w:tcPr>
            <w:tcW w:w="722" w:type="dxa"/>
            <w:tcBorders>
              <w:top w:val="single" w:color="auto" w:sz="4" w:space="0"/>
              <w:left w:val="single" w:color="auto" w:sz="4" w:space="0"/>
              <w:bottom w:val="single" w:color="auto" w:sz="4" w:space="0"/>
              <w:right w:val="single" w:color="auto" w:sz="4" w:space="0"/>
            </w:tcBorders>
            <w:vAlign w:val="center"/>
          </w:tcPr>
          <w:p w14:paraId="6E93094F">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26D0293B">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565AC31E">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28D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2AE74B55">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5</w:t>
            </w:r>
          </w:p>
        </w:tc>
        <w:tc>
          <w:tcPr>
            <w:tcW w:w="1550" w:type="dxa"/>
            <w:tcBorders>
              <w:top w:val="single" w:color="auto" w:sz="4" w:space="0"/>
              <w:left w:val="single" w:color="auto" w:sz="4" w:space="0"/>
              <w:bottom w:val="single" w:color="auto" w:sz="4" w:space="0"/>
              <w:right w:val="single" w:color="auto" w:sz="4" w:space="0"/>
            </w:tcBorders>
            <w:vAlign w:val="center"/>
          </w:tcPr>
          <w:p w14:paraId="642F61A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双工作区压滤机（矿用压滤式固液分离机）</w:t>
            </w:r>
          </w:p>
        </w:tc>
        <w:tc>
          <w:tcPr>
            <w:tcW w:w="3342" w:type="dxa"/>
            <w:tcBorders>
              <w:top w:val="single" w:color="auto" w:sz="4" w:space="0"/>
              <w:left w:val="single" w:color="auto" w:sz="4" w:space="0"/>
              <w:bottom w:val="single" w:color="auto" w:sz="4" w:space="0"/>
              <w:right w:val="single" w:color="auto" w:sz="4" w:space="0"/>
            </w:tcBorders>
            <w:vAlign w:val="center"/>
          </w:tcPr>
          <w:p w14:paraId="1D1C1DE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入料浓度：含煤泥量40%～60%；干泥处理量5t/h～8t/h；出料水分：≤30%；回收物料粒度：0.02mm～15mm；滤板材质要求：聚丙烯滤板；滤布材质要求：单丝滤布；滤板规格1000mm×1000mm×50mm；数量：≥66块；过滤面积110m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；额定电压：</w:t>
            </w:r>
            <w:r>
              <w:rPr>
                <w:rFonts w:hint="eastAsia" w:ascii="Times New Roman" w:hAnsi="Times New Roman" w:eastAsia="宋体" w:cs="Times New Roman"/>
                <w:color w:val="auto"/>
                <w:kern w:val="0"/>
                <w:sz w:val="21"/>
                <w:szCs w:val="21"/>
                <w:highlight w:val="none"/>
                <w:lang w:eastAsia="zh-CN"/>
              </w:rPr>
              <w:t>1140V</w:t>
            </w:r>
          </w:p>
        </w:tc>
        <w:tc>
          <w:tcPr>
            <w:tcW w:w="516" w:type="dxa"/>
            <w:tcBorders>
              <w:top w:val="single" w:color="auto" w:sz="4" w:space="0"/>
              <w:left w:val="single" w:color="auto" w:sz="4" w:space="0"/>
              <w:bottom w:val="single" w:color="auto" w:sz="4" w:space="0"/>
              <w:right w:val="single" w:color="auto" w:sz="4" w:space="0"/>
            </w:tcBorders>
            <w:vAlign w:val="center"/>
          </w:tcPr>
          <w:p w14:paraId="0237DFE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00EEBC9A">
            <w:pPr>
              <w:jc w:val="center"/>
              <w:rPr>
                <w:rFonts w:hint="eastAsia" w:ascii="宋体" w:hAnsi="Times New Roman" w:eastAsia="宋体" w:cs="Times New Roman"/>
                <w:color w:val="auto"/>
                <w:kern w:val="0"/>
                <w:sz w:val="20"/>
                <w:szCs w:val="21"/>
                <w:highlight w:val="none"/>
                <w:lang w:val="en-US" w:eastAsia="zh-CN" w:bidi="ar-SA"/>
              </w:rPr>
            </w:pPr>
            <w:r>
              <w:rPr>
                <w:rFonts w:hint="eastAsia" w:ascii="宋体" w:hAnsi="Times New Roman" w:eastAsia="宋体" w:cs="Times New Roman"/>
                <w:color w:val="auto"/>
                <w:kern w:val="0"/>
                <w:sz w:val="20"/>
                <w:szCs w:val="21"/>
                <w:highlight w:val="none"/>
                <w:lang w:val="en-US" w:eastAsia="zh-CN" w:bidi="ar-SA"/>
              </w:rPr>
              <w:t>1</w:t>
            </w:r>
          </w:p>
        </w:tc>
        <w:tc>
          <w:tcPr>
            <w:tcW w:w="722" w:type="dxa"/>
            <w:tcBorders>
              <w:top w:val="single" w:color="auto" w:sz="4" w:space="0"/>
              <w:left w:val="single" w:color="auto" w:sz="4" w:space="0"/>
              <w:bottom w:val="single" w:color="auto" w:sz="4" w:space="0"/>
              <w:right w:val="single" w:color="auto" w:sz="4" w:space="0"/>
            </w:tcBorders>
            <w:vAlign w:val="center"/>
          </w:tcPr>
          <w:p w14:paraId="6516D55B">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69197B0A">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5AC3810E">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66EE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36D00664">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6</w:t>
            </w:r>
          </w:p>
        </w:tc>
        <w:tc>
          <w:tcPr>
            <w:tcW w:w="1550" w:type="dxa"/>
            <w:tcBorders>
              <w:top w:val="single" w:color="auto" w:sz="4" w:space="0"/>
              <w:left w:val="single" w:color="auto" w:sz="4" w:space="0"/>
              <w:bottom w:val="single" w:color="auto" w:sz="4" w:space="0"/>
              <w:right w:val="single" w:color="auto" w:sz="4" w:space="0"/>
            </w:tcBorders>
            <w:vAlign w:val="center"/>
          </w:tcPr>
          <w:p w14:paraId="5889450F">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液压控制泵站</w:t>
            </w:r>
          </w:p>
        </w:tc>
        <w:tc>
          <w:tcPr>
            <w:tcW w:w="3342" w:type="dxa"/>
            <w:tcBorders>
              <w:top w:val="single" w:color="auto" w:sz="4" w:space="0"/>
              <w:left w:val="single" w:color="auto" w:sz="4" w:space="0"/>
              <w:bottom w:val="single" w:color="auto" w:sz="4" w:space="0"/>
              <w:right w:val="single" w:color="auto" w:sz="4" w:space="0"/>
            </w:tcBorders>
            <w:vAlign w:val="center"/>
          </w:tcPr>
          <w:p w14:paraId="3909B929">
            <w:pPr>
              <w:jc w:val="center"/>
              <w:rPr>
                <w:rFonts w:hint="eastAsia"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液压系统压力16MPa</w:t>
            </w:r>
          </w:p>
        </w:tc>
        <w:tc>
          <w:tcPr>
            <w:tcW w:w="516" w:type="dxa"/>
            <w:tcBorders>
              <w:top w:val="single" w:color="auto" w:sz="4" w:space="0"/>
              <w:left w:val="single" w:color="auto" w:sz="4" w:space="0"/>
              <w:bottom w:val="single" w:color="auto" w:sz="4" w:space="0"/>
              <w:right w:val="single" w:color="auto" w:sz="4" w:space="0"/>
            </w:tcBorders>
            <w:vAlign w:val="center"/>
          </w:tcPr>
          <w:p w14:paraId="6D83E0E8">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12383C47">
            <w:pPr>
              <w:pStyle w:val="65"/>
              <w:adjustRightInd w:val="0"/>
              <w:snapToGrid w:val="0"/>
              <w:spacing w:line="240" w:lineRule="auto"/>
              <w:ind w:firstLine="0" w:firstLineChars="0"/>
              <w:jc w:val="center"/>
              <w:rPr>
                <w:rFonts w:hint="default" w:ascii="宋体" w:hAnsi="Times New Roman" w:eastAsia="宋体" w:cs="Times New Roman"/>
                <w:color w:val="auto"/>
                <w:kern w:val="0"/>
                <w:sz w:val="20"/>
                <w:szCs w:val="21"/>
                <w:highlight w:val="none"/>
                <w:lang w:val="en-US" w:eastAsia="zh-CN" w:bidi="ar-SA"/>
              </w:rPr>
            </w:pPr>
            <w:r>
              <w:rPr>
                <w:rFonts w:hint="eastAsia" w:ascii="宋体" w:hAnsi="Times New Roman" w:eastAsia="宋体" w:cs="Times New Roman"/>
                <w:color w:val="auto"/>
                <w:kern w:val="0"/>
                <w:sz w:val="20"/>
                <w:szCs w:val="21"/>
                <w:highlight w:val="none"/>
                <w:lang w:val="en-US" w:eastAsia="zh-CN" w:bidi="ar-SA"/>
              </w:rPr>
              <w:t>1</w:t>
            </w:r>
          </w:p>
        </w:tc>
        <w:tc>
          <w:tcPr>
            <w:tcW w:w="722" w:type="dxa"/>
            <w:tcBorders>
              <w:top w:val="single" w:color="auto" w:sz="4" w:space="0"/>
              <w:left w:val="single" w:color="auto" w:sz="4" w:space="0"/>
              <w:bottom w:val="single" w:color="auto" w:sz="4" w:space="0"/>
              <w:right w:val="single" w:color="auto" w:sz="4" w:space="0"/>
            </w:tcBorders>
            <w:vAlign w:val="center"/>
          </w:tcPr>
          <w:p w14:paraId="7226EC52">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54CC161D">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61523468">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7CA3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7A70FA3A">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7</w:t>
            </w:r>
          </w:p>
        </w:tc>
        <w:tc>
          <w:tcPr>
            <w:tcW w:w="1550" w:type="dxa"/>
            <w:tcBorders>
              <w:top w:val="single" w:color="auto" w:sz="4" w:space="0"/>
              <w:left w:val="single" w:color="auto" w:sz="4" w:space="0"/>
              <w:bottom w:val="single" w:color="auto" w:sz="4" w:space="0"/>
              <w:right w:val="single" w:color="auto" w:sz="4" w:space="0"/>
            </w:tcBorders>
            <w:vAlign w:val="center"/>
          </w:tcPr>
          <w:p w14:paraId="0B43E1B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强力胶管</w:t>
            </w:r>
          </w:p>
        </w:tc>
        <w:tc>
          <w:tcPr>
            <w:tcW w:w="3342" w:type="dxa"/>
            <w:tcBorders>
              <w:top w:val="single" w:color="auto" w:sz="4" w:space="0"/>
              <w:left w:val="single" w:color="auto" w:sz="4" w:space="0"/>
              <w:bottom w:val="single" w:color="auto" w:sz="4" w:space="0"/>
              <w:right w:val="single" w:color="auto" w:sz="4" w:space="0"/>
            </w:tcBorders>
            <w:vAlign w:val="center"/>
          </w:tcPr>
          <w:p w14:paraId="01F0184F">
            <w:pPr>
              <w:jc w:val="center"/>
              <w:rPr>
                <w:rFonts w:hint="default" w:ascii="Times New Roman" w:hAnsi="Times New Roman" w:eastAsia="宋体" w:cs="Times New Roman"/>
                <w:color w:val="auto"/>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49433543">
            <w:pPr>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76DE4C91">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0483AD80">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0C0301A4">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27216863">
            <w:pPr>
              <w:jc w:val="center"/>
              <w:rPr>
                <w:rFonts w:ascii="宋体"/>
                <w:color w:val="auto"/>
                <w:szCs w:val="21"/>
                <w:highlight w:val="none"/>
              </w:rPr>
            </w:pPr>
            <w:r>
              <w:rPr>
                <w:rFonts w:hint="eastAsia" w:ascii="Times New Roman" w:hAnsi="Times New Roman" w:eastAsia="宋体" w:cs="Times New Roman"/>
                <w:color w:val="auto"/>
                <w:sz w:val="21"/>
                <w:szCs w:val="21"/>
                <w:highlight w:val="none"/>
                <w:lang w:val="en-US" w:eastAsia="zh-CN"/>
              </w:rPr>
              <w:t>投标方配套提供</w:t>
            </w:r>
          </w:p>
        </w:tc>
      </w:tr>
      <w:tr w14:paraId="32CD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2C8ACD39">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8</w:t>
            </w:r>
          </w:p>
        </w:tc>
        <w:tc>
          <w:tcPr>
            <w:tcW w:w="1550" w:type="dxa"/>
            <w:tcBorders>
              <w:top w:val="single" w:color="auto" w:sz="4" w:space="0"/>
              <w:left w:val="single" w:color="auto" w:sz="4" w:space="0"/>
              <w:bottom w:val="single" w:color="auto" w:sz="4" w:space="0"/>
              <w:right w:val="single" w:color="auto" w:sz="4" w:space="0"/>
            </w:tcBorders>
            <w:vAlign w:val="center"/>
          </w:tcPr>
          <w:p w14:paraId="3EBBFC9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配套电控设备</w:t>
            </w:r>
          </w:p>
        </w:tc>
        <w:tc>
          <w:tcPr>
            <w:tcW w:w="3342" w:type="dxa"/>
            <w:tcBorders>
              <w:top w:val="single" w:color="auto" w:sz="4" w:space="0"/>
              <w:left w:val="single" w:color="auto" w:sz="4" w:space="0"/>
              <w:bottom w:val="single" w:color="auto" w:sz="4" w:space="0"/>
              <w:right w:val="single" w:color="auto" w:sz="4" w:space="0"/>
            </w:tcBorders>
            <w:vAlign w:val="center"/>
          </w:tcPr>
          <w:p w14:paraId="0294F412">
            <w:pPr>
              <w:jc w:val="center"/>
              <w:rPr>
                <w:rFonts w:hint="default" w:ascii="Times New Roman" w:hAnsi="Times New Roman" w:eastAsia="宋体" w:cs="Times New Roman"/>
                <w:color w:val="auto"/>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763EADB3">
            <w:pPr>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48965164">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1B39660A">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18F88595">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31D3CA57">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0B7D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4FA9F43A">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9</w:t>
            </w:r>
          </w:p>
        </w:tc>
        <w:tc>
          <w:tcPr>
            <w:tcW w:w="1550" w:type="dxa"/>
            <w:tcBorders>
              <w:top w:val="single" w:color="auto" w:sz="4" w:space="0"/>
              <w:left w:val="single" w:color="auto" w:sz="4" w:space="0"/>
              <w:bottom w:val="single" w:color="auto" w:sz="4" w:space="0"/>
              <w:right w:val="single" w:color="auto" w:sz="4" w:space="0"/>
            </w:tcBorders>
            <w:vAlign w:val="center"/>
          </w:tcPr>
          <w:p w14:paraId="7BD3A02A">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矿用隔爆兼本安型可编程控制箱</w:t>
            </w:r>
          </w:p>
        </w:tc>
        <w:tc>
          <w:tcPr>
            <w:tcW w:w="3342" w:type="dxa"/>
            <w:tcBorders>
              <w:top w:val="single" w:color="auto" w:sz="4" w:space="0"/>
              <w:left w:val="single" w:color="auto" w:sz="4" w:space="0"/>
              <w:bottom w:val="single" w:color="auto" w:sz="4" w:space="0"/>
              <w:right w:val="single" w:color="auto" w:sz="4" w:space="0"/>
            </w:tcBorders>
            <w:vAlign w:val="center"/>
          </w:tcPr>
          <w:p w14:paraId="46F75779">
            <w:pPr>
              <w:jc w:val="center"/>
              <w:rPr>
                <w:rFonts w:hint="default"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0EA8B9C5">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1D420456">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2</w:t>
            </w:r>
          </w:p>
        </w:tc>
        <w:tc>
          <w:tcPr>
            <w:tcW w:w="722" w:type="dxa"/>
            <w:tcBorders>
              <w:top w:val="single" w:color="auto" w:sz="4" w:space="0"/>
              <w:left w:val="single" w:color="auto" w:sz="4" w:space="0"/>
              <w:bottom w:val="single" w:color="auto" w:sz="4" w:space="0"/>
              <w:right w:val="single" w:color="auto" w:sz="4" w:space="0"/>
            </w:tcBorders>
            <w:vAlign w:val="center"/>
          </w:tcPr>
          <w:p w14:paraId="4AAC6973">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7F50CE7A">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22FAFB18">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51B7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402F643C">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10</w:t>
            </w:r>
          </w:p>
        </w:tc>
        <w:tc>
          <w:tcPr>
            <w:tcW w:w="1550" w:type="dxa"/>
            <w:tcBorders>
              <w:top w:val="single" w:color="auto" w:sz="4" w:space="0"/>
              <w:left w:val="single" w:color="auto" w:sz="4" w:space="0"/>
              <w:bottom w:val="single" w:color="auto" w:sz="4" w:space="0"/>
              <w:right w:val="single" w:color="auto" w:sz="4" w:space="0"/>
            </w:tcBorders>
            <w:vAlign w:val="center"/>
          </w:tcPr>
          <w:p w14:paraId="16D7FC79">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智能远程操作台</w:t>
            </w:r>
          </w:p>
        </w:tc>
        <w:tc>
          <w:tcPr>
            <w:tcW w:w="3342" w:type="dxa"/>
            <w:tcBorders>
              <w:top w:val="single" w:color="auto" w:sz="4" w:space="0"/>
              <w:left w:val="single" w:color="auto" w:sz="4" w:space="0"/>
              <w:bottom w:val="single" w:color="auto" w:sz="4" w:space="0"/>
              <w:right w:val="single" w:color="auto" w:sz="4" w:space="0"/>
            </w:tcBorders>
            <w:vAlign w:val="center"/>
          </w:tcPr>
          <w:p w14:paraId="63FF66FA">
            <w:pPr>
              <w:jc w:val="center"/>
              <w:rPr>
                <w:rFonts w:hint="default"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15110B42">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63BFCD6D">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36B169FA">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0526E60C">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7D5D27C4">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7B11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2D6DE61F">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11</w:t>
            </w:r>
          </w:p>
        </w:tc>
        <w:tc>
          <w:tcPr>
            <w:tcW w:w="1550" w:type="dxa"/>
            <w:tcBorders>
              <w:top w:val="single" w:color="auto" w:sz="4" w:space="0"/>
              <w:left w:val="single" w:color="auto" w:sz="4" w:space="0"/>
              <w:bottom w:val="single" w:color="auto" w:sz="4" w:space="0"/>
              <w:right w:val="single" w:color="auto" w:sz="4" w:space="0"/>
            </w:tcBorders>
            <w:vAlign w:val="center"/>
          </w:tcPr>
          <w:p w14:paraId="6A31EC57">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无线基站光纤电缆移动平台+基站小车</w:t>
            </w:r>
          </w:p>
        </w:tc>
        <w:tc>
          <w:tcPr>
            <w:tcW w:w="3342" w:type="dxa"/>
            <w:tcBorders>
              <w:top w:val="single" w:color="auto" w:sz="4" w:space="0"/>
              <w:left w:val="single" w:color="auto" w:sz="4" w:space="0"/>
              <w:bottom w:val="single" w:color="auto" w:sz="4" w:space="0"/>
              <w:right w:val="single" w:color="auto" w:sz="4" w:space="0"/>
            </w:tcBorders>
            <w:vAlign w:val="center"/>
          </w:tcPr>
          <w:p w14:paraId="359CA273">
            <w:pPr>
              <w:jc w:val="center"/>
              <w:rPr>
                <w:rFonts w:hint="default"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7C9F8241">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102637BA">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00FA636F">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0C646724">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119B60F3">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620C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1C3A1287">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12</w:t>
            </w:r>
          </w:p>
        </w:tc>
        <w:tc>
          <w:tcPr>
            <w:tcW w:w="1550" w:type="dxa"/>
            <w:tcBorders>
              <w:top w:val="single" w:color="auto" w:sz="4" w:space="0"/>
              <w:left w:val="single" w:color="auto" w:sz="4" w:space="0"/>
              <w:bottom w:val="single" w:color="auto" w:sz="4" w:space="0"/>
              <w:right w:val="single" w:color="auto" w:sz="4" w:space="0"/>
            </w:tcBorders>
            <w:vAlign w:val="center"/>
          </w:tcPr>
          <w:p w14:paraId="61CDEA75">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手持遥控操作器</w:t>
            </w:r>
          </w:p>
        </w:tc>
        <w:tc>
          <w:tcPr>
            <w:tcW w:w="3342" w:type="dxa"/>
            <w:tcBorders>
              <w:top w:val="single" w:color="auto" w:sz="4" w:space="0"/>
              <w:left w:val="single" w:color="auto" w:sz="4" w:space="0"/>
              <w:bottom w:val="single" w:color="auto" w:sz="4" w:space="0"/>
              <w:right w:val="single" w:color="auto" w:sz="4" w:space="0"/>
            </w:tcBorders>
            <w:vAlign w:val="center"/>
          </w:tcPr>
          <w:p w14:paraId="0214CA16">
            <w:pPr>
              <w:jc w:val="center"/>
              <w:rPr>
                <w:rFonts w:hint="default"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11B14793">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02A54934">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4C60BAA4">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3BB2F26A">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06066491">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6477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50D35890">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13</w:t>
            </w:r>
          </w:p>
        </w:tc>
        <w:tc>
          <w:tcPr>
            <w:tcW w:w="1550" w:type="dxa"/>
            <w:tcBorders>
              <w:top w:val="single" w:color="auto" w:sz="4" w:space="0"/>
              <w:left w:val="single" w:color="auto" w:sz="4" w:space="0"/>
              <w:bottom w:val="single" w:color="auto" w:sz="4" w:space="0"/>
              <w:right w:val="single" w:color="auto" w:sz="4" w:space="0"/>
            </w:tcBorders>
            <w:vAlign w:val="center"/>
          </w:tcPr>
          <w:p w14:paraId="75CABAEA">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传感器</w:t>
            </w:r>
          </w:p>
        </w:tc>
        <w:tc>
          <w:tcPr>
            <w:tcW w:w="3342" w:type="dxa"/>
            <w:tcBorders>
              <w:top w:val="single" w:color="auto" w:sz="4" w:space="0"/>
              <w:left w:val="single" w:color="auto" w:sz="4" w:space="0"/>
              <w:bottom w:val="single" w:color="auto" w:sz="4" w:space="0"/>
              <w:right w:val="single" w:color="auto" w:sz="4" w:space="0"/>
            </w:tcBorders>
            <w:vAlign w:val="center"/>
          </w:tcPr>
          <w:p w14:paraId="4426C63B">
            <w:pPr>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超声波传感器、红外测距传感器、激光传感器、气体传感器、姿态传感器等</w:t>
            </w:r>
          </w:p>
        </w:tc>
        <w:tc>
          <w:tcPr>
            <w:tcW w:w="516" w:type="dxa"/>
            <w:tcBorders>
              <w:top w:val="single" w:color="auto" w:sz="4" w:space="0"/>
              <w:left w:val="single" w:color="auto" w:sz="4" w:space="0"/>
              <w:bottom w:val="single" w:color="auto" w:sz="4" w:space="0"/>
              <w:right w:val="single" w:color="auto" w:sz="4" w:space="0"/>
            </w:tcBorders>
            <w:vAlign w:val="center"/>
          </w:tcPr>
          <w:p w14:paraId="7D924865">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34E97BC5">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69C6FE72">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059376B7">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7077DF9D">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0715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07BB9BC2">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14</w:t>
            </w:r>
          </w:p>
        </w:tc>
        <w:tc>
          <w:tcPr>
            <w:tcW w:w="1550" w:type="dxa"/>
            <w:tcBorders>
              <w:top w:val="single" w:color="auto" w:sz="4" w:space="0"/>
              <w:left w:val="single" w:color="auto" w:sz="4" w:space="0"/>
              <w:bottom w:val="single" w:color="auto" w:sz="4" w:space="0"/>
              <w:right w:val="single" w:color="auto" w:sz="4" w:space="0"/>
            </w:tcBorders>
            <w:vAlign w:val="center"/>
          </w:tcPr>
          <w:p w14:paraId="5887BDFD">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矿用隔爆型高清摄像机</w:t>
            </w:r>
          </w:p>
        </w:tc>
        <w:tc>
          <w:tcPr>
            <w:tcW w:w="3342" w:type="dxa"/>
            <w:tcBorders>
              <w:top w:val="single" w:color="auto" w:sz="4" w:space="0"/>
              <w:left w:val="single" w:color="auto" w:sz="4" w:space="0"/>
              <w:bottom w:val="single" w:color="auto" w:sz="4" w:space="0"/>
              <w:right w:val="single" w:color="auto" w:sz="4" w:space="0"/>
            </w:tcBorders>
            <w:vAlign w:val="center"/>
          </w:tcPr>
          <w:p w14:paraId="183EA0CF">
            <w:pPr>
              <w:jc w:val="center"/>
              <w:rPr>
                <w:rFonts w:hint="eastAsia"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44F3EA63">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12B4992D">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2</w:t>
            </w:r>
          </w:p>
        </w:tc>
        <w:tc>
          <w:tcPr>
            <w:tcW w:w="722" w:type="dxa"/>
            <w:tcBorders>
              <w:top w:val="single" w:color="auto" w:sz="4" w:space="0"/>
              <w:left w:val="single" w:color="auto" w:sz="4" w:space="0"/>
              <w:bottom w:val="single" w:color="auto" w:sz="4" w:space="0"/>
              <w:right w:val="single" w:color="auto" w:sz="4" w:space="0"/>
            </w:tcBorders>
            <w:vAlign w:val="center"/>
          </w:tcPr>
          <w:p w14:paraId="62406749">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24C93C25">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50CD48CD">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6EDB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52FE1A9C">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15</w:t>
            </w:r>
          </w:p>
        </w:tc>
        <w:tc>
          <w:tcPr>
            <w:tcW w:w="1550" w:type="dxa"/>
            <w:tcBorders>
              <w:top w:val="single" w:color="auto" w:sz="4" w:space="0"/>
              <w:left w:val="single" w:color="auto" w:sz="4" w:space="0"/>
              <w:bottom w:val="single" w:color="auto" w:sz="4" w:space="0"/>
              <w:right w:val="single" w:color="auto" w:sz="4" w:space="0"/>
            </w:tcBorders>
            <w:vAlign w:val="center"/>
          </w:tcPr>
          <w:p w14:paraId="1763C8CA">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矿用隔爆型全景摄像仪</w:t>
            </w:r>
          </w:p>
        </w:tc>
        <w:tc>
          <w:tcPr>
            <w:tcW w:w="3342" w:type="dxa"/>
            <w:tcBorders>
              <w:top w:val="single" w:color="auto" w:sz="4" w:space="0"/>
              <w:left w:val="single" w:color="auto" w:sz="4" w:space="0"/>
              <w:bottom w:val="single" w:color="auto" w:sz="4" w:space="0"/>
              <w:right w:val="single" w:color="auto" w:sz="4" w:space="0"/>
            </w:tcBorders>
            <w:vAlign w:val="center"/>
          </w:tcPr>
          <w:p w14:paraId="433A2206">
            <w:pPr>
              <w:jc w:val="center"/>
              <w:rPr>
                <w:rFonts w:hint="eastAsia"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1EBA5114">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台</w:t>
            </w:r>
          </w:p>
        </w:tc>
        <w:tc>
          <w:tcPr>
            <w:tcW w:w="512" w:type="dxa"/>
            <w:tcBorders>
              <w:top w:val="single" w:color="auto" w:sz="4" w:space="0"/>
              <w:left w:val="single" w:color="auto" w:sz="4" w:space="0"/>
              <w:bottom w:val="single" w:color="auto" w:sz="4" w:space="0"/>
              <w:right w:val="single" w:color="auto" w:sz="4" w:space="0"/>
            </w:tcBorders>
            <w:vAlign w:val="center"/>
          </w:tcPr>
          <w:p w14:paraId="160C6B86">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0A199807">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3682AB2B">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1A96279A">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0AFC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7E0B2814">
            <w:pPr>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16</w:t>
            </w:r>
          </w:p>
        </w:tc>
        <w:tc>
          <w:tcPr>
            <w:tcW w:w="1550" w:type="dxa"/>
            <w:tcBorders>
              <w:top w:val="single" w:color="auto" w:sz="4" w:space="0"/>
              <w:left w:val="single" w:color="auto" w:sz="4" w:space="0"/>
              <w:bottom w:val="single" w:color="auto" w:sz="4" w:space="0"/>
              <w:right w:val="single" w:color="auto" w:sz="4" w:space="0"/>
            </w:tcBorders>
            <w:vAlign w:val="center"/>
          </w:tcPr>
          <w:p w14:paraId="50075FC4">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电气围栏</w:t>
            </w:r>
          </w:p>
        </w:tc>
        <w:tc>
          <w:tcPr>
            <w:tcW w:w="3342" w:type="dxa"/>
            <w:tcBorders>
              <w:top w:val="single" w:color="auto" w:sz="4" w:space="0"/>
              <w:left w:val="single" w:color="auto" w:sz="4" w:space="0"/>
              <w:bottom w:val="single" w:color="auto" w:sz="4" w:space="0"/>
              <w:right w:val="single" w:color="auto" w:sz="4" w:space="0"/>
            </w:tcBorders>
            <w:vAlign w:val="center"/>
          </w:tcPr>
          <w:p w14:paraId="3B82AF4D">
            <w:pPr>
              <w:jc w:val="center"/>
              <w:rPr>
                <w:rFonts w:hint="eastAsia" w:ascii="Times New Roman" w:hAnsi="Times New Roman" w:eastAsia="宋体" w:cs="Times New Roman"/>
                <w:color w:val="auto"/>
                <w:kern w:val="0"/>
                <w:sz w:val="21"/>
                <w:szCs w:val="21"/>
                <w:highlight w:val="none"/>
                <w:lang w:val="en-US" w:eastAsia="zh-CN" w:bidi="ar-SA"/>
              </w:rPr>
            </w:pPr>
          </w:p>
        </w:tc>
        <w:tc>
          <w:tcPr>
            <w:tcW w:w="516" w:type="dxa"/>
            <w:tcBorders>
              <w:top w:val="single" w:color="auto" w:sz="4" w:space="0"/>
              <w:left w:val="single" w:color="auto" w:sz="4" w:space="0"/>
              <w:bottom w:val="single" w:color="auto" w:sz="4" w:space="0"/>
              <w:right w:val="single" w:color="auto" w:sz="4" w:space="0"/>
            </w:tcBorders>
            <w:vAlign w:val="center"/>
          </w:tcPr>
          <w:p w14:paraId="6B01B9B2">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套</w:t>
            </w:r>
          </w:p>
        </w:tc>
        <w:tc>
          <w:tcPr>
            <w:tcW w:w="512" w:type="dxa"/>
            <w:tcBorders>
              <w:top w:val="single" w:color="auto" w:sz="4" w:space="0"/>
              <w:left w:val="single" w:color="auto" w:sz="4" w:space="0"/>
              <w:bottom w:val="single" w:color="auto" w:sz="4" w:space="0"/>
              <w:right w:val="single" w:color="auto" w:sz="4" w:space="0"/>
            </w:tcBorders>
            <w:vAlign w:val="center"/>
          </w:tcPr>
          <w:p w14:paraId="795448E8">
            <w:pPr>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29215C50">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794F62C1">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40300A75">
            <w:pPr>
              <w:jc w:val="center"/>
              <w:rPr>
                <w:rFonts w:ascii="宋体"/>
                <w:color w:val="auto"/>
                <w:szCs w:val="21"/>
                <w:highlight w:val="none"/>
              </w:rPr>
            </w:pPr>
            <w:r>
              <w:rPr>
                <w:rFonts w:hint="default" w:ascii="Times New Roman" w:hAnsi="Times New Roman" w:eastAsia="宋体" w:cs="Times New Roman"/>
                <w:color w:val="auto"/>
                <w:sz w:val="21"/>
                <w:szCs w:val="21"/>
                <w:highlight w:val="none"/>
                <w:lang w:val="en-US" w:eastAsia="zh-CN"/>
              </w:rPr>
              <w:t>煤安防爆</w:t>
            </w:r>
          </w:p>
        </w:tc>
      </w:tr>
      <w:tr w14:paraId="32F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vAlign w:val="center"/>
          </w:tcPr>
          <w:p w14:paraId="2E08F0A5">
            <w:pPr>
              <w:jc w:val="center"/>
              <w:rPr>
                <w:rFonts w:hint="eastAsia" w:ascii="宋体"/>
                <w:color w:val="auto"/>
                <w:szCs w:val="21"/>
                <w:highlight w:val="none"/>
              </w:rPr>
            </w:pPr>
            <w:r>
              <w:rPr>
                <w:rFonts w:hint="eastAsia" w:ascii="宋体"/>
                <w:color w:val="auto"/>
                <w:szCs w:val="21"/>
                <w:highlight w:val="none"/>
              </w:rPr>
              <w:t>…</w:t>
            </w:r>
          </w:p>
        </w:tc>
        <w:tc>
          <w:tcPr>
            <w:tcW w:w="1550" w:type="dxa"/>
            <w:tcBorders>
              <w:top w:val="single" w:color="auto" w:sz="4" w:space="0"/>
              <w:left w:val="single" w:color="auto" w:sz="4" w:space="0"/>
              <w:bottom w:val="single" w:color="auto" w:sz="4" w:space="0"/>
              <w:right w:val="single" w:color="auto" w:sz="4" w:space="0"/>
            </w:tcBorders>
            <w:vAlign w:val="center"/>
          </w:tcPr>
          <w:p w14:paraId="4332FBC3">
            <w:pPr>
              <w:jc w:val="center"/>
              <w:rPr>
                <w:rFonts w:ascii="宋体"/>
                <w:color w:val="auto"/>
                <w:szCs w:val="21"/>
                <w:highlight w:val="none"/>
              </w:rPr>
            </w:pPr>
          </w:p>
        </w:tc>
        <w:tc>
          <w:tcPr>
            <w:tcW w:w="3342" w:type="dxa"/>
            <w:tcBorders>
              <w:top w:val="single" w:color="auto" w:sz="4" w:space="0"/>
              <w:left w:val="single" w:color="auto" w:sz="4" w:space="0"/>
              <w:bottom w:val="single" w:color="auto" w:sz="4" w:space="0"/>
              <w:right w:val="single" w:color="auto" w:sz="4" w:space="0"/>
            </w:tcBorders>
            <w:vAlign w:val="center"/>
          </w:tcPr>
          <w:p w14:paraId="32F11868">
            <w:pPr>
              <w:jc w:val="center"/>
              <w:rPr>
                <w:rFonts w:ascii="宋体"/>
                <w:color w:val="auto"/>
                <w:szCs w:val="21"/>
                <w:highlight w:val="none"/>
              </w:rPr>
            </w:pPr>
          </w:p>
        </w:tc>
        <w:tc>
          <w:tcPr>
            <w:tcW w:w="516" w:type="dxa"/>
            <w:tcBorders>
              <w:top w:val="single" w:color="auto" w:sz="4" w:space="0"/>
              <w:left w:val="single" w:color="auto" w:sz="4" w:space="0"/>
              <w:bottom w:val="single" w:color="auto" w:sz="4" w:space="0"/>
              <w:right w:val="single" w:color="auto" w:sz="4" w:space="0"/>
            </w:tcBorders>
            <w:vAlign w:val="center"/>
          </w:tcPr>
          <w:p w14:paraId="02F3EDC5">
            <w:pPr>
              <w:jc w:val="center"/>
              <w:rPr>
                <w:rFonts w:ascii="宋体"/>
                <w:color w:val="auto"/>
                <w:szCs w:val="21"/>
                <w:highlight w:val="none"/>
              </w:rPr>
            </w:pPr>
          </w:p>
        </w:tc>
        <w:tc>
          <w:tcPr>
            <w:tcW w:w="512" w:type="dxa"/>
            <w:tcBorders>
              <w:top w:val="single" w:color="auto" w:sz="4" w:space="0"/>
              <w:left w:val="single" w:color="auto" w:sz="4" w:space="0"/>
              <w:bottom w:val="single" w:color="auto" w:sz="4" w:space="0"/>
              <w:right w:val="single" w:color="auto" w:sz="4" w:space="0"/>
            </w:tcBorders>
            <w:vAlign w:val="center"/>
          </w:tcPr>
          <w:p w14:paraId="37CD6B46">
            <w:pPr>
              <w:jc w:val="center"/>
              <w:rPr>
                <w:rFonts w:asci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A17A2C9">
            <w:pPr>
              <w:jc w:val="center"/>
              <w:rPr>
                <w:rFonts w:ascii="宋体"/>
                <w:color w:val="auto"/>
                <w:szCs w:val="21"/>
                <w:highlight w:val="none"/>
              </w:rPr>
            </w:pPr>
          </w:p>
        </w:tc>
        <w:tc>
          <w:tcPr>
            <w:tcW w:w="868" w:type="dxa"/>
            <w:tcBorders>
              <w:top w:val="single" w:color="auto" w:sz="4" w:space="0"/>
              <w:left w:val="single" w:color="auto" w:sz="4" w:space="0"/>
              <w:bottom w:val="single" w:color="auto" w:sz="4" w:space="0"/>
              <w:right w:val="single" w:color="auto" w:sz="4" w:space="0"/>
            </w:tcBorders>
            <w:vAlign w:val="center"/>
          </w:tcPr>
          <w:p w14:paraId="7E0B6F44">
            <w:pPr>
              <w:jc w:val="center"/>
              <w:rPr>
                <w:rFonts w:asci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59F33B24">
            <w:pPr>
              <w:jc w:val="center"/>
              <w:rPr>
                <w:rFonts w:ascii="宋体"/>
                <w:color w:val="auto"/>
                <w:szCs w:val="21"/>
                <w:highlight w:val="none"/>
              </w:rPr>
            </w:pPr>
          </w:p>
        </w:tc>
      </w:tr>
      <w:tr w14:paraId="066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4" w:type="dxa"/>
            <w:gridSpan w:val="2"/>
            <w:tcBorders>
              <w:top w:val="single" w:color="auto" w:sz="4" w:space="0"/>
              <w:left w:val="single" w:color="auto" w:sz="4" w:space="0"/>
              <w:bottom w:val="single" w:color="auto" w:sz="4" w:space="0"/>
              <w:right w:val="single" w:color="auto" w:sz="4" w:space="0"/>
            </w:tcBorders>
          </w:tcPr>
          <w:p w14:paraId="1553278E">
            <w:pPr>
              <w:jc w:val="center"/>
              <w:rPr>
                <w:rFonts w:ascii="宋体"/>
                <w:color w:val="auto"/>
                <w:sz w:val="24"/>
                <w:highlight w:val="none"/>
              </w:rPr>
            </w:pPr>
            <w:r>
              <w:rPr>
                <w:rFonts w:hint="eastAsia" w:ascii="宋体"/>
                <w:b/>
                <w:color w:val="auto"/>
                <w:sz w:val="24"/>
                <w:highlight w:val="none"/>
              </w:rPr>
              <w:t>总计</w:t>
            </w:r>
          </w:p>
        </w:tc>
        <w:tc>
          <w:tcPr>
            <w:tcW w:w="7348" w:type="dxa"/>
            <w:gridSpan w:val="6"/>
            <w:tcBorders>
              <w:top w:val="single" w:color="auto" w:sz="4" w:space="0"/>
              <w:left w:val="single" w:color="auto" w:sz="4" w:space="0"/>
              <w:bottom w:val="single" w:color="auto" w:sz="4" w:space="0"/>
              <w:right w:val="single" w:color="auto" w:sz="4" w:space="0"/>
            </w:tcBorders>
          </w:tcPr>
          <w:p w14:paraId="0D03E1E8">
            <w:pPr>
              <w:jc w:val="center"/>
              <w:rPr>
                <w:rFonts w:ascii="宋体"/>
                <w:color w:val="auto"/>
                <w:sz w:val="24"/>
                <w:highlight w:val="none"/>
              </w:rPr>
            </w:pPr>
          </w:p>
        </w:tc>
      </w:tr>
      <w:tr w14:paraId="6E73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4" w:type="dxa"/>
            <w:gridSpan w:val="2"/>
            <w:tcBorders>
              <w:top w:val="single" w:color="auto" w:sz="4" w:space="0"/>
              <w:left w:val="single" w:color="auto" w:sz="4" w:space="0"/>
              <w:bottom w:val="single" w:color="auto" w:sz="4" w:space="0"/>
              <w:right w:val="single" w:color="auto" w:sz="4" w:space="0"/>
            </w:tcBorders>
          </w:tcPr>
          <w:p w14:paraId="3110B76C">
            <w:pPr>
              <w:jc w:val="center"/>
              <w:rPr>
                <w:rFonts w:ascii="宋体"/>
                <w:color w:val="auto"/>
                <w:sz w:val="24"/>
                <w:highlight w:val="none"/>
              </w:rPr>
            </w:pPr>
            <w:r>
              <w:rPr>
                <w:rFonts w:hint="eastAsia" w:ascii="宋体"/>
                <w:color w:val="auto"/>
                <w:sz w:val="24"/>
                <w:highlight w:val="none"/>
              </w:rPr>
              <w:t>税率</w:t>
            </w:r>
            <w:r>
              <w:rPr>
                <w:rFonts w:hint="eastAsia" w:ascii="宋体"/>
                <w:color w:val="auto"/>
                <w:szCs w:val="21"/>
                <w:highlight w:val="none"/>
              </w:rPr>
              <w:t>（</w:t>
            </w:r>
            <w:r>
              <w:rPr>
                <w:rFonts w:hint="eastAsia" w:ascii="宋体"/>
                <w:b/>
                <w:color w:val="auto"/>
                <w:szCs w:val="21"/>
                <w:highlight w:val="none"/>
                <w:u w:val="single"/>
              </w:rPr>
              <w:t>计入总价</w:t>
            </w:r>
            <w:r>
              <w:rPr>
                <w:rFonts w:hint="eastAsia" w:ascii="宋体"/>
                <w:color w:val="auto"/>
                <w:szCs w:val="21"/>
                <w:highlight w:val="none"/>
              </w:rPr>
              <w:t>）</w:t>
            </w:r>
          </w:p>
        </w:tc>
        <w:tc>
          <w:tcPr>
            <w:tcW w:w="7348" w:type="dxa"/>
            <w:gridSpan w:val="6"/>
            <w:tcBorders>
              <w:top w:val="single" w:color="auto" w:sz="4" w:space="0"/>
              <w:left w:val="single" w:color="auto" w:sz="4" w:space="0"/>
              <w:bottom w:val="single" w:color="auto" w:sz="4" w:space="0"/>
              <w:right w:val="single" w:color="auto" w:sz="4" w:space="0"/>
            </w:tcBorders>
          </w:tcPr>
          <w:p w14:paraId="0DA18B52">
            <w:pPr>
              <w:jc w:val="center"/>
              <w:rPr>
                <w:rFonts w:ascii="宋体"/>
                <w:color w:val="auto"/>
                <w:sz w:val="24"/>
                <w:highlight w:val="none"/>
              </w:rPr>
            </w:pPr>
            <w:r>
              <w:rPr>
                <w:rFonts w:hint="eastAsia" w:ascii="宋体"/>
                <w:color w:val="auto"/>
                <w:sz w:val="24"/>
                <w:highlight w:val="none"/>
                <w:lang w:val="en-US" w:eastAsia="zh-CN"/>
              </w:rPr>
              <w:t>13</w:t>
            </w:r>
            <w:r>
              <w:rPr>
                <w:rFonts w:hint="eastAsia" w:ascii="宋体"/>
                <w:color w:val="auto"/>
                <w:sz w:val="24"/>
                <w:highlight w:val="none"/>
              </w:rPr>
              <w:t>%</w:t>
            </w:r>
          </w:p>
        </w:tc>
      </w:tr>
    </w:tbl>
    <w:p w14:paraId="3EE64678">
      <w:pPr>
        <w:spacing w:before="100" w:beforeAutospacing="1" w:after="100" w:afterAutospacing="1" w:line="360" w:lineRule="auto"/>
        <w:rPr>
          <w:rFonts w:ascii="宋体"/>
          <w:color w:val="auto"/>
          <w:sz w:val="30"/>
          <w:highlight w:val="none"/>
        </w:rPr>
      </w:pPr>
      <w:r>
        <w:rPr>
          <w:rFonts w:hint="eastAsia" w:ascii="宋体"/>
          <w:color w:val="auto"/>
          <w:sz w:val="24"/>
          <w:highlight w:val="none"/>
          <w:lang w:eastAsia="zh-CN"/>
        </w:rPr>
        <w:t>供应商</w:t>
      </w:r>
      <w:r>
        <w:rPr>
          <w:rFonts w:hint="eastAsia" w:ascii="宋体"/>
          <w:color w:val="auto"/>
          <w:sz w:val="24"/>
          <w:highlight w:val="none"/>
        </w:rPr>
        <w:t>盖章：</w:t>
      </w:r>
    </w:p>
    <w:p w14:paraId="57B1077B">
      <w:pPr>
        <w:adjustRightInd w:val="0"/>
        <w:snapToGrid w:val="0"/>
        <w:spacing w:before="20" w:after="20"/>
        <w:rPr>
          <w:rFonts w:hint="eastAsia" w:ascii="宋体"/>
          <w:b/>
          <w:color w:val="auto"/>
          <w:sz w:val="18"/>
          <w:szCs w:val="18"/>
          <w:highlight w:val="none"/>
        </w:rPr>
      </w:pPr>
    </w:p>
    <w:p w14:paraId="5AD5E822">
      <w:pPr>
        <w:adjustRightInd w:val="0"/>
        <w:snapToGrid w:val="0"/>
        <w:spacing w:before="20" w:after="20"/>
        <w:rPr>
          <w:rFonts w:ascii="宋体"/>
          <w:b/>
          <w:color w:val="auto"/>
          <w:sz w:val="18"/>
          <w:szCs w:val="18"/>
          <w:highlight w:val="none"/>
        </w:rPr>
      </w:pPr>
      <w:r>
        <w:rPr>
          <w:rFonts w:hint="eastAsia" w:ascii="宋体"/>
          <w:b/>
          <w:color w:val="auto"/>
          <w:sz w:val="18"/>
          <w:szCs w:val="18"/>
          <w:highlight w:val="none"/>
        </w:rPr>
        <w:t>填写要求:</w:t>
      </w:r>
    </w:p>
    <w:p w14:paraId="491263E9">
      <w:pPr>
        <w:tabs>
          <w:tab w:val="center" w:pos="4535"/>
          <w:tab w:val="left" w:pos="5840"/>
        </w:tabs>
        <w:spacing w:line="360" w:lineRule="auto"/>
        <w:jc w:val="both"/>
        <w:rPr>
          <w:rStyle w:val="42"/>
          <w:color w:val="auto"/>
          <w:highlight w:val="none"/>
        </w:rPr>
      </w:pPr>
    </w:p>
    <w:p w14:paraId="7A68C5F4">
      <w:pPr>
        <w:spacing w:before="100" w:beforeAutospacing="1" w:after="100" w:afterAutospacing="1" w:line="360" w:lineRule="auto"/>
        <w:rPr>
          <w:rFonts w:hint="eastAsia" w:ascii="宋体" w:hAnsi="Times New Roman" w:cs="Times New Roman"/>
          <w:color w:val="auto"/>
          <w:sz w:val="24"/>
          <w:szCs w:val="22"/>
          <w:highlight w:val="none"/>
        </w:rPr>
      </w:pPr>
      <w:r>
        <w:rPr>
          <w:rFonts w:hint="eastAsia" w:ascii="宋体" w:hAnsi="Times New Roman" w:cs="Times New Roman"/>
          <w:color w:val="auto"/>
          <w:sz w:val="24"/>
          <w:szCs w:val="22"/>
          <w:highlight w:val="none"/>
        </w:rPr>
        <w:t>授权代表签字</w:t>
      </w:r>
      <w:r>
        <w:rPr>
          <w:rFonts w:hint="eastAsia" w:ascii="宋体" w:hAnsi="Times New Roman" w:cs="Times New Roman"/>
          <w:color w:val="auto"/>
          <w:sz w:val="24"/>
          <w:szCs w:val="22"/>
          <w:highlight w:val="none"/>
          <w:lang w:val="en-US" w:eastAsia="zh-CN"/>
        </w:rPr>
        <w:t>或印鉴</w:t>
      </w:r>
      <w:r>
        <w:rPr>
          <w:rFonts w:hint="eastAsia" w:ascii="宋体" w:hAnsi="Times New Roman" w:cs="Times New Roman"/>
          <w:color w:val="auto"/>
          <w:sz w:val="24"/>
          <w:szCs w:val="22"/>
          <w:highlight w:val="none"/>
        </w:rPr>
        <w:t>：                      日期：   202</w:t>
      </w:r>
      <w:r>
        <w:rPr>
          <w:rFonts w:hint="eastAsia" w:ascii="宋体" w:cs="Times New Roman"/>
          <w:color w:val="auto"/>
          <w:sz w:val="24"/>
          <w:szCs w:val="22"/>
          <w:highlight w:val="none"/>
          <w:lang w:val="en-US" w:eastAsia="zh-CN"/>
        </w:rPr>
        <w:t>5</w:t>
      </w:r>
      <w:r>
        <w:rPr>
          <w:rFonts w:hint="eastAsia" w:ascii="宋体" w:hAnsi="Times New Roman" w:cs="Times New Roman"/>
          <w:color w:val="auto"/>
          <w:sz w:val="24"/>
          <w:szCs w:val="22"/>
          <w:highlight w:val="none"/>
        </w:rPr>
        <w:t>年  月  日</w:t>
      </w:r>
    </w:p>
    <w:p w14:paraId="21F4E619">
      <w:pPr>
        <w:pStyle w:val="9"/>
        <w:rPr>
          <w:rStyle w:val="42"/>
          <w:color w:val="auto"/>
          <w:highlight w:val="none"/>
        </w:rPr>
      </w:pPr>
    </w:p>
    <w:p w14:paraId="08E9A9A9">
      <w:pPr>
        <w:pStyle w:val="9"/>
        <w:rPr>
          <w:rStyle w:val="42"/>
          <w:color w:val="auto"/>
          <w:highlight w:val="none"/>
        </w:rPr>
      </w:pPr>
    </w:p>
    <w:p w14:paraId="3022A8D6">
      <w:pPr>
        <w:rPr>
          <w:rStyle w:val="42"/>
          <w:color w:val="auto"/>
          <w:highlight w:val="none"/>
        </w:rPr>
      </w:pPr>
    </w:p>
    <w:p w14:paraId="6281E6C6">
      <w:pPr>
        <w:pStyle w:val="11"/>
        <w:rPr>
          <w:rStyle w:val="42"/>
          <w:b/>
          <w:color w:val="auto"/>
          <w:highlight w:val="none"/>
        </w:rPr>
      </w:pPr>
    </w:p>
    <w:bookmarkEnd w:id="175"/>
    <w:bookmarkEnd w:id="176"/>
    <w:bookmarkEnd w:id="177"/>
    <w:p w14:paraId="64D66B2B">
      <w:pPr>
        <w:rPr>
          <w:rStyle w:val="42"/>
          <w:rFonts w:hint="eastAsia"/>
          <w:color w:val="auto"/>
          <w:highlight w:val="none"/>
        </w:rPr>
      </w:pPr>
      <w:bookmarkStart w:id="178" w:name="_Toc10122278"/>
      <w:bookmarkStart w:id="179" w:name="_Toc26786"/>
      <w:bookmarkStart w:id="180" w:name="_Toc10184887"/>
    </w:p>
    <w:p w14:paraId="53E5CCC5">
      <w:pPr>
        <w:pStyle w:val="5"/>
        <w:rPr>
          <w:rStyle w:val="42"/>
          <w:rFonts w:hint="eastAsia"/>
          <w:color w:val="auto"/>
          <w:highlight w:val="none"/>
        </w:rPr>
      </w:pPr>
    </w:p>
    <w:p w14:paraId="29E93CCC">
      <w:pPr>
        <w:pStyle w:val="5"/>
        <w:rPr>
          <w:rFonts w:hint="eastAsia"/>
          <w:color w:val="auto"/>
          <w:highlight w:val="none"/>
        </w:rPr>
        <w:sectPr>
          <w:headerReference r:id="rId15" w:type="default"/>
          <w:footerReference r:id="rId16" w:type="default"/>
          <w:pgSz w:w="11907" w:h="16840"/>
          <w:pgMar w:top="1418" w:right="1275" w:bottom="1418" w:left="1531" w:header="1021" w:footer="907" w:gutter="0"/>
          <w:pgNumType w:fmt="decimal"/>
          <w:cols w:space="720" w:num="1"/>
          <w:docGrid w:linePitch="312" w:charSpace="0"/>
        </w:sectPr>
      </w:pPr>
    </w:p>
    <w:p w14:paraId="0823890D">
      <w:pPr>
        <w:rPr>
          <w:rFonts w:hint="eastAsia"/>
          <w:highlight w:val="none"/>
        </w:rPr>
      </w:pPr>
    </w:p>
    <w:p w14:paraId="2354C377">
      <w:pPr>
        <w:pStyle w:val="2"/>
        <w:rPr>
          <w:rFonts w:hint="eastAsia"/>
          <w:highlight w:val="none"/>
        </w:rPr>
      </w:pPr>
    </w:p>
    <w:p w14:paraId="60A82340">
      <w:pPr>
        <w:pStyle w:val="2"/>
        <w:rPr>
          <w:rFonts w:hint="eastAsia"/>
          <w:highlight w:val="none"/>
        </w:rPr>
        <w:sectPr>
          <w:type w:val="continuous"/>
          <w:pgSz w:w="11907" w:h="16840"/>
          <w:pgMar w:top="1418" w:right="1275" w:bottom="1418" w:left="1531" w:header="1021" w:footer="907" w:gutter="0"/>
          <w:pgNumType w:fmt="decimal"/>
          <w:cols w:space="720" w:num="1"/>
          <w:docGrid w:linePitch="312" w:charSpace="0"/>
        </w:sectPr>
      </w:pPr>
    </w:p>
    <w:p w14:paraId="4C657480">
      <w:pPr>
        <w:pStyle w:val="2"/>
        <w:rPr>
          <w:rFonts w:hint="eastAsia"/>
          <w:highlight w:val="none"/>
        </w:rPr>
      </w:pPr>
    </w:p>
    <w:p w14:paraId="26211D2E">
      <w:pPr>
        <w:pStyle w:val="2"/>
        <w:rPr>
          <w:rFonts w:hint="eastAsia"/>
          <w:highlight w:val="none"/>
        </w:rPr>
      </w:pPr>
    </w:p>
    <w:p w14:paraId="51759C2B">
      <w:pPr>
        <w:tabs>
          <w:tab w:val="center" w:pos="4535"/>
          <w:tab w:val="left" w:pos="5840"/>
        </w:tabs>
        <w:spacing w:line="360" w:lineRule="auto"/>
        <w:jc w:val="both"/>
        <w:outlineLvl w:val="1"/>
        <w:rPr>
          <w:rFonts w:ascii="宋体" w:cs="宋体"/>
          <w:b/>
          <w:bCs/>
          <w:color w:val="auto"/>
          <w:sz w:val="30"/>
          <w:szCs w:val="30"/>
          <w:highlight w:val="none"/>
        </w:rPr>
      </w:pPr>
      <w:r>
        <w:rPr>
          <w:rStyle w:val="42"/>
          <w:rFonts w:hint="eastAsia"/>
          <w:color w:val="auto"/>
          <w:highlight w:val="none"/>
        </w:rPr>
        <w:t>格式四            供应商基本情况表</w:t>
      </w:r>
    </w:p>
    <w:tbl>
      <w:tblPr>
        <w:tblStyle w:val="29"/>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0"/>
        <w:gridCol w:w="413"/>
        <w:gridCol w:w="847"/>
        <w:gridCol w:w="264"/>
        <w:gridCol w:w="276"/>
        <w:gridCol w:w="456"/>
        <w:gridCol w:w="444"/>
        <w:gridCol w:w="203"/>
        <w:gridCol w:w="207"/>
        <w:gridCol w:w="1210"/>
        <w:gridCol w:w="216"/>
        <w:gridCol w:w="317"/>
        <w:gridCol w:w="727"/>
        <w:gridCol w:w="36"/>
        <w:gridCol w:w="641"/>
        <w:gridCol w:w="1339"/>
      </w:tblGrid>
      <w:tr w14:paraId="4037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Align w:val="center"/>
          </w:tcPr>
          <w:p w14:paraId="13EF1A88">
            <w:pPr>
              <w:jc w:val="center"/>
              <w:rPr>
                <w:rFonts w:ascii="宋体" w:cs="宋体"/>
                <w:color w:val="auto"/>
                <w:sz w:val="24"/>
                <w:highlight w:val="none"/>
              </w:rPr>
            </w:pPr>
            <w:r>
              <w:rPr>
                <w:rFonts w:hint="eastAsia" w:ascii="宋体" w:cs="宋体"/>
                <w:color w:val="auto"/>
                <w:sz w:val="24"/>
                <w:highlight w:val="none"/>
              </w:rPr>
              <w:t>单位全称</w:t>
            </w:r>
          </w:p>
        </w:tc>
        <w:tc>
          <w:tcPr>
            <w:tcW w:w="7596" w:type="dxa"/>
            <w:gridSpan w:val="15"/>
            <w:vAlign w:val="center"/>
          </w:tcPr>
          <w:p w14:paraId="03E96924">
            <w:pPr>
              <w:jc w:val="center"/>
              <w:rPr>
                <w:rFonts w:ascii="宋体" w:cs="宋体"/>
                <w:color w:val="auto"/>
                <w:sz w:val="24"/>
                <w:highlight w:val="none"/>
              </w:rPr>
            </w:pPr>
          </w:p>
        </w:tc>
      </w:tr>
      <w:tr w14:paraId="24AD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Align w:val="center"/>
          </w:tcPr>
          <w:p w14:paraId="778417F4">
            <w:pPr>
              <w:jc w:val="center"/>
              <w:rPr>
                <w:rFonts w:ascii="宋体" w:cs="宋体"/>
                <w:color w:val="auto"/>
                <w:sz w:val="24"/>
                <w:highlight w:val="none"/>
              </w:rPr>
            </w:pPr>
            <w:r>
              <w:rPr>
                <w:rFonts w:hint="eastAsia" w:ascii="宋体" w:cs="宋体"/>
                <w:color w:val="auto"/>
                <w:sz w:val="24"/>
                <w:highlight w:val="none"/>
              </w:rPr>
              <w:t>营业执</w:t>
            </w:r>
          </w:p>
          <w:p w14:paraId="7F138FD8">
            <w:pPr>
              <w:jc w:val="center"/>
              <w:rPr>
                <w:rFonts w:ascii="宋体" w:cs="宋体"/>
                <w:color w:val="auto"/>
                <w:sz w:val="24"/>
                <w:highlight w:val="none"/>
              </w:rPr>
            </w:pPr>
            <w:r>
              <w:rPr>
                <w:rFonts w:hint="eastAsia" w:ascii="宋体" w:cs="宋体"/>
                <w:color w:val="auto"/>
                <w:sz w:val="24"/>
                <w:highlight w:val="none"/>
              </w:rPr>
              <w:t>照号码</w:t>
            </w:r>
          </w:p>
        </w:tc>
        <w:tc>
          <w:tcPr>
            <w:tcW w:w="1800" w:type="dxa"/>
            <w:gridSpan w:val="4"/>
            <w:vAlign w:val="center"/>
          </w:tcPr>
          <w:p w14:paraId="45464B79">
            <w:pPr>
              <w:jc w:val="center"/>
              <w:rPr>
                <w:rFonts w:ascii="宋体" w:cs="宋体"/>
                <w:color w:val="auto"/>
                <w:sz w:val="24"/>
                <w:highlight w:val="none"/>
              </w:rPr>
            </w:pPr>
          </w:p>
        </w:tc>
        <w:tc>
          <w:tcPr>
            <w:tcW w:w="1103" w:type="dxa"/>
            <w:gridSpan w:val="3"/>
            <w:vAlign w:val="center"/>
          </w:tcPr>
          <w:p w14:paraId="747A6F7A">
            <w:pPr>
              <w:jc w:val="center"/>
              <w:rPr>
                <w:rFonts w:ascii="宋体" w:cs="宋体"/>
                <w:color w:val="auto"/>
                <w:sz w:val="24"/>
                <w:highlight w:val="none"/>
              </w:rPr>
            </w:pPr>
            <w:r>
              <w:rPr>
                <w:rFonts w:hint="eastAsia" w:ascii="宋体" w:cs="宋体"/>
                <w:color w:val="auto"/>
                <w:sz w:val="24"/>
                <w:highlight w:val="none"/>
              </w:rPr>
              <w:t>税务登</w:t>
            </w:r>
          </w:p>
          <w:p w14:paraId="0A46526D">
            <w:pPr>
              <w:jc w:val="center"/>
              <w:rPr>
                <w:rFonts w:ascii="宋体" w:cs="宋体"/>
                <w:color w:val="auto"/>
                <w:sz w:val="24"/>
                <w:highlight w:val="none"/>
              </w:rPr>
            </w:pPr>
            <w:r>
              <w:rPr>
                <w:rFonts w:hint="eastAsia" w:ascii="宋体" w:cs="宋体"/>
                <w:color w:val="auto"/>
                <w:sz w:val="24"/>
                <w:highlight w:val="none"/>
              </w:rPr>
              <w:t>记号码</w:t>
            </w:r>
          </w:p>
        </w:tc>
        <w:tc>
          <w:tcPr>
            <w:tcW w:w="1633" w:type="dxa"/>
            <w:gridSpan w:val="3"/>
            <w:vAlign w:val="center"/>
          </w:tcPr>
          <w:p w14:paraId="09F6B36C">
            <w:pPr>
              <w:jc w:val="center"/>
              <w:rPr>
                <w:rFonts w:ascii="宋体" w:cs="宋体"/>
                <w:color w:val="auto"/>
                <w:sz w:val="24"/>
                <w:highlight w:val="none"/>
              </w:rPr>
            </w:pPr>
          </w:p>
        </w:tc>
        <w:tc>
          <w:tcPr>
            <w:tcW w:w="1080" w:type="dxa"/>
            <w:gridSpan w:val="3"/>
            <w:vAlign w:val="center"/>
          </w:tcPr>
          <w:p w14:paraId="738292EC">
            <w:pPr>
              <w:jc w:val="center"/>
              <w:rPr>
                <w:rFonts w:ascii="宋体" w:cs="宋体"/>
                <w:color w:val="auto"/>
                <w:sz w:val="24"/>
                <w:highlight w:val="none"/>
              </w:rPr>
            </w:pPr>
            <w:r>
              <w:rPr>
                <w:rFonts w:hint="eastAsia" w:ascii="宋体" w:cs="宋体"/>
                <w:color w:val="auto"/>
                <w:sz w:val="24"/>
                <w:highlight w:val="none"/>
              </w:rPr>
              <w:t>单位法</w:t>
            </w:r>
          </w:p>
          <w:p w14:paraId="288B6408">
            <w:pPr>
              <w:jc w:val="center"/>
              <w:rPr>
                <w:rFonts w:ascii="宋体" w:cs="宋体"/>
                <w:color w:val="auto"/>
                <w:sz w:val="24"/>
                <w:highlight w:val="none"/>
              </w:rPr>
            </w:pPr>
            <w:r>
              <w:rPr>
                <w:rFonts w:hint="eastAsia" w:ascii="宋体" w:cs="宋体"/>
                <w:color w:val="auto"/>
                <w:sz w:val="24"/>
                <w:highlight w:val="none"/>
              </w:rPr>
              <w:t>人代码</w:t>
            </w:r>
          </w:p>
        </w:tc>
        <w:tc>
          <w:tcPr>
            <w:tcW w:w="1980" w:type="dxa"/>
            <w:gridSpan w:val="2"/>
            <w:vAlign w:val="center"/>
          </w:tcPr>
          <w:p w14:paraId="6E87B5E4">
            <w:pPr>
              <w:jc w:val="center"/>
              <w:rPr>
                <w:rFonts w:ascii="宋体" w:cs="宋体"/>
                <w:color w:val="auto"/>
                <w:sz w:val="24"/>
                <w:highlight w:val="none"/>
              </w:rPr>
            </w:pPr>
          </w:p>
        </w:tc>
      </w:tr>
      <w:tr w14:paraId="6DEC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Align w:val="center"/>
          </w:tcPr>
          <w:p w14:paraId="735CBAE9">
            <w:pPr>
              <w:jc w:val="center"/>
              <w:rPr>
                <w:rFonts w:ascii="宋体" w:cs="宋体"/>
                <w:color w:val="auto"/>
                <w:sz w:val="24"/>
                <w:highlight w:val="none"/>
              </w:rPr>
            </w:pPr>
            <w:r>
              <w:rPr>
                <w:rFonts w:hint="eastAsia" w:ascii="宋体" w:cs="宋体"/>
                <w:color w:val="auto"/>
                <w:sz w:val="24"/>
                <w:highlight w:val="none"/>
              </w:rPr>
              <w:t>地址</w:t>
            </w:r>
          </w:p>
        </w:tc>
        <w:tc>
          <w:tcPr>
            <w:tcW w:w="4536" w:type="dxa"/>
            <w:gridSpan w:val="10"/>
            <w:vAlign w:val="center"/>
          </w:tcPr>
          <w:p w14:paraId="7C91B4EC">
            <w:pPr>
              <w:jc w:val="center"/>
              <w:rPr>
                <w:rFonts w:ascii="宋体" w:cs="宋体"/>
                <w:color w:val="auto"/>
                <w:sz w:val="24"/>
                <w:highlight w:val="none"/>
              </w:rPr>
            </w:pPr>
          </w:p>
        </w:tc>
        <w:tc>
          <w:tcPr>
            <w:tcW w:w="1080" w:type="dxa"/>
            <w:gridSpan w:val="3"/>
            <w:vAlign w:val="center"/>
          </w:tcPr>
          <w:p w14:paraId="45DF28B3">
            <w:pPr>
              <w:jc w:val="center"/>
              <w:rPr>
                <w:rFonts w:ascii="宋体" w:cs="宋体"/>
                <w:color w:val="auto"/>
                <w:sz w:val="24"/>
                <w:highlight w:val="none"/>
              </w:rPr>
            </w:pPr>
            <w:r>
              <w:rPr>
                <w:rFonts w:hint="eastAsia" w:ascii="宋体" w:cs="宋体"/>
                <w:color w:val="auto"/>
                <w:sz w:val="24"/>
                <w:highlight w:val="none"/>
              </w:rPr>
              <w:t>邮编</w:t>
            </w:r>
          </w:p>
        </w:tc>
        <w:tc>
          <w:tcPr>
            <w:tcW w:w="1980" w:type="dxa"/>
            <w:gridSpan w:val="2"/>
            <w:vAlign w:val="center"/>
          </w:tcPr>
          <w:p w14:paraId="28D205D1">
            <w:pPr>
              <w:jc w:val="center"/>
              <w:rPr>
                <w:rFonts w:ascii="宋体" w:cs="宋体"/>
                <w:color w:val="auto"/>
                <w:sz w:val="24"/>
                <w:highlight w:val="none"/>
              </w:rPr>
            </w:pPr>
          </w:p>
        </w:tc>
      </w:tr>
      <w:tr w14:paraId="144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Align w:val="center"/>
          </w:tcPr>
          <w:p w14:paraId="4CDA4D8A">
            <w:pPr>
              <w:jc w:val="center"/>
              <w:rPr>
                <w:rFonts w:ascii="宋体" w:cs="宋体"/>
                <w:color w:val="auto"/>
                <w:sz w:val="24"/>
                <w:highlight w:val="none"/>
              </w:rPr>
            </w:pPr>
            <w:r>
              <w:rPr>
                <w:rFonts w:hint="eastAsia" w:ascii="宋体" w:cs="宋体"/>
                <w:color w:val="auto"/>
                <w:sz w:val="24"/>
                <w:highlight w:val="none"/>
              </w:rPr>
              <w:t>电话</w:t>
            </w:r>
          </w:p>
        </w:tc>
        <w:tc>
          <w:tcPr>
            <w:tcW w:w="2256" w:type="dxa"/>
            <w:gridSpan w:val="5"/>
            <w:vAlign w:val="center"/>
          </w:tcPr>
          <w:p w14:paraId="756B2A98">
            <w:pPr>
              <w:jc w:val="center"/>
              <w:rPr>
                <w:rFonts w:ascii="宋体" w:cs="宋体"/>
                <w:color w:val="auto"/>
                <w:sz w:val="24"/>
                <w:highlight w:val="none"/>
              </w:rPr>
            </w:pPr>
          </w:p>
        </w:tc>
        <w:tc>
          <w:tcPr>
            <w:tcW w:w="2280" w:type="dxa"/>
            <w:gridSpan w:val="5"/>
            <w:vAlign w:val="center"/>
          </w:tcPr>
          <w:p w14:paraId="5AC5B3AD">
            <w:pPr>
              <w:jc w:val="center"/>
              <w:rPr>
                <w:rFonts w:ascii="宋体" w:cs="宋体"/>
                <w:color w:val="auto"/>
                <w:sz w:val="24"/>
                <w:highlight w:val="none"/>
              </w:rPr>
            </w:pPr>
            <w:r>
              <w:rPr>
                <w:rFonts w:hint="eastAsia" w:ascii="宋体" w:cs="宋体"/>
                <w:color w:val="auto"/>
                <w:sz w:val="24"/>
                <w:highlight w:val="none"/>
              </w:rPr>
              <w:t>传真</w:t>
            </w:r>
          </w:p>
        </w:tc>
        <w:tc>
          <w:tcPr>
            <w:tcW w:w="3060" w:type="dxa"/>
            <w:gridSpan w:val="5"/>
            <w:vAlign w:val="center"/>
          </w:tcPr>
          <w:p w14:paraId="2CD8D24B">
            <w:pPr>
              <w:jc w:val="center"/>
              <w:rPr>
                <w:rFonts w:ascii="宋体" w:cs="宋体"/>
                <w:color w:val="auto"/>
                <w:sz w:val="24"/>
                <w:highlight w:val="none"/>
              </w:rPr>
            </w:pPr>
          </w:p>
        </w:tc>
      </w:tr>
      <w:tr w14:paraId="7A54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Align w:val="center"/>
          </w:tcPr>
          <w:p w14:paraId="47380915">
            <w:pPr>
              <w:jc w:val="center"/>
              <w:rPr>
                <w:rFonts w:ascii="宋体" w:cs="宋体"/>
                <w:color w:val="auto"/>
                <w:sz w:val="24"/>
                <w:highlight w:val="none"/>
              </w:rPr>
            </w:pPr>
            <w:r>
              <w:rPr>
                <w:rFonts w:hint="eastAsia" w:ascii="宋体" w:cs="宋体"/>
                <w:color w:val="auto"/>
                <w:sz w:val="24"/>
                <w:highlight w:val="none"/>
              </w:rPr>
              <w:t>法定代表人</w:t>
            </w:r>
          </w:p>
        </w:tc>
        <w:tc>
          <w:tcPr>
            <w:tcW w:w="2256" w:type="dxa"/>
            <w:gridSpan w:val="5"/>
            <w:vAlign w:val="center"/>
          </w:tcPr>
          <w:p w14:paraId="74A360E9">
            <w:pPr>
              <w:jc w:val="center"/>
              <w:rPr>
                <w:rFonts w:ascii="宋体" w:cs="宋体"/>
                <w:color w:val="auto"/>
                <w:sz w:val="24"/>
                <w:highlight w:val="none"/>
              </w:rPr>
            </w:pPr>
          </w:p>
        </w:tc>
        <w:tc>
          <w:tcPr>
            <w:tcW w:w="2280" w:type="dxa"/>
            <w:gridSpan w:val="5"/>
            <w:vAlign w:val="center"/>
          </w:tcPr>
          <w:p w14:paraId="48B94BF0">
            <w:pPr>
              <w:ind w:firstLine="720" w:firstLineChars="300"/>
              <w:jc w:val="center"/>
              <w:rPr>
                <w:rFonts w:ascii="宋体" w:cs="宋体"/>
                <w:color w:val="auto"/>
                <w:sz w:val="24"/>
                <w:highlight w:val="none"/>
              </w:rPr>
            </w:pPr>
            <w:r>
              <w:rPr>
                <w:rFonts w:hint="eastAsia" w:ascii="宋体" w:cs="宋体"/>
                <w:color w:val="auto"/>
                <w:sz w:val="24"/>
                <w:highlight w:val="none"/>
              </w:rPr>
              <w:t>建筑面积</w:t>
            </w:r>
          </w:p>
        </w:tc>
        <w:tc>
          <w:tcPr>
            <w:tcW w:w="3060" w:type="dxa"/>
            <w:gridSpan w:val="5"/>
            <w:vAlign w:val="center"/>
          </w:tcPr>
          <w:p w14:paraId="4D91C166">
            <w:pPr>
              <w:ind w:firstLine="1680" w:firstLineChars="700"/>
              <w:jc w:val="center"/>
              <w:rPr>
                <w:rFonts w:ascii="宋体" w:cs="宋体"/>
                <w:color w:val="auto"/>
                <w:sz w:val="24"/>
                <w:highlight w:val="none"/>
              </w:rPr>
            </w:pPr>
            <w:r>
              <w:rPr>
                <w:rFonts w:hint="eastAsia" w:ascii="宋体" w:cs="宋体"/>
                <w:color w:val="auto"/>
                <w:sz w:val="24"/>
                <w:highlight w:val="none"/>
              </w:rPr>
              <w:t>平方米</w:t>
            </w:r>
          </w:p>
        </w:tc>
      </w:tr>
      <w:tr w14:paraId="2F5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728" w:type="dxa"/>
            <w:gridSpan w:val="2"/>
            <w:vAlign w:val="center"/>
          </w:tcPr>
          <w:p w14:paraId="5737C8FC">
            <w:pPr>
              <w:jc w:val="center"/>
              <w:rPr>
                <w:rFonts w:ascii="宋体" w:cs="宋体"/>
                <w:color w:val="auto"/>
                <w:sz w:val="24"/>
                <w:highlight w:val="none"/>
              </w:rPr>
            </w:pPr>
            <w:r>
              <w:rPr>
                <w:rFonts w:hint="eastAsia" w:ascii="宋体" w:cs="宋体"/>
                <w:color w:val="auto"/>
                <w:sz w:val="24"/>
                <w:highlight w:val="none"/>
              </w:rPr>
              <w:t>注册资本</w:t>
            </w:r>
          </w:p>
        </w:tc>
        <w:tc>
          <w:tcPr>
            <w:tcW w:w="7596" w:type="dxa"/>
            <w:gridSpan w:val="15"/>
            <w:vAlign w:val="center"/>
          </w:tcPr>
          <w:p w14:paraId="6258DC66">
            <w:pPr>
              <w:jc w:val="center"/>
              <w:rPr>
                <w:rFonts w:ascii="宋体" w:cs="宋体"/>
                <w:color w:val="auto"/>
                <w:sz w:val="24"/>
                <w:highlight w:val="none"/>
              </w:rPr>
            </w:pPr>
            <w:r>
              <w:rPr>
                <w:rFonts w:hint="eastAsia" w:ascii="宋体" w:cs="宋体"/>
                <w:color w:val="auto"/>
                <w:sz w:val="24"/>
                <w:highlight w:val="none"/>
              </w:rPr>
              <w:t>万元</w:t>
            </w:r>
          </w:p>
        </w:tc>
      </w:tr>
      <w:tr w14:paraId="1887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728" w:type="dxa"/>
            <w:gridSpan w:val="2"/>
            <w:vMerge w:val="restart"/>
            <w:vAlign w:val="center"/>
          </w:tcPr>
          <w:p w14:paraId="1195A4C6">
            <w:pPr>
              <w:jc w:val="center"/>
              <w:rPr>
                <w:rFonts w:ascii="宋体" w:cs="宋体"/>
                <w:color w:val="auto"/>
                <w:sz w:val="24"/>
                <w:highlight w:val="none"/>
              </w:rPr>
            </w:pPr>
            <w:r>
              <w:rPr>
                <w:rFonts w:hint="eastAsia" w:ascii="宋体" w:cs="宋体"/>
                <w:color w:val="auto"/>
                <w:sz w:val="24"/>
                <w:highlight w:val="none"/>
              </w:rPr>
              <w:t>经营范围</w:t>
            </w:r>
          </w:p>
        </w:tc>
        <w:tc>
          <w:tcPr>
            <w:tcW w:w="1260" w:type="dxa"/>
            <w:gridSpan w:val="2"/>
            <w:vAlign w:val="center"/>
          </w:tcPr>
          <w:p w14:paraId="5DA352A9">
            <w:pPr>
              <w:jc w:val="center"/>
              <w:rPr>
                <w:rFonts w:ascii="宋体" w:cs="宋体"/>
                <w:color w:val="auto"/>
                <w:sz w:val="24"/>
                <w:highlight w:val="none"/>
              </w:rPr>
            </w:pPr>
            <w:r>
              <w:rPr>
                <w:rFonts w:hint="eastAsia" w:ascii="宋体" w:cs="宋体"/>
                <w:color w:val="auto"/>
                <w:sz w:val="24"/>
                <w:highlight w:val="none"/>
              </w:rPr>
              <w:t>主  营</w:t>
            </w:r>
          </w:p>
        </w:tc>
        <w:tc>
          <w:tcPr>
            <w:tcW w:w="6336" w:type="dxa"/>
            <w:gridSpan w:val="13"/>
            <w:vAlign w:val="center"/>
          </w:tcPr>
          <w:p w14:paraId="6480D637">
            <w:pPr>
              <w:jc w:val="center"/>
              <w:rPr>
                <w:rFonts w:ascii="宋体" w:cs="宋体"/>
                <w:color w:val="auto"/>
                <w:sz w:val="24"/>
                <w:highlight w:val="none"/>
              </w:rPr>
            </w:pPr>
          </w:p>
        </w:tc>
      </w:tr>
      <w:tr w14:paraId="6BFE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728" w:type="dxa"/>
            <w:gridSpan w:val="2"/>
            <w:vMerge w:val="continue"/>
            <w:vAlign w:val="center"/>
          </w:tcPr>
          <w:p w14:paraId="39B8B817">
            <w:pPr>
              <w:rPr>
                <w:color w:val="auto"/>
                <w:highlight w:val="none"/>
              </w:rPr>
            </w:pPr>
          </w:p>
        </w:tc>
        <w:tc>
          <w:tcPr>
            <w:tcW w:w="1260" w:type="dxa"/>
            <w:gridSpan w:val="2"/>
            <w:vAlign w:val="center"/>
          </w:tcPr>
          <w:p w14:paraId="21F90CBE">
            <w:pPr>
              <w:jc w:val="center"/>
              <w:rPr>
                <w:rFonts w:ascii="宋体" w:cs="宋体"/>
                <w:color w:val="auto"/>
                <w:sz w:val="24"/>
                <w:highlight w:val="none"/>
              </w:rPr>
            </w:pPr>
            <w:r>
              <w:rPr>
                <w:rFonts w:hint="eastAsia" w:ascii="宋体" w:cs="宋体"/>
                <w:color w:val="auto"/>
                <w:sz w:val="24"/>
                <w:highlight w:val="none"/>
              </w:rPr>
              <w:t>兼  营</w:t>
            </w:r>
          </w:p>
        </w:tc>
        <w:tc>
          <w:tcPr>
            <w:tcW w:w="6336" w:type="dxa"/>
            <w:gridSpan w:val="13"/>
            <w:vAlign w:val="center"/>
          </w:tcPr>
          <w:p w14:paraId="7CBC7E03">
            <w:pPr>
              <w:jc w:val="center"/>
              <w:rPr>
                <w:rFonts w:ascii="宋体" w:cs="宋体"/>
                <w:color w:val="auto"/>
                <w:sz w:val="24"/>
                <w:highlight w:val="none"/>
              </w:rPr>
            </w:pPr>
          </w:p>
        </w:tc>
      </w:tr>
      <w:tr w14:paraId="1E79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gridSpan w:val="2"/>
            <w:vMerge w:val="restart"/>
            <w:vAlign w:val="center"/>
          </w:tcPr>
          <w:p w14:paraId="3EB07FAB">
            <w:pPr>
              <w:jc w:val="center"/>
              <w:rPr>
                <w:rFonts w:ascii="宋体" w:cs="宋体"/>
                <w:color w:val="auto"/>
                <w:sz w:val="24"/>
                <w:highlight w:val="none"/>
              </w:rPr>
            </w:pPr>
            <w:r>
              <w:rPr>
                <w:rFonts w:hint="eastAsia" w:ascii="宋体" w:cs="宋体"/>
                <w:color w:val="auto"/>
                <w:sz w:val="24"/>
                <w:highlight w:val="none"/>
              </w:rPr>
              <w:t>单位员工结构</w:t>
            </w:r>
          </w:p>
        </w:tc>
        <w:tc>
          <w:tcPr>
            <w:tcW w:w="1260" w:type="dxa"/>
            <w:gridSpan w:val="2"/>
            <w:vAlign w:val="center"/>
          </w:tcPr>
          <w:p w14:paraId="197B145A">
            <w:pPr>
              <w:jc w:val="center"/>
              <w:rPr>
                <w:rFonts w:ascii="宋体" w:cs="宋体"/>
                <w:color w:val="auto"/>
                <w:sz w:val="24"/>
                <w:highlight w:val="none"/>
              </w:rPr>
            </w:pPr>
            <w:r>
              <w:rPr>
                <w:rFonts w:hint="eastAsia" w:ascii="宋体" w:cs="宋体"/>
                <w:color w:val="auto"/>
                <w:sz w:val="24"/>
                <w:highlight w:val="none"/>
              </w:rPr>
              <w:t>员工</w:t>
            </w:r>
          </w:p>
          <w:p w14:paraId="647248D8">
            <w:pPr>
              <w:jc w:val="center"/>
              <w:rPr>
                <w:rFonts w:ascii="宋体" w:cs="宋体"/>
                <w:color w:val="auto"/>
                <w:sz w:val="24"/>
                <w:highlight w:val="none"/>
              </w:rPr>
            </w:pPr>
            <w:r>
              <w:rPr>
                <w:rFonts w:hint="eastAsia" w:ascii="宋体" w:cs="宋体"/>
                <w:color w:val="auto"/>
                <w:sz w:val="24"/>
                <w:highlight w:val="none"/>
              </w:rPr>
              <w:t>总数</w:t>
            </w:r>
          </w:p>
        </w:tc>
        <w:tc>
          <w:tcPr>
            <w:tcW w:w="1440" w:type="dxa"/>
            <w:gridSpan w:val="4"/>
            <w:vAlign w:val="center"/>
          </w:tcPr>
          <w:p w14:paraId="61DF5B2A">
            <w:pPr>
              <w:jc w:val="center"/>
              <w:rPr>
                <w:rFonts w:ascii="宋体" w:cs="宋体"/>
                <w:color w:val="auto"/>
                <w:sz w:val="24"/>
                <w:highlight w:val="none"/>
              </w:rPr>
            </w:pPr>
            <w:r>
              <w:rPr>
                <w:rFonts w:hint="eastAsia" w:ascii="宋体" w:cs="宋体"/>
                <w:color w:val="auto"/>
                <w:sz w:val="24"/>
                <w:highlight w:val="none"/>
              </w:rPr>
              <w:t>高级技</w:t>
            </w:r>
          </w:p>
          <w:p w14:paraId="0D316702">
            <w:pPr>
              <w:jc w:val="center"/>
              <w:rPr>
                <w:rFonts w:ascii="宋体" w:cs="宋体"/>
                <w:color w:val="auto"/>
                <w:sz w:val="24"/>
                <w:highlight w:val="none"/>
              </w:rPr>
            </w:pPr>
            <w:r>
              <w:rPr>
                <w:rFonts w:hint="eastAsia" w:ascii="宋体" w:cs="宋体"/>
                <w:color w:val="auto"/>
                <w:sz w:val="24"/>
                <w:highlight w:val="none"/>
              </w:rPr>
              <w:t>术人员</w:t>
            </w:r>
          </w:p>
        </w:tc>
        <w:tc>
          <w:tcPr>
            <w:tcW w:w="1620" w:type="dxa"/>
            <w:gridSpan w:val="3"/>
            <w:vAlign w:val="center"/>
          </w:tcPr>
          <w:p w14:paraId="402D9924">
            <w:pPr>
              <w:jc w:val="center"/>
              <w:rPr>
                <w:rFonts w:ascii="宋体" w:cs="宋体"/>
                <w:color w:val="auto"/>
                <w:sz w:val="24"/>
                <w:highlight w:val="none"/>
              </w:rPr>
            </w:pPr>
            <w:r>
              <w:rPr>
                <w:rFonts w:hint="eastAsia" w:ascii="宋体" w:cs="宋体"/>
                <w:color w:val="auto"/>
                <w:sz w:val="24"/>
                <w:highlight w:val="none"/>
              </w:rPr>
              <w:t>中级技</w:t>
            </w:r>
          </w:p>
          <w:p w14:paraId="20A82DFA">
            <w:pPr>
              <w:jc w:val="center"/>
              <w:rPr>
                <w:rFonts w:ascii="宋体" w:cs="宋体"/>
                <w:color w:val="auto"/>
                <w:sz w:val="24"/>
                <w:highlight w:val="none"/>
              </w:rPr>
            </w:pPr>
            <w:r>
              <w:rPr>
                <w:rFonts w:hint="eastAsia" w:ascii="宋体" w:cs="宋体"/>
                <w:color w:val="auto"/>
                <w:sz w:val="24"/>
                <w:highlight w:val="none"/>
              </w:rPr>
              <w:t>术人员</w:t>
            </w:r>
          </w:p>
        </w:tc>
        <w:tc>
          <w:tcPr>
            <w:tcW w:w="1260" w:type="dxa"/>
            <w:gridSpan w:val="3"/>
            <w:vAlign w:val="center"/>
          </w:tcPr>
          <w:p w14:paraId="7AD09E04">
            <w:pPr>
              <w:jc w:val="center"/>
              <w:rPr>
                <w:rFonts w:ascii="宋体" w:cs="宋体"/>
                <w:color w:val="auto"/>
                <w:sz w:val="24"/>
                <w:highlight w:val="none"/>
              </w:rPr>
            </w:pPr>
            <w:r>
              <w:rPr>
                <w:rFonts w:hint="eastAsia" w:ascii="宋体" w:cs="宋体"/>
                <w:color w:val="auto"/>
                <w:sz w:val="24"/>
                <w:highlight w:val="none"/>
              </w:rPr>
              <w:t>初级技</w:t>
            </w:r>
          </w:p>
          <w:p w14:paraId="3BC4A7ED">
            <w:pPr>
              <w:jc w:val="center"/>
              <w:rPr>
                <w:rFonts w:ascii="宋体" w:cs="宋体"/>
                <w:color w:val="auto"/>
                <w:sz w:val="24"/>
                <w:highlight w:val="none"/>
              </w:rPr>
            </w:pPr>
            <w:r>
              <w:rPr>
                <w:rFonts w:hint="eastAsia" w:ascii="宋体" w:cs="宋体"/>
                <w:color w:val="auto"/>
                <w:sz w:val="24"/>
                <w:highlight w:val="none"/>
              </w:rPr>
              <w:t>术人员</w:t>
            </w:r>
          </w:p>
        </w:tc>
        <w:tc>
          <w:tcPr>
            <w:tcW w:w="2016" w:type="dxa"/>
            <w:gridSpan w:val="3"/>
            <w:vAlign w:val="center"/>
          </w:tcPr>
          <w:p w14:paraId="1AC5109B">
            <w:pPr>
              <w:jc w:val="center"/>
              <w:rPr>
                <w:rFonts w:ascii="宋体" w:cs="宋体"/>
                <w:color w:val="auto"/>
                <w:sz w:val="24"/>
                <w:highlight w:val="none"/>
              </w:rPr>
            </w:pPr>
            <w:r>
              <w:rPr>
                <w:rFonts w:hint="eastAsia" w:ascii="宋体" w:cs="宋体"/>
                <w:color w:val="auto"/>
                <w:sz w:val="24"/>
                <w:highlight w:val="none"/>
              </w:rPr>
              <w:t>行政管</w:t>
            </w:r>
          </w:p>
          <w:p w14:paraId="7CE208B4">
            <w:pPr>
              <w:jc w:val="center"/>
              <w:rPr>
                <w:rFonts w:ascii="宋体" w:cs="宋体"/>
                <w:color w:val="auto"/>
                <w:sz w:val="24"/>
                <w:highlight w:val="none"/>
              </w:rPr>
            </w:pPr>
            <w:r>
              <w:rPr>
                <w:rFonts w:hint="eastAsia" w:ascii="宋体" w:cs="宋体"/>
                <w:color w:val="auto"/>
                <w:sz w:val="24"/>
                <w:highlight w:val="none"/>
              </w:rPr>
              <w:t>理人员</w:t>
            </w:r>
          </w:p>
        </w:tc>
      </w:tr>
      <w:tr w14:paraId="0DFB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728" w:type="dxa"/>
            <w:gridSpan w:val="2"/>
            <w:vMerge w:val="continue"/>
            <w:vAlign w:val="center"/>
          </w:tcPr>
          <w:p w14:paraId="7377D1BE">
            <w:pPr>
              <w:rPr>
                <w:color w:val="auto"/>
                <w:highlight w:val="none"/>
              </w:rPr>
            </w:pPr>
          </w:p>
        </w:tc>
        <w:tc>
          <w:tcPr>
            <w:tcW w:w="1260" w:type="dxa"/>
            <w:gridSpan w:val="2"/>
            <w:vAlign w:val="center"/>
          </w:tcPr>
          <w:p w14:paraId="61C41FE2">
            <w:pPr>
              <w:jc w:val="center"/>
              <w:rPr>
                <w:rFonts w:ascii="宋体" w:cs="宋体"/>
                <w:color w:val="auto"/>
                <w:sz w:val="24"/>
                <w:highlight w:val="none"/>
              </w:rPr>
            </w:pPr>
          </w:p>
        </w:tc>
        <w:tc>
          <w:tcPr>
            <w:tcW w:w="1440" w:type="dxa"/>
            <w:gridSpan w:val="4"/>
            <w:vAlign w:val="center"/>
          </w:tcPr>
          <w:p w14:paraId="6B0EC85C">
            <w:pPr>
              <w:jc w:val="center"/>
              <w:rPr>
                <w:rFonts w:ascii="宋体" w:cs="宋体"/>
                <w:color w:val="auto"/>
                <w:sz w:val="24"/>
                <w:highlight w:val="none"/>
              </w:rPr>
            </w:pPr>
          </w:p>
        </w:tc>
        <w:tc>
          <w:tcPr>
            <w:tcW w:w="1620" w:type="dxa"/>
            <w:gridSpan w:val="3"/>
            <w:vAlign w:val="center"/>
          </w:tcPr>
          <w:p w14:paraId="4797A6A4">
            <w:pPr>
              <w:jc w:val="center"/>
              <w:rPr>
                <w:rFonts w:ascii="宋体" w:cs="宋体"/>
                <w:color w:val="auto"/>
                <w:sz w:val="24"/>
                <w:highlight w:val="none"/>
              </w:rPr>
            </w:pPr>
          </w:p>
        </w:tc>
        <w:tc>
          <w:tcPr>
            <w:tcW w:w="1260" w:type="dxa"/>
            <w:gridSpan w:val="3"/>
            <w:vAlign w:val="center"/>
          </w:tcPr>
          <w:p w14:paraId="086A558D">
            <w:pPr>
              <w:jc w:val="center"/>
              <w:rPr>
                <w:rFonts w:ascii="宋体" w:cs="宋体"/>
                <w:color w:val="auto"/>
                <w:sz w:val="24"/>
                <w:highlight w:val="none"/>
              </w:rPr>
            </w:pPr>
          </w:p>
        </w:tc>
        <w:tc>
          <w:tcPr>
            <w:tcW w:w="2016" w:type="dxa"/>
            <w:gridSpan w:val="3"/>
            <w:vAlign w:val="center"/>
          </w:tcPr>
          <w:p w14:paraId="01506F19">
            <w:pPr>
              <w:jc w:val="center"/>
              <w:rPr>
                <w:rFonts w:ascii="宋体" w:cs="宋体"/>
                <w:color w:val="auto"/>
                <w:sz w:val="24"/>
                <w:highlight w:val="none"/>
              </w:rPr>
            </w:pPr>
          </w:p>
        </w:tc>
      </w:tr>
      <w:tr w14:paraId="7C7B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324" w:type="dxa"/>
            <w:gridSpan w:val="17"/>
            <w:vAlign w:val="center"/>
          </w:tcPr>
          <w:p w14:paraId="276DC125">
            <w:pPr>
              <w:jc w:val="center"/>
              <w:rPr>
                <w:rFonts w:ascii="宋体" w:cs="宋体"/>
                <w:color w:val="auto"/>
                <w:sz w:val="24"/>
                <w:highlight w:val="none"/>
              </w:rPr>
            </w:pPr>
            <w:r>
              <w:rPr>
                <w:rFonts w:hint="eastAsia" w:ascii="宋体" w:cs="宋体"/>
                <w:color w:val="auto"/>
                <w:sz w:val="24"/>
                <w:highlight w:val="none"/>
              </w:rPr>
              <w:t>生产销售状况</w:t>
            </w:r>
          </w:p>
        </w:tc>
      </w:tr>
      <w:tr w14:paraId="5D53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3252" w:type="dxa"/>
            <w:gridSpan w:val="5"/>
            <w:vAlign w:val="center"/>
          </w:tcPr>
          <w:p w14:paraId="37C13BFF">
            <w:pPr>
              <w:jc w:val="center"/>
              <w:rPr>
                <w:rFonts w:ascii="宋体" w:cs="宋体"/>
                <w:color w:val="auto"/>
                <w:sz w:val="24"/>
                <w:highlight w:val="none"/>
              </w:rPr>
            </w:pPr>
            <w:r>
              <w:rPr>
                <w:rFonts w:hint="eastAsia" w:ascii="宋体" w:cs="宋体"/>
                <w:color w:val="auto"/>
                <w:sz w:val="24"/>
                <w:highlight w:val="none"/>
              </w:rPr>
              <w:t>20</w:t>
            </w:r>
            <w:r>
              <w:rPr>
                <w:rFonts w:hint="eastAsia" w:ascii="宋体" w:cs="宋体"/>
                <w:color w:val="auto"/>
                <w:sz w:val="24"/>
                <w:highlight w:val="none"/>
                <w:lang w:val="en-US" w:eastAsia="zh-CN"/>
              </w:rPr>
              <w:t>22</w:t>
            </w:r>
            <w:r>
              <w:rPr>
                <w:rFonts w:hint="eastAsia" w:ascii="宋体" w:cs="宋体"/>
                <w:color w:val="auto"/>
                <w:sz w:val="24"/>
                <w:highlight w:val="none"/>
              </w:rPr>
              <w:t>年</w:t>
            </w:r>
          </w:p>
        </w:tc>
        <w:tc>
          <w:tcPr>
            <w:tcW w:w="3329" w:type="dxa"/>
            <w:gridSpan w:val="8"/>
            <w:vAlign w:val="center"/>
          </w:tcPr>
          <w:p w14:paraId="593565E9">
            <w:pPr>
              <w:jc w:val="center"/>
              <w:rPr>
                <w:rFonts w:ascii="宋体" w:cs="宋体"/>
                <w:color w:val="auto"/>
                <w:sz w:val="24"/>
                <w:highlight w:val="none"/>
              </w:rPr>
            </w:pPr>
            <w:r>
              <w:rPr>
                <w:rFonts w:hint="eastAsia" w:ascii="宋体" w:cs="宋体"/>
                <w:color w:val="auto"/>
                <w:sz w:val="24"/>
                <w:highlight w:val="none"/>
              </w:rPr>
              <w:t>20</w:t>
            </w:r>
            <w:r>
              <w:rPr>
                <w:rFonts w:hint="eastAsia" w:ascii="宋体" w:cs="宋体"/>
                <w:color w:val="auto"/>
                <w:sz w:val="24"/>
                <w:highlight w:val="none"/>
                <w:lang w:val="en-US" w:eastAsia="zh-CN"/>
              </w:rPr>
              <w:t>23</w:t>
            </w:r>
            <w:r>
              <w:rPr>
                <w:rFonts w:hint="eastAsia" w:ascii="宋体" w:cs="宋体"/>
                <w:color w:val="auto"/>
                <w:sz w:val="24"/>
                <w:highlight w:val="none"/>
              </w:rPr>
              <w:t>年</w:t>
            </w:r>
          </w:p>
        </w:tc>
        <w:tc>
          <w:tcPr>
            <w:tcW w:w="2743" w:type="dxa"/>
            <w:gridSpan w:val="4"/>
            <w:vAlign w:val="center"/>
          </w:tcPr>
          <w:p w14:paraId="3CBE6BD8">
            <w:pPr>
              <w:jc w:val="center"/>
              <w:rPr>
                <w:rFonts w:ascii="宋体" w:cs="宋体"/>
                <w:color w:val="auto"/>
                <w:sz w:val="24"/>
                <w:highlight w:val="none"/>
              </w:rPr>
            </w:pPr>
            <w:r>
              <w:rPr>
                <w:rFonts w:hint="eastAsia" w:ascii="宋体" w:cs="宋体"/>
                <w:color w:val="auto"/>
                <w:sz w:val="24"/>
                <w:highlight w:val="none"/>
              </w:rPr>
              <w:t>202</w:t>
            </w:r>
            <w:r>
              <w:rPr>
                <w:rFonts w:hint="eastAsia" w:ascii="宋体" w:cs="宋体"/>
                <w:color w:val="auto"/>
                <w:sz w:val="24"/>
                <w:highlight w:val="none"/>
                <w:lang w:val="en-US" w:eastAsia="zh-CN"/>
              </w:rPr>
              <w:t>4</w:t>
            </w:r>
            <w:r>
              <w:rPr>
                <w:rFonts w:hint="eastAsia" w:ascii="宋体" w:cs="宋体"/>
                <w:color w:val="auto"/>
                <w:sz w:val="24"/>
                <w:highlight w:val="none"/>
              </w:rPr>
              <w:t>年</w:t>
            </w:r>
          </w:p>
        </w:tc>
      </w:tr>
      <w:tr w14:paraId="7F12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638" w:type="dxa"/>
            <w:vAlign w:val="center"/>
          </w:tcPr>
          <w:p w14:paraId="36646235">
            <w:pPr>
              <w:jc w:val="center"/>
              <w:rPr>
                <w:rFonts w:ascii="宋体" w:cs="宋体"/>
                <w:color w:val="auto"/>
                <w:sz w:val="20"/>
                <w:szCs w:val="20"/>
                <w:highlight w:val="none"/>
              </w:rPr>
            </w:pPr>
            <w:r>
              <w:rPr>
                <w:rFonts w:hint="eastAsia" w:ascii="宋体" w:cs="宋体"/>
                <w:color w:val="auto"/>
                <w:sz w:val="20"/>
                <w:szCs w:val="20"/>
                <w:highlight w:val="none"/>
              </w:rPr>
              <w:t>年产量</w:t>
            </w:r>
          </w:p>
        </w:tc>
        <w:tc>
          <w:tcPr>
            <w:tcW w:w="1614" w:type="dxa"/>
            <w:gridSpan w:val="4"/>
            <w:vAlign w:val="center"/>
          </w:tcPr>
          <w:p w14:paraId="5475D667">
            <w:pPr>
              <w:jc w:val="center"/>
              <w:rPr>
                <w:rFonts w:ascii="宋体" w:cs="宋体"/>
                <w:color w:val="auto"/>
                <w:sz w:val="20"/>
                <w:szCs w:val="20"/>
                <w:highlight w:val="none"/>
              </w:rPr>
            </w:pPr>
            <w:r>
              <w:rPr>
                <w:rFonts w:hint="eastAsia" w:ascii="宋体" w:cs="宋体"/>
                <w:color w:val="auto"/>
                <w:sz w:val="20"/>
                <w:szCs w:val="20"/>
                <w:highlight w:val="none"/>
              </w:rPr>
              <w:t>年销售额</w:t>
            </w:r>
          </w:p>
          <w:p w14:paraId="733AB7C3">
            <w:pPr>
              <w:jc w:val="center"/>
              <w:rPr>
                <w:rFonts w:ascii="宋体" w:cs="宋体"/>
                <w:color w:val="auto"/>
                <w:sz w:val="20"/>
                <w:szCs w:val="20"/>
                <w:highlight w:val="none"/>
              </w:rPr>
            </w:pPr>
            <w:r>
              <w:rPr>
                <w:rFonts w:hint="eastAsia" w:ascii="宋体" w:cs="宋体"/>
                <w:color w:val="auto"/>
                <w:sz w:val="20"/>
                <w:szCs w:val="20"/>
                <w:highlight w:val="none"/>
              </w:rPr>
              <w:t>（万元）</w:t>
            </w:r>
          </w:p>
        </w:tc>
        <w:tc>
          <w:tcPr>
            <w:tcW w:w="1586" w:type="dxa"/>
            <w:gridSpan w:val="5"/>
            <w:vAlign w:val="center"/>
          </w:tcPr>
          <w:p w14:paraId="72CCDB9C">
            <w:pPr>
              <w:jc w:val="center"/>
              <w:rPr>
                <w:rFonts w:ascii="宋体" w:cs="宋体"/>
                <w:color w:val="auto"/>
                <w:sz w:val="20"/>
                <w:szCs w:val="20"/>
                <w:highlight w:val="none"/>
              </w:rPr>
            </w:pPr>
            <w:r>
              <w:rPr>
                <w:rFonts w:hint="eastAsia" w:ascii="宋体" w:cs="宋体"/>
                <w:color w:val="auto"/>
                <w:sz w:val="20"/>
                <w:szCs w:val="20"/>
                <w:highlight w:val="none"/>
              </w:rPr>
              <w:t>年产量</w:t>
            </w:r>
          </w:p>
        </w:tc>
        <w:tc>
          <w:tcPr>
            <w:tcW w:w="1743" w:type="dxa"/>
            <w:gridSpan w:val="3"/>
            <w:vAlign w:val="center"/>
          </w:tcPr>
          <w:p w14:paraId="428480AB">
            <w:pPr>
              <w:jc w:val="center"/>
              <w:rPr>
                <w:rFonts w:ascii="宋体" w:cs="宋体"/>
                <w:color w:val="auto"/>
                <w:sz w:val="20"/>
                <w:szCs w:val="20"/>
                <w:highlight w:val="none"/>
              </w:rPr>
            </w:pPr>
            <w:r>
              <w:rPr>
                <w:rFonts w:hint="eastAsia" w:ascii="宋体" w:cs="宋体"/>
                <w:color w:val="auto"/>
                <w:sz w:val="20"/>
                <w:szCs w:val="20"/>
                <w:highlight w:val="none"/>
              </w:rPr>
              <w:t>年销售额</w:t>
            </w:r>
          </w:p>
          <w:p w14:paraId="1A02DB58">
            <w:pPr>
              <w:jc w:val="center"/>
              <w:rPr>
                <w:rFonts w:ascii="宋体" w:cs="宋体"/>
                <w:color w:val="auto"/>
                <w:sz w:val="20"/>
                <w:szCs w:val="20"/>
                <w:highlight w:val="none"/>
              </w:rPr>
            </w:pPr>
            <w:r>
              <w:rPr>
                <w:rFonts w:hint="eastAsia" w:ascii="宋体" w:cs="宋体"/>
                <w:color w:val="auto"/>
                <w:sz w:val="20"/>
                <w:szCs w:val="20"/>
                <w:highlight w:val="none"/>
              </w:rPr>
              <w:t>（万元）</w:t>
            </w:r>
          </w:p>
        </w:tc>
        <w:tc>
          <w:tcPr>
            <w:tcW w:w="1404" w:type="dxa"/>
            <w:gridSpan w:val="3"/>
            <w:vAlign w:val="center"/>
          </w:tcPr>
          <w:p w14:paraId="7DE11925">
            <w:pPr>
              <w:jc w:val="center"/>
              <w:rPr>
                <w:rFonts w:ascii="宋体" w:cs="宋体"/>
                <w:color w:val="auto"/>
                <w:sz w:val="20"/>
                <w:szCs w:val="20"/>
                <w:highlight w:val="none"/>
              </w:rPr>
            </w:pPr>
            <w:r>
              <w:rPr>
                <w:rFonts w:hint="eastAsia" w:ascii="宋体" w:cs="宋体"/>
                <w:color w:val="auto"/>
                <w:sz w:val="20"/>
                <w:szCs w:val="20"/>
                <w:highlight w:val="none"/>
              </w:rPr>
              <w:t>年产量</w:t>
            </w:r>
          </w:p>
        </w:tc>
        <w:tc>
          <w:tcPr>
            <w:tcW w:w="1339" w:type="dxa"/>
            <w:vAlign w:val="center"/>
          </w:tcPr>
          <w:p w14:paraId="494DD91F">
            <w:pPr>
              <w:jc w:val="center"/>
              <w:rPr>
                <w:rFonts w:ascii="宋体" w:cs="宋体"/>
                <w:color w:val="auto"/>
                <w:sz w:val="20"/>
                <w:szCs w:val="20"/>
                <w:highlight w:val="none"/>
              </w:rPr>
            </w:pPr>
            <w:r>
              <w:rPr>
                <w:rFonts w:hint="eastAsia" w:ascii="宋体" w:cs="宋体"/>
                <w:color w:val="auto"/>
                <w:sz w:val="20"/>
                <w:szCs w:val="20"/>
                <w:highlight w:val="none"/>
              </w:rPr>
              <w:t>年销售额</w:t>
            </w:r>
          </w:p>
          <w:p w14:paraId="2F808AA3">
            <w:pPr>
              <w:jc w:val="center"/>
              <w:rPr>
                <w:rFonts w:ascii="宋体" w:cs="宋体"/>
                <w:color w:val="auto"/>
                <w:sz w:val="20"/>
                <w:szCs w:val="20"/>
                <w:highlight w:val="none"/>
              </w:rPr>
            </w:pPr>
            <w:r>
              <w:rPr>
                <w:rFonts w:hint="eastAsia" w:ascii="宋体" w:cs="宋体"/>
                <w:color w:val="auto"/>
                <w:sz w:val="20"/>
                <w:szCs w:val="20"/>
                <w:highlight w:val="none"/>
              </w:rPr>
              <w:t>（万元）</w:t>
            </w:r>
          </w:p>
        </w:tc>
      </w:tr>
      <w:tr w14:paraId="07AE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638" w:type="dxa"/>
            <w:vAlign w:val="center"/>
          </w:tcPr>
          <w:p w14:paraId="3294D991">
            <w:pPr>
              <w:jc w:val="center"/>
              <w:rPr>
                <w:rFonts w:ascii="宋体" w:cs="宋体"/>
                <w:color w:val="auto"/>
                <w:sz w:val="24"/>
                <w:highlight w:val="none"/>
              </w:rPr>
            </w:pPr>
          </w:p>
        </w:tc>
        <w:tc>
          <w:tcPr>
            <w:tcW w:w="1614" w:type="dxa"/>
            <w:gridSpan w:val="4"/>
            <w:vAlign w:val="center"/>
          </w:tcPr>
          <w:p w14:paraId="5B2F5382">
            <w:pPr>
              <w:jc w:val="center"/>
              <w:rPr>
                <w:rFonts w:ascii="宋体" w:cs="宋体"/>
                <w:color w:val="auto"/>
                <w:sz w:val="24"/>
                <w:highlight w:val="none"/>
              </w:rPr>
            </w:pPr>
          </w:p>
        </w:tc>
        <w:tc>
          <w:tcPr>
            <w:tcW w:w="1586" w:type="dxa"/>
            <w:gridSpan w:val="5"/>
            <w:vAlign w:val="center"/>
          </w:tcPr>
          <w:p w14:paraId="2B5BC890">
            <w:pPr>
              <w:jc w:val="center"/>
              <w:rPr>
                <w:rFonts w:ascii="宋体" w:cs="宋体"/>
                <w:color w:val="auto"/>
                <w:sz w:val="24"/>
                <w:highlight w:val="none"/>
              </w:rPr>
            </w:pPr>
          </w:p>
        </w:tc>
        <w:tc>
          <w:tcPr>
            <w:tcW w:w="1743" w:type="dxa"/>
            <w:gridSpan w:val="3"/>
            <w:vAlign w:val="center"/>
          </w:tcPr>
          <w:p w14:paraId="1FC188A2">
            <w:pPr>
              <w:jc w:val="center"/>
              <w:rPr>
                <w:rFonts w:ascii="宋体" w:cs="宋体"/>
                <w:color w:val="auto"/>
                <w:sz w:val="24"/>
                <w:highlight w:val="none"/>
              </w:rPr>
            </w:pPr>
          </w:p>
        </w:tc>
        <w:tc>
          <w:tcPr>
            <w:tcW w:w="1404" w:type="dxa"/>
            <w:gridSpan w:val="3"/>
            <w:vAlign w:val="center"/>
          </w:tcPr>
          <w:p w14:paraId="3FF072AC">
            <w:pPr>
              <w:jc w:val="center"/>
              <w:rPr>
                <w:rFonts w:ascii="宋体" w:cs="宋体"/>
                <w:color w:val="auto"/>
                <w:sz w:val="24"/>
                <w:highlight w:val="none"/>
              </w:rPr>
            </w:pPr>
          </w:p>
        </w:tc>
        <w:tc>
          <w:tcPr>
            <w:tcW w:w="1339" w:type="dxa"/>
            <w:vAlign w:val="center"/>
          </w:tcPr>
          <w:p w14:paraId="1A4C89B3">
            <w:pPr>
              <w:jc w:val="center"/>
              <w:rPr>
                <w:rFonts w:ascii="宋体" w:cs="宋体"/>
                <w:color w:val="auto"/>
                <w:sz w:val="24"/>
                <w:highlight w:val="none"/>
              </w:rPr>
            </w:pPr>
          </w:p>
        </w:tc>
      </w:tr>
      <w:tr w14:paraId="67F7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41" w:type="dxa"/>
            <w:gridSpan w:val="3"/>
            <w:vMerge w:val="restart"/>
            <w:vAlign w:val="center"/>
          </w:tcPr>
          <w:p w14:paraId="5CE260E1">
            <w:pPr>
              <w:jc w:val="center"/>
              <w:rPr>
                <w:rFonts w:ascii="宋体" w:cs="宋体"/>
                <w:color w:val="auto"/>
                <w:sz w:val="24"/>
                <w:highlight w:val="none"/>
              </w:rPr>
            </w:pPr>
            <w:r>
              <w:rPr>
                <w:rFonts w:hint="eastAsia" w:ascii="宋体" w:cs="宋体"/>
                <w:color w:val="auto"/>
                <w:sz w:val="24"/>
                <w:highlight w:val="none"/>
              </w:rPr>
              <w:t>主要原材料、配件进货渠道（可另附纸）</w:t>
            </w:r>
          </w:p>
        </w:tc>
        <w:tc>
          <w:tcPr>
            <w:tcW w:w="2697" w:type="dxa"/>
            <w:gridSpan w:val="7"/>
            <w:vAlign w:val="center"/>
          </w:tcPr>
          <w:p w14:paraId="09B238C5">
            <w:pPr>
              <w:jc w:val="center"/>
              <w:rPr>
                <w:rFonts w:ascii="宋体" w:cs="宋体"/>
                <w:color w:val="auto"/>
                <w:sz w:val="24"/>
                <w:highlight w:val="none"/>
              </w:rPr>
            </w:pPr>
            <w:r>
              <w:rPr>
                <w:rFonts w:hint="eastAsia" w:ascii="宋体" w:cs="宋体"/>
                <w:color w:val="auto"/>
                <w:sz w:val="24"/>
                <w:highlight w:val="none"/>
              </w:rPr>
              <w:t>原材料、配件名称</w:t>
            </w:r>
          </w:p>
        </w:tc>
        <w:tc>
          <w:tcPr>
            <w:tcW w:w="4486" w:type="dxa"/>
            <w:gridSpan w:val="7"/>
            <w:vAlign w:val="center"/>
          </w:tcPr>
          <w:p w14:paraId="5BB4BE63">
            <w:pPr>
              <w:jc w:val="center"/>
              <w:rPr>
                <w:rFonts w:ascii="宋体" w:cs="宋体"/>
                <w:color w:val="auto"/>
                <w:sz w:val="24"/>
                <w:highlight w:val="none"/>
              </w:rPr>
            </w:pPr>
            <w:r>
              <w:rPr>
                <w:rFonts w:hint="eastAsia" w:ascii="宋体" w:cs="宋体"/>
                <w:color w:val="auto"/>
                <w:sz w:val="24"/>
                <w:highlight w:val="none"/>
              </w:rPr>
              <w:t>生产厂名称</w:t>
            </w:r>
          </w:p>
        </w:tc>
      </w:tr>
      <w:tr w14:paraId="4421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41" w:type="dxa"/>
            <w:gridSpan w:val="3"/>
            <w:vMerge w:val="continue"/>
            <w:vAlign w:val="center"/>
          </w:tcPr>
          <w:p w14:paraId="2C16F238">
            <w:pPr>
              <w:rPr>
                <w:color w:val="auto"/>
                <w:highlight w:val="none"/>
              </w:rPr>
            </w:pPr>
          </w:p>
        </w:tc>
        <w:tc>
          <w:tcPr>
            <w:tcW w:w="2697" w:type="dxa"/>
            <w:gridSpan w:val="7"/>
            <w:vAlign w:val="center"/>
          </w:tcPr>
          <w:p w14:paraId="53391A88">
            <w:pPr>
              <w:jc w:val="center"/>
              <w:rPr>
                <w:rFonts w:ascii="宋体" w:cs="宋体"/>
                <w:color w:val="auto"/>
                <w:sz w:val="24"/>
                <w:highlight w:val="none"/>
              </w:rPr>
            </w:pPr>
          </w:p>
        </w:tc>
        <w:tc>
          <w:tcPr>
            <w:tcW w:w="4486" w:type="dxa"/>
            <w:gridSpan w:val="7"/>
            <w:vAlign w:val="center"/>
          </w:tcPr>
          <w:p w14:paraId="54D32A21">
            <w:pPr>
              <w:jc w:val="center"/>
              <w:rPr>
                <w:rFonts w:ascii="宋体" w:cs="宋体"/>
                <w:color w:val="auto"/>
                <w:sz w:val="24"/>
                <w:highlight w:val="none"/>
              </w:rPr>
            </w:pPr>
          </w:p>
        </w:tc>
      </w:tr>
      <w:tr w14:paraId="7E8F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41" w:type="dxa"/>
            <w:gridSpan w:val="3"/>
            <w:vMerge w:val="continue"/>
            <w:vAlign w:val="center"/>
          </w:tcPr>
          <w:p w14:paraId="11AA2B99">
            <w:pPr>
              <w:rPr>
                <w:color w:val="auto"/>
                <w:highlight w:val="none"/>
              </w:rPr>
            </w:pPr>
          </w:p>
        </w:tc>
        <w:tc>
          <w:tcPr>
            <w:tcW w:w="2697" w:type="dxa"/>
            <w:gridSpan w:val="7"/>
            <w:vAlign w:val="center"/>
          </w:tcPr>
          <w:p w14:paraId="211974CB">
            <w:pPr>
              <w:jc w:val="center"/>
              <w:rPr>
                <w:rFonts w:ascii="宋体" w:cs="宋体"/>
                <w:color w:val="auto"/>
                <w:sz w:val="24"/>
                <w:highlight w:val="none"/>
              </w:rPr>
            </w:pPr>
          </w:p>
        </w:tc>
        <w:tc>
          <w:tcPr>
            <w:tcW w:w="4486" w:type="dxa"/>
            <w:gridSpan w:val="7"/>
            <w:vAlign w:val="center"/>
          </w:tcPr>
          <w:p w14:paraId="55EABF2F">
            <w:pPr>
              <w:jc w:val="center"/>
              <w:rPr>
                <w:rFonts w:ascii="宋体" w:cs="宋体"/>
                <w:color w:val="auto"/>
                <w:sz w:val="24"/>
                <w:highlight w:val="none"/>
              </w:rPr>
            </w:pPr>
          </w:p>
        </w:tc>
      </w:tr>
      <w:tr w14:paraId="1B66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41" w:type="dxa"/>
            <w:gridSpan w:val="3"/>
            <w:vMerge w:val="continue"/>
            <w:vAlign w:val="center"/>
          </w:tcPr>
          <w:p w14:paraId="7AF334DA">
            <w:pPr>
              <w:rPr>
                <w:color w:val="auto"/>
                <w:highlight w:val="none"/>
              </w:rPr>
            </w:pPr>
          </w:p>
        </w:tc>
        <w:tc>
          <w:tcPr>
            <w:tcW w:w="2697" w:type="dxa"/>
            <w:gridSpan w:val="7"/>
            <w:vAlign w:val="center"/>
          </w:tcPr>
          <w:p w14:paraId="22F9B83C">
            <w:pPr>
              <w:jc w:val="center"/>
              <w:rPr>
                <w:rFonts w:ascii="宋体" w:cs="宋体"/>
                <w:color w:val="auto"/>
                <w:sz w:val="24"/>
                <w:highlight w:val="none"/>
              </w:rPr>
            </w:pPr>
          </w:p>
        </w:tc>
        <w:tc>
          <w:tcPr>
            <w:tcW w:w="4486" w:type="dxa"/>
            <w:gridSpan w:val="7"/>
            <w:vAlign w:val="center"/>
          </w:tcPr>
          <w:p w14:paraId="6F47B2A9">
            <w:pPr>
              <w:jc w:val="center"/>
              <w:rPr>
                <w:rFonts w:ascii="宋体" w:cs="宋体"/>
                <w:color w:val="auto"/>
                <w:sz w:val="24"/>
                <w:highlight w:val="none"/>
              </w:rPr>
            </w:pPr>
          </w:p>
        </w:tc>
      </w:tr>
      <w:tr w14:paraId="6A6E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24" w:type="dxa"/>
            <w:gridSpan w:val="17"/>
          </w:tcPr>
          <w:p w14:paraId="1D35D0E9">
            <w:pPr>
              <w:rPr>
                <w:rFonts w:ascii="宋体" w:cs="宋体"/>
                <w:color w:val="auto"/>
                <w:sz w:val="24"/>
                <w:highlight w:val="none"/>
              </w:rPr>
            </w:pPr>
          </w:p>
          <w:p w14:paraId="4D154040">
            <w:pPr>
              <w:rPr>
                <w:rFonts w:ascii="宋体" w:cs="宋体"/>
                <w:color w:val="auto"/>
                <w:sz w:val="24"/>
                <w:highlight w:val="none"/>
              </w:rPr>
            </w:pPr>
            <w:r>
              <w:rPr>
                <w:rFonts w:hint="eastAsia" w:ascii="宋体" w:cs="宋体"/>
                <w:color w:val="auto"/>
                <w:sz w:val="24"/>
                <w:highlight w:val="none"/>
              </w:rPr>
              <w:t>法定代表人（签字或印鉴）：</w:t>
            </w:r>
          </w:p>
          <w:p w14:paraId="63935A54">
            <w:pPr>
              <w:rPr>
                <w:rFonts w:ascii="宋体" w:cs="宋体"/>
                <w:color w:val="auto"/>
                <w:sz w:val="24"/>
                <w:highlight w:val="none"/>
              </w:rPr>
            </w:pPr>
          </w:p>
          <w:p w14:paraId="066FF34C">
            <w:pPr>
              <w:rPr>
                <w:rFonts w:ascii="宋体" w:cs="宋体"/>
                <w:color w:val="auto"/>
                <w:sz w:val="24"/>
                <w:highlight w:val="none"/>
              </w:rPr>
            </w:pPr>
            <w:r>
              <w:rPr>
                <w:rFonts w:hint="eastAsia" w:ascii="宋体" w:cs="宋体"/>
                <w:color w:val="auto"/>
                <w:sz w:val="24"/>
                <w:highlight w:val="none"/>
              </w:rPr>
              <w:t>单位（公章）：</w:t>
            </w:r>
          </w:p>
          <w:p w14:paraId="224C38BB">
            <w:pPr>
              <w:ind w:firstLine="5520" w:firstLineChars="2300"/>
              <w:rPr>
                <w:rFonts w:ascii="宋体" w:cs="宋体"/>
                <w:color w:val="auto"/>
                <w:sz w:val="24"/>
                <w:highlight w:val="none"/>
              </w:rPr>
            </w:pPr>
            <w:r>
              <w:rPr>
                <w:rFonts w:hint="eastAsia" w:ascii="宋体" w:cs="宋体"/>
                <w:color w:val="auto"/>
                <w:sz w:val="24"/>
                <w:highlight w:val="none"/>
              </w:rPr>
              <w:t xml:space="preserve">      年    月   日</w:t>
            </w:r>
          </w:p>
        </w:tc>
      </w:tr>
    </w:tbl>
    <w:p w14:paraId="53EBD547">
      <w:pPr>
        <w:widowControl w:val="0"/>
        <w:spacing w:line="400" w:lineRule="exact"/>
        <w:jc w:val="both"/>
        <w:rPr>
          <w:rFonts w:ascii="宋体"/>
          <w:color w:val="auto"/>
          <w:sz w:val="24"/>
          <w:highlight w:val="none"/>
        </w:rPr>
      </w:pPr>
      <w:r>
        <w:rPr>
          <w:rFonts w:ascii="宋体"/>
          <w:b/>
          <w:color w:val="auto"/>
          <w:sz w:val="24"/>
          <w:szCs w:val="24"/>
          <w:highlight w:val="none"/>
        </w:rPr>
        <w:br w:type="page"/>
      </w:r>
    </w:p>
    <w:p w14:paraId="2ABC5BE7">
      <w:pPr>
        <w:pStyle w:val="4"/>
        <w:rPr>
          <w:color w:val="auto"/>
          <w:highlight w:val="none"/>
        </w:rPr>
      </w:pPr>
      <w:r>
        <w:rPr>
          <w:rFonts w:hint="eastAsia"/>
          <w:color w:val="auto"/>
          <w:highlight w:val="none"/>
        </w:rPr>
        <w:t>格式五               法定代表人身份证明书</w:t>
      </w:r>
      <w:bookmarkEnd w:id="157"/>
      <w:bookmarkEnd w:id="158"/>
      <w:bookmarkEnd w:id="159"/>
      <w:bookmarkEnd w:id="178"/>
      <w:bookmarkEnd w:id="179"/>
      <w:bookmarkEnd w:id="180"/>
    </w:p>
    <w:p w14:paraId="0922B9E2">
      <w:pPr>
        <w:rPr>
          <w:rFonts w:ascii="宋体"/>
          <w:b/>
          <w:color w:val="auto"/>
          <w:sz w:val="32"/>
          <w:szCs w:val="32"/>
          <w:highlight w:val="none"/>
        </w:rPr>
      </w:pPr>
    </w:p>
    <w:p w14:paraId="2C68AD5D">
      <w:pPr>
        <w:autoSpaceDE w:val="0"/>
        <w:autoSpaceDN w:val="0"/>
        <w:adjustRightInd w:val="0"/>
        <w:spacing w:line="480" w:lineRule="auto"/>
        <w:ind w:firstLine="612"/>
        <w:rPr>
          <w:rFonts w:ascii="宋体" w:cs="宋体"/>
          <w:color w:val="auto"/>
          <w:sz w:val="28"/>
          <w:szCs w:val="28"/>
          <w:highlight w:val="none"/>
        </w:rPr>
      </w:pPr>
    </w:p>
    <w:p w14:paraId="24AAACC9">
      <w:pPr>
        <w:autoSpaceDE w:val="0"/>
        <w:autoSpaceDN w:val="0"/>
        <w:adjustRightInd w:val="0"/>
        <w:spacing w:line="480" w:lineRule="auto"/>
        <w:ind w:firstLine="612"/>
        <w:rPr>
          <w:rFonts w:ascii="宋体" w:cs="宋体"/>
          <w:color w:val="auto"/>
          <w:sz w:val="24"/>
          <w:szCs w:val="24"/>
          <w:highlight w:val="none"/>
          <w:lang w:val="zh-CN"/>
        </w:rPr>
      </w:pPr>
      <w:r>
        <w:rPr>
          <w:rFonts w:hint="eastAsia" w:ascii="宋体" w:cs="宋体"/>
          <w:color w:val="auto"/>
          <w:sz w:val="24"/>
          <w:szCs w:val="24"/>
          <w:highlight w:val="none"/>
          <w:lang w:val="zh-CN"/>
        </w:rPr>
        <w:t>单位名称：</w:t>
      </w:r>
      <w:r>
        <w:rPr>
          <w:rFonts w:ascii="宋体" w:cs="宋体"/>
          <w:color w:val="auto"/>
          <w:sz w:val="24"/>
          <w:szCs w:val="24"/>
          <w:highlight w:val="none"/>
          <w:u w:val="single"/>
          <w:lang w:val="zh-CN"/>
        </w:rPr>
        <w:tab/>
      </w:r>
      <w:r>
        <w:rPr>
          <w:rFonts w:hint="eastAsia" w:ascii="宋体" w:cs="宋体"/>
          <w:color w:val="auto"/>
          <w:sz w:val="24"/>
          <w:szCs w:val="24"/>
          <w:highlight w:val="none"/>
          <w:u w:val="single"/>
          <w:lang w:val="en-US" w:eastAsia="zh-CN"/>
        </w:rPr>
        <w:t xml:space="preserve">            </w:t>
      </w:r>
      <w:r>
        <w:rPr>
          <w:rFonts w:ascii="宋体" w:cs="宋体"/>
          <w:color w:val="auto"/>
          <w:sz w:val="24"/>
          <w:szCs w:val="24"/>
          <w:highlight w:val="none"/>
          <w:u w:val="single"/>
          <w:lang w:val="zh-CN"/>
        </w:rPr>
        <w:tab/>
      </w:r>
    </w:p>
    <w:p w14:paraId="27269EBB">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单位性质：</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14:paraId="643CA2C5">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地址：</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r>
        <w:rPr>
          <w:rFonts w:hint="eastAsia" w:ascii="宋体" w:cs="宋体"/>
          <w:color w:val="auto"/>
          <w:sz w:val="24"/>
          <w:szCs w:val="24"/>
          <w:highlight w:val="none"/>
          <w:u w:val="single"/>
          <w:lang w:val="en-US" w:eastAsia="zh-CN"/>
        </w:rPr>
        <w:t xml:space="preserve">           </w:t>
      </w:r>
      <w:r>
        <w:rPr>
          <w:rFonts w:ascii="宋体" w:cs="宋体"/>
          <w:color w:val="auto"/>
          <w:sz w:val="24"/>
          <w:szCs w:val="24"/>
          <w:highlight w:val="none"/>
          <w:u w:val="single"/>
          <w:lang w:val="zh-CN"/>
        </w:rPr>
        <w:tab/>
      </w:r>
    </w:p>
    <w:p w14:paraId="429C83EF">
      <w:pPr>
        <w:autoSpaceDE w:val="0"/>
        <w:autoSpaceDN w:val="0"/>
        <w:adjustRightInd w:val="0"/>
        <w:spacing w:line="480" w:lineRule="auto"/>
        <w:ind w:firstLine="610"/>
        <w:rPr>
          <w:rFonts w:hint="eastAsia" w:ascii="宋体" w:cs="宋体"/>
          <w:color w:val="auto"/>
          <w:sz w:val="24"/>
          <w:szCs w:val="24"/>
          <w:highlight w:val="none"/>
          <w:u w:val="none"/>
          <w:lang w:val="zh-CN"/>
        </w:rPr>
      </w:pPr>
      <w:r>
        <w:rPr>
          <w:rFonts w:hint="eastAsia" w:ascii="宋体" w:cs="宋体"/>
          <w:color w:val="auto"/>
          <w:sz w:val="24"/>
          <w:szCs w:val="24"/>
          <w:highlight w:val="none"/>
          <w:lang w:val="zh-CN"/>
        </w:rPr>
        <w:t>成立时间：</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年</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 xml:space="preserve">月 </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none"/>
          <w:lang w:val="zh-CN"/>
        </w:rPr>
        <w:t>日</w:t>
      </w:r>
    </w:p>
    <w:p w14:paraId="57310BBE">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经营期限：</w:t>
      </w:r>
      <w:r>
        <w:rPr>
          <w:rFonts w:ascii="宋体" w:cs="宋体"/>
          <w:color w:val="auto"/>
          <w:sz w:val="24"/>
          <w:szCs w:val="24"/>
          <w:highlight w:val="none"/>
          <w:u w:val="single"/>
          <w:lang w:val="zh-CN"/>
        </w:rPr>
        <w:tab/>
      </w:r>
      <w:r>
        <w:rPr>
          <w:rFonts w:ascii="宋体" w:cs="宋体"/>
          <w:color w:val="auto"/>
          <w:sz w:val="24"/>
          <w:szCs w:val="24"/>
          <w:highlight w:val="none"/>
          <w:u w:val="single"/>
          <w:lang w:val="zh-CN"/>
        </w:rPr>
        <w:tab/>
      </w:r>
    </w:p>
    <w:p w14:paraId="3CBF782E">
      <w:pPr>
        <w:autoSpaceDE w:val="0"/>
        <w:autoSpaceDN w:val="0"/>
        <w:adjustRightInd w:val="0"/>
        <w:spacing w:line="480" w:lineRule="auto"/>
        <w:ind w:firstLine="610"/>
        <w:rPr>
          <w:rFonts w:ascii="宋体" w:cs="宋体"/>
          <w:color w:val="auto"/>
          <w:sz w:val="24"/>
          <w:szCs w:val="24"/>
          <w:highlight w:val="none"/>
          <w:u w:val="single"/>
          <w:lang w:val="zh-CN"/>
        </w:rPr>
      </w:pPr>
      <w:r>
        <w:rPr>
          <w:rFonts w:hint="eastAsia" w:ascii="宋体" w:cs="宋体"/>
          <w:color w:val="auto"/>
          <w:sz w:val="24"/>
          <w:szCs w:val="24"/>
          <w:highlight w:val="none"/>
          <w:lang w:val="zh-CN"/>
        </w:rPr>
        <w:t>姓名：</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性别：</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年龄：</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lang w:val="zh-CN"/>
        </w:rPr>
        <w:t>职务：</w:t>
      </w:r>
      <w:r>
        <w:rPr>
          <w:rFonts w:ascii="宋体" w:cs="宋体"/>
          <w:color w:val="auto"/>
          <w:sz w:val="24"/>
          <w:szCs w:val="24"/>
          <w:highlight w:val="none"/>
          <w:u w:val="single"/>
          <w:lang w:val="zh-CN"/>
        </w:rPr>
        <w:tab/>
      </w:r>
      <w:r>
        <w:rPr>
          <w:rFonts w:hint="eastAsia" w:ascii="宋体" w:cs="宋体"/>
          <w:color w:val="auto"/>
          <w:sz w:val="24"/>
          <w:szCs w:val="24"/>
          <w:highlight w:val="none"/>
          <w:u w:val="single"/>
          <w:lang w:val="zh-CN"/>
        </w:rPr>
        <w:t xml:space="preserve">     </w:t>
      </w:r>
    </w:p>
    <w:p w14:paraId="368ECECD">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系我单位法定代表人。</w:t>
      </w:r>
    </w:p>
    <w:p w14:paraId="2839FD60">
      <w:pPr>
        <w:autoSpaceDE w:val="0"/>
        <w:autoSpaceDN w:val="0"/>
        <w:adjustRightInd w:val="0"/>
        <w:spacing w:line="480" w:lineRule="auto"/>
        <w:ind w:firstLine="610"/>
        <w:rPr>
          <w:rFonts w:ascii="宋体" w:cs="宋体"/>
          <w:color w:val="auto"/>
          <w:sz w:val="24"/>
          <w:szCs w:val="24"/>
          <w:highlight w:val="none"/>
          <w:lang w:val="zh-CN"/>
        </w:rPr>
      </w:pPr>
      <w:r>
        <w:rPr>
          <w:rFonts w:hint="eastAsia" w:ascii="宋体" w:cs="宋体"/>
          <w:color w:val="auto"/>
          <w:sz w:val="24"/>
          <w:szCs w:val="24"/>
          <w:highlight w:val="none"/>
          <w:lang w:val="zh-CN"/>
        </w:rPr>
        <w:t>特此证明。</w:t>
      </w:r>
    </w:p>
    <w:p w14:paraId="4D59E5A6">
      <w:pPr>
        <w:tabs>
          <w:tab w:val="left" w:pos="720"/>
          <w:tab w:val="left" w:pos="900"/>
        </w:tabs>
        <w:autoSpaceDE w:val="0"/>
        <w:autoSpaceDN w:val="0"/>
        <w:adjustRightInd w:val="0"/>
        <w:spacing w:line="360" w:lineRule="auto"/>
        <w:ind w:firstLine="600"/>
        <w:rPr>
          <w:rFonts w:ascii="宋体" w:cs="宋体"/>
          <w:color w:val="auto"/>
          <w:sz w:val="24"/>
          <w:szCs w:val="24"/>
          <w:highlight w:val="none"/>
          <w:lang w:val="zh-CN"/>
        </w:rPr>
      </w:pPr>
    </w:p>
    <w:p w14:paraId="562A1B97">
      <w:pPr>
        <w:tabs>
          <w:tab w:val="left" w:pos="720"/>
          <w:tab w:val="left" w:pos="900"/>
        </w:tabs>
        <w:autoSpaceDE w:val="0"/>
        <w:autoSpaceDN w:val="0"/>
        <w:adjustRightInd w:val="0"/>
        <w:spacing w:line="360" w:lineRule="auto"/>
        <w:ind w:firstLine="600"/>
        <w:rPr>
          <w:rFonts w:ascii="宋体" w:cs="宋体"/>
          <w:color w:val="auto"/>
          <w:sz w:val="24"/>
          <w:szCs w:val="24"/>
          <w:highlight w:val="none"/>
          <w:u w:val="single"/>
          <w:lang w:val="zh-CN"/>
        </w:rPr>
      </w:pPr>
      <w:r>
        <w:rPr>
          <w:rFonts w:hint="eastAsia" w:ascii="宋体" w:cs="宋体"/>
          <w:color w:val="auto"/>
          <w:sz w:val="24"/>
          <w:szCs w:val="24"/>
          <w:highlight w:val="none"/>
          <w:lang w:val="zh-CN"/>
        </w:rPr>
        <w:t>单位名称（盖章）：</w:t>
      </w:r>
    </w:p>
    <w:p w14:paraId="2E7A7F2D">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14:paraId="774FA519">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r>
        <w:rPr>
          <w:rFonts w:hint="eastAsia" w:ascii="宋体" w:cs="宋体"/>
          <w:color w:val="auto"/>
          <w:sz w:val="24"/>
          <w:szCs w:val="24"/>
          <w:highlight w:val="none"/>
          <w:lang w:val="zh-CN"/>
        </w:rPr>
        <w:t>日期：     年     月    日</w:t>
      </w:r>
    </w:p>
    <w:p w14:paraId="25EB944D">
      <w:pPr>
        <w:pStyle w:val="37"/>
        <w:ind w:left="360" w:firstLine="0" w:firstLineChars="0"/>
        <w:jc w:val="center"/>
        <w:rPr>
          <w:rFonts w:ascii="宋体"/>
          <w:color w:val="auto"/>
          <w:sz w:val="24"/>
          <w:szCs w:val="24"/>
          <w:highlight w:val="none"/>
        </w:rPr>
      </w:pPr>
    </w:p>
    <w:p w14:paraId="3706B637">
      <w:pPr>
        <w:pStyle w:val="37"/>
        <w:ind w:left="360" w:firstLine="0" w:firstLineChars="0"/>
        <w:jc w:val="center"/>
        <w:rPr>
          <w:rFonts w:ascii="宋体"/>
          <w:color w:val="auto"/>
          <w:sz w:val="24"/>
          <w:szCs w:val="24"/>
          <w:highlight w:val="none"/>
        </w:rPr>
      </w:pPr>
      <w:bookmarkStart w:id="181" w:name="_Toc11162_WPSOffice_Level2"/>
      <w:r>
        <w:rPr>
          <w:rFonts w:hint="eastAsia" w:ascii="宋体"/>
          <w:color w:val="auto"/>
          <w:sz w:val="24"/>
          <w:szCs w:val="24"/>
          <w:highlight w:val="none"/>
        </w:rPr>
        <w:t>附法定代表人身份证</w:t>
      </w:r>
      <w:bookmarkEnd w:id="181"/>
      <w:r>
        <w:rPr>
          <w:rFonts w:hint="eastAsia" w:ascii="宋体"/>
          <w:color w:val="auto"/>
          <w:sz w:val="24"/>
          <w:szCs w:val="24"/>
          <w:highlight w:val="none"/>
        </w:rPr>
        <w:t>复印件</w:t>
      </w:r>
    </w:p>
    <w:p w14:paraId="78B3BA4D">
      <w:pPr>
        <w:pStyle w:val="37"/>
        <w:ind w:left="360" w:firstLine="0" w:firstLineChars="0"/>
        <w:jc w:val="center"/>
        <w:rPr>
          <w:rFonts w:ascii="宋体"/>
          <w:color w:val="auto"/>
          <w:sz w:val="28"/>
          <w:szCs w:val="28"/>
          <w:highlight w:val="none"/>
        </w:rPr>
      </w:pPr>
      <w:r>
        <w:rPr>
          <w:rFonts w:ascii="宋体"/>
          <w:color w:val="auto"/>
          <w:sz w:val="24"/>
          <w:szCs w:val="24"/>
          <w:highlight w:val="none"/>
        </w:rPr>
        <w:br w:type="page"/>
      </w:r>
    </w:p>
    <w:p w14:paraId="55DB4093">
      <w:pPr>
        <w:pStyle w:val="4"/>
        <w:rPr>
          <w:rFonts w:ascii="宋体"/>
          <w:color w:val="auto"/>
          <w:sz w:val="24"/>
          <w:szCs w:val="24"/>
          <w:highlight w:val="none"/>
        </w:rPr>
      </w:pPr>
      <w:bookmarkStart w:id="182" w:name="_Toc484699853"/>
      <w:bookmarkStart w:id="183" w:name="_Toc512354291"/>
      <w:bookmarkStart w:id="184" w:name="_Toc30354"/>
      <w:bookmarkStart w:id="185" w:name="_Toc382509465"/>
      <w:bookmarkStart w:id="186" w:name="_Toc10122279"/>
      <w:bookmarkStart w:id="187" w:name="_Toc10184888"/>
      <w:r>
        <w:rPr>
          <w:rFonts w:hint="eastAsia"/>
          <w:color w:val="auto"/>
          <w:highlight w:val="none"/>
        </w:rPr>
        <w:t xml:space="preserve">格式六            </w:t>
      </w:r>
      <w:bookmarkStart w:id="188" w:name="_Toc12139"/>
      <w:r>
        <w:rPr>
          <w:rFonts w:hint="eastAsia"/>
          <w:color w:val="auto"/>
          <w:highlight w:val="none"/>
        </w:rPr>
        <w:t xml:space="preserve"> 法人单位授权书及法人授权委托</w:t>
      </w:r>
      <w:bookmarkEnd w:id="182"/>
      <w:bookmarkEnd w:id="183"/>
      <w:bookmarkEnd w:id="184"/>
      <w:bookmarkEnd w:id="185"/>
      <w:bookmarkEnd w:id="188"/>
      <w:r>
        <w:rPr>
          <w:rFonts w:hint="eastAsia"/>
          <w:color w:val="auto"/>
          <w:highlight w:val="none"/>
        </w:rPr>
        <w:t>书</w:t>
      </w:r>
      <w:bookmarkEnd w:id="186"/>
      <w:bookmarkEnd w:id="187"/>
    </w:p>
    <w:p w14:paraId="35398386">
      <w:pPr>
        <w:spacing w:line="480" w:lineRule="auto"/>
        <w:rPr>
          <w:rFonts w:ascii="宋体"/>
          <w:b/>
          <w:color w:val="auto"/>
          <w:sz w:val="24"/>
          <w:szCs w:val="24"/>
          <w:highlight w:val="none"/>
          <w:u w:val="single"/>
        </w:rPr>
      </w:pPr>
      <w:r>
        <w:rPr>
          <w:rFonts w:hint="eastAsia" w:ascii="宋体" w:cs="宋体"/>
          <w:color w:val="auto"/>
          <w:sz w:val="24"/>
          <w:szCs w:val="24"/>
          <w:highlight w:val="none"/>
          <w:u w:val="single"/>
          <w:lang w:val="zh-CN"/>
        </w:rPr>
        <w:t>（采购人全称）</w:t>
      </w:r>
      <w:r>
        <w:rPr>
          <w:rFonts w:hint="eastAsia" w:ascii="宋体"/>
          <w:color w:val="auto"/>
          <w:sz w:val="24"/>
          <w:szCs w:val="24"/>
          <w:highlight w:val="none"/>
          <w:u w:val="single"/>
        </w:rPr>
        <w:t>：</w:t>
      </w:r>
    </w:p>
    <w:p w14:paraId="5EA342E0">
      <w:pPr>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u w:val="single"/>
          <w:lang w:val="zh-CN"/>
        </w:rPr>
        <w:t>（法定代表人姓名）</w:t>
      </w:r>
      <w:r>
        <w:rPr>
          <w:rFonts w:hint="eastAsia" w:ascii="宋体" w:cs="宋体"/>
          <w:color w:val="auto"/>
          <w:sz w:val="24"/>
          <w:szCs w:val="24"/>
          <w:highlight w:val="none"/>
          <w:lang w:val="zh-CN"/>
        </w:rPr>
        <w:t>系注册于</w:t>
      </w:r>
      <w:r>
        <w:rPr>
          <w:rFonts w:hint="eastAsia" w:ascii="宋体" w:cs="宋体"/>
          <w:color w:val="auto"/>
          <w:sz w:val="24"/>
          <w:szCs w:val="24"/>
          <w:highlight w:val="none"/>
          <w:u w:val="single"/>
          <w:lang w:val="zh-CN"/>
        </w:rPr>
        <w:t xml:space="preserve">        （公司地址）     </w:t>
      </w:r>
      <w:r>
        <w:rPr>
          <w:rFonts w:hint="eastAsia" w:ascii="宋体" w:cs="宋体"/>
          <w:color w:val="auto"/>
          <w:sz w:val="24"/>
          <w:szCs w:val="24"/>
          <w:highlight w:val="none"/>
          <w:lang w:val="zh-CN"/>
        </w:rPr>
        <w:t xml:space="preserve">的  </w:t>
      </w:r>
      <w:r>
        <w:rPr>
          <w:rFonts w:hint="eastAsia" w:ascii="宋体" w:cs="宋体"/>
          <w:color w:val="auto"/>
          <w:sz w:val="24"/>
          <w:szCs w:val="24"/>
          <w:highlight w:val="none"/>
          <w:u w:val="single"/>
          <w:lang w:val="zh-CN"/>
        </w:rPr>
        <w:t>（公司名称）</w:t>
      </w:r>
      <w:r>
        <w:rPr>
          <w:rFonts w:hint="eastAsia" w:ascii="宋体" w:cs="宋体"/>
          <w:color w:val="auto"/>
          <w:sz w:val="24"/>
          <w:szCs w:val="24"/>
          <w:highlight w:val="none"/>
          <w:lang w:val="zh-CN"/>
        </w:rPr>
        <w:t>的法定代表人，现代表公司授权</w:t>
      </w:r>
      <w:r>
        <w:rPr>
          <w:rFonts w:hint="eastAsia" w:ascii="宋体" w:cs="宋体"/>
          <w:color w:val="auto"/>
          <w:sz w:val="24"/>
          <w:szCs w:val="24"/>
          <w:highlight w:val="none"/>
          <w:u w:val="single"/>
          <w:lang w:val="zh-CN"/>
        </w:rPr>
        <w:t xml:space="preserve">                        （被授权人姓名，身份证号码，</w:t>
      </w:r>
      <w:r>
        <w:rPr>
          <w:rFonts w:hint="eastAsia" w:ascii="宋体" w:cs="宋体"/>
          <w:color w:val="auto"/>
          <w:sz w:val="24"/>
          <w:szCs w:val="24"/>
          <w:highlight w:val="none"/>
          <w:u w:val="single"/>
          <w:lang w:val="en-US" w:eastAsia="zh-CN"/>
        </w:rPr>
        <w:t>联系电话</w:t>
      </w:r>
      <w:r>
        <w:rPr>
          <w:rFonts w:hint="eastAsia" w:ascii="宋体" w:cs="宋体"/>
          <w:color w:val="auto"/>
          <w:sz w:val="24"/>
          <w:szCs w:val="24"/>
          <w:highlight w:val="none"/>
          <w:u w:val="single"/>
          <w:lang w:val="zh-CN"/>
        </w:rPr>
        <w:t>）</w:t>
      </w:r>
      <w:r>
        <w:rPr>
          <w:rFonts w:hint="eastAsia" w:ascii="宋体" w:cs="宋体"/>
          <w:color w:val="auto"/>
          <w:sz w:val="24"/>
          <w:szCs w:val="24"/>
          <w:highlight w:val="none"/>
          <w:lang w:val="zh-CN"/>
        </w:rPr>
        <w:t>为我公司合法代理人，代表本公司参加</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lang w:val="zh-CN"/>
        </w:rPr>
        <w:t>（项目名称）</w:t>
      </w:r>
      <w:r>
        <w:rPr>
          <w:rFonts w:hint="eastAsia" w:ascii="宋体" w:cs="宋体"/>
          <w:color w:val="auto"/>
          <w:sz w:val="24"/>
          <w:szCs w:val="24"/>
          <w:highlight w:val="none"/>
          <w:lang w:val="zh-CN"/>
        </w:rPr>
        <w:t>报价、谈判、签约、履约等具体工作，并签署全部有关的文件、协议及合同。</w:t>
      </w:r>
    </w:p>
    <w:p w14:paraId="3F167D19">
      <w:pPr>
        <w:autoSpaceDE w:val="0"/>
        <w:autoSpaceDN w:val="0"/>
        <w:adjustRightInd w:val="0"/>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我公司对被授权人的签名负全部责任。</w:t>
      </w:r>
    </w:p>
    <w:p w14:paraId="35A5196C">
      <w:pPr>
        <w:autoSpaceDE w:val="0"/>
        <w:autoSpaceDN w:val="0"/>
        <w:adjustRightInd w:val="0"/>
        <w:spacing w:line="480" w:lineRule="auto"/>
        <w:ind w:firstLine="480" w:firstLineChars="200"/>
        <w:jc w:val="both"/>
        <w:rPr>
          <w:rFonts w:ascii="宋体" w:cs="宋体"/>
          <w:color w:val="auto"/>
          <w:sz w:val="24"/>
          <w:szCs w:val="24"/>
          <w:highlight w:val="none"/>
          <w:lang w:val="zh-CN"/>
        </w:rPr>
      </w:pPr>
      <w:r>
        <w:rPr>
          <w:rFonts w:hint="eastAsia" w:ascii="宋体" w:cs="宋体"/>
          <w:color w:val="auto"/>
          <w:sz w:val="24"/>
          <w:szCs w:val="24"/>
          <w:highlight w:val="none"/>
          <w:lang w:val="zh-CN"/>
        </w:rPr>
        <w:t>本授权书于</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lang w:val="zh-CN"/>
        </w:rPr>
        <w:t>年</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lang w:val="zh-CN"/>
        </w:rPr>
        <w:t>月</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lang w:val="zh-CN"/>
        </w:rPr>
        <w:t>日签字生效，被授权人签署的所有文件不因授权的撤销而失效。</w:t>
      </w:r>
    </w:p>
    <w:p w14:paraId="3D3B4BEF">
      <w:pPr>
        <w:autoSpaceDE w:val="0"/>
        <w:autoSpaceDN w:val="0"/>
        <w:adjustRightInd w:val="0"/>
        <w:spacing w:line="360" w:lineRule="auto"/>
        <w:ind w:firstLine="480" w:firstLineChars="200"/>
        <w:rPr>
          <w:rFonts w:ascii="宋体" w:cs="宋体"/>
          <w:color w:val="auto"/>
          <w:sz w:val="24"/>
          <w:szCs w:val="24"/>
          <w:highlight w:val="none"/>
          <w:lang w:val="zh-CN"/>
        </w:rPr>
      </w:pPr>
    </w:p>
    <w:p w14:paraId="178C0931">
      <w:pPr>
        <w:spacing w:line="480" w:lineRule="auto"/>
        <w:ind w:firstLine="484" w:firstLineChars="202"/>
        <w:rPr>
          <w:rFonts w:ascii="宋体"/>
          <w:color w:val="auto"/>
          <w:sz w:val="24"/>
          <w:szCs w:val="24"/>
          <w:highlight w:val="none"/>
        </w:rPr>
      </w:pPr>
      <w:r>
        <w:rPr>
          <w:rFonts w:hint="eastAsia" w:ascii="宋体"/>
          <w:color w:val="auto"/>
          <w:sz w:val="24"/>
          <w:szCs w:val="24"/>
          <w:highlight w:val="none"/>
        </w:rPr>
        <w:t>公司名称（公章）：</w:t>
      </w:r>
    </w:p>
    <w:p w14:paraId="64F63720">
      <w:pPr>
        <w:autoSpaceDE w:val="0"/>
        <w:autoSpaceDN w:val="0"/>
        <w:adjustRightInd w:val="0"/>
        <w:spacing w:line="480" w:lineRule="auto"/>
        <w:ind w:firstLine="484" w:firstLineChars="202"/>
        <w:rPr>
          <w:rFonts w:ascii="宋体" w:cs="宋体"/>
          <w:color w:val="auto"/>
          <w:sz w:val="24"/>
          <w:szCs w:val="24"/>
          <w:highlight w:val="none"/>
          <w:u w:val="single"/>
          <w:lang w:val="zh-CN"/>
        </w:rPr>
      </w:pPr>
      <w:r>
        <w:rPr>
          <w:rFonts w:hint="eastAsia" w:ascii="宋体" w:cs="宋体"/>
          <w:color w:val="auto"/>
          <w:sz w:val="24"/>
          <w:szCs w:val="24"/>
          <w:highlight w:val="none"/>
          <w:lang w:val="zh-CN"/>
        </w:rPr>
        <w:t>授权人（签字</w:t>
      </w:r>
      <w:r>
        <w:rPr>
          <w:rFonts w:hint="eastAsia" w:ascii="宋体" w:cs="宋体"/>
          <w:color w:val="auto"/>
          <w:sz w:val="24"/>
          <w:szCs w:val="24"/>
          <w:highlight w:val="none"/>
          <w:lang w:val="en-US" w:eastAsia="zh-CN"/>
        </w:rPr>
        <w:t>或印鉴</w:t>
      </w:r>
      <w:r>
        <w:rPr>
          <w:rFonts w:hint="eastAsia" w:ascii="宋体" w:cs="宋体"/>
          <w:color w:val="auto"/>
          <w:sz w:val="24"/>
          <w:szCs w:val="24"/>
          <w:highlight w:val="none"/>
          <w:lang w:val="zh-CN"/>
        </w:rPr>
        <w:t>）：</w:t>
      </w:r>
    </w:p>
    <w:p w14:paraId="5051C159">
      <w:pPr>
        <w:spacing w:line="480" w:lineRule="auto"/>
        <w:ind w:firstLine="484" w:firstLineChars="202"/>
        <w:rPr>
          <w:rFonts w:ascii="宋体"/>
          <w:color w:val="auto"/>
          <w:sz w:val="24"/>
          <w:szCs w:val="24"/>
          <w:highlight w:val="none"/>
          <w:u w:val="single"/>
        </w:rPr>
      </w:pPr>
      <w:r>
        <w:rPr>
          <w:rFonts w:hint="eastAsia" w:ascii="宋体" w:cs="宋体"/>
          <w:color w:val="auto"/>
          <w:sz w:val="24"/>
          <w:szCs w:val="24"/>
          <w:highlight w:val="none"/>
          <w:lang w:val="en-US" w:eastAsia="zh-CN"/>
        </w:rPr>
        <w:t>授权代表</w:t>
      </w:r>
      <w:r>
        <w:rPr>
          <w:rFonts w:hint="eastAsia" w:ascii="宋体" w:cs="宋体"/>
          <w:color w:val="auto"/>
          <w:sz w:val="24"/>
          <w:szCs w:val="24"/>
          <w:highlight w:val="none"/>
          <w:lang w:val="zh-CN"/>
        </w:rPr>
        <w:t>（签字</w:t>
      </w:r>
      <w:r>
        <w:rPr>
          <w:rFonts w:hint="eastAsia" w:ascii="宋体" w:cs="宋体"/>
          <w:color w:val="auto"/>
          <w:sz w:val="24"/>
          <w:szCs w:val="24"/>
          <w:highlight w:val="none"/>
          <w:lang w:val="en-US" w:eastAsia="zh-CN"/>
        </w:rPr>
        <w:t>或印鉴</w:t>
      </w:r>
      <w:r>
        <w:rPr>
          <w:rFonts w:hint="eastAsia" w:ascii="宋体" w:cs="宋体"/>
          <w:color w:val="auto"/>
          <w:sz w:val="24"/>
          <w:szCs w:val="24"/>
          <w:highlight w:val="none"/>
          <w:lang w:val="zh-CN"/>
        </w:rPr>
        <w:t>）：</w:t>
      </w:r>
    </w:p>
    <w:p w14:paraId="76A9249D">
      <w:pPr>
        <w:spacing w:line="480" w:lineRule="auto"/>
        <w:ind w:firstLine="484" w:firstLineChars="202"/>
        <w:rPr>
          <w:rFonts w:ascii="宋体"/>
          <w:color w:val="auto"/>
          <w:sz w:val="24"/>
          <w:szCs w:val="24"/>
          <w:highlight w:val="none"/>
        </w:rPr>
      </w:pPr>
      <w:r>
        <w:rPr>
          <w:rFonts w:hint="eastAsia" w:ascii="宋体"/>
          <w:color w:val="auto"/>
          <w:sz w:val="24"/>
          <w:szCs w:val="24"/>
          <w:highlight w:val="none"/>
        </w:rPr>
        <w:t>日    期：    年    月    日</w:t>
      </w:r>
    </w:p>
    <w:p w14:paraId="60C6C90C">
      <w:pPr>
        <w:tabs>
          <w:tab w:val="left" w:pos="720"/>
          <w:tab w:val="left" w:pos="900"/>
        </w:tabs>
        <w:autoSpaceDE w:val="0"/>
        <w:autoSpaceDN w:val="0"/>
        <w:adjustRightInd w:val="0"/>
        <w:spacing w:line="360" w:lineRule="auto"/>
        <w:rPr>
          <w:rFonts w:ascii="宋体" w:cs="宋体"/>
          <w:color w:val="auto"/>
          <w:sz w:val="24"/>
          <w:szCs w:val="24"/>
          <w:highlight w:val="none"/>
          <w:lang w:val="zh-CN"/>
        </w:rPr>
      </w:pPr>
    </w:p>
    <w:p w14:paraId="10040160">
      <w:pPr>
        <w:tabs>
          <w:tab w:val="left" w:pos="720"/>
          <w:tab w:val="left" w:pos="900"/>
        </w:tabs>
        <w:autoSpaceDE w:val="0"/>
        <w:autoSpaceDN w:val="0"/>
        <w:adjustRightInd w:val="0"/>
        <w:spacing w:line="360" w:lineRule="auto"/>
        <w:ind w:firstLine="480" w:firstLineChars="200"/>
        <w:jc w:val="left"/>
        <w:rPr>
          <w:rFonts w:hint="eastAsia" w:ascii="宋体"/>
          <w:color w:val="auto"/>
          <w:sz w:val="24"/>
          <w:szCs w:val="24"/>
          <w:highlight w:val="none"/>
        </w:rPr>
      </w:pPr>
      <w:bookmarkStart w:id="189" w:name="_Toc32416_WPSOffice_Level2"/>
      <w:r>
        <w:rPr>
          <w:rFonts w:hint="eastAsia" w:ascii="宋体" w:cs="宋体"/>
          <w:color w:val="auto"/>
          <w:sz w:val="24"/>
          <w:szCs w:val="24"/>
          <w:highlight w:val="none"/>
          <w:lang w:val="zh-CN"/>
        </w:rPr>
        <w:t>附</w:t>
      </w:r>
      <w:r>
        <w:rPr>
          <w:rFonts w:hint="eastAsia" w:ascii="宋体" w:cs="宋体"/>
          <w:color w:val="auto"/>
          <w:sz w:val="24"/>
          <w:szCs w:val="24"/>
          <w:highlight w:val="none"/>
          <w:lang w:val="en-US" w:eastAsia="zh-CN"/>
        </w:rPr>
        <w:t>授权代表</w:t>
      </w:r>
      <w:r>
        <w:rPr>
          <w:rFonts w:hint="eastAsia" w:ascii="宋体" w:cs="宋体"/>
          <w:color w:val="auto"/>
          <w:sz w:val="24"/>
          <w:szCs w:val="24"/>
          <w:highlight w:val="none"/>
          <w:lang w:val="zh-CN"/>
        </w:rPr>
        <w:t>姓名身份证</w:t>
      </w:r>
      <w:bookmarkEnd w:id="189"/>
      <w:r>
        <w:rPr>
          <w:rFonts w:hint="eastAsia" w:ascii="宋体"/>
          <w:color w:val="auto"/>
          <w:sz w:val="24"/>
          <w:szCs w:val="24"/>
          <w:highlight w:val="none"/>
        </w:rPr>
        <w:t>复印件</w:t>
      </w:r>
    </w:p>
    <w:p w14:paraId="244396B5">
      <w:pPr>
        <w:pStyle w:val="7"/>
        <w:jc w:val="left"/>
        <w:rPr>
          <w:rFonts w:hint="default" w:eastAsia="宋体"/>
          <w:color w:val="auto"/>
          <w:highlight w:val="none"/>
          <w:lang w:val="en-US" w:eastAsia="zh-CN"/>
        </w:rPr>
      </w:pPr>
      <w:r>
        <w:rPr>
          <w:rFonts w:hint="eastAsia" w:ascii="宋体" w:hAnsi="宋体" w:eastAsia="宋体" w:cs="宋体"/>
          <w:b w:val="0"/>
          <w:color w:val="auto"/>
          <w:sz w:val="24"/>
          <w:szCs w:val="24"/>
          <w:highlight w:val="none"/>
        </w:rPr>
        <w:t>供应商法人授权代表需提供本人在供应商单位近半年社保证明文件</w:t>
      </w:r>
      <w:r>
        <w:rPr>
          <w:rFonts w:hint="eastAsia" w:ascii="宋体" w:hAnsi="宋体" w:cs="宋体"/>
          <w:b w:val="0"/>
          <w:color w:val="auto"/>
          <w:sz w:val="24"/>
          <w:szCs w:val="24"/>
          <w:highlight w:val="none"/>
          <w:lang w:val="en-US" w:eastAsia="zh-CN"/>
        </w:rPr>
        <w:t>及联系方式</w:t>
      </w:r>
    </w:p>
    <w:p w14:paraId="47A352AA">
      <w:pPr>
        <w:tabs>
          <w:tab w:val="left" w:pos="720"/>
          <w:tab w:val="left" w:pos="900"/>
        </w:tabs>
        <w:autoSpaceDE w:val="0"/>
        <w:autoSpaceDN w:val="0"/>
        <w:adjustRightInd w:val="0"/>
        <w:spacing w:line="360" w:lineRule="auto"/>
        <w:ind w:firstLine="480" w:firstLineChars="200"/>
        <w:rPr>
          <w:rFonts w:ascii="宋体" w:cs="宋体"/>
          <w:color w:val="auto"/>
          <w:sz w:val="24"/>
          <w:szCs w:val="24"/>
          <w:highlight w:val="none"/>
          <w:lang w:val="zh-CN"/>
        </w:rPr>
      </w:pPr>
    </w:p>
    <w:p w14:paraId="543C8784">
      <w:pPr>
        <w:widowControl w:val="0"/>
        <w:tabs>
          <w:tab w:val="left" w:pos="360"/>
          <w:tab w:val="left" w:pos="720"/>
          <w:tab w:val="left" w:pos="3060"/>
        </w:tabs>
        <w:spacing w:line="400" w:lineRule="exact"/>
        <w:jc w:val="both"/>
        <w:rPr>
          <w:rFonts w:ascii="宋体"/>
          <w:b/>
          <w:color w:val="auto"/>
          <w:kern w:val="2"/>
          <w:sz w:val="24"/>
          <w:szCs w:val="24"/>
          <w:highlight w:val="none"/>
        </w:rPr>
      </w:pPr>
      <w:r>
        <w:rPr>
          <w:rFonts w:ascii="宋体"/>
          <w:b/>
          <w:color w:val="auto"/>
          <w:kern w:val="2"/>
          <w:sz w:val="24"/>
          <w:szCs w:val="24"/>
          <w:highlight w:val="none"/>
        </w:rPr>
        <w:br w:type="page"/>
      </w:r>
      <w:bookmarkStart w:id="190" w:name="_Toc382509467"/>
    </w:p>
    <w:bookmarkEnd w:id="190"/>
    <w:p w14:paraId="4C2DEF06">
      <w:pPr>
        <w:pStyle w:val="4"/>
        <w:rPr>
          <w:rFonts w:ascii="宋体"/>
          <w:color w:val="auto"/>
          <w:sz w:val="24"/>
          <w:szCs w:val="24"/>
          <w:highlight w:val="none"/>
        </w:rPr>
      </w:pPr>
      <w:bookmarkStart w:id="191" w:name="_Toc512354294"/>
      <w:bookmarkStart w:id="192" w:name="_Toc382509469"/>
      <w:bookmarkStart w:id="193" w:name="_Toc484699856"/>
      <w:bookmarkStart w:id="194" w:name="_Toc10471"/>
      <w:bookmarkStart w:id="195" w:name="_Toc10122280"/>
      <w:bookmarkStart w:id="196" w:name="_Toc10184889"/>
      <w:r>
        <w:rPr>
          <w:rFonts w:hint="eastAsia"/>
          <w:color w:val="auto"/>
          <w:highlight w:val="none"/>
        </w:rPr>
        <w:t xml:space="preserve">格式七              </w:t>
      </w:r>
      <w:bookmarkEnd w:id="191"/>
      <w:bookmarkEnd w:id="192"/>
      <w:bookmarkEnd w:id="193"/>
      <w:r>
        <w:rPr>
          <w:rFonts w:hint="eastAsia"/>
          <w:color w:val="auto"/>
          <w:highlight w:val="none"/>
        </w:rPr>
        <w:t>供应商资格证明文件</w:t>
      </w:r>
      <w:bookmarkEnd w:id="194"/>
      <w:bookmarkEnd w:id="195"/>
      <w:bookmarkEnd w:id="196"/>
    </w:p>
    <w:p w14:paraId="790DE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auto"/>
          <w:sz w:val="24"/>
          <w:szCs w:val="24"/>
          <w:highlight w:val="none"/>
          <w:lang w:eastAsia="zh-CN"/>
        </w:rPr>
      </w:pPr>
      <w:bookmarkStart w:id="197" w:name="_Toc10122281"/>
      <w:bookmarkStart w:id="198" w:name="_Toc27559"/>
      <w:bookmarkStart w:id="199" w:name="_Toc512354298"/>
      <w:bookmarkStart w:id="200" w:name="_Toc10184890"/>
      <w:bookmarkStart w:id="201" w:name="_Toc484699860"/>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eastAsia="zh-CN"/>
        </w:rPr>
        <w:t>）投标人须为在中华人民共和国境内注册的独立法人，投标人应具备合法有效的营业执照，具有独立承担民事责任的能力（提供营业执照扫描件）；</w:t>
      </w:r>
    </w:p>
    <w:p w14:paraId="59A6DE7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eastAsia="宋体" w:cs="宋体"/>
          <w:color w:val="auto"/>
          <w:highlight w:val="none"/>
          <w:lang w:val="en-US" w:eastAsia="zh-CN"/>
        </w:rPr>
      </w:pPr>
      <w:r>
        <w:rPr>
          <w:rFonts w:hint="eastAsia" w:hAnsi="宋体" w:cs="宋体"/>
          <w:color w:val="auto"/>
          <w:highlight w:val="none"/>
          <w:lang w:val="en-US" w:eastAsia="zh-CN"/>
        </w:rPr>
        <w:t>（2）</w:t>
      </w:r>
      <w:r>
        <w:rPr>
          <w:rFonts w:ascii="宋体" w:hAnsi="宋体" w:eastAsia="宋体" w:cs="宋体"/>
          <w:color w:val="auto"/>
          <w:sz w:val="24"/>
          <w:szCs w:val="24"/>
          <w:highlight w:val="none"/>
        </w:rPr>
        <w:t>供应商须为</w:t>
      </w:r>
      <w:r>
        <w:rPr>
          <w:rFonts w:hint="eastAsia" w:hAnsi="宋体" w:cs="宋体"/>
          <w:color w:val="auto"/>
          <w:sz w:val="24"/>
          <w:szCs w:val="24"/>
          <w:highlight w:val="none"/>
          <w:lang w:val="en-US" w:eastAsia="zh-CN"/>
        </w:rPr>
        <w:t>井下水仓清淤设备的</w:t>
      </w:r>
      <w:r>
        <w:rPr>
          <w:rFonts w:ascii="宋体" w:hAnsi="宋体" w:eastAsia="宋体" w:cs="宋体"/>
          <w:color w:val="auto"/>
          <w:sz w:val="24"/>
          <w:szCs w:val="24"/>
          <w:highlight w:val="none"/>
        </w:rPr>
        <w:t>生产厂家，本项目不接受代理商、经销商等“中间商”参与报价</w:t>
      </w:r>
      <w:r>
        <w:rPr>
          <w:rFonts w:hint="eastAsia" w:ascii="宋体" w:hAnsi="宋体" w:eastAsia="宋体" w:cs="宋体"/>
          <w:color w:val="auto"/>
          <w:sz w:val="24"/>
          <w:szCs w:val="24"/>
          <w:highlight w:val="none"/>
          <w:lang w:eastAsia="zh-CN"/>
        </w:rPr>
        <w:t>。</w:t>
      </w:r>
    </w:p>
    <w:p w14:paraId="6C7E508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highlight w:val="none"/>
          <w:lang w:eastAsia="zh-CN"/>
        </w:rPr>
      </w:pPr>
      <w:r>
        <w:rPr>
          <w:rFonts w:hint="eastAsia" w:hAnsi="宋体" w:cs="宋体"/>
          <w:color w:val="auto"/>
          <w:highlight w:val="none"/>
          <w:lang w:val="en-US" w:eastAsia="zh-CN"/>
        </w:rPr>
        <w:t>（3）</w:t>
      </w:r>
      <w:r>
        <w:rPr>
          <w:rFonts w:hint="eastAsia" w:hAnsi="宋体" w:cs="宋体"/>
          <w:b w:val="0"/>
          <w:bCs w:val="0"/>
          <w:color w:val="auto"/>
          <w:sz w:val="24"/>
          <w:szCs w:val="24"/>
          <w:highlight w:val="none"/>
          <w:lang w:eastAsia="zh-CN"/>
        </w:rPr>
        <w:t>投标人应提供近三年所投</w:t>
      </w:r>
      <w:r>
        <w:rPr>
          <w:rFonts w:hint="eastAsia" w:hAnsi="宋体" w:cs="宋体"/>
          <w:color w:val="auto"/>
          <w:sz w:val="24"/>
          <w:szCs w:val="24"/>
          <w:highlight w:val="none"/>
          <w:lang w:val="en-US" w:eastAsia="zh-CN"/>
        </w:rPr>
        <w:t>井下水仓清淤设备</w:t>
      </w:r>
      <w:r>
        <w:rPr>
          <w:rFonts w:hint="eastAsia" w:hAnsi="宋体" w:cs="宋体"/>
          <w:b w:val="0"/>
          <w:bCs w:val="0"/>
          <w:color w:val="auto"/>
          <w:sz w:val="24"/>
          <w:szCs w:val="24"/>
          <w:highlight w:val="none"/>
          <w:lang w:eastAsia="zh-CN"/>
        </w:rPr>
        <w:t>产品（2022年1月1日起至今，以合同签订时间为准）</w:t>
      </w:r>
      <w:r>
        <w:rPr>
          <w:rFonts w:hint="eastAsia" w:hAnsi="宋体" w:cs="宋体"/>
          <w:b w:val="0"/>
          <w:bCs w:val="0"/>
          <w:color w:val="auto"/>
          <w:sz w:val="24"/>
          <w:szCs w:val="24"/>
          <w:highlight w:val="none"/>
          <w:lang w:val="en-US" w:eastAsia="zh-CN"/>
        </w:rPr>
        <w:t>至少一项业绩</w:t>
      </w:r>
      <w:r>
        <w:rPr>
          <w:rFonts w:hint="eastAsia" w:hAnsi="宋体" w:cs="宋体"/>
          <w:b w:val="0"/>
          <w:bCs w:val="0"/>
          <w:color w:val="auto"/>
          <w:sz w:val="24"/>
          <w:szCs w:val="24"/>
          <w:highlight w:val="none"/>
          <w:lang w:eastAsia="zh-CN"/>
        </w:rPr>
        <w:t>（提供合同扫描件，合同无签订生效时间、合同首页、主要内容页、签字盖章页、印章不全的合同视为无效业绩）</w:t>
      </w:r>
      <w:r>
        <w:rPr>
          <w:rFonts w:hint="eastAsia" w:hAnsi="宋体" w:cs="宋体"/>
          <w:color w:val="auto"/>
          <w:highlight w:val="none"/>
          <w:lang w:val="en-US" w:eastAsia="zh-CN"/>
        </w:rPr>
        <w:t>；</w:t>
      </w:r>
    </w:p>
    <w:p w14:paraId="181A72D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（4）单位负责人为同一人或者存在控股、管理关系、关联关系的不同单位，不可以在同一标段投标或者未划分标段的同一采购项目中参加报价；</w:t>
      </w:r>
    </w:p>
    <w:p w14:paraId="2384478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hAnsi="宋体" w:cs="宋体"/>
          <w:color w:val="auto"/>
          <w:highlight w:val="none"/>
          <w:lang w:val="en-US" w:eastAsia="zh-CN"/>
        </w:rPr>
      </w:pPr>
      <w:r>
        <w:rPr>
          <w:rFonts w:hint="eastAsia" w:hAnsi="宋体" w:cs="宋体"/>
          <w:color w:val="auto"/>
          <w:highlight w:val="none"/>
          <w:lang w:val="en-US" w:eastAsia="zh-CN"/>
        </w:rPr>
        <w:t>（5）本项目是否接受联合体投标：否。</w:t>
      </w:r>
    </w:p>
    <w:p w14:paraId="5C441FB9">
      <w:pPr>
        <w:spacing w:line="480" w:lineRule="auto"/>
        <w:ind w:firstLine="442" w:firstLineChars="200"/>
        <w:rPr>
          <w:rFonts w:hint="eastAsia" w:hAnsi="宋体" w:cs="宋体"/>
          <w:b w:val="0"/>
          <w:bCs w:val="0"/>
          <w:color w:val="auto"/>
          <w:sz w:val="24"/>
          <w:szCs w:val="24"/>
          <w:highlight w:val="none"/>
          <w:lang w:eastAsia="zh-CN"/>
        </w:rPr>
      </w:pPr>
      <w:r>
        <w:rPr>
          <w:rFonts w:hint="eastAsia" w:hAnsi="宋体" w:cs="宋体"/>
          <w:b/>
          <w:bCs/>
          <w:color w:val="auto"/>
          <w:sz w:val="22"/>
          <w:szCs w:val="22"/>
          <w:highlight w:val="none"/>
          <w:lang w:eastAsia="zh-CN"/>
        </w:rPr>
        <w:t>备注：采购响应文件按此顺序附资格证明复印件、复印件加盖公章。</w:t>
      </w:r>
      <w:r>
        <w:rPr>
          <w:rFonts w:hint="eastAsia" w:hAnsi="宋体" w:cs="宋体"/>
          <w:b w:val="0"/>
          <w:bCs w:val="0"/>
          <w:color w:val="auto"/>
          <w:sz w:val="24"/>
          <w:szCs w:val="24"/>
          <w:highlight w:val="none"/>
          <w:lang w:eastAsia="zh-CN"/>
        </w:rPr>
        <w:br w:type="page"/>
      </w:r>
    </w:p>
    <w:p w14:paraId="15615516">
      <w:pPr>
        <w:pStyle w:val="25"/>
        <w:spacing w:before="0" w:after="0" w:line="360" w:lineRule="auto"/>
        <w:rPr>
          <w:rFonts w:hint="eastAsia" w:ascii="Cambria" w:hAnsi="Cambria" w:eastAsia="宋体" w:cs="Times New Roman"/>
          <w:b/>
          <w:bCs/>
          <w:color w:val="auto"/>
          <w:sz w:val="32"/>
          <w:szCs w:val="32"/>
          <w:highlight w:val="none"/>
          <w:lang w:val="en-US" w:eastAsia="zh-CN" w:bidi="ar-SA"/>
        </w:rPr>
      </w:pPr>
      <w:r>
        <w:rPr>
          <w:rFonts w:hint="eastAsia" w:ascii="Cambria" w:hAnsi="Cambria" w:eastAsia="宋体" w:cs="Times New Roman"/>
          <w:b/>
          <w:bCs/>
          <w:color w:val="auto"/>
          <w:sz w:val="32"/>
          <w:szCs w:val="32"/>
          <w:highlight w:val="none"/>
          <w:lang w:val="en-US" w:eastAsia="zh-CN" w:bidi="ar-SA"/>
        </w:rPr>
        <w:t>格式八              供应商资料真实性承诺书</w:t>
      </w:r>
      <w:bookmarkEnd w:id="197"/>
      <w:bookmarkEnd w:id="198"/>
      <w:bookmarkEnd w:id="199"/>
      <w:bookmarkEnd w:id="200"/>
      <w:bookmarkEnd w:id="201"/>
    </w:p>
    <w:p w14:paraId="4DF0650E">
      <w:pPr>
        <w:pStyle w:val="25"/>
        <w:shd w:val="clear" w:color="auto" w:fill="FFFFFF"/>
        <w:spacing w:before="0" w:beforeAutospacing="0" w:after="0" w:afterAutospacing="0" w:line="560" w:lineRule="exact"/>
        <w:textAlignment w:val="baseline"/>
        <w:rPr>
          <w:color w:val="auto"/>
          <w:highlight w:val="none"/>
        </w:rPr>
      </w:pPr>
    </w:p>
    <w:p w14:paraId="70C8E811">
      <w:pPr>
        <w:spacing w:line="360" w:lineRule="auto"/>
        <w:rPr>
          <w:rFonts w:ascii="宋体"/>
          <w:color w:val="auto"/>
          <w:sz w:val="24"/>
          <w:szCs w:val="24"/>
          <w:highlight w:val="none"/>
          <w:u w:val="single"/>
        </w:rPr>
      </w:pPr>
      <w:r>
        <w:rPr>
          <w:rFonts w:hint="eastAsia" w:ascii="宋体"/>
          <w:color w:val="auto"/>
          <w:sz w:val="24"/>
          <w:szCs w:val="24"/>
          <w:highlight w:val="none"/>
          <w:u w:val="single"/>
        </w:rPr>
        <w:t>（采购人全称）：</w:t>
      </w:r>
    </w:p>
    <w:p w14:paraId="481CCEC1">
      <w:pPr>
        <w:pStyle w:val="25"/>
        <w:shd w:val="clear" w:color="auto" w:fill="FFFFFF"/>
        <w:spacing w:before="0" w:beforeAutospacing="0" w:after="0" w:afterAutospacing="0" w:line="560" w:lineRule="exact"/>
        <w:ind w:firstLine="480" w:firstLineChars="200"/>
        <w:textAlignment w:val="baseline"/>
        <w:rPr>
          <w:color w:val="auto"/>
          <w:highlight w:val="none"/>
        </w:rPr>
      </w:pPr>
      <w:r>
        <w:rPr>
          <w:rFonts w:hint="eastAsia"/>
          <w:color w:val="auto"/>
          <w:highlight w:val="none"/>
        </w:rPr>
        <w:t>我单位</w:t>
      </w:r>
      <w:r>
        <w:rPr>
          <w:rFonts w:hint="eastAsia"/>
          <w:color w:val="auto"/>
          <w:highlight w:val="none"/>
          <w:u w:val="single"/>
        </w:rPr>
        <w:t xml:space="preserve">   （单位全称）   </w:t>
      </w:r>
      <w:r>
        <w:rPr>
          <w:color w:val="auto"/>
          <w:highlight w:val="none"/>
        </w:rPr>
        <w:t>郑重承诺：</w:t>
      </w:r>
    </w:p>
    <w:p w14:paraId="5BF17DAA">
      <w:pPr>
        <w:pStyle w:val="25"/>
        <w:shd w:val="clear" w:color="auto" w:fill="FFFFFF"/>
        <w:spacing w:before="0" w:beforeAutospacing="0" w:after="0" w:afterAutospacing="0" w:line="560" w:lineRule="exact"/>
        <w:ind w:firstLine="480" w:firstLineChars="200"/>
        <w:jc w:val="both"/>
        <w:textAlignment w:val="baseline"/>
        <w:rPr>
          <w:color w:val="auto"/>
          <w:highlight w:val="none"/>
        </w:rPr>
      </w:pPr>
      <w:r>
        <w:rPr>
          <w:rFonts w:hint="eastAsia"/>
          <w:color w:val="auto"/>
          <w:highlight w:val="none"/>
        </w:rPr>
        <w:t>在项目采购中，</w:t>
      </w:r>
      <w:r>
        <w:rPr>
          <w:color w:val="auto"/>
          <w:highlight w:val="none"/>
        </w:rPr>
        <w:t>提交的所有资料都是真实的</w:t>
      </w:r>
      <w:r>
        <w:rPr>
          <w:rFonts w:hint="eastAsia"/>
          <w:color w:val="auto"/>
          <w:highlight w:val="none"/>
        </w:rPr>
        <w:t>、有效的</w:t>
      </w:r>
      <w:r>
        <w:rPr>
          <w:color w:val="auto"/>
          <w:highlight w:val="none"/>
        </w:rPr>
        <w:t>。如有虚假</w:t>
      </w:r>
      <w:r>
        <w:rPr>
          <w:rFonts w:hint="eastAsia"/>
          <w:color w:val="auto"/>
          <w:highlight w:val="none"/>
        </w:rPr>
        <w:t>、无效的资料</w:t>
      </w:r>
      <w:r>
        <w:rPr>
          <w:color w:val="auto"/>
          <w:highlight w:val="none"/>
        </w:rPr>
        <w:t>，本单位愿意</w:t>
      </w:r>
      <w:r>
        <w:rPr>
          <w:rFonts w:hint="eastAsia"/>
          <w:color w:val="auto"/>
          <w:highlight w:val="none"/>
        </w:rPr>
        <w:t>承担被</w:t>
      </w:r>
      <w:r>
        <w:rPr>
          <w:color w:val="auto"/>
          <w:highlight w:val="none"/>
        </w:rPr>
        <w:t>取消</w:t>
      </w:r>
      <w:r>
        <w:rPr>
          <w:rFonts w:hint="eastAsia"/>
          <w:color w:val="auto"/>
          <w:highlight w:val="none"/>
        </w:rPr>
        <w:t>报价</w:t>
      </w:r>
      <w:r>
        <w:rPr>
          <w:color w:val="auto"/>
          <w:highlight w:val="none"/>
        </w:rPr>
        <w:t>、</w:t>
      </w:r>
      <w:r>
        <w:rPr>
          <w:color w:val="auto"/>
          <w:highlight w:val="none"/>
        </w:rPr>
        <w:fldChar w:fldCharType="begin"/>
      </w:r>
      <w:r>
        <w:rPr>
          <w:color w:val="auto"/>
          <w:highlight w:val="none"/>
        </w:rPr>
        <w:instrText xml:space="preserve"> HYPERLINK "http://www.lawtime.cn/info/zhaobiaotoubiao/zhongbiao/" </w:instrText>
      </w:r>
      <w:r>
        <w:rPr>
          <w:color w:val="auto"/>
          <w:highlight w:val="none"/>
        </w:rPr>
        <w:fldChar w:fldCharType="separate"/>
      </w:r>
      <w:r>
        <w:rPr>
          <w:rStyle w:val="35"/>
          <w:rFonts w:hint="eastAsia"/>
          <w:color w:val="auto"/>
          <w:highlight w:val="none"/>
        </w:rPr>
        <w:t>成交</w:t>
      </w:r>
      <w:r>
        <w:rPr>
          <w:rStyle w:val="35"/>
          <w:rFonts w:hint="eastAsia"/>
          <w:color w:val="auto"/>
          <w:highlight w:val="none"/>
        </w:rPr>
        <w:fldChar w:fldCharType="end"/>
      </w:r>
      <w:r>
        <w:rPr>
          <w:color w:val="auto"/>
          <w:highlight w:val="none"/>
        </w:rPr>
        <w:t>资格</w:t>
      </w:r>
      <w:r>
        <w:rPr>
          <w:rFonts w:hint="eastAsia"/>
          <w:color w:val="auto"/>
          <w:highlight w:val="none"/>
        </w:rPr>
        <w:t>等一切</w:t>
      </w:r>
      <w:r>
        <w:rPr>
          <w:color w:val="auto"/>
          <w:highlight w:val="none"/>
        </w:rPr>
        <w:fldChar w:fldCharType="begin"/>
      </w:r>
      <w:r>
        <w:rPr>
          <w:color w:val="auto"/>
          <w:highlight w:val="none"/>
        </w:rPr>
        <w:instrText xml:space="preserve"> HYPERLINK "http://www.lawtime.cn/info/zhian/cfcxjueding/" </w:instrText>
      </w:r>
      <w:r>
        <w:rPr>
          <w:color w:val="auto"/>
          <w:highlight w:val="none"/>
        </w:rPr>
        <w:fldChar w:fldCharType="separate"/>
      </w:r>
      <w:r>
        <w:rPr>
          <w:rStyle w:val="35"/>
          <w:rFonts w:hint="eastAsia"/>
          <w:color w:val="auto"/>
          <w:highlight w:val="none"/>
        </w:rPr>
        <w:t>后果</w:t>
      </w:r>
      <w:r>
        <w:rPr>
          <w:rStyle w:val="35"/>
          <w:rFonts w:hint="eastAsia"/>
          <w:color w:val="auto"/>
          <w:highlight w:val="none"/>
        </w:rPr>
        <w:fldChar w:fldCharType="end"/>
      </w:r>
      <w:r>
        <w:rPr>
          <w:color w:val="auto"/>
          <w:highlight w:val="none"/>
        </w:rPr>
        <w:t>。</w:t>
      </w:r>
    </w:p>
    <w:p w14:paraId="28ED3658">
      <w:pPr>
        <w:pStyle w:val="25"/>
        <w:shd w:val="clear" w:color="auto" w:fill="FFFFFF"/>
        <w:spacing w:before="340" w:beforeAutospacing="0" w:after="340" w:afterAutospacing="0" w:line="380" w:lineRule="atLeast"/>
        <w:ind w:firstLine="4250" w:firstLineChars="1771"/>
        <w:textAlignment w:val="baseline"/>
        <w:rPr>
          <w:color w:val="auto"/>
          <w:highlight w:val="none"/>
        </w:rPr>
      </w:pPr>
    </w:p>
    <w:p w14:paraId="3762A93C">
      <w:pPr>
        <w:pStyle w:val="25"/>
        <w:shd w:val="clear" w:color="auto" w:fill="FFFFFF"/>
        <w:spacing w:before="340" w:beforeAutospacing="0" w:after="340" w:afterAutospacing="0" w:line="380" w:lineRule="atLeast"/>
        <w:ind w:firstLine="4250" w:firstLineChars="1771"/>
        <w:textAlignment w:val="baseline"/>
        <w:rPr>
          <w:color w:val="auto"/>
          <w:highlight w:val="none"/>
        </w:rPr>
      </w:pPr>
    </w:p>
    <w:p w14:paraId="4E38EB3B">
      <w:pPr>
        <w:pStyle w:val="25"/>
        <w:shd w:val="clear" w:color="auto" w:fill="FFFFFF"/>
        <w:spacing w:before="340" w:beforeAutospacing="0" w:after="340" w:afterAutospacing="0" w:line="380" w:lineRule="atLeast"/>
        <w:ind w:firstLine="4250" w:firstLineChars="1771"/>
        <w:textAlignment w:val="baseline"/>
        <w:rPr>
          <w:color w:val="auto"/>
          <w:highlight w:val="none"/>
        </w:rPr>
      </w:pPr>
    </w:p>
    <w:p w14:paraId="632F4935">
      <w:pPr>
        <w:pStyle w:val="25"/>
        <w:shd w:val="clear" w:color="auto" w:fill="FFFFFF"/>
        <w:spacing w:before="340" w:beforeAutospacing="0" w:after="340" w:afterAutospacing="0" w:line="380" w:lineRule="atLeast"/>
        <w:ind w:firstLine="3967" w:firstLineChars="1653"/>
        <w:textAlignment w:val="baseline"/>
        <w:rPr>
          <w:color w:val="auto"/>
          <w:highlight w:val="none"/>
        </w:rPr>
      </w:pPr>
      <w:r>
        <w:rPr>
          <w:rFonts w:hint="eastAsia"/>
          <w:color w:val="auto"/>
          <w:highlight w:val="none"/>
        </w:rPr>
        <w:t>供应商</w:t>
      </w:r>
      <w:r>
        <w:rPr>
          <w:color w:val="auto"/>
          <w:highlight w:val="none"/>
        </w:rPr>
        <w:t>： (全称)(盖章)</w:t>
      </w:r>
    </w:p>
    <w:p w14:paraId="29BFCD28">
      <w:pPr>
        <w:pStyle w:val="25"/>
        <w:shd w:val="clear" w:color="auto" w:fill="FFFFFF"/>
        <w:spacing w:before="240" w:beforeAutospacing="0" w:after="240" w:afterAutospacing="0" w:line="500" w:lineRule="atLeast"/>
        <w:ind w:firstLine="3967" w:firstLineChars="1653"/>
        <w:textAlignment w:val="baseline"/>
        <w:rPr>
          <w:color w:val="auto"/>
          <w:highlight w:val="none"/>
        </w:rPr>
      </w:pPr>
      <w:r>
        <w:rPr>
          <w:color w:val="auto"/>
          <w:highlight w:val="none"/>
        </w:rPr>
        <w:t>法定代表人</w:t>
      </w:r>
      <w:r>
        <w:rPr>
          <w:rFonts w:hint="eastAsia"/>
          <w:color w:val="auto"/>
          <w:highlight w:val="none"/>
        </w:rPr>
        <w:t>或</w:t>
      </w:r>
      <w:r>
        <w:rPr>
          <w:color w:val="auto"/>
          <w:highlight w:val="none"/>
        </w:rPr>
        <w:t>授权</w:t>
      </w:r>
      <w:r>
        <w:rPr>
          <w:rFonts w:hint="eastAsia"/>
          <w:color w:val="auto"/>
          <w:highlight w:val="none"/>
          <w:lang w:val="en-US" w:eastAsia="zh-CN"/>
        </w:rPr>
        <w:t>代表</w:t>
      </w:r>
      <w:r>
        <w:rPr>
          <w:color w:val="auto"/>
          <w:highlight w:val="none"/>
        </w:rPr>
        <w:t>： (签字</w:t>
      </w:r>
      <w:r>
        <w:rPr>
          <w:rFonts w:hint="eastAsia"/>
          <w:color w:val="auto"/>
          <w:highlight w:val="none"/>
          <w:lang w:val="en-US" w:eastAsia="zh-CN"/>
        </w:rPr>
        <w:t>或</w:t>
      </w:r>
      <w:r>
        <w:rPr>
          <w:rFonts w:hint="eastAsia" w:ascii="宋体"/>
          <w:color w:val="auto"/>
          <w:szCs w:val="21"/>
          <w:highlight w:val="none"/>
          <w:lang w:val="en-US" w:eastAsia="zh-CN"/>
        </w:rPr>
        <w:t>印鉴</w:t>
      </w:r>
      <w:r>
        <w:rPr>
          <w:color w:val="auto"/>
          <w:highlight w:val="none"/>
        </w:rPr>
        <w:t>)</w:t>
      </w:r>
    </w:p>
    <w:p w14:paraId="059A3B32">
      <w:pPr>
        <w:pStyle w:val="25"/>
        <w:shd w:val="clear" w:color="auto" w:fill="FFFFFF"/>
        <w:spacing w:before="340" w:beforeAutospacing="0" w:after="340" w:afterAutospacing="0" w:line="500" w:lineRule="atLeast"/>
        <w:ind w:firstLine="3967" w:firstLineChars="1653"/>
        <w:textAlignment w:val="baseline"/>
        <w:rPr>
          <w:color w:val="auto"/>
          <w:highlight w:val="none"/>
        </w:rPr>
      </w:pPr>
      <w:r>
        <w:rPr>
          <w:color w:val="auto"/>
          <w:highlight w:val="none"/>
        </w:rPr>
        <w:t xml:space="preserve">日 期： </w:t>
      </w:r>
      <w:r>
        <w:rPr>
          <w:rFonts w:hint="eastAsia"/>
          <w:color w:val="auto"/>
          <w:highlight w:val="none"/>
          <w:lang w:val="en-US" w:eastAsia="zh-CN"/>
        </w:rPr>
        <w:t xml:space="preserve">   </w:t>
      </w:r>
      <w:r>
        <w:rPr>
          <w:color w:val="auto"/>
          <w:highlight w:val="none"/>
        </w:rPr>
        <w:t xml:space="preserve">年 </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 xml:space="preserve"> 日</w:t>
      </w:r>
    </w:p>
    <w:p w14:paraId="6EB06FC7">
      <w:pPr>
        <w:widowControl w:val="0"/>
        <w:spacing w:line="400" w:lineRule="exact"/>
        <w:ind w:left="306"/>
        <w:jc w:val="both"/>
        <w:rPr>
          <w:rFonts w:ascii="宋体"/>
          <w:b/>
          <w:color w:val="auto"/>
          <w:sz w:val="24"/>
          <w:szCs w:val="24"/>
          <w:highlight w:val="none"/>
        </w:rPr>
      </w:pPr>
      <w:r>
        <w:rPr>
          <w:rFonts w:ascii="宋体"/>
          <w:color w:val="auto"/>
          <w:highlight w:val="none"/>
        </w:rPr>
        <w:br w:type="page"/>
      </w:r>
    </w:p>
    <w:p w14:paraId="67967036">
      <w:pPr>
        <w:widowControl w:val="0"/>
        <w:tabs>
          <w:tab w:val="left" w:pos="360"/>
          <w:tab w:val="left" w:pos="720"/>
          <w:tab w:val="left" w:pos="3060"/>
        </w:tabs>
        <w:spacing w:line="400" w:lineRule="exact"/>
        <w:outlineLvl w:val="1"/>
        <w:rPr>
          <w:rFonts w:ascii="宋体"/>
          <w:b/>
          <w:color w:val="auto"/>
          <w:kern w:val="2"/>
          <w:sz w:val="28"/>
          <w:szCs w:val="28"/>
          <w:highlight w:val="none"/>
        </w:rPr>
      </w:pPr>
      <w:bookmarkStart w:id="202" w:name="_Toc512354297"/>
      <w:bookmarkStart w:id="203" w:name="_Toc10122283"/>
      <w:bookmarkStart w:id="204" w:name="_Toc10184892"/>
      <w:bookmarkStart w:id="205" w:name="_Toc484699859"/>
      <w:bookmarkStart w:id="206" w:name="_Toc382509472"/>
      <w:bookmarkStart w:id="207" w:name="_Toc21204"/>
      <w:r>
        <w:rPr>
          <w:rStyle w:val="42"/>
          <w:rFonts w:hint="eastAsia"/>
          <w:color w:val="auto"/>
          <w:highlight w:val="none"/>
        </w:rPr>
        <w:t>格式</w:t>
      </w:r>
      <w:r>
        <w:rPr>
          <w:rStyle w:val="42"/>
          <w:rFonts w:hint="eastAsia"/>
          <w:color w:val="auto"/>
          <w:highlight w:val="none"/>
          <w:lang w:val="en-US"/>
        </w:rPr>
        <w:t>九</w:t>
      </w:r>
      <w:r>
        <w:rPr>
          <w:rStyle w:val="42"/>
          <w:rFonts w:hint="eastAsia"/>
          <w:color w:val="auto"/>
          <w:highlight w:val="none"/>
        </w:rPr>
        <w:t xml:space="preserve">               技术部分</w:t>
      </w:r>
      <w:r>
        <w:rPr>
          <w:rStyle w:val="42"/>
          <w:color w:val="auto"/>
          <w:highlight w:val="none"/>
        </w:rPr>
        <w:t>/商务部分差异表</w:t>
      </w:r>
      <w:bookmarkEnd w:id="202"/>
      <w:bookmarkEnd w:id="203"/>
      <w:bookmarkEnd w:id="204"/>
      <w:bookmarkEnd w:id="205"/>
      <w:bookmarkEnd w:id="206"/>
      <w:bookmarkEnd w:id="207"/>
    </w:p>
    <w:p w14:paraId="6FDFBAB6">
      <w:pPr>
        <w:spacing w:line="300" w:lineRule="auto"/>
        <w:rPr>
          <w:rFonts w:ascii="宋体"/>
          <w:b/>
          <w:color w:val="auto"/>
          <w:sz w:val="24"/>
          <w:szCs w:val="24"/>
          <w:highlight w:val="none"/>
        </w:rPr>
      </w:pPr>
    </w:p>
    <w:p w14:paraId="6C75B717">
      <w:pPr>
        <w:spacing w:line="300" w:lineRule="auto"/>
        <w:rPr>
          <w:rFonts w:ascii="宋体"/>
          <w:b/>
          <w:color w:val="auto"/>
          <w:sz w:val="24"/>
          <w:szCs w:val="24"/>
          <w:highlight w:val="none"/>
        </w:rPr>
      </w:pPr>
    </w:p>
    <w:p w14:paraId="24199223">
      <w:pPr>
        <w:spacing w:line="300" w:lineRule="auto"/>
        <w:rPr>
          <w:rFonts w:ascii="宋体"/>
          <w:b/>
          <w:color w:val="auto"/>
          <w:sz w:val="24"/>
          <w:szCs w:val="24"/>
          <w:highlight w:val="none"/>
        </w:rPr>
      </w:pPr>
    </w:p>
    <w:tbl>
      <w:tblPr>
        <w:tblStyle w:val="29"/>
        <w:tblW w:w="8896"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84" w:type="dxa"/>
          <w:left w:w="84" w:type="dxa"/>
          <w:bottom w:w="84" w:type="dxa"/>
          <w:right w:w="84" w:type="dxa"/>
        </w:tblCellMar>
      </w:tblPr>
      <w:tblGrid>
        <w:gridCol w:w="630"/>
        <w:gridCol w:w="866"/>
        <w:gridCol w:w="2847"/>
        <w:gridCol w:w="1420"/>
        <w:gridCol w:w="3133"/>
      </w:tblGrid>
      <w:tr w14:paraId="26088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cantSplit/>
          <w:trHeight w:val="146" w:hRule="atLeast"/>
          <w:jc w:val="center"/>
        </w:trPr>
        <w:tc>
          <w:tcPr>
            <w:tcW w:w="630" w:type="dxa"/>
            <w:vMerge w:val="restart"/>
            <w:vAlign w:val="center"/>
          </w:tcPr>
          <w:p w14:paraId="09D9DA95">
            <w:pPr>
              <w:jc w:val="center"/>
              <w:rPr>
                <w:rFonts w:ascii="宋体"/>
                <w:color w:val="auto"/>
                <w:sz w:val="24"/>
                <w:highlight w:val="none"/>
              </w:rPr>
            </w:pPr>
            <w:r>
              <w:rPr>
                <w:rFonts w:hint="eastAsia" w:ascii="宋体"/>
                <w:color w:val="auto"/>
                <w:sz w:val="24"/>
                <w:highlight w:val="none"/>
              </w:rPr>
              <w:t>序号</w:t>
            </w:r>
          </w:p>
        </w:tc>
        <w:tc>
          <w:tcPr>
            <w:tcW w:w="3713" w:type="dxa"/>
            <w:gridSpan w:val="2"/>
            <w:vAlign w:val="center"/>
          </w:tcPr>
          <w:p w14:paraId="447F9AE0">
            <w:pPr>
              <w:jc w:val="center"/>
              <w:rPr>
                <w:rFonts w:ascii="宋体"/>
                <w:color w:val="auto"/>
                <w:sz w:val="24"/>
                <w:highlight w:val="none"/>
              </w:rPr>
            </w:pPr>
            <w:r>
              <w:rPr>
                <w:rFonts w:hint="eastAsia" w:ascii="宋体"/>
                <w:color w:val="auto"/>
                <w:sz w:val="24"/>
                <w:highlight w:val="none"/>
              </w:rPr>
              <w:t>采购文件</w:t>
            </w:r>
          </w:p>
        </w:tc>
        <w:tc>
          <w:tcPr>
            <w:tcW w:w="4553" w:type="dxa"/>
            <w:gridSpan w:val="2"/>
            <w:vAlign w:val="center"/>
          </w:tcPr>
          <w:p w14:paraId="6DE7BE19">
            <w:pPr>
              <w:jc w:val="center"/>
              <w:rPr>
                <w:rFonts w:ascii="宋体"/>
                <w:color w:val="auto"/>
                <w:sz w:val="24"/>
                <w:highlight w:val="none"/>
              </w:rPr>
            </w:pPr>
            <w:r>
              <w:rPr>
                <w:rFonts w:hint="eastAsia" w:ascii="宋体"/>
                <w:color w:val="auto"/>
                <w:sz w:val="24"/>
                <w:highlight w:val="none"/>
              </w:rPr>
              <w:t>响应文件</w:t>
            </w:r>
          </w:p>
        </w:tc>
      </w:tr>
      <w:tr w14:paraId="700B8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cantSplit/>
          <w:trHeight w:val="146" w:hRule="atLeast"/>
          <w:jc w:val="center"/>
        </w:trPr>
        <w:tc>
          <w:tcPr>
            <w:tcW w:w="630" w:type="dxa"/>
            <w:vMerge w:val="continue"/>
            <w:vAlign w:val="center"/>
          </w:tcPr>
          <w:p w14:paraId="7297DDE9">
            <w:pPr>
              <w:rPr>
                <w:color w:val="auto"/>
                <w:highlight w:val="none"/>
              </w:rPr>
            </w:pPr>
          </w:p>
        </w:tc>
        <w:tc>
          <w:tcPr>
            <w:tcW w:w="866" w:type="dxa"/>
            <w:vAlign w:val="center"/>
          </w:tcPr>
          <w:p w14:paraId="2684199B">
            <w:pPr>
              <w:jc w:val="center"/>
              <w:rPr>
                <w:rFonts w:ascii="宋体"/>
                <w:color w:val="auto"/>
                <w:sz w:val="24"/>
                <w:highlight w:val="none"/>
              </w:rPr>
            </w:pPr>
            <w:r>
              <w:rPr>
                <w:rFonts w:hint="eastAsia" w:ascii="宋体"/>
                <w:color w:val="auto"/>
                <w:sz w:val="24"/>
                <w:highlight w:val="none"/>
              </w:rPr>
              <w:t>条目</w:t>
            </w:r>
          </w:p>
        </w:tc>
        <w:tc>
          <w:tcPr>
            <w:tcW w:w="2847" w:type="dxa"/>
            <w:vAlign w:val="center"/>
          </w:tcPr>
          <w:p w14:paraId="44319A8B">
            <w:pPr>
              <w:jc w:val="center"/>
              <w:rPr>
                <w:rFonts w:ascii="宋体"/>
                <w:color w:val="auto"/>
                <w:sz w:val="24"/>
                <w:highlight w:val="none"/>
              </w:rPr>
            </w:pPr>
            <w:r>
              <w:rPr>
                <w:rFonts w:hint="eastAsia" w:ascii="宋体"/>
                <w:color w:val="auto"/>
                <w:sz w:val="24"/>
                <w:highlight w:val="none"/>
              </w:rPr>
              <w:t>简要内容</w:t>
            </w:r>
          </w:p>
        </w:tc>
        <w:tc>
          <w:tcPr>
            <w:tcW w:w="1420" w:type="dxa"/>
            <w:vAlign w:val="center"/>
          </w:tcPr>
          <w:p w14:paraId="6C1075CF">
            <w:pPr>
              <w:jc w:val="center"/>
              <w:rPr>
                <w:rFonts w:ascii="宋体"/>
                <w:color w:val="auto"/>
                <w:sz w:val="24"/>
                <w:highlight w:val="none"/>
              </w:rPr>
            </w:pPr>
            <w:r>
              <w:rPr>
                <w:rFonts w:hint="eastAsia" w:ascii="宋体"/>
                <w:color w:val="auto"/>
                <w:sz w:val="24"/>
                <w:highlight w:val="none"/>
              </w:rPr>
              <w:t>条目</w:t>
            </w:r>
          </w:p>
        </w:tc>
        <w:tc>
          <w:tcPr>
            <w:tcW w:w="3133" w:type="dxa"/>
            <w:vAlign w:val="center"/>
          </w:tcPr>
          <w:p w14:paraId="4BD5F402">
            <w:pPr>
              <w:jc w:val="center"/>
              <w:rPr>
                <w:rFonts w:ascii="宋体"/>
                <w:color w:val="auto"/>
                <w:sz w:val="24"/>
                <w:highlight w:val="none"/>
              </w:rPr>
            </w:pPr>
            <w:r>
              <w:rPr>
                <w:rFonts w:hint="eastAsia" w:ascii="宋体"/>
                <w:color w:val="auto"/>
                <w:sz w:val="24"/>
                <w:highlight w:val="none"/>
              </w:rPr>
              <w:t>简要内容</w:t>
            </w:r>
          </w:p>
        </w:tc>
      </w:tr>
      <w:tr w14:paraId="67C2DE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trHeight w:val="446" w:hRule="atLeast"/>
          <w:jc w:val="center"/>
        </w:trPr>
        <w:tc>
          <w:tcPr>
            <w:tcW w:w="630" w:type="dxa"/>
            <w:vAlign w:val="center"/>
          </w:tcPr>
          <w:p w14:paraId="75DB1E49">
            <w:pPr>
              <w:rPr>
                <w:rFonts w:ascii="宋体"/>
                <w:color w:val="auto"/>
                <w:szCs w:val="19"/>
                <w:highlight w:val="none"/>
              </w:rPr>
            </w:pPr>
          </w:p>
        </w:tc>
        <w:tc>
          <w:tcPr>
            <w:tcW w:w="866" w:type="dxa"/>
            <w:vAlign w:val="center"/>
          </w:tcPr>
          <w:p w14:paraId="3EF8B253">
            <w:pPr>
              <w:rPr>
                <w:rFonts w:ascii="宋体"/>
                <w:color w:val="auto"/>
                <w:szCs w:val="19"/>
                <w:highlight w:val="none"/>
              </w:rPr>
            </w:pPr>
          </w:p>
        </w:tc>
        <w:tc>
          <w:tcPr>
            <w:tcW w:w="2847" w:type="dxa"/>
            <w:vAlign w:val="center"/>
          </w:tcPr>
          <w:p w14:paraId="66F9C578">
            <w:pPr>
              <w:jc w:val="center"/>
              <w:rPr>
                <w:rFonts w:ascii="宋体"/>
                <w:color w:val="auto"/>
                <w:sz w:val="24"/>
                <w:highlight w:val="none"/>
              </w:rPr>
            </w:pPr>
          </w:p>
        </w:tc>
        <w:tc>
          <w:tcPr>
            <w:tcW w:w="1420" w:type="dxa"/>
            <w:vAlign w:val="center"/>
          </w:tcPr>
          <w:p w14:paraId="58584046">
            <w:pPr>
              <w:jc w:val="center"/>
              <w:rPr>
                <w:rFonts w:ascii="宋体"/>
                <w:color w:val="auto"/>
                <w:sz w:val="24"/>
                <w:highlight w:val="none"/>
              </w:rPr>
            </w:pPr>
          </w:p>
        </w:tc>
        <w:tc>
          <w:tcPr>
            <w:tcW w:w="3133" w:type="dxa"/>
            <w:vAlign w:val="center"/>
          </w:tcPr>
          <w:p w14:paraId="3F42E49C">
            <w:pPr>
              <w:jc w:val="center"/>
              <w:rPr>
                <w:rFonts w:ascii="宋体"/>
                <w:color w:val="auto"/>
                <w:sz w:val="24"/>
                <w:highlight w:val="none"/>
              </w:rPr>
            </w:pPr>
          </w:p>
        </w:tc>
      </w:tr>
      <w:tr w14:paraId="6B1220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trHeight w:val="446" w:hRule="atLeast"/>
          <w:jc w:val="center"/>
        </w:trPr>
        <w:tc>
          <w:tcPr>
            <w:tcW w:w="630" w:type="dxa"/>
            <w:vAlign w:val="center"/>
          </w:tcPr>
          <w:p w14:paraId="5A79D9FD">
            <w:pPr>
              <w:rPr>
                <w:rFonts w:ascii="宋体"/>
                <w:color w:val="auto"/>
                <w:szCs w:val="19"/>
                <w:highlight w:val="none"/>
              </w:rPr>
            </w:pPr>
          </w:p>
        </w:tc>
        <w:tc>
          <w:tcPr>
            <w:tcW w:w="866" w:type="dxa"/>
            <w:vAlign w:val="center"/>
          </w:tcPr>
          <w:p w14:paraId="6E313B01">
            <w:pPr>
              <w:rPr>
                <w:rFonts w:ascii="宋体"/>
                <w:color w:val="auto"/>
                <w:szCs w:val="19"/>
                <w:highlight w:val="none"/>
              </w:rPr>
            </w:pPr>
          </w:p>
        </w:tc>
        <w:tc>
          <w:tcPr>
            <w:tcW w:w="2847" w:type="dxa"/>
            <w:vAlign w:val="center"/>
          </w:tcPr>
          <w:p w14:paraId="2136D79D">
            <w:pPr>
              <w:rPr>
                <w:rFonts w:ascii="宋体"/>
                <w:color w:val="auto"/>
                <w:szCs w:val="19"/>
                <w:highlight w:val="none"/>
              </w:rPr>
            </w:pPr>
          </w:p>
        </w:tc>
        <w:tc>
          <w:tcPr>
            <w:tcW w:w="1420" w:type="dxa"/>
            <w:vAlign w:val="center"/>
          </w:tcPr>
          <w:p w14:paraId="626EA0A7">
            <w:pPr>
              <w:rPr>
                <w:rFonts w:ascii="宋体"/>
                <w:color w:val="auto"/>
                <w:szCs w:val="19"/>
                <w:highlight w:val="none"/>
              </w:rPr>
            </w:pPr>
          </w:p>
        </w:tc>
        <w:tc>
          <w:tcPr>
            <w:tcW w:w="3133" w:type="dxa"/>
            <w:vAlign w:val="center"/>
          </w:tcPr>
          <w:p w14:paraId="57FDB5C3">
            <w:pPr>
              <w:rPr>
                <w:rFonts w:ascii="宋体"/>
                <w:color w:val="auto"/>
                <w:szCs w:val="19"/>
                <w:highlight w:val="none"/>
              </w:rPr>
            </w:pPr>
          </w:p>
        </w:tc>
      </w:tr>
      <w:tr w14:paraId="70F2BC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trHeight w:val="446" w:hRule="atLeast"/>
          <w:jc w:val="center"/>
        </w:trPr>
        <w:tc>
          <w:tcPr>
            <w:tcW w:w="630" w:type="dxa"/>
            <w:vAlign w:val="center"/>
          </w:tcPr>
          <w:p w14:paraId="36ED2D7D">
            <w:pPr>
              <w:rPr>
                <w:rFonts w:ascii="宋体"/>
                <w:color w:val="auto"/>
                <w:szCs w:val="19"/>
                <w:highlight w:val="none"/>
              </w:rPr>
            </w:pPr>
          </w:p>
        </w:tc>
        <w:tc>
          <w:tcPr>
            <w:tcW w:w="866" w:type="dxa"/>
            <w:vAlign w:val="center"/>
          </w:tcPr>
          <w:p w14:paraId="61A36131">
            <w:pPr>
              <w:rPr>
                <w:rFonts w:ascii="宋体"/>
                <w:color w:val="auto"/>
                <w:szCs w:val="19"/>
                <w:highlight w:val="none"/>
              </w:rPr>
            </w:pPr>
          </w:p>
        </w:tc>
        <w:tc>
          <w:tcPr>
            <w:tcW w:w="2847" w:type="dxa"/>
            <w:vAlign w:val="center"/>
          </w:tcPr>
          <w:p w14:paraId="726C0180">
            <w:pPr>
              <w:rPr>
                <w:rFonts w:ascii="宋体"/>
                <w:color w:val="auto"/>
                <w:szCs w:val="19"/>
                <w:highlight w:val="none"/>
              </w:rPr>
            </w:pPr>
          </w:p>
        </w:tc>
        <w:tc>
          <w:tcPr>
            <w:tcW w:w="1420" w:type="dxa"/>
            <w:vAlign w:val="center"/>
          </w:tcPr>
          <w:p w14:paraId="623101DA">
            <w:pPr>
              <w:rPr>
                <w:rFonts w:ascii="宋体"/>
                <w:color w:val="auto"/>
                <w:szCs w:val="19"/>
                <w:highlight w:val="none"/>
              </w:rPr>
            </w:pPr>
          </w:p>
        </w:tc>
        <w:tc>
          <w:tcPr>
            <w:tcW w:w="3133" w:type="dxa"/>
            <w:vAlign w:val="center"/>
          </w:tcPr>
          <w:p w14:paraId="35227B3D">
            <w:pPr>
              <w:rPr>
                <w:rFonts w:ascii="宋体"/>
                <w:color w:val="auto"/>
                <w:szCs w:val="19"/>
                <w:highlight w:val="none"/>
              </w:rPr>
            </w:pPr>
          </w:p>
        </w:tc>
      </w:tr>
      <w:tr w14:paraId="795102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trHeight w:val="446" w:hRule="atLeast"/>
          <w:jc w:val="center"/>
        </w:trPr>
        <w:tc>
          <w:tcPr>
            <w:tcW w:w="630" w:type="dxa"/>
            <w:vAlign w:val="center"/>
          </w:tcPr>
          <w:p w14:paraId="73FE15D5">
            <w:pPr>
              <w:rPr>
                <w:rFonts w:ascii="宋体"/>
                <w:color w:val="auto"/>
                <w:szCs w:val="19"/>
                <w:highlight w:val="none"/>
              </w:rPr>
            </w:pPr>
          </w:p>
        </w:tc>
        <w:tc>
          <w:tcPr>
            <w:tcW w:w="866" w:type="dxa"/>
            <w:vAlign w:val="center"/>
          </w:tcPr>
          <w:p w14:paraId="68357831">
            <w:pPr>
              <w:rPr>
                <w:rFonts w:ascii="宋体"/>
                <w:color w:val="auto"/>
                <w:szCs w:val="19"/>
                <w:highlight w:val="none"/>
              </w:rPr>
            </w:pPr>
          </w:p>
        </w:tc>
        <w:tc>
          <w:tcPr>
            <w:tcW w:w="2847" w:type="dxa"/>
            <w:vAlign w:val="center"/>
          </w:tcPr>
          <w:p w14:paraId="491CF6F0">
            <w:pPr>
              <w:rPr>
                <w:rFonts w:ascii="宋体"/>
                <w:color w:val="auto"/>
                <w:szCs w:val="19"/>
                <w:highlight w:val="none"/>
              </w:rPr>
            </w:pPr>
          </w:p>
        </w:tc>
        <w:tc>
          <w:tcPr>
            <w:tcW w:w="1420" w:type="dxa"/>
            <w:vAlign w:val="center"/>
          </w:tcPr>
          <w:p w14:paraId="14B477A7">
            <w:pPr>
              <w:rPr>
                <w:rFonts w:ascii="宋体"/>
                <w:color w:val="auto"/>
                <w:szCs w:val="19"/>
                <w:highlight w:val="none"/>
              </w:rPr>
            </w:pPr>
          </w:p>
        </w:tc>
        <w:tc>
          <w:tcPr>
            <w:tcW w:w="3133" w:type="dxa"/>
            <w:vAlign w:val="center"/>
          </w:tcPr>
          <w:p w14:paraId="692FE6EA">
            <w:pPr>
              <w:rPr>
                <w:rFonts w:ascii="宋体"/>
                <w:color w:val="auto"/>
                <w:szCs w:val="19"/>
                <w:highlight w:val="none"/>
              </w:rPr>
            </w:pPr>
          </w:p>
        </w:tc>
      </w:tr>
      <w:tr w14:paraId="03FC35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84" w:type="dxa"/>
            <w:left w:w="84" w:type="dxa"/>
            <w:bottom w:w="84" w:type="dxa"/>
            <w:right w:w="84" w:type="dxa"/>
          </w:tblCellMar>
        </w:tblPrEx>
        <w:trPr>
          <w:trHeight w:val="446" w:hRule="atLeast"/>
          <w:jc w:val="center"/>
        </w:trPr>
        <w:tc>
          <w:tcPr>
            <w:tcW w:w="630" w:type="dxa"/>
            <w:vAlign w:val="center"/>
          </w:tcPr>
          <w:p w14:paraId="10EB375B">
            <w:pPr>
              <w:rPr>
                <w:rFonts w:ascii="宋体"/>
                <w:color w:val="auto"/>
                <w:szCs w:val="19"/>
                <w:highlight w:val="none"/>
              </w:rPr>
            </w:pPr>
          </w:p>
        </w:tc>
        <w:tc>
          <w:tcPr>
            <w:tcW w:w="866" w:type="dxa"/>
            <w:vAlign w:val="center"/>
          </w:tcPr>
          <w:p w14:paraId="1CF0B8A3">
            <w:pPr>
              <w:rPr>
                <w:rFonts w:ascii="宋体"/>
                <w:color w:val="auto"/>
                <w:szCs w:val="19"/>
                <w:highlight w:val="none"/>
              </w:rPr>
            </w:pPr>
          </w:p>
        </w:tc>
        <w:tc>
          <w:tcPr>
            <w:tcW w:w="2847" w:type="dxa"/>
            <w:vAlign w:val="center"/>
          </w:tcPr>
          <w:p w14:paraId="084E09D4">
            <w:pPr>
              <w:rPr>
                <w:rFonts w:ascii="宋体"/>
                <w:color w:val="auto"/>
                <w:szCs w:val="19"/>
                <w:highlight w:val="none"/>
              </w:rPr>
            </w:pPr>
          </w:p>
        </w:tc>
        <w:tc>
          <w:tcPr>
            <w:tcW w:w="1420" w:type="dxa"/>
            <w:vAlign w:val="center"/>
          </w:tcPr>
          <w:p w14:paraId="74A030A4">
            <w:pPr>
              <w:rPr>
                <w:rFonts w:ascii="宋体"/>
                <w:color w:val="auto"/>
                <w:szCs w:val="19"/>
                <w:highlight w:val="none"/>
              </w:rPr>
            </w:pPr>
          </w:p>
        </w:tc>
        <w:tc>
          <w:tcPr>
            <w:tcW w:w="3133" w:type="dxa"/>
            <w:vAlign w:val="center"/>
          </w:tcPr>
          <w:p w14:paraId="3AE74775">
            <w:pPr>
              <w:rPr>
                <w:rFonts w:ascii="宋体"/>
                <w:color w:val="auto"/>
                <w:szCs w:val="19"/>
                <w:highlight w:val="none"/>
              </w:rPr>
            </w:pPr>
          </w:p>
        </w:tc>
      </w:tr>
    </w:tbl>
    <w:p w14:paraId="7390F7A3">
      <w:pPr>
        <w:spacing w:before="100" w:beforeAutospacing="1" w:after="100" w:afterAutospacing="1" w:line="360" w:lineRule="auto"/>
        <w:rPr>
          <w:rFonts w:hint="eastAsia" w:ascii="宋体" w:hAnsi="Times New Roman" w:cs="Times New Roman"/>
          <w:color w:val="auto"/>
          <w:sz w:val="24"/>
          <w:szCs w:val="22"/>
          <w:highlight w:val="none"/>
        </w:rPr>
      </w:pPr>
      <w:r>
        <w:rPr>
          <w:rFonts w:hint="eastAsia" w:ascii="宋体" w:hAnsi="Times New Roman" w:cs="Times New Roman"/>
          <w:color w:val="auto"/>
          <w:sz w:val="24"/>
          <w:szCs w:val="22"/>
          <w:highlight w:val="none"/>
        </w:rPr>
        <w:t>授权代表签字</w:t>
      </w:r>
      <w:r>
        <w:rPr>
          <w:rFonts w:hint="eastAsia" w:ascii="宋体" w:hAnsi="Times New Roman" w:cs="Times New Roman"/>
          <w:color w:val="auto"/>
          <w:sz w:val="24"/>
          <w:szCs w:val="22"/>
          <w:highlight w:val="none"/>
          <w:lang w:val="en-US" w:eastAsia="zh-CN"/>
        </w:rPr>
        <w:t>或印鉴</w:t>
      </w:r>
      <w:r>
        <w:rPr>
          <w:rFonts w:hint="eastAsia" w:ascii="宋体" w:hAnsi="Times New Roman" w:cs="Times New Roman"/>
          <w:color w:val="auto"/>
          <w:sz w:val="24"/>
          <w:szCs w:val="22"/>
          <w:highlight w:val="none"/>
        </w:rPr>
        <w:t xml:space="preserve">：                      日期：   </w:t>
      </w:r>
      <w:r>
        <w:rPr>
          <w:rFonts w:hint="eastAsia" w:ascii="宋体" w:cs="Times New Roman"/>
          <w:color w:val="auto"/>
          <w:sz w:val="24"/>
          <w:szCs w:val="22"/>
          <w:highlight w:val="none"/>
          <w:lang w:val="en-US" w:eastAsia="zh-CN"/>
        </w:rPr>
        <w:t xml:space="preserve">            </w:t>
      </w:r>
      <w:r>
        <w:rPr>
          <w:rFonts w:hint="eastAsia" w:ascii="宋体" w:hAnsi="Times New Roman" w:cs="Times New Roman"/>
          <w:color w:val="auto"/>
          <w:sz w:val="24"/>
          <w:szCs w:val="22"/>
          <w:highlight w:val="none"/>
        </w:rPr>
        <w:t>年  月  日</w:t>
      </w:r>
    </w:p>
    <w:p w14:paraId="69A8F17A">
      <w:pPr>
        <w:pStyle w:val="37"/>
        <w:ind w:firstLine="420" w:firstLineChars="0"/>
        <w:rPr>
          <w:rFonts w:ascii="宋体"/>
          <w:b/>
          <w:color w:val="auto"/>
          <w:szCs w:val="21"/>
          <w:highlight w:val="none"/>
        </w:rPr>
      </w:pPr>
    </w:p>
    <w:p w14:paraId="2E88BC3A">
      <w:pPr>
        <w:pStyle w:val="37"/>
        <w:ind w:firstLine="420" w:firstLineChars="0"/>
        <w:rPr>
          <w:rFonts w:ascii="宋体"/>
          <w:b/>
          <w:color w:val="auto"/>
          <w:sz w:val="28"/>
          <w:szCs w:val="28"/>
          <w:highlight w:val="none"/>
        </w:rPr>
      </w:pPr>
    </w:p>
    <w:p w14:paraId="2F15BD52">
      <w:pPr>
        <w:pStyle w:val="27"/>
        <w:jc w:val="center"/>
        <w:outlineLvl w:val="9"/>
        <w:rPr>
          <w:rFonts w:ascii="宋体"/>
          <w:color w:val="auto"/>
          <w:kern w:val="2"/>
          <w:highlight w:val="none"/>
        </w:rPr>
      </w:pPr>
    </w:p>
    <w:p w14:paraId="68A1DD5E">
      <w:pPr>
        <w:widowControl w:val="0"/>
        <w:tabs>
          <w:tab w:val="left" w:pos="360"/>
          <w:tab w:val="left" w:pos="720"/>
          <w:tab w:val="left" w:pos="3060"/>
        </w:tabs>
        <w:spacing w:line="400" w:lineRule="exact"/>
        <w:outlineLvl w:val="1"/>
        <w:rPr>
          <w:rFonts w:ascii="宋体"/>
          <w:b/>
          <w:color w:val="auto"/>
          <w:kern w:val="2"/>
          <w:sz w:val="28"/>
          <w:szCs w:val="28"/>
          <w:highlight w:val="none"/>
        </w:rPr>
      </w:pPr>
      <w:r>
        <w:rPr>
          <w:rFonts w:ascii="宋体"/>
          <w:b/>
          <w:color w:val="auto"/>
          <w:sz w:val="32"/>
          <w:szCs w:val="32"/>
          <w:highlight w:val="none"/>
        </w:rPr>
        <w:br w:type="page"/>
      </w:r>
      <w:bookmarkStart w:id="208" w:name="_Toc10122284"/>
      <w:bookmarkStart w:id="209" w:name="_Toc376793720"/>
      <w:bookmarkStart w:id="210" w:name="_Toc10461"/>
      <w:bookmarkStart w:id="211" w:name="_Toc512354299"/>
      <w:bookmarkStart w:id="212" w:name="_Toc376793566"/>
      <w:bookmarkStart w:id="213" w:name="_Toc10184893"/>
      <w:bookmarkStart w:id="214" w:name="_Toc376793585"/>
      <w:bookmarkStart w:id="215" w:name="_Toc381027005"/>
      <w:r>
        <w:rPr>
          <w:rStyle w:val="42"/>
          <w:rFonts w:hint="eastAsia"/>
          <w:color w:val="auto"/>
          <w:highlight w:val="none"/>
        </w:rPr>
        <w:t xml:space="preserve">格式十                       </w:t>
      </w:r>
      <w:r>
        <w:rPr>
          <w:rStyle w:val="42"/>
          <w:color w:val="auto"/>
          <w:highlight w:val="none"/>
        </w:rPr>
        <w:t>廉洁承诺书</w:t>
      </w:r>
      <w:bookmarkEnd w:id="208"/>
      <w:bookmarkEnd w:id="209"/>
      <w:bookmarkEnd w:id="210"/>
      <w:bookmarkEnd w:id="211"/>
      <w:bookmarkEnd w:id="212"/>
      <w:bookmarkEnd w:id="213"/>
      <w:bookmarkEnd w:id="214"/>
      <w:bookmarkEnd w:id="215"/>
    </w:p>
    <w:p w14:paraId="75E49CB8">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32"/>
          <w:szCs w:val="32"/>
          <w:highlight w:val="none"/>
        </w:rPr>
      </w:pPr>
    </w:p>
    <w:p w14:paraId="43B48022">
      <w:pPr>
        <w:spacing w:line="400" w:lineRule="exact"/>
        <w:ind w:firstLine="480" w:firstLineChars="200"/>
        <w:rPr>
          <w:rFonts w:ascii="宋体"/>
          <w:color w:val="auto"/>
          <w:sz w:val="24"/>
          <w:szCs w:val="24"/>
          <w:highlight w:val="none"/>
        </w:rPr>
      </w:pPr>
      <w:r>
        <w:rPr>
          <w:rFonts w:ascii="宋体"/>
          <w:color w:val="auto"/>
          <w:sz w:val="24"/>
          <w:szCs w:val="24"/>
          <w:highlight w:val="none"/>
        </w:rPr>
        <w:t>为维护公平竞争的市场秩序，我方自愿在参与贵方组织的商业往来活动中，加强有关人员廉洁从业管理，恪守商业道德，从源头预防和遏制违法、违规、违纪行为发生，特作以下承诺：</w:t>
      </w:r>
    </w:p>
    <w:p w14:paraId="173B0434">
      <w:pPr>
        <w:spacing w:line="400" w:lineRule="exact"/>
        <w:ind w:firstLine="480" w:firstLineChars="200"/>
        <w:rPr>
          <w:rFonts w:ascii="宋体"/>
          <w:color w:val="auto"/>
          <w:sz w:val="24"/>
          <w:szCs w:val="24"/>
          <w:highlight w:val="none"/>
        </w:rPr>
      </w:pPr>
      <w:r>
        <w:rPr>
          <w:rFonts w:ascii="宋体"/>
          <w:color w:val="auto"/>
          <w:sz w:val="24"/>
          <w:szCs w:val="24"/>
          <w:highlight w:val="none"/>
        </w:rPr>
        <w:t>一、严格遵守国家有关法律法规，坚持诚实守信原则，恪守商业道德，规范商务人员廉洁从业行为。</w:t>
      </w:r>
    </w:p>
    <w:p w14:paraId="2196D579">
      <w:pPr>
        <w:spacing w:line="400" w:lineRule="exact"/>
        <w:ind w:firstLine="480" w:firstLineChars="200"/>
        <w:rPr>
          <w:rFonts w:ascii="宋体"/>
          <w:color w:val="auto"/>
          <w:sz w:val="24"/>
          <w:szCs w:val="24"/>
          <w:highlight w:val="none"/>
        </w:rPr>
      </w:pPr>
      <w:r>
        <w:rPr>
          <w:rFonts w:ascii="宋体"/>
          <w:color w:val="auto"/>
          <w:sz w:val="24"/>
          <w:szCs w:val="24"/>
          <w:highlight w:val="none"/>
        </w:rPr>
        <w:t>二、不伙同他人串标、围标或非法排挤竞争对手，不在商业活动中提供虚假资料，损害贵方合法权益。</w:t>
      </w:r>
    </w:p>
    <w:p w14:paraId="62B9A653">
      <w:pPr>
        <w:spacing w:line="400" w:lineRule="exact"/>
        <w:ind w:firstLine="480" w:firstLineChars="200"/>
        <w:rPr>
          <w:rFonts w:ascii="宋体"/>
          <w:color w:val="auto"/>
          <w:sz w:val="24"/>
          <w:szCs w:val="24"/>
          <w:highlight w:val="none"/>
        </w:rPr>
      </w:pPr>
      <w:r>
        <w:rPr>
          <w:rFonts w:ascii="宋体"/>
          <w:color w:val="auto"/>
          <w:sz w:val="24"/>
          <w:szCs w:val="24"/>
          <w:highlight w:val="none"/>
        </w:rPr>
        <w:t>三、不为贵方工作人员提供回扣、礼金、有价证券、贵重物品和报销个人费用。</w:t>
      </w:r>
    </w:p>
    <w:p w14:paraId="4C55E2AA">
      <w:pPr>
        <w:spacing w:line="400" w:lineRule="exact"/>
        <w:ind w:firstLine="480" w:firstLineChars="200"/>
        <w:rPr>
          <w:rFonts w:ascii="宋体"/>
          <w:color w:val="auto"/>
          <w:sz w:val="24"/>
          <w:szCs w:val="24"/>
          <w:highlight w:val="none"/>
        </w:rPr>
      </w:pPr>
      <w:r>
        <w:rPr>
          <w:rFonts w:ascii="宋体"/>
          <w:color w:val="auto"/>
          <w:sz w:val="24"/>
          <w:szCs w:val="24"/>
          <w:highlight w:val="none"/>
        </w:rPr>
        <w:t>四、不为贵方工作人员安排有可能影响公平、公正交易的宴请、健身、娱乐等活动。</w:t>
      </w:r>
    </w:p>
    <w:p w14:paraId="0104592F">
      <w:pPr>
        <w:spacing w:line="400" w:lineRule="exact"/>
        <w:ind w:firstLine="480" w:firstLineChars="200"/>
        <w:rPr>
          <w:rFonts w:ascii="宋体"/>
          <w:color w:val="auto"/>
          <w:sz w:val="24"/>
          <w:szCs w:val="24"/>
          <w:highlight w:val="none"/>
        </w:rPr>
      </w:pPr>
      <w:r>
        <w:rPr>
          <w:rFonts w:ascii="宋体"/>
          <w:color w:val="auto"/>
          <w:sz w:val="24"/>
          <w:szCs w:val="24"/>
          <w:highlight w:val="none"/>
        </w:rPr>
        <w:t>五、不为贵方工作人员投资入股、个人借款或买卖股票、债券等提供方便。</w:t>
      </w:r>
    </w:p>
    <w:p w14:paraId="6DBDB645">
      <w:pPr>
        <w:spacing w:line="400" w:lineRule="exact"/>
        <w:ind w:firstLine="480" w:firstLineChars="200"/>
        <w:rPr>
          <w:rFonts w:ascii="宋体"/>
          <w:color w:val="auto"/>
          <w:sz w:val="24"/>
          <w:szCs w:val="24"/>
          <w:highlight w:val="none"/>
        </w:rPr>
      </w:pPr>
      <w:r>
        <w:rPr>
          <w:rFonts w:ascii="宋体"/>
          <w:color w:val="auto"/>
          <w:sz w:val="24"/>
          <w:szCs w:val="24"/>
          <w:highlight w:val="none"/>
        </w:rPr>
        <w:t>六、不为贵方工作人员购买或装修住房、婚丧嫁娶、配偶子女上学或工作安排以及出国出境、旅游等提供方便。</w:t>
      </w:r>
    </w:p>
    <w:p w14:paraId="592F4F4C">
      <w:pPr>
        <w:spacing w:line="400" w:lineRule="exact"/>
        <w:ind w:firstLine="480" w:firstLineChars="200"/>
        <w:rPr>
          <w:rFonts w:ascii="宋体"/>
          <w:color w:val="auto"/>
          <w:sz w:val="24"/>
          <w:szCs w:val="24"/>
          <w:highlight w:val="none"/>
        </w:rPr>
      </w:pPr>
      <w:r>
        <w:rPr>
          <w:rFonts w:ascii="宋体"/>
          <w:color w:val="auto"/>
          <w:sz w:val="24"/>
          <w:szCs w:val="24"/>
          <w:highlight w:val="none"/>
        </w:rPr>
        <w:t>七、不违反规定为贵方工作人员在我方相关企业挂名兼职、合伙经营、介绍承揽业务等提供方便。</w:t>
      </w:r>
    </w:p>
    <w:p w14:paraId="6C058477">
      <w:pPr>
        <w:spacing w:line="400" w:lineRule="exact"/>
        <w:ind w:firstLine="480" w:firstLineChars="200"/>
        <w:rPr>
          <w:rFonts w:ascii="宋体"/>
          <w:color w:val="auto"/>
          <w:sz w:val="24"/>
          <w:szCs w:val="24"/>
          <w:highlight w:val="none"/>
        </w:rPr>
      </w:pPr>
      <w:r>
        <w:rPr>
          <w:rFonts w:ascii="宋体"/>
          <w:color w:val="auto"/>
          <w:sz w:val="24"/>
          <w:szCs w:val="24"/>
          <w:highlight w:val="none"/>
        </w:rPr>
        <w:t>八、不利用非法手段向贵方工作人员打探有关涉及贵方的商业秘密、业务渠道等。</w:t>
      </w:r>
    </w:p>
    <w:p w14:paraId="42B1C875">
      <w:pPr>
        <w:spacing w:line="400" w:lineRule="exact"/>
        <w:ind w:firstLine="480" w:firstLineChars="200"/>
        <w:rPr>
          <w:rFonts w:ascii="宋体"/>
          <w:color w:val="auto"/>
          <w:sz w:val="24"/>
          <w:szCs w:val="24"/>
          <w:highlight w:val="none"/>
        </w:rPr>
      </w:pPr>
      <w:r>
        <w:rPr>
          <w:rFonts w:ascii="宋体"/>
          <w:color w:val="auto"/>
          <w:sz w:val="24"/>
          <w:szCs w:val="24"/>
          <w:highlight w:val="none"/>
        </w:rPr>
        <w:t>九、贵方对涉嫌不廉洁的商业行为进行调查时，我方有配合提供证据、作证的义务。</w:t>
      </w:r>
    </w:p>
    <w:p w14:paraId="1B022980">
      <w:pPr>
        <w:spacing w:line="400" w:lineRule="exact"/>
        <w:ind w:firstLine="480" w:firstLineChars="200"/>
        <w:rPr>
          <w:rFonts w:ascii="宋体"/>
          <w:color w:val="auto"/>
          <w:sz w:val="24"/>
          <w:szCs w:val="24"/>
          <w:highlight w:val="none"/>
        </w:rPr>
      </w:pPr>
      <w:r>
        <w:rPr>
          <w:rFonts w:ascii="宋体"/>
          <w:color w:val="auto"/>
          <w:sz w:val="24"/>
          <w:szCs w:val="24"/>
          <w:highlight w:val="none"/>
        </w:rPr>
        <w:t>十、未经贵方同意，我方不向任何新闻媒体、第三人述及有关贵方工作人员恪守商业道德方面的评价、信息。</w:t>
      </w:r>
    </w:p>
    <w:p w14:paraId="67448232">
      <w:pPr>
        <w:spacing w:line="400" w:lineRule="exact"/>
        <w:ind w:firstLine="480" w:firstLineChars="200"/>
        <w:rPr>
          <w:rFonts w:ascii="宋体"/>
          <w:color w:val="auto"/>
          <w:sz w:val="24"/>
          <w:szCs w:val="24"/>
          <w:highlight w:val="none"/>
        </w:rPr>
      </w:pPr>
      <w:r>
        <w:rPr>
          <w:rFonts w:ascii="宋体"/>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14:paraId="261704D9">
      <w:pPr>
        <w:spacing w:line="400" w:lineRule="exact"/>
        <w:ind w:firstLine="480" w:firstLineChars="200"/>
        <w:rPr>
          <w:rFonts w:ascii="宋体"/>
          <w:color w:val="auto"/>
          <w:sz w:val="24"/>
          <w:szCs w:val="24"/>
          <w:highlight w:val="none"/>
        </w:rPr>
      </w:pPr>
    </w:p>
    <w:p w14:paraId="6EEE2CAE">
      <w:pPr>
        <w:spacing w:line="400" w:lineRule="exact"/>
        <w:ind w:firstLine="480" w:firstLineChars="200"/>
        <w:jc w:val="center"/>
        <w:rPr>
          <w:rFonts w:ascii="宋体"/>
          <w:color w:val="auto"/>
          <w:sz w:val="24"/>
          <w:szCs w:val="24"/>
          <w:highlight w:val="none"/>
        </w:rPr>
      </w:pPr>
      <w:bookmarkStart w:id="216" w:name="_Toc1811_WPSOffice_Level2"/>
      <w:r>
        <w:rPr>
          <w:rFonts w:ascii="宋体"/>
          <w:color w:val="auto"/>
          <w:sz w:val="24"/>
          <w:szCs w:val="24"/>
          <w:highlight w:val="none"/>
        </w:rPr>
        <w:t>承诺方：（盖章）</w:t>
      </w:r>
      <w:bookmarkEnd w:id="216"/>
    </w:p>
    <w:p w14:paraId="2893D01F">
      <w:pPr>
        <w:spacing w:line="400" w:lineRule="exact"/>
        <w:ind w:firstLine="480" w:firstLineChars="200"/>
        <w:jc w:val="center"/>
        <w:rPr>
          <w:rFonts w:ascii="宋体"/>
          <w:color w:val="auto"/>
          <w:sz w:val="24"/>
          <w:szCs w:val="24"/>
          <w:highlight w:val="none"/>
        </w:rPr>
      </w:pPr>
      <w:bookmarkStart w:id="217" w:name="_Toc20412_WPSOffice_Level2"/>
      <w:r>
        <w:rPr>
          <w:rFonts w:hint="eastAsia" w:ascii="宋体"/>
          <w:color w:val="auto"/>
          <w:sz w:val="24"/>
          <w:szCs w:val="24"/>
          <w:highlight w:val="none"/>
        </w:rPr>
        <w:t>法定代表人：（签字）</w:t>
      </w:r>
      <w:bookmarkEnd w:id="217"/>
    </w:p>
    <w:p w14:paraId="0B145248">
      <w:pPr>
        <w:spacing w:line="400" w:lineRule="exact"/>
        <w:ind w:firstLine="480" w:firstLineChars="200"/>
        <w:jc w:val="center"/>
        <w:rPr>
          <w:rFonts w:ascii="宋体"/>
          <w:color w:val="auto"/>
          <w:sz w:val="24"/>
          <w:szCs w:val="24"/>
          <w:highlight w:val="none"/>
        </w:rPr>
      </w:pPr>
      <w:bookmarkStart w:id="218" w:name="_Toc1925_WPSOffice_Level2"/>
      <w:r>
        <w:rPr>
          <w:rFonts w:hint="eastAsia" w:ascii="宋体"/>
          <w:color w:val="auto"/>
          <w:sz w:val="24"/>
          <w:szCs w:val="24"/>
          <w:highlight w:val="none"/>
        </w:rPr>
        <w:t>日  期：</w:t>
      </w:r>
      <w:r>
        <w:rPr>
          <w:rFonts w:ascii="宋体"/>
          <w:color w:val="auto"/>
          <w:sz w:val="24"/>
          <w:szCs w:val="24"/>
          <w:highlight w:val="none"/>
        </w:rPr>
        <w:t>年月日</w:t>
      </w:r>
      <w:bookmarkEnd w:id="218"/>
    </w:p>
    <w:p w14:paraId="40A59C8F">
      <w:pPr>
        <w:widowControl w:val="0"/>
        <w:spacing w:line="360" w:lineRule="auto"/>
        <w:ind w:right="480"/>
        <w:rPr>
          <w:rFonts w:ascii="宋体"/>
          <w:b/>
          <w:bCs/>
          <w:color w:val="auto"/>
          <w:sz w:val="24"/>
          <w:szCs w:val="24"/>
          <w:highlight w:val="none"/>
        </w:rPr>
      </w:pPr>
      <w:r>
        <w:rPr>
          <w:rFonts w:hint="eastAsia" w:ascii="宋体"/>
          <w:bCs/>
          <w:color w:val="auto"/>
          <w:sz w:val="24"/>
          <w:szCs w:val="24"/>
          <w:highlight w:val="none"/>
        </w:rPr>
        <w:t>▲</w:t>
      </w:r>
      <w:r>
        <w:rPr>
          <w:rFonts w:hint="eastAsia" w:ascii="宋体"/>
          <w:b/>
          <w:bCs/>
          <w:color w:val="auto"/>
          <w:sz w:val="24"/>
          <w:szCs w:val="24"/>
          <w:highlight w:val="none"/>
        </w:rPr>
        <w:t>要求由法定代表人签字、加盖单位公章后，附在采购响应文件中。</w:t>
      </w:r>
    </w:p>
    <w:p w14:paraId="0621800E">
      <w:pPr>
        <w:widowControl w:val="0"/>
        <w:tabs>
          <w:tab w:val="left" w:pos="360"/>
          <w:tab w:val="left" w:pos="720"/>
          <w:tab w:val="left" w:pos="3060"/>
        </w:tabs>
        <w:spacing w:line="400" w:lineRule="exact"/>
        <w:rPr>
          <w:rFonts w:ascii="宋体"/>
          <w:color w:val="auto"/>
          <w:highlight w:val="none"/>
        </w:rPr>
      </w:pPr>
    </w:p>
    <w:p w14:paraId="0B194380">
      <w:pPr>
        <w:rPr>
          <w:rFonts w:ascii="宋体"/>
          <w:color w:val="auto"/>
          <w:highlight w:val="none"/>
        </w:rPr>
      </w:pPr>
      <w:r>
        <w:rPr>
          <w:rFonts w:ascii="宋体"/>
          <w:color w:val="auto"/>
          <w:highlight w:val="none"/>
        </w:rPr>
        <w:br w:type="page"/>
      </w:r>
    </w:p>
    <w:p w14:paraId="5C8FDA75">
      <w:pPr>
        <w:keepNext w:val="0"/>
        <w:keepLines w:val="0"/>
        <w:widowControl w:val="0"/>
        <w:suppressLineNumbers w:val="0"/>
        <w:kinsoku/>
        <w:topLinePunct w:val="0"/>
        <w:autoSpaceDE w:val="0"/>
        <w:autoSpaceDN/>
        <w:bidi w:val="0"/>
        <w:spacing w:before="0" w:beforeAutospacing="0" w:after="0" w:afterAutospacing="0" w:line="560" w:lineRule="exact"/>
        <w:ind w:right="0"/>
        <w:jc w:val="center"/>
        <w:rPr>
          <w:rFonts w:hint="eastAsia" w:ascii="宋体" w:hAnsi="宋体" w:eastAsia="宋体" w:cs="宋体"/>
          <w:b/>
          <w:bCs/>
          <w:color w:val="auto"/>
          <w:kern w:val="2"/>
          <w:sz w:val="36"/>
          <w:szCs w:val="36"/>
          <w:highlight w:val="none"/>
          <w:lang w:val="en-US" w:eastAsia="zh-CN" w:bidi="ar"/>
        </w:rPr>
      </w:pPr>
      <w:r>
        <w:rPr>
          <w:rFonts w:hint="eastAsia" w:ascii="宋体" w:hAnsi="宋体" w:eastAsia="宋体" w:cs="宋体"/>
          <w:b/>
          <w:bCs/>
          <w:color w:val="auto"/>
          <w:kern w:val="2"/>
          <w:sz w:val="36"/>
          <w:szCs w:val="36"/>
          <w:highlight w:val="none"/>
          <w:lang w:val="en-US" w:eastAsia="zh-CN" w:bidi="ar"/>
        </w:rPr>
        <w:t>供需廉洁互保协议</w:t>
      </w:r>
    </w:p>
    <w:p w14:paraId="00E48E83">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方正仿宋简体" w:hAnsi="方正仿宋简体" w:eastAsia="方正仿宋简体" w:cs="方正仿宋简体"/>
          <w:color w:val="auto"/>
          <w:kern w:val="2"/>
          <w:sz w:val="30"/>
          <w:szCs w:val="30"/>
          <w:highlight w:val="none"/>
          <w:lang w:val="en-US" w:eastAsia="zh-CN" w:bidi="ar"/>
        </w:rPr>
      </w:pPr>
    </w:p>
    <w:p w14:paraId="220FE049">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甲方（需方）：</w:t>
      </w:r>
    </w:p>
    <w:p w14:paraId="14FD9933">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乙方（供方）：</w:t>
      </w:r>
    </w:p>
    <w:p w14:paraId="5DF1C1A3">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乙方1：</w:t>
      </w:r>
    </w:p>
    <w:p w14:paraId="7AF32AB8">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乙方2：</w:t>
      </w:r>
    </w:p>
    <w:p w14:paraId="0252D2D7">
      <w:pPr>
        <w:keepNext w:val="0"/>
        <w:keepLines w:val="0"/>
        <w:widowControl w:val="0"/>
        <w:suppressLineNumbers w:val="0"/>
        <w:kinsoku/>
        <w:topLinePunct w:val="0"/>
        <w:autoSpaceDE w:val="0"/>
        <w:autoSpaceDN/>
        <w:bidi w:val="0"/>
        <w:spacing w:line="560" w:lineRule="exact"/>
        <w:ind w:left="0" w:leftChars="0" w:firstLine="420"/>
        <w:jc w:val="both"/>
        <w:rPr>
          <w:rFonts w:hint="eastAsia" w:ascii="仿宋" w:hAnsi="仿宋" w:eastAsia="仿宋" w:cs="仿宋"/>
          <w:color w:val="auto"/>
          <w:kern w:val="0"/>
          <w:sz w:val="30"/>
          <w:szCs w:val="30"/>
          <w:highlight w:val="none"/>
          <w:lang w:val="en-US" w:eastAsia="zh-CN" w:bidi="ar-SA"/>
        </w:rPr>
      </w:pPr>
    </w:p>
    <w:p w14:paraId="2188EB01">
      <w:pPr>
        <w:keepNext w:val="0"/>
        <w:keepLines w:val="0"/>
        <w:widowControl w:val="0"/>
        <w:suppressLineNumbers w:val="0"/>
        <w:kinsoku/>
        <w:topLinePunct w:val="0"/>
        <w:autoSpaceDE w:val="0"/>
        <w:autoSpaceDN/>
        <w:bidi w:val="0"/>
        <w:spacing w:line="560" w:lineRule="exact"/>
        <w:ind w:left="0" w:leftChars="0" w:firstLine="420"/>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0"/>
          <w:sz w:val="30"/>
          <w:szCs w:val="30"/>
          <w:highlight w:val="none"/>
          <w:lang w:val="en-US" w:eastAsia="zh-CN" w:bidi="ar-SA"/>
        </w:rPr>
        <w:t xml:space="preserve"> </w:t>
      </w:r>
      <w:r>
        <w:rPr>
          <w:rFonts w:hint="eastAsia" w:ascii="仿宋" w:hAnsi="仿宋" w:eastAsia="仿宋" w:cs="仿宋"/>
          <w:color w:val="auto"/>
          <w:kern w:val="2"/>
          <w:sz w:val="30"/>
          <w:szCs w:val="30"/>
          <w:highlight w:val="none"/>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023F999D">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第一条</w:t>
      </w:r>
      <w:r>
        <w:rPr>
          <w:rFonts w:hint="eastAsia" w:ascii="仿宋" w:hAnsi="仿宋" w:eastAsia="仿宋" w:cs="仿宋"/>
          <w:color w:val="auto"/>
          <w:kern w:val="2"/>
          <w:sz w:val="30"/>
          <w:szCs w:val="30"/>
          <w:highlight w:val="none"/>
          <w:lang w:val="en-US" w:eastAsia="zh-CN" w:bidi="ar"/>
        </w:rPr>
        <w:t xml:space="preserve">  甲、乙双方共同的权利和义务</w:t>
      </w:r>
    </w:p>
    <w:p w14:paraId="6607C3A3">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1.严格遵守国家有关法律法规，坚持诚实守信原则，恪守商业道德，规范工作人员廉洁从业行为。</w:t>
      </w:r>
    </w:p>
    <w:p w14:paraId="6EFB4A0A">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2.双方业务活动坚持公开、公正、诚信、透明的原则（商业秘密和合同文件另有规定的除外），不得损害国家和集体利益。</w:t>
      </w:r>
    </w:p>
    <w:p w14:paraId="48FAD891">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3.发现对方工作人员在业务活动中有违反廉洁规定的行为，有及时要求对方纠正并向对方举报的权利和义务；涉嫌违法的，可以依法向有关部门举报。</w:t>
      </w:r>
    </w:p>
    <w:p w14:paraId="2B11D72B">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4.对涉嫌不廉洁的商业行为进行调查时，双方有相互配合、提供证据、作证的义务。</w:t>
      </w:r>
    </w:p>
    <w:p w14:paraId="038BA2DD">
      <w:pPr>
        <w:keepNext w:val="0"/>
        <w:keepLines w:val="0"/>
        <w:widowControl/>
        <w:suppressLineNumbers w:val="0"/>
        <w:kinsoku/>
        <w:topLinePunct w:val="0"/>
        <w:autoSpaceDE w:val="0"/>
        <w:autoSpaceDN/>
        <w:bidi w:val="0"/>
        <w:spacing w:before="0" w:beforeAutospacing="0" w:after="0" w:afterAutospacing="0" w:line="560" w:lineRule="exact"/>
        <w:ind w:left="0" w:leftChars="0" w:right="0" w:firstLine="600" w:firstLineChars="200"/>
        <w:jc w:val="left"/>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5.未经对方同意，不向任何新闻媒体、第三人</w:t>
      </w:r>
      <w:bookmarkStart w:id="219" w:name="FunCunProofread7952"/>
      <w:r>
        <w:rPr>
          <w:rFonts w:hint="eastAsia" w:ascii="仿宋" w:hAnsi="仿宋" w:eastAsia="仿宋" w:cs="仿宋"/>
          <w:color w:val="auto"/>
          <w:kern w:val="2"/>
          <w:sz w:val="30"/>
          <w:szCs w:val="30"/>
          <w:highlight w:val="none"/>
          <w:u w:val="none" w:color="ED7D31"/>
          <w:lang w:val="en-US" w:eastAsia="zh-CN" w:bidi="ar"/>
        </w:rPr>
        <w:t>述及</w:t>
      </w:r>
      <w:bookmarkEnd w:id="219"/>
      <w:r>
        <w:rPr>
          <w:rFonts w:hint="eastAsia" w:ascii="仿宋" w:hAnsi="仿宋" w:eastAsia="仿宋" w:cs="仿宋"/>
          <w:color w:val="auto"/>
          <w:kern w:val="2"/>
          <w:sz w:val="30"/>
          <w:szCs w:val="30"/>
          <w:highlight w:val="none"/>
          <w:lang w:val="en-US" w:eastAsia="zh-CN" w:bidi="ar"/>
        </w:rPr>
        <w:t>有关对方工作人员恪守商业道德方面的评价、信息。</w:t>
      </w:r>
    </w:p>
    <w:p w14:paraId="4D8F4B6B">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6.双方应依法保护举报人员，不得以任何方式对举报人员进行打击报复。</w:t>
      </w:r>
    </w:p>
    <w:p w14:paraId="48EC3CDB">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第二条</w:t>
      </w:r>
      <w:r>
        <w:rPr>
          <w:rFonts w:hint="eastAsia" w:ascii="仿宋" w:hAnsi="仿宋" w:eastAsia="仿宋" w:cs="仿宋"/>
          <w:color w:val="auto"/>
          <w:kern w:val="2"/>
          <w:sz w:val="30"/>
          <w:szCs w:val="30"/>
          <w:highlight w:val="none"/>
          <w:lang w:val="en-US" w:eastAsia="zh-CN" w:bidi="ar"/>
        </w:rPr>
        <w:t xml:space="preserve">  甲方的廉洁责任</w:t>
      </w:r>
    </w:p>
    <w:p w14:paraId="05AA8D38">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388551A">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2.甲方工作人员及其配偶、子女、其他特定关系人不得要求或者接受乙方以住房装修、婚丧嫁娶、家属及其他亲属的工作安排、出国出境、旅游等为理由所提供的方便。</w:t>
      </w:r>
    </w:p>
    <w:p w14:paraId="41B6BF9B">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3.甲方工作人员及其配偶、子女、其他特定关系人不得通过向乙方或其工作人员以明显低于市场的价格购买或者以明显高于市场的价格出售房屋、汽车等，获取不正当利益。</w:t>
      </w:r>
    </w:p>
    <w:p w14:paraId="6EC04712">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4.甲方工作人员及其配偶、子女、其他特定关系人不得以委托乙方或其工作人员投资证券、期货或者其他委托理财名义，获取不正当利益。</w:t>
      </w:r>
    </w:p>
    <w:p w14:paraId="2E371B2A">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5.甲方工作人员不得私自参加乙方安排的宴请，不得私自接受乙方提供的通讯、交通工具和办公用品，不得向乙方泄露谈判中的商业秘密。</w:t>
      </w:r>
    </w:p>
    <w:p w14:paraId="165350BE">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6.甲方工作人员不得以任何理由向乙方推荐物资、服务供应单位、工程承包或劳务分包单位，合同另有约定除外。</w:t>
      </w:r>
    </w:p>
    <w:p w14:paraId="55067F14">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第三条</w:t>
      </w:r>
      <w:r>
        <w:rPr>
          <w:rFonts w:hint="eastAsia" w:ascii="仿宋" w:hAnsi="仿宋" w:eastAsia="仿宋" w:cs="仿宋"/>
          <w:color w:val="auto"/>
          <w:kern w:val="2"/>
          <w:sz w:val="30"/>
          <w:szCs w:val="30"/>
          <w:highlight w:val="none"/>
          <w:lang w:val="en-US" w:eastAsia="zh-CN" w:bidi="ar"/>
        </w:rPr>
        <w:t xml:space="preserve">  乙方的廉洁责任</w:t>
      </w:r>
    </w:p>
    <w:p w14:paraId="53A9DC6A">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1.乙方及其工作人员不得为甲方工作人员及其配偶、子女、其他特定关系人提供回扣、礼品、礼金、有价证券等财物，或报销、支付任何个人费用。</w:t>
      </w:r>
    </w:p>
    <w:p w14:paraId="4FE8129E">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2.乙方及其工作人员不得为甲方工作人员及其配偶、子女、其他特定关系人安排有可能影响公平、公正交易的宴请、健身、娱乐等活动。</w:t>
      </w:r>
    </w:p>
    <w:p w14:paraId="42355105">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3.乙方及其工作人员不得为甲方工作人员及其配偶、子女、其他特定关系人投资入股、个人借款或买卖股票、债券等提供方便。</w:t>
      </w:r>
    </w:p>
    <w:p w14:paraId="247A955D">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4.乙方及其工作人员不得为甲方工作人员及其配偶、子女、其他特定关系人购买或装修住房、婚丧嫁娶、配偶子女上学或工作安排以及出国出境、旅游等提供方便。</w:t>
      </w:r>
    </w:p>
    <w:p w14:paraId="5FFA50E6">
      <w:pPr>
        <w:keepNext w:val="0"/>
        <w:keepLines w:val="0"/>
        <w:widowControl/>
        <w:suppressLineNumbers w:val="0"/>
        <w:kinsoku/>
        <w:topLinePunct w:val="0"/>
        <w:autoSpaceDE w:val="0"/>
        <w:autoSpaceDN/>
        <w:bidi w:val="0"/>
        <w:spacing w:before="0" w:beforeAutospacing="0" w:after="0" w:afterAutospacing="0" w:line="560" w:lineRule="exact"/>
        <w:ind w:left="0" w:leftChars="0" w:right="0" w:firstLine="600" w:firstLineChars="200"/>
        <w:jc w:val="left"/>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5.乙方及其工作人员不得为甲方工作人员及其配偶、子女、其他特定关系人在其相关企业挂名兼职、合伙经营、介绍承揽业务等提供方便。</w:t>
      </w:r>
    </w:p>
    <w:p w14:paraId="1BD0FD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6.乙方及其工作人员不得利用非法手段向甲方工作人员打探有关涉及甲方的商业秘密、业务渠道等。</w:t>
      </w:r>
    </w:p>
    <w:p w14:paraId="76E162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7.乙方及其工作人员与甲方发生业务往来过程中，不得有弄虚作假、以次充好、虚结虚算等违反诚信原则的行为。</w:t>
      </w:r>
    </w:p>
    <w:p w14:paraId="2F5D7918">
      <w:pPr>
        <w:keepNext w:val="0"/>
        <w:keepLines w:val="0"/>
        <w:widowControl/>
        <w:suppressLineNumbers w:val="0"/>
        <w:kinsoku/>
        <w:topLinePunct w:val="0"/>
        <w:autoSpaceDE w:val="0"/>
        <w:autoSpaceDN/>
        <w:bidi w:val="0"/>
        <w:spacing w:before="0" w:beforeAutospacing="0" w:after="0" w:afterAutospacing="0" w:line="560" w:lineRule="exact"/>
        <w:ind w:left="0" w:leftChars="0" w:right="0" w:firstLine="600" w:firstLineChars="200"/>
        <w:jc w:val="left"/>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8.其他违反廉洁规定的行为。</w:t>
      </w:r>
    </w:p>
    <w:p w14:paraId="786EF92B">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第四条</w:t>
      </w:r>
      <w:r>
        <w:rPr>
          <w:rFonts w:hint="eastAsia" w:ascii="仿宋" w:hAnsi="仿宋" w:eastAsia="仿宋" w:cs="仿宋"/>
          <w:color w:val="auto"/>
          <w:kern w:val="2"/>
          <w:sz w:val="30"/>
          <w:szCs w:val="30"/>
          <w:highlight w:val="none"/>
          <w:lang w:val="en-US" w:eastAsia="zh-CN" w:bidi="ar"/>
        </w:rPr>
        <w:t xml:space="preserve">  甲方工作人员有违反本协议行为的，甲方按照有关法律法规、规章及企业规章制度对该工作人员进行组织处理、处分；如该工作人员涉嫌犯罪的，移送国家监察机关或司法机关查处。</w:t>
      </w:r>
    </w:p>
    <w:p w14:paraId="039931D7">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 xml:space="preserve">第五条 </w:t>
      </w:r>
      <w:r>
        <w:rPr>
          <w:rFonts w:hint="eastAsia" w:ascii="仿宋" w:hAnsi="仿宋" w:eastAsia="仿宋" w:cs="仿宋"/>
          <w:color w:val="auto"/>
          <w:kern w:val="2"/>
          <w:sz w:val="30"/>
          <w:szCs w:val="30"/>
          <w:highlight w:val="none"/>
          <w:lang w:val="en-US" w:eastAsia="zh-CN" w:bidi="ar"/>
        </w:rPr>
        <w:t xml:space="preserve"> 监督与举报</w:t>
      </w:r>
    </w:p>
    <w:p w14:paraId="3568E76D">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双方均有权对对方在业务往来中的廉洁情况进行监督，并鼓励员工对发现的违反廉洁规定的行为进行举报。</w:t>
      </w:r>
    </w:p>
    <w:p w14:paraId="2E8EE837">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举报渠道：</w:t>
      </w:r>
    </w:p>
    <w:p w14:paraId="5A695A71">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甲方设立举报电话：[022-87779552、16622095882]，举报邮箱：[zmtjsjjwjg@chinacoal.com]，接收乙方及社会各界对甲方员工违反廉洁规定行为的举报。</w:t>
      </w:r>
    </w:p>
    <w:p w14:paraId="3BF01DB3">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乙方设立举报电话：[乙方举报电话]，举报邮箱：[乙方举报邮箱]，接收甲方及社会各界对乙方员工违反廉洁规定行为的举报。</w:t>
      </w:r>
    </w:p>
    <w:p w14:paraId="3A4EA2B1">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举报处理：</w:t>
      </w:r>
    </w:p>
    <w:p w14:paraId="5CC07C47">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接到举报后，双方应对举报内容进行调查或核实。如确有违反廉洁规定的行为，应依据本单位的相关规定对违规人员进行严肃处理，并及时将处理结果告知对方。</w:t>
      </w:r>
    </w:p>
    <w:p w14:paraId="21E76150">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对于举报人的信息，双方应严格保密，严禁对举报人进行打击报复。如发现有打击报复举报人行为的，将依法追究相关人员的法律责任。</w:t>
      </w:r>
    </w:p>
    <w:p w14:paraId="169E01B0">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 xml:space="preserve">第六条  </w:t>
      </w:r>
      <w:r>
        <w:rPr>
          <w:rFonts w:hint="eastAsia" w:ascii="仿宋" w:hAnsi="仿宋" w:eastAsia="仿宋" w:cs="仿宋"/>
          <w:color w:val="auto"/>
          <w:kern w:val="2"/>
          <w:sz w:val="30"/>
          <w:szCs w:val="30"/>
          <w:highlight w:val="none"/>
          <w:lang w:val="en-US" w:eastAsia="zh-CN" w:bidi="ar"/>
        </w:rPr>
        <w:t>乙方及其工作人员有违反本协议行为的，视其情节严重性按照如下条款执行：</w:t>
      </w:r>
    </w:p>
    <w:p w14:paraId="184E1AC8">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1.情节轻微的，甲方有权要求乙方限期整改。</w:t>
      </w:r>
    </w:p>
    <w:p w14:paraId="4DFAA74E">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情节严重的，甲方有权要求乙方支付合同金额20%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4A71CCE5">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（1）导致甲方或其工作人员受到组织处理、处分或构成违法犯罪的；</w:t>
      </w:r>
    </w:p>
    <w:p w14:paraId="7A867899">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（2）给甲方造成重大社会影响的，如省级以上媒体发布甲方的负面报道；相关网络信息实际被点击、浏览次数达到两千五百次以上，或者被转发次数达到二百五十次以上；</w:t>
      </w:r>
    </w:p>
    <w:p w14:paraId="78319307">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（3）给甲方或所属企业造成重大经济损失达到100万以上的。</w:t>
      </w:r>
    </w:p>
    <w:p w14:paraId="08392CD1">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本条所述的违约金、损失赔偿金甲方有权从给乙方的应付款中扣除，不足部分由乙方在接到甲方书面通知之日起7个自然日内一次性支付给甲方。</w:t>
      </w:r>
    </w:p>
    <w:p w14:paraId="69D944F7">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2" w:firstLineChars="200"/>
        <w:jc w:val="both"/>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第七条</w:t>
      </w:r>
      <w:r>
        <w:rPr>
          <w:rFonts w:hint="eastAsia" w:ascii="仿宋" w:hAnsi="仿宋" w:eastAsia="仿宋" w:cs="仿宋"/>
          <w:color w:val="auto"/>
          <w:kern w:val="2"/>
          <w:sz w:val="30"/>
          <w:szCs w:val="30"/>
          <w:highlight w:val="none"/>
          <w:lang w:val="en-US" w:eastAsia="zh-CN" w:bidi="ar"/>
        </w:rPr>
        <w:t xml:space="preserve">  其他</w:t>
      </w:r>
    </w:p>
    <w:p w14:paraId="77C68508">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1.本协议作为双方签订的所有业务合同的组成部分，与业务合同具有同等法律效力。</w:t>
      </w:r>
    </w:p>
    <w:p w14:paraId="7B58A280">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2.本协议乙方为一个单位或组织的，为单一“乙方”；本协议乙方为两个或两个以上单位或组织的，合称“乙方”，任一乙方对另外其他乙方的违约行为承担连带赔偿责任。</w:t>
      </w:r>
    </w:p>
    <w:p w14:paraId="0C629AAF">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left"/>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3.本协议所述“合同金额”指甲方已付及应付未付的合同价款总和，包括：（1）供需标的明确的采购合同的合同总额；（2）长期供货合同项下自首笔订单交易起至出现本协议第五条所述情节严重情形之日止（</w:t>
      </w:r>
      <w:r>
        <w:rPr>
          <w:rFonts w:hint="eastAsia" w:ascii="仿宋" w:hAnsi="仿宋" w:eastAsia="仿宋" w:cs="仿宋"/>
          <w:b w:val="0"/>
          <w:bCs w:val="0"/>
          <w:i w:val="0"/>
          <w:iCs w:val="0"/>
          <w:color w:val="auto"/>
          <w:kern w:val="2"/>
          <w:sz w:val="30"/>
          <w:szCs w:val="30"/>
          <w:highlight w:val="none"/>
          <w:lang w:val="en-US" w:eastAsia="zh-CN" w:bidi="ar"/>
        </w:rPr>
        <w:t>以甲方作出处理决定或正式通知之日，国家审计机构出具审计报告之日，以及公检法、国家纪检监察等机关立案通知之日为标志）</w:t>
      </w:r>
      <w:r>
        <w:rPr>
          <w:rFonts w:hint="eastAsia" w:ascii="仿宋" w:hAnsi="仿宋" w:eastAsia="仿宋" w:cs="仿宋"/>
          <w:color w:val="auto"/>
          <w:kern w:val="2"/>
          <w:sz w:val="30"/>
          <w:szCs w:val="30"/>
          <w:highlight w:val="none"/>
          <w:lang w:val="en-US" w:eastAsia="zh-CN" w:bidi="ar"/>
        </w:rPr>
        <w:t>，甲、乙双方之间已发生的所有订单交易总额。</w:t>
      </w:r>
    </w:p>
    <w:p w14:paraId="495F14D2">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4.本协议自双方法定代表人或其授权代表签署并加盖合同章或公章后生效，有效期与业务合同有效期一致，但有效期内发生的违约和违法违规违纪行为在有效期后发现的，仍适用本协议。</w:t>
      </w:r>
    </w:p>
    <w:p w14:paraId="2912E82A">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 </w:t>
      </w:r>
    </w:p>
    <w:p w14:paraId="222B2BAA">
      <w:pPr>
        <w:keepNext w:val="0"/>
        <w:keepLines w:val="0"/>
        <w:widowControl w:val="0"/>
        <w:suppressLineNumbers w:val="0"/>
        <w:kinsoku/>
        <w:topLinePunct w:val="0"/>
        <w:autoSpaceDE w:val="0"/>
        <w:autoSpaceDN/>
        <w:bidi w:val="0"/>
        <w:spacing w:before="0" w:beforeAutospacing="0" w:after="0" w:afterAutospacing="0" w:line="560" w:lineRule="exact"/>
        <w:ind w:left="5235" w:leftChars="0" w:right="0" w:hanging="5235" w:hangingChars="1745"/>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甲方（盖章）：                  乙方（盖章）：</w:t>
      </w:r>
    </w:p>
    <w:p w14:paraId="36950099">
      <w:pPr>
        <w:keepNext w:val="0"/>
        <w:keepLines w:val="0"/>
        <w:widowControl w:val="0"/>
        <w:suppressLineNumbers w:val="0"/>
        <w:kinsoku/>
        <w:topLinePunct w:val="0"/>
        <w:autoSpaceDE w:val="0"/>
        <w:autoSpaceDN/>
        <w:bidi w:val="0"/>
        <w:spacing w:before="0" w:beforeAutospacing="0" w:after="0" w:afterAutospacing="0" w:line="560" w:lineRule="exact"/>
        <w:ind w:left="5235" w:leftChars="0" w:right="0" w:hanging="5235" w:hangingChars="1745"/>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授权代表（甲方签名）：          授权代表（乙方签名）：</w:t>
      </w:r>
    </w:p>
    <w:p w14:paraId="321F0476">
      <w:pPr>
        <w:keepNext w:val="0"/>
        <w:keepLines w:val="0"/>
        <w:widowControl w:val="0"/>
        <w:suppressLineNumbers w:val="0"/>
        <w:kinsoku/>
        <w:topLinePunct w:val="0"/>
        <w:autoSpaceDE w:val="0"/>
        <w:autoSpaceDN/>
        <w:bidi w:val="0"/>
        <w:spacing w:before="0" w:beforeAutospacing="0" w:after="0" w:afterAutospacing="0" w:line="560" w:lineRule="exact"/>
        <w:ind w:left="5235" w:leftChars="0" w:right="0" w:hanging="5235" w:hangingChars="1745"/>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地址：                         地址：</w:t>
      </w:r>
    </w:p>
    <w:p w14:paraId="610E16EE">
      <w:pPr>
        <w:keepNext w:val="0"/>
        <w:keepLines w:val="0"/>
        <w:widowControl w:val="0"/>
        <w:suppressLineNumbers w:val="0"/>
        <w:kinsoku/>
        <w:topLinePunct w:val="0"/>
        <w:autoSpaceDE w:val="0"/>
        <w:autoSpaceDN/>
        <w:bidi w:val="0"/>
        <w:spacing w:before="0" w:beforeAutospacing="0" w:after="0" w:afterAutospacing="0" w:line="560" w:lineRule="exact"/>
        <w:ind w:left="0" w:leftChars="0" w:right="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电话：                         电话：</w:t>
      </w:r>
    </w:p>
    <w:p w14:paraId="4787E395">
      <w:pPr>
        <w:rPr>
          <w:rFonts w:ascii="宋体"/>
          <w:color w:val="auto"/>
          <w:highlight w:val="none"/>
        </w:rPr>
      </w:pPr>
    </w:p>
    <w:p w14:paraId="51E825C8">
      <w:pPr>
        <w:rPr>
          <w:rFonts w:ascii="宋体"/>
          <w:color w:val="auto"/>
          <w:highlight w:val="none"/>
        </w:rPr>
      </w:pPr>
    </w:p>
    <w:p w14:paraId="35168337">
      <w:pPr>
        <w:widowControl w:val="0"/>
        <w:tabs>
          <w:tab w:val="left" w:pos="360"/>
          <w:tab w:val="left" w:pos="720"/>
          <w:tab w:val="left" w:pos="3060"/>
        </w:tabs>
        <w:spacing w:line="500" w:lineRule="exact"/>
        <w:ind w:left="600" w:leftChars="300" w:firstLine="300" w:firstLineChars="150"/>
        <w:rPr>
          <w:rFonts w:ascii="宋体"/>
          <w:b/>
          <w:color w:val="auto"/>
          <w:kern w:val="2"/>
          <w:sz w:val="24"/>
          <w:szCs w:val="24"/>
          <w:highlight w:val="none"/>
        </w:rPr>
      </w:pPr>
      <w:r>
        <w:rPr>
          <w:color w:val="auto"/>
          <w:highlight w:val="none"/>
        </w:rPr>
        <w:br w:type="page"/>
      </w:r>
    </w:p>
    <w:p w14:paraId="2A124377">
      <w:pPr>
        <w:pStyle w:val="4"/>
        <w:rPr>
          <w:color w:val="auto"/>
          <w:highlight w:val="none"/>
        </w:rPr>
      </w:pPr>
      <w:bookmarkStart w:id="220" w:name="_Toc10184896"/>
      <w:bookmarkStart w:id="221" w:name="_Toc10122287"/>
      <w:r>
        <w:rPr>
          <w:rFonts w:hint="eastAsia"/>
          <w:color w:val="auto"/>
          <w:highlight w:val="none"/>
        </w:rPr>
        <w:t>格式十</w:t>
      </w:r>
      <w:r>
        <w:rPr>
          <w:rFonts w:hint="eastAsia"/>
          <w:color w:val="auto"/>
          <w:highlight w:val="none"/>
          <w:lang w:val="en-US" w:eastAsia="zh-CN"/>
        </w:rPr>
        <w:t>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其他证明材料</w:t>
      </w:r>
      <w:bookmarkEnd w:id="220"/>
      <w:bookmarkEnd w:id="221"/>
    </w:p>
    <w:p w14:paraId="7A46CD3B">
      <w:pPr>
        <w:widowControl w:val="0"/>
        <w:tabs>
          <w:tab w:val="left" w:pos="1080"/>
          <w:tab w:val="left" w:pos="1980"/>
          <w:tab w:val="left" w:pos="2160"/>
          <w:tab w:val="left" w:pos="2340"/>
          <w:tab w:val="left" w:pos="2520"/>
          <w:tab w:val="left" w:pos="2700"/>
          <w:tab w:val="left" w:pos="3240"/>
        </w:tabs>
        <w:spacing w:line="400" w:lineRule="exact"/>
        <w:jc w:val="both"/>
        <w:rPr>
          <w:rFonts w:ascii="宋体"/>
          <w:b/>
          <w:color w:val="auto"/>
          <w:kern w:val="2"/>
          <w:sz w:val="28"/>
          <w:szCs w:val="28"/>
          <w:highlight w:val="none"/>
        </w:rPr>
        <w:sectPr>
          <w:pgSz w:w="11907" w:h="16840"/>
          <w:pgMar w:top="1418" w:right="1275" w:bottom="1418" w:left="1531" w:header="1021" w:footer="907" w:gutter="0"/>
          <w:pgNumType w:fmt="decimal"/>
          <w:cols w:space="720" w:num="1"/>
          <w:docGrid w:linePitch="312" w:charSpace="0"/>
        </w:sectPr>
      </w:pPr>
    </w:p>
    <w:p w14:paraId="7E8ABA9D">
      <w:pPr>
        <w:widowControl w:val="0"/>
        <w:spacing w:line="500" w:lineRule="exact"/>
        <w:jc w:val="both"/>
        <w:rPr>
          <w:rFonts w:ascii="宋体"/>
          <w:b/>
          <w:bCs/>
          <w:color w:val="auto"/>
          <w:kern w:val="2"/>
          <w:sz w:val="32"/>
          <w:szCs w:val="32"/>
          <w:highlight w:val="none"/>
        </w:rPr>
      </w:pPr>
      <w:r>
        <w:rPr>
          <w:rFonts w:ascii="宋体"/>
          <w:b/>
          <w:bCs/>
          <w:color w:val="auto"/>
          <w:kern w:val="2"/>
          <w:sz w:val="32"/>
          <w:szCs w:val="32"/>
          <w:highlight w:val="none"/>
        </w:rPr>
        <w:t>第二部分：</w:t>
      </w:r>
      <w:r>
        <w:rPr>
          <w:rFonts w:hint="eastAsia" w:ascii="宋体"/>
          <w:b/>
          <w:bCs/>
          <w:color w:val="auto"/>
          <w:kern w:val="2"/>
          <w:sz w:val="32"/>
          <w:szCs w:val="32"/>
          <w:highlight w:val="none"/>
        </w:rPr>
        <w:t>采购响应</w:t>
      </w:r>
      <w:r>
        <w:rPr>
          <w:rFonts w:ascii="宋体"/>
          <w:b/>
          <w:bCs/>
          <w:color w:val="auto"/>
          <w:kern w:val="2"/>
          <w:sz w:val="32"/>
          <w:szCs w:val="32"/>
          <w:highlight w:val="none"/>
        </w:rPr>
        <w:t>文件</w:t>
      </w:r>
      <w:r>
        <w:rPr>
          <w:rFonts w:hint="eastAsia" w:ascii="宋体"/>
          <w:b/>
          <w:bCs/>
          <w:color w:val="auto"/>
          <w:kern w:val="2"/>
          <w:sz w:val="32"/>
          <w:szCs w:val="32"/>
          <w:highlight w:val="none"/>
        </w:rPr>
        <w:t>技术部分</w:t>
      </w:r>
    </w:p>
    <w:p w14:paraId="3DDF781E">
      <w:pPr>
        <w:pStyle w:val="28"/>
        <w:rPr>
          <w:color w:val="auto"/>
          <w:highlight w:val="none"/>
        </w:rPr>
      </w:pPr>
    </w:p>
    <w:p w14:paraId="02E2DECD">
      <w:pPr>
        <w:rPr>
          <w:color w:val="auto"/>
          <w:highlight w:val="none"/>
        </w:rPr>
      </w:pPr>
    </w:p>
    <w:sectPr>
      <w:pgSz w:w="11907" w:h="16840"/>
      <w:pgMar w:top="1418" w:right="1275" w:bottom="1418" w:left="1531" w:header="1021" w:footer="90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02B354-75BF-4A84-B66A-F5A4C9F0144E}"/>
  </w:font>
  <w:font w:name="黑体">
    <w:panose1 w:val="02010609060101010101"/>
    <w:charset w:val="86"/>
    <w:family w:val="auto"/>
    <w:pitch w:val="default"/>
    <w:sig w:usb0="800002BF" w:usb1="38CF7CFA" w:usb2="00000016" w:usb3="00000000" w:csb0="00040001" w:csb1="00000000"/>
    <w:embedRegular r:id="rId2" w:fontKey="{1A03D82D-19D9-4CFA-9D6A-720F5D9A6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3C47C01-DC2D-4CB7-949A-1F6F34ADCCF3}"/>
  </w:font>
  <w:font w:name="Cambria">
    <w:panose1 w:val="02040503050406030204"/>
    <w:charset w:val="00"/>
    <w:family w:val="roman"/>
    <w:pitch w:val="default"/>
    <w:sig w:usb0="E00006FF" w:usb1="420024FF" w:usb2="02000000" w:usb3="00000000" w:csb0="2000019F" w:csb1="00000000"/>
    <w:embedRegular r:id="rId4" w:fontKey="{D68C011C-1026-4165-8B3A-7553C5CA2704}"/>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3AB02645-BE5D-4A6B-9A02-8E90289989B9}"/>
  </w:font>
  <w:font w:name="Arial Bold">
    <w:altName w:val="Arial"/>
    <w:panose1 w:val="020B0704020202020204"/>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Serif">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embedRegular r:id="rId6" w:fontKey="{8ECCDDD4-5D33-4CEA-B6A2-B786765E64AB}"/>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8078">
    <w:pPr>
      <w:pStyle w:val="2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2E46">
    <w:pPr>
      <w:pStyle w:val="22"/>
      <w:jc w:val="cente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_x0000_s3073"/>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14:paraId="65A8F8C2">
                          <w:pPr>
                            <w:pStyle w:val="2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328Bv+AEAAPQDAAAOAAAAAAAAAAEAIAAAAB8BAABkcnMvZTJvRG9jLnhtbFBLBQYA&#10;AAAABgAGAFkBAACJBQAAAAA=&#10;">
              <v:fill on="f" focussize="0,0"/>
              <v:stroke on="f" joinstyle="miter"/>
              <v:imagedata o:title=""/>
              <o:lock v:ext="edit" aspectratio="f"/>
              <v:textbox inset="0mm,0mm,0mm,0mm" style="mso-fit-shape-to-text:t;">
                <w:txbxContent>
                  <w:p w14:paraId="65A8F8C2">
                    <w:pPr>
                      <w:pStyle w:val="2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70AB">
    <w:pPr>
      <w:pStyle w:val="22"/>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CB5EF">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5CB5EF">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EE58">
    <w:pPr>
      <w:framePr w:wrap="around" w:vAnchor="text" w:hAnchor="margin" w:xAlign="center" w:y="1"/>
      <w:widowControl w:val="0"/>
      <w:snapToGrid w:val="0"/>
      <w:spacing w:before="120" w:beforeLines="50" w:line="360" w:lineRule="auto"/>
      <w:ind w:firstLine="360" w:firstLineChars="20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27</w:t>
    </w:r>
    <w:r>
      <w:rPr>
        <w:rFonts w:ascii="Calibri" w:hAnsi="Calibri" w:eastAsia="宋体" w:cs="Times New Roman"/>
        <w:kern w:val="2"/>
        <w:sz w:val="18"/>
        <w:szCs w:val="18"/>
        <w:lang w:val="en-US" w:eastAsia="zh-CN" w:bidi="ar-SA"/>
      </w:rPr>
      <w:fldChar w:fldCharType="end"/>
    </w:r>
  </w:p>
  <w:p w14:paraId="373EDBD1">
    <w:pPr>
      <w:widowControl w:val="0"/>
      <w:snapToGrid w:val="0"/>
      <w:spacing w:before="120" w:beforeLines="50" w:line="360" w:lineRule="auto"/>
      <w:ind w:firstLine="360" w:firstLineChars="20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DF94">
    <w:pPr>
      <w:widowControl w:val="0"/>
      <w:snapToGrid w:val="0"/>
      <w:spacing w:before="120" w:beforeLines="50" w:line="360" w:lineRule="auto"/>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D6250">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BD6250">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75E0">
    <w:pPr>
      <w:pStyle w:val="22"/>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000D3">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D000D3">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711C">
    <w:pPr>
      <w:pStyle w:val="22"/>
      <w:rPr>
        <w:rFonts w:hint="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E30E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BE30E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E30D">
    <w:pPr>
      <w:pStyle w:val="22"/>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635A">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6A635A">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C7C4">
    <w:pPr>
      <w:widowControl w:val="0"/>
      <w:pBdr>
        <w:bottom w:val="none" w:color="auto" w:sz="0" w:space="1"/>
      </w:pBdr>
      <w:snapToGrid w:val="0"/>
      <w:spacing w:before="120" w:beforeLines="50" w:line="240" w:lineRule="auto"/>
      <w:ind w:firstLine="0" w:firstLineChars="0"/>
      <w:jc w:val="center"/>
      <w:rPr>
        <w:rFonts w:ascii="宋体" w:hAnsi="宋体" w:eastAsia="宋体" w:cs="宋体"/>
        <w:iCs/>
        <w:kern w:val="2"/>
        <w:sz w:val="16"/>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EA3B">
    <w:pPr>
      <w:widowControl w:val="0"/>
      <w:pBdr>
        <w:bottom w:val="single" w:color="auto" w:sz="6" w:space="1"/>
      </w:pBdr>
      <w:snapToGrid w:val="0"/>
      <w:spacing w:before="120" w:beforeLines="50" w:line="240" w:lineRule="auto"/>
      <w:ind w:firstLine="360" w:firstLineChars="200"/>
      <w:jc w:val="center"/>
      <w:rPr>
        <w:rFonts w:ascii="Calibri" w:hAnsi="Calibri" w:eastAsia="宋体" w:cs="Times New Roman"/>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79D6">
    <w:pPr>
      <w:widowControl w:val="0"/>
      <w:pBdr>
        <w:bottom w:val="none" w:color="auto" w:sz="0" w:space="1"/>
      </w:pBdr>
      <w:snapToGrid w:val="0"/>
      <w:spacing w:before="120" w:beforeLines="50" w:line="240" w:lineRule="auto"/>
      <w:ind w:firstLine="0" w:firstLineChars="0"/>
      <w:jc w:val="center"/>
      <w:rPr>
        <w:rFonts w:hint="eastAsia" w:ascii="Calibri" w:hAnsi="Calibri" w:eastAsia="宋体" w:cs="Times New Roman"/>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0282">
    <w:pPr>
      <w:pStyle w:val="16"/>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1893">
    <w:pPr>
      <w:pStyle w:val="16"/>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B30E">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E874E"/>
    <w:multiLevelType w:val="singleLevel"/>
    <w:tmpl w:val="848E874E"/>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948A041A"/>
    <w:multiLevelType w:val="singleLevel"/>
    <w:tmpl w:val="948A041A"/>
    <w:lvl w:ilvl="0" w:tentative="0">
      <w:start w:val="2"/>
      <w:numFmt w:val="decimal"/>
      <w:suff w:val="nothing"/>
      <w:lvlText w:val="%1、"/>
      <w:lvlJc w:val="left"/>
      <w:pPr>
        <w:tabs>
          <w:tab w:val="left" w:pos="0"/>
        </w:tabs>
        <w:ind w:left="0" w:firstLine="0"/>
      </w:pPr>
    </w:lvl>
  </w:abstractNum>
  <w:abstractNum w:abstractNumId="2">
    <w:nsid w:val="D3BCB81A"/>
    <w:multiLevelType w:val="singleLevel"/>
    <w:tmpl w:val="D3BCB81A"/>
    <w:lvl w:ilvl="0" w:tentative="0">
      <w:start w:val="1"/>
      <w:numFmt w:val="decimal"/>
      <w:suff w:val="space"/>
      <w:lvlText w:val="%1)"/>
      <w:lvlJc w:val="left"/>
      <w:pPr>
        <w:tabs>
          <w:tab w:val="left" w:pos="0"/>
        </w:tabs>
        <w:ind w:left="0" w:firstLine="0"/>
      </w:pPr>
    </w:lvl>
  </w:abstractNum>
  <w:abstractNum w:abstractNumId="3">
    <w:nsid w:val="00000011"/>
    <w:multiLevelType w:val="multilevel"/>
    <w:tmpl w:val="00000011"/>
    <w:lvl w:ilvl="0" w:tentative="0">
      <w:start w:val="1"/>
      <w:numFmt w:val="decimal"/>
      <w:pStyle w:val="3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58D663D"/>
    <w:multiLevelType w:val="multilevel"/>
    <w:tmpl w:val="158D663D"/>
    <w:lvl w:ilvl="0" w:tentative="0">
      <w:start w:val="1"/>
      <w:numFmt w:val="none"/>
      <w:pStyle w:val="36"/>
      <w:suff w:val="nothing"/>
      <w:lvlText w:val="%1"/>
      <w:lvlJc w:val="left"/>
      <w:pPr>
        <w:ind w:left="0" w:firstLine="0"/>
      </w:pPr>
      <w:rPr>
        <w:rFonts w:hint="default" w:ascii="Arial" w:hAnsi="Arial" w:cs="Arial"/>
        <w:b w:val="0"/>
        <w:i w:val="0"/>
        <w:sz w:val="22"/>
        <w:szCs w:val="22"/>
      </w:rPr>
    </w:lvl>
    <w:lvl w:ilvl="1" w:tentative="0">
      <w:start w:val="1"/>
      <w:numFmt w:val="decimal"/>
      <w:lvlText w:val="%1%2)"/>
      <w:lvlJc w:val="left"/>
      <w:pPr>
        <w:tabs>
          <w:tab w:val="left" w:pos="432"/>
        </w:tabs>
        <w:ind w:left="432" w:hanging="432"/>
      </w:pPr>
      <w:rPr>
        <w:rFonts w:hint="default" w:ascii="Arial" w:hAnsi="Arial" w:cs="Arial"/>
        <w:b w:val="0"/>
        <w:i w:val="0"/>
        <w:sz w:val="22"/>
        <w:szCs w:val="22"/>
      </w:rPr>
    </w:lvl>
    <w:lvl w:ilvl="2" w:tentative="0">
      <w:start w:val="1"/>
      <w:numFmt w:val="lowerLetter"/>
      <w:lvlText w:val="%3%1)"/>
      <w:lvlJc w:val="left"/>
      <w:pPr>
        <w:tabs>
          <w:tab w:val="left" w:pos="864"/>
        </w:tabs>
        <w:ind w:left="864" w:hanging="432"/>
      </w:pPr>
      <w:rPr>
        <w:rFonts w:hint="default" w:ascii="Arial" w:hAnsi="Arial" w:cs="Arial"/>
        <w:b w:val="0"/>
        <w:i w:val="0"/>
        <w:sz w:val="22"/>
        <w:szCs w:val="22"/>
      </w:rPr>
    </w:lvl>
    <w:lvl w:ilvl="3" w:tentative="0">
      <w:start w:val="1"/>
      <w:numFmt w:val="lowerRoman"/>
      <w:lvlText w:val="%1%4)"/>
      <w:lvlJc w:val="left"/>
      <w:pPr>
        <w:tabs>
          <w:tab w:val="left" w:pos="1296"/>
        </w:tabs>
        <w:ind w:left="1296" w:hanging="432"/>
      </w:pPr>
      <w:rPr>
        <w:rFonts w:hint="default" w:ascii="Arial" w:hAnsi="Arial" w:cs="Arial"/>
        <w:b w:val="0"/>
        <w:i w:val="0"/>
        <w:sz w:val="22"/>
        <w:szCs w:val="22"/>
      </w:rPr>
    </w:lvl>
    <w:lvl w:ilvl="4" w:tentative="0">
      <w:start w:val="1"/>
      <w:numFmt w:val="decimal"/>
      <w:lvlText w:val="%1"/>
      <w:lvlJc w:val="left"/>
      <w:pPr>
        <w:tabs>
          <w:tab w:val="left" w:pos="1800"/>
        </w:tabs>
        <w:ind w:left="1800" w:hanging="1800"/>
      </w:pPr>
      <w:rPr>
        <w:rFonts w:hint="default" w:ascii="Arial" w:hAnsi="Arial" w:cs="Arial"/>
        <w:b/>
        <w:i w:val="0"/>
        <w:sz w:val="22"/>
        <w:szCs w:val="22"/>
      </w:rPr>
    </w:lvl>
    <w:lvl w:ilvl="5" w:tentative="0">
      <w:start w:val="1"/>
      <w:numFmt w:val="decimal"/>
      <w:lvlText w:val="%6%1"/>
      <w:lvlJc w:val="left"/>
      <w:pPr>
        <w:tabs>
          <w:tab w:val="left" w:pos="0"/>
        </w:tabs>
        <w:ind w:left="0" w:firstLine="0"/>
      </w:pPr>
      <w:rPr>
        <w:rFonts w:hint="default" w:ascii="Arial Bold" w:hAnsi="Arial Bold"/>
        <w:b/>
        <w:i w:val="0"/>
        <w:iCs w:val="0"/>
        <w:strike w:val="0"/>
        <w:dstrike w:val="0"/>
        <w:vanish w:val="0"/>
        <w:color w:val="000000"/>
        <w:spacing w:val="0"/>
        <w:position w:val="0"/>
        <w:sz w:val="22"/>
        <w:szCs w:val="22"/>
        <w:u w:val="none"/>
        <w:vertAlign w:val="baseline"/>
      </w:rPr>
    </w:lvl>
    <w:lvl w:ilvl="6" w:tentative="0">
      <w:start w:val="1"/>
      <w:numFmt w:val="decimal"/>
      <w:lvlText w:val="%7%1"/>
      <w:lvlJc w:val="left"/>
      <w:pPr>
        <w:tabs>
          <w:tab w:val="left" w:pos="0"/>
        </w:tabs>
        <w:ind w:left="0" w:firstLine="0"/>
      </w:pPr>
      <w:rPr>
        <w:rFonts w:hint="default"/>
      </w:rPr>
    </w:lvl>
    <w:lvl w:ilvl="7" w:tentative="0">
      <w:start w:val="1"/>
      <w:numFmt w:val="decimal"/>
      <w:lvlText w:val="%8%1"/>
      <w:lvlJc w:val="left"/>
      <w:pPr>
        <w:tabs>
          <w:tab w:val="left" w:pos="0"/>
        </w:tabs>
        <w:ind w:left="0" w:firstLine="0"/>
      </w:pPr>
      <w:rPr>
        <w:rFonts w:hint="default"/>
      </w:rPr>
    </w:lvl>
    <w:lvl w:ilvl="8" w:tentative="0">
      <w:start w:val="1"/>
      <w:numFmt w:val="decimal"/>
      <w:lvlText w:val="%9%1"/>
      <w:lvlJc w:val="left"/>
      <w:pPr>
        <w:tabs>
          <w:tab w:val="left" w:pos="0"/>
        </w:tabs>
        <w:ind w:left="0" w:firstLine="0"/>
      </w:pPr>
      <w:rPr>
        <w:rFonts w:hint="default"/>
      </w:rPr>
    </w:lvl>
  </w:abstractNum>
  <w:abstractNum w:abstractNumId="5">
    <w:nsid w:val="174B03BD"/>
    <w:multiLevelType w:val="singleLevel"/>
    <w:tmpl w:val="174B03BD"/>
    <w:lvl w:ilvl="0" w:tentative="0">
      <w:start w:val="1"/>
      <w:numFmt w:val="decimal"/>
      <w:pStyle w:val="18"/>
      <w:lvlText w:val="%1."/>
      <w:lvlJc w:val="left"/>
      <w:pPr>
        <w:tabs>
          <w:tab w:val="left" w:pos="2040"/>
        </w:tabs>
        <w:ind w:left="2040" w:hanging="360"/>
      </w:pPr>
    </w:lvl>
  </w:abstractNum>
  <w:abstractNum w:abstractNumId="6">
    <w:nsid w:val="4819674B"/>
    <w:multiLevelType w:val="singleLevel"/>
    <w:tmpl w:val="4819674B"/>
    <w:lvl w:ilvl="0" w:tentative="0">
      <w:start w:val="1"/>
      <w:numFmt w:val="decimal"/>
      <w:suff w:val="nothing"/>
      <w:lvlText w:val="%1、"/>
      <w:lvlJc w:val="left"/>
    </w:lvl>
  </w:abstractNum>
  <w:abstractNum w:abstractNumId="7">
    <w:nsid w:val="6BC944DC"/>
    <w:multiLevelType w:val="multilevel"/>
    <w:tmpl w:val="6BC944DC"/>
    <w:lvl w:ilvl="0" w:tentative="0">
      <w:start w:val="1"/>
      <w:numFmt w:val="chineseCountingThousand"/>
      <w:pStyle w:val="62"/>
      <w:lvlText w:val="%1、"/>
      <w:lvlJc w:val="left"/>
      <w:pPr>
        <w:ind w:left="420" w:hanging="420"/>
      </w:pPr>
      <w:rPr>
        <w:rFonts w:hint="eastAsia"/>
      </w:rPr>
    </w:lvl>
    <w:lvl w:ilvl="1" w:tentative="0">
      <w:start w:val="1"/>
      <w:numFmt w:val="decimal"/>
      <w:pStyle w:val="63"/>
      <w:isLgl/>
      <w:lvlText w:val="%1.%2"/>
      <w:lvlJc w:val="left"/>
      <w:pPr>
        <w:ind w:left="907" w:hanging="737"/>
      </w:pPr>
      <w:rPr>
        <w:rFonts w:hint="eastAsia"/>
      </w:rPr>
    </w:lvl>
    <w:lvl w:ilvl="2" w:tentative="0">
      <w:start w:val="1"/>
      <w:numFmt w:val="decimal"/>
      <w:pStyle w:val="64"/>
      <w:isLgl/>
      <w:lvlText w:val="%1.%2.%3"/>
      <w:lvlJc w:val="left"/>
      <w:pPr>
        <w:ind w:left="706" w:hanging="226"/>
      </w:pPr>
      <w:rPr>
        <w:rFonts w:hint="eastAsia"/>
      </w:rPr>
    </w:lvl>
    <w:lvl w:ilvl="3" w:tentative="0">
      <w:start w:val="1"/>
      <w:numFmt w:val="decimal"/>
      <w:isLgl/>
      <w:lvlText w:val="%1.%2.%3.%4"/>
      <w:lvlJc w:val="left"/>
      <w:pPr>
        <w:ind w:left="480" w:hanging="170"/>
      </w:pPr>
      <w:rPr>
        <w:rFonts w:hint="eastAsia"/>
      </w:rPr>
    </w:lvl>
    <w:lvl w:ilvl="4" w:tentative="0">
      <w:start w:val="1"/>
      <w:numFmt w:val="decimal"/>
      <w:isLgl/>
      <w:lvlText w:val="%1.%2.%3.%4.%5"/>
      <w:lvlJc w:val="left"/>
      <w:pPr>
        <w:ind w:left="567" w:hanging="170"/>
      </w:pPr>
      <w:rPr>
        <w:rFonts w:hint="eastAsia"/>
      </w:rPr>
    </w:lvl>
    <w:lvl w:ilvl="5" w:tentative="0">
      <w:start w:val="1"/>
      <w:numFmt w:val="decimal"/>
      <w:isLgl/>
      <w:lvlText w:val="%1.%2.%3.%4.%5.%6"/>
      <w:lvlJc w:val="left"/>
      <w:pPr>
        <w:ind w:left="1163" w:hanging="170"/>
      </w:pPr>
      <w:rPr>
        <w:rFonts w:hint="eastAsia"/>
      </w:rPr>
    </w:lvl>
    <w:lvl w:ilvl="6" w:tentative="0">
      <w:start w:val="1"/>
      <w:numFmt w:val="decimal"/>
      <w:lvlText w:val="%7)"/>
      <w:lvlJc w:val="left"/>
      <w:pPr>
        <w:ind w:left="737" w:hanging="340"/>
      </w:pPr>
      <w:rPr>
        <w:rFonts w:hint="eastAsia"/>
        <w:b w:val="0"/>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0"/>
  </w:num>
  <w:num w:numId="3">
    <w:abstractNumId w:val="4"/>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6D0"/>
    <w:rsid w:val="006A2056"/>
    <w:rsid w:val="00EC392C"/>
    <w:rsid w:val="0112305D"/>
    <w:rsid w:val="01F26CB7"/>
    <w:rsid w:val="029C10B0"/>
    <w:rsid w:val="0357001E"/>
    <w:rsid w:val="0452435A"/>
    <w:rsid w:val="0505162C"/>
    <w:rsid w:val="05A04D3B"/>
    <w:rsid w:val="05BB03E9"/>
    <w:rsid w:val="0608678A"/>
    <w:rsid w:val="06412FEF"/>
    <w:rsid w:val="066C3122"/>
    <w:rsid w:val="06EC78BB"/>
    <w:rsid w:val="07113254"/>
    <w:rsid w:val="073C260E"/>
    <w:rsid w:val="076C5499"/>
    <w:rsid w:val="07D942AE"/>
    <w:rsid w:val="087F0779"/>
    <w:rsid w:val="088A2601"/>
    <w:rsid w:val="097D669F"/>
    <w:rsid w:val="098348CC"/>
    <w:rsid w:val="0A296B3A"/>
    <w:rsid w:val="0A342878"/>
    <w:rsid w:val="0B3C2CD7"/>
    <w:rsid w:val="0C426E54"/>
    <w:rsid w:val="0C585913"/>
    <w:rsid w:val="0C686768"/>
    <w:rsid w:val="0D5E535B"/>
    <w:rsid w:val="0E8076DC"/>
    <w:rsid w:val="0EFF1BA8"/>
    <w:rsid w:val="0F991A7F"/>
    <w:rsid w:val="0F9B3AF0"/>
    <w:rsid w:val="0FBA2249"/>
    <w:rsid w:val="10E604C0"/>
    <w:rsid w:val="10F85699"/>
    <w:rsid w:val="11554227"/>
    <w:rsid w:val="116E660B"/>
    <w:rsid w:val="11BB73DB"/>
    <w:rsid w:val="11D6244D"/>
    <w:rsid w:val="11F62D8E"/>
    <w:rsid w:val="12656CED"/>
    <w:rsid w:val="126C355D"/>
    <w:rsid w:val="12717942"/>
    <w:rsid w:val="139B433C"/>
    <w:rsid w:val="14404648"/>
    <w:rsid w:val="146162EE"/>
    <w:rsid w:val="146F6F74"/>
    <w:rsid w:val="14A624AB"/>
    <w:rsid w:val="152F1B8C"/>
    <w:rsid w:val="153B0993"/>
    <w:rsid w:val="153D0BDB"/>
    <w:rsid w:val="15D8627C"/>
    <w:rsid w:val="15EA6C62"/>
    <w:rsid w:val="15F97B05"/>
    <w:rsid w:val="16C90318"/>
    <w:rsid w:val="177B1AE6"/>
    <w:rsid w:val="17AA4696"/>
    <w:rsid w:val="186A0E95"/>
    <w:rsid w:val="18827A6E"/>
    <w:rsid w:val="193108AF"/>
    <w:rsid w:val="1A55180E"/>
    <w:rsid w:val="1A913A27"/>
    <w:rsid w:val="1A930EF5"/>
    <w:rsid w:val="1AA9091A"/>
    <w:rsid w:val="1B1A0B1A"/>
    <w:rsid w:val="1B281EEF"/>
    <w:rsid w:val="1B6F75E3"/>
    <w:rsid w:val="1B974CC3"/>
    <w:rsid w:val="1C3E66F7"/>
    <w:rsid w:val="1C5530C5"/>
    <w:rsid w:val="1CB11065"/>
    <w:rsid w:val="1CC95D31"/>
    <w:rsid w:val="1D171523"/>
    <w:rsid w:val="1D39126E"/>
    <w:rsid w:val="1D645D4B"/>
    <w:rsid w:val="1D826079"/>
    <w:rsid w:val="1E0D0D6F"/>
    <w:rsid w:val="1E1C17E4"/>
    <w:rsid w:val="1E850ED9"/>
    <w:rsid w:val="1EB07727"/>
    <w:rsid w:val="1EBA25B7"/>
    <w:rsid w:val="1F0474A4"/>
    <w:rsid w:val="1F135329"/>
    <w:rsid w:val="1F2B0227"/>
    <w:rsid w:val="1F5350B6"/>
    <w:rsid w:val="1F5366D4"/>
    <w:rsid w:val="1F831C51"/>
    <w:rsid w:val="1FCF3276"/>
    <w:rsid w:val="20054B3C"/>
    <w:rsid w:val="20FA4174"/>
    <w:rsid w:val="219818EA"/>
    <w:rsid w:val="223C7863"/>
    <w:rsid w:val="22CC1448"/>
    <w:rsid w:val="22E05F66"/>
    <w:rsid w:val="22E422EB"/>
    <w:rsid w:val="22E952D1"/>
    <w:rsid w:val="230436BA"/>
    <w:rsid w:val="23960D08"/>
    <w:rsid w:val="23EB7272"/>
    <w:rsid w:val="245064EB"/>
    <w:rsid w:val="248727A5"/>
    <w:rsid w:val="25EB26BB"/>
    <w:rsid w:val="25EC42BC"/>
    <w:rsid w:val="25EE3E17"/>
    <w:rsid w:val="2643706B"/>
    <w:rsid w:val="26FE3ED0"/>
    <w:rsid w:val="27247092"/>
    <w:rsid w:val="278D2F14"/>
    <w:rsid w:val="27D34928"/>
    <w:rsid w:val="28607215"/>
    <w:rsid w:val="295201CD"/>
    <w:rsid w:val="29E755F7"/>
    <w:rsid w:val="29F304BB"/>
    <w:rsid w:val="2A3F2566"/>
    <w:rsid w:val="2A956836"/>
    <w:rsid w:val="2AAF7B2D"/>
    <w:rsid w:val="2C4827B8"/>
    <w:rsid w:val="2CB96895"/>
    <w:rsid w:val="2CFC7AC6"/>
    <w:rsid w:val="2D275166"/>
    <w:rsid w:val="2D62140B"/>
    <w:rsid w:val="2E8E6020"/>
    <w:rsid w:val="2EDC1D0E"/>
    <w:rsid w:val="2FD159D8"/>
    <w:rsid w:val="30435F9D"/>
    <w:rsid w:val="307A45C8"/>
    <w:rsid w:val="30856987"/>
    <w:rsid w:val="30DE5F2F"/>
    <w:rsid w:val="31397652"/>
    <w:rsid w:val="32617BE2"/>
    <w:rsid w:val="32994F03"/>
    <w:rsid w:val="32DF74D3"/>
    <w:rsid w:val="333C4560"/>
    <w:rsid w:val="337D4AFB"/>
    <w:rsid w:val="338F3F87"/>
    <w:rsid w:val="33BA5B7A"/>
    <w:rsid w:val="340E5E91"/>
    <w:rsid w:val="342929DF"/>
    <w:rsid w:val="345768C6"/>
    <w:rsid w:val="34640715"/>
    <w:rsid w:val="34932C1F"/>
    <w:rsid w:val="3613377E"/>
    <w:rsid w:val="365F74DC"/>
    <w:rsid w:val="36F45990"/>
    <w:rsid w:val="37780771"/>
    <w:rsid w:val="379076F1"/>
    <w:rsid w:val="38197194"/>
    <w:rsid w:val="39721851"/>
    <w:rsid w:val="39B21690"/>
    <w:rsid w:val="39F63933"/>
    <w:rsid w:val="39FE48C4"/>
    <w:rsid w:val="3A8925C0"/>
    <w:rsid w:val="3B4C2A23"/>
    <w:rsid w:val="3BB020BE"/>
    <w:rsid w:val="3C1A490D"/>
    <w:rsid w:val="3C561E67"/>
    <w:rsid w:val="3CCA249D"/>
    <w:rsid w:val="3DB90479"/>
    <w:rsid w:val="3E3A7D90"/>
    <w:rsid w:val="3EAD686A"/>
    <w:rsid w:val="3EC43965"/>
    <w:rsid w:val="3F044399"/>
    <w:rsid w:val="40067A29"/>
    <w:rsid w:val="40096293"/>
    <w:rsid w:val="4149063D"/>
    <w:rsid w:val="418F5FF9"/>
    <w:rsid w:val="425E2DF2"/>
    <w:rsid w:val="42821B06"/>
    <w:rsid w:val="42F9075D"/>
    <w:rsid w:val="431C6F4A"/>
    <w:rsid w:val="434E7342"/>
    <w:rsid w:val="43A52B20"/>
    <w:rsid w:val="44362311"/>
    <w:rsid w:val="44550E45"/>
    <w:rsid w:val="44A3113A"/>
    <w:rsid w:val="44F80234"/>
    <w:rsid w:val="450F6E7E"/>
    <w:rsid w:val="458153CC"/>
    <w:rsid w:val="45E00548"/>
    <w:rsid w:val="45FF138E"/>
    <w:rsid w:val="45FF375F"/>
    <w:rsid w:val="466F5CCF"/>
    <w:rsid w:val="467564DE"/>
    <w:rsid w:val="4839685D"/>
    <w:rsid w:val="49124254"/>
    <w:rsid w:val="492928A1"/>
    <w:rsid w:val="49437B60"/>
    <w:rsid w:val="494D6C0F"/>
    <w:rsid w:val="496044DB"/>
    <w:rsid w:val="4993318A"/>
    <w:rsid w:val="49F4368F"/>
    <w:rsid w:val="4A3F4AB4"/>
    <w:rsid w:val="4A5561AE"/>
    <w:rsid w:val="4AE6544D"/>
    <w:rsid w:val="4B1E2E70"/>
    <w:rsid w:val="4B4B4885"/>
    <w:rsid w:val="4B6C5D56"/>
    <w:rsid w:val="4BDF681C"/>
    <w:rsid w:val="4C7054DE"/>
    <w:rsid w:val="4CF17B79"/>
    <w:rsid w:val="4D23781E"/>
    <w:rsid w:val="4DD02CBD"/>
    <w:rsid w:val="4E854D66"/>
    <w:rsid w:val="4EC212D6"/>
    <w:rsid w:val="507463B2"/>
    <w:rsid w:val="50E972E7"/>
    <w:rsid w:val="51AA02F7"/>
    <w:rsid w:val="52AA0A23"/>
    <w:rsid w:val="52DF2431"/>
    <w:rsid w:val="534158F7"/>
    <w:rsid w:val="5395168F"/>
    <w:rsid w:val="543254C5"/>
    <w:rsid w:val="54B2181C"/>
    <w:rsid w:val="553578FA"/>
    <w:rsid w:val="55BA6F7C"/>
    <w:rsid w:val="562B5E8C"/>
    <w:rsid w:val="564F56BD"/>
    <w:rsid w:val="566748FB"/>
    <w:rsid w:val="567E561A"/>
    <w:rsid w:val="56B9100C"/>
    <w:rsid w:val="56CC2095"/>
    <w:rsid w:val="575E49AA"/>
    <w:rsid w:val="57AA2C5F"/>
    <w:rsid w:val="585C30FF"/>
    <w:rsid w:val="58933882"/>
    <w:rsid w:val="58D70AAE"/>
    <w:rsid w:val="58F13E0D"/>
    <w:rsid w:val="59AF065A"/>
    <w:rsid w:val="59ED3476"/>
    <w:rsid w:val="59F0198C"/>
    <w:rsid w:val="5A96603C"/>
    <w:rsid w:val="5B3B3034"/>
    <w:rsid w:val="5B5D6D9B"/>
    <w:rsid w:val="5C3152EE"/>
    <w:rsid w:val="5CB85A0C"/>
    <w:rsid w:val="5EA80CB0"/>
    <w:rsid w:val="5EC2688F"/>
    <w:rsid w:val="5EE237C6"/>
    <w:rsid w:val="5F021772"/>
    <w:rsid w:val="5FCA3EF2"/>
    <w:rsid w:val="60972F7C"/>
    <w:rsid w:val="60A001C8"/>
    <w:rsid w:val="60C0120B"/>
    <w:rsid w:val="61070987"/>
    <w:rsid w:val="62B26C60"/>
    <w:rsid w:val="630B32EB"/>
    <w:rsid w:val="632F79AD"/>
    <w:rsid w:val="63497970"/>
    <w:rsid w:val="636D3DBC"/>
    <w:rsid w:val="63881D6E"/>
    <w:rsid w:val="63F8195C"/>
    <w:rsid w:val="6401772A"/>
    <w:rsid w:val="64264618"/>
    <w:rsid w:val="6428093B"/>
    <w:rsid w:val="65FD5864"/>
    <w:rsid w:val="660E6DCF"/>
    <w:rsid w:val="6630762A"/>
    <w:rsid w:val="66762CF4"/>
    <w:rsid w:val="66865CDE"/>
    <w:rsid w:val="67131ECE"/>
    <w:rsid w:val="67184164"/>
    <w:rsid w:val="673930FF"/>
    <w:rsid w:val="67716A81"/>
    <w:rsid w:val="67A30056"/>
    <w:rsid w:val="67DE0D3C"/>
    <w:rsid w:val="67E27C39"/>
    <w:rsid w:val="67FD25A1"/>
    <w:rsid w:val="680474A8"/>
    <w:rsid w:val="68263D89"/>
    <w:rsid w:val="68397910"/>
    <w:rsid w:val="68D70DF8"/>
    <w:rsid w:val="699C442C"/>
    <w:rsid w:val="69B95252"/>
    <w:rsid w:val="69CB2DF2"/>
    <w:rsid w:val="69E3676C"/>
    <w:rsid w:val="6A027BEB"/>
    <w:rsid w:val="6A5A0F1A"/>
    <w:rsid w:val="6A8247E3"/>
    <w:rsid w:val="6ADB24B9"/>
    <w:rsid w:val="6B097053"/>
    <w:rsid w:val="6B5C7766"/>
    <w:rsid w:val="6B691831"/>
    <w:rsid w:val="6B8C1A42"/>
    <w:rsid w:val="6BBE524E"/>
    <w:rsid w:val="6BE567D2"/>
    <w:rsid w:val="6C1A5BD8"/>
    <w:rsid w:val="6C896276"/>
    <w:rsid w:val="6CFA1BF2"/>
    <w:rsid w:val="6D6278DB"/>
    <w:rsid w:val="6DD4539C"/>
    <w:rsid w:val="6E2269EF"/>
    <w:rsid w:val="6F0766E9"/>
    <w:rsid w:val="6F345D03"/>
    <w:rsid w:val="70ED2F41"/>
    <w:rsid w:val="713D7F30"/>
    <w:rsid w:val="71693E2A"/>
    <w:rsid w:val="71AF546C"/>
    <w:rsid w:val="71EA7C3B"/>
    <w:rsid w:val="72480E6B"/>
    <w:rsid w:val="725013F1"/>
    <w:rsid w:val="727C7C99"/>
    <w:rsid w:val="72B27B5C"/>
    <w:rsid w:val="737237ED"/>
    <w:rsid w:val="74286219"/>
    <w:rsid w:val="744F2285"/>
    <w:rsid w:val="74745C0C"/>
    <w:rsid w:val="748A3C2B"/>
    <w:rsid w:val="74F11A73"/>
    <w:rsid w:val="74FF1656"/>
    <w:rsid w:val="753E1F08"/>
    <w:rsid w:val="75522490"/>
    <w:rsid w:val="77B866E5"/>
    <w:rsid w:val="77BF6B6D"/>
    <w:rsid w:val="77C353EE"/>
    <w:rsid w:val="77CA0BA2"/>
    <w:rsid w:val="77EE466E"/>
    <w:rsid w:val="78193A11"/>
    <w:rsid w:val="7848096B"/>
    <w:rsid w:val="78527BC0"/>
    <w:rsid w:val="78724253"/>
    <w:rsid w:val="7922469E"/>
    <w:rsid w:val="792954D0"/>
    <w:rsid w:val="79D451ED"/>
    <w:rsid w:val="7A1C2CE0"/>
    <w:rsid w:val="7A9141EB"/>
    <w:rsid w:val="7A9529FA"/>
    <w:rsid w:val="7AEB0FF6"/>
    <w:rsid w:val="7AF56E66"/>
    <w:rsid w:val="7B23101E"/>
    <w:rsid w:val="7BB954D0"/>
    <w:rsid w:val="7BE745AB"/>
    <w:rsid w:val="7CC264E0"/>
    <w:rsid w:val="7DA50CB2"/>
    <w:rsid w:val="7DE94A08"/>
    <w:rsid w:val="7E287160"/>
    <w:rsid w:val="7E4B63DC"/>
    <w:rsid w:val="7E7103DB"/>
    <w:rsid w:val="7E75250C"/>
    <w:rsid w:val="7EA72B45"/>
    <w:rsid w:val="7FB5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widowControl w:val="0"/>
      <w:autoSpaceDE w:val="0"/>
      <w:autoSpaceDN w:val="0"/>
      <w:adjustRightInd w:val="0"/>
      <w:spacing w:line="440" w:lineRule="exact"/>
      <w:outlineLvl w:val="0"/>
    </w:pPr>
    <w:rPr>
      <w:rFonts w:ascii="宋体"/>
      <w:b/>
      <w:sz w:val="28"/>
    </w:rPr>
  </w:style>
  <w:style w:type="paragraph" w:styleId="4">
    <w:name w:val="heading 2"/>
    <w:basedOn w:val="1"/>
    <w:next w:val="5"/>
    <w:link w:val="42"/>
    <w:qFormat/>
    <w:uiPriority w:val="0"/>
    <w:pPr>
      <w:keepNext/>
      <w:keepLines/>
      <w:spacing w:before="260" w:after="260" w:line="415" w:lineRule="auto"/>
      <w:outlineLvl w:val="1"/>
    </w:pPr>
    <w:rPr>
      <w:rFonts w:ascii="Cambria" w:hAnsi="Cambria"/>
      <w:b/>
      <w:bCs/>
      <w:sz w:val="32"/>
      <w:szCs w:val="32"/>
    </w:rPr>
  </w:style>
  <w:style w:type="paragraph" w:styleId="6">
    <w:name w:val="heading 3"/>
    <w:basedOn w:val="1"/>
    <w:next w:val="1"/>
    <w:unhideWhenUsed/>
    <w:qFormat/>
    <w:uiPriority w:val="1"/>
    <w:pPr>
      <w:keepNext/>
      <w:keepLines/>
      <w:spacing w:before="260" w:after="260" w:line="416" w:lineRule="auto"/>
      <w:outlineLvl w:val="2"/>
    </w:pPr>
    <w:rPr>
      <w:b/>
      <w:bCs/>
      <w:sz w:val="32"/>
      <w:szCs w:val="32"/>
    </w:rPr>
  </w:style>
  <w:style w:type="character" w:default="1" w:styleId="31">
    <w:name w:val="Default Paragraph Font"/>
    <w:link w:val="32"/>
    <w:semiHidden/>
    <w:qFormat/>
    <w:uiPriority w:val="0"/>
    <w:rPr>
      <w:rFonts w:ascii="宋体" w:cs="宋体"/>
      <w:kern w:val="2"/>
      <w:sz w:val="24"/>
      <w:szCs w:val="24"/>
    </w:rPr>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Normal Indent"/>
    <w:basedOn w:val="1"/>
    <w:next w:val="1"/>
    <w:qFormat/>
    <w:uiPriority w:val="0"/>
    <w:pPr>
      <w:widowControl w:val="0"/>
      <w:ind w:firstLine="420"/>
      <w:jc w:val="both"/>
    </w:pPr>
    <w:rPr>
      <w:kern w:val="2"/>
      <w:sz w:val="21"/>
      <w:szCs w:val="24"/>
    </w:rPr>
  </w:style>
  <w:style w:type="paragraph" w:styleId="7">
    <w:name w:val="table of authorities"/>
    <w:basedOn w:val="1"/>
    <w:next w:val="1"/>
    <w:semiHidden/>
    <w:unhideWhenUsed/>
    <w:qFormat/>
    <w:uiPriority w:val="99"/>
    <w:pPr>
      <w:ind w:left="420" w:leftChars="200"/>
    </w:pPr>
  </w:style>
  <w:style w:type="paragraph" w:styleId="8">
    <w:name w:val="index 5"/>
    <w:basedOn w:val="1"/>
    <w:next w:val="1"/>
    <w:qFormat/>
    <w:uiPriority w:val="0"/>
    <w:pPr>
      <w:ind w:left="800" w:leftChars="800"/>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Body Text"/>
    <w:basedOn w:val="1"/>
    <w:next w:val="1"/>
    <w:qFormat/>
    <w:uiPriority w:val="0"/>
    <w:pPr>
      <w:widowControl w:val="0"/>
      <w:autoSpaceDE w:val="0"/>
      <w:autoSpaceDN w:val="0"/>
      <w:adjustRightInd w:val="0"/>
      <w:jc w:val="both"/>
    </w:pPr>
    <w:rPr>
      <w:b/>
      <w:sz w:val="21"/>
    </w:rPr>
  </w:style>
  <w:style w:type="paragraph" w:styleId="12">
    <w:name w:val="Body Text Indent"/>
    <w:basedOn w:val="1"/>
    <w:next w:val="13"/>
    <w:qFormat/>
    <w:uiPriority w:val="0"/>
    <w:pPr>
      <w:widowControl w:val="0"/>
      <w:adjustRightInd w:val="0"/>
      <w:spacing w:after="120" w:line="360" w:lineRule="atLeast"/>
      <w:ind w:left="200" w:leftChars="200"/>
      <w:textAlignment w:val="baseline"/>
    </w:pPr>
    <w:rPr>
      <w:sz w:val="24"/>
    </w:rPr>
  </w:style>
  <w:style w:type="paragraph" w:styleId="13">
    <w:name w:val="Body Text First Indent"/>
    <w:basedOn w:val="1"/>
    <w:next w:val="14"/>
    <w:qFormat/>
    <w:uiPriority w:val="0"/>
    <w:pPr>
      <w:adjustRightInd w:val="0"/>
      <w:spacing w:line="360" w:lineRule="auto"/>
      <w:ind w:firstLine="100" w:firstLineChars="100"/>
      <w:textAlignment w:val="baseline"/>
    </w:pPr>
    <w:rPr>
      <w:rFonts w:ascii="宋体"/>
      <w:color w:val="000000"/>
      <w:kern w:val="0"/>
      <w:sz w:val="28"/>
      <w:szCs w:val="24"/>
    </w:rPr>
  </w:style>
  <w:style w:type="paragraph" w:styleId="14">
    <w:name w:val="table of figures"/>
    <w:basedOn w:val="1"/>
    <w:next w:val="1"/>
    <w:qFormat/>
    <w:uiPriority w:val="0"/>
    <w:pPr>
      <w:adjustRightInd w:val="0"/>
      <w:spacing w:line="360" w:lineRule="atLeast"/>
      <w:ind w:left="480" w:hanging="480"/>
      <w:jc w:val="left"/>
      <w:textAlignment w:val="baseline"/>
    </w:pPr>
    <w:rPr>
      <w:b/>
      <w:bCs/>
      <w:kern w:val="0"/>
      <w:sz w:val="20"/>
    </w:rPr>
  </w:style>
  <w:style w:type="paragraph" w:styleId="15">
    <w:name w:val="Block Text"/>
    <w:basedOn w:val="1"/>
    <w:next w:val="16"/>
    <w:qFormat/>
    <w:uiPriority w:val="0"/>
    <w:pPr>
      <w:adjustRightInd w:val="0"/>
      <w:spacing w:line="360" w:lineRule="auto"/>
      <w:ind w:left="1560" w:right="1466" w:hanging="240"/>
      <w:textAlignment w:val="baseline"/>
    </w:pPr>
    <w:rPr>
      <w:color w:val="000000"/>
      <w:kern w:val="0"/>
      <w:sz w:val="24"/>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Plain Text"/>
    <w:basedOn w:val="1"/>
    <w:next w:val="18"/>
    <w:qFormat/>
    <w:uiPriority w:val="0"/>
    <w:pPr>
      <w:widowControl w:val="0"/>
      <w:jc w:val="both"/>
    </w:pPr>
    <w:rPr>
      <w:rFonts w:ascii="宋体"/>
      <w:kern w:val="2"/>
      <w:sz w:val="21"/>
    </w:rPr>
  </w:style>
  <w:style w:type="paragraph" w:styleId="18">
    <w:name w:val="List Number 5"/>
    <w:basedOn w:val="1"/>
    <w:next w:val="1"/>
    <w:qFormat/>
    <w:uiPriority w:val="0"/>
    <w:pPr>
      <w:numPr>
        <w:ilvl w:val="0"/>
        <w:numId w:val="1"/>
      </w:numPr>
    </w:pPr>
  </w:style>
  <w:style w:type="paragraph" w:styleId="19">
    <w:name w:val="List Bullet 5"/>
    <w:basedOn w:val="1"/>
    <w:qFormat/>
    <w:uiPriority w:val="0"/>
    <w:pPr>
      <w:numPr>
        <w:ilvl w:val="0"/>
        <w:numId w:val="2"/>
      </w:numPr>
    </w:pPr>
  </w:style>
  <w:style w:type="paragraph" w:styleId="20">
    <w:name w:val="Date"/>
    <w:basedOn w:val="1"/>
    <w:next w:val="1"/>
    <w:qFormat/>
    <w:uiPriority w:val="0"/>
    <w:pPr>
      <w:widowControl w:val="0"/>
      <w:ind w:left="100"/>
      <w:jc w:val="both"/>
    </w:pPr>
    <w:rPr>
      <w:kern w:val="2"/>
      <w:sz w:val="21"/>
    </w:rPr>
  </w:style>
  <w:style w:type="paragraph" w:styleId="21">
    <w:name w:val="Body Text Indent 2"/>
    <w:qFormat/>
    <w:uiPriority w:val="0"/>
    <w:pPr>
      <w:widowControl w:val="0"/>
      <w:spacing w:line="360" w:lineRule="auto"/>
      <w:ind w:firstLine="482"/>
      <w:jc w:val="both"/>
    </w:pPr>
    <w:rPr>
      <w:rFonts w:ascii="仿宋_GB2312" w:hAnsi="Times New Roman" w:eastAsia="仿宋_GB2312" w:cs="Times New Roman"/>
      <w:sz w:val="24"/>
      <w:lang w:val="en-US" w:eastAsia="zh-CN" w:bidi="ar-SA"/>
    </w:rPr>
  </w:style>
  <w:style w:type="paragraph" w:styleId="22">
    <w:name w:val="footer"/>
    <w:basedOn w:val="1"/>
    <w:qFormat/>
    <w:uiPriority w:val="0"/>
    <w:pPr>
      <w:tabs>
        <w:tab w:val="center" w:pos="4153"/>
        <w:tab w:val="right" w:pos="8306"/>
      </w:tabs>
      <w:snapToGrid w:val="0"/>
    </w:pPr>
    <w:rPr>
      <w:sz w:val="18"/>
      <w:szCs w:val="18"/>
    </w:rPr>
  </w:style>
  <w:style w:type="paragraph" w:styleId="23">
    <w:name w:val="toc 1"/>
    <w:basedOn w:val="1"/>
    <w:next w:val="1"/>
    <w:qFormat/>
    <w:uiPriority w:val="0"/>
    <w:pPr>
      <w:widowControl w:val="0"/>
      <w:tabs>
        <w:tab w:val="right" w:leader="dot" w:pos="8931"/>
      </w:tabs>
      <w:spacing w:before="120" w:after="120"/>
    </w:pPr>
    <w:rPr>
      <w:rFonts w:eastAsia="黑体"/>
      <w:b/>
      <w:bCs/>
      <w:caps/>
      <w:kern w:val="2"/>
      <w:sz w:val="24"/>
      <w:szCs w:val="24"/>
    </w:rPr>
  </w:style>
  <w:style w:type="paragraph" w:styleId="24">
    <w:name w:val="toc 4"/>
    <w:basedOn w:val="1"/>
    <w:next w:val="1"/>
    <w:semiHidden/>
    <w:qFormat/>
    <w:uiPriority w:val="0"/>
    <w:pPr>
      <w:widowControl w:val="0"/>
      <w:ind w:left="630"/>
      <w:jc w:val="left"/>
    </w:pPr>
    <w:rPr>
      <w:rFonts w:ascii="Times New Roman" w:hAnsi="Times New Roman" w:eastAsia="宋体" w:cs="Times New Roman"/>
      <w:kern w:val="2"/>
      <w:sz w:val="18"/>
      <w:szCs w:val="18"/>
      <w:lang w:val="en-US" w:eastAsia="zh-CN" w:bidi="ar-SA"/>
    </w:rPr>
  </w:style>
  <w:style w:type="paragraph" w:styleId="25">
    <w:name w:val="Normal (Web)"/>
    <w:basedOn w:val="1"/>
    <w:qFormat/>
    <w:uiPriority w:val="0"/>
    <w:pPr>
      <w:spacing w:before="100" w:beforeAutospacing="1" w:after="100" w:afterAutospacing="1"/>
    </w:pPr>
    <w:rPr>
      <w:rFonts w:ascii="宋体"/>
      <w:sz w:val="24"/>
      <w:szCs w:val="24"/>
    </w:rPr>
  </w:style>
  <w:style w:type="paragraph" w:styleId="26">
    <w:name w:val="index 1"/>
    <w:basedOn w:val="1"/>
    <w:next w:val="1"/>
    <w:qFormat/>
    <w:uiPriority w:val="0"/>
    <w:pPr>
      <w:adjustRightInd w:val="0"/>
      <w:snapToGrid w:val="0"/>
      <w:spacing w:line="360" w:lineRule="auto"/>
      <w:ind w:firstLine="600" w:firstLineChars="250"/>
    </w:pPr>
    <w:rPr>
      <w:rFonts w:ascii="宋体" w:hAnsi="宋体"/>
      <w:color w:val="000000"/>
      <w:sz w:val="24"/>
      <w:szCs w:val="24"/>
    </w:rPr>
  </w:style>
  <w:style w:type="paragraph" w:styleId="27">
    <w:name w:val="Title"/>
    <w:basedOn w:val="1"/>
    <w:next w:val="1"/>
    <w:qFormat/>
    <w:uiPriority w:val="0"/>
    <w:pPr>
      <w:spacing w:before="240" w:after="60" w:line="440" w:lineRule="exact"/>
      <w:outlineLvl w:val="0"/>
    </w:pPr>
    <w:rPr>
      <w:rFonts w:ascii="Cambria" w:hAnsi="Cambria"/>
      <w:b/>
      <w:bCs/>
      <w:sz w:val="32"/>
      <w:szCs w:val="32"/>
    </w:rPr>
  </w:style>
  <w:style w:type="paragraph" w:styleId="28">
    <w:name w:val="Body Text First Indent 2"/>
    <w:basedOn w:val="12"/>
    <w:next w:val="17"/>
    <w:qFormat/>
    <w:uiPriority w:val="0"/>
    <w:pPr>
      <w:tabs>
        <w:tab w:val="left" w:pos="1440"/>
      </w:tabs>
      <w:ind w:firstLine="56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默认段落字体 Para Char"/>
    <w:basedOn w:val="1"/>
    <w:link w:val="31"/>
    <w:qFormat/>
    <w:uiPriority w:val="0"/>
    <w:pPr>
      <w:widowControl w:val="0"/>
      <w:spacing w:line="360" w:lineRule="auto"/>
      <w:ind w:firstLine="200" w:firstLineChars="200"/>
      <w:jc w:val="both"/>
    </w:pPr>
    <w:rPr>
      <w:rFonts w:ascii="宋体" w:cs="宋体"/>
      <w:kern w:val="2"/>
      <w:sz w:val="24"/>
      <w:szCs w:val="24"/>
    </w:rPr>
  </w:style>
  <w:style w:type="character" w:styleId="33">
    <w:name w:val="Strong"/>
    <w:basedOn w:val="31"/>
    <w:qFormat/>
    <w:uiPriority w:val="0"/>
    <w:rPr>
      <w:b/>
    </w:rPr>
  </w:style>
  <w:style w:type="character" w:styleId="34">
    <w:name w:val="page number"/>
    <w:basedOn w:val="31"/>
    <w:qFormat/>
    <w:uiPriority w:val="0"/>
  </w:style>
  <w:style w:type="character" w:styleId="35">
    <w:name w:val="Hyperlink"/>
    <w:qFormat/>
    <w:uiPriority w:val="0"/>
    <w:rPr>
      <w:color w:val="000000"/>
      <w:u w:val="none"/>
    </w:rPr>
  </w:style>
  <w:style w:type="paragraph" w:customStyle="1" w:styleId="36">
    <w:name w:val="EM Body Text"/>
    <w:basedOn w:val="1"/>
    <w:qFormat/>
    <w:uiPriority w:val="0"/>
    <w:pPr>
      <w:numPr>
        <w:ilvl w:val="0"/>
        <w:numId w:val="3"/>
      </w:numPr>
      <w:spacing w:before="120" w:after="120"/>
      <w:jc w:val="both"/>
    </w:pPr>
  </w:style>
  <w:style w:type="paragraph" w:styleId="37">
    <w:name w:val="List Paragraph"/>
    <w:basedOn w:val="1"/>
    <w:next w:val="38"/>
    <w:qFormat/>
    <w:uiPriority w:val="0"/>
    <w:pPr>
      <w:widowControl w:val="0"/>
      <w:ind w:firstLine="200" w:firstLineChars="200"/>
      <w:jc w:val="both"/>
    </w:pPr>
    <w:rPr>
      <w:rFonts w:ascii="Calibri" w:hAnsi="Calibri"/>
      <w:kern w:val="2"/>
      <w:sz w:val="21"/>
      <w:szCs w:val="22"/>
    </w:rPr>
  </w:style>
  <w:style w:type="paragraph" w:customStyle="1" w:styleId="38">
    <w:name w:val="xl22"/>
    <w:next w:val="1"/>
    <w:qFormat/>
    <w:uiPriority w:val="0"/>
    <w:pPr>
      <w:widowControl/>
      <w:spacing w:before="100" w:beforeAutospacing="1" w:after="100" w:afterAutospacing="1" w:line="360" w:lineRule="auto"/>
      <w:jc w:val="center"/>
      <w:textAlignment w:val="center"/>
    </w:pPr>
    <w:rPr>
      <w:rFonts w:ascii="Arial Unicode MS" w:hAnsi="Arial Unicode MS" w:eastAsia="Arial Unicode MS" w:cs="Times New Roman"/>
      <w:kern w:val="0"/>
      <w:sz w:val="24"/>
      <w:szCs w:val="24"/>
      <w:lang w:val="en-US" w:eastAsia="zh-CN" w:bidi="ar-SA"/>
    </w:rPr>
  </w:style>
  <w:style w:type="paragraph" w:customStyle="1" w:styleId="39">
    <w:name w:val="Body Text First Indent1"/>
    <w:basedOn w:val="11"/>
    <w:qFormat/>
    <w:uiPriority w:val="0"/>
    <w:pPr>
      <w:numPr>
        <w:ilvl w:val="0"/>
        <w:numId w:val="4"/>
      </w:numPr>
      <w:tabs>
        <w:tab w:val="left" w:pos="425"/>
        <w:tab w:val="clear" w:pos="420"/>
      </w:tabs>
      <w:spacing w:after="0" w:line="240" w:lineRule="auto"/>
      <w:ind w:firstLine="880"/>
    </w:pPr>
  </w:style>
  <w:style w:type="paragraph" w:customStyle="1" w:styleId="40">
    <w:name w:val="标书正文"/>
    <w:basedOn w:val="1"/>
    <w:qFormat/>
    <w:uiPriority w:val="0"/>
    <w:pPr>
      <w:spacing w:line="440" w:lineRule="exact"/>
      <w:ind w:firstLine="200" w:firstLineChars="200"/>
    </w:pPr>
    <w:rPr>
      <w:rFonts w:ascii="Arial" w:hAnsi="Arial"/>
      <w:color w:val="000000"/>
      <w:kern w:val="24"/>
      <w:sz w:val="24"/>
    </w:rPr>
  </w:style>
  <w:style w:type="character" w:customStyle="1" w:styleId="41">
    <w:name w:val="NormalCharacter"/>
    <w:qFormat/>
    <w:uiPriority w:val="0"/>
  </w:style>
  <w:style w:type="character" w:customStyle="1" w:styleId="42">
    <w:name w:val="标题 2 Char"/>
    <w:basedOn w:val="31"/>
    <w:link w:val="4"/>
    <w:qFormat/>
    <w:uiPriority w:val="0"/>
    <w:rPr>
      <w:rFonts w:ascii="Cambria" w:hAnsi="Cambria"/>
      <w:b/>
      <w:bCs/>
      <w:sz w:val="32"/>
      <w:szCs w:val="32"/>
    </w:rPr>
  </w:style>
  <w:style w:type="character" w:customStyle="1" w:styleId="43">
    <w:name w:val="lawsitemtext"/>
    <w:qFormat/>
    <w:uiPriority w:val="0"/>
  </w:style>
  <w:style w:type="paragraph" w:customStyle="1" w:styleId="44">
    <w:name w:val="表格1"/>
    <w:basedOn w:val="1"/>
    <w:qFormat/>
    <w:uiPriority w:val="0"/>
    <w:pPr>
      <w:tabs>
        <w:tab w:val="left" w:pos="737"/>
      </w:tabs>
      <w:adjustRightInd w:val="0"/>
      <w:spacing w:before="120" w:after="120"/>
      <w:jc w:val="left"/>
      <w:textAlignment w:val="baseline"/>
    </w:pPr>
    <w:rPr>
      <w:rFonts w:ascii="Arial" w:hAnsi="Arial"/>
      <w:kern w:val="24"/>
      <w:sz w:val="24"/>
    </w:rPr>
  </w:style>
  <w:style w:type="paragraph" w:customStyle="1" w:styleId="45">
    <w:name w:val="hdy"/>
    <w:basedOn w:val="1"/>
    <w:qFormat/>
    <w:uiPriority w:val="0"/>
    <w:pPr>
      <w:adjustRightInd w:val="0"/>
      <w:snapToGrid w:val="0"/>
      <w:spacing w:line="500" w:lineRule="exact"/>
      <w:ind w:firstLine="200" w:firstLineChars="200"/>
    </w:pPr>
    <w:rPr>
      <w:rFonts w:ascii="MS Serif" w:hAnsi="MS Serif" w:cs="MS Serif"/>
      <w:bCs/>
      <w:sz w:val="24"/>
    </w:rPr>
  </w:style>
  <w:style w:type="paragraph" w:customStyle="1" w:styleId="46">
    <w:name w:val="列出段落2"/>
    <w:basedOn w:val="1"/>
    <w:qFormat/>
    <w:uiPriority w:val="0"/>
    <w:pPr>
      <w:ind w:firstLine="420" w:firstLineChars="200"/>
    </w:pPr>
    <w:rPr>
      <w:szCs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正式文本"/>
    <w:basedOn w:val="1"/>
    <w:qFormat/>
    <w:uiPriority w:val="0"/>
    <w:pPr>
      <w:spacing w:line="540" w:lineRule="exact"/>
      <w:ind w:firstLine="200" w:firstLineChars="200"/>
    </w:pPr>
    <w:rPr>
      <w:rFonts w:ascii="宋体" w:hAnsi="Arial Narrow"/>
      <w:sz w:val="28"/>
    </w:rPr>
  </w:style>
  <w:style w:type="character" w:customStyle="1" w:styleId="50">
    <w:name w:val="font31"/>
    <w:basedOn w:val="31"/>
    <w:qFormat/>
    <w:uiPriority w:val="0"/>
    <w:rPr>
      <w:rFonts w:ascii="Times New Roman" w:hAnsi="Times New Roman" w:cs="Times New Roman"/>
      <w:color w:val="000000"/>
      <w:sz w:val="21"/>
      <w:szCs w:val="21"/>
      <w:u w:val="none"/>
    </w:rPr>
  </w:style>
  <w:style w:type="paragraph" w:styleId="51">
    <w:name w:val="No Spacing"/>
    <w:qFormat/>
    <w:uiPriority w:val="1"/>
    <w:rPr>
      <w:rFonts w:ascii="Times New Roman" w:hAnsi="Times New Roman" w:eastAsia="宋体" w:cs="Times New Roman"/>
      <w:lang w:val="en-US" w:eastAsia="zh-CN" w:bidi="ar-SA"/>
    </w:rPr>
  </w:style>
  <w:style w:type="paragraph" w:customStyle="1" w:styleId="52">
    <w:name w:val=" Char Char Char2 Char Char Char Char"/>
    <w:basedOn w:val="1"/>
    <w:qFormat/>
    <w:uiPriority w:val="0"/>
    <w:pPr>
      <w:spacing w:line="360" w:lineRule="auto"/>
      <w:ind w:firstLine="200" w:firstLineChars="200"/>
    </w:pPr>
    <w:rPr>
      <w:rFonts w:ascii="宋体" w:hAnsi="宋体" w:cs="宋体"/>
      <w:sz w:val="24"/>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_Style 7"/>
    <w:basedOn w:val="3"/>
    <w:next w:val="1"/>
    <w:qFormat/>
    <w:uiPriority w:val="39"/>
    <w:pPr>
      <w:keepLines/>
      <w:widowControl/>
      <w:numPr>
        <w:ilvl w:val="0"/>
        <w:numId w:val="0"/>
      </w:numPr>
      <w:spacing w:before="480" w:line="276" w:lineRule="auto"/>
      <w:jc w:val="left"/>
      <w:outlineLvl w:val="9"/>
    </w:pPr>
    <w:rPr>
      <w:rFonts w:ascii="Cambria" w:hAnsi="Cambria" w:eastAsia="宋体" w:cs="Times New Roman"/>
      <w:bCs/>
      <w:color w:val="365F91"/>
      <w:kern w:val="0"/>
      <w:sz w:val="28"/>
      <w:szCs w:val="28"/>
    </w:rPr>
  </w:style>
  <w:style w:type="paragraph" w:customStyle="1" w:styleId="55">
    <w:name w:val="大南湖四级标题"/>
    <w:basedOn w:val="1"/>
    <w:next w:val="4"/>
    <w:qFormat/>
    <w:uiPriority w:val="0"/>
    <w:pPr>
      <w:spacing w:line="500" w:lineRule="exact"/>
      <w:ind w:firstLine="480" w:firstLineChars="200"/>
    </w:pPr>
    <w:rPr>
      <w:color w:val="FF0000"/>
      <w:sz w:val="24"/>
      <w:szCs w:val="20"/>
    </w:rPr>
  </w:style>
  <w:style w:type="paragraph" w:customStyle="1" w:styleId="56">
    <w:name w:val="NormalIndent"/>
    <w:basedOn w:val="1"/>
    <w:qFormat/>
    <w:uiPriority w:val="0"/>
    <w:pPr>
      <w:ind w:firstLine="420" w:firstLineChars="200"/>
      <w:textAlignment w:val="baseline"/>
    </w:pPr>
  </w:style>
  <w:style w:type="character" w:customStyle="1" w:styleId="57">
    <w:name w:val="font11"/>
    <w:basedOn w:val="31"/>
    <w:qFormat/>
    <w:uiPriority w:val="0"/>
    <w:rPr>
      <w:rFonts w:hint="eastAsia" w:ascii="宋体" w:hAnsi="宋体" w:eastAsia="宋体" w:cs="宋体"/>
      <w:color w:val="000000"/>
      <w:sz w:val="21"/>
      <w:szCs w:val="21"/>
      <w:u w:val="none"/>
    </w:rPr>
  </w:style>
  <w:style w:type="character" w:customStyle="1" w:styleId="58">
    <w:name w:val="font01"/>
    <w:basedOn w:val="31"/>
    <w:qFormat/>
    <w:uiPriority w:val="0"/>
    <w:rPr>
      <w:rFonts w:hint="default" w:ascii="Times New Roman" w:hAnsi="Times New Roman" w:cs="Times New Roman"/>
      <w:color w:val="000000"/>
      <w:sz w:val="21"/>
      <w:szCs w:val="21"/>
      <w:u w:val="none"/>
    </w:rPr>
  </w:style>
  <w:style w:type="paragraph" w:customStyle="1" w:styleId="59">
    <w:name w:val="p0"/>
    <w:basedOn w:val="1"/>
    <w:qFormat/>
    <w:uiPriority w:val="0"/>
    <w:pPr>
      <w:widowControl/>
      <w:spacing w:line="360" w:lineRule="auto"/>
      <w:ind w:firstLine="420"/>
    </w:pPr>
    <w:rPr>
      <w:rFonts w:ascii="Arial" w:hAnsi="Arial" w:cs="Arial"/>
      <w:kern w:val="0"/>
      <w:sz w:val="24"/>
    </w:rPr>
  </w:style>
  <w:style w:type="paragraph" w:customStyle="1" w:styleId="60">
    <w:name w:val="自定义页眉1"/>
    <w:qFormat/>
    <w:uiPriority w:val="0"/>
    <w:pPr>
      <w:widowControl w:val="0"/>
      <w:pBdr>
        <w:bottom w:val="thinThickSmallGap" w:color="auto" w:sz="12" w:space="1"/>
      </w:pBdr>
      <w:jc w:val="both"/>
    </w:pPr>
    <w:rPr>
      <w:rFonts w:ascii="Times New Roman" w:hAnsi="Times New Roman" w:eastAsia="宋体" w:cs="Times New Roman"/>
      <w:kern w:val="2"/>
      <w:sz w:val="21"/>
      <w:lang w:val="en-US" w:eastAsia="zh-CN" w:bidi="ar-SA"/>
    </w:rPr>
  </w:style>
  <w:style w:type="paragraph" w:customStyle="1" w:styleId="61">
    <w:name w:val="正文页脚"/>
    <w:basedOn w:val="22"/>
    <w:qFormat/>
    <w:uiPriority w:val="0"/>
    <w:pPr>
      <w:pBdr>
        <w:top w:val="single" w:color="auto" w:sz="6" w:space="1"/>
      </w:pBdr>
    </w:pPr>
    <w:rPr>
      <w:rFonts w:ascii="隶书" w:hAnsi="华文中宋" w:eastAsia="隶书"/>
      <w:sz w:val="21"/>
      <w:szCs w:val="21"/>
    </w:rPr>
  </w:style>
  <w:style w:type="paragraph" w:customStyle="1" w:styleId="62">
    <w:name w:val="标1"/>
    <w:qFormat/>
    <w:uiPriority w:val="0"/>
    <w:pPr>
      <w:widowControl w:val="0"/>
      <w:numPr>
        <w:ilvl w:val="0"/>
        <w:numId w:val="5"/>
      </w:numPr>
      <w:spacing w:after="24"/>
      <w:ind w:firstLine="0" w:firstLineChars="0"/>
      <w:jc w:val="both"/>
      <w:outlineLvl w:val="0"/>
    </w:pPr>
    <w:rPr>
      <w:rFonts w:ascii="Arial" w:hAnsi="Arial" w:eastAsia="宋体" w:cs="Times New Roman"/>
      <w:b/>
      <w:kern w:val="2"/>
      <w:sz w:val="28"/>
      <w:szCs w:val="24"/>
      <w:lang w:val="en-US" w:eastAsia="zh-CN" w:bidi="ar-SA"/>
    </w:rPr>
  </w:style>
  <w:style w:type="paragraph" w:customStyle="1" w:styleId="63">
    <w:name w:val="标2"/>
    <w:basedOn w:val="62"/>
    <w:qFormat/>
    <w:uiPriority w:val="0"/>
    <w:pPr>
      <w:widowControl w:val="0"/>
      <w:numPr>
        <w:ilvl w:val="1"/>
        <w:numId w:val="5"/>
      </w:numPr>
      <w:spacing w:before="120" w:after="24"/>
      <w:ind w:firstLine="0" w:firstLineChars="0"/>
      <w:jc w:val="left"/>
      <w:outlineLvl w:val="1"/>
    </w:pPr>
    <w:rPr>
      <w:rFonts w:ascii="Arial" w:hAnsi="Arial" w:eastAsia="宋体" w:cs="Times New Roman"/>
      <w:kern w:val="2"/>
      <w:sz w:val="24"/>
      <w:szCs w:val="24"/>
      <w:lang w:val="en-US" w:eastAsia="zh-CN" w:bidi="ar-SA"/>
    </w:rPr>
  </w:style>
  <w:style w:type="paragraph" w:customStyle="1" w:styleId="64">
    <w:name w:val="标3"/>
    <w:qFormat/>
    <w:uiPriority w:val="0"/>
    <w:pPr>
      <w:widowControl w:val="0"/>
      <w:numPr>
        <w:ilvl w:val="2"/>
        <w:numId w:val="5"/>
      </w:numPr>
      <w:spacing w:before="120" w:after="120"/>
      <w:ind w:firstLine="0" w:firstLineChars="0"/>
      <w:jc w:val="left"/>
      <w:outlineLvl w:val="2"/>
    </w:pPr>
    <w:rPr>
      <w:rFonts w:ascii="Arial" w:hAnsi="Arial" w:eastAsia="宋体" w:cs="Times New Roman"/>
      <w:b/>
      <w:kern w:val="2"/>
      <w:sz w:val="24"/>
      <w:szCs w:val="24"/>
      <w:lang w:val="en-US" w:eastAsia="zh-CN" w:bidi="ar-SA"/>
    </w:rPr>
  </w:style>
  <w:style w:type="paragraph" w:customStyle="1" w:styleId="65">
    <w:name w:val="表"/>
    <w:next w:val="1"/>
    <w:qFormat/>
    <w:uiPriority w:val="0"/>
    <w:pPr>
      <w:widowControl w:val="0"/>
      <w:spacing w:before="0" w:beforeLines="0" w:line="360" w:lineRule="auto"/>
      <w:ind w:firstLine="0" w:firstLineChars="0"/>
      <w:jc w:val="left"/>
    </w:pPr>
    <w:rPr>
      <w:rFonts w:ascii="Arial" w:hAnsi="Arial" w:eastAsia="宋体" w:cs="Arial"/>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21650</Words>
  <Characters>23333</Characters>
  <Lines>0</Lines>
  <Paragraphs>0</Paragraphs>
  <TotalTime>2</TotalTime>
  <ScaleCrop>false</ScaleCrop>
  <LinksUpToDate>false</LinksUpToDate>
  <CharactersWithSpaces>24239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2024-03-14T08:50:00Z</dcterms:created>
  <dc:creator>admin</dc:creator>
  <cp:lastModifiedBy>。</cp:lastModifiedBy>
  <dcterms:modified xsi:type="dcterms:W3CDTF">2025-09-11T00:40:53Z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D9C220B1D98C4C8AA90AA3F72D10FA1F_13</vt:lpwstr>
  </property>
  <property fmtid="{D5CDD505-2E9C-101B-9397-08002B2CF9AE}" pid="4" name="KSOTemplateDocerSaveRecord">
    <vt:lpwstr>eyJoZGlkIjoiMWZlYTMyMjRiOTI2ZGIzNmIyZmIxMWQxOTYzYWZkOWEiLCJ1c2VySWQiOiIyNDQ4OTQxMTQifQ==</vt:lpwstr>
  </property>
</Properties>
</file>