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F23FE">
      <w:pPr>
        <w:spacing w:line="500" w:lineRule="exact"/>
        <w:ind w:firstLine="600" w:firstLineChars="250"/>
        <w:rPr>
          <w:rFonts w:hint="eastAsia" w:eastAsia="宋体"/>
          <w:sz w:val="24"/>
          <w:lang w:val="en-US" w:eastAsia="zh-CN"/>
        </w:rPr>
      </w:pPr>
      <w:r>
        <w:rPr>
          <w:rFonts w:hint="eastAsia" w:eastAsia="宋体"/>
          <w:sz w:val="24"/>
          <w:lang w:val="en-US" w:eastAsia="zh-CN"/>
        </w:rPr>
        <w:t>（</w:t>
      </w:r>
      <w:r>
        <w:rPr>
          <w:rFonts w:hint="eastAsia" w:eastAsia="宋体"/>
          <w:sz w:val="24"/>
          <w:lang w:val="en-US" w:eastAsia="zh-CN"/>
        </w:rPr>
        <w:t>1</w:t>
      </w:r>
      <w:r>
        <w:rPr>
          <w:rFonts w:hint="eastAsia" w:eastAsia="宋体"/>
          <w:sz w:val="24"/>
          <w:lang w:val="en-US" w:eastAsia="zh-CN"/>
        </w:rPr>
        <w:t>）一般资格要求</w:t>
      </w:r>
    </w:p>
    <w:p w14:paraId="73AC927C">
      <w:pPr>
        <w:spacing w:line="500" w:lineRule="exact"/>
        <w:ind w:firstLine="600" w:firstLineChars="250"/>
        <w:rPr>
          <w:rFonts w:hint="eastAsia" w:eastAsia="宋体"/>
          <w:sz w:val="24"/>
          <w:lang w:val="en-US" w:eastAsia="zh-CN"/>
        </w:rPr>
      </w:pPr>
      <w:r>
        <w:rPr>
          <w:rFonts w:hint="eastAsia" w:eastAsia="宋体"/>
          <w:sz w:val="24"/>
          <w:lang w:val="en-US" w:eastAsia="zh-CN"/>
        </w:rPr>
        <w:t>1、符合《中华人民共和国政府采购法》第二十二条规定的资格条件要求；</w:t>
      </w:r>
    </w:p>
    <w:p w14:paraId="2668B9CC">
      <w:pPr>
        <w:spacing w:line="500" w:lineRule="exact"/>
        <w:ind w:firstLine="600" w:firstLineChars="250"/>
        <w:rPr>
          <w:rFonts w:hint="eastAsia" w:eastAsia="宋体"/>
          <w:sz w:val="24"/>
          <w:lang w:val="en-US" w:eastAsia="zh-CN"/>
        </w:rPr>
      </w:pPr>
      <w:r>
        <w:rPr>
          <w:rFonts w:hint="eastAsia" w:eastAsia="宋体"/>
          <w:sz w:val="24"/>
          <w:lang w:val="en-US" w:eastAsia="zh-CN"/>
        </w:rPr>
        <w:t>2、在中国境内依法注册并具有有效独立法人资格及相应经营范围的合法企业；</w:t>
      </w:r>
    </w:p>
    <w:p w14:paraId="1189FABE">
      <w:pPr>
        <w:spacing w:line="500" w:lineRule="exact"/>
        <w:ind w:firstLine="600" w:firstLineChars="250"/>
        <w:rPr>
          <w:rFonts w:hint="eastAsia" w:eastAsia="宋体"/>
          <w:sz w:val="24"/>
          <w:lang w:val="en-US" w:eastAsia="zh-CN"/>
        </w:rPr>
      </w:pPr>
      <w:r>
        <w:rPr>
          <w:rFonts w:hint="eastAsia" w:eastAsia="宋体"/>
          <w:sz w:val="24"/>
          <w:lang w:val="en-US" w:eastAsia="zh-CN"/>
        </w:rPr>
        <w:t>3、</w:t>
      </w:r>
      <w:r>
        <w:rPr>
          <w:rFonts w:hint="eastAsia" w:eastAsia="宋体"/>
          <w:sz w:val="24"/>
          <w:lang w:val="en-US" w:eastAsia="zh-CN"/>
        </w:rPr>
        <w:t>投标人</w:t>
      </w:r>
      <w:r>
        <w:rPr>
          <w:rFonts w:hint="eastAsia" w:eastAsia="宋体"/>
          <w:sz w:val="24"/>
          <w:lang w:val="en-US" w:eastAsia="zh-CN"/>
        </w:rPr>
        <w:t>具</w:t>
      </w:r>
      <w:r>
        <w:rPr>
          <w:rFonts w:hint="eastAsia" w:eastAsia="宋体"/>
          <w:sz w:val="24"/>
          <w:lang w:val="en-US" w:eastAsia="zh-CN"/>
        </w:rPr>
        <w:t>有履行本项目</w:t>
      </w:r>
      <w:r>
        <w:rPr>
          <w:rFonts w:hint="eastAsia" w:eastAsia="宋体"/>
          <w:sz w:val="24"/>
          <w:lang w:val="en-US" w:eastAsia="zh-CN"/>
        </w:rPr>
        <w:t>货物</w:t>
      </w:r>
      <w:r>
        <w:rPr>
          <w:rFonts w:hint="eastAsia" w:eastAsia="宋体"/>
          <w:sz w:val="24"/>
          <w:lang w:val="en-US" w:eastAsia="zh-CN"/>
        </w:rPr>
        <w:t>采购合同的能力</w:t>
      </w:r>
      <w:r>
        <w:rPr>
          <w:rFonts w:hint="eastAsia" w:eastAsia="宋体"/>
          <w:sz w:val="24"/>
          <w:lang w:val="en-US" w:eastAsia="zh-CN"/>
        </w:rPr>
        <w:t>；</w:t>
      </w:r>
    </w:p>
    <w:p w14:paraId="31A478DA">
      <w:pPr>
        <w:spacing w:line="500" w:lineRule="exact"/>
        <w:ind w:firstLine="600" w:firstLineChars="250"/>
        <w:rPr>
          <w:rFonts w:hint="eastAsia" w:eastAsia="宋体"/>
          <w:sz w:val="24"/>
          <w:lang w:val="en-US" w:eastAsia="zh-CN"/>
        </w:rPr>
      </w:pPr>
      <w:r>
        <w:rPr>
          <w:rFonts w:hint="eastAsia" w:eastAsia="宋体"/>
          <w:sz w:val="24"/>
          <w:lang w:val="en-US" w:eastAsia="zh-CN"/>
        </w:rPr>
        <w:t>4、</w:t>
      </w:r>
      <w:r>
        <w:rPr>
          <w:rFonts w:hint="eastAsia" w:eastAsia="宋体"/>
          <w:sz w:val="24"/>
          <w:lang w:val="en-US" w:eastAsia="zh-CN"/>
        </w:rPr>
        <w:t>具有有效的企业营业执照、组织机构代码证、税务登记证</w:t>
      </w:r>
      <w:r>
        <w:rPr>
          <w:rFonts w:hint="eastAsia" w:eastAsia="宋体"/>
          <w:sz w:val="24"/>
          <w:lang w:val="en-US" w:eastAsia="zh-CN"/>
        </w:rPr>
        <w:t>或三证合一的“营业执照”；</w:t>
      </w:r>
    </w:p>
    <w:p w14:paraId="5FAD2F49">
      <w:pPr>
        <w:spacing w:line="500" w:lineRule="exact"/>
        <w:ind w:firstLine="600" w:firstLineChars="250"/>
        <w:rPr>
          <w:rFonts w:hint="eastAsia" w:eastAsia="宋体"/>
          <w:sz w:val="24"/>
          <w:lang w:val="en-US" w:eastAsia="zh-CN"/>
        </w:rPr>
      </w:pPr>
      <w:r>
        <w:rPr>
          <w:rFonts w:hint="eastAsia" w:eastAsia="宋体"/>
          <w:sz w:val="24"/>
          <w:lang w:val="en-US" w:eastAsia="zh-CN"/>
        </w:rPr>
        <w:t>5、具有良好的商业信誉和健全的财务会计制度；</w:t>
      </w:r>
    </w:p>
    <w:p w14:paraId="6D238C59">
      <w:pPr>
        <w:spacing w:line="500" w:lineRule="exact"/>
        <w:ind w:firstLine="600" w:firstLineChars="250"/>
        <w:rPr>
          <w:rFonts w:hint="eastAsia" w:eastAsia="宋体"/>
          <w:sz w:val="24"/>
          <w:lang w:val="en-US" w:eastAsia="zh-CN"/>
        </w:rPr>
      </w:pPr>
      <w:r>
        <w:rPr>
          <w:rFonts w:hint="eastAsia" w:eastAsia="宋体"/>
          <w:sz w:val="24"/>
          <w:lang w:val="en-US" w:eastAsia="zh-CN"/>
        </w:rPr>
        <w:t>6、具有依法缴纳税收和社会保障资金的良好记录；</w:t>
      </w:r>
    </w:p>
    <w:p w14:paraId="1A22E657">
      <w:pPr>
        <w:spacing w:line="500" w:lineRule="exact"/>
        <w:ind w:firstLine="600" w:firstLineChars="250"/>
        <w:rPr>
          <w:rFonts w:hint="eastAsia" w:eastAsia="宋体"/>
          <w:sz w:val="24"/>
          <w:lang w:val="en-US" w:eastAsia="zh-CN"/>
        </w:rPr>
      </w:pPr>
      <w:r>
        <w:rPr>
          <w:rFonts w:hint="eastAsia" w:eastAsia="宋体"/>
          <w:sz w:val="24"/>
          <w:lang w:val="en-US" w:eastAsia="zh-CN"/>
        </w:rPr>
        <w:t>7、</w:t>
      </w:r>
      <w:r>
        <w:rPr>
          <w:rFonts w:hint="eastAsia" w:eastAsia="宋体"/>
          <w:sz w:val="24"/>
          <w:lang w:val="en-US" w:eastAsia="zh-CN"/>
        </w:rPr>
        <w:t>参加政府采购活动前三年内，在经营活动中没有重大违法记录</w:t>
      </w:r>
      <w:r>
        <w:rPr>
          <w:rFonts w:hint="eastAsia" w:eastAsia="宋体"/>
          <w:sz w:val="24"/>
          <w:lang w:val="en-US" w:eastAsia="zh-CN"/>
        </w:rPr>
        <w:t>；</w:t>
      </w:r>
    </w:p>
    <w:p w14:paraId="4E770406">
      <w:pPr>
        <w:spacing w:line="500" w:lineRule="exact"/>
        <w:ind w:firstLine="600" w:firstLineChars="250"/>
        <w:rPr>
          <w:rFonts w:hint="eastAsia" w:eastAsia="宋体"/>
          <w:sz w:val="24"/>
        </w:rPr>
      </w:pPr>
    </w:p>
    <w:p w14:paraId="34830294">
      <w:pPr>
        <w:spacing w:line="500" w:lineRule="exact"/>
        <w:ind w:firstLine="600" w:firstLineChars="250"/>
        <w:rPr>
          <w:rFonts w:hint="eastAsia" w:eastAsia="宋体"/>
          <w:sz w:val="24"/>
        </w:rPr>
      </w:pPr>
    </w:p>
    <w:p w14:paraId="5F6BA38E">
      <w:pPr>
        <w:pStyle w:val="7"/>
      </w:pPr>
    </w:p>
    <w:p w14:paraId="6E783ABF">
      <w:pPr>
        <w:pStyle w:val="7"/>
      </w:pPr>
    </w:p>
    <w:p w14:paraId="7B0862CA">
      <w:pPr>
        <w:pStyle w:val="7"/>
      </w:pPr>
    </w:p>
    <w:p w14:paraId="5652E763">
      <w:pPr>
        <w:pStyle w:val="7"/>
      </w:pPr>
    </w:p>
    <w:p w14:paraId="32FE77C6">
      <w:pPr>
        <w:pStyle w:val="7"/>
      </w:pPr>
    </w:p>
    <w:p w14:paraId="4A65317D">
      <w:pPr>
        <w:pStyle w:val="7"/>
      </w:pPr>
    </w:p>
    <w:p w14:paraId="59811D25">
      <w:pPr>
        <w:pStyle w:val="7"/>
      </w:pPr>
    </w:p>
    <w:p w14:paraId="48D62589">
      <w:pPr>
        <w:pStyle w:val="7"/>
      </w:pPr>
    </w:p>
    <w:p w14:paraId="11810D0D">
      <w:pPr>
        <w:pStyle w:val="7"/>
      </w:pPr>
    </w:p>
    <w:p w14:paraId="3510B659">
      <w:pPr>
        <w:pStyle w:val="7"/>
      </w:pPr>
    </w:p>
    <w:p w14:paraId="3EAAA947">
      <w:pPr>
        <w:pStyle w:val="7"/>
      </w:pPr>
    </w:p>
    <w:p w14:paraId="2CE82E39">
      <w:pPr>
        <w:pStyle w:val="7"/>
      </w:pPr>
    </w:p>
    <w:p w14:paraId="0E6E14AC">
      <w:pPr>
        <w:pStyle w:val="7"/>
      </w:pPr>
    </w:p>
    <w:p w14:paraId="5AA8331A">
      <w:pPr>
        <w:pStyle w:val="7"/>
      </w:pPr>
    </w:p>
    <w:p w14:paraId="54CA11A8">
      <w:pPr>
        <w:pStyle w:val="7"/>
      </w:pPr>
    </w:p>
    <w:p w14:paraId="245D3633">
      <w:pPr>
        <w:pStyle w:val="7"/>
      </w:pPr>
    </w:p>
    <w:p w14:paraId="26591156">
      <w:pPr>
        <w:pStyle w:val="7"/>
      </w:pPr>
    </w:p>
    <w:p w14:paraId="7B775578">
      <w:pPr>
        <w:pStyle w:val="7"/>
      </w:pPr>
    </w:p>
    <w:p w14:paraId="24EFD237">
      <w:pPr>
        <w:pStyle w:val="7"/>
      </w:pPr>
    </w:p>
    <w:p w14:paraId="397805BA">
      <w:pPr>
        <w:pStyle w:val="7"/>
      </w:pPr>
    </w:p>
    <w:p w14:paraId="6BFC33C8">
      <w:pPr>
        <w:pStyle w:val="7"/>
      </w:pPr>
    </w:p>
    <w:p w14:paraId="5C032833">
      <w:pPr>
        <w:pStyle w:val="7"/>
      </w:pPr>
    </w:p>
    <w:p w14:paraId="69323D88">
      <w:pPr>
        <w:pStyle w:val="7"/>
      </w:pPr>
    </w:p>
    <w:p w14:paraId="4289FF38">
      <w:pPr>
        <w:pStyle w:val="7"/>
      </w:pPr>
    </w:p>
    <w:p w14:paraId="13972C4B">
      <w:pPr>
        <w:pStyle w:val="7"/>
      </w:pPr>
    </w:p>
    <w:p w14:paraId="6B49B2DF">
      <w:pPr>
        <w:pStyle w:val="3"/>
        <w:keepNext w:val="0"/>
        <w:keepLines w:val="0"/>
        <w:pageBreakBefore w:val="0"/>
        <w:widowControl w:val="0"/>
        <w:topLinePunct w:val="0"/>
        <w:bidi w:val="0"/>
        <w:spacing w:before="120" w:after="120"/>
        <w:rPr>
          <w:rFonts w:hint="eastAsia" w:ascii="仿宋" w:hAnsi="仿宋" w:eastAsia="仿宋" w:cs="仿宋"/>
          <w:color w:val="000000"/>
          <w:kern w:val="2"/>
          <w:sz w:val="44"/>
          <w:lang w:val="en-US" w:eastAsia="zh-CN"/>
        </w:rPr>
      </w:pPr>
      <w:r>
        <w:rPr>
          <w:rFonts w:hint="eastAsia" w:ascii="仿宋" w:hAnsi="仿宋" w:eastAsia="仿宋" w:cs="仿宋"/>
          <w:color w:val="000000"/>
          <w:kern w:val="2"/>
          <w:sz w:val="44"/>
          <w:lang w:val="en-US" w:eastAsia="zh-CN"/>
        </w:rPr>
        <w:t>采购需求</w:t>
      </w:r>
    </w:p>
    <w:p w14:paraId="74CBA258">
      <w:pPr>
        <w:spacing w:line="360" w:lineRule="auto"/>
        <w:ind w:firstLine="482" w:firstLineChars="200"/>
        <w:outlineLvl w:val="1"/>
        <w:rPr>
          <w:rFonts w:hint="default" w:eastAsia="宋体"/>
          <w:b/>
          <w:sz w:val="24"/>
          <w:lang w:val="en-US" w:eastAsia="zh-CN"/>
        </w:rPr>
      </w:pPr>
      <w:r>
        <w:rPr>
          <w:rFonts w:hint="eastAsia"/>
          <w:b/>
          <w:sz w:val="24"/>
        </w:rPr>
        <w:t>一、</w:t>
      </w:r>
      <w:r>
        <w:rPr>
          <w:rFonts w:hint="eastAsia"/>
          <w:b/>
          <w:sz w:val="24"/>
          <w:lang w:val="en-US" w:eastAsia="zh-CN"/>
        </w:rPr>
        <w:t>项目概况</w:t>
      </w:r>
    </w:p>
    <w:p w14:paraId="6CCB9DD8">
      <w:pPr>
        <w:spacing w:line="500" w:lineRule="exact"/>
        <w:ind w:firstLine="600" w:firstLineChars="250"/>
        <w:rPr>
          <w:sz w:val="24"/>
        </w:rPr>
      </w:pPr>
      <w:r>
        <w:rPr>
          <w:rFonts w:hint="eastAsia"/>
          <w:sz w:val="24"/>
        </w:rPr>
        <w:t>(一)项目名称: 遵义市中级人民法院2025物业服务</w:t>
      </w:r>
      <w:r>
        <w:rPr>
          <w:rFonts w:hint="eastAsia"/>
          <w:sz w:val="24"/>
          <w:lang w:val="en-US" w:eastAsia="zh-CN"/>
        </w:rPr>
        <w:t>采购</w:t>
      </w:r>
      <w:r>
        <w:rPr>
          <w:rFonts w:hint="eastAsia"/>
          <w:sz w:val="24"/>
        </w:rPr>
        <w:t>项目</w:t>
      </w:r>
    </w:p>
    <w:p w14:paraId="18F5F587">
      <w:pPr>
        <w:spacing w:line="500" w:lineRule="exact"/>
        <w:ind w:firstLine="600" w:firstLineChars="250"/>
        <w:rPr>
          <w:rFonts w:hint="eastAsia" w:eastAsia="宋体"/>
          <w:sz w:val="24"/>
        </w:rPr>
      </w:pPr>
      <w:r>
        <w:rPr>
          <w:rFonts w:hint="eastAsia"/>
          <w:sz w:val="24"/>
        </w:rPr>
        <w:t>(二)</w:t>
      </w:r>
      <w:r>
        <w:rPr>
          <w:rFonts w:hint="eastAsia" w:eastAsia="宋体"/>
          <w:sz w:val="24"/>
        </w:rPr>
        <w:t>采购单位: 遵义市中级人民法院</w:t>
      </w:r>
    </w:p>
    <w:p w14:paraId="198CB80F">
      <w:pPr>
        <w:spacing w:line="500" w:lineRule="exact"/>
        <w:ind w:firstLine="600" w:firstLineChars="250"/>
        <w:rPr>
          <w:rFonts w:hint="eastAsia" w:eastAsia="宋体"/>
          <w:sz w:val="24"/>
        </w:rPr>
      </w:pPr>
      <w:r>
        <w:rPr>
          <w:rFonts w:hint="eastAsia" w:eastAsia="宋体"/>
          <w:sz w:val="24"/>
        </w:rPr>
        <w:t>(三)招标方式: 公开招投标</w:t>
      </w:r>
    </w:p>
    <w:p w14:paraId="605E3614">
      <w:pPr>
        <w:spacing w:line="500" w:lineRule="exact"/>
        <w:ind w:firstLine="600" w:firstLineChars="250"/>
        <w:rPr>
          <w:rFonts w:hint="eastAsia" w:eastAsia="宋体"/>
          <w:sz w:val="24"/>
        </w:rPr>
      </w:pPr>
      <w:r>
        <w:rPr>
          <w:rFonts w:hint="eastAsia" w:eastAsia="宋体"/>
          <w:sz w:val="24"/>
        </w:rPr>
        <w:t>(四)</w:t>
      </w:r>
      <w:r>
        <w:rPr>
          <w:rFonts w:hint="eastAsia" w:eastAsia="宋体"/>
          <w:sz w:val="24"/>
          <w:lang w:val="en-US" w:eastAsia="zh-CN"/>
        </w:rPr>
        <w:t>最高限价：268</w:t>
      </w:r>
      <w:r>
        <w:rPr>
          <w:rFonts w:hint="eastAsia" w:eastAsia="宋体"/>
          <w:sz w:val="24"/>
        </w:rPr>
        <w:t>万元/年</w:t>
      </w:r>
    </w:p>
    <w:p w14:paraId="0F436BBE">
      <w:pPr>
        <w:spacing w:line="500" w:lineRule="exact"/>
        <w:ind w:firstLine="600" w:firstLineChars="250"/>
        <w:rPr>
          <w:rFonts w:hint="default" w:eastAsia="宋体"/>
          <w:sz w:val="24"/>
          <w:lang w:val="en-US" w:eastAsia="zh-CN"/>
        </w:rPr>
      </w:pPr>
      <w:r>
        <w:rPr>
          <w:rFonts w:hint="eastAsia" w:eastAsia="宋体"/>
          <w:sz w:val="24"/>
          <w:lang w:val="en-US" w:eastAsia="zh-CN"/>
        </w:rPr>
        <w:t>(五)服务地点：</w:t>
      </w:r>
      <w:r>
        <w:rPr>
          <w:rFonts w:hint="eastAsia" w:eastAsia="宋体"/>
          <w:sz w:val="24"/>
        </w:rPr>
        <w:t>服务地点：遵义市汇川区</w:t>
      </w:r>
      <w:r>
        <w:rPr>
          <w:rFonts w:hint="eastAsia" w:eastAsia="宋体"/>
          <w:sz w:val="24"/>
          <w:lang w:val="en-US" w:eastAsia="zh-CN"/>
        </w:rPr>
        <w:t>汇川大道</w:t>
      </w:r>
      <w:r>
        <w:rPr>
          <w:rFonts w:hint="eastAsia" w:eastAsia="宋体"/>
          <w:sz w:val="24"/>
        </w:rPr>
        <w:t>。</w:t>
      </w:r>
    </w:p>
    <w:p w14:paraId="064613DA">
      <w:pPr>
        <w:pStyle w:val="29"/>
      </w:pPr>
    </w:p>
    <w:p w14:paraId="0218D626">
      <w:pPr>
        <w:spacing w:line="360" w:lineRule="auto"/>
        <w:ind w:firstLine="482" w:firstLineChars="200"/>
        <w:outlineLvl w:val="1"/>
        <w:rPr>
          <w:rFonts w:hint="eastAsia" w:eastAsia="宋体"/>
          <w:b/>
          <w:sz w:val="24"/>
        </w:rPr>
      </w:pPr>
      <w:r>
        <w:rPr>
          <w:rFonts w:hint="eastAsia" w:eastAsia="宋体"/>
          <w:b/>
          <w:sz w:val="24"/>
        </w:rPr>
        <w:t>二、物业服务范围</w:t>
      </w:r>
    </w:p>
    <w:p w14:paraId="0E0C7A9F">
      <w:pPr>
        <w:spacing w:line="500" w:lineRule="exact"/>
        <w:ind w:firstLine="600" w:firstLineChars="250"/>
        <w:rPr>
          <w:sz w:val="24"/>
        </w:rPr>
      </w:pPr>
      <w:r>
        <w:rPr>
          <w:rFonts w:hint="eastAsia"/>
          <w:sz w:val="24"/>
        </w:rPr>
        <w:t>物业服务范围包括遵义市中级人民法院办公大楼及院落、法官培训中心第五层及</w:t>
      </w:r>
      <w:r>
        <w:rPr>
          <w:rFonts w:hint="eastAsia"/>
          <w:sz w:val="24"/>
          <w:lang w:val="en-US" w:eastAsia="zh-CN"/>
        </w:rPr>
        <w:t>周边</w:t>
      </w:r>
      <w:r>
        <w:rPr>
          <w:rFonts w:hint="eastAsia"/>
          <w:sz w:val="24"/>
        </w:rPr>
        <w:t>区域。</w:t>
      </w:r>
    </w:p>
    <w:p w14:paraId="086D0875">
      <w:pPr>
        <w:pStyle w:val="29"/>
      </w:pPr>
    </w:p>
    <w:p w14:paraId="0A3D894E">
      <w:pPr>
        <w:spacing w:line="360" w:lineRule="auto"/>
        <w:ind w:firstLine="482" w:firstLineChars="200"/>
        <w:outlineLvl w:val="1"/>
        <w:rPr>
          <w:rFonts w:hint="eastAsia" w:eastAsia="宋体"/>
          <w:b/>
          <w:sz w:val="24"/>
        </w:rPr>
      </w:pPr>
      <w:r>
        <w:rPr>
          <w:rFonts w:hint="eastAsia" w:eastAsia="宋体"/>
          <w:b/>
          <w:sz w:val="24"/>
        </w:rPr>
        <w:t>三、物业服务内容</w:t>
      </w:r>
    </w:p>
    <w:p w14:paraId="6A937E3D">
      <w:pPr>
        <w:spacing w:line="500" w:lineRule="exact"/>
        <w:ind w:firstLine="600" w:firstLineChars="250"/>
        <w:rPr>
          <w:sz w:val="24"/>
        </w:rPr>
      </w:pPr>
      <w:r>
        <w:rPr>
          <w:rFonts w:hint="eastAsia"/>
          <w:sz w:val="24"/>
        </w:rPr>
        <w:t>1</w:t>
      </w:r>
      <w:r>
        <w:rPr>
          <w:rFonts w:hint="eastAsia"/>
          <w:sz w:val="24"/>
          <w:lang w:eastAsia="zh-CN"/>
        </w:rPr>
        <w:t>、</w:t>
      </w:r>
      <w:r>
        <w:rPr>
          <w:rFonts w:hint="eastAsia"/>
          <w:sz w:val="24"/>
        </w:rPr>
        <w:t>遵义中级人民法院红线范围内的公共秩序维护、庭审秩序维护、物业管理区域的日常安全巡查服务、车辆停放管理服务；</w:t>
      </w:r>
    </w:p>
    <w:p w14:paraId="59123D04">
      <w:pPr>
        <w:spacing w:line="500" w:lineRule="exact"/>
        <w:ind w:firstLine="600" w:firstLineChars="250"/>
        <w:rPr>
          <w:sz w:val="24"/>
        </w:rPr>
      </w:pPr>
      <w:r>
        <w:rPr>
          <w:rFonts w:hint="eastAsia"/>
          <w:sz w:val="24"/>
        </w:rPr>
        <w:t>2</w:t>
      </w:r>
      <w:r>
        <w:rPr>
          <w:rFonts w:hint="eastAsia"/>
          <w:sz w:val="24"/>
          <w:lang w:eastAsia="zh-CN"/>
        </w:rPr>
        <w:t>、</w:t>
      </w:r>
      <w:r>
        <w:rPr>
          <w:rFonts w:hint="eastAsia"/>
          <w:sz w:val="24"/>
        </w:rPr>
        <w:t>物业管理区域内物业共用部位，共用设施设备及场所的使用管理及维修养护；</w:t>
      </w:r>
    </w:p>
    <w:p w14:paraId="534979A4">
      <w:pPr>
        <w:spacing w:line="500" w:lineRule="exact"/>
        <w:ind w:firstLine="600" w:firstLineChars="250"/>
        <w:rPr>
          <w:sz w:val="24"/>
        </w:rPr>
      </w:pPr>
      <w:r>
        <w:rPr>
          <w:rFonts w:hint="eastAsia"/>
          <w:sz w:val="24"/>
        </w:rPr>
        <w:t>3</w:t>
      </w:r>
      <w:r>
        <w:rPr>
          <w:rFonts w:hint="eastAsia"/>
          <w:sz w:val="24"/>
          <w:lang w:eastAsia="zh-CN"/>
        </w:rPr>
        <w:t>、</w:t>
      </w:r>
      <w:r>
        <w:rPr>
          <w:rFonts w:hint="eastAsia"/>
          <w:sz w:val="24"/>
        </w:rPr>
        <w:t>物业管理区域内物业共用部位、共用设施设备和相关场地保洁服务及消杀服务；</w:t>
      </w:r>
    </w:p>
    <w:p w14:paraId="67E4DC16">
      <w:pPr>
        <w:spacing w:line="500" w:lineRule="exact"/>
        <w:ind w:firstLine="600" w:firstLineChars="250"/>
        <w:rPr>
          <w:sz w:val="24"/>
        </w:rPr>
      </w:pPr>
      <w:r>
        <w:rPr>
          <w:rFonts w:hint="eastAsia"/>
          <w:sz w:val="24"/>
        </w:rPr>
        <w:t>4</w:t>
      </w:r>
      <w:r>
        <w:rPr>
          <w:rFonts w:hint="eastAsia"/>
          <w:sz w:val="24"/>
          <w:lang w:eastAsia="zh-CN"/>
        </w:rPr>
        <w:t>、</w:t>
      </w:r>
      <w:r>
        <w:rPr>
          <w:rFonts w:hint="eastAsia"/>
          <w:sz w:val="24"/>
        </w:rPr>
        <w:t>会务服务；</w:t>
      </w:r>
    </w:p>
    <w:p w14:paraId="32333EF1">
      <w:pPr>
        <w:pStyle w:val="29"/>
      </w:pPr>
    </w:p>
    <w:p w14:paraId="306428AD">
      <w:pPr>
        <w:spacing w:line="360" w:lineRule="auto"/>
        <w:ind w:firstLine="482" w:firstLineChars="200"/>
        <w:outlineLvl w:val="1"/>
        <w:rPr>
          <w:rFonts w:hint="eastAsia" w:eastAsia="宋体"/>
          <w:b/>
          <w:sz w:val="24"/>
        </w:rPr>
      </w:pPr>
      <w:r>
        <w:rPr>
          <w:rFonts w:hint="eastAsia" w:eastAsia="宋体"/>
          <w:b/>
          <w:sz w:val="24"/>
        </w:rPr>
        <w:t>四、投标人资格要求</w:t>
      </w:r>
    </w:p>
    <w:p w14:paraId="66918FEC">
      <w:pPr>
        <w:spacing w:line="500" w:lineRule="exact"/>
        <w:ind w:firstLine="600" w:firstLineChars="250"/>
        <w:rPr>
          <w:sz w:val="24"/>
        </w:rPr>
      </w:pPr>
      <w:r>
        <w:rPr>
          <w:rFonts w:hint="eastAsia"/>
          <w:sz w:val="24"/>
        </w:rPr>
        <w:t>（一）一般资格要求</w:t>
      </w:r>
    </w:p>
    <w:p w14:paraId="4434A702">
      <w:pPr>
        <w:spacing w:line="500" w:lineRule="exact"/>
        <w:ind w:firstLine="600" w:firstLineChars="250"/>
        <w:rPr>
          <w:rFonts w:hint="eastAsia"/>
          <w:sz w:val="24"/>
        </w:rPr>
      </w:pPr>
      <w:r>
        <w:rPr>
          <w:rFonts w:hint="eastAsia"/>
          <w:sz w:val="24"/>
        </w:rPr>
        <w:t>1.供应商应满足《中华人民共和国政府采购法》第二十二条要求；</w:t>
      </w:r>
    </w:p>
    <w:p w14:paraId="2F2DD100">
      <w:pPr>
        <w:spacing w:line="500" w:lineRule="exact"/>
        <w:ind w:firstLine="600" w:firstLineChars="250"/>
        <w:rPr>
          <w:rFonts w:hint="eastAsia"/>
          <w:sz w:val="24"/>
          <w:lang w:val="en-US"/>
        </w:rPr>
      </w:pPr>
      <w:r>
        <w:rPr>
          <w:rFonts w:hint="eastAsia"/>
          <w:sz w:val="24"/>
          <w:lang w:val="en-US"/>
        </w:rPr>
        <w:t>(1)具有独立承担民事责任的能力；</w:t>
      </w:r>
    </w:p>
    <w:p w14:paraId="47B58818">
      <w:pPr>
        <w:spacing w:line="500" w:lineRule="exact"/>
        <w:ind w:firstLine="600" w:firstLineChars="250"/>
        <w:rPr>
          <w:rFonts w:hint="eastAsia"/>
          <w:sz w:val="24"/>
          <w:lang w:val="en-US"/>
        </w:rPr>
      </w:pPr>
      <w:r>
        <w:rPr>
          <w:rFonts w:hint="eastAsia"/>
          <w:sz w:val="24"/>
          <w:lang w:val="en-US"/>
        </w:rPr>
        <w:t>(2)具有健全的财务会计制度；</w:t>
      </w:r>
    </w:p>
    <w:p w14:paraId="2F5C4BC6">
      <w:pPr>
        <w:spacing w:line="500" w:lineRule="exact"/>
        <w:ind w:firstLine="600" w:firstLineChars="250"/>
        <w:rPr>
          <w:rFonts w:hint="eastAsia"/>
          <w:sz w:val="24"/>
          <w:lang w:val="en-US" w:eastAsia="zh-CN"/>
        </w:rPr>
      </w:pPr>
      <w:r>
        <w:rPr>
          <w:rFonts w:hint="eastAsia"/>
          <w:sz w:val="24"/>
          <w:lang w:val="en-US"/>
        </w:rPr>
        <w:t>(</w:t>
      </w:r>
      <w:r>
        <w:rPr>
          <w:rFonts w:hint="eastAsia"/>
          <w:sz w:val="24"/>
          <w:lang w:val="en-US" w:eastAsia="zh-CN"/>
        </w:rPr>
        <w:t>3</w:t>
      </w:r>
      <w:r>
        <w:rPr>
          <w:rFonts w:hint="eastAsia"/>
          <w:sz w:val="24"/>
          <w:lang w:val="en-US"/>
        </w:rPr>
        <w:t>)具有良好的商业信誉</w:t>
      </w:r>
      <w:r>
        <w:rPr>
          <w:rFonts w:hint="eastAsia"/>
          <w:sz w:val="24"/>
          <w:lang w:val="en-US" w:eastAsia="zh-CN"/>
        </w:rPr>
        <w:t>；</w:t>
      </w:r>
    </w:p>
    <w:p w14:paraId="535CBBCD">
      <w:pPr>
        <w:spacing w:line="500" w:lineRule="exact"/>
        <w:ind w:firstLine="600" w:firstLineChars="250"/>
        <w:rPr>
          <w:rFonts w:hint="eastAsia"/>
          <w:sz w:val="24"/>
          <w:lang w:val="en-US"/>
        </w:rPr>
      </w:pPr>
      <w:r>
        <w:rPr>
          <w:rFonts w:hint="eastAsia"/>
          <w:sz w:val="24"/>
          <w:lang w:val="en-US"/>
        </w:rPr>
        <w:t>(</w:t>
      </w:r>
      <w:r>
        <w:rPr>
          <w:rFonts w:hint="eastAsia"/>
          <w:sz w:val="24"/>
          <w:lang w:val="en-US" w:eastAsia="zh-CN"/>
        </w:rPr>
        <w:t>4</w:t>
      </w:r>
      <w:r>
        <w:rPr>
          <w:rFonts w:hint="eastAsia"/>
          <w:sz w:val="24"/>
          <w:lang w:val="en-US"/>
        </w:rPr>
        <w:t>)具有履行合同所必需的设备和专业技术能力；</w:t>
      </w:r>
    </w:p>
    <w:p w14:paraId="1B5396C0">
      <w:pPr>
        <w:spacing w:line="500" w:lineRule="exact"/>
        <w:ind w:firstLine="600" w:firstLineChars="250"/>
        <w:rPr>
          <w:rFonts w:hint="eastAsia"/>
          <w:sz w:val="24"/>
          <w:lang w:val="en-US"/>
        </w:rPr>
      </w:pPr>
      <w:r>
        <w:rPr>
          <w:rFonts w:hint="eastAsia"/>
          <w:sz w:val="24"/>
          <w:lang w:val="en-US"/>
        </w:rPr>
        <w:t>(</w:t>
      </w:r>
      <w:r>
        <w:rPr>
          <w:rFonts w:hint="eastAsia"/>
          <w:sz w:val="24"/>
          <w:lang w:val="en-US" w:eastAsia="zh-CN"/>
        </w:rPr>
        <w:t>5</w:t>
      </w:r>
      <w:r>
        <w:rPr>
          <w:rFonts w:hint="eastAsia"/>
          <w:sz w:val="24"/>
          <w:lang w:val="en-US"/>
        </w:rPr>
        <w:t>)具有依法缴纳税收</w:t>
      </w:r>
      <w:r>
        <w:rPr>
          <w:rFonts w:hint="eastAsia"/>
          <w:sz w:val="24"/>
          <w:lang w:val="en-US" w:eastAsia="zh-CN"/>
        </w:rPr>
        <w:t>和</w:t>
      </w:r>
      <w:r>
        <w:rPr>
          <w:rFonts w:hint="eastAsia"/>
          <w:sz w:val="24"/>
          <w:lang w:val="en-US"/>
        </w:rPr>
        <w:t>社会保障资金的良好记录；</w:t>
      </w:r>
    </w:p>
    <w:p w14:paraId="55835A1D">
      <w:pPr>
        <w:spacing w:line="500" w:lineRule="exact"/>
        <w:ind w:firstLine="600" w:firstLineChars="250"/>
        <w:rPr>
          <w:rFonts w:hint="eastAsia" w:eastAsia="宋体"/>
          <w:sz w:val="24"/>
          <w:lang w:val="en-US" w:eastAsia="zh-CN"/>
        </w:rPr>
      </w:pPr>
      <w:r>
        <w:rPr>
          <w:rFonts w:hint="eastAsia"/>
          <w:sz w:val="24"/>
          <w:lang w:val="en-US"/>
        </w:rPr>
        <w:t>(</w:t>
      </w:r>
      <w:r>
        <w:rPr>
          <w:rFonts w:hint="eastAsia"/>
          <w:sz w:val="24"/>
          <w:lang w:val="en-US" w:eastAsia="zh-CN"/>
        </w:rPr>
        <w:t>6</w:t>
      </w:r>
      <w:r>
        <w:rPr>
          <w:rFonts w:hint="eastAsia"/>
          <w:sz w:val="24"/>
          <w:lang w:val="en-US"/>
        </w:rPr>
        <w:t>)参加此项采购活动前三年内，在经营活动中没有重大违法记录</w:t>
      </w:r>
      <w:r>
        <w:rPr>
          <w:rFonts w:hint="eastAsia"/>
          <w:sz w:val="24"/>
          <w:lang w:val="en-US" w:eastAsia="zh-CN"/>
        </w:rPr>
        <w:t>。</w:t>
      </w:r>
    </w:p>
    <w:p w14:paraId="449EBC61">
      <w:pPr>
        <w:spacing w:line="500" w:lineRule="exact"/>
        <w:ind w:firstLine="600" w:firstLineChars="250"/>
        <w:rPr>
          <w:sz w:val="24"/>
        </w:rPr>
      </w:pPr>
      <w:r>
        <w:rPr>
          <w:rFonts w:hint="eastAsia"/>
          <w:sz w:val="24"/>
        </w:rPr>
        <w:t>（二）特殊资格要求：无</w:t>
      </w:r>
    </w:p>
    <w:p w14:paraId="3D5B36C4">
      <w:pPr>
        <w:spacing w:line="500" w:lineRule="exact"/>
        <w:ind w:firstLine="600" w:firstLineChars="250"/>
        <w:rPr>
          <w:sz w:val="24"/>
        </w:rPr>
      </w:pPr>
      <w:r>
        <w:rPr>
          <w:rFonts w:hint="eastAsia"/>
          <w:sz w:val="24"/>
        </w:rPr>
        <w:t>（三）本项目不接受任何形式的联合体投标。</w:t>
      </w:r>
    </w:p>
    <w:p w14:paraId="48BE58B7">
      <w:pPr>
        <w:pStyle w:val="29"/>
      </w:pPr>
    </w:p>
    <w:p w14:paraId="2375B9A8">
      <w:pPr>
        <w:spacing w:line="360" w:lineRule="auto"/>
        <w:ind w:firstLine="482" w:firstLineChars="200"/>
        <w:outlineLvl w:val="1"/>
        <w:rPr>
          <w:rFonts w:hint="eastAsia" w:eastAsia="宋体"/>
          <w:b/>
          <w:sz w:val="24"/>
        </w:rPr>
      </w:pPr>
      <w:r>
        <w:rPr>
          <w:rFonts w:hint="eastAsia" w:eastAsia="宋体"/>
          <w:b/>
          <w:sz w:val="24"/>
          <w:lang w:val="en-US" w:eastAsia="zh-CN"/>
        </w:rPr>
        <w:t>五、</w:t>
      </w:r>
      <w:r>
        <w:rPr>
          <w:rFonts w:hint="eastAsia" w:eastAsia="宋体"/>
          <w:b/>
          <w:sz w:val="24"/>
        </w:rPr>
        <w:t>服务期限</w:t>
      </w:r>
    </w:p>
    <w:p w14:paraId="65CD48AF">
      <w:pPr>
        <w:spacing w:line="50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服务期限三年，合同一年一签，各项服务目标满意率达90％以上可续签下一年合同。</w:t>
      </w:r>
    </w:p>
    <w:p w14:paraId="46918D77">
      <w:pPr>
        <w:spacing w:line="360" w:lineRule="auto"/>
        <w:ind w:firstLine="482" w:firstLineChars="200"/>
        <w:outlineLvl w:val="1"/>
        <w:rPr>
          <w:rFonts w:hint="eastAsia" w:eastAsia="宋体"/>
          <w:b/>
          <w:sz w:val="24"/>
          <w:lang w:val="en-US" w:eastAsia="zh-CN"/>
        </w:rPr>
      </w:pPr>
      <w:r>
        <w:rPr>
          <w:rFonts w:hint="eastAsia" w:eastAsia="宋体"/>
          <w:b/>
          <w:sz w:val="24"/>
          <w:lang w:val="en-US" w:eastAsia="zh-CN"/>
        </w:rPr>
        <w:t>六、物业服务费用</w:t>
      </w:r>
    </w:p>
    <w:p w14:paraId="1C1373D2">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物业服务费用包含</w:t>
      </w:r>
      <w:r>
        <w:rPr>
          <w:rFonts w:hint="eastAsia" w:ascii="宋体" w:hAnsi="宋体" w:eastAsia="宋体" w:cs="宋体"/>
          <w:sz w:val="24"/>
          <w:szCs w:val="24"/>
        </w:rPr>
        <w:t>：物业服务成本、企业管理费用及利润、税金组成。物业服务成本包含物业服务人员工资</w:t>
      </w:r>
      <w:r>
        <w:rPr>
          <w:rFonts w:hint="eastAsia" w:eastAsia="宋体" w:cs="宋体"/>
          <w:sz w:val="24"/>
          <w:szCs w:val="24"/>
          <w:lang w:eastAsia="zh-CN"/>
        </w:rPr>
        <w:t>、</w:t>
      </w:r>
      <w:r>
        <w:rPr>
          <w:rFonts w:hint="eastAsia" w:eastAsia="宋体" w:cs="宋体"/>
          <w:sz w:val="24"/>
          <w:szCs w:val="24"/>
          <w:lang w:val="en-US" w:eastAsia="zh-CN"/>
        </w:rPr>
        <w:t>社保</w:t>
      </w:r>
      <w:r>
        <w:rPr>
          <w:rFonts w:hint="eastAsia" w:ascii="宋体" w:hAnsi="宋体" w:eastAsia="宋体" w:cs="宋体"/>
          <w:sz w:val="24"/>
          <w:szCs w:val="24"/>
        </w:rPr>
        <w:t>、</w:t>
      </w:r>
      <w:r>
        <w:rPr>
          <w:rFonts w:hint="eastAsia" w:ascii="宋体" w:hAnsi="宋体" w:eastAsia="宋体" w:cs="宋体"/>
          <w:sz w:val="24"/>
          <w:szCs w:val="24"/>
          <w:lang w:val="en-US" w:eastAsia="zh-CN"/>
        </w:rPr>
        <w:t>餐费、工会费、节假日加班费、</w:t>
      </w:r>
      <w:r>
        <w:rPr>
          <w:rFonts w:hint="eastAsia" w:ascii="宋体" w:hAnsi="宋体" w:eastAsia="宋体" w:cs="宋体"/>
          <w:sz w:val="24"/>
          <w:szCs w:val="24"/>
        </w:rPr>
        <w:t>行政办公费、环境消杀费用、物资折旧与摊销、不可预见费等。</w:t>
      </w:r>
    </w:p>
    <w:p w14:paraId="5BCE9E84">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费用不包含公共能耗、日常清洁耗材、外墙清洗、绿化养护材料、室内绿化租摆、专项消杀费及维修材料费、电梯保养及年检费、垃圾外运费、化粪池清掏费、专项设施设备的维保、年检费（包含空调、消防、污水处理）。</w:t>
      </w:r>
    </w:p>
    <w:p w14:paraId="09FC13A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如遇社保及遵义市最低工资标准调整的，由采购方根据国家相关规定及标准进行调整。</w:t>
      </w:r>
    </w:p>
    <w:p w14:paraId="5CF6B0DD">
      <w:pPr>
        <w:pStyle w:val="2"/>
        <w:rPr>
          <w:rFonts w:hint="eastAsia" w:ascii="宋体" w:hAnsi="宋体" w:eastAsia="宋体" w:cs="宋体"/>
          <w:sz w:val="24"/>
          <w:szCs w:val="24"/>
        </w:rPr>
      </w:pPr>
    </w:p>
    <w:p w14:paraId="0D26C8C7">
      <w:pPr>
        <w:spacing w:line="360" w:lineRule="auto"/>
        <w:ind w:firstLine="482" w:firstLineChars="200"/>
        <w:outlineLvl w:val="1"/>
        <w:rPr>
          <w:rFonts w:hint="eastAsia" w:eastAsia="宋体"/>
          <w:b/>
          <w:sz w:val="24"/>
        </w:rPr>
      </w:pPr>
      <w:r>
        <w:rPr>
          <w:rFonts w:hint="eastAsia" w:eastAsia="宋体"/>
          <w:b/>
          <w:sz w:val="24"/>
          <w:lang w:val="en-US" w:eastAsia="zh-CN"/>
        </w:rPr>
        <w:t>七、</w:t>
      </w:r>
      <w:r>
        <w:rPr>
          <w:rFonts w:hint="eastAsia" w:eastAsia="宋体"/>
          <w:b/>
          <w:sz w:val="24"/>
        </w:rPr>
        <w:t>付款方式</w:t>
      </w:r>
    </w:p>
    <w:p w14:paraId="31943F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F0F0F"/>
          <w:sz w:val="24"/>
          <w:szCs w:val="24"/>
        </w:rPr>
      </w:pPr>
      <w:r>
        <w:rPr>
          <w:rFonts w:hint="eastAsia" w:ascii="宋体" w:hAnsi="宋体" w:eastAsia="宋体" w:cs="宋体"/>
          <w:color w:val="0F0F0F"/>
          <w:sz w:val="24"/>
          <w:szCs w:val="24"/>
        </w:rPr>
        <w:t>物业服务达到标准，按月度支付（每月的物业服务费用，月服务完成后的次月支付，具体支付时间合同中约定）。（签订合同后，采购方按合同内容中考核标准进行付款，根据考核标准的的履约情况，院方有权终止合同。）。</w:t>
      </w:r>
    </w:p>
    <w:p w14:paraId="5F647508">
      <w:pPr>
        <w:spacing w:line="360" w:lineRule="auto"/>
        <w:ind w:firstLine="482" w:firstLineChars="200"/>
        <w:outlineLvl w:val="1"/>
        <w:rPr>
          <w:rFonts w:hint="eastAsia" w:eastAsia="宋体"/>
          <w:b/>
          <w:sz w:val="24"/>
        </w:rPr>
      </w:pPr>
      <w:r>
        <w:rPr>
          <w:rFonts w:hint="eastAsia" w:eastAsia="宋体"/>
          <w:b/>
          <w:sz w:val="24"/>
          <w:lang w:val="en-US" w:eastAsia="zh-CN"/>
        </w:rPr>
        <w:t>八、</w:t>
      </w:r>
      <w:r>
        <w:rPr>
          <w:rFonts w:hint="eastAsia" w:eastAsia="宋体"/>
          <w:b/>
          <w:sz w:val="24"/>
        </w:rPr>
        <w:t>其他</w:t>
      </w:r>
    </w:p>
    <w:p w14:paraId="12781A3C">
      <w:pPr>
        <w:adjustRightInd w:val="0"/>
        <w:spacing w:line="500" w:lineRule="exact"/>
        <w:ind w:firstLine="600" w:firstLineChars="25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物业管理公司负责所有员工的招聘、培训和工作安排，承担所有员工工资、福利、社会保险等费用。</w:t>
      </w:r>
    </w:p>
    <w:p w14:paraId="22C91AF5">
      <w:pPr>
        <w:adjustRightInd w:val="0"/>
        <w:spacing w:line="500" w:lineRule="exact"/>
        <w:ind w:firstLine="600" w:firstLineChars="25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物业管理公司与所属员工之间发生的劳务纠纷与劳动争议与采购方无关。</w:t>
      </w:r>
    </w:p>
    <w:p w14:paraId="7F15D874">
      <w:pPr>
        <w:adjustRightInd w:val="0"/>
        <w:spacing w:line="500" w:lineRule="exact"/>
        <w:ind w:firstLine="600" w:firstLineChars="25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物业管理公司须抓好安全管理，在工作中出现安全事故，由物业管理公司自行负责，与采购方无关。</w:t>
      </w:r>
    </w:p>
    <w:p w14:paraId="2A2F8208">
      <w:pPr>
        <w:adjustRightInd w:val="0"/>
        <w:spacing w:line="500" w:lineRule="exact"/>
        <w:ind w:firstLine="600" w:firstLineChars="25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采购方给物业管理公司提供必要的办公场地。</w:t>
      </w:r>
    </w:p>
    <w:p w14:paraId="0EAE9B87">
      <w:pPr>
        <w:adjustRightInd w:val="0"/>
        <w:spacing w:line="500" w:lineRule="exact"/>
        <w:ind w:firstLine="600" w:firstLineChars="25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物业管理公司须严格遵守《遵义市中级人民法院安全考核内容及评分细则》、《遵义市中级人民法院管理服务中心卫生考核内容及评分细则》等有关规章制度，按照需求，双方共同制订和完善作业规程，向法院提供合格优质的服务。</w:t>
      </w:r>
    </w:p>
    <w:p w14:paraId="384A28F3">
      <w:pPr>
        <w:adjustRightInd w:val="0"/>
        <w:spacing w:line="500" w:lineRule="exact"/>
        <w:ind w:firstLine="600" w:firstLineChars="25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法院有权对不履行合同或违反法院管理规定的物业管理公司员工提出警告，并及时通知物业管理公司，督促物业管理公司处理，如给法院名誉和经济造成损失的，将保留追究物业管理公司相关责任或赔偿的权利。</w:t>
      </w:r>
    </w:p>
    <w:p w14:paraId="1E48F157">
      <w:pPr>
        <w:adjustRightInd w:val="0"/>
        <w:spacing w:line="500" w:lineRule="exact"/>
        <w:ind w:firstLine="600" w:firstLineChars="25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物业管理公司必须配合法院完成各项活动及相关临时性工作任务。</w:t>
      </w:r>
    </w:p>
    <w:p w14:paraId="12606C22">
      <w:pPr>
        <w:adjustRightInd w:val="0"/>
        <w:spacing w:line="500" w:lineRule="exact"/>
        <w:ind w:firstLine="600" w:firstLineChars="25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如遇水、电设备、设施故障、发生火灾等意外情况，物业管理公司须及时报告法院院并通知相关应急部门,积极参加抢救抢险工作。</w:t>
      </w:r>
    </w:p>
    <w:p w14:paraId="1FB2DA5F">
      <w:pPr>
        <w:spacing w:line="500" w:lineRule="exact"/>
        <w:ind w:firstLine="600" w:firstLineChars="250"/>
        <w:rPr>
          <w:sz w:val="24"/>
        </w:rPr>
      </w:pPr>
    </w:p>
    <w:p w14:paraId="2A71C7F9">
      <w:pPr>
        <w:pStyle w:val="29"/>
      </w:pPr>
    </w:p>
    <w:p w14:paraId="7282F40C">
      <w:pPr>
        <w:spacing w:line="500" w:lineRule="exact"/>
        <w:ind w:firstLine="600" w:firstLineChars="250"/>
        <w:rPr>
          <w:sz w:val="24"/>
        </w:rPr>
      </w:pPr>
    </w:p>
    <w:p w14:paraId="006AF29A">
      <w:pPr>
        <w:pStyle w:val="29"/>
      </w:pPr>
    </w:p>
    <w:p w14:paraId="2608DD78">
      <w:pPr>
        <w:pStyle w:val="29"/>
        <w:jc w:val="center"/>
        <w:outlineLvl w:val="0"/>
        <w:rPr>
          <w:b/>
          <w:sz w:val="30"/>
          <w:szCs w:val="30"/>
        </w:rPr>
      </w:pPr>
      <w:r>
        <w:br w:type="page"/>
      </w:r>
      <w:bookmarkStart w:id="0" w:name="_Toc15881"/>
      <w:r>
        <w:rPr>
          <w:rFonts w:hint="eastAsia"/>
          <w:b/>
          <w:sz w:val="30"/>
          <w:szCs w:val="30"/>
        </w:rPr>
        <w:t>第二节</w:t>
      </w:r>
      <w:r>
        <w:rPr>
          <w:rFonts w:hint="eastAsia"/>
          <w:b/>
          <w:sz w:val="30"/>
          <w:szCs w:val="30"/>
          <w:lang w:val="en-US" w:eastAsia="zh-CN"/>
        </w:rPr>
        <w:t xml:space="preserve"> </w:t>
      </w:r>
      <w:r>
        <w:rPr>
          <w:rFonts w:hint="eastAsia"/>
          <w:b/>
          <w:sz w:val="30"/>
          <w:szCs w:val="30"/>
        </w:rPr>
        <w:t>技术要求</w:t>
      </w:r>
      <w:bookmarkEnd w:id="0"/>
    </w:p>
    <w:p w14:paraId="1314FC66">
      <w:pPr>
        <w:spacing w:line="360" w:lineRule="auto"/>
        <w:ind w:firstLine="482" w:firstLineChars="200"/>
        <w:outlineLvl w:val="1"/>
        <w:rPr>
          <w:rFonts w:hint="eastAsia" w:eastAsia="宋体"/>
          <w:b/>
          <w:sz w:val="24"/>
        </w:rPr>
      </w:pPr>
      <w:r>
        <w:rPr>
          <w:rFonts w:hint="eastAsia" w:eastAsia="宋体"/>
          <w:b/>
          <w:sz w:val="24"/>
        </w:rPr>
        <w:t xml:space="preserve">一、项目基本情况 </w:t>
      </w:r>
    </w:p>
    <w:p w14:paraId="6B14E647">
      <w:pPr>
        <w:spacing w:line="360" w:lineRule="auto"/>
        <w:ind w:firstLine="480" w:firstLineChars="200"/>
        <w:rPr>
          <w:sz w:val="24"/>
        </w:rPr>
      </w:pPr>
      <w:r>
        <w:rPr>
          <w:rFonts w:hint="eastAsia"/>
          <w:sz w:val="24"/>
        </w:rPr>
        <w:t>1.坐落位置：汇川区汇川大道中段。</w:t>
      </w:r>
    </w:p>
    <w:p w14:paraId="1B0C5359">
      <w:pPr>
        <w:spacing w:line="360" w:lineRule="auto"/>
        <w:ind w:firstLine="480" w:firstLineChars="200"/>
        <w:rPr>
          <w:sz w:val="24"/>
        </w:rPr>
      </w:pPr>
      <w:r>
        <w:rPr>
          <w:rFonts w:hint="eastAsia"/>
          <w:sz w:val="24"/>
        </w:rPr>
        <w:t>2.占地面积：37.58亩。</w:t>
      </w:r>
    </w:p>
    <w:p w14:paraId="57D22B12">
      <w:pPr>
        <w:spacing w:line="360" w:lineRule="auto"/>
        <w:ind w:firstLine="480" w:firstLineChars="200"/>
        <w:rPr>
          <w:sz w:val="24"/>
        </w:rPr>
      </w:pPr>
      <w:r>
        <w:rPr>
          <w:rFonts w:hint="eastAsia"/>
          <w:sz w:val="24"/>
        </w:rPr>
        <w:t>3.总建筑面积：32000平方米。</w:t>
      </w:r>
    </w:p>
    <w:p w14:paraId="39831D75">
      <w:pPr>
        <w:spacing w:line="360" w:lineRule="auto"/>
        <w:ind w:firstLine="480" w:firstLineChars="200"/>
        <w:rPr>
          <w:sz w:val="24"/>
        </w:rPr>
      </w:pPr>
      <w:r>
        <w:rPr>
          <w:rFonts w:hint="eastAsia"/>
          <w:sz w:val="24"/>
        </w:rPr>
        <w:t>4.建筑高度：47.3米。</w:t>
      </w:r>
    </w:p>
    <w:p w14:paraId="6EEE27B1">
      <w:pPr>
        <w:spacing w:line="360" w:lineRule="auto"/>
        <w:ind w:firstLine="480" w:firstLineChars="200"/>
        <w:rPr>
          <w:sz w:val="24"/>
        </w:rPr>
      </w:pPr>
      <w:r>
        <w:rPr>
          <w:rFonts w:hint="eastAsia"/>
          <w:sz w:val="24"/>
        </w:rPr>
        <w:t>5.建筑层数：地下1层；地上10层。</w:t>
      </w:r>
    </w:p>
    <w:p w14:paraId="5979D48E">
      <w:pPr>
        <w:spacing w:line="360" w:lineRule="auto"/>
        <w:ind w:firstLine="480" w:firstLineChars="200"/>
        <w:rPr>
          <w:sz w:val="24"/>
        </w:rPr>
      </w:pPr>
      <w:r>
        <w:rPr>
          <w:rFonts w:hint="eastAsia"/>
          <w:sz w:val="24"/>
        </w:rPr>
        <w:t>6.主楼为行政办公区、左侧副楼为立案接访区、右侧副楼为审判法庭区、右后侧副楼为法官培训中心。</w:t>
      </w:r>
    </w:p>
    <w:p w14:paraId="1D1E3D49">
      <w:pPr>
        <w:spacing w:line="360" w:lineRule="auto"/>
        <w:ind w:firstLine="480" w:firstLineChars="200"/>
        <w:rPr>
          <w:sz w:val="24"/>
        </w:rPr>
      </w:pPr>
      <w:r>
        <w:rPr>
          <w:rFonts w:hint="eastAsia"/>
          <w:sz w:val="24"/>
        </w:rPr>
        <w:t>7.停车位数量：地下车库140个车位。</w:t>
      </w:r>
    </w:p>
    <w:p w14:paraId="7084CE44">
      <w:pPr>
        <w:spacing w:line="360" w:lineRule="auto"/>
        <w:ind w:firstLine="480" w:firstLineChars="200"/>
        <w:rPr>
          <w:sz w:val="24"/>
        </w:rPr>
      </w:pPr>
      <w:r>
        <w:rPr>
          <w:rFonts w:hint="eastAsia"/>
          <w:sz w:val="24"/>
        </w:rPr>
        <w:t>8.大楼有7部电梯。</w:t>
      </w:r>
    </w:p>
    <w:p w14:paraId="3F0715AC">
      <w:pPr>
        <w:spacing w:line="360" w:lineRule="auto"/>
        <w:ind w:firstLine="480" w:firstLineChars="200"/>
        <w:rPr>
          <w:sz w:val="24"/>
        </w:rPr>
      </w:pPr>
      <w:r>
        <w:rPr>
          <w:rFonts w:hint="eastAsia"/>
          <w:sz w:val="24"/>
        </w:rPr>
        <w:t>9.楼内设有中央空调。</w:t>
      </w:r>
    </w:p>
    <w:p w14:paraId="167C7CA4">
      <w:pPr>
        <w:spacing w:line="360" w:lineRule="auto"/>
        <w:ind w:firstLine="480" w:firstLineChars="200"/>
        <w:rPr>
          <w:sz w:val="24"/>
        </w:rPr>
      </w:pPr>
    </w:p>
    <w:p w14:paraId="64683C9C">
      <w:pPr>
        <w:spacing w:line="360" w:lineRule="auto"/>
        <w:ind w:firstLine="482" w:firstLineChars="200"/>
        <w:outlineLvl w:val="1"/>
        <w:rPr>
          <w:rFonts w:hint="eastAsia" w:eastAsia="宋体"/>
          <w:b/>
          <w:sz w:val="24"/>
        </w:rPr>
      </w:pPr>
      <w:r>
        <w:rPr>
          <w:rFonts w:hint="eastAsia" w:eastAsia="宋体"/>
          <w:b/>
          <w:sz w:val="24"/>
        </w:rPr>
        <w:t>二、物业服务范围</w:t>
      </w:r>
    </w:p>
    <w:p w14:paraId="650DE3D7">
      <w:pPr>
        <w:spacing w:line="500" w:lineRule="exact"/>
        <w:ind w:firstLine="600" w:firstLineChars="250"/>
        <w:rPr>
          <w:sz w:val="24"/>
        </w:rPr>
      </w:pPr>
      <w:r>
        <w:rPr>
          <w:rFonts w:hint="eastAsia"/>
          <w:sz w:val="24"/>
        </w:rPr>
        <w:t>物业服务范围包括遵义市中级人民法院办公大楼及院落、法官培训中心第五层及周边区域。</w:t>
      </w:r>
    </w:p>
    <w:p w14:paraId="72E88350">
      <w:pPr>
        <w:pStyle w:val="29"/>
      </w:pPr>
    </w:p>
    <w:p w14:paraId="3A665FD7">
      <w:pPr>
        <w:spacing w:line="360" w:lineRule="auto"/>
        <w:ind w:firstLine="482" w:firstLineChars="200"/>
        <w:outlineLvl w:val="1"/>
        <w:rPr>
          <w:rFonts w:hint="eastAsia" w:eastAsia="宋体"/>
          <w:b/>
          <w:sz w:val="24"/>
        </w:rPr>
      </w:pPr>
      <w:r>
        <w:rPr>
          <w:rFonts w:hint="eastAsia" w:eastAsia="宋体"/>
          <w:b/>
          <w:sz w:val="24"/>
        </w:rPr>
        <w:t>三、物业服务内容</w:t>
      </w:r>
    </w:p>
    <w:p w14:paraId="6E9A6472">
      <w:pPr>
        <w:spacing w:line="360" w:lineRule="auto"/>
        <w:ind w:firstLine="480" w:firstLineChars="200"/>
        <w:rPr>
          <w:sz w:val="24"/>
        </w:rPr>
      </w:pPr>
      <w:r>
        <w:rPr>
          <w:rFonts w:hint="eastAsia"/>
          <w:sz w:val="24"/>
        </w:rPr>
        <w:t>1）遵义中级人民法院红线范围内的公共秩序维护、庭审秩序维护、物业管理区域的日常安全巡查服务、车辆停放管理服务；</w:t>
      </w:r>
    </w:p>
    <w:p w14:paraId="64C440B9">
      <w:pPr>
        <w:spacing w:line="360" w:lineRule="auto"/>
        <w:ind w:firstLine="480" w:firstLineChars="200"/>
        <w:rPr>
          <w:sz w:val="24"/>
        </w:rPr>
      </w:pPr>
      <w:r>
        <w:rPr>
          <w:rFonts w:hint="eastAsia"/>
          <w:sz w:val="24"/>
        </w:rPr>
        <w:t>2）物业管理区域内物业共用部位，共用设施设备及场所的使用管理及维修养护；</w:t>
      </w:r>
    </w:p>
    <w:p w14:paraId="75A0F9A0">
      <w:pPr>
        <w:spacing w:line="360" w:lineRule="auto"/>
        <w:ind w:firstLine="480" w:firstLineChars="200"/>
        <w:rPr>
          <w:sz w:val="24"/>
        </w:rPr>
      </w:pPr>
      <w:r>
        <w:rPr>
          <w:rFonts w:hint="eastAsia"/>
          <w:sz w:val="24"/>
        </w:rPr>
        <w:t>3）物业管理区域内物业共用部位、共用设施设备和相关场地保洁服务及消杀服务；</w:t>
      </w:r>
    </w:p>
    <w:p w14:paraId="37F7C058">
      <w:pPr>
        <w:spacing w:line="360" w:lineRule="auto"/>
        <w:ind w:firstLine="480" w:firstLineChars="200"/>
        <w:rPr>
          <w:sz w:val="24"/>
        </w:rPr>
      </w:pPr>
      <w:r>
        <w:rPr>
          <w:rFonts w:hint="eastAsia"/>
          <w:sz w:val="24"/>
        </w:rPr>
        <w:t>4）会务服务；</w:t>
      </w:r>
    </w:p>
    <w:p w14:paraId="662734EF">
      <w:pPr>
        <w:pStyle w:val="29"/>
      </w:pPr>
    </w:p>
    <w:p w14:paraId="36C904F0">
      <w:pPr>
        <w:spacing w:line="360" w:lineRule="auto"/>
        <w:ind w:firstLine="482" w:firstLineChars="200"/>
        <w:outlineLvl w:val="1"/>
        <w:rPr>
          <w:rFonts w:hint="eastAsia" w:eastAsia="宋体"/>
          <w:b/>
          <w:sz w:val="24"/>
        </w:rPr>
      </w:pPr>
      <w:bookmarkStart w:id="1" w:name="_Toc6974"/>
      <w:r>
        <w:rPr>
          <w:rFonts w:hint="eastAsia" w:eastAsia="宋体"/>
          <w:b/>
          <w:sz w:val="24"/>
        </w:rPr>
        <w:t>四、物业管理服务内容及标准</w:t>
      </w:r>
      <w:bookmarkEnd w:id="1"/>
    </w:p>
    <w:p w14:paraId="70DCC15C">
      <w:pPr>
        <w:spacing w:line="360" w:lineRule="auto"/>
        <w:ind w:firstLine="482" w:firstLineChars="200"/>
        <w:rPr>
          <w:b/>
          <w:sz w:val="24"/>
        </w:rPr>
      </w:pPr>
      <w:r>
        <w:rPr>
          <w:rFonts w:hint="eastAsia"/>
          <w:b/>
          <w:sz w:val="24"/>
        </w:rPr>
        <w:t>（一）人员要求及管理指标</w:t>
      </w:r>
    </w:p>
    <w:p w14:paraId="4D97BAFF">
      <w:pPr>
        <w:spacing w:line="500" w:lineRule="exact"/>
        <w:ind w:firstLine="600" w:firstLineChars="250"/>
        <w:rPr>
          <w:sz w:val="24"/>
        </w:rPr>
      </w:pPr>
      <w:r>
        <w:rPr>
          <w:rFonts w:hint="eastAsia"/>
          <w:sz w:val="24"/>
        </w:rPr>
        <w:t>1、按专业化的要求配置管理服务人员，至少但不限于配置项目经理、清洁主管、秩序维护主管、工程主管等；服务总体人员不得少于</w:t>
      </w:r>
      <w:r>
        <w:rPr>
          <w:rFonts w:hint="eastAsia"/>
          <w:sz w:val="24"/>
          <w:lang w:val="en-US" w:eastAsia="zh-CN"/>
        </w:rPr>
        <w:t>46</w:t>
      </w:r>
      <w:r>
        <w:rPr>
          <w:rFonts w:hint="eastAsia"/>
          <w:sz w:val="24"/>
        </w:rPr>
        <w:t xml:space="preserve">人。 </w:t>
      </w:r>
    </w:p>
    <w:p w14:paraId="655B52B2">
      <w:pPr>
        <w:spacing w:line="460" w:lineRule="exact"/>
        <w:ind w:firstLine="422" w:firstLineChars="175"/>
        <w:rPr>
          <w:b/>
          <w:sz w:val="24"/>
        </w:rPr>
      </w:pPr>
      <w:r>
        <w:rPr>
          <w:rFonts w:hint="eastAsia"/>
          <w:b/>
          <w:sz w:val="24"/>
        </w:rPr>
        <w:t>遵义市中院物业人员基本配置：</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7"/>
        <w:gridCol w:w="955"/>
        <w:gridCol w:w="5436"/>
      </w:tblGrid>
      <w:tr w14:paraId="3EFE9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57" w:type="dxa"/>
            <w:noWrap w:val="0"/>
            <w:vAlign w:val="center"/>
          </w:tcPr>
          <w:p w14:paraId="58F27748">
            <w:pPr>
              <w:jc w:val="center"/>
              <w:rPr>
                <w:szCs w:val="21"/>
              </w:rPr>
            </w:pPr>
            <w:r>
              <w:rPr>
                <w:rFonts w:hint="eastAsia"/>
                <w:szCs w:val="21"/>
              </w:rPr>
              <w:t>岗  位</w:t>
            </w:r>
          </w:p>
        </w:tc>
        <w:tc>
          <w:tcPr>
            <w:tcW w:w="955" w:type="dxa"/>
            <w:noWrap w:val="0"/>
            <w:vAlign w:val="center"/>
          </w:tcPr>
          <w:p w14:paraId="2DE2E5A4">
            <w:pPr>
              <w:jc w:val="center"/>
              <w:rPr>
                <w:szCs w:val="21"/>
              </w:rPr>
            </w:pPr>
            <w:r>
              <w:rPr>
                <w:rFonts w:hint="eastAsia"/>
                <w:szCs w:val="21"/>
              </w:rPr>
              <w:t>人  员</w:t>
            </w:r>
          </w:p>
        </w:tc>
        <w:tc>
          <w:tcPr>
            <w:tcW w:w="5436" w:type="dxa"/>
            <w:noWrap w:val="0"/>
            <w:vAlign w:val="center"/>
          </w:tcPr>
          <w:p w14:paraId="66F8DA6E">
            <w:pPr>
              <w:jc w:val="center"/>
              <w:rPr>
                <w:szCs w:val="21"/>
              </w:rPr>
            </w:pPr>
            <w:r>
              <w:rPr>
                <w:rFonts w:hint="eastAsia"/>
                <w:szCs w:val="21"/>
              </w:rPr>
              <w:t>人 员 要 求</w:t>
            </w:r>
          </w:p>
        </w:tc>
      </w:tr>
      <w:tr w14:paraId="523FF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7" w:type="dxa"/>
            <w:noWrap w:val="0"/>
            <w:vAlign w:val="center"/>
          </w:tcPr>
          <w:p w14:paraId="4E740D92">
            <w:pPr>
              <w:jc w:val="center"/>
              <w:rPr>
                <w:szCs w:val="21"/>
              </w:rPr>
            </w:pPr>
            <w:r>
              <w:rPr>
                <w:rFonts w:hint="eastAsia"/>
                <w:szCs w:val="21"/>
              </w:rPr>
              <w:t>项目经理</w:t>
            </w:r>
          </w:p>
        </w:tc>
        <w:tc>
          <w:tcPr>
            <w:tcW w:w="955" w:type="dxa"/>
            <w:noWrap w:val="0"/>
            <w:vAlign w:val="center"/>
          </w:tcPr>
          <w:p w14:paraId="79763884">
            <w:pPr>
              <w:jc w:val="center"/>
              <w:rPr>
                <w:szCs w:val="21"/>
              </w:rPr>
            </w:pPr>
            <w:r>
              <w:rPr>
                <w:rFonts w:hint="eastAsia"/>
                <w:szCs w:val="21"/>
              </w:rPr>
              <w:t>1</w:t>
            </w:r>
          </w:p>
        </w:tc>
        <w:tc>
          <w:tcPr>
            <w:tcW w:w="5436" w:type="dxa"/>
            <w:noWrap w:val="0"/>
            <w:vAlign w:val="top"/>
          </w:tcPr>
          <w:p w14:paraId="2F46401A">
            <w:pPr>
              <w:rPr>
                <w:szCs w:val="21"/>
              </w:rPr>
            </w:pPr>
            <w:r>
              <w:rPr>
                <w:rFonts w:hint="eastAsia"/>
                <w:szCs w:val="21"/>
              </w:rPr>
              <w:t>具有物业管理经理上岗证，从事物业管理工作5年以上，组织协调、沟能通能力强。</w:t>
            </w:r>
          </w:p>
        </w:tc>
      </w:tr>
      <w:tr w14:paraId="7B639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7" w:type="dxa"/>
            <w:noWrap w:val="0"/>
            <w:vAlign w:val="center"/>
          </w:tcPr>
          <w:p w14:paraId="47FE57E9">
            <w:pPr>
              <w:jc w:val="center"/>
              <w:rPr>
                <w:szCs w:val="21"/>
              </w:rPr>
            </w:pPr>
            <w:r>
              <w:rPr>
                <w:rFonts w:hint="eastAsia"/>
                <w:szCs w:val="21"/>
              </w:rPr>
              <w:t>秩序主管</w:t>
            </w:r>
          </w:p>
        </w:tc>
        <w:tc>
          <w:tcPr>
            <w:tcW w:w="955" w:type="dxa"/>
            <w:noWrap w:val="0"/>
            <w:vAlign w:val="center"/>
          </w:tcPr>
          <w:p w14:paraId="0DDE4677">
            <w:pPr>
              <w:jc w:val="center"/>
              <w:rPr>
                <w:szCs w:val="21"/>
              </w:rPr>
            </w:pPr>
            <w:r>
              <w:rPr>
                <w:rFonts w:hint="eastAsia"/>
                <w:szCs w:val="21"/>
              </w:rPr>
              <w:t>1</w:t>
            </w:r>
          </w:p>
        </w:tc>
        <w:tc>
          <w:tcPr>
            <w:tcW w:w="5436" w:type="dxa"/>
            <w:noWrap w:val="0"/>
            <w:vAlign w:val="top"/>
          </w:tcPr>
          <w:p w14:paraId="55DE0B90">
            <w:pPr>
              <w:rPr>
                <w:szCs w:val="21"/>
              </w:rPr>
            </w:pPr>
            <w:r>
              <w:rPr>
                <w:rFonts w:hint="eastAsia"/>
                <w:szCs w:val="21"/>
              </w:rPr>
              <w:t>高中以上学历。具有相关职业资格证书。从事秩序管理工作5年以上。</w:t>
            </w:r>
          </w:p>
        </w:tc>
      </w:tr>
      <w:tr w14:paraId="7A538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7" w:type="dxa"/>
            <w:noWrap w:val="0"/>
            <w:vAlign w:val="center"/>
          </w:tcPr>
          <w:p w14:paraId="52579D74">
            <w:pPr>
              <w:jc w:val="center"/>
              <w:rPr>
                <w:szCs w:val="21"/>
              </w:rPr>
            </w:pPr>
            <w:r>
              <w:rPr>
                <w:rFonts w:hint="eastAsia"/>
                <w:szCs w:val="21"/>
              </w:rPr>
              <w:t>工程主管</w:t>
            </w:r>
          </w:p>
        </w:tc>
        <w:tc>
          <w:tcPr>
            <w:tcW w:w="955" w:type="dxa"/>
            <w:noWrap w:val="0"/>
            <w:vAlign w:val="center"/>
          </w:tcPr>
          <w:p w14:paraId="5E55B0A9">
            <w:pPr>
              <w:jc w:val="center"/>
              <w:rPr>
                <w:szCs w:val="21"/>
              </w:rPr>
            </w:pPr>
            <w:r>
              <w:rPr>
                <w:rFonts w:hint="eastAsia"/>
                <w:szCs w:val="21"/>
              </w:rPr>
              <w:t>1</w:t>
            </w:r>
          </w:p>
        </w:tc>
        <w:tc>
          <w:tcPr>
            <w:tcW w:w="5436" w:type="dxa"/>
            <w:noWrap w:val="0"/>
            <w:vAlign w:val="top"/>
          </w:tcPr>
          <w:p w14:paraId="404775CE">
            <w:pPr>
              <w:rPr>
                <w:szCs w:val="21"/>
              </w:rPr>
            </w:pPr>
            <w:r>
              <w:rPr>
                <w:rFonts w:hint="eastAsia"/>
                <w:szCs w:val="21"/>
              </w:rPr>
              <w:t>大专以上学历具工程相关资格</w:t>
            </w:r>
          </w:p>
        </w:tc>
      </w:tr>
      <w:tr w14:paraId="5F311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7" w:type="dxa"/>
            <w:noWrap w:val="0"/>
            <w:vAlign w:val="center"/>
          </w:tcPr>
          <w:p w14:paraId="720D1A96">
            <w:pPr>
              <w:jc w:val="center"/>
              <w:rPr>
                <w:szCs w:val="21"/>
              </w:rPr>
            </w:pPr>
            <w:r>
              <w:rPr>
                <w:rFonts w:hint="eastAsia"/>
                <w:szCs w:val="21"/>
              </w:rPr>
              <w:t>清洁主管</w:t>
            </w:r>
          </w:p>
        </w:tc>
        <w:tc>
          <w:tcPr>
            <w:tcW w:w="955" w:type="dxa"/>
            <w:noWrap w:val="0"/>
            <w:vAlign w:val="center"/>
          </w:tcPr>
          <w:p w14:paraId="68BF95B2">
            <w:pPr>
              <w:jc w:val="center"/>
              <w:rPr>
                <w:szCs w:val="21"/>
              </w:rPr>
            </w:pPr>
            <w:r>
              <w:rPr>
                <w:rFonts w:hint="eastAsia"/>
                <w:szCs w:val="21"/>
              </w:rPr>
              <w:t>1</w:t>
            </w:r>
          </w:p>
        </w:tc>
        <w:tc>
          <w:tcPr>
            <w:tcW w:w="5436" w:type="dxa"/>
            <w:noWrap w:val="0"/>
            <w:vAlign w:val="top"/>
          </w:tcPr>
          <w:p w14:paraId="0F25B37B">
            <w:pPr>
              <w:rPr>
                <w:szCs w:val="21"/>
              </w:rPr>
            </w:pPr>
            <w:r>
              <w:rPr>
                <w:rFonts w:hint="eastAsia"/>
                <w:szCs w:val="21"/>
              </w:rPr>
              <w:t>高中以上学历。</w:t>
            </w:r>
          </w:p>
        </w:tc>
      </w:tr>
      <w:tr w14:paraId="3EE3B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7" w:type="dxa"/>
            <w:noWrap w:val="0"/>
            <w:vAlign w:val="center"/>
          </w:tcPr>
          <w:p w14:paraId="053C6323">
            <w:pPr>
              <w:jc w:val="center"/>
              <w:rPr>
                <w:rFonts w:hint="default" w:eastAsia="宋体"/>
                <w:szCs w:val="21"/>
                <w:lang w:val="en-US" w:eastAsia="zh-CN"/>
              </w:rPr>
            </w:pPr>
            <w:r>
              <w:rPr>
                <w:rFonts w:hint="eastAsia"/>
                <w:szCs w:val="21"/>
              </w:rPr>
              <w:t>会服</w:t>
            </w:r>
            <w:r>
              <w:rPr>
                <w:rFonts w:hint="eastAsia"/>
                <w:szCs w:val="21"/>
                <w:lang w:val="en-US" w:eastAsia="zh-CN"/>
              </w:rPr>
              <w:t>兼综合</w:t>
            </w:r>
          </w:p>
        </w:tc>
        <w:tc>
          <w:tcPr>
            <w:tcW w:w="955" w:type="dxa"/>
            <w:noWrap w:val="0"/>
            <w:vAlign w:val="center"/>
          </w:tcPr>
          <w:p w14:paraId="52E4E9A9">
            <w:pPr>
              <w:jc w:val="center"/>
              <w:rPr>
                <w:szCs w:val="21"/>
              </w:rPr>
            </w:pPr>
            <w:r>
              <w:rPr>
                <w:rFonts w:hint="eastAsia"/>
                <w:szCs w:val="21"/>
              </w:rPr>
              <w:t>2</w:t>
            </w:r>
          </w:p>
        </w:tc>
        <w:tc>
          <w:tcPr>
            <w:tcW w:w="5436" w:type="dxa"/>
            <w:noWrap w:val="0"/>
            <w:vAlign w:val="top"/>
          </w:tcPr>
          <w:p w14:paraId="3AA11D44">
            <w:pPr>
              <w:rPr>
                <w:szCs w:val="21"/>
              </w:rPr>
            </w:pPr>
            <w:r>
              <w:rPr>
                <w:rFonts w:hint="eastAsia"/>
                <w:szCs w:val="21"/>
              </w:rPr>
              <w:t>大专以上学历，具有壹年以上会议服务经验。</w:t>
            </w:r>
          </w:p>
        </w:tc>
      </w:tr>
      <w:tr w14:paraId="1C192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7" w:type="dxa"/>
            <w:noWrap w:val="0"/>
            <w:vAlign w:val="center"/>
          </w:tcPr>
          <w:p w14:paraId="5D21F879">
            <w:pPr>
              <w:jc w:val="center"/>
              <w:rPr>
                <w:szCs w:val="21"/>
              </w:rPr>
            </w:pPr>
            <w:r>
              <w:rPr>
                <w:rFonts w:hint="eastAsia"/>
                <w:szCs w:val="21"/>
              </w:rPr>
              <w:t>保洁</w:t>
            </w:r>
          </w:p>
        </w:tc>
        <w:tc>
          <w:tcPr>
            <w:tcW w:w="955" w:type="dxa"/>
            <w:noWrap w:val="0"/>
            <w:vAlign w:val="center"/>
          </w:tcPr>
          <w:p w14:paraId="1785C280">
            <w:pPr>
              <w:jc w:val="center"/>
              <w:rPr>
                <w:szCs w:val="21"/>
              </w:rPr>
            </w:pPr>
            <w:r>
              <w:rPr>
                <w:rFonts w:hint="eastAsia"/>
                <w:szCs w:val="21"/>
              </w:rPr>
              <w:t>12</w:t>
            </w:r>
          </w:p>
        </w:tc>
        <w:tc>
          <w:tcPr>
            <w:tcW w:w="5436" w:type="dxa"/>
            <w:noWrap w:val="0"/>
            <w:vAlign w:val="top"/>
          </w:tcPr>
          <w:p w14:paraId="66AF6721">
            <w:pPr>
              <w:rPr>
                <w:szCs w:val="21"/>
              </w:rPr>
            </w:pPr>
            <w:r>
              <w:rPr>
                <w:rFonts w:hint="eastAsia"/>
                <w:szCs w:val="21"/>
              </w:rPr>
              <w:t>女/男性，身体健康、五官端正，保洁业务技能、服务意识较好。室内保洁无犯罪记录和不良恶习。</w:t>
            </w:r>
          </w:p>
        </w:tc>
      </w:tr>
      <w:tr w14:paraId="35EC0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7" w:type="dxa"/>
            <w:noWrap w:val="0"/>
            <w:vAlign w:val="center"/>
          </w:tcPr>
          <w:p w14:paraId="7633DB47">
            <w:pPr>
              <w:jc w:val="center"/>
              <w:rPr>
                <w:szCs w:val="21"/>
              </w:rPr>
            </w:pPr>
            <w:r>
              <w:rPr>
                <w:rFonts w:hint="eastAsia"/>
                <w:szCs w:val="21"/>
              </w:rPr>
              <w:t>秩序维护员</w:t>
            </w:r>
          </w:p>
        </w:tc>
        <w:tc>
          <w:tcPr>
            <w:tcW w:w="955" w:type="dxa"/>
            <w:noWrap w:val="0"/>
            <w:vAlign w:val="center"/>
          </w:tcPr>
          <w:p w14:paraId="44609D5F">
            <w:pPr>
              <w:jc w:val="center"/>
              <w:rPr>
                <w:szCs w:val="21"/>
              </w:rPr>
            </w:pPr>
            <w:r>
              <w:rPr>
                <w:rFonts w:hint="eastAsia"/>
                <w:szCs w:val="21"/>
              </w:rPr>
              <w:t>25</w:t>
            </w:r>
          </w:p>
        </w:tc>
        <w:tc>
          <w:tcPr>
            <w:tcW w:w="5436" w:type="dxa"/>
            <w:noWrap w:val="0"/>
            <w:vAlign w:val="top"/>
          </w:tcPr>
          <w:p w14:paraId="0EFFE7F8">
            <w:pPr>
              <w:rPr>
                <w:szCs w:val="21"/>
              </w:rPr>
            </w:pPr>
            <w:r>
              <w:rPr>
                <w:rFonts w:hint="eastAsia"/>
                <w:szCs w:val="21"/>
              </w:rPr>
              <w:t>男性（女性比例不超过20%），保安身高：男性167CM及以上，女性157CM及以上，持有保安员证，五官端正、身体健康，无犯罪记录和不良恶习，一年以上工作经验，有较好的军事技能、业务技能、服务意识。</w:t>
            </w:r>
          </w:p>
        </w:tc>
      </w:tr>
      <w:tr w14:paraId="4C7E3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7" w:type="dxa"/>
            <w:noWrap w:val="0"/>
            <w:vAlign w:val="center"/>
          </w:tcPr>
          <w:p w14:paraId="71E11C56">
            <w:pPr>
              <w:jc w:val="center"/>
              <w:rPr>
                <w:szCs w:val="21"/>
              </w:rPr>
            </w:pPr>
            <w:r>
              <w:rPr>
                <w:rFonts w:hint="eastAsia"/>
                <w:szCs w:val="21"/>
              </w:rPr>
              <w:t>工程维修</w:t>
            </w:r>
          </w:p>
        </w:tc>
        <w:tc>
          <w:tcPr>
            <w:tcW w:w="955" w:type="dxa"/>
            <w:noWrap w:val="0"/>
            <w:vAlign w:val="center"/>
          </w:tcPr>
          <w:p w14:paraId="2D1C3BBD">
            <w:pPr>
              <w:jc w:val="center"/>
              <w:rPr>
                <w:szCs w:val="21"/>
              </w:rPr>
            </w:pPr>
            <w:r>
              <w:rPr>
                <w:rFonts w:hint="eastAsia"/>
                <w:szCs w:val="21"/>
              </w:rPr>
              <w:t>3</w:t>
            </w:r>
          </w:p>
        </w:tc>
        <w:tc>
          <w:tcPr>
            <w:tcW w:w="5436" w:type="dxa"/>
            <w:noWrap w:val="0"/>
            <w:vAlign w:val="top"/>
          </w:tcPr>
          <w:p w14:paraId="6CC14F8F">
            <w:pPr>
              <w:rPr>
                <w:szCs w:val="21"/>
              </w:rPr>
            </w:pPr>
            <w:r>
              <w:rPr>
                <w:rFonts w:hint="eastAsia"/>
                <w:szCs w:val="21"/>
              </w:rPr>
              <w:t>男性，身体健康、无犯罪记录和不良恶习，持有相关上岗证书，有一定的工程专业知识、技术。</w:t>
            </w:r>
          </w:p>
        </w:tc>
      </w:tr>
      <w:tr w14:paraId="0D226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7" w:type="dxa"/>
            <w:noWrap w:val="0"/>
            <w:vAlign w:val="center"/>
          </w:tcPr>
          <w:p w14:paraId="4737721E">
            <w:pPr>
              <w:jc w:val="center"/>
              <w:rPr>
                <w:szCs w:val="21"/>
              </w:rPr>
            </w:pPr>
            <w:r>
              <w:rPr>
                <w:rFonts w:hint="eastAsia"/>
                <w:szCs w:val="21"/>
              </w:rPr>
              <w:t>合计</w:t>
            </w:r>
          </w:p>
        </w:tc>
        <w:tc>
          <w:tcPr>
            <w:tcW w:w="955" w:type="dxa"/>
            <w:noWrap w:val="0"/>
            <w:vAlign w:val="center"/>
          </w:tcPr>
          <w:p w14:paraId="6905E802">
            <w:pPr>
              <w:jc w:val="center"/>
              <w:rPr>
                <w:szCs w:val="21"/>
              </w:rPr>
            </w:pPr>
            <w:r>
              <w:rPr>
                <w:rFonts w:hint="eastAsia"/>
                <w:szCs w:val="21"/>
              </w:rPr>
              <w:t>46</w:t>
            </w:r>
          </w:p>
        </w:tc>
        <w:tc>
          <w:tcPr>
            <w:tcW w:w="5436" w:type="dxa"/>
            <w:noWrap w:val="0"/>
            <w:vAlign w:val="top"/>
          </w:tcPr>
          <w:p w14:paraId="6C795CA5">
            <w:pPr>
              <w:jc w:val="center"/>
              <w:rPr>
                <w:szCs w:val="21"/>
              </w:rPr>
            </w:pPr>
          </w:p>
        </w:tc>
      </w:tr>
    </w:tbl>
    <w:p w14:paraId="104DF5D6"/>
    <w:p w14:paraId="02865CD4">
      <w:pPr>
        <w:spacing w:line="500" w:lineRule="exact"/>
        <w:ind w:firstLine="480" w:firstLineChars="200"/>
        <w:rPr>
          <w:sz w:val="24"/>
        </w:rPr>
      </w:pPr>
      <w:r>
        <w:rPr>
          <w:rFonts w:hint="eastAsia"/>
          <w:sz w:val="24"/>
        </w:rPr>
        <w:t xml:space="preserve">2、管理人员、专业操作人员按照国家有关规定取得物业管理职业资格证书或者岗位证书； </w:t>
      </w:r>
    </w:p>
    <w:p w14:paraId="5B0A4387">
      <w:pPr>
        <w:spacing w:line="500" w:lineRule="exact"/>
        <w:ind w:firstLine="480" w:firstLineChars="200"/>
        <w:rPr>
          <w:sz w:val="24"/>
        </w:rPr>
      </w:pPr>
      <w:r>
        <w:rPr>
          <w:rFonts w:hint="eastAsia"/>
          <w:sz w:val="24"/>
        </w:rPr>
        <w:t>3、有完善的物业管理方案，质量管理、财务管理、档案管理等制度健全；</w:t>
      </w:r>
    </w:p>
    <w:p w14:paraId="683C5659">
      <w:pPr>
        <w:spacing w:line="500" w:lineRule="exact"/>
        <w:ind w:firstLine="480" w:firstLineChars="200"/>
        <w:rPr>
          <w:sz w:val="24"/>
        </w:rPr>
      </w:pPr>
      <w:r>
        <w:rPr>
          <w:rFonts w:hint="eastAsia"/>
          <w:sz w:val="24"/>
        </w:rPr>
        <w:t>4、管理服务人员统一着装、佩戴标志，行为规范，服务主动、热情；</w:t>
      </w:r>
    </w:p>
    <w:p w14:paraId="523DC825">
      <w:pPr>
        <w:spacing w:line="500" w:lineRule="exact"/>
        <w:ind w:firstLine="480" w:firstLineChars="200"/>
        <w:rPr>
          <w:sz w:val="24"/>
        </w:rPr>
      </w:pPr>
      <w:r>
        <w:rPr>
          <w:rFonts w:hint="eastAsia"/>
          <w:sz w:val="24"/>
        </w:rPr>
        <w:t>5、设有服务接待中心，公示24小时服务电话。急修半小时内、其它报修按双方约定时间到达现场，有完整的报修、维修和回访记录；</w:t>
      </w:r>
    </w:p>
    <w:p w14:paraId="3C42F146">
      <w:pPr>
        <w:spacing w:line="500" w:lineRule="exact"/>
        <w:ind w:left="94" w:leftChars="45" w:firstLine="352" w:firstLineChars="147"/>
        <w:rPr>
          <w:sz w:val="24"/>
        </w:rPr>
      </w:pPr>
      <w:r>
        <w:rPr>
          <w:rFonts w:hint="eastAsia"/>
          <w:sz w:val="24"/>
        </w:rPr>
        <w:t>6、每半年至少1次征询遵义市中级人民法院对物业服务的意见，满意率</w:t>
      </w:r>
      <w:r>
        <w:rPr>
          <w:rFonts w:hint="eastAsia"/>
          <w:sz w:val="24"/>
          <w:lang w:val="en-US" w:eastAsia="zh-CN"/>
        </w:rPr>
        <w:t>90</w:t>
      </w:r>
      <w:r>
        <w:rPr>
          <w:rFonts w:hint="eastAsia"/>
          <w:sz w:val="24"/>
        </w:rPr>
        <w:t xml:space="preserve">%以上；  </w:t>
      </w:r>
    </w:p>
    <w:p w14:paraId="11EC3033">
      <w:pPr>
        <w:spacing w:after="240" w:afterLines="100" w:line="500" w:lineRule="exact"/>
        <w:ind w:firstLine="480" w:firstLineChars="200"/>
        <w:rPr>
          <w:color w:val="101010"/>
          <w:sz w:val="24"/>
        </w:rPr>
      </w:pPr>
      <w:r>
        <w:rPr>
          <w:rFonts w:hint="eastAsia"/>
          <w:color w:val="101010"/>
          <w:sz w:val="24"/>
        </w:rPr>
        <w:t>7、具体的各项管理指标如下表：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512"/>
        <w:gridCol w:w="1205"/>
        <w:gridCol w:w="5304"/>
      </w:tblGrid>
      <w:tr w14:paraId="72AE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blHeader/>
          <w:jc w:val="center"/>
        </w:trPr>
        <w:tc>
          <w:tcPr>
            <w:tcW w:w="682" w:type="dxa"/>
            <w:noWrap w:val="0"/>
            <w:vAlign w:val="center"/>
          </w:tcPr>
          <w:p w14:paraId="7F02D859">
            <w:pPr>
              <w:jc w:val="center"/>
              <w:rPr>
                <w:color w:val="101010"/>
                <w:szCs w:val="21"/>
              </w:rPr>
            </w:pPr>
            <w:r>
              <w:rPr>
                <w:rFonts w:hint="eastAsia"/>
                <w:color w:val="101010"/>
                <w:szCs w:val="21"/>
              </w:rPr>
              <w:t>序号</w:t>
            </w:r>
          </w:p>
        </w:tc>
        <w:tc>
          <w:tcPr>
            <w:tcW w:w="1512" w:type="dxa"/>
            <w:noWrap w:val="0"/>
            <w:vAlign w:val="center"/>
          </w:tcPr>
          <w:p w14:paraId="5ADED553">
            <w:pPr>
              <w:jc w:val="center"/>
              <w:rPr>
                <w:color w:val="101010"/>
                <w:szCs w:val="21"/>
              </w:rPr>
            </w:pPr>
            <w:r>
              <w:rPr>
                <w:rFonts w:hint="eastAsia"/>
                <w:color w:val="101010"/>
                <w:szCs w:val="21"/>
              </w:rPr>
              <w:t>项 目</w:t>
            </w:r>
          </w:p>
        </w:tc>
        <w:tc>
          <w:tcPr>
            <w:tcW w:w="1205" w:type="dxa"/>
            <w:noWrap w:val="0"/>
            <w:vAlign w:val="center"/>
          </w:tcPr>
          <w:p w14:paraId="2058DED9">
            <w:pPr>
              <w:jc w:val="center"/>
              <w:rPr>
                <w:color w:val="101010"/>
                <w:szCs w:val="21"/>
              </w:rPr>
            </w:pPr>
            <w:r>
              <w:rPr>
                <w:rFonts w:hint="eastAsia"/>
                <w:color w:val="101010"/>
                <w:szCs w:val="21"/>
              </w:rPr>
              <w:t>承诺指标</w:t>
            </w:r>
          </w:p>
        </w:tc>
        <w:tc>
          <w:tcPr>
            <w:tcW w:w="5304" w:type="dxa"/>
            <w:noWrap w:val="0"/>
            <w:vAlign w:val="center"/>
          </w:tcPr>
          <w:p w14:paraId="1607D436">
            <w:pPr>
              <w:jc w:val="center"/>
              <w:textAlignment w:val="center"/>
              <w:rPr>
                <w:color w:val="101010"/>
                <w:szCs w:val="21"/>
              </w:rPr>
            </w:pPr>
            <w:r>
              <w:rPr>
                <w:rFonts w:hint="eastAsia"/>
                <w:color w:val="101010"/>
                <w:szCs w:val="21"/>
              </w:rPr>
              <w:t>基 本 内 容</w:t>
            </w:r>
          </w:p>
        </w:tc>
      </w:tr>
      <w:tr w14:paraId="76CD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noWrap w:val="0"/>
            <w:vAlign w:val="center"/>
          </w:tcPr>
          <w:p w14:paraId="6DC8DAD6">
            <w:pPr>
              <w:ind w:firstLine="105" w:firstLineChars="50"/>
              <w:jc w:val="center"/>
              <w:rPr>
                <w:color w:val="101010"/>
                <w:szCs w:val="21"/>
              </w:rPr>
            </w:pPr>
            <w:r>
              <w:rPr>
                <w:rFonts w:hint="eastAsia"/>
                <w:color w:val="101010"/>
                <w:szCs w:val="21"/>
              </w:rPr>
              <w:t>1</w:t>
            </w:r>
          </w:p>
        </w:tc>
        <w:tc>
          <w:tcPr>
            <w:tcW w:w="1512" w:type="dxa"/>
            <w:noWrap w:val="0"/>
            <w:vAlign w:val="center"/>
          </w:tcPr>
          <w:p w14:paraId="5ED1F45A">
            <w:pPr>
              <w:jc w:val="center"/>
              <w:rPr>
                <w:color w:val="101010"/>
                <w:szCs w:val="21"/>
              </w:rPr>
            </w:pPr>
            <w:r>
              <w:rPr>
                <w:rFonts w:hint="eastAsia"/>
                <w:color w:val="101010"/>
                <w:szCs w:val="21"/>
              </w:rPr>
              <w:t>房屋完好率</w:t>
            </w:r>
          </w:p>
        </w:tc>
        <w:tc>
          <w:tcPr>
            <w:tcW w:w="1205" w:type="dxa"/>
            <w:noWrap w:val="0"/>
            <w:vAlign w:val="center"/>
          </w:tcPr>
          <w:p w14:paraId="351097EB">
            <w:pPr>
              <w:jc w:val="center"/>
              <w:rPr>
                <w:color w:val="101010"/>
                <w:szCs w:val="21"/>
              </w:rPr>
            </w:pPr>
            <w:r>
              <w:rPr>
                <w:rFonts w:hint="eastAsia"/>
                <w:color w:val="101010"/>
                <w:szCs w:val="21"/>
              </w:rPr>
              <w:t>≥95%</w:t>
            </w:r>
          </w:p>
        </w:tc>
        <w:tc>
          <w:tcPr>
            <w:tcW w:w="5304" w:type="dxa"/>
            <w:noWrap w:val="0"/>
            <w:vAlign w:val="center"/>
          </w:tcPr>
          <w:p w14:paraId="6EFF406C">
            <w:pPr>
              <w:rPr>
                <w:color w:val="101010"/>
                <w:szCs w:val="21"/>
              </w:rPr>
            </w:pPr>
            <w:r>
              <w:rPr>
                <w:rFonts w:hint="eastAsia"/>
                <w:color w:val="101010"/>
                <w:szCs w:val="21"/>
              </w:rPr>
              <w:t>房屋外观无破损、无改变使用功能、无乱搭建公用设施及通道无随意占用，外观整洁。</w:t>
            </w:r>
          </w:p>
        </w:tc>
      </w:tr>
      <w:tr w14:paraId="2016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noWrap w:val="0"/>
            <w:vAlign w:val="center"/>
          </w:tcPr>
          <w:p w14:paraId="1997840C">
            <w:pPr>
              <w:ind w:firstLine="210" w:firstLineChars="100"/>
              <w:rPr>
                <w:color w:val="101010"/>
                <w:szCs w:val="21"/>
              </w:rPr>
            </w:pPr>
            <w:r>
              <w:rPr>
                <w:rFonts w:hint="eastAsia"/>
                <w:color w:val="101010"/>
                <w:szCs w:val="21"/>
              </w:rPr>
              <w:t>2</w:t>
            </w:r>
          </w:p>
        </w:tc>
        <w:tc>
          <w:tcPr>
            <w:tcW w:w="1512" w:type="dxa"/>
            <w:noWrap w:val="0"/>
            <w:vAlign w:val="center"/>
          </w:tcPr>
          <w:p w14:paraId="791CA4C7">
            <w:pPr>
              <w:jc w:val="center"/>
              <w:rPr>
                <w:color w:val="101010"/>
                <w:szCs w:val="21"/>
              </w:rPr>
            </w:pPr>
            <w:r>
              <w:rPr>
                <w:rFonts w:hint="eastAsia"/>
                <w:color w:val="101010"/>
                <w:szCs w:val="21"/>
              </w:rPr>
              <w:t>道路完好率</w:t>
            </w:r>
          </w:p>
        </w:tc>
        <w:tc>
          <w:tcPr>
            <w:tcW w:w="1205" w:type="dxa"/>
            <w:noWrap w:val="0"/>
            <w:vAlign w:val="center"/>
          </w:tcPr>
          <w:p w14:paraId="063E16C8">
            <w:pPr>
              <w:jc w:val="center"/>
              <w:rPr>
                <w:color w:val="101010"/>
                <w:szCs w:val="21"/>
              </w:rPr>
            </w:pPr>
            <w:r>
              <w:rPr>
                <w:rFonts w:hint="eastAsia"/>
                <w:color w:val="101010"/>
                <w:szCs w:val="21"/>
              </w:rPr>
              <w:t>≥95%</w:t>
            </w:r>
          </w:p>
        </w:tc>
        <w:tc>
          <w:tcPr>
            <w:tcW w:w="5304" w:type="dxa"/>
            <w:noWrap w:val="0"/>
            <w:vAlign w:val="center"/>
          </w:tcPr>
          <w:p w14:paraId="05781365">
            <w:pPr>
              <w:rPr>
                <w:color w:val="101010"/>
                <w:szCs w:val="21"/>
              </w:rPr>
            </w:pPr>
            <w:r>
              <w:rPr>
                <w:rFonts w:hint="eastAsia"/>
                <w:color w:val="101010"/>
                <w:szCs w:val="21"/>
              </w:rPr>
              <w:t>道路畅通无损坏，路面平坦整洁，排水畅通，无随意    占道、无改变使用功能。</w:t>
            </w:r>
          </w:p>
        </w:tc>
      </w:tr>
      <w:tr w14:paraId="6A5F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noWrap w:val="0"/>
            <w:vAlign w:val="center"/>
          </w:tcPr>
          <w:p w14:paraId="351A666A">
            <w:pPr>
              <w:jc w:val="center"/>
              <w:rPr>
                <w:color w:val="101010"/>
                <w:szCs w:val="21"/>
              </w:rPr>
            </w:pPr>
            <w:r>
              <w:rPr>
                <w:rFonts w:hint="eastAsia"/>
                <w:color w:val="101010"/>
                <w:szCs w:val="21"/>
              </w:rPr>
              <w:t>3</w:t>
            </w:r>
          </w:p>
        </w:tc>
        <w:tc>
          <w:tcPr>
            <w:tcW w:w="1512" w:type="dxa"/>
            <w:noWrap w:val="0"/>
            <w:vAlign w:val="center"/>
          </w:tcPr>
          <w:p w14:paraId="362BB9EE">
            <w:pPr>
              <w:jc w:val="center"/>
              <w:rPr>
                <w:color w:val="101010"/>
                <w:szCs w:val="21"/>
              </w:rPr>
            </w:pPr>
            <w:r>
              <w:rPr>
                <w:rFonts w:hint="eastAsia"/>
                <w:color w:val="101010"/>
                <w:szCs w:val="21"/>
              </w:rPr>
              <w:t>化粪池、雨水井、污水完好率</w:t>
            </w:r>
          </w:p>
        </w:tc>
        <w:tc>
          <w:tcPr>
            <w:tcW w:w="1205" w:type="dxa"/>
            <w:noWrap w:val="0"/>
            <w:vAlign w:val="center"/>
          </w:tcPr>
          <w:p w14:paraId="24739131">
            <w:pPr>
              <w:jc w:val="center"/>
              <w:rPr>
                <w:color w:val="101010"/>
                <w:szCs w:val="21"/>
              </w:rPr>
            </w:pPr>
            <w:r>
              <w:rPr>
                <w:rFonts w:hint="eastAsia"/>
                <w:color w:val="101010"/>
                <w:szCs w:val="21"/>
              </w:rPr>
              <w:t>100%</w:t>
            </w:r>
          </w:p>
        </w:tc>
        <w:tc>
          <w:tcPr>
            <w:tcW w:w="5304" w:type="dxa"/>
            <w:noWrap w:val="0"/>
            <w:vAlign w:val="center"/>
          </w:tcPr>
          <w:p w14:paraId="5CC87439">
            <w:pPr>
              <w:rPr>
                <w:color w:val="101010"/>
                <w:szCs w:val="21"/>
              </w:rPr>
            </w:pPr>
            <w:r>
              <w:rPr>
                <w:rFonts w:hint="eastAsia"/>
                <w:color w:val="101010"/>
                <w:szCs w:val="21"/>
              </w:rPr>
              <w:t xml:space="preserve">定期疏通、清理，井盖齐全完好，保证排放通畅、       无堵塞。 </w:t>
            </w:r>
          </w:p>
        </w:tc>
      </w:tr>
      <w:tr w14:paraId="0C1F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noWrap w:val="0"/>
            <w:vAlign w:val="center"/>
          </w:tcPr>
          <w:p w14:paraId="01788471">
            <w:pPr>
              <w:jc w:val="center"/>
              <w:rPr>
                <w:color w:val="101010"/>
                <w:szCs w:val="21"/>
              </w:rPr>
            </w:pPr>
            <w:r>
              <w:rPr>
                <w:rFonts w:hint="eastAsia"/>
                <w:color w:val="101010"/>
                <w:szCs w:val="21"/>
              </w:rPr>
              <w:t>4</w:t>
            </w:r>
          </w:p>
        </w:tc>
        <w:tc>
          <w:tcPr>
            <w:tcW w:w="1512" w:type="dxa"/>
            <w:noWrap w:val="0"/>
            <w:vAlign w:val="center"/>
          </w:tcPr>
          <w:p w14:paraId="0D14E659">
            <w:pPr>
              <w:jc w:val="center"/>
              <w:rPr>
                <w:color w:val="101010"/>
                <w:szCs w:val="21"/>
              </w:rPr>
            </w:pPr>
            <w:r>
              <w:rPr>
                <w:rFonts w:hint="eastAsia"/>
                <w:color w:val="101010"/>
                <w:szCs w:val="21"/>
              </w:rPr>
              <w:t>排水管、明暗沟完好率</w:t>
            </w:r>
          </w:p>
        </w:tc>
        <w:tc>
          <w:tcPr>
            <w:tcW w:w="1205" w:type="dxa"/>
            <w:noWrap w:val="0"/>
            <w:vAlign w:val="center"/>
          </w:tcPr>
          <w:p w14:paraId="3E256C10">
            <w:pPr>
              <w:jc w:val="center"/>
              <w:rPr>
                <w:color w:val="101010"/>
                <w:szCs w:val="21"/>
              </w:rPr>
            </w:pPr>
            <w:r>
              <w:rPr>
                <w:rFonts w:hint="eastAsia"/>
                <w:color w:val="101010"/>
                <w:szCs w:val="21"/>
              </w:rPr>
              <w:t>100%</w:t>
            </w:r>
          </w:p>
        </w:tc>
        <w:tc>
          <w:tcPr>
            <w:tcW w:w="5304" w:type="dxa"/>
            <w:noWrap w:val="0"/>
            <w:vAlign w:val="center"/>
          </w:tcPr>
          <w:p w14:paraId="08DFD8FA">
            <w:pPr>
              <w:rPr>
                <w:color w:val="101010"/>
                <w:szCs w:val="21"/>
              </w:rPr>
            </w:pPr>
            <w:r>
              <w:rPr>
                <w:rFonts w:hint="eastAsia"/>
                <w:color w:val="101010"/>
                <w:szCs w:val="21"/>
              </w:rPr>
              <w:t>排水畅通、无堵塞、无积水、无塌陷、无残缺。</w:t>
            </w:r>
          </w:p>
        </w:tc>
      </w:tr>
      <w:tr w14:paraId="0DED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noWrap w:val="0"/>
            <w:vAlign w:val="center"/>
          </w:tcPr>
          <w:p w14:paraId="12117B04">
            <w:pPr>
              <w:jc w:val="center"/>
              <w:rPr>
                <w:color w:val="101010"/>
                <w:szCs w:val="21"/>
              </w:rPr>
            </w:pPr>
            <w:r>
              <w:rPr>
                <w:rFonts w:hint="eastAsia"/>
                <w:color w:val="101010"/>
                <w:szCs w:val="21"/>
              </w:rPr>
              <w:t>5</w:t>
            </w:r>
          </w:p>
        </w:tc>
        <w:tc>
          <w:tcPr>
            <w:tcW w:w="1512" w:type="dxa"/>
            <w:noWrap w:val="0"/>
            <w:vAlign w:val="center"/>
          </w:tcPr>
          <w:p w14:paraId="0F637C6F">
            <w:pPr>
              <w:jc w:val="center"/>
              <w:rPr>
                <w:color w:val="101010"/>
                <w:szCs w:val="21"/>
              </w:rPr>
            </w:pPr>
            <w:r>
              <w:rPr>
                <w:rFonts w:hint="eastAsia"/>
                <w:color w:val="101010"/>
                <w:szCs w:val="21"/>
              </w:rPr>
              <w:t>照明灯</w:t>
            </w:r>
          </w:p>
          <w:p w14:paraId="1063EBFC">
            <w:pPr>
              <w:jc w:val="center"/>
              <w:rPr>
                <w:color w:val="101010"/>
                <w:szCs w:val="21"/>
              </w:rPr>
            </w:pPr>
            <w:r>
              <w:rPr>
                <w:rFonts w:hint="eastAsia"/>
                <w:color w:val="101010"/>
                <w:szCs w:val="21"/>
              </w:rPr>
              <w:t>完好率</w:t>
            </w:r>
          </w:p>
        </w:tc>
        <w:tc>
          <w:tcPr>
            <w:tcW w:w="1205" w:type="dxa"/>
            <w:noWrap w:val="0"/>
            <w:vAlign w:val="center"/>
          </w:tcPr>
          <w:p w14:paraId="01DB8F1A">
            <w:pPr>
              <w:jc w:val="center"/>
              <w:rPr>
                <w:color w:val="101010"/>
                <w:szCs w:val="21"/>
              </w:rPr>
            </w:pPr>
            <w:r>
              <w:rPr>
                <w:rFonts w:hint="eastAsia"/>
                <w:color w:val="101010"/>
                <w:szCs w:val="21"/>
              </w:rPr>
              <w:t>≥90%</w:t>
            </w:r>
          </w:p>
        </w:tc>
        <w:tc>
          <w:tcPr>
            <w:tcW w:w="5304" w:type="dxa"/>
            <w:noWrap w:val="0"/>
            <w:vAlign w:val="center"/>
          </w:tcPr>
          <w:p w14:paraId="26C0ECEA">
            <w:pPr>
              <w:rPr>
                <w:color w:val="101010"/>
                <w:szCs w:val="21"/>
              </w:rPr>
            </w:pPr>
            <w:r>
              <w:rPr>
                <w:rFonts w:hint="eastAsia"/>
                <w:color w:val="101010"/>
                <w:szCs w:val="21"/>
              </w:rPr>
              <w:t>路灯完好无损，夜间正常使用，定期检查、维护、保养，保持洁净。</w:t>
            </w:r>
          </w:p>
        </w:tc>
      </w:tr>
      <w:tr w14:paraId="2699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noWrap w:val="0"/>
            <w:vAlign w:val="center"/>
          </w:tcPr>
          <w:p w14:paraId="290D0C5D">
            <w:pPr>
              <w:jc w:val="center"/>
              <w:rPr>
                <w:color w:val="101010"/>
                <w:szCs w:val="21"/>
              </w:rPr>
            </w:pPr>
            <w:r>
              <w:rPr>
                <w:rFonts w:hint="eastAsia"/>
                <w:color w:val="101010"/>
                <w:szCs w:val="21"/>
              </w:rPr>
              <w:t>6</w:t>
            </w:r>
          </w:p>
        </w:tc>
        <w:tc>
          <w:tcPr>
            <w:tcW w:w="1512" w:type="dxa"/>
            <w:noWrap w:val="0"/>
            <w:vAlign w:val="center"/>
          </w:tcPr>
          <w:p w14:paraId="2F30069E">
            <w:pPr>
              <w:jc w:val="center"/>
              <w:rPr>
                <w:color w:val="101010"/>
                <w:szCs w:val="21"/>
              </w:rPr>
            </w:pPr>
            <w:r>
              <w:rPr>
                <w:rFonts w:hint="eastAsia"/>
                <w:color w:val="101010"/>
                <w:szCs w:val="21"/>
              </w:rPr>
              <w:t>例行维修保养兑现率</w:t>
            </w:r>
          </w:p>
        </w:tc>
        <w:tc>
          <w:tcPr>
            <w:tcW w:w="1205" w:type="dxa"/>
            <w:noWrap w:val="0"/>
            <w:vAlign w:val="center"/>
          </w:tcPr>
          <w:p w14:paraId="0AC93B64">
            <w:pPr>
              <w:jc w:val="center"/>
              <w:rPr>
                <w:color w:val="101010"/>
                <w:szCs w:val="21"/>
              </w:rPr>
            </w:pPr>
            <w:r>
              <w:rPr>
                <w:rFonts w:hint="eastAsia"/>
                <w:color w:val="101010"/>
                <w:szCs w:val="21"/>
              </w:rPr>
              <w:t>100%</w:t>
            </w:r>
          </w:p>
        </w:tc>
        <w:tc>
          <w:tcPr>
            <w:tcW w:w="5304" w:type="dxa"/>
            <w:noWrap w:val="0"/>
            <w:vAlign w:val="center"/>
          </w:tcPr>
          <w:p w14:paraId="61F928A7">
            <w:pPr>
              <w:rPr>
                <w:color w:val="101010"/>
                <w:szCs w:val="21"/>
              </w:rPr>
            </w:pPr>
            <w:r>
              <w:rPr>
                <w:rFonts w:hint="eastAsia"/>
                <w:color w:val="101010"/>
                <w:szCs w:val="21"/>
              </w:rPr>
              <w:t>提前制订维修保养计划，合理调整人员安排，分工负责，保证落实。</w:t>
            </w:r>
          </w:p>
        </w:tc>
      </w:tr>
      <w:tr w14:paraId="0D91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noWrap w:val="0"/>
            <w:vAlign w:val="center"/>
          </w:tcPr>
          <w:p w14:paraId="1C6CE560">
            <w:pPr>
              <w:jc w:val="center"/>
              <w:rPr>
                <w:color w:val="101010"/>
                <w:szCs w:val="21"/>
              </w:rPr>
            </w:pPr>
            <w:r>
              <w:rPr>
                <w:rFonts w:hint="eastAsia"/>
                <w:color w:val="101010"/>
                <w:szCs w:val="21"/>
              </w:rPr>
              <w:t>7</w:t>
            </w:r>
          </w:p>
        </w:tc>
        <w:tc>
          <w:tcPr>
            <w:tcW w:w="1512" w:type="dxa"/>
            <w:noWrap w:val="0"/>
            <w:vAlign w:val="center"/>
          </w:tcPr>
          <w:p w14:paraId="4E16969A">
            <w:pPr>
              <w:jc w:val="center"/>
              <w:rPr>
                <w:color w:val="101010"/>
                <w:szCs w:val="21"/>
              </w:rPr>
            </w:pPr>
            <w:r>
              <w:rPr>
                <w:rFonts w:hint="eastAsia"/>
                <w:color w:val="101010"/>
                <w:szCs w:val="21"/>
              </w:rPr>
              <w:t>零修、急修及时率</w:t>
            </w:r>
          </w:p>
        </w:tc>
        <w:tc>
          <w:tcPr>
            <w:tcW w:w="1205" w:type="dxa"/>
            <w:noWrap w:val="0"/>
            <w:vAlign w:val="center"/>
          </w:tcPr>
          <w:p w14:paraId="13BB11F2">
            <w:pPr>
              <w:ind w:firstLine="210" w:firstLineChars="100"/>
              <w:rPr>
                <w:color w:val="101010"/>
                <w:szCs w:val="21"/>
              </w:rPr>
            </w:pPr>
            <w:r>
              <w:rPr>
                <w:rFonts w:hint="eastAsia"/>
                <w:color w:val="101010"/>
                <w:szCs w:val="21"/>
              </w:rPr>
              <w:t>≥98%</w:t>
            </w:r>
          </w:p>
        </w:tc>
        <w:tc>
          <w:tcPr>
            <w:tcW w:w="5304" w:type="dxa"/>
            <w:noWrap w:val="0"/>
            <w:vAlign w:val="center"/>
          </w:tcPr>
          <w:p w14:paraId="18D340D7">
            <w:pPr>
              <w:rPr>
                <w:color w:val="101010"/>
                <w:szCs w:val="21"/>
              </w:rPr>
            </w:pPr>
            <w:r>
              <w:rPr>
                <w:rFonts w:hint="eastAsia"/>
                <w:color w:val="101010"/>
                <w:szCs w:val="21"/>
              </w:rPr>
              <w:t>接到维修报告在承诺时间内到达现场，零修、急修及时完成，小修不过夜。</w:t>
            </w:r>
          </w:p>
        </w:tc>
      </w:tr>
      <w:tr w14:paraId="3638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noWrap w:val="0"/>
            <w:vAlign w:val="center"/>
          </w:tcPr>
          <w:p w14:paraId="4FFF868A">
            <w:pPr>
              <w:jc w:val="center"/>
              <w:rPr>
                <w:color w:val="101010"/>
                <w:szCs w:val="21"/>
              </w:rPr>
            </w:pPr>
            <w:r>
              <w:rPr>
                <w:rFonts w:hint="eastAsia"/>
                <w:color w:val="101010"/>
                <w:szCs w:val="21"/>
              </w:rPr>
              <w:t>8</w:t>
            </w:r>
          </w:p>
        </w:tc>
        <w:tc>
          <w:tcPr>
            <w:tcW w:w="1512" w:type="dxa"/>
            <w:noWrap w:val="0"/>
            <w:vAlign w:val="center"/>
          </w:tcPr>
          <w:p w14:paraId="57AC4FF8">
            <w:pPr>
              <w:jc w:val="center"/>
              <w:rPr>
                <w:color w:val="101010"/>
                <w:szCs w:val="21"/>
              </w:rPr>
            </w:pPr>
            <w:r>
              <w:rPr>
                <w:rFonts w:hint="eastAsia"/>
                <w:color w:val="101010"/>
                <w:szCs w:val="21"/>
              </w:rPr>
              <w:t>维修保养</w:t>
            </w:r>
          </w:p>
          <w:p w14:paraId="09C2F50B">
            <w:pPr>
              <w:jc w:val="center"/>
              <w:rPr>
                <w:color w:val="101010"/>
                <w:szCs w:val="21"/>
              </w:rPr>
            </w:pPr>
            <w:r>
              <w:rPr>
                <w:rFonts w:hint="eastAsia"/>
                <w:color w:val="101010"/>
                <w:szCs w:val="21"/>
              </w:rPr>
              <w:t>质量合格率</w:t>
            </w:r>
          </w:p>
        </w:tc>
        <w:tc>
          <w:tcPr>
            <w:tcW w:w="1205" w:type="dxa"/>
            <w:noWrap w:val="0"/>
            <w:vAlign w:val="center"/>
          </w:tcPr>
          <w:p w14:paraId="11ADE913">
            <w:pPr>
              <w:jc w:val="center"/>
              <w:rPr>
                <w:color w:val="101010"/>
                <w:szCs w:val="21"/>
              </w:rPr>
            </w:pPr>
            <w:r>
              <w:rPr>
                <w:rFonts w:hint="eastAsia"/>
                <w:color w:val="101010"/>
                <w:szCs w:val="21"/>
              </w:rPr>
              <w:t>≥98%</w:t>
            </w:r>
          </w:p>
        </w:tc>
        <w:tc>
          <w:tcPr>
            <w:tcW w:w="5304" w:type="dxa"/>
            <w:noWrap w:val="0"/>
            <w:vAlign w:val="center"/>
          </w:tcPr>
          <w:p w14:paraId="481E908C">
            <w:pPr>
              <w:rPr>
                <w:color w:val="101010"/>
                <w:szCs w:val="21"/>
              </w:rPr>
            </w:pPr>
            <w:r>
              <w:rPr>
                <w:rFonts w:hint="eastAsia"/>
                <w:color w:val="101010"/>
                <w:szCs w:val="21"/>
              </w:rPr>
              <w:t>分项检查、结合部门严格把关，按照工序一步到位，    杜绝返工。</w:t>
            </w:r>
          </w:p>
        </w:tc>
      </w:tr>
      <w:tr w14:paraId="0CB8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noWrap w:val="0"/>
            <w:vAlign w:val="center"/>
          </w:tcPr>
          <w:p w14:paraId="48236161">
            <w:pPr>
              <w:jc w:val="center"/>
              <w:rPr>
                <w:color w:val="101010"/>
                <w:szCs w:val="21"/>
              </w:rPr>
            </w:pPr>
            <w:r>
              <w:rPr>
                <w:rFonts w:hint="eastAsia"/>
                <w:color w:val="101010"/>
                <w:szCs w:val="21"/>
              </w:rPr>
              <w:t>9</w:t>
            </w:r>
          </w:p>
        </w:tc>
        <w:tc>
          <w:tcPr>
            <w:tcW w:w="1512" w:type="dxa"/>
            <w:noWrap w:val="0"/>
            <w:vAlign w:val="center"/>
          </w:tcPr>
          <w:p w14:paraId="6E4A4304">
            <w:pPr>
              <w:jc w:val="center"/>
              <w:rPr>
                <w:color w:val="101010"/>
                <w:szCs w:val="21"/>
              </w:rPr>
            </w:pPr>
            <w:r>
              <w:rPr>
                <w:rFonts w:hint="eastAsia"/>
                <w:color w:val="101010"/>
                <w:szCs w:val="21"/>
              </w:rPr>
              <w:t>维修保养和运行记录</w:t>
            </w:r>
          </w:p>
          <w:p w14:paraId="14102DD0">
            <w:pPr>
              <w:jc w:val="center"/>
              <w:rPr>
                <w:color w:val="101010"/>
                <w:szCs w:val="21"/>
              </w:rPr>
            </w:pPr>
            <w:r>
              <w:rPr>
                <w:rFonts w:hint="eastAsia"/>
                <w:color w:val="101010"/>
                <w:szCs w:val="21"/>
              </w:rPr>
              <w:t>准确率</w:t>
            </w:r>
          </w:p>
        </w:tc>
        <w:tc>
          <w:tcPr>
            <w:tcW w:w="1205" w:type="dxa"/>
            <w:noWrap w:val="0"/>
            <w:vAlign w:val="center"/>
          </w:tcPr>
          <w:p w14:paraId="12323FDB">
            <w:pPr>
              <w:jc w:val="center"/>
              <w:rPr>
                <w:color w:val="101010"/>
                <w:szCs w:val="21"/>
              </w:rPr>
            </w:pPr>
            <w:r>
              <w:rPr>
                <w:rFonts w:hint="eastAsia"/>
                <w:color w:val="101010"/>
                <w:szCs w:val="21"/>
              </w:rPr>
              <w:t>100%</w:t>
            </w:r>
          </w:p>
        </w:tc>
        <w:tc>
          <w:tcPr>
            <w:tcW w:w="5304" w:type="dxa"/>
            <w:noWrap w:val="0"/>
            <w:vAlign w:val="center"/>
          </w:tcPr>
          <w:p w14:paraId="78AE3FD1">
            <w:pPr>
              <w:rPr>
                <w:color w:val="101010"/>
                <w:szCs w:val="21"/>
              </w:rPr>
            </w:pPr>
            <w:r>
              <w:rPr>
                <w:rFonts w:hint="eastAsia"/>
                <w:color w:val="101010"/>
                <w:szCs w:val="21"/>
              </w:rPr>
              <w:t>明确岗位责任，加强复核，定期抽查。</w:t>
            </w:r>
          </w:p>
        </w:tc>
      </w:tr>
      <w:tr w14:paraId="0595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noWrap w:val="0"/>
            <w:vAlign w:val="center"/>
          </w:tcPr>
          <w:p w14:paraId="1A31E66F">
            <w:pPr>
              <w:jc w:val="center"/>
              <w:rPr>
                <w:color w:val="101010"/>
                <w:szCs w:val="21"/>
              </w:rPr>
            </w:pPr>
            <w:r>
              <w:rPr>
                <w:rFonts w:hint="eastAsia"/>
                <w:color w:val="101010"/>
                <w:szCs w:val="21"/>
              </w:rPr>
              <w:t>10</w:t>
            </w:r>
          </w:p>
        </w:tc>
        <w:tc>
          <w:tcPr>
            <w:tcW w:w="1512" w:type="dxa"/>
            <w:noWrap w:val="0"/>
            <w:vAlign w:val="center"/>
          </w:tcPr>
          <w:p w14:paraId="614A32A6">
            <w:pPr>
              <w:jc w:val="center"/>
              <w:rPr>
                <w:color w:val="101010"/>
                <w:szCs w:val="21"/>
              </w:rPr>
            </w:pPr>
            <w:r>
              <w:rPr>
                <w:rFonts w:hint="eastAsia"/>
                <w:color w:val="101010"/>
                <w:szCs w:val="21"/>
              </w:rPr>
              <w:t>安全管理</w:t>
            </w:r>
          </w:p>
          <w:p w14:paraId="5FAEA595">
            <w:pPr>
              <w:jc w:val="center"/>
              <w:rPr>
                <w:color w:val="101010"/>
                <w:szCs w:val="21"/>
              </w:rPr>
            </w:pPr>
            <w:r>
              <w:rPr>
                <w:rFonts w:hint="eastAsia"/>
                <w:color w:val="101010"/>
                <w:szCs w:val="21"/>
              </w:rPr>
              <w:t>到位率</w:t>
            </w:r>
          </w:p>
        </w:tc>
        <w:tc>
          <w:tcPr>
            <w:tcW w:w="1205" w:type="dxa"/>
            <w:noWrap w:val="0"/>
            <w:vAlign w:val="center"/>
          </w:tcPr>
          <w:p w14:paraId="025CDC44">
            <w:pPr>
              <w:jc w:val="center"/>
              <w:rPr>
                <w:color w:val="101010"/>
                <w:szCs w:val="21"/>
              </w:rPr>
            </w:pPr>
            <w:r>
              <w:rPr>
                <w:rFonts w:hint="eastAsia"/>
                <w:color w:val="101010"/>
                <w:szCs w:val="21"/>
              </w:rPr>
              <w:t>100%</w:t>
            </w:r>
          </w:p>
        </w:tc>
        <w:tc>
          <w:tcPr>
            <w:tcW w:w="5304" w:type="dxa"/>
            <w:noWrap w:val="0"/>
            <w:vAlign w:val="center"/>
          </w:tcPr>
          <w:p w14:paraId="3480BB42">
            <w:pPr>
              <w:rPr>
                <w:color w:val="101010"/>
                <w:szCs w:val="21"/>
              </w:rPr>
            </w:pPr>
            <w:r>
              <w:rPr>
                <w:rFonts w:hint="eastAsia"/>
                <w:color w:val="101010"/>
                <w:szCs w:val="21"/>
              </w:rPr>
              <w:t xml:space="preserve">办公区内值班岗位设置严密，明确责任区域有突发事件和不安全隐患及时报告招标人，配合招标人处理有关安全事宜，制定各类突发事件应急预案以突发事件（必须包含火灾、自然灾害、游行示威等），杜绝管理不到位引发的各类案件。  </w:t>
            </w:r>
          </w:p>
        </w:tc>
      </w:tr>
      <w:tr w14:paraId="5221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noWrap w:val="0"/>
            <w:vAlign w:val="center"/>
          </w:tcPr>
          <w:p w14:paraId="33D6C843">
            <w:pPr>
              <w:jc w:val="center"/>
              <w:rPr>
                <w:color w:val="101010"/>
                <w:szCs w:val="21"/>
              </w:rPr>
            </w:pPr>
            <w:r>
              <w:rPr>
                <w:rFonts w:hint="eastAsia"/>
                <w:color w:val="101010"/>
                <w:szCs w:val="21"/>
              </w:rPr>
              <w:t>11</w:t>
            </w:r>
          </w:p>
        </w:tc>
        <w:tc>
          <w:tcPr>
            <w:tcW w:w="1512" w:type="dxa"/>
            <w:noWrap w:val="0"/>
            <w:vAlign w:val="center"/>
          </w:tcPr>
          <w:p w14:paraId="0C8352B8">
            <w:pPr>
              <w:jc w:val="center"/>
              <w:rPr>
                <w:color w:val="101010"/>
                <w:szCs w:val="21"/>
              </w:rPr>
            </w:pPr>
            <w:r>
              <w:rPr>
                <w:rFonts w:hint="eastAsia"/>
                <w:color w:val="101010"/>
                <w:szCs w:val="21"/>
              </w:rPr>
              <w:t>加强物业保安员的培训率</w:t>
            </w:r>
          </w:p>
        </w:tc>
        <w:tc>
          <w:tcPr>
            <w:tcW w:w="1205" w:type="dxa"/>
            <w:noWrap w:val="0"/>
            <w:vAlign w:val="center"/>
          </w:tcPr>
          <w:p w14:paraId="344E33BC">
            <w:pPr>
              <w:jc w:val="center"/>
              <w:rPr>
                <w:color w:val="101010"/>
                <w:szCs w:val="21"/>
              </w:rPr>
            </w:pPr>
            <w:r>
              <w:rPr>
                <w:rFonts w:hint="eastAsia"/>
                <w:color w:val="101010"/>
                <w:szCs w:val="21"/>
              </w:rPr>
              <w:t>100%</w:t>
            </w:r>
          </w:p>
        </w:tc>
        <w:tc>
          <w:tcPr>
            <w:tcW w:w="5304" w:type="dxa"/>
            <w:noWrap w:val="0"/>
            <w:vAlign w:val="center"/>
          </w:tcPr>
          <w:p w14:paraId="3490483B">
            <w:pPr>
              <w:rPr>
                <w:color w:val="101010"/>
                <w:szCs w:val="21"/>
              </w:rPr>
            </w:pPr>
            <w:r>
              <w:rPr>
                <w:rFonts w:hint="eastAsia"/>
                <w:color w:val="101010"/>
                <w:szCs w:val="21"/>
              </w:rPr>
              <w:t>聘用的保安，必须经过培训才能上岗，年龄不得超过50岁，每个季度必须对保安进行业务培训（培训必须有培训材料、培训图片）。</w:t>
            </w:r>
          </w:p>
        </w:tc>
      </w:tr>
      <w:tr w14:paraId="2D375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noWrap w:val="0"/>
            <w:vAlign w:val="center"/>
          </w:tcPr>
          <w:p w14:paraId="026A9C4E">
            <w:pPr>
              <w:jc w:val="center"/>
              <w:rPr>
                <w:color w:val="101010"/>
                <w:szCs w:val="21"/>
              </w:rPr>
            </w:pPr>
            <w:r>
              <w:rPr>
                <w:rFonts w:hint="eastAsia"/>
                <w:color w:val="101010"/>
                <w:szCs w:val="21"/>
              </w:rPr>
              <w:t>12</w:t>
            </w:r>
          </w:p>
        </w:tc>
        <w:tc>
          <w:tcPr>
            <w:tcW w:w="1512" w:type="dxa"/>
            <w:noWrap w:val="0"/>
            <w:vAlign w:val="center"/>
          </w:tcPr>
          <w:p w14:paraId="4C81C888">
            <w:pPr>
              <w:jc w:val="center"/>
              <w:rPr>
                <w:color w:val="101010"/>
                <w:szCs w:val="21"/>
              </w:rPr>
            </w:pPr>
            <w:r>
              <w:rPr>
                <w:rFonts w:hint="eastAsia"/>
                <w:color w:val="101010"/>
                <w:szCs w:val="21"/>
              </w:rPr>
              <w:t>清洁保洁</w:t>
            </w:r>
          </w:p>
          <w:p w14:paraId="7B410633">
            <w:pPr>
              <w:jc w:val="center"/>
              <w:rPr>
                <w:color w:val="101010"/>
                <w:szCs w:val="21"/>
              </w:rPr>
            </w:pPr>
            <w:r>
              <w:rPr>
                <w:rFonts w:hint="eastAsia"/>
                <w:color w:val="101010"/>
                <w:szCs w:val="21"/>
              </w:rPr>
              <w:t>达标率</w:t>
            </w:r>
          </w:p>
        </w:tc>
        <w:tc>
          <w:tcPr>
            <w:tcW w:w="1205" w:type="dxa"/>
            <w:noWrap w:val="0"/>
            <w:vAlign w:val="center"/>
          </w:tcPr>
          <w:p w14:paraId="16250FC3">
            <w:pPr>
              <w:jc w:val="center"/>
              <w:rPr>
                <w:color w:val="101010"/>
                <w:szCs w:val="21"/>
              </w:rPr>
            </w:pPr>
            <w:r>
              <w:rPr>
                <w:rFonts w:hint="eastAsia"/>
                <w:color w:val="101010"/>
                <w:szCs w:val="21"/>
              </w:rPr>
              <w:t>≥99%</w:t>
            </w:r>
          </w:p>
        </w:tc>
        <w:tc>
          <w:tcPr>
            <w:tcW w:w="5304" w:type="dxa"/>
            <w:noWrap w:val="0"/>
            <w:vAlign w:val="center"/>
          </w:tcPr>
          <w:p w14:paraId="633B8797">
            <w:pPr>
              <w:rPr>
                <w:color w:val="101010"/>
                <w:szCs w:val="21"/>
              </w:rPr>
            </w:pPr>
            <w:r>
              <w:rPr>
                <w:rFonts w:hint="eastAsia"/>
                <w:color w:val="101010"/>
                <w:szCs w:val="21"/>
              </w:rPr>
              <w:t xml:space="preserve">保证保洁区域内卫生的干净。  </w:t>
            </w:r>
          </w:p>
        </w:tc>
      </w:tr>
      <w:tr w14:paraId="65428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noWrap w:val="0"/>
            <w:vAlign w:val="center"/>
          </w:tcPr>
          <w:p w14:paraId="0C906657">
            <w:pPr>
              <w:jc w:val="center"/>
              <w:rPr>
                <w:color w:val="101010"/>
                <w:szCs w:val="21"/>
              </w:rPr>
            </w:pPr>
            <w:r>
              <w:rPr>
                <w:rFonts w:hint="eastAsia"/>
                <w:color w:val="101010"/>
                <w:szCs w:val="21"/>
              </w:rPr>
              <w:t>13</w:t>
            </w:r>
          </w:p>
        </w:tc>
        <w:tc>
          <w:tcPr>
            <w:tcW w:w="1512" w:type="dxa"/>
            <w:noWrap w:val="0"/>
            <w:vAlign w:val="center"/>
          </w:tcPr>
          <w:p w14:paraId="0D09F5C5">
            <w:pPr>
              <w:jc w:val="center"/>
              <w:rPr>
                <w:color w:val="101010"/>
                <w:szCs w:val="21"/>
              </w:rPr>
            </w:pPr>
            <w:r>
              <w:rPr>
                <w:rFonts w:hint="eastAsia"/>
                <w:color w:val="101010"/>
                <w:szCs w:val="21"/>
              </w:rPr>
              <w:t>客户投诉</w:t>
            </w:r>
          </w:p>
          <w:p w14:paraId="50C02E62">
            <w:pPr>
              <w:jc w:val="center"/>
              <w:rPr>
                <w:color w:val="101010"/>
                <w:szCs w:val="21"/>
              </w:rPr>
            </w:pPr>
            <w:r>
              <w:rPr>
                <w:rFonts w:hint="eastAsia"/>
                <w:color w:val="101010"/>
                <w:szCs w:val="21"/>
              </w:rPr>
              <w:t>处理率</w:t>
            </w:r>
          </w:p>
        </w:tc>
        <w:tc>
          <w:tcPr>
            <w:tcW w:w="1205" w:type="dxa"/>
            <w:noWrap w:val="0"/>
            <w:vAlign w:val="center"/>
          </w:tcPr>
          <w:p w14:paraId="2046CB22">
            <w:pPr>
              <w:jc w:val="center"/>
              <w:rPr>
                <w:color w:val="101010"/>
                <w:szCs w:val="21"/>
              </w:rPr>
            </w:pPr>
            <w:r>
              <w:rPr>
                <w:rFonts w:hint="eastAsia"/>
                <w:color w:val="101010"/>
                <w:szCs w:val="21"/>
              </w:rPr>
              <w:t>100%</w:t>
            </w:r>
          </w:p>
        </w:tc>
        <w:tc>
          <w:tcPr>
            <w:tcW w:w="5304" w:type="dxa"/>
            <w:noWrap w:val="0"/>
            <w:vAlign w:val="center"/>
          </w:tcPr>
          <w:p w14:paraId="62162FA2">
            <w:pPr>
              <w:rPr>
                <w:color w:val="101010"/>
                <w:szCs w:val="21"/>
              </w:rPr>
            </w:pPr>
            <w:r>
              <w:rPr>
                <w:rFonts w:hint="eastAsia"/>
                <w:color w:val="101010"/>
                <w:szCs w:val="21"/>
              </w:rPr>
              <w:t xml:space="preserve">有效投诉在第一时间内解决，无效投诉及时给予 回复  </w:t>
            </w:r>
          </w:p>
        </w:tc>
      </w:tr>
      <w:tr w14:paraId="64E2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noWrap w:val="0"/>
            <w:vAlign w:val="center"/>
          </w:tcPr>
          <w:p w14:paraId="2087223B">
            <w:pPr>
              <w:jc w:val="center"/>
              <w:rPr>
                <w:color w:val="101010"/>
                <w:szCs w:val="21"/>
              </w:rPr>
            </w:pPr>
            <w:r>
              <w:rPr>
                <w:rFonts w:hint="eastAsia"/>
                <w:color w:val="101010"/>
                <w:szCs w:val="21"/>
              </w:rPr>
              <w:t>14</w:t>
            </w:r>
          </w:p>
        </w:tc>
        <w:tc>
          <w:tcPr>
            <w:tcW w:w="1512" w:type="dxa"/>
            <w:noWrap w:val="0"/>
            <w:vAlign w:val="center"/>
          </w:tcPr>
          <w:p w14:paraId="53C3CC2B">
            <w:pPr>
              <w:jc w:val="center"/>
              <w:rPr>
                <w:color w:val="101010"/>
                <w:szCs w:val="21"/>
              </w:rPr>
            </w:pPr>
            <w:r>
              <w:rPr>
                <w:rFonts w:hint="eastAsia"/>
                <w:color w:val="101010"/>
                <w:szCs w:val="21"/>
              </w:rPr>
              <w:t>员工违章</w:t>
            </w:r>
          </w:p>
          <w:p w14:paraId="10D32278">
            <w:pPr>
              <w:jc w:val="center"/>
              <w:rPr>
                <w:color w:val="101010"/>
                <w:szCs w:val="21"/>
              </w:rPr>
            </w:pPr>
            <w:r>
              <w:rPr>
                <w:rFonts w:hint="eastAsia"/>
                <w:color w:val="101010"/>
                <w:szCs w:val="21"/>
              </w:rPr>
              <w:t>发生率</w:t>
            </w:r>
          </w:p>
        </w:tc>
        <w:tc>
          <w:tcPr>
            <w:tcW w:w="1205" w:type="dxa"/>
            <w:noWrap w:val="0"/>
            <w:vAlign w:val="center"/>
          </w:tcPr>
          <w:p w14:paraId="006FD1F5">
            <w:pPr>
              <w:jc w:val="center"/>
              <w:rPr>
                <w:color w:val="101010"/>
                <w:szCs w:val="21"/>
              </w:rPr>
            </w:pPr>
            <w:r>
              <w:rPr>
                <w:rFonts w:hint="eastAsia"/>
                <w:color w:val="101010"/>
                <w:szCs w:val="21"/>
              </w:rPr>
              <w:t>≤1%</w:t>
            </w:r>
          </w:p>
        </w:tc>
        <w:tc>
          <w:tcPr>
            <w:tcW w:w="5304" w:type="dxa"/>
            <w:noWrap w:val="0"/>
            <w:vAlign w:val="center"/>
          </w:tcPr>
          <w:p w14:paraId="253FE251">
            <w:pPr>
              <w:rPr>
                <w:color w:val="101010"/>
                <w:szCs w:val="21"/>
              </w:rPr>
            </w:pPr>
            <w:r>
              <w:rPr>
                <w:rFonts w:hint="eastAsia"/>
                <w:color w:val="101010"/>
                <w:szCs w:val="21"/>
              </w:rPr>
              <w:t>加强教育，严格管理。</w:t>
            </w:r>
          </w:p>
        </w:tc>
      </w:tr>
      <w:tr w14:paraId="1F2B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noWrap w:val="0"/>
            <w:vAlign w:val="center"/>
          </w:tcPr>
          <w:p w14:paraId="1E7A38DE">
            <w:pPr>
              <w:jc w:val="center"/>
              <w:rPr>
                <w:color w:val="101010"/>
                <w:szCs w:val="21"/>
              </w:rPr>
            </w:pPr>
            <w:r>
              <w:rPr>
                <w:rFonts w:hint="eastAsia"/>
                <w:color w:val="101010"/>
                <w:szCs w:val="21"/>
              </w:rPr>
              <w:t>15</w:t>
            </w:r>
          </w:p>
        </w:tc>
        <w:tc>
          <w:tcPr>
            <w:tcW w:w="1512" w:type="dxa"/>
            <w:noWrap w:val="0"/>
            <w:vAlign w:val="center"/>
          </w:tcPr>
          <w:p w14:paraId="6568EB24">
            <w:pPr>
              <w:jc w:val="center"/>
              <w:rPr>
                <w:color w:val="101010"/>
                <w:szCs w:val="21"/>
              </w:rPr>
            </w:pPr>
            <w:r>
              <w:rPr>
                <w:rFonts w:hint="eastAsia"/>
                <w:color w:val="101010"/>
                <w:szCs w:val="21"/>
              </w:rPr>
              <w:t>员工违章</w:t>
            </w:r>
          </w:p>
          <w:p w14:paraId="3736700F">
            <w:pPr>
              <w:jc w:val="center"/>
              <w:rPr>
                <w:color w:val="101010"/>
                <w:szCs w:val="21"/>
              </w:rPr>
            </w:pPr>
            <w:r>
              <w:rPr>
                <w:rFonts w:hint="eastAsia"/>
                <w:color w:val="101010"/>
                <w:szCs w:val="21"/>
              </w:rPr>
              <w:t>处理率</w:t>
            </w:r>
          </w:p>
        </w:tc>
        <w:tc>
          <w:tcPr>
            <w:tcW w:w="1205" w:type="dxa"/>
            <w:noWrap w:val="0"/>
            <w:vAlign w:val="center"/>
          </w:tcPr>
          <w:p w14:paraId="5CDE8538">
            <w:pPr>
              <w:jc w:val="center"/>
              <w:rPr>
                <w:color w:val="101010"/>
                <w:szCs w:val="21"/>
              </w:rPr>
            </w:pPr>
            <w:r>
              <w:rPr>
                <w:rFonts w:hint="eastAsia"/>
                <w:color w:val="101010"/>
                <w:szCs w:val="21"/>
              </w:rPr>
              <w:t>100%</w:t>
            </w:r>
          </w:p>
        </w:tc>
        <w:tc>
          <w:tcPr>
            <w:tcW w:w="5304" w:type="dxa"/>
            <w:noWrap w:val="0"/>
            <w:vAlign w:val="center"/>
          </w:tcPr>
          <w:p w14:paraId="4B764DAF">
            <w:pPr>
              <w:rPr>
                <w:color w:val="101010"/>
                <w:szCs w:val="21"/>
              </w:rPr>
            </w:pPr>
            <w:r>
              <w:rPr>
                <w:rFonts w:hint="eastAsia"/>
                <w:color w:val="101010"/>
                <w:szCs w:val="21"/>
              </w:rPr>
              <w:t>及时发现，及时处理。</w:t>
            </w:r>
          </w:p>
        </w:tc>
      </w:tr>
    </w:tbl>
    <w:p w14:paraId="65791622"/>
    <w:p w14:paraId="14C4B2D0"/>
    <w:p w14:paraId="529029F0">
      <w:pPr>
        <w:spacing w:line="360" w:lineRule="auto"/>
        <w:ind w:firstLine="482" w:firstLineChars="200"/>
        <w:rPr>
          <w:b/>
          <w:sz w:val="24"/>
        </w:rPr>
      </w:pPr>
      <w:r>
        <w:rPr>
          <w:rFonts w:hint="eastAsia"/>
          <w:b/>
          <w:sz w:val="24"/>
        </w:rPr>
        <w:t>（二）环境清洁服务</w:t>
      </w:r>
    </w:p>
    <w:p w14:paraId="4FFF7910">
      <w:pPr>
        <w:spacing w:line="360" w:lineRule="auto"/>
        <w:ind w:firstLine="480" w:firstLineChars="200"/>
        <w:rPr>
          <w:sz w:val="24"/>
        </w:rPr>
      </w:pPr>
      <w:r>
        <w:rPr>
          <w:rFonts w:hint="eastAsia"/>
          <w:sz w:val="24"/>
        </w:rPr>
        <w:t>【服务内容】</w:t>
      </w:r>
    </w:p>
    <w:p w14:paraId="4972B7EC">
      <w:pPr>
        <w:spacing w:line="360" w:lineRule="auto"/>
        <w:ind w:firstLine="480" w:firstLineChars="200"/>
        <w:rPr>
          <w:sz w:val="24"/>
        </w:rPr>
      </w:pPr>
      <w:r>
        <w:rPr>
          <w:rFonts w:hint="eastAsia"/>
          <w:sz w:val="24"/>
        </w:rPr>
        <w:t>办公楼（区）内楼梯、大厅、走廊、天台、电梯间、卫生间、公共活动场所、楼宇外墙等所有公共部位，办公区域道路、停车场（库）等所有公共场地及“门前三包”区域的日常清洁保养，及环境消杀。</w:t>
      </w:r>
    </w:p>
    <w:p w14:paraId="6FBB4EFC">
      <w:pPr>
        <w:spacing w:line="360" w:lineRule="auto"/>
        <w:ind w:firstLine="480" w:firstLineChars="200"/>
        <w:rPr>
          <w:sz w:val="24"/>
        </w:rPr>
      </w:pPr>
    </w:p>
    <w:p w14:paraId="36A9016E">
      <w:pPr>
        <w:spacing w:line="360" w:lineRule="auto"/>
        <w:ind w:firstLine="480" w:firstLineChars="200"/>
        <w:rPr>
          <w:sz w:val="24"/>
        </w:rPr>
      </w:pPr>
      <w:r>
        <w:rPr>
          <w:rFonts w:hint="eastAsia"/>
          <w:sz w:val="24"/>
        </w:rPr>
        <w:t>【基本要求】</w:t>
      </w:r>
    </w:p>
    <w:p w14:paraId="08E58BA8">
      <w:pPr>
        <w:spacing w:line="360" w:lineRule="auto"/>
        <w:ind w:firstLine="480" w:firstLineChars="200"/>
        <w:rPr>
          <w:sz w:val="24"/>
        </w:rPr>
      </w:pPr>
      <w:r>
        <w:rPr>
          <w:rFonts w:hint="eastAsia"/>
          <w:sz w:val="24"/>
        </w:rPr>
        <w:t>（1）建立相关保洁制度、消杀制度和具体操作规程，清洁服务定时定点，按照操作规范进行，保持物业服务区域环境整洁、干净，生活垃圾日产日清，使用环保清洁剂；</w:t>
      </w:r>
    </w:p>
    <w:p w14:paraId="2AAC05C5">
      <w:pPr>
        <w:spacing w:line="360" w:lineRule="auto"/>
        <w:ind w:firstLine="480" w:firstLineChars="200"/>
        <w:rPr>
          <w:sz w:val="24"/>
        </w:rPr>
      </w:pPr>
      <w:r>
        <w:rPr>
          <w:rFonts w:hint="eastAsia"/>
          <w:sz w:val="24"/>
        </w:rPr>
        <w:t>（2）物业服务区域应禁止有污染物和污染源的物品存放，设备检修油污根据业主要求及时清理；</w:t>
      </w:r>
    </w:p>
    <w:p w14:paraId="396029CE">
      <w:pPr>
        <w:spacing w:line="360" w:lineRule="auto"/>
        <w:ind w:firstLine="480" w:firstLineChars="200"/>
        <w:rPr>
          <w:sz w:val="24"/>
        </w:rPr>
      </w:pPr>
      <w:r>
        <w:rPr>
          <w:rFonts w:hint="eastAsia"/>
          <w:sz w:val="24"/>
        </w:rPr>
        <w:t>（3）保洁员经过培训上岗，要统一着工作服操作服务，外聘进行保洁消杀工作的应保证持有资格证书的专业消杀单位进行；</w:t>
      </w:r>
    </w:p>
    <w:p w14:paraId="12CC23BD">
      <w:pPr>
        <w:spacing w:line="360" w:lineRule="auto"/>
        <w:ind w:firstLine="480" w:firstLineChars="200"/>
        <w:rPr>
          <w:sz w:val="24"/>
        </w:rPr>
      </w:pPr>
      <w:r>
        <w:rPr>
          <w:rFonts w:hint="eastAsia"/>
          <w:sz w:val="24"/>
        </w:rPr>
        <w:t>（4）保洁冲洗建筑物公共场所、过道、楼梯和大堂等地面，现场应设置“注意防滑”等安全标识；</w:t>
      </w:r>
    </w:p>
    <w:p w14:paraId="1275A66E">
      <w:pPr>
        <w:spacing w:line="360" w:lineRule="auto"/>
        <w:ind w:firstLine="480" w:firstLineChars="200"/>
        <w:rPr>
          <w:sz w:val="24"/>
        </w:rPr>
      </w:pPr>
      <w:r>
        <w:rPr>
          <w:rFonts w:hint="eastAsia"/>
          <w:sz w:val="24"/>
        </w:rPr>
        <w:t>（5）日常各项保洁服务工作应有记录，每个月进行1次汇总存档；</w:t>
      </w:r>
    </w:p>
    <w:p w14:paraId="664075DE">
      <w:pPr>
        <w:spacing w:line="360" w:lineRule="auto"/>
        <w:ind w:firstLine="480" w:firstLineChars="200"/>
        <w:rPr>
          <w:sz w:val="24"/>
        </w:rPr>
      </w:pPr>
    </w:p>
    <w:p w14:paraId="5C20956A">
      <w:pPr>
        <w:spacing w:line="360" w:lineRule="auto"/>
        <w:ind w:firstLine="480" w:firstLineChars="200"/>
        <w:rPr>
          <w:sz w:val="24"/>
        </w:rPr>
      </w:pPr>
      <w:r>
        <w:rPr>
          <w:rFonts w:hint="eastAsia"/>
          <w:sz w:val="24"/>
        </w:rPr>
        <w:t>【日常清洁服务标准】</w:t>
      </w:r>
    </w:p>
    <w:p w14:paraId="7C77315D">
      <w:pPr>
        <w:spacing w:line="360" w:lineRule="auto"/>
        <w:ind w:firstLine="480" w:firstLineChars="200"/>
        <w:rPr>
          <w:sz w:val="24"/>
        </w:rPr>
      </w:pPr>
      <w:r>
        <w:rPr>
          <w:rFonts w:hint="eastAsia"/>
          <w:sz w:val="24"/>
        </w:rPr>
        <w:t>建立环境卫生管理制度并认真落实，环卫设施齐备；实行标准化清扫保洁，由专人负责检查监督，清洁率100%。具体区域标准：</w:t>
      </w:r>
    </w:p>
    <w:p w14:paraId="14C61B53">
      <w:pPr>
        <w:spacing w:line="360" w:lineRule="auto"/>
        <w:ind w:firstLine="480" w:firstLineChars="200"/>
        <w:rPr>
          <w:sz w:val="24"/>
        </w:rPr>
      </w:pPr>
      <w:r>
        <w:rPr>
          <w:rFonts w:hint="eastAsia"/>
          <w:sz w:val="24"/>
        </w:rPr>
        <w:t>外围及周边道路</w:t>
      </w:r>
      <w:r>
        <w:rPr>
          <w:rFonts w:hint="eastAsia"/>
          <w:sz w:val="24"/>
          <w:lang w:val="en-US" w:eastAsia="zh-CN"/>
        </w:rPr>
        <w:t xml:space="preserve"> </w:t>
      </w:r>
      <w:r>
        <w:rPr>
          <w:rFonts w:hint="eastAsia"/>
          <w:sz w:val="24"/>
        </w:rPr>
        <w:t>地面干净无杂物、无积水，无明显污迹、油渍；明沟、窨井内无杂物、无异味；各种标示标牌表面干净无积尘、无水印；路灯表面干净无污渍。</w:t>
      </w:r>
    </w:p>
    <w:p w14:paraId="2A4B4934">
      <w:pPr>
        <w:spacing w:line="360" w:lineRule="auto"/>
        <w:ind w:firstLine="480" w:firstLineChars="200"/>
        <w:rPr>
          <w:sz w:val="24"/>
        </w:rPr>
      </w:pPr>
      <w:r>
        <w:rPr>
          <w:rFonts w:hint="eastAsia"/>
          <w:sz w:val="24"/>
        </w:rPr>
        <w:t>绿化带及水池 绿地内无杂物，花台表面干净无污渍，水池内水质清澈，池内无漂浮物，池壁无青苔等污垢，水池无异味。</w:t>
      </w:r>
    </w:p>
    <w:p w14:paraId="46670181">
      <w:pPr>
        <w:spacing w:line="360" w:lineRule="auto"/>
        <w:ind w:firstLine="480" w:firstLineChars="200"/>
        <w:rPr>
          <w:sz w:val="24"/>
        </w:rPr>
      </w:pPr>
      <w:r>
        <w:rPr>
          <w:rFonts w:hint="eastAsia"/>
          <w:sz w:val="24"/>
        </w:rPr>
        <w:t>大厅、楼内、公共通道 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0C355CB8">
      <w:pPr>
        <w:spacing w:line="360" w:lineRule="auto"/>
        <w:ind w:firstLine="480" w:firstLineChars="200"/>
        <w:rPr>
          <w:sz w:val="24"/>
        </w:rPr>
      </w:pPr>
      <w:r>
        <w:rPr>
          <w:rFonts w:hint="eastAsia"/>
          <w:sz w:val="24"/>
        </w:rPr>
        <w:t>会议室、接待室 地面、墙面、干净，无灰尘、污渍；天花板、风口目视无灰尘、污渍；桌椅干净，物品摆放整齐、有序。</w:t>
      </w:r>
    </w:p>
    <w:p w14:paraId="56412C3F">
      <w:pPr>
        <w:spacing w:line="360" w:lineRule="auto"/>
        <w:ind w:firstLine="480" w:firstLineChars="200"/>
        <w:rPr>
          <w:sz w:val="24"/>
        </w:rPr>
      </w:pPr>
      <w:r>
        <w:rPr>
          <w:rFonts w:hint="eastAsia"/>
          <w:sz w:val="24"/>
        </w:rPr>
        <w:t>楼梯及楼梯间 梯步表面干净无污渍，防滑条（缝）干净，扶手栏杆表面干净无灰尘，防火门及闭门器表面干净无污渍，墙面、天花板无积尘、蛛网。</w:t>
      </w:r>
    </w:p>
    <w:p w14:paraId="1115FB15">
      <w:pPr>
        <w:spacing w:line="360" w:lineRule="auto"/>
        <w:ind w:firstLine="480" w:firstLineChars="200"/>
        <w:rPr>
          <w:sz w:val="24"/>
        </w:rPr>
      </w:pPr>
      <w:r>
        <w:rPr>
          <w:rFonts w:hint="eastAsia"/>
          <w:sz w:val="24"/>
        </w:rPr>
        <w:t>公共卫生间 地面干净，无污渍、无积水，大小便器表面干净，无污渍，有光泽；各种隔断表面干净，无乱写乱画，金属饰件表面干净，无污迹，有金属光泽；墙壁表面干净，天花板无污渍、蛛网；风口或换气扇表面干净无积尘；门窗表面干净，窗台无灰尘；玻璃干净无水渍；洗手台干净无积水，面盆无污垢；各种管道表面干净无污渍；各种物品摆放整齐规范；废纸篓杂物超过2/3应及时倾倒，卫生间内空气流通并且无明显异味。</w:t>
      </w:r>
    </w:p>
    <w:p w14:paraId="265A8FA7">
      <w:pPr>
        <w:spacing w:line="360" w:lineRule="auto"/>
        <w:ind w:firstLine="480" w:firstLineChars="200"/>
        <w:rPr>
          <w:sz w:val="24"/>
        </w:rPr>
      </w:pPr>
      <w:r>
        <w:rPr>
          <w:rFonts w:hint="eastAsia"/>
          <w:sz w:val="24"/>
        </w:rPr>
        <w:t>停车场 地面干净，无杂物，无明显油渍、污渍；顶部各种管网、灯具表面干净无积尘、蛛网；墙面干净无积尘，各种指示牌表面干净有光泽；消防器材表面干净，摆放整齐；减速带表面干净无明显污迹，各种道闸表面无灰尘。</w:t>
      </w:r>
    </w:p>
    <w:p w14:paraId="65A35FB4">
      <w:pPr>
        <w:spacing w:line="360" w:lineRule="auto"/>
        <w:ind w:firstLine="480" w:firstLineChars="200"/>
        <w:rPr>
          <w:sz w:val="24"/>
        </w:rPr>
      </w:pPr>
      <w:r>
        <w:rPr>
          <w:rFonts w:hint="eastAsia"/>
          <w:sz w:val="24"/>
        </w:rPr>
        <w:t>开水间及清洁间 地面干净，无杂物、无积水，地垫摆放整齐干净，天花板干净无蛛网，灯罩表面无积尘、蛛网，墙面干净无污渍，各种物品表面干净无渍，清洁工具摆放整齐有序，室内无明显异味。</w:t>
      </w:r>
    </w:p>
    <w:p w14:paraId="5C3951B1">
      <w:pPr>
        <w:spacing w:line="360" w:lineRule="auto"/>
        <w:ind w:firstLine="480" w:firstLineChars="200"/>
        <w:rPr>
          <w:sz w:val="24"/>
        </w:rPr>
      </w:pPr>
      <w:r>
        <w:rPr>
          <w:rFonts w:hint="eastAsia"/>
          <w:sz w:val="24"/>
        </w:rPr>
        <w:t>电梯及电梯厅 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14:paraId="75B05C2B">
      <w:pPr>
        <w:spacing w:line="360" w:lineRule="auto"/>
        <w:ind w:firstLine="480" w:firstLineChars="200"/>
        <w:rPr>
          <w:sz w:val="24"/>
        </w:rPr>
      </w:pPr>
      <w:r>
        <w:rPr>
          <w:rFonts w:hint="eastAsia"/>
          <w:sz w:val="24"/>
        </w:rPr>
        <w:t>电器设施 灯泡、灯管、灯罩无积尘、无污迹。装饰件无积尘、无污迹；开关、插座、配电箱无积尘、无明显污迹。</w:t>
      </w:r>
    </w:p>
    <w:p w14:paraId="4D9FC978">
      <w:pPr>
        <w:spacing w:line="360" w:lineRule="auto"/>
        <w:ind w:firstLine="480" w:firstLineChars="200"/>
        <w:rPr>
          <w:sz w:val="24"/>
        </w:rPr>
      </w:pPr>
      <w:r>
        <w:rPr>
          <w:rFonts w:hint="eastAsia"/>
          <w:sz w:val="24"/>
        </w:rPr>
        <w:t>垃圾桶及果皮箱 桶、箱按指定位置摆放，桶身表面干净无污渍无痰迹，烟灰缸内烟头不应超过3个，垃圾不应超过2/3，内胆应定期清洁、消毒。</w:t>
      </w:r>
    </w:p>
    <w:p w14:paraId="68D1B5DA">
      <w:pPr>
        <w:spacing w:line="360" w:lineRule="auto"/>
        <w:ind w:firstLine="480" w:firstLineChars="200"/>
        <w:rPr>
          <w:sz w:val="24"/>
        </w:rPr>
      </w:pPr>
      <w:r>
        <w:rPr>
          <w:rFonts w:hint="eastAsia"/>
          <w:sz w:val="24"/>
        </w:rPr>
        <w:t>消防栓、消防箱、公共设施 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205B19A8">
      <w:pPr>
        <w:spacing w:line="360" w:lineRule="auto"/>
        <w:ind w:firstLine="480" w:firstLineChars="200"/>
        <w:rPr>
          <w:sz w:val="24"/>
        </w:rPr>
      </w:pPr>
      <w:r>
        <w:rPr>
          <w:rFonts w:hint="eastAsia"/>
          <w:sz w:val="24"/>
        </w:rPr>
        <w:t>垃圾中转 垃圾中转应专人管理，袋装垃圾摆放整齐，地面无明显垃圾，无污水外溢，无明显异味，垃圾日产日清。</w:t>
      </w:r>
    </w:p>
    <w:p w14:paraId="06DD36FD">
      <w:pPr>
        <w:spacing w:line="360" w:lineRule="auto"/>
        <w:ind w:firstLine="480" w:firstLineChars="200"/>
        <w:rPr>
          <w:sz w:val="24"/>
        </w:rPr>
      </w:pPr>
      <w:r>
        <w:rPr>
          <w:rFonts w:hint="eastAsia"/>
          <w:sz w:val="24"/>
        </w:rPr>
        <w:t>设备机房、管道、指示牌 无卫生死角、无垃圾堆积，无积尘、目视无蜘蛛网、无明显污渍、无水渍；指示牌、广告牌无灰尘、无污迹，金属件表面光亮，无痕迹。</w:t>
      </w:r>
    </w:p>
    <w:p w14:paraId="651C8C59">
      <w:pPr>
        <w:spacing w:line="360" w:lineRule="auto"/>
        <w:ind w:firstLine="480" w:firstLineChars="200"/>
        <w:rPr>
          <w:sz w:val="24"/>
        </w:rPr>
      </w:pPr>
      <w:r>
        <w:rPr>
          <w:rFonts w:hint="eastAsia"/>
          <w:sz w:val="24"/>
        </w:rPr>
        <w:t>【消杀服务】</w:t>
      </w:r>
    </w:p>
    <w:p w14:paraId="3B0E8734">
      <w:pPr>
        <w:spacing w:line="360" w:lineRule="auto"/>
        <w:ind w:firstLine="480" w:firstLineChars="200"/>
        <w:rPr>
          <w:sz w:val="24"/>
        </w:rPr>
      </w:pPr>
      <w:r>
        <w:rPr>
          <w:rFonts w:hint="eastAsia"/>
          <w:sz w:val="24"/>
        </w:rPr>
        <w:t>1、服务内容： 灭鼠、灭蚊、灭蝇、灭蟑螂达到全国爱卫会规定的标准。科学有效地进行卫生消毒。</w:t>
      </w:r>
    </w:p>
    <w:p w14:paraId="1EAA00AA">
      <w:pPr>
        <w:spacing w:line="360" w:lineRule="auto"/>
        <w:ind w:firstLine="480" w:firstLineChars="200"/>
        <w:rPr>
          <w:sz w:val="24"/>
        </w:rPr>
      </w:pPr>
      <w:r>
        <w:rPr>
          <w:rFonts w:hint="eastAsia"/>
          <w:sz w:val="24"/>
        </w:rPr>
        <w:t>2、服务标准：采取综合措施消灭老鼠，鼠密度用粉迹法测定不得超过5%，用鼠夹法测定不得超过1%，鼠征阳性房间不得超过2%；严格控制室内苍蝇孳生地，办公室、大厅、走廊、车库及室内公共部分都应达到基本无蝇；采取综合措施杀灭蟑螂，房间蟑螂侵害率不得超过5%，有蟑螂房间的成虫数不超过5只；有蟑螂未孵化卵荚的房间不得超过2%，有卵荚平均数不得超过2个；严格控制室内外蚊虫孳生，逐步做到有蚊房间的蚊数不得超过3只。定期科学有效地对办公区进行卫生消毒。在化学防治中，注重科学合理用药，不使用国家禁用的药品。</w:t>
      </w:r>
    </w:p>
    <w:p w14:paraId="6ABD7923">
      <w:pPr>
        <w:spacing w:line="360" w:lineRule="auto"/>
        <w:ind w:firstLine="480"/>
        <w:rPr>
          <w:sz w:val="24"/>
        </w:rPr>
      </w:pPr>
    </w:p>
    <w:p w14:paraId="00C3ADF4">
      <w:pPr>
        <w:spacing w:line="360" w:lineRule="auto"/>
        <w:ind w:firstLine="482" w:firstLineChars="200"/>
        <w:rPr>
          <w:b/>
          <w:sz w:val="24"/>
        </w:rPr>
      </w:pPr>
      <w:r>
        <w:rPr>
          <w:rFonts w:hint="eastAsia"/>
          <w:b/>
          <w:sz w:val="24"/>
        </w:rPr>
        <w:t>（三）秩序维护服务</w:t>
      </w:r>
    </w:p>
    <w:p w14:paraId="7EA44AFB">
      <w:pPr>
        <w:spacing w:line="360" w:lineRule="auto"/>
        <w:ind w:firstLine="480" w:firstLineChars="200"/>
        <w:rPr>
          <w:sz w:val="24"/>
        </w:rPr>
      </w:pPr>
      <w:r>
        <w:rPr>
          <w:rFonts w:hint="eastAsia"/>
          <w:sz w:val="24"/>
        </w:rPr>
        <w:t>【服务内容】</w:t>
      </w:r>
    </w:p>
    <w:p w14:paraId="09772A1C">
      <w:pPr>
        <w:spacing w:line="360" w:lineRule="auto"/>
        <w:ind w:firstLine="480" w:firstLineChars="200"/>
        <w:rPr>
          <w:sz w:val="24"/>
        </w:rPr>
      </w:pPr>
      <w:r>
        <w:rPr>
          <w:rFonts w:hint="eastAsia"/>
          <w:sz w:val="24"/>
        </w:rPr>
        <w:t>办公楼（区）来人来访的通报、证件检验、登记等；防盗、防火报警监控设备运行维修管理；门岗保卫、监控保卫、安检协助、信访引导、巡逻保卫、公共秩序维护，治安及其它突发事件处理等；楼区道路交通管理，机动车和非机动车停放管理等。</w:t>
      </w:r>
    </w:p>
    <w:p w14:paraId="46494F7C">
      <w:pPr>
        <w:spacing w:line="360" w:lineRule="auto"/>
        <w:ind w:firstLine="480" w:firstLineChars="200"/>
        <w:rPr>
          <w:sz w:val="24"/>
        </w:rPr>
      </w:pPr>
    </w:p>
    <w:p w14:paraId="20481BB1">
      <w:pPr>
        <w:spacing w:line="360" w:lineRule="auto"/>
        <w:ind w:firstLine="480" w:firstLineChars="200"/>
        <w:rPr>
          <w:sz w:val="24"/>
        </w:rPr>
      </w:pPr>
      <w:r>
        <w:rPr>
          <w:rFonts w:hint="eastAsia"/>
          <w:sz w:val="24"/>
        </w:rPr>
        <w:t>【服务标准】</w:t>
      </w:r>
    </w:p>
    <w:p w14:paraId="1CA1466C">
      <w:pPr>
        <w:spacing w:line="360" w:lineRule="auto"/>
        <w:ind w:firstLine="480" w:firstLineChars="200"/>
        <w:rPr>
          <w:sz w:val="24"/>
        </w:rPr>
      </w:pPr>
      <w:r>
        <w:rPr>
          <w:rFonts w:hint="eastAsia"/>
          <w:sz w:val="24"/>
        </w:rPr>
        <w:t>建立办公楼（区）传达、安保、车辆、道路及公共秩序等管理制度并认真落实，确保办公区安全和正常的工作环境；严格验证、登记，杜绝闲杂人员进入办公楼（区），在信访接待、审判开庭前协助法警做好安检工作，保证诉讼环境秩序良好；维护和保证防盗、防火等报警监控设备的正常运行，对办公区的安全状况实行24小时监控，监控记录保持完整；监控中心收到火情、险情及其他异常情况报警信号后，应及时报警，并通知相关人员及时赶到现场进行处理；做好安全防范和日常巡视工作，及时发现和处理各种安全和事故隐患，迅速有效处置突发事件，重点、要害部位每小时至少巡逻一次，发现违法、违章行为应及时制止；道路畅通，各种车辆停放有序，无堵塞交通现象，不影响行人通行。</w:t>
      </w:r>
    </w:p>
    <w:p w14:paraId="553E957E">
      <w:pPr>
        <w:spacing w:line="360" w:lineRule="auto"/>
        <w:ind w:firstLine="480" w:firstLineChars="200"/>
        <w:rPr>
          <w:sz w:val="24"/>
        </w:rPr>
      </w:pPr>
    </w:p>
    <w:p w14:paraId="02BC92AA">
      <w:pPr>
        <w:spacing w:line="360" w:lineRule="auto"/>
        <w:ind w:firstLine="480" w:firstLineChars="200"/>
        <w:rPr>
          <w:sz w:val="24"/>
        </w:rPr>
      </w:pPr>
      <w:r>
        <w:rPr>
          <w:rFonts w:hint="eastAsia"/>
          <w:sz w:val="24"/>
        </w:rPr>
        <w:t>【基本要求】</w:t>
      </w:r>
    </w:p>
    <w:p w14:paraId="686CE8B8">
      <w:pPr>
        <w:spacing w:line="360" w:lineRule="auto"/>
        <w:ind w:firstLine="480" w:firstLineChars="200"/>
        <w:rPr>
          <w:sz w:val="24"/>
        </w:rPr>
      </w:pPr>
      <w:r>
        <w:rPr>
          <w:rFonts w:hint="eastAsia"/>
          <w:sz w:val="24"/>
        </w:rPr>
        <w:t>（1）建立健全中级人民法院安全管理等相关制度。包括大门值班制度，安全检查制度、消防监控中心管理制度、安防监控中心管理制度、夜班值班巡逻、检查制度等。制定火警、盗警、人员急救及其他不可预见的紧急事件应急处理预案等。并保证做到严格执行；</w:t>
      </w:r>
    </w:p>
    <w:p w14:paraId="635A2E3A">
      <w:pPr>
        <w:spacing w:line="360" w:lineRule="auto"/>
        <w:ind w:firstLine="480" w:firstLineChars="200"/>
        <w:rPr>
          <w:sz w:val="24"/>
        </w:rPr>
      </w:pPr>
      <w:r>
        <w:rPr>
          <w:rFonts w:hint="eastAsia"/>
          <w:sz w:val="24"/>
        </w:rPr>
        <w:t>（2）安保人员经过培训上岗，统一着装；</w:t>
      </w:r>
    </w:p>
    <w:p w14:paraId="42B104D4">
      <w:pPr>
        <w:spacing w:line="360" w:lineRule="auto"/>
        <w:ind w:firstLine="480" w:firstLineChars="200"/>
        <w:rPr>
          <w:sz w:val="24"/>
        </w:rPr>
      </w:pPr>
      <w:r>
        <w:rPr>
          <w:rFonts w:hint="eastAsia"/>
          <w:sz w:val="24"/>
        </w:rPr>
        <w:t>（3）各岗位每天有工作记录，特别是夜晚监控、巡逻检查记录，记录要有时间、地点、详细内容，处理和报告结果等，每月进行整理归档；</w:t>
      </w:r>
    </w:p>
    <w:p w14:paraId="39ABE335">
      <w:pPr>
        <w:spacing w:line="360" w:lineRule="auto"/>
        <w:ind w:firstLine="480" w:firstLineChars="200"/>
        <w:rPr>
          <w:sz w:val="24"/>
        </w:rPr>
      </w:pPr>
      <w:r>
        <w:rPr>
          <w:rFonts w:hint="eastAsia"/>
          <w:sz w:val="24"/>
        </w:rPr>
        <w:t>（4）对进出人员进行疏导和管理，保证诉讼大厅工作有序及开庭有序。</w:t>
      </w:r>
    </w:p>
    <w:p w14:paraId="2CFE8837">
      <w:pPr>
        <w:spacing w:line="360" w:lineRule="auto"/>
        <w:ind w:firstLine="480" w:firstLineChars="200"/>
        <w:rPr>
          <w:sz w:val="24"/>
        </w:rPr>
      </w:pPr>
      <w:r>
        <w:rPr>
          <w:rFonts w:hint="eastAsia"/>
          <w:sz w:val="24"/>
        </w:rPr>
        <w:t>大厅出入口设立值班服务，严格执行法院要求，对不符合进入法院的人群及时阻止并引导。开庭期间及时引导参庭人员排队有序进入庭审室。保障庭审秩序。</w:t>
      </w:r>
    </w:p>
    <w:p w14:paraId="6E5FF773">
      <w:pPr>
        <w:spacing w:line="360" w:lineRule="auto"/>
        <w:ind w:firstLine="480" w:firstLineChars="200"/>
        <w:rPr>
          <w:sz w:val="24"/>
        </w:rPr>
      </w:pPr>
      <w:r>
        <w:rPr>
          <w:rFonts w:hint="eastAsia"/>
          <w:sz w:val="24"/>
        </w:rPr>
        <w:t>【办公区域检查、巡逻服务】</w:t>
      </w:r>
    </w:p>
    <w:p w14:paraId="1310FB69">
      <w:pPr>
        <w:spacing w:line="360" w:lineRule="auto"/>
        <w:ind w:firstLine="480" w:firstLineChars="200"/>
        <w:rPr>
          <w:sz w:val="24"/>
        </w:rPr>
      </w:pPr>
      <w:r>
        <w:rPr>
          <w:rFonts w:hint="eastAsia"/>
          <w:sz w:val="24"/>
        </w:rPr>
        <w:t>（1）巡逻员在办公等区域实行24小时巡逻、检查，有庭审时负责对各庭审区域进行巡查，对参加庭审人员有不良行为进行劝导和制止；</w:t>
      </w:r>
    </w:p>
    <w:p w14:paraId="1DEAB260">
      <w:pPr>
        <w:spacing w:line="360" w:lineRule="auto"/>
        <w:ind w:firstLine="480" w:firstLineChars="200"/>
        <w:rPr>
          <w:sz w:val="24"/>
        </w:rPr>
      </w:pPr>
      <w:r>
        <w:rPr>
          <w:rFonts w:hint="eastAsia"/>
          <w:sz w:val="24"/>
        </w:rPr>
        <w:t>（2）对发现管理区域内出现的突发事件进行及时处理和汇报：</w:t>
      </w:r>
    </w:p>
    <w:p w14:paraId="3A19C459">
      <w:pPr>
        <w:spacing w:line="360" w:lineRule="auto"/>
        <w:ind w:firstLine="480" w:firstLineChars="200"/>
        <w:rPr>
          <w:sz w:val="24"/>
        </w:rPr>
      </w:pPr>
      <w:r>
        <w:rPr>
          <w:rFonts w:hint="eastAsia"/>
          <w:sz w:val="24"/>
        </w:rPr>
        <w:t>（3）每日下班后对大楼进行检查，无异常情况时可关闭大门，并对当日法院的安全情况进行记录。</w:t>
      </w:r>
    </w:p>
    <w:p w14:paraId="6B3B16E1">
      <w:pPr>
        <w:spacing w:line="360" w:lineRule="auto"/>
        <w:ind w:firstLine="480" w:firstLineChars="200"/>
        <w:rPr>
          <w:sz w:val="24"/>
        </w:rPr>
      </w:pPr>
      <w:r>
        <w:rPr>
          <w:rFonts w:hint="eastAsia"/>
          <w:sz w:val="24"/>
        </w:rPr>
        <w:t>（4）按规定时间，定期或不定期对法院消防、安保设施进行检查及记录，并提出处理办法，保证安防、消防设施确实有效。</w:t>
      </w:r>
    </w:p>
    <w:p w14:paraId="3101FCA7"/>
    <w:p w14:paraId="7E53DE2A">
      <w:pPr>
        <w:spacing w:line="360" w:lineRule="auto"/>
        <w:ind w:firstLine="482" w:firstLineChars="200"/>
        <w:rPr>
          <w:b/>
          <w:sz w:val="24"/>
        </w:rPr>
      </w:pPr>
      <w:r>
        <w:rPr>
          <w:rFonts w:hint="eastAsia"/>
          <w:b/>
          <w:sz w:val="24"/>
        </w:rPr>
        <w:t>（四）工程服务</w:t>
      </w:r>
    </w:p>
    <w:p w14:paraId="3DC82E54">
      <w:pPr>
        <w:spacing w:line="360" w:lineRule="auto"/>
        <w:ind w:firstLine="480" w:firstLineChars="200"/>
        <w:rPr>
          <w:sz w:val="24"/>
        </w:rPr>
      </w:pPr>
      <w:r>
        <w:rPr>
          <w:rFonts w:hint="eastAsia"/>
          <w:sz w:val="24"/>
        </w:rPr>
        <w:t>【房屋日常养护维修】</w:t>
      </w:r>
    </w:p>
    <w:p w14:paraId="4A08134B">
      <w:pPr>
        <w:spacing w:line="360" w:lineRule="auto"/>
        <w:ind w:firstLine="480" w:firstLineChars="200"/>
        <w:rPr>
          <w:sz w:val="24"/>
        </w:rPr>
      </w:pPr>
      <w:r>
        <w:rPr>
          <w:rFonts w:hint="eastAsia"/>
          <w:sz w:val="24"/>
        </w:rPr>
        <w:t>1、服务内容：办公楼（区）房屋地面、墙台面及吊顶、门窗、楼梯、通风道等的日常养护维修。</w:t>
      </w:r>
    </w:p>
    <w:p w14:paraId="7D4B17E4">
      <w:pPr>
        <w:spacing w:line="360" w:lineRule="auto"/>
        <w:ind w:firstLine="480" w:firstLineChars="200"/>
        <w:rPr>
          <w:sz w:val="24"/>
        </w:rPr>
      </w:pPr>
      <w:r>
        <w:rPr>
          <w:rFonts w:hint="eastAsia"/>
          <w:sz w:val="24"/>
        </w:rPr>
        <w:t xml:space="preserve"> 2、服务标准：确保办公楼（区）房屋的完好等级和正常使用；墙面砖、地坪、地砖平整不起壳、无遗缺；碎裂或隔热板有断裂、缺损的，应在规定时间内安排专项修理；对房屋共用部位进行日常管理和维修养护，维修养护记录完整；根据房屋实际使用情况和使用年限，定期检查房屋的安全状况，做好检查记录；发现问题及时向本院报告，提出方案或建议，经本院同意后组织实施。遇紧急情况时，应采取必要的应急措施；及时完成各项零星维修任务，零修合格率100%，一般维修任务不超过24小时。</w:t>
      </w:r>
    </w:p>
    <w:p w14:paraId="6FCF1BAD">
      <w:pPr>
        <w:spacing w:line="360" w:lineRule="auto"/>
        <w:ind w:firstLine="480" w:firstLineChars="200"/>
        <w:rPr>
          <w:sz w:val="24"/>
        </w:rPr>
      </w:pPr>
    </w:p>
    <w:p w14:paraId="5B3AD7DD">
      <w:pPr>
        <w:spacing w:line="360" w:lineRule="auto"/>
        <w:ind w:firstLine="480" w:firstLineChars="200"/>
        <w:rPr>
          <w:sz w:val="24"/>
        </w:rPr>
      </w:pPr>
      <w:r>
        <w:rPr>
          <w:rFonts w:hint="eastAsia"/>
          <w:sz w:val="24"/>
        </w:rPr>
        <w:t>【给排水设备运行维护】</w:t>
      </w:r>
    </w:p>
    <w:p w14:paraId="1791F570">
      <w:pPr>
        <w:spacing w:line="360" w:lineRule="auto"/>
        <w:ind w:firstLine="480" w:firstLineChars="200"/>
        <w:rPr>
          <w:sz w:val="24"/>
        </w:rPr>
      </w:pPr>
      <w:r>
        <w:rPr>
          <w:rFonts w:hint="eastAsia"/>
          <w:sz w:val="24"/>
        </w:rPr>
        <w:t>1、服务内容：对办公楼（区）室内外给排水系统的设备、设施，如水泵、水箱、气压给水装置、水处理设备、消火栓、管道、管件、阀门、水嘴、卫生洁具、排水管、透气管及疏通、水封设备、室外排水管及其附属构筑物等正常运行使用进行日常养护维修。</w:t>
      </w:r>
    </w:p>
    <w:p w14:paraId="5D340ADE">
      <w:pPr>
        <w:spacing w:line="360" w:lineRule="auto"/>
        <w:ind w:firstLine="480" w:firstLineChars="200"/>
        <w:rPr>
          <w:sz w:val="24"/>
        </w:rPr>
      </w:pPr>
      <w:r>
        <w:rPr>
          <w:rFonts w:hint="eastAsia"/>
          <w:sz w:val="24"/>
        </w:rPr>
        <w:t>2、服务标准：每日一次对给排水系统进行检查巡视，压力符合要求，仪表指示准确，保证给排水系统正常运行使用。建立正常供水管理制度，防止跑、冒、滴、漏，对供水系统管路、水泵、水箱、阀门、机电设备等进行日常维护，每月检查、保养、维护、清洁一次；生活水箱、热水器检修口封闭、加锁，通气口需设隔离网，定期对水泵房及机电设备进行检查、保养、维修、清洁，设备及机房环境整洁，无杂物、灰土，无鼠、虫害发生。</w:t>
      </w:r>
    </w:p>
    <w:p w14:paraId="536AFB52">
      <w:pPr>
        <w:spacing w:line="360" w:lineRule="auto"/>
        <w:ind w:firstLine="480" w:firstLineChars="200"/>
        <w:rPr>
          <w:sz w:val="24"/>
        </w:rPr>
      </w:pPr>
      <w:r>
        <w:rPr>
          <w:rFonts w:hint="eastAsia"/>
          <w:sz w:val="24"/>
        </w:rPr>
        <w:t>定期对排水管进行清通、养护及清除污垢，保证室内外排水系统畅通，保证汛期道路、地下室、设备间无积水和浸泡的现象发生；化粪池每年清理1次，每季巡查1次。出入口畅通，井内无积物浮于面上，池盖无污渍、污物，清理后及时清洁现场；楼面落水管落水口等保持完好。开裂、破损等及时更换，定期检查；每2个月对地下管井清理1次，捞起井内泥沙和悬浮物；每季度对地下管井彻底疏通1次，清理结束地面冲洗干净。清理时地面竖警示牌，必要时加护拦。清理后达到目视管道内壁无粘附物，井底无沉淀物，水面无漂浮物，水流畅通，井盖上无污渍、污物。</w:t>
      </w:r>
    </w:p>
    <w:p w14:paraId="76861FFA">
      <w:pPr>
        <w:spacing w:line="360" w:lineRule="auto"/>
        <w:ind w:firstLine="480" w:firstLineChars="200"/>
        <w:rPr>
          <w:sz w:val="24"/>
        </w:rPr>
      </w:pPr>
      <w:r>
        <w:rPr>
          <w:rFonts w:hint="eastAsia"/>
          <w:sz w:val="24"/>
        </w:rPr>
        <w:t>及时发现并解决故障，零维修合格率100%；给排水系统发生事故时，维修人员在10分钟内到达现场抢修，一般事故的抢修做到不过夜；一年内无重大管理责任事故；根据实际情况，制定事故应急处理方案；制定停水、爆管等应急处理程序，计划停水按规定提前通知；计量器具、压力仪表按规定周期送质检局校验；未经本院许可，不得擅自采取地下水或直接从江河取水。做好节约用水工作。</w:t>
      </w:r>
    </w:p>
    <w:p w14:paraId="43B700F8">
      <w:pPr>
        <w:spacing w:line="360" w:lineRule="auto"/>
        <w:ind w:firstLine="480" w:firstLineChars="200"/>
        <w:rPr>
          <w:sz w:val="24"/>
        </w:rPr>
      </w:pPr>
      <w:r>
        <w:rPr>
          <w:rFonts w:hint="eastAsia"/>
          <w:sz w:val="24"/>
        </w:rPr>
        <w:t>【供电设备管理维护】</w:t>
      </w:r>
    </w:p>
    <w:p w14:paraId="67F4E2EF">
      <w:pPr>
        <w:spacing w:line="360" w:lineRule="auto"/>
        <w:ind w:firstLine="480" w:firstLineChars="200"/>
        <w:rPr>
          <w:sz w:val="24"/>
        </w:rPr>
      </w:pPr>
      <w:r>
        <w:rPr>
          <w:rFonts w:hint="eastAsia"/>
          <w:sz w:val="24"/>
        </w:rPr>
        <w:t>1、服务内容：对办公楼（区）供电系统高、低压电器设备、电线电缆、网络网线、照明装置等设备正常运行使用进行日常管理和养护维修。</w:t>
      </w:r>
    </w:p>
    <w:p w14:paraId="017AE303">
      <w:pPr>
        <w:spacing w:line="360" w:lineRule="auto"/>
        <w:ind w:firstLine="480" w:firstLineChars="200"/>
        <w:rPr>
          <w:sz w:val="24"/>
        </w:rPr>
      </w:pPr>
      <w:r>
        <w:rPr>
          <w:rFonts w:hint="eastAsia"/>
          <w:sz w:val="24"/>
        </w:rPr>
        <w:t>2、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24小时运行维修值班制度，及时排除故障，一般故障排除时间不超过2小时，零维修合格率100%；加强日常维护检修，公共使用的照明、指示灯具线路、开关要保证完好，确保用电完全；管理和维护好办公楼（区）灯光亮化的设施；制定突发事件应急处理程序和临时用电管理措施，明确停、送审批权限；供电设备完好率达到99%、弱电设备完好率达到98%。每年雨季前对建筑避雷系统进行检测，留存检测合格报告，同时动员和组织</w:t>
      </w:r>
      <w:r>
        <w:rPr>
          <w:rFonts w:hint="eastAsia"/>
          <w:sz w:val="24"/>
          <w:lang w:val="en-US" w:eastAsia="zh-CN"/>
        </w:rPr>
        <w:t>办公楼</w:t>
      </w:r>
      <w:r>
        <w:rPr>
          <w:rFonts w:hint="eastAsia"/>
          <w:sz w:val="24"/>
        </w:rPr>
        <w:t>内的使用人对重要设施设备进行防雷检测；保持避雷系统完整性，不得擅自拆除、迁改避雷设施； 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箱）、管道、金属构架物接地良好。一年内无重大管理责任事故。</w:t>
      </w:r>
    </w:p>
    <w:p w14:paraId="0553200A">
      <w:pPr>
        <w:spacing w:line="360" w:lineRule="auto"/>
        <w:ind w:firstLine="480" w:firstLineChars="200"/>
        <w:rPr>
          <w:sz w:val="24"/>
        </w:rPr>
      </w:pPr>
    </w:p>
    <w:p w14:paraId="6105BC62">
      <w:pPr>
        <w:spacing w:line="360" w:lineRule="auto"/>
        <w:ind w:firstLine="480" w:firstLineChars="200"/>
        <w:rPr>
          <w:sz w:val="24"/>
        </w:rPr>
      </w:pPr>
      <w:r>
        <w:rPr>
          <w:rFonts w:hint="eastAsia"/>
          <w:sz w:val="24"/>
        </w:rPr>
        <w:t>【电梯运行维护】</w:t>
      </w:r>
    </w:p>
    <w:p w14:paraId="005A8CE9">
      <w:pPr>
        <w:spacing w:line="360" w:lineRule="auto"/>
        <w:ind w:firstLine="480" w:firstLineChars="200"/>
        <w:rPr>
          <w:sz w:val="24"/>
        </w:rPr>
      </w:pPr>
      <w:r>
        <w:rPr>
          <w:rFonts w:hint="eastAsia"/>
          <w:sz w:val="24"/>
        </w:rPr>
        <w:t>1、服务内容：电梯运行管理和对机房设备、井道系统、轿厢设备进行日常运行管理和养护维修。</w:t>
      </w:r>
    </w:p>
    <w:p w14:paraId="250558E7">
      <w:pPr>
        <w:spacing w:line="360" w:lineRule="auto"/>
        <w:ind w:firstLine="480" w:firstLineChars="200"/>
        <w:rPr>
          <w:sz w:val="24"/>
        </w:rPr>
      </w:pPr>
      <w:r>
        <w:rPr>
          <w:rFonts w:hint="eastAsia"/>
          <w:sz w:val="24"/>
        </w:rPr>
        <w:t>2、服务标准：建立电梯运行管理、设备管理、安全管理制度，确保电梯按规定时间运行，安全设备齐全有效，通风、照明及其它附属设施完好；严格执行国家有关电梯管理规定和安全规程，电梯准用证、年检合格证、维修保养合同完备。电梯由A级专业资质的电梯维修保养单位定期进行维修保养，并在有效期内运行；轿厢、井道保持清洁；警铃或其它救助设备功能完备，称重装置可靠，安全装置有效无缺损，电梯运行无异常；电梯机房实行封闭管理，机房内温度不超过设备安全运行环境温度，配备应急照明、灭火器和盘车工具齐全；电梯出现故障，接到报修后专业维修人员应在10分钟内到达现场抢修，及时排除故障。电梯设施完好率达到99%。</w:t>
      </w:r>
    </w:p>
    <w:p w14:paraId="4D759846">
      <w:pPr>
        <w:spacing w:line="360" w:lineRule="auto"/>
        <w:ind w:firstLine="480" w:firstLineChars="200"/>
        <w:rPr>
          <w:sz w:val="24"/>
        </w:rPr>
      </w:pPr>
    </w:p>
    <w:p w14:paraId="34906E86">
      <w:pPr>
        <w:spacing w:line="360" w:lineRule="auto"/>
        <w:ind w:firstLine="480" w:firstLineChars="200"/>
        <w:rPr>
          <w:sz w:val="24"/>
        </w:rPr>
      </w:pPr>
      <w:r>
        <w:rPr>
          <w:rFonts w:hint="eastAsia"/>
          <w:sz w:val="24"/>
        </w:rPr>
        <w:t>【空调系统运行维护】</w:t>
      </w:r>
    </w:p>
    <w:p w14:paraId="7DF50EC6">
      <w:pPr>
        <w:spacing w:line="360" w:lineRule="auto"/>
        <w:ind w:firstLine="480" w:firstLineChars="200"/>
        <w:rPr>
          <w:sz w:val="24"/>
        </w:rPr>
      </w:pPr>
      <w:r>
        <w:rPr>
          <w:rFonts w:hint="eastAsia"/>
          <w:sz w:val="24"/>
        </w:rPr>
        <w:t>1、服务内容：集中空调系统的运行管理及冷水机组、新风机组、水泵、风机盘管、管道系统、各种阀类、采气装置和各类风口、自动控制系统等设备的日常养护维修。</w:t>
      </w:r>
    </w:p>
    <w:p w14:paraId="04C2E597">
      <w:pPr>
        <w:spacing w:line="360" w:lineRule="auto"/>
        <w:ind w:firstLine="480" w:firstLineChars="200"/>
        <w:rPr>
          <w:sz w:val="24"/>
        </w:rPr>
      </w:pPr>
      <w:r>
        <w:rPr>
          <w:rFonts w:hint="eastAsia"/>
          <w:sz w:val="24"/>
        </w:rPr>
        <w:t>2、服务标准：建立空调运行管理制度和安全操作规程，保证空调系统安全运行和正常使用。定期巡查设备运行状态并记录运行参数；每月检查空调主机，测试运行控制和安全控制功能，分析运行数据；定期检查冷却塔电机、变速箱、布水器及其它附属设备，每年至少清洗、维护保养冷却塔一次；定期检查循环泵、冷却泵电机及泵体，每年进行一次添加更换润滑脂、清洁叶轮、基础紧固、除锈刷漆等维护保养；定期对空气处理单元、新风处理单元、风机盘管、滤网、加（除）湿器、风阀、积水盘、冷凝水管、膨胀水箱、集水器分水器、风机表冷器进行检查、清洗和保养； 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如冷却水循环管道、冷冻水循环管道风管、新风系统等的管件、阀门、电气控制、隔热保温等）进行严格细致的检查、清洗、测试和调整，确定正常后方能投入运行；空调系统出现运行故障后，维修人员应在10分钟内到达现场实施维修，并做好记录，零维修合格率100%。</w:t>
      </w:r>
    </w:p>
    <w:p w14:paraId="020B8314">
      <w:pPr>
        <w:spacing w:line="360" w:lineRule="auto"/>
        <w:ind w:firstLine="480" w:firstLineChars="200"/>
        <w:rPr>
          <w:sz w:val="24"/>
        </w:rPr>
      </w:pPr>
    </w:p>
    <w:p w14:paraId="580C8CA5">
      <w:pPr>
        <w:spacing w:line="360" w:lineRule="auto"/>
        <w:ind w:firstLine="480" w:firstLineChars="200"/>
        <w:rPr>
          <w:sz w:val="24"/>
        </w:rPr>
      </w:pPr>
      <w:r>
        <w:rPr>
          <w:rFonts w:hint="eastAsia"/>
          <w:sz w:val="24"/>
        </w:rPr>
        <w:t>【消防系统维护】</w:t>
      </w:r>
    </w:p>
    <w:p w14:paraId="3A5CDB93">
      <w:pPr>
        <w:spacing w:line="360" w:lineRule="auto"/>
        <w:ind w:firstLine="480" w:firstLineChars="200"/>
        <w:rPr>
          <w:sz w:val="24"/>
        </w:rPr>
      </w:pPr>
      <w:r>
        <w:rPr>
          <w:rFonts w:hint="eastAsia"/>
          <w:sz w:val="24"/>
        </w:rPr>
        <w:t>1、服务内容：对火灾自动报警系统；自动喷淋系统；室内灭火栓；排防烟系统；安全疏散、应急系统；防火门系统；二氧化碳等灭火系统进行日常管理和养护维修。</w:t>
      </w:r>
    </w:p>
    <w:p w14:paraId="3512F8D6">
      <w:pPr>
        <w:spacing w:line="360" w:lineRule="auto"/>
        <w:ind w:firstLine="480" w:firstLineChars="200"/>
        <w:rPr>
          <w:sz w:val="24"/>
        </w:rPr>
      </w:pPr>
      <w:r>
        <w:rPr>
          <w:rFonts w:hint="eastAsia"/>
          <w:sz w:val="24"/>
        </w:rPr>
        <w:t>2、服务标准：严格执行消防法规，建立消防安全管理制度，搞好消防管理工作，确保整个系统处于良好的状态；定期检查保养消防设备，维保质量达到消防要求，保证系统开通率及完好率均为100%；安全出口、疏散指示灯火灾时应在维持90分钟以上的照明时间，引路标志完好，紧急疏散通道畅通；消防水带每半年检查一次，应无破损、发黑、发霉现象；联动控制台工作正常、显示正确，系统误报率不超过3％；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14:paraId="1DAD9447">
      <w:pPr>
        <w:spacing w:line="360" w:lineRule="auto"/>
        <w:ind w:firstLine="480" w:firstLineChars="200"/>
        <w:rPr>
          <w:sz w:val="24"/>
        </w:rPr>
      </w:pPr>
    </w:p>
    <w:p w14:paraId="78D6FB93">
      <w:pPr>
        <w:spacing w:line="360" w:lineRule="auto"/>
        <w:ind w:firstLine="482" w:firstLineChars="200"/>
        <w:rPr>
          <w:b/>
          <w:sz w:val="24"/>
        </w:rPr>
      </w:pPr>
      <w:r>
        <w:rPr>
          <w:rFonts w:hint="eastAsia"/>
          <w:b/>
          <w:sz w:val="24"/>
        </w:rPr>
        <w:t>（五）会议服务</w:t>
      </w:r>
    </w:p>
    <w:p w14:paraId="2CB6F95B">
      <w:pPr>
        <w:spacing w:line="360" w:lineRule="auto"/>
        <w:ind w:firstLine="480" w:firstLineChars="200"/>
        <w:rPr>
          <w:sz w:val="24"/>
        </w:rPr>
      </w:pPr>
      <w:r>
        <w:rPr>
          <w:rFonts w:hint="eastAsia"/>
          <w:sz w:val="24"/>
        </w:rPr>
        <w:t>【服务内容】</w:t>
      </w:r>
    </w:p>
    <w:p w14:paraId="3776FA72">
      <w:pPr>
        <w:spacing w:line="360" w:lineRule="auto"/>
        <w:ind w:firstLine="480" w:firstLineChars="200"/>
        <w:rPr>
          <w:sz w:val="24"/>
        </w:rPr>
      </w:pPr>
      <w:r>
        <w:rPr>
          <w:rFonts w:hint="eastAsia"/>
          <w:sz w:val="24"/>
        </w:rPr>
        <w:t>为办公楼（区）举办的各类会议、活动提供会场布置、开水供应、保洁等服务。</w:t>
      </w:r>
    </w:p>
    <w:p w14:paraId="08BF1454">
      <w:pPr>
        <w:spacing w:line="360" w:lineRule="auto"/>
        <w:ind w:firstLine="480" w:firstLineChars="200"/>
        <w:rPr>
          <w:sz w:val="24"/>
        </w:rPr>
      </w:pPr>
      <w:r>
        <w:rPr>
          <w:rFonts w:hint="eastAsia"/>
          <w:sz w:val="24"/>
        </w:rPr>
        <w:t>【服务标准】</w:t>
      </w:r>
    </w:p>
    <w:p w14:paraId="77165E2D">
      <w:pPr>
        <w:spacing w:line="360" w:lineRule="auto"/>
        <w:ind w:firstLine="480" w:firstLineChars="200"/>
        <w:rPr>
          <w:sz w:val="24"/>
        </w:rPr>
      </w:pPr>
      <w:r>
        <w:rPr>
          <w:rFonts w:hint="eastAsia"/>
          <w:sz w:val="24"/>
        </w:rPr>
        <w:t>建立会议室管理制度，制订会议服务规程并认真落实，保证开水供应并定时续水，会前</w:t>
      </w:r>
      <w:r>
        <w:rPr>
          <w:rFonts w:hint="eastAsia"/>
          <w:sz w:val="24"/>
          <w:lang w:val="en-US" w:eastAsia="zh-CN"/>
        </w:rPr>
        <w:t>负责会议物资及设备准备，会前</w:t>
      </w:r>
      <w:r>
        <w:rPr>
          <w:rFonts w:hint="eastAsia"/>
          <w:sz w:val="24"/>
        </w:rPr>
        <w:t>会后打扫室内卫生，保持室内整洁，会场布置及时。</w:t>
      </w:r>
    </w:p>
    <w:p w14:paraId="1E830D11">
      <w:pPr>
        <w:pStyle w:val="7"/>
        <w:jc w:val="center"/>
        <w:rPr>
          <w:rFonts w:hint="eastAsia" w:ascii="仿宋" w:hAnsi="仿宋" w:eastAsia="仿宋"/>
          <w:color w:val="auto"/>
          <w:sz w:val="22"/>
          <w:szCs w:val="22"/>
          <w:lang w:val="en-US" w:eastAsia="zh-CN"/>
        </w:rPr>
      </w:pPr>
      <w:bookmarkStart w:id="2" w:name="_GoBack"/>
      <w:bookmarkEnd w:id="2"/>
    </w:p>
    <w:p w14:paraId="0A4CD3CC">
      <w:pPr>
        <w:pStyle w:val="7"/>
        <w:jc w:val="center"/>
        <w:rPr>
          <w:rFonts w:hint="eastAsia" w:ascii="仿宋" w:hAnsi="仿宋" w:eastAsia="仿宋"/>
          <w:color w:val="auto"/>
          <w:sz w:val="22"/>
          <w:szCs w:val="22"/>
          <w:lang w:val="en-US" w:eastAsia="zh-CN"/>
        </w:rPr>
      </w:pPr>
    </w:p>
    <w:p w14:paraId="66C5855D">
      <w:pPr>
        <w:pStyle w:val="7"/>
        <w:jc w:val="center"/>
        <w:rPr>
          <w:rFonts w:hint="eastAsia" w:ascii="仿宋" w:hAnsi="仿宋" w:eastAsia="仿宋"/>
          <w:color w:val="auto"/>
          <w:sz w:val="22"/>
          <w:szCs w:val="22"/>
          <w:lang w:val="en-US" w:eastAsia="zh-CN"/>
        </w:rPr>
      </w:pPr>
    </w:p>
    <w:p w14:paraId="3135FD01">
      <w:pPr>
        <w:pStyle w:val="7"/>
        <w:jc w:val="center"/>
        <w:rPr>
          <w:rFonts w:hint="eastAsia" w:ascii="仿宋" w:hAnsi="仿宋" w:eastAsia="仿宋"/>
          <w:color w:val="auto"/>
          <w:sz w:val="22"/>
          <w:szCs w:val="22"/>
          <w:lang w:val="en-US" w:eastAsia="zh-CN"/>
        </w:rPr>
      </w:pPr>
    </w:p>
    <w:p w14:paraId="33B5EEC2">
      <w:pPr>
        <w:pStyle w:val="7"/>
        <w:jc w:val="center"/>
        <w:rPr>
          <w:rFonts w:hint="eastAsia" w:ascii="仿宋" w:hAnsi="仿宋" w:eastAsia="仿宋"/>
          <w:color w:val="auto"/>
          <w:sz w:val="22"/>
          <w:szCs w:val="22"/>
          <w:lang w:val="en-US" w:eastAsia="zh-CN"/>
        </w:rPr>
      </w:pPr>
    </w:p>
    <w:p w14:paraId="7ABC0DC7">
      <w:pPr>
        <w:pStyle w:val="7"/>
        <w:jc w:val="center"/>
        <w:rPr>
          <w:rFonts w:hint="eastAsia" w:ascii="仿宋" w:hAnsi="仿宋" w:eastAsia="仿宋"/>
          <w:color w:val="auto"/>
          <w:sz w:val="22"/>
          <w:szCs w:val="22"/>
          <w:lang w:val="en-US" w:eastAsia="zh-CN"/>
        </w:rPr>
      </w:pPr>
    </w:p>
    <w:p w14:paraId="25FEB67F">
      <w:pPr>
        <w:pStyle w:val="7"/>
        <w:jc w:val="center"/>
        <w:rPr>
          <w:rFonts w:hint="eastAsia" w:ascii="仿宋" w:hAnsi="仿宋" w:eastAsia="仿宋"/>
          <w:color w:val="auto"/>
          <w:sz w:val="22"/>
          <w:szCs w:val="22"/>
          <w:lang w:val="en-US" w:eastAsia="zh-CN"/>
        </w:rPr>
      </w:pPr>
    </w:p>
    <w:p w14:paraId="7B265796">
      <w:pPr>
        <w:pStyle w:val="7"/>
        <w:jc w:val="center"/>
        <w:rPr>
          <w:rFonts w:hint="eastAsia" w:ascii="仿宋" w:hAnsi="仿宋" w:eastAsia="仿宋"/>
          <w:color w:val="auto"/>
          <w:sz w:val="22"/>
          <w:szCs w:val="22"/>
          <w:lang w:val="en-US" w:eastAsia="zh-CN"/>
        </w:rPr>
      </w:pPr>
    </w:p>
    <w:p w14:paraId="6D8F0010">
      <w:pPr>
        <w:pStyle w:val="7"/>
        <w:jc w:val="center"/>
        <w:rPr>
          <w:rFonts w:hint="eastAsia" w:ascii="仿宋" w:hAnsi="仿宋" w:eastAsia="仿宋"/>
          <w:color w:val="auto"/>
          <w:sz w:val="22"/>
          <w:szCs w:val="22"/>
          <w:lang w:val="en-US" w:eastAsia="zh-CN"/>
        </w:rPr>
      </w:pPr>
    </w:p>
    <w:p w14:paraId="5A432D62">
      <w:pPr>
        <w:pStyle w:val="7"/>
        <w:jc w:val="center"/>
        <w:rPr>
          <w:rFonts w:hint="eastAsia" w:ascii="仿宋" w:hAnsi="仿宋" w:eastAsia="仿宋"/>
          <w:color w:val="auto"/>
          <w:sz w:val="22"/>
          <w:szCs w:val="22"/>
          <w:lang w:val="en-US" w:eastAsia="zh-CN"/>
        </w:rPr>
      </w:pPr>
    </w:p>
    <w:p w14:paraId="5CFA46D7">
      <w:pPr>
        <w:pStyle w:val="7"/>
        <w:jc w:val="center"/>
        <w:rPr>
          <w:rFonts w:hint="eastAsia" w:ascii="仿宋" w:hAnsi="仿宋" w:eastAsia="仿宋"/>
          <w:color w:val="auto"/>
          <w:sz w:val="22"/>
          <w:szCs w:val="22"/>
          <w:lang w:val="en-US" w:eastAsia="zh-CN"/>
        </w:rPr>
      </w:pPr>
    </w:p>
    <w:p w14:paraId="078F67CC">
      <w:pPr>
        <w:pStyle w:val="7"/>
        <w:jc w:val="center"/>
        <w:rPr>
          <w:rFonts w:hint="eastAsia" w:ascii="仿宋" w:hAnsi="仿宋" w:eastAsia="仿宋"/>
          <w:color w:val="auto"/>
          <w:sz w:val="22"/>
          <w:szCs w:val="22"/>
          <w:lang w:val="en-US" w:eastAsia="zh-CN"/>
        </w:rPr>
      </w:pPr>
    </w:p>
    <w:p w14:paraId="039C8899">
      <w:pPr>
        <w:pStyle w:val="7"/>
        <w:jc w:val="center"/>
        <w:rPr>
          <w:rFonts w:hint="eastAsia" w:ascii="仿宋" w:hAnsi="仿宋" w:eastAsia="仿宋"/>
          <w:color w:val="auto"/>
          <w:sz w:val="22"/>
          <w:szCs w:val="22"/>
          <w:lang w:val="en-US" w:eastAsia="zh-CN"/>
        </w:rPr>
      </w:pPr>
    </w:p>
    <w:p w14:paraId="6438A4AB">
      <w:pPr>
        <w:pStyle w:val="7"/>
        <w:jc w:val="center"/>
        <w:rPr>
          <w:rFonts w:hint="eastAsia" w:ascii="仿宋" w:hAnsi="仿宋" w:eastAsia="仿宋"/>
          <w:color w:val="auto"/>
          <w:sz w:val="22"/>
          <w:szCs w:val="22"/>
          <w:lang w:val="en-US" w:eastAsia="zh-CN"/>
        </w:rPr>
      </w:pPr>
    </w:p>
    <w:p w14:paraId="5F858801">
      <w:pPr>
        <w:pStyle w:val="7"/>
        <w:jc w:val="center"/>
        <w:rPr>
          <w:rFonts w:hint="eastAsia" w:ascii="仿宋" w:hAnsi="仿宋" w:eastAsia="仿宋"/>
          <w:color w:val="auto"/>
          <w:sz w:val="22"/>
          <w:szCs w:val="22"/>
          <w:lang w:val="en-US" w:eastAsia="zh-CN"/>
        </w:rPr>
      </w:pPr>
    </w:p>
    <w:p w14:paraId="39180AD3">
      <w:pPr>
        <w:pStyle w:val="7"/>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采购方式（公开招标）</w:t>
      </w:r>
    </w:p>
    <w:p w14:paraId="4B065222">
      <w:pPr>
        <w:pStyle w:val="7"/>
        <w:rPr>
          <w:rFonts w:hint="eastAsia" w:ascii="Times New Roman" w:hAnsi="Times New Roman" w:eastAsia="宋体" w:cs="Times New Roman"/>
          <w:kern w:val="2"/>
          <w:sz w:val="24"/>
          <w:szCs w:val="24"/>
          <w:lang w:val="en-US" w:eastAsia="zh-CN" w:bidi="ar-SA"/>
        </w:rPr>
      </w:pPr>
    </w:p>
    <w:p w14:paraId="49A5CC29">
      <w:pPr>
        <w:keepNext w:val="0"/>
        <w:keepLines w:val="0"/>
        <w:widowControl/>
        <w:suppressLineNumbers w:val="0"/>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评分办法 ：</w:t>
      </w:r>
    </w:p>
    <w:p w14:paraId="492770F3">
      <w:pPr>
        <w:keepNext w:val="0"/>
        <w:keepLines w:val="0"/>
        <w:widowControl/>
        <w:suppressLineNumbers w:val="0"/>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本项目采用综合评分法进行评审。 </w:t>
      </w:r>
    </w:p>
    <w:p w14:paraId="59AD2B17">
      <w:pPr>
        <w:keepNext w:val="0"/>
        <w:keepLines w:val="0"/>
        <w:widowControl/>
        <w:suppressLineNumbers w:val="0"/>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（具体内容详见招标文件)</w:t>
      </w:r>
    </w:p>
    <w:p w14:paraId="70691805">
      <w:pPr>
        <w:pStyle w:val="7"/>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jNzY5NDk5ODVmOWQyNTc2MWUxZDQ1ODk0NjIyOGQifQ=="/>
  </w:docVars>
  <w:rsids>
    <w:rsidRoot w:val="00000000"/>
    <w:rsid w:val="029E1F1C"/>
    <w:rsid w:val="0B846F18"/>
    <w:rsid w:val="1162794D"/>
    <w:rsid w:val="177E7C1A"/>
    <w:rsid w:val="1DE13D8C"/>
    <w:rsid w:val="1E831280"/>
    <w:rsid w:val="1EBF323F"/>
    <w:rsid w:val="214E5B76"/>
    <w:rsid w:val="27B34984"/>
    <w:rsid w:val="2B8C79C6"/>
    <w:rsid w:val="35C921D3"/>
    <w:rsid w:val="36A7463E"/>
    <w:rsid w:val="3B143534"/>
    <w:rsid w:val="3F113F30"/>
    <w:rsid w:val="411A73CB"/>
    <w:rsid w:val="44F3240C"/>
    <w:rsid w:val="4CD63B14"/>
    <w:rsid w:val="58095D77"/>
    <w:rsid w:val="6C012FFA"/>
    <w:rsid w:val="6C3867D3"/>
    <w:rsid w:val="6D7C7806"/>
    <w:rsid w:val="6D855A48"/>
    <w:rsid w:val="78AA2807"/>
    <w:rsid w:val="790E6107"/>
    <w:rsid w:val="7A7A4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keepNext/>
      <w:keepLines/>
      <w:spacing w:before="340" w:after="330" w:line="578" w:lineRule="auto"/>
      <w:outlineLvl w:val="0"/>
    </w:pPr>
    <w:rPr>
      <w:kern w:val="44"/>
      <w:sz w:val="44"/>
      <w:szCs w:val="44"/>
    </w:rPr>
  </w:style>
  <w:style w:type="paragraph" w:styleId="5">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paragraph" w:styleId="6">
    <w:name w:val="Plain Text"/>
    <w:basedOn w:val="1"/>
    <w:qFormat/>
    <w:uiPriority w:val="99"/>
    <w:rPr>
      <w:rFonts w:ascii="宋体" w:hAnsi="Courier New" w:cs="Courier New"/>
      <w:szCs w:val="21"/>
    </w:rPr>
  </w:style>
  <w:style w:type="paragraph" w:styleId="7">
    <w:name w:val="HTML Preformatted"/>
    <w:basedOn w:val="1"/>
    <w:unhideWhenUsed/>
    <w:qFormat/>
    <w:uiPriority w:val="99"/>
    <w:rPr>
      <w:rFonts w:ascii="Courier New" w:hAnsi="Courier New" w:cs="Courier New"/>
      <w:sz w:val="20"/>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2FA4E7"/>
      <w:u w:val="none"/>
    </w:rPr>
  </w:style>
  <w:style w:type="character" w:styleId="13">
    <w:name w:val="Emphasis"/>
    <w:basedOn w:val="10"/>
    <w:qFormat/>
    <w:uiPriority w:val="0"/>
    <w:rPr>
      <w:i/>
    </w:rPr>
  </w:style>
  <w:style w:type="character" w:styleId="14">
    <w:name w:val="Hyperlink"/>
    <w:basedOn w:val="10"/>
    <w:qFormat/>
    <w:uiPriority w:val="0"/>
    <w:rPr>
      <w:color w:val="2FA4E7"/>
      <w:u w:val="none"/>
    </w:rPr>
  </w:style>
  <w:style w:type="character" w:styleId="15">
    <w:name w:val="HTML Code"/>
    <w:basedOn w:val="10"/>
    <w:qFormat/>
    <w:uiPriority w:val="0"/>
    <w:rPr>
      <w:rFonts w:ascii="Consolas" w:hAnsi="Consolas" w:eastAsia="Consolas" w:cs="Consolas"/>
      <w:color w:val="DD1144"/>
      <w:sz w:val="18"/>
      <w:szCs w:val="18"/>
      <w:bdr w:val="single" w:color="E1E1E8" w:sz="6" w:space="0"/>
      <w:shd w:val="clear" w:fill="F7F7F9"/>
    </w:rPr>
  </w:style>
  <w:style w:type="character" w:styleId="16">
    <w:name w:val="HTML Cite"/>
    <w:basedOn w:val="10"/>
    <w:qFormat/>
    <w:uiPriority w:val="0"/>
  </w:style>
  <w:style w:type="character" w:customStyle="1" w:styleId="17">
    <w:name w:val="jbox-icon-none"/>
    <w:basedOn w:val="10"/>
    <w:qFormat/>
    <w:uiPriority w:val="0"/>
    <w:rPr>
      <w:vanish/>
    </w:rPr>
  </w:style>
  <w:style w:type="character" w:customStyle="1" w:styleId="18">
    <w:name w:val="jbox-icon"/>
    <w:basedOn w:val="10"/>
    <w:qFormat/>
    <w:uiPriority w:val="0"/>
  </w:style>
  <w:style w:type="character" w:customStyle="1" w:styleId="19">
    <w:name w:val="jbox-icon-warning"/>
    <w:basedOn w:val="10"/>
    <w:qFormat/>
    <w:uiPriority w:val="0"/>
  </w:style>
  <w:style w:type="character" w:customStyle="1" w:styleId="20">
    <w:name w:val="jbox-icon-info"/>
    <w:basedOn w:val="10"/>
    <w:uiPriority w:val="0"/>
  </w:style>
  <w:style w:type="character" w:customStyle="1" w:styleId="21">
    <w:name w:val="jbox-icon-success"/>
    <w:basedOn w:val="10"/>
    <w:qFormat/>
    <w:uiPriority w:val="0"/>
  </w:style>
  <w:style w:type="character" w:customStyle="1" w:styleId="22">
    <w:name w:val="jbox-icon-loading"/>
    <w:basedOn w:val="10"/>
    <w:qFormat/>
    <w:uiPriority w:val="0"/>
  </w:style>
  <w:style w:type="character" w:customStyle="1" w:styleId="23">
    <w:name w:val="jbox-icon-question"/>
    <w:basedOn w:val="10"/>
    <w:qFormat/>
    <w:uiPriority w:val="0"/>
  </w:style>
  <w:style w:type="character" w:customStyle="1" w:styleId="24">
    <w:name w:val="jbox-icon-error"/>
    <w:basedOn w:val="10"/>
    <w:qFormat/>
    <w:uiPriority w:val="0"/>
  </w:style>
  <w:style w:type="paragraph" w:customStyle="1" w:styleId="25">
    <w:name w:val="列出段落1"/>
    <w:basedOn w:val="1"/>
    <w:qFormat/>
    <w:uiPriority w:val="0"/>
    <w:pPr>
      <w:ind w:firstLine="420" w:firstLineChars="200"/>
    </w:pPr>
    <w:rPr>
      <w:rFonts w:ascii="Calibri" w:hAnsi="Calibri"/>
      <w:szCs w:val="22"/>
    </w:rPr>
  </w:style>
  <w:style w:type="paragraph" w:customStyle="1" w:styleId="26">
    <w:name w:val="列出段落2"/>
    <w:basedOn w:val="1"/>
    <w:qFormat/>
    <w:uiPriority w:val="0"/>
    <w:pPr>
      <w:ind w:firstLine="420" w:firstLineChars="200"/>
    </w:pPr>
    <w:rPr>
      <w:rFonts w:cs="Times New Roman"/>
      <w:kern w:val="0"/>
      <w:szCs w:val="24"/>
    </w:rPr>
  </w:style>
  <w:style w:type="character" w:customStyle="1" w:styleId="27">
    <w:name w:val="font41"/>
    <w:basedOn w:val="10"/>
    <w:qFormat/>
    <w:uiPriority w:val="0"/>
    <w:rPr>
      <w:rFonts w:hint="eastAsia" w:ascii="宋体" w:hAnsi="宋体" w:eastAsia="宋体" w:cs="宋体"/>
      <w:color w:val="000000"/>
      <w:sz w:val="20"/>
      <w:szCs w:val="20"/>
      <w:u w:val="none"/>
    </w:rPr>
  </w:style>
  <w:style w:type="character" w:customStyle="1" w:styleId="28">
    <w:name w:val="font01"/>
    <w:basedOn w:val="10"/>
    <w:qFormat/>
    <w:uiPriority w:val="0"/>
    <w:rPr>
      <w:rFonts w:hint="eastAsia" w:ascii="宋体" w:hAnsi="宋体" w:eastAsia="宋体" w:cs="宋体"/>
      <w:color w:val="000000"/>
      <w:sz w:val="21"/>
      <w:szCs w:val="21"/>
      <w:u w:val="none"/>
    </w:rPr>
  </w:style>
  <w:style w:type="paragraph" w:styleId="2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505</Words>
  <Characters>544</Characters>
  <Lines>0</Lines>
  <Paragraphs>0</Paragraphs>
  <TotalTime>1</TotalTime>
  <ScaleCrop>false</ScaleCrop>
  <LinksUpToDate>false</LinksUpToDate>
  <CharactersWithSpaces>558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2019-07-31T06:23:00Z</cp:lastPrinted>
  <dcterms:modified xsi:type="dcterms:W3CDTF">2025-12-19T02:37:34Z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59B693BAADDD4ABD9AD198B5E1989B74</vt:lpwstr>
  </property>
  <property fmtid="{D5CDD505-2E9C-101B-9397-08002B2CF9AE}" pid="4" name="KSOTemplateDocerSaveRecord">
    <vt:lpwstr>eyJoZGlkIjoiOTZjNzY5NDk5ODVmOWQyNTc2MWUxZDQ1ODk0NjIyOGQiLCJ1c2VySWQiOiIyOTEzMzcxNjQifQ==</vt:lpwstr>
  </property>
</Properties>
</file>