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FF18">
      <w:pPr>
        <w:rPr>
          <w:rFonts w:hint="eastAsia" w:ascii="宋体" w:hAnsi="宋体" w:cs="宋体"/>
          <w:color w:val="000080"/>
          <w:sz w:val="20"/>
          <w:highlight w:val="cyan"/>
        </w:rPr>
      </w:pPr>
    </w:p>
    <w:p w14:paraId="1C9D19B5">
      <w:pPr>
        <w:jc w:val="center"/>
        <w:rPr>
          <w:rFonts w:hint="eastAsia" w:ascii="宋体" w:hAnsi="宋体" w:cs="宋体"/>
          <w:b/>
          <w:bCs/>
          <w:caps/>
          <w:sz w:val="56"/>
          <w:szCs w:val="56"/>
          <w:highlight w:val="white"/>
        </w:rPr>
      </w:pPr>
    </w:p>
    <w:p w14:paraId="11338483">
      <w:pPr>
        <w:jc w:val="center"/>
        <w:rPr>
          <w:rFonts w:hint="eastAsia" w:ascii="宋体" w:hAnsi="宋体" w:cs="宋体"/>
          <w:b/>
          <w:bCs/>
          <w:caps/>
          <w:sz w:val="56"/>
          <w:szCs w:val="56"/>
          <w:highlight w:val="white"/>
        </w:rPr>
      </w:pPr>
    </w:p>
    <w:p w14:paraId="2785FE7E">
      <w:pPr>
        <w:rPr>
          <w:rFonts w:hint="eastAsia" w:ascii="宋体" w:hAnsi="宋体" w:cs="宋体"/>
          <w:b/>
          <w:bCs/>
          <w:caps/>
          <w:sz w:val="56"/>
          <w:szCs w:val="56"/>
          <w:highlight w:val="white"/>
          <w:lang w:eastAsia="zh-CN"/>
        </w:rPr>
      </w:pPr>
      <w:r>
        <w:rPr>
          <w:rFonts w:hint="eastAsia" w:ascii="宋体" w:hAnsi="宋体" w:cs="宋体"/>
          <w:b/>
          <w:bCs/>
          <w:caps/>
          <w:sz w:val="56"/>
          <w:szCs w:val="56"/>
          <w:highlight w:val="white"/>
          <w:lang w:eastAsia="zh-CN"/>
        </w:rPr>
        <w:t>2025年台溪乡大大线（Y092）公路</w:t>
      </w:r>
    </w:p>
    <w:p w14:paraId="7A297E93">
      <w:pPr>
        <w:ind w:firstLine="2249" w:firstLineChars="400"/>
        <w:rPr>
          <w:rFonts w:hint="eastAsia" w:ascii="宋体" w:hAnsi="宋体" w:cs="宋体"/>
        </w:rPr>
      </w:pPr>
      <w:r>
        <w:rPr>
          <w:rFonts w:hint="eastAsia" w:ascii="宋体" w:hAnsi="宋体" w:cs="宋体"/>
          <w:b/>
          <w:bCs/>
          <w:caps/>
          <w:sz w:val="56"/>
          <w:szCs w:val="56"/>
          <w:highlight w:val="white"/>
          <w:lang w:eastAsia="zh-CN"/>
        </w:rPr>
        <w:t>养护及水毁修复工程</w:t>
      </w:r>
    </w:p>
    <w:p w14:paraId="119EC278">
      <w:pPr>
        <w:rPr>
          <w:rFonts w:hint="eastAsia" w:ascii="宋体" w:hAnsi="宋体" w:cs="宋体"/>
        </w:rPr>
      </w:pPr>
    </w:p>
    <w:p w14:paraId="407D6DAF">
      <w:pPr>
        <w:rPr>
          <w:rFonts w:hint="eastAsia" w:ascii="宋体" w:hAnsi="宋体" w:cs="宋体"/>
        </w:rPr>
      </w:pPr>
    </w:p>
    <w:p w14:paraId="32601DC4">
      <w:pPr>
        <w:rPr>
          <w:rFonts w:hint="eastAsia" w:ascii="宋体" w:hAnsi="宋体" w:cs="宋体"/>
        </w:rPr>
      </w:pPr>
    </w:p>
    <w:p w14:paraId="4A82CB1B">
      <w:pPr>
        <w:rPr>
          <w:rFonts w:hint="eastAsia" w:ascii="宋体" w:hAnsi="宋体" w:cs="宋体"/>
        </w:rPr>
      </w:pPr>
    </w:p>
    <w:p w14:paraId="4F5BD80E">
      <w:pPr>
        <w:pStyle w:val="10"/>
        <w:tabs>
          <w:tab w:val="right" w:leader="middleDot" w:pos="5886"/>
        </w:tabs>
        <w:jc w:val="center"/>
        <w:rPr>
          <w:rFonts w:hint="eastAsia" w:ascii="宋体" w:hAnsi="宋体" w:cs="宋体"/>
          <w:sz w:val="52"/>
          <w:szCs w:val="52"/>
        </w:rPr>
      </w:pPr>
      <w:r>
        <w:rPr>
          <w:rFonts w:hint="eastAsia" w:ascii="宋体" w:hAnsi="宋体" w:cs="宋体"/>
          <w:sz w:val="72"/>
          <w:szCs w:val="72"/>
          <w:highlight w:val="white"/>
        </w:rPr>
        <w:t>招 标 文 件</w:t>
      </w:r>
    </w:p>
    <w:p w14:paraId="163CEC8C">
      <w:pPr>
        <w:rPr>
          <w:rFonts w:hint="eastAsia" w:ascii="宋体" w:hAnsi="宋体" w:cs="宋体"/>
        </w:rPr>
      </w:pPr>
    </w:p>
    <w:p w14:paraId="5F6E05B4">
      <w:pPr>
        <w:jc w:val="center"/>
        <w:rPr>
          <w:rFonts w:hint="eastAsia" w:ascii="宋体" w:hAnsi="宋体" w:cs="宋体"/>
          <w:b/>
          <w:bCs/>
          <w:sz w:val="28"/>
          <w:szCs w:val="28"/>
          <w:highlight w:val="white"/>
        </w:rPr>
      </w:pPr>
    </w:p>
    <w:p w14:paraId="258F1DF9">
      <w:pPr>
        <w:jc w:val="center"/>
        <w:rPr>
          <w:rFonts w:hint="eastAsia" w:ascii="宋体" w:hAnsi="宋体" w:cs="宋体"/>
          <w:b/>
          <w:bCs/>
          <w:sz w:val="28"/>
          <w:szCs w:val="28"/>
          <w:highlight w:val="white"/>
        </w:rPr>
      </w:pPr>
    </w:p>
    <w:p w14:paraId="50C753E0">
      <w:pPr>
        <w:jc w:val="center"/>
        <w:rPr>
          <w:rFonts w:hint="eastAsia" w:ascii="宋体" w:hAnsi="宋体" w:cs="宋体"/>
          <w:sz w:val="28"/>
          <w:szCs w:val="28"/>
          <w:highlight w:val="white"/>
          <w:lang w:eastAsia="zh-CN"/>
        </w:rPr>
      </w:pPr>
      <w:r>
        <w:rPr>
          <w:rFonts w:hint="eastAsia" w:ascii="宋体" w:hAnsi="宋体" w:cs="宋体"/>
          <w:b/>
          <w:bCs/>
          <w:sz w:val="28"/>
          <w:szCs w:val="28"/>
          <w:highlight w:val="white"/>
        </w:rPr>
        <w:t>招标编号：</w:t>
      </w:r>
      <w:r>
        <w:rPr>
          <w:rFonts w:hint="eastAsia" w:ascii="宋体" w:hAnsi="宋体" w:cs="宋体"/>
          <w:sz w:val="28"/>
          <w:szCs w:val="28"/>
          <w:highlight w:val="white"/>
          <w:lang w:eastAsia="zh-CN"/>
        </w:rPr>
        <w:t>DZYZ[2025]0</w:t>
      </w:r>
      <w:r>
        <w:rPr>
          <w:rFonts w:hint="eastAsia" w:ascii="宋体" w:hAnsi="宋体" w:cs="宋体"/>
          <w:sz w:val="28"/>
          <w:szCs w:val="28"/>
          <w:highlight w:val="white"/>
          <w:lang w:val="en-US" w:eastAsia="zh-CN"/>
        </w:rPr>
        <w:t>43</w:t>
      </w:r>
      <w:r>
        <w:rPr>
          <w:rFonts w:hint="eastAsia" w:ascii="宋体" w:hAnsi="宋体" w:cs="宋体"/>
          <w:sz w:val="28"/>
          <w:szCs w:val="28"/>
          <w:highlight w:val="white"/>
          <w:lang w:eastAsia="zh-CN"/>
        </w:rPr>
        <w:t xml:space="preserve">号 </w:t>
      </w:r>
    </w:p>
    <w:p w14:paraId="5000F351">
      <w:pPr>
        <w:jc w:val="center"/>
        <w:rPr>
          <w:rFonts w:hint="eastAsia" w:ascii="宋体" w:hAnsi="宋体" w:eastAsia="宋体" w:cs="宋体"/>
          <w:lang w:eastAsia="zh-CN"/>
        </w:rPr>
      </w:pPr>
      <w:r>
        <w:rPr>
          <w:rFonts w:hint="eastAsia" w:ascii="宋体" w:hAnsi="宋体" w:cs="宋体"/>
          <w:sz w:val="28"/>
          <w:szCs w:val="28"/>
          <w:highlight w:val="white"/>
          <w:lang w:eastAsia="zh-CN"/>
        </w:rPr>
        <w:t xml:space="preserve"> </w:t>
      </w:r>
    </w:p>
    <w:p w14:paraId="4072F0E7">
      <w:pPr>
        <w:rPr>
          <w:rFonts w:hint="eastAsia" w:ascii="宋体" w:hAnsi="宋体" w:cs="宋体"/>
        </w:rPr>
      </w:pPr>
    </w:p>
    <w:p w14:paraId="6F7BE42F">
      <w:pPr>
        <w:rPr>
          <w:rFonts w:hint="eastAsia" w:ascii="宋体" w:hAnsi="宋体" w:cs="宋体"/>
        </w:rPr>
      </w:pPr>
    </w:p>
    <w:p w14:paraId="5F027A95">
      <w:pPr>
        <w:rPr>
          <w:rFonts w:hint="eastAsia" w:ascii="宋体" w:hAnsi="宋体" w:cs="宋体"/>
        </w:rPr>
      </w:pPr>
    </w:p>
    <w:p w14:paraId="40AE2F62">
      <w:pPr>
        <w:pStyle w:val="10"/>
        <w:tabs>
          <w:tab w:val="right" w:leader="middleDot" w:pos="5886"/>
        </w:tabs>
        <w:ind w:firstLine="360" w:firstLineChars="100"/>
        <w:jc w:val="both"/>
        <w:rPr>
          <w:rFonts w:hint="eastAsia" w:ascii="宋体" w:hAnsi="宋体" w:cs="宋体"/>
          <w:b w:val="0"/>
          <w:bCs w:val="0"/>
          <w:sz w:val="36"/>
          <w:szCs w:val="36"/>
        </w:rPr>
      </w:pPr>
    </w:p>
    <w:p w14:paraId="094C8D76">
      <w:pPr>
        <w:pStyle w:val="10"/>
        <w:tabs>
          <w:tab w:val="right" w:leader="middleDot" w:pos="5886"/>
        </w:tabs>
        <w:spacing w:line="480" w:lineRule="auto"/>
        <w:ind w:firstLine="720" w:firstLineChars="200"/>
        <w:jc w:val="both"/>
        <w:rPr>
          <w:rFonts w:hint="eastAsia" w:ascii="宋体" w:hAnsi="宋体" w:cs="宋体"/>
          <w:b w:val="0"/>
          <w:bCs w:val="0"/>
          <w:sz w:val="36"/>
          <w:szCs w:val="36"/>
        </w:rPr>
      </w:pPr>
      <w:r>
        <w:rPr>
          <w:rFonts w:hint="eastAsia" w:ascii="宋体" w:hAnsi="宋体" w:cs="宋体"/>
          <w:b w:val="0"/>
          <w:bCs w:val="0"/>
          <w:sz w:val="36"/>
          <w:szCs w:val="36"/>
          <w:highlight w:val="white"/>
        </w:rPr>
        <w:t>招  标  人：</w:t>
      </w:r>
      <w:r>
        <w:rPr>
          <w:rFonts w:hint="eastAsia" w:ascii="宋体" w:hAnsi="宋体" w:cs="宋体"/>
          <w:b w:val="0"/>
          <w:bCs w:val="0"/>
          <w:sz w:val="36"/>
          <w:szCs w:val="36"/>
          <w:highlight w:val="white"/>
          <w:lang w:eastAsia="zh-CN"/>
        </w:rPr>
        <w:t>尤溪县台溪乡七官场村民委员会</w:t>
      </w:r>
      <w:r>
        <w:rPr>
          <w:rFonts w:hint="eastAsia" w:ascii="宋体" w:hAnsi="宋体" w:cs="宋体"/>
          <w:b w:val="0"/>
          <w:bCs w:val="0"/>
          <w:sz w:val="36"/>
          <w:szCs w:val="36"/>
          <w:highlight w:val="white"/>
        </w:rPr>
        <w:t>（盖章）</w:t>
      </w:r>
    </w:p>
    <w:p w14:paraId="73C3C81F">
      <w:pPr>
        <w:pStyle w:val="10"/>
        <w:tabs>
          <w:tab w:val="right" w:leader="middleDot" w:pos="5886"/>
        </w:tabs>
        <w:spacing w:line="480" w:lineRule="auto"/>
        <w:ind w:firstLine="720" w:firstLineChars="200"/>
        <w:jc w:val="both"/>
        <w:rPr>
          <w:rFonts w:hint="eastAsia" w:ascii="宋体" w:hAnsi="宋体" w:cs="宋体"/>
          <w:b w:val="0"/>
          <w:bCs w:val="0"/>
          <w:sz w:val="36"/>
          <w:szCs w:val="36"/>
        </w:rPr>
      </w:pPr>
      <w:r>
        <w:rPr>
          <w:rFonts w:hint="eastAsia" w:ascii="宋体" w:hAnsi="宋体" w:cs="宋体"/>
          <w:b w:val="0"/>
          <w:bCs w:val="0"/>
          <w:sz w:val="36"/>
          <w:szCs w:val="36"/>
          <w:highlight w:val="white"/>
        </w:rPr>
        <w:t>招标代理机构：</w:t>
      </w:r>
      <w:r>
        <w:rPr>
          <w:rFonts w:hint="eastAsia" w:ascii="宋体" w:hAnsi="宋体" w:cs="宋体"/>
          <w:b w:val="0"/>
          <w:bCs w:val="0"/>
          <w:sz w:val="36"/>
          <w:szCs w:val="36"/>
          <w:highlight w:val="white"/>
          <w:lang w:eastAsia="zh-CN"/>
        </w:rPr>
        <w:t>福建德泽建设有限公司</w:t>
      </w:r>
      <w:r>
        <w:rPr>
          <w:rFonts w:hint="eastAsia" w:ascii="宋体" w:hAnsi="宋体" w:cs="宋体"/>
          <w:b w:val="0"/>
          <w:bCs w:val="0"/>
          <w:sz w:val="36"/>
          <w:szCs w:val="36"/>
          <w:highlight w:val="white"/>
        </w:rPr>
        <w:t>（盖章）</w:t>
      </w:r>
    </w:p>
    <w:p w14:paraId="041D977D">
      <w:pPr>
        <w:pStyle w:val="10"/>
        <w:tabs>
          <w:tab w:val="right" w:leader="middleDot" w:pos="5886"/>
        </w:tabs>
        <w:jc w:val="center"/>
        <w:rPr>
          <w:rFonts w:hint="eastAsia" w:ascii="宋体" w:hAnsi="宋体" w:cs="宋体"/>
          <w:b w:val="0"/>
          <w:bCs w:val="0"/>
          <w:color w:val="0000FF"/>
          <w:sz w:val="36"/>
          <w:szCs w:val="36"/>
          <w:highlight w:val="white"/>
        </w:rPr>
      </w:pPr>
      <w:bookmarkStart w:id="0" w:name="EB6f726eec1e704b6aa81212ff3f0e2fc9"/>
    </w:p>
    <w:p w14:paraId="036C0CFC">
      <w:pPr>
        <w:pStyle w:val="10"/>
        <w:tabs>
          <w:tab w:val="right" w:leader="middleDot" w:pos="5886"/>
        </w:tabs>
        <w:jc w:val="center"/>
        <w:rPr>
          <w:rFonts w:hint="eastAsia" w:ascii="宋体" w:hAnsi="宋体" w:cs="宋体"/>
          <w:b w:val="0"/>
          <w:bCs w:val="0"/>
          <w:sz w:val="36"/>
          <w:szCs w:val="36"/>
        </w:rPr>
      </w:pPr>
      <w:r>
        <w:rPr>
          <w:rFonts w:hint="eastAsia" w:ascii="宋体" w:hAnsi="宋体" w:cs="宋体"/>
          <w:b w:val="0"/>
          <w:bCs w:val="0"/>
          <w:sz w:val="36"/>
          <w:szCs w:val="36"/>
          <w:highlight w:val="white"/>
        </w:rPr>
        <w:t>202</w:t>
      </w:r>
      <w:r>
        <w:rPr>
          <w:rFonts w:hint="eastAsia" w:ascii="宋体" w:hAnsi="宋体" w:cs="宋体"/>
          <w:b w:val="0"/>
          <w:bCs w:val="0"/>
          <w:sz w:val="36"/>
          <w:szCs w:val="36"/>
          <w:highlight w:val="white"/>
          <w:lang w:val="en-US" w:eastAsia="zh-CN"/>
        </w:rPr>
        <w:t>5</w:t>
      </w:r>
      <w:r>
        <w:rPr>
          <w:rFonts w:hint="eastAsia" w:ascii="宋体" w:hAnsi="宋体" w:cs="宋体"/>
          <w:b w:val="0"/>
          <w:bCs w:val="0"/>
          <w:sz w:val="36"/>
          <w:szCs w:val="36"/>
          <w:highlight w:val="white"/>
        </w:rPr>
        <w:t>年</w:t>
      </w:r>
      <w:r>
        <w:rPr>
          <w:rFonts w:hint="eastAsia" w:ascii="宋体" w:hAnsi="宋体" w:cs="宋体"/>
          <w:b w:val="0"/>
          <w:bCs w:val="0"/>
          <w:sz w:val="36"/>
          <w:szCs w:val="36"/>
          <w:highlight w:val="white"/>
          <w:lang w:val="en-US" w:eastAsia="zh-CN"/>
        </w:rPr>
        <w:t>11</w:t>
      </w:r>
      <w:r>
        <w:rPr>
          <w:rFonts w:hint="eastAsia" w:ascii="宋体" w:hAnsi="宋体" w:cs="宋体"/>
          <w:b w:val="0"/>
          <w:bCs w:val="0"/>
          <w:sz w:val="36"/>
          <w:szCs w:val="36"/>
          <w:highlight w:val="white"/>
        </w:rPr>
        <w:t>月</w:t>
      </w:r>
      <w:bookmarkEnd w:id="0"/>
    </w:p>
    <w:p w14:paraId="0FD22EDA">
      <w:pPr>
        <w:rPr>
          <w:rFonts w:hint="eastAsia" w:ascii="宋体" w:hAnsi="宋体" w:cs="宋体"/>
          <w:highlight w:val="cyan"/>
        </w:rPr>
      </w:pPr>
      <w:bookmarkStart w:id="1" w:name="EB9668dbd0c01d4a78841f23dd215eca39"/>
      <w:r>
        <w:rPr>
          <w:rFonts w:hint="eastAsia" w:ascii="宋体" w:hAnsi="宋体" w:cs="宋体"/>
          <w:color w:val="000080"/>
          <w:sz w:val="20"/>
          <w:highlight w:val="white"/>
        </w:rPr>
        <w:t xml:space="preserve"> </w:t>
      </w:r>
      <w:bookmarkEnd w:id="1"/>
    </w:p>
    <w:p w14:paraId="6B0A3BB8">
      <w:pPr>
        <w:rPr>
          <w:rFonts w:hint="eastAsia" w:ascii="宋体" w:hAnsi="宋体" w:cs="宋体"/>
        </w:rPr>
        <w:sectPr>
          <w:footerReference r:id="rId5" w:type="first"/>
          <w:footerReference r:id="rId3" w:type="default"/>
          <w:footerReference r:id="rId4" w:type="even"/>
          <w:pgSz w:w="11907" w:h="16840"/>
          <w:pgMar w:top="1440" w:right="1080" w:bottom="1440" w:left="1080" w:header="851" w:footer="1049" w:gutter="0"/>
          <w:pgNumType w:start="1"/>
          <w:cols w:space="720" w:num="1"/>
        </w:sectPr>
      </w:pPr>
    </w:p>
    <w:p w14:paraId="253198E4">
      <w:pPr>
        <w:pStyle w:val="10"/>
        <w:tabs>
          <w:tab w:val="right" w:leader="middleDot" w:pos="5886"/>
        </w:tabs>
        <w:jc w:val="center"/>
        <w:rPr>
          <w:rFonts w:hint="eastAsia" w:ascii="宋体" w:hAnsi="宋体" w:cs="宋体"/>
          <w:sz w:val="32"/>
          <w:szCs w:val="32"/>
        </w:rPr>
      </w:pPr>
      <w:r>
        <w:rPr>
          <w:rFonts w:hint="eastAsia" w:ascii="宋体" w:hAnsi="宋体" w:cs="宋体"/>
          <w:sz w:val="32"/>
          <w:szCs w:val="32"/>
          <w:highlight w:val="white"/>
        </w:rPr>
        <w:t>目  录</w:t>
      </w:r>
    </w:p>
    <w:p w14:paraId="07DC51AF">
      <w:pPr>
        <w:pStyle w:val="10"/>
        <w:tabs>
          <w:tab w:val="right" w:leader="dot" w:pos="9737"/>
        </w:tabs>
        <w:spacing w:line="360" w:lineRule="auto"/>
        <w:rPr>
          <w:rFonts w:hint="eastAsia" w:ascii="宋体" w:hAnsi="宋体" w:cs="宋体"/>
          <w:b w:val="0"/>
          <w:bCs w:val="0"/>
          <w:caps w:val="0"/>
          <w:sz w:val="21"/>
        </w:rPr>
      </w:pPr>
      <w:r>
        <w:rPr>
          <w:rFonts w:hint="eastAsia" w:ascii="宋体" w:hAnsi="宋体" w:cs="宋体"/>
          <w:caps w:val="0"/>
          <w:szCs w:val="21"/>
        </w:rPr>
        <w:fldChar w:fldCharType="begin"/>
      </w:r>
      <w:r>
        <w:rPr>
          <w:rFonts w:hint="eastAsia" w:ascii="宋体" w:hAnsi="宋体" w:cs="宋体"/>
          <w:caps w:val="0"/>
          <w:szCs w:val="21"/>
          <w:highlight w:val="white"/>
        </w:rPr>
        <w:instrText xml:space="preserve"> TOC \o "1-4" \h \z \u </w:instrText>
      </w:r>
      <w:r>
        <w:rPr>
          <w:rFonts w:hint="eastAsia" w:ascii="宋体" w:hAnsi="宋体" w:cs="宋体"/>
          <w:caps w:val="0"/>
          <w:szCs w:val="21"/>
        </w:rPr>
        <w:fldChar w:fldCharType="separate"/>
      </w: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"_Toc40261804"</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snapToGrid w:val="0"/>
          <w:kern w:val="0"/>
          <w:highlight w:val="white"/>
        </w:rPr>
        <w:t>第  一  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_Toc40261804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3DBAD14F">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"_Toc40261805"</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第一章  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_Toc40261805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6C1D7BE1">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"_Toc40261806"</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第二章  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_Toc40261806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6DBC2E67">
      <w:pPr>
        <w:pStyle w:val="8"/>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"_Toc40261807"</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投标人须知前附表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_Toc40261807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4683772D">
      <w:pPr>
        <w:pStyle w:val="8"/>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"_Toc40261812"</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投标人须知正文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_Toc40261812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71C16142">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"_Toc40261828"</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第三章  评标办法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_Toc40261828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72397376">
      <w:pPr>
        <w:pStyle w:val="8"/>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"_Toc40261829"</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评标办法正文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_Toc40261829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7BCA8B1B">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"_Toc40261839"</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第四章  合同条款及格式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_Toc40261839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35EBB412">
      <w:pPr>
        <w:pStyle w:val="8"/>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"_Toc40261840"</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第一节  通用合同条款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_Toc40261840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0BBB5B98">
      <w:pPr>
        <w:pStyle w:val="8"/>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"_Toc40261841"</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b/>
          <w:bCs/>
          <w:kern w:val="0"/>
          <w:highlight w:val="white"/>
        </w:rPr>
        <w:t xml:space="preserve">第二节  </w:t>
      </w:r>
      <w:r>
        <w:rPr>
          <w:rStyle w:val="23"/>
          <w:rFonts w:hint="eastAsia" w:ascii="宋体" w:hAnsi="宋体" w:cs="宋体"/>
          <w:b/>
          <w:bCs/>
          <w:highlight w:val="white"/>
        </w:rPr>
        <w:t>专用合同条款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_Toc40261841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4E6F981F">
      <w:pPr>
        <w:pStyle w:val="11"/>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"_Toc40261842"</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b/>
          <w:bCs/>
          <w:highlight w:val="white"/>
        </w:rPr>
        <w:t>项目专用条款数据表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_Toc40261842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3A5E1EB5">
      <w:pPr>
        <w:pStyle w:val="11"/>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"_Toc40261843"</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b/>
          <w:bCs/>
          <w:highlight w:val="white"/>
        </w:rPr>
        <w:t>合同专用条款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_Toc40261843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14:paraId="4F3BCBFE">
      <w:pPr>
        <w:pStyle w:val="8"/>
        <w:tabs>
          <w:tab w:val="right" w:leader="dot" w:pos="9737"/>
        </w:tabs>
        <w:spacing w:line="360" w:lineRule="auto"/>
        <w:rPr>
          <w:rFonts w:hint="eastAsia" w:ascii="宋体" w:hAnsi="宋体" w:cs="宋体"/>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"_Toc40261844"</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第三节  合同附件格式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_Toc40261844 \h </w:instrText>
      </w:r>
      <w:r>
        <w:rPr>
          <w:rFonts w:hint="eastAsia" w:ascii="宋体" w:hAnsi="宋体" w:cs="宋体"/>
        </w:rPr>
        <w:fldChar w:fldCharType="separate"/>
      </w:r>
      <w:r>
        <w:rPr>
          <w:rFonts w:hint="eastAsia" w:ascii="宋体" w:hAnsi="宋体" w:cs="宋体"/>
        </w:rPr>
        <w:t>47</w:t>
      </w:r>
      <w:r>
        <w:rPr>
          <w:rFonts w:hint="eastAsia" w:ascii="宋体" w:hAnsi="宋体" w:cs="宋体"/>
        </w:rPr>
        <w:fldChar w:fldCharType="end"/>
      </w:r>
      <w:r>
        <w:rPr>
          <w:rFonts w:hint="eastAsia" w:ascii="宋体" w:hAnsi="宋体" w:cs="宋体"/>
        </w:rPr>
        <w:fldChar w:fldCharType="end"/>
      </w:r>
    </w:p>
    <w:p w14:paraId="42F380AC">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"_Toc40261845"</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第五章  工程量清单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_Toc40261845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6545BF36">
      <w:pPr>
        <w:pStyle w:val="10"/>
        <w:tabs>
          <w:tab w:val="right" w:leader="dot" w:pos="9737"/>
        </w:tabs>
        <w:spacing w:line="360" w:lineRule="auto"/>
        <w:rPr>
          <w:rFonts w:hint="eastAsia" w:ascii="宋体" w:hAnsi="宋体" w:cs="宋体"/>
          <w:b w:val="0"/>
          <w:bCs w:val="0"/>
          <w:caps w:val="0"/>
          <w:sz w:val="21"/>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"_Toc40261846"</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snapToGrid w:val="0"/>
          <w:kern w:val="0"/>
          <w:highlight w:val="white"/>
        </w:rPr>
        <w:t>第  二  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_Toc40261846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088C80F2">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"_Toc40261847"</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第六章  图 纸（另册）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_Toc40261847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0D29361A">
      <w:pPr>
        <w:pStyle w:val="10"/>
        <w:tabs>
          <w:tab w:val="right" w:leader="dot" w:pos="9737"/>
        </w:tabs>
        <w:spacing w:line="360" w:lineRule="auto"/>
        <w:rPr>
          <w:rFonts w:hint="eastAsia" w:ascii="宋体" w:hAnsi="宋体" w:cs="宋体"/>
          <w:b w:val="0"/>
          <w:bCs w:val="0"/>
          <w:caps w:val="0"/>
          <w:sz w:val="21"/>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"_Toc40261848"</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snapToGrid w:val="0"/>
          <w:kern w:val="0"/>
          <w:highlight w:val="white"/>
        </w:rPr>
        <w:t>第  三  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_Toc40261848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0AD13822">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"_Toc40261849"</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第七章  技术规范（另册）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_Toc40261849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23B6D12C">
      <w:pPr>
        <w:pStyle w:val="12"/>
        <w:tabs>
          <w:tab w:val="right" w:leader="dot" w:pos="9737"/>
        </w:tabs>
        <w:spacing w:line="360" w:lineRule="auto"/>
        <w:rPr>
          <w:rFonts w:hint="eastAsia" w:ascii="宋体" w:hAnsi="宋体" w:cs="宋体"/>
          <w:b w:val="0"/>
          <w:bCs w:val="0"/>
          <w:sz w:val="21"/>
          <w:szCs w:val="22"/>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"_Toc40261850"</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第八章  工程量清单计量规则 （另册）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_Toc40261850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73AA93BB">
      <w:pPr>
        <w:pStyle w:val="10"/>
        <w:tabs>
          <w:tab w:val="right" w:leader="dot" w:pos="9737"/>
        </w:tabs>
        <w:spacing w:line="360" w:lineRule="auto"/>
        <w:rPr>
          <w:rFonts w:hint="eastAsia" w:ascii="宋体" w:hAnsi="宋体" w:cs="宋体"/>
          <w:b w:val="0"/>
          <w:bCs w:val="0"/>
          <w:caps w:val="0"/>
          <w:sz w:val="21"/>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"_Toc40261851"</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snapToGrid w:val="0"/>
          <w:kern w:val="0"/>
          <w:highlight w:val="white"/>
        </w:rPr>
        <w:t>第  四  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_Toc40261851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1C145EB5">
      <w:pPr>
        <w:pStyle w:val="12"/>
        <w:tabs>
          <w:tab w:val="right" w:leader="dot" w:pos="9737"/>
        </w:tabs>
        <w:spacing w:line="360" w:lineRule="auto"/>
        <w:rPr>
          <w:rFonts w:hint="eastAsia" w:ascii="宋体" w:hAnsi="宋体" w:cs="宋体"/>
          <w:b w:val="0"/>
          <w:bCs w:val="0"/>
          <w:caps/>
          <w:sz w:val="21"/>
        </w:rPr>
      </w:pPr>
      <w:r>
        <w:rPr>
          <w:rFonts w:hint="eastAsia" w:ascii="宋体" w:hAnsi="宋体" w:cs="宋体"/>
        </w:rPr>
        <w:fldChar w:fldCharType="begin"/>
      </w:r>
      <w:r>
        <w:rPr>
          <w:rStyle w:val="23"/>
          <w:rFonts w:hint="eastAsia" w:ascii="宋体" w:hAnsi="宋体" w:cs="宋体"/>
        </w:rPr>
        <w:instrText xml:space="preserve"> </w:instrText>
      </w:r>
      <w:r>
        <w:rPr>
          <w:rFonts w:hint="eastAsia" w:ascii="宋体" w:hAnsi="宋体" w:cs="宋体"/>
        </w:rPr>
        <w:instrText xml:space="preserve">HYPERLINK \l "_Toc40261852"</w:instrText>
      </w:r>
      <w:r>
        <w:rPr>
          <w:rStyle w:val="23"/>
          <w:rFonts w:hint="eastAsia" w:ascii="宋体" w:hAnsi="宋体" w:cs="宋体"/>
        </w:rPr>
        <w:instrText xml:space="preserve"> </w:instrText>
      </w:r>
      <w:r>
        <w:rPr>
          <w:rFonts w:hint="eastAsia" w:ascii="宋体" w:hAnsi="宋体" w:cs="宋体"/>
        </w:rPr>
        <w:fldChar w:fldCharType="separate"/>
      </w:r>
      <w:r>
        <w:rPr>
          <w:rStyle w:val="23"/>
          <w:rFonts w:hint="eastAsia" w:ascii="宋体" w:hAnsi="宋体" w:cs="宋体"/>
          <w:highlight w:val="white"/>
        </w:rPr>
        <w:t>第九章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_Toc40261852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767EB4A7">
      <w:pPr>
        <w:pStyle w:val="10"/>
        <w:tabs>
          <w:tab w:val="right" w:leader="middleDot" w:pos="5886"/>
        </w:tabs>
        <w:spacing w:before="120"/>
        <w:jc w:val="both"/>
        <w:rPr>
          <w:rFonts w:hint="eastAsia" w:ascii="宋体" w:hAnsi="宋体" w:cs="宋体"/>
          <w:szCs w:val="21"/>
        </w:rPr>
        <w:sectPr>
          <w:footerReference r:id="rId8" w:type="first"/>
          <w:headerReference r:id="rId6" w:type="default"/>
          <w:footerReference r:id="rId7" w:type="default"/>
          <w:pgSz w:w="11907" w:h="16840"/>
          <w:pgMar w:top="1440" w:right="1080" w:bottom="1440" w:left="1080" w:header="851" w:footer="1049" w:gutter="0"/>
          <w:cols w:space="720" w:num="1"/>
        </w:sectPr>
      </w:pPr>
      <w:r>
        <w:rPr>
          <w:rFonts w:hint="eastAsia" w:ascii="宋体" w:hAnsi="宋体" w:cs="宋体"/>
          <w:caps w:val="0"/>
          <w:szCs w:val="21"/>
        </w:rPr>
        <w:fldChar w:fldCharType="end"/>
      </w:r>
    </w:p>
    <w:p w14:paraId="0F9AEC99">
      <w:pPr>
        <w:spacing w:line="600" w:lineRule="exact"/>
        <w:jc w:val="center"/>
        <w:outlineLvl w:val="0"/>
        <w:rPr>
          <w:rFonts w:hint="eastAsia" w:ascii="宋体" w:hAnsi="宋体" w:cs="宋体"/>
          <w:b/>
          <w:snapToGrid w:val="0"/>
          <w:kern w:val="0"/>
          <w:sz w:val="52"/>
          <w:szCs w:val="52"/>
        </w:rPr>
      </w:pPr>
      <w:bookmarkStart w:id="2" w:name="_Toc362613840"/>
      <w:bookmarkStart w:id="3" w:name="_Toc362617911"/>
      <w:bookmarkStart w:id="4" w:name="_Toc245379314"/>
      <w:bookmarkStart w:id="5" w:name="_Toc368338525"/>
      <w:bookmarkStart w:id="6" w:name="_Toc490825221"/>
      <w:bookmarkStart w:id="7" w:name="_Toc243796158"/>
      <w:bookmarkStart w:id="8" w:name="_Toc368320199"/>
      <w:bookmarkStart w:id="9" w:name="_Toc243923662"/>
      <w:bookmarkStart w:id="10" w:name="_Toc243796215"/>
      <w:bookmarkStart w:id="11" w:name="_Toc362614212"/>
      <w:bookmarkStart w:id="12" w:name="_Toc243923994"/>
      <w:bookmarkStart w:id="13" w:name="_Toc367178433"/>
      <w:bookmarkStart w:id="14" w:name="_Toc40261804"/>
      <w:bookmarkStart w:id="15" w:name="_Toc361993596"/>
      <w:bookmarkStart w:id="16" w:name="_Toc234382568"/>
      <w:bookmarkStart w:id="17" w:name="_Toc27039753"/>
      <w:bookmarkStart w:id="18" w:name="_Toc368338388"/>
      <w:bookmarkStart w:id="19" w:name="_Toc490825105"/>
      <w:r>
        <w:rPr>
          <w:rFonts w:hint="eastAsia" w:ascii="宋体" w:hAnsi="宋体" w:cs="宋体"/>
          <w:b/>
          <w:snapToGrid w:val="0"/>
          <w:kern w:val="0"/>
          <w:sz w:val="52"/>
          <w:szCs w:val="52"/>
          <w:highlight w:val="white"/>
        </w:rPr>
        <w:t>第  一  卷</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8CDAAB4">
      <w:pPr>
        <w:rPr>
          <w:rFonts w:hint="eastAsia" w:ascii="宋体" w:hAnsi="宋体" w:cs="宋体"/>
        </w:rPr>
      </w:pPr>
    </w:p>
    <w:p w14:paraId="427FC5C7">
      <w:pPr>
        <w:numPr>
          <w:ilvl w:val="0"/>
          <w:numId w:val="1"/>
        </w:numPr>
        <w:spacing w:line="480" w:lineRule="auto"/>
        <w:jc w:val="center"/>
        <w:rPr>
          <w:rFonts w:hint="eastAsia" w:ascii="宋体" w:hAnsi="宋体" w:cs="宋体"/>
          <w:b/>
          <w:bCs w:val="0"/>
          <w:color w:val="auto"/>
          <w:sz w:val="21"/>
          <w:szCs w:val="21"/>
          <w:highlight w:val="white"/>
        </w:rPr>
      </w:pPr>
      <w:bookmarkStart w:id="20" w:name="EB1e6c2c96d04b45f0bc0cc34ea556036a"/>
      <w:bookmarkEnd w:id="20"/>
      <w:bookmarkStart w:id="21" w:name="EB7055093f00ba48f5a2abd7e585331d57"/>
      <w:bookmarkEnd w:id="21"/>
      <w:bookmarkStart w:id="22" w:name="_Toc368320206"/>
      <w:bookmarkStart w:id="23" w:name="_Toc243796165"/>
      <w:bookmarkStart w:id="24" w:name="_Toc362614223"/>
      <w:bookmarkStart w:id="25" w:name="_Toc361993598"/>
      <w:bookmarkStart w:id="26" w:name="_Toc27039755"/>
      <w:bookmarkStart w:id="27" w:name="_Toc40261806"/>
      <w:bookmarkStart w:id="28" w:name="_Toc362617922"/>
      <w:bookmarkStart w:id="29" w:name="_Toc490825107"/>
      <w:bookmarkStart w:id="30" w:name="_Toc368338532"/>
      <w:bookmarkStart w:id="31" w:name="_Toc362613851"/>
      <w:bookmarkStart w:id="32" w:name="_Toc245379321"/>
      <w:r>
        <w:rPr>
          <w:rFonts w:hint="eastAsia" w:ascii="宋体" w:hAnsi="宋体" w:cs="宋体"/>
          <w:b/>
          <w:bCs w:val="0"/>
          <w:color w:val="auto"/>
          <w:sz w:val="32"/>
          <w:szCs w:val="32"/>
          <w:highlight w:val="white"/>
          <w:lang w:val="en-US" w:eastAsia="zh-CN"/>
        </w:rPr>
        <w:t>招标公告</w:t>
      </w:r>
    </w:p>
    <w:p w14:paraId="1C84A5B8">
      <w:pPr>
        <w:spacing w:line="480" w:lineRule="auto"/>
        <w:jc w:val="center"/>
        <w:rPr>
          <w:rFonts w:hint="eastAsia" w:ascii="宋体" w:hAnsi="宋体" w:cs="宋体"/>
          <w:color w:val="auto"/>
          <w:sz w:val="21"/>
          <w:szCs w:val="21"/>
          <w:highlight w:val="white"/>
          <w:lang w:eastAsia="zh-CN"/>
        </w:rPr>
      </w:pPr>
      <w:r>
        <w:rPr>
          <w:rFonts w:hint="eastAsia" w:ascii="宋体" w:hAnsi="宋体" w:cs="宋体"/>
          <w:color w:val="auto"/>
          <w:sz w:val="21"/>
          <w:szCs w:val="21"/>
          <w:highlight w:val="white"/>
        </w:rPr>
        <w:t>招标编号：</w:t>
      </w:r>
      <w:r>
        <w:rPr>
          <w:rFonts w:hint="eastAsia" w:ascii="宋体" w:hAnsi="宋体" w:cs="宋体"/>
          <w:color w:val="auto"/>
          <w:sz w:val="21"/>
          <w:szCs w:val="21"/>
          <w:highlight w:val="white"/>
          <w:lang w:eastAsia="zh-CN"/>
        </w:rPr>
        <w:t>DZYZ[2025]04</w:t>
      </w:r>
      <w:r>
        <w:rPr>
          <w:rFonts w:hint="eastAsia" w:ascii="宋体" w:hAnsi="宋体" w:cs="宋体"/>
          <w:color w:val="auto"/>
          <w:sz w:val="21"/>
          <w:szCs w:val="21"/>
          <w:highlight w:val="white"/>
          <w:lang w:val="en-US" w:eastAsia="zh-CN"/>
        </w:rPr>
        <w:t>3</w:t>
      </w:r>
      <w:r>
        <w:rPr>
          <w:rFonts w:hint="eastAsia" w:ascii="宋体" w:hAnsi="宋体" w:cs="宋体"/>
          <w:color w:val="auto"/>
          <w:sz w:val="21"/>
          <w:szCs w:val="21"/>
          <w:highlight w:val="white"/>
          <w:lang w:eastAsia="zh-CN"/>
        </w:rPr>
        <w:t xml:space="preserve">号 </w:t>
      </w:r>
    </w:p>
    <w:p w14:paraId="00E7A173">
      <w:pPr>
        <w:spacing w:line="480" w:lineRule="auto"/>
        <w:jc w:val="center"/>
        <w:rPr>
          <w:rFonts w:hint="eastAsia" w:ascii="宋体" w:hAnsi="宋体" w:eastAsia="宋体" w:cs="宋体"/>
          <w:color w:val="auto"/>
          <w:szCs w:val="21"/>
          <w:highlight w:val="white"/>
          <w:lang w:eastAsia="zh-CN"/>
        </w:rPr>
      </w:pPr>
    </w:p>
    <w:p w14:paraId="2C503DD9">
      <w:pPr>
        <w:spacing w:line="360" w:lineRule="exact"/>
        <w:ind w:firstLine="413" w:firstLineChars="196"/>
        <w:rPr>
          <w:rFonts w:hint="eastAsia" w:ascii="宋体" w:hAnsi="宋体" w:cs="宋体"/>
          <w:b/>
          <w:color w:val="auto"/>
          <w:szCs w:val="21"/>
        </w:rPr>
      </w:pPr>
      <w:bookmarkStart w:id="33" w:name="_Toc362613842"/>
      <w:bookmarkStart w:id="34" w:name="_Toc234382570"/>
      <w:bookmarkStart w:id="35" w:name="_Toc367178435"/>
      <w:bookmarkStart w:id="36" w:name="_Toc368338527"/>
      <w:bookmarkStart w:id="37" w:name="_Toc368320201"/>
      <w:bookmarkStart w:id="38" w:name="_Toc243796160"/>
      <w:bookmarkStart w:id="39" w:name="_Toc362617913"/>
      <w:bookmarkStart w:id="40" w:name="_Toc362614214"/>
      <w:bookmarkStart w:id="41" w:name="_Toc245379316"/>
      <w:r>
        <w:rPr>
          <w:rFonts w:hint="eastAsia" w:ascii="宋体" w:hAnsi="宋体" w:cs="宋体"/>
          <w:b/>
          <w:color w:val="auto"/>
          <w:szCs w:val="21"/>
          <w:highlight w:val="white"/>
        </w:rPr>
        <w:t>1.招标条件</w:t>
      </w:r>
      <w:bookmarkEnd w:id="33"/>
      <w:bookmarkEnd w:id="34"/>
      <w:bookmarkEnd w:id="35"/>
      <w:bookmarkEnd w:id="36"/>
      <w:bookmarkEnd w:id="37"/>
      <w:bookmarkEnd w:id="38"/>
      <w:bookmarkEnd w:id="39"/>
      <w:bookmarkEnd w:id="40"/>
      <w:bookmarkEnd w:id="41"/>
    </w:p>
    <w:p w14:paraId="372BF4B5">
      <w:pPr>
        <w:spacing w:line="360" w:lineRule="exact"/>
        <w:ind w:firstLine="420" w:firstLineChars="200"/>
        <w:rPr>
          <w:rFonts w:hint="eastAsia" w:ascii="宋体" w:hAnsi="宋体" w:cs="宋体"/>
          <w:b w:val="0"/>
          <w:bCs/>
          <w:color w:val="auto"/>
          <w:szCs w:val="21"/>
        </w:rPr>
      </w:pPr>
      <w:r>
        <w:rPr>
          <w:rFonts w:hint="eastAsia" w:ascii="宋体" w:hAnsi="宋体" w:cs="宋体"/>
          <w:color w:val="auto"/>
          <w:szCs w:val="21"/>
          <w:highlight w:val="white"/>
        </w:rPr>
        <w:t>本招标项目</w:t>
      </w:r>
      <w:r>
        <w:rPr>
          <w:rFonts w:hint="eastAsia" w:ascii="宋体" w:hAnsi="宋体" w:cs="宋体"/>
          <w:color w:val="auto"/>
          <w:szCs w:val="21"/>
          <w:highlight w:val="white"/>
          <w:u w:val="single"/>
          <w:lang w:val="en-US" w:eastAsia="zh-CN"/>
        </w:rPr>
        <w:t xml:space="preserve"> </w:t>
      </w:r>
      <w:r>
        <w:rPr>
          <w:rFonts w:hint="eastAsia" w:ascii="宋体" w:hAnsi="宋体" w:cs="宋体"/>
          <w:color w:val="auto"/>
          <w:szCs w:val="21"/>
          <w:highlight w:val="white"/>
          <w:u w:val="single"/>
          <w:lang w:eastAsia="zh-CN"/>
        </w:rPr>
        <w:t>2025年台溪乡大大线（Y092）公路养护及水毁修复工程</w:t>
      </w:r>
      <w:r>
        <w:rPr>
          <w:rFonts w:hint="eastAsia" w:ascii="宋体" w:hAnsi="宋体" w:cs="宋体"/>
          <w:color w:val="auto"/>
          <w:szCs w:val="21"/>
          <w:highlight w:val="white"/>
        </w:rPr>
        <w:t>（项目名称）已由</w:t>
      </w:r>
      <w:r>
        <w:rPr>
          <w:rFonts w:hint="eastAsia" w:ascii="宋体" w:hAnsi="宋体" w:cs="宋体"/>
          <w:color w:val="auto"/>
          <w:szCs w:val="21"/>
          <w:highlight w:val="white"/>
          <w:u w:val="single"/>
          <w:lang w:eastAsia="zh-CN"/>
        </w:rPr>
        <w:t>尤溪县台溪乡七官场村民委员会</w:t>
      </w:r>
      <w:r>
        <w:rPr>
          <w:rFonts w:hint="eastAsia" w:ascii="宋体" w:hAnsi="宋体" w:cs="宋体"/>
          <w:color w:val="auto"/>
          <w:szCs w:val="21"/>
          <w:highlight w:val="white"/>
        </w:rPr>
        <w:t>以会议记</w:t>
      </w:r>
      <w:r>
        <w:rPr>
          <w:rFonts w:hint="eastAsia" w:ascii="宋体" w:hAnsi="宋体" w:cs="宋体"/>
          <w:color w:val="auto"/>
          <w:szCs w:val="21"/>
          <w:highlight w:val="white"/>
          <w:lang w:val="en-US" w:eastAsia="zh-CN"/>
        </w:rPr>
        <w:t>要</w:t>
      </w:r>
      <w:r>
        <w:rPr>
          <w:rFonts w:hint="eastAsia" w:ascii="宋体" w:hAnsi="宋体" w:cs="宋体"/>
          <w:color w:val="auto"/>
          <w:szCs w:val="21"/>
          <w:highlight w:val="white"/>
        </w:rPr>
        <w:t>批准建设。项目业主为</w:t>
      </w:r>
      <w:r>
        <w:rPr>
          <w:rFonts w:hint="eastAsia" w:ascii="宋体" w:hAnsi="宋体" w:cs="宋体"/>
          <w:color w:val="auto"/>
          <w:szCs w:val="21"/>
          <w:highlight w:val="white"/>
          <w:u w:val="single"/>
          <w:lang w:eastAsia="zh-CN"/>
        </w:rPr>
        <w:t>尤溪县台溪乡七官场村民委员会</w:t>
      </w:r>
      <w:r>
        <w:rPr>
          <w:rFonts w:hint="eastAsia" w:ascii="宋体" w:hAnsi="宋体" w:cs="宋体"/>
          <w:color w:val="auto"/>
          <w:szCs w:val="21"/>
          <w:highlight w:val="white"/>
        </w:rPr>
        <w:t>，建设资金来自</w:t>
      </w:r>
      <w:r>
        <w:rPr>
          <w:rFonts w:hint="eastAsia" w:ascii="宋体" w:hAnsi="宋体" w:cs="宋体"/>
          <w:color w:val="auto"/>
          <w:szCs w:val="21"/>
          <w:highlight w:val="white"/>
          <w:u w:val="single"/>
          <w:lang w:val="en-US" w:eastAsia="zh-CN"/>
        </w:rPr>
        <w:t>上级拨款（“一事一议”和公路养护省补资金）及自筹</w:t>
      </w:r>
      <w:r>
        <w:rPr>
          <w:rFonts w:hint="eastAsia" w:ascii="宋体" w:hAnsi="宋体" w:cs="宋体"/>
          <w:color w:val="auto"/>
          <w:szCs w:val="21"/>
          <w:highlight w:val="white"/>
        </w:rPr>
        <w:t>，招标人为</w:t>
      </w:r>
      <w:r>
        <w:rPr>
          <w:rFonts w:hint="eastAsia" w:ascii="宋体" w:hAnsi="宋体" w:cs="宋体"/>
          <w:color w:val="auto"/>
          <w:szCs w:val="21"/>
          <w:highlight w:val="white"/>
          <w:u w:val="single"/>
          <w:lang w:eastAsia="zh-CN"/>
        </w:rPr>
        <w:t>尤溪县台溪乡七官场村民委员会</w:t>
      </w:r>
      <w:r>
        <w:rPr>
          <w:rFonts w:hint="eastAsia" w:ascii="宋体" w:hAnsi="宋体" w:cs="宋体"/>
          <w:color w:val="auto"/>
          <w:szCs w:val="21"/>
          <w:highlight w:val="white"/>
        </w:rPr>
        <w:t>。项目已具备招标条件，现对该项目的施工进行</w:t>
      </w:r>
      <w:r>
        <w:rPr>
          <w:rFonts w:hint="eastAsia" w:ascii="宋体" w:hAnsi="宋体" w:cs="宋体"/>
          <w:color w:val="auto"/>
          <w:szCs w:val="21"/>
          <w:highlight w:val="white"/>
          <w:lang w:val="en-US" w:eastAsia="zh-CN"/>
        </w:rPr>
        <w:t>公开</w:t>
      </w:r>
      <w:r>
        <w:rPr>
          <w:rFonts w:hint="eastAsia" w:ascii="宋体" w:hAnsi="宋体" w:cs="宋体"/>
          <w:color w:val="auto"/>
          <w:szCs w:val="21"/>
          <w:highlight w:val="white"/>
        </w:rPr>
        <w:t>招标，</w:t>
      </w:r>
      <w:r>
        <w:rPr>
          <w:rFonts w:hint="eastAsia" w:ascii="宋体" w:hAnsi="宋体" w:cs="宋体"/>
          <w:b w:val="0"/>
          <w:bCs/>
          <w:color w:val="auto"/>
          <w:szCs w:val="21"/>
          <w:highlight w:val="white"/>
        </w:rPr>
        <w:t>本次招标采用资格后审。</w:t>
      </w:r>
    </w:p>
    <w:p w14:paraId="78903183">
      <w:pPr>
        <w:spacing w:line="360" w:lineRule="exact"/>
        <w:ind w:firstLine="413" w:firstLineChars="196"/>
        <w:rPr>
          <w:rFonts w:hint="eastAsia" w:ascii="宋体" w:hAnsi="宋体" w:cs="宋体"/>
          <w:b/>
          <w:color w:val="auto"/>
          <w:szCs w:val="21"/>
        </w:rPr>
      </w:pPr>
      <w:bookmarkStart w:id="42" w:name="_Toc368320202"/>
      <w:bookmarkStart w:id="43" w:name="_Toc362617914"/>
      <w:bookmarkStart w:id="44" w:name="_Toc245379317"/>
      <w:bookmarkStart w:id="45" w:name="_Toc234382571"/>
      <w:bookmarkStart w:id="46" w:name="_Toc362614215"/>
      <w:bookmarkStart w:id="47" w:name="_Toc243796161"/>
      <w:bookmarkStart w:id="48" w:name="_Toc362613843"/>
      <w:bookmarkStart w:id="49" w:name="_Toc367178436"/>
      <w:bookmarkStart w:id="50" w:name="_Toc368338528"/>
      <w:r>
        <w:rPr>
          <w:rFonts w:hint="eastAsia" w:ascii="宋体" w:hAnsi="宋体" w:cs="宋体"/>
          <w:b/>
          <w:color w:val="auto"/>
          <w:szCs w:val="21"/>
          <w:highlight w:val="white"/>
        </w:rPr>
        <w:t>2.项目概况与招标范围</w:t>
      </w:r>
      <w:bookmarkEnd w:id="42"/>
      <w:bookmarkEnd w:id="43"/>
      <w:bookmarkEnd w:id="44"/>
      <w:bookmarkEnd w:id="45"/>
      <w:bookmarkEnd w:id="46"/>
      <w:bookmarkEnd w:id="47"/>
      <w:bookmarkEnd w:id="48"/>
      <w:bookmarkEnd w:id="49"/>
      <w:bookmarkEnd w:id="50"/>
    </w:p>
    <w:p w14:paraId="61624395">
      <w:pPr>
        <w:spacing w:line="360" w:lineRule="exact"/>
        <w:ind w:firstLine="420" w:firstLineChars="200"/>
        <w:rPr>
          <w:rFonts w:hint="eastAsia" w:ascii="宋体" w:hAnsi="宋体" w:cs="宋体"/>
          <w:color w:val="auto"/>
          <w:szCs w:val="21"/>
          <w:u w:val="none"/>
        </w:rPr>
      </w:pPr>
      <w:r>
        <w:rPr>
          <w:rFonts w:hint="eastAsia" w:ascii="宋体" w:hAnsi="宋体" w:cs="宋体"/>
          <w:color w:val="auto"/>
          <w:szCs w:val="21"/>
          <w:highlight w:val="white"/>
        </w:rPr>
        <w:t>2.1项目的建设地点：</w:t>
      </w:r>
      <w:r>
        <w:rPr>
          <w:rFonts w:hint="eastAsia" w:ascii="宋体" w:hAnsi="宋体" w:cs="宋体"/>
          <w:color w:val="auto"/>
          <w:szCs w:val="21"/>
          <w:highlight w:val="white"/>
          <w:u w:val="none"/>
          <w:lang w:eastAsia="zh-CN"/>
        </w:rPr>
        <w:t>尤溪县台溪乡七官场村</w:t>
      </w:r>
      <w:r>
        <w:rPr>
          <w:rFonts w:hint="eastAsia" w:ascii="宋体" w:hAnsi="宋体" w:cs="宋体"/>
          <w:color w:val="auto"/>
          <w:szCs w:val="21"/>
          <w:highlight w:val="white"/>
          <w:u w:val="none"/>
        </w:rPr>
        <w:t>。</w:t>
      </w:r>
    </w:p>
    <w:p w14:paraId="6194C2B2">
      <w:pPr>
        <w:spacing w:line="360" w:lineRule="exact"/>
        <w:ind w:left="210" w:leftChars="100" w:firstLine="210" w:firstLineChars="100"/>
        <w:rPr>
          <w:rFonts w:hint="eastAsia" w:ascii="宋体" w:hAnsi="宋体" w:cs="宋体"/>
          <w:color w:val="auto"/>
          <w:szCs w:val="21"/>
          <w:u w:val="single"/>
        </w:rPr>
      </w:pPr>
      <w:r>
        <w:rPr>
          <w:rFonts w:hint="eastAsia" w:ascii="宋体" w:hAnsi="宋体" w:cs="宋体"/>
          <w:color w:val="auto"/>
          <w:szCs w:val="21"/>
          <w:highlight w:val="white"/>
        </w:rPr>
        <w:t>2.2项目的规模：</w:t>
      </w:r>
      <w:r>
        <w:rPr>
          <w:rFonts w:hint="eastAsia" w:ascii="宋体" w:hAnsi="宋体" w:cs="宋体"/>
          <w:color w:val="auto"/>
          <w:szCs w:val="21"/>
          <w:highlight w:val="white"/>
          <w:lang w:eastAsia="zh-CN"/>
        </w:rPr>
        <w:t>2025年台溪乡大大线（Y092）公路养护及水毁修复工程</w:t>
      </w:r>
      <w:r>
        <w:rPr>
          <w:rFonts w:hint="eastAsia" w:ascii="宋体" w:hAnsi="宋体" w:cs="宋体"/>
          <w:color w:val="auto"/>
          <w:szCs w:val="21"/>
          <w:highlight w:val="white"/>
        </w:rPr>
        <w:t>，主要内</w:t>
      </w:r>
      <w:r>
        <w:rPr>
          <w:rFonts w:hint="eastAsia" w:ascii="宋体" w:hAnsi="宋体" w:eastAsia="宋体" w:cs="宋体"/>
          <w:color w:val="auto"/>
          <w:szCs w:val="21"/>
          <w:highlight w:val="white"/>
        </w:rPr>
        <w:t>容</w:t>
      </w:r>
      <w:r>
        <w:rPr>
          <w:rFonts w:hint="eastAsia" w:ascii="宋体" w:hAnsi="宋体" w:cs="宋体"/>
          <w:color w:val="auto"/>
          <w:szCs w:val="21"/>
          <w:highlight w:val="white"/>
          <w:lang w:eastAsia="zh-CN"/>
        </w:rPr>
        <w:t>拆除旧路面、路面基层、混凝土面板、挡土墙</w:t>
      </w:r>
      <w:r>
        <w:rPr>
          <w:rFonts w:hint="eastAsia" w:ascii="宋体" w:hAnsi="宋体" w:eastAsia="宋体" w:cs="宋体"/>
          <w:color w:val="auto"/>
          <w:sz w:val="21"/>
          <w:szCs w:val="21"/>
          <w:highlight w:val="white"/>
          <w:lang w:val="en-US" w:eastAsia="zh-CN"/>
        </w:rPr>
        <w:t>等</w:t>
      </w:r>
      <w:r>
        <w:rPr>
          <w:rFonts w:hint="eastAsia" w:ascii="宋体" w:hAnsi="宋体" w:cs="宋体"/>
          <w:color w:val="auto"/>
          <w:szCs w:val="21"/>
          <w:highlight w:val="white"/>
        </w:rPr>
        <w:t>。工程总造价约人民币</w:t>
      </w:r>
      <w:r>
        <w:rPr>
          <w:rFonts w:hint="eastAsia" w:ascii="宋体" w:hAnsi="宋体" w:cs="宋体"/>
          <w:color w:val="auto"/>
          <w:szCs w:val="21"/>
          <w:highlight w:val="white"/>
          <w:lang w:val="en-US" w:eastAsia="zh-CN"/>
        </w:rPr>
        <w:t>57</w:t>
      </w:r>
      <w:r>
        <w:rPr>
          <w:rFonts w:hint="eastAsia" w:ascii="宋体" w:hAnsi="宋体" w:cs="宋体"/>
          <w:color w:val="auto"/>
          <w:szCs w:val="21"/>
          <w:highlight w:val="white"/>
        </w:rPr>
        <w:t>万元（具体详见图纸及清单）。</w:t>
      </w:r>
    </w:p>
    <w:p w14:paraId="4B7D6010">
      <w:pPr>
        <w:spacing w:line="360" w:lineRule="exact"/>
        <w:ind w:left="105" w:leftChars="50" w:firstLine="315" w:firstLineChars="150"/>
        <w:rPr>
          <w:rFonts w:hint="eastAsia" w:ascii="宋体" w:hAnsi="宋体" w:cs="宋体"/>
          <w:color w:val="auto"/>
        </w:rPr>
      </w:pPr>
      <w:r>
        <w:rPr>
          <w:rFonts w:hint="eastAsia" w:ascii="宋体" w:hAnsi="宋体" w:cs="宋体"/>
          <w:color w:val="auto"/>
          <w:szCs w:val="21"/>
          <w:highlight w:val="white"/>
        </w:rPr>
        <w:t>2.3</w:t>
      </w:r>
      <w:r>
        <w:rPr>
          <w:rFonts w:hint="eastAsia" w:ascii="宋体" w:hAnsi="宋体" w:cs="宋体"/>
          <w:color w:val="auto"/>
          <w:highlight w:val="white"/>
        </w:rPr>
        <w:t>项</w:t>
      </w:r>
      <w:r>
        <w:rPr>
          <w:rFonts w:hint="eastAsia" w:ascii="宋体" w:hAnsi="宋体" w:cs="宋体"/>
          <w:color w:val="auto"/>
          <w:szCs w:val="21"/>
          <w:highlight w:val="white"/>
        </w:rPr>
        <w:t>目的计划工期：工程施工计划工期</w:t>
      </w:r>
      <w:r>
        <w:rPr>
          <w:rFonts w:hint="eastAsia" w:ascii="宋体" w:hAnsi="宋体" w:cs="宋体"/>
          <w:color w:val="auto"/>
          <w:szCs w:val="21"/>
        </w:rPr>
        <w:t>为</w:t>
      </w:r>
      <w:r>
        <w:rPr>
          <w:rFonts w:hint="eastAsia" w:ascii="宋体" w:hAnsi="宋体" w:cs="宋体"/>
          <w:color w:val="auto"/>
          <w:szCs w:val="21"/>
          <w:highlight w:val="white"/>
          <w:lang w:val="en-US" w:eastAsia="zh-CN"/>
        </w:rPr>
        <w:t>90</w:t>
      </w:r>
      <w:r>
        <w:rPr>
          <w:rFonts w:hint="eastAsia" w:ascii="宋体" w:hAnsi="宋体" w:cs="宋体"/>
          <w:color w:val="auto"/>
          <w:szCs w:val="21"/>
          <w:highlight w:val="white"/>
        </w:rPr>
        <w:t>个日历天</w:t>
      </w:r>
      <w:bookmarkStart w:id="51" w:name="FB7d46b69742d64987803b82373d6496b3"/>
      <w:bookmarkEnd w:id="51"/>
      <w:bookmarkStart w:id="52" w:name="FE7d46b69742d64987803b82373d6496b3"/>
      <w:bookmarkEnd w:id="52"/>
      <w:r>
        <w:rPr>
          <w:rFonts w:hint="eastAsia" w:ascii="宋体" w:hAnsi="宋体" w:cs="宋体"/>
          <w:color w:val="auto"/>
          <w:highlight w:val="white"/>
        </w:rPr>
        <w:t>。</w:t>
      </w:r>
    </w:p>
    <w:p w14:paraId="4963021D">
      <w:pPr>
        <w:pStyle w:val="5"/>
        <w:widowControl w:val="0"/>
        <w:spacing w:line="36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white"/>
          <w:lang w:val="en-US" w:eastAsia="zh-CN" w:bidi="ar-SA"/>
        </w:rPr>
        <w:t>2.4招标范围及标段划分：</w:t>
      </w:r>
    </w:p>
    <w:p w14:paraId="5F01C1C6">
      <w:pPr>
        <w:spacing w:after="120" w:afterLines="50"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本项目工程施工共分为</w:t>
      </w:r>
      <w:bookmarkStart w:id="53" w:name="EB770f7bd23742476b80dabf64fa2f8370"/>
      <w:r>
        <w:rPr>
          <w:rFonts w:hint="eastAsia" w:ascii="宋体" w:hAnsi="宋体" w:cs="宋体"/>
          <w:color w:val="auto"/>
          <w:szCs w:val="21"/>
          <w:highlight w:val="white"/>
        </w:rPr>
        <w:t>1</w:t>
      </w:r>
      <w:bookmarkEnd w:id="53"/>
      <w:r>
        <w:rPr>
          <w:rFonts w:hint="eastAsia" w:ascii="宋体" w:hAnsi="宋体" w:cs="宋体"/>
          <w:color w:val="auto"/>
          <w:szCs w:val="21"/>
          <w:highlight w:val="white"/>
        </w:rPr>
        <w:t>个标段</w:t>
      </w:r>
      <w:bookmarkStart w:id="54" w:name="FBfcfcf08f31c64e7482a153e286daca5a"/>
      <w:bookmarkEnd w:id="54"/>
      <w:bookmarkStart w:id="55" w:name="FEfcfcf08f31c64e7482a153e286daca5a"/>
      <w:bookmarkEnd w:id="55"/>
      <w:r>
        <w:rPr>
          <w:rFonts w:hint="eastAsia" w:ascii="宋体" w:hAnsi="宋体" w:cs="宋体"/>
          <w:color w:val="auto"/>
          <w:szCs w:val="21"/>
          <w:highlight w:val="white"/>
        </w:rPr>
        <w:t>；本次共招标</w:t>
      </w:r>
      <w:bookmarkStart w:id="56" w:name="EB9d534c2102ef44bda62fb827d1a24e7a"/>
      <w:r>
        <w:rPr>
          <w:rFonts w:hint="eastAsia" w:ascii="宋体" w:hAnsi="宋体" w:cs="宋体"/>
          <w:color w:val="auto"/>
          <w:szCs w:val="21"/>
          <w:highlight w:val="white"/>
        </w:rPr>
        <w:t>1</w:t>
      </w:r>
      <w:bookmarkEnd w:id="56"/>
      <w:r>
        <w:rPr>
          <w:rFonts w:hint="eastAsia" w:ascii="宋体" w:hAnsi="宋体" w:cs="宋体"/>
          <w:color w:val="auto"/>
          <w:szCs w:val="21"/>
          <w:highlight w:val="white"/>
        </w:rPr>
        <w:t>个标段</w:t>
      </w:r>
      <w:bookmarkStart w:id="57" w:name="FBd84172c91e4c4cf7b5074290f990a81c"/>
      <w:bookmarkEnd w:id="57"/>
      <w:bookmarkStart w:id="58" w:name="FEd84172c91e4c4cf7b5074290f990a81c"/>
      <w:bookmarkEnd w:id="58"/>
      <w:r>
        <w:rPr>
          <w:rFonts w:hint="eastAsia" w:ascii="宋体" w:hAnsi="宋体" w:cs="宋体"/>
          <w:color w:val="auto"/>
          <w:szCs w:val="21"/>
          <w:highlight w:val="white"/>
        </w:rPr>
        <w:t>。具体情况详见下表：</w:t>
      </w:r>
    </w:p>
    <w:tbl>
      <w:tblPr>
        <w:tblStyle w:val="15"/>
        <w:tblW w:w="976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85"/>
        <w:gridCol w:w="2282"/>
        <w:gridCol w:w="1136"/>
        <w:gridCol w:w="1104"/>
        <w:gridCol w:w="3171"/>
        <w:gridCol w:w="1085"/>
      </w:tblGrid>
      <w:tr w14:paraId="7B167B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5" w:type="dxa"/>
            <w:tcBorders>
              <w:top w:val="outset" w:color="auto" w:sz="6" w:space="0"/>
              <w:left w:val="outset" w:color="auto" w:sz="6" w:space="0"/>
              <w:bottom w:val="outset" w:color="auto" w:sz="6" w:space="0"/>
              <w:right w:val="outset" w:color="auto" w:sz="6" w:space="0"/>
            </w:tcBorders>
            <w:noWrap w:val="0"/>
            <w:vAlign w:val="center"/>
          </w:tcPr>
          <w:p w14:paraId="7CF3FA72">
            <w:pPr>
              <w:jc w:val="center"/>
              <w:rPr>
                <w:rFonts w:hint="eastAsia" w:ascii="宋体" w:hAnsi="宋体" w:cs="宋体"/>
                <w:color w:val="auto"/>
              </w:rPr>
            </w:pPr>
            <w:r>
              <w:rPr>
                <w:rFonts w:hint="eastAsia" w:ascii="宋体" w:hAnsi="宋体" w:cs="宋体"/>
                <w:color w:val="auto"/>
                <w:highlight w:val="white"/>
              </w:rPr>
              <w:t>所属组别　</w:t>
            </w:r>
          </w:p>
        </w:tc>
        <w:tc>
          <w:tcPr>
            <w:tcW w:w="2282" w:type="dxa"/>
            <w:tcBorders>
              <w:top w:val="outset" w:color="auto" w:sz="6" w:space="0"/>
              <w:left w:val="outset" w:color="auto" w:sz="6" w:space="0"/>
              <w:bottom w:val="outset" w:color="auto" w:sz="6" w:space="0"/>
              <w:right w:val="outset" w:color="auto" w:sz="6" w:space="0"/>
            </w:tcBorders>
            <w:noWrap w:val="0"/>
            <w:vAlign w:val="center"/>
          </w:tcPr>
          <w:p w14:paraId="0F1A8DE4">
            <w:pPr>
              <w:jc w:val="center"/>
              <w:rPr>
                <w:rFonts w:hint="eastAsia" w:ascii="宋体" w:hAnsi="宋体" w:cs="宋体"/>
                <w:color w:val="auto"/>
              </w:rPr>
            </w:pPr>
            <w:r>
              <w:rPr>
                <w:rFonts w:hint="eastAsia" w:ascii="宋体" w:hAnsi="宋体" w:cs="宋体"/>
                <w:color w:val="auto"/>
                <w:highlight w:val="white"/>
              </w:rPr>
              <w:t>施工标段　</w:t>
            </w:r>
          </w:p>
        </w:tc>
        <w:tc>
          <w:tcPr>
            <w:tcW w:w="1136" w:type="dxa"/>
            <w:tcBorders>
              <w:top w:val="outset" w:color="auto" w:sz="6" w:space="0"/>
              <w:left w:val="outset" w:color="auto" w:sz="6" w:space="0"/>
              <w:bottom w:val="outset" w:color="auto" w:sz="6" w:space="0"/>
              <w:right w:val="outset" w:color="auto" w:sz="6" w:space="0"/>
            </w:tcBorders>
            <w:noWrap w:val="0"/>
            <w:vAlign w:val="center"/>
          </w:tcPr>
          <w:p w14:paraId="144A91F1">
            <w:pPr>
              <w:jc w:val="center"/>
              <w:rPr>
                <w:rFonts w:hint="eastAsia" w:ascii="宋体" w:hAnsi="宋体" w:cs="宋体"/>
                <w:color w:val="auto"/>
              </w:rPr>
            </w:pPr>
            <w:r>
              <w:rPr>
                <w:rFonts w:hint="eastAsia" w:ascii="宋体" w:hAnsi="宋体" w:cs="宋体"/>
                <w:color w:val="auto"/>
                <w:highlight w:val="white"/>
              </w:rPr>
              <w:t>里程桩号　</w:t>
            </w:r>
          </w:p>
        </w:tc>
        <w:tc>
          <w:tcPr>
            <w:tcW w:w="1104" w:type="dxa"/>
            <w:tcBorders>
              <w:top w:val="outset" w:color="auto" w:sz="6" w:space="0"/>
              <w:left w:val="outset" w:color="auto" w:sz="6" w:space="0"/>
              <w:bottom w:val="outset" w:color="auto" w:sz="6" w:space="0"/>
              <w:right w:val="outset" w:color="auto" w:sz="6" w:space="0"/>
            </w:tcBorders>
            <w:noWrap w:val="0"/>
            <w:vAlign w:val="center"/>
          </w:tcPr>
          <w:p w14:paraId="70ADBBBA">
            <w:pPr>
              <w:jc w:val="center"/>
              <w:rPr>
                <w:rFonts w:hint="eastAsia" w:ascii="宋体" w:hAnsi="宋体" w:cs="宋体"/>
                <w:color w:val="auto"/>
              </w:rPr>
            </w:pPr>
            <w:r>
              <w:rPr>
                <w:rFonts w:hint="eastAsia" w:ascii="宋体" w:hAnsi="宋体" w:cs="宋体"/>
                <w:color w:val="auto"/>
                <w:highlight w:val="white"/>
              </w:rPr>
              <w:t>长度（km）　</w:t>
            </w:r>
          </w:p>
        </w:tc>
        <w:tc>
          <w:tcPr>
            <w:tcW w:w="3171" w:type="dxa"/>
            <w:tcBorders>
              <w:top w:val="outset" w:color="auto" w:sz="6" w:space="0"/>
              <w:left w:val="outset" w:color="auto" w:sz="6" w:space="0"/>
              <w:bottom w:val="outset" w:color="auto" w:sz="6" w:space="0"/>
              <w:right w:val="outset" w:color="auto" w:sz="6" w:space="0"/>
            </w:tcBorders>
            <w:noWrap w:val="0"/>
            <w:vAlign w:val="center"/>
          </w:tcPr>
          <w:p w14:paraId="13D20050">
            <w:pPr>
              <w:jc w:val="center"/>
              <w:rPr>
                <w:rFonts w:hint="eastAsia" w:ascii="宋体" w:hAnsi="宋体" w:cs="宋体"/>
                <w:color w:val="auto"/>
              </w:rPr>
            </w:pPr>
            <w:r>
              <w:rPr>
                <w:rFonts w:hint="eastAsia" w:ascii="宋体" w:hAnsi="宋体" w:cs="宋体"/>
                <w:color w:val="auto"/>
                <w:highlight w:val="white"/>
              </w:rPr>
              <w:t>主要工程内容或工程量　</w:t>
            </w:r>
          </w:p>
        </w:tc>
        <w:tc>
          <w:tcPr>
            <w:tcW w:w="1085" w:type="dxa"/>
            <w:tcBorders>
              <w:top w:val="outset" w:color="auto" w:sz="6" w:space="0"/>
              <w:left w:val="outset" w:color="auto" w:sz="6" w:space="0"/>
              <w:bottom w:val="outset" w:color="auto" w:sz="6" w:space="0"/>
              <w:right w:val="outset" w:color="auto" w:sz="6" w:space="0"/>
            </w:tcBorders>
            <w:noWrap w:val="0"/>
            <w:vAlign w:val="center"/>
          </w:tcPr>
          <w:p w14:paraId="6637EA26">
            <w:pPr>
              <w:jc w:val="center"/>
              <w:rPr>
                <w:rFonts w:hint="eastAsia" w:ascii="宋体" w:hAnsi="宋体" w:cs="宋体"/>
                <w:color w:val="auto"/>
              </w:rPr>
            </w:pPr>
            <w:r>
              <w:rPr>
                <w:rFonts w:hint="eastAsia" w:ascii="宋体" w:hAnsi="宋体" w:cs="宋体"/>
                <w:color w:val="auto"/>
                <w:highlight w:val="white"/>
              </w:rPr>
              <w:t>施工工期　</w:t>
            </w:r>
          </w:p>
        </w:tc>
      </w:tr>
      <w:tr w14:paraId="37527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507275">
            <w:pPr>
              <w:jc w:val="center"/>
              <w:rPr>
                <w:rFonts w:hint="eastAsia" w:ascii="宋体" w:hAnsi="宋体" w:cs="宋体"/>
                <w:color w:val="auto"/>
              </w:rPr>
            </w:pPr>
            <w:r>
              <w:rPr>
                <w:rFonts w:hint="eastAsia" w:ascii="宋体" w:hAnsi="宋体" w:cs="宋体"/>
                <w:color w:val="auto"/>
              </w:rPr>
              <w:t>/</w:t>
            </w:r>
          </w:p>
        </w:tc>
        <w:tc>
          <w:tcPr>
            <w:tcW w:w="228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87AD45">
            <w:pPr>
              <w:spacing w:line="360" w:lineRule="exact"/>
              <w:jc w:val="center"/>
              <w:rPr>
                <w:rFonts w:hint="eastAsia" w:ascii="宋体" w:hAnsi="宋体" w:eastAsia="宋体" w:cs="宋体"/>
                <w:color w:val="auto"/>
                <w:szCs w:val="21"/>
                <w:highlight w:val="white"/>
                <w:lang w:eastAsia="zh-CN"/>
              </w:rPr>
            </w:pPr>
            <w:r>
              <w:rPr>
                <w:rFonts w:hint="eastAsia" w:ascii="宋体" w:hAnsi="宋体" w:cs="宋体"/>
                <w:color w:val="auto"/>
                <w:szCs w:val="21"/>
                <w:highlight w:val="white"/>
                <w:lang w:eastAsia="zh-CN"/>
              </w:rPr>
              <w:t>2025年台溪乡大大线（Y092）公路养护及水毁修复工程</w:t>
            </w:r>
          </w:p>
        </w:tc>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565B35">
            <w:pPr>
              <w:jc w:val="center"/>
              <w:rPr>
                <w:rFonts w:hint="default" w:ascii="宋体" w:hAnsi="宋体" w:eastAsia="宋体" w:cs="宋体"/>
                <w:color w:val="auto"/>
                <w:lang w:val="en-US" w:eastAsia="zh-CN"/>
              </w:rPr>
            </w:pPr>
            <w:r>
              <w:rPr>
                <w:rFonts w:hint="eastAsia" w:ascii="宋体" w:hAnsi="宋体" w:cs="宋体"/>
                <w:color w:val="auto"/>
                <w:szCs w:val="21"/>
                <w:highlight w:val="white"/>
                <w:lang w:val="en-US" w:eastAsia="zh-CN"/>
              </w:rPr>
              <w:t>/</w:t>
            </w:r>
          </w:p>
        </w:tc>
        <w:tc>
          <w:tcPr>
            <w:tcW w:w="110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6B82D4">
            <w:pPr>
              <w:jc w:val="center"/>
              <w:rPr>
                <w:rFonts w:hint="default" w:ascii="宋体" w:hAnsi="宋体" w:eastAsia="宋体" w:cs="宋体"/>
                <w:color w:val="auto"/>
                <w:szCs w:val="21"/>
                <w:highlight w:val="white"/>
                <w:lang w:val="en-US" w:eastAsia="zh-CN"/>
              </w:rPr>
            </w:pPr>
            <w:r>
              <w:rPr>
                <w:rFonts w:hint="eastAsia" w:ascii="宋体" w:hAnsi="宋体" w:cs="宋体"/>
                <w:color w:val="auto"/>
                <w:szCs w:val="21"/>
                <w:highlight w:val="white"/>
                <w:lang w:val="en-US" w:eastAsia="zh-CN"/>
              </w:rPr>
              <w:t>/</w:t>
            </w:r>
          </w:p>
        </w:tc>
        <w:tc>
          <w:tcPr>
            <w:tcW w:w="3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9276F3">
            <w:pPr>
              <w:rPr>
                <w:rFonts w:hint="eastAsia" w:ascii="宋体" w:hAnsi="宋体" w:cs="宋体"/>
                <w:color w:val="auto"/>
              </w:rPr>
            </w:pPr>
            <w:r>
              <w:rPr>
                <w:rFonts w:hint="eastAsia" w:ascii="宋体" w:hAnsi="宋体" w:cs="宋体"/>
                <w:color w:val="auto"/>
                <w:szCs w:val="21"/>
                <w:highlight w:val="white"/>
              </w:rPr>
              <w:t>主要内容</w:t>
            </w:r>
            <w:r>
              <w:rPr>
                <w:rFonts w:hint="eastAsia" w:ascii="宋体" w:hAnsi="宋体" w:eastAsia="宋体" w:cs="宋体"/>
                <w:color w:val="auto"/>
                <w:sz w:val="21"/>
                <w:szCs w:val="21"/>
                <w:highlight w:val="white"/>
                <w:lang w:val="en-US" w:eastAsia="zh-CN"/>
              </w:rPr>
              <w:t>拆除旧路面、混凝土面板、挡土墙等</w:t>
            </w:r>
            <w:r>
              <w:rPr>
                <w:rFonts w:hint="eastAsia" w:ascii="宋体" w:hAnsi="宋体" w:cs="宋体"/>
                <w:color w:val="auto"/>
                <w:szCs w:val="21"/>
                <w:highlight w:val="white"/>
              </w:rPr>
              <w:t>。</w:t>
            </w:r>
          </w:p>
        </w:tc>
        <w:tc>
          <w:tcPr>
            <w:tcW w:w="10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A969D8">
            <w:pPr>
              <w:jc w:val="left"/>
              <w:rPr>
                <w:rFonts w:hint="eastAsia" w:ascii="宋体" w:hAnsi="宋体" w:cs="宋体"/>
                <w:color w:val="auto"/>
                <w:szCs w:val="21"/>
                <w:highlight w:val="white"/>
              </w:rPr>
            </w:pPr>
            <w:r>
              <w:rPr>
                <w:rFonts w:hint="eastAsia" w:ascii="宋体" w:hAnsi="宋体" w:cs="宋体"/>
                <w:color w:val="auto"/>
                <w:szCs w:val="21"/>
                <w:lang w:val="en-US" w:eastAsia="zh-CN"/>
              </w:rPr>
              <w:t>90日历天</w:t>
            </w:r>
          </w:p>
        </w:tc>
      </w:tr>
    </w:tbl>
    <w:p w14:paraId="5A3C4DDF">
      <w:pPr>
        <w:ind w:firstLine="420" w:firstLineChars="200"/>
        <w:rPr>
          <w:rFonts w:hint="eastAsia" w:ascii="宋体" w:hAnsi="宋体" w:cs="宋体"/>
          <w:color w:val="auto"/>
          <w:szCs w:val="21"/>
          <w:highlight w:val="white"/>
        </w:rPr>
      </w:pPr>
      <w:bookmarkStart w:id="59" w:name="FBd6f4131ed7684552a707e9f27b6d07bb"/>
      <w:bookmarkEnd w:id="59"/>
      <w:bookmarkStart w:id="60" w:name="FEd6f4131ed7684552a707e9f27b6d07bb"/>
      <w:bookmarkEnd w:id="60"/>
      <w:bookmarkStart w:id="61" w:name="FBd930f9a9a2904ca1ba9dc06cbb63bb2a"/>
      <w:bookmarkEnd w:id="61"/>
      <w:bookmarkStart w:id="62" w:name="_Toc234382572"/>
      <w:bookmarkStart w:id="63" w:name="_Toc243796162"/>
      <w:bookmarkStart w:id="64" w:name="_Toc367178437"/>
      <w:bookmarkStart w:id="65" w:name="_Toc362613844"/>
      <w:bookmarkStart w:id="66" w:name="_Toc362617915"/>
      <w:bookmarkStart w:id="67" w:name="_Toc362614216"/>
      <w:bookmarkStart w:id="68" w:name="_Toc368320203"/>
      <w:bookmarkStart w:id="69" w:name="_Toc245379318"/>
      <w:bookmarkStart w:id="70" w:name="_Toc368338529"/>
    </w:p>
    <w:p w14:paraId="4559EA06">
      <w:pPr>
        <w:ind w:firstLine="420" w:firstLineChars="200"/>
        <w:rPr>
          <w:rFonts w:hint="eastAsia" w:ascii="宋体" w:hAnsi="宋体" w:cs="宋体"/>
          <w:color w:val="auto"/>
          <w:szCs w:val="21"/>
        </w:rPr>
      </w:pPr>
      <w:r>
        <w:rPr>
          <w:rFonts w:hint="eastAsia" w:ascii="宋体" w:hAnsi="宋体" w:cs="宋体"/>
          <w:color w:val="auto"/>
          <w:szCs w:val="21"/>
          <w:highlight w:val="white"/>
        </w:rPr>
        <w:t>2.5(适用于简易招标)本项目招标</w:t>
      </w:r>
      <w:r>
        <w:rPr>
          <w:rFonts w:hint="eastAsia" w:ascii="宋体" w:hAnsi="宋体" w:cs="宋体"/>
          <w:color w:val="auto"/>
          <w:szCs w:val="21"/>
        </w:rPr>
        <w:t>控制价：</w:t>
      </w:r>
      <w:r>
        <w:rPr>
          <w:rFonts w:hint="eastAsia" w:ascii="宋体" w:hAnsi="宋体" w:cs="宋体"/>
          <w:color w:val="0000FF"/>
          <w:szCs w:val="21"/>
          <w:lang w:val="en-US" w:eastAsia="zh-CN"/>
        </w:rPr>
        <w:t>571896</w:t>
      </w:r>
      <w:r>
        <w:rPr>
          <w:rFonts w:hint="eastAsia" w:ascii="宋体" w:hAnsi="宋体" w:cs="宋体"/>
          <w:color w:val="0000FF"/>
          <w:szCs w:val="21"/>
        </w:rPr>
        <w:t>元</w:t>
      </w:r>
      <w:r>
        <w:rPr>
          <w:rFonts w:hint="eastAsia" w:ascii="宋体" w:hAnsi="宋体" w:cs="宋体"/>
          <w:color w:val="0000FF"/>
          <w:szCs w:val="21"/>
          <w:highlight w:val="white"/>
          <w:lang w:eastAsia="zh-CN"/>
        </w:rPr>
        <w:t>（</w:t>
      </w:r>
      <w:r>
        <w:rPr>
          <w:rFonts w:hint="eastAsia" w:ascii="宋体" w:hAnsi="宋体" w:cs="宋体"/>
          <w:color w:val="0000FF"/>
          <w:szCs w:val="21"/>
          <w:highlight w:val="white"/>
          <w:lang w:val="en-US" w:eastAsia="zh-CN"/>
        </w:rPr>
        <w:t>含暂列金16657元</w:t>
      </w:r>
      <w:r>
        <w:rPr>
          <w:rFonts w:hint="eastAsia" w:ascii="宋体" w:hAnsi="宋体" w:cs="宋体"/>
          <w:color w:val="0000FF"/>
          <w:szCs w:val="21"/>
          <w:highlight w:val="white"/>
          <w:lang w:eastAsia="zh-CN"/>
        </w:rPr>
        <w:t>）</w:t>
      </w:r>
      <w:r>
        <w:rPr>
          <w:rFonts w:hint="eastAsia" w:ascii="宋体" w:hAnsi="宋体" w:cs="宋体"/>
          <w:color w:val="auto"/>
          <w:szCs w:val="21"/>
        </w:rPr>
        <w:t>，K=</w:t>
      </w:r>
      <w:r>
        <w:rPr>
          <w:rFonts w:hint="eastAsia" w:ascii="宋体" w:hAnsi="宋体" w:cs="宋体"/>
          <w:color w:val="auto"/>
          <w:szCs w:val="21"/>
          <w:lang w:val="en-US" w:eastAsia="zh-CN"/>
        </w:rPr>
        <w:t>1</w:t>
      </w:r>
      <w:r>
        <w:rPr>
          <w:rFonts w:hint="eastAsia" w:ascii="宋体" w:hAnsi="宋体" w:cs="宋体"/>
          <w:color w:val="auto"/>
          <w:szCs w:val="21"/>
        </w:rPr>
        <w:t>%，工程发包价：</w:t>
      </w:r>
      <w:r>
        <w:rPr>
          <w:rFonts w:hint="eastAsia" w:ascii="宋体" w:hAnsi="宋体" w:cs="宋体"/>
          <w:color w:val="auto"/>
          <w:szCs w:val="21"/>
          <w:lang w:val="en-US" w:eastAsia="zh-CN"/>
        </w:rPr>
        <w:t>566344</w:t>
      </w:r>
      <w:r>
        <w:rPr>
          <w:rFonts w:hint="eastAsia" w:ascii="宋体" w:hAnsi="宋体" w:cs="宋体"/>
          <w:color w:val="0000FF"/>
          <w:szCs w:val="21"/>
        </w:rPr>
        <w:t>元</w:t>
      </w:r>
      <w:r>
        <w:rPr>
          <w:rFonts w:hint="eastAsia" w:ascii="宋体" w:hAnsi="宋体" w:cs="宋体"/>
          <w:color w:val="0000FF"/>
          <w:szCs w:val="21"/>
          <w:highlight w:val="white"/>
          <w:lang w:eastAsia="zh-CN"/>
        </w:rPr>
        <w:t>（</w:t>
      </w:r>
      <w:r>
        <w:rPr>
          <w:rFonts w:hint="eastAsia" w:ascii="宋体" w:hAnsi="宋体" w:cs="宋体"/>
          <w:color w:val="0000FF"/>
          <w:szCs w:val="21"/>
          <w:highlight w:val="white"/>
          <w:lang w:val="en-US" w:eastAsia="zh-CN"/>
        </w:rPr>
        <w:t>含暂列金16657元</w:t>
      </w:r>
      <w:r>
        <w:rPr>
          <w:rFonts w:hint="eastAsia" w:ascii="宋体" w:hAnsi="宋体" w:cs="宋体"/>
          <w:color w:val="auto"/>
          <w:szCs w:val="21"/>
          <w:highlight w:val="white"/>
          <w:lang w:eastAsia="zh-CN"/>
        </w:rPr>
        <w:t>）</w:t>
      </w:r>
      <w:r>
        <w:rPr>
          <w:rFonts w:hint="eastAsia" w:ascii="宋体" w:hAnsi="宋体" w:cs="宋体"/>
          <w:color w:val="auto"/>
          <w:szCs w:val="21"/>
          <w:highlight w:val="white"/>
          <w:lang w:val="en-US" w:eastAsia="zh-CN"/>
        </w:rPr>
        <w:t>,工程量以现场实测为准</w:t>
      </w:r>
      <w:r>
        <w:rPr>
          <w:rFonts w:hint="eastAsia" w:ascii="宋体" w:hAnsi="宋体" w:cs="宋体"/>
          <w:color w:val="auto"/>
          <w:szCs w:val="21"/>
          <w:highlight w:val="white"/>
        </w:rPr>
        <w:t>。</w:t>
      </w:r>
      <w:bookmarkStart w:id="71" w:name="FEd930f9a9a2904ca1ba9dc06cbb63bb2a"/>
      <w:bookmarkEnd w:id="71"/>
    </w:p>
    <w:p w14:paraId="12C6C820">
      <w:pPr>
        <w:spacing w:line="360" w:lineRule="exact"/>
        <w:ind w:firstLine="413" w:firstLineChars="196"/>
        <w:rPr>
          <w:rFonts w:hint="eastAsia" w:ascii="宋体" w:hAnsi="宋体" w:cs="宋体"/>
          <w:b/>
          <w:color w:val="auto"/>
          <w:szCs w:val="21"/>
        </w:rPr>
      </w:pPr>
      <w:r>
        <w:rPr>
          <w:rFonts w:hint="eastAsia" w:ascii="宋体" w:hAnsi="宋体" w:cs="宋体"/>
          <w:b/>
          <w:color w:val="auto"/>
          <w:szCs w:val="21"/>
          <w:highlight w:val="white"/>
        </w:rPr>
        <w:t>3.投标人资格要求</w:t>
      </w:r>
      <w:bookmarkEnd w:id="62"/>
      <w:bookmarkEnd w:id="63"/>
      <w:bookmarkEnd w:id="64"/>
      <w:bookmarkEnd w:id="65"/>
      <w:bookmarkEnd w:id="66"/>
      <w:bookmarkEnd w:id="67"/>
      <w:bookmarkEnd w:id="68"/>
      <w:bookmarkEnd w:id="69"/>
      <w:bookmarkEnd w:id="70"/>
    </w:p>
    <w:p w14:paraId="75CE2696">
      <w:pPr>
        <w:spacing w:line="360" w:lineRule="exact"/>
        <w:ind w:firstLine="420" w:firstLineChars="200"/>
        <w:rPr>
          <w:rFonts w:hint="eastAsia" w:ascii="宋体" w:hAnsi="宋体" w:cs="宋体"/>
          <w:color w:val="auto"/>
          <w:szCs w:val="21"/>
          <w:highlight w:val="white"/>
        </w:rPr>
      </w:pPr>
      <w:r>
        <w:rPr>
          <w:rFonts w:hint="eastAsia" w:ascii="宋体" w:hAnsi="宋体" w:cs="宋体"/>
          <w:color w:val="auto"/>
          <w:szCs w:val="21"/>
          <w:highlight w:val="white"/>
        </w:rPr>
        <w:t>3.1本次</w:t>
      </w:r>
      <w:r>
        <w:rPr>
          <w:rFonts w:hint="eastAsia" w:ascii="宋体" w:hAnsi="宋体" w:cs="宋体"/>
          <w:color w:val="auto"/>
          <w:szCs w:val="21"/>
          <w:highlight w:val="white"/>
          <w:lang w:eastAsia="zh-CN"/>
        </w:rPr>
        <w:t>2025年台溪乡大大线（Y092）公路养护及水毁修复工程</w:t>
      </w:r>
      <w:r>
        <w:rPr>
          <w:rFonts w:hint="eastAsia" w:ascii="宋体" w:hAnsi="宋体" w:cs="宋体"/>
          <w:color w:val="auto"/>
          <w:szCs w:val="21"/>
          <w:highlight w:val="white"/>
        </w:rPr>
        <w:t>招标要求投标人须具备以下条件：</w:t>
      </w:r>
    </w:p>
    <w:p w14:paraId="2AD06ECF">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（1）具有国内独立法人资格，</w:t>
      </w:r>
      <w:bookmarkStart w:id="72" w:name="EBcc4a8f1821144b2bbd9a4ff9ec54b2a8"/>
      <w:r>
        <w:rPr>
          <w:rFonts w:hint="eastAsia" w:ascii="宋体" w:hAnsi="宋体" w:cs="宋体"/>
          <w:color w:val="auto"/>
          <w:szCs w:val="21"/>
          <w:highlight w:val="white"/>
        </w:rPr>
        <w:t>公路工程施工总承包三级及以上</w:t>
      </w:r>
      <w:bookmarkEnd w:id="72"/>
      <w:r>
        <w:rPr>
          <w:rFonts w:hint="eastAsia" w:ascii="宋体" w:hAnsi="宋体" w:cs="宋体"/>
          <w:color w:val="auto"/>
          <w:szCs w:val="21"/>
          <w:highlight w:val="white"/>
        </w:rPr>
        <w:t>资质（参照强制性资格条件附录1填写）；具备有效的企业安全生产许可证的施工企业</w:t>
      </w:r>
      <w:r>
        <w:rPr>
          <w:rFonts w:hint="eastAsia" w:ascii="宋体" w:hAnsi="宋体" w:cs="宋体"/>
          <w:color w:val="auto"/>
          <w:sz w:val="24"/>
          <w:szCs w:val="24"/>
        </w:rPr>
        <w:t>。</w:t>
      </w:r>
    </w:p>
    <w:p w14:paraId="16C1BAA3">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（2）投标人业绩条件（参照强制性资格条件附录3简要填写）：</w:t>
      </w:r>
      <w:bookmarkStart w:id="73" w:name="EB88ba591cac1f4b3bae38f3b15ae8e95a"/>
      <w:r>
        <w:rPr>
          <w:rFonts w:hint="eastAsia" w:ascii="宋体" w:hAnsi="宋体" w:cs="宋体"/>
          <w:color w:val="auto"/>
          <w:szCs w:val="21"/>
          <w:highlight w:val="white"/>
        </w:rPr>
        <w:t>/</w:t>
      </w:r>
      <w:bookmarkEnd w:id="73"/>
      <w:r>
        <w:rPr>
          <w:rFonts w:hint="eastAsia" w:ascii="宋体" w:hAnsi="宋体" w:cs="宋体"/>
          <w:color w:val="auto"/>
          <w:szCs w:val="21"/>
          <w:highlight w:val="white"/>
        </w:rPr>
        <w:t>。</w:t>
      </w:r>
    </w:p>
    <w:p w14:paraId="68CD16D0">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（3）人员、设备、资金等方面具备相应的施工能力。</w:t>
      </w:r>
      <w:bookmarkStart w:id="74" w:name="FB84e475d7fe424b93a82b5905e72fd4a2"/>
      <w:bookmarkEnd w:id="74"/>
    </w:p>
    <w:p w14:paraId="1AD46310">
      <w:pPr>
        <w:spacing w:line="360" w:lineRule="exact"/>
        <w:ind w:firstLine="420" w:firstLineChars="200"/>
        <w:rPr>
          <w:rFonts w:hint="eastAsia" w:ascii="宋体" w:hAnsi="宋体" w:cs="宋体"/>
          <w:color w:val="auto"/>
          <w:szCs w:val="21"/>
        </w:rPr>
      </w:pPr>
      <w:bookmarkStart w:id="75" w:name="FEa075cd15add34f4db026205125bc5ade"/>
      <w:bookmarkEnd w:id="75"/>
      <w:r>
        <w:rPr>
          <w:rFonts w:hint="eastAsia" w:ascii="宋体" w:hAnsi="宋体" w:cs="宋体"/>
          <w:color w:val="auto"/>
          <w:szCs w:val="21"/>
          <w:highlight w:val="white"/>
        </w:rPr>
        <w:t>3.2本次招标</w:t>
      </w:r>
      <w:bookmarkStart w:id="76" w:name="FE4b6e2a82bf224046bc54182fe5432275"/>
      <w:bookmarkEnd w:id="76"/>
      <w:bookmarkStart w:id="77" w:name="FBc91bde5ddada4a9f8a69c07fe6ec7767"/>
      <w:bookmarkEnd w:id="77"/>
      <w:bookmarkStart w:id="78" w:name="FE416114070e884151af03fc41740883bf"/>
      <w:bookmarkEnd w:id="78"/>
      <w:bookmarkStart w:id="79" w:name="FBe509686d1c174e13a91095ff2f0f200c"/>
      <w:bookmarkEnd w:id="79"/>
      <w:bookmarkStart w:id="80" w:name="FB4b6e2a82bf224046bc54182fe5432275"/>
      <w:bookmarkEnd w:id="80"/>
      <w:r>
        <w:rPr>
          <w:rFonts w:hint="eastAsia" w:ascii="宋体" w:hAnsi="宋体" w:cs="宋体"/>
          <w:color w:val="auto"/>
          <w:szCs w:val="21"/>
          <w:highlight w:val="white"/>
        </w:rPr>
        <w:t>不接受</w:t>
      </w:r>
      <w:bookmarkStart w:id="81" w:name="FEc91bde5ddada4a9f8a69c07fe6ec7767"/>
      <w:bookmarkEnd w:id="81"/>
      <w:r>
        <w:rPr>
          <w:rFonts w:hint="eastAsia" w:ascii="宋体" w:hAnsi="宋体" w:cs="宋体"/>
          <w:color w:val="auto"/>
          <w:szCs w:val="21"/>
          <w:highlight w:val="white"/>
        </w:rPr>
        <w:t>联合体投标。</w:t>
      </w:r>
    </w:p>
    <w:p w14:paraId="75B34B5F">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3.3</w:t>
      </w:r>
      <w:r>
        <w:rPr>
          <w:rFonts w:hint="eastAsia" w:ascii="宋体" w:hAnsi="宋体" w:cs="宋体"/>
          <w:color w:val="auto"/>
          <w:highlight w:val="white"/>
        </w:rPr>
        <w:t>单位负责人为同一人或存在控股、管理关系的不同单位，不得参加同一标段投标，否则，相关投标均无效。</w:t>
      </w:r>
    </w:p>
    <w:p w14:paraId="5B54CA32">
      <w:pPr>
        <w:snapToGrid w:val="0"/>
        <w:spacing w:line="360" w:lineRule="atLeast"/>
        <w:ind w:firstLine="420"/>
        <w:rPr>
          <w:rFonts w:hint="eastAsia" w:ascii="宋体" w:hAnsi="宋体" w:cs="宋体"/>
          <w:color w:val="auto"/>
        </w:rPr>
      </w:pPr>
      <w:r>
        <w:rPr>
          <w:rFonts w:hint="eastAsia" w:ascii="宋体" w:hAnsi="宋体" w:cs="宋体"/>
          <w:color w:val="auto"/>
          <w:szCs w:val="21"/>
          <w:highlight w:val="white"/>
        </w:rPr>
        <w:t>3.4与招标人或发布本公告的交易系统开发单位存在利害关系可能影响招标公正性的法人、其他组织或者个人，不得参加投标。</w:t>
      </w:r>
    </w:p>
    <w:p w14:paraId="43C3C212">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3.5中标候选人不得与同一标段已中标的监理单位为同一法人、相互隶属或隶属同一法人，否则，招标人有权取消其中标候选人资格（如本次招标同时含有施工、监理标，则定标顺序依次为施工、监理标）。</w:t>
      </w:r>
    </w:p>
    <w:p w14:paraId="5CC7EB1E">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3.6</w:t>
      </w:r>
      <w:r>
        <w:rPr>
          <w:rFonts w:hint="eastAsia" w:ascii="宋体" w:hAnsi="宋体" w:cs="宋体"/>
          <w:color w:val="auto"/>
          <w:highlight w:val="white"/>
        </w:rPr>
        <w:t>在“信用中国”网站（http://www.creditchina.gov.cn/）中被列入失信被执行人名单的投标人，不得参加投标。</w:t>
      </w:r>
    </w:p>
    <w:p w14:paraId="764B4BDC">
      <w:pPr>
        <w:spacing w:line="360" w:lineRule="exact"/>
        <w:ind w:firstLine="420" w:firstLineChars="200"/>
        <w:rPr>
          <w:rFonts w:hint="eastAsia" w:ascii="宋体" w:hAnsi="宋体" w:cs="宋体"/>
          <w:color w:val="auto"/>
        </w:rPr>
      </w:pPr>
      <w:r>
        <w:rPr>
          <w:rFonts w:hint="eastAsia" w:ascii="宋体" w:hAnsi="宋体" w:cs="宋体"/>
          <w:color w:val="auto"/>
          <w:szCs w:val="21"/>
          <w:highlight w:val="white"/>
        </w:rPr>
        <w:t>3.7</w:t>
      </w:r>
      <w:r>
        <w:rPr>
          <w:rFonts w:hint="eastAsia" w:ascii="宋体" w:hAnsi="宋体" w:cs="宋体"/>
          <w:color w:val="auto"/>
          <w:highlight w:val="white"/>
        </w:rPr>
        <w:t>在“国家企业信用信息公示系统”网站（www.gsxt.gov.cn）中被列入严重违法失信企业名单的投标人，不得参加投标。</w:t>
      </w:r>
    </w:p>
    <w:p w14:paraId="1A16A05F">
      <w:pPr>
        <w:spacing w:line="360" w:lineRule="exact"/>
        <w:ind w:firstLine="420" w:firstLineChars="200"/>
        <w:rPr>
          <w:rFonts w:hint="eastAsia" w:ascii="宋体" w:hAnsi="宋体" w:cs="宋体"/>
          <w:color w:val="auto"/>
        </w:rPr>
      </w:pPr>
      <w:r>
        <w:rPr>
          <w:rFonts w:hint="eastAsia" w:ascii="宋体" w:hAnsi="宋体" w:cs="宋体"/>
          <w:color w:val="auto"/>
          <w:highlight w:val="white"/>
        </w:rPr>
        <w:t>3.8投标人及其法定代表人、拟委任的项目经理</w:t>
      </w:r>
      <w:r>
        <w:rPr>
          <w:rFonts w:hint="eastAsia" w:ascii="宋体" w:hAnsi="宋体" w:cs="宋体"/>
          <w:color w:val="auto"/>
          <w:szCs w:val="21"/>
          <w:highlight w:val="white"/>
        </w:rPr>
        <w:t>、拟委任的项目总工</w:t>
      </w:r>
      <w:r>
        <w:rPr>
          <w:rFonts w:hint="eastAsia" w:ascii="宋体" w:hAnsi="宋体" w:cs="宋体"/>
          <w:color w:val="auto"/>
          <w:highlight w:val="white"/>
        </w:rPr>
        <w:t>在近三年内有行贿犯罪行为的，不得参加投标。</w:t>
      </w:r>
      <w:bookmarkStart w:id="82" w:name="FB963f7b5404d64fd7991214a5d832e906"/>
      <w:bookmarkEnd w:id="82"/>
      <w:bookmarkStart w:id="83" w:name="FE963f7b5404d64fd7991214a5d832e906"/>
      <w:bookmarkEnd w:id="83"/>
    </w:p>
    <w:p w14:paraId="71FEA5D1">
      <w:pPr>
        <w:spacing w:line="360" w:lineRule="exact"/>
        <w:ind w:firstLine="413" w:firstLineChars="196"/>
        <w:rPr>
          <w:rFonts w:hint="eastAsia" w:ascii="宋体" w:hAnsi="宋体" w:cs="宋体"/>
          <w:b/>
          <w:color w:val="auto"/>
          <w:szCs w:val="21"/>
        </w:rPr>
      </w:pPr>
      <w:bookmarkStart w:id="84" w:name="_Toc368320204"/>
      <w:bookmarkStart w:id="85" w:name="_Toc243796163"/>
      <w:bookmarkStart w:id="86" w:name="_Toc362614217"/>
      <w:bookmarkStart w:id="87" w:name="_Toc234382573"/>
      <w:bookmarkStart w:id="88" w:name="_Toc362613845"/>
      <w:bookmarkStart w:id="89" w:name="_Toc362617916"/>
      <w:bookmarkStart w:id="90" w:name="_Toc367178438"/>
      <w:bookmarkStart w:id="91" w:name="_Toc368338530"/>
      <w:bookmarkStart w:id="92" w:name="_Toc245379319"/>
      <w:r>
        <w:rPr>
          <w:rFonts w:hint="eastAsia" w:ascii="宋体" w:hAnsi="宋体" w:cs="宋体"/>
          <w:b/>
          <w:color w:val="auto"/>
          <w:szCs w:val="21"/>
          <w:highlight w:val="white"/>
        </w:rPr>
        <w:t>4.招标文件的获取</w:t>
      </w:r>
      <w:bookmarkEnd w:id="84"/>
      <w:bookmarkEnd w:id="85"/>
      <w:bookmarkEnd w:id="86"/>
      <w:bookmarkEnd w:id="87"/>
      <w:bookmarkEnd w:id="88"/>
      <w:bookmarkEnd w:id="89"/>
      <w:bookmarkEnd w:id="90"/>
      <w:bookmarkEnd w:id="91"/>
      <w:bookmarkEnd w:id="92"/>
    </w:p>
    <w:p w14:paraId="33812843">
      <w:pPr>
        <w:spacing w:line="360" w:lineRule="exact"/>
        <w:ind w:firstLine="411" w:firstLineChars="196"/>
        <w:rPr>
          <w:rFonts w:hint="eastAsia" w:ascii="宋体" w:hAnsi="宋体" w:eastAsia="宋体" w:cs="宋体"/>
          <w:color w:val="auto"/>
          <w:szCs w:val="21"/>
          <w:highlight w:val="white"/>
          <w:lang w:val="en-US" w:eastAsia="zh-CN" w:bidi="ar-SA"/>
        </w:rPr>
      </w:pPr>
      <w:bookmarkStart w:id="93" w:name="FBe61f6f4414c94fddb9b890d3b34e2ee0"/>
      <w:bookmarkEnd w:id="93"/>
      <w:bookmarkStart w:id="94" w:name="FEe61f6f4414c94fddb9b890d3b34e2ee0"/>
      <w:bookmarkEnd w:id="94"/>
      <w:bookmarkStart w:id="95" w:name="_Toc234382574"/>
      <w:bookmarkStart w:id="96" w:name="_Toc367178439"/>
      <w:bookmarkStart w:id="97" w:name="_Toc362613846"/>
      <w:bookmarkStart w:id="98" w:name="_Toc362617917"/>
      <w:bookmarkStart w:id="99" w:name="_Toc243796164"/>
      <w:bookmarkStart w:id="100" w:name="_Toc368338531"/>
      <w:bookmarkStart w:id="101" w:name="_Toc368320205"/>
      <w:bookmarkStart w:id="102" w:name="_Toc245379320"/>
      <w:bookmarkStart w:id="103" w:name="_Toc362614218"/>
      <w:r>
        <w:rPr>
          <w:rFonts w:hint="eastAsia" w:ascii="宋体" w:hAnsi="宋体" w:eastAsia="宋体" w:cs="宋体"/>
          <w:color w:val="auto"/>
          <w:szCs w:val="21"/>
          <w:highlight w:val="white"/>
          <w:lang w:val="en-US" w:eastAsia="zh-CN" w:bidi="ar-SA"/>
        </w:rPr>
        <w:t>凡有意参加投标者，请于2025年1</w:t>
      </w:r>
      <w:r>
        <w:rPr>
          <w:rFonts w:hint="eastAsia" w:ascii="宋体" w:hAnsi="宋体" w:cs="宋体"/>
          <w:color w:val="auto"/>
          <w:szCs w:val="21"/>
          <w:highlight w:val="white"/>
          <w:lang w:val="en-US" w:eastAsia="zh-CN" w:bidi="ar-SA"/>
        </w:rPr>
        <w:t>1</w:t>
      </w:r>
      <w:r>
        <w:rPr>
          <w:rFonts w:hint="eastAsia" w:ascii="宋体" w:hAnsi="宋体" w:eastAsia="宋体" w:cs="宋体"/>
          <w:color w:val="auto"/>
          <w:szCs w:val="21"/>
          <w:highlight w:val="white"/>
          <w:lang w:val="en-US" w:eastAsia="zh-CN" w:bidi="ar-SA"/>
        </w:rPr>
        <w:t>月</w:t>
      </w:r>
      <w:r>
        <w:rPr>
          <w:rFonts w:hint="eastAsia" w:ascii="宋体" w:hAnsi="宋体" w:cs="宋体"/>
          <w:color w:val="auto"/>
          <w:szCs w:val="21"/>
          <w:highlight w:val="white"/>
          <w:lang w:val="en-US" w:eastAsia="zh-CN" w:bidi="ar-SA"/>
        </w:rPr>
        <w:t>13</w:t>
      </w:r>
      <w:r>
        <w:rPr>
          <w:rFonts w:hint="eastAsia" w:ascii="宋体" w:hAnsi="宋体" w:eastAsia="宋体" w:cs="宋体"/>
          <w:color w:val="auto"/>
          <w:szCs w:val="21"/>
          <w:highlight w:val="white"/>
          <w:lang w:val="en-US" w:eastAsia="zh-CN" w:bidi="ar-SA"/>
        </w:rPr>
        <w:t>日08:00:00至11月</w:t>
      </w:r>
      <w:r>
        <w:rPr>
          <w:rFonts w:hint="eastAsia" w:ascii="宋体" w:hAnsi="宋体" w:cs="宋体"/>
          <w:color w:val="auto"/>
          <w:szCs w:val="21"/>
          <w:highlight w:val="white"/>
          <w:lang w:val="en-US" w:eastAsia="zh-CN" w:bidi="ar-SA"/>
        </w:rPr>
        <w:t>26</w:t>
      </w:r>
      <w:r>
        <w:rPr>
          <w:rFonts w:hint="eastAsia" w:ascii="宋体" w:hAnsi="宋体" w:eastAsia="宋体" w:cs="宋体"/>
          <w:color w:val="auto"/>
          <w:szCs w:val="21"/>
          <w:highlight w:val="white"/>
          <w:lang w:val="en-US" w:eastAsia="zh-CN" w:bidi="ar-SA"/>
        </w:rPr>
        <w:t>日17:30:00(含法定节假日)通过福建沙县农村产权交易中心电子招投标平台（http://ztb.fncjys.cn/）采取无记名方式免费下载电子招标文件等相关资料，投标人上传投标文件时需缴纳50元/项目的平台运营维护费，本招标项目电子招标文件使用新点投标文件制作软件（福建版）打开。</w:t>
      </w:r>
    </w:p>
    <w:p w14:paraId="34D01EF7">
      <w:pPr>
        <w:spacing w:line="360" w:lineRule="exact"/>
        <w:ind w:firstLine="413" w:firstLineChars="196"/>
        <w:rPr>
          <w:rFonts w:hint="eastAsia" w:ascii="宋体" w:hAnsi="宋体" w:cs="宋体"/>
          <w:b/>
          <w:color w:val="auto"/>
          <w:szCs w:val="21"/>
        </w:rPr>
      </w:pPr>
      <w:r>
        <w:rPr>
          <w:rFonts w:hint="eastAsia" w:ascii="宋体" w:hAnsi="宋体" w:cs="宋体"/>
          <w:b/>
          <w:color w:val="auto"/>
          <w:szCs w:val="21"/>
          <w:highlight w:val="white"/>
        </w:rPr>
        <w:t>5.投标文件的递交</w:t>
      </w:r>
      <w:bookmarkEnd w:id="95"/>
      <w:r>
        <w:rPr>
          <w:rFonts w:hint="eastAsia" w:ascii="宋体" w:hAnsi="宋体" w:cs="宋体"/>
          <w:b/>
          <w:color w:val="auto"/>
          <w:szCs w:val="21"/>
          <w:highlight w:val="white"/>
        </w:rPr>
        <w:t>及相关事宜</w:t>
      </w:r>
      <w:bookmarkEnd w:id="96"/>
      <w:bookmarkEnd w:id="97"/>
      <w:bookmarkEnd w:id="98"/>
      <w:bookmarkEnd w:id="99"/>
      <w:bookmarkEnd w:id="100"/>
      <w:bookmarkEnd w:id="101"/>
      <w:bookmarkEnd w:id="102"/>
      <w:bookmarkEnd w:id="103"/>
    </w:p>
    <w:p w14:paraId="7FFC82A4">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5.1本次招标不组织踏勘现场。</w:t>
      </w:r>
    </w:p>
    <w:p w14:paraId="04A798E1">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5.2本次招标不召开投标预备会。</w:t>
      </w:r>
    </w:p>
    <w:p w14:paraId="2D5AF665">
      <w:pPr>
        <w:widowControl/>
        <w:spacing w:line="19" w:lineRule="atLeast"/>
        <w:ind w:left="-160" w:right="150" w:firstLine="510"/>
        <w:rPr>
          <w:rFonts w:hint="eastAsia" w:ascii="宋体" w:hAnsi="宋体" w:cs="宋体"/>
          <w:color w:val="auto"/>
          <w:szCs w:val="21"/>
          <w:highlight w:val="white"/>
        </w:rPr>
      </w:pPr>
      <w:r>
        <w:rPr>
          <w:rFonts w:hint="eastAsia" w:ascii="宋体" w:hAnsi="宋体" w:cs="宋体"/>
          <w:color w:val="auto"/>
          <w:szCs w:val="21"/>
          <w:highlight w:val="white"/>
        </w:rPr>
        <w:t>5.3投标文件递交截止时间（投标截止</w:t>
      </w:r>
      <w:r>
        <w:rPr>
          <w:rFonts w:hint="eastAsia" w:ascii="宋体" w:hAnsi="宋体" w:cs="宋体"/>
          <w:color w:val="auto"/>
          <w:szCs w:val="21"/>
          <w:highlight w:val="white"/>
          <w:lang w:eastAsia="zh-CN"/>
        </w:rPr>
        <w:t>时间，</w:t>
      </w:r>
      <w:r>
        <w:rPr>
          <w:rFonts w:hint="eastAsia" w:ascii="宋体" w:hAnsi="宋体" w:cs="宋体"/>
          <w:color w:val="auto"/>
          <w:szCs w:val="21"/>
          <w:highlight w:val="white"/>
        </w:rPr>
        <w:t>北京时间，下同）</w:t>
      </w:r>
      <w:r>
        <w:rPr>
          <w:rFonts w:hint="eastAsia" w:ascii="宋体" w:hAnsi="宋体" w:cs="宋体"/>
          <w:color w:val="auto"/>
          <w:kern w:val="0"/>
          <w:szCs w:val="21"/>
          <w:shd w:val="clear" w:color="auto" w:fill="FFFFFF"/>
          <w:lang w:bidi="ar"/>
        </w:rPr>
        <w:t>202</w:t>
      </w:r>
      <w:r>
        <w:rPr>
          <w:rFonts w:hint="eastAsia" w:ascii="宋体" w:hAnsi="宋体" w:cs="宋体"/>
          <w:color w:val="auto"/>
          <w:kern w:val="0"/>
          <w:szCs w:val="21"/>
          <w:shd w:val="clear" w:color="auto" w:fill="FFFFFF"/>
          <w:lang w:val="en-US" w:eastAsia="zh-CN" w:bidi="ar"/>
        </w:rPr>
        <w:t>5</w:t>
      </w:r>
      <w:r>
        <w:rPr>
          <w:rFonts w:hint="eastAsia" w:ascii="宋体" w:hAnsi="宋体" w:cs="宋体"/>
          <w:color w:val="auto"/>
          <w:kern w:val="0"/>
          <w:szCs w:val="21"/>
          <w:shd w:val="clear" w:color="auto" w:fill="FFFFFF"/>
          <w:lang w:bidi="ar"/>
        </w:rPr>
        <w:t>年</w:t>
      </w:r>
      <w:r>
        <w:rPr>
          <w:rFonts w:hint="eastAsia" w:ascii="宋体" w:hAnsi="宋体" w:cs="宋体"/>
          <w:color w:val="auto"/>
          <w:kern w:val="0"/>
          <w:szCs w:val="21"/>
          <w:shd w:val="clear" w:color="auto" w:fill="FFFFFF"/>
          <w:lang w:val="en-US" w:eastAsia="zh-CN" w:bidi="ar"/>
        </w:rPr>
        <w:t>11</w:t>
      </w:r>
      <w:r>
        <w:rPr>
          <w:rFonts w:hint="eastAsia" w:ascii="宋体" w:hAnsi="宋体" w:cs="宋体"/>
          <w:color w:val="auto"/>
          <w:kern w:val="0"/>
          <w:szCs w:val="21"/>
          <w:shd w:val="clear" w:color="auto" w:fill="FFFFFF"/>
          <w:lang w:bidi="ar"/>
        </w:rPr>
        <w:t>月</w:t>
      </w:r>
      <w:r>
        <w:rPr>
          <w:rFonts w:hint="eastAsia" w:ascii="宋体" w:hAnsi="宋体" w:cs="宋体"/>
          <w:color w:val="auto"/>
          <w:kern w:val="0"/>
          <w:szCs w:val="21"/>
          <w:shd w:val="clear" w:color="auto" w:fill="FFFFFF"/>
          <w:lang w:val="en-US" w:eastAsia="zh-CN" w:bidi="ar"/>
        </w:rPr>
        <w:t>27</w:t>
      </w:r>
      <w:r>
        <w:rPr>
          <w:rFonts w:hint="eastAsia" w:ascii="宋体" w:hAnsi="宋体" w:cs="宋体"/>
          <w:color w:val="auto"/>
          <w:kern w:val="0"/>
          <w:szCs w:val="21"/>
          <w:shd w:val="clear" w:color="auto" w:fill="FFFFFF"/>
          <w:lang w:bidi="ar"/>
        </w:rPr>
        <w:t xml:space="preserve">日 </w:t>
      </w:r>
      <w:r>
        <w:rPr>
          <w:rFonts w:hint="eastAsia" w:ascii="宋体" w:hAnsi="宋体" w:cs="宋体"/>
          <w:color w:val="auto"/>
          <w:kern w:val="0"/>
          <w:szCs w:val="21"/>
          <w:shd w:val="clear" w:color="auto" w:fill="FFFFFF"/>
          <w:lang w:val="en-US" w:eastAsia="zh-CN" w:bidi="ar"/>
        </w:rPr>
        <w:t>16</w:t>
      </w:r>
      <w:r>
        <w:rPr>
          <w:rFonts w:hint="eastAsia" w:ascii="宋体" w:hAnsi="宋体" w:cs="宋体"/>
          <w:color w:val="auto"/>
          <w:kern w:val="0"/>
          <w:szCs w:val="21"/>
          <w:shd w:val="clear" w:color="auto" w:fill="FFFFFF"/>
          <w:lang w:bidi="ar"/>
        </w:rPr>
        <w:t>:</w:t>
      </w:r>
      <w:r>
        <w:rPr>
          <w:rFonts w:hint="eastAsia" w:ascii="宋体" w:hAnsi="宋体" w:cs="宋体"/>
          <w:color w:val="auto"/>
          <w:kern w:val="0"/>
          <w:szCs w:val="21"/>
          <w:shd w:val="clear" w:color="auto" w:fill="FFFFFF"/>
          <w:lang w:val="en-US" w:eastAsia="zh-CN" w:bidi="ar"/>
        </w:rPr>
        <w:t>0</w:t>
      </w:r>
      <w:r>
        <w:rPr>
          <w:rFonts w:hint="eastAsia" w:ascii="宋体" w:hAnsi="宋体" w:cs="宋体"/>
          <w:color w:val="auto"/>
          <w:kern w:val="0"/>
          <w:szCs w:val="21"/>
          <w:shd w:val="clear" w:color="auto" w:fill="FFFFFF"/>
          <w:lang w:bidi="ar"/>
        </w:rPr>
        <w:t>0，投标人应在截止时间前通过</w:t>
      </w:r>
      <w:r>
        <w:rPr>
          <w:rFonts w:hint="eastAsia" w:ascii="宋体" w:hAnsi="宋体" w:eastAsia="宋体" w:cs="宋体"/>
          <w:i w:val="0"/>
          <w:iCs w:val="0"/>
          <w:caps w:val="0"/>
          <w:color w:val="auto"/>
          <w:spacing w:val="0"/>
          <w:kern w:val="0"/>
          <w:sz w:val="21"/>
          <w:szCs w:val="21"/>
          <w:shd w:val="clear" w:color="auto" w:fill="auto"/>
          <w:lang w:eastAsia="zh-CN" w:bidi="ar"/>
        </w:rPr>
        <w:t>福建沙县农村产权交易中心电子招投标平台</w:t>
      </w:r>
      <w:r>
        <w:rPr>
          <w:rFonts w:hint="eastAsia" w:ascii="宋体" w:hAnsi="宋体" w:eastAsia="宋体" w:cs="宋体"/>
          <w:i w:val="0"/>
          <w:iCs w:val="0"/>
          <w:caps w:val="0"/>
          <w:color w:val="auto"/>
          <w:spacing w:val="0"/>
          <w:kern w:val="0"/>
          <w:sz w:val="21"/>
          <w:szCs w:val="21"/>
          <w:shd w:val="clear" w:color="auto" w:fill="auto"/>
          <w:lang w:bidi="ar"/>
        </w:rPr>
        <w:t>（http://ztb.fncjys.cn/</w:t>
      </w:r>
      <w:r>
        <w:rPr>
          <w:rFonts w:hint="eastAsia" w:ascii="宋体" w:hAnsi="宋体" w:cs="宋体"/>
          <w:color w:val="auto"/>
          <w:szCs w:val="21"/>
          <w:highlight w:val="white"/>
        </w:rPr>
        <w:t>）递交电子投标文件。逾期送达的投标文件将予以拒收</w:t>
      </w:r>
    </w:p>
    <w:p w14:paraId="45878EC4">
      <w:pPr>
        <w:spacing w:line="360" w:lineRule="exact"/>
        <w:ind w:firstLine="413" w:firstLineChars="196"/>
        <w:rPr>
          <w:rFonts w:hint="eastAsia" w:ascii="宋体" w:hAnsi="宋体" w:cs="宋体"/>
          <w:b/>
          <w:color w:val="auto"/>
          <w:szCs w:val="21"/>
        </w:rPr>
      </w:pPr>
      <w:bookmarkStart w:id="104" w:name="FBd2f0bfd76ad745b887f8b87a3856ea6a"/>
      <w:bookmarkEnd w:id="104"/>
      <w:bookmarkStart w:id="105" w:name="FEd2f0bfd76ad745b887f8b87a3856ea6a"/>
      <w:bookmarkEnd w:id="105"/>
      <w:bookmarkStart w:id="106" w:name="FBacdd4faca9bc4419a276f554c2771429"/>
      <w:bookmarkEnd w:id="106"/>
      <w:bookmarkStart w:id="107" w:name="_Toc362617918"/>
      <w:bookmarkStart w:id="108" w:name="_Toc362613847"/>
      <w:bookmarkStart w:id="109" w:name="_Toc362614219"/>
      <w:r>
        <w:rPr>
          <w:rFonts w:hint="eastAsia" w:ascii="宋体" w:hAnsi="宋体" w:cs="宋体"/>
          <w:b/>
          <w:color w:val="auto"/>
          <w:szCs w:val="21"/>
          <w:highlight w:val="white"/>
        </w:rPr>
        <w:t>6.评标办法</w:t>
      </w:r>
      <w:bookmarkEnd w:id="107"/>
      <w:bookmarkEnd w:id="108"/>
      <w:bookmarkEnd w:id="109"/>
    </w:p>
    <w:p w14:paraId="59CEAB71">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本招标项目采用的评标办法：</w:t>
      </w:r>
      <w:bookmarkStart w:id="110" w:name="EB949c7fc361954d1c845131eb0f51164d"/>
      <w:r>
        <w:rPr>
          <w:rFonts w:hint="eastAsia" w:ascii="宋体" w:hAnsi="宋体" w:cs="宋体"/>
          <w:color w:val="auto"/>
          <w:szCs w:val="21"/>
          <w:highlight w:val="white"/>
        </w:rPr>
        <w:t>简易评标法</w:t>
      </w:r>
      <w:bookmarkEnd w:id="110"/>
      <w:r>
        <w:rPr>
          <w:rFonts w:hint="eastAsia" w:ascii="宋体" w:hAnsi="宋体" w:cs="宋体"/>
          <w:color w:val="auto"/>
          <w:szCs w:val="21"/>
          <w:highlight w:val="white"/>
        </w:rPr>
        <w:t>。</w:t>
      </w:r>
    </w:p>
    <w:p w14:paraId="3B3A0CD6">
      <w:pPr>
        <w:spacing w:line="360" w:lineRule="exact"/>
        <w:ind w:firstLine="413" w:firstLineChars="196"/>
        <w:rPr>
          <w:rFonts w:hint="eastAsia" w:ascii="宋体" w:hAnsi="宋体" w:cs="宋体"/>
          <w:b/>
          <w:color w:val="auto"/>
          <w:szCs w:val="21"/>
        </w:rPr>
      </w:pPr>
      <w:bookmarkStart w:id="111" w:name="_Toc362613848"/>
      <w:bookmarkStart w:id="112" w:name="_Toc362617919"/>
      <w:bookmarkStart w:id="113" w:name="_Toc362614220"/>
      <w:r>
        <w:rPr>
          <w:rFonts w:hint="eastAsia" w:ascii="宋体" w:hAnsi="宋体" w:cs="宋体"/>
          <w:b/>
          <w:color w:val="auto"/>
          <w:szCs w:val="21"/>
          <w:highlight w:val="white"/>
        </w:rPr>
        <w:t>7.投标保证金的提交</w:t>
      </w:r>
      <w:bookmarkEnd w:id="111"/>
      <w:bookmarkEnd w:id="112"/>
      <w:bookmarkEnd w:id="113"/>
    </w:p>
    <w:p w14:paraId="6EAEFB33">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7.1.投标保证金提交的时间：投标截止时间前到账。</w:t>
      </w:r>
    </w:p>
    <w:p w14:paraId="48F19DE5">
      <w:pPr>
        <w:spacing w:line="360" w:lineRule="exact"/>
        <w:ind w:firstLine="420" w:firstLineChars="200"/>
        <w:rPr>
          <w:rFonts w:hint="eastAsia" w:ascii="宋体" w:hAnsi="宋体" w:cs="宋体"/>
          <w:color w:val="auto"/>
          <w:szCs w:val="21"/>
        </w:rPr>
      </w:pPr>
      <w:r>
        <w:rPr>
          <w:rFonts w:hint="eastAsia" w:ascii="宋体" w:hAnsi="宋体" w:cs="宋体"/>
          <w:color w:val="auto"/>
          <w:szCs w:val="21"/>
          <w:highlight w:val="white"/>
        </w:rPr>
        <w:t>7.2.投标保证金提交的金额：</w:t>
      </w:r>
      <w:bookmarkStart w:id="114" w:name="EB10db4583392c4e7b947aa0f59048448e"/>
      <w:r>
        <w:rPr>
          <w:rFonts w:hint="eastAsia" w:ascii="宋体" w:hAnsi="宋体" w:cs="宋体"/>
          <w:color w:val="auto"/>
          <w:szCs w:val="21"/>
          <w:highlight w:val="white"/>
        </w:rPr>
        <w:t>人民币</w:t>
      </w:r>
      <w:r>
        <w:rPr>
          <w:rFonts w:hint="eastAsia" w:ascii="宋体" w:hAnsi="宋体" w:cs="宋体"/>
          <w:color w:val="auto"/>
          <w:szCs w:val="21"/>
          <w:highlight w:val="white"/>
          <w:lang w:val="en-US" w:eastAsia="zh-CN"/>
        </w:rPr>
        <w:t>壹万壹仟圆</w:t>
      </w:r>
      <w:r>
        <w:rPr>
          <w:rFonts w:hint="eastAsia" w:ascii="宋体" w:hAnsi="宋体" w:cs="宋体"/>
          <w:color w:val="auto"/>
          <w:szCs w:val="21"/>
          <w:highlight w:val="white"/>
        </w:rPr>
        <w:t>整</w:t>
      </w:r>
      <w:bookmarkEnd w:id="114"/>
      <w:r>
        <w:rPr>
          <w:rFonts w:hint="eastAsia" w:ascii="宋体" w:hAnsi="宋体" w:cs="宋体"/>
          <w:color w:val="auto"/>
          <w:szCs w:val="21"/>
          <w:highlight w:val="white"/>
        </w:rPr>
        <w:t>（</w:t>
      </w:r>
      <w:r>
        <w:rPr>
          <w:rFonts w:hint="eastAsia" w:ascii="宋体" w:hAnsi="宋体" w:cs="宋体"/>
          <w:color w:val="auto"/>
          <w:szCs w:val="21"/>
          <w:highlight w:val="white"/>
          <w:lang w:val="en-US" w:eastAsia="zh-CN"/>
        </w:rPr>
        <w:t>110</w:t>
      </w:r>
      <w:r>
        <w:rPr>
          <w:rFonts w:hint="eastAsia" w:ascii="宋体" w:hAnsi="宋体" w:cs="宋体"/>
          <w:color w:val="auto"/>
          <w:szCs w:val="21"/>
          <w:highlight w:val="white"/>
        </w:rPr>
        <w:t>00元）。</w:t>
      </w:r>
    </w:p>
    <w:p w14:paraId="65478C6E">
      <w:pPr>
        <w:spacing w:line="280" w:lineRule="exact"/>
        <w:ind w:left="842" w:leftChars="200" w:hanging="422" w:hangingChars="201"/>
        <w:jc w:val="left"/>
        <w:rPr>
          <w:rFonts w:hint="eastAsia" w:ascii="宋体" w:hAnsi="宋体" w:cs="宋体"/>
          <w:color w:val="auto"/>
          <w:sz w:val="18"/>
          <w:szCs w:val="18"/>
          <w:u w:val="single"/>
        </w:rPr>
      </w:pPr>
      <w:r>
        <w:rPr>
          <w:rFonts w:hint="eastAsia" w:ascii="宋体" w:hAnsi="宋体" w:cs="宋体"/>
          <w:color w:val="auto"/>
          <w:szCs w:val="21"/>
          <w:highlight w:val="white"/>
        </w:rPr>
        <w:t>7.3.投标保证金提交的方式：①现金形式②银行保函形式③工程担保公司出具的担保保函形式④保险公司出具的投标保证保险形式。</w:t>
      </w:r>
    </w:p>
    <w:p w14:paraId="30FAC1C0">
      <w:pPr>
        <w:widowControl/>
        <w:tabs>
          <w:tab w:val="left" w:pos="0"/>
          <w:tab w:val="left" w:pos="900"/>
          <w:tab w:val="left" w:pos="1100"/>
        </w:tabs>
        <w:spacing w:line="288" w:lineRule="auto"/>
        <w:ind w:firstLine="422" w:firstLineChars="200"/>
        <w:rPr>
          <w:rFonts w:hint="eastAsia" w:ascii="宋体" w:hAnsi="宋体" w:cs="宋体"/>
          <w:b/>
          <w:color w:val="auto"/>
          <w:sz w:val="24"/>
          <w:highlight w:val="white"/>
        </w:rPr>
      </w:pPr>
      <w:bookmarkStart w:id="115" w:name="_Toc362613849"/>
      <w:bookmarkStart w:id="116" w:name="_Toc362614221"/>
      <w:bookmarkStart w:id="117" w:name="_Toc234382575"/>
      <w:bookmarkStart w:id="118" w:name="_Toc362617920"/>
      <w:r>
        <w:rPr>
          <w:rFonts w:hint="eastAsia" w:ascii="宋体" w:hAnsi="宋体" w:cs="宋体"/>
          <w:b/>
          <w:color w:val="auto"/>
          <w:szCs w:val="21"/>
          <w:highlight w:val="white"/>
        </w:rPr>
        <w:t>8.</w:t>
      </w:r>
      <w:bookmarkEnd w:id="115"/>
      <w:bookmarkEnd w:id="116"/>
      <w:bookmarkEnd w:id="117"/>
      <w:bookmarkEnd w:id="118"/>
      <w:bookmarkStart w:id="119" w:name="_Toc362617921"/>
      <w:bookmarkStart w:id="120" w:name="_Toc362614222"/>
      <w:bookmarkStart w:id="121" w:name="_Toc362613850"/>
      <w:bookmarkStart w:id="122" w:name="_Toc234382576"/>
      <w:r>
        <w:rPr>
          <w:rFonts w:hint="eastAsia" w:ascii="宋体" w:hAnsi="宋体" w:cs="宋体"/>
          <w:b/>
          <w:color w:val="auto"/>
          <w:sz w:val="24"/>
          <w:highlight w:val="white"/>
        </w:rPr>
        <w:t>交易佣金</w:t>
      </w:r>
    </w:p>
    <w:p w14:paraId="02617502">
      <w:pPr>
        <w:spacing w:line="360" w:lineRule="exact"/>
        <w:ind w:firstLine="411" w:firstLineChars="196"/>
        <w:rPr>
          <w:rFonts w:hint="eastAsia" w:ascii="宋体" w:hAnsi="宋体" w:cs="宋体"/>
          <w:color w:val="auto"/>
          <w:szCs w:val="21"/>
          <w:highlight w:val="white"/>
          <w:lang w:val="en-US" w:eastAsia="zh-CN"/>
        </w:rPr>
      </w:pPr>
      <w:r>
        <w:rPr>
          <w:rFonts w:hint="eastAsia" w:ascii="宋体" w:hAnsi="宋体" w:cs="宋体"/>
          <w:color w:val="auto"/>
          <w:szCs w:val="21"/>
          <w:highlight w:val="white"/>
          <w:lang w:val="en-US" w:eastAsia="zh-CN"/>
        </w:rPr>
        <w:t>根据福建沙县农村产权交易中心有限公司（福沙农产交〔2024〕32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p>
    <w:p w14:paraId="43E4B693">
      <w:pPr>
        <w:spacing w:line="360" w:lineRule="exact"/>
        <w:ind w:firstLine="413" w:firstLineChars="196"/>
        <w:rPr>
          <w:rFonts w:hint="eastAsia" w:ascii="宋体" w:hAnsi="宋体" w:cs="宋体"/>
          <w:b/>
          <w:color w:val="auto"/>
          <w:szCs w:val="21"/>
        </w:rPr>
      </w:pPr>
      <w:r>
        <w:rPr>
          <w:rFonts w:hint="eastAsia" w:ascii="宋体" w:hAnsi="宋体" w:cs="宋体"/>
          <w:b/>
          <w:color w:val="auto"/>
          <w:szCs w:val="21"/>
          <w:highlight w:val="white"/>
          <w:lang w:val="en-US" w:eastAsia="zh-CN"/>
        </w:rPr>
        <w:t>9.</w:t>
      </w:r>
      <w:r>
        <w:rPr>
          <w:rFonts w:hint="eastAsia" w:ascii="宋体" w:hAnsi="宋体" w:cs="宋体"/>
          <w:b/>
          <w:color w:val="auto"/>
          <w:szCs w:val="21"/>
          <w:highlight w:val="white"/>
        </w:rPr>
        <w:t>联系方式</w:t>
      </w:r>
      <w:bookmarkEnd w:id="119"/>
      <w:bookmarkEnd w:id="120"/>
      <w:bookmarkEnd w:id="121"/>
      <w:bookmarkEnd w:id="122"/>
    </w:p>
    <w:p w14:paraId="0F389CE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招 标 人：尤溪县台溪乡七官场村民委员会</w:t>
      </w:r>
    </w:p>
    <w:p w14:paraId="0A762F0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地    址：尤溪县台溪乡七官场村</w:t>
      </w:r>
    </w:p>
    <w:p w14:paraId="10BB990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电    话：13850871593</w:t>
      </w:r>
    </w:p>
    <w:p w14:paraId="72691F0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联 系 人：黄先生</w:t>
      </w:r>
    </w:p>
    <w:p w14:paraId="227B2F5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p>
    <w:p w14:paraId="55F98C7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招标代理机构：福建德泽建设有限公司</w:t>
      </w:r>
    </w:p>
    <w:p w14:paraId="2CE8460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地  址：福建省尤溪县城关镇环城路62-1号一单元301室</w:t>
      </w:r>
    </w:p>
    <w:p w14:paraId="34ABEBB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联系人：</w:t>
      </w:r>
      <w:r>
        <w:rPr>
          <w:rFonts w:hint="eastAsia" w:cs="宋体"/>
          <w:color w:val="auto"/>
          <w:kern w:val="2"/>
          <w:sz w:val="21"/>
          <w:szCs w:val="21"/>
          <w:highlight w:val="white"/>
          <w:lang w:val="en-US" w:eastAsia="zh-CN" w:bidi="ar-SA"/>
        </w:rPr>
        <w:t>陈</w:t>
      </w:r>
      <w:r>
        <w:rPr>
          <w:rFonts w:hint="eastAsia" w:ascii="宋体" w:hAnsi="宋体" w:eastAsia="宋体" w:cs="宋体"/>
          <w:color w:val="auto"/>
          <w:kern w:val="2"/>
          <w:sz w:val="21"/>
          <w:szCs w:val="21"/>
          <w:highlight w:val="white"/>
          <w:lang w:val="en-US" w:eastAsia="zh-CN" w:bidi="ar-SA"/>
        </w:rPr>
        <w:t>工</w:t>
      </w:r>
    </w:p>
    <w:p w14:paraId="7E9C7FE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电  话：13859123033</w:t>
      </w:r>
    </w:p>
    <w:p w14:paraId="37FEAC1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480"/>
        <w:jc w:val="both"/>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p>
    <w:p w14:paraId="548F022B">
      <w:pPr>
        <w:ind w:firstLine="210" w:firstLineChars="100"/>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t>电子交易平台名称：福建沙县农村产权交易中心电子招投标平台</w:t>
      </w:r>
    </w:p>
    <w:p w14:paraId="0F9499FE">
      <w:pPr>
        <w:ind w:firstLine="210" w:firstLineChars="100"/>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t>网址：http://ztb.fncjys.cn/</w:t>
      </w:r>
    </w:p>
    <w:p w14:paraId="6DBB4C7F">
      <w:pPr>
        <w:ind w:firstLine="210" w:firstLineChars="100"/>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t>联系电话：0598-8760012、18065792873</w:t>
      </w:r>
    </w:p>
    <w:p w14:paraId="59886367">
      <w:pP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p>
    <w:p w14:paraId="04E53478">
      <w:pPr>
        <w:ind w:firstLine="210" w:firstLineChars="100"/>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t>服务机构：尤溪县两山农村产权流转服务有限公司</w:t>
      </w:r>
    </w:p>
    <w:p w14:paraId="2EA55235">
      <w:pPr>
        <w:ind w:firstLine="210" w:firstLineChars="100"/>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t>地址：尤溪县城关镇滨河大道6号108</w:t>
      </w:r>
    </w:p>
    <w:p w14:paraId="38D8969B">
      <w:pPr>
        <w:ind w:firstLine="210" w:firstLineChars="100"/>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t>联系电话：0598-8760012、8760013</w:t>
      </w:r>
    </w:p>
    <w:p w14:paraId="44725D10">
      <w:pPr>
        <w:rPr>
          <w:rFonts w:hint="eastAsia" w:ascii="宋体" w:hAnsi="宋体" w:eastAsia="宋体" w:cs="宋体"/>
          <w:i w:val="0"/>
          <w:iCs w:val="0"/>
          <w:caps w:val="0"/>
          <w:color w:val="auto"/>
          <w:spacing w:val="0"/>
          <w:kern w:val="2"/>
          <w:sz w:val="21"/>
          <w:szCs w:val="21"/>
          <w:highlight w:val="white"/>
          <w:shd w:val="clear" w:color="auto" w:fill="auto"/>
          <w:lang w:val="en-US" w:eastAsia="zh-CN" w:bidi="ar-SA"/>
        </w:rPr>
      </w:pPr>
    </w:p>
    <w:p w14:paraId="3D0479B3">
      <w:pPr>
        <w:rPr>
          <w:color w:val="auto"/>
        </w:rPr>
      </w:pPr>
    </w:p>
    <w:p w14:paraId="73330E4B">
      <w:pPr>
        <w:pStyle w:val="2"/>
        <w:spacing w:before="0" w:after="0" w:line="240" w:lineRule="auto"/>
        <w:jc w:val="center"/>
        <w:rPr>
          <w:rFonts w:hint="eastAsia" w:ascii="宋体" w:hAnsi="宋体" w:eastAsia="宋体" w:cs="宋体"/>
        </w:rPr>
      </w:pPr>
      <w:r>
        <w:rPr>
          <w:rFonts w:hint="eastAsia" w:ascii="宋体" w:hAnsi="宋体" w:eastAsia="宋体" w:cs="宋体"/>
          <w:highlight w:val="white"/>
        </w:rPr>
        <w:br w:type="page"/>
      </w:r>
      <w:r>
        <w:rPr>
          <w:rFonts w:hint="eastAsia" w:ascii="宋体" w:hAnsi="宋体" w:eastAsia="宋体" w:cs="宋体"/>
          <w:highlight w:val="white"/>
        </w:rPr>
        <w:t>第二章  投标人须知</w:t>
      </w:r>
      <w:bookmarkEnd w:id="22"/>
      <w:bookmarkEnd w:id="23"/>
      <w:bookmarkEnd w:id="24"/>
      <w:bookmarkEnd w:id="25"/>
      <w:bookmarkEnd w:id="26"/>
      <w:bookmarkEnd w:id="27"/>
      <w:bookmarkEnd w:id="28"/>
      <w:bookmarkEnd w:id="29"/>
      <w:bookmarkEnd w:id="30"/>
      <w:bookmarkEnd w:id="31"/>
      <w:bookmarkEnd w:id="32"/>
    </w:p>
    <w:p w14:paraId="6C8F2942">
      <w:pPr>
        <w:jc w:val="center"/>
        <w:rPr>
          <w:rFonts w:hint="eastAsia" w:ascii="宋体" w:hAnsi="宋体" w:cs="宋体"/>
          <w:sz w:val="24"/>
          <w:szCs w:val="24"/>
        </w:rPr>
      </w:pPr>
      <w:bookmarkStart w:id="123" w:name="EB3f9c5d27b2554b84a24c1766548e7aa7"/>
      <w:bookmarkEnd w:id="123"/>
      <w:bookmarkStart w:id="124" w:name="EB1383559194ff44a08243054f8115f41a"/>
      <w:bookmarkEnd w:id="124"/>
      <w:bookmarkStart w:id="125" w:name="_Toc368320207"/>
      <w:bookmarkStart w:id="126" w:name="_Toc362617923"/>
      <w:bookmarkStart w:id="127" w:name="_Toc368338533"/>
      <w:bookmarkStart w:id="128" w:name="_Toc362614224"/>
      <w:bookmarkStart w:id="129" w:name="_Toc40261807"/>
      <w:bookmarkStart w:id="130" w:name="_Toc362613852"/>
      <w:bookmarkStart w:id="131" w:name="_Toc361993599"/>
      <w:bookmarkStart w:id="132" w:name="_Toc245379322"/>
      <w:bookmarkStart w:id="133" w:name="_Toc234382587"/>
      <w:bookmarkStart w:id="134" w:name="_Toc243796166"/>
      <w:r>
        <w:rPr>
          <w:rFonts w:hint="eastAsia" w:ascii="宋体" w:hAnsi="宋体" w:cs="宋体"/>
          <w:sz w:val="24"/>
          <w:szCs w:val="24"/>
          <w:highlight w:val="white"/>
        </w:rPr>
        <w:t>投标人须知前附表</w:t>
      </w:r>
      <w:bookmarkEnd w:id="125"/>
      <w:bookmarkEnd w:id="126"/>
      <w:bookmarkEnd w:id="127"/>
      <w:bookmarkEnd w:id="128"/>
      <w:bookmarkEnd w:id="129"/>
      <w:bookmarkEnd w:id="130"/>
      <w:bookmarkEnd w:id="131"/>
    </w:p>
    <w:tbl>
      <w:tblPr>
        <w:tblStyle w:val="15"/>
        <w:tblW w:w="9072"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1050"/>
        <w:gridCol w:w="1417"/>
        <w:gridCol w:w="6605"/>
      </w:tblGrid>
      <w:tr w14:paraId="5C161C9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88" w:hRule="atLeast"/>
          <w:tblHeader/>
          <w:jc w:val="center"/>
        </w:trPr>
        <w:tc>
          <w:tcPr>
            <w:tcW w:w="1050" w:type="dxa"/>
            <w:tcBorders>
              <w:top w:val="single" w:color="000000" w:sz="12" w:space="0"/>
              <w:left w:val="single" w:color="000000" w:sz="12" w:space="0"/>
              <w:bottom w:val="single" w:color="000000" w:sz="6" w:space="0"/>
              <w:right w:val="single" w:color="000000" w:sz="6" w:space="0"/>
            </w:tcBorders>
            <w:noWrap w:val="0"/>
            <w:vAlign w:val="center"/>
          </w:tcPr>
          <w:p w14:paraId="2C8C6B6A">
            <w:pPr>
              <w:jc w:val="center"/>
              <w:rPr>
                <w:rFonts w:hint="eastAsia" w:ascii="宋体" w:hAnsi="宋体" w:cs="宋体"/>
                <w:b/>
                <w:szCs w:val="21"/>
              </w:rPr>
            </w:pPr>
            <w:r>
              <w:rPr>
                <w:rFonts w:hint="eastAsia" w:ascii="宋体" w:hAnsi="宋体" w:cs="宋体"/>
                <w:b/>
                <w:szCs w:val="21"/>
                <w:highlight w:val="white"/>
              </w:rPr>
              <w:t>条款号</w:t>
            </w:r>
          </w:p>
        </w:tc>
        <w:tc>
          <w:tcPr>
            <w:tcW w:w="1417" w:type="dxa"/>
            <w:tcBorders>
              <w:top w:val="single" w:color="000000" w:sz="12" w:space="0"/>
              <w:left w:val="single" w:color="000000" w:sz="6" w:space="0"/>
              <w:bottom w:val="single" w:color="000000" w:sz="6" w:space="0"/>
              <w:right w:val="single" w:color="000000" w:sz="6" w:space="0"/>
            </w:tcBorders>
            <w:noWrap w:val="0"/>
            <w:vAlign w:val="center"/>
          </w:tcPr>
          <w:p w14:paraId="5EBF259B">
            <w:pPr>
              <w:jc w:val="center"/>
              <w:rPr>
                <w:rFonts w:hint="eastAsia" w:ascii="宋体" w:hAnsi="宋体" w:cs="宋体"/>
                <w:b/>
                <w:szCs w:val="21"/>
              </w:rPr>
            </w:pPr>
            <w:r>
              <w:rPr>
                <w:rFonts w:hint="eastAsia" w:ascii="宋体" w:hAnsi="宋体" w:cs="宋体"/>
                <w:b/>
                <w:szCs w:val="21"/>
                <w:highlight w:val="white"/>
              </w:rPr>
              <w:t>条款名称</w:t>
            </w:r>
          </w:p>
        </w:tc>
        <w:tc>
          <w:tcPr>
            <w:tcW w:w="6605" w:type="dxa"/>
            <w:tcBorders>
              <w:top w:val="single" w:color="000000" w:sz="12" w:space="0"/>
              <w:left w:val="single" w:color="000000" w:sz="6" w:space="0"/>
              <w:bottom w:val="single" w:color="000000" w:sz="6" w:space="0"/>
              <w:right w:val="single" w:color="000000" w:sz="12" w:space="0"/>
            </w:tcBorders>
            <w:noWrap w:val="0"/>
            <w:vAlign w:val="center"/>
          </w:tcPr>
          <w:p w14:paraId="682E4E08">
            <w:pPr>
              <w:jc w:val="center"/>
              <w:rPr>
                <w:rFonts w:hint="eastAsia" w:ascii="宋体" w:hAnsi="宋体" w:cs="宋体"/>
                <w:b/>
                <w:szCs w:val="21"/>
              </w:rPr>
            </w:pPr>
            <w:r>
              <w:rPr>
                <w:rFonts w:hint="eastAsia" w:ascii="宋体" w:hAnsi="宋体" w:cs="宋体"/>
                <w:b/>
                <w:szCs w:val="21"/>
                <w:highlight w:val="white"/>
              </w:rPr>
              <w:t>编 列 内 容</w:t>
            </w:r>
          </w:p>
        </w:tc>
      </w:tr>
      <w:tr w14:paraId="30F3B39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2D237D91">
            <w:pPr>
              <w:jc w:val="center"/>
              <w:rPr>
                <w:rFonts w:hint="eastAsia" w:ascii="宋体" w:hAnsi="宋体" w:cs="宋体"/>
                <w:szCs w:val="21"/>
              </w:rPr>
            </w:pPr>
            <w:r>
              <w:rPr>
                <w:rFonts w:hint="eastAsia" w:ascii="宋体" w:hAnsi="宋体" w:cs="宋体"/>
                <w:szCs w:val="21"/>
                <w:highlight w:val="white"/>
              </w:rPr>
              <w:t>1.1.2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311272B">
            <w:pPr>
              <w:jc w:val="center"/>
              <w:rPr>
                <w:rFonts w:hint="eastAsia" w:ascii="宋体" w:hAnsi="宋体" w:cs="宋体"/>
                <w:szCs w:val="21"/>
              </w:rPr>
            </w:pPr>
            <w:r>
              <w:rPr>
                <w:rFonts w:hint="eastAsia" w:ascii="宋体" w:hAnsi="宋体" w:cs="宋体"/>
                <w:szCs w:val="21"/>
                <w:highlight w:val="white"/>
              </w:rPr>
              <w:t>招标人</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0ACDD1EA">
            <w:pPr>
              <w:ind w:firstLine="210" w:firstLineChars="100"/>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招 标 人：尤溪县台溪乡七官场村民委员会</w:t>
            </w:r>
          </w:p>
          <w:p w14:paraId="4BCBF7A6">
            <w:pPr>
              <w:ind w:firstLine="210" w:firstLineChars="100"/>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地    址：尤溪县台溪乡七官场村</w:t>
            </w:r>
          </w:p>
          <w:p w14:paraId="4B961BEF">
            <w:pPr>
              <w:ind w:firstLine="210" w:firstLineChars="100"/>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电    话：13850871593</w:t>
            </w:r>
          </w:p>
          <w:p w14:paraId="66269925">
            <w:pPr>
              <w:ind w:firstLine="210" w:firstLineChars="100"/>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联 系 人：黄先生</w:t>
            </w:r>
          </w:p>
        </w:tc>
      </w:tr>
      <w:tr w14:paraId="47AEDF9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03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E736A28">
            <w:pPr>
              <w:jc w:val="center"/>
              <w:rPr>
                <w:rFonts w:hint="eastAsia" w:ascii="宋体" w:hAnsi="宋体" w:cs="宋体"/>
                <w:szCs w:val="21"/>
              </w:rPr>
            </w:pPr>
            <w:r>
              <w:rPr>
                <w:rFonts w:hint="eastAsia" w:ascii="宋体" w:hAnsi="宋体" w:cs="宋体"/>
                <w:szCs w:val="21"/>
                <w:highlight w:val="white"/>
              </w:rPr>
              <w:t>1.1.3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56C0BDB">
            <w:pPr>
              <w:jc w:val="center"/>
              <w:rPr>
                <w:rFonts w:hint="eastAsia" w:ascii="宋体" w:hAnsi="宋体" w:cs="宋体"/>
                <w:szCs w:val="21"/>
              </w:rPr>
            </w:pPr>
            <w:r>
              <w:rPr>
                <w:rFonts w:hint="eastAsia" w:ascii="宋体" w:hAnsi="宋体" w:cs="宋体"/>
                <w:szCs w:val="21"/>
                <w:highlight w:val="white"/>
              </w:rPr>
              <w:t>招标代理</w:t>
            </w:r>
          </w:p>
          <w:p w14:paraId="7ED6A187">
            <w:pPr>
              <w:jc w:val="center"/>
              <w:rPr>
                <w:rFonts w:hint="eastAsia" w:ascii="宋体" w:hAnsi="宋体" w:cs="宋体"/>
                <w:szCs w:val="21"/>
              </w:rPr>
            </w:pPr>
            <w:r>
              <w:rPr>
                <w:rFonts w:hint="eastAsia" w:ascii="宋体" w:hAnsi="宋体" w:cs="宋体"/>
                <w:szCs w:val="21"/>
                <w:highlight w:val="white"/>
              </w:rPr>
              <w:t>机构</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B368EFE">
            <w:pPr>
              <w:pStyle w:val="7"/>
              <w:topLinePunct/>
              <w:ind w:firstLine="105" w:firstLineChars="5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招标代理机构：福建德泽建设有限公司</w:t>
            </w:r>
          </w:p>
          <w:p w14:paraId="364D3BC6">
            <w:pPr>
              <w:pStyle w:val="7"/>
              <w:topLinePunct/>
              <w:ind w:firstLine="105" w:firstLineChars="5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地  址：福建省尤溪县城关镇环城路62-1号一单元301室</w:t>
            </w:r>
          </w:p>
          <w:p w14:paraId="2A06C53B">
            <w:pPr>
              <w:pStyle w:val="7"/>
              <w:topLinePunct/>
              <w:ind w:firstLine="105" w:firstLineChars="5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联系人：陈工</w:t>
            </w:r>
          </w:p>
          <w:p w14:paraId="22C834DA">
            <w:pPr>
              <w:pStyle w:val="7"/>
              <w:topLinePunct/>
              <w:ind w:firstLine="105" w:firstLineChars="50"/>
              <w:jc w:val="left"/>
              <w:rPr>
                <w:rFonts w:hint="default"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电  话：13859123033</w:t>
            </w:r>
          </w:p>
        </w:tc>
      </w:tr>
      <w:tr w14:paraId="583C87D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1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668BB7A">
            <w:pPr>
              <w:jc w:val="center"/>
              <w:rPr>
                <w:rFonts w:hint="eastAsia" w:ascii="宋体" w:hAnsi="宋体" w:cs="宋体"/>
                <w:szCs w:val="21"/>
              </w:rPr>
            </w:pPr>
            <w:r>
              <w:rPr>
                <w:rFonts w:hint="eastAsia" w:ascii="宋体" w:hAnsi="宋体" w:cs="宋体"/>
                <w:szCs w:val="21"/>
                <w:highlight w:val="white"/>
              </w:rPr>
              <w:t>1.1.4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B06AE13">
            <w:pPr>
              <w:jc w:val="center"/>
              <w:rPr>
                <w:rFonts w:hint="eastAsia" w:ascii="宋体" w:hAnsi="宋体" w:cs="宋体"/>
                <w:szCs w:val="21"/>
              </w:rPr>
            </w:pPr>
            <w:r>
              <w:rPr>
                <w:rFonts w:hint="eastAsia" w:ascii="宋体" w:hAnsi="宋体" w:cs="宋体"/>
                <w:szCs w:val="21"/>
                <w:highlight w:val="white"/>
              </w:rPr>
              <w:t>项目名称</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3279A441">
            <w:pPr>
              <w:pStyle w:val="7"/>
              <w:topLinePunct/>
              <w:ind w:firstLine="105" w:firstLineChars="5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2025年台溪乡大大线（Y092）公路养护及水毁修复工程</w:t>
            </w:r>
          </w:p>
        </w:tc>
      </w:tr>
      <w:tr w14:paraId="6162FD8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38EA2EE">
            <w:pPr>
              <w:jc w:val="center"/>
              <w:rPr>
                <w:rFonts w:hint="eastAsia" w:ascii="宋体" w:hAnsi="宋体" w:cs="宋体"/>
                <w:szCs w:val="21"/>
              </w:rPr>
            </w:pPr>
            <w:r>
              <w:rPr>
                <w:rFonts w:hint="eastAsia" w:ascii="宋体" w:hAnsi="宋体" w:cs="宋体"/>
                <w:szCs w:val="21"/>
                <w:highlight w:val="white"/>
              </w:rPr>
              <w:t>1.1.5</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6D798DD">
            <w:pPr>
              <w:jc w:val="center"/>
              <w:rPr>
                <w:rFonts w:hint="eastAsia" w:ascii="宋体" w:hAnsi="宋体" w:cs="宋体"/>
                <w:szCs w:val="21"/>
              </w:rPr>
            </w:pPr>
            <w:r>
              <w:rPr>
                <w:rFonts w:hint="eastAsia" w:ascii="宋体" w:hAnsi="宋体" w:cs="宋体"/>
                <w:szCs w:val="21"/>
                <w:highlight w:val="white"/>
              </w:rPr>
              <w:t>建设地点</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9CFF7A6">
            <w:pPr>
              <w:pStyle w:val="7"/>
              <w:topLinePunct/>
              <w:ind w:firstLine="105" w:firstLineChars="50"/>
              <w:jc w:val="left"/>
              <w:rPr>
                <w:rFonts w:hint="default" w:hAnsi="宋体" w:eastAsia="宋体" w:cs="宋体"/>
                <w:kern w:val="2"/>
                <w:sz w:val="21"/>
                <w:szCs w:val="21"/>
                <w:highlight w:val="white"/>
                <w:lang w:val="en-US" w:eastAsia="zh-CN"/>
              </w:rPr>
            </w:pPr>
            <w:r>
              <w:rPr>
                <w:rFonts w:hint="eastAsia" w:hAnsi="宋体" w:cs="宋体"/>
                <w:kern w:val="2"/>
                <w:sz w:val="21"/>
                <w:szCs w:val="21"/>
                <w:highlight w:val="white"/>
              </w:rPr>
              <w:t>尤溪县台溪乡七官场村</w:t>
            </w:r>
          </w:p>
        </w:tc>
      </w:tr>
      <w:tr w14:paraId="29A6BF4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EF996CD">
            <w:pPr>
              <w:jc w:val="center"/>
              <w:rPr>
                <w:rFonts w:hint="eastAsia" w:ascii="宋体" w:hAnsi="宋体" w:cs="宋体"/>
                <w:szCs w:val="21"/>
              </w:rPr>
            </w:pPr>
            <w:r>
              <w:rPr>
                <w:rFonts w:hint="eastAsia" w:ascii="宋体" w:hAnsi="宋体" w:cs="宋体"/>
                <w:szCs w:val="21"/>
                <w:highlight w:val="white"/>
              </w:rPr>
              <w:t>1.2.1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4B9713E">
            <w:pPr>
              <w:jc w:val="center"/>
              <w:rPr>
                <w:rFonts w:hint="eastAsia" w:ascii="宋体" w:hAnsi="宋体" w:cs="宋体"/>
                <w:szCs w:val="21"/>
              </w:rPr>
            </w:pPr>
            <w:r>
              <w:rPr>
                <w:rFonts w:hint="eastAsia" w:ascii="宋体" w:hAnsi="宋体" w:cs="宋体"/>
                <w:szCs w:val="21"/>
                <w:highlight w:val="white"/>
              </w:rPr>
              <w:t>资金来源</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DA4CBFD">
            <w:pPr>
              <w:pStyle w:val="7"/>
              <w:topLinePunct/>
              <w:ind w:firstLine="105" w:firstLineChars="50"/>
              <w:jc w:val="left"/>
              <w:rPr>
                <w:rFonts w:hint="eastAsia" w:hAnsi="宋体" w:eastAsia="宋体" w:cs="宋体"/>
                <w:kern w:val="2"/>
                <w:sz w:val="21"/>
                <w:szCs w:val="21"/>
                <w:highlight w:val="white"/>
                <w:lang w:eastAsia="zh-CN"/>
              </w:rPr>
            </w:pPr>
            <w:r>
              <w:rPr>
                <w:rFonts w:hint="eastAsia" w:ascii="宋体" w:hAnsi="宋体" w:eastAsia="宋体" w:cs="宋体"/>
                <w:kern w:val="2"/>
                <w:sz w:val="21"/>
                <w:szCs w:val="21"/>
                <w:highlight w:val="white"/>
                <w:lang w:val="en-US" w:eastAsia="zh-CN" w:bidi="ar-SA"/>
              </w:rPr>
              <w:t>“一事一议”和公路养护省补资金及自筹</w:t>
            </w:r>
          </w:p>
        </w:tc>
      </w:tr>
      <w:tr w14:paraId="1CCA9AF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3FEB236A">
            <w:pPr>
              <w:jc w:val="center"/>
              <w:rPr>
                <w:rFonts w:hint="eastAsia" w:ascii="宋体" w:hAnsi="宋体" w:cs="宋体"/>
                <w:szCs w:val="21"/>
              </w:rPr>
            </w:pPr>
            <w:r>
              <w:rPr>
                <w:rFonts w:hint="eastAsia" w:ascii="宋体" w:hAnsi="宋体" w:cs="宋体"/>
                <w:szCs w:val="21"/>
                <w:highlight w:val="white"/>
              </w:rPr>
              <w:t>1.2.2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916EBDE">
            <w:pPr>
              <w:jc w:val="center"/>
              <w:rPr>
                <w:rFonts w:hint="eastAsia" w:ascii="宋体" w:hAnsi="宋体" w:cs="宋体"/>
                <w:szCs w:val="21"/>
              </w:rPr>
            </w:pPr>
            <w:r>
              <w:rPr>
                <w:rFonts w:hint="eastAsia" w:ascii="宋体" w:hAnsi="宋体" w:cs="宋体"/>
                <w:szCs w:val="21"/>
                <w:highlight w:val="white"/>
              </w:rPr>
              <w:t>出资比例</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6D3620E">
            <w:pPr>
              <w:pStyle w:val="7"/>
              <w:topLinePunct/>
              <w:ind w:firstLine="105" w:firstLineChars="50"/>
              <w:jc w:val="left"/>
              <w:rPr>
                <w:rFonts w:hint="eastAsia" w:hAnsi="宋体" w:cs="宋体"/>
                <w:kern w:val="2"/>
                <w:sz w:val="21"/>
                <w:szCs w:val="21"/>
                <w:highlight w:val="white"/>
              </w:rPr>
            </w:pPr>
            <w:bookmarkStart w:id="135" w:name="EBe923559e832344ca9c7d19756a7681d5"/>
            <w:r>
              <w:rPr>
                <w:rFonts w:hint="eastAsia" w:hAnsi="宋体" w:cs="宋体"/>
                <w:kern w:val="2"/>
                <w:sz w:val="21"/>
                <w:szCs w:val="21"/>
                <w:highlight w:val="white"/>
              </w:rPr>
              <w:t>100%</w:t>
            </w:r>
            <w:bookmarkEnd w:id="135"/>
          </w:p>
        </w:tc>
      </w:tr>
      <w:tr w14:paraId="0F8E76C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8BC90C1">
            <w:pPr>
              <w:jc w:val="center"/>
              <w:rPr>
                <w:rFonts w:hint="eastAsia" w:ascii="宋体" w:hAnsi="宋体" w:cs="宋体"/>
                <w:szCs w:val="21"/>
              </w:rPr>
            </w:pPr>
            <w:r>
              <w:rPr>
                <w:rFonts w:hint="eastAsia" w:ascii="宋体" w:hAnsi="宋体" w:cs="宋体"/>
                <w:szCs w:val="21"/>
                <w:highlight w:val="white"/>
              </w:rPr>
              <w:t>1.2.3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4089B6E">
            <w:pPr>
              <w:jc w:val="center"/>
              <w:rPr>
                <w:rFonts w:hint="eastAsia" w:ascii="宋体" w:hAnsi="宋体" w:cs="宋体"/>
                <w:szCs w:val="21"/>
              </w:rPr>
            </w:pPr>
            <w:r>
              <w:rPr>
                <w:rFonts w:hint="eastAsia" w:ascii="宋体" w:hAnsi="宋体" w:cs="宋体"/>
                <w:szCs w:val="21"/>
                <w:highlight w:val="white"/>
              </w:rPr>
              <w:t>资金落实</w:t>
            </w:r>
          </w:p>
          <w:p w14:paraId="69AA062F">
            <w:pPr>
              <w:jc w:val="center"/>
              <w:rPr>
                <w:rFonts w:hint="eastAsia" w:ascii="宋体" w:hAnsi="宋体" w:cs="宋体"/>
                <w:szCs w:val="21"/>
              </w:rPr>
            </w:pPr>
            <w:r>
              <w:rPr>
                <w:rFonts w:hint="eastAsia" w:ascii="宋体" w:hAnsi="宋体" w:cs="宋体"/>
                <w:szCs w:val="21"/>
                <w:highlight w:val="white"/>
              </w:rPr>
              <w:t>情况</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07D883C4">
            <w:pPr>
              <w:pStyle w:val="7"/>
              <w:topLinePunct/>
              <w:ind w:firstLine="105" w:firstLineChars="50"/>
              <w:jc w:val="left"/>
              <w:rPr>
                <w:rFonts w:hint="eastAsia" w:hAnsi="宋体" w:cs="宋体"/>
                <w:kern w:val="2"/>
                <w:sz w:val="21"/>
                <w:szCs w:val="21"/>
                <w:highlight w:val="white"/>
              </w:rPr>
            </w:pPr>
            <w:bookmarkStart w:id="136" w:name="EBa2cb22fd648d4048b477dc53cd06155b"/>
            <w:r>
              <w:rPr>
                <w:rFonts w:hint="eastAsia" w:hAnsi="宋体" w:cs="宋体"/>
                <w:kern w:val="2"/>
                <w:sz w:val="21"/>
                <w:szCs w:val="21"/>
                <w:highlight w:val="white"/>
              </w:rPr>
              <w:t>已落实</w:t>
            </w:r>
            <w:bookmarkEnd w:id="136"/>
          </w:p>
        </w:tc>
      </w:tr>
      <w:tr w14:paraId="0D171C3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BE5784E">
            <w:pPr>
              <w:jc w:val="center"/>
              <w:rPr>
                <w:rFonts w:hint="eastAsia" w:ascii="宋体" w:hAnsi="宋体" w:cs="宋体"/>
                <w:szCs w:val="21"/>
              </w:rPr>
            </w:pPr>
            <w:r>
              <w:rPr>
                <w:rFonts w:hint="eastAsia" w:ascii="宋体" w:hAnsi="宋体" w:cs="宋体"/>
                <w:szCs w:val="21"/>
                <w:highlight w:val="white"/>
              </w:rPr>
              <w:t>1.3.1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70008D9">
            <w:pPr>
              <w:jc w:val="center"/>
              <w:rPr>
                <w:rFonts w:hint="eastAsia" w:ascii="宋体" w:hAnsi="宋体" w:cs="宋体"/>
                <w:szCs w:val="21"/>
              </w:rPr>
            </w:pPr>
            <w:r>
              <w:rPr>
                <w:rFonts w:hint="eastAsia" w:ascii="宋体" w:hAnsi="宋体" w:cs="宋体"/>
                <w:szCs w:val="21"/>
                <w:highlight w:val="white"/>
              </w:rPr>
              <w:t>招标范围</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391D5746">
            <w:pPr>
              <w:pStyle w:val="7"/>
              <w:topLinePunct/>
              <w:ind w:firstLine="105" w:firstLineChars="50"/>
              <w:jc w:val="left"/>
              <w:rPr>
                <w:rFonts w:hint="eastAsia" w:hAnsi="宋体" w:cs="宋体"/>
                <w:kern w:val="2"/>
                <w:sz w:val="21"/>
                <w:szCs w:val="21"/>
                <w:highlight w:val="white"/>
              </w:rPr>
            </w:pPr>
            <w:r>
              <w:rPr>
                <w:rFonts w:hint="eastAsia" w:hAnsi="宋体" w:cs="宋体"/>
                <w:sz w:val="21"/>
                <w:szCs w:val="21"/>
                <w:highlight w:val="white"/>
                <w:lang w:eastAsia="zh-CN"/>
              </w:rPr>
              <w:t>2025年台溪乡大大线（Y092）公路养护及水毁修复工程，主要内容拆除旧路面、路面基层、混凝土面板、挡土墙等</w:t>
            </w:r>
            <w:r>
              <w:rPr>
                <w:rFonts w:hint="eastAsia" w:hAnsi="宋体" w:cs="宋体"/>
                <w:sz w:val="21"/>
                <w:szCs w:val="21"/>
                <w:highlight w:val="white"/>
              </w:rPr>
              <w:t>（具体详见图纸及清单）</w:t>
            </w:r>
          </w:p>
        </w:tc>
      </w:tr>
      <w:tr w14:paraId="32DA0FC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2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48A1FB18">
            <w:pPr>
              <w:jc w:val="center"/>
              <w:rPr>
                <w:rFonts w:hint="eastAsia" w:ascii="宋体" w:hAnsi="宋体" w:cs="宋体"/>
                <w:szCs w:val="21"/>
              </w:rPr>
            </w:pPr>
            <w:r>
              <w:rPr>
                <w:rFonts w:hint="eastAsia" w:ascii="宋体" w:hAnsi="宋体" w:cs="宋体"/>
                <w:szCs w:val="21"/>
                <w:highlight w:val="white"/>
              </w:rPr>
              <w:t>1.3.2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C11F8CB">
            <w:pPr>
              <w:jc w:val="center"/>
              <w:rPr>
                <w:rFonts w:hint="eastAsia" w:ascii="宋体" w:hAnsi="宋体" w:cs="宋体"/>
                <w:szCs w:val="21"/>
              </w:rPr>
            </w:pPr>
            <w:r>
              <w:rPr>
                <w:rFonts w:hint="eastAsia" w:ascii="宋体" w:hAnsi="宋体" w:cs="宋体"/>
                <w:szCs w:val="21"/>
                <w:highlight w:val="white"/>
              </w:rPr>
              <w:t>计划工期</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3A74B3E9">
            <w:pPr>
              <w:rPr>
                <w:rFonts w:hint="eastAsia" w:ascii="宋体" w:hAnsi="宋体" w:cs="宋体"/>
                <w:szCs w:val="21"/>
              </w:rPr>
            </w:pPr>
            <w:r>
              <w:rPr>
                <w:rFonts w:hint="eastAsia" w:ascii="宋体" w:hAnsi="宋体" w:cs="宋体"/>
                <w:szCs w:val="21"/>
                <w:highlight w:val="white"/>
              </w:rPr>
              <w:t>计划</w:t>
            </w:r>
            <w:r>
              <w:rPr>
                <w:rFonts w:hint="eastAsia" w:ascii="宋体" w:hAnsi="宋体" w:eastAsia="宋体" w:cs="宋体"/>
                <w:kern w:val="0"/>
                <w:sz w:val="21"/>
                <w:szCs w:val="21"/>
                <w:highlight w:val="white"/>
                <w:lang w:val="en-US" w:eastAsia="zh-CN" w:bidi="ar-SA"/>
              </w:rPr>
              <w:t>工期：90日历天</w:t>
            </w:r>
          </w:p>
        </w:tc>
      </w:tr>
      <w:tr w14:paraId="1D96294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258E669E">
            <w:pPr>
              <w:jc w:val="center"/>
              <w:rPr>
                <w:rFonts w:hint="eastAsia" w:ascii="宋体" w:hAnsi="宋体" w:cs="宋体"/>
                <w:szCs w:val="21"/>
              </w:rPr>
            </w:pPr>
            <w:r>
              <w:rPr>
                <w:rFonts w:hint="eastAsia" w:ascii="宋体" w:hAnsi="宋体" w:cs="宋体"/>
                <w:szCs w:val="21"/>
                <w:highlight w:val="white"/>
              </w:rPr>
              <w:t>1.3.3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46669A7">
            <w:pPr>
              <w:jc w:val="center"/>
              <w:rPr>
                <w:rFonts w:hint="eastAsia" w:ascii="宋体" w:hAnsi="宋体" w:cs="宋体"/>
                <w:szCs w:val="21"/>
              </w:rPr>
            </w:pPr>
            <w:r>
              <w:rPr>
                <w:rFonts w:hint="eastAsia" w:ascii="宋体" w:hAnsi="宋体" w:cs="宋体"/>
                <w:szCs w:val="21"/>
                <w:highlight w:val="white"/>
              </w:rPr>
              <w:t>质量要求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E469111">
            <w:r>
              <w:rPr>
                <w:rFonts w:hint="eastAsia" w:hAnsi="宋体" w:cs="宋体"/>
                <w:kern w:val="2"/>
                <w:sz w:val="21"/>
                <w:szCs w:val="21"/>
                <w:highlight w:val="white"/>
              </w:rPr>
              <w:t>标段工程交工验收的质量评定：</w:t>
            </w:r>
            <w:bookmarkStart w:id="137" w:name="EB6949c7a18cbb4f75a67501a3462cae3d"/>
            <w:r>
              <w:rPr>
                <w:rFonts w:hint="eastAsia" w:hAnsi="宋体" w:cs="宋体"/>
                <w:kern w:val="2"/>
                <w:sz w:val="21"/>
                <w:szCs w:val="21"/>
                <w:highlight w:val="white"/>
              </w:rPr>
              <w:t>合格</w:t>
            </w:r>
            <w:bookmarkEnd w:id="137"/>
            <w:r>
              <w:rPr>
                <w:rFonts w:hint="eastAsia" w:hAnsi="宋体" w:cs="宋体"/>
                <w:kern w:val="2"/>
                <w:sz w:val="21"/>
                <w:szCs w:val="21"/>
                <w:highlight w:val="white"/>
              </w:rPr>
              <w:t>；</w:t>
            </w:r>
          </w:p>
          <w:p w14:paraId="0EEF3550">
            <w:pPr>
              <w:pStyle w:val="7"/>
              <w:topLinePunct/>
              <w:rPr>
                <w:rFonts w:hint="eastAsia" w:hAnsi="宋体" w:cs="宋体"/>
                <w:kern w:val="2"/>
                <w:sz w:val="21"/>
                <w:szCs w:val="21"/>
                <w:highlight w:val="white"/>
              </w:rPr>
            </w:pPr>
            <w:r>
              <w:rPr>
                <w:rFonts w:hint="eastAsia" w:hAnsi="宋体" w:cs="宋体"/>
                <w:kern w:val="2"/>
                <w:sz w:val="21"/>
                <w:szCs w:val="21"/>
                <w:highlight w:val="white"/>
              </w:rPr>
              <w:t>竣工验收的质量评定：</w:t>
            </w:r>
            <w:bookmarkStart w:id="138" w:name="EB94110ebfb0244eb99ef13c3d1868d372"/>
            <w:r>
              <w:rPr>
                <w:rFonts w:hint="eastAsia" w:hAnsi="宋体" w:cs="宋体"/>
                <w:kern w:val="2"/>
                <w:sz w:val="21"/>
                <w:szCs w:val="21"/>
                <w:highlight w:val="white"/>
              </w:rPr>
              <w:t>合格</w:t>
            </w:r>
            <w:bookmarkEnd w:id="138"/>
            <w:r>
              <w:rPr>
                <w:rFonts w:hint="eastAsia" w:hAnsi="宋体" w:cs="宋体"/>
                <w:kern w:val="2"/>
                <w:sz w:val="21"/>
                <w:szCs w:val="21"/>
                <w:highlight w:val="white"/>
              </w:rPr>
              <w:t>。</w:t>
            </w:r>
          </w:p>
        </w:tc>
      </w:tr>
      <w:tr w14:paraId="38B4C46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79"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0D6356F7">
            <w:pPr>
              <w:jc w:val="center"/>
              <w:rPr>
                <w:rFonts w:hint="eastAsia" w:ascii="宋体" w:hAnsi="宋体" w:cs="宋体"/>
                <w:szCs w:val="21"/>
              </w:rPr>
            </w:pPr>
            <w:r>
              <w:rPr>
                <w:rFonts w:hint="eastAsia" w:ascii="宋体" w:hAnsi="宋体" w:cs="宋体"/>
                <w:szCs w:val="21"/>
                <w:highlight w:val="white"/>
              </w:rPr>
              <w:t>1.3.4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E2B3154">
            <w:pPr>
              <w:jc w:val="center"/>
              <w:rPr>
                <w:rFonts w:hint="eastAsia" w:ascii="宋体" w:hAnsi="宋体" w:cs="宋体"/>
                <w:szCs w:val="21"/>
              </w:rPr>
            </w:pPr>
            <w:r>
              <w:rPr>
                <w:rFonts w:hint="eastAsia" w:ascii="宋体" w:hAnsi="宋体" w:cs="宋体"/>
                <w:szCs w:val="21"/>
                <w:highlight w:val="white"/>
              </w:rPr>
              <w:t>安全目标</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327BEAB">
            <w:pPr>
              <w:pStyle w:val="7"/>
              <w:topLinePunct/>
              <w:rPr>
                <w:rFonts w:hint="eastAsia" w:hAnsi="宋体" w:cs="宋体"/>
                <w:kern w:val="2"/>
                <w:sz w:val="21"/>
                <w:szCs w:val="21"/>
                <w:highlight w:val="white"/>
              </w:rPr>
            </w:pPr>
            <w:bookmarkStart w:id="139" w:name="EBb3456316f57d4f6f9b26db5e0f5b8075"/>
            <w:r>
              <w:rPr>
                <w:rFonts w:hint="eastAsia" w:hAnsi="宋体" w:cs="宋体"/>
                <w:kern w:val="2"/>
                <w:sz w:val="21"/>
                <w:szCs w:val="21"/>
                <w:highlight w:val="white"/>
              </w:rPr>
              <w:t>达到施工设计图纸安全要求</w:t>
            </w:r>
            <w:bookmarkEnd w:id="139"/>
          </w:p>
        </w:tc>
      </w:tr>
      <w:tr w14:paraId="53D6727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3DF43B47">
            <w:pPr>
              <w:jc w:val="center"/>
              <w:rPr>
                <w:rFonts w:hint="eastAsia" w:ascii="宋体" w:hAnsi="宋体" w:cs="宋体"/>
                <w:szCs w:val="21"/>
                <w:vertAlign w:val="superscript"/>
              </w:rPr>
            </w:pPr>
            <w:r>
              <w:rPr>
                <w:rFonts w:hint="eastAsia" w:ascii="宋体" w:hAnsi="宋体" w:cs="宋体"/>
                <w:szCs w:val="21"/>
                <w:highlight w:val="white"/>
              </w:rPr>
              <w:t>1.4.1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308BCAA">
            <w:pPr>
              <w:jc w:val="center"/>
              <w:rPr>
                <w:rFonts w:hint="eastAsia" w:ascii="宋体" w:hAnsi="宋体" w:cs="宋体"/>
                <w:szCs w:val="21"/>
              </w:rPr>
            </w:pPr>
            <w:r>
              <w:rPr>
                <w:rFonts w:hint="eastAsia" w:ascii="宋体" w:hAnsi="宋体" w:cs="宋体"/>
                <w:szCs w:val="21"/>
                <w:highlight w:val="white"/>
              </w:rPr>
              <w:t>投标人资质条件、企业信誉和人员、机械设备最低要求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FDED813">
            <w:pPr>
              <w:pStyle w:val="7"/>
              <w:topLinePunct/>
              <w:rPr>
                <w:rFonts w:hint="eastAsia" w:hAnsi="宋体" w:cs="宋体"/>
                <w:kern w:val="2"/>
                <w:sz w:val="21"/>
                <w:szCs w:val="21"/>
                <w:highlight w:val="white"/>
              </w:rPr>
            </w:pPr>
            <w:r>
              <w:rPr>
                <w:rFonts w:hint="eastAsia" w:hAnsi="宋体" w:cs="宋体"/>
                <w:kern w:val="2"/>
                <w:sz w:val="21"/>
                <w:szCs w:val="21"/>
                <w:highlight w:val="white"/>
              </w:rPr>
              <w:t>资质条件：见附录1</w:t>
            </w:r>
          </w:p>
          <w:p w14:paraId="4677AE3B">
            <w:pPr>
              <w:pStyle w:val="7"/>
              <w:topLinePunct/>
              <w:rPr>
                <w:rFonts w:hint="eastAsia" w:hAnsi="宋体" w:cs="宋体"/>
                <w:kern w:val="2"/>
                <w:sz w:val="21"/>
                <w:szCs w:val="21"/>
                <w:highlight w:val="white"/>
              </w:rPr>
            </w:pPr>
            <w:r>
              <w:rPr>
                <w:rFonts w:hint="eastAsia" w:hAnsi="宋体" w:cs="宋体"/>
                <w:kern w:val="2"/>
                <w:sz w:val="21"/>
                <w:szCs w:val="21"/>
                <w:highlight w:val="white"/>
              </w:rPr>
              <w:t>财务要求：见附录2</w:t>
            </w:r>
          </w:p>
          <w:p w14:paraId="0110DC0D">
            <w:pPr>
              <w:pStyle w:val="7"/>
              <w:topLinePunct/>
              <w:rPr>
                <w:rFonts w:hint="eastAsia" w:hAnsi="宋体" w:cs="宋体"/>
                <w:kern w:val="2"/>
                <w:sz w:val="21"/>
                <w:szCs w:val="21"/>
                <w:highlight w:val="white"/>
              </w:rPr>
            </w:pPr>
            <w:bookmarkStart w:id="140" w:name="FE944bad532e43407286231aa8a0ceec22"/>
            <w:bookmarkEnd w:id="140"/>
            <w:bookmarkStart w:id="141" w:name="FB944bad532e43407286231aa8a0ceec22"/>
            <w:bookmarkEnd w:id="141"/>
            <w:r>
              <w:rPr>
                <w:rFonts w:hint="eastAsia" w:hAnsi="宋体" w:cs="宋体"/>
                <w:kern w:val="2"/>
                <w:sz w:val="21"/>
                <w:szCs w:val="21"/>
                <w:highlight w:val="white"/>
              </w:rPr>
              <w:t>信誉要求：见附录4</w:t>
            </w:r>
          </w:p>
          <w:p w14:paraId="07A5963C">
            <w:pPr>
              <w:pStyle w:val="7"/>
              <w:topLinePunct/>
              <w:rPr>
                <w:rFonts w:hint="eastAsia" w:hAnsi="宋体" w:cs="宋体"/>
                <w:kern w:val="2"/>
                <w:sz w:val="21"/>
                <w:szCs w:val="21"/>
                <w:highlight w:val="white"/>
              </w:rPr>
            </w:pPr>
            <w:r>
              <w:rPr>
                <w:rFonts w:hint="eastAsia" w:hAnsi="宋体" w:cs="宋体"/>
                <w:kern w:val="2"/>
                <w:sz w:val="21"/>
                <w:szCs w:val="21"/>
                <w:highlight w:val="white"/>
              </w:rPr>
              <w:t>项目经理资格：见附录5</w:t>
            </w:r>
          </w:p>
          <w:p w14:paraId="01F272C2">
            <w:pPr>
              <w:pStyle w:val="7"/>
              <w:topLinePunct/>
              <w:rPr>
                <w:rFonts w:hint="eastAsia" w:hAnsi="宋体" w:cs="宋体"/>
                <w:kern w:val="2"/>
                <w:sz w:val="21"/>
                <w:szCs w:val="21"/>
                <w:highlight w:val="white"/>
              </w:rPr>
            </w:pPr>
            <w:r>
              <w:rPr>
                <w:rFonts w:hint="eastAsia" w:hAnsi="宋体" w:cs="宋体"/>
                <w:kern w:val="2"/>
                <w:sz w:val="21"/>
                <w:szCs w:val="21"/>
                <w:highlight w:val="white"/>
              </w:rPr>
              <w:t>项目总工资格：见附录5</w:t>
            </w:r>
            <w:bookmarkStart w:id="142" w:name="FB292e6e963f6d45d49d428a96b10aa7b0"/>
            <w:bookmarkEnd w:id="142"/>
            <w:bookmarkStart w:id="143" w:name="FE292e6e963f6d45d49d428a96b10aa7b0"/>
            <w:bookmarkEnd w:id="143"/>
            <w:bookmarkStart w:id="144" w:name="FE7edd86b898b44ca5bb8460fd9083b8c8"/>
            <w:bookmarkEnd w:id="144"/>
            <w:bookmarkStart w:id="145" w:name="FB7edd86b898b44ca5bb8460fd9083b8c8"/>
            <w:bookmarkEnd w:id="145"/>
          </w:p>
        </w:tc>
      </w:tr>
      <w:tr w14:paraId="18E55B9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2D01DDB4">
            <w:pPr>
              <w:jc w:val="center"/>
              <w:rPr>
                <w:rFonts w:hint="eastAsia" w:ascii="宋体" w:hAnsi="宋体" w:cs="宋体"/>
                <w:szCs w:val="21"/>
              </w:rPr>
            </w:pPr>
            <w:r>
              <w:rPr>
                <w:rFonts w:hint="eastAsia" w:ascii="宋体" w:hAnsi="宋体" w:cs="宋体"/>
                <w:szCs w:val="21"/>
                <w:highlight w:val="white"/>
              </w:rPr>
              <w:t>1.4.2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B36C56C">
            <w:pPr>
              <w:jc w:val="center"/>
              <w:rPr>
                <w:rFonts w:hint="eastAsia" w:ascii="宋体" w:hAnsi="宋体" w:cs="宋体"/>
                <w:szCs w:val="21"/>
              </w:rPr>
            </w:pPr>
            <w:r>
              <w:rPr>
                <w:rFonts w:hint="eastAsia" w:ascii="宋体" w:hAnsi="宋体" w:cs="宋体"/>
                <w:szCs w:val="21"/>
                <w:highlight w:val="white"/>
              </w:rPr>
              <w:t>是否接受联合体投标</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09851F45">
            <w:pPr>
              <w:ind w:left="105" w:leftChars="50" w:right="113"/>
              <w:rPr>
                <w:rFonts w:hint="eastAsia" w:ascii="宋体" w:hAnsi="宋体" w:cs="宋体"/>
                <w:szCs w:val="21"/>
                <w:highlight w:val="white"/>
              </w:rPr>
            </w:pPr>
            <w:bookmarkStart w:id="146" w:name="FB408b2cf2918e4c83b939ac22e3baeef1"/>
            <w:bookmarkEnd w:id="146"/>
            <w:bookmarkStart w:id="147" w:name="FE408b2cf2918e4c83b939ac22e3baeef1"/>
            <w:bookmarkEnd w:id="147"/>
            <w:bookmarkStart w:id="148" w:name="FB178d9c689b36400bab1709512ecb4a33"/>
            <w:bookmarkEnd w:id="148"/>
            <w:r>
              <w:rPr>
                <w:rFonts w:hint="eastAsia" w:ascii="宋体" w:hAnsi="宋体" w:cs="宋体"/>
                <w:szCs w:val="21"/>
                <w:highlight w:val="white"/>
              </w:rPr>
              <w:t>不接受</w:t>
            </w:r>
            <w:bookmarkStart w:id="149" w:name="FE178d9c689b36400bab1709512ecb4a33"/>
            <w:bookmarkEnd w:id="149"/>
            <w:bookmarkStart w:id="150" w:name="FB8038b290337e44dba2e687067dd47ea8"/>
            <w:bookmarkEnd w:id="150"/>
            <w:bookmarkStart w:id="151" w:name="FE8038b290337e44dba2e687067dd47ea8"/>
            <w:bookmarkEnd w:id="151"/>
          </w:p>
        </w:tc>
      </w:tr>
      <w:tr w14:paraId="346B6AB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2055AFF5">
            <w:pPr>
              <w:jc w:val="center"/>
              <w:rPr>
                <w:rFonts w:hint="eastAsia" w:ascii="宋体" w:hAnsi="宋体" w:cs="宋体"/>
                <w:szCs w:val="21"/>
              </w:rPr>
            </w:pPr>
            <w:r>
              <w:rPr>
                <w:rFonts w:hint="eastAsia" w:ascii="宋体" w:hAnsi="宋体" w:cs="宋体"/>
                <w:szCs w:val="21"/>
                <w:highlight w:val="white"/>
              </w:rPr>
              <w:t>1.4.3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82C33AC">
            <w:pPr>
              <w:jc w:val="center"/>
              <w:rPr>
                <w:rFonts w:hint="eastAsia" w:ascii="宋体" w:hAnsi="宋体" w:cs="宋体"/>
                <w:szCs w:val="21"/>
              </w:rPr>
            </w:pPr>
            <w:r>
              <w:rPr>
                <w:rFonts w:hint="eastAsia" w:ascii="宋体" w:hAnsi="宋体" w:cs="宋体"/>
                <w:szCs w:val="21"/>
                <w:highlight w:val="white"/>
              </w:rPr>
              <w:t>投标人不得存在的其他关联情形</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86F366B">
            <w:pPr>
              <w:rPr>
                <w:rFonts w:hint="eastAsia" w:ascii="宋体" w:hAnsi="宋体" w:cs="宋体"/>
                <w:szCs w:val="21"/>
                <w:highlight w:val="white"/>
              </w:rPr>
            </w:pPr>
            <w:bookmarkStart w:id="152" w:name="EB6da527cd1986465f8e0c8046c74fc67a"/>
            <w:r>
              <w:rPr>
                <w:rFonts w:hint="eastAsia" w:ascii="宋体" w:hAnsi="宋体" w:cs="宋体"/>
                <w:szCs w:val="21"/>
                <w:highlight w:val="white"/>
              </w:rPr>
              <w:t>（1）为招标人不具有独立法人资格的附属机构（单位）；</w:t>
            </w:r>
          </w:p>
          <w:p w14:paraId="0693A088">
            <w:pPr>
              <w:rPr>
                <w:rFonts w:hint="eastAsia" w:ascii="宋体" w:hAnsi="宋体" w:cs="宋体"/>
                <w:szCs w:val="21"/>
                <w:highlight w:val="white"/>
              </w:rPr>
            </w:pPr>
            <w:r>
              <w:rPr>
                <w:rFonts w:hint="eastAsia" w:ascii="宋体" w:hAnsi="宋体" w:cs="宋体"/>
                <w:szCs w:val="21"/>
                <w:highlight w:val="white"/>
              </w:rPr>
              <w:t>（2）与招标人存在利害关系且可能影响招标公正性；</w:t>
            </w:r>
          </w:p>
          <w:p w14:paraId="52BD8E79">
            <w:pPr>
              <w:rPr>
                <w:rFonts w:hint="eastAsia" w:ascii="宋体" w:hAnsi="宋体" w:cs="宋体"/>
                <w:szCs w:val="21"/>
                <w:highlight w:val="white"/>
              </w:rPr>
            </w:pPr>
            <w:r>
              <w:rPr>
                <w:rFonts w:hint="eastAsia" w:ascii="宋体" w:hAnsi="宋体" w:cs="宋体"/>
                <w:szCs w:val="21"/>
                <w:highlight w:val="white"/>
              </w:rPr>
              <w:t>（3）与本标段的其他投标人同为一个单位负责人；</w:t>
            </w:r>
          </w:p>
          <w:p w14:paraId="42D66FCF">
            <w:pPr>
              <w:rPr>
                <w:rFonts w:hint="eastAsia" w:ascii="宋体" w:hAnsi="宋体" w:cs="宋体"/>
                <w:szCs w:val="21"/>
                <w:highlight w:val="white"/>
              </w:rPr>
            </w:pPr>
            <w:r>
              <w:rPr>
                <w:rFonts w:hint="eastAsia" w:ascii="宋体" w:hAnsi="宋体" w:cs="宋体"/>
                <w:szCs w:val="21"/>
                <w:highlight w:val="white"/>
              </w:rPr>
              <w:t>（4）与本标段的其他投标人存在控股、管理关系；</w:t>
            </w:r>
          </w:p>
          <w:p w14:paraId="6EA3BEC2">
            <w:pPr>
              <w:rPr>
                <w:rFonts w:hint="eastAsia" w:ascii="宋体" w:hAnsi="宋体" w:cs="宋体"/>
                <w:szCs w:val="21"/>
                <w:highlight w:val="white"/>
              </w:rPr>
            </w:pPr>
            <w:r>
              <w:rPr>
                <w:rFonts w:hint="eastAsia" w:ascii="宋体" w:hAnsi="宋体" w:cs="宋体"/>
                <w:szCs w:val="21"/>
                <w:highlight w:val="white"/>
              </w:rPr>
              <w:t>（5）为本标段前期准备提供设计或咨询服务的法人或其任何附属机构（单位）；</w:t>
            </w:r>
          </w:p>
          <w:p w14:paraId="4F75182C">
            <w:pPr>
              <w:rPr>
                <w:rFonts w:hint="eastAsia" w:ascii="宋体" w:hAnsi="宋体" w:cs="宋体"/>
                <w:szCs w:val="21"/>
                <w:highlight w:val="white"/>
              </w:rPr>
            </w:pPr>
            <w:r>
              <w:rPr>
                <w:rFonts w:hint="eastAsia" w:ascii="宋体" w:hAnsi="宋体" w:cs="宋体"/>
                <w:szCs w:val="21"/>
                <w:highlight w:val="white"/>
              </w:rPr>
              <w:t>（6）为本标段的监理人；</w:t>
            </w:r>
          </w:p>
          <w:p w14:paraId="7B5E18D2">
            <w:pPr>
              <w:rPr>
                <w:rFonts w:hint="eastAsia" w:ascii="宋体" w:hAnsi="宋体" w:cs="宋体"/>
                <w:szCs w:val="21"/>
                <w:highlight w:val="white"/>
              </w:rPr>
            </w:pPr>
            <w:r>
              <w:rPr>
                <w:rFonts w:hint="eastAsia" w:ascii="宋体" w:hAnsi="宋体" w:cs="宋体"/>
                <w:szCs w:val="21"/>
                <w:highlight w:val="white"/>
              </w:rPr>
              <w:t>（7）为本标段的代建人；</w:t>
            </w:r>
          </w:p>
          <w:p w14:paraId="38F2E45A">
            <w:pPr>
              <w:rPr>
                <w:rFonts w:hint="eastAsia" w:ascii="宋体" w:hAnsi="宋体" w:cs="宋体"/>
                <w:szCs w:val="21"/>
                <w:highlight w:val="white"/>
              </w:rPr>
            </w:pPr>
            <w:r>
              <w:rPr>
                <w:rFonts w:hint="eastAsia" w:ascii="宋体" w:hAnsi="宋体" w:cs="宋体"/>
                <w:szCs w:val="21"/>
                <w:highlight w:val="white"/>
              </w:rPr>
              <w:t>（8）为本标段的招标代理机构；</w:t>
            </w:r>
          </w:p>
          <w:p w14:paraId="279BE886">
            <w:pPr>
              <w:rPr>
                <w:rFonts w:hint="eastAsia" w:ascii="宋体" w:hAnsi="宋体" w:cs="宋体"/>
                <w:szCs w:val="21"/>
                <w:highlight w:val="white"/>
              </w:rPr>
            </w:pPr>
            <w:r>
              <w:rPr>
                <w:rFonts w:hint="eastAsia" w:ascii="宋体" w:hAnsi="宋体" w:cs="宋体"/>
                <w:szCs w:val="21"/>
                <w:highlight w:val="white"/>
              </w:rPr>
              <w:t>（9）与本标段的监理人或代建人或招标代理机构同为一个法定代表人；</w:t>
            </w:r>
          </w:p>
          <w:p w14:paraId="3B6991E2">
            <w:pPr>
              <w:rPr>
                <w:rFonts w:hint="eastAsia" w:ascii="宋体" w:hAnsi="宋体" w:cs="宋体"/>
                <w:szCs w:val="21"/>
                <w:highlight w:val="white"/>
              </w:rPr>
            </w:pPr>
            <w:r>
              <w:rPr>
                <w:rFonts w:hint="eastAsia" w:ascii="宋体" w:hAnsi="宋体" w:cs="宋体"/>
                <w:szCs w:val="21"/>
                <w:highlight w:val="white"/>
              </w:rPr>
              <w:t>（10）与本标段的监理人或代建人或招标代理机构存在控股或参股关系；</w:t>
            </w:r>
          </w:p>
          <w:p w14:paraId="31DF20E2">
            <w:pPr>
              <w:rPr>
                <w:rFonts w:hint="eastAsia" w:ascii="宋体" w:hAnsi="宋体" w:cs="宋体"/>
                <w:szCs w:val="21"/>
                <w:highlight w:val="white"/>
              </w:rPr>
            </w:pPr>
            <w:r>
              <w:rPr>
                <w:rFonts w:hint="eastAsia" w:ascii="宋体" w:hAnsi="宋体" w:cs="宋体"/>
                <w:szCs w:val="21"/>
                <w:highlight w:val="white"/>
              </w:rPr>
              <w:t>（11）法律法规或投标人须知前附表规定的其他情形</w:t>
            </w:r>
            <w:bookmarkEnd w:id="152"/>
          </w:p>
        </w:tc>
      </w:tr>
      <w:tr w14:paraId="6D446B1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EC15D63">
            <w:pPr>
              <w:jc w:val="center"/>
              <w:rPr>
                <w:rFonts w:hint="eastAsia" w:ascii="宋体" w:hAnsi="宋体" w:cs="宋体"/>
                <w:szCs w:val="21"/>
              </w:rPr>
            </w:pPr>
            <w:r>
              <w:rPr>
                <w:rFonts w:hint="eastAsia" w:ascii="宋体" w:hAnsi="宋体" w:cs="宋体"/>
                <w:szCs w:val="21"/>
                <w:highlight w:val="white"/>
              </w:rPr>
              <w:t>1.4.4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0C2E770">
            <w:pPr>
              <w:jc w:val="center"/>
              <w:rPr>
                <w:rFonts w:hint="eastAsia" w:ascii="宋体" w:hAnsi="宋体" w:cs="宋体"/>
                <w:szCs w:val="21"/>
              </w:rPr>
            </w:pPr>
            <w:r>
              <w:rPr>
                <w:rFonts w:hint="eastAsia" w:ascii="宋体" w:hAnsi="宋体" w:cs="宋体"/>
                <w:szCs w:val="21"/>
                <w:highlight w:val="white"/>
              </w:rPr>
              <w:t>投标人不得存在的其他不良状况或不良信用记录</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0E5566F">
            <w:pPr>
              <w:rPr>
                <w:rFonts w:hint="eastAsia" w:ascii="宋体" w:hAnsi="宋体" w:cs="宋体"/>
                <w:szCs w:val="21"/>
                <w:highlight w:val="white"/>
              </w:rPr>
            </w:pPr>
            <w:bookmarkStart w:id="153" w:name="EB4bea735b92494849a98dcde57c189314"/>
            <w:r>
              <w:rPr>
                <w:rFonts w:hint="eastAsia" w:ascii="宋体" w:hAnsi="宋体" w:cs="宋体"/>
                <w:szCs w:val="21"/>
                <w:highlight w:val="white"/>
              </w:rPr>
              <w:t>（1）被省级及以上交通运输主管部门取消招标项目所在地的投标资格且处于有效期内；</w:t>
            </w:r>
          </w:p>
          <w:p w14:paraId="197650D9">
            <w:pPr>
              <w:rPr>
                <w:rFonts w:hint="eastAsia" w:ascii="宋体" w:hAnsi="宋体" w:cs="宋体"/>
                <w:szCs w:val="21"/>
                <w:highlight w:val="white"/>
              </w:rPr>
            </w:pPr>
            <w:r>
              <w:rPr>
                <w:rFonts w:hint="eastAsia" w:ascii="宋体" w:hAnsi="宋体" w:cs="宋体"/>
                <w:szCs w:val="21"/>
                <w:highlight w:val="white"/>
              </w:rPr>
              <w:t>（2）被责令停业，暂扣或吊销执照，或吊销资质证书；</w:t>
            </w:r>
          </w:p>
          <w:p w14:paraId="51A40514">
            <w:pPr>
              <w:rPr>
                <w:rFonts w:hint="eastAsia" w:ascii="宋体" w:hAnsi="宋体" w:cs="宋体"/>
                <w:szCs w:val="21"/>
                <w:highlight w:val="white"/>
              </w:rPr>
            </w:pPr>
            <w:r>
              <w:rPr>
                <w:rFonts w:hint="eastAsia" w:ascii="宋体" w:hAnsi="宋体" w:cs="宋体"/>
                <w:szCs w:val="21"/>
                <w:highlight w:val="white"/>
              </w:rPr>
              <w:t>（3）进入清算程序，或被宣告破产，或其他丧失履约能力的情形；</w:t>
            </w:r>
          </w:p>
          <w:p w14:paraId="1EC719F9">
            <w:pPr>
              <w:rPr>
                <w:rFonts w:hint="eastAsia" w:ascii="宋体" w:hAnsi="宋体" w:cs="宋体"/>
                <w:szCs w:val="21"/>
                <w:highlight w:val="white"/>
              </w:rPr>
            </w:pPr>
            <w:r>
              <w:rPr>
                <w:rFonts w:hint="eastAsia" w:ascii="宋体" w:hAnsi="宋体" w:cs="宋体"/>
                <w:szCs w:val="21"/>
                <w:highlight w:val="white"/>
              </w:rPr>
              <w:t>（4）在国家企业信用信息公示系统（http://www.gsxt.gov.cn/）中被列入严重违法失信企业名单；</w:t>
            </w:r>
          </w:p>
          <w:p w14:paraId="7B19B33C">
            <w:pPr>
              <w:rPr>
                <w:rFonts w:hint="eastAsia" w:ascii="宋体" w:hAnsi="宋体" w:cs="宋体"/>
                <w:szCs w:val="21"/>
                <w:highlight w:val="white"/>
              </w:rPr>
            </w:pPr>
            <w:r>
              <w:rPr>
                <w:rFonts w:hint="eastAsia" w:ascii="宋体" w:hAnsi="宋体" w:cs="宋体"/>
                <w:szCs w:val="21"/>
                <w:highlight w:val="white"/>
              </w:rPr>
              <w:t>（5）在“信用中国”网站（http://www.creditchina.gov.cn/）中被列入失信被执行 人名单；</w:t>
            </w:r>
          </w:p>
          <w:p w14:paraId="1BBF43EC">
            <w:pPr>
              <w:rPr>
                <w:rFonts w:hint="eastAsia" w:ascii="宋体" w:hAnsi="宋体" w:cs="宋体"/>
                <w:szCs w:val="21"/>
                <w:highlight w:val="white"/>
              </w:rPr>
            </w:pPr>
            <w:r>
              <w:rPr>
                <w:rFonts w:hint="eastAsia" w:ascii="宋体" w:hAnsi="宋体" w:cs="宋体"/>
                <w:szCs w:val="21"/>
                <w:highlight w:val="white"/>
              </w:rPr>
              <w:t>（6）投标人或其法定代表人、拟委任的项目经理在近三年内有行贿犯罪行为的（以中国裁判文书网查询的结果为准）；</w:t>
            </w:r>
          </w:p>
          <w:p w14:paraId="096305CD">
            <w:pPr>
              <w:rPr>
                <w:rFonts w:hint="eastAsia" w:ascii="宋体" w:hAnsi="宋体" w:cs="宋体"/>
                <w:color w:val="0000FF"/>
                <w:szCs w:val="21"/>
                <w:highlight w:val="white"/>
              </w:rPr>
            </w:pPr>
            <w:r>
              <w:rPr>
                <w:rFonts w:hint="eastAsia" w:ascii="宋体" w:hAnsi="宋体" w:cs="宋体"/>
                <w:szCs w:val="21"/>
                <w:highlight w:val="white"/>
              </w:rPr>
              <w:t>（7）法律法规或投标人须知前附表规定的其他情形</w:t>
            </w:r>
            <w:bookmarkEnd w:id="153"/>
          </w:p>
        </w:tc>
      </w:tr>
      <w:tr w14:paraId="7CECFBD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02E728E">
            <w:pPr>
              <w:jc w:val="center"/>
              <w:rPr>
                <w:rFonts w:hint="eastAsia" w:ascii="宋体" w:hAnsi="宋体" w:cs="宋体"/>
                <w:szCs w:val="21"/>
              </w:rPr>
            </w:pPr>
            <w:r>
              <w:rPr>
                <w:rFonts w:hint="eastAsia" w:ascii="宋体" w:hAnsi="宋体" w:cs="宋体"/>
                <w:szCs w:val="21"/>
                <w:highlight w:val="white"/>
              </w:rPr>
              <w:t>1.9.1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AE2BDEF">
            <w:pPr>
              <w:jc w:val="center"/>
              <w:rPr>
                <w:rFonts w:hint="eastAsia" w:ascii="宋体" w:hAnsi="宋体" w:cs="宋体"/>
                <w:szCs w:val="21"/>
              </w:rPr>
            </w:pPr>
            <w:r>
              <w:rPr>
                <w:rFonts w:hint="eastAsia" w:ascii="宋体" w:hAnsi="宋体" w:cs="宋体"/>
                <w:szCs w:val="21"/>
                <w:highlight w:val="white"/>
              </w:rPr>
              <w:t>踏勘现场</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E52F7C4">
            <w:pPr>
              <w:rPr>
                <w:rFonts w:hint="eastAsia" w:ascii="宋体" w:hAnsi="宋体" w:cs="宋体"/>
                <w:szCs w:val="21"/>
              </w:rPr>
            </w:pPr>
            <w:r>
              <w:rPr>
                <w:rFonts w:hint="eastAsia" w:ascii="宋体" w:hAnsi="宋体" w:cs="宋体"/>
                <w:szCs w:val="21"/>
                <w:highlight w:val="white"/>
              </w:rPr>
              <w:t>不组织</w:t>
            </w:r>
          </w:p>
        </w:tc>
      </w:tr>
      <w:tr w14:paraId="071F1F3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5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36297FC5">
            <w:pPr>
              <w:jc w:val="center"/>
              <w:rPr>
                <w:rFonts w:hint="eastAsia" w:ascii="宋体" w:hAnsi="宋体" w:cs="宋体"/>
                <w:szCs w:val="21"/>
              </w:rPr>
            </w:pPr>
            <w:r>
              <w:rPr>
                <w:rFonts w:hint="eastAsia" w:ascii="宋体" w:hAnsi="宋体" w:cs="宋体"/>
                <w:szCs w:val="21"/>
                <w:highlight w:val="white"/>
              </w:rPr>
              <w:t>1.10</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8BB458D">
            <w:pPr>
              <w:jc w:val="center"/>
              <w:rPr>
                <w:rFonts w:hint="eastAsia" w:ascii="宋体" w:hAnsi="宋体" w:cs="宋体"/>
                <w:szCs w:val="21"/>
              </w:rPr>
            </w:pPr>
            <w:r>
              <w:rPr>
                <w:rFonts w:hint="eastAsia" w:ascii="宋体" w:hAnsi="宋体" w:cs="宋体"/>
                <w:szCs w:val="21"/>
                <w:highlight w:val="white"/>
              </w:rPr>
              <w:t>投标预备会</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4C08451">
            <w:pPr>
              <w:rPr>
                <w:rFonts w:hint="eastAsia" w:ascii="宋体" w:hAnsi="宋体" w:cs="宋体"/>
                <w:szCs w:val="21"/>
              </w:rPr>
            </w:pPr>
            <w:r>
              <w:rPr>
                <w:rFonts w:hint="eastAsia" w:ascii="宋体" w:hAnsi="宋体" w:cs="宋体"/>
                <w:szCs w:val="21"/>
                <w:highlight w:val="white"/>
              </w:rPr>
              <w:t>不召开</w:t>
            </w:r>
          </w:p>
        </w:tc>
      </w:tr>
      <w:tr w14:paraId="0C41F12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F4F9ABA">
            <w:pPr>
              <w:jc w:val="center"/>
              <w:rPr>
                <w:rFonts w:hint="eastAsia" w:ascii="宋体" w:hAnsi="宋体" w:cs="宋体"/>
                <w:szCs w:val="21"/>
              </w:rPr>
            </w:pPr>
            <w:r>
              <w:rPr>
                <w:rFonts w:hint="eastAsia" w:ascii="宋体" w:hAnsi="宋体" w:cs="宋体"/>
                <w:szCs w:val="21"/>
                <w:highlight w:val="white"/>
              </w:rPr>
              <w:t>1.10.2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EFC47D2">
            <w:pPr>
              <w:jc w:val="center"/>
              <w:rPr>
                <w:rFonts w:hint="eastAsia" w:ascii="宋体" w:hAnsi="宋体" w:cs="宋体"/>
                <w:szCs w:val="21"/>
                <w:highlight w:val="white"/>
              </w:rPr>
            </w:pPr>
            <w:r>
              <w:rPr>
                <w:rFonts w:hint="eastAsia" w:ascii="宋体" w:hAnsi="宋体" w:cs="宋体"/>
                <w:szCs w:val="21"/>
                <w:highlight w:val="white"/>
              </w:rPr>
              <w:t>投标人提出问题的方式、</w:t>
            </w:r>
          </w:p>
          <w:p w14:paraId="3D64AAA0">
            <w:pPr>
              <w:jc w:val="center"/>
              <w:rPr>
                <w:rFonts w:hint="eastAsia" w:ascii="宋体" w:hAnsi="宋体" w:cs="宋体"/>
                <w:szCs w:val="21"/>
              </w:rPr>
            </w:pPr>
            <w:r>
              <w:rPr>
                <w:rFonts w:hint="eastAsia" w:ascii="宋体" w:hAnsi="宋体" w:cs="宋体"/>
                <w:szCs w:val="21"/>
                <w:highlight w:val="white"/>
              </w:rPr>
              <w:t>截止时间</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F237D35">
            <w:pPr>
              <w:pStyle w:val="7"/>
              <w:rPr>
                <w:rFonts w:hint="eastAsia" w:hAnsi="宋体" w:cs="宋体"/>
                <w:sz w:val="21"/>
                <w:szCs w:val="21"/>
              </w:rPr>
            </w:pPr>
            <w:r>
              <w:rPr>
                <w:rFonts w:hint="eastAsia" w:hAnsi="宋体" w:cs="宋体"/>
                <w:sz w:val="21"/>
                <w:szCs w:val="21"/>
                <w:highlight w:val="white"/>
              </w:rPr>
              <w:t>提出问题的方式：</w:t>
            </w:r>
            <w:r>
              <w:rPr>
                <w:rFonts w:hint="eastAsia" w:hAnsi="宋体" w:cs="宋体"/>
                <w:sz w:val="21"/>
                <w:szCs w:val="21"/>
              </w:rPr>
              <w:t>书面形式</w:t>
            </w:r>
            <w:r>
              <w:rPr>
                <w:rFonts w:hint="eastAsia" w:hAnsi="宋体" w:cs="宋体"/>
                <w:sz w:val="21"/>
                <w:szCs w:val="21"/>
                <w:highlight w:val="white"/>
              </w:rPr>
              <w:t>。</w:t>
            </w:r>
          </w:p>
          <w:p w14:paraId="14B1C13C">
            <w:pPr>
              <w:pStyle w:val="7"/>
              <w:rPr>
                <w:rFonts w:hint="eastAsia" w:hAnsi="宋体" w:cs="宋体"/>
                <w:kern w:val="2"/>
                <w:sz w:val="21"/>
                <w:szCs w:val="21"/>
              </w:rPr>
            </w:pPr>
            <w:r>
              <w:rPr>
                <w:rFonts w:hint="eastAsia" w:hAnsi="宋体" w:cs="宋体"/>
                <w:sz w:val="21"/>
                <w:szCs w:val="21"/>
                <w:highlight w:val="white"/>
              </w:rPr>
              <w:t>截止时间：</w:t>
            </w:r>
            <w:bookmarkStart w:id="154" w:name="EBef88e6d7f0164f1da208e464ffc4c56f"/>
            <w:r>
              <w:rPr>
                <w:rFonts w:hint="eastAsia" w:hAnsi="宋体" w:cs="宋体"/>
                <w:sz w:val="21"/>
                <w:szCs w:val="21"/>
              </w:rPr>
              <w:t>202</w:t>
            </w:r>
            <w:r>
              <w:rPr>
                <w:rFonts w:hint="eastAsia" w:hAnsi="宋体" w:cs="宋体"/>
                <w:sz w:val="21"/>
                <w:szCs w:val="21"/>
                <w:lang w:val="en-US" w:eastAsia="zh-CN"/>
              </w:rPr>
              <w:t>5</w:t>
            </w:r>
            <w:r>
              <w:rPr>
                <w:rFonts w:hint="eastAsia" w:hAnsi="宋体" w:cs="宋体"/>
                <w:sz w:val="21"/>
                <w:szCs w:val="21"/>
              </w:rPr>
              <w:t>年</w:t>
            </w:r>
            <w:r>
              <w:rPr>
                <w:rFonts w:hint="eastAsia" w:hAnsi="宋体" w:cs="宋体"/>
                <w:sz w:val="21"/>
                <w:szCs w:val="21"/>
                <w:lang w:val="en-US" w:eastAsia="zh-CN"/>
              </w:rPr>
              <w:t>11</w:t>
            </w:r>
            <w:r>
              <w:rPr>
                <w:rFonts w:hint="eastAsia" w:hAnsi="宋体" w:cs="宋体"/>
                <w:sz w:val="21"/>
                <w:szCs w:val="21"/>
              </w:rPr>
              <w:t>月</w:t>
            </w:r>
            <w:r>
              <w:rPr>
                <w:rFonts w:hint="eastAsia" w:hAnsi="宋体" w:cs="宋体"/>
                <w:sz w:val="21"/>
                <w:szCs w:val="21"/>
                <w:lang w:val="en-US" w:eastAsia="zh-CN"/>
              </w:rPr>
              <w:t>18</w:t>
            </w:r>
            <w:r>
              <w:rPr>
                <w:rFonts w:hint="eastAsia" w:hAnsi="宋体" w:cs="宋体"/>
                <w:sz w:val="21"/>
                <w:szCs w:val="21"/>
              </w:rPr>
              <w:t>日 1</w:t>
            </w:r>
            <w:r>
              <w:rPr>
                <w:rFonts w:hint="eastAsia" w:hAnsi="宋体" w:cs="宋体"/>
                <w:sz w:val="21"/>
                <w:szCs w:val="21"/>
                <w:lang w:val="en-US" w:eastAsia="zh-CN"/>
              </w:rPr>
              <w:t>7</w:t>
            </w:r>
            <w:r>
              <w:rPr>
                <w:rFonts w:hint="eastAsia" w:hAnsi="宋体" w:cs="宋体"/>
                <w:sz w:val="21"/>
                <w:szCs w:val="21"/>
              </w:rPr>
              <w:t>:</w:t>
            </w:r>
            <w:r>
              <w:rPr>
                <w:rFonts w:hint="eastAsia" w:hAnsi="宋体" w:cs="宋体"/>
                <w:sz w:val="21"/>
                <w:szCs w:val="21"/>
                <w:lang w:val="en-US" w:eastAsia="zh-CN"/>
              </w:rPr>
              <w:t>3</w:t>
            </w:r>
            <w:r>
              <w:rPr>
                <w:rFonts w:hint="eastAsia" w:hAnsi="宋体" w:cs="宋体"/>
                <w:sz w:val="21"/>
                <w:szCs w:val="21"/>
              </w:rPr>
              <w:t>0:00</w:t>
            </w:r>
            <w:bookmarkEnd w:id="154"/>
          </w:p>
        </w:tc>
      </w:tr>
      <w:tr w14:paraId="5B4D9F0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71F5835">
            <w:pPr>
              <w:jc w:val="center"/>
              <w:rPr>
                <w:rFonts w:hint="eastAsia" w:ascii="宋体" w:hAnsi="宋体" w:cs="宋体"/>
                <w:szCs w:val="21"/>
              </w:rPr>
            </w:pPr>
            <w:r>
              <w:rPr>
                <w:rFonts w:hint="eastAsia" w:ascii="宋体" w:hAnsi="宋体" w:cs="宋体"/>
                <w:szCs w:val="21"/>
                <w:highlight w:val="white"/>
              </w:rPr>
              <w:t>1.10.3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9BFDA4C">
            <w:pPr>
              <w:jc w:val="center"/>
              <w:rPr>
                <w:rFonts w:hint="eastAsia" w:ascii="宋体" w:hAnsi="宋体" w:cs="宋体"/>
                <w:szCs w:val="21"/>
              </w:rPr>
            </w:pPr>
            <w:r>
              <w:rPr>
                <w:rFonts w:hint="eastAsia" w:ascii="宋体" w:hAnsi="宋体" w:cs="宋体"/>
                <w:szCs w:val="21"/>
                <w:highlight w:val="white"/>
              </w:rPr>
              <w:t>招标人澄清的</w:t>
            </w:r>
            <w:r>
              <w:rPr>
                <w:rFonts w:hint="eastAsia" w:ascii="宋体" w:hAnsi="宋体" w:cs="宋体"/>
                <w:kern w:val="0"/>
                <w:szCs w:val="21"/>
                <w:highlight w:val="white"/>
              </w:rPr>
              <w:t>方式、</w:t>
            </w:r>
            <w:r>
              <w:rPr>
                <w:rFonts w:hint="eastAsia" w:ascii="宋体" w:hAnsi="宋体" w:cs="宋体"/>
                <w:szCs w:val="21"/>
                <w:highlight w:val="white"/>
              </w:rPr>
              <w:t>截止时间</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7AF83EDE">
            <w:pPr>
              <w:pStyle w:val="7"/>
              <w:rPr>
                <w:rFonts w:hint="eastAsia" w:hAnsi="宋体" w:cs="宋体"/>
                <w:sz w:val="21"/>
                <w:szCs w:val="21"/>
              </w:rPr>
            </w:pPr>
            <w:r>
              <w:rPr>
                <w:rFonts w:hint="eastAsia" w:hAnsi="宋体" w:cs="宋体"/>
                <w:sz w:val="21"/>
                <w:szCs w:val="21"/>
                <w:highlight w:val="white"/>
              </w:rPr>
              <w:t>澄清的方式：</w:t>
            </w:r>
            <w:r>
              <w:rPr>
                <w:rFonts w:hint="eastAsia" w:hAnsi="宋体" w:cs="宋体"/>
                <w:sz w:val="21"/>
                <w:szCs w:val="21"/>
              </w:rPr>
              <w:t>书面形式或传真</w:t>
            </w:r>
            <w:r>
              <w:rPr>
                <w:rFonts w:hint="eastAsia" w:hAnsi="宋体" w:cs="宋体"/>
                <w:sz w:val="21"/>
                <w:szCs w:val="21"/>
                <w:highlight w:val="white"/>
              </w:rPr>
              <w:t>。</w:t>
            </w:r>
          </w:p>
          <w:p w14:paraId="421790D2">
            <w:pPr>
              <w:rPr>
                <w:rFonts w:hint="eastAsia" w:ascii="宋体" w:hAnsi="宋体" w:cs="宋体"/>
                <w:szCs w:val="21"/>
              </w:rPr>
            </w:pPr>
            <w:r>
              <w:rPr>
                <w:rFonts w:hint="eastAsia" w:ascii="宋体" w:hAnsi="宋体" w:cs="宋体"/>
                <w:kern w:val="0"/>
                <w:szCs w:val="21"/>
                <w:highlight w:val="white"/>
              </w:rPr>
              <w:t>澄清截止时间：</w:t>
            </w:r>
            <w:r>
              <w:rPr>
                <w:rFonts w:hint="eastAsia" w:ascii="宋体" w:hAnsi="宋体" w:cs="宋体"/>
                <w:kern w:val="0"/>
                <w:szCs w:val="21"/>
              </w:rPr>
              <w:t>2025年11月</w:t>
            </w:r>
            <w:r>
              <w:rPr>
                <w:rFonts w:hint="eastAsia" w:ascii="宋体" w:hAnsi="宋体" w:cs="宋体"/>
                <w:kern w:val="0"/>
                <w:szCs w:val="21"/>
                <w:lang w:val="en-US" w:eastAsia="zh-CN"/>
              </w:rPr>
              <w:t>18</w:t>
            </w:r>
            <w:r>
              <w:rPr>
                <w:rFonts w:hint="eastAsia" w:ascii="宋体" w:hAnsi="宋体" w:cs="宋体"/>
                <w:kern w:val="0"/>
                <w:szCs w:val="21"/>
              </w:rPr>
              <w:t>日 17:30:00</w:t>
            </w:r>
          </w:p>
        </w:tc>
      </w:tr>
      <w:tr w14:paraId="62307D4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96"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AB4B63C">
            <w:pPr>
              <w:jc w:val="center"/>
              <w:rPr>
                <w:rFonts w:hint="eastAsia" w:ascii="宋体" w:hAnsi="宋体" w:cs="宋体"/>
                <w:szCs w:val="21"/>
              </w:rPr>
            </w:pPr>
            <w:r>
              <w:rPr>
                <w:rFonts w:hint="eastAsia" w:ascii="宋体" w:hAnsi="宋体" w:cs="宋体"/>
                <w:szCs w:val="21"/>
                <w:highlight w:val="white"/>
              </w:rPr>
              <w:t>1.11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A4957E6">
            <w:pPr>
              <w:jc w:val="center"/>
              <w:rPr>
                <w:rFonts w:hint="eastAsia" w:ascii="宋体" w:hAnsi="宋体" w:cs="宋体"/>
                <w:szCs w:val="21"/>
              </w:rPr>
            </w:pPr>
            <w:r>
              <w:rPr>
                <w:rFonts w:hint="eastAsia" w:ascii="宋体" w:hAnsi="宋体" w:cs="宋体"/>
                <w:szCs w:val="21"/>
                <w:highlight w:val="white"/>
              </w:rPr>
              <w:t>分包</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5DA9E29">
            <w:pPr>
              <w:pStyle w:val="7"/>
              <w:rPr>
                <w:rFonts w:hint="eastAsia" w:hAnsi="宋体" w:cs="宋体"/>
                <w:kern w:val="2"/>
                <w:sz w:val="21"/>
                <w:szCs w:val="21"/>
              </w:rPr>
            </w:pPr>
            <w:bookmarkStart w:id="155" w:name="FBe203fcd67e6f426a98299a5e6faca29f"/>
            <w:bookmarkEnd w:id="155"/>
            <w:bookmarkStart w:id="156" w:name="FEe203fcd67e6f426a98299a5e6faca29f"/>
            <w:bookmarkEnd w:id="156"/>
            <w:bookmarkStart w:id="157" w:name="FB28a8dd58e2724d1d8291ba4445956b35"/>
            <w:bookmarkEnd w:id="157"/>
            <w:r>
              <w:rPr>
                <w:rFonts w:hint="eastAsia" w:hAnsi="宋体" w:cs="宋体"/>
                <w:kern w:val="2"/>
                <w:sz w:val="21"/>
                <w:szCs w:val="21"/>
                <w:highlight w:val="white"/>
              </w:rPr>
              <w:t>不允许</w:t>
            </w:r>
            <w:bookmarkStart w:id="158" w:name="FEe22c35638a5f4f18b8c2cd9c17c3d66f"/>
            <w:bookmarkEnd w:id="158"/>
            <w:bookmarkStart w:id="159" w:name="FE28a8dd58e2724d1d8291ba4445956b35"/>
            <w:bookmarkEnd w:id="159"/>
            <w:bookmarkStart w:id="160" w:name="FBe22c35638a5f4f18b8c2cd9c17c3d66f"/>
            <w:bookmarkEnd w:id="160"/>
          </w:p>
        </w:tc>
      </w:tr>
      <w:tr w14:paraId="6F6CC41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AEADD11">
            <w:pPr>
              <w:jc w:val="center"/>
              <w:rPr>
                <w:rFonts w:hint="eastAsia" w:ascii="宋体" w:hAnsi="宋体" w:cs="宋体"/>
                <w:szCs w:val="21"/>
              </w:rPr>
            </w:pPr>
            <w:r>
              <w:rPr>
                <w:rFonts w:hint="eastAsia" w:ascii="宋体" w:hAnsi="宋体" w:cs="宋体"/>
                <w:szCs w:val="21"/>
                <w:highlight w:val="white"/>
              </w:rPr>
              <w:t>1.12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49E6A03">
            <w:pPr>
              <w:jc w:val="center"/>
              <w:rPr>
                <w:rFonts w:hint="eastAsia" w:ascii="宋体" w:hAnsi="宋体" w:cs="宋体"/>
                <w:szCs w:val="21"/>
              </w:rPr>
            </w:pPr>
            <w:r>
              <w:rPr>
                <w:rFonts w:hint="eastAsia" w:ascii="宋体" w:hAnsi="宋体" w:cs="宋体"/>
                <w:szCs w:val="21"/>
                <w:highlight w:val="white"/>
              </w:rPr>
              <w:t>偏离</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7B44A31C">
            <w:pPr>
              <w:pStyle w:val="7"/>
              <w:topLinePunct/>
              <w:rPr>
                <w:rFonts w:hint="eastAsia" w:hAnsi="宋体" w:cs="宋体"/>
                <w:spacing w:val="-4"/>
                <w:kern w:val="2"/>
                <w:sz w:val="21"/>
                <w:szCs w:val="21"/>
              </w:rPr>
            </w:pPr>
            <w:r>
              <w:rPr>
                <w:rFonts w:hint="eastAsia" w:hAnsi="宋体" w:cs="宋体"/>
                <w:spacing w:val="-4"/>
                <w:kern w:val="2"/>
                <w:sz w:val="21"/>
                <w:szCs w:val="21"/>
                <w:highlight w:val="white"/>
              </w:rPr>
              <w:t>允许细微偏差，不允许重大偏差，重大偏差标准详见评标办法前附表。</w:t>
            </w:r>
          </w:p>
        </w:tc>
      </w:tr>
      <w:tr w14:paraId="6682FE5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90A68C3">
            <w:pPr>
              <w:jc w:val="center"/>
              <w:rPr>
                <w:rFonts w:hint="eastAsia" w:ascii="宋体" w:hAnsi="宋体" w:cs="宋体"/>
                <w:szCs w:val="21"/>
              </w:rPr>
            </w:pPr>
            <w:r>
              <w:rPr>
                <w:rFonts w:hint="eastAsia" w:ascii="宋体" w:hAnsi="宋体" w:cs="宋体"/>
                <w:szCs w:val="21"/>
                <w:highlight w:val="white"/>
              </w:rPr>
              <w:t>2.1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24F94C5">
            <w:pPr>
              <w:jc w:val="center"/>
              <w:rPr>
                <w:rFonts w:hint="eastAsia" w:ascii="宋体" w:hAnsi="宋体" w:cs="宋体"/>
                <w:szCs w:val="21"/>
                <w:highlight w:val="white"/>
              </w:rPr>
            </w:pPr>
            <w:r>
              <w:rPr>
                <w:rFonts w:hint="eastAsia" w:ascii="宋体" w:hAnsi="宋体" w:cs="宋体"/>
                <w:szCs w:val="21"/>
                <w:highlight w:val="white"/>
              </w:rPr>
              <w:t>招标文件</w:t>
            </w:r>
          </w:p>
          <w:p w14:paraId="427F8549">
            <w:pPr>
              <w:jc w:val="center"/>
              <w:rPr>
                <w:rFonts w:hint="eastAsia" w:ascii="宋体" w:hAnsi="宋体" w:cs="宋体"/>
                <w:szCs w:val="21"/>
              </w:rPr>
            </w:pPr>
            <w:r>
              <w:rPr>
                <w:rFonts w:hint="eastAsia" w:ascii="宋体" w:hAnsi="宋体" w:cs="宋体"/>
                <w:szCs w:val="21"/>
                <w:highlight w:val="white"/>
              </w:rPr>
              <w:t>的组成</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72E338CD">
            <w:pPr>
              <w:ind w:left="945" w:hanging="945" w:hangingChars="450"/>
              <w:rPr>
                <w:rFonts w:hint="eastAsia" w:ascii="宋体" w:hAnsi="宋体" w:cs="宋体"/>
                <w:szCs w:val="21"/>
              </w:rPr>
            </w:pPr>
            <w:r>
              <w:rPr>
                <w:rFonts w:hint="eastAsia" w:ascii="宋体" w:hAnsi="宋体" w:cs="宋体"/>
                <w:szCs w:val="21"/>
                <w:highlight w:val="white"/>
              </w:rPr>
              <w:t>各卷册的内容如下：</w:t>
            </w:r>
          </w:p>
          <w:p w14:paraId="2E9352D1">
            <w:pPr>
              <w:ind w:left="945" w:hanging="945" w:hangingChars="450"/>
              <w:rPr>
                <w:rFonts w:hint="eastAsia" w:ascii="宋体" w:hAnsi="宋体" w:cs="宋体"/>
                <w:szCs w:val="21"/>
              </w:rPr>
            </w:pPr>
            <w:r>
              <w:rPr>
                <w:rFonts w:hint="eastAsia" w:ascii="宋体" w:hAnsi="宋体" w:cs="宋体"/>
                <w:szCs w:val="21"/>
                <w:highlight w:val="white"/>
              </w:rPr>
              <w:t>第一卷</w:t>
            </w:r>
          </w:p>
          <w:p w14:paraId="4B6DAEF1">
            <w:pPr>
              <w:ind w:left="945" w:leftChars="150" w:hanging="630" w:hangingChars="300"/>
              <w:rPr>
                <w:rFonts w:hint="eastAsia" w:ascii="宋体" w:hAnsi="宋体" w:cs="宋体"/>
                <w:szCs w:val="21"/>
              </w:rPr>
            </w:pPr>
            <w:r>
              <w:rPr>
                <w:rFonts w:hint="eastAsia" w:ascii="宋体" w:hAnsi="宋体" w:cs="宋体"/>
                <w:szCs w:val="21"/>
                <w:highlight w:val="white"/>
              </w:rPr>
              <w:t>第一章 招标公告</w:t>
            </w:r>
          </w:p>
          <w:p w14:paraId="50A87142">
            <w:pPr>
              <w:ind w:left="945" w:leftChars="150" w:hanging="630" w:hangingChars="300"/>
              <w:rPr>
                <w:rFonts w:hint="eastAsia" w:ascii="宋体" w:hAnsi="宋体" w:cs="宋体"/>
                <w:szCs w:val="21"/>
              </w:rPr>
            </w:pPr>
            <w:r>
              <w:rPr>
                <w:rFonts w:hint="eastAsia" w:ascii="宋体" w:hAnsi="宋体" w:cs="宋体"/>
                <w:szCs w:val="21"/>
                <w:highlight w:val="white"/>
              </w:rPr>
              <w:t>第二章 投标人须知</w:t>
            </w:r>
          </w:p>
          <w:p w14:paraId="4B8E9843">
            <w:pPr>
              <w:ind w:left="945" w:leftChars="150" w:hanging="630" w:hangingChars="300"/>
              <w:rPr>
                <w:rFonts w:hint="eastAsia" w:ascii="宋体" w:hAnsi="宋体" w:cs="宋体"/>
                <w:szCs w:val="21"/>
              </w:rPr>
            </w:pPr>
            <w:r>
              <w:rPr>
                <w:rFonts w:hint="eastAsia" w:ascii="宋体" w:hAnsi="宋体" w:cs="宋体"/>
                <w:szCs w:val="21"/>
                <w:highlight w:val="white"/>
              </w:rPr>
              <w:t>第三章 评标办法</w:t>
            </w:r>
          </w:p>
          <w:p w14:paraId="5A0F8B3F">
            <w:pPr>
              <w:ind w:left="945" w:leftChars="150" w:hanging="630" w:hangingChars="300"/>
              <w:rPr>
                <w:rFonts w:hint="eastAsia" w:ascii="宋体" w:hAnsi="宋体" w:cs="宋体"/>
                <w:szCs w:val="21"/>
              </w:rPr>
            </w:pPr>
            <w:r>
              <w:rPr>
                <w:rFonts w:hint="eastAsia" w:ascii="宋体" w:hAnsi="宋体" w:cs="宋体"/>
                <w:szCs w:val="21"/>
                <w:highlight w:val="white"/>
              </w:rPr>
              <w:t>第四章 合同条款及格式</w:t>
            </w:r>
          </w:p>
          <w:p w14:paraId="7B3D4D87">
            <w:pPr>
              <w:ind w:left="945" w:leftChars="150" w:hanging="630" w:hangingChars="300"/>
              <w:rPr>
                <w:rFonts w:hint="eastAsia" w:ascii="宋体" w:hAnsi="宋体" w:cs="宋体"/>
                <w:szCs w:val="21"/>
              </w:rPr>
            </w:pPr>
            <w:r>
              <w:rPr>
                <w:rFonts w:hint="eastAsia" w:ascii="宋体" w:hAnsi="宋体" w:cs="宋体"/>
                <w:szCs w:val="21"/>
                <w:highlight w:val="white"/>
              </w:rPr>
              <w:t>第五章 工程量清单</w:t>
            </w:r>
          </w:p>
          <w:p w14:paraId="44821462">
            <w:pPr>
              <w:ind w:left="945" w:hanging="945" w:hangingChars="450"/>
              <w:rPr>
                <w:rFonts w:hint="eastAsia" w:ascii="宋体" w:hAnsi="宋体" w:cs="宋体"/>
                <w:szCs w:val="21"/>
              </w:rPr>
            </w:pPr>
            <w:r>
              <w:rPr>
                <w:rFonts w:hint="eastAsia" w:ascii="宋体" w:hAnsi="宋体" w:cs="宋体"/>
                <w:szCs w:val="21"/>
                <w:highlight w:val="white"/>
              </w:rPr>
              <w:t>第二卷</w:t>
            </w:r>
          </w:p>
          <w:p w14:paraId="183B3955">
            <w:pPr>
              <w:ind w:left="945" w:leftChars="150" w:hanging="630" w:hangingChars="300"/>
              <w:rPr>
                <w:rFonts w:hint="eastAsia" w:ascii="宋体" w:hAnsi="宋体" w:cs="宋体"/>
                <w:szCs w:val="21"/>
              </w:rPr>
            </w:pPr>
            <w:r>
              <w:rPr>
                <w:rFonts w:hint="eastAsia" w:ascii="宋体" w:hAnsi="宋体" w:cs="宋体"/>
                <w:szCs w:val="21"/>
                <w:highlight w:val="white"/>
              </w:rPr>
              <w:t>第六章 图纸</w:t>
            </w:r>
          </w:p>
          <w:p w14:paraId="4F008DF5">
            <w:pPr>
              <w:ind w:left="945" w:hanging="945" w:hangingChars="450"/>
              <w:rPr>
                <w:rFonts w:hint="eastAsia" w:ascii="宋体" w:hAnsi="宋体" w:cs="宋体"/>
                <w:szCs w:val="21"/>
              </w:rPr>
            </w:pPr>
            <w:r>
              <w:rPr>
                <w:rFonts w:hint="eastAsia" w:ascii="宋体" w:hAnsi="宋体" w:cs="宋体"/>
                <w:szCs w:val="21"/>
                <w:highlight w:val="white"/>
              </w:rPr>
              <w:t>第三卷</w:t>
            </w:r>
          </w:p>
          <w:p w14:paraId="5B30F412">
            <w:pPr>
              <w:ind w:left="1155" w:hanging="1155" w:hangingChars="550"/>
              <w:rPr>
                <w:rFonts w:hint="eastAsia" w:ascii="宋体" w:hAnsi="宋体" w:cs="宋体"/>
                <w:szCs w:val="21"/>
              </w:rPr>
            </w:pPr>
            <w:r>
              <w:rPr>
                <w:rFonts w:hint="eastAsia" w:ascii="宋体" w:hAnsi="宋体" w:cs="宋体"/>
                <w:szCs w:val="21"/>
                <w:highlight w:val="white"/>
              </w:rPr>
              <w:t>第七章 技术规范</w:t>
            </w:r>
          </w:p>
          <w:p w14:paraId="45D95C68">
            <w:pPr>
              <w:ind w:left="945" w:hanging="945" w:hangingChars="450"/>
              <w:rPr>
                <w:rFonts w:hint="eastAsia" w:ascii="宋体" w:hAnsi="宋体" w:cs="宋体"/>
                <w:szCs w:val="21"/>
              </w:rPr>
            </w:pPr>
            <w:r>
              <w:rPr>
                <w:rFonts w:hint="eastAsia" w:ascii="宋体" w:hAnsi="宋体" w:cs="宋体"/>
                <w:szCs w:val="21"/>
                <w:highlight w:val="white"/>
              </w:rPr>
              <w:t>第八章 工程量清单计量规则</w:t>
            </w:r>
          </w:p>
          <w:p w14:paraId="39D61EF3">
            <w:pPr>
              <w:ind w:left="945" w:hanging="945" w:hangingChars="450"/>
              <w:rPr>
                <w:rFonts w:hint="eastAsia" w:ascii="宋体" w:hAnsi="宋体" w:cs="宋体"/>
                <w:szCs w:val="21"/>
              </w:rPr>
            </w:pPr>
            <w:r>
              <w:rPr>
                <w:rFonts w:hint="eastAsia" w:ascii="宋体" w:hAnsi="宋体" w:cs="宋体"/>
                <w:szCs w:val="21"/>
                <w:highlight w:val="white"/>
              </w:rPr>
              <w:t>第四卷</w:t>
            </w:r>
          </w:p>
          <w:p w14:paraId="48E93611">
            <w:pPr>
              <w:ind w:left="945" w:hanging="945" w:hangingChars="450"/>
              <w:rPr>
                <w:rFonts w:hint="eastAsia" w:ascii="宋体" w:hAnsi="宋体" w:cs="宋体"/>
                <w:szCs w:val="21"/>
              </w:rPr>
            </w:pPr>
            <w:r>
              <w:rPr>
                <w:rFonts w:hint="eastAsia" w:ascii="宋体" w:hAnsi="宋体" w:cs="宋体"/>
                <w:szCs w:val="21"/>
                <w:highlight w:val="white"/>
              </w:rPr>
              <w:t>第九章 投标文件格式</w:t>
            </w:r>
          </w:p>
          <w:p w14:paraId="49C52D22">
            <w:pPr>
              <w:ind w:left="945" w:hanging="945" w:hangingChars="450"/>
              <w:rPr>
                <w:rFonts w:hint="eastAsia" w:ascii="宋体" w:hAnsi="宋体" w:cs="宋体"/>
                <w:szCs w:val="21"/>
              </w:rPr>
            </w:pPr>
            <w:r>
              <w:rPr>
                <w:rFonts w:hint="eastAsia" w:ascii="宋体" w:hAnsi="宋体" w:cs="宋体"/>
                <w:szCs w:val="21"/>
                <w:highlight w:val="white"/>
              </w:rPr>
              <w:t>第五卷 附件</w:t>
            </w:r>
          </w:p>
          <w:p w14:paraId="31D01DB2">
            <w:pPr>
              <w:ind w:firstLine="210" w:firstLineChars="100"/>
              <w:rPr>
                <w:rFonts w:hint="eastAsia" w:ascii="宋体" w:hAnsi="宋体" w:cs="宋体"/>
                <w:szCs w:val="21"/>
              </w:rPr>
            </w:pPr>
            <w:r>
              <w:rPr>
                <w:rFonts w:hint="eastAsia" w:ascii="宋体" w:hAnsi="宋体" w:cs="宋体"/>
                <w:szCs w:val="21"/>
                <w:highlight w:val="white"/>
              </w:rPr>
              <w:t>1.《福建省普通公路施工标准化指南》最近版本的系列丛书，由投标人自行在福建省公路事业发展中心网站下载并使用。</w:t>
            </w:r>
            <w:bookmarkStart w:id="161" w:name="FB27177d5fe47d4da0960d879b9e86c507"/>
            <w:bookmarkEnd w:id="161"/>
            <w:bookmarkStart w:id="162" w:name="FE27177d5fe47d4da0960d879b9e86c507"/>
            <w:bookmarkEnd w:id="162"/>
            <w:bookmarkStart w:id="163" w:name="FE1e96ec9860d943149075a6c5842d0fb5"/>
            <w:bookmarkEnd w:id="163"/>
            <w:bookmarkStart w:id="164" w:name="FB1e96ec9860d943149075a6c5842d0fb5"/>
            <w:bookmarkEnd w:id="164"/>
          </w:p>
          <w:p w14:paraId="06A4B583">
            <w:pPr>
              <w:rPr>
                <w:rFonts w:hint="eastAsia" w:ascii="宋体" w:hAnsi="宋体" w:cs="宋体"/>
                <w:szCs w:val="21"/>
              </w:rPr>
            </w:pPr>
            <w:r>
              <w:rPr>
                <w:rFonts w:hint="eastAsia" w:ascii="宋体" w:hAnsi="宋体" w:cs="宋体"/>
                <w:szCs w:val="21"/>
                <w:highlight w:val="white"/>
              </w:rPr>
              <w:t>根据本章第1.10款、第2.2款和第2.3款对招标文件所作的澄清、修改，构成招标文件的组成部分。</w:t>
            </w:r>
          </w:p>
        </w:tc>
      </w:tr>
      <w:tr w14:paraId="121E0A7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1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F17835B">
            <w:pPr>
              <w:jc w:val="center"/>
              <w:rPr>
                <w:rFonts w:hint="eastAsia" w:ascii="宋体" w:hAnsi="宋体" w:cs="宋体"/>
                <w:szCs w:val="21"/>
              </w:rPr>
            </w:pPr>
            <w:r>
              <w:rPr>
                <w:rFonts w:hint="eastAsia" w:ascii="宋体" w:hAnsi="宋体" w:cs="宋体"/>
                <w:szCs w:val="21"/>
                <w:highlight w:val="white"/>
              </w:rPr>
              <w:t>2.2.1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6F5CAB8">
            <w:pPr>
              <w:jc w:val="center"/>
              <w:rPr>
                <w:rFonts w:hint="eastAsia" w:ascii="宋体" w:hAnsi="宋体" w:cs="宋体"/>
                <w:szCs w:val="21"/>
                <w:highlight w:val="white"/>
              </w:rPr>
            </w:pPr>
            <w:r>
              <w:rPr>
                <w:rFonts w:hint="eastAsia" w:ascii="宋体" w:hAnsi="宋体" w:cs="宋体"/>
                <w:szCs w:val="21"/>
                <w:highlight w:val="white"/>
              </w:rPr>
              <w:t>投标人要求</w:t>
            </w:r>
          </w:p>
          <w:p w14:paraId="21DB5C4B">
            <w:pPr>
              <w:jc w:val="center"/>
              <w:rPr>
                <w:rFonts w:hint="eastAsia" w:ascii="宋体" w:hAnsi="宋体" w:cs="宋体"/>
                <w:szCs w:val="21"/>
              </w:rPr>
            </w:pPr>
            <w:r>
              <w:rPr>
                <w:rFonts w:hint="eastAsia" w:ascii="宋体" w:hAnsi="宋体" w:cs="宋体"/>
                <w:szCs w:val="21"/>
                <w:highlight w:val="white"/>
              </w:rPr>
              <w:t>澄清招标文件</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DE130A5">
            <w:pPr>
              <w:rPr>
                <w:rFonts w:hint="eastAsia" w:ascii="宋体" w:hAnsi="宋体" w:cs="宋体"/>
                <w:szCs w:val="21"/>
              </w:rPr>
            </w:pPr>
            <w:r>
              <w:rPr>
                <w:rFonts w:hint="eastAsia" w:ascii="宋体" w:hAnsi="宋体" w:cs="宋体"/>
                <w:szCs w:val="21"/>
              </w:rPr>
              <w:t>书面形式</w:t>
            </w:r>
          </w:p>
        </w:tc>
      </w:tr>
      <w:tr w14:paraId="259913E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E4B85F1">
            <w:pPr>
              <w:jc w:val="center"/>
              <w:rPr>
                <w:rFonts w:hint="eastAsia" w:ascii="宋体" w:hAnsi="宋体" w:cs="宋体"/>
                <w:szCs w:val="21"/>
              </w:rPr>
            </w:pPr>
            <w:r>
              <w:rPr>
                <w:rFonts w:hint="eastAsia" w:ascii="宋体" w:hAnsi="宋体" w:cs="宋体"/>
                <w:szCs w:val="21"/>
                <w:highlight w:val="white"/>
              </w:rPr>
              <w:t>2.2.2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FAD810A">
            <w:pPr>
              <w:jc w:val="center"/>
              <w:rPr>
                <w:rFonts w:hint="eastAsia" w:ascii="宋体" w:hAnsi="宋体" w:cs="宋体"/>
                <w:szCs w:val="21"/>
              </w:rPr>
            </w:pPr>
            <w:r>
              <w:rPr>
                <w:rFonts w:hint="eastAsia" w:ascii="宋体" w:hAnsi="宋体" w:cs="宋体"/>
                <w:szCs w:val="21"/>
              </w:rPr>
              <w:t>招标文件澄清发出的形式</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5F35301">
            <w:pPr>
              <w:rPr>
                <w:rFonts w:hint="eastAsia" w:ascii="宋体" w:hAnsi="宋体" w:cs="宋体"/>
                <w:szCs w:val="21"/>
              </w:rPr>
            </w:pPr>
            <w:r>
              <w:rPr>
                <w:rFonts w:hint="eastAsia" w:ascii="宋体" w:hAnsi="宋体" w:cs="宋体"/>
                <w:szCs w:val="21"/>
              </w:rPr>
              <w:t>书面形式或传真</w:t>
            </w:r>
          </w:p>
        </w:tc>
      </w:tr>
      <w:tr w14:paraId="7473CD0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09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4E82EAF">
            <w:pPr>
              <w:jc w:val="center"/>
              <w:rPr>
                <w:rFonts w:hint="eastAsia" w:ascii="宋体" w:hAnsi="宋体" w:cs="宋体"/>
                <w:szCs w:val="21"/>
              </w:rPr>
            </w:pPr>
            <w:r>
              <w:rPr>
                <w:rFonts w:hint="eastAsia" w:ascii="宋体" w:hAnsi="宋体" w:cs="宋体"/>
                <w:szCs w:val="21"/>
                <w:highlight w:val="white"/>
              </w:rPr>
              <w:t>2.2.3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D28D0E0">
            <w:pPr>
              <w:jc w:val="center"/>
              <w:rPr>
                <w:rFonts w:hint="eastAsia" w:ascii="宋体" w:hAnsi="宋体" w:cs="宋体"/>
                <w:szCs w:val="21"/>
                <w:highlight w:val="white"/>
              </w:rPr>
            </w:pPr>
            <w:r>
              <w:rPr>
                <w:rFonts w:hint="eastAsia" w:ascii="宋体" w:hAnsi="宋体" w:cs="宋体"/>
                <w:szCs w:val="21"/>
                <w:highlight w:val="white"/>
              </w:rPr>
              <w:t>投标人确认</w:t>
            </w:r>
          </w:p>
          <w:p w14:paraId="24EFFB6F">
            <w:pPr>
              <w:jc w:val="center"/>
              <w:rPr>
                <w:rFonts w:hint="eastAsia" w:ascii="宋体" w:hAnsi="宋体" w:cs="宋体"/>
                <w:szCs w:val="21"/>
                <w:highlight w:val="white"/>
              </w:rPr>
            </w:pPr>
            <w:r>
              <w:rPr>
                <w:rFonts w:hint="eastAsia" w:ascii="宋体" w:hAnsi="宋体" w:cs="宋体"/>
                <w:szCs w:val="21"/>
                <w:highlight w:val="white"/>
              </w:rPr>
              <w:t>收到招标文件</w:t>
            </w:r>
          </w:p>
          <w:p w14:paraId="015926C5">
            <w:pPr>
              <w:jc w:val="center"/>
              <w:rPr>
                <w:rFonts w:hint="eastAsia" w:ascii="宋体" w:hAnsi="宋体" w:cs="宋体"/>
                <w:szCs w:val="21"/>
              </w:rPr>
            </w:pPr>
            <w:r>
              <w:rPr>
                <w:rFonts w:hint="eastAsia" w:ascii="宋体" w:hAnsi="宋体" w:cs="宋体"/>
                <w:szCs w:val="21"/>
                <w:highlight w:val="white"/>
              </w:rPr>
              <w:t>澄清</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6558A05">
            <w:pPr>
              <w:rPr>
                <w:rFonts w:hint="eastAsia" w:ascii="宋体" w:hAnsi="宋体" w:cs="宋体"/>
                <w:szCs w:val="21"/>
              </w:rPr>
            </w:pPr>
            <w:r>
              <w:rPr>
                <w:rFonts w:hint="eastAsia" w:ascii="宋体" w:hAnsi="宋体" w:cs="宋体"/>
                <w:szCs w:val="21"/>
                <w:highlight w:val="white"/>
              </w:rPr>
              <w:t>无需确认。</w:t>
            </w:r>
          </w:p>
          <w:p w14:paraId="5B563A92">
            <w:pPr>
              <w:rPr>
                <w:rFonts w:hint="eastAsia" w:ascii="宋体" w:hAnsi="宋体" w:cs="宋体"/>
                <w:szCs w:val="21"/>
              </w:rPr>
            </w:pPr>
            <w:r>
              <w:rPr>
                <w:rFonts w:hint="eastAsia" w:ascii="宋体" w:hAnsi="宋体" w:cs="宋体"/>
                <w:szCs w:val="21"/>
                <w:highlight w:val="white"/>
              </w:rPr>
              <w:t>投标人在递交投标文件截止前应随时登陆招投标活动发布公告的媒介网站，查询本工程招投标活动的其他修改变更通知，若投标人的原因而造成的遗漏或损失均由投标人自行负责。</w:t>
            </w:r>
          </w:p>
        </w:tc>
      </w:tr>
      <w:tr w14:paraId="4E221E4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4CBC12A0">
            <w:pPr>
              <w:jc w:val="center"/>
              <w:rPr>
                <w:rFonts w:hint="eastAsia" w:ascii="宋体" w:hAnsi="宋体" w:cs="宋体"/>
                <w:szCs w:val="21"/>
              </w:rPr>
            </w:pPr>
            <w:r>
              <w:rPr>
                <w:rFonts w:hint="eastAsia" w:ascii="宋体" w:hAnsi="宋体" w:cs="宋体"/>
                <w:szCs w:val="21"/>
                <w:highlight w:val="white"/>
              </w:rPr>
              <w:t>2.3.1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B5B64FA">
            <w:pPr>
              <w:jc w:val="center"/>
              <w:rPr>
                <w:rFonts w:hint="eastAsia" w:ascii="宋体" w:hAnsi="宋体" w:cs="宋体"/>
                <w:szCs w:val="21"/>
              </w:rPr>
            </w:pPr>
            <w:r>
              <w:rPr>
                <w:rFonts w:hint="eastAsia" w:ascii="宋体" w:hAnsi="宋体" w:cs="宋体"/>
                <w:szCs w:val="21"/>
                <w:highlight w:val="white"/>
              </w:rPr>
              <w:t>招标文件修改截止时间</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9786F8C">
            <w:pPr>
              <w:rPr>
                <w:rFonts w:hint="eastAsia" w:ascii="宋体" w:hAnsi="宋体" w:cs="宋体"/>
                <w:szCs w:val="21"/>
              </w:rPr>
            </w:pPr>
            <w:r>
              <w:rPr>
                <w:rFonts w:hint="eastAsia" w:ascii="宋体" w:hAnsi="宋体" w:cs="宋体"/>
                <w:szCs w:val="21"/>
                <w:highlight w:val="white"/>
              </w:rPr>
              <w:t>递交投标文件截止之日</w:t>
            </w:r>
            <w:bookmarkStart w:id="165" w:name="EBfa0f1b93be304525b43fabd22c63cac5"/>
            <w:r>
              <w:rPr>
                <w:rFonts w:hint="eastAsia" w:ascii="宋体" w:hAnsi="宋体" w:cs="宋体"/>
                <w:color w:val="0000FF"/>
                <w:szCs w:val="21"/>
                <w:highlight w:val="white"/>
              </w:rPr>
              <w:t>5</w:t>
            </w:r>
            <w:bookmarkEnd w:id="165"/>
            <w:r>
              <w:rPr>
                <w:rFonts w:hint="eastAsia" w:ascii="宋体" w:hAnsi="宋体" w:cs="宋体"/>
                <w:szCs w:val="21"/>
                <w:highlight w:val="white"/>
              </w:rPr>
              <w:t>天前在发布招标公告的网站在线发布。</w:t>
            </w:r>
          </w:p>
        </w:tc>
      </w:tr>
      <w:tr w14:paraId="1C071C4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09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DD6E302">
            <w:pPr>
              <w:jc w:val="center"/>
              <w:rPr>
                <w:rFonts w:hint="eastAsia" w:ascii="宋体" w:hAnsi="宋体" w:cs="宋体"/>
                <w:szCs w:val="21"/>
              </w:rPr>
            </w:pPr>
            <w:r>
              <w:rPr>
                <w:rFonts w:hint="eastAsia" w:ascii="宋体" w:hAnsi="宋体" w:cs="宋体"/>
                <w:szCs w:val="21"/>
                <w:highlight w:val="white"/>
              </w:rPr>
              <w:t>2.3.2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E837368">
            <w:pPr>
              <w:jc w:val="center"/>
              <w:rPr>
                <w:rFonts w:hint="eastAsia" w:ascii="宋体" w:hAnsi="宋体" w:cs="宋体"/>
                <w:szCs w:val="21"/>
                <w:highlight w:val="white"/>
              </w:rPr>
            </w:pPr>
            <w:r>
              <w:rPr>
                <w:rFonts w:hint="eastAsia" w:ascii="宋体" w:hAnsi="宋体" w:cs="宋体"/>
                <w:szCs w:val="21"/>
                <w:highlight w:val="white"/>
              </w:rPr>
              <w:t>投标人确认</w:t>
            </w:r>
          </w:p>
          <w:p w14:paraId="06B44E80">
            <w:pPr>
              <w:jc w:val="center"/>
              <w:rPr>
                <w:rFonts w:hint="eastAsia" w:ascii="宋体" w:hAnsi="宋体" w:cs="宋体"/>
                <w:szCs w:val="21"/>
                <w:highlight w:val="white"/>
              </w:rPr>
            </w:pPr>
            <w:r>
              <w:rPr>
                <w:rFonts w:hint="eastAsia" w:ascii="宋体" w:hAnsi="宋体" w:cs="宋体"/>
                <w:szCs w:val="21"/>
                <w:highlight w:val="white"/>
              </w:rPr>
              <w:t>收到招标文件</w:t>
            </w:r>
          </w:p>
          <w:p w14:paraId="7EE13C9C">
            <w:pPr>
              <w:jc w:val="center"/>
              <w:rPr>
                <w:rFonts w:hint="eastAsia" w:ascii="宋体" w:hAnsi="宋体" w:cs="宋体"/>
                <w:szCs w:val="21"/>
              </w:rPr>
            </w:pPr>
            <w:r>
              <w:rPr>
                <w:rFonts w:hint="eastAsia" w:ascii="宋体" w:hAnsi="宋体" w:cs="宋体"/>
                <w:szCs w:val="21"/>
                <w:highlight w:val="white"/>
              </w:rPr>
              <w:t>修改的时间</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B5C9AEC">
            <w:pPr>
              <w:rPr>
                <w:rFonts w:hint="eastAsia" w:ascii="宋体" w:hAnsi="宋体" w:cs="宋体"/>
                <w:szCs w:val="21"/>
              </w:rPr>
            </w:pPr>
            <w:r>
              <w:rPr>
                <w:rFonts w:hint="eastAsia" w:ascii="宋体" w:hAnsi="宋体" w:cs="宋体"/>
                <w:szCs w:val="21"/>
                <w:highlight w:val="white"/>
              </w:rPr>
              <w:t>无需确认。</w:t>
            </w:r>
          </w:p>
          <w:p w14:paraId="12D20CD4">
            <w:pPr>
              <w:rPr>
                <w:rFonts w:hint="eastAsia" w:ascii="宋体" w:hAnsi="宋体" w:cs="宋体"/>
                <w:szCs w:val="21"/>
              </w:rPr>
            </w:pPr>
            <w:r>
              <w:rPr>
                <w:rFonts w:hint="eastAsia" w:ascii="宋体" w:hAnsi="宋体" w:cs="宋体"/>
                <w:szCs w:val="21"/>
                <w:highlight w:val="white"/>
              </w:rPr>
              <w:t>投标人在递交投标文件截止前应随时登陆招投标活动发布公告的媒介网站，查询本工程招投标活动的其他修改变更通知，若投标人的原因而造成的遗漏或损失均由投标人自行负责。</w:t>
            </w:r>
          </w:p>
        </w:tc>
      </w:tr>
      <w:tr w14:paraId="235081D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47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2A5C7D8">
            <w:pPr>
              <w:jc w:val="center"/>
              <w:rPr>
                <w:rFonts w:hint="eastAsia" w:ascii="宋体" w:hAnsi="宋体" w:cs="宋体"/>
                <w:szCs w:val="21"/>
              </w:rPr>
            </w:pPr>
            <w:r>
              <w:rPr>
                <w:rFonts w:hint="eastAsia" w:ascii="宋体" w:hAnsi="宋体" w:cs="宋体"/>
                <w:szCs w:val="21"/>
                <w:highlight w:val="white"/>
              </w:rPr>
              <w:t>3.1.1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42D4900">
            <w:pPr>
              <w:jc w:val="center"/>
              <w:rPr>
                <w:rFonts w:hint="eastAsia" w:ascii="宋体" w:hAnsi="宋体" w:cs="宋体"/>
                <w:szCs w:val="21"/>
                <w:highlight w:val="white"/>
              </w:rPr>
            </w:pPr>
            <w:r>
              <w:rPr>
                <w:rFonts w:hint="eastAsia" w:ascii="宋体" w:hAnsi="宋体" w:cs="宋体"/>
                <w:szCs w:val="21"/>
                <w:highlight w:val="white"/>
              </w:rPr>
              <w:t>投标文件</w:t>
            </w:r>
          </w:p>
          <w:p w14:paraId="7A634ED2">
            <w:pPr>
              <w:jc w:val="center"/>
              <w:rPr>
                <w:rFonts w:hint="eastAsia" w:ascii="宋体" w:hAnsi="宋体" w:cs="宋体"/>
                <w:szCs w:val="21"/>
              </w:rPr>
            </w:pPr>
            <w:r>
              <w:rPr>
                <w:rFonts w:hint="eastAsia" w:ascii="宋体" w:hAnsi="宋体" w:cs="宋体"/>
                <w:szCs w:val="21"/>
                <w:highlight w:val="white"/>
              </w:rPr>
              <w:t>的组成</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0BD1EBE">
            <w:pPr>
              <w:ind w:firstLine="420" w:firstLineChars="200"/>
              <w:rPr>
                <w:rFonts w:hint="eastAsia" w:ascii="宋体" w:hAnsi="宋体" w:cs="宋体"/>
                <w:szCs w:val="21"/>
              </w:rPr>
            </w:pPr>
            <w:r>
              <w:rPr>
                <w:rFonts w:hint="eastAsia" w:ascii="宋体" w:hAnsi="宋体" w:cs="宋体"/>
                <w:szCs w:val="21"/>
                <w:highlight w:val="white"/>
              </w:rPr>
              <w:t>本次招标采用提交纸质投标文件形式，投标人提交的纸质投标文件应包括下列内容：</w:t>
            </w:r>
          </w:p>
          <w:p w14:paraId="3A4F7039">
            <w:pPr>
              <w:ind w:firstLine="420" w:firstLineChars="200"/>
              <w:rPr>
                <w:rFonts w:hint="eastAsia" w:ascii="宋体" w:hAnsi="宋体" w:cs="宋体"/>
                <w:szCs w:val="21"/>
              </w:rPr>
            </w:pPr>
            <w:r>
              <w:rPr>
                <w:rFonts w:hint="eastAsia" w:ascii="宋体" w:hAnsi="宋体" w:cs="宋体"/>
                <w:szCs w:val="21"/>
                <w:highlight w:val="white"/>
              </w:rPr>
              <w:t>第一个信封（商务文件）：</w:t>
            </w:r>
          </w:p>
          <w:p w14:paraId="04A5E7AC">
            <w:pPr>
              <w:ind w:firstLine="420" w:firstLineChars="200"/>
              <w:rPr>
                <w:rFonts w:hint="eastAsia" w:ascii="宋体" w:hAnsi="宋体" w:cs="宋体"/>
                <w:szCs w:val="21"/>
              </w:rPr>
            </w:pPr>
            <w:r>
              <w:rPr>
                <w:rFonts w:hint="eastAsia" w:ascii="宋体" w:hAnsi="宋体" w:cs="宋体"/>
                <w:szCs w:val="21"/>
                <w:highlight w:val="white"/>
              </w:rPr>
              <w:t>（1）投标函及投标函附录；</w:t>
            </w:r>
          </w:p>
          <w:p w14:paraId="0D648C2F">
            <w:pPr>
              <w:ind w:firstLine="420" w:firstLineChars="200"/>
              <w:rPr>
                <w:rFonts w:hint="eastAsia" w:ascii="宋体" w:hAnsi="宋体" w:cs="宋体"/>
                <w:szCs w:val="21"/>
              </w:rPr>
            </w:pPr>
            <w:r>
              <w:rPr>
                <w:rFonts w:hint="eastAsia" w:ascii="宋体" w:hAnsi="宋体" w:cs="宋体"/>
                <w:szCs w:val="21"/>
                <w:highlight w:val="white"/>
              </w:rPr>
              <w:t>（2）法定代表人身份证明及授权委托书；</w:t>
            </w:r>
          </w:p>
          <w:p w14:paraId="69F9D9EF">
            <w:pPr>
              <w:ind w:firstLine="420" w:firstLineChars="200"/>
              <w:rPr>
                <w:rFonts w:hint="eastAsia" w:ascii="宋体" w:hAnsi="宋体" w:cs="宋体"/>
                <w:szCs w:val="21"/>
              </w:rPr>
            </w:pPr>
            <w:r>
              <w:rPr>
                <w:rFonts w:hint="eastAsia" w:ascii="宋体" w:hAnsi="宋体" w:cs="宋体"/>
                <w:szCs w:val="21"/>
                <w:highlight w:val="white"/>
              </w:rPr>
              <w:t>（3）项目管理机构（如有）；</w:t>
            </w:r>
          </w:p>
          <w:p w14:paraId="09EED41D">
            <w:pPr>
              <w:ind w:firstLine="420" w:firstLineChars="200"/>
              <w:rPr>
                <w:rFonts w:hint="eastAsia" w:ascii="宋体" w:hAnsi="宋体" w:cs="宋体"/>
                <w:szCs w:val="21"/>
              </w:rPr>
            </w:pPr>
            <w:r>
              <w:rPr>
                <w:rFonts w:hint="eastAsia" w:ascii="宋体" w:hAnsi="宋体" w:cs="宋体"/>
                <w:szCs w:val="21"/>
                <w:highlight w:val="white"/>
              </w:rPr>
              <w:t>（4）资格审查资料；</w:t>
            </w:r>
          </w:p>
          <w:p w14:paraId="36B56D5A">
            <w:pPr>
              <w:ind w:firstLine="420" w:firstLineChars="200"/>
              <w:rPr>
                <w:rFonts w:hint="eastAsia" w:ascii="宋体" w:hAnsi="宋体" w:cs="宋体"/>
                <w:szCs w:val="21"/>
              </w:rPr>
            </w:pPr>
            <w:r>
              <w:rPr>
                <w:rFonts w:hint="eastAsia" w:ascii="宋体" w:hAnsi="宋体" w:cs="宋体"/>
                <w:szCs w:val="21"/>
                <w:highlight w:val="white"/>
              </w:rPr>
              <w:t>（5）承诺函；</w:t>
            </w:r>
          </w:p>
          <w:p w14:paraId="46630FC2">
            <w:pPr>
              <w:ind w:firstLine="420" w:firstLineChars="200"/>
              <w:rPr>
                <w:rFonts w:hint="eastAsia" w:ascii="宋体" w:hAnsi="宋体" w:cs="宋体"/>
                <w:szCs w:val="21"/>
              </w:rPr>
            </w:pPr>
            <w:r>
              <w:rPr>
                <w:rFonts w:hint="eastAsia" w:ascii="宋体" w:hAnsi="宋体" w:cs="宋体"/>
                <w:szCs w:val="21"/>
                <w:highlight w:val="white"/>
              </w:rPr>
              <w:t>（6）其他材料。</w:t>
            </w:r>
            <w:bookmarkStart w:id="166" w:name="FE0afb473fec9e418e91e63c3a5a57c0c6"/>
            <w:bookmarkEnd w:id="166"/>
            <w:bookmarkStart w:id="167" w:name="FB177d7829c5454a9493ef9eba33f95d1a"/>
            <w:bookmarkEnd w:id="167"/>
            <w:bookmarkStart w:id="168" w:name="FE177d7829c5454a9493ef9eba33f95d1a"/>
            <w:bookmarkEnd w:id="168"/>
            <w:bookmarkStart w:id="169" w:name="FB0afb473fec9e418e91e63c3a5a57c0c6"/>
            <w:bookmarkEnd w:id="169"/>
          </w:p>
        </w:tc>
      </w:tr>
      <w:tr w14:paraId="51C53B5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8EF4BF3">
            <w:pPr>
              <w:rPr>
                <w:rFonts w:hint="eastAsia" w:ascii="宋体" w:hAnsi="宋体" w:cs="宋体"/>
                <w:szCs w:val="21"/>
              </w:rPr>
            </w:pPr>
            <w:bookmarkStart w:id="170" w:name="EB592a4c018a4541e79a2ec6e246d2aa7e"/>
            <w:r>
              <w:rPr>
                <w:rFonts w:hint="eastAsia" w:ascii="宋体" w:hAnsi="宋体" w:cs="宋体"/>
                <w:color w:val="000080"/>
                <w:szCs w:val="21"/>
                <w:highlight w:val="white"/>
              </w:rPr>
              <w:t xml:space="preserve"> </w:t>
            </w:r>
            <w:bookmarkEnd w:id="170"/>
            <w:bookmarkStart w:id="171" w:name="EB4f0f136f44ed490aad280ceecc348428"/>
            <w:r>
              <w:rPr>
                <w:rFonts w:hint="eastAsia" w:ascii="宋体" w:hAnsi="宋体" w:cs="宋体"/>
                <w:color w:val="000080"/>
                <w:szCs w:val="21"/>
                <w:highlight w:val="white"/>
              </w:rPr>
              <w:t xml:space="preserve"> </w:t>
            </w:r>
            <w:bookmarkEnd w:id="171"/>
            <w:r>
              <w:rPr>
                <w:rFonts w:hint="eastAsia" w:ascii="宋体" w:hAnsi="宋体" w:cs="宋体"/>
                <w:szCs w:val="21"/>
                <w:highlight w:val="white"/>
              </w:rPr>
              <w:t>3.2.6</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42B5E1B">
            <w:pPr>
              <w:jc w:val="center"/>
              <w:rPr>
                <w:rFonts w:hint="eastAsia" w:ascii="宋体" w:hAnsi="宋体" w:cs="宋体"/>
                <w:szCs w:val="21"/>
                <w:highlight w:val="white"/>
              </w:rPr>
            </w:pPr>
            <w:r>
              <w:rPr>
                <w:rFonts w:hint="eastAsia" w:ascii="宋体" w:hAnsi="宋体" w:cs="宋体"/>
                <w:szCs w:val="21"/>
                <w:highlight w:val="white"/>
              </w:rPr>
              <w:t>是否接受</w:t>
            </w:r>
          </w:p>
          <w:p w14:paraId="1930A8D3">
            <w:pPr>
              <w:jc w:val="center"/>
              <w:rPr>
                <w:rFonts w:hint="eastAsia" w:ascii="宋体" w:hAnsi="宋体" w:cs="宋体"/>
                <w:szCs w:val="21"/>
              </w:rPr>
            </w:pPr>
            <w:r>
              <w:rPr>
                <w:rFonts w:hint="eastAsia" w:ascii="宋体" w:hAnsi="宋体" w:cs="宋体"/>
                <w:szCs w:val="21"/>
                <w:highlight w:val="white"/>
              </w:rPr>
              <w:t>调价函</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306DECF">
            <w:pPr>
              <w:ind w:firstLine="420" w:firstLineChars="200"/>
              <w:rPr>
                <w:rFonts w:hint="eastAsia" w:ascii="宋体" w:hAnsi="宋体" w:cs="宋体"/>
                <w:szCs w:val="21"/>
              </w:rPr>
            </w:pPr>
            <w:r>
              <w:rPr>
                <w:rFonts w:hint="eastAsia" w:ascii="宋体" w:hAnsi="宋体" w:cs="宋体"/>
                <w:szCs w:val="21"/>
                <w:highlight w:val="white"/>
              </w:rPr>
              <w:t>否</w:t>
            </w:r>
          </w:p>
        </w:tc>
      </w:tr>
      <w:tr w14:paraId="36824EA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63D5D46">
            <w:pPr>
              <w:rPr>
                <w:rFonts w:hint="eastAsia" w:ascii="宋体" w:hAnsi="宋体" w:cs="宋体"/>
                <w:szCs w:val="21"/>
              </w:rPr>
            </w:pPr>
            <w:bookmarkStart w:id="172" w:name="EB455725b7bb5743f28831cea19ce6e1ae"/>
            <w:r>
              <w:rPr>
                <w:rFonts w:hint="eastAsia" w:ascii="宋体" w:hAnsi="宋体" w:cs="宋体"/>
                <w:color w:val="000080"/>
                <w:szCs w:val="21"/>
                <w:highlight w:val="white"/>
              </w:rPr>
              <w:t xml:space="preserve"> </w:t>
            </w:r>
            <w:bookmarkEnd w:id="172"/>
            <w:bookmarkStart w:id="173" w:name="EB3ba0cb1eb8fa40069fc30f46da250c56"/>
            <w:r>
              <w:rPr>
                <w:rFonts w:hint="eastAsia" w:ascii="宋体" w:hAnsi="宋体" w:cs="宋体"/>
                <w:color w:val="000080"/>
                <w:szCs w:val="21"/>
                <w:highlight w:val="white"/>
              </w:rPr>
              <w:t xml:space="preserve"> </w:t>
            </w:r>
            <w:bookmarkEnd w:id="173"/>
            <w:bookmarkStart w:id="174" w:name="EBf0f88192dd8c4eca88b84b559b400823"/>
            <w:r>
              <w:rPr>
                <w:rFonts w:hint="eastAsia" w:ascii="宋体" w:hAnsi="宋体" w:cs="宋体"/>
                <w:color w:val="000080"/>
                <w:szCs w:val="21"/>
                <w:highlight w:val="white"/>
              </w:rPr>
              <w:t xml:space="preserve"> </w:t>
            </w:r>
            <w:bookmarkEnd w:id="174"/>
            <w:bookmarkStart w:id="175" w:name="FEe58161ebda4e4b2aa54f73928b7aa7db"/>
            <w:bookmarkEnd w:id="175"/>
            <w:bookmarkStart w:id="176" w:name="FBe58161ebda4e4b2aa54f73928b7aa7db"/>
            <w:bookmarkEnd w:id="176"/>
            <w:r>
              <w:rPr>
                <w:rFonts w:hint="eastAsia" w:ascii="宋体" w:hAnsi="宋体" w:cs="宋体"/>
                <w:szCs w:val="21"/>
                <w:highlight w:val="white"/>
              </w:rPr>
              <w:t>3.2.9</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9458B92">
            <w:pPr>
              <w:jc w:val="center"/>
              <w:rPr>
                <w:rFonts w:hint="eastAsia" w:ascii="宋体" w:hAnsi="宋体" w:cs="宋体"/>
                <w:szCs w:val="21"/>
                <w:highlight w:val="white"/>
              </w:rPr>
            </w:pPr>
            <w:r>
              <w:rPr>
                <w:rFonts w:hint="eastAsia" w:ascii="宋体" w:hAnsi="宋体" w:cs="宋体"/>
                <w:szCs w:val="21"/>
                <w:highlight w:val="white"/>
              </w:rPr>
              <w:t>投标固定总价（适用于固定价随机抽取中标人法评标</w:t>
            </w:r>
          </w:p>
          <w:p w14:paraId="41B3A28F">
            <w:pPr>
              <w:jc w:val="center"/>
              <w:rPr>
                <w:rFonts w:hint="eastAsia" w:ascii="宋体" w:hAnsi="宋体" w:cs="宋体"/>
                <w:szCs w:val="21"/>
              </w:rPr>
            </w:pPr>
            <w:r>
              <w:rPr>
                <w:rFonts w:hint="eastAsia" w:ascii="宋体" w:hAnsi="宋体" w:cs="宋体"/>
                <w:szCs w:val="21"/>
                <w:highlight w:val="white"/>
              </w:rPr>
              <w:t>的项目）</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ECAE2F9">
            <w:pPr>
              <w:ind w:firstLine="420" w:firstLineChars="200"/>
              <w:rPr>
                <w:rFonts w:hint="eastAsia" w:ascii="宋体" w:hAnsi="宋体" w:cs="宋体"/>
                <w:color w:val="0000FF"/>
                <w:szCs w:val="21"/>
                <w:highlight w:val="white"/>
              </w:rPr>
            </w:pPr>
            <w:bookmarkStart w:id="177" w:name="FB28e8b33f71a647caa5cdbcc49bdbe2af"/>
            <w:bookmarkEnd w:id="177"/>
            <w:bookmarkStart w:id="178" w:name="FE28e8b33f71a647caa5cdbcc49bdbe2af"/>
            <w:bookmarkEnd w:id="178"/>
            <w:bookmarkStart w:id="179" w:name="FE55f967da8dd74f5088d5c6512d86d1cc"/>
            <w:bookmarkEnd w:id="179"/>
            <w:bookmarkStart w:id="180" w:name="FE3d4b89f9f4f54022bab8f52faab0f552"/>
            <w:bookmarkEnd w:id="180"/>
            <w:bookmarkStart w:id="181" w:name="FB55f967da8dd74f5088d5c6512d86d1cc"/>
            <w:bookmarkEnd w:id="181"/>
            <w:bookmarkStart w:id="182" w:name="FB3d4b89f9f4f54022bab8f52faab0f552"/>
            <w:bookmarkEnd w:id="182"/>
            <w:r>
              <w:rPr>
                <w:rFonts w:hint="eastAsia" w:ascii="宋体" w:hAnsi="宋体" w:cs="宋体"/>
                <w:szCs w:val="21"/>
                <w:highlight w:val="white"/>
              </w:rPr>
              <w:t>本项目招标控制价：</w:t>
            </w:r>
            <w:r>
              <w:rPr>
                <w:rFonts w:hint="eastAsia" w:ascii="宋体" w:hAnsi="宋体" w:cs="宋体"/>
                <w:color w:val="0000FF"/>
                <w:szCs w:val="21"/>
                <w:lang w:val="en-US" w:eastAsia="zh-CN"/>
              </w:rPr>
              <w:t>571896元（含暂列金16657元）</w:t>
            </w:r>
            <w:r>
              <w:rPr>
                <w:rFonts w:hint="eastAsia" w:ascii="宋体" w:hAnsi="宋体" w:cs="宋体"/>
                <w:color w:val="0000FF"/>
                <w:szCs w:val="21"/>
                <w:highlight w:val="white"/>
              </w:rPr>
              <w:t xml:space="preserve">K= </w:t>
            </w:r>
            <w:r>
              <w:rPr>
                <w:rFonts w:hint="eastAsia" w:ascii="宋体" w:hAnsi="宋体" w:cs="宋体"/>
                <w:color w:val="0000FF"/>
                <w:szCs w:val="21"/>
                <w:highlight w:val="white"/>
                <w:lang w:val="en-US" w:eastAsia="zh-CN"/>
              </w:rPr>
              <w:t>1</w:t>
            </w:r>
            <w:r>
              <w:rPr>
                <w:rFonts w:hint="eastAsia" w:ascii="宋体" w:hAnsi="宋体" w:cs="宋体"/>
                <w:color w:val="0000FF"/>
                <w:szCs w:val="21"/>
                <w:highlight w:val="white"/>
              </w:rPr>
              <w:t>%</w:t>
            </w:r>
          </w:p>
          <w:p w14:paraId="3DE2D6BE">
            <w:pPr>
              <w:ind w:firstLine="420" w:firstLineChars="200"/>
              <w:rPr>
                <w:rFonts w:hint="eastAsia" w:ascii="宋体" w:hAnsi="宋体" w:cs="宋体"/>
                <w:szCs w:val="21"/>
              </w:rPr>
            </w:pPr>
            <w:r>
              <w:rPr>
                <w:rFonts w:hint="eastAsia" w:ascii="宋体" w:hAnsi="宋体" w:cs="宋体"/>
                <w:color w:val="0000FF"/>
                <w:szCs w:val="21"/>
                <w:highlight w:val="white"/>
              </w:rPr>
              <w:t>工程发包价：</w:t>
            </w:r>
            <w:r>
              <w:rPr>
                <w:rFonts w:hint="eastAsia" w:ascii="宋体" w:hAnsi="宋体" w:cs="宋体"/>
                <w:color w:val="0000FF"/>
                <w:szCs w:val="21"/>
                <w:lang w:val="en-US" w:eastAsia="zh-CN"/>
              </w:rPr>
              <w:t>566344元（含暂列金16657元）</w:t>
            </w:r>
          </w:p>
        </w:tc>
      </w:tr>
      <w:tr w14:paraId="5D3089E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4167F54B">
            <w:pPr>
              <w:rPr>
                <w:rFonts w:hint="eastAsia" w:ascii="宋体" w:hAnsi="宋体" w:cs="宋体"/>
                <w:szCs w:val="21"/>
              </w:rPr>
            </w:pPr>
            <w:bookmarkStart w:id="183" w:name="EB3806053dc164454abc66dcfe1371c08b"/>
            <w:r>
              <w:rPr>
                <w:rFonts w:hint="eastAsia" w:ascii="宋体" w:hAnsi="宋体" w:cs="宋体"/>
                <w:color w:val="000080"/>
                <w:szCs w:val="21"/>
                <w:highlight w:val="white"/>
              </w:rPr>
              <w:t xml:space="preserve"> </w:t>
            </w:r>
            <w:bookmarkEnd w:id="183"/>
            <w:r>
              <w:rPr>
                <w:rFonts w:hint="eastAsia" w:ascii="宋体" w:hAnsi="宋体" w:cs="宋体"/>
                <w:szCs w:val="21"/>
                <w:highlight w:val="white"/>
              </w:rPr>
              <w:t>3.2.10</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1355C09">
            <w:pPr>
              <w:jc w:val="center"/>
              <w:rPr>
                <w:rFonts w:hint="eastAsia" w:ascii="宋体" w:hAnsi="宋体" w:cs="宋体"/>
                <w:szCs w:val="21"/>
                <w:highlight w:val="white"/>
              </w:rPr>
            </w:pPr>
            <w:r>
              <w:rPr>
                <w:rFonts w:hint="eastAsia" w:ascii="宋体" w:hAnsi="宋体" w:cs="宋体"/>
                <w:szCs w:val="21"/>
                <w:highlight w:val="white"/>
              </w:rPr>
              <w:t>投标报价的</w:t>
            </w:r>
          </w:p>
          <w:p w14:paraId="3FB05405">
            <w:pPr>
              <w:jc w:val="center"/>
              <w:rPr>
                <w:rFonts w:hint="eastAsia" w:ascii="宋体" w:hAnsi="宋体" w:cs="宋体"/>
                <w:szCs w:val="21"/>
              </w:rPr>
            </w:pPr>
            <w:r>
              <w:rPr>
                <w:rFonts w:hint="eastAsia" w:ascii="宋体" w:hAnsi="宋体" w:cs="宋体"/>
                <w:szCs w:val="21"/>
                <w:highlight w:val="white"/>
              </w:rPr>
              <w:t>其他要求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9ECB4B4">
            <w:pPr>
              <w:rPr>
                <w:rFonts w:hint="eastAsia" w:ascii="宋体" w:hAnsi="宋体" w:cs="宋体"/>
                <w:szCs w:val="21"/>
                <w:highlight w:val="green"/>
              </w:rPr>
            </w:pPr>
            <w:bookmarkStart w:id="184" w:name="EB574d6a9d19654793aec0000db3c9a10f"/>
            <w:r>
              <w:rPr>
                <w:rFonts w:hint="eastAsia" w:ascii="宋体" w:hAnsi="宋体" w:cs="宋体"/>
                <w:szCs w:val="21"/>
              </w:rPr>
              <w:t>投标人报价若高于本项目发包价视为废标处理。</w:t>
            </w:r>
            <w:bookmarkEnd w:id="184"/>
          </w:p>
        </w:tc>
      </w:tr>
      <w:tr w14:paraId="4892C0C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2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2C3FAAF">
            <w:pPr>
              <w:jc w:val="center"/>
              <w:rPr>
                <w:rFonts w:hint="eastAsia" w:ascii="宋体" w:hAnsi="宋体" w:cs="宋体"/>
                <w:szCs w:val="21"/>
              </w:rPr>
            </w:pPr>
            <w:r>
              <w:rPr>
                <w:rFonts w:hint="eastAsia" w:ascii="宋体" w:hAnsi="宋体" w:cs="宋体"/>
                <w:szCs w:val="21"/>
                <w:highlight w:val="white"/>
              </w:rPr>
              <w:t>3.3.1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0ABA81A">
            <w:pPr>
              <w:jc w:val="center"/>
              <w:rPr>
                <w:rFonts w:hint="eastAsia" w:ascii="宋体" w:hAnsi="宋体" w:cs="宋体"/>
                <w:szCs w:val="21"/>
              </w:rPr>
            </w:pPr>
            <w:r>
              <w:rPr>
                <w:rFonts w:hint="eastAsia" w:ascii="宋体" w:hAnsi="宋体" w:cs="宋体"/>
                <w:szCs w:val="21"/>
                <w:highlight w:val="white"/>
              </w:rPr>
              <w:t>投标有效期</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00AFB150">
            <w:pPr>
              <w:rPr>
                <w:rFonts w:hint="eastAsia" w:ascii="宋体" w:hAnsi="宋体" w:cs="宋体"/>
                <w:szCs w:val="21"/>
              </w:rPr>
            </w:pPr>
            <w:r>
              <w:rPr>
                <w:rFonts w:hint="eastAsia" w:ascii="宋体" w:hAnsi="宋体" w:cs="宋体"/>
                <w:szCs w:val="21"/>
                <w:highlight w:val="white"/>
              </w:rPr>
              <w:t>自投标人提交投标文件截止之日起计算</w:t>
            </w:r>
            <w:bookmarkStart w:id="185" w:name="EB4b80a886de6b4300a5b3b660771fda6e"/>
            <w:r>
              <w:rPr>
                <w:rFonts w:hint="eastAsia" w:ascii="宋体" w:hAnsi="宋体" w:cs="宋体"/>
                <w:szCs w:val="21"/>
              </w:rPr>
              <w:t>90</w:t>
            </w:r>
            <w:bookmarkEnd w:id="185"/>
            <w:r>
              <w:rPr>
                <w:rFonts w:hint="eastAsia" w:ascii="宋体" w:hAnsi="宋体" w:cs="宋体"/>
                <w:color w:val="000000"/>
                <w:szCs w:val="21"/>
                <w:highlight w:val="white"/>
              </w:rPr>
              <w:t>日</w:t>
            </w:r>
          </w:p>
        </w:tc>
      </w:tr>
      <w:tr w14:paraId="72429C5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3E49BB90">
            <w:pPr>
              <w:jc w:val="center"/>
              <w:rPr>
                <w:rFonts w:hint="eastAsia" w:ascii="宋体" w:hAnsi="宋体" w:cs="宋体"/>
                <w:szCs w:val="21"/>
              </w:rPr>
            </w:pPr>
            <w:r>
              <w:rPr>
                <w:rFonts w:hint="eastAsia" w:ascii="宋体" w:hAnsi="宋体" w:cs="宋体"/>
                <w:szCs w:val="21"/>
                <w:highlight w:val="white"/>
              </w:rPr>
              <w:t>3.4.1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3E499EF">
            <w:pPr>
              <w:jc w:val="center"/>
              <w:rPr>
                <w:rFonts w:hint="eastAsia" w:ascii="宋体" w:hAnsi="宋体" w:cs="宋体"/>
                <w:szCs w:val="21"/>
              </w:rPr>
            </w:pPr>
            <w:r>
              <w:rPr>
                <w:rFonts w:hint="eastAsia" w:ascii="宋体" w:hAnsi="宋体" w:cs="宋体"/>
                <w:szCs w:val="21"/>
                <w:highlight w:val="white"/>
              </w:rPr>
              <w:t>投标保证金</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52F4FD9">
            <w:pPr>
              <w:ind w:firstLine="420"/>
              <w:rPr>
                <w:rFonts w:hint="eastAsia" w:ascii="宋体" w:hAnsi="宋体" w:cs="宋体"/>
                <w:szCs w:val="21"/>
              </w:rPr>
            </w:pPr>
            <w:r>
              <w:rPr>
                <w:rFonts w:hint="eastAsia" w:ascii="宋体" w:hAnsi="宋体" w:cs="宋体"/>
                <w:szCs w:val="21"/>
                <w:highlight w:val="white"/>
              </w:rPr>
              <w:t>投标保证金为人民币</w:t>
            </w:r>
            <w:r>
              <w:rPr>
                <w:rFonts w:hint="eastAsia" w:ascii="宋体" w:hAnsi="宋体" w:cs="宋体"/>
                <w:szCs w:val="21"/>
                <w:highlight w:val="white"/>
                <w:lang w:eastAsia="zh-CN"/>
              </w:rPr>
              <w:t>壹万壹仟</w:t>
            </w:r>
            <w:r>
              <w:rPr>
                <w:rFonts w:hint="eastAsia" w:ascii="宋体" w:hAnsi="宋体" w:cs="宋体"/>
                <w:szCs w:val="21"/>
                <w:highlight w:val="white"/>
              </w:rPr>
              <w:t>圆（</w:t>
            </w:r>
            <w:r>
              <w:rPr>
                <w:rFonts w:hint="eastAsia" w:ascii="宋体" w:hAnsi="宋体" w:cs="宋体"/>
                <w:szCs w:val="21"/>
                <w:highlight w:val="white"/>
                <w:lang w:val="en-US" w:eastAsia="zh-CN"/>
              </w:rPr>
              <w:t>11</w:t>
            </w:r>
            <w:r>
              <w:rPr>
                <w:rFonts w:hint="eastAsia" w:ascii="宋体" w:hAnsi="宋体" w:cs="宋体"/>
                <w:szCs w:val="21"/>
                <w:highlight w:val="white"/>
              </w:rPr>
              <w:t>000元），投标人可选择下列其中一种投标保证金形式：</w:t>
            </w:r>
          </w:p>
          <w:p w14:paraId="55A130BF">
            <w:pPr>
              <w:ind w:firstLine="420"/>
              <w:rPr>
                <w:rFonts w:hint="eastAsia" w:ascii="宋体" w:hAnsi="宋体" w:cs="宋体"/>
                <w:szCs w:val="21"/>
              </w:rPr>
            </w:pPr>
            <w:r>
              <w:rPr>
                <w:rFonts w:hint="eastAsia" w:ascii="宋体" w:hAnsi="宋体" w:cs="宋体"/>
                <w:szCs w:val="21"/>
                <w:highlight w:val="white"/>
              </w:rPr>
              <w:t>1.采用转账或电汇</w:t>
            </w:r>
          </w:p>
          <w:p w14:paraId="5FACF4F0">
            <w:pPr>
              <w:ind w:firstLine="420"/>
              <w:rPr>
                <w:rFonts w:hint="eastAsia" w:ascii="宋体" w:hAnsi="宋体" w:cs="宋体"/>
                <w:szCs w:val="21"/>
              </w:rPr>
            </w:pPr>
            <w:r>
              <w:rPr>
                <w:rFonts w:hint="eastAsia" w:ascii="宋体" w:hAnsi="宋体" w:cs="宋体"/>
                <w:szCs w:val="21"/>
                <w:highlight w:val="white"/>
              </w:rPr>
              <w:t>投标保证金必须在投标截止时间前从投标人注册地的投标人基本帐户一次性汇达并解入招标人指定银行帐号（写明招标编号及所投标段组，以到户银行出具的证明为准），否则其投标担保视为无效。</w:t>
            </w:r>
          </w:p>
          <w:p w14:paraId="48518342">
            <w:pPr>
              <w:pStyle w:val="5"/>
              <w:rPr>
                <w:rFonts w:hint="eastAsia" w:ascii="宋体" w:hAnsi="宋体" w:cs="宋体"/>
                <w:szCs w:val="21"/>
                <w:highlight w:val="white"/>
              </w:rPr>
            </w:pPr>
            <w:r>
              <w:rPr>
                <w:rFonts w:hint="eastAsia" w:ascii="宋体" w:hAnsi="宋体" w:cs="宋体"/>
                <w:szCs w:val="21"/>
                <w:highlight w:val="white"/>
              </w:rPr>
              <w:t>招标人指定开户银行及账号如下：</w:t>
            </w:r>
          </w:p>
          <w:p w14:paraId="2FFBA666">
            <w:pPr>
              <w:snapToGrid w:val="0"/>
              <w:ind w:firstLine="420" w:firstLineChars="200"/>
              <w:rPr>
                <w:rFonts w:hint="eastAsia" w:ascii="宋体" w:hAnsi="Calibri" w:eastAsia="宋体" w:cs="Times New Roman"/>
                <w:color w:val="0000FF"/>
                <w:szCs w:val="21"/>
              </w:rPr>
            </w:pPr>
            <w:r>
              <w:rPr>
                <w:rFonts w:hint="eastAsia" w:ascii="宋体" w:hAnsi="宋体" w:eastAsia="宋体" w:cs="宋体"/>
                <w:color w:val="0000FF"/>
                <w:szCs w:val="21"/>
              </w:rPr>
              <w:t>开户银行：</w:t>
            </w:r>
            <w:r>
              <w:rPr>
                <w:rFonts w:hint="eastAsia" w:ascii="宋体" w:hAnsi="Calibri" w:eastAsia="宋体" w:cs="Times New Roman"/>
                <w:color w:val="0000FF"/>
                <w:szCs w:val="21"/>
              </w:rPr>
              <w:t>中国建设银行股份有限公司尤溪支行</w:t>
            </w:r>
          </w:p>
          <w:p w14:paraId="7F9B785E">
            <w:pPr>
              <w:snapToGrid w:val="0"/>
              <w:ind w:firstLine="420" w:firstLineChars="200"/>
              <w:rPr>
                <w:rFonts w:hint="eastAsia" w:ascii="宋体" w:hAnsi="宋体" w:eastAsia="宋体" w:cs="宋体"/>
                <w:color w:val="0000FF"/>
                <w:szCs w:val="21"/>
              </w:rPr>
            </w:pPr>
            <w:r>
              <w:rPr>
                <w:rFonts w:hint="eastAsia" w:ascii="宋体" w:hAnsi="宋体" w:eastAsia="宋体" w:cs="宋体"/>
                <w:color w:val="0000FF"/>
                <w:szCs w:val="21"/>
              </w:rPr>
              <w:t>帐户名称</w:t>
            </w:r>
            <w:r>
              <w:rPr>
                <w:rFonts w:hint="eastAsia" w:ascii="宋体" w:hAnsi="Calibri" w:eastAsia="宋体" w:cs="Times New Roman"/>
                <w:color w:val="0000FF"/>
                <w:szCs w:val="21"/>
              </w:rPr>
              <w:t>：尤溪县两山农村产权流转服务有限公司</w:t>
            </w:r>
          </w:p>
          <w:p w14:paraId="5A52F9AC">
            <w:pPr>
              <w:snapToGrid w:val="0"/>
              <w:ind w:firstLine="420" w:firstLineChars="200"/>
              <w:rPr>
                <w:rFonts w:ascii="宋体" w:hAnsi="Calibri" w:eastAsia="宋体" w:cs="Times New Roman"/>
                <w:color w:val="0000FF"/>
                <w:szCs w:val="21"/>
              </w:rPr>
            </w:pPr>
            <w:r>
              <w:rPr>
                <w:rFonts w:hint="eastAsia" w:ascii="宋体" w:hAnsi="宋体" w:eastAsia="宋体" w:cs="宋体"/>
                <w:color w:val="0000FF"/>
                <w:szCs w:val="21"/>
              </w:rPr>
              <w:t>帐    号</w:t>
            </w:r>
            <w:r>
              <w:rPr>
                <w:rFonts w:hint="eastAsia" w:ascii="宋体" w:hAnsi="Calibri" w:eastAsia="宋体" w:cs="Times New Roman"/>
                <w:color w:val="0000FF"/>
                <w:szCs w:val="21"/>
              </w:rPr>
              <w:t>：35050164760700002365</w:t>
            </w:r>
          </w:p>
          <w:p w14:paraId="42F72938"/>
          <w:p w14:paraId="48ACEA56">
            <w:pPr>
              <w:ind w:firstLine="420"/>
              <w:rPr>
                <w:rFonts w:hint="eastAsia" w:ascii="宋体" w:hAnsi="宋体" w:cs="宋体"/>
                <w:bCs/>
                <w:szCs w:val="21"/>
              </w:rPr>
            </w:pPr>
            <w:r>
              <w:rPr>
                <w:rFonts w:hint="eastAsia" w:ascii="宋体" w:hAnsi="宋体" w:cs="宋体"/>
                <w:bCs/>
                <w:szCs w:val="21"/>
                <w:highlight w:val="white"/>
              </w:rPr>
              <w:t>2.采用投标银行保函</w:t>
            </w:r>
          </w:p>
          <w:p w14:paraId="56196506">
            <w:pPr>
              <w:ind w:firstLine="420"/>
              <w:rPr>
                <w:rFonts w:hint="eastAsia" w:ascii="宋体" w:hAnsi="宋体" w:cs="宋体"/>
                <w:szCs w:val="21"/>
              </w:rPr>
            </w:pPr>
            <w:r>
              <w:rPr>
                <w:rFonts w:hint="eastAsia" w:ascii="宋体" w:hAnsi="宋体" w:cs="宋体"/>
                <w:szCs w:val="21"/>
                <w:highlight w:val="white"/>
              </w:rPr>
              <w:t>保函由投标人开立基本帐户的银行开具（若投标人开立基本账户为银行的分支机构，不具备开具投标银行保函资格时，可由该分支机构的上级且具有开具投标保函资格的银行开具，并附相关证明材料），并保证其有效。办理投标保函所需的一切费用由投标人自理。</w:t>
            </w:r>
          </w:p>
          <w:p w14:paraId="7D880623">
            <w:pPr>
              <w:ind w:firstLine="420"/>
              <w:rPr>
                <w:rFonts w:hint="eastAsia" w:ascii="宋体" w:hAnsi="宋体" w:cs="宋体"/>
                <w:szCs w:val="21"/>
              </w:rPr>
            </w:pPr>
            <w:r>
              <w:rPr>
                <w:rFonts w:hint="eastAsia" w:ascii="宋体" w:hAnsi="宋体" w:cs="宋体"/>
                <w:szCs w:val="21"/>
                <w:highlight w:val="white"/>
              </w:rPr>
              <w:t>原件应在开标当天</w:t>
            </w:r>
            <w:bookmarkStart w:id="878" w:name="_GoBack"/>
            <w:r>
              <w:rPr>
                <w:rFonts w:hint="eastAsia" w:ascii="宋体" w:hAnsi="宋体" w:cs="宋体"/>
                <w:szCs w:val="21"/>
                <w:highlight w:val="white"/>
              </w:rPr>
              <w:t>投标截止时间</w:t>
            </w:r>
            <w:bookmarkEnd w:id="878"/>
            <w:r>
              <w:rPr>
                <w:rFonts w:hint="eastAsia" w:ascii="宋体" w:hAnsi="宋体" w:cs="宋体"/>
                <w:szCs w:val="21"/>
                <w:highlight w:val="white"/>
              </w:rPr>
              <w:t>前前往项目开标指定地点提交给招标人。</w:t>
            </w:r>
          </w:p>
          <w:p w14:paraId="720BB28A">
            <w:pPr>
              <w:ind w:firstLine="420"/>
              <w:rPr>
                <w:rFonts w:hint="eastAsia" w:ascii="宋体" w:hAnsi="宋体" w:cs="宋体"/>
                <w:szCs w:val="21"/>
              </w:rPr>
            </w:pPr>
            <w:r>
              <w:rPr>
                <w:rFonts w:hint="eastAsia" w:ascii="宋体" w:hAnsi="宋体" w:cs="宋体"/>
                <w:szCs w:val="21"/>
                <w:highlight w:val="white"/>
              </w:rPr>
              <w:t>3.采用年度保证金</w:t>
            </w:r>
          </w:p>
          <w:p w14:paraId="65DBEBBD">
            <w:pPr>
              <w:ind w:firstLine="420"/>
              <w:rPr>
                <w:rFonts w:hint="eastAsia" w:ascii="宋体" w:hAnsi="宋体" w:cs="宋体"/>
                <w:szCs w:val="21"/>
              </w:rPr>
            </w:pPr>
            <w:r>
              <w:rPr>
                <w:rFonts w:hint="eastAsia" w:ascii="宋体" w:hAnsi="宋体" w:cs="宋体"/>
                <w:szCs w:val="21"/>
                <w:highlight w:val="white"/>
              </w:rPr>
              <w:t>根据相关规定，在项目所在地公共资源交易中心或省公共资源交易中心已缴交年度投标保证金的投标人，凭“年度投标保证金收讫证明”可参与本工程的投标，投标时不需要按单项工程交存投标保证金。</w:t>
            </w:r>
          </w:p>
          <w:p w14:paraId="5A642D27">
            <w:pPr>
              <w:ind w:firstLine="420"/>
              <w:rPr>
                <w:rFonts w:hint="eastAsia" w:ascii="宋体" w:hAnsi="宋体" w:cs="宋体"/>
                <w:szCs w:val="21"/>
              </w:rPr>
            </w:pPr>
            <w:r>
              <w:rPr>
                <w:rFonts w:hint="eastAsia" w:ascii="宋体" w:hAnsi="宋体" w:cs="宋体"/>
                <w:szCs w:val="21"/>
                <w:highlight w:val="white"/>
              </w:rPr>
              <w:t>投标保证金缴纳方式（投标保证金具体缴纳方式按当地或省公共资源交易中心的规定执行，并在此条款中予以明确）：</w:t>
            </w:r>
          </w:p>
          <w:p w14:paraId="3873FA42">
            <w:pPr>
              <w:ind w:firstLine="420"/>
              <w:rPr>
                <w:rFonts w:hint="eastAsia" w:ascii="宋体" w:hAnsi="宋体" w:cs="宋体"/>
                <w:szCs w:val="21"/>
                <w:highlight w:val="green"/>
              </w:rPr>
            </w:pPr>
            <w:bookmarkStart w:id="186" w:name="EBf1f3cfe24ba1435ba98b78ecba5c32c1"/>
            <w:r>
              <w:rPr>
                <w:rFonts w:hint="eastAsia" w:ascii="宋体" w:hAnsi="宋体" w:cs="宋体"/>
                <w:szCs w:val="21"/>
                <w:highlight w:val="white"/>
              </w:rPr>
              <w:t>投标人可以使用以上之一的有效投标保证金形式</w:t>
            </w:r>
            <w:bookmarkEnd w:id="186"/>
          </w:p>
        </w:tc>
      </w:tr>
      <w:tr w14:paraId="311622A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CE83D5C">
            <w:pPr>
              <w:jc w:val="center"/>
              <w:rPr>
                <w:rFonts w:hint="eastAsia" w:ascii="宋体" w:hAnsi="宋体" w:cs="宋体"/>
                <w:szCs w:val="21"/>
              </w:rPr>
            </w:pPr>
            <w:r>
              <w:rPr>
                <w:rFonts w:hint="eastAsia" w:ascii="宋体" w:hAnsi="宋体" w:cs="宋体"/>
                <w:szCs w:val="21"/>
                <w:highlight w:val="white"/>
              </w:rPr>
              <w:t>3.4.2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4D6BD68">
            <w:pPr>
              <w:jc w:val="center"/>
              <w:rPr>
                <w:rFonts w:hint="eastAsia" w:ascii="宋体" w:hAnsi="宋体" w:cs="宋体"/>
                <w:szCs w:val="21"/>
              </w:rPr>
            </w:pPr>
            <w:r>
              <w:rPr>
                <w:rFonts w:hint="eastAsia" w:ascii="宋体" w:hAnsi="宋体" w:cs="宋体"/>
                <w:szCs w:val="21"/>
                <w:highlight w:val="white"/>
              </w:rPr>
              <w:t>未提交投标保证金的处理</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6DF3EF8">
            <w:pPr>
              <w:ind w:firstLine="420" w:firstLineChars="200"/>
              <w:rPr>
                <w:rFonts w:hint="eastAsia" w:ascii="宋体" w:hAnsi="宋体" w:cs="宋体"/>
                <w:szCs w:val="21"/>
              </w:rPr>
            </w:pPr>
            <w:r>
              <w:rPr>
                <w:rFonts w:hint="eastAsia" w:ascii="宋体" w:hAnsi="宋体" w:cs="宋体"/>
                <w:szCs w:val="21"/>
                <w:highlight w:val="white"/>
              </w:rPr>
              <w:t>投标人不按本章第3.4.1项要求提交投标保证金的，其投标文件将被否决。</w:t>
            </w:r>
          </w:p>
        </w:tc>
      </w:tr>
      <w:tr w14:paraId="3F5AA28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20B75A7">
            <w:pPr>
              <w:jc w:val="center"/>
              <w:rPr>
                <w:rFonts w:hint="eastAsia" w:ascii="宋体" w:hAnsi="宋体" w:cs="宋体"/>
                <w:szCs w:val="21"/>
              </w:rPr>
            </w:pPr>
            <w:r>
              <w:rPr>
                <w:rFonts w:hint="eastAsia" w:ascii="宋体" w:hAnsi="宋体" w:cs="宋体"/>
                <w:szCs w:val="21"/>
                <w:highlight w:val="white"/>
              </w:rPr>
              <w:t>3.4.3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7B7FFED">
            <w:pPr>
              <w:jc w:val="center"/>
              <w:rPr>
                <w:rFonts w:hint="eastAsia" w:ascii="宋体" w:hAnsi="宋体" w:cs="宋体"/>
                <w:szCs w:val="21"/>
                <w:highlight w:val="white"/>
              </w:rPr>
            </w:pPr>
            <w:r>
              <w:rPr>
                <w:rFonts w:hint="eastAsia" w:ascii="宋体" w:hAnsi="宋体" w:cs="宋体"/>
                <w:szCs w:val="21"/>
                <w:highlight w:val="white"/>
              </w:rPr>
              <w:t>投标保证金</w:t>
            </w:r>
          </w:p>
          <w:p w14:paraId="526BB6E1">
            <w:pPr>
              <w:jc w:val="center"/>
              <w:rPr>
                <w:rFonts w:hint="eastAsia" w:ascii="宋体" w:hAnsi="宋体" w:cs="宋体"/>
                <w:szCs w:val="21"/>
              </w:rPr>
            </w:pPr>
            <w:r>
              <w:rPr>
                <w:rFonts w:hint="eastAsia" w:ascii="宋体" w:hAnsi="宋体" w:cs="宋体"/>
                <w:szCs w:val="21"/>
                <w:highlight w:val="white"/>
              </w:rPr>
              <w:t>的退还</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60B690F">
            <w:pPr>
              <w:rPr>
                <w:rFonts w:hint="eastAsia" w:ascii="宋体" w:hAnsi="宋体" w:cs="宋体"/>
                <w:szCs w:val="21"/>
              </w:rPr>
            </w:pPr>
            <w:r>
              <w:rPr>
                <w:rFonts w:hint="eastAsia" w:ascii="宋体" w:hAnsi="宋体" w:cs="宋体"/>
                <w:szCs w:val="21"/>
                <w:highlight w:val="white"/>
              </w:rPr>
              <w:t>未中标的投标保证金在公示期结束后退还，中标人的投标保证金待合同签订后5日内无息退还。</w:t>
            </w:r>
          </w:p>
        </w:tc>
      </w:tr>
      <w:tr w14:paraId="2FED0B7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03659CC1">
            <w:pPr>
              <w:jc w:val="center"/>
              <w:rPr>
                <w:rFonts w:hint="eastAsia" w:ascii="宋体" w:hAnsi="宋体" w:cs="宋体"/>
                <w:szCs w:val="21"/>
              </w:rPr>
            </w:pPr>
            <w:r>
              <w:rPr>
                <w:rFonts w:hint="eastAsia" w:ascii="宋体" w:hAnsi="宋体" w:cs="宋体"/>
                <w:szCs w:val="21"/>
                <w:highlight w:val="white"/>
              </w:rPr>
              <w:t>3.4.4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BF62321">
            <w:pPr>
              <w:jc w:val="center"/>
              <w:rPr>
                <w:rFonts w:hint="eastAsia" w:ascii="宋体" w:hAnsi="宋体" w:cs="宋体"/>
                <w:szCs w:val="21"/>
              </w:rPr>
            </w:pPr>
            <w:r>
              <w:rPr>
                <w:rFonts w:hint="eastAsia" w:ascii="宋体" w:hAnsi="宋体" w:cs="宋体"/>
                <w:szCs w:val="21"/>
                <w:highlight w:val="white"/>
              </w:rPr>
              <w:t>不予退还投标保证金的情形</w:t>
            </w:r>
          </w:p>
        </w:tc>
        <w:tc>
          <w:tcPr>
            <w:tcW w:w="6605" w:type="dxa"/>
            <w:tcBorders>
              <w:top w:val="single" w:color="000000" w:sz="6" w:space="0"/>
              <w:left w:val="single" w:color="000000" w:sz="6" w:space="0"/>
              <w:bottom w:val="single" w:color="000000" w:sz="6" w:space="0"/>
              <w:right w:val="single" w:color="000000" w:sz="12" w:space="0"/>
            </w:tcBorders>
            <w:noWrap w:val="0"/>
            <w:vAlign w:val="top"/>
          </w:tcPr>
          <w:p w14:paraId="0B8E89AD">
            <w:pPr>
              <w:ind w:firstLine="420" w:firstLineChars="200"/>
              <w:rPr>
                <w:rFonts w:hint="eastAsia" w:ascii="宋体" w:hAnsi="宋体" w:cs="宋体"/>
                <w:szCs w:val="21"/>
              </w:rPr>
            </w:pPr>
            <w:r>
              <w:rPr>
                <w:rFonts w:hint="eastAsia" w:ascii="宋体" w:hAnsi="宋体" w:cs="宋体"/>
                <w:szCs w:val="21"/>
                <w:highlight w:val="white"/>
              </w:rPr>
              <w:t>发生下列情形之一的，投标保证金将不予退还：</w:t>
            </w:r>
          </w:p>
          <w:p w14:paraId="0336D50D">
            <w:pPr>
              <w:ind w:firstLine="420" w:firstLineChars="200"/>
              <w:rPr>
                <w:rFonts w:hint="eastAsia" w:ascii="宋体" w:hAnsi="宋体" w:cs="宋体"/>
                <w:szCs w:val="21"/>
              </w:rPr>
            </w:pPr>
            <w:r>
              <w:rPr>
                <w:rFonts w:hint="eastAsia" w:ascii="宋体" w:hAnsi="宋体" w:cs="宋体"/>
                <w:szCs w:val="21"/>
                <w:highlight w:val="white"/>
              </w:rPr>
              <w:t>（1）投标人在规定的投标有效期内撤销其投标文件；</w:t>
            </w:r>
          </w:p>
          <w:p w14:paraId="165502FD">
            <w:pPr>
              <w:ind w:firstLine="420" w:firstLineChars="200"/>
              <w:rPr>
                <w:rFonts w:hint="eastAsia" w:ascii="宋体" w:hAnsi="宋体" w:cs="宋体"/>
                <w:szCs w:val="21"/>
              </w:rPr>
            </w:pPr>
            <w:r>
              <w:rPr>
                <w:rFonts w:hint="eastAsia" w:ascii="宋体" w:hAnsi="宋体" w:cs="宋体"/>
                <w:szCs w:val="21"/>
                <w:highlight w:val="white"/>
              </w:rPr>
              <w:t>（2）招标人在发出中标通知书后，投标人非因不可抗力原因而放弃</w:t>
            </w:r>
            <w:r>
              <w:rPr>
                <w:rFonts w:hint="eastAsia" w:ascii="宋体" w:hAnsi="宋体" w:cs="宋体"/>
                <w:spacing w:val="-6"/>
                <w:szCs w:val="21"/>
                <w:highlight w:val="white"/>
              </w:rPr>
              <w:t>中标、拒签合同或未按招标文件规定提交履约担保；</w:t>
            </w:r>
          </w:p>
          <w:p w14:paraId="796BA51F">
            <w:pPr>
              <w:ind w:firstLine="420" w:firstLineChars="200"/>
              <w:rPr>
                <w:rFonts w:hint="eastAsia" w:ascii="宋体" w:hAnsi="宋体" w:cs="宋体"/>
                <w:szCs w:val="21"/>
              </w:rPr>
            </w:pPr>
            <w:r>
              <w:rPr>
                <w:rFonts w:hint="eastAsia" w:ascii="宋体" w:hAnsi="宋体" w:cs="宋体"/>
                <w:szCs w:val="21"/>
                <w:highlight w:val="white"/>
              </w:rPr>
              <w:t>（3）投标人不接受依据评标办法的规定对其投标文件中细微偏差进行澄清和补正；</w:t>
            </w:r>
          </w:p>
          <w:p w14:paraId="2769906A">
            <w:pPr>
              <w:ind w:firstLine="420" w:firstLineChars="200"/>
              <w:rPr>
                <w:rFonts w:hint="eastAsia" w:ascii="宋体" w:hAnsi="宋体" w:cs="宋体"/>
                <w:szCs w:val="21"/>
              </w:rPr>
            </w:pPr>
            <w:r>
              <w:rPr>
                <w:rFonts w:hint="eastAsia" w:ascii="宋体" w:hAnsi="宋体" w:cs="宋体"/>
                <w:szCs w:val="21"/>
                <w:highlight w:val="white"/>
              </w:rPr>
              <w:t>（4）投标人提交了虚假资料；</w:t>
            </w:r>
          </w:p>
          <w:p w14:paraId="2F9E5FAD">
            <w:pPr>
              <w:ind w:firstLine="420" w:firstLineChars="200"/>
              <w:rPr>
                <w:rFonts w:hint="eastAsia" w:ascii="宋体" w:hAnsi="宋体" w:cs="宋体"/>
                <w:szCs w:val="21"/>
              </w:rPr>
            </w:pPr>
            <w:r>
              <w:rPr>
                <w:rFonts w:hint="eastAsia" w:ascii="宋体" w:hAnsi="宋体" w:cs="宋体"/>
                <w:szCs w:val="21"/>
                <w:highlight w:val="white"/>
              </w:rPr>
              <w:t>（5）反映投标文件个性特征的内容出现明显雷同；</w:t>
            </w:r>
          </w:p>
          <w:p w14:paraId="63A067C2">
            <w:pPr>
              <w:ind w:firstLine="420" w:firstLineChars="200"/>
              <w:rPr>
                <w:rFonts w:hint="eastAsia" w:ascii="宋体" w:hAnsi="宋体" w:cs="宋体"/>
                <w:szCs w:val="21"/>
              </w:rPr>
            </w:pPr>
            <w:r>
              <w:rPr>
                <w:rFonts w:hint="eastAsia" w:ascii="宋体" w:hAnsi="宋体" w:cs="宋体"/>
                <w:szCs w:val="21"/>
                <w:highlight w:val="white"/>
              </w:rPr>
              <w:t>（6）有证据显示投标人以他人名义投标、与他人串通投标、以非法手段谋取中标；</w:t>
            </w:r>
          </w:p>
          <w:p w14:paraId="1BA5CAA8">
            <w:pPr>
              <w:ind w:firstLine="420" w:firstLineChars="200"/>
              <w:rPr>
                <w:rFonts w:hint="eastAsia" w:ascii="宋体" w:hAnsi="宋体" w:cs="宋体"/>
                <w:szCs w:val="21"/>
              </w:rPr>
            </w:pPr>
            <w:r>
              <w:rPr>
                <w:rFonts w:hint="eastAsia" w:ascii="宋体" w:hAnsi="宋体" w:cs="宋体"/>
                <w:szCs w:val="21"/>
                <w:highlight w:val="white"/>
              </w:rPr>
              <w:t>（7）因中标人的违法行为导致中标被依法确认无效的；</w:t>
            </w:r>
          </w:p>
          <w:p w14:paraId="32B9BF92">
            <w:pPr>
              <w:ind w:firstLine="420" w:firstLineChars="200"/>
              <w:rPr>
                <w:rFonts w:hint="eastAsia" w:ascii="宋体" w:hAnsi="宋体" w:cs="宋体"/>
                <w:szCs w:val="21"/>
              </w:rPr>
            </w:pPr>
            <w:r>
              <w:rPr>
                <w:rFonts w:hint="eastAsia" w:ascii="宋体" w:hAnsi="宋体" w:cs="宋体"/>
                <w:szCs w:val="21"/>
                <w:highlight w:val="white"/>
              </w:rPr>
              <w:t>（8）法律、法规规定的其他情形。</w:t>
            </w:r>
          </w:p>
          <w:p w14:paraId="6DC9F9A3">
            <w:pPr>
              <w:ind w:firstLine="420"/>
              <w:rPr>
                <w:rFonts w:hint="eastAsia" w:ascii="宋体" w:hAnsi="宋体" w:cs="宋体"/>
                <w:szCs w:val="21"/>
              </w:rPr>
            </w:pPr>
            <w:r>
              <w:rPr>
                <w:rFonts w:hint="eastAsia" w:ascii="宋体" w:hAnsi="宋体" w:cs="宋体"/>
                <w:szCs w:val="21"/>
                <w:highlight w:val="white"/>
              </w:rPr>
              <w:t>同时报请省交通运输行政主管部门在其门户网站公告，并按法律、法规、规章有关规定处理；对由于投标违约行为造成招标人损失的（含工期延误损失、中标差价损失），投标人应予赔偿。</w:t>
            </w:r>
          </w:p>
        </w:tc>
      </w:tr>
      <w:tr w14:paraId="7287FCA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F1E06B1">
            <w:pPr>
              <w:jc w:val="center"/>
              <w:rPr>
                <w:rFonts w:hint="eastAsia" w:ascii="宋体" w:hAnsi="宋体" w:cs="宋体"/>
                <w:szCs w:val="21"/>
              </w:rPr>
            </w:pPr>
            <w:r>
              <w:rPr>
                <w:rFonts w:hint="eastAsia" w:ascii="宋体" w:hAnsi="宋体" w:cs="宋体"/>
                <w:szCs w:val="21"/>
                <w:highlight w:val="white"/>
              </w:rPr>
              <w:t>3.5.2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C71C669">
            <w:pPr>
              <w:jc w:val="center"/>
              <w:rPr>
                <w:rFonts w:hint="eastAsia" w:ascii="宋体" w:hAnsi="宋体" w:cs="宋体"/>
                <w:szCs w:val="21"/>
              </w:rPr>
            </w:pPr>
            <w:r>
              <w:rPr>
                <w:rFonts w:hint="eastAsia" w:ascii="宋体" w:hAnsi="宋体" w:cs="宋体"/>
                <w:szCs w:val="21"/>
                <w:highlight w:val="white"/>
              </w:rPr>
              <w:t>近年财务状况的年份要求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41A9E5A">
            <w:pPr>
              <w:ind w:firstLine="105" w:firstLineChars="50"/>
              <w:rPr>
                <w:rFonts w:hint="eastAsia" w:ascii="宋体" w:hAnsi="宋体" w:cs="宋体"/>
                <w:szCs w:val="21"/>
                <w:highlight w:val="green"/>
              </w:rPr>
            </w:pPr>
            <w:r>
              <w:rPr>
                <w:rFonts w:hint="eastAsia" w:ascii="宋体" w:hAnsi="宋体" w:cs="宋体"/>
                <w:szCs w:val="21"/>
                <w:highlight w:val="white"/>
              </w:rPr>
              <w:t>/</w:t>
            </w:r>
          </w:p>
        </w:tc>
      </w:tr>
      <w:tr w14:paraId="7B1E682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DAAFB58">
            <w:pPr>
              <w:jc w:val="center"/>
              <w:rPr>
                <w:rFonts w:hint="eastAsia" w:ascii="宋体" w:hAnsi="宋体" w:cs="宋体"/>
                <w:szCs w:val="21"/>
              </w:rPr>
            </w:pPr>
            <w:r>
              <w:rPr>
                <w:rFonts w:hint="eastAsia" w:ascii="宋体" w:hAnsi="宋体" w:cs="宋体"/>
                <w:szCs w:val="21"/>
                <w:highlight w:val="white"/>
              </w:rPr>
              <w:t>3.5.3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C18FD75">
            <w:pPr>
              <w:jc w:val="center"/>
              <w:rPr>
                <w:rFonts w:hint="eastAsia" w:ascii="宋体" w:hAnsi="宋体" w:cs="宋体"/>
                <w:szCs w:val="21"/>
              </w:rPr>
            </w:pPr>
            <w:r>
              <w:rPr>
                <w:rFonts w:hint="eastAsia" w:ascii="宋体" w:hAnsi="宋体" w:cs="宋体"/>
                <w:szCs w:val="21"/>
                <w:highlight w:val="white"/>
              </w:rPr>
              <w:t>近年完成的类似项目的年份要求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BF6927F">
            <w:pPr>
              <w:rPr>
                <w:rFonts w:hint="eastAsia" w:ascii="宋体" w:hAnsi="宋体" w:cs="宋体"/>
                <w:b/>
                <w:szCs w:val="21"/>
              </w:rPr>
            </w:pPr>
            <w:bookmarkStart w:id="187" w:name="EBf43348db7c99494fbdeba33583bebc5c"/>
            <w:r>
              <w:rPr>
                <w:rFonts w:hint="eastAsia" w:ascii="宋体" w:hAnsi="宋体" w:cs="宋体"/>
                <w:color w:val="0000FF"/>
                <w:szCs w:val="21"/>
                <w:highlight w:val="white"/>
              </w:rPr>
              <w:t>/</w:t>
            </w:r>
            <w:bookmarkEnd w:id="187"/>
            <w:r>
              <w:rPr>
                <w:rFonts w:hint="eastAsia" w:ascii="宋体" w:hAnsi="宋体" w:cs="宋体"/>
                <w:szCs w:val="21"/>
                <w:highlight w:val="white"/>
              </w:rPr>
              <w:t>年</w:t>
            </w:r>
            <w:bookmarkStart w:id="188" w:name="EB7fcf0569e8bf4c98902b404a3837bc22"/>
            <w:r>
              <w:rPr>
                <w:rFonts w:hint="eastAsia" w:ascii="宋体" w:hAnsi="宋体" w:cs="宋体"/>
                <w:color w:val="0000FF"/>
                <w:szCs w:val="21"/>
                <w:highlight w:val="white"/>
              </w:rPr>
              <w:t>/</w:t>
            </w:r>
            <w:bookmarkEnd w:id="188"/>
            <w:r>
              <w:rPr>
                <w:rFonts w:hint="eastAsia" w:ascii="宋体" w:hAnsi="宋体" w:cs="宋体"/>
                <w:szCs w:val="21"/>
                <w:highlight w:val="white"/>
              </w:rPr>
              <w:t>月至</w:t>
            </w:r>
            <w:bookmarkStart w:id="189" w:name="EBd54d739cfad34557840423ff961f3ed4"/>
            <w:r>
              <w:rPr>
                <w:rFonts w:hint="eastAsia" w:ascii="宋体" w:hAnsi="宋体" w:cs="宋体"/>
                <w:color w:val="0000FF"/>
                <w:szCs w:val="21"/>
                <w:highlight w:val="white"/>
              </w:rPr>
              <w:t>/</w:t>
            </w:r>
            <w:bookmarkEnd w:id="189"/>
            <w:r>
              <w:rPr>
                <w:rFonts w:hint="eastAsia" w:ascii="宋体" w:hAnsi="宋体" w:cs="宋体"/>
                <w:szCs w:val="21"/>
                <w:highlight w:val="white"/>
              </w:rPr>
              <w:t>年</w:t>
            </w:r>
            <w:bookmarkStart w:id="190" w:name="EB727f26b8f92b42c9b3bca8d9ce4b7c8f"/>
            <w:r>
              <w:rPr>
                <w:rFonts w:hint="eastAsia" w:ascii="宋体" w:hAnsi="宋体" w:cs="宋体"/>
                <w:color w:val="0000FF"/>
                <w:szCs w:val="21"/>
                <w:highlight w:val="white"/>
              </w:rPr>
              <w:t>/</w:t>
            </w:r>
            <w:bookmarkEnd w:id="190"/>
            <w:r>
              <w:rPr>
                <w:rFonts w:hint="eastAsia" w:ascii="宋体" w:hAnsi="宋体" w:cs="宋体"/>
                <w:szCs w:val="21"/>
                <w:highlight w:val="white"/>
              </w:rPr>
              <w:t>月</w:t>
            </w:r>
          </w:p>
        </w:tc>
      </w:tr>
      <w:tr w14:paraId="635A108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0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0E382C8">
            <w:pPr>
              <w:jc w:val="center"/>
              <w:rPr>
                <w:rFonts w:hint="eastAsia" w:ascii="宋体" w:hAnsi="宋体" w:cs="宋体"/>
                <w:szCs w:val="21"/>
              </w:rPr>
            </w:pPr>
            <w:r>
              <w:rPr>
                <w:rFonts w:hint="eastAsia" w:ascii="宋体" w:hAnsi="宋体" w:cs="宋体"/>
                <w:szCs w:val="21"/>
                <w:highlight w:val="white"/>
              </w:rPr>
              <w:t>3.5.4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0843233">
            <w:pPr>
              <w:jc w:val="center"/>
              <w:rPr>
                <w:rFonts w:hint="eastAsia" w:ascii="宋体" w:hAnsi="宋体" w:cs="宋体"/>
                <w:szCs w:val="21"/>
              </w:rPr>
            </w:pPr>
            <w:r>
              <w:rPr>
                <w:rFonts w:hint="eastAsia" w:ascii="宋体" w:hAnsi="宋体" w:cs="宋体"/>
                <w:szCs w:val="21"/>
                <w:highlight w:val="white"/>
              </w:rPr>
              <w:t>近年发生的行贿犯罪档案查询的年份要求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70BE4D69">
            <w:pPr>
              <w:pStyle w:val="29"/>
              <w:rPr>
                <w:rFonts w:hint="eastAsia" w:ascii="宋体" w:hAnsi="宋体" w:cs="宋体"/>
                <w:szCs w:val="21"/>
                <w:highlight w:val="green"/>
              </w:rPr>
            </w:pPr>
            <w:bookmarkStart w:id="191" w:name="EB93b4d5b67d9a4ebead97464be45d1086"/>
            <w:r>
              <w:rPr>
                <w:rFonts w:hint="eastAsia" w:ascii="宋体" w:hAnsi="宋体" w:cs="宋体"/>
                <w:szCs w:val="21"/>
                <w:highlight w:val="white"/>
              </w:rPr>
              <w:t>招标文件发布前近三年</w:t>
            </w:r>
            <w:bookmarkEnd w:id="191"/>
          </w:p>
        </w:tc>
      </w:tr>
      <w:tr w14:paraId="59F7799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36"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19A44AF">
            <w:pPr>
              <w:jc w:val="center"/>
              <w:rPr>
                <w:rFonts w:hint="eastAsia" w:ascii="宋体" w:hAnsi="宋体" w:cs="宋体"/>
                <w:szCs w:val="21"/>
              </w:rPr>
            </w:pPr>
            <w:r>
              <w:rPr>
                <w:rFonts w:hint="eastAsia" w:ascii="宋体" w:hAnsi="宋体" w:cs="宋体"/>
                <w:szCs w:val="21"/>
                <w:highlight w:val="white"/>
              </w:rPr>
              <w:t>3.6</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5775CCD">
            <w:pPr>
              <w:jc w:val="center"/>
              <w:rPr>
                <w:rFonts w:hint="eastAsia" w:ascii="宋体" w:hAnsi="宋体" w:cs="宋体"/>
                <w:szCs w:val="21"/>
              </w:rPr>
            </w:pPr>
            <w:r>
              <w:rPr>
                <w:rFonts w:hint="eastAsia" w:ascii="宋体" w:hAnsi="宋体" w:cs="宋体"/>
                <w:szCs w:val="21"/>
                <w:highlight w:val="white"/>
              </w:rPr>
              <w:t>是否允许递交备选投标方案</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A15B638">
            <w:pPr>
              <w:pStyle w:val="29"/>
              <w:rPr>
                <w:rFonts w:hint="eastAsia" w:ascii="宋体" w:hAnsi="宋体" w:cs="宋体"/>
                <w:szCs w:val="21"/>
              </w:rPr>
            </w:pPr>
            <w:r>
              <w:rPr>
                <w:rFonts w:hint="eastAsia" w:ascii="宋体" w:hAnsi="宋体" w:cs="宋体"/>
                <w:szCs w:val="21"/>
                <w:highlight w:val="white"/>
              </w:rPr>
              <w:t>不允许</w:t>
            </w:r>
          </w:p>
        </w:tc>
      </w:tr>
      <w:tr w14:paraId="774B4D4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D962D09">
            <w:pPr>
              <w:jc w:val="center"/>
              <w:rPr>
                <w:rFonts w:hint="eastAsia" w:ascii="宋体" w:hAnsi="宋体" w:cs="宋体"/>
                <w:szCs w:val="21"/>
              </w:rPr>
            </w:pPr>
            <w:r>
              <w:rPr>
                <w:rFonts w:hint="eastAsia" w:ascii="宋体" w:hAnsi="宋体" w:cs="宋体"/>
                <w:szCs w:val="21"/>
                <w:highlight w:val="white"/>
              </w:rPr>
              <w:t>3.7.3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64FEE7B">
            <w:pPr>
              <w:jc w:val="center"/>
              <w:rPr>
                <w:rFonts w:hint="eastAsia" w:ascii="宋体" w:hAnsi="宋体" w:cs="宋体"/>
                <w:szCs w:val="21"/>
                <w:highlight w:val="white"/>
              </w:rPr>
            </w:pPr>
            <w:r>
              <w:rPr>
                <w:rFonts w:hint="eastAsia" w:ascii="宋体" w:hAnsi="宋体" w:cs="宋体"/>
                <w:szCs w:val="21"/>
                <w:highlight w:val="white"/>
              </w:rPr>
              <w:t>签字或盖章</w:t>
            </w:r>
          </w:p>
          <w:p w14:paraId="7F6CF651">
            <w:pPr>
              <w:jc w:val="center"/>
              <w:rPr>
                <w:rFonts w:hint="eastAsia" w:ascii="宋体" w:hAnsi="宋体" w:cs="宋体"/>
                <w:szCs w:val="21"/>
              </w:rPr>
            </w:pPr>
            <w:r>
              <w:rPr>
                <w:rFonts w:hint="eastAsia" w:ascii="宋体" w:hAnsi="宋体" w:cs="宋体"/>
                <w:szCs w:val="21"/>
                <w:highlight w:val="white"/>
              </w:rPr>
              <w:t>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DCFF943">
            <w:pPr>
              <w:rPr>
                <w:rFonts w:hint="eastAsia" w:ascii="宋体" w:hAnsi="宋体" w:cs="宋体"/>
                <w:szCs w:val="21"/>
              </w:rPr>
            </w:pPr>
            <w:r>
              <w:rPr>
                <w:rFonts w:hint="eastAsia" w:ascii="宋体" w:hAnsi="宋体" w:cs="宋体"/>
                <w:szCs w:val="21"/>
                <w:highlight w:val="white"/>
              </w:rPr>
              <w:t>投标人应按第九章“投标文件格式”规定，在投标文件指定位置加盖投标人单位公章。</w:t>
            </w:r>
          </w:p>
        </w:tc>
      </w:tr>
      <w:tr w14:paraId="5F9C2C3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43"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0C3A210">
            <w:pPr>
              <w:jc w:val="center"/>
              <w:rPr>
                <w:rFonts w:hint="eastAsia" w:ascii="宋体" w:hAnsi="宋体" w:cs="宋体"/>
                <w:szCs w:val="21"/>
              </w:rPr>
            </w:pPr>
            <w:r>
              <w:rPr>
                <w:rFonts w:hint="eastAsia" w:ascii="宋体" w:hAnsi="宋体" w:cs="宋体"/>
                <w:szCs w:val="21"/>
                <w:highlight w:val="white"/>
              </w:rPr>
              <w:t>3.7.4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5B52D67">
            <w:pPr>
              <w:jc w:val="center"/>
              <w:rPr>
                <w:rFonts w:hint="eastAsia"/>
                <w:szCs w:val="21"/>
                <w:highlight w:val="white"/>
              </w:rPr>
            </w:pPr>
            <w:r>
              <w:rPr>
                <w:rFonts w:hint="eastAsia"/>
                <w:szCs w:val="21"/>
                <w:highlight w:val="white"/>
              </w:rPr>
              <w:t>纸质投标文件份数及其它</w:t>
            </w:r>
          </w:p>
          <w:p w14:paraId="474EE7E3">
            <w:pPr>
              <w:jc w:val="center"/>
              <w:rPr>
                <w:rFonts w:hint="eastAsia" w:ascii="宋体" w:hAnsi="宋体" w:cs="宋体"/>
                <w:szCs w:val="21"/>
              </w:rPr>
            </w:pPr>
            <w:r>
              <w:rPr>
                <w:rFonts w:hint="eastAsia"/>
                <w:szCs w:val="21"/>
                <w:highlight w:val="white"/>
              </w:rPr>
              <w:t>要求</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5F3BB4F">
            <w:pPr>
              <w:wordWrap w:val="0"/>
              <w:spacing w:line="0" w:lineRule="atLeast"/>
              <w:rPr>
                <w:rFonts w:hint="eastAsia" w:ascii="宋体" w:hAnsi="宋体" w:cs="宋体"/>
                <w:szCs w:val="21"/>
                <w:highlight w:val="white"/>
              </w:rPr>
            </w:pPr>
            <w:r>
              <w:rPr>
                <w:rFonts w:hint="eastAsia"/>
                <w:szCs w:val="21"/>
                <w:highlight w:val="white"/>
              </w:rPr>
              <w:t>投标、评标阶段仅提交电子投标文件，中标人应在收到中标通知书后3个工作日内向招标代理机构提供加盖单位公章的纸质版投标文件</w:t>
            </w:r>
            <w:r>
              <w:rPr>
                <w:rFonts w:hint="eastAsia"/>
                <w:color w:val="0000FF"/>
                <w:szCs w:val="21"/>
                <w:highlight w:val="white"/>
              </w:rPr>
              <w:t>5</w:t>
            </w:r>
            <w:r>
              <w:rPr>
                <w:rFonts w:hint="eastAsia"/>
                <w:szCs w:val="21"/>
                <w:highlight w:val="white"/>
              </w:rPr>
              <w:t>份，且纸质版应与投标时电子版保持一致，如有不一致，以电子投标文件为准；纸质投标文件不得采用活页夹装订。</w:t>
            </w:r>
          </w:p>
        </w:tc>
      </w:tr>
      <w:tr w14:paraId="68338F3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7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02C651E3">
            <w:pPr>
              <w:jc w:val="center"/>
              <w:rPr>
                <w:rFonts w:hint="eastAsia" w:ascii="宋体" w:hAnsi="宋体" w:cs="宋体"/>
                <w:szCs w:val="21"/>
              </w:rPr>
            </w:pPr>
            <w:r>
              <w:rPr>
                <w:rFonts w:hint="eastAsia" w:ascii="宋体" w:hAnsi="宋体" w:cs="宋体"/>
                <w:szCs w:val="21"/>
                <w:highlight w:val="white"/>
              </w:rPr>
              <w:t>4.2.1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432D744">
            <w:pPr>
              <w:jc w:val="center"/>
              <w:rPr>
                <w:rFonts w:hint="eastAsia" w:ascii="宋体" w:hAnsi="宋体" w:cs="宋体"/>
                <w:szCs w:val="21"/>
                <w:highlight w:val="white"/>
              </w:rPr>
            </w:pPr>
            <w:r>
              <w:rPr>
                <w:rFonts w:hint="eastAsia" w:ascii="宋体" w:hAnsi="宋体" w:cs="宋体"/>
                <w:szCs w:val="21"/>
                <w:highlight w:val="white"/>
              </w:rPr>
              <w:t>招标人通知</w:t>
            </w:r>
          </w:p>
          <w:p w14:paraId="1E6AF884">
            <w:pPr>
              <w:jc w:val="center"/>
              <w:rPr>
                <w:rFonts w:hint="eastAsia" w:ascii="宋体" w:hAnsi="宋体" w:cs="宋体"/>
                <w:szCs w:val="21"/>
              </w:rPr>
            </w:pPr>
            <w:r>
              <w:rPr>
                <w:rFonts w:hint="eastAsia" w:ascii="宋体" w:hAnsi="宋体" w:cs="宋体"/>
                <w:szCs w:val="21"/>
                <w:highlight w:val="white"/>
              </w:rPr>
              <w:t>延后投标截止时间的时间</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F134CAB">
            <w:pPr>
              <w:rPr>
                <w:rFonts w:hint="eastAsia" w:ascii="宋体" w:hAnsi="宋体" w:cs="宋体"/>
                <w:szCs w:val="21"/>
              </w:rPr>
            </w:pPr>
            <w:r>
              <w:rPr>
                <w:rFonts w:hint="eastAsia" w:ascii="宋体" w:hAnsi="宋体" w:cs="宋体"/>
                <w:szCs w:val="21"/>
                <w:highlight w:val="white"/>
              </w:rPr>
              <w:t>原定投标截止时间5天前</w:t>
            </w:r>
          </w:p>
        </w:tc>
      </w:tr>
      <w:tr w14:paraId="5210656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BDACDD7">
            <w:pPr>
              <w:jc w:val="center"/>
              <w:rPr>
                <w:rFonts w:hint="eastAsia" w:ascii="宋体" w:hAnsi="宋体" w:cs="宋体"/>
                <w:szCs w:val="21"/>
              </w:rPr>
            </w:pPr>
            <w:r>
              <w:rPr>
                <w:rFonts w:hint="eastAsia" w:ascii="宋体" w:hAnsi="宋体" w:cs="宋体"/>
                <w:szCs w:val="21"/>
                <w:highlight w:val="white"/>
              </w:rPr>
              <w:t>5.1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25C1871">
            <w:pPr>
              <w:jc w:val="center"/>
              <w:rPr>
                <w:rFonts w:hint="eastAsia" w:ascii="宋体" w:hAnsi="宋体" w:cs="宋体"/>
                <w:szCs w:val="21"/>
                <w:highlight w:val="white"/>
              </w:rPr>
            </w:pPr>
            <w:r>
              <w:rPr>
                <w:rFonts w:hint="eastAsia" w:ascii="宋体" w:hAnsi="宋体" w:cs="宋体"/>
                <w:szCs w:val="21"/>
                <w:highlight w:val="white"/>
              </w:rPr>
              <w:t>开标时间</w:t>
            </w:r>
          </w:p>
          <w:p w14:paraId="081B0029">
            <w:pPr>
              <w:jc w:val="center"/>
              <w:rPr>
                <w:rFonts w:hint="eastAsia" w:ascii="宋体" w:hAnsi="宋体" w:cs="宋体"/>
                <w:szCs w:val="21"/>
              </w:rPr>
            </w:pPr>
            <w:r>
              <w:rPr>
                <w:rFonts w:hint="eastAsia" w:ascii="宋体" w:hAnsi="宋体" w:cs="宋体"/>
                <w:szCs w:val="21"/>
                <w:highlight w:val="white"/>
              </w:rPr>
              <w:t>和地点</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A6A6C07">
            <w:pPr>
              <w:pStyle w:val="13"/>
              <w:widowControl/>
              <w:pBdr>
                <w:top w:val="none" w:color="auto" w:sz="0" w:space="0"/>
                <w:left w:val="none" w:color="auto" w:sz="0" w:space="0"/>
                <w:bottom w:val="none" w:color="auto" w:sz="0" w:space="0"/>
                <w:right w:val="none" w:color="auto" w:sz="0" w:space="0"/>
              </w:pBdr>
              <w:shd w:val="clear" w:color="auto" w:fill="FFFFFF"/>
              <w:wordWrap w:val="0"/>
              <w:spacing w:line="18" w:lineRule="atLeast"/>
              <w:ind w:right="0"/>
              <w:jc w:val="left"/>
              <w:rPr>
                <w:rFonts w:hint="eastAsia" w:ascii="Calibri" w:hAnsi="Calibri" w:eastAsia="宋体" w:cs="Times New Roman"/>
                <w:kern w:val="2"/>
                <w:sz w:val="21"/>
                <w:szCs w:val="21"/>
                <w:highlight w:val="white"/>
                <w:lang w:val="en-US" w:eastAsia="zh-CN" w:bidi="ar-SA"/>
              </w:rPr>
            </w:pPr>
            <w:r>
              <w:rPr>
                <w:rFonts w:hint="eastAsia" w:ascii="Calibri" w:hAnsi="Calibri" w:eastAsia="宋体" w:cs="Times New Roman"/>
                <w:kern w:val="2"/>
                <w:sz w:val="21"/>
                <w:szCs w:val="21"/>
                <w:highlight w:val="white"/>
                <w:lang w:val="en-US" w:eastAsia="zh-CN" w:bidi="ar-SA"/>
              </w:rPr>
              <w:t>开标时间：同投标截止时间。</w:t>
            </w:r>
          </w:p>
          <w:p w14:paraId="1E2C04E1">
            <w:pPr>
              <w:pStyle w:val="13"/>
              <w:widowControl/>
              <w:pBdr>
                <w:top w:val="none" w:color="auto" w:sz="0" w:space="0"/>
                <w:left w:val="none" w:color="auto" w:sz="0" w:space="0"/>
                <w:bottom w:val="none" w:color="auto" w:sz="0" w:space="0"/>
                <w:right w:val="none" w:color="auto" w:sz="0" w:space="0"/>
              </w:pBdr>
              <w:shd w:val="clear" w:color="auto" w:fill="FFFFFF"/>
              <w:spacing w:line="18" w:lineRule="atLeast"/>
              <w:ind w:right="0"/>
              <w:jc w:val="left"/>
              <w:rPr>
                <w:rFonts w:hint="eastAsia" w:ascii="宋体" w:hAnsi="宋体" w:cs="宋体"/>
                <w:szCs w:val="21"/>
              </w:rPr>
            </w:pPr>
            <w:r>
              <w:rPr>
                <w:rFonts w:hint="eastAsia" w:ascii="Calibri" w:hAnsi="Calibri" w:eastAsia="宋体" w:cs="Times New Roman"/>
                <w:kern w:val="2"/>
                <w:sz w:val="21"/>
                <w:szCs w:val="21"/>
                <w:highlight w:val="white"/>
                <w:lang w:val="en-US" w:eastAsia="zh-CN" w:bidi="ar-SA"/>
              </w:rPr>
              <w:t>开标地点：电子交易平台在线公开开标，投标人应在线参加开标，开标登录地址：福建沙县农村产权交易中心电子招投标平台（http://ztb.fncjys.cn/；同时招标人在尤溪县两山农村产权流转服务中心尤溪县城关镇滨河大道6号108（交易场所）设置开标会场，投标人可自行决定是否到场参加开标会。</w:t>
            </w:r>
          </w:p>
        </w:tc>
      </w:tr>
      <w:tr w14:paraId="6C7FCA6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6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9157D22">
            <w:pPr>
              <w:jc w:val="center"/>
              <w:rPr>
                <w:rFonts w:hint="eastAsia" w:ascii="宋体" w:hAnsi="宋体" w:cs="宋体"/>
                <w:szCs w:val="21"/>
              </w:rPr>
            </w:pPr>
            <w:r>
              <w:rPr>
                <w:rFonts w:hint="eastAsia" w:ascii="宋体" w:hAnsi="宋体" w:cs="宋体"/>
                <w:szCs w:val="21"/>
                <w:highlight w:val="white"/>
              </w:rPr>
              <w:t>5.2.1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CD59CD5">
            <w:pPr>
              <w:jc w:val="center"/>
              <w:rPr>
                <w:rFonts w:hint="eastAsia" w:ascii="宋体" w:hAnsi="宋体" w:cs="宋体"/>
                <w:szCs w:val="21"/>
              </w:rPr>
            </w:pPr>
            <w:r>
              <w:rPr>
                <w:rFonts w:hint="eastAsia" w:ascii="宋体" w:hAnsi="宋体" w:cs="宋体"/>
                <w:szCs w:val="21"/>
                <w:highlight w:val="white"/>
              </w:rPr>
              <w:t>第一信封（商务文件）开标程序</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6DAB843F">
            <w:pPr>
              <w:wordWrap w:val="0"/>
              <w:spacing w:line="0" w:lineRule="atLeast"/>
              <w:rPr>
                <w:rFonts w:hint="eastAsia"/>
              </w:rPr>
            </w:pPr>
            <w:r>
              <w:rPr>
                <w:rFonts w:hint="eastAsia"/>
                <w:szCs w:val="21"/>
                <w:highlight w:val="white"/>
              </w:rPr>
              <w:t>按以下程序进行开标：</w:t>
            </w:r>
            <w:r>
              <w:rPr>
                <w:rFonts w:hint="eastAsia"/>
                <w:highlight w:val="white"/>
              </w:rPr>
              <w:t>电子投标文件解密。</w:t>
            </w:r>
          </w:p>
          <w:p w14:paraId="42BB7B55">
            <w:pPr>
              <w:wordWrap w:val="0"/>
              <w:spacing w:line="0" w:lineRule="atLeast"/>
              <w:ind w:firstLine="420" w:firstLineChars="200"/>
              <w:rPr>
                <w:rFonts w:hint="eastAsia" w:ascii="宋体" w:hAnsi="宋体" w:cs="宋体"/>
                <w:szCs w:val="21"/>
              </w:rPr>
            </w:pPr>
            <w:r>
              <w:rPr>
                <w:rFonts w:hint="eastAsia"/>
                <w:szCs w:val="21"/>
                <w:highlight w:val="white"/>
              </w:rPr>
              <w:t>投标人在线参加开标。开标时，电子交易平台自动提取所有投标文件，提示投标人在线开始解密。投标人应在开始解密时间（开标时间）起</w:t>
            </w:r>
            <w:r>
              <w:rPr>
                <w:rFonts w:hint="eastAsia"/>
                <w:szCs w:val="21"/>
                <w:highlight w:val="white"/>
                <w:lang w:val="en-US" w:eastAsia="zh-CN"/>
              </w:rPr>
              <w:t>45</w:t>
            </w:r>
            <w:r>
              <w:rPr>
                <w:rFonts w:hint="eastAsia"/>
                <w:szCs w:val="21"/>
                <w:highlight w:val="white"/>
              </w:rPr>
              <w:t>分钟内在线进行电子投标文件的解密操作。只允许使用生成投标文件的CA数字证书进行解密。</w:t>
            </w:r>
          </w:p>
        </w:tc>
      </w:tr>
      <w:tr w14:paraId="415BCD5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8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31D1DAA1">
            <w:pPr>
              <w:rPr>
                <w:rFonts w:hint="eastAsia" w:ascii="宋体" w:hAnsi="宋体" w:cs="宋体"/>
                <w:szCs w:val="21"/>
              </w:rPr>
            </w:pPr>
            <w:bookmarkStart w:id="192" w:name="EB7fdadb626aa440989949173a9bb62c54"/>
            <w:r>
              <w:rPr>
                <w:rFonts w:hint="eastAsia" w:ascii="宋体" w:hAnsi="宋体" w:cs="宋体"/>
                <w:color w:val="000080"/>
                <w:szCs w:val="21"/>
                <w:highlight w:val="white"/>
              </w:rPr>
              <w:t xml:space="preserve"> </w:t>
            </w:r>
            <w:bookmarkEnd w:id="192"/>
            <w:bookmarkStart w:id="193" w:name="EBe149b84c35a74b1f9a8cf6b85f3f97b0"/>
            <w:r>
              <w:rPr>
                <w:rFonts w:hint="eastAsia" w:ascii="宋体" w:hAnsi="宋体" w:cs="宋体"/>
                <w:color w:val="000080"/>
                <w:szCs w:val="21"/>
                <w:highlight w:val="white"/>
              </w:rPr>
              <w:t xml:space="preserve"> </w:t>
            </w:r>
            <w:bookmarkEnd w:id="193"/>
            <w:r>
              <w:rPr>
                <w:rFonts w:hint="eastAsia" w:ascii="宋体" w:hAnsi="宋体" w:cs="宋体"/>
                <w:szCs w:val="21"/>
                <w:highlight w:val="white"/>
              </w:rPr>
              <w:t>6.1.1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1D398FE">
            <w:pPr>
              <w:jc w:val="center"/>
              <w:rPr>
                <w:rFonts w:hint="eastAsia" w:ascii="宋体" w:hAnsi="宋体" w:cs="宋体"/>
                <w:szCs w:val="21"/>
                <w:highlight w:val="white"/>
              </w:rPr>
            </w:pPr>
            <w:r>
              <w:rPr>
                <w:rFonts w:hint="eastAsia" w:ascii="宋体" w:hAnsi="宋体" w:cs="宋体"/>
                <w:szCs w:val="21"/>
                <w:highlight w:val="white"/>
              </w:rPr>
              <w:t>评标委员会</w:t>
            </w:r>
          </w:p>
          <w:p w14:paraId="1FD1528C">
            <w:pPr>
              <w:jc w:val="center"/>
              <w:rPr>
                <w:rFonts w:hint="eastAsia" w:ascii="宋体" w:hAnsi="宋体" w:cs="宋体"/>
                <w:szCs w:val="21"/>
              </w:rPr>
            </w:pPr>
            <w:r>
              <w:rPr>
                <w:rFonts w:hint="eastAsia" w:ascii="宋体" w:hAnsi="宋体" w:cs="宋体"/>
                <w:szCs w:val="21"/>
                <w:highlight w:val="white"/>
              </w:rPr>
              <w:t>的组建</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B6F2999">
            <w:pPr>
              <w:rPr>
                <w:rFonts w:hint="eastAsia" w:ascii="宋体" w:hAnsi="宋体" w:cs="宋体"/>
                <w:szCs w:val="21"/>
              </w:rPr>
            </w:pPr>
            <w:r>
              <w:rPr>
                <w:rFonts w:hint="eastAsia" w:ascii="宋体" w:hAnsi="宋体" w:cs="宋体"/>
                <w:szCs w:val="21"/>
                <w:highlight w:val="white"/>
              </w:rPr>
              <w:t>评标委员会构成：3人，其中招标人代表</w:t>
            </w:r>
            <w:bookmarkStart w:id="194" w:name="EBf688da3bdcd04e3198e2f50a5ec0ad33"/>
            <w:r>
              <w:rPr>
                <w:rFonts w:hint="eastAsia" w:ascii="宋体" w:hAnsi="宋体" w:cs="宋体"/>
                <w:szCs w:val="21"/>
                <w:highlight w:val="white"/>
              </w:rPr>
              <w:t>0</w:t>
            </w:r>
            <w:bookmarkEnd w:id="194"/>
            <w:r>
              <w:rPr>
                <w:rFonts w:hint="eastAsia" w:ascii="宋体" w:hAnsi="宋体" w:cs="宋体"/>
                <w:szCs w:val="21"/>
                <w:highlight w:val="white"/>
              </w:rPr>
              <w:t>人，专家3人；</w:t>
            </w:r>
          </w:p>
          <w:p w14:paraId="1106B969">
            <w:pPr>
              <w:rPr>
                <w:rFonts w:hint="eastAsia" w:ascii="宋体" w:hAnsi="宋体" w:cs="宋体"/>
                <w:szCs w:val="21"/>
              </w:rPr>
            </w:pPr>
            <w:r>
              <w:rPr>
                <w:rFonts w:hint="eastAsia" w:ascii="宋体" w:hAnsi="宋体" w:cs="宋体"/>
                <w:szCs w:val="21"/>
                <w:highlight w:val="white"/>
              </w:rPr>
              <w:t>评标专家确定方式：从</w:t>
            </w:r>
            <w:bookmarkStart w:id="195" w:name="EBe17ef169c288458186733a88d56f8e4f"/>
            <w:r>
              <w:rPr>
                <w:rFonts w:hint="eastAsia" w:ascii="宋体" w:hAnsi="宋体" w:cs="宋体"/>
                <w:szCs w:val="21"/>
                <w:highlight w:val="white"/>
              </w:rPr>
              <w:t>福建省</w:t>
            </w:r>
            <w:bookmarkEnd w:id="195"/>
            <w:r>
              <w:rPr>
                <w:rFonts w:hint="eastAsia" w:ascii="宋体" w:hAnsi="宋体" w:cs="宋体"/>
                <w:szCs w:val="21"/>
                <w:highlight w:val="white"/>
              </w:rPr>
              <w:t>设立的评标专家库中随机抽取确定。</w:t>
            </w:r>
          </w:p>
        </w:tc>
      </w:tr>
      <w:tr w14:paraId="5166C75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4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8D9A788">
            <w:pPr>
              <w:jc w:val="center"/>
              <w:rPr>
                <w:rFonts w:hint="eastAsia" w:ascii="宋体" w:hAnsi="宋体" w:cs="宋体"/>
                <w:szCs w:val="21"/>
              </w:rPr>
            </w:pPr>
            <w:r>
              <w:rPr>
                <w:rFonts w:hint="eastAsia" w:ascii="宋体" w:hAnsi="宋体" w:cs="宋体"/>
                <w:szCs w:val="21"/>
                <w:highlight w:val="white"/>
              </w:rPr>
              <w:t>7.1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9753F3A">
            <w:pPr>
              <w:jc w:val="center"/>
              <w:rPr>
                <w:rFonts w:hint="eastAsia" w:ascii="宋体" w:hAnsi="宋体" w:cs="宋体"/>
                <w:szCs w:val="21"/>
              </w:rPr>
            </w:pPr>
            <w:r>
              <w:rPr>
                <w:rFonts w:hint="eastAsia" w:ascii="宋体" w:hAnsi="宋体" w:cs="宋体"/>
                <w:szCs w:val="21"/>
                <w:highlight w:val="white"/>
              </w:rPr>
              <w:t>中标候选人公示媒介及期限</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C1CC4A2">
            <w:pPr>
              <w:rPr>
                <w:rFonts w:hint="eastAsia" w:ascii="宋体" w:hAnsi="宋体" w:cs="宋体"/>
                <w:szCs w:val="21"/>
                <w:highlight w:val="white"/>
              </w:rPr>
            </w:pPr>
            <w:r>
              <w:rPr>
                <w:rFonts w:hint="eastAsia" w:ascii="宋体" w:hAnsi="宋体" w:cs="宋体"/>
                <w:szCs w:val="21"/>
                <w:highlight w:val="white"/>
              </w:rPr>
              <w:t>公示媒介：</w:t>
            </w:r>
            <w:r>
              <w:rPr>
                <w:rFonts w:hint="eastAsia" w:ascii="宋体" w:hAnsi="宋体" w:eastAsia="宋体" w:cs="宋体"/>
                <w:color w:val="0000FF"/>
                <w:sz w:val="24"/>
                <w:lang w:eastAsia="zh-CN"/>
              </w:rPr>
              <w:t>福建沙县农村产权交易中心电子招投标平台</w:t>
            </w:r>
            <w:r>
              <w:rPr>
                <w:rFonts w:hint="eastAsia" w:ascii="宋体" w:hAnsi="宋体" w:eastAsia="宋体" w:cs="宋体"/>
                <w:color w:val="0000FF"/>
                <w:sz w:val="24"/>
              </w:rPr>
              <w:t>（http://ztb.fncjys.cn/）</w:t>
            </w:r>
          </w:p>
          <w:p w14:paraId="42E3F36D">
            <w:pPr>
              <w:rPr>
                <w:rFonts w:hint="eastAsia" w:ascii="宋体" w:hAnsi="宋体" w:cs="宋体"/>
                <w:szCs w:val="21"/>
              </w:rPr>
            </w:pPr>
            <w:r>
              <w:rPr>
                <w:rFonts w:hint="eastAsia" w:ascii="宋体" w:hAnsi="宋体" w:cs="宋体"/>
                <w:szCs w:val="21"/>
                <w:highlight w:val="white"/>
              </w:rPr>
              <w:t>公示期限：</w:t>
            </w:r>
            <w:bookmarkStart w:id="196" w:name="EB902765fabd574321ba0e0538dc358c67"/>
            <w:r>
              <w:rPr>
                <w:rFonts w:hint="eastAsia" w:ascii="宋体" w:hAnsi="宋体" w:cs="宋体"/>
                <w:szCs w:val="21"/>
                <w:highlight w:val="white"/>
              </w:rPr>
              <w:t>3日</w:t>
            </w:r>
            <w:bookmarkEnd w:id="196"/>
          </w:p>
        </w:tc>
      </w:tr>
      <w:tr w14:paraId="603692B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4C306B6A">
            <w:pPr>
              <w:jc w:val="center"/>
              <w:rPr>
                <w:rFonts w:hint="eastAsia" w:ascii="宋体" w:hAnsi="宋体" w:cs="宋体"/>
                <w:szCs w:val="21"/>
              </w:rPr>
            </w:pPr>
            <w:r>
              <w:rPr>
                <w:rFonts w:hint="eastAsia" w:ascii="宋体" w:hAnsi="宋体" w:cs="宋体"/>
                <w:szCs w:val="21"/>
                <w:highlight w:val="white"/>
              </w:rPr>
              <w:t>7.4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1BB1F44">
            <w:pPr>
              <w:jc w:val="center"/>
              <w:rPr>
                <w:rFonts w:hint="eastAsia" w:ascii="宋体" w:hAnsi="宋体" w:cs="宋体"/>
                <w:szCs w:val="21"/>
              </w:rPr>
            </w:pPr>
            <w:r>
              <w:rPr>
                <w:rFonts w:hint="eastAsia" w:ascii="宋体" w:hAnsi="宋体" w:cs="宋体"/>
                <w:szCs w:val="21"/>
                <w:highlight w:val="white"/>
              </w:rPr>
              <w:t>是否授权评标委员会确定中标人</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0D0987F7">
            <w:pPr>
              <w:rPr>
                <w:rFonts w:hint="eastAsia" w:ascii="宋体" w:hAnsi="宋体" w:cs="宋体"/>
                <w:szCs w:val="21"/>
              </w:rPr>
            </w:pPr>
            <w:r>
              <w:rPr>
                <w:rFonts w:hint="eastAsia" w:ascii="宋体" w:hAnsi="宋体" w:cs="宋体"/>
                <w:szCs w:val="21"/>
                <w:highlight w:val="white"/>
              </w:rPr>
              <w:t>否，推荐的中标候选人数(1~3个)：</w:t>
            </w:r>
            <w:r>
              <w:rPr>
                <w:rFonts w:hint="eastAsia" w:ascii="宋体" w:hAnsi="宋体" w:cs="宋体"/>
                <w:color w:val="0000FF"/>
                <w:szCs w:val="21"/>
                <w:highlight w:val="white"/>
                <w:lang w:val="en-US" w:eastAsia="zh-CN"/>
              </w:rPr>
              <w:t>1</w:t>
            </w:r>
            <w:r>
              <w:rPr>
                <w:rFonts w:hint="eastAsia" w:ascii="宋体" w:hAnsi="宋体" w:cs="宋体"/>
                <w:szCs w:val="21"/>
                <w:highlight w:val="white"/>
              </w:rPr>
              <w:t>个</w:t>
            </w:r>
          </w:p>
        </w:tc>
      </w:tr>
      <w:tr w14:paraId="393315F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3982FCD0">
            <w:pPr>
              <w:jc w:val="center"/>
              <w:rPr>
                <w:rFonts w:hint="eastAsia" w:ascii="宋体" w:hAnsi="宋体" w:cs="宋体"/>
                <w:szCs w:val="21"/>
              </w:rPr>
            </w:pPr>
            <w:r>
              <w:rPr>
                <w:rFonts w:hint="eastAsia" w:ascii="宋体" w:hAnsi="宋体" w:cs="宋体"/>
                <w:szCs w:val="21"/>
                <w:highlight w:val="white"/>
              </w:rPr>
              <w:t>7.6</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DD26C24">
            <w:pPr>
              <w:jc w:val="center"/>
              <w:rPr>
                <w:rFonts w:hint="eastAsia" w:ascii="宋体" w:hAnsi="宋体" w:cs="宋体"/>
                <w:szCs w:val="21"/>
              </w:rPr>
            </w:pPr>
            <w:r>
              <w:rPr>
                <w:rFonts w:hint="eastAsia" w:ascii="宋体" w:hAnsi="宋体" w:cs="宋体"/>
                <w:szCs w:val="21"/>
                <w:highlight w:val="white"/>
              </w:rPr>
              <w:t>中标结果公告媒介及期限</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34833C70">
            <w:pPr>
              <w:rPr>
                <w:rFonts w:hint="eastAsia" w:ascii="宋体" w:hAnsi="宋体" w:cs="宋体"/>
                <w:szCs w:val="21"/>
              </w:rPr>
            </w:pPr>
            <w:r>
              <w:rPr>
                <w:rFonts w:hint="eastAsia" w:ascii="宋体" w:hAnsi="宋体" w:cs="宋体"/>
                <w:szCs w:val="21"/>
                <w:highlight w:val="white"/>
              </w:rPr>
              <w:t>公告媒介：/日</w:t>
            </w:r>
          </w:p>
          <w:p w14:paraId="249F883F">
            <w:pPr>
              <w:rPr>
                <w:rFonts w:hint="eastAsia" w:ascii="宋体" w:hAnsi="宋体" w:cs="宋体"/>
                <w:szCs w:val="21"/>
              </w:rPr>
            </w:pPr>
            <w:r>
              <w:rPr>
                <w:rFonts w:hint="eastAsia" w:ascii="宋体" w:hAnsi="宋体" w:cs="宋体"/>
                <w:szCs w:val="21"/>
                <w:highlight w:val="white"/>
              </w:rPr>
              <w:t>公告期限：/日</w:t>
            </w:r>
          </w:p>
        </w:tc>
      </w:tr>
      <w:tr w14:paraId="1F424F7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1547144">
            <w:pPr>
              <w:jc w:val="center"/>
              <w:rPr>
                <w:rFonts w:hint="eastAsia" w:ascii="宋体" w:hAnsi="宋体" w:cs="宋体"/>
                <w:szCs w:val="21"/>
              </w:rPr>
            </w:pPr>
            <w:r>
              <w:rPr>
                <w:rFonts w:hint="eastAsia" w:ascii="宋体" w:hAnsi="宋体" w:cs="宋体"/>
                <w:szCs w:val="21"/>
                <w:highlight w:val="white"/>
              </w:rPr>
              <w:t>7.7.1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16A849B">
            <w:pPr>
              <w:jc w:val="center"/>
              <w:rPr>
                <w:rFonts w:hint="eastAsia" w:ascii="宋体" w:hAnsi="宋体" w:cs="宋体"/>
                <w:szCs w:val="21"/>
              </w:rPr>
            </w:pPr>
            <w:r>
              <w:rPr>
                <w:rFonts w:hint="eastAsia" w:ascii="宋体" w:hAnsi="宋体" w:cs="宋体"/>
                <w:szCs w:val="21"/>
                <w:highlight w:val="white"/>
              </w:rPr>
              <w:t>履约保证金</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2DCEBB9">
            <w:pPr>
              <w:jc w:val="left"/>
              <w:rPr>
                <w:rFonts w:hint="eastAsia" w:ascii="宋体" w:hAnsi="宋体" w:cs="宋体"/>
                <w:szCs w:val="21"/>
                <w:highlight w:val="white"/>
              </w:rPr>
            </w:pPr>
            <w:r>
              <w:rPr>
                <w:rFonts w:hint="eastAsia" w:ascii="宋体" w:hAnsi="宋体" w:cs="宋体"/>
                <w:szCs w:val="21"/>
                <w:highlight w:val="white"/>
              </w:rPr>
              <w:t>履约保证金的金额：</w:t>
            </w:r>
            <w:r>
              <w:rPr>
                <w:rFonts w:hint="eastAsia" w:ascii="宋体" w:hAnsi="宋体" w:cs="宋体"/>
                <w:color w:val="0000FF"/>
                <w:szCs w:val="21"/>
                <w:highlight w:val="white"/>
              </w:rPr>
              <w:t>10%</w:t>
            </w:r>
            <w:r>
              <w:rPr>
                <w:rFonts w:hint="eastAsia" w:ascii="宋体" w:hAnsi="宋体" w:cs="宋体"/>
                <w:szCs w:val="21"/>
                <w:highlight w:val="white"/>
              </w:rPr>
              <w:t>签约合同价（参考取5-10%）</w:t>
            </w:r>
          </w:p>
          <w:p w14:paraId="61E2A476">
            <w:pPr>
              <w:jc w:val="left"/>
              <w:rPr>
                <w:rFonts w:hint="eastAsia" w:ascii="宋体" w:hAnsi="宋体" w:cs="宋体"/>
                <w:szCs w:val="21"/>
                <w:highlight w:val="white"/>
              </w:rPr>
            </w:pPr>
            <w:r>
              <w:rPr>
                <w:rFonts w:hint="eastAsia" w:ascii="宋体" w:hAnsi="宋体" w:cs="宋体"/>
                <w:szCs w:val="21"/>
                <w:highlight w:val="white"/>
              </w:rPr>
              <w:t>履约担保形式(由中标人自主选择以下一种)：</w:t>
            </w:r>
          </w:p>
          <w:p w14:paraId="2E8C619E">
            <w:pPr>
              <w:jc w:val="left"/>
              <w:rPr>
                <w:rFonts w:hint="eastAsia" w:ascii="宋体" w:hAnsi="宋体" w:cs="宋体"/>
                <w:szCs w:val="21"/>
                <w:highlight w:val="white"/>
              </w:rPr>
            </w:pPr>
            <w:r>
              <w:rPr>
                <w:rFonts w:hint="eastAsia" w:ascii="宋体" w:hAnsi="宋体" w:cs="宋体"/>
                <w:szCs w:val="21"/>
                <w:highlight w:val="white"/>
              </w:rPr>
              <w:t>银行保函、保险保函、</w:t>
            </w:r>
            <w:r>
              <w:rPr>
                <w:rFonts w:hint="eastAsia" w:ascii="宋体" w:hAnsi="宋体" w:cs="宋体"/>
                <w:szCs w:val="21"/>
                <w:highlight w:val="white"/>
                <w:lang w:eastAsia="zh-CN"/>
              </w:rPr>
              <w:t>担保保函、</w:t>
            </w:r>
            <w:r>
              <w:rPr>
                <w:rFonts w:hint="eastAsia" w:ascii="宋体" w:hAnsi="宋体" w:cs="宋体"/>
                <w:szCs w:val="21"/>
                <w:highlight w:val="white"/>
              </w:rPr>
              <w:t>现金（电汇或银行汇票形式）</w:t>
            </w:r>
          </w:p>
          <w:p w14:paraId="3A1D7D3B">
            <w:pPr>
              <w:jc w:val="left"/>
              <w:rPr>
                <w:rFonts w:hint="eastAsia" w:ascii="宋体" w:hAnsi="宋体" w:cs="宋体"/>
                <w:szCs w:val="21"/>
              </w:rPr>
            </w:pPr>
            <w:r>
              <w:rPr>
                <w:rFonts w:hint="eastAsia" w:ascii="宋体" w:hAnsi="宋体" w:cs="宋体"/>
                <w:szCs w:val="21"/>
                <w:highlight w:val="white"/>
              </w:rPr>
              <w:t>采用的银行保函须由国有商业银行或股份制银行开具，并保证其有效，所需费用由中标人承担。在签订合同前，中标人应按招标文件第四章“合同条款及格式”规定的履约担保格式向招标人提交履约保函。</w:t>
            </w:r>
          </w:p>
        </w:tc>
      </w:tr>
      <w:tr w14:paraId="14D7307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72"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F9F1C17">
            <w:pPr>
              <w:jc w:val="center"/>
              <w:rPr>
                <w:rFonts w:hint="eastAsia" w:ascii="宋体" w:hAnsi="宋体" w:cs="宋体"/>
                <w:szCs w:val="21"/>
              </w:rPr>
            </w:pPr>
            <w:r>
              <w:rPr>
                <w:rFonts w:hint="eastAsia" w:ascii="宋体" w:hAnsi="宋体" w:cs="宋体"/>
                <w:szCs w:val="21"/>
                <w:highlight w:val="white"/>
              </w:rPr>
              <w:t>7.7.2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5A5AF28">
            <w:pPr>
              <w:jc w:val="center"/>
              <w:rPr>
                <w:rFonts w:hint="eastAsia" w:ascii="宋体" w:hAnsi="宋体" w:cs="宋体"/>
                <w:szCs w:val="21"/>
                <w:highlight w:val="white"/>
              </w:rPr>
            </w:pPr>
            <w:r>
              <w:rPr>
                <w:rFonts w:hint="eastAsia" w:ascii="宋体" w:hAnsi="宋体" w:cs="宋体"/>
                <w:szCs w:val="21"/>
                <w:highlight w:val="white"/>
              </w:rPr>
              <w:t>未按要求提交履约担保</w:t>
            </w:r>
          </w:p>
          <w:p w14:paraId="24E33FEB">
            <w:pPr>
              <w:jc w:val="center"/>
              <w:rPr>
                <w:rFonts w:hint="eastAsia" w:ascii="宋体" w:hAnsi="宋体" w:cs="宋体"/>
                <w:szCs w:val="21"/>
              </w:rPr>
            </w:pPr>
            <w:r>
              <w:rPr>
                <w:rFonts w:hint="eastAsia" w:ascii="宋体" w:hAnsi="宋体" w:cs="宋体"/>
                <w:szCs w:val="21"/>
                <w:highlight w:val="white"/>
              </w:rPr>
              <w:t>的处理</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76E31D3">
            <w:pPr>
              <w:keepNext/>
              <w:keepLines/>
              <w:widowControl/>
              <w:spacing w:after="120" w:afterLines="50"/>
              <w:ind w:firstLine="420" w:firstLineChars="200"/>
              <w:rPr>
                <w:rFonts w:hint="eastAsia" w:ascii="宋体" w:hAnsi="宋体" w:cs="宋体"/>
                <w:szCs w:val="21"/>
              </w:rPr>
            </w:pPr>
            <w:r>
              <w:rPr>
                <w:rFonts w:hint="eastAsia" w:ascii="宋体" w:hAnsi="宋体" w:cs="宋体"/>
                <w:szCs w:val="21"/>
                <w:highlight w:val="white"/>
              </w:rPr>
              <w:t>中标人不能按本章第7.7.1款要求提交履约担保的，视为放弃中标，其投标保证金不予退还，给招标人造成的损失超过投标保证金数额的，中标人还应当对超过部分予以赔偿。</w:t>
            </w:r>
          </w:p>
        </w:tc>
      </w:tr>
      <w:tr w14:paraId="7407D3A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93E2FD0">
            <w:pPr>
              <w:jc w:val="center"/>
              <w:rPr>
                <w:rFonts w:hint="eastAsia" w:ascii="宋体" w:hAnsi="宋体" w:cs="宋体"/>
                <w:szCs w:val="21"/>
              </w:rPr>
            </w:pPr>
            <w:r>
              <w:rPr>
                <w:rFonts w:hint="eastAsia" w:ascii="宋体" w:hAnsi="宋体" w:cs="宋体"/>
                <w:szCs w:val="21"/>
                <w:highlight w:val="white"/>
              </w:rPr>
              <w:t>7.8.1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A182C37">
            <w:pPr>
              <w:jc w:val="center"/>
              <w:rPr>
                <w:rFonts w:hint="eastAsia" w:ascii="宋体" w:hAnsi="宋体" w:cs="宋体"/>
                <w:szCs w:val="21"/>
              </w:rPr>
            </w:pPr>
            <w:r>
              <w:rPr>
                <w:rFonts w:hint="eastAsia" w:ascii="宋体" w:hAnsi="宋体" w:cs="宋体"/>
                <w:szCs w:val="21"/>
                <w:highlight w:val="white"/>
              </w:rPr>
              <w:t>投标人未按要求签订合同的处理</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2F0C084A">
            <w:pPr>
              <w:ind w:firstLine="420" w:firstLineChars="200"/>
              <w:rPr>
                <w:rFonts w:hint="eastAsia" w:ascii="宋体" w:hAnsi="宋体" w:cs="宋体"/>
                <w:szCs w:val="21"/>
              </w:rPr>
            </w:pPr>
            <w:r>
              <w:rPr>
                <w:rFonts w:hint="eastAsia" w:ascii="宋体" w:hAnsi="宋体" w:cs="宋体"/>
                <w:szCs w:val="21"/>
                <w:highlight w:val="white"/>
              </w:rPr>
              <w:t>中标人应在中标公示期满5日内领取中标通知书，招标人和中标人应当自中标通知书发出之日起</w:t>
            </w:r>
            <w:r>
              <w:rPr>
                <w:rFonts w:hint="eastAsia" w:ascii="宋体" w:hAnsi="宋体" w:cs="宋体"/>
                <w:color w:val="0000FF"/>
                <w:szCs w:val="21"/>
                <w:highlight w:val="white"/>
              </w:rPr>
              <w:t>30天内</w:t>
            </w:r>
            <w:r>
              <w:rPr>
                <w:rFonts w:hint="eastAsia" w:ascii="宋体" w:hAnsi="宋体" w:cs="宋体"/>
                <w:szCs w:val="21"/>
                <w:highlight w:val="white"/>
              </w:rPr>
              <w:t>，根据招标文件和中标人的投标文件订立书面合同。</w:t>
            </w:r>
            <w:r>
              <w:rPr>
                <w:rFonts w:hint="eastAsia" w:ascii="宋体" w:hAnsi="宋体" w:cs="宋体"/>
                <w:color w:val="auto"/>
                <w:kern w:val="0"/>
                <w:sz w:val="21"/>
                <w:szCs w:val="21"/>
                <w:lang w:val="en-US" w:eastAsia="zh-CN" w:bidi="ar-SA"/>
              </w:rPr>
              <w:t>中标人无正当理由逾期领取中标通知书或</w:t>
            </w:r>
            <w:r>
              <w:rPr>
                <w:rFonts w:hint="eastAsia" w:ascii="宋体" w:hAnsi="宋体" w:cs="宋体"/>
                <w:szCs w:val="21"/>
                <w:highlight w:val="white"/>
              </w:rPr>
              <w:t xml:space="preserve">中标人无正当理由拒签合同的，招标人取消其中标资格，其投标保证金不予退还；给招标人造成的损失超过投标保证金数额的，中标人还应当对超过部分予以赔偿。 </w:t>
            </w:r>
          </w:p>
        </w:tc>
      </w:tr>
      <w:tr w14:paraId="5488464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4668A542">
            <w:pPr>
              <w:jc w:val="center"/>
              <w:rPr>
                <w:rFonts w:hint="eastAsia" w:ascii="宋体" w:hAnsi="宋体" w:cs="宋体"/>
                <w:szCs w:val="21"/>
              </w:rPr>
            </w:pPr>
            <w:r>
              <w:rPr>
                <w:rFonts w:hint="eastAsia" w:ascii="宋体" w:hAnsi="宋体" w:cs="宋体"/>
                <w:szCs w:val="21"/>
                <w:highlight w:val="white"/>
              </w:rPr>
              <w:t>7.8.2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C0C6136">
            <w:pPr>
              <w:jc w:val="center"/>
              <w:rPr>
                <w:rFonts w:hint="eastAsia" w:ascii="宋体" w:hAnsi="宋体" w:cs="宋体"/>
                <w:szCs w:val="21"/>
              </w:rPr>
            </w:pPr>
            <w:r>
              <w:rPr>
                <w:rFonts w:hint="eastAsia" w:ascii="宋体" w:hAnsi="宋体" w:cs="宋体"/>
                <w:szCs w:val="21"/>
                <w:highlight w:val="white"/>
              </w:rPr>
              <w:t>招标人未按要求签订合同的处理</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0268B237">
            <w:pPr>
              <w:keepNext/>
              <w:keepLines/>
              <w:widowControl/>
              <w:rPr>
                <w:rFonts w:hint="eastAsia" w:ascii="宋体" w:hAnsi="宋体" w:cs="宋体"/>
                <w:szCs w:val="21"/>
              </w:rPr>
            </w:pPr>
            <w:r>
              <w:rPr>
                <w:rFonts w:hint="eastAsia" w:ascii="宋体" w:hAnsi="宋体" w:cs="宋体"/>
                <w:szCs w:val="21"/>
                <w:highlight w:val="white"/>
              </w:rPr>
              <w:t>发出中标通知书后，招标人无正当理由拒签合同，或在签订合同时向中标人提出附加条件的，招标人向中标人退还投标保证金；给中标人造成损失的，还应当赔偿损失。</w:t>
            </w:r>
          </w:p>
        </w:tc>
      </w:tr>
      <w:tr w14:paraId="28BB78C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33"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53B99CB">
            <w:pPr>
              <w:jc w:val="center"/>
              <w:rPr>
                <w:rFonts w:hint="eastAsia" w:ascii="宋体" w:hAnsi="宋体" w:cs="宋体"/>
                <w:szCs w:val="21"/>
              </w:rPr>
            </w:pPr>
            <w:r>
              <w:rPr>
                <w:rFonts w:hint="eastAsia" w:ascii="宋体" w:hAnsi="宋体" w:cs="宋体"/>
                <w:szCs w:val="21"/>
                <w:highlight w:val="white"/>
              </w:rPr>
              <w:t>8.1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44F9E5B">
            <w:pPr>
              <w:jc w:val="center"/>
              <w:rPr>
                <w:rFonts w:hint="eastAsia" w:ascii="宋体" w:hAnsi="宋体" w:cs="宋体"/>
                <w:szCs w:val="21"/>
              </w:rPr>
            </w:pPr>
            <w:r>
              <w:rPr>
                <w:rFonts w:hint="eastAsia" w:ascii="宋体" w:hAnsi="宋体" w:cs="宋体"/>
                <w:szCs w:val="21"/>
                <w:highlight w:val="white"/>
              </w:rPr>
              <w:t>重新招标</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C9BF584">
            <w:pPr>
              <w:ind w:left="105" w:leftChars="50" w:right="113" w:firstLine="296" w:firstLineChars="141"/>
              <w:rPr>
                <w:rFonts w:hint="eastAsia" w:ascii="宋体" w:hAnsi="宋体" w:cs="宋体"/>
                <w:szCs w:val="21"/>
              </w:rPr>
            </w:pPr>
            <w:r>
              <w:rPr>
                <w:rFonts w:hint="eastAsia" w:ascii="宋体" w:hAnsi="宋体" w:cs="宋体"/>
                <w:szCs w:val="21"/>
                <w:highlight w:val="white"/>
              </w:rPr>
              <w:t>有下列情形之一的，招标人将重新招标：</w:t>
            </w:r>
          </w:p>
          <w:p w14:paraId="4BF286BC">
            <w:pPr>
              <w:ind w:left="105" w:leftChars="50" w:right="113" w:firstLine="296" w:firstLineChars="141"/>
              <w:rPr>
                <w:rFonts w:hint="eastAsia" w:ascii="宋体" w:hAnsi="宋体" w:cs="宋体"/>
                <w:szCs w:val="21"/>
              </w:rPr>
            </w:pPr>
            <w:r>
              <w:rPr>
                <w:rFonts w:hint="eastAsia" w:ascii="宋体" w:hAnsi="宋体" w:cs="宋体"/>
                <w:szCs w:val="21"/>
                <w:highlight w:val="white"/>
              </w:rPr>
              <w:t>（1）投标截止时间止，投标人少于3个的，则对该标段重新招标；</w:t>
            </w:r>
          </w:p>
          <w:p w14:paraId="595E690E">
            <w:pPr>
              <w:ind w:left="105" w:leftChars="50" w:right="113" w:firstLine="296" w:firstLineChars="141"/>
              <w:rPr>
                <w:rFonts w:hint="eastAsia" w:ascii="宋体" w:hAnsi="宋体" w:cs="宋体"/>
                <w:szCs w:val="21"/>
              </w:rPr>
            </w:pPr>
            <w:r>
              <w:rPr>
                <w:rFonts w:hint="eastAsia" w:ascii="宋体" w:hAnsi="宋体" w:cs="宋体"/>
                <w:szCs w:val="21"/>
                <w:highlight w:val="white"/>
              </w:rPr>
              <w:t>（2）第一信封（商务文件）开标结果显示，若某标段组或标段投标保证金到达总份数少于3个的，则对该标段组或标段重新招标；</w:t>
            </w:r>
          </w:p>
          <w:p w14:paraId="5CCDD743">
            <w:pPr>
              <w:ind w:left="105" w:leftChars="50" w:right="113" w:firstLine="296" w:firstLineChars="141"/>
              <w:rPr>
                <w:rFonts w:hint="eastAsia" w:ascii="宋体" w:hAnsi="宋体" w:cs="宋体"/>
                <w:szCs w:val="21"/>
              </w:rPr>
            </w:pPr>
            <w:r>
              <w:rPr>
                <w:rFonts w:hint="eastAsia" w:ascii="宋体" w:hAnsi="宋体" w:cs="宋体"/>
                <w:szCs w:val="21"/>
                <w:highlight w:val="white"/>
              </w:rPr>
              <w:t>（3）经评标委员会评审后否决某标段所有投标的，则对该标段重新招标；</w:t>
            </w:r>
          </w:p>
          <w:p w14:paraId="7EB0696C">
            <w:pPr>
              <w:ind w:left="105" w:leftChars="50" w:right="113" w:firstLine="296" w:firstLineChars="141"/>
              <w:rPr>
                <w:rFonts w:hint="eastAsia" w:ascii="宋体" w:hAnsi="宋体" w:cs="宋体"/>
                <w:szCs w:val="21"/>
              </w:rPr>
            </w:pPr>
            <w:r>
              <w:rPr>
                <w:rFonts w:hint="eastAsia" w:ascii="宋体" w:hAnsi="宋体" w:cs="宋体"/>
                <w:szCs w:val="21"/>
                <w:highlight w:val="white"/>
              </w:rPr>
              <w:t>（4）某标段中标候选人均未与招标人签订合同的，则对该标段重新招标；</w:t>
            </w:r>
          </w:p>
          <w:p w14:paraId="1CEB363F">
            <w:pPr>
              <w:keepNext/>
              <w:keepLines/>
              <w:widowControl/>
              <w:ind w:firstLine="420" w:firstLineChars="200"/>
              <w:rPr>
                <w:rFonts w:hint="eastAsia" w:ascii="宋体" w:hAnsi="宋体" w:cs="宋体"/>
                <w:szCs w:val="21"/>
              </w:rPr>
            </w:pPr>
            <w:r>
              <w:rPr>
                <w:rFonts w:hint="eastAsia" w:ascii="宋体" w:hAnsi="宋体" w:cs="宋体"/>
                <w:szCs w:val="21"/>
                <w:highlight w:val="white"/>
              </w:rPr>
              <w:t>（5）法律规定的其他情形。</w:t>
            </w:r>
          </w:p>
        </w:tc>
      </w:tr>
      <w:tr w14:paraId="5455221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1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DD0D743">
            <w:pPr>
              <w:jc w:val="center"/>
              <w:rPr>
                <w:rFonts w:hint="eastAsia" w:ascii="宋体" w:hAnsi="宋体" w:cs="宋体"/>
                <w:szCs w:val="21"/>
              </w:rPr>
            </w:pPr>
            <w:r>
              <w:rPr>
                <w:rFonts w:hint="eastAsia" w:ascii="宋体" w:hAnsi="宋体" w:cs="宋体"/>
                <w:szCs w:val="21"/>
                <w:highlight w:val="white"/>
              </w:rPr>
              <w:t>9.5.1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18E3348">
            <w:pPr>
              <w:jc w:val="center"/>
              <w:rPr>
                <w:rFonts w:hint="eastAsia" w:ascii="宋体" w:hAnsi="宋体" w:cs="宋体"/>
                <w:szCs w:val="21"/>
              </w:rPr>
            </w:pPr>
            <w:r>
              <w:rPr>
                <w:rFonts w:hint="eastAsia" w:ascii="宋体" w:hAnsi="宋体" w:cs="宋体"/>
                <w:szCs w:val="21"/>
                <w:highlight w:val="white"/>
              </w:rPr>
              <w:t>监督部门</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1003C761">
            <w:pPr>
              <w:ind w:firstLine="420" w:firstLineChars="200"/>
              <w:rPr>
                <w:rFonts w:hint="eastAsia" w:ascii="宋体" w:hAnsi="宋体" w:cs="宋体"/>
                <w:szCs w:val="21"/>
                <w:highlight w:val="white"/>
                <w:lang w:eastAsia="zh-CN"/>
              </w:rPr>
            </w:pPr>
            <w:r>
              <w:rPr>
                <w:rFonts w:hint="eastAsia" w:ascii="宋体" w:hAnsi="宋体" w:cs="宋体"/>
                <w:szCs w:val="21"/>
                <w:highlight w:val="white"/>
              </w:rPr>
              <w:t>监督部门：</w:t>
            </w:r>
            <w:r>
              <w:rPr>
                <w:rFonts w:hint="eastAsia" w:ascii="宋体" w:hAnsi="宋体" w:cs="宋体"/>
                <w:szCs w:val="21"/>
                <w:highlight w:val="white"/>
                <w:lang w:eastAsia="zh-CN"/>
              </w:rPr>
              <w:t>尤溪县台溪乡人民政府</w:t>
            </w:r>
          </w:p>
          <w:p w14:paraId="5FD3DD65">
            <w:pPr>
              <w:ind w:firstLine="420" w:firstLineChars="200"/>
              <w:rPr>
                <w:rFonts w:hint="eastAsia" w:ascii="宋体" w:hAnsi="宋体" w:eastAsia="宋体" w:cs="宋体"/>
                <w:szCs w:val="21"/>
                <w:highlight w:val="white"/>
                <w:lang w:val="en-US" w:eastAsia="zh-CN"/>
              </w:rPr>
            </w:pPr>
            <w:r>
              <w:rPr>
                <w:rFonts w:hint="eastAsia" w:ascii="宋体" w:hAnsi="宋体" w:cs="宋体"/>
                <w:szCs w:val="21"/>
                <w:highlight w:val="white"/>
              </w:rPr>
              <w:t>地址：</w:t>
            </w:r>
            <w:r>
              <w:rPr>
                <w:rFonts w:hint="eastAsia" w:ascii="宋体" w:hAnsi="宋体" w:cs="宋体"/>
                <w:szCs w:val="21"/>
                <w:highlight w:val="white"/>
                <w:lang w:eastAsia="zh-CN"/>
              </w:rPr>
              <w:t>尤溪县台溪乡台溪村</w:t>
            </w:r>
          </w:p>
          <w:p w14:paraId="0E16CF95">
            <w:pPr>
              <w:pStyle w:val="7"/>
              <w:topLinePunct/>
              <w:ind w:firstLine="420" w:firstLineChars="200"/>
              <w:rPr>
                <w:rFonts w:hint="eastAsia" w:hAnsi="宋体" w:cs="宋体"/>
                <w:kern w:val="2"/>
                <w:sz w:val="21"/>
                <w:szCs w:val="21"/>
              </w:rPr>
            </w:pPr>
            <w:r>
              <w:rPr>
                <w:rFonts w:hint="eastAsia" w:hAnsi="宋体" w:cs="宋体"/>
                <w:sz w:val="21"/>
                <w:szCs w:val="21"/>
                <w:highlight w:val="white"/>
              </w:rPr>
              <w:t>投标人或者其他利害关系人认为招标投标活动不符合法律、行政法规规定的，应按《中华人民共和国招标投标法实施条例》、《福建省招标投标条例》、《工程建设项目招标投标活动投诉办法》（国家发改委等七部委2004年第11号令根据2013年3月11日国家发展和改革委员会、工业和信息化部、财政部等令第23号修订）的规定，向有关行政监督部门投诉。投诉应当有明确的请求和必要的证明材料，否则不予受理。对恶意虚假投诉的，将报请省交通运输厅按有关规定进行处理。</w:t>
            </w:r>
          </w:p>
        </w:tc>
      </w:tr>
      <w:tr w14:paraId="4648D13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27CD37D5">
            <w:pPr>
              <w:jc w:val="center"/>
              <w:rPr>
                <w:rFonts w:hint="eastAsia" w:ascii="宋体" w:hAnsi="宋体" w:cs="宋体"/>
                <w:b/>
                <w:szCs w:val="21"/>
              </w:rPr>
            </w:pPr>
            <w:r>
              <w:rPr>
                <w:rFonts w:hint="eastAsia" w:ascii="宋体" w:hAnsi="宋体" w:cs="宋体"/>
                <w:b/>
                <w:szCs w:val="21"/>
                <w:highlight w:val="white"/>
              </w:rPr>
              <w:t>10</w:t>
            </w:r>
          </w:p>
        </w:tc>
        <w:tc>
          <w:tcPr>
            <w:tcW w:w="8022" w:type="dxa"/>
            <w:gridSpan w:val="2"/>
            <w:tcBorders>
              <w:top w:val="single" w:color="000000" w:sz="6" w:space="0"/>
              <w:left w:val="single" w:color="000000" w:sz="6" w:space="0"/>
              <w:bottom w:val="single" w:color="000000" w:sz="6" w:space="0"/>
              <w:right w:val="single" w:color="000000" w:sz="12" w:space="0"/>
            </w:tcBorders>
            <w:noWrap w:val="0"/>
            <w:vAlign w:val="center"/>
          </w:tcPr>
          <w:p w14:paraId="51981F17">
            <w:pPr>
              <w:jc w:val="center"/>
              <w:rPr>
                <w:rFonts w:hint="eastAsia" w:ascii="宋体" w:hAnsi="宋体" w:cs="宋体"/>
                <w:szCs w:val="21"/>
              </w:rPr>
            </w:pPr>
            <w:r>
              <w:rPr>
                <w:rFonts w:hint="eastAsia" w:ascii="宋体" w:hAnsi="宋体" w:cs="宋体"/>
                <w:szCs w:val="21"/>
                <w:highlight w:val="white"/>
              </w:rPr>
              <w:t>需要补充的其他内容</w:t>
            </w:r>
          </w:p>
        </w:tc>
      </w:tr>
      <w:tr w14:paraId="65BBF86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11"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22F1DD4">
            <w:pPr>
              <w:jc w:val="center"/>
              <w:rPr>
                <w:rFonts w:hint="eastAsia" w:ascii="宋体" w:hAnsi="宋体" w:cs="宋体"/>
                <w:szCs w:val="21"/>
              </w:rPr>
            </w:pPr>
            <w:r>
              <w:rPr>
                <w:rFonts w:hint="eastAsia" w:ascii="宋体" w:hAnsi="宋体" w:cs="宋体"/>
                <w:szCs w:val="21"/>
                <w:highlight w:val="white"/>
              </w:rPr>
              <w:t>10.2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C49B217">
            <w:pPr>
              <w:jc w:val="center"/>
              <w:rPr>
                <w:rFonts w:hint="eastAsia" w:ascii="宋体" w:hAnsi="宋体" w:cs="宋体"/>
                <w:szCs w:val="21"/>
                <w:highlight w:val="white"/>
              </w:rPr>
            </w:pPr>
            <w:r>
              <w:rPr>
                <w:rFonts w:hint="eastAsia" w:ascii="宋体" w:hAnsi="宋体" w:cs="宋体"/>
                <w:szCs w:val="21"/>
                <w:highlight w:val="white"/>
              </w:rPr>
              <w:t>招标人补遗书的方式及投标人收悉确认</w:t>
            </w:r>
          </w:p>
          <w:p w14:paraId="5AAC855B">
            <w:pPr>
              <w:jc w:val="center"/>
              <w:rPr>
                <w:rFonts w:hint="eastAsia" w:ascii="宋体" w:hAnsi="宋体" w:cs="宋体"/>
                <w:szCs w:val="21"/>
              </w:rPr>
            </w:pPr>
            <w:r>
              <w:rPr>
                <w:rFonts w:hint="eastAsia" w:ascii="宋体" w:hAnsi="宋体" w:cs="宋体"/>
                <w:szCs w:val="21"/>
                <w:highlight w:val="white"/>
              </w:rPr>
              <w:t>方式</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57A1B6A">
            <w:pPr>
              <w:spacing w:after="120" w:afterLines="50"/>
              <w:ind w:firstLine="420" w:firstLineChars="200"/>
              <w:rPr>
                <w:rFonts w:hint="eastAsia" w:ascii="宋体" w:hAnsi="宋体" w:cs="宋体"/>
                <w:szCs w:val="21"/>
              </w:rPr>
            </w:pPr>
            <w:r>
              <w:rPr>
                <w:rFonts w:hint="eastAsia" w:ascii="宋体" w:hAnsi="宋体" w:cs="宋体"/>
                <w:szCs w:val="21"/>
                <w:highlight w:val="white"/>
              </w:rPr>
              <w:t>无需确认</w:t>
            </w:r>
          </w:p>
        </w:tc>
      </w:tr>
      <w:tr w14:paraId="68A2C77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875"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6244F875">
            <w:pPr>
              <w:rPr>
                <w:rFonts w:hint="eastAsia" w:ascii="宋体" w:hAnsi="宋体" w:cs="宋体"/>
                <w:szCs w:val="21"/>
              </w:rPr>
            </w:pPr>
            <w:bookmarkStart w:id="197" w:name="EB0a2614205a1e49cf96989e7280d482a4"/>
            <w:r>
              <w:rPr>
                <w:rFonts w:hint="eastAsia" w:ascii="宋体" w:hAnsi="宋体" w:cs="宋体"/>
                <w:color w:val="000080"/>
                <w:szCs w:val="21"/>
                <w:highlight w:val="white"/>
              </w:rPr>
              <w:t xml:space="preserve"> </w:t>
            </w:r>
            <w:bookmarkEnd w:id="197"/>
            <w:bookmarkStart w:id="198" w:name="EBd2a3cbaccfaa43cbb1c85da018e7901a"/>
            <w:r>
              <w:rPr>
                <w:rFonts w:hint="eastAsia" w:ascii="宋体" w:hAnsi="宋体" w:cs="宋体"/>
                <w:color w:val="000080"/>
                <w:szCs w:val="21"/>
                <w:highlight w:val="white"/>
              </w:rPr>
              <w:t xml:space="preserve"> </w:t>
            </w:r>
            <w:bookmarkEnd w:id="198"/>
            <w:r>
              <w:rPr>
                <w:rFonts w:hint="eastAsia" w:ascii="宋体" w:hAnsi="宋体" w:cs="宋体"/>
                <w:szCs w:val="21"/>
                <w:highlight w:val="white"/>
              </w:rPr>
              <w:t>10.5.1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DBED797">
            <w:pPr>
              <w:jc w:val="center"/>
              <w:rPr>
                <w:rFonts w:hint="eastAsia" w:ascii="宋体" w:hAnsi="宋体" w:cs="宋体"/>
                <w:szCs w:val="21"/>
              </w:rPr>
            </w:pPr>
            <w:r>
              <w:rPr>
                <w:rFonts w:hint="eastAsia" w:ascii="宋体" w:hAnsi="宋体" w:cs="宋体"/>
                <w:szCs w:val="21"/>
                <w:highlight w:val="white"/>
              </w:rPr>
              <w:t>保险费</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4E6FCD0">
            <w:pPr>
              <w:ind w:left="105" w:leftChars="50" w:firstLine="420" w:firstLineChars="200"/>
              <w:rPr>
                <w:rFonts w:hint="eastAsia" w:ascii="宋体" w:hAnsi="宋体" w:cs="宋体"/>
                <w:szCs w:val="21"/>
                <w:highlight w:val="white"/>
              </w:rPr>
            </w:pPr>
            <w:r>
              <w:rPr>
                <w:rFonts w:hint="eastAsia" w:ascii="宋体" w:hAnsi="宋体" w:cs="宋体"/>
                <w:szCs w:val="21"/>
                <w:highlight w:val="white"/>
              </w:rPr>
              <w:t>工程一切险和第三方责任险由承包人以发包人与承包人联名向财产保险公司进行投保。工程一切险以工程量清单第100章（不含建筑工程一切险及第三者责任险、工伤保险的保险费）至700章总额为基数计算，费率为</w:t>
            </w:r>
            <w:bookmarkStart w:id="199" w:name="EBe1ae800202f547e3ade82d5493dcb2ee"/>
            <w:r>
              <w:rPr>
                <w:rFonts w:hint="eastAsia" w:ascii="宋体" w:hAnsi="宋体" w:cs="宋体"/>
                <w:color w:val="0000FF"/>
                <w:szCs w:val="21"/>
                <w:highlight w:val="white"/>
              </w:rPr>
              <w:t>以清单为准</w:t>
            </w:r>
            <w:bookmarkEnd w:id="199"/>
            <w:r>
              <w:rPr>
                <w:rFonts w:hint="eastAsia" w:ascii="宋体" w:hAnsi="宋体" w:cs="宋体"/>
                <w:szCs w:val="21"/>
                <w:highlight w:val="white"/>
              </w:rPr>
              <w:t>%（参考取0.37%）；第三方责任险按累计赔偿限额计算，费率为</w:t>
            </w:r>
            <w:r>
              <w:rPr>
                <w:rFonts w:hint="eastAsia" w:ascii="宋体" w:hAnsi="宋体" w:cs="宋体"/>
                <w:color w:val="0000FF"/>
                <w:szCs w:val="21"/>
                <w:highlight w:val="white"/>
              </w:rPr>
              <w:t>以清单为准</w:t>
            </w:r>
            <w:r>
              <w:rPr>
                <w:rFonts w:hint="eastAsia" w:ascii="宋体" w:hAnsi="宋体" w:cs="宋体"/>
                <w:szCs w:val="21"/>
                <w:highlight w:val="white"/>
              </w:rPr>
              <w:t>%（参考取0.2%），最低投保金额为</w:t>
            </w:r>
            <w:r>
              <w:rPr>
                <w:rFonts w:hint="eastAsia" w:ascii="宋体" w:hAnsi="宋体" w:cs="宋体"/>
                <w:color w:val="0000FF"/>
                <w:szCs w:val="21"/>
                <w:highlight w:val="white"/>
              </w:rPr>
              <w:t>以清单为准</w:t>
            </w:r>
            <w:r>
              <w:rPr>
                <w:rFonts w:hint="eastAsia" w:ascii="宋体" w:hAnsi="宋体" w:cs="宋体"/>
                <w:szCs w:val="21"/>
                <w:highlight w:val="white"/>
              </w:rPr>
              <w:t>万元。</w:t>
            </w:r>
          </w:p>
          <w:p w14:paraId="1DEF8210">
            <w:pPr>
              <w:ind w:left="105" w:leftChars="50" w:firstLine="420" w:firstLineChars="200"/>
              <w:rPr>
                <w:rFonts w:hint="eastAsia" w:ascii="宋体" w:hAnsi="宋体" w:cs="宋体"/>
                <w:szCs w:val="21"/>
              </w:rPr>
            </w:pPr>
            <w:r>
              <w:rPr>
                <w:rFonts w:hint="eastAsia" w:ascii="宋体" w:hAnsi="宋体" w:cs="宋体"/>
                <w:szCs w:val="21"/>
                <w:highlight w:val="white"/>
              </w:rPr>
              <w:t>上述保险费均由投标人报价时列入工程量清单第100章相应支付细目中，在报价金额内按实结算。</w:t>
            </w:r>
          </w:p>
        </w:tc>
      </w:tr>
      <w:tr w14:paraId="2E980CD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7C758B10">
            <w:pPr>
              <w:jc w:val="center"/>
              <w:rPr>
                <w:rFonts w:hint="eastAsia" w:ascii="宋体" w:hAnsi="宋体" w:cs="宋体"/>
                <w:szCs w:val="21"/>
              </w:rPr>
            </w:pPr>
            <w:r>
              <w:rPr>
                <w:rFonts w:hint="eastAsia" w:ascii="宋体" w:hAnsi="宋体" w:cs="宋体"/>
                <w:szCs w:val="21"/>
                <w:highlight w:val="white"/>
              </w:rPr>
              <w:t>10.5.2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2885BF0">
            <w:pPr>
              <w:jc w:val="center"/>
              <w:rPr>
                <w:rFonts w:hint="eastAsia" w:ascii="宋体" w:hAnsi="宋体" w:cs="宋体"/>
                <w:szCs w:val="21"/>
              </w:rPr>
            </w:pPr>
            <w:r>
              <w:rPr>
                <w:rFonts w:hint="eastAsia" w:ascii="宋体" w:hAnsi="宋体" w:cs="宋体"/>
                <w:szCs w:val="21"/>
                <w:highlight w:val="white"/>
              </w:rPr>
              <w:t>工伤保险费</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72B3E6D7">
            <w:pPr>
              <w:ind w:left="105" w:leftChars="50" w:firstLine="420" w:firstLineChars="200"/>
              <w:rPr>
                <w:rFonts w:hint="eastAsia" w:ascii="宋体" w:hAnsi="宋体" w:cs="宋体"/>
                <w:szCs w:val="21"/>
              </w:rPr>
            </w:pPr>
            <w:r>
              <w:rPr>
                <w:rFonts w:hint="eastAsia" w:ascii="宋体" w:hAnsi="宋体" w:cs="宋体"/>
                <w:szCs w:val="21"/>
                <w:highlight w:val="white"/>
              </w:rPr>
              <w:t>工伤保险费按照工程量清单第100章（不含建筑工程一切险及第三者责任险、工伤保险的保险费）至700章总额的0.15%向工程项目所地的市、县（区）社会保险经办机构办理参加工伤保险，向税务部门一次性缴纳。</w:t>
            </w:r>
          </w:p>
        </w:tc>
      </w:tr>
      <w:tr w14:paraId="084C9E2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5F1F79B4">
            <w:pPr>
              <w:jc w:val="center"/>
              <w:rPr>
                <w:rFonts w:hint="eastAsia" w:ascii="宋体" w:hAnsi="宋体" w:cs="宋体"/>
                <w:szCs w:val="21"/>
              </w:rPr>
            </w:pPr>
            <w:r>
              <w:rPr>
                <w:rFonts w:hint="eastAsia" w:ascii="宋体" w:hAnsi="宋体" w:cs="宋体"/>
                <w:szCs w:val="21"/>
                <w:highlight w:val="white"/>
              </w:rPr>
              <w:t>10.6</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533F2B4">
            <w:pPr>
              <w:jc w:val="center"/>
              <w:rPr>
                <w:rFonts w:hint="eastAsia" w:ascii="宋体" w:hAnsi="宋体" w:cs="宋体"/>
                <w:szCs w:val="21"/>
              </w:rPr>
            </w:pPr>
            <w:r>
              <w:rPr>
                <w:rFonts w:hint="eastAsia" w:ascii="宋体" w:hAnsi="宋体" w:cs="宋体"/>
                <w:szCs w:val="21"/>
                <w:highlight w:val="white"/>
              </w:rPr>
              <w:t>安全生产费用</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50FC8AC8">
            <w:pPr>
              <w:ind w:left="105" w:leftChars="50" w:firstLine="420" w:firstLineChars="200"/>
              <w:rPr>
                <w:rFonts w:hint="eastAsia" w:ascii="宋体" w:hAnsi="宋体" w:cs="宋体"/>
                <w:szCs w:val="21"/>
              </w:rPr>
            </w:pPr>
            <w:r>
              <w:rPr>
                <w:rFonts w:hint="eastAsia" w:ascii="宋体" w:hAnsi="宋体" w:cs="宋体"/>
                <w:szCs w:val="21"/>
                <w:highlight w:val="white"/>
              </w:rPr>
              <w:t>公路部分按不低于工程量清单100章至700章（不含安全生产费、施工标准化及建筑工程一切险及第三者责任险、工伤保险的保险费）总额合计的1.5%计算安全生产费用，以总金额列入工程量清单100章“安全生产费”细目。</w:t>
            </w:r>
            <w:bookmarkStart w:id="200" w:name="FE892c90430475455ca07c7475b10ed2c0"/>
            <w:bookmarkEnd w:id="200"/>
            <w:bookmarkStart w:id="201" w:name="FB892c90430475455ca07c7475b10ed2c0"/>
            <w:bookmarkEnd w:id="201"/>
          </w:p>
        </w:tc>
      </w:tr>
      <w:tr w14:paraId="4EC8171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1CA88D49">
            <w:pPr>
              <w:rPr>
                <w:rFonts w:hint="eastAsia" w:ascii="宋体" w:hAnsi="宋体" w:cs="宋体"/>
                <w:szCs w:val="21"/>
              </w:rPr>
            </w:pPr>
            <w:bookmarkStart w:id="202" w:name="EBeccc9e6c631c4fabb5c689631f134cc7"/>
            <w:r>
              <w:rPr>
                <w:rFonts w:hint="eastAsia" w:ascii="宋体" w:hAnsi="宋体" w:cs="宋体"/>
                <w:color w:val="000080"/>
                <w:szCs w:val="21"/>
                <w:highlight w:val="white"/>
              </w:rPr>
              <w:t xml:space="preserve"> </w:t>
            </w:r>
            <w:bookmarkEnd w:id="202"/>
            <w:bookmarkStart w:id="203" w:name="EBdba549026006493a83c5f42b16a312df"/>
            <w:r>
              <w:rPr>
                <w:rFonts w:hint="eastAsia" w:ascii="宋体" w:hAnsi="宋体" w:cs="宋体"/>
                <w:color w:val="000080"/>
                <w:szCs w:val="21"/>
                <w:highlight w:val="white"/>
              </w:rPr>
              <w:t xml:space="preserve"> </w:t>
            </w:r>
            <w:bookmarkEnd w:id="203"/>
            <w:r>
              <w:rPr>
                <w:rFonts w:hint="eastAsia" w:ascii="宋体" w:hAnsi="宋体" w:cs="宋体"/>
                <w:szCs w:val="21"/>
                <w:highlight w:val="white"/>
              </w:rPr>
              <w:t>10.8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28D2960">
            <w:pPr>
              <w:jc w:val="center"/>
              <w:rPr>
                <w:rFonts w:hint="eastAsia" w:ascii="宋体" w:hAnsi="宋体" w:cs="宋体"/>
                <w:szCs w:val="21"/>
              </w:rPr>
            </w:pPr>
            <w:r>
              <w:rPr>
                <w:rFonts w:hint="eastAsia" w:ascii="宋体" w:hAnsi="宋体" w:cs="宋体"/>
                <w:szCs w:val="21"/>
                <w:highlight w:val="white"/>
              </w:rPr>
              <w:t>税费</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3F99EE09">
            <w:pPr>
              <w:rPr>
                <w:rFonts w:hint="eastAsia" w:ascii="宋体" w:hAnsi="宋体" w:cs="宋体"/>
                <w:szCs w:val="21"/>
              </w:rPr>
            </w:pPr>
            <w:r>
              <w:rPr>
                <w:rFonts w:hint="eastAsia" w:ascii="宋体" w:hAnsi="宋体" w:cs="宋体"/>
                <w:szCs w:val="21"/>
                <w:highlight w:val="white"/>
              </w:rPr>
              <w:t>承包人因承包本合同工程需缴纳的一切税费均由承包人承担，并包含在所报的单价或总额价内，因决（结）算审计金额调整造成承包人应缴纳的增值税等一切税费变化，承包人已缴纳而无法退回的损失由承包人承担。</w:t>
            </w:r>
          </w:p>
        </w:tc>
      </w:tr>
      <w:tr w14:paraId="41DC043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4FD34838">
            <w:pPr>
              <w:rPr>
                <w:rFonts w:hint="eastAsia" w:ascii="宋体" w:hAnsi="宋体" w:cs="宋体"/>
                <w:szCs w:val="21"/>
              </w:rPr>
            </w:pPr>
            <w:bookmarkStart w:id="204" w:name="EB72dcb95901d54d51b9ea2a07ceed11da"/>
            <w:r>
              <w:rPr>
                <w:rFonts w:hint="eastAsia" w:ascii="宋体" w:hAnsi="宋体" w:cs="宋体"/>
                <w:color w:val="000080"/>
                <w:szCs w:val="21"/>
                <w:highlight w:val="white"/>
              </w:rPr>
              <w:t xml:space="preserve"> </w:t>
            </w:r>
            <w:bookmarkEnd w:id="204"/>
            <w:bookmarkStart w:id="205" w:name="EB5dbb089f30fc44c3bc6d2bf79ba658eb"/>
            <w:r>
              <w:rPr>
                <w:rFonts w:hint="eastAsia" w:ascii="宋体" w:hAnsi="宋体" w:cs="宋体"/>
                <w:color w:val="000080"/>
                <w:szCs w:val="21"/>
                <w:highlight w:val="white"/>
              </w:rPr>
              <w:t xml:space="preserve"> </w:t>
            </w:r>
            <w:bookmarkEnd w:id="205"/>
            <w:r>
              <w:rPr>
                <w:rFonts w:hint="eastAsia" w:ascii="宋体" w:hAnsi="宋体" w:cs="宋体"/>
                <w:szCs w:val="21"/>
                <w:highlight w:val="white"/>
              </w:rPr>
              <w:t>10.10</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6FFD512">
            <w:pPr>
              <w:jc w:val="center"/>
              <w:rPr>
                <w:rFonts w:hint="eastAsia" w:ascii="宋体" w:hAnsi="宋体" w:cs="宋体"/>
                <w:szCs w:val="21"/>
              </w:rPr>
            </w:pPr>
            <w:r>
              <w:rPr>
                <w:rFonts w:hint="eastAsia" w:ascii="宋体" w:hAnsi="宋体" w:cs="宋体"/>
                <w:b/>
                <w:bCs/>
                <w:szCs w:val="21"/>
                <w:highlight w:val="white"/>
              </w:rPr>
              <w:t>招投标期间争议解决方式</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7C6445FC">
            <w:pPr>
              <w:ind w:left="105" w:leftChars="50" w:firstLine="420" w:firstLineChars="200"/>
              <w:rPr>
                <w:rFonts w:hint="eastAsia" w:ascii="宋体" w:hAnsi="宋体" w:cs="宋体"/>
                <w:szCs w:val="21"/>
              </w:rPr>
            </w:pPr>
            <w:r>
              <w:rPr>
                <w:rFonts w:hint="eastAsia" w:ascii="宋体" w:hAnsi="宋体" w:cs="宋体"/>
                <w:szCs w:val="21"/>
                <w:highlight w:val="white"/>
              </w:rPr>
              <w:t>争议的最终解决方式：</w:t>
            </w:r>
          </w:p>
          <w:p w14:paraId="6E5D0D3A">
            <w:pPr>
              <w:ind w:left="105" w:leftChars="50" w:firstLine="420" w:firstLineChars="200"/>
              <w:rPr>
                <w:rFonts w:hint="eastAsia" w:ascii="宋体" w:hAnsi="宋体" w:cs="宋体"/>
                <w:szCs w:val="21"/>
              </w:rPr>
            </w:pPr>
            <w:bookmarkStart w:id="206" w:name="FBb72611eead924f2280f2d17ec89e75c4"/>
            <w:bookmarkEnd w:id="206"/>
            <w:bookmarkStart w:id="207" w:name="FEaaa27cc2abee41859821d074d67bf8d3"/>
            <w:bookmarkEnd w:id="207"/>
            <w:bookmarkStart w:id="208" w:name="FBaaa27cc2abee41859821d074d67bf8d3"/>
            <w:bookmarkEnd w:id="208"/>
            <w:bookmarkStart w:id="209" w:name="FB642eb910cf314d7392b90ef5997c1e6e"/>
            <w:bookmarkEnd w:id="209"/>
            <w:bookmarkStart w:id="210" w:name="FEb72611eead924f2280f2d17ec89e75c4"/>
            <w:bookmarkEnd w:id="210"/>
            <w:r>
              <w:rPr>
                <w:rFonts w:hint="eastAsia" w:ascii="宋体" w:hAnsi="宋体" w:cs="宋体"/>
                <w:szCs w:val="21"/>
                <w:highlight w:val="white"/>
              </w:rPr>
              <w:t>仲裁，则仲裁委员会名称：尤溪县仲裁委员会。</w:t>
            </w:r>
            <w:bookmarkStart w:id="211" w:name="FE642eb910cf314d7392b90ef5997c1e6e"/>
            <w:bookmarkEnd w:id="211"/>
          </w:p>
        </w:tc>
      </w:tr>
      <w:tr w14:paraId="6F580D4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50" w:type="dxa"/>
            <w:tcBorders>
              <w:top w:val="single" w:color="000000" w:sz="6" w:space="0"/>
              <w:left w:val="single" w:color="000000" w:sz="12" w:space="0"/>
              <w:bottom w:val="single" w:color="000000" w:sz="6" w:space="0"/>
              <w:right w:val="single" w:color="000000" w:sz="6" w:space="0"/>
            </w:tcBorders>
            <w:noWrap w:val="0"/>
            <w:vAlign w:val="center"/>
          </w:tcPr>
          <w:p w14:paraId="058BDCFC">
            <w:pPr>
              <w:rPr>
                <w:rFonts w:hint="eastAsia" w:ascii="宋体" w:hAnsi="宋体" w:cs="宋体"/>
                <w:color w:val="000080"/>
                <w:szCs w:val="21"/>
                <w:highlight w:val="whit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D4B4155">
            <w:pPr>
              <w:jc w:val="center"/>
              <w:rPr>
                <w:rFonts w:hint="eastAsia" w:ascii="宋体" w:hAnsi="宋体" w:cs="宋体"/>
                <w:b/>
                <w:bCs/>
                <w:szCs w:val="21"/>
                <w:highlight w:val="white"/>
              </w:rPr>
            </w:pPr>
            <w:r>
              <w:rPr>
                <w:rFonts w:hint="eastAsia" w:ascii="宋体" w:hAnsi="宋体" w:cs="宋体"/>
                <w:b/>
                <w:bCs/>
                <w:szCs w:val="21"/>
                <w:highlight w:val="white"/>
              </w:rPr>
              <w:t>其他</w:t>
            </w:r>
          </w:p>
        </w:tc>
        <w:tc>
          <w:tcPr>
            <w:tcW w:w="6605" w:type="dxa"/>
            <w:tcBorders>
              <w:top w:val="single" w:color="000000" w:sz="6" w:space="0"/>
              <w:left w:val="single" w:color="000000" w:sz="6" w:space="0"/>
              <w:bottom w:val="single" w:color="000000" w:sz="6" w:space="0"/>
              <w:right w:val="single" w:color="000000" w:sz="12" w:space="0"/>
            </w:tcBorders>
            <w:noWrap w:val="0"/>
            <w:vAlign w:val="center"/>
          </w:tcPr>
          <w:p w14:paraId="41678960">
            <w:pPr>
              <w:pStyle w:val="5"/>
              <w:keepNext w:val="0"/>
              <w:keepLines w:val="0"/>
              <w:pageBreakBefore w:val="0"/>
              <w:widowControl w:val="0"/>
              <w:numPr>
                <w:ilvl w:val="0"/>
                <w:numId w:val="2"/>
              </w:numPr>
              <w:tabs>
                <w:tab w:val="left" w:pos="624"/>
                <w:tab w:val="clear" w:pos="312"/>
              </w:tabs>
              <w:kinsoku/>
              <w:wordWrap/>
              <w:overflowPunct/>
              <w:topLinePunct w:val="0"/>
              <w:autoSpaceDE/>
              <w:autoSpaceDN/>
              <w:bidi w:val="0"/>
              <w:adjustRightInd/>
              <w:snapToGrid w:val="0"/>
              <w:spacing w:line="240" w:lineRule="auto"/>
              <w:ind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投标人应随时关注网站的招标信息</w:t>
            </w:r>
            <w:r>
              <w:rPr>
                <w:rFonts w:hint="eastAsia" w:ascii="宋体" w:hAnsi="宋体" w:eastAsia="宋体" w:cs="宋体"/>
                <w:color w:val="000000"/>
                <w:szCs w:val="21"/>
                <w:lang w:eastAsia="zh-CN"/>
              </w:rPr>
              <w:t>通知</w:t>
            </w:r>
            <w:r>
              <w:rPr>
                <w:rFonts w:hint="eastAsia" w:ascii="宋体" w:hAnsi="宋体" w:eastAsia="宋体" w:cs="宋体"/>
                <w:color w:val="000000"/>
                <w:szCs w:val="21"/>
              </w:rPr>
              <w:t>，以保证能及时查看招标文件的澄清或变更等信息。招标人的各项</w:t>
            </w:r>
            <w:r>
              <w:rPr>
                <w:rFonts w:hint="eastAsia" w:ascii="宋体" w:hAnsi="宋体" w:eastAsia="宋体" w:cs="宋体"/>
                <w:color w:val="000000"/>
                <w:szCs w:val="21"/>
                <w:lang w:eastAsia="zh-CN"/>
              </w:rPr>
              <w:t>补充</w:t>
            </w:r>
            <w:r>
              <w:rPr>
                <w:rFonts w:hint="eastAsia" w:ascii="宋体" w:hAnsi="宋体" w:eastAsia="宋体" w:cs="宋体"/>
                <w:color w:val="000000"/>
                <w:szCs w:val="21"/>
              </w:rPr>
              <w:t>通知</w:t>
            </w:r>
            <w:r>
              <w:rPr>
                <w:rFonts w:hint="eastAsia" w:ascii="宋体" w:hAnsi="宋体" w:eastAsia="宋体" w:cs="宋体"/>
                <w:color w:val="000000"/>
                <w:szCs w:val="21"/>
                <w:lang w:eastAsia="zh-CN"/>
              </w:rPr>
              <w:t>等材料</w:t>
            </w:r>
            <w:r>
              <w:rPr>
                <w:rFonts w:hint="eastAsia" w:ascii="宋体" w:hAnsi="宋体" w:eastAsia="宋体" w:cs="宋体"/>
                <w:color w:val="000000"/>
                <w:szCs w:val="21"/>
              </w:rPr>
              <w:t>均</w:t>
            </w:r>
            <w:r>
              <w:rPr>
                <w:rFonts w:hint="eastAsia" w:ascii="宋体" w:hAnsi="宋体" w:eastAsia="宋体" w:cs="宋体"/>
                <w:color w:val="000000"/>
                <w:szCs w:val="21"/>
                <w:lang w:eastAsia="zh-CN"/>
              </w:rPr>
              <w:t>可能在投标前一天</w:t>
            </w:r>
            <w:r>
              <w:rPr>
                <w:rFonts w:hint="eastAsia" w:ascii="宋体" w:hAnsi="宋体" w:eastAsia="宋体" w:cs="宋体"/>
                <w:color w:val="000000"/>
                <w:szCs w:val="21"/>
              </w:rPr>
              <w:t>通过</w:t>
            </w:r>
            <w:r>
              <w:rPr>
                <w:rFonts w:hint="eastAsia" w:ascii="宋体" w:hAnsi="宋体" w:eastAsia="宋体" w:cs="宋体"/>
                <w:color w:val="000000"/>
                <w:szCs w:val="21"/>
                <w:lang w:eastAsia="zh-CN"/>
              </w:rPr>
              <w:t>平台</w:t>
            </w:r>
            <w:r>
              <w:rPr>
                <w:rFonts w:hint="eastAsia" w:ascii="宋体" w:hAnsi="宋体" w:eastAsia="宋体" w:cs="宋体"/>
                <w:color w:val="000000"/>
                <w:szCs w:val="21"/>
              </w:rPr>
              <w:t>发布，即默认为已送达投标人，若因投标人未及时上网查收等原因导致的不利后果由投标人自行承担</w:t>
            </w:r>
            <w:r>
              <w:rPr>
                <w:rFonts w:hint="eastAsia" w:ascii="宋体" w:hAnsi="宋体" w:eastAsia="宋体" w:cs="宋体"/>
                <w:color w:val="000000"/>
                <w:szCs w:val="21"/>
                <w:lang w:eastAsia="zh-CN"/>
              </w:rPr>
              <w:t>。</w:t>
            </w:r>
          </w:p>
          <w:p w14:paraId="27E35E68">
            <w:pPr>
              <w:pStyle w:val="5"/>
              <w:keepNext w:val="0"/>
              <w:keepLines w:val="0"/>
              <w:pageBreakBefore w:val="0"/>
              <w:widowControl w:val="0"/>
              <w:numPr>
                <w:ilvl w:val="0"/>
                <w:numId w:val="2"/>
              </w:numPr>
              <w:tabs>
                <w:tab w:val="left" w:pos="624"/>
                <w:tab w:val="clear" w:pos="312"/>
              </w:tabs>
              <w:kinsoku/>
              <w:wordWrap/>
              <w:overflowPunct/>
              <w:topLinePunct w:val="0"/>
              <w:autoSpaceDE/>
              <w:autoSpaceDN/>
              <w:bidi w:val="0"/>
              <w:adjustRightInd/>
              <w:snapToGrid w:val="0"/>
              <w:spacing w:line="240" w:lineRule="auto"/>
              <w:ind w:firstLine="0"/>
              <w:jc w:val="both"/>
              <w:textAlignment w:val="auto"/>
              <w:rPr>
                <w:rFonts w:hint="eastAsia" w:ascii="宋体" w:hAnsi="宋体" w:eastAsia="宋体" w:cs="宋体"/>
                <w:szCs w:val="21"/>
                <w:highlight w:val="white"/>
                <w:lang w:val="en-US" w:eastAsia="zh-CN"/>
              </w:rPr>
            </w:pPr>
            <w:r>
              <w:rPr>
                <w:rFonts w:hint="eastAsia" w:ascii="宋体" w:hAnsi="宋体" w:eastAsia="宋体" w:cs="宋体"/>
                <w:color w:val="000000"/>
                <w:szCs w:val="21"/>
              </w:rPr>
              <w:t>中标通知书发出后，中标人放弃中标的，或无正当理由在招标文件规定的时间内不与招标人签订合同的，或在签订合同时向招标人提出附加条件或者更改合同实质性内容的，招标人可取消其中标资格，并没收其投标保证金；给招标人造成的损</w:t>
            </w:r>
            <w:r>
              <w:rPr>
                <w:rFonts w:hint="eastAsia" w:ascii="宋体" w:hAnsi="宋体" w:eastAsia="宋体" w:cs="宋体"/>
                <w:szCs w:val="21"/>
                <w:highlight w:val="white"/>
              </w:rPr>
              <w:t>失超过投标保证金数额的，中标人应当对超过部分进行赔偿。</w:t>
            </w:r>
          </w:p>
          <w:p w14:paraId="3C638D17">
            <w:pPr>
              <w:pStyle w:val="5"/>
              <w:keepNext w:val="0"/>
              <w:keepLines w:val="0"/>
              <w:pageBreakBefore w:val="0"/>
              <w:widowControl w:val="0"/>
              <w:numPr>
                <w:ilvl w:val="0"/>
                <w:numId w:val="2"/>
              </w:numPr>
              <w:tabs>
                <w:tab w:val="left" w:pos="624"/>
                <w:tab w:val="clear" w:pos="312"/>
              </w:tabs>
              <w:kinsoku/>
              <w:wordWrap/>
              <w:overflowPunct/>
              <w:topLinePunct w:val="0"/>
              <w:autoSpaceDE/>
              <w:autoSpaceDN/>
              <w:bidi w:val="0"/>
              <w:adjustRightInd/>
              <w:snapToGrid w:val="0"/>
              <w:spacing w:line="240" w:lineRule="auto"/>
              <w:ind w:firstLine="0"/>
              <w:jc w:val="both"/>
              <w:textAlignment w:val="auto"/>
              <w:rPr>
                <w:rFonts w:hint="eastAsia" w:ascii="宋体" w:hAnsi="宋体" w:eastAsia="宋体" w:cs="宋体"/>
                <w:szCs w:val="21"/>
                <w:highlight w:val="white"/>
                <w:lang w:val="en-US" w:eastAsia="zh-CN"/>
              </w:rPr>
            </w:pPr>
            <w:r>
              <w:rPr>
                <w:rFonts w:hint="eastAsia" w:ascii="宋体" w:hAnsi="宋体" w:eastAsia="宋体" w:cs="宋体"/>
                <w:szCs w:val="21"/>
                <w:highlight w:val="white"/>
              </w:rPr>
              <w:t>农民工工资保证金的有关规定按尤溪县发展和改革局文件尤发改[2019]24号执行。建设单位、施工总承包企业严格按照明建（2019）9号《三明市房屋建筑和市政基础设施工程农民工工资专用账户管理实施细则（试行）》的规定执行。</w:t>
            </w:r>
          </w:p>
          <w:p w14:paraId="1B36EB80">
            <w:pPr>
              <w:pStyle w:val="5"/>
              <w:keepNext w:val="0"/>
              <w:keepLines w:val="0"/>
              <w:pageBreakBefore w:val="0"/>
              <w:widowControl w:val="0"/>
              <w:numPr>
                <w:ilvl w:val="0"/>
                <w:numId w:val="2"/>
              </w:numPr>
              <w:tabs>
                <w:tab w:val="left" w:pos="624"/>
                <w:tab w:val="clear" w:pos="312"/>
              </w:tabs>
              <w:kinsoku/>
              <w:wordWrap/>
              <w:overflowPunct/>
              <w:topLinePunct w:val="0"/>
              <w:autoSpaceDE/>
              <w:autoSpaceDN/>
              <w:bidi w:val="0"/>
              <w:adjustRightInd/>
              <w:snapToGrid w:val="0"/>
              <w:spacing w:line="240" w:lineRule="auto"/>
              <w:ind w:firstLine="0"/>
              <w:jc w:val="both"/>
              <w:textAlignment w:val="auto"/>
              <w:rPr>
                <w:rFonts w:hint="eastAsia" w:ascii="宋体" w:hAnsi="宋体" w:cs="宋体"/>
                <w:szCs w:val="21"/>
                <w:highlight w:val="white"/>
              </w:rPr>
            </w:pPr>
            <w:r>
              <w:rPr>
                <w:rFonts w:hint="eastAsia" w:ascii="Times New Roman" w:hAnsi="Times New Roman" w:eastAsia="宋体"/>
                <w:kern w:val="0"/>
                <w:sz w:val="21"/>
                <w:lang w:val="en-US"/>
              </w:rPr>
              <w:t>在抽取参与评审的投标人名单和中标候选人过程中，如出现由于招标人的工作失误</w:t>
            </w:r>
            <w:r>
              <w:rPr>
                <w:rFonts w:ascii="Times New Roman" w:hAnsi="Times New Roman" w:eastAsia="宋体"/>
                <w:kern w:val="0"/>
                <w:sz w:val="21"/>
                <w:lang w:val="en-US"/>
              </w:rPr>
              <w:t>或设备故障</w:t>
            </w:r>
            <w:r>
              <w:rPr>
                <w:rFonts w:hint="eastAsia" w:ascii="Times New Roman" w:hAnsi="Times New Roman" w:eastAsia="宋体"/>
                <w:kern w:val="0"/>
                <w:sz w:val="21"/>
                <w:lang w:val="en-US"/>
              </w:rPr>
              <w:t>影响抽取结果的，抽取的参与评审的投标人名单和中标候选人无效，招标人应当重新抽取。</w:t>
            </w:r>
          </w:p>
          <w:p w14:paraId="20D7C2BB">
            <w:pPr>
              <w:pStyle w:val="5"/>
              <w:keepNext w:val="0"/>
              <w:keepLines w:val="0"/>
              <w:pageBreakBefore w:val="0"/>
              <w:widowControl w:val="0"/>
              <w:numPr>
                <w:ilvl w:val="0"/>
                <w:numId w:val="2"/>
              </w:numPr>
              <w:tabs>
                <w:tab w:val="left" w:pos="624"/>
                <w:tab w:val="clear" w:pos="312"/>
              </w:tabs>
              <w:kinsoku/>
              <w:wordWrap/>
              <w:overflowPunct/>
              <w:topLinePunct w:val="0"/>
              <w:autoSpaceDE/>
              <w:autoSpaceDN/>
              <w:bidi w:val="0"/>
              <w:adjustRightInd/>
              <w:snapToGrid w:val="0"/>
              <w:spacing w:line="240" w:lineRule="auto"/>
              <w:ind w:firstLine="0"/>
              <w:jc w:val="both"/>
              <w:textAlignment w:val="auto"/>
              <w:rPr>
                <w:rFonts w:hint="eastAsia" w:ascii="宋体" w:hAnsi="宋体" w:cs="宋体"/>
                <w:szCs w:val="21"/>
                <w:highlight w:val="white"/>
              </w:rPr>
            </w:pPr>
            <w:r>
              <w:rPr>
                <w:rFonts w:hint="eastAsia" w:ascii="宋体" w:hAnsi="宋体" w:eastAsia="宋体" w:cs="宋体"/>
                <w:szCs w:val="21"/>
                <w:highlight w:val="white"/>
                <w:lang w:val="en-US" w:eastAsia="zh-CN"/>
              </w:rPr>
              <w:t>交易佣金：中标人应根据福建沙县农村产权交易中心有限公司（福沙农产交〔2024〕32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p>
          <w:p w14:paraId="6E79F671">
            <w:pPr>
              <w:pStyle w:val="5"/>
              <w:keepNext w:val="0"/>
              <w:keepLines w:val="0"/>
              <w:pageBreakBefore w:val="0"/>
              <w:widowControl w:val="0"/>
              <w:numPr>
                <w:ilvl w:val="0"/>
                <w:numId w:val="2"/>
              </w:numPr>
              <w:tabs>
                <w:tab w:val="left" w:pos="624"/>
                <w:tab w:val="clear" w:pos="312"/>
              </w:tabs>
              <w:kinsoku/>
              <w:wordWrap/>
              <w:overflowPunct/>
              <w:topLinePunct w:val="0"/>
              <w:autoSpaceDE/>
              <w:autoSpaceDN/>
              <w:bidi w:val="0"/>
              <w:adjustRightInd/>
              <w:snapToGrid w:val="0"/>
              <w:spacing w:line="240" w:lineRule="auto"/>
              <w:ind w:firstLine="0"/>
              <w:jc w:val="both"/>
              <w:textAlignment w:val="auto"/>
              <w:rPr>
                <w:rFonts w:hint="eastAsia" w:ascii="宋体" w:hAnsi="宋体" w:cs="宋体"/>
                <w:szCs w:val="21"/>
                <w:highlight w:val="white"/>
              </w:rPr>
            </w:pPr>
            <w:r>
              <w:rPr>
                <w:rFonts w:hint="eastAsia" w:ascii="宋体" w:hAnsi="宋体" w:eastAsia="宋体" w:cs="宋体"/>
                <w:szCs w:val="21"/>
                <w:highlight w:val="white"/>
              </w:rPr>
              <w:t>本项目招标代理服务费参照闽招协〔2021〕32号标准收取，并由中标人支付。根据自愿原则，投标单位在递交投标文件的同时，视为同意承担本项费用。中标人在中标通知发出前一次性支付到招标代理机构指定账户或现金提交。</w:t>
            </w:r>
          </w:p>
        </w:tc>
      </w:tr>
      <w:bookmarkEnd w:id="132"/>
      <w:bookmarkEnd w:id="133"/>
      <w:bookmarkEnd w:id="134"/>
    </w:tbl>
    <w:p w14:paraId="341F2A2A">
      <w:pPr>
        <w:jc w:val="center"/>
        <w:rPr>
          <w:rFonts w:hint="eastAsia" w:ascii="宋体" w:hAnsi="宋体" w:cs="宋体"/>
          <w:b/>
          <w:bCs/>
          <w:sz w:val="24"/>
        </w:rPr>
      </w:pPr>
      <w:bookmarkStart w:id="212" w:name="_Toc362614225"/>
      <w:bookmarkStart w:id="213" w:name="_Toc362613853"/>
      <w:bookmarkStart w:id="214" w:name="_Toc361993600"/>
      <w:bookmarkStart w:id="215" w:name="_Toc243796167"/>
      <w:bookmarkStart w:id="216" w:name="_Toc362617924"/>
      <w:bookmarkStart w:id="217" w:name="_Toc368320208"/>
      <w:bookmarkStart w:id="218" w:name="_Toc234382588"/>
      <w:bookmarkStart w:id="219" w:name="_Toc245379323"/>
      <w:bookmarkStart w:id="220" w:name="_Toc368338534"/>
      <w:bookmarkStart w:id="221" w:name="_Toc40261808"/>
      <w:r>
        <w:rPr>
          <w:rFonts w:hint="eastAsia" w:ascii="宋体" w:hAnsi="宋体" w:cs="宋体"/>
          <w:b/>
          <w:bCs/>
          <w:sz w:val="24"/>
          <w:highlight w:val="white"/>
        </w:rPr>
        <w:br w:type="page"/>
      </w:r>
      <w:r>
        <w:rPr>
          <w:rFonts w:hint="eastAsia" w:ascii="宋体" w:hAnsi="宋体" w:cs="宋体"/>
          <w:b/>
          <w:bCs/>
          <w:sz w:val="24"/>
          <w:highlight w:val="white"/>
        </w:rPr>
        <w:t>附录1 资格审查条件（资质最低条件</w:t>
      </w:r>
      <w:bookmarkEnd w:id="212"/>
      <w:bookmarkEnd w:id="213"/>
      <w:bookmarkEnd w:id="214"/>
      <w:bookmarkEnd w:id="215"/>
      <w:bookmarkEnd w:id="216"/>
      <w:bookmarkEnd w:id="217"/>
      <w:bookmarkEnd w:id="218"/>
      <w:bookmarkEnd w:id="219"/>
      <w:bookmarkEnd w:id="220"/>
      <w:r>
        <w:rPr>
          <w:rFonts w:hint="eastAsia" w:ascii="宋体" w:hAnsi="宋体" w:cs="宋体"/>
          <w:b/>
          <w:bCs/>
          <w:sz w:val="24"/>
          <w:highlight w:val="white"/>
        </w:rPr>
        <w:t>）</w:t>
      </w:r>
      <w:bookmarkEnd w:id="221"/>
    </w:p>
    <w:p w14:paraId="2FCF8939">
      <w:pPr>
        <w:ind w:firstLine="420" w:firstLineChars="200"/>
        <w:rPr>
          <w:rFonts w:hint="eastAsia" w:ascii="宋体" w:hAnsi="宋体" w:cs="宋体"/>
          <w:szCs w:val="21"/>
        </w:rPr>
      </w:pPr>
      <w:r>
        <w:rPr>
          <w:rFonts w:hint="eastAsia" w:ascii="宋体" w:hAnsi="宋体" w:cs="宋体"/>
          <w:color w:val="0000FF"/>
          <w:szCs w:val="21"/>
          <w:highlight w:val="white"/>
          <w:lang w:eastAsia="zh-CN"/>
        </w:rPr>
        <w:t>2025年台溪乡大大线（Y092）公路养护及水毁修复工程</w:t>
      </w:r>
      <w:r>
        <w:rPr>
          <w:rFonts w:hint="eastAsia" w:ascii="宋体" w:hAnsi="宋体" w:cs="宋体"/>
          <w:szCs w:val="21"/>
          <w:highlight w:val="white"/>
        </w:rPr>
        <w:t>施工标段（组）：</w:t>
      </w:r>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14:paraId="192317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007" w:type="dxa"/>
            <w:tcBorders>
              <w:top w:val="single" w:color="auto" w:sz="12" w:space="0"/>
              <w:left w:val="single" w:color="auto" w:sz="12" w:space="0"/>
              <w:bottom w:val="single" w:color="auto" w:sz="6" w:space="0"/>
              <w:right w:val="single" w:color="auto" w:sz="12" w:space="0"/>
            </w:tcBorders>
            <w:noWrap w:val="0"/>
            <w:vAlign w:val="center"/>
          </w:tcPr>
          <w:p w14:paraId="3681F25F">
            <w:pPr>
              <w:rPr>
                <w:rFonts w:hint="eastAsia" w:ascii="宋体" w:hAnsi="宋体" w:cs="宋体"/>
                <w:szCs w:val="21"/>
              </w:rPr>
            </w:pPr>
            <w:r>
              <w:rPr>
                <w:rFonts w:hint="eastAsia" w:ascii="宋体" w:hAnsi="宋体" w:cs="宋体"/>
                <w:szCs w:val="21"/>
                <w:highlight w:val="white"/>
              </w:rPr>
              <w:t>施工企业资质等级要求</w:t>
            </w:r>
          </w:p>
        </w:tc>
      </w:tr>
      <w:tr w14:paraId="7EFF2D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9007" w:type="dxa"/>
            <w:tcBorders>
              <w:top w:val="single" w:color="auto" w:sz="6" w:space="0"/>
              <w:left w:val="single" w:color="auto" w:sz="12" w:space="0"/>
              <w:bottom w:val="single" w:color="auto" w:sz="12" w:space="0"/>
              <w:right w:val="single" w:color="auto" w:sz="12" w:space="0"/>
            </w:tcBorders>
            <w:noWrap w:val="0"/>
            <w:vAlign w:val="center"/>
          </w:tcPr>
          <w:p w14:paraId="721FDE7A">
            <w:pPr>
              <w:rPr>
                <w:rFonts w:hint="eastAsia" w:ascii="宋体" w:hAnsi="宋体" w:cs="宋体"/>
                <w:szCs w:val="21"/>
              </w:rPr>
            </w:pPr>
            <w:r>
              <w:rPr>
                <w:rFonts w:hint="eastAsia" w:ascii="宋体" w:hAnsi="宋体" w:cs="宋体"/>
                <w:szCs w:val="21"/>
                <w:highlight w:val="white"/>
              </w:rPr>
              <w:t>投标人须具有国内独立法人资格、</w:t>
            </w:r>
            <w:r>
              <w:rPr>
                <w:rFonts w:hint="eastAsia" w:ascii="宋体" w:hAnsi="宋体" w:cs="宋体"/>
                <w:color w:val="0000FF"/>
                <w:szCs w:val="21"/>
                <w:highlight w:val="white"/>
              </w:rPr>
              <w:t>公路工程施工总承包三级及以上</w:t>
            </w:r>
            <w:r>
              <w:rPr>
                <w:rFonts w:hint="eastAsia" w:ascii="宋体" w:hAnsi="宋体" w:cs="宋体"/>
                <w:szCs w:val="21"/>
                <w:highlight w:val="white"/>
              </w:rPr>
              <w:t>资质（参照强制性资格条件附录1填写）；具备有效的企业安全生产许可证的施工企业</w:t>
            </w:r>
            <w:bookmarkStart w:id="222" w:name="FE2f7c1dd1fb8a4c8d95308091e688d246"/>
            <w:bookmarkEnd w:id="222"/>
            <w:bookmarkStart w:id="223" w:name="FB2f7c1dd1fb8a4c8d95308091e688d246"/>
            <w:bookmarkEnd w:id="223"/>
            <w:bookmarkStart w:id="224" w:name="FE6d291b62cd19493cae595e6e89f33d9d"/>
            <w:bookmarkEnd w:id="224"/>
            <w:bookmarkStart w:id="225" w:name="FB6d291b62cd19493cae595e6e89f33d9d"/>
            <w:bookmarkEnd w:id="225"/>
            <w:r>
              <w:rPr>
                <w:rFonts w:hint="eastAsia" w:ascii="宋体" w:hAnsi="宋体" w:cs="宋体"/>
                <w:bCs/>
                <w:szCs w:val="21"/>
                <w:highlight w:val="white"/>
              </w:rPr>
              <w:t>。</w:t>
            </w:r>
          </w:p>
        </w:tc>
      </w:tr>
    </w:tbl>
    <w:p w14:paraId="0860572C">
      <w:pPr>
        <w:ind w:left="357" w:leftChars="170"/>
        <w:rPr>
          <w:rFonts w:hint="eastAsia" w:ascii="宋体" w:hAnsi="宋体" w:cs="宋体"/>
          <w:bCs/>
          <w:szCs w:val="21"/>
        </w:rPr>
      </w:pPr>
      <w:bookmarkStart w:id="226" w:name="_Toc368320209"/>
      <w:bookmarkStart w:id="227" w:name="_Toc243796168"/>
      <w:bookmarkStart w:id="228" w:name="_Toc361993601"/>
      <w:bookmarkStart w:id="229" w:name="_Toc245379324"/>
      <w:r>
        <w:rPr>
          <w:rFonts w:hint="eastAsia" w:ascii="宋体" w:hAnsi="宋体" w:cs="宋体"/>
          <w:bCs/>
          <w:szCs w:val="21"/>
          <w:highlight w:val="white"/>
        </w:rPr>
        <w:t>注：公路工程施工总承包特级资质可承担各等级公路及其桥梁、隧道工程的施工；</w:t>
      </w:r>
    </w:p>
    <w:p w14:paraId="0A81CEDC">
      <w:pPr>
        <w:ind w:left="359" w:leftChars="171"/>
        <w:rPr>
          <w:rFonts w:hint="eastAsia" w:ascii="宋体" w:hAnsi="宋体" w:cs="宋体"/>
          <w:bCs/>
          <w:szCs w:val="21"/>
        </w:rPr>
      </w:pPr>
      <w:r>
        <w:rPr>
          <w:rFonts w:hint="eastAsia" w:ascii="宋体" w:hAnsi="宋体" w:cs="宋体"/>
          <w:bCs/>
          <w:szCs w:val="21"/>
          <w:highlight w:val="white"/>
        </w:rPr>
        <w:t>　　一级资质可承担各级公路及其桥梁，长度3000米以下的隧道工程的施工；</w:t>
      </w:r>
    </w:p>
    <w:p w14:paraId="50B3E0CD">
      <w:pPr>
        <w:ind w:left="359" w:leftChars="171"/>
        <w:rPr>
          <w:rFonts w:hint="eastAsia" w:ascii="宋体" w:hAnsi="宋体" w:cs="宋体"/>
          <w:bCs/>
          <w:szCs w:val="21"/>
        </w:rPr>
      </w:pPr>
      <w:r>
        <w:rPr>
          <w:rFonts w:hint="eastAsia" w:ascii="宋体" w:hAnsi="宋体" w:cs="宋体"/>
          <w:bCs/>
          <w:szCs w:val="21"/>
          <w:highlight w:val="white"/>
        </w:rPr>
        <w:t>　　二级资质可承担一级以下公路，单座桥长1000 米以下、单跨跨度150 米以下的桥梁，长度1000 米以下的隧道工程的施工；</w:t>
      </w:r>
    </w:p>
    <w:p w14:paraId="50E1252B">
      <w:pPr>
        <w:ind w:left="359" w:leftChars="171"/>
        <w:rPr>
          <w:rFonts w:hint="eastAsia" w:ascii="宋体" w:hAnsi="宋体" w:cs="宋体"/>
          <w:bCs/>
          <w:szCs w:val="21"/>
        </w:rPr>
      </w:pPr>
      <w:r>
        <w:rPr>
          <w:rFonts w:hint="eastAsia" w:ascii="宋体" w:hAnsi="宋体" w:cs="宋体"/>
          <w:bCs/>
          <w:szCs w:val="21"/>
          <w:highlight w:val="white"/>
        </w:rPr>
        <w:t>　　三级资质可承担二级以下公路，单座桥长500 米以下、单跨跨度50 米以下的桥梁工程的施工。</w:t>
      </w:r>
    </w:p>
    <w:p w14:paraId="5C6391EE">
      <w:pPr>
        <w:ind w:left="359" w:leftChars="171"/>
        <w:rPr>
          <w:rFonts w:hint="eastAsia" w:ascii="宋体" w:hAnsi="宋体" w:cs="宋体"/>
          <w:bCs/>
          <w:szCs w:val="21"/>
        </w:rPr>
      </w:pPr>
      <w:r>
        <w:rPr>
          <w:rFonts w:hint="eastAsia" w:ascii="宋体" w:hAnsi="宋体" w:cs="宋体"/>
          <w:bCs/>
          <w:szCs w:val="21"/>
          <w:highlight w:val="white"/>
        </w:rPr>
        <w:t>公路路基工程专业承包企业资质分为一级、二级、三级，承包工程范围：</w:t>
      </w:r>
    </w:p>
    <w:p w14:paraId="68BE35D5">
      <w:pPr>
        <w:ind w:left="359" w:leftChars="171"/>
        <w:rPr>
          <w:rFonts w:hint="eastAsia" w:ascii="宋体" w:hAnsi="宋体" w:cs="宋体"/>
          <w:bCs/>
          <w:szCs w:val="21"/>
        </w:rPr>
      </w:pPr>
      <w:r>
        <w:rPr>
          <w:rFonts w:hint="eastAsia" w:ascii="宋体" w:hAnsi="宋体" w:cs="宋体"/>
          <w:bCs/>
          <w:szCs w:val="21"/>
          <w:highlight w:val="white"/>
        </w:rPr>
        <w:t>　　一级资质：可承担各级公路的路基、中小桥涵、防护及排水、软基处理工程的施工。</w:t>
      </w:r>
    </w:p>
    <w:p w14:paraId="2FD94B21">
      <w:pPr>
        <w:ind w:left="359" w:leftChars="171"/>
        <w:rPr>
          <w:rFonts w:hint="eastAsia" w:ascii="宋体" w:hAnsi="宋体" w:cs="宋体"/>
          <w:bCs/>
          <w:szCs w:val="21"/>
        </w:rPr>
      </w:pPr>
      <w:r>
        <w:rPr>
          <w:rFonts w:hint="eastAsia" w:ascii="宋体" w:hAnsi="宋体" w:cs="宋体"/>
          <w:bCs/>
          <w:szCs w:val="21"/>
          <w:highlight w:val="white"/>
        </w:rPr>
        <w:t>　　二级资质：可承担一级以下公路的路基、中小桥涵、防护及排水、软基处理工程的施工。</w:t>
      </w:r>
    </w:p>
    <w:p w14:paraId="77066FF0">
      <w:pPr>
        <w:ind w:left="359" w:leftChars="171"/>
        <w:rPr>
          <w:rFonts w:hint="eastAsia" w:ascii="宋体" w:hAnsi="宋体" w:cs="宋体"/>
          <w:bCs/>
          <w:szCs w:val="21"/>
        </w:rPr>
      </w:pPr>
      <w:r>
        <w:rPr>
          <w:rFonts w:hint="eastAsia" w:ascii="宋体" w:hAnsi="宋体" w:cs="宋体"/>
          <w:bCs/>
          <w:szCs w:val="21"/>
          <w:highlight w:val="white"/>
        </w:rPr>
        <w:t>　　三级资质：可承担二级以下公路的路基、中小桥涵、防护及排水、软基处理工程的施工。</w:t>
      </w:r>
    </w:p>
    <w:p w14:paraId="10EE5015">
      <w:pPr>
        <w:ind w:left="359" w:leftChars="171"/>
        <w:rPr>
          <w:rFonts w:hint="eastAsia" w:ascii="宋体" w:hAnsi="宋体" w:cs="宋体"/>
          <w:bCs/>
          <w:szCs w:val="21"/>
        </w:rPr>
      </w:pPr>
      <w:r>
        <w:rPr>
          <w:rFonts w:hint="eastAsia" w:ascii="宋体" w:hAnsi="宋体" w:cs="宋体"/>
          <w:bCs/>
          <w:szCs w:val="21"/>
          <w:highlight w:val="white"/>
        </w:rPr>
        <w:t>公路路面工程专业承包企业资质分为一级、二级、三级，承包工程范围：</w:t>
      </w:r>
    </w:p>
    <w:p w14:paraId="5F7DAEBA">
      <w:pPr>
        <w:ind w:left="359" w:leftChars="171"/>
        <w:rPr>
          <w:rFonts w:hint="eastAsia" w:ascii="宋体" w:hAnsi="宋体" w:cs="宋体"/>
          <w:bCs/>
          <w:szCs w:val="21"/>
        </w:rPr>
      </w:pPr>
      <w:r>
        <w:rPr>
          <w:rFonts w:hint="eastAsia" w:ascii="宋体" w:hAnsi="宋体" w:cs="宋体"/>
          <w:bCs/>
          <w:szCs w:val="21"/>
          <w:highlight w:val="white"/>
        </w:rPr>
        <w:t>　　一级资质：可承担各级公路路面工程的施工。</w:t>
      </w:r>
    </w:p>
    <w:p w14:paraId="1AD47026">
      <w:pPr>
        <w:ind w:left="359" w:leftChars="171" w:firstLine="360"/>
        <w:rPr>
          <w:rFonts w:hint="eastAsia" w:ascii="宋体" w:hAnsi="宋体" w:cs="宋体"/>
          <w:bCs/>
          <w:szCs w:val="21"/>
        </w:rPr>
      </w:pPr>
      <w:r>
        <w:rPr>
          <w:rFonts w:hint="eastAsia" w:ascii="宋体" w:hAnsi="宋体" w:cs="宋体"/>
          <w:bCs/>
          <w:szCs w:val="21"/>
          <w:highlight w:val="white"/>
        </w:rPr>
        <w:t>二级资质：可承担一级以下公路路面工程的施工。</w:t>
      </w:r>
    </w:p>
    <w:p w14:paraId="47724F62">
      <w:pPr>
        <w:ind w:left="359" w:leftChars="171" w:firstLine="360"/>
        <w:rPr>
          <w:rFonts w:hint="eastAsia" w:ascii="宋体" w:hAnsi="宋体" w:cs="宋体"/>
          <w:bCs/>
          <w:szCs w:val="21"/>
        </w:rPr>
      </w:pPr>
      <w:r>
        <w:rPr>
          <w:rFonts w:hint="eastAsia" w:ascii="宋体" w:hAnsi="宋体" w:cs="宋体"/>
          <w:bCs/>
          <w:szCs w:val="21"/>
          <w:highlight w:val="white"/>
        </w:rPr>
        <w:t>三级资质：可承担二级以下公路路面工程的施工。</w:t>
      </w:r>
    </w:p>
    <w:p w14:paraId="28E1BBF4">
      <w:pPr>
        <w:ind w:left="359" w:leftChars="171"/>
        <w:rPr>
          <w:rFonts w:hint="eastAsia" w:ascii="宋体" w:hAnsi="宋体" w:cs="宋体"/>
          <w:bCs/>
          <w:szCs w:val="21"/>
        </w:rPr>
      </w:pPr>
      <w:r>
        <w:rPr>
          <w:rFonts w:hint="eastAsia" w:ascii="宋体" w:hAnsi="宋体" w:cs="宋体"/>
          <w:bCs/>
          <w:szCs w:val="21"/>
          <w:highlight w:val="white"/>
        </w:rPr>
        <w:t>桥梁工程专业承包企业资质分为一级、二级、三级，承包工程范围：</w:t>
      </w:r>
    </w:p>
    <w:p w14:paraId="3B840682">
      <w:pPr>
        <w:ind w:left="359" w:leftChars="171" w:firstLine="360"/>
        <w:rPr>
          <w:rFonts w:hint="eastAsia" w:ascii="宋体" w:hAnsi="宋体" w:cs="宋体"/>
          <w:bCs/>
          <w:szCs w:val="21"/>
        </w:rPr>
      </w:pPr>
      <w:r>
        <w:rPr>
          <w:rFonts w:hint="eastAsia" w:ascii="宋体" w:hAnsi="宋体" w:cs="宋体"/>
          <w:bCs/>
          <w:szCs w:val="21"/>
          <w:highlight w:val="white"/>
        </w:rPr>
        <w:t>一级资质：可承担各类桥梁工程的施工。</w:t>
      </w:r>
    </w:p>
    <w:p w14:paraId="5D0542E4">
      <w:pPr>
        <w:ind w:left="359" w:leftChars="171" w:firstLine="360"/>
        <w:rPr>
          <w:rFonts w:hint="eastAsia" w:ascii="宋体" w:hAnsi="宋体" w:cs="宋体"/>
          <w:bCs/>
          <w:szCs w:val="21"/>
        </w:rPr>
      </w:pPr>
      <w:r>
        <w:rPr>
          <w:rFonts w:hint="eastAsia" w:ascii="宋体" w:hAnsi="宋体" w:cs="宋体"/>
          <w:bCs/>
          <w:szCs w:val="21"/>
          <w:highlight w:val="white"/>
        </w:rPr>
        <w:t>二级资质：可承担单跨150米以下、单座桥梁总长1000米以下桥梁工程的施工。</w:t>
      </w:r>
    </w:p>
    <w:p w14:paraId="2B19C684">
      <w:pPr>
        <w:ind w:left="359" w:leftChars="171" w:firstLine="360"/>
        <w:rPr>
          <w:rFonts w:hint="eastAsia" w:ascii="宋体" w:hAnsi="宋体" w:cs="宋体"/>
          <w:bCs/>
          <w:szCs w:val="21"/>
        </w:rPr>
      </w:pPr>
      <w:r>
        <w:rPr>
          <w:rFonts w:hint="eastAsia" w:ascii="宋体" w:hAnsi="宋体" w:cs="宋体"/>
          <w:bCs/>
          <w:szCs w:val="21"/>
          <w:highlight w:val="white"/>
        </w:rPr>
        <w:t>三级资质：可承担单跨50米以下、单座桥梁总长120米以下桥梁工程的施工。</w:t>
      </w:r>
    </w:p>
    <w:p w14:paraId="7979FE05">
      <w:pPr>
        <w:ind w:left="359" w:leftChars="171"/>
        <w:rPr>
          <w:rFonts w:hint="eastAsia" w:ascii="宋体" w:hAnsi="宋体" w:cs="宋体"/>
          <w:bCs/>
          <w:szCs w:val="21"/>
        </w:rPr>
      </w:pPr>
      <w:r>
        <w:rPr>
          <w:rFonts w:hint="eastAsia" w:ascii="宋体" w:hAnsi="宋体" w:cs="宋体"/>
          <w:bCs/>
          <w:szCs w:val="21"/>
          <w:highlight w:val="white"/>
        </w:rPr>
        <w:t>隧道工程专业承包企业资质分为一级、二级、三级，承包工程范围：</w:t>
      </w:r>
    </w:p>
    <w:p w14:paraId="630878D8">
      <w:pPr>
        <w:ind w:left="359" w:leftChars="171"/>
        <w:rPr>
          <w:rFonts w:hint="eastAsia" w:ascii="宋体" w:hAnsi="宋体" w:cs="宋体"/>
          <w:bCs/>
          <w:szCs w:val="21"/>
        </w:rPr>
      </w:pPr>
      <w:r>
        <w:rPr>
          <w:rFonts w:hint="eastAsia" w:ascii="宋体" w:hAnsi="宋体" w:cs="宋体"/>
          <w:bCs/>
          <w:szCs w:val="21"/>
          <w:highlight w:val="white"/>
        </w:rPr>
        <w:t>　　一级资质：可承担各类隧道工程施工。</w:t>
      </w:r>
    </w:p>
    <w:p w14:paraId="1E03ED90">
      <w:pPr>
        <w:ind w:left="359" w:leftChars="171" w:firstLine="360"/>
        <w:rPr>
          <w:rFonts w:hint="eastAsia" w:ascii="宋体" w:hAnsi="宋体" w:cs="宋体"/>
          <w:bCs/>
          <w:szCs w:val="21"/>
        </w:rPr>
      </w:pPr>
      <w:r>
        <w:rPr>
          <w:rFonts w:hint="eastAsia" w:ascii="宋体" w:hAnsi="宋体" w:cs="宋体"/>
          <w:bCs/>
          <w:szCs w:val="21"/>
          <w:highlight w:val="white"/>
        </w:rPr>
        <w:t>二级资质：可承担断面60平方米以下且单洞长度1000米以下的隧道工程施工。</w:t>
      </w:r>
    </w:p>
    <w:p w14:paraId="52A6288D">
      <w:pPr>
        <w:ind w:left="359" w:leftChars="171" w:firstLine="360"/>
        <w:rPr>
          <w:rFonts w:hint="eastAsia" w:ascii="宋体" w:hAnsi="宋体" w:cs="宋体"/>
          <w:bCs/>
          <w:szCs w:val="21"/>
        </w:rPr>
      </w:pPr>
      <w:r>
        <w:rPr>
          <w:rFonts w:hint="eastAsia" w:ascii="宋体" w:hAnsi="宋体" w:cs="宋体"/>
          <w:bCs/>
          <w:szCs w:val="21"/>
          <w:highlight w:val="white"/>
        </w:rPr>
        <w:t>三级资质：可承担断面40平方米以下且单洞长度500米以下的隧道工程施工。</w:t>
      </w:r>
    </w:p>
    <w:p w14:paraId="73A6B30D">
      <w:pPr>
        <w:ind w:left="359" w:leftChars="171"/>
        <w:rPr>
          <w:rFonts w:hint="eastAsia" w:ascii="宋体" w:hAnsi="宋体" w:cs="宋体"/>
          <w:bCs/>
          <w:szCs w:val="21"/>
        </w:rPr>
      </w:pPr>
      <w:r>
        <w:rPr>
          <w:rFonts w:hint="eastAsia" w:ascii="宋体" w:hAnsi="宋体" w:cs="宋体"/>
          <w:bCs/>
          <w:szCs w:val="21"/>
          <w:highlight w:val="white"/>
        </w:rPr>
        <w:t>上述“以下”均包含本数。招标人应根据项目实际选择投标人施工企业资质等级。</w:t>
      </w:r>
    </w:p>
    <w:p w14:paraId="37AA3DF6">
      <w:pPr>
        <w:ind w:left="359" w:leftChars="171"/>
        <w:rPr>
          <w:rFonts w:hint="eastAsia" w:ascii="宋体" w:hAnsi="宋体" w:cs="宋体"/>
          <w:bCs/>
          <w:sz w:val="18"/>
          <w:szCs w:val="18"/>
        </w:rPr>
      </w:pPr>
    </w:p>
    <w:p w14:paraId="7EC60EAC">
      <w:pPr>
        <w:spacing w:before="48" w:beforeLines="20" w:after="48" w:afterLines="20"/>
        <w:jc w:val="center"/>
        <w:outlineLvl w:val="3"/>
        <w:rPr>
          <w:rFonts w:hint="eastAsia" w:ascii="宋体" w:hAnsi="宋体" w:cs="宋体"/>
          <w:b/>
          <w:bCs/>
          <w:sz w:val="24"/>
          <w:highlight w:val="white"/>
        </w:rPr>
      </w:pPr>
      <w:bookmarkStart w:id="230" w:name="_Toc368338535"/>
      <w:bookmarkStart w:id="231" w:name="_Toc362617925"/>
      <w:bookmarkStart w:id="232" w:name="_Toc362614226"/>
      <w:bookmarkStart w:id="233" w:name="_Toc362613854"/>
      <w:bookmarkStart w:id="234" w:name="_Toc40261809"/>
    </w:p>
    <w:p w14:paraId="41845E4F">
      <w:pPr>
        <w:spacing w:before="48" w:beforeLines="20" w:after="48" w:afterLines="20"/>
        <w:jc w:val="center"/>
        <w:outlineLvl w:val="3"/>
        <w:rPr>
          <w:rFonts w:hint="eastAsia" w:ascii="宋体" w:hAnsi="宋体" w:cs="宋体"/>
          <w:b/>
          <w:bCs/>
          <w:sz w:val="24"/>
        </w:rPr>
      </w:pPr>
      <w:r>
        <w:rPr>
          <w:rFonts w:hint="eastAsia" w:ascii="宋体" w:hAnsi="宋体" w:cs="宋体"/>
          <w:b/>
          <w:bCs/>
          <w:sz w:val="24"/>
          <w:highlight w:val="white"/>
        </w:rPr>
        <w:t>附录2 资格审查条件（财务最低要求</w:t>
      </w:r>
      <w:bookmarkEnd w:id="226"/>
      <w:bookmarkEnd w:id="227"/>
      <w:bookmarkEnd w:id="228"/>
      <w:bookmarkEnd w:id="229"/>
      <w:bookmarkEnd w:id="230"/>
      <w:bookmarkEnd w:id="231"/>
      <w:bookmarkEnd w:id="232"/>
      <w:bookmarkEnd w:id="233"/>
      <w:r>
        <w:rPr>
          <w:rFonts w:hint="eastAsia" w:ascii="宋体" w:hAnsi="宋体" w:cs="宋体"/>
          <w:b/>
          <w:bCs/>
          <w:sz w:val="24"/>
          <w:highlight w:val="white"/>
        </w:rPr>
        <w:t>）</w:t>
      </w:r>
      <w:bookmarkEnd w:id="234"/>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50"/>
      </w:tblGrid>
      <w:tr w14:paraId="5C481C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950" w:type="dxa"/>
            <w:tcBorders>
              <w:top w:val="single" w:color="auto" w:sz="12" w:space="0"/>
              <w:left w:val="single" w:color="auto" w:sz="12" w:space="0"/>
              <w:bottom w:val="single" w:color="auto" w:sz="6" w:space="0"/>
              <w:right w:val="single" w:color="auto" w:sz="12" w:space="0"/>
            </w:tcBorders>
            <w:noWrap w:val="0"/>
            <w:vAlign w:val="center"/>
          </w:tcPr>
          <w:p w14:paraId="403643D1">
            <w:pPr>
              <w:jc w:val="center"/>
              <w:rPr>
                <w:rFonts w:hint="eastAsia" w:ascii="宋体" w:hAnsi="宋体" w:cs="宋体"/>
                <w:szCs w:val="21"/>
              </w:rPr>
            </w:pPr>
            <w:r>
              <w:rPr>
                <w:rFonts w:hint="eastAsia" w:ascii="宋体" w:hAnsi="宋体" w:cs="宋体"/>
                <w:szCs w:val="21"/>
                <w:highlight w:val="white"/>
              </w:rPr>
              <w:t>财 务 要 求</w:t>
            </w:r>
          </w:p>
        </w:tc>
      </w:tr>
      <w:tr w14:paraId="407D32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8950" w:type="dxa"/>
            <w:tcBorders>
              <w:top w:val="single" w:color="auto" w:sz="6" w:space="0"/>
              <w:left w:val="single" w:color="auto" w:sz="12" w:space="0"/>
              <w:bottom w:val="single" w:color="auto" w:sz="12" w:space="0"/>
              <w:right w:val="single" w:color="auto" w:sz="12" w:space="0"/>
            </w:tcBorders>
            <w:noWrap w:val="0"/>
            <w:vAlign w:val="center"/>
          </w:tcPr>
          <w:p w14:paraId="13998C5A">
            <w:pPr>
              <w:spacing w:line="400" w:lineRule="exact"/>
              <w:jc w:val="center"/>
              <w:rPr>
                <w:rFonts w:hint="eastAsia" w:ascii="宋体" w:hAnsi="宋体" w:cs="宋体"/>
                <w:szCs w:val="21"/>
              </w:rPr>
            </w:pPr>
            <w:r>
              <w:rPr>
                <w:rFonts w:hint="eastAsia" w:ascii="宋体" w:hAnsi="宋体" w:cs="宋体"/>
                <w:szCs w:val="21"/>
                <w:highlight w:val="white"/>
              </w:rPr>
              <w:t>不  要  求</w:t>
            </w:r>
          </w:p>
        </w:tc>
      </w:tr>
    </w:tbl>
    <w:p w14:paraId="4AFB1FAD">
      <w:pPr>
        <w:rPr>
          <w:rFonts w:hint="eastAsia" w:ascii="宋体" w:hAnsi="宋体" w:cs="宋体"/>
        </w:rPr>
      </w:pPr>
    </w:p>
    <w:p w14:paraId="12961880">
      <w:pPr>
        <w:jc w:val="center"/>
        <w:rPr>
          <w:rFonts w:hint="eastAsia" w:ascii="宋体" w:hAnsi="宋体" w:cs="宋体"/>
          <w:b/>
          <w:bCs/>
          <w:sz w:val="24"/>
        </w:rPr>
      </w:pPr>
      <w:r>
        <w:rPr>
          <w:rFonts w:hint="eastAsia" w:ascii="宋体" w:hAnsi="宋体" w:cs="宋体"/>
          <w:highlight w:val="white"/>
        </w:rPr>
        <w:br w:type="page"/>
      </w:r>
      <w:bookmarkStart w:id="235" w:name="EBf0951c42051747c9aa9cfdd310c53282"/>
      <w:r>
        <w:rPr>
          <w:rFonts w:hint="eastAsia" w:ascii="宋体" w:hAnsi="宋体" w:cs="宋体"/>
          <w:color w:val="000080"/>
          <w:sz w:val="20"/>
          <w:highlight w:val="white"/>
        </w:rPr>
        <w:t xml:space="preserve"> </w:t>
      </w:r>
      <w:bookmarkEnd w:id="235"/>
      <w:bookmarkStart w:id="236" w:name="_Toc243796170"/>
      <w:bookmarkStart w:id="237" w:name="_Toc362614228"/>
      <w:bookmarkStart w:id="238" w:name="_Toc368338537"/>
      <w:bookmarkStart w:id="239" w:name="_Toc362613856"/>
      <w:bookmarkStart w:id="240" w:name="_Toc362617927"/>
      <w:bookmarkStart w:id="241" w:name="_Toc245379326"/>
      <w:bookmarkStart w:id="242" w:name="_Toc368320211"/>
      <w:bookmarkStart w:id="243" w:name="_Toc40261810"/>
      <w:r>
        <w:rPr>
          <w:rFonts w:hint="eastAsia" w:ascii="宋体" w:hAnsi="宋体" w:cs="宋体"/>
          <w:b/>
          <w:bCs/>
          <w:sz w:val="24"/>
          <w:highlight w:val="white"/>
        </w:rPr>
        <w:t>附录4 资格审查条件（履约信誉最低要求</w:t>
      </w:r>
      <w:bookmarkEnd w:id="236"/>
      <w:bookmarkEnd w:id="237"/>
      <w:bookmarkEnd w:id="238"/>
      <w:bookmarkEnd w:id="239"/>
      <w:bookmarkEnd w:id="240"/>
      <w:bookmarkEnd w:id="241"/>
      <w:bookmarkEnd w:id="242"/>
      <w:r>
        <w:rPr>
          <w:rFonts w:hint="eastAsia" w:ascii="宋体" w:hAnsi="宋体" w:cs="宋体"/>
          <w:b/>
          <w:bCs/>
          <w:sz w:val="24"/>
          <w:highlight w:val="white"/>
        </w:rPr>
        <w:t>）</w:t>
      </w:r>
      <w:bookmarkEnd w:id="243"/>
    </w:p>
    <w:tbl>
      <w:tblPr>
        <w:tblStyle w:val="15"/>
        <w:tblW w:w="0" w:type="auto"/>
        <w:tblInd w:w="14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49"/>
      </w:tblGrid>
      <w:tr w14:paraId="49CE2A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449" w:type="dxa"/>
            <w:tcBorders>
              <w:top w:val="single" w:color="auto" w:sz="12" w:space="0"/>
              <w:left w:val="single" w:color="auto" w:sz="12" w:space="0"/>
              <w:bottom w:val="single" w:color="auto" w:sz="6" w:space="0"/>
              <w:right w:val="single" w:color="auto" w:sz="12" w:space="0"/>
            </w:tcBorders>
            <w:noWrap w:val="0"/>
            <w:vAlign w:val="center"/>
          </w:tcPr>
          <w:p w14:paraId="1BF25413">
            <w:pPr>
              <w:spacing w:line="280" w:lineRule="exact"/>
              <w:jc w:val="center"/>
              <w:rPr>
                <w:rFonts w:hint="eastAsia" w:ascii="宋体" w:hAnsi="宋体" w:cs="宋体"/>
                <w:szCs w:val="21"/>
              </w:rPr>
            </w:pPr>
            <w:r>
              <w:rPr>
                <w:rFonts w:hint="eastAsia" w:ascii="宋体" w:hAnsi="宋体" w:cs="宋体"/>
                <w:szCs w:val="21"/>
                <w:highlight w:val="white"/>
              </w:rPr>
              <w:t>履约信誉要求</w:t>
            </w:r>
          </w:p>
        </w:tc>
      </w:tr>
      <w:tr w14:paraId="3AD829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49" w:type="dxa"/>
            <w:tcBorders>
              <w:top w:val="single" w:color="auto" w:sz="6" w:space="0"/>
              <w:left w:val="single" w:color="auto" w:sz="12" w:space="0"/>
              <w:bottom w:val="single" w:color="auto" w:sz="12" w:space="0"/>
              <w:right w:val="single" w:color="auto" w:sz="12" w:space="0"/>
            </w:tcBorders>
            <w:noWrap w:val="0"/>
            <w:vAlign w:val="center"/>
          </w:tcPr>
          <w:p w14:paraId="4EBB107C">
            <w:pPr>
              <w:spacing w:line="280" w:lineRule="exact"/>
              <w:ind w:left="210" w:leftChars="100" w:firstLine="210" w:firstLineChars="100"/>
              <w:rPr>
                <w:rFonts w:hint="eastAsia" w:ascii="宋体" w:hAnsi="宋体" w:cs="宋体"/>
                <w:szCs w:val="21"/>
              </w:rPr>
            </w:pPr>
            <w:r>
              <w:rPr>
                <w:rFonts w:hint="eastAsia" w:ascii="宋体" w:hAnsi="宋体" w:cs="宋体"/>
                <w:szCs w:val="21"/>
                <w:highlight w:val="white"/>
              </w:rPr>
              <w:t>1.投标人在截止投标文件递交之日前未被交通运输部、福建省交通运输厅依法取消一定期限内投标资格，且未在取消投标资格期限内的（以交通运输部、福建省交通运输厅文件或行政处罚文书为准）,否则其资格审查不予通过。</w:t>
            </w:r>
          </w:p>
          <w:p w14:paraId="383CF059">
            <w:pPr>
              <w:spacing w:line="280" w:lineRule="exact"/>
              <w:ind w:left="210" w:leftChars="100" w:firstLine="210" w:firstLineChars="100"/>
              <w:rPr>
                <w:rFonts w:hint="eastAsia" w:ascii="宋体" w:hAnsi="宋体" w:cs="宋体"/>
                <w:szCs w:val="21"/>
              </w:rPr>
            </w:pPr>
            <w:bookmarkStart w:id="244" w:name="FB6ab849d2e6804d2bb69d467d316999b6"/>
            <w:bookmarkEnd w:id="244"/>
            <w:bookmarkStart w:id="245" w:name="FE6ab849d2e6804d2bb69d467d316999b6"/>
            <w:bookmarkEnd w:id="245"/>
          </w:p>
          <w:p w14:paraId="5D11FD8F">
            <w:pPr>
              <w:pStyle w:val="31"/>
              <w:spacing w:line="280" w:lineRule="exact"/>
              <w:ind w:firstLine="420" w:firstLineChars="200"/>
              <w:rPr>
                <w:rFonts w:hint="eastAsia" w:cs="宋体"/>
                <w:color w:val="auto"/>
                <w:sz w:val="21"/>
                <w:szCs w:val="21"/>
              </w:rPr>
            </w:pPr>
            <w:r>
              <w:rPr>
                <w:rFonts w:hint="eastAsia" w:cs="宋体"/>
                <w:color w:val="auto"/>
                <w:sz w:val="21"/>
                <w:szCs w:val="21"/>
                <w:highlight w:val="white"/>
              </w:rPr>
              <w:t>3.投标人未在福建省公路建设项目投标中出现骗取中标、串通投标的（以福建省交通运输厅网站公布的为准），否则资格审查不予通过。</w:t>
            </w:r>
          </w:p>
          <w:p w14:paraId="72355EBB">
            <w:pPr>
              <w:spacing w:line="280" w:lineRule="exact"/>
              <w:ind w:left="210" w:leftChars="100" w:firstLine="210" w:firstLineChars="100"/>
              <w:rPr>
                <w:rFonts w:hint="eastAsia" w:ascii="宋体" w:hAnsi="宋体" w:cs="宋体"/>
                <w:szCs w:val="21"/>
              </w:rPr>
            </w:pPr>
            <w:r>
              <w:rPr>
                <w:rFonts w:hint="eastAsia" w:ascii="宋体" w:hAnsi="宋体" w:cs="宋体"/>
                <w:szCs w:val="21"/>
                <w:highlight w:val="white"/>
              </w:rPr>
              <w:t>4.投标人没有正受到责令停业的行政处罚或正处于财务被接管、冻结、破产的状态。</w:t>
            </w:r>
          </w:p>
          <w:p w14:paraId="5395499B">
            <w:pPr>
              <w:spacing w:line="280" w:lineRule="exact"/>
              <w:ind w:left="210" w:leftChars="100" w:firstLine="210" w:firstLineChars="100"/>
              <w:rPr>
                <w:rFonts w:hint="eastAsia" w:ascii="宋体" w:hAnsi="宋体" w:cs="宋体"/>
                <w:szCs w:val="21"/>
              </w:rPr>
            </w:pPr>
            <w:r>
              <w:rPr>
                <w:rFonts w:hint="eastAsia" w:ascii="宋体" w:hAnsi="宋体" w:cs="宋体"/>
                <w:szCs w:val="21"/>
                <w:highlight w:val="white"/>
              </w:rPr>
              <w:t>5.在“信用中国”网站（www.creditchina.gov.cn）中被列入“失信被执行人”的，资格审查不予通过。</w:t>
            </w:r>
          </w:p>
          <w:p w14:paraId="5704E308">
            <w:pPr>
              <w:spacing w:line="280" w:lineRule="exact"/>
              <w:ind w:left="210" w:leftChars="100" w:firstLine="210" w:firstLineChars="100"/>
              <w:rPr>
                <w:rFonts w:hint="eastAsia" w:ascii="宋体" w:hAnsi="宋体" w:cs="宋体"/>
                <w:szCs w:val="21"/>
              </w:rPr>
            </w:pPr>
            <w:r>
              <w:rPr>
                <w:rFonts w:hint="eastAsia" w:ascii="宋体" w:hAnsi="宋体" w:cs="宋体"/>
                <w:szCs w:val="21"/>
                <w:highlight w:val="white"/>
              </w:rPr>
              <w:t>6.在“国家企业信用信息公示系统”网站（www.gsxt.gov.cn）中被列入严重违法失信企业名单的投标人，资格审查不予通过。</w:t>
            </w:r>
          </w:p>
          <w:p w14:paraId="5A0E8D0F">
            <w:pPr>
              <w:spacing w:line="280" w:lineRule="exact"/>
              <w:ind w:left="210" w:leftChars="100" w:firstLine="210" w:firstLineChars="100"/>
              <w:rPr>
                <w:rFonts w:hint="eastAsia" w:ascii="宋体" w:hAnsi="宋体" w:cs="宋体"/>
                <w:szCs w:val="21"/>
              </w:rPr>
            </w:pPr>
            <w:r>
              <w:rPr>
                <w:rFonts w:hint="eastAsia" w:ascii="宋体" w:hAnsi="宋体" w:cs="宋体"/>
                <w:szCs w:val="21"/>
                <w:highlight w:val="white"/>
              </w:rPr>
              <w:t>7.投标人或法定代表人或拟委任的项目经理或拟委任的项目总工近三年内有行贿犯罪记录的，其资格审查不予通过。</w:t>
            </w:r>
          </w:p>
        </w:tc>
      </w:tr>
    </w:tbl>
    <w:p w14:paraId="5CAA214B">
      <w:pPr>
        <w:rPr>
          <w:rFonts w:hint="eastAsia" w:ascii="宋体" w:hAnsi="宋体" w:cs="宋体"/>
        </w:rPr>
      </w:pPr>
      <w:bookmarkStart w:id="246" w:name="_Toc245379327"/>
      <w:bookmarkStart w:id="247" w:name="_Toc243796171"/>
      <w:bookmarkStart w:id="248" w:name="_Toc368320212"/>
      <w:bookmarkStart w:id="249" w:name="_Toc361993603"/>
    </w:p>
    <w:p w14:paraId="5FF2EC17">
      <w:pPr>
        <w:rPr>
          <w:rFonts w:hint="eastAsia" w:ascii="宋体" w:hAnsi="宋体" w:cs="宋体"/>
        </w:rPr>
      </w:pPr>
    </w:p>
    <w:p w14:paraId="2AA4135D">
      <w:pPr>
        <w:spacing w:before="48" w:beforeLines="20" w:after="48" w:afterLines="20"/>
        <w:jc w:val="center"/>
        <w:outlineLvl w:val="3"/>
        <w:rPr>
          <w:rFonts w:hint="eastAsia" w:ascii="宋体" w:hAnsi="宋体" w:cs="宋体"/>
          <w:b/>
          <w:bCs/>
          <w:sz w:val="24"/>
        </w:rPr>
      </w:pPr>
      <w:bookmarkStart w:id="250" w:name="_Toc362617928"/>
      <w:bookmarkStart w:id="251" w:name="_Toc368338538"/>
      <w:bookmarkStart w:id="252" w:name="_Toc362613857"/>
      <w:bookmarkStart w:id="253" w:name="_Toc362614229"/>
      <w:bookmarkStart w:id="254" w:name="_Toc40261811"/>
      <w:r>
        <w:rPr>
          <w:rFonts w:hint="eastAsia" w:ascii="宋体" w:hAnsi="宋体" w:cs="宋体"/>
          <w:b/>
          <w:bCs/>
          <w:sz w:val="24"/>
          <w:highlight w:val="white"/>
        </w:rPr>
        <w:t>附录5 资格审查条件（项目经理和项目总工最低要求</w:t>
      </w:r>
      <w:bookmarkEnd w:id="246"/>
      <w:bookmarkEnd w:id="247"/>
      <w:bookmarkEnd w:id="248"/>
      <w:bookmarkEnd w:id="249"/>
      <w:bookmarkEnd w:id="250"/>
      <w:bookmarkEnd w:id="251"/>
      <w:bookmarkEnd w:id="252"/>
      <w:bookmarkEnd w:id="253"/>
      <w:r>
        <w:rPr>
          <w:rFonts w:hint="eastAsia" w:ascii="宋体" w:hAnsi="宋体" w:cs="宋体"/>
          <w:b/>
          <w:bCs/>
          <w:sz w:val="24"/>
          <w:highlight w:val="white"/>
        </w:rPr>
        <w:t>）</w:t>
      </w:r>
      <w:bookmarkEnd w:id="254"/>
    </w:p>
    <w:p w14:paraId="65E96DB2">
      <w:pPr>
        <w:ind w:firstLine="630" w:firstLineChars="300"/>
        <w:rPr>
          <w:rFonts w:hint="eastAsia" w:ascii="宋体" w:hAnsi="宋体" w:cs="宋体"/>
          <w:szCs w:val="21"/>
        </w:rPr>
      </w:pPr>
      <w:r>
        <w:rPr>
          <w:rFonts w:hint="eastAsia" w:ascii="宋体" w:hAnsi="宋体" w:cs="宋体"/>
          <w:color w:val="0000FF"/>
          <w:szCs w:val="21"/>
          <w:highlight w:val="white"/>
          <w:lang w:eastAsia="zh-CN"/>
        </w:rPr>
        <w:t>2025年台溪乡大大线（Y092）公路养护及水毁修复工程</w:t>
      </w:r>
      <w:r>
        <w:rPr>
          <w:rFonts w:hint="eastAsia" w:ascii="宋体" w:hAnsi="宋体" w:cs="宋体"/>
          <w:szCs w:val="21"/>
          <w:highlight w:val="white"/>
        </w:rPr>
        <w:t>施工标段（组）：</w:t>
      </w:r>
    </w:p>
    <w:tbl>
      <w:tblPr>
        <w:tblStyle w:val="15"/>
        <w:tblW w:w="0" w:type="auto"/>
        <w:tblInd w:w="14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952"/>
        <w:gridCol w:w="5529"/>
        <w:gridCol w:w="1713"/>
      </w:tblGrid>
      <w:tr w14:paraId="15680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exact"/>
        </w:trPr>
        <w:tc>
          <w:tcPr>
            <w:tcW w:w="1275" w:type="dxa"/>
            <w:noWrap w:val="0"/>
            <w:vAlign w:val="center"/>
          </w:tcPr>
          <w:p w14:paraId="22C918F2">
            <w:pPr>
              <w:spacing w:line="280" w:lineRule="exact"/>
              <w:jc w:val="center"/>
              <w:rPr>
                <w:rFonts w:hint="eastAsia" w:ascii="宋体" w:hAnsi="宋体" w:cs="宋体"/>
                <w:szCs w:val="21"/>
              </w:rPr>
            </w:pPr>
            <w:r>
              <w:rPr>
                <w:rFonts w:hint="eastAsia" w:ascii="宋体" w:hAnsi="宋体" w:cs="宋体"/>
                <w:szCs w:val="21"/>
                <w:highlight w:val="white"/>
              </w:rPr>
              <w:t>人员</w:t>
            </w:r>
          </w:p>
        </w:tc>
        <w:tc>
          <w:tcPr>
            <w:tcW w:w="952" w:type="dxa"/>
            <w:noWrap w:val="0"/>
            <w:vAlign w:val="center"/>
          </w:tcPr>
          <w:p w14:paraId="5E59A2CD">
            <w:pPr>
              <w:spacing w:line="280" w:lineRule="exact"/>
              <w:jc w:val="center"/>
              <w:rPr>
                <w:rFonts w:hint="eastAsia" w:ascii="宋体" w:hAnsi="宋体" w:cs="宋体"/>
                <w:szCs w:val="21"/>
              </w:rPr>
            </w:pPr>
            <w:r>
              <w:rPr>
                <w:rFonts w:hint="eastAsia" w:ascii="宋体" w:hAnsi="宋体" w:cs="宋体"/>
                <w:szCs w:val="21"/>
                <w:highlight w:val="white"/>
              </w:rPr>
              <w:t>数量</w:t>
            </w:r>
          </w:p>
        </w:tc>
        <w:tc>
          <w:tcPr>
            <w:tcW w:w="5529" w:type="dxa"/>
            <w:noWrap w:val="0"/>
            <w:vAlign w:val="center"/>
          </w:tcPr>
          <w:p w14:paraId="6DE077E5">
            <w:pPr>
              <w:spacing w:line="280" w:lineRule="exact"/>
              <w:jc w:val="center"/>
              <w:rPr>
                <w:rFonts w:hint="eastAsia" w:ascii="宋体" w:hAnsi="宋体" w:cs="宋体"/>
                <w:szCs w:val="21"/>
              </w:rPr>
            </w:pPr>
            <w:r>
              <w:rPr>
                <w:rFonts w:hint="eastAsia" w:ascii="宋体" w:hAnsi="宋体" w:cs="宋体"/>
                <w:szCs w:val="21"/>
                <w:highlight w:val="white"/>
              </w:rPr>
              <w:t>资 格 要 求</w:t>
            </w:r>
          </w:p>
        </w:tc>
        <w:tc>
          <w:tcPr>
            <w:tcW w:w="1713" w:type="dxa"/>
            <w:noWrap w:val="0"/>
            <w:vAlign w:val="center"/>
          </w:tcPr>
          <w:p w14:paraId="5BD1DDA9">
            <w:pPr>
              <w:spacing w:line="280" w:lineRule="exact"/>
              <w:jc w:val="center"/>
              <w:rPr>
                <w:rFonts w:hint="eastAsia" w:ascii="宋体" w:hAnsi="宋体" w:cs="宋体"/>
                <w:szCs w:val="21"/>
              </w:rPr>
            </w:pPr>
            <w:r>
              <w:rPr>
                <w:rFonts w:hint="eastAsia" w:ascii="宋体" w:hAnsi="宋体" w:cs="宋体"/>
                <w:szCs w:val="21"/>
                <w:highlight w:val="white"/>
              </w:rPr>
              <w:t>在岗要求</w:t>
            </w:r>
          </w:p>
        </w:tc>
      </w:tr>
      <w:tr w14:paraId="13C25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5" w:hRule="atLeast"/>
        </w:trPr>
        <w:tc>
          <w:tcPr>
            <w:tcW w:w="1275" w:type="dxa"/>
            <w:noWrap w:val="0"/>
            <w:vAlign w:val="center"/>
          </w:tcPr>
          <w:p w14:paraId="536DD4DC">
            <w:pPr>
              <w:spacing w:line="280" w:lineRule="exact"/>
              <w:jc w:val="center"/>
              <w:rPr>
                <w:rFonts w:hint="eastAsia" w:ascii="宋体" w:hAnsi="宋体" w:cs="宋体"/>
                <w:szCs w:val="21"/>
                <w:highlight w:val="white"/>
              </w:rPr>
            </w:pPr>
            <w:r>
              <w:rPr>
                <w:rFonts w:hint="eastAsia" w:ascii="宋体" w:hAnsi="宋体" w:cs="宋体"/>
                <w:szCs w:val="21"/>
                <w:highlight w:val="white"/>
              </w:rPr>
              <w:t>项目</w:t>
            </w:r>
          </w:p>
          <w:p w14:paraId="5B94E0E8">
            <w:pPr>
              <w:spacing w:line="280" w:lineRule="exact"/>
              <w:jc w:val="center"/>
              <w:rPr>
                <w:rFonts w:hint="eastAsia" w:ascii="宋体" w:hAnsi="宋体" w:cs="宋体"/>
                <w:szCs w:val="21"/>
              </w:rPr>
            </w:pPr>
            <w:r>
              <w:rPr>
                <w:rFonts w:hint="eastAsia" w:ascii="宋体" w:hAnsi="宋体" w:cs="宋体"/>
                <w:szCs w:val="21"/>
                <w:highlight w:val="white"/>
              </w:rPr>
              <w:t>经理</w:t>
            </w:r>
          </w:p>
        </w:tc>
        <w:tc>
          <w:tcPr>
            <w:tcW w:w="952" w:type="dxa"/>
            <w:noWrap w:val="0"/>
            <w:vAlign w:val="center"/>
          </w:tcPr>
          <w:p w14:paraId="687D0816">
            <w:pPr>
              <w:spacing w:line="280" w:lineRule="exact"/>
              <w:jc w:val="center"/>
              <w:rPr>
                <w:rFonts w:hint="eastAsia" w:ascii="宋体" w:hAnsi="宋体" w:cs="宋体"/>
                <w:szCs w:val="21"/>
              </w:rPr>
            </w:pPr>
            <w:r>
              <w:rPr>
                <w:rFonts w:hint="eastAsia" w:ascii="宋体" w:hAnsi="宋体" w:cs="宋体"/>
                <w:szCs w:val="21"/>
                <w:highlight w:val="white"/>
              </w:rPr>
              <w:t>1</w:t>
            </w:r>
          </w:p>
        </w:tc>
        <w:tc>
          <w:tcPr>
            <w:tcW w:w="5529" w:type="dxa"/>
            <w:noWrap w:val="0"/>
            <w:vAlign w:val="center"/>
          </w:tcPr>
          <w:p w14:paraId="61F8D4F8">
            <w:pPr>
              <w:spacing w:line="280" w:lineRule="exact"/>
              <w:rPr>
                <w:rFonts w:hint="eastAsia" w:ascii="宋体" w:hAnsi="宋体" w:cs="宋体"/>
                <w:szCs w:val="21"/>
              </w:rPr>
            </w:pPr>
            <w:r>
              <w:rPr>
                <w:rFonts w:hint="eastAsia" w:ascii="宋体" w:hAnsi="宋体" w:cs="宋体"/>
                <w:szCs w:val="21"/>
                <w:highlight w:val="white"/>
              </w:rPr>
              <w:t>具备</w:t>
            </w:r>
            <w:bookmarkStart w:id="255" w:name="EBdd4866fd62ef4cf0967f65d9548a2cb9"/>
            <w:r>
              <w:rPr>
                <w:rFonts w:hint="eastAsia" w:ascii="宋体" w:hAnsi="宋体" w:cs="宋体"/>
                <w:color w:val="0000FF"/>
                <w:szCs w:val="21"/>
                <w:highlight w:val="white"/>
              </w:rPr>
              <w:t>公路工程或路桥专业</w:t>
            </w:r>
            <w:bookmarkEnd w:id="255"/>
            <w:r>
              <w:rPr>
                <w:rFonts w:hint="eastAsia" w:ascii="宋体" w:hAnsi="宋体" w:cs="宋体"/>
                <w:szCs w:val="21"/>
                <w:highlight w:val="white"/>
              </w:rPr>
              <w:t>（职称等级：</w:t>
            </w:r>
            <w:bookmarkStart w:id="256" w:name="EBeaf188a092574f7f9d9dd5d3e0079aec"/>
            <w:r>
              <w:rPr>
                <w:rFonts w:hint="eastAsia" w:ascii="宋体" w:hAnsi="宋体" w:cs="宋体"/>
                <w:color w:val="0000FF"/>
                <w:szCs w:val="21"/>
                <w:highlight w:val="white"/>
              </w:rPr>
              <w:t>中级</w:t>
            </w:r>
            <w:bookmarkEnd w:id="256"/>
            <w:r>
              <w:rPr>
                <w:rFonts w:hint="eastAsia" w:ascii="宋体" w:hAnsi="宋体" w:cs="宋体"/>
                <w:szCs w:val="21"/>
                <w:highlight w:val="white"/>
              </w:rPr>
              <w:t>）及以上职称；</w:t>
            </w:r>
            <w:bookmarkStart w:id="257" w:name="EB74874e7737974db9a64658ba318e7d99"/>
            <w:r>
              <w:rPr>
                <w:rFonts w:hint="eastAsia" w:ascii="宋体" w:hAnsi="宋体" w:cs="宋体"/>
                <w:color w:val="0000FF"/>
                <w:szCs w:val="21"/>
                <w:highlight w:val="white"/>
              </w:rPr>
              <w:t>公路工程</w:t>
            </w:r>
            <w:bookmarkEnd w:id="257"/>
            <w:r>
              <w:rPr>
                <w:rFonts w:hint="eastAsia" w:ascii="宋体" w:hAnsi="宋体" w:cs="宋体"/>
                <w:szCs w:val="21"/>
                <w:highlight w:val="white"/>
              </w:rPr>
              <w:t>专业</w:t>
            </w:r>
            <w:bookmarkStart w:id="258" w:name="EB414b776fb97540dd8ee5f968e2835a33"/>
            <w:r>
              <w:rPr>
                <w:rFonts w:hint="eastAsia" w:ascii="宋体" w:hAnsi="宋体" w:cs="宋体"/>
                <w:color w:val="0000FF"/>
                <w:szCs w:val="21"/>
                <w:highlight w:val="white"/>
              </w:rPr>
              <w:t>二级</w:t>
            </w:r>
            <w:bookmarkEnd w:id="258"/>
            <w:r>
              <w:rPr>
                <w:rFonts w:hint="eastAsia" w:ascii="宋体" w:hAnsi="宋体" w:cs="宋体"/>
                <w:szCs w:val="21"/>
                <w:highlight w:val="white"/>
                <w:u w:val="single"/>
              </w:rPr>
              <w:t>及以上</w:t>
            </w:r>
            <w:r>
              <w:rPr>
                <w:rFonts w:hint="eastAsia" w:ascii="宋体" w:hAnsi="宋体" w:cs="宋体"/>
                <w:szCs w:val="21"/>
                <w:highlight w:val="white"/>
              </w:rPr>
              <w:t>注册建造师；持有省级及以上交通运输主管部门颁发的安全生产考核合格</w:t>
            </w:r>
            <w:bookmarkStart w:id="259" w:name="EB2eb6f09144584b1492c857292b6032a5"/>
            <w:r>
              <w:rPr>
                <w:rFonts w:hint="eastAsia" w:ascii="宋体" w:hAnsi="宋体" w:cs="宋体"/>
                <w:color w:val="0000FF"/>
                <w:szCs w:val="21"/>
                <w:highlight w:val="white"/>
              </w:rPr>
              <w:t>“B”</w:t>
            </w:r>
            <w:bookmarkEnd w:id="259"/>
            <w:r>
              <w:rPr>
                <w:rFonts w:hint="eastAsia" w:ascii="宋体" w:hAnsi="宋体" w:cs="宋体"/>
                <w:szCs w:val="21"/>
                <w:highlight w:val="white"/>
              </w:rPr>
              <w:t>类证书；年龄</w:t>
            </w:r>
            <w:r>
              <w:rPr>
                <w:rFonts w:hint="eastAsia" w:ascii="宋体" w:hAnsi="宋体" w:cs="宋体"/>
                <w:color w:val="0000FF"/>
                <w:szCs w:val="21"/>
                <w:highlight w:val="white"/>
              </w:rPr>
              <w:t>6</w:t>
            </w:r>
            <w:r>
              <w:rPr>
                <w:rFonts w:hint="eastAsia" w:ascii="宋体" w:hAnsi="宋体" w:cs="宋体"/>
                <w:color w:val="0000FF"/>
                <w:szCs w:val="21"/>
                <w:highlight w:val="white"/>
                <w:lang w:val="en-US" w:eastAsia="zh-CN"/>
              </w:rPr>
              <w:t>0</w:t>
            </w:r>
            <w:r>
              <w:rPr>
                <w:rFonts w:hint="eastAsia" w:ascii="宋体" w:hAnsi="宋体" w:cs="宋体"/>
                <w:szCs w:val="21"/>
                <w:highlight w:val="white"/>
              </w:rPr>
              <w:t>周岁及以下。</w:t>
            </w:r>
          </w:p>
        </w:tc>
        <w:tc>
          <w:tcPr>
            <w:tcW w:w="1713" w:type="dxa"/>
            <w:vMerge w:val="restart"/>
            <w:noWrap w:val="0"/>
            <w:vAlign w:val="center"/>
          </w:tcPr>
          <w:p w14:paraId="5227F3B4">
            <w:pPr>
              <w:spacing w:line="280" w:lineRule="exact"/>
              <w:rPr>
                <w:rFonts w:hint="eastAsia" w:ascii="宋体" w:hAnsi="宋体" w:cs="宋体"/>
                <w:szCs w:val="21"/>
                <w:highlight w:val="yellow"/>
              </w:rPr>
            </w:pPr>
            <w:r>
              <w:rPr>
                <w:rFonts w:hint="eastAsia" w:ascii="宋体" w:hAnsi="宋体" w:cs="宋体"/>
                <w:szCs w:val="21"/>
                <w:highlight w:val="white"/>
              </w:rPr>
              <w:t>无在岗项目（指目前未在其他项目上任职，或虽在其他项目上任职但本项目中标后能够从其他项目撤离）</w:t>
            </w:r>
          </w:p>
        </w:tc>
      </w:tr>
      <w:tr w14:paraId="47643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75" w:type="dxa"/>
            <w:noWrap w:val="0"/>
            <w:vAlign w:val="center"/>
          </w:tcPr>
          <w:p w14:paraId="35F39D35">
            <w:pPr>
              <w:spacing w:line="280" w:lineRule="exact"/>
              <w:jc w:val="center"/>
              <w:rPr>
                <w:rFonts w:hint="eastAsia" w:ascii="宋体" w:hAnsi="宋体" w:cs="宋体"/>
                <w:szCs w:val="21"/>
                <w:highlight w:val="white"/>
              </w:rPr>
            </w:pPr>
            <w:r>
              <w:rPr>
                <w:rFonts w:hint="eastAsia" w:ascii="宋体" w:hAnsi="宋体" w:cs="宋体"/>
                <w:szCs w:val="21"/>
                <w:highlight w:val="white"/>
              </w:rPr>
              <w:t>项目</w:t>
            </w:r>
          </w:p>
          <w:p w14:paraId="25C25F43">
            <w:pPr>
              <w:spacing w:line="280" w:lineRule="exact"/>
              <w:jc w:val="center"/>
              <w:rPr>
                <w:rFonts w:hint="eastAsia" w:ascii="宋体" w:hAnsi="宋体" w:cs="宋体"/>
                <w:szCs w:val="21"/>
              </w:rPr>
            </w:pPr>
            <w:r>
              <w:rPr>
                <w:rFonts w:hint="eastAsia" w:ascii="宋体" w:hAnsi="宋体" w:cs="宋体"/>
                <w:szCs w:val="21"/>
                <w:highlight w:val="white"/>
              </w:rPr>
              <w:t>总工</w:t>
            </w:r>
          </w:p>
        </w:tc>
        <w:tc>
          <w:tcPr>
            <w:tcW w:w="952" w:type="dxa"/>
            <w:noWrap w:val="0"/>
            <w:vAlign w:val="center"/>
          </w:tcPr>
          <w:p w14:paraId="7A1BB892">
            <w:pPr>
              <w:spacing w:line="280" w:lineRule="exact"/>
              <w:jc w:val="center"/>
              <w:rPr>
                <w:rFonts w:hint="eastAsia" w:ascii="宋体" w:hAnsi="宋体" w:cs="宋体"/>
                <w:szCs w:val="21"/>
              </w:rPr>
            </w:pPr>
            <w:r>
              <w:rPr>
                <w:rFonts w:hint="eastAsia" w:ascii="宋体" w:hAnsi="宋体" w:cs="宋体"/>
                <w:szCs w:val="21"/>
                <w:highlight w:val="white"/>
              </w:rPr>
              <w:t>1</w:t>
            </w:r>
          </w:p>
        </w:tc>
        <w:tc>
          <w:tcPr>
            <w:tcW w:w="5529" w:type="dxa"/>
            <w:noWrap w:val="0"/>
            <w:vAlign w:val="center"/>
          </w:tcPr>
          <w:p w14:paraId="27E74D13">
            <w:pPr>
              <w:spacing w:line="280" w:lineRule="exact"/>
              <w:rPr>
                <w:rFonts w:hint="eastAsia" w:ascii="宋体" w:hAnsi="宋体" w:cs="宋体"/>
                <w:szCs w:val="21"/>
              </w:rPr>
            </w:pPr>
            <w:r>
              <w:rPr>
                <w:rFonts w:hint="eastAsia" w:ascii="宋体" w:hAnsi="宋体" w:cs="宋体"/>
                <w:szCs w:val="21"/>
                <w:highlight w:val="white"/>
              </w:rPr>
              <w:t>具备</w:t>
            </w:r>
            <w:bookmarkStart w:id="260" w:name="EB8dfd0e059b794051b2584839fcd29503"/>
            <w:r>
              <w:rPr>
                <w:rFonts w:hint="eastAsia" w:ascii="宋体" w:hAnsi="宋体" w:cs="宋体"/>
                <w:color w:val="0000FF"/>
                <w:szCs w:val="21"/>
                <w:highlight w:val="white"/>
              </w:rPr>
              <w:t>公路工程或路桥专业</w:t>
            </w:r>
            <w:bookmarkEnd w:id="260"/>
            <w:r>
              <w:rPr>
                <w:rFonts w:hint="eastAsia" w:ascii="宋体" w:hAnsi="宋体" w:cs="宋体"/>
                <w:szCs w:val="21"/>
                <w:highlight w:val="white"/>
              </w:rPr>
              <w:t>（职称等级：</w:t>
            </w:r>
            <w:bookmarkStart w:id="261" w:name="EB04e0f2f646044005ba057e2fa85aebc4"/>
            <w:r>
              <w:rPr>
                <w:rFonts w:hint="eastAsia" w:ascii="宋体" w:hAnsi="宋体" w:cs="宋体"/>
                <w:color w:val="0000FF"/>
                <w:szCs w:val="21"/>
                <w:highlight w:val="white"/>
              </w:rPr>
              <w:t>中级</w:t>
            </w:r>
            <w:bookmarkEnd w:id="261"/>
            <w:r>
              <w:rPr>
                <w:rFonts w:hint="eastAsia" w:ascii="宋体" w:hAnsi="宋体" w:cs="宋体"/>
                <w:szCs w:val="21"/>
                <w:highlight w:val="white"/>
              </w:rPr>
              <w:t>）及以上职称；持有省级及以上交通运输主管部门颁发的安全生产考核合格</w:t>
            </w:r>
            <w:bookmarkStart w:id="262" w:name="EB87b5092e0a004b57b7b7f61d84c03dcb"/>
            <w:r>
              <w:rPr>
                <w:rFonts w:hint="eastAsia" w:ascii="宋体" w:hAnsi="宋体" w:cs="宋体"/>
                <w:color w:val="0000FF"/>
                <w:szCs w:val="21"/>
                <w:highlight w:val="white"/>
              </w:rPr>
              <w:t>“B”</w:t>
            </w:r>
            <w:bookmarkEnd w:id="262"/>
            <w:r>
              <w:rPr>
                <w:rFonts w:hint="eastAsia" w:ascii="宋体" w:hAnsi="宋体" w:cs="宋体"/>
                <w:szCs w:val="21"/>
                <w:highlight w:val="white"/>
              </w:rPr>
              <w:t>类证书；年龄</w:t>
            </w:r>
            <w:r>
              <w:rPr>
                <w:rFonts w:hint="eastAsia" w:ascii="宋体" w:hAnsi="宋体" w:cs="宋体"/>
                <w:color w:val="0000FF"/>
                <w:szCs w:val="21"/>
                <w:highlight w:val="white"/>
              </w:rPr>
              <w:t>6</w:t>
            </w:r>
            <w:r>
              <w:rPr>
                <w:rFonts w:hint="eastAsia" w:ascii="宋体" w:hAnsi="宋体" w:cs="宋体"/>
                <w:color w:val="0000FF"/>
                <w:szCs w:val="21"/>
                <w:highlight w:val="white"/>
                <w:lang w:val="en-US" w:eastAsia="zh-CN"/>
              </w:rPr>
              <w:t>0</w:t>
            </w:r>
            <w:r>
              <w:rPr>
                <w:rFonts w:hint="eastAsia" w:ascii="宋体" w:hAnsi="宋体" w:cs="宋体"/>
                <w:szCs w:val="21"/>
                <w:highlight w:val="white"/>
              </w:rPr>
              <w:t>周岁及以下。</w:t>
            </w:r>
          </w:p>
        </w:tc>
        <w:tc>
          <w:tcPr>
            <w:tcW w:w="1713" w:type="dxa"/>
            <w:vMerge w:val="continue"/>
            <w:noWrap w:val="0"/>
            <w:vAlign w:val="center"/>
          </w:tcPr>
          <w:p w14:paraId="0591998F">
            <w:pPr>
              <w:spacing w:line="280" w:lineRule="exact"/>
              <w:rPr>
                <w:rFonts w:hint="eastAsia" w:ascii="宋体" w:hAnsi="宋体" w:cs="宋体"/>
                <w:szCs w:val="21"/>
                <w:highlight w:val="yellow"/>
              </w:rPr>
            </w:pPr>
          </w:p>
        </w:tc>
      </w:tr>
    </w:tbl>
    <w:p w14:paraId="3F211951">
      <w:pPr>
        <w:spacing w:line="280" w:lineRule="exact"/>
        <w:ind w:firstLine="420" w:firstLineChars="200"/>
        <w:rPr>
          <w:rFonts w:hint="eastAsia" w:ascii="宋体" w:hAnsi="宋体" w:cs="宋体"/>
          <w:szCs w:val="21"/>
          <w:highlight w:val="white"/>
        </w:rPr>
      </w:pPr>
      <w:r>
        <w:rPr>
          <w:rFonts w:hint="eastAsia" w:ascii="宋体" w:hAnsi="宋体" w:cs="宋体"/>
          <w:szCs w:val="21"/>
          <w:highlight w:val="white"/>
        </w:rPr>
        <w:t>注：</w:t>
      </w:r>
    </w:p>
    <w:p w14:paraId="7F0D1F6F">
      <w:pPr>
        <w:spacing w:line="280" w:lineRule="exact"/>
        <w:ind w:firstLine="420" w:firstLineChars="200"/>
        <w:rPr>
          <w:rFonts w:hint="eastAsia" w:ascii="宋体" w:hAnsi="宋体" w:cs="宋体"/>
          <w:szCs w:val="21"/>
        </w:rPr>
      </w:pPr>
      <w:r>
        <w:rPr>
          <w:rFonts w:hint="eastAsia" w:ascii="宋体" w:hAnsi="宋体" w:cs="宋体"/>
          <w:szCs w:val="21"/>
          <w:highlight w:val="white"/>
        </w:rPr>
        <w:t>1.投标人应按后附表的格式要求分别填写所列人员的资格；</w:t>
      </w:r>
    </w:p>
    <w:p w14:paraId="6F3CC97C">
      <w:pPr>
        <w:ind w:firstLine="420" w:firstLineChars="200"/>
        <w:rPr>
          <w:rFonts w:hint="eastAsia" w:ascii="宋体" w:hAnsi="宋体" w:cs="宋体"/>
          <w:szCs w:val="21"/>
        </w:rPr>
      </w:pPr>
      <w:r>
        <w:rPr>
          <w:rFonts w:hint="eastAsia" w:ascii="宋体" w:hAnsi="宋体" w:cs="宋体"/>
          <w:szCs w:val="21"/>
          <w:highlight w:val="white"/>
        </w:rPr>
        <w:t>2.项目经理须提交身份证、职称证、建造师证、安全资格证的复印件，项目总工须提交身份证、职称证及安全资格证的复印件。</w:t>
      </w:r>
    </w:p>
    <w:p w14:paraId="59886FC8">
      <w:pPr>
        <w:ind w:left="361" w:leftChars="172"/>
        <w:rPr>
          <w:rFonts w:hint="eastAsia" w:ascii="宋体" w:hAnsi="宋体" w:cs="宋体"/>
          <w:szCs w:val="21"/>
        </w:rPr>
      </w:pPr>
      <w:r>
        <w:rPr>
          <w:rFonts w:hint="eastAsia" w:ascii="宋体" w:hAnsi="宋体" w:cs="宋体"/>
          <w:szCs w:val="21"/>
          <w:highlight w:val="white"/>
        </w:rPr>
        <w:t>3.项目经理和项目总工必须为投标人自有人员，项目经理以注册建造师证书的注册单位为准；项目总工以职称证书上的单位为准，若不符则须提供社保或税务机构开具在投标截止期之前的三个月内出具的缴费时间连续六个月以上的社保证明文件复印件并加盖投标单位公章。</w:t>
      </w:r>
    </w:p>
    <w:p w14:paraId="2A8C3439">
      <w:pPr>
        <w:ind w:left="361" w:leftChars="172"/>
        <w:rPr>
          <w:rFonts w:hint="eastAsia" w:ascii="宋体" w:hAnsi="宋体" w:cs="宋体"/>
          <w:szCs w:val="21"/>
        </w:rPr>
      </w:pPr>
      <w:r>
        <w:rPr>
          <w:rFonts w:hint="eastAsia" w:ascii="宋体" w:hAnsi="宋体" w:cs="宋体"/>
          <w:szCs w:val="21"/>
          <w:highlight w:val="white"/>
        </w:rPr>
        <w:t>4.项目经理及项目总工的职称专业以职称证书上的专业为准，若职称证书上未明确专业，以毕业证书上的专业为准。</w:t>
      </w:r>
    </w:p>
    <w:p w14:paraId="23C08D6E">
      <w:pPr>
        <w:jc w:val="center"/>
        <w:rPr>
          <w:rFonts w:hint="eastAsia" w:ascii="宋体" w:hAnsi="宋体" w:cs="宋体"/>
          <w:sz w:val="28"/>
          <w:szCs w:val="28"/>
        </w:rPr>
      </w:pPr>
      <w:r>
        <w:rPr>
          <w:rFonts w:hint="eastAsia" w:ascii="宋体" w:hAnsi="宋体" w:cs="宋体"/>
          <w:sz w:val="18"/>
          <w:szCs w:val="18"/>
          <w:highlight w:val="white"/>
        </w:rPr>
        <w:br w:type="page"/>
      </w:r>
      <w:bookmarkStart w:id="263" w:name="_Toc368320213"/>
      <w:bookmarkStart w:id="264" w:name="_Toc362617931"/>
      <w:bookmarkStart w:id="265" w:name="_Toc361993604"/>
      <w:bookmarkStart w:id="266" w:name="_Toc362614232"/>
      <w:bookmarkStart w:id="267" w:name="_Toc40261812"/>
      <w:bookmarkStart w:id="268" w:name="_Toc362613860"/>
      <w:bookmarkStart w:id="269" w:name="_Toc368338539"/>
      <w:r>
        <w:rPr>
          <w:rFonts w:hint="eastAsia" w:ascii="宋体" w:hAnsi="宋体" w:cs="宋体"/>
          <w:sz w:val="28"/>
          <w:szCs w:val="28"/>
          <w:highlight w:val="white"/>
        </w:rPr>
        <w:t>投标人须知正文</w:t>
      </w:r>
      <w:bookmarkEnd w:id="263"/>
      <w:bookmarkEnd w:id="264"/>
      <w:bookmarkEnd w:id="265"/>
      <w:bookmarkEnd w:id="266"/>
      <w:bookmarkEnd w:id="267"/>
      <w:bookmarkEnd w:id="268"/>
      <w:bookmarkEnd w:id="269"/>
    </w:p>
    <w:p w14:paraId="7562FF8A">
      <w:pPr>
        <w:spacing w:line="360" w:lineRule="exact"/>
        <w:ind w:firstLine="420" w:firstLineChars="200"/>
        <w:rPr>
          <w:rFonts w:hint="eastAsia" w:ascii="宋体" w:hAnsi="宋体" w:cs="宋体"/>
          <w:szCs w:val="21"/>
        </w:rPr>
      </w:pPr>
      <w:bookmarkStart w:id="270" w:name="_Toc362613861"/>
      <w:bookmarkStart w:id="271" w:name="_Toc362614233"/>
      <w:r>
        <w:rPr>
          <w:rFonts w:hint="eastAsia" w:ascii="宋体" w:hAnsi="宋体" w:cs="宋体"/>
          <w:szCs w:val="21"/>
          <w:highlight w:val="white"/>
        </w:rPr>
        <w:t>本须知正文部分内容若有与本范本投标人须知前附表不一致之处，以投标人须知前附表为准。</w:t>
      </w:r>
      <w:bookmarkEnd w:id="270"/>
      <w:bookmarkEnd w:id="271"/>
    </w:p>
    <w:p w14:paraId="704EB61D">
      <w:pPr>
        <w:spacing w:before="48" w:beforeLines="20" w:after="48" w:afterLines="20"/>
        <w:outlineLvl w:val="3"/>
        <w:rPr>
          <w:rFonts w:hint="eastAsia" w:ascii="宋体" w:hAnsi="宋体" w:cs="宋体"/>
          <w:b/>
          <w:bCs/>
          <w:szCs w:val="21"/>
        </w:rPr>
      </w:pPr>
      <w:bookmarkStart w:id="272" w:name="_Toc368338540"/>
      <w:bookmarkStart w:id="273" w:name="_Toc362614234"/>
      <w:bookmarkStart w:id="274" w:name="_Toc368320214"/>
      <w:bookmarkStart w:id="275" w:name="_Toc367178448"/>
      <w:bookmarkStart w:id="276" w:name="_Toc152042305"/>
      <w:bookmarkStart w:id="277" w:name="_Toc40261813"/>
      <w:bookmarkStart w:id="278" w:name="_Toc362613862"/>
      <w:bookmarkStart w:id="279" w:name="_Toc179632546"/>
      <w:bookmarkStart w:id="280" w:name="_Toc152045529"/>
      <w:bookmarkStart w:id="281" w:name="_Toc362617932"/>
      <w:r>
        <w:rPr>
          <w:rFonts w:hint="eastAsia" w:ascii="宋体" w:hAnsi="宋体" w:cs="宋体"/>
          <w:b/>
          <w:bCs/>
          <w:szCs w:val="21"/>
          <w:highlight w:val="white"/>
        </w:rPr>
        <w:t>1. 总则</w:t>
      </w:r>
      <w:bookmarkEnd w:id="272"/>
      <w:bookmarkEnd w:id="273"/>
      <w:bookmarkEnd w:id="274"/>
      <w:bookmarkEnd w:id="275"/>
      <w:bookmarkEnd w:id="276"/>
      <w:bookmarkEnd w:id="277"/>
      <w:bookmarkEnd w:id="278"/>
      <w:bookmarkEnd w:id="279"/>
      <w:bookmarkEnd w:id="280"/>
      <w:bookmarkEnd w:id="281"/>
    </w:p>
    <w:p w14:paraId="2D12BDB0">
      <w:pPr>
        <w:spacing w:before="48" w:beforeLines="20" w:after="48" w:afterLines="20"/>
        <w:outlineLvl w:val="4"/>
        <w:rPr>
          <w:rFonts w:hint="eastAsia" w:ascii="宋体" w:hAnsi="宋体" w:cs="宋体"/>
          <w:b/>
          <w:bCs/>
          <w:szCs w:val="21"/>
        </w:rPr>
      </w:pPr>
      <w:bookmarkStart w:id="282" w:name="_Toc152045530"/>
      <w:bookmarkStart w:id="283" w:name="_Toc152042306"/>
      <w:bookmarkStart w:id="284" w:name="_Toc179632547"/>
      <w:bookmarkStart w:id="285" w:name="_Toc362617933"/>
      <w:r>
        <w:rPr>
          <w:rFonts w:hint="eastAsia" w:ascii="宋体" w:hAnsi="宋体" w:cs="宋体"/>
          <w:b/>
          <w:bCs/>
          <w:szCs w:val="21"/>
          <w:highlight w:val="white"/>
        </w:rPr>
        <w:t>1.1 项目概况</w:t>
      </w:r>
      <w:bookmarkEnd w:id="282"/>
      <w:bookmarkEnd w:id="283"/>
      <w:bookmarkEnd w:id="284"/>
      <w:bookmarkEnd w:id="285"/>
    </w:p>
    <w:p w14:paraId="4F0785DB">
      <w:pPr>
        <w:spacing w:line="360" w:lineRule="exact"/>
        <w:ind w:firstLine="420" w:firstLineChars="200"/>
        <w:rPr>
          <w:rFonts w:hint="eastAsia" w:ascii="宋体" w:hAnsi="宋体" w:cs="宋体"/>
          <w:szCs w:val="21"/>
        </w:rPr>
      </w:pPr>
      <w:r>
        <w:rPr>
          <w:rFonts w:hint="eastAsia" w:ascii="宋体" w:hAnsi="宋体" w:cs="宋体"/>
          <w:szCs w:val="21"/>
          <w:highlight w:val="white"/>
        </w:rPr>
        <w:t>1.1.1根据《中华人民共和国招标投标法》等有关法律、法规和规章的规定，本招标项目已具备招标条件，现对本标段施工进行招标。</w:t>
      </w:r>
    </w:p>
    <w:p w14:paraId="164131CF">
      <w:pPr>
        <w:spacing w:line="360" w:lineRule="exact"/>
        <w:ind w:firstLine="420" w:firstLineChars="200"/>
        <w:rPr>
          <w:rFonts w:hint="eastAsia" w:ascii="宋体" w:hAnsi="宋体" w:cs="宋体"/>
          <w:szCs w:val="21"/>
        </w:rPr>
      </w:pPr>
      <w:r>
        <w:rPr>
          <w:rFonts w:hint="eastAsia" w:ascii="宋体" w:hAnsi="宋体" w:cs="宋体"/>
          <w:szCs w:val="21"/>
          <w:highlight w:val="white"/>
        </w:rPr>
        <w:t>1.1.2本招标项目招标人：见投标人须知前附表。</w:t>
      </w:r>
    </w:p>
    <w:p w14:paraId="09E05C89">
      <w:pPr>
        <w:spacing w:line="360" w:lineRule="exact"/>
        <w:ind w:firstLine="420" w:firstLineChars="200"/>
        <w:rPr>
          <w:rFonts w:hint="eastAsia" w:ascii="宋体" w:hAnsi="宋体" w:cs="宋体"/>
          <w:szCs w:val="21"/>
        </w:rPr>
      </w:pPr>
      <w:r>
        <w:rPr>
          <w:rFonts w:hint="eastAsia" w:ascii="宋体" w:hAnsi="宋体" w:cs="宋体"/>
          <w:szCs w:val="21"/>
          <w:highlight w:val="white"/>
        </w:rPr>
        <w:t>1.1.3本标段招标代理机构：见投标人须知前附表。</w:t>
      </w:r>
    </w:p>
    <w:p w14:paraId="0688DCE1">
      <w:pPr>
        <w:spacing w:line="360" w:lineRule="exact"/>
        <w:ind w:firstLine="420" w:firstLineChars="200"/>
        <w:rPr>
          <w:rFonts w:hint="eastAsia" w:ascii="宋体" w:hAnsi="宋体" w:cs="宋体"/>
          <w:szCs w:val="21"/>
        </w:rPr>
      </w:pPr>
      <w:r>
        <w:rPr>
          <w:rFonts w:hint="eastAsia" w:ascii="宋体" w:hAnsi="宋体" w:cs="宋体"/>
          <w:szCs w:val="21"/>
          <w:highlight w:val="white"/>
        </w:rPr>
        <w:t>1.1.4本招标项目名称：见投标人须知前附表。</w:t>
      </w:r>
    </w:p>
    <w:p w14:paraId="1D630CF3">
      <w:pPr>
        <w:spacing w:line="360" w:lineRule="exact"/>
        <w:ind w:firstLine="420" w:firstLineChars="200"/>
        <w:rPr>
          <w:rFonts w:hint="eastAsia" w:ascii="宋体" w:hAnsi="宋体" w:cs="宋体"/>
          <w:szCs w:val="21"/>
        </w:rPr>
      </w:pPr>
      <w:r>
        <w:rPr>
          <w:rFonts w:hint="eastAsia" w:ascii="宋体" w:hAnsi="宋体" w:cs="宋体"/>
          <w:szCs w:val="21"/>
          <w:highlight w:val="white"/>
        </w:rPr>
        <w:t>1.1.5本标段建设地点：见投标人须知前附表。</w:t>
      </w:r>
    </w:p>
    <w:p w14:paraId="55B59A9F">
      <w:pPr>
        <w:spacing w:before="48" w:beforeLines="20" w:after="48" w:afterLines="20"/>
        <w:outlineLvl w:val="4"/>
        <w:rPr>
          <w:rFonts w:hint="eastAsia" w:ascii="宋体" w:hAnsi="宋体" w:cs="宋体"/>
          <w:b/>
          <w:bCs/>
          <w:szCs w:val="21"/>
        </w:rPr>
      </w:pPr>
      <w:bookmarkStart w:id="286" w:name="_Toc152042307"/>
      <w:bookmarkStart w:id="287" w:name="_Toc362617934"/>
      <w:bookmarkStart w:id="288" w:name="_Toc179632548"/>
      <w:bookmarkStart w:id="289" w:name="_Toc152045531"/>
      <w:r>
        <w:rPr>
          <w:rFonts w:hint="eastAsia" w:ascii="宋体" w:hAnsi="宋体" w:cs="宋体"/>
          <w:b/>
          <w:bCs/>
          <w:szCs w:val="21"/>
          <w:highlight w:val="white"/>
        </w:rPr>
        <w:t>1.2 资金来源和落实情况</w:t>
      </w:r>
      <w:bookmarkEnd w:id="286"/>
      <w:bookmarkEnd w:id="287"/>
      <w:bookmarkEnd w:id="288"/>
      <w:bookmarkEnd w:id="289"/>
    </w:p>
    <w:p w14:paraId="2F9D3B39">
      <w:pPr>
        <w:spacing w:line="360" w:lineRule="exact"/>
        <w:ind w:firstLine="420" w:firstLineChars="200"/>
        <w:rPr>
          <w:rFonts w:hint="eastAsia" w:ascii="宋体" w:hAnsi="宋体" w:cs="宋体"/>
          <w:szCs w:val="21"/>
        </w:rPr>
      </w:pPr>
      <w:r>
        <w:rPr>
          <w:rFonts w:hint="eastAsia" w:ascii="宋体" w:hAnsi="宋体" w:cs="宋体"/>
          <w:szCs w:val="21"/>
          <w:highlight w:val="white"/>
        </w:rPr>
        <w:t>1.2.1本招标项目的资金来源：见投标人须知前附表。</w:t>
      </w:r>
    </w:p>
    <w:p w14:paraId="7F7B9589">
      <w:pPr>
        <w:spacing w:line="360" w:lineRule="exact"/>
        <w:ind w:firstLine="420" w:firstLineChars="200"/>
        <w:rPr>
          <w:rFonts w:hint="eastAsia" w:ascii="宋体" w:hAnsi="宋体" w:cs="宋体"/>
          <w:szCs w:val="21"/>
        </w:rPr>
      </w:pPr>
      <w:r>
        <w:rPr>
          <w:rFonts w:hint="eastAsia" w:ascii="宋体" w:hAnsi="宋体" w:cs="宋体"/>
          <w:szCs w:val="21"/>
          <w:highlight w:val="white"/>
        </w:rPr>
        <w:t>1.2.2本招标项目的出资比例：见投标人须知前附表。</w:t>
      </w:r>
    </w:p>
    <w:p w14:paraId="36AB7D1C">
      <w:pPr>
        <w:spacing w:line="360" w:lineRule="exact"/>
        <w:ind w:firstLine="420" w:firstLineChars="200"/>
        <w:rPr>
          <w:rFonts w:hint="eastAsia" w:ascii="宋体" w:hAnsi="宋体" w:cs="宋体"/>
          <w:szCs w:val="21"/>
        </w:rPr>
      </w:pPr>
      <w:r>
        <w:rPr>
          <w:rFonts w:hint="eastAsia" w:ascii="宋体" w:hAnsi="宋体" w:cs="宋体"/>
          <w:szCs w:val="21"/>
          <w:highlight w:val="white"/>
        </w:rPr>
        <w:t>1.2.3本招标项目的资金落实情况：见投标人须知前附表。</w:t>
      </w:r>
    </w:p>
    <w:p w14:paraId="479F42C4">
      <w:pPr>
        <w:spacing w:before="48" w:beforeLines="20" w:after="48" w:afterLines="20"/>
        <w:outlineLvl w:val="4"/>
        <w:rPr>
          <w:rFonts w:hint="eastAsia" w:ascii="宋体" w:hAnsi="宋体" w:cs="宋体"/>
          <w:b/>
          <w:bCs/>
          <w:szCs w:val="21"/>
        </w:rPr>
      </w:pPr>
      <w:bookmarkStart w:id="290" w:name="_Toc362617935"/>
      <w:bookmarkStart w:id="291" w:name="_Toc152045532"/>
      <w:bookmarkStart w:id="292" w:name="_Toc152042308"/>
      <w:bookmarkStart w:id="293" w:name="_Toc179632549"/>
      <w:r>
        <w:rPr>
          <w:rFonts w:hint="eastAsia" w:ascii="宋体" w:hAnsi="宋体" w:cs="宋体"/>
          <w:b/>
          <w:bCs/>
          <w:szCs w:val="21"/>
          <w:highlight w:val="white"/>
        </w:rPr>
        <w:t>1.3 招标范围、计划工期和质量要求</w:t>
      </w:r>
      <w:bookmarkEnd w:id="290"/>
      <w:bookmarkEnd w:id="291"/>
      <w:bookmarkEnd w:id="292"/>
      <w:bookmarkEnd w:id="293"/>
    </w:p>
    <w:p w14:paraId="52439227">
      <w:pPr>
        <w:spacing w:line="360" w:lineRule="exact"/>
        <w:ind w:firstLine="420" w:firstLineChars="200"/>
        <w:rPr>
          <w:rFonts w:hint="eastAsia" w:ascii="宋体" w:hAnsi="宋体" w:cs="宋体"/>
          <w:szCs w:val="21"/>
        </w:rPr>
      </w:pPr>
      <w:r>
        <w:rPr>
          <w:rFonts w:hint="eastAsia" w:ascii="宋体" w:hAnsi="宋体" w:cs="宋体"/>
          <w:szCs w:val="21"/>
          <w:highlight w:val="white"/>
        </w:rPr>
        <w:t>1.3.1本次招标范围：见投标人须知前附表。</w:t>
      </w:r>
    </w:p>
    <w:p w14:paraId="36DD249F">
      <w:pPr>
        <w:spacing w:line="360" w:lineRule="exact"/>
        <w:ind w:firstLine="420" w:firstLineChars="200"/>
        <w:rPr>
          <w:rFonts w:hint="eastAsia" w:ascii="宋体" w:hAnsi="宋体" w:cs="宋体"/>
          <w:szCs w:val="21"/>
        </w:rPr>
      </w:pPr>
      <w:r>
        <w:rPr>
          <w:rFonts w:hint="eastAsia" w:ascii="宋体" w:hAnsi="宋体" w:cs="宋体"/>
          <w:szCs w:val="21"/>
          <w:highlight w:val="white"/>
        </w:rPr>
        <w:t>1.3.2本标段的计划工期：见投标人须知前附表。</w:t>
      </w:r>
    </w:p>
    <w:p w14:paraId="3DFF9537">
      <w:pPr>
        <w:spacing w:line="360" w:lineRule="exact"/>
        <w:ind w:firstLine="420" w:firstLineChars="200"/>
        <w:rPr>
          <w:rFonts w:hint="eastAsia" w:ascii="宋体" w:hAnsi="宋体" w:cs="宋体"/>
          <w:szCs w:val="21"/>
        </w:rPr>
      </w:pPr>
      <w:r>
        <w:rPr>
          <w:rFonts w:hint="eastAsia" w:ascii="宋体" w:hAnsi="宋体" w:cs="宋体"/>
          <w:szCs w:val="21"/>
          <w:highlight w:val="white"/>
        </w:rPr>
        <w:t>1.3.3本标段的质量要求：见投标人须知前附表。</w:t>
      </w:r>
    </w:p>
    <w:p w14:paraId="3F738AD1">
      <w:pPr>
        <w:spacing w:line="360" w:lineRule="exact"/>
        <w:ind w:firstLine="420" w:firstLineChars="200"/>
        <w:rPr>
          <w:rFonts w:hint="eastAsia" w:ascii="宋体" w:hAnsi="宋体" w:cs="宋体"/>
          <w:szCs w:val="21"/>
        </w:rPr>
      </w:pPr>
      <w:r>
        <w:rPr>
          <w:rFonts w:hint="eastAsia" w:ascii="宋体" w:hAnsi="宋体" w:cs="宋体"/>
          <w:szCs w:val="21"/>
          <w:highlight w:val="white"/>
        </w:rPr>
        <w:t>1.3.4本标段的安全目标：见投标人须知前附表。</w:t>
      </w:r>
    </w:p>
    <w:p w14:paraId="4987D7DC">
      <w:pPr>
        <w:spacing w:before="48" w:beforeLines="20" w:after="48" w:afterLines="20"/>
        <w:outlineLvl w:val="4"/>
        <w:rPr>
          <w:rFonts w:hint="eastAsia" w:ascii="宋体" w:hAnsi="宋体" w:cs="宋体"/>
          <w:b/>
          <w:bCs/>
          <w:szCs w:val="21"/>
        </w:rPr>
      </w:pPr>
      <w:bookmarkStart w:id="294" w:name="_Toc152045534"/>
      <w:bookmarkStart w:id="295" w:name="_Toc152042310"/>
      <w:bookmarkStart w:id="296" w:name="_Toc179632551"/>
      <w:bookmarkStart w:id="297" w:name="_Toc362617936"/>
      <w:r>
        <w:rPr>
          <w:rFonts w:hint="eastAsia" w:ascii="宋体" w:hAnsi="宋体" w:cs="宋体"/>
          <w:b/>
          <w:bCs/>
          <w:szCs w:val="21"/>
          <w:highlight w:val="white"/>
        </w:rPr>
        <w:t>1.4 投标人资格要求（适用于未进行资格预审的）</w:t>
      </w:r>
      <w:bookmarkEnd w:id="294"/>
      <w:bookmarkEnd w:id="295"/>
      <w:bookmarkEnd w:id="296"/>
      <w:bookmarkEnd w:id="297"/>
    </w:p>
    <w:p w14:paraId="37222F49">
      <w:pPr>
        <w:spacing w:line="360" w:lineRule="exact"/>
        <w:ind w:firstLine="420" w:firstLineChars="200"/>
        <w:rPr>
          <w:rFonts w:hint="eastAsia" w:ascii="宋体" w:hAnsi="宋体" w:cs="宋体"/>
          <w:szCs w:val="21"/>
        </w:rPr>
      </w:pPr>
      <w:r>
        <w:rPr>
          <w:rFonts w:hint="eastAsia" w:ascii="宋体" w:hAnsi="宋体" w:cs="宋体"/>
          <w:szCs w:val="21"/>
          <w:highlight w:val="white"/>
        </w:rPr>
        <w:t>1.4.1投标人应具备承担本标段施工的资质条件、能力和信誉。</w:t>
      </w:r>
    </w:p>
    <w:p w14:paraId="7A0503A6">
      <w:pPr>
        <w:spacing w:line="360" w:lineRule="exact"/>
        <w:ind w:firstLine="420" w:firstLineChars="200"/>
        <w:rPr>
          <w:rFonts w:hint="eastAsia" w:ascii="宋体" w:hAnsi="宋体" w:cs="宋体"/>
          <w:szCs w:val="21"/>
        </w:rPr>
      </w:pPr>
      <w:r>
        <w:rPr>
          <w:rFonts w:hint="eastAsia" w:ascii="宋体" w:hAnsi="宋体" w:cs="宋体"/>
          <w:szCs w:val="21"/>
          <w:highlight w:val="white"/>
        </w:rPr>
        <w:t>（1）资质条件：见投标人须知前附表。</w:t>
      </w:r>
    </w:p>
    <w:p w14:paraId="4CF51A01">
      <w:pPr>
        <w:spacing w:line="360" w:lineRule="exact"/>
        <w:ind w:firstLine="420" w:firstLineChars="200"/>
        <w:rPr>
          <w:rFonts w:hint="eastAsia" w:ascii="宋体" w:hAnsi="宋体" w:cs="宋体"/>
          <w:szCs w:val="21"/>
        </w:rPr>
      </w:pPr>
      <w:r>
        <w:rPr>
          <w:rFonts w:hint="eastAsia" w:ascii="宋体" w:hAnsi="宋体" w:cs="宋体"/>
          <w:szCs w:val="21"/>
          <w:highlight w:val="white"/>
        </w:rPr>
        <w:t>（2）财务要求：见投标人须知前附表。</w:t>
      </w:r>
    </w:p>
    <w:p w14:paraId="7B082E76">
      <w:pPr>
        <w:spacing w:line="360" w:lineRule="exact"/>
        <w:ind w:firstLine="420" w:firstLineChars="200"/>
        <w:rPr>
          <w:rFonts w:hint="eastAsia" w:ascii="宋体" w:hAnsi="宋体" w:cs="宋体"/>
          <w:szCs w:val="21"/>
        </w:rPr>
      </w:pPr>
      <w:r>
        <w:rPr>
          <w:rFonts w:hint="eastAsia" w:ascii="宋体" w:hAnsi="宋体" w:cs="宋体"/>
          <w:szCs w:val="21"/>
          <w:highlight w:val="white"/>
        </w:rPr>
        <w:t>（3）业绩要求：见投标人须知前附表。</w:t>
      </w:r>
    </w:p>
    <w:p w14:paraId="25B8810E">
      <w:pPr>
        <w:spacing w:line="360" w:lineRule="exact"/>
        <w:ind w:firstLine="420" w:firstLineChars="200"/>
        <w:rPr>
          <w:rFonts w:hint="eastAsia" w:ascii="宋体" w:hAnsi="宋体" w:cs="宋体"/>
          <w:szCs w:val="21"/>
        </w:rPr>
      </w:pPr>
      <w:r>
        <w:rPr>
          <w:rFonts w:hint="eastAsia" w:ascii="宋体" w:hAnsi="宋体" w:cs="宋体"/>
          <w:szCs w:val="21"/>
          <w:highlight w:val="white"/>
        </w:rPr>
        <w:t>（4）信誉要求：见投标人须知前附表。</w:t>
      </w:r>
    </w:p>
    <w:p w14:paraId="175D8D19">
      <w:pPr>
        <w:spacing w:line="360" w:lineRule="exact"/>
        <w:ind w:firstLine="420" w:firstLineChars="200"/>
        <w:rPr>
          <w:rFonts w:hint="eastAsia" w:ascii="宋体" w:hAnsi="宋体" w:cs="宋体"/>
          <w:szCs w:val="21"/>
        </w:rPr>
      </w:pPr>
      <w:r>
        <w:rPr>
          <w:rFonts w:hint="eastAsia" w:ascii="宋体" w:hAnsi="宋体" w:cs="宋体"/>
          <w:szCs w:val="21"/>
          <w:highlight w:val="white"/>
        </w:rPr>
        <w:t>（5）项目经理资格：见投标人须知前附表。</w:t>
      </w:r>
    </w:p>
    <w:p w14:paraId="403C4A7F">
      <w:pPr>
        <w:spacing w:line="360" w:lineRule="exact"/>
        <w:ind w:firstLine="420" w:firstLineChars="200"/>
        <w:rPr>
          <w:rFonts w:hint="eastAsia" w:ascii="宋体" w:hAnsi="宋体" w:cs="宋体"/>
          <w:szCs w:val="21"/>
          <w:u w:val="single"/>
        </w:rPr>
      </w:pPr>
      <w:r>
        <w:rPr>
          <w:rFonts w:hint="eastAsia" w:ascii="宋体" w:hAnsi="宋体" w:cs="宋体"/>
          <w:szCs w:val="21"/>
          <w:highlight w:val="white"/>
        </w:rPr>
        <w:t>（6）项目总工资格：见投标人须知前附表。</w:t>
      </w:r>
    </w:p>
    <w:p w14:paraId="379BDC96">
      <w:pPr>
        <w:spacing w:line="360" w:lineRule="exact"/>
        <w:ind w:firstLine="420" w:firstLineChars="200"/>
        <w:rPr>
          <w:rFonts w:hint="eastAsia" w:ascii="宋体" w:hAnsi="宋体" w:cs="宋体"/>
          <w:szCs w:val="21"/>
        </w:rPr>
      </w:pPr>
      <w:r>
        <w:rPr>
          <w:rFonts w:hint="eastAsia" w:ascii="宋体" w:hAnsi="宋体" w:cs="宋体"/>
          <w:szCs w:val="21"/>
          <w:highlight w:val="white"/>
        </w:rPr>
        <w:t>（7）其他要求：见投标人须知前附表。</w:t>
      </w:r>
    </w:p>
    <w:p w14:paraId="6107AA43">
      <w:pPr>
        <w:spacing w:line="280" w:lineRule="exact"/>
        <w:ind w:left="105" w:leftChars="50" w:right="113"/>
        <w:rPr>
          <w:rFonts w:hint="eastAsia" w:ascii="宋体" w:hAnsi="宋体" w:cs="宋体"/>
          <w:szCs w:val="21"/>
        </w:rPr>
      </w:pPr>
      <w:r>
        <w:rPr>
          <w:rFonts w:hint="eastAsia" w:ascii="宋体" w:hAnsi="宋体" w:cs="宋体"/>
          <w:szCs w:val="21"/>
          <w:highlight w:val="white"/>
        </w:rPr>
        <w:t>1.4.2 联合体投标</w:t>
      </w:r>
    </w:p>
    <w:p w14:paraId="6829EDB1">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1.4.2.1本次招标</w:t>
      </w:r>
      <w:bookmarkStart w:id="298" w:name="FE0b4b6fe0a9574e9d9f079ef2538d0702"/>
      <w:bookmarkEnd w:id="298"/>
      <w:bookmarkStart w:id="299" w:name="FBa3603228811246b6874037c846c0139a"/>
      <w:bookmarkEnd w:id="299"/>
      <w:bookmarkStart w:id="300" w:name="FB0b4b6fe0a9574e9d9f079ef2538d0702"/>
      <w:bookmarkEnd w:id="300"/>
      <w:r>
        <w:rPr>
          <w:rFonts w:hint="eastAsia" w:ascii="宋体" w:hAnsi="宋体" w:cs="宋体"/>
          <w:szCs w:val="21"/>
          <w:highlight w:val="white"/>
        </w:rPr>
        <w:t>不接受</w:t>
      </w:r>
      <w:bookmarkStart w:id="301" w:name="FB97f9667afcbf47329c2fd08e517852a8"/>
      <w:bookmarkEnd w:id="301"/>
      <w:bookmarkStart w:id="302" w:name="FE97f9667afcbf47329c2fd08e517852a8"/>
      <w:bookmarkEnd w:id="302"/>
      <w:bookmarkStart w:id="303" w:name="FEa3603228811246b6874037c846c0139a"/>
      <w:bookmarkEnd w:id="303"/>
      <w:r>
        <w:rPr>
          <w:rFonts w:hint="eastAsia" w:ascii="宋体" w:hAnsi="宋体" w:cs="宋体"/>
          <w:szCs w:val="21"/>
          <w:highlight w:val="white"/>
        </w:rPr>
        <w:t>联合体投标。</w:t>
      </w:r>
    </w:p>
    <w:p w14:paraId="25A350A0">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1.4.3 投标人（包括联合体各成员）不得与本标段相关单位存在下列关联关系：</w:t>
      </w:r>
    </w:p>
    <w:p w14:paraId="28A05E5F">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 xml:space="preserve">（1）为招标人不具有独立法人资格的附属机构（单位）； </w:t>
      </w:r>
    </w:p>
    <w:p w14:paraId="3EE9BB27">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（2）与招标人存在利害关系且可能影响招标公正性；</w:t>
      </w:r>
    </w:p>
    <w:p w14:paraId="110FE2ED">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（3）与本标段的其他投标人同为一个单位负责人；</w:t>
      </w:r>
    </w:p>
    <w:p w14:paraId="13525A1A">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（4）与本标段的其他投标人存在控股、管理关系；</w:t>
      </w:r>
    </w:p>
    <w:p w14:paraId="6B103149">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（5）为本标段前期准备提供设计或咨询服务的法人或其任何附属机构（单位）；</w:t>
      </w:r>
    </w:p>
    <w:p w14:paraId="4B81320C">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（6）为本标段的监理人；</w:t>
      </w:r>
    </w:p>
    <w:p w14:paraId="113787D3">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（7）为本标段的代建人；</w:t>
      </w:r>
    </w:p>
    <w:p w14:paraId="4DFD0D51">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（8）为本标段的招标代理机构；</w:t>
      </w:r>
    </w:p>
    <w:p w14:paraId="7C3EB816">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（9）与本标段的监理人或代建人或招标代理机构或发布本公告的交易系统开发单位同为一个法定代表人；</w:t>
      </w:r>
    </w:p>
    <w:p w14:paraId="1DD36ABD">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（10）与本标段的监理人或代建人或招标代理机构或发布本公告的交易系统开发单位存在控股或参股关系；</w:t>
      </w:r>
    </w:p>
    <w:p w14:paraId="4C48EB11">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（11）法律法规或投标人须知前附表规定的其他情形。</w:t>
      </w:r>
    </w:p>
    <w:p w14:paraId="11D34776">
      <w:pPr>
        <w:wordWrap w:val="0"/>
        <w:spacing w:line="360" w:lineRule="exact"/>
        <w:ind w:firstLine="420" w:firstLineChars="200"/>
        <w:rPr>
          <w:rFonts w:hint="eastAsia" w:ascii="宋体" w:hAnsi="宋体" w:cs="宋体"/>
          <w:szCs w:val="21"/>
        </w:rPr>
      </w:pPr>
      <w:bookmarkStart w:id="304" w:name="_Toc152045535"/>
      <w:bookmarkStart w:id="305" w:name="_Toc179632552"/>
      <w:bookmarkStart w:id="306" w:name="_Toc152042311"/>
      <w:bookmarkStart w:id="307" w:name="_Toc144974503"/>
      <w:r>
        <w:rPr>
          <w:rFonts w:hint="eastAsia" w:ascii="宋体" w:hAnsi="宋体" w:cs="宋体"/>
          <w:szCs w:val="21"/>
          <w:highlight w:val="white"/>
        </w:rPr>
        <w:t>1.4.4投标人（包括联合体各成员）不得存在下列不良状况或不良信用记录：</w:t>
      </w:r>
    </w:p>
    <w:p w14:paraId="264A94F1">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（1）被省级及以上交通运输主管部门取消招标项目所在地的投标资格且处于有效期内；</w:t>
      </w:r>
    </w:p>
    <w:p w14:paraId="11739A85">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（2）被责令停业，暂扣或吊销执照，或吊销资质证书；</w:t>
      </w:r>
    </w:p>
    <w:p w14:paraId="037A0785">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（3）进入清算程序，或被宣告破产，或其他丧失履约能力的情形；</w:t>
      </w:r>
    </w:p>
    <w:p w14:paraId="07E62088">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（4）在国家企业信用信息公示系统（http://www.gsxt.gov.cn/）中被列入严重违法失信企业名单；</w:t>
      </w:r>
    </w:p>
    <w:p w14:paraId="182E212A">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（5）在“信用中国”网站（http://www.creditchina.gov.cn/）中被列入失信被执行人名单；</w:t>
      </w:r>
    </w:p>
    <w:p w14:paraId="3C582D8E">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（6）投标人或其法定代表人、拟委任的项目经理、拟委任的项目总工在近三年内有行贿犯罪行为的（行贿犯罪行为的认定以投标人提交的“无行贿犯罪记录承诺书”为准）；</w:t>
      </w:r>
    </w:p>
    <w:p w14:paraId="691D8726">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（7）法律法规或投标人须知前附表规定的其他情形。</w:t>
      </w:r>
    </w:p>
    <w:p w14:paraId="05C4B316">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1.4.5</w:t>
      </w:r>
      <w:r>
        <w:rPr>
          <w:rStyle w:val="32"/>
          <w:rFonts w:cs="宋体"/>
          <w:sz w:val="21"/>
          <w:szCs w:val="21"/>
          <w:highlight w:val="white"/>
        </w:rPr>
        <w:t>投标人（包括联合体各成员）应进入交通运输部“全国公路建设市场信用信息管理系统（</w:t>
      </w:r>
      <w:r>
        <w:rPr>
          <w:rStyle w:val="33"/>
          <w:rFonts w:hint="eastAsia" w:ascii="宋体" w:hAnsi="宋体" w:cs="宋体"/>
          <w:sz w:val="21"/>
          <w:szCs w:val="21"/>
          <w:highlight w:val="white"/>
        </w:rPr>
        <w:t>http</w:t>
      </w:r>
      <w:r>
        <w:rPr>
          <w:rStyle w:val="32"/>
          <w:rFonts w:cs="宋体"/>
          <w:sz w:val="21"/>
          <w:szCs w:val="21"/>
          <w:highlight w:val="white"/>
        </w:rPr>
        <w:t>：</w:t>
      </w:r>
      <w:r>
        <w:rPr>
          <w:rStyle w:val="33"/>
          <w:rFonts w:hint="eastAsia" w:ascii="宋体" w:hAnsi="宋体" w:cs="宋体"/>
          <w:sz w:val="21"/>
          <w:szCs w:val="21"/>
          <w:highlight w:val="white"/>
        </w:rPr>
        <w:t>//glxy.mot.gov.cn</w:t>
      </w:r>
      <w:r>
        <w:rPr>
          <w:rStyle w:val="32"/>
          <w:rFonts w:cs="宋体"/>
          <w:sz w:val="21"/>
          <w:szCs w:val="21"/>
          <w:highlight w:val="white"/>
        </w:rPr>
        <w:t>）”中的公路工程施工资质企业名录，且投标人名称和资质与该名录中的相应企业名称和资质完全一致。投标人不满足本项规定条件的，将被否决投标。</w:t>
      </w:r>
    </w:p>
    <w:p w14:paraId="5EE89584">
      <w:pPr>
        <w:wordWrap w:val="0"/>
        <w:spacing w:before="48" w:beforeLines="20" w:after="48" w:afterLines="20"/>
        <w:outlineLvl w:val="4"/>
        <w:rPr>
          <w:rFonts w:hint="eastAsia" w:ascii="宋体" w:hAnsi="宋体" w:cs="宋体"/>
          <w:b/>
          <w:bCs/>
          <w:szCs w:val="21"/>
        </w:rPr>
      </w:pPr>
      <w:bookmarkStart w:id="308" w:name="_Toc14173"/>
      <w:bookmarkStart w:id="309" w:name="_Toc362617937"/>
      <w:r>
        <w:rPr>
          <w:rFonts w:hint="eastAsia" w:ascii="宋体" w:hAnsi="宋体" w:cs="宋体"/>
          <w:b/>
          <w:bCs/>
          <w:szCs w:val="21"/>
          <w:highlight w:val="white"/>
        </w:rPr>
        <w:t>1.5 费用承担</w:t>
      </w:r>
      <w:bookmarkEnd w:id="304"/>
      <w:bookmarkEnd w:id="305"/>
      <w:bookmarkEnd w:id="306"/>
      <w:bookmarkEnd w:id="307"/>
      <w:bookmarkEnd w:id="308"/>
      <w:bookmarkEnd w:id="309"/>
    </w:p>
    <w:p w14:paraId="2DA710E6">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投标人准备和参加投标活动发生的费用自理。</w:t>
      </w:r>
    </w:p>
    <w:p w14:paraId="01F748E9">
      <w:pPr>
        <w:wordWrap w:val="0"/>
        <w:spacing w:before="48" w:beforeLines="20" w:after="48" w:afterLines="20"/>
        <w:outlineLvl w:val="4"/>
        <w:rPr>
          <w:rFonts w:hint="eastAsia" w:ascii="宋体" w:hAnsi="宋体" w:cs="宋体"/>
          <w:b/>
          <w:bCs/>
          <w:szCs w:val="21"/>
        </w:rPr>
      </w:pPr>
      <w:bookmarkStart w:id="310" w:name="_Toc152042312"/>
      <w:bookmarkStart w:id="311" w:name="_Toc3102"/>
      <w:bookmarkStart w:id="312" w:name="_Toc362617938"/>
      <w:bookmarkStart w:id="313" w:name="_Toc179632553"/>
      <w:bookmarkStart w:id="314" w:name="_Toc144974504"/>
      <w:bookmarkStart w:id="315" w:name="_Toc152045536"/>
      <w:r>
        <w:rPr>
          <w:rFonts w:hint="eastAsia" w:ascii="宋体" w:hAnsi="宋体" w:cs="宋体"/>
          <w:b/>
          <w:bCs/>
          <w:szCs w:val="21"/>
          <w:highlight w:val="white"/>
        </w:rPr>
        <w:t>1.6 保密</w:t>
      </w:r>
      <w:bookmarkEnd w:id="310"/>
      <w:bookmarkEnd w:id="311"/>
      <w:bookmarkEnd w:id="312"/>
      <w:bookmarkEnd w:id="313"/>
      <w:bookmarkEnd w:id="314"/>
      <w:bookmarkEnd w:id="315"/>
    </w:p>
    <w:p w14:paraId="19DB8AB2">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 xml:space="preserve">参与招标投标活动的各方应对招标文件和投标文件中的商业和技术等秘密保密，违者应对由此造成的后果承担法律责任。 </w:t>
      </w:r>
    </w:p>
    <w:p w14:paraId="77411DBD">
      <w:pPr>
        <w:wordWrap w:val="0"/>
        <w:spacing w:before="48" w:beforeLines="20" w:after="48" w:afterLines="20"/>
        <w:outlineLvl w:val="4"/>
        <w:rPr>
          <w:rFonts w:hint="eastAsia" w:ascii="宋体" w:hAnsi="宋体" w:cs="宋体"/>
          <w:b/>
          <w:bCs/>
          <w:szCs w:val="21"/>
        </w:rPr>
      </w:pPr>
      <w:bookmarkStart w:id="316" w:name="_Toc144974505"/>
      <w:bookmarkStart w:id="317" w:name="_Toc152042313"/>
      <w:bookmarkStart w:id="318" w:name="_Toc362617939"/>
      <w:bookmarkStart w:id="319" w:name="_Toc152045537"/>
      <w:bookmarkStart w:id="320" w:name="_Toc179632554"/>
      <w:bookmarkStart w:id="321" w:name="_Toc2556"/>
      <w:r>
        <w:rPr>
          <w:rFonts w:hint="eastAsia" w:ascii="宋体" w:hAnsi="宋体" w:cs="宋体"/>
          <w:b/>
          <w:bCs/>
          <w:szCs w:val="21"/>
          <w:highlight w:val="white"/>
        </w:rPr>
        <w:t>1.7 语言</w:t>
      </w:r>
      <w:bookmarkEnd w:id="316"/>
      <w:r>
        <w:rPr>
          <w:rFonts w:hint="eastAsia" w:ascii="宋体" w:hAnsi="宋体" w:cs="宋体"/>
          <w:b/>
          <w:bCs/>
          <w:szCs w:val="21"/>
          <w:highlight w:val="white"/>
        </w:rPr>
        <w:t>文字</w:t>
      </w:r>
      <w:bookmarkEnd w:id="317"/>
      <w:bookmarkEnd w:id="318"/>
      <w:bookmarkEnd w:id="319"/>
      <w:bookmarkEnd w:id="320"/>
      <w:bookmarkEnd w:id="321"/>
    </w:p>
    <w:p w14:paraId="6818443A">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除专用术语外，与招标投标有关的语言均使用中文。必要时专用术语应附有中文注释。</w:t>
      </w:r>
    </w:p>
    <w:p w14:paraId="2A7214AF">
      <w:pPr>
        <w:wordWrap w:val="0"/>
        <w:spacing w:before="48" w:beforeLines="20" w:after="48" w:afterLines="20"/>
        <w:outlineLvl w:val="4"/>
        <w:rPr>
          <w:rFonts w:hint="eastAsia" w:ascii="宋体" w:hAnsi="宋体" w:cs="宋体"/>
          <w:b/>
          <w:bCs/>
          <w:szCs w:val="21"/>
        </w:rPr>
      </w:pPr>
      <w:bookmarkStart w:id="322" w:name="_Toc152045538"/>
      <w:bookmarkStart w:id="323" w:name="_Toc152042314"/>
      <w:bookmarkStart w:id="324" w:name="_Toc11886"/>
      <w:bookmarkStart w:id="325" w:name="_Toc179632555"/>
      <w:bookmarkStart w:id="326" w:name="_Toc144974506"/>
      <w:bookmarkStart w:id="327" w:name="_Toc362617940"/>
      <w:r>
        <w:rPr>
          <w:rFonts w:hint="eastAsia" w:ascii="宋体" w:hAnsi="宋体" w:cs="宋体"/>
          <w:b/>
          <w:bCs/>
          <w:szCs w:val="21"/>
          <w:highlight w:val="white"/>
        </w:rPr>
        <w:t>1.8 计量单位</w:t>
      </w:r>
      <w:bookmarkEnd w:id="322"/>
      <w:bookmarkEnd w:id="323"/>
      <w:bookmarkEnd w:id="324"/>
      <w:bookmarkEnd w:id="325"/>
      <w:bookmarkEnd w:id="326"/>
      <w:bookmarkEnd w:id="327"/>
    </w:p>
    <w:p w14:paraId="59A03302">
      <w:pPr>
        <w:spacing w:line="360" w:lineRule="exact"/>
        <w:ind w:firstLine="420" w:firstLineChars="200"/>
        <w:rPr>
          <w:rFonts w:hint="eastAsia" w:ascii="宋体" w:hAnsi="宋体" w:cs="宋体"/>
          <w:szCs w:val="21"/>
        </w:rPr>
      </w:pPr>
      <w:r>
        <w:rPr>
          <w:rFonts w:hint="eastAsia" w:ascii="宋体" w:hAnsi="宋体" w:cs="宋体"/>
          <w:szCs w:val="21"/>
          <w:highlight w:val="white"/>
        </w:rPr>
        <w:t>所有计量均采用中华人民共和国法定计量单位。</w:t>
      </w:r>
    </w:p>
    <w:p w14:paraId="497E213A">
      <w:pPr>
        <w:spacing w:before="48" w:beforeLines="20" w:after="48" w:afterLines="20"/>
        <w:outlineLvl w:val="4"/>
        <w:rPr>
          <w:rFonts w:hint="eastAsia" w:ascii="宋体" w:hAnsi="宋体" w:cs="宋体"/>
          <w:b/>
          <w:bCs/>
          <w:szCs w:val="21"/>
        </w:rPr>
      </w:pPr>
      <w:bookmarkStart w:id="328" w:name="_Toc362617941"/>
      <w:bookmarkStart w:id="329" w:name="_Toc152045539"/>
      <w:bookmarkStart w:id="330" w:name="_Toc179632556"/>
      <w:bookmarkStart w:id="331" w:name="_Toc152042315"/>
      <w:r>
        <w:rPr>
          <w:rFonts w:hint="eastAsia" w:ascii="宋体" w:hAnsi="宋体" w:cs="宋体"/>
          <w:b/>
          <w:bCs/>
          <w:szCs w:val="21"/>
          <w:highlight w:val="white"/>
        </w:rPr>
        <w:t>1.9 踏勘现场</w:t>
      </w:r>
      <w:bookmarkEnd w:id="328"/>
      <w:bookmarkEnd w:id="329"/>
      <w:bookmarkEnd w:id="330"/>
      <w:bookmarkEnd w:id="331"/>
    </w:p>
    <w:p w14:paraId="6B612372">
      <w:pPr>
        <w:spacing w:line="360" w:lineRule="exact"/>
        <w:ind w:firstLine="420" w:firstLineChars="200"/>
        <w:rPr>
          <w:rFonts w:hint="eastAsia" w:ascii="宋体" w:hAnsi="宋体" w:cs="宋体"/>
          <w:szCs w:val="21"/>
        </w:rPr>
      </w:pPr>
      <w:r>
        <w:rPr>
          <w:rFonts w:hint="eastAsia" w:ascii="宋体" w:hAnsi="宋体" w:cs="宋体"/>
          <w:szCs w:val="21"/>
          <w:highlight w:val="white"/>
        </w:rPr>
        <w:t>1.9.1本次招标</w:t>
      </w:r>
      <w:bookmarkStart w:id="332" w:name="EB8357af44a26d4fa48a189a1786bce349"/>
      <w:r>
        <w:rPr>
          <w:rFonts w:hint="eastAsia" w:ascii="宋体" w:hAnsi="宋体" w:cs="宋体"/>
          <w:szCs w:val="21"/>
          <w:highlight w:val="white"/>
        </w:rPr>
        <w:t>不组织</w:t>
      </w:r>
      <w:bookmarkEnd w:id="332"/>
      <w:r>
        <w:rPr>
          <w:rFonts w:hint="eastAsia" w:ascii="宋体" w:hAnsi="宋体" w:cs="宋体"/>
          <w:szCs w:val="21"/>
          <w:highlight w:val="white"/>
        </w:rPr>
        <w:t xml:space="preserve">踏勘现场。 </w:t>
      </w:r>
    </w:p>
    <w:p w14:paraId="55C0168A">
      <w:pPr>
        <w:spacing w:line="360" w:lineRule="exact"/>
        <w:ind w:firstLine="420" w:firstLineChars="200"/>
        <w:rPr>
          <w:rFonts w:hint="eastAsia" w:ascii="宋体" w:hAnsi="宋体" w:cs="宋体"/>
          <w:szCs w:val="21"/>
        </w:rPr>
      </w:pPr>
      <w:r>
        <w:rPr>
          <w:rFonts w:hint="eastAsia" w:ascii="宋体" w:hAnsi="宋体" w:cs="宋体"/>
          <w:szCs w:val="21"/>
          <w:highlight w:val="white"/>
        </w:rPr>
        <w:t>1.9.2投标人可自行踏勘现场，所发生的费用自理。</w:t>
      </w:r>
    </w:p>
    <w:p w14:paraId="66896AF0">
      <w:pPr>
        <w:spacing w:line="360" w:lineRule="exact"/>
        <w:ind w:firstLine="420" w:firstLineChars="200"/>
        <w:rPr>
          <w:rFonts w:hint="eastAsia" w:ascii="宋体" w:hAnsi="宋体" w:cs="宋体"/>
          <w:szCs w:val="21"/>
        </w:rPr>
      </w:pPr>
      <w:r>
        <w:rPr>
          <w:rFonts w:hint="eastAsia" w:ascii="宋体" w:hAnsi="宋体" w:cs="宋体"/>
          <w:szCs w:val="21"/>
          <w:highlight w:val="white"/>
        </w:rPr>
        <w:t>1.9.3投标人自行负责在踏勘现场中所发生的人员伤亡和财产损失。</w:t>
      </w:r>
    </w:p>
    <w:p w14:paraId="04F3757F">
      <w:pPr>
        <w:spacing w:line="360" w:lineRule="exact"/>
        <w:ind w:firstLine="420" w:firstLineChars="200"/>
        <w:rPr>
          <w:rFonts w:hint="eastAsia" w:ascii="宋体" w:hAnsi="宋体" w:cs="宋体"/>
          <w:szCs w:val="21"/>
        </w:rPr>
      </w:pPr>
      <w:r>
        <w:rPr>
          <w:rFonts w:hint="eastAsia" w:ascii="宋体" w:hAnsi="宋体" w:cs="宋体"/>
          <w:szCs w:val="21"/>
          <w:highlight w:val="white"/>
        </w:rPr>
        <w:t>1.9.4招标人提供的水文、地质、气象和料场分布、取土场、弃土场位置等参考资料，并不构成合同文件的组成部分，投标人应对自己就上述资料的解释、推论和应用负责，招标人不对投标人据此作出的判断和决策承担任何责任。</w:t>
      </w:r>
    </w:p>
    <w:p w14:paraId="78073BE9">
      <w:pPr>
        <w:spacing w:before="48" w:beforeLines="20" w:after="48" w:afterLines="20"/>
        <w:outlineLvl w:val="4"/>
        <w:rPr>
          <w:rFonts w:hint="eastAsia" w:ascii="宋体" w:hAnsi="宋体" w:cs="宋体"/>
          <w:b/>
          <w:bCs/>
          <w:szCs w:val="21"/>
        </w:rPr>
      </w:pPr>
      <w:bookmarkStart w:id="333" w:name="_Toc152042316"/>
      <w:bookmarkStart w:id="334" w:name="_Toc362617942"/>
      <w:bookmarkStart w:id="335" w:name="_Toc179632557"/>
      <w:bookmarkStart w:id="336" w:name="_Toc152045540"/>
      <w:r>
        <w:rPr>
          <w:rFonts w:hint="eastAsia" w:ascii="宋体" w:hAnsi="宋体" w:cs="宋体"/>
          <w:b/>
          <w:bCs/>
          <w:szCs w:val="21"/>
          <w:highlight w:val="white"/>
        </w:rPr>
        <w:t>1.10 投标预备会</w:t>
      </w:r>
      <w:bookmarkEnd w:id="333"/>
      <w:bookmarkEnd w:id="334"/>
      <w:bookmarkEnd w:id="335"/>
      <w:bookmarkEnd w:id="336"/>
    </w:p>
    <w:p w14:paraId="451FDC81">
      <w:pPr>
        <w:spacing w:line="360" w:lineRule="exact"/>
        <w:ind w:firstLine="420" w:firstLineChars="200"/>
        <w:rPr>
          <w:rFonts w:hint="eastAsia" w:ascii="宋体" w:hAnsi="宋体" w:cs="宋体"/>
          <w:szCs w:val="21"/>
        </w:rPr>
      </w:pPr>
      <w:r>
        <w:rPr>
          <w:rFonts w:hint="eastAsia" w:ascii="宋体" w:hAnsi="宋体" w:cs="宋体"/>
          <w:szCs w:val="21"/>
          <w:highlight w:val="white"/>
        </w:rPr>
        <w:t>1.10.1本次招标</w:t>
      </w:r>
      <w:bookmarkStart w:id="337" w:name="EB45a48fb3ad8541efaab4bd74d5f98265"/>
      <w:r>
        <w:rPr>
          <w:rFonts w:hint="eastAsia" w:ascii="宋体" w:hAnsi="宋体" w:cs="宋体"/>
          <w:szCs w:val="21"/>
          <w:highlight w:val="white"/>
        </w:rPr>
        <w:t>不召开</w:t>
      </w:r>
      <w:bookmarkEnd w:id="337"/>
      <w:r>
        <w:rPr>
          <w:rFonts w:hint="eastAsia" w:ascii="宋体" w:hAnsi="宋体" w:cs="宋体"/>
          <w:szCs w:val="21"/>
          <w:highlight w:val="white"/>
        </w:rPr>
        <w:t>投标预备会。</w:t>
      </w:r>
    </w:p>
    <w:p w14:paraId="56D8127F">
      <w:pPr>
        <w:spacing w:line="360" w:lineRule="exact"/>
        <w:ind w:firstLine="420" w:firstLineChars="200"/>
        <w:rPr>
          <w:rFonts w:hint="eastAsia" w:ascii="宋体" w:hAnsi="宋体" w:cs="宋体"/>
          <w:szCs w:val="21"/>
        </w:rPr>
      </w:pPr>
      <w:r>
        <w:rPr>
          <w:rFonts w:hint="eastAsia" w:ascii="宋体" w:hAnsi="宋体" w:cs="宋体"/>
          <w:szCs w:val="21"/>
          <w:highlight w:val="white"/>
        </w:rPr>
        <w:t>1.10.2投标人按投标人须知前附表规定的时间和方式提出问题以便招标人进行澄清。</w:t>
      </w:r>
    </w:p>
    <w:p w14:paraId="5A2AE054">
      <w:pPr>
        <w:spacing w:line="400" w:lineRule="exact"/>
        <w:ind w:firstLine="420" w:firstLineChars="200"/>
        <w:rPr>
          <w:rFonts w:hint="eastAsia" w:ascii="宋体" w:hAnsi="宋体" w:cs="宋体"/>
          <w:szCs w:val="21"/>
        </w:rPr>
      </w:pPr>
      <w:r>
        <w:rPr>
          <w:rFonts w:hint="eastAsia" w:ascii="宋体" w:hAnsi="宋体" w:cs="宋体"/>
          <w:szCs w:val="21"/>
          <w:highlight w:val="white"/>
        </w:rPr>
        <w:t>1.10.2招标人按投标人须知前附表规定的时间和方式澄清投标人提出的问题，该澄清内容为招标文件的组成部分。</w:t>
      </w:r>
    </w:p>
    <w:p w14:paraId="79C30258">
      <w:pPr>
        <w:spacing w:before="48" w:beforeLines="20" w:after="48" w:afterLines="20"/>
        <w:outlineLvl w:val="4"/>
        <w:rPr>
          <w:rFonts w:hint="eastAsia" w:ascii="宋体" w:hAnsi="宋体" w:cs="宋体"/>
          <w:b/>
          <w:bCs/>
          <w:szCs w:val="21"/>
        </w:rPr>
      </w:pPr>
      <w:bookmarkStart w:id="338" w:name="_Toc152045541"/>
      <w:bookmarkStart w:id="339" w:name="_Toc179632558"/>
      <w:bookmarkStart w:id="340" w:name="_Toc362617943"/>
      <w:bookmarkStart w:id="341" w:name="_Toc152042317"/>
      <w:r>
        <w:rPr>
          <w:rFonts w:hint="eastAsia" w:ascii="宋体" w:hAnsi="宋体" w:cs="宋体"/>
          <w:b/>
          <w:bCs/>
          <w:szCs w:val="21"/>
          <w:highlight w:val="white"/>
        </w:rPr>
        <w:t>1.11 分包</w:t>
      </w:r>
      <w:bookmarkEnd w:id="338"/>
      <w:bookmarkEnd w:id="339"/>
      <w:bookmarkEnd w:id="340"/>
      <w:bookmarkEnd w:id="341"/>
    </w:p>
    <w:p w14:paraId="1E70ECF8">
      <w:pPr>
        <w:spacing w:line="360" w:lineRule="exact"/>
        <w:ind w:firstLine="420" w:firstLineChars="200"/>
        <w:rPr>
          <w:rFonts w:hint="eastAsia" w:ascii="宋体" w:hAnsi="宋体" w:cs="宋体"/>
          <w:szCs w:val="21"/>
        </w:rPr>
      </w:pPr>
      <w:bookmarkStart w:id="342" w:name="_Toc179632559"/>
      <w:r>
        <w:rPr>
          <w:rFonts w:hint="eastAsia" w:ascii="宋体" w:hAnsi="宋体" w:cs="宋体"/>
          <w:szCs w:val="21"/>
          <w:highlight w:val="white"/>
        </w:rPr>
        <w:t>本项目严禁转包和违规分包，且不得再次分包。</w:t>
      </w:r>
    </w:p>
    <w:p w14:paraId="0DEF270B">
      <w:pPr>
        <w:spacing w:before="48" w:beforeLines="20" w:after="48" w:afterLines="20"/>
        <w:outlineLvl w:val="4"/>
        <w:rPr>
          <w:rFonts w:hint="eastAsia" w:ascii="宋体" w:hAnsi="宋体" w:cs="宋体"/>
          <w:b/>
          <w:bCs/>
          <w:szCs w:val="21"/>
        </w:rPr>
      </w:pPr>
      <w:bookmarkStart w:id="343" w:name="_Toc362617944"/>
      <w:r>
        <w:rPr>
          <w:rFonts w:hint="eastAsia" w:ascii="宋体" w:hAnsi="宋体" w:cs="宋体"/>
          <w:b/>
          <w:bCs/>
          <w:szCs w:val="21"/>
          <w:highlight w:val="white"/>
        </w:rPr>
        <w:t xml:space="preserve">1.12 </w:t>
      </w:r>
      <w:bookmarkEnd w:id="342"/>
      <w:bookmarkEnd w:id="343"/>
      <w:r>
        <w:rPr>
          <w:rFonts w:hint="eastAsia" w:ascii="宋体" w:hAnsi="宋体" w:cs="宋体"/>
          <w:b/>
          <w:bCs/>
          <w:szCs w:val="21"/>
          <w:highlight w:val="white"/>
        </w:rPr>
        <w:t>响应和偏差</w:t>
      </w:r>
    </w:p>
    <w:p w14:paraId="2D4457CA">
      <w:pPr>
        <w:spacing w:line="360" w:lineRule="exact"/>
        <w:ind w:firstLine="359" w:firstLineChars="171"/>
        <w:rPr>
          <w:rFonts w:hint="eastAsia" w:ascii="宋体" w:hAnsi="宋体" w:cs="宋体"/>
          <w:szCs w:val="21"/>
        </w:rPr>
      </w:pPr>
      <w:bookmarkStart w:id="344" w:name="_Toc152045542"/>
      <w:bookmarkStart w:id="345" w:name="_Toc179632560"/>
      <w:bookmarkStart w:id="346" w:name="_Toc144974510"/>
      <w:bookmarkStart w:id="347" w:name="_Toc152042318"/>
      <w:r>
        <w:rPr>
          <w:rFonts w:hint="eastAsia" w:ascii="宋体" w:hAnsi="宋体" w:cs="宋体"/>
          <w:szCs w:val="21"/>
          <w:highlight w:val="white"/>
        </w:rPr>
        <w:t>投标人须知前附表允许投标文件偏离（即偏差）招标文件某些要求的，偏差应当符合招标文件规定的偏差范围和幅度。</w:t>
      </w:r>
    </w:p>
    <w:p w14:paraId="08237B4A">
      <w:pPr>
        <w:spacing w:line="360" w:lineRule="exact"/>
        <w:ind w:firstLine="420" w:firstLineChars="200"/>
        <w:rPr>
          <w:rFonts w:hint="eastAsia" w:ascii="宋体" w:hAnsi="宋体" w:cs="宋体"/>
          <w:szCs w:val="21"/>
        </w:rPr>
      </w:pPr>
      <w:r>
        <w:rPr>
          <w:rFonts w:hint="eastAsia" w:ascii="宋体" w:hAnsi="宋体" w:cs="宋体"/>
          <w:szCs w:val="21"/>
          <w:highlight w:val="white"/>
        </w:rPr>
        <w:t>1.12.1 投标文件偏离招标文件某些要求， 视为投标文件存在偏差。 偏差包括重大偏差和细微偏差。</w:t>
      </w:r>
    </w:p>
    <w:p w14:paraId="002E52FC">
      <w:pPr>
        <w:spacing w:line="360" w:lineRule="exact"/>
        <w:ind w:firstLine="420" w:firstLineChars="200"/>
        <w:rPr>
          <w:rFonts w:hint="eastAsia" w:ascii="宋体" w:hAnsi="宋体" w:cs="宋体"/>
          <w:szCs w:val="21"/>
        </w:rPr>
      </w:pPr>
      <w:r>
        <w:rPr>
          <w:rFonts w:hint="eastAsia" w:ascii="宋体" w:hAnsi="宋体" w:cs="宋体"/>
          <w:szCs w:val="21"/>
          <w:highlight w:val="white"/>
        </w:rPr>
        <w:t>1.12.2 投标文件应对招标文件的实质性要求和条件作出满足性或更有利于招标人的响应，否则，视为投标文件存在重大偏差， 投标人的投标将被否决。</w:t>
      </w:r>
    </w:p>
    <w:p w14:paraId="56D21DFB">
      <w:pPr>
        <w:spacing w:line="360" w:lineRule="exact"/>
        <w:ind w:firstLine="420" w:firstLineChars="200"/>
        <w:rPr>
          <w:rFonts w:hint="eastAsia" w:ascii="宋体" w:hAnsi="宋体" w:cs="宋体"/>
          <w:szCs w:val="21"/>
        </w:rPr>
      </w:pPr>
      <w:r>
        <w:rPr>
          <w:rFonts w:hint="eastAsia" w:ascii="宋体" w:hAnsi="宋体" w:cs="宋体"/>
          <w:szCs w:val="21"/>
          <w:highlight w:val="white"/>
        </w:rPr>
        <w:t>投标文件存在第三章“评标办法” 中所列任一否决投标情形的， 均属于存在重大偏差。</w:t>
      </w:r>
    </w:p>
    <w:p w14:paraId="507266FB">
      <w:pPr>
        <w:spacing w:line="360" w:lineRule="exact"/>
        <w:ind w:firstLine="420" w:firstLineChars="200"/>
        <w:rPr>
          <w:rFonts w:hint="eastAsia" w:ascii="宋体" w:hAnsi="宋体" w:cs="宋体"/>
          <w:szCs w:val="21"/>
        </w:rPr>
      </w:pPr>
      <w:r>
        <w:rPr>
          <w:rFonts w:hint="eastAsia" w:ascii="宋体" w:hAnsi="宋体" w:cs="宋体"/>
          <w:szCs w:val="21"/>
          <w:highlight w:val="white"/>
        </w:rPr>
        <w:t>1.12.3 投标文件中的下列偏差为细微偏差：</w:t>
      </w:r>
    </w:p>
    <w:p w14:paraId="56E895EA">
      <w:pPr>
        <w:spacing w:line="360" w:lineRule="exact"/>
        <w:ind w:firstLine="420" w:firstLineChars="200"/>
        <w:rPr>
          <w:rFonts w:hint="eastAsia" w:ascii="宋体" w:hAnsi="宋体" w:cs="宋体"/>
          <w:szCs w:val="21"/>
        </w:rPr>
      </w:pPr>
      <w:r>
        <w:rPr>
          <w:rFonts w:hint="eastAsia" w:ascii="宋体" w:hAnsi="宋体" w:cs="宋体"/>
          <w:szCs w:val="21"/>
          <w:highlight w:val="white"/>
        </w:rPr>
        <w:t>（1） 在按照第三章“评标办法”的规定对投标价进行算术性错误修正及其他错误修正后，最终投标报价未超过最高投标限价（如有）的情况下，出现第三章“评标办法”规定的算术性错误和投标报价的其他错误；</w:t>
      </w:r>
    </w:p>
    <w:p w14:paraId="2EDDB57E">
      <w:pPr>
        <w:spacing w:line="360" w:lineRule="exact"/>
        <w:ind w:firstLine="420" w:firstLineChars="200"/>
        <w:rPr>
          <w:rFonts w:hint="eastAsia" w:ascii="宋体" w:hAnsi="宋体" w:cs="宋体"/>
          <w:szCs w:val="21"/>
        </w:rPr>
      </w:pPr>
      <w:r>
        <w:rPr>
          <w:rFonts w:hint="eastAsia" w:ascii="宋体" w:hAnsi="宋体" w:cs="宋体"/>
          <w:szCs w:val="21"/>
          <w:highlight w:val="white"/>
        </w:rPr>
        <w:t>（2） 施工组织设计（含关键工程技术方案）和项目管理机构不够完善；</w:t>
      </w:r>
    </w:p>
    <w:p w14:paraId="1961B486">
      <w:pPr>
        <w:spacing w:line="360" w:lineRule="exact"/>
        <w:ind w:firstLine="420" w:firstLineChars="200"/>
        <w:rPr>
          <w:rFonts w:hint="eastAsia" w:ascii="宋体" w:hAnsi="宋体" w:cs="宋体"/>
          <w:szCs w:val="21"/>
        </w:rPr>
      </w:pPr>
      <w:r>
        <w:rPr>
          <w:rFonts w:hint="eastAsia" w:ascii="宋体" w:hAnsi="宋体" w:cs="宋体"/>
          <w:szCs w:val="21"/>
          <w:highlight w:val="white"/>
        </w:rPr>
        <w:t>（3） 投标文件页码不连续、个别文字有遗漏错误等不影响投标文件实质性内容的偏差。</w:t>
      </w:r>
    </w:p>
    <w:p w14:paraId="2F277F87">
      <w:pPr>
        <w:spacing w:line="360" w:lineRule="exact"/>
        <w:ind w:firstLine="420" w:firstLineChars="200"/>
        <w:rPr>
          <w:rFonts w:hint="eastAsia" w:ascii="宋体" w:hAnsi="宋体" w:cs="宋体"/>
          <w:szCs w:val="21"/>
        </w:rPr>
      </w:pPr>
      <w:r>
        <w:rPr>
          <w:rFonts w:hint="eastAsia" w:ascii="宋体" w:hAnsi="宋体" w:cs="宋体"/>
          <w:szCs w:val="21"/>
          <w:highlight w:val="white"/>
        </w:rPr>
        <w:t>1.12.4 评标委员会对投标文件中的细微偏差按如下规定处理：</w:t>
      </w:r>
    </w:p>
    <w:p w14:paraId="39F13EEC">
      <w:pPr>
        <w:spacing w:line="360" w:lineRule="exact"/>
        <w:ind w:firstLine="420" w:firstLineChars="200"/>
        <w:rPr>
          <w:rFonts w:hint="eastAsia" w:ascii="宋体" w:hAnsi="宋体" w:cs="宋体"/>
          <w:szCs w:val="21"/>
        </w:rPr>
      </w:pPr>
      <w:r>
        <w:rPr>
          <w:rFonts w:hint="eastAsia" w:ascii="宋体" w:hAnsi="宋体" w:cs="宋体"/>
          <w:szCs w:val="21"/>
          <w:highlight w:val="white"/>
        </w:rPr>
        <w:t>（1）对于本章第 1.12.3 项（1）目所述的细微偏差，按照第三章“评标办法”的规定予以修正并要求投标人进行澄清；</w:t>
      </w:r>
    </w:p>
    <w:p w14:paraId="4825F14D">
      <w:pPr>
        <w:spacing w:line="360" w:lineRule="exact"/>
        <w:ind w:firstLine="420" w:firstLineChars="200"/>
        <w:rPr>
          <w:rFonts w:hint="eastAsia" w:ascii="宋体" w:hAnsi="宋体" w:cs="宋体"/>
          <w:szCs w:val="21"/>
        </w:rPr>
      </w:pPr>
      <w:r>
        <w:rPr>
          <w:rFonts w:hint="eastAsia" w:ascii="宋体" w:hAnsi="宋体" w:cs="宋体"/>
          <w:szCs w:val="21"/>
          <w:highlight w:val="white"/>
        </w:rPr>
        <w:t>（2）对于本章第 1.12.3 项（2）目所述的细微偏差，如果采用合理低价法或经评审的最低投标价法评标，应要求投标人对细微偏差进行澄清，只有投标人的澄清文件被评标委员会接受，投标人才能参加评标价的最终评比。</w:t>
      </w:r>
    </w:p>
    <w:p w14:paraId="44FCC6CF">
      <w:pPr>
        <w:spacing w:line="360" w:lineRule="exact"/>
        <w:ind w:firstLine="420" w:firstLineChars="200"/>
        <w:rPr>
          <w:rFonts w:hint="eastAsia" w:ascii="宋体" w:hAnsi="宋体" w:cs="宋体"/>
          <w:szCs w:val="21"/>
        </w:rPr>
      </w:pPr>
      <w:r>
        <w:rPr>
          <w:rFonts w:hint="eastAsia" w:ascii="宋体" w:hAnsi="宋体" w:cs="宋体"/>
          <w:szCs w:val="21"/>
          <w:highlight w:val="white"/>
        </w:rPr>
        <w:t>（3）对于本章第 1.12.3 项（3）目所述的细微偏差， 可要求投标人对细微偏差进行澄清。</w:t>
      </w:r>
    </w:p>
    <w:p w14:paraId="1C2C6892">
      <w:pPr>
        <w:spacing w:line="360" w:lineRule="exact"/>
        <w:ind w:firstLine="420" w:firstLineChars="200"/>
        <w:rPr>
          <w:rFonts w:hint="eastAsia" w:ascii="宋体" w:hAnsi="宋体" w:cs="宋体"/>
          <w:szCs w:val="21"/>
        </w:rPr>
      </w:pPr>
      <w:r>
        <w:rPr>
          <w:rFonts w:hint="eastAsia" w:ascii="宋体" w:hAnsi="宋体" w:cs="宋体"/>
          <w:szCs w:val="21"/>
          <w:highlight w:val="white"/>
        </w:rPr>
        <w:t>1.12.5 投标人应根据招标文件的要求提供施工组织设计等内容以对招标文件作出响应。</w:t>
      </w:r>
    </w:p>
    <w:p w14:paraId="715810DD">
      <w:pPr>
        <w:spacing w:before="48" w:beforeLines="20" w:after="48" w:afterLines="20"/>
        <w:outlineLvl w:val="3"/>
        <w:rPr>
          <w:rFonts w:hint="eastAsia" w:ascii="宋体" w:hAnsi="宋体" w:cs="宋体"/>
          <w:b/>
          <w:bCs/>
          <w:szCs w:val="21"/>
        </w:rPr>
      </w:pPr>
      <w:bookmarkStart w:id="348" w:name="_Toc362617945"/>
      <w:bookmarkStart w:id="349" w:name="_Toc362614235"/>
      <w:bookmarkStart w:id="350" w:name="_Toc368320215"/>
      <w:bookmarkStart w:id="351" w:name="_Toc368338541"/>
      <w:bookmarkStart w:id="352" w:name="_Toc367178449"/>
      <w:bookmarkStart w:id="353" w:name="_Toc362613863"/>
      <w:bookmarkStart w:id="354" w:name="_Toc40261814"/>
      <w:r>
        <w:rPr>
          <w:rFonts w:hint="eastAsia" w:ascii="宋体" w:hAnsi="宋体" w:cs="宋体"/>
          <w:b/>
          <w:bCs/>
          <w:szCs w:val="21"/>
          <w:highlight w:val="white"/>
        </w:rPr>
        <w:t>2. 招标文件</w:t>
      </w:r>
      <w:bookmarkEnd w:id="344"/>
      <w:bookmarkEnd w:id="345"/>
      <w:bookmarkEnd w:id="346"/>
      <w:bookmarkEnd w:id="347"/>
      <w:bookmarkEnd w:id="348"/>
      <w:bookmarkEnd w:id="349"/>
      <w:bookmarkEnd w:id="350"/>
      <w:bookmarkEnd w:id="351"/>
      <w:bookmarkEnd w:id="352"/>
      <w:bookmarkEnd w:id="353"/>
      <w:bookmarkEnd w:id="354"/>
    </w:p>
    <w:p w14:paraId="78B23FC8">
      <w:pPr>
        <w:spacing w:before="48" w:beforeLines="20" w:after="48" w:afterLines="20"/>
        <w:outlineLvl w:val="4"/>
        <w:rPr>
          <w:rFonts w:hint="eastAsia" w:ascii="宋体" w:hAnsi="宋体" w:cs="宋体"/>
          <w:b/>
          <w:bCs/>
          <w:szCs w:val="21"/>
        </w:rPr>
      </w:pPr>
      <w:bookmarkStart w:id="355" w:name="_Toc362617946"/>
      <w:bookmarkStart w:id="356" w:name="_Toc152045543"/>
      <w:bookmarkStart w:id="357" w:name="_Toc152042319"/>
      <w:bookmarkStart w:id="358" w:name="_Toc179632561"/>
      <w:r>
        <w:rPr>
          <w:rFonts w:hint="eastAsia" w:ascii="宋体" w:hAnsi="宋体" w:cs="宋体"/>
          <w:b/>
          <w:bCs/>
          <w:szCs w:val="21"/>
          <w:highlight w:val="white"/>
        </w:rPr>
        <w:t>2.1 招标文件的组成</w:t>
      </w:r>
      <w:bookmarkEnd w:id="355"/>
      <w:bookmarkEnd w:id="356"/>
      <w:bookmarkEnd w:id="357"/>
      <w:bookmarkEnd w:id="358"/>
    </w:p>
    <w:p w14:paraId="686A901C">
      <w:pPr>
        <w:spacing w:line="360" w:lineRule="exact"/>
        <w:ind w:firstLine="178" w:firstLineChars="85"/>
        <w:rPr>
          <w:rFonts w:hint="eastAsia" w:ascii="宋体" w:hAnsi="宋体" w:cs="宋体"/>
          <w:szCs w:val="21"/>
        </w:rPr>
      </w:pPr>
      <w:r>
        <w:rPr>
          <w:rFonts w:hint="eastAsia" w:ascii="宋体" w:hAnsi="宋体" w:cs="宋体"/>
          <w:szCs w:val="21"/>
          <w:highlight w:val="white"/>
        </w:rPr>
        <w:t>　本招标文件包括：</w:t>
      </w:r>
    </w:p>
    <w:p w14:paraId="60D42BAF">
      <w:pPr>
        <w:spacing w:line="360" w:lineRule="exact"/>
        <w:ind w:firstLine="359" w:firstLineChars="171"/>
        <w:rPr>
          <w:rFonts w:hint="eastAsia" w:ascii="宋体" w:hAnsi="宋体" w:cs="宋体"/>
          <w:szCs w:val="21"/>
        </w:rPr>
      </w:pPr>
      <w:r>
        <w:rPr>
          <w:rFonts w:hint="eastAsia" w:ascii="宋体" w:hAnsi="宋体" w:cs="宋体"/>
          <w:szCs w:val="21"/>
          <w:highlight w:val="white"/>
        </w:rPr>
        <w:t>（1）招标公告；</w:t>
      </w:r>
    </w:p>
    <w:p w14:paraId="76D22FE5">
      <w:pPr>
        <w:spacing w:line="360" w:lineRule="exact"/>
        <w:ind w:firstLine="359" w:firstLineChars="171"/>
        <w:rPr>
          <w:rFonts w:hint="eastAsia" w:ascii="宋体" w:hAnsi="宋体" w:cs="宋体"/>
          <w:szCs w:val="21"/>
        </w:rPr>
      </w:pPr>
      <w:r>
        <w:rPr>
          <w:rFonts w:hint="eastAsia" w:ascii="宋体" w:hAnsi="宋体" w:cs="宋体"/>
          <w:szCs w:val="21"/>
          <w:highlight w:val="white"/>
        </w:rPr>
        <w:t>（2）投标人须知；</w:t>
      </w:r>
    </w:p>
    <w:p w14:paraId="57DACDD4">
      <w:pPr>
        <w:spacing w:line="360" w:lineRule="exact"/>
        <w:ind w:firstLine="359" w:firstLineChars="171"/>
        <w:rPr>
          <w:rFonts w:hint="eastAsia" w:ascii="宋体" w:hAnsi="宋体" w:cs="宋体"/>
          <w:szCs w:val="21"/>
        </w:rPr>
      </w:pPr>
      <w:r>
        <w:rPr>
          <w:rFonts w:hint="eastAsia" w:ascii="宋体" w:hAnsi="宋体" w:cs="宋体"/>
          <w:szCs w:val="21"/>
          <w:highlight w:val="white"/>
        </w:rPr>
        <w:t>（3）评标办法；</w:t>
      </w:r>
    </w:p>
    <w:p w14:paraId="1A219CCD">
      <w:pPr>
        <w:spacing w:line="360" w:lineRule="exact"/>
        <w:ind w:firstLine="359" w:firstLineChars="171"/>
        <w:rPr>
          <w:rFonts w:hint="eastAsia" w:ascii="宋体" w:hAnsi="宋体" w:cs="宋体"/>
          <w:szCs w:val="21"/>
        </w:rPr>
      </w:pPr>
      <w:r>
        <w:rPr>
          <w:rFonts w:hint="eastAsia" w:ascii="宋体" w:hAnsi="宋体" w:cs="宋体"/>
          <w:szCs w:val="21"/>
          <w:highlight w:val="white"/>
        </w:rPr>
        <w:t>（4）合同条款及格式；</w:t>
      </w:r>
    </w:p>
    <w:p w14:paraId="5E668BFA">
      <w:pPr>
        <w:spacing w:line="360" w:lineRule="exact"/>
        <w:ind w:firstLine="359" w:firstLineChars="171"/>
        <w:rPr>
          <w:rFonts w:hint="eastAsia" w:ascii="宋体" w:hAnsi="宋体" w:cs="宋体"/>
          <w:szCs w:val="21"/>
        </w:rPr>
      </w:pPr>
      <w:r>
        <w:rPr>
          <w:rFonts w:hint="eastAsia" w:ascii="宋体" w:hAnsi="宋体" w:cs="宋体"/>
          <w:szCs w:val="21"/>
          <w:highlight w:val="white"/>
        </w:rPr>
        <w:t xml:space="preserve">（5）工程量清单； </w:t>
      </w:r>
    </w:p>
    <w:p w14:paraId="7A9DF0EE">
      <w:pPr>
        <w:spacing w:line="360" w:lineRule="exact"/>
        <w:ind w:firstLine="359" w:firstLineChars="171"/>
        <w:rPr>
          <w:rFonts w:hint="eastAsia" w:ascii="宋体" w:hAnsi="宋体" w:cs="宋体"/>
          <w:szCs w:val="21"/>
        </w:rPr>
      </w:pPr>
      <w:r>
        <w:rPr>
          <w:rFonts w:hint="eastAsia" w:ascii="宋体" w:hAnsi="宋体" w:cs="宋体"/>
          <w:szCs w:val="21"/>
          <w:highlight w:val="white"/>
        </w:rPr>
        <w:t xml:space="preserve">（6）图纸； </w:t>
      </w:r>
    </w:p>
    <w:p w14:paraId="5EBC7410">
      <w:pPr>
        <w:spacing w:line="360" w:lineRule="exact"/>
        <w:ind w:firstLine="359" w:firstLineChars="171"/>
        <w:rPr>
          <w:rFonts w:hint="eastAsia" w:ascii="宋体" w:hAnsi="宋体" w:cs="宋体"/>
          <w:szCs w:val="21"/>
        </w:rPr>
      </w:pPr>
      <w:r>
        <w:rPr>
          <w:rFonts w:hint="eastAsia" w:ascii="宋体" w:hAnsi="宋体" w:cs="宋体"/>
          <w:szCs w:val="21"/>
          <w:highlight w:val="white"/>
        </w:rPr>
        <w:t>（7）技术规范；</w:t>
      </w:r>
    </w:p>
    <w:p w14:paraId="14CD486B">
      <w:pPr>
        <w:spacing w:line="360" w:lineRule="exact"/>
        <w:ind w:firstLine="359" w:firstLineChars="171"/>
        <w:rPr>
          <w:rFonts w:hint="eastAsia" w:ascii="宋体" w:hAnsi="宋体" w:cs="宋体"/>
          <w:szCs w:val="21"/>
        </w:rPr>
      </w:pPr>
      <w:r>
        <w:rPr>
          <w:rFonts w:hint="eastAsia" w:ascii="宋体" w:hAnsi="宋体" w:cs="宋体"/>
          <w:szCs w:val="21"/>
          <w:highlight w:val="white"/>
        </w:rPr>
        <w:t>（8）工程量清单计量规则；</w:t>
      </w:r>
    </w:p>
    <w:p w14:paraId="17530EB6">
      <w:pPr>
        <w:spacing w:line="360" w:lineRule="exact"/>
        <w:ind w:firstLine="359" w:firstLineChars="171"/>
        <w:rPr>
          <w:rFonts w:hint="eastAsia" w:ascii="宋体" w:hAnsi="宋体" w:cs="宋体"/>
          <w:szCs w:val="21"/>
        </w:rPr>
      </w:pPr>
      <w:r>
        <w:rPr>
          <w:rFonts w:hint="eastAsia" w:ascii="宋体" w:hAnsi="宋体" w:cs="宋体"/>
          <w:szCs w:val="21"/>
          <w:highlight w:val="white"/>
        </w:rPr>
        <w:t>（9）投标文件格式；</w:t>
      </w:r>
    </w:p>
    <w:p w14:paraId="20ECE87D">
      <w:pPr>
        <w:spacing w:line="360" w:lineRule="exact"/>
        <w:ind w:firstLine="359" w:firstLineChars="171"/>
        <w:rPr>
          <w:rFonts w:hint="eastAsia" w:ascii="宋体" w:hAnsi="宋体" w:cs="宋体"/>
          <w:szCs w:val="21"/>
        </w:rPr>
      </w:pPr>
      <w:r>
        <w:rPr>
          <w:rFonts w:hint="eastAsia" w:ascii="宋体" w:hAnsi="宋体" w:cs="宋体"/>
          <w:szCs w:val="21"/>
          <w:highlight w:val="white"/>
        </w:rPr>
        <w:t>（10）投标人须知前附表规定的其他材料。</w:t>
      </w:r>
    </w:p>
    <w:p w14:paraId="7C4C25A3">
      <w:pPr>
        <w:wordWrap w:val="0"/>
        <w:spacing w:line="360" w:lineRule="exact"/>
        <w:ind w:firstLine="420" w:firstLineChars="200"/>
        <w:rPr>
          <w:rFonts w:hint="eastAsia" w:ascii="宋体" w:hAnsi="宋体" w:cs="宋体"/>
          <w:szCs w:val="21"/>
        </w:rPr>
      </w:pPr>
      <w:r>
        <w:rPr>
          <w:rFonts w:hint="eastAsia" w:ascii="宋体" w:hAnsi="宋体" w:cs="宋体"/>
          <w:szCs w:val="21"/>
          <w:highlight w:val="white"/>
        </w:rPr>
        <w:t>根据本章第1.10款、第2.2款和第2.3款对招标文件所作的澄清、修改，构成招标文件的组成部分。</w:t>
      </w:r>
    </w:p>
    <w:p w14:paraId="1719AD0B">
      <w:pPr>
        <w:spacing w:line="360" w:lineRule="exact"/>
        <w:ind w:firstLine="420" w:firstLineChars="200"/>
        <w:rPr>
          <w:rFonts w:hint="eastAsia" w:ascii="宋体" w:hAnsi="宋体" w:cs="宋体"/>
          <w:szCs w:val="21"/>
        </w:rPr>
      </w:pPr>
      <w:r>
        <w:rPr>
          <w:rFonts w:hint="eastAsia" w:ascii="宋体" w:hAnsi="宋体" w:cs="宋体"/>
          <w:szCs w:val="21"/>
          <w:highlight w:val="white"/>
        </w:rPr>
        <w:t>当招标文件、招标文件的澄清或修改等在同一内容的表述上不一致时，以最后发出的补遗书为准。</w:t>
      </w:r>
    </w:p>
    <w:p w14:paraId="70B42A24">
      <w:pPr>
        <w:spacing w:before="48" w:beforeLines="20" w:after="48" w:afterLines="20"/>
        <w:outlineLvl w:val="4"/>
        <w:rPr>
          <w:rFonts w:hint="eastAsia" w:ascii="宋体" w:hAnsi="宋体" w:cs="宋体"/>
          <w:b/>
          <w:bCs/>
          <w:szCs w:val="21"/>
        </w:rPr>
      </w:pPr>
      <w:bookmarkStart w:id="359" w:name="_Toc179632562"/>
      <w:bookmarkStart w:id="360" w:name="_Toc152042320"/>
      <w:bookmarkStart w:id="361" w:name="_Toc152045544"/>
      <w:bookmarkStart w:id="362" w:name="_Toc362617947"/>
      <w:r>
        <w:rPr>
          <w:rFonts w:hint="eastAsia" w:ascii="宋体" w:hAnsi="宋体" w:cs="宋体"/>
          <w:b/>
          <w:bCs/>
          <w:szCs w:val="21"/>
          <w:highlight w:val="white"/>
        </w:rPr>
        <w:t>2.2 招标文件的澄清</w:t>
      </w:r>
      <w:bookmarkEnd w:id="359"/>
      <w:bookmarkEnd w:id="360"/>
      <w:bookmarkEnd w:id="361"/>
      <w:bookmarkEnd w:id="362"/>
    </w:p>
    <w:p w14:paraId="2BE33ED8">
      <w:pPr>
        <w:spacing w:line="360" w:lineRule="exact"/>
        <w:ind w:firstLine="420" w:firstLineChars="200"/>
        <w:rPr>
          <w:rFonts w:hint="eastAsia" w:ascii="宋体" w:hAnsi="宋体" w:cs="宋体"/>
          <w:szCs w:val="21"/>
        </w:rPr>
      </w:pPr>
      <w:r>
        <w:rPr>
          <w:rFonts w:hint="eastAsia" w:ascii="宋体" w:hAnsi="宋体" w:cs="宋体"/>
          <w:szCs w:val="21"/>
          <w:highlight w:val="white"/>
        </w:rPr>
        <w:t>2.2.1投标人应仔细阅读和检查招标文件的全部内容。如发现缺页或附件不全，应及时向招标人提出，以便补齐。如有疑问，应在投标人须知前附表规定的时间前提出疑问，要求招标人对招标文件予以澄清。</w:t>
      </w:r>
    </w:p>
    <w:p w14:paraId="77BB11E9">
      <w:pPr>
        <w:spacing w:line="360" w:lineRule="exact"/>
        <w:ind w:firstLine="420" w:firstLineChars="200"/>
        <w:rPr>
          <w:rFonts w:hint="eastAsia" w:ascii="宋体" w:hAnsi="宋体" w:cs="宋体"/>
          <w:szCs w:val="21"/>
        </w:rPr>
      </w:pPr>
      <w:r>
        <w:rPr>
          <w:rFonts w:hint="eastAsia" w:ascii="宋体" w:hAnsi="宋体" w:cs="宋体"/>
          <w:szCs w:val="21"/>
          <w:highlight w:val="white"/>
        </w:rPr>
        <w:t>2.2.2招标文件的澄清将在投保人须知前附表规定的时间前在投标人须知前附表规定的媒介上发布，但不指名澄清问题的来源。如果澄清通知发出的时间距投标截止时间不足投保人须知前附表2.2.2规定的时间，且澄清内容可能影响投标文件编制的，投标截止时间应相应延长。</w:t>
      </w:r>
    </w:p>
    <w:p w14:paraId="17D325F9">
      <w:pPr>
        <w:spacing w:line="360" w:lineRule="exact"/>
        <w:ind w:firstLine="420" w:firstLineChars="200"/>
        <w:rPr>
          <w:rFonts w:hint="eastAsia" w:ascii="宋体" w:hAnsi="宋体" w:cs="宋体"/>
          <w:szCs w:val="21"/>
        </w:rPr>
      </w:pPr>
      <w:r>
        <w:rPr>
          <w:rFonts w:hint="eastAsia" w:ascii="宋体" w:hAnsi="宋体" w:cs="宋体"/>
          <w:szCs w:val="21"/>
          <w:highlight w:val="white"/>
        </w:rPr>
        <w:t>2.2.3投标人确认收到招标文件澄清要求：见投标人须知前附表。</w:t>
      </w:r>
    </w:p>
    <w:p w14:paraId="3076B30C">
      <w:pPr>
        <w:spacing w:line="360" w:lineRule="exact"/>
        <w:ind w:firstLine="420" w:firstLineChars="200"/>
        <w:rPr>
          <w:rFonts w:hint="eastAsia" w:ascii="宋体" w:hAnsi="宋体" w:cs="宋体"/>
          <w:szCs w:val="21"/>
        </w:rPr>
      </w:pPr>
      <w:r>
        <w:rPr>
          <w:rFonts w:hint="eastAsia" w:ascii="宋体" w:hAnsi="宋体" w:cs="宋体"/>
          <w:szCs w:val="21"/>
          <w:highlight w:val="white"/>
        </w:rPr>
        <w:t>2.2.4 除非招标人认为确有必要答复，否则，招标人有权拒绝回复投标人在本章第 2.2.1 项规定的时间后提出的任何澄清要求。</w:t>
      </w:r>
    </w:p>
    <w:p w14:paraId="79D750F7">
      <w:pPr>
        <w:spacing w:before="48" w:beforeLines="20" w:after="48" w:afterLines="20"/>
        <w:outlineLvl w:val="4"/>
        <w:rPr>
          <w:rFonts w:hint="eastAsia" w:ascii="宋体" w:hAnsi="宋体" w:cs="宋体"/>
          <w:b/>
          <w:bCs/>
          <w:szCs w:val="21"/>
        </w:rPr>
      </w:pPr>
      <w:bookmarkStart w:id="363" w:name="_Toc152045545"/>
      <w:bookmarkStart w:id="364" w:name="_Toc179632563"/>
      <w:bookmarkStart w:id="365" w:name="_Toc362617948"/>
      <w:bookmarkStart w:id="366" w:name="_Toc152042321"/>
      <w:r>
        <w:rPr>
          <w:rFonts w:hint="eastAsia" w:ascii="宋体" w:hAnsi="宋体" w:cs="宋体"/>
          <w:b/>
          <w:bCs/>
          <w:szCs w:val="21"/>
          <w:highlight w:val="white"/>
        </w:rPr>
        <w:t>2.3 招标文件的修改</w:t>
      </w:r>
      <w:bookmarkEnd w:id="363"/>
      <w:bookmarkEnd w:id="364"/>
      <w:bookmarkEnd w:id="365"/>
      <w:bookmarkEnd w:id="366"/>
    </w:p>
    <w:p w14:paraId="454F2582">
      <w:pPr>
        <w:spacing w:line="360" w:lineRule="exact"/>
        <w:ind w:firstLine="420" w:firstLineChars="200"/>
        <w:rPr>
          <w:rFonts w:hint="eastAsia" w:ascii="宋体" w:hAnsi="宋体" w:cs="宋体"/>
          <w:szCs w:val="21"/>
        </w:rPr>
      </w:pPr>
      <w:r>
        <w:rPr>
          <w:rFonts w:hint="eastAsia" w:ascii="宋体" w:hAnsi="宋体" w:cs="宋体"/>
          <w:szCs w:val="21"/>
          <w:highlight w:val="white"/>
        </w:rPr>
        <w:t>2.3.1在投标截止时间</w:t>
      </w:r>
      <w:bookmarkStart w:id="367" w:name="FE76dbf859ca8841f4ade3a4284a5e81e9"/>
      <w:bookmarkEnd w:id="367"/>
      <w:bookmarkStart w:id="368" w:name="FB0251a49f8f4745b086fb485e50d88103"/>
      <w:bookmarkEnd w:id="368"/>
      <w:bookmarkStart w:id="369" w:name="FE0251a49f8f4745b086fb485e50d88103"/>
      <w:bookmarkEnd w:id="369"/>
      <w:bookmarkStart w:id="370" w:name="FB76dbf859ca8841f4ade3a4284a5e81e9"/>
      <w:bookmarkEnd w:id="370"/>
      <w:r>
        <w:rPr>
          <w:rFonts w:hint="eastAsia" w:ascii="宋体" w:hAnsi="宋体" w:cs="宋体"/>
          <w:szCs w:val="21"/>
          <w:highlight w:val="white"/>
        </w:rPr>
        <w:t>，招标人在投标人须知前附表规定的媒介上发布修改通知。如果修改招标文件的时间距投标截止时间不足</w:t>
      </w:r>
      <w:bookmarkStart w:id="371" w:name="FEb66b2f70487c478998a5cb038b5a203d"/>
      <w:bookmarkEnd w:id="371"/>
      <w:bookmarkStart w:id="372" w:name="FEdd181fb7f1254711a17500ebb759aa16"/>
      <w:bookmarkEnd w:id="372"/>
      <w:bookmarkStart w:id="373" w:name="FBdd181fb7f1254711a17500ebb759aa16"/>
      <w:bookmarkEnd w:id="373"/>
      <w:bookmarkStart w:id="374" w:name="FBb66b2f70487c478998a5cb038b5a203d"/>
      <w:bookmarkEnd w:id="374"/>
      <w:r>
        <w:rPr>
          <w:rFonts w:hint="eastAsia" w:ascii="宋体" w:hAnsi="宋体" w:cs="宋体"/>
          <w:szCs w:val="21"/>
          <w:highlight w:val="white"/>
        </w:rPr>
        <w:t>，且修改内容可能影响投标文件编制的，将相应延长投标截止时间。</w:t>
      </w:r>
    </w:p>
    <w:p w14:paraId="7445D75A">
      <w:pPr>
        <w:spacing w:line="360" w:lineRule="exact"/>
        <w:ind w:firstLine="420" w:firstLineChars="200"/>
        <w:rPr>
          <w:rFonts w:hint="eastAsia" w:ascii="宋体" w:hAnsi="宋体" w:cs="宋体"/>
          <w:szCs w:val="21"/>
        </w:rPr>
      </w:pPr>
      <w:r>
        <w:rPr>
          <w:rFonts w:hint="eastAsia" w:ascii="宋体" w:hAnsi="宋体" w:cs="宋体"/>
          <w:szCs w:val="21"/>
          <w:highlight w:val="white"/>
        </w:rPr>
        <w:t>2.3.2投标人应随时关注发布招标公告的媒介，招标人发布修改通知时间起视为投标人收到招标文件的修改。</w:t>
      </w:r>
    </w:p>
    <w:p w14:paraId="38857106">
      <w:pPr>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2.4招标文件的异议</w:t>
      </w:r>
    </w:p>
    <w:p w14:paraId="6B07C3B8">
      <w:pPr>
        <w:spacing w:line="360" w:lineRule="exact"/>
        <w:ind w:firstLine="420" w:firstLineChars="200"/>
        <w:rPr>
          <w:rFonts w:hint="eastAsia" w:ascii="宋体" w:hAnsi="宋体" w:cs="宋体"/>
          <w:szCs w:val="21"/>
        </w:rPr>
      </w:pPr>
      <w:r>
        <w:rPr>
          <w:rFonts w:hint="eastAsia" w:ascii="宋体" w:hAnsi="宋体" w:cs="宋体"/>
          <w:szCs w:val="21"/>
          <w:highlight w:val="white"/>
        </w:rPr>
        <w:t>潜在投标人或者其他利害关系人对招标文件有异议的，应当在投标截止时间6日前提出，招标人应当自收到异议之日起3日内作出答复，作出答复前，应当暂停招标投标活动。</w:t>
      </w:r>
    </w:p>
    <w:p w14:paraId="71424CEE">
      <w:pPr>
        <w:spacing w:before="48" w:beforeLines="20" w:after="48" w:afterLines="20"/>
        <w:outlineLvl w:val="3"/>
        <w:rPr>
          <w:rFonts w:hint="eastAsia" w:ascii="宋体" w:hAnsi="宋体" w:cs="宋体"/>
          <w:b/>
          <w:bCs/>
          <w:szCs w:val="21"/>
        </w:rPr>
      </w:pPr>
      <w:bookmarkStart w:id="375" w:name="_Toc362614236"/>
      <w:bookmarkStart w:id="376" w:name="_Toc368320216"/>
      <w:bookmarkStart w:id="377" w:name="_Toc368338542"/>
      <w:bookmarkStart w:id="378" w:name="_Toc362613864"/>
      <w:bookmarkStart w:id="379" w:name="_Toc152045546"/>
      <w:bookmarkStart w:id="380" w:name="_Toc40261815"/>
      <w:bookmarkStart w:id="381" w:name="_Toc367178450"/>
      <w:bookmarkStart w:id="382" w:name="_Toc179632564"/>
      <w:bookmarkStart w:id="383" w:name="_Toc152042322"/>
      <w:bookmarkStart w:id="384" w:name="_Toc362617949"/>
      <w:r>
        <w:rPr>
          <w:rFonts w:hint="eastAsia" w:ascii="宋体" w:hAnsi="宋体" w:cs="宋体"/>
          <w:b/>
          <w:bCs/>
          <w:szCs w:val="21"/>
          <w:highlight w:val="white"/>
        </w:rPr>
        <w:t>3. 投标文件</w:t>
      </w:r>
      <w:bookmarkEnd w:id="375"/>
      <w:bookmarkEnd w:id="376"/>
      <w:bookmarkEnd w:id="377"/>
      <w:bookmarkEnd w:id="378"/>
      <w:bookmarkEnd w:id="379"/>
      <w:bookmarkEnd w:id="380"/>
      <w:bookmarkEnd w:id="381"/>
      <w:bookmarkEnd w:id="382"/>
      <w:bookmarkEnd w:id="383"/>
      <w:bookmarkEnd w:id="384"/>
    </w:p>
    <w:p w14:paraId="16D8B3EB">
      <w:pPr>
        <w:spacing w:before="48" w:beforeLines="20" w:after="48" w:afterLines="20"/>
        <w:outlineLvl w:val="4"/>
        <w:rPr>
          <w:rFonts w:hint="eastAsia" w:ascii="宋体" w:hAnsi="宋体" w:cs="宋体"/>
          <w:b/>
          <w:bCs/>
          <w:szCs w:val="21"/>
        </w:rPr>
      </w:pPr>
      <w:bookmarkStart w:id="385" w:name="_Toc362617950"/>
      <w:bookmarkStart w:id="386" w:name="_Toc179632565"/>
      <w:bookmarkStart w:id="387" w:name="_Toc152042323"/>
      <w:bookmarkStart w:id="388" w:name="_Toc152045547"/>
      <w:r>
        <w:rPr>
          <w:rFonts w:hint="eastAsia" w:ascii="宋体" w:hAnsi="宋体" w:cs="宋体"/>
          <w:b/>
          <w:bCs/>
          <w:szCs w:val="21"/>
          <w:highlight w:val="white"/>
        </w:rPr>
        <w:t>3.1 投标文件的组成</w:t>
      </w:r>
      <w:bookmarkEnd w:id="385"/>
      <w:bookmarkEnd w:id="386"/>
      <w:bookmarkEnd w:id="387"/>
      <w:bookmarkEnd w:id="388"/>
    </w:p>
    <w:p w14:paraId="4A18E526">
      <w:pPr>
        <w:spacing w:line="360" w:lineRule="exact"/>
        <w:rPr>
          <w:rFonts w:hint="eastAsia" w:ascii="宋体" w:hAnsi="宋体" w:cs="宋体"/>
          <w:szCs w:val="21"/>
        </w:rPr>
      </w:pPr>
      <w:r>
        <w:rPr>
          <w:rFonts w:hint="eastAsia" w:ascii="宋体" w:hAnsi="宋体" w:cs="宋体"/>
          <w:szCs w:val="21"/>
          <w:highlight w:val="white"/>
        </w:rPr>
        <w:t>　　3.1.1投标文件应包括下列内容：见投标人须知前附表。</w:t>
      </w:r>
    </w:p>
    <w:p w14:paraId="26628B47">
      <w:pPr>
        <w:spacing w:line="360" w:lineRule="exact"/>
        <w:ind w:firstLine="359" w:firstLineChars="171"/>
        <w:rPr>
          <w:rFonts w:hint="eastAsia" w:ascii="宋体" w:hAnsi="宋体" w:cs="宋体"/>
          <w:szCs w:val="21"/>
        </w:rPr>
      </w:pPr>
      <w:r>
        <w:rPr>
          <w:rFonts w:hint="eastAsia" w:ascii="宋体" w:hAnsi="宋体" w:cs="宋体"/>
          <w:szCs w:val="21"/>
          <w:highlight w:val="white"/>
        </w:rPr>
        <w:t>投标人在评标过程中作出的符合法律法规和招标文件规定的澄清确认，构成投标文件的组成部分。</w:t>
      </w:r>
    </w:p>
    <w:p w14:paraId="280A1637">
      <w:pPr>
        <w:spacing w:line="360" w:lineRule="exact"/>
        <w:ind w:firstLine="359" w:firstLineChars="171"/>
        <w:rPr>
          <w:rFonts w:hint="eastAsia" w:ascii="宋体" w:hAnsi="宋体" w:cs="宋体"/>
          <w:szCs w:val="21"/>
        </w:rPr>
      </w:pPr>
      <w:r>
        <w:rPr>
          <w:rFonts w:hint="eastAsia" w:ascii="宋体" w:hAnsi="宋体" w:cs="宋体"/>
          <w:szCs w:val="21"/>
          <w:highlight w:val="white"/>
        </w:rPr>
        <w:t>3.1.2投标人须知前附表未要求提交投标保证金的，投标文件不包括本章第3.1.1（4）目所指的投标保证金。</w:t>
      </w:r>
    </w:p>
    <w:p w14:paraId="180BE7FA">
      <w:pPr>
        <w:spacing w:before="48" w:beforeLines="20" w:after="48" w:afterLines="20"/>
        <w:outlineLvl w:val="4"/>
        <w:rPr>
          <w:rFonts w:hint="eastAsia" w:ascii="宋体" w:hAnsi="宋体" w:cs="宋体"/>
          <w:b/>
          <w:bCs/>
          <w:szCs w:val="21"/>
        </w:rPr>
      </w:pPr>
      <w:bookmarkStart w:id="389" w:name="_Toc152042324"/>
      <w:bookmarkStart w:id="390" w:name="_Toc362617951"/>
      <w:bookmarkStart w:id="391" w:name="_Toc179632566"/>
      <w:bookmarkStart w:id="392" w:name="_Toc152045548"/>
      <w:r>
        <w:rPr>
          <w:rFonts w:hint="eastAsia" w:ascii="宋体" w:hAnsi="宋体" w:cs="宋体"/>
          <w:b/>
          <w:bCs/>
          <w:szCs w:val="21"/>
          <w:highlight w:val="white"/>
        </w:rPr>
        <w:t>3.2 投标报价</w:t>
      </w:r>
      <w:bookmarkEnd w:id="389"/>
      <w:bookmarkEnd w:id="390"/>
      <w:bookmarkEnd w:id="391"/>
      <w:bookmarkEnd w:id="392"/>
    </w:p>
    <w:p w14:paraId="52982FC0">
      <w:pPr>
        <w:spacing w:line="360" w:lineRule="exact"/>
        <w:ind w:firstLine="420" w:firstLineChars="200"/>
        <w:rPr>
          <w:rFonts w:hint="eastAsia" w:ascii="宋体" w:hAnsi="宋体" w:cs="宋体"/>
          <w:szCs w:val="21"/>
        </w:rPr>
      </w:pPr>
      <w:r>
        <w:rPr>
          <w:rFonts w:hint="eastAsia" w:ascii="宋体" w:hAnsi="宋体" w:cs="宋体"/>
          <w:szCs w:val="21"/>
          <w:highlight w:val="white"/>
        </w:rPr>
        <w:t>3.2.1投标报价应包括国家规定的增值税金，除投标人须知前附表另有规定外，增值税税金按一般计税方法计算。</w:t>
      </w:r>
    </w:p>
    <w:p w14:paraId="1ED331DB">
      <w:pPr>
        <w:spacing w:line="360" w:lineRule="exact"/>
        <w:ind w:firstLine="420" w:firstLineChars="200"/>
        <w:rPr>
          <w:rFonts w:hint="eastAsia" w:ascii="宋体" w:hAnsi="宋体" w:cs="宋体"/>
          <w:szCs w:val="21"/>
        </w:rPr>
      </w:pPr>
      <w:r>
        <w:rPr>
          <w:rFonts w:hint="eastAsia" w:ascii="宋体" w:hAnsi="宋体" w:cs="宋体"/>
          <w:szCs w:val="21"/>
          <w:highlight w:val="white"/>
        </w:rPr>
        <w:t>已标价工程量清单须由投标人按交易系统提供的工程量清单填报生成。</w:t>
      </w:r>
    </w:p>
    <w:p w14:paraId="4CDB6ADE">
      <w:pPr>
        <w:spacing w:line="360" w:lineRule="exact"/>
        <w:ind w:firstLine="420" w:firstLineChars="200"/>
        <w:rPr>
          <w:rFonts w:hint="eastAsia" w:ascii="宋体" w:hAnsi="宋体" w:cs="宋体"/>
          <w:szCs w:val="21"/>
        </w:rPr>
      </w:pPr>
      <w:r>
        <w:rPr>
          <w:rFonts w:hint="eastAsia" w:ascii="宋体" w:hAnsi="宋体" w:cs="宋体"/>
          <w:szCs w:val="21"/>
          <w:highlight w:val="white"/>
        </w:rPr>
        <w:t>本项目招标采用工程量清单，招标人在发布招标文件或补遗时向投标人提供工程量清单电子文件。投标人填写工程量清单中的单价及总额价，即可完成投标工程量清单的编制，确定投标报价，导入投标文件。投标人未在工程量清单中填入单价或总额价的工程子目，将被认为其已包含在工程量清单其他子目的单价和总额价中，招标人将不予支付。</w:t>
      </w:r>
    </w:p>
    <w:p w14:paraId="5150EC98">
      <w:pPr>
        <w:spacing w:line="360" w:lineRule="exact"/>
        <w:ind w:firstLine="420" w:firstLineChars="200"/>
        <w:rPr>
          <w:rFonts w:hint="eastAsia" w:ascii="宋体" w:hAnsi="宋体" w:cs="宋体"/>
          <w:szCs w:val="21"/>
        </w:rPr>
      </w:pPr>
      <w:r>
        <w:rPr>
          <w:rFonts w:hint="eastAsia" w:ascii="宋体" w:hAnsi="宋体" w:cs="宋体"/>
          <w:szCs w:val="21"/>
          <w:highlight w:val="white"/>
        </w:rPr>
        <w:t>投标人必须严格遵循工程量清单文件中的数据、格式及运算定义。严禁投标人修改工程量清单中的数据、格式及运算定义。</w:t>
      </w:r>
    </w:p>
    <w:p w14:paraId="29981106">
      <w:pPr>
        <w:spacing w:line="360" w:lineRule="exact"/>
        <w:ind w:firstLine="420" w:firstLineChars="200"/>
        <w:rPr>
          <w:rFonts w:hint="eastAsia" w:ascii="宋体" w:hAnsi="宋体" w:cs="宋体"/>
          <w:szCs w:val="21"/>
        </w:rPr>
      </w:pPr>
      <w:r>
        <w:rPr>
          <w:rFonts w:hint="eastAsia" w:ascii="宋体" w:hAnsi="宋体" w:cs="宋体"/>
          <w:szCs w:val="21"/>
          <w:highlight w:val="white"/>
        </w:rPr>
        <w:t>投标人根据招标人提供的工程量清单填报完成的投标工程量清单中的投标报价和投标函大写金额报价应一致，如果报价金额出现差异时，则以投标函大写金额报价为准。</w:t>
      </w:r>
    </w:p>
    <w:p w14:paraId="56159FCE">
      <w:pPr>
        <w:spacing w:line="360" w:lineRule="exact"/>
        <w:ind w:firstLine="420" w:firstLineChars="200"/>
        <w:rPr>
          <w:rFonts w:hint="eastAsia" w:ascii="宋体" w:hAnsi="宋体" w:cs="宋体"/>
          <w:szCs w:val="21"/>
        </w:rPr>
      </w:pPr>
      <w:r>
        <w:rPr>
          <w:rFonts w:hint="eastAsia" w:ascii="宋体" w:hAnsi="宋体" w:cs="宋体"/>
          <w:szCs w:val="21"/>
          <w:highlight w:val="white"/>
        </w:rPr>
        <w:t>3.2.2投标人应充分了解本项目的总体情况以及影响投标报价的其他要素。</w:t>
      </w:r>
    </w:p>
    <w:p w14:paraId="4A684274">
      <w:pPr>
        <w:spacing w:line="360" w:lineRule="exact"/>
        <w:ind w:firstLine="420" w:firstLineChars="200"/>
        <w:rPr>
          <w:rFonts w:hint="eastAsia" w:ascii="宋体" w:hAnsi="宋体" w:cs="宋体"/>
          <w:szCs w:val="21"/>
        </w:rPr>
      </w:pPr>
      <w:r>
        <w:rPr>
          <w:rFonts w:hint="eastAsia" w:ascii="宋体" w:hAnsi="宋体" w:cs="宋体"/>
          <w:szCs w:val="21"/>
          <w:highlight w:val="white"/>
        </w:rPr>
        <w:t>3.2.3投标人在投标截止时间前修改投标函中的投标总报价，应同时修改第五章“工程量清单”中的相应报价。此修改须符合本章第4.3款的有关要求。</w:t>
      </w:r>
    </w:p>
    <w:p w14:paraId="00BE9BE2">
      <w:pPr>
        <w:spacing w:line="360" w:lineRule="exact"/>
        <w:ind w:firstLine="420" w:firstLineChars="200"/>
        <w:rPr>
          <w:rFonts w:hint="eastAsia" w:ascii="宋体" w:hAnsi="宋体" w:cs="宋体"/>
          <w:szCs w:val="21"/>
        </w:rPr>
      </w:pPr>
      <w:r>
        <w:rPr>
          <w:rFonts w:hint="eastAsia" w:ascii="宋体" w:hAnsi="宋体" w:cs="宋体"/>
          <w:szCs w:val="21"/>
          <w:highlight w:val="white"/>
        </w:rPr>
        <w:t>3.2.4投标人如果发现工程量清单中的数量与图纸中数量不一致时，应立即通知招标人核查，除非招标人正式作出更正，否则，应以工程量清单中列出的数量为准。</w:t>
      </w:r>
    </w:p>
    <w:p w14:paraId="4AE3E248">
      <w:pPr>
        <w:spacing w:line="360" w:lineRule="exact"/>
        <w:ind w:firstLine="420" w:firstLineChars="200"/>
        <w:rPr>
          <w:rFonts w:hint="eastAsia" w:ascii="宋体" w:hAnsi="宋体" w:cs="宋体"/>
          <w:szCs w:val="21"/>
        </w:rPr>
      </w:pPr>
      <w:r>
        <w:rPr>
          <w:rFonts w:hint="eastAsia" w:ascii="宋体" w:hAnsi="宋体" w:cs="宋体"/>
          <w:szCs w:val="21"/>
          <w:highlight w:val="white"/>
        </w:rPr>
        <w:t>3.2.5投标人应根据《公路水运工程安全生产监督管理办法》，在投标总价中计入安全生产费用，安全生产费用应符合合同条款第9.2.5款的规定。工程量清单100章内列有上述安全生产费的支付子目，由投标人按招标文件的规定填写总额价。</w:t>
      </w:r>
    </w:p>
    <w:p w14:paraId="748CA7C3">
      <w:pPr>
        <w:spacing w:line="360" w:lineRule="exact"/>
        <w:ind w:firstLine="420" w:firstLineChars="200"/>
        <w:rPr>
          <w:rFonts w:hint="eastAsia" w:ascii="宋体" w:hAnsi="宋体" w:cs="宋体"/>
          <w:szCs w:val="21"/>
        </w:rPr>
      </w:pPr>
      <w:r>
        <w:rPr>
          <w:rFonts w:hint="eastAsia" w:ascii="宋体" w:hAnsi="宋体" w:cs="宋体"/>
          <w:szCs w:val="21"/>
          <w:highlight w:val="white"/>
        </w:rPr>
        <w:t>3.2.6招标人不接受调价函。</w:t>
      </w:r>
    </w:p>
    <w:p w14:paraId="46C7D333">
      <w:pPr>
        <w:spacing w:line="360" w:lineRule="exact"/>
        <w:ind w:firstLine="420" w:firstLineChars="200"/>
        <w:rPr>
          <w:rFonts w:hint="eastAsia" w:ascii="宋体" w:hAnsi="宋体" w:cs="宋体"/>
          <w:szCs w:val="21"/>
        </w:rPr>
      </w:pPr>
      <w:r>
        <w:rPr>
          <w:rFonts w:hint="eastAsia" w:ascii="宋体" w:hAnsi="宋体" w:cs="宋体"/>
          <w:szCs w:val="21"/>
          <w:highlight w:val="white"/>
        </w:rPr>
        <w:t>3.2.7在合同实施期间，投标人填写的单价、合价和总额价是否由于物价波动进行价格调整按照合同条款第16.1款的规定处理。</w:t>
      </w:r>
    </w:p>
    <w:p w14:paraId="46307FD2">
      <w:pPr>
        <w:spacing w:line="360" w:lineRule="exact"/>
        <w:ind w:firstLine="420" w:firstLineChars="200"/>
        <w:rPr>
          <w:rFonts w:hint="eastAsia" w:ascii="宋体" w:hAnsi="宋体" w:cs="宋体"/>
          <w:szCs w:val="21"/>
        </w:rPr>
      </w:pPr>
      <w:bookmarkStart w:id="393" w:name="FE25088d0cac644855bde1f9df347c8d43"/>
      <w:bookmarkEnd w:id="393"/>
      <w:bookmarkStart w:id="394" w:name="FBa1f77dfcd4504a0cbe52f8947a0e8cef"/>
      <w:bookmarkEnd w:id="394"/>
      <w:bookmarkStart w:id="395" w:name="FB25088d0cac644855bde1f9df347c8d43"/>
      <w:bookmarkEnd w:id="395"/>
      <w:bookmarkStart w:id="396" w:name="FEa1f77dfcd4504a0cbe52f8947a0e8cef"/>
      <w:bookmarkEnd w:id="396"/>
      <w:r>
        <w:rPr>
          <w:rFonts w:hint="eastAsia" w:ascii="宋体" w:hAnsi="宋体" w:cs="宋体"/>
          <w:szCs w:val="21"/>
          <w:highlight w:val="white"/>
        </w:rPr>
        <w:t>3.2.10投标报价的其他要求：见投标人须知前附表。</w:t>
      </w:r>
    </w:p>
    <w:p w14:paraId="4D695BEC">
      <w:pPr>
        <w:spacing w:before="48" w:beforeLines="20" w:after="48" w:afterLines="20"/>
        <w:outlineLvl w:val="4"/>
        <w:rPr>
          <w:rFonts w:hint="eastAsia" w:ascii="宋体" w:hAnsi="宋体" w:cs="宋体"/>
          <w:b/>
          <w:bCs/>
          <w:szCs w:val="21"/>
        </w:rPr>
      </w:pPr>
      <w:bookmarkStart w:id="397" w:name="_Toc152045549"/>
      <w:bookmarkStart w:id="398" w:name="_Toc362617952"/>
      <w:bookmarkStart w:id="399" w:name="_Toc152042325"/>
      <w:bookmarkStart w:id="400" w:name="_Toc179632567"/>
      <w:r>
        <w:rPr>
          <w:rFonts w:hint="eastAsia" w:ascii="宋体" w:hAnsi="宋体" w:cs="宋体"/>
          <w:b/>
          <w:bCs/>
          <w:szCs w:val="21"/>
          <w:highlight w:val="white"/>
        </w:rPr>
        <w:t>3.3 投标有效期</w:t>
      </w:r>
      <w:bookmarkEnd w:id="397"/>
      <w:bookmarkEnd w:id="398"/>
      <w:bookmarkEnd w:id="399"/>
      <w:bookmarkEnd w:id="400"/>
    </w:p>
    <w:p w14:paraId="5B76A2BA">
      <w:pPr>
        <w:spacing w:line="360" w:lineRule="exact"/>
        <w:ind w:firstLine="420" w:firstLineChars="200"/>
        <w:rPr>
          <w:rFonts w:hint="eastAsia" w:ascii="宋体" w:hAnsi="宋体" w:cs="宋体"/>
          <w:szCs w:val="21"/>
        </w:rPr>
      </w:pPr>
      <w:r>
        <w:rPr>
          <w:rFonts w:hint="eastAsia" w:ascii="宋体" w:hAnsi="宋体" w:cs="宋体"/>
          <w:szCs w:val="21"/>
          <w:highlight w:val="white"/>
        </w:rPr>
        <w:t>3.3.1 除投标人须知前附表另有规定外，投标有效期为90日。</w:t>
      </w:r>
    </w:p>
    <w:p w14:paraId="0576309A">
      <w:pPr>
        <w:spacing w:line="360" w:lineRule="exact"/>
        <w:ind w:firstLine="420" w:firstLineChars="200"/>
        <w:rPr>
          <w:rFonts w:hint="eastAsia" w:ascii="宋体" w:hAnsi="宋体" w:cs="宋体"/>
          <w:szCs w:val="21"/>
        </w:rPr>
      </w:pPr>
      <w:r>
        <w:rPr>
          <w:rFonts w:hint="eastAsia" w:ascii="宋体" w:hAnsi="宋体" w:cs="宋体"/>
          <w:szCs w:val="21"/>
          <w:highlight w:val="white"/>
        </w:rPr>
        <w:t>3.3.2 在投标有效期内，投标人撤销投标文件的，应承担招标文件和法律规定的责任。</w:t>
      </w:r>
    </w:p>
    <w:p w14:paraId="42B74449">
      <w:pPr>
        <w:spacing w:line="360" w:lineRule="exact"/>
        <w:ind w:firstLine="420" w:firstLineChars="200"/>
        <w:rPr>
          <w:rFonts w:hint="eastAsia" w:ascii="宋体" w:hAnsi="宋体" w:cs="宋体"/>
          <w:szCs w:val="21"/>
        </w:rPr>
      </w:pPr>
      <w:r>
        <w:rPr>
          <w:rFonts w:hint="eastAsia" w:ascii="宋体" w:hAnsi="宋体" w:cs="宋体"/>
          <w:szCs w:val="21"/>
          <w:highlight w:val="white"/>
        </w:rPr>
        <w:t>3.3.3出现特殊情况需要延长投标有效期的，招标人在媒介上发布相关信息通知所有投标人延长投标有效期。投标人同意延长的，应相应延长其投标保证金的有效期，但不得要求或被允许修改或撤销其投标文件；投标人拒绝延长的，其投标失效，但投标人有权收回其投标保证金。</w:t>
      </w:r>
    </w:p>
    <w:p w14:paraId="76CEF671">
      <w:pPr>
        <w:spacing w:before="48" w:beforeLines="20" w:after="48" w:afterLines="20"/>
        <w:outlineLvl w:val="4"/>
        <w:rPr>
          <w:rFonts w:hint="eastAsia" w:ascii="宋体" w:hAnsi="宋体" w:cs="宋体"/>
          <w:b/>
          <w:bCs/>
          <w:szCs w:val="21"/>
        </w:rPr>
      </w:pPr>
      <w:bookmarkStart w:id="401" w:name="_Toc152045550"/>
      <w:bookmarkStart w:id="402" w:name="_Toc179632568"/>
      <w:bookmarkStart w:id="403" w:name="_Toc152042326"/>
      <w:bookmarkStart w:id="404" w:name="_Toc144974518"/>
      <w:bookmarkStart w:id="405" w:name="_Toc362617953"/>
      <w:bookmarkStart w:id="406" w:name="_Toc152042327"/>
      <w:bookmarkStart w:id="407" w:name="_Toc179632569"/>
      <w:bookmarkStart w:id="408" w:name="_Toc144974519"/>
      <w:bookmarkStart w:id="409" w:name="_Toc152045551"/>
      <w:r>
        <w:rPr>
          <w:rFonts w:hint="eastAsia" w:ascii="宋体" w:hAnsi="宋体" w:cs="宋体"/>
          <w:b/>
          <w:bCs/>
          <w:szCs w:val="21"/>
          <w:highlight w:val="white"/>
        </w:rPr>
        <w:t>3.4 投标保证金</w:t>
      </w:r>
      <w:bookmarkEnd w:id="401"/>
      <w:bookmarkEnd w:id="402"/>
      <w:bookmarkEnd w:id="403"/>
      <w:bookmarkEnd w:id="404"/>
      <w:bookmarkEnd w:id="405"/>
    </w:p>
    <w:p w14:paraId="4AB5D210">
      <w:pPr>
        <w:spacing w:line="360" w:lineRule="exact"/>
        <w:ind w:firstLine="420" w:firstLineChars="200"/>
        <w:rPr>
          <w:rFonts w:hint="eastAsia" w:ascii="宋体" w:hAnsi="宋体" w:cs="宋体"/>
          <w:szCs w:val="21"/>
        </w:rPr>
      </w:pPr>
      <w:r>
        <w:rPr>
          <w:rFonts w:hint="eastAsia" w:ascii="宋体" w:hAnsi="宋体" w:cs="宋体"/>
          <w:szCs w:val="21"/>
          <w:highlight w:val="white"/>
        </w:rPr>
        <w:t>3.4.1 投标人在递交投标文件的同时，应按投标人须知前附表规定的金额、担保形式和第九章“投标文件格式”规定的投标保证金格式递交投标保证金，并作为其投标文件的组成部分。联合体投标的，其投标保证金由牵头人递交，并应符合投标人须知前附表的规定。</w:t>
      </w:r>
    </w:p>
    <w:p w14:paraId="766A1F73">
      <w:pPr>
        <w:spacing w:line="360" w:lineRule="exact"/>
        <w:ind w:firstLine="420" w:firstLineChars="200"/>
        <w:rPr>
          <w:rFonts w:hint="eastAsia" w:ascii="宋体" w:hAnsi="宋体" w:cs="宋体"/>
          <w:szCs w:val="21"/>
        </w:rPr>
      </w:pPr>
      <w:r>
        <w:rPr>
          <w:rFonts w:hint="eastAsia" w:ascii="宋体" w:hAnsi="宋体" w:cs="宋体"/>
          <w:szCs w:val="21"/>
          <w:highlight w:val="white"/>
        </w:rPr>
        <w:t>投标保证金的选择形式见投标人须知前附表。</w:t>
      </w:r>
    </w:p>
    <w:p w14:paraId="4D717052">
      <w:pPr>
        <w:spacing w:line="360" w:lineRule="exact"/>
        <w:ind w:firstLine="420" w:firstLineChars="200"/>
        <w:rPr>
          <w:rFonts w:hint="eastAsia" w:ascii="宋体" w:hAnsi="宋体" w:cs="宋体"/>
          <w:szCs w:val="21"/>
        </w:rPr>
      </w:pPr>
      <w:r>
        <w:rPr>
          <w:rFonts w:hint="eastAsia" w:ascii="宋体" w:hAnsi="宋体" w:cs="宋体"/>
          <w:szCs w:val="21"/>
          <w:highlight w:val="white"/>
        </w:rPr>
        <w:t>3.4.2 投标人不按本章第3.4.1项要求提交投标保证金的，其投标文件将被否决。</w:t>
      </w:r>
    </w:p>
    <w:p w14:paraId="5D333A58">
      <w:pPr>
        <w:spacing w:line="360" w:lineRule="exact"/>
        <w:ind w:firstLine="420" w:firstLineChars="200"/>
        <w:rPr>
          <w:rFonts w:hint="eastAsia" w:ascii="宋体" w:hAnsi="宋体" w:cs="宋体"/>
          <w:szCs w:val="21"/>
        </w:rPr>
      </w:pPr>
      <w:r>
        <w:rPr>
          <w:rFonts w:hint="eastAsia" w:ascii="宋体" w:hAnsi="宋体" w:cs="宋体"/>
          <w:szCs w:val="21"/>
          <w:highlight w:val="white"/>
        </w:rPr>
        <w:t>3.4.3投标保证金的退还：见投标人须知前附表。</w:t>
      </w:r>
    </w:p>
    <w:p w14:paraId="23070C52">
      <w:pPr>
        <w:spacing w:line="360" w:lineRule="exact"/>
        <w:ind w:firstLine="420" w:firstLineChars="200"/>
        <w:rPr>
          <w:rFonts w:hint="eastAsia" w:ascii="宋体" w:hAnsi="宋体" w:cs="宋体"/>
          <w:szCs w:val="21"/>
        </w:rPr>
      </w:pPr>
      <w:r>
        <w:rPr>
          <w:rFonts w:hint="eastAsia" w:ascii="宋体" w:hAnsi="宋体" w:cs="宋体"/>
          <w:szCs w:val="21"/>
          <w:highlight w:val="white"/>
        </w:rPr>
        <w:t>3.4.4 有下列情形之一的，投标保证金将不予退还：见投标人须知前附表。</w:t>
      </w:r>
    </w:p>
    <w:bookmarkEnd w:id="406"/>
    <w:bookmarkEnd w:id="407"/>
    <w:bookmarkEnd w:id="408"/>
    <w:bookmarkEnd w:id="409"/>
    <w:p w14:paraId="235BB525">
      <w:pPr>
        <w:spacing w:before="48" w:beforeLines="20" w:after="48" w:afterLines="20"/>
        <w:outlineLvl w:val="4"/>
        <w:rPr>
          <w:rFonts w:hint="eastAsia" w:ascii="宋体" w:hAnsi="宋体" w:cs="宋体"/>
          <w:b/>
          <w:bCs/>
          <w:szCs w:val="21"/>
        </w:rPr>
      </w:pPr>
      <w:bookmarkStart w:id="410" w:name="_Toc152042328"/>
      <w:bookmarkStart w:id="411" w:name="_Toc179632570"/>
      <w:bookmarkStart w:id="412" w:name="_Toc152045552"/>
      <w:bookmarkStart w:id="413" w:name="_Toc362617954"/>
      <w:bookmarkStart w:id="414" w:name="_Toc144974520"/>
      <w:r>
        <w:rPr>
          <w:rFonts w:hint="eastAsia" w:ascii="宋体" w:hAnsi="宋体" w:cs="宋体"/>
          <w:b/>
          <w:bCs/>
          <w:szCs w:val="21"/>
          <w:highlight w:val="white"/>
        </w:rPr>
        <w:t>3.5 资格审查资料</w:t>
      </w:r>
      <w:bookmarkEnd w:id="410"/>
      <w:bookmarkEnd w:id="411"/>
      <w:bookmarkEnd w:id="412"/>
      <w:bookmarkEnd w:id="413"/>
      <w:bookmarkEnd w:id="414"/>
    </w:p>
    <w:p w14:paraId="542406BD">
      <w:pPr>
        <w:spacing w:line="360" w:lineRule="exact"/>
        <w:ind w:firstLine="420" w:firstLineChars="200"/>
        <w:rPr>
          <w:rFonts w:hint="eastAsia" w:ascii="宋体" w:hAnsi="宋体" w:cs="宋体"/>
          <w:szCs w:val="21"/>
        </w:rPr>
      </w:pPr>
      <w:r>
        <w:rPr>
          <w:rFonts w:hint="eastAsia" w:ascii="宋体" w:hAnsi="宋体" w:cs="宋体"/>
          <w:szCs w:val="21"/>
          <w:highlight w:val="white"/>
        </w:rPr>
        <w:t>除投标人须知前附表另有规定外，投标人应按下列规定提供资格审查资料，以证明其满足本章第 1.4 款规定的资质、财务、业绩、信誉等要求。</w:t>
      </w:r>
    </w:p>
    <w:p w14:paraId="7C6CAE66">
      <w:pPr>
        <w:spacing w:line="360" w:lineRule="exact"/>
        <w:ind w:firstLine="420" w:firstLineChars="200"/>
        <w:rPr>
          <w:rFonts w:hint="eastAsia" w:ascii="宋体" w:hAnsi="宋体" w:cs="宋体"/>
          <w:szCs w:val="21"/>
        </w:rPr>
      </w:pPr>
      <w:r>
        <w:rPr>
          <w:rFonts w:hint="eastAsia" w:ascii="宋体" w:hAnsi="宋体" w:cs="宋体"/>
          <w:szCs w:val="21"/>
          <w:highlight w:val="white"/>
        </w:rPr>
        <w:t>3.5.1 “投标人基本情况表”中填写的企业法人营业执照号、企业资质等级、安全生产许可证号及有效期、基本账户开户银行和基本账户号等应与该表附件内容完全一致。</w:t>
      </w:r>
    </w:p>
    <w:p w14:paraId="2C16FE1B">
      <w:pPr>
        <w:spacing w:line="360" w:lineRule="exact"/>
        <w:ind w:firstLine="420" w:firstLineChars="200"/>
        <w:rPr>
          <w:rFonts w:hint="eastAsia" w:ascii="宋体" w:hAnsi="宋体" w:cs="宋体"/>
          <w:szCs w:val="21"/>
        </w:rPr>
      </w:pPr>
      <w:r>
        <w:rPr>
          <w:rFonts w:hint="eastAsia" w:ascii="宋体" w:hAnsi="宋体" w:cs="宋体"/>
          <w:szCs w:val="21"/>
          <w:highlight w:val="white"/>
        </w:rPr>
        <w:t>“投标人项目管理机构主要管理人员汇总表”中填报的项目经理和项目总工，及其技术职称、资格审查条件所要求的其他相关证书（如建造师注册证书号、安全生产考核合格证书号等）；并应附投标人所属社保或税务机构出具的拟委任的项目经理和项目总工的社保缴费证明或其他能够证明拟委任的项目经理和项目总工参加社保的有效证明材料。</w:t>
      </w:r>
    </w:p>
    <w:p w14:paraId="1C5DD179">
      <w:pPr>
        <w:spacing w:line="360" w:lineRule="exact"/>
        <w:ind w:firstLine="420" w:firstLineChars="200"/>
        <w:rPr>
          <w:rFonts w:hint="eastAsia" w:ascii="宋体" w:hAnsi="宋体" w:cs="宋体"/>
          <w:szCs w:val="21"/>
        </w:rPr>
      </w:pPr>
      <w:r>
        <w:rPr>
          <w:rFonts w:hint="eastAsia" w:ascii="宋体" w:hAnsi="宋体" w:cs="宋体"/>
          <w:szCs w:val="21"/>
          <w:highlight w:val="white"/>
        </w:rPr>
        <w:t>3.5.2 “近年财务状况表”具体年份要求见投标人须知前附表。</w:t>
      </w:r>
    </w:p>
    <w:p w14:paraId="76F18938">
      <w:pPr>
        <w:spacing w:line="360" w:lineRule="exact"/>
        <w:ind w:firstLine="420" w:firstLineChars="200"/>
        <w:rPr>
          <w:rFonts w:hint="eastAsia" w:ascii="宋体" w:hAnsi="宋体" w:cs="宋体"/>
          <w:szCs w:val="21"/>
        </w:rPr>
      </w:pPr>
      <w:r>
        <w:rPr>
          <w:rFonts w:hint="eastAsia" w:ascii="宋体" w:hAnsi="宋体" w:cs="宋体"/>
          <w:szCs w:val="21"/>
          <w:highlight w:val="white"/>
        </w:rPr>
        <w:t>3.5.3 “近年完成的类似项目情况汇总表”具体年份要求见投标人须知前附表。</w:t>
      </w:r>
    </w:p>
    <w:p w14:paraId="16B1459D">
      <w:pPr>
        <w:spacing w:line="360" w:lineRule="exact"/>
        <w:ind w:left="315" w:leftChars="150" w:firstLine="105" w:firstLineChars="50"/>
        <w:rPr>
          <w:rFonts w:hint="eastAsia" w:ascii="宋体" w:hAnsi="宋体" w:cs="宋体"/>
          <w:szCs w:val="21"/>
        </w:rPr>
      </w:pPr>
      <w:r>
        <w:rPr>
          <w:rFonts w:hint="eastAsia" w:ascii="宋体" w:hAnsi="宋体" w:cs="宋体"/>
          <w:szCs w:val="21"/>
          <w:highlight w:val="white"/>
        </w:rPr>
        <w:t>3.5.4“投标人的信誉情况表”应附投标人在“信用中国”网站中未被列入失信被执行人名单的网页截图、在“国家企业信用信息公示系统”网站中未被列入严重违法失信企业名单的网页截图，以及在投标人提交的“无行贿犯罪记录承诺书” 。</w:t>
      </w:r>
    </w:p>
    <w:p w14:paraId="6933F331">
      <w:pPr>
        <w:spacing w:line="360" w:lineRule="exact"/>
        <w:ind w:firstLine="420" w:firstLineChars="200"/>
        <w:rPr>
          <w:rFonts w:hint="eastAsia" w:ascii="宋体" w:hAnsi="宋体" w:cs="宋体"/>
          <w:szCs w:val="21"/>
        </w:rPr>
      </w:pPr>
      <w:r>
        <w:rPr>
          <w:rFonts w:hint="eastAsia" w:ascii="宋体" w:hAnsi="宋体" w:cs="宋体"/>
          <w:szCs w:val="21"/>
          <w:highlight w:val="white"/>
        </w:rPr>
        <w:t>3.5.5接受联合体投标的，本章第3.5.1项至第3.5.5项规定的表格和资料应包括联合体各方相关情况。</w:t>
      </w:r>
    </w:p>
    <w:p w14:paraId="09889A2F">
      <w:pPr>
        <w:spacing w:line="360" w:lineRule="exact"/>
        <w:ind w:firstLine="420" w:firstLineChars="200"/>
        <w:rPr>
          <w:rFonts w:hint="eastAsia" w:ascii="宋体" w:hAnsi="宋体" w:cs="宋体"/>
          <w:szCs w:val="21"/>
        </w:rPr>
      </w:pPr>
      <w:r>
        <w:rPr>
          <w:rFonts w:hint="eastAsia" w:ascii="宋体" w:hAnsi="宋体" w:cs="宋体"/>
          <w:szCs w:val="21"/>
          <w:highlight w:val="white"/>
        </w:rPr>
        <w:t>3.5.6</w:t>
      </w:r>
      <w:r>
        <w:rPr>
          <w:rFonts w:hint="eastAsia" w:ascii="宋体" w:hAnsi="宋体" w:cs="宋体"/>
          <w:spacing w:val="-2"/>
          <w:szCs w:val="21"/>
          <w:highlight w:val="white"/>
        </w:rPr>
        <w:t>投标人在投标文件中填报的项目经理和项目总工，享受信用分加分的，若发生人员变更的，按照福建省交通运输厅信用考核管理办法有关规定予以处罚。</w:t>
      </w:r>
    </w:p>
    <w:p w14:paraId="271DC8C5">
      <w:pPr>
        <w:spacing w:line="360" w:lineRule="exact"/>
        <w:ind w:firstLine="420" w:firstLineChars="200"/>
        <w:rPr>
          <w:rFonts w:hint="eastAsia" w:ascii="宋体" w:hAnsi="宋体" w:cs="宋体"/>
          <w:szCs w:val="21"/>
        </w:rPr>
      </w:pPr>
      <w:r>
        <w:rPr>
          <w:rFonts w:hint="eastAsia" w:ascii="宋体" w:hAnsi="宋体" w:cs="宋体"/>
          <w:szCs w:val="21"/>
          <w:highlight w:val="white"/>
        </w:rPr>
        <w:t>3.5.7招标人将进一步核查投标人在投标文件中提供的材料，若在评标期间发现投标人提供了虚假资料，招标人有权否决投标人的投标文件，并没收其投标担保；若在签订合同前发现作为中标候选人的投标人提供了虚假资料，招标人有权取消其中标资格并没收其投标担保；若在合同实施期间发现投标人提供了虚假资料，招标人有权从工程支付款或履约担保金中扣除不超过10%签约合同价的金额作为违约金。同时招标人将投标人上述弄虚作假行为上报省级交通主管部门，作为不良记录纳入“福建省公路水路建设市场信用信息管理系统（信用交通·福建）”（http://218.85.65.4:30050/gzwz）。</w:t>
      </w:r>
    </w:p>
    <w:p w14:paraId="529EBFBF">
      <w:pPr>
        <w:spacing w:before="48" w:beforeLines="20" w:after="48" w:afterLines="20"/>
        <w:outlineLvl w:val="4"/>
        <w:rPr>
          <w:rFonts w:hint="eastAsia" w:ascii="宋体" w:hAnsi="宋体" w:cs="宋体"/>
          <w:b/>
          <w:bCs/>
          <w:szCs w:val="21"/>
        </w:rPr>
      </w:pPr>
      <w:bookmarkStart w:id="415" w:name="_Toc152045553"/>
      <w:bookmarkStart w:id="416" w:name="_Toc362617955"/>
      <w:bookmarkStart w:id="417" w:name="_Toc144974521"/>
      <w:bookmarkStart w:id="418" w:name="_Toc179632571"/>
      <w:bookmarkStart w:id="419" w:name="_Toc152042329"/>
      <w:bookmarkStart w:id="420" w:name="_Toc152045554"/>
      <w:bookmarkStart w:id="421" w:name="_Toc144974522"/>
      <w:bookmarkStart w:id="422" w:name="_Toc152042330"/>
      <w:bookmarkStart w:id="423" w:name="_Toc179632572"/>
      <w:r>
        <w:rPr>
          <w:rFonts w:hint="eastAsia" w:ascii="宋体" w:hAnsi="宋体" w:cs="宋体"/>
          <w:b/>
          <w:bCs/>
          <w:szCs w:val="21"/>
          <w:highlight w:val="white"/>
        </w:rPr>
        <w:t>3.6 备选投标方案</w:t>
      </w:r>
      <w:bookmarkEnd w:id="415"/>
      <w:bookmarkEnd w:id="416"/>
      <w:bookmarkEnd w:id="417"/>
      <w:bookmarkEnd w:id="418"/>
      <w:bookmarkEnd w:id="419"/>
    </w:p>
    <w:p w14:paraId="48B8341F">
      <w:pPr>
        <w:spacing w:line="360" w:lineRule="exact"/>
        <w:ind w:firstLine="420" w:firstLineChars="200"/>
        <w:rPr>
          <w:rFonts w:hint="eastAsia" w:ascii="宋体" w:hAnsi="宋体" w:cs="宋体"/>
          <w:szCs w:val="21"/>
        </w:rPr>
      </w:pPr>
      <w:r>
        <w:rPr>
          <w:rFonts w:hint="eastAsia" w:ascii="宋体" w:hAnsi="宋体" w:cs="宋体"/>
          <w:szCs w:val="21"/>
          <w:highlight w:val="white"/>
        </w:rPr>
        <w:t>投标人不得递交备选投标方案。</w:t>
      </w:r>
    </w:p>
    <w:p w14:paraId="3512C5C8">
      <w:pPr>
        <w:spacing w:before="48" w:beforeLines="20" w:after="48" w:afterLines="20"/>
        <w:outlineLvl w:val="4"/>
        <w:rPr>
          <w:rFonts w:hint="eastAsia" w:ascii="宋体" w:hAnsi="宋体" w:cs="宋体"/>
          <w:b/>
          <w:bCs/>
          <w:szCs w:val="21"/>
        </w:rPr>
      </w:pPr>
      <w:bookmarkStart w:id="424" w:name="_Toc362617956"/>
      <w:r>
        <w:rPr>
          <w:rFonts w:hint="eastAsia" w:ascii="宋体" w:hAnsi="宋体" w:cs="宋体"/>
          <w:b/>
          <w:bCs/>
          <w:szCs w:val="21"/>
          <w:highlight w:val="white"/>
        </w:rPr>
        <w:t>3.7 投标文件的编制</w:t>
      </w:r>
      <w:bookmarkEnd w:id="420"/>
      <w:bookmarkEnd w:id="421"/>
      <w:bookmarkEnd w:id="422"/>
      <w:bookmarkEnd w:id="423"/>
      <w:bookmarkEnd w:id="424"/>
    </w:p>
    <w:p w14:paraId="53A8E241">
      <w:pPr>
        <w:spacing w:line="400" w:lineRule="exact"/>
        <w:ind w:firstLine="420" w:firstLineChars="200"/>
        <w:rPr>
          <w:rFonts w:hint="eastAsia" w:ascii="宋体" w:hAnsi="宋体" w:cs="宋体"/>
          <w:szCs w:val="21"/>
        </w:rPr>
      </w:pPr>
      <w:r>
        <w:rPr>
          <w:rFonts w:hint="eastAsia" w:ascii="宋体" w:hAnsi="宋体" w:cs="宋体"/>
          <w:szCs w:val="21"/>
          <w:highlight w:val="white"/>
        </w:rPr>
        <w:t>3.7.1投标文件应按第九章“投标文件格式”进行编制，如有必要，可以增加附页，作为投标文件的组成部分。其中，投标函附录在满足招标文件实质性要求的基础上，可以提出比招标文件要求更有利于招标人的承诺。</w:t>
      </w:r>
    </w:p>
    <w:p w14:paraId="63006C9D">
      <w:pPr>
        <w:spacing w:line="360" w:lineRule="exact"/>
        <w:ind w:firstLine="420" w:firstLineChars="200"/>
        <w:rPr>
          <w:rFonts w:hint="eastAsia" w:ascii="宋体" w:hAnsi="宋体" w:cs="宋体"/>
          <w:szCs w:val="21"/>
        </w:rPr>
      </w:pPr>
      <w:r>
        <w:rPr>
          <w:rFonts w:hint="eastAsia" w:ascii="宋体" w:hAnsi="宋体" w:cs="宋体"/>
          <w:szCs w:val="21"/>
          <w:highlight w:val="white"/>
        </w:rPr>
        <w:t>3.7.2投标文件应当对招标文件有关工期、投标有效期、质量要求、技术标准和要求、招标范围等实质性内容作出响应。</w:t>
      </w:r>
    </w:p>
    <w:p w14:paraId="48B44588">
      <w:pPr>
        <w:spacing w:line="360" w:lineRule="exact"/>
        <w:ind w:firstLine="420" w:firstLineChars="200"/>
        <w:rPr>
          <w:rFonts w:hint="eastAsia" w:ascii="宋体" w:hAnsi="宋体" w:cs="宋体"/>
          <w:szCs w:val="21"/>
        </w:rPr>
      </w:pPr>
      <w:r>
        <w:rPr>
          <w:rFonts w:hint="eastAsia" w:ascii="宋体" w:hAnsi="宋体" w:cs="宋体"/>
          <w:szCs w:val="21"/>
          <w:highlight w:val="white"/>
        </w:rPr>
        <w:t>3.7.3投标文件签字、盖章要求：见投标人须知前附表。</w:t>
      </w:r>
    </w:p>
    <w:p w14:paraId="52C8BBF2">
      <w:pPr>
        <w:spacing w:line="360" w:lineRule="exact"/>
        <w:ind w:firstLine="420" w:firstLineChars="200"/>
        <w:rPr>
          <w:rFonts w:hint="eastAsia" w:ascii="宋体" w:hAnsi="宋体" w:cs="宋体"/>
          <w:szCs w:val="21"/>
        </w:rPr>
      </w:pPr>
      <w:r>
        <w:rPr>
          <w:rFonts w:hint="eastAsia" w:ascii="宋体" w:hAnsi="宋体" w:cs="宋体"/>
          <w:szCs w:val="21"/>
          <w:highlight w:val="white"/>
        </w:rPr>
        <w:t>3.7.4投标文件正、副本份数要求：见投标人须知前附表。</w:t>
      </w:r>
    </w:p>
    <w:p w14:paraId="22898DE1">
      <w:pPr>
        <w:spacing w:line="360" w:lineRule="exact"/>
        <w:ind w:firstLine="420" w:firstLineChars="200"/>
        <w:rPr>
          <w:rFonts w:hint="eastAsia" w:ascii="宋体" w:hAnsi="宋体" w:cs="宋体"/>
          <w:szCs w:val="21"/>
        </w:rPr>
      </w:pPr>
      <w:r>
        <w:rPr>
          <w:rFonts w:hint="eastAsia" w:ascii="宋体" w:hAnsi="宋体" w:cs="宋体"/>
          <w:szCs w:val="21"/>
          <w:highlight w:val="white"/>
        </w:rPr>
        <w:t>3.7.5投标文件的装订要求：见投标人须知前附表。</w:t>
      </w:r>
    </w:p>
    <w:p w14:paraId="60D28370">
      <w:pPr>
        <w:spacing w:line="360" w:lineRule="exact"/>
        <w:ind w:firstLine="420" w:firstLineChars="200"/>
        <w:rPr>
          <w:rFonts w:hint="eastAsia" w:ascii="宋体" w:hAnsi="宋体" w:cs="宋体"/>
          <w:szCs w:val="21"/>
        </w:rPr>
      </w:pPr>
      <w:r>
        <w:rPr>
          <w:rFonts w:hint="eastAsia" w:ascii="宋体" w:hAnsi="宋体" w:cs="宋体"/>
          <w:szCs w:val="21"/>
          <w:highlight w:val="white"/>
        </w:rPr>
        <w:t>3.7.6投标文件的制作份数要求：见投标人须知前附表。</w:t>
      </w:r>
    </w:p>
    <w:p w14:paraId="6F12F425">
      <w:pPr>
        <w:spacing w:before="48" w:beforeLines="20" w:after="48" w:afterLines="20"/>
        <w:outlineLvl w:val="3"/>
        <w:rPr>
          <w:rFonts w:hint="eastAsia" w:ascii="宋体" w:hAnsi="宋体" w:cs="宋体"/>
          <w:b/>
          <w:bCs/>
          <w:szCs w:val="21"/>
        </w:rPr>
      </w:pPr>
      <w:bookmarkStart w:id="425" w:name="_Toc362614237"/>
      <w:bookmarkStart w:id="426" w:name="_Toc368338543"/>
      <w:bookmarkStart w:id="427" w:name="_Toc40261816"/>
      <w:bookmarkStart w:id="428" w:name="_Toc362613865"/>
      <w:bookmarkStart w:id="429" w:name="_Toc362617957"/>
      <w:bookmarkStart w:id="430" w:name="_Toc152045555"/>
      <w:bookmarkStart w:id="431" w:name="_Toc179632573"/>
      <w:bookmarkStart w:id="432" w:name="_Toc368320217"/>
      <w:bookmarkStart w:id="433" w:name="_Toc152042331"/>
      <w:bookmarkStart w:id="434" w:name="_Toc367178451"/>
      <w:r>
        <w:rPr>
          <w:rFonts w:hint="eastAsia" w:ascii="宋体" w:hAnsi="宋体" w:cs="宋体"/>
          <w:b/>
          <w:bCs/>
          <w:szCs w:val="21"/>
          <w:highlight w:val="white"/>
        </w:rPr>
        <w:t>4. 投标</w:t>
      </w:r>
      <w:bookmarkEnd w:id="425"/>
      <w:bookmarkEnd w:id="426"/>
      <w:bookmarkEnd w:id="427"/>
      <w:bookmarkEnd w:id="428"/>
      <w:bookmarkEnd w:id="429"/>
      <w:bookmarkEnd w:id="430"/>
      <w:bookmarkEnd w:id="431"/>
      <w:bookmarkEnd w:id="432"/>
      <w:bookmarkEnd w:id="433"/>
      <w:bookmarkEnd w:id="434"/>
    </w:p>
    <w:p w14:paraId="0F875A8A">
      <w:pPr>
        <w:spacing w:before="48" w:beforeLines="20" w:after="48" w:afterLines="20"/>
        <w:outlineLvl w:val="4"/>
        <w:rPr>
          <w:rFonts w:hint="eastAsia" w:ascii="宋体" w:hAnsi="宋体" w:cs="宋体"/>
          <w:b/>
          <w:bCs/>
          <w:szCs w:val="21"/>
        </w:rPr>
      </w:pPr>
      <w:bookmarkStart w:id="435" w:name="_Toc179632574"/>
      <w:bookmarkStart w:id="436" w:name="_Toc152042332"/>
      <w:bookmarkStart w:id="437" w:name="_Toc152045556"/>
      <w:bookmarkStart w:id="438" w:name="_Toc362617958"/>
      <w:r>
        <w:rPr>
          <w:rFonts w:hint="eastAsia" w:ascii="宋体" w:hAnsi="宋体" w:cs="宋体"/>
          <w:b/>
          <w:bCs/>
          <w:szCs w:val="21"/>
          <w:highlight w:val="white"/>
        </w:rPr>
        <w:t>4.1 投标文件的</w:t>
      </w:r>
      <w:bookmarkEnd w:id="435"/>
      <w:bookmarkEnd w:id="436"/>
      <w:bookmarkEnd w:id="437"/>
      <w:r>
        <w:rPr>
          <w:rFonts w:hint="eastAsia" w:ascii="宋体" w:hAnsi="宋体" w:cs="宋体"/>
          <w:b/>
          <w:bCs/>
          <w:szCs w:val="21"/>
          <w:highlight w:val="white"/>
        </w:rPr>
        <w:t>制作</w:t>
      </w:r>
      <w:bookmarkEnd w:id="438"/>
    </w:p>
    <w:p w14:paraId="3BD557BF">
      <w:pPr>
        <w:spacing w:line="360" w:lineRule="exact"/>
        <w:ind w:firstLine="420" w:firstLineChars="200"/>
        <w:rPr>
          <w:rFonts w:hint="eastAsia" w:ascii="宋体" w:hAnsi="宋体" w:cs="宋体"/>
          <w:szCs w:val="21"/>
        </w:rPr>
      </w:pPr>
      <w:r>
        <w:rPr>
          <w:rFonts w:hint="eastAsia" w:ascii="宋体" w:hAnsi="宋体" w:cs="宋体"/>
          <w:szCs w:val="21"/>
          <w:highlight w:val="white"/>
        </w:rPr>
        <w:t>4.1.1投标人应根据招标文件规定的要求制作投标文件，以保证投标文件的有效性和保密性。</w:t>
      </w:r>
    </w:p>
    <w:p w14:paraId="4108135A">
      <w:pPr>
        <w:spacing w:line="360" w:lineRule="exact"/>
        <w:ind w:firstLine="420" w:firstLineChars="200"/>
        <w:rPr>
          <w:rFonts w:hint="eastAsia" w:ascii="宋体" w:hAnsi="宋体" w:cs="宋体"/>
          <w:szCs w:val="21"/>
        </w:rPr>
      </w:pPr>
      <w:r>
        <w:rPr>
          <w:rFonts w:hint="eastAsia" w:ascii="宋体" w:hAnsi="宋体" w:cs="宋体"/>
          <w:szCs w:val="21"/>
          <w:highlight w:val="white"/>
        </w:rPr>
        <w:t>4.1.2本次招标采用</w:t>
      </w:r>
      <w:bookmarkStart w:id="439" w:name="FBfe500b8dba714d22a188835614155c04"/>
      <w:bookmarkEnd w:id="439"/>
      <w:bookmarkStart w:id="440" w:name="FE15375fccfce04f4f90698ba694d70656"/>
      <w:bookmarkEnd w:id="440"/>
      <w:bookmarkStart w:id="441" w:name="FEfe500b8dba714d22a188835614155c04"/>
      <w:bookmarkEnd w:id="441"/>
      <w:bookmarkStart w:id="442" w:name="FB15375fccfce04f4f90698ba694d70656"/>
      <w:bookmarkEnd w:id="442"/>
      <w:r>
        <w:rPr>
          <w:rFonts w:hint="eastAsia" w:ascii="宋体" w:hAnsi="宋体" w:cs="宋体"/>
          <w:szCs w:val="21"/>
          <w:highlight w:val="white"/>
        </w:rPr>
        <w:t>形式，投标文件第一个信封（商务文件）</w:t>
      </w:r>
      <w:bookmarkStart w:id="443" w:name="FB814776ec0f1148fea8e1b46ce92b19bc"/>
      <w:bookmarkEnd w:id="443"/>
      <w:bookmarkStart w:id="444" w:name="FE814776ec0f1148fea8e1b46ce92b19bc"/>
      <w:bookmarkEnd w:id="444"/>
      <w:r>
        <w:rPr>
          <w:rFonts w:hint="eastAsia" w:ascii="宋体" w:hAnsi="宋体" w:cs="宋体"/>
          <w:szCs w:val="21"/>
          <w:highlight w:val="white"/>
        </w:rPr>
        <w:t>。</w:t>
      </w:r>
    </w:p>
    <w:p w14:paraId="1D1C0F5D">
      <w:pPr>
        <w:spacing w:before="48" w:beforeLines="20" w:after="48" w:afterLines="20"/>
        <w:outlineLvl w:val="4"/>
        <w:rPr>
          <w:rFonts w:hint="eastAsia" w:ascii="宋体" w:hAnsi="宋体" w:cs="宋体"/>
          <w:b/>
          <w:bCs/>
          <w:szCs w:val="21"/>
        </w:rPr>
      </w:pPr>
      <w:bookmarkStart w:id="445" w:name="_Toc179632575"/>
      <w:bookmarkStart w:id="446" w:name="_Toc152045557"/>
      <w:bookmarkStart w:id="447" w:name="_Toc152042333"/>
      <w:bookmarkStart w:id="448" w:name="_Toc362617959"/>
      <w:r>
        <w:rPr>
          <w:rFonts w:hint="eastAsia" w:ascii="宋体" w:hAnsi="宋体" w:cs="宋体"/>
          <w:b/>
          <w:bCs/>
          <w:szCs w:val="21"/>
          <w:highlight w:val="white"/>
        </w:rPr>
        <w:t>4.2 投标文件的递交</w:t>
      </w:r>
      <w:bookmarkEnd w:id="445"/>
      <w:bookmarkEnd w:id="446"/>
      <w:bookmarkEnd w:id="447"/>
      <w:bookmarkEnd w:id="448"/>
    </w:p>
    <w:p w14:paraId="194B82D3">
      <w:pPr>
        <w:spacing w:line="360" w:lineRule="exact"/>
        <w:ind w:firstLine="420" w:firstLineChars="200"/>
        <w:rPr>
          <w:rFonts w:hint="eastAsia" w:ascii="宋体" w:hAnsi="宋体" w:cs="宋体"/>
          <w:szCs w:val="21"/>
        </w:rPr>
      </w:pPr>
      <w:r>
        <w:rPr>
          <w:rFonts w:hint="eastAsia" w:ascii="宋体" w:hAnsi="宋体" w:cs="宋体"/>
          <w:szCs w:val="21"/>
          <w:highlight w:val="white"/>
        </w:rPr>
        <w:t>4.2.1投标文件的递交方式及投标截止时间见投标人须知前附表。</w:t>
      </w:r>
    </w:p>
    <w:p w14:paraId="65314786">
      <w:pPr>
        <w:spacing w:before="48" w:beforeLines="20" w:after="48" w:afterLines="20"/>
        <w:outlineLvl w:val="4"/>
        <w:rPr>
          <w:rFonts w:hint="eastAsia" w:ascii="宋体" w:hAnsi="宋体" w:cs="宋体"/>
          <w:b/>
          <w:bCs/>
          <w:szCs w:val="21"/>
        </w:rPr>
      </w:pPr>
      <w:bookmarkStart w:id="449" w:name="_Toc152042334"/>
      <w:bookmarkStart w:id="450" w:name="_Toc362617960"/>
      <w:bookmarkStart w:id="451" w:name="_Toc144974526"/>
      <w:bookmarkStart w:id="452" w:name="_Toc152045558"/>
      <w:bookmarkStart w:id="453" w:name="_Toc179632576"/>
      <w:r>
        <w:rPr>
          <w:rFonts w:hint="eastAsia" w:ascii="宋体" w:hAnsi="宋体" w:cs="宋体"/>
          <w:b/>
          <w:bCs/>
          <w:szCs w:val="21"/>
          <w:highlight w:val="white"/>
        </w:rPr>
        <w:t>4.3 投标文件的修改与撤回</w:t>
      </w:r>
      <w:bookmarkEnd w:id="449"/>
      <w:bookmarkEnd w:id="450"/>
      <w:bookmarkEnd w:id="451"/>
      <w:bookmarkEnd w:id="452"/>
      <w:bookmarkEnd w:id="453"/>
    </w:p>
    <w:p w14:paraId="71230A25">
      <w:pPr>
        <w:spacing w:line="360" w:lineRule="exact"/>
        <w:ind w:firstLine="420" w:firstLineChars="200"/>
        <w:rPr>
          <w:rFonts w:hint="eastAsia" w:ascii="宋体" w:hAnsi="宋体" w:cs="宋体"/>
          <w:szCs w:val="21"/>
        </w:rPr>
      </w:pPr>
      <w:r>
        <w:rPr>
          <w:rFonts w:hint="eastAsia" w:ascii="宋体" w:hAnsi="宋体" w:cs="宋体"/>
          <w:szCs w:val="21"/>
          <w:highlight w:val="white"/>
        </w:rPr>
        <w:t>4.3.1 在本章第2.2.2项规定的投标截止时间前，投标人可以修改或撤回已递交的投标文件。</w:t>
      </w:r>
    </w:p>
    <w:p w14:paraId="3D7958D6">
      <w:pPr>
        <w:spacing w:before="48" w:beforeLines="20" w:after="48" w:afterLines="20"/>
        <w:outlineLvl w:val="3"/>
        <w:rPr>
          <w:rFonts w:hint="eastAsia" w:ascii="宋体" w:hAnsi="宋体" w:cs="宋体"/>
          <w:b/>
          <w:bCs/>
          <w:szCs w:val="21"/>
        </w:rPr>
      </w:pPr>
      <w:bookmarkStart w:id="454" w:name="_Toc40261817"/>
      <w:bookmarkStart w:id="455" w:name="_Toc152045560"/>
      <w:bookmarkStart w:id="456" w:name="_Toc144974528"/>
      <w:bookmarkStart w:id="457" w:name="_Toc152042336"/>
      <w:bookmarkStart w:id="458" w:name="_Toc179632578"/>
      <w:bookmarkStart w:id="459" w:name="_Toc362617962"/>
      <w:r>
        <w:rPr>
          <w:rFonts w:hint="eastAsia" w:ascii="宋体" w:hAnsi="宋体" w:cs="宋体"/>
          <w:b/>
          <w:bCs/>
          <w:szCs w:val="21"/>
          <w:highlight w:val="white"/>
        </w:rPr>
        <w:t>5. 开标</w:t>
      </w:r>
      <w:bookmarkEnd w:id="454"/>
    </w:p>
    <w:p w14:paraId="05FE74AC">
      <w:pPr>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5.1 开标时间和地点</w:t>
      </w:r>
      <w:bookmarkEnd w:id="455"/>
      <w:bookmarkEnd w:id="456"/>
      <w:bookmarkEnd w:id="457"/>
      <w:bookmarkEnd w:id="458"/>
      <w:bookmarkEnd w:id="459"/>
    </w:p>
    <w:p w14:paraId="3155C5FC">
      <w:pPr>
        <w:spacing w:line="400" w:lineRule="exact"/>
        <w:ind w:firstLine="420" w:firstLineChars="200"/>
        <w:rPr>
          <w:rFonts w:hint="eastAsia" w:ascii="宋体" w:hAnsi="宋体" w:cs="宋体"/>
          <w:szCs w:val="21"/>
        </w:rPr>
      </w:pPr>
      <w:r>
        <w:rPr>
          <w:rFonts w:hint="eastAsia" w:ascii="宋体" w:hAnsi="宋体" w:cs="宋体"/>
          <w:szCs w:val="21"/>
          <w:highlight w:val="white"/>
        </w:rPr>
        <w:t>招标人按投标人须知前附表规定的时间和地点对收到的投标文件公开开标，所有投标人的投标人代表须准时参加。</w:t>
      </w:r>
      <w:bookmarkStart w:id="460" w:name="_Toc179632579"/>
      <w:bookmarkStart w:id="461" w:name="_Toc144974529"/>
      <w:bookmarkStart w:id="462" w:name="_Toc152042337"/>
      <w:bookmarkStart w:id="463" w:name="_Toc152045561"/>
      <w:bookmarkStart w:id="464" w:name="_Toc362617963"/>
    </w:p>
    <w:p w14:paraId="65D9D545">
      <w:pPr>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5.2 开标程序</w:t>
      </w:r>
      <w:bookmarkEnd w:id="460"/>
      <w:bookmarkEnd w:id="461"/>
      <w:bookmarkEnd w:id="462"/>
      <w:bookmarkEnd w:id="463"/>
      <w:bookmarkEnd w:id="464"/>
    </w:p>
    <w:p w14:paraId="4BE23D5D">
      <w:pPr>
        <w:spacing w:line="400" w:lineRule="exact"/>
        <w:ind w:firstLine="420" w:firstLineChars="200"/>
        <w:rPr>
          <w:rFonts w:hint="eastAsia" w:ascii="宋体" w:hAnsi="宋体" w:cs="宋体"/>
          <w:szCs w:val="21"/>
        </w:rPr>
      </w:pPr>
      <w:bookmarkStart w:id="465" w:name="_Toc144974530"/>
      <w:bookmarkStart w:id="466" w:name="_Toc152045562"/>
      <w:bookmarkStart w:id="467" w:name="_Toc152042338"/>
      <w:bookmarkStart w:id="468" w:name="_Toc179632580"/>
      <w:r>
        <w:rPr>
          <w:rFonts w:hint="eastAsia" w:ascii="宋体" w:hAnsi="宋体" w:cs="宋体"/>
          <w:szCs w:val="21"/>
          <w:highlight w:val="white"/>
        </w:rPr>
        <w:t>5.2.1第一信封（商务文件）开标：见投标人须知前附表。</w:t>
      </w:r>
    </w:p>
    <w:p w14:paraId="18D2017D">
      <w:pPr>
        <w:spacing w:before="48" w:beforeLines="20" w:after="48" w:afterLines="20"/>
        <w:outlineLvl w:val="4"/>
        <w:rPr>
          <w:rFonts w:hint="eastAsia" w:ascii="宋体" w:hAnsi="宋体" w:cs="宋体"/>
          <w:b/>
          <w:bCs/>
          <w:szCs w:val="21"/>
        </w:rPr>
      </w:pPr>
      <w:bookmarkStart w:id="469" w:name="FBec72d70e9d274b27ba52434bb4ccde93"/>
      <w:bookmarkEnd w:id="469"/>
      <w:bookmarkStart w:id="470" w:name="FB8ec2295275e94829a59f4e1f68b58438"/>
      <w:bookmarkEnd w:id="470"/>
      <w:bookmarkStart w:id="471" w:name="FE8ec2295275e94829a59f4e1f68b58438"/>
      <w:bookmarkEnd w:id="471"/>
      <w:bookmarkStart w:id="472" w:name="FEec72d70e9d274b27ba52434bb4ccde93"/>
      <w:bookmarkEnd w:id="472"/>
      <w:r>
        <w:rPr>
          <w:rFonts w:hint="eastAsia" w:ascii="宋体" w:hAnsi="宋体" w:cs="宋体"/>
          <w:b/>
          <w:bCs/>
          <w:szCs w:val="21"/>
          <w:highlight w:val="white"/>
        </w:rPr>
        <w:t>5.3开标异议</w:t>
      </w:r>
    </w:p>
    <w:p w14:paraId="5FFFC9C6">
      <w:pPr>
        <w:spacing w:line="400" w:lineRule="exact"/>
        <w:ind w:firstLine="420" w:firstLineChars="200"/>
        <w:rPr>
          <w:rFonts w:hint="eastAsia" w:ascii="宋体" w:hAnsi="宋体" w:cs="宋体"/>
          <w:szCs w:val="21"/>
        </w:rPr>
      </w:pPr>
      <w:r>
        <w:rPr>
          <w:rFonts w:hint="eastAsia" w:ascii="宋体" w:hAnsi="宋体" w:cs="宋体"/>
          <w:szCs w:val="21"/>
          <w:highlight w:val="white"/>
        </w:rPr>
        <w:t>投标人对开标有异议的，应当在开标现场提出，招标人应当当场作出答复，并制作记录，有异议的投标人代表、招标人代表、记录人等有关人员在记录上签字确认。</w:t>
      </w:r>
      <w:bookmarkStart w:id="473" w:name="_Toc362617964"/>
      <w:bookmarkStart w:id="474" w:name="_Toc367178453"/>
      <w:bookmarkStart w:id="475" w:name="_Toc362613867"/>
      <w:bookmarkStart w:id="476" w:name="_Toc368338545"/>
      <w:bookmarkStart w:id="477" w:name="_Toc362614239"/>
      <w:bookmarkStart w:id="478" w:name="_Toc368320219"/>
    </w:p>
    <w:bookmarkEnd w:id="465"/>
    <w:bookmarkEnd w:id="466"/>
    <w:bookmarkEnd w:id="467"/>
    <w:bookmarkEnd w:id="468"/>
    <w:bookmarkEnd w:id="473"/>
    <w:bookmarkEnd w:id="474"/>
    <w:bookmarkEnd w:id="475"/>
    <w:bookmarkEnd w:id="476"/>
    <w:bookmarkEnd w:id="477"/>
    <w:bookmarkEnd w:id="478"/>
    <w:p w14:paraId="6A5C0D26">
      <w:pPr>
        <w:spacing w:before="48" w:beforeLines="20" w:after="48" w:afterLines="20"/>
        <w:outlineLvl w:val="3"/>
        <w:rPr>
          <w:rFonts w:hint="eastAsia" w:ascii="宋体" w:hAnsi="宋体" w:cs="宋体"/>
          <w:b/>
          <w:bCs/>
          <w:szCs w:val="21"/>
        </w:rPr>
      </w:pPr>
      <w:bookmarkStart w:id="479" w:name="_Toc33894361"/>
      <w:bookmarkStart w:id="480" w:name="_Toc40261818"/>
      <w:bookmarkStart w:id="481" w:name="_Toc144974531"/>
      <w:bookmarkStart w:id="482" w:name="_Toc152042339"/>
      <w:bookmarkStart w:id="483" w:name="_Toc362617965"/>
      <w:bookmarkStart w:id="484" w:name="_Toc152045563"/>
      <w:bookmarkStart w:id="485" w:name="_Toc179632581"/>
      <w:r>
        <w:rPr>
          <w:rFonts w:hint="eastAsia" w:ascii="宋体" w:hAnsi="宋体" w:cs="宋体"/>
          <w:b/>
          <w:bCs/>
          <w:szCs w:val="21"/>
          <w:highlight w:val="white"/>
        </w:rPr>
        <w:t>6. 评标</w:t>
      </w:r>
      <w:bookmarkEnd w:id="479"/>
      <w:bookmarkEnd w:id="480"/>
    </w:p>
    <w:p w14:paraId="3F7DC788">
      <w:pPr>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6.1 评标委员会</w:t>
      </w:r>
      <w:bookmarkEnd w:id="481"/>
      <w:bookmarkEnd w:id="482"/>
      <w:bookmarkEnd w:id="483"/>
      <w:bookmarkEnd w:id="484"/>
      <w:bookmarkEnd w:id="485"/>
    </w:p>
    <w:p w14:paraId="2462FC94">
      <w:pPr>
        <w:spacing w:line="360" w:lineRule="exact"/>
        <w:ind w:firstLine="420" w:firstLineChars="200"/>
        <w:rPr>
          <w:rFonts w:hint="eastAsia" w:ascii="宋体" w:hAnsi="宋体" w:cs="宋体"/>
          <w:szCs w:val="21"/>
        </w:rPr>
      </w:pPr>
      <w:r>
        <w:rPr>
          <w:rFonts w:hint="eastAsia" w:ascii="宋体" w:hAnsi="宋体" w:cs="宋体"/>
          <w:szCs w:val="21"/>
          <w:highlight w:val="white"/>
        </w:rPr>
        <w:t>6.1.1评标由招标人依法组建的评标委员会负责。评标委员会由招标人代表，以及有关技术、经济等方面的专家组成。评标委员会成员人数以及技术、经济等方面专家的确定方式见投标人须知前附表。</w:t>
      </w:r>
    </w:p>
    <w:p w14:paraId="702E93A1">
      <w:pPr>
        <w:spacing w:line="360" w:lineRule="exact"/>
        <w:ind w:firstLine="420" w:firstLineChars="200"/>
        <w:rPr>
          <w:rFonts w:hint="eastAsia" w:ascii="宋体" w:hAnsi="宋体" w:cs="宋体"/>
          <w:szCs w:val="21"/>
        </w:rPr>
      </w:pPr>
      <w:r>
        <w:rPr>
          <w:rFonts w:hint="eastAsia" w:ascii="宋体" w:hAnsi="宋体" w:cs="宋体"/>
          <w:szCs w:val="21"/>
          <w:highlight w:val="white"/>
        </w:rPr>
        <w:t>6.1.2 评标委员会成员有下列情形之一的，应当回避：</w:t>
      </w:r>
    </w:p>
    <w:p w14:paraId="00F9B232">
      <w:pPr>
        <w:spacing w:line="360" w:lineRule="exact"/>
        <w:ind w:firstLine="420" w:firstLineChars="200"/>
        <w:rPr>
          <w:rFonts w:hint="eastAsia" w:ascii="宋体" w:hAnsi="宋体" w:cs="宋体"/>
          <w:szCs w:val="21"/>
        </w:rPr>
      </w:pPr>
      <w:r>
        <w:rPr>
          <w:rFonts w:hint="eastAsia" w:ascii="宋体" w:hAnsi="宋体" w:cs="宋体"/>
          <w:szCs w:val="21"/>
          <w:highlight w:val="white"/>
        </w:rPr>
        <w:t>（1）为负责招标项目监督管理的交通运输主管部门的工作人员；</w:t>
      </w:r>
    </w:p>
    <w:p w14:paraId="24F0CF03">
      <w:pPr>
        <w:spacing w:line="360" w:lineRule="exact"/>
        <w:ind w:firstLine="420" w:firstLineChars="200"/>
        <w:rPr>
          <w:rFonts w:hint="eastAsia" w:ascii="宋体" w:hAnsi="宋体" w:cs="宋体"/>
          <w:szCs w:val="21"/>
        </w:rPr>
      </w:pPr>
      <w:r>
        <w:rPr>
          <w:rFonts w:hint="eastAsia" w:ascii="宋体" w:hAnsi="宋体" w:cs="宋体"/>
          <w:szCs w:val="21"/>
          <w:highlight w:val="white"/>
        </w:rPr>
        <w:t>（2）与投标人法定代表人或其委托代理人有近亲属关系；</w:t>
      </w:r>
    </w:p>
    <w:p w14:paraId="6051ABAB">
      <w:pPr>
        <w:spacing w:line="360" w:lineRule="exact"/>
        <w:ind w:firstLine="420" w:firstLineChars="200"/>
        <w:rPr>
          <w:rFonts w:hint="eastAsia" w:ascii="宋体" w:hAnsi="宋体" w:cs="宋体"/>
          <w:szCs w:val="21"/>
        </w:rPr>
      </w:pPr>
      <w:r>
        <w:rPr>
          <w:rFonts w:hint="eastAsia" w:ascii="宋体" w:hAnsi="宋体" w:cs="宋体"/>
          <w:szCs w:val="21"/>
          <w:highlight w:val="white"/>
        </w:rPr>
        <w:t>（3）为投标人的工作人员或退休人员；</w:t>
      </w:r>
    </w:p>
    <w:p w14:paraId="2824D1A2">
      <w:pPr>
        <w:spacing w:line="360" w:lineRule="exact"/>
        <w:ind w:firstLine="420" w:firstLineChars="200"/>
        <w:rPr>
          <w:rFonts w:hint="eastAsia" w:ascii="宋体" w:hAnsi="宋体" w:cs="宋体"/>
          <w:szCs w:val="21"/>
        </w:rPr>
      </w:pPr>
      <w:r>
        <w:rPr>
          <w:rFonts w:hint="eastAsia" w:ascii="宋体" w:hAnsi="宋体" w:cs="宋体"/>
          <w:szCs w:val="21"/>
          <w:highlight w:val="white"/>
        </w:rPr>
        <w:t>（4）与投标人有其他利害关系，可能影响评标活动公正性；</w:t>
      </w:r>
    </w:p>
    <w:p w14:paraId="06D103EA">
      <w:pPr>
        <w:spacing w:line="360" w:lineRule="exact"/>
        <w:ind w:firstLine="420" w:firstLineChars="200"/>
        <w:rPr>
          <w:rFonts w:hint="eastAsia" w:ascii="宋体" w:hAnsi="宋体" w:cs="宋体"/>
          <w:szCs w:val="21"/>
        </w:rPr>
      </w:pPr>
      <w:r>
        <w:rPr>
          <w:rFonts w:hint="eastAsia" w:ascii="宋体" w:hAnsi="宋体" w:cs="宋体"/>
          <w:szCs w:val="21"/>
          <w:highlight w:val="white"/>
        </w:rPr>
        <w:t>（5）在与招标投标有关的活动中有过违法违规行为、曾受过行政处罚或刑事处罚。</w:t>
      </w:r>
    </w:p>
    <w:p w14:paraId="456453DF">
      <w:pPr>
        <w:spacing w:line="360" w:lineRule="exact"/>
        <w:ind w:firstLine="420" w:firstLineChars="200"/>
        <w:rPr>
          <w:rFonts w:hint="eastAsia" w:ascii="宋体" w:hAnsi="宋体" w:cs="宋体"/>
          <w:szCs w:val="21"/>
        </w:rPr>
      </w:pPr>
      <w:r>
        <w:rPr>
          <w:rFonts w:hint="eastAsia" w:ascii="宋体" w:hAnsi="宋体" w:cs="宋体"/>
          <w:szCs w:val="21"/>
          <w:highlight w:val="white"/>
        </w:rPr>
        <w:t>6.1.3评标委员会成员有回避事由、擅离职守或者因健康等原因不能继续评标的，应当及时更换。被更换的评标委员会成员作出的评审结论无效，由更换后的评标委员会成员重新进行评审。更换评标委员会成员的情况应当在评标报告中予以记录。被更换的评标委员会成员如为评标专家库专家，招标人应当从原评标专家库中按照原方式抽取更换后的评标委员会成员，或者在符合法律规定的前提下相应减少评标委员会中招标人代表数量。</w:t>
      </w:r>
    </w:p>
    <w:p w14:paraId="7D14E89C">
      <w:pPr>
        <w:spacing w:before="48" w:beforeLines="20" w:after="48" w:afterLines="20"/>
        <w:outlineLvl w:val="4"/>
        <w:rPr>
          <w:rFonts w:hint="eastAsia" w:ascii="宋体" w:hAnsi="宋体" w:cs="宋体"/>
          <w:b/>
          <w:bCs/>
          <w:szCs w:val="21"/>
        </w:rPr>
      </w:pPr>
      <w:bookmarkStart w:id="486" w:name="_Toc179632582"/>
      <w:bookmarkStart w:id="487" w:name="_Toc152042340"/>
      <w:bookmarkStart w:id="488" w:name="_Toc152045564"/>
      <w:bookmarkStart w:id="489" w:name="_Toc362617966"/>
      <w:bookmarkStart w:id="490" w:name="_Toc144974532"/>
      <w:r>
        <w:rPr>
          <w:rFonts w:hint="eastAsia" w:ascii="宋体" w:hAnsi="宋体" w:cs="宋体"/>
          <w:b/>
          <w:bCs/>
          <w:szCs w:val="21"/>
          <w:highlight w:val="white"/>
        </w:rPr>
        <w:t>6.2 评标原则</w:t>
      </w:r>
      <w:bookmarkEnd w:id="486"/>
      <w:bookmarkEnd w:id="487"/>
      <w:bookmarkEnd w:id="488"/>
      <w:bookmarkEnd w:id="489"/>
      <w:bookmarkEnd w:id="490"/>
      <w:r>
        <w:rPr>
          <w:rFonts w:hint="eastAsia" w:ascii="宋体" w:hAnsi="宋体" w:cs="宋体"/>
          <w:b/>
          <w:bCs/>
          <w:szCs w:val="21"/>
          <w:highlight w:val="white"/>
        </w:rPr>
        <w:tab/>
      </w:r>
    </w:p>
    <w:p w14:paraId="1CC0D84C">
      <w:pPr>
        <w:spacing w:line="360" w:lineRule="exact"/>
        <w:ind w:firstLine="420" w:firstLineChars="200"/>
        <w:rPr>
          <w:rFonts w:hint="eastAsia" w:ascii="宋体" w:hAnsi="宋体" w:cs="宋体"/>
          <w:szCs w:val="21"/>
        </w:rPr>
      </w:pPr>
      <w:r>
        <w:rPr>
          <w:rFonts w:hint="eastAsia" w:ascii="宋体" w:hAnsi="宋体" w:cs="宋体"/>
          <w:szCs w:val="21"/>
          <w:highlight w:val="white"/>
        </w:rPr>
        <w:t>评标活动遵循公平、公正、科学和择优的原则。</w:t>
      </w:r>
    </w:p>
    <w:p w14:paraId="7FC0D80A">
      <w:pPr>
        <w:spacing w:before="48" w:beforeLines="20" w:after="48" w:afterLines="20"/>
        <w:outlineLvl w:val="4"/>
        <w:rPr>
          <w:rFonts w:hint="eastAsia" w:ascii="宋体" w:hAnsi="宋体" w:cs="宋体"/>
          <w:b/>
          <w:bCs/>
          <w:szCs w:val="21"/>
        </w:rPr>
      </w:pPr>
      <w:bookmarkStart w:id="491" w:name="_Toc152042341"/>
      <w:bookmarkStart w:id="492" w:name="_Toc144974533"/>
      <w:bookmarkStart w:id="493" w:name="_Toc362617967"/>
      <w:bookmarkStart w:id="494" w:name="_Toc152045565"/>
      <w:bookmarkStart w:id="495" w:name="_Toc179632583"/>
      <w:r>
        <w:rPr>
          <w:rFonts w:hint="eastAsia" w:ascii="宋体" w:hAnsi="宋体" w:cs="宋体"/>
          <w:b/>
          <w:bCs/>
          <w:szCs w:val="21"/>
          <w:highlight w:val="white"/>
        </w:rPr>
        <w:t>6.3 评标</w:t>
      </w:r>
      <w:bookmarkEnd w:id="491"/>
      <w:bookmarkEnd w:id="492"/>
      <w:bookmarkEnd w:id="493"/>
      <w:bookmarkEnd w:id="494"/>
      <w:bookmarkEnd w:id="495"/>
    </w:p>
    <w:p w14:paraId="6B09BBE5">
      <w:pPr>
        <w:spacing w:line="360" w:lineRule="exact"/>
        <w:ind w:firstLine="420" w:firstLineChars="200"/>
        <w:rPr>
          <w:rFonts w:hint="eastAsia" w:ascii="宋体" w:hAnsi="宋体" w:cs="宋体"/>
          <w:szCs w:val="21"/>
        </w:rPr>
      </w:pPr>
      <w:r>
        <w:rPr>
          <w:rFonts w:hint="eastAsia" w:ascii="宋体" w:hAnsi="宋体" w:cs="宋体"/>
          <w:szCs w:val="21"/>
          <w:highlight w:val="white"/>
        </w:rPr>
        <w:t>6.3.1评标委员会按照第三章“评标办法”规定的方法、评审因素、标准和程序对投标文件进行评审。第三章“评标办法”没有规定的方法、评审因素和标准，不作为评标依据。</w:t>
      </w:r>
    </w:p>
    <w:p w14:paraId="76B16841">
      <w:pPr>
        <w:spacing w:line="360" w:lineRule="exact"/>
        <w:ind w:firstLine="420" w:firstLineChars="200"/>
        <w:rPr>
          <w:rFonts w:hint="eastAsia" w:ascii="宋体" w:hAnsi="宋体" w:cs="宋体"/>
          <w:szCs w:val="21"/>
        </w:rPr>
      </w:pPr>
      <w:r>
        <w:rPr>
          <w:rFonts w:hint="eastAsia" w:ascii="宋体" w:hAnsi="宋体" w:cs="宋体"/>
          <w:szCs w:val="21"/>
          <w:highlight w:val="white"/>
        </w:rPr>
        <w:t>6.3.2</w:t>
      </w:r>
      <w:r>
        <w:rPr>
          <w:rStyle w:val="32"/>
          <w:rFonts w:cs="宋体"/>
          <w:sz w:val="21"/>
          <w:szCs w:val="21"/>
          <w:highlight w:val="white"/>
        </w:rPr>
        <w:t>评标完成后，评标委员会应向招标人提交书面评标报告和中标候选人名单。评标委员会推荐中标候选人的人数见投标人须知前附表。</w:t>
      </w:r>
    </w:p>
    <w:p w14:paraId="1C759972">
      <w:pPr>
        <w:spacing w:before="48" w:beforeLines="20" w:after="48" w:afterLines="20"/>
        <w:outlineLvl w:val="3"/>
        <w:rPr>
          <w:rFonts w:hint="eastAsia" w:ascii="宋体" w:hAnsi="宋体" w:cs="宋体"/>
          <w:b/>
          <w:bCs/>
          <w:szCs w:val="21"/>
        </w:rPr>
      </w:pPr>
      <w:bookmarkStart w:id="496" w:name="_Toc40261819"/>
      <w:bookmarkStart w:id="497" w:name="_Toc144974535"/>
      <w:bookmarkStart w:id="498" w:name="_Toc179632585"/>
      <w:bookmarkStart w:id="499" w:name="_Toc362617969"/>
      <w:bookmarkStart w:id="500" w:name="_Toc152042343"/>
      <w:bookmarkStart w:id="501" w:name="_Toc152045567"/>
      <w:r>
        <w:rPr>
          <w:rFonts w:hint="eastAsia" w:ascii="宋体" w:hAnsi="宋体" w:cs="宋体"/>
          <w:b/>
          <w:bCs/>
          <w:szCs w:val="21"/>
          <w:highlight w:val="white"/>
        </w:rPr>
        <w:t>7. 合同授予</w:t>
      </w:r>
      <w:bookmarkEnd w:id="496"/>
    </w:p>
    <w:p w14:paraId="5A03D821">
      <w:pPr>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7.1</w:t>
      </w:r>
      <w:bookmarkEnd w:id="497"/>
      <w:bookmarkEnd w:id="498"/>
      <w:bookmarkEnd w:id="499"/>
      <w:bookmarkEnd w:id="500"/>
      <w:bookmarkEnd w:id="501"/>
      <w:r>
        <w:rPr>
          <w:rFonts w:hint="eastAsia" w:ascii="宋体" w:hAnsi="宋体" w:cs="宋体"/>
          <w:b/>
          <w:bCs/>
          <w:szCs w:val="21"/>
          <w:highlight w:val="white"/>
        </w:rPr>
        <w:t xml:space="preserve">中标候选人公示 </w:t>
      </w:r>
    </w:p>
    <w:p w14:paraId="076231F2">
      <w:pPr>
        <w:spacing w:line="360" w:lineRule="exact"/>
        <w:ind w:firstLine="420" w:firstLineChars="200"/>
        <w:rPr>
          <w:rFonts w:hint="eastAsia" w:ascii="宋体" w:hAnsi="宋体" w:cs="宋体"/>
          <w:szCs w:val="21"/>
        </w:rPr>
      </w:pPr>
      <w:r>
        <w:rPr>
          <w:rFonts w:hint="eastAsia" w:ascii="宋体" w:hAnsi="宋体" w:cs="宋体"/>
          <w:szCs w:val="21"/>
          <w:highlight w:val="white"/>
        </w:rPr>
        <w:t xml:space="preserve">招标人在收到评标报告之日起3日内，按照投标人须知前附表规定的公示媒介和期限公示中标候选人，公示期不得少于3日，公示内容包括： </w:t>
      </w:r>
    </w:p>
    <w:p w14:paraId="49724EE1">
      <w:pPr>
        <w:spacing w:line="360" w:lineRule="exact"/>
        <w:ind w:firstLine="420" w:firstLineChars="200"/>
        <w:rPr>
          <w:rFonts w:hint="eastAsia" w:ascii="宋体" w:hAnsi="宋体" w:cs="宋体"/>
          <w:szCs w:val="21"/>
        </w:rPr>
      </w:pPr>
      <w:r>
        <w:rPr>
          <w:rFonts w:hint="eastAsia" w:ascii="宋体" w:hAnsi="宋体" w:cs="宋体"/>
          <w:szCs w:val="21"/>
          <w:highlight w:val="white"/>
        </w:rPr>
        <w:t xml:space="preserve">（1）中标候选人排序、名称、投标报价、信用分使用情况，对工程质量要求、安全目标和工期的响应情况； </w:t>
      </w:r>
    </w:p>
    <w:p w14:paraId="081713A6">
      <w:pPr>
        <w:spacing w:line="360" w:lineRule="exact"/>
        <w:ind w:firstLine="420" w:firstLineChars="200"/>
        <w:rPr>
          <w:rFonts w:hint="eastAsia" w:ascii="宋体" w:hAnsi="宋体" w:cs="宋体"/>
          <w:szCs w:val="21"/>
        </w:rPr>
      </w:pPr>
      <w:r>
        <w:rPr>
          <w:rFonts w:hint="eastAsia" w:ascii="宋体" w:hAnsi="宋体" w:cs="宋体"/>
          <w:szCs w:val="21"/>
          <w:highlight w:val="white"/>
        </w:rPr>
        <w:t xml:space="preserve">（2）中标候选人在投标文件中承诺的项目经理和项目总工姓名、相关证书名称和编号、信用分使用情况； </w:t>
      </w:r>
    </w:p>
    <w:p w14:paraId="7D4E1388">
      <w:pPr>
        <w:spacing w:line="360" w:lineRule="exact"/>
        <w:ind w:firstLine="420" w:firstLineChars="200"/>
        <w:rPr>
          <w:rFonts w:hint="eastAsia" w:ascii="宋体" w:hAnsi="宋体" w:cs="宋体"/>
          <w:szCs w:val="21"/>
        </w:rPr>
      </w:pPr>
      <w:r>
        <w:rPr>
          <w:rFonts w:hint="eastAsia" w:ascii="宋体" w:hAnsi="宋体" w:cs="宋体"/>
          <w:szCs w:val="21"/>
          <w:highlight w:val="white"/>
        </w:rPr>
        <w:t xml:space="preserve">（3）被否决投标的投标人名称、否决依据和原因； </w:t>
      </w:r>
    </w:p>
    <w:p w14:paraId="21C70FEB">
      <w:pPr>
        <w:spacing w:line="360" w:lineRule="exact"/>
        <w:ind w:firstLine="420" w:firstLineChars="200"/>
        <w:rPr>
          <w:rFonts w:hint="eastAsia" w:ascii="宋体" w:hAnsi="宋体" w:cs="宋体"/>
          <w:szCs w:val="21"/>
        </w:rPr>
      </w:pPr>
      <w:r>
        <w:rPr>
          <w:rFonts w:hint="eastAsia" w:ascii="宋体" w:hAnsi="宋体" w:cs="宋体"/>
          <w:szCs w:val="21"/>
          <w:highlight w:val="white"/>
        </w:rPr>
        <w:t xml:space="preserve">（4）提出异议的渠道和方式； </w:t>
      </w:r>
    </w:p>
    <w:p w14:paraId="3BB9F232">
      <w:pPr>
        <w:spacing w:line="360" w:lineRule="exact"/>
        <w:ind w:firstLine="420" w:firstLineChars="200"/>
        <w:rPr>
          <w:rFonts w:hint="eastAsia" w:ascii="宋体" w:hAnsi="宋体" w:cs="宋体"/>
          <w:szCs w:val="21"/>
        </w:rPr>
      </w:pPr>
      <w:r>
        <w:rPr>
          <w:rFonts w:hint="eastAsia" w:ascii="宋体" w:hAnsi="宋体" w:cs="宋体"/>
          <w:szCs w:val="21"/>
          <w:highlight w:val="white"/>
        </w:rPr>
        <w:t>（5）投标人须知前附表规定公示的其他内容。</w:t>
      </w:r>
    </w:p>
    <w:p w14:paraId="292AB439">
      <w:pPr>
        <w:spacing w:line="400" w:lineRule="exact"/>
        <w:rPr>
          <w:rFonts w:hint="eastAsia" w:ascii="宋体" w:hAnsi="宋体" w:cs="宋体"/>
          <w:b/>
          <w:bCs/>
          <w:szCs w:val="21"/>
        </w:rPr>
      </w:pPr>
      <w:r>
        <w:rPr>
          <w:rFonts w:hint="eastAsia" w:ascii="宋体" w:hAnsi="宋体" w:cs="宋体"/>
          <w:b/>
          <w:bCs/>
          <w:szCs w:val="21"/>
          <w:highlight w:val="white"/>
        </w:rPr>
        <w:t xml:space="preserve">7. 2 评标结果异议 </w:t>
      </w:r>
    </w:p>
    <w:p w14:paraId="55D6E33B">
      <w:pPr>
        <w:spacing w:line="360" w:lineRule="exact"/>
        <w:ind w:firstLine="420" w:firstLineChars="200"/>
        <w:rPr>
          <w:rFonts w:hint="eastAsia" w:ascii="宋体" w:hAnsi="宋体" w:cs="宋体"/>
          <w:kern w:val="0"/>
          <w:szCs w:val="21"/>
        </w:rPr>
      </w:pPr>
      <w:r>
        <w:rPr>
          <w:rFonts w:hint="eastAsia" w:ascii="宋体" w:hAnsi="宋体" w:cs="宋体"/>
          <w:szCs w:val="21"/>
          <w:highlight w:val="white"/>
        </w:rPr>
        <w:t>投标人或其他利害关系人对依法必须进行招标的项目的评标结果有异议的，应在中标候选人公示期间提出。招标人将在收到异议之日起3日内作出答复；作出答复前，将暂停招标投标活动。</w:t>
      </w:r>
      <w:r>
        <w:rPr>
          <w:rFonts w:hint="eastAsia" w:ascii="宋体" w:hAnsi="宋体" w:cs="宋体"/>
          <w:kern w:val="0"/>
          <w:szCs w:val="21"/>
          <w:highlight w:val="white"/>
        </w:rPr>
        <w:t xml:space="preserve"> </w:t>
      </w:r>
    </w:p>
    <w:p w14:paraId="37F58629">
      <w:pPr>
        <w:spacing w:line="400" w:lineRule="exact"/>
        <w:rPr>
          <w:rFonts w:hint="eastAsia" w:ascii="宋体" w:hAnsi="宋体" w:cs="宋体"/>
          <w:b/>
          <w:bCs/>
          <w:szCs w:val="21"/>
        </w:rPr>
      </w:pPr>
      <w:r>
        <w:rPr>
          <w:rFonts w:hint="eastAsia" w:ascii="宋体" w:hAnsi="宋体" w:cs="宋体"/>
          <w:b/>
          <w:bCs/>
          <w:szCs w:val="21"/>
          <w:highlight w:val="white"/>
        </w:rPr>
        <w:t>7. 3中标候选人履约能力审查</w:t>
      </w:r>
    </w:p>
    <w:p w14:paraId="4D995B91">
      <w:pPr>
        <w:spacing w:line="400" w:lineRule="exact"/>
        <w:rPr>
          <w:rFonts w:hint="eastAsia" w:ascii="宋体" w:hAnsi="宋体" w:cs="宋体"/>
          <w:szCs w:val="21"/>
        </w:rPr>
      </w:pPr>
      <w:r>
        <w:rPr>
          <w:rFonts w:hint="eastAsia" w:ascii="宋体" w:hAnsi="宋体" w:cs="宋体"/>
          <w:b/>
          <w:bCs/>
          <w:szCs w:val="21"/>
          <w:highlight w:val="white"/>
        </w:rPr>
        <w:t xml:space="preserve">     </w:t>
      </w:r>
      <w:r>
        <w:rPr>
          <w:rFonts w:hint="eastAsia" w:ascii="宋体" w:hAnsi="宋体" w:cs="宋体"/>
          <w:szCs w:val="21"/>
          <w:highlight w:val="white"/>
        </w:rPr>
        <w:t>中标候选人的经营、财务状况发生较大变化或存在违法行为，招标人认为可能影响其履约能力的，将在发出中标通知书前提请原评标委员会按照招标文件规定的标准和方法进行审查确认。</w:t>
      </w:r>
    </w:p>
    <w:p w14:paraId="430C7F5E">
      <w:pPr>
        <w:spacing w:line="400" w:lineRule="exact"/>
        <w:rPr>
          <w:rFonts w:hint="eastAsia" w:ascii="宋体" w:hAnsi="宋体" w:cs="宋体"/>
          <w:szCs w:val="21"/>
        </w:rPr>
      </w:pPr>
      <w:r>
        <w:rPr>
          <w:rFonts w:hint="eastAsia" w:ascii="宋体" w:hAnsi="宋体" w:cs="宋体"/>
          <w:szCs w:val="21"/>
          <w:highlight w:val="white"/>
        </w:rPr>
        <w:t>7.4定标</w:t>
      </w:r>
    </w:p>
    <w:p w14:paraId="3A0C7E6E">
      <w:pPr>
        <w:spacing w:line="400" w:lineRule="exact"/>
        <w:ind w:firstLine="315" w:firstLineChars="150"/>
        <w:rPr>
          <w:rFonts w:hint="eastAsia" w:ascii="宋体" w:hAnsi="宋体" w:cs="宋体"/>
          <w:szCs w:val="21"/>
        </w:rPr>
      </w:pPr>
      <w:r>
        <w:rPr>
          <w:rFonts w:hint="eastAsia" w:ascii="宋体" w:hAnsi="宋体" w:cs="宋体"/>
          <w:szCs w:val="21"/>
          <w:highlight w:val="white"/>
        </w:rPr>
        <w:t>招标人依据评标委员会推荐的中标候选人确定中标人，评标委员会推荐中标候选人的人数见投标人须知前附表。</w:t>
      </w:r>
    </w:p>
    <w:p w14:paraId="6C2CCB44">
      <w:pPr>
        <w:spacing w:before="48" w:beforeLines="20" w:after="48" w:afterLines="20"/>
        <w:outlineLvl w:val="4"/>
        <w:rPr>
          <w:rFonts w:hint="eastAsia" w:ascii="宋体" w:hAnsi="宋体" w:cs="宋体"/>
          <w:b/>
          <w:bCs/>
          <w:szCs w:val="21"/>
        </w:rPr>
      </w:pPr>
      <w:bookmarkStart w:id="502" w:name="_Toc152045568"/>
      <w:bookmarkStart w:id="503" w:name="_Toc362617970"/>
      <w:bookmarkStart w:id="504" w:name="_Toc152042344"/>
      <w:bookmarkStart w:id="505" w:name="_Toc144974536"/>
      <w:bookmarkStart w:id="506" w:name="_Toc179632586"/>
      <w:r>
        <w:rPr>
          <w:rFonts w:hint="eastAsia" w:ascii="宋体" w:hAnsi="宋体" w:cs="宋体"/>
          <w:b/>
          <w:bCs/>
          <w:szCs w:val="21"/>
          <w:highlight w:val="white"/>
        </w:rPr>
        <w:t>7.5中标通知</w:t>
      </w:r>
      <w:bookmarkEnd w:id="502"/>
      <w:bookmarkEnd w:id="503"/>
      <w:bookmarkEnd w:id="504"/>
      <w:bookmarkEnd w:id="505"/>
      <w:bookmarkEnd w:id="506"/>
    </w:p>
    <w:p w14:paraId="25ABA466">
      <w:pPr>
        <w:spacing w:line="360" w:lineRule="exact"/>
        <w:ind w:firstLine="420" w:firstLineChars="200"/>
        <w:rPr>
          <w:rFonts w:hint="eastAsia" w:ascii="宋体" w:hAnsi="宋体" w:cs="宋体"/>
          <w:szCs w:val="21"/>
        </w:rPr>
      </w:pPr>
      <w:r>
        <w:rPr>
          <w:rFonts w:hint="eastAsia" w:ascii="宋体" w:hAnsi="宋体" w:cs="宋体"/>
          <w:szCs w:val="21"/>
          <w:highlight w:val="white"/>
        </w:rPr>
        <w:t>在本章第3.3款规定的投标有效期内，招标人以投标人须知前附表规定的形式向中标人发出中标通知书。</w:t>
      </w:r>
    </w:p>
    <w:p w14:paraId="648FEBAF">
      <w:pPr>
        <w:spacing w:before="48" w:beforeLines="20" w:after="48" w:afterLines="20"/>
        <w:outlineLvl w:val="4"/>
        <w:rPr>
          <w:rFonts w:hint="eastAsia" w:ascii="宋体" w:hAnsi="宋体" w:cs="宋体"/>
          <w:b/>
          <w:bCs/>
          <w:szCs w:val="21"/>
        </w:rPr>
      </w:pPr>
      <w:bookmarkStart w:id="507" w:name="_Toc152042345"/>
      <w:bookmarkStart w:id="508" w:name="_Toc144974537"/>
      <w:bookmarkStart w:id="509" w:name="_Toc179632587"/>
      <w:bookmarkStart w:id="510" w:name="_Toc152045569"/>
      <w:bookmarkStart w:id="511" w:name="_Toc362617971"/>
      <w:bookmarkStart w:id="512" w:name="_Toc152045570"/>
      <w:bookmarkStart w:id="513" w:name="_Toc152042346"/>
      <w:bookmarkStart w:id="514" w:name="_Toc179632588"/>
      <w:bookmarkStart w:id="515" w:name="_Toc144974538"/>
      <w:r>
        <w:rPr>
          <w:rFonts w:hint="eastAsia" w:ascii="宋体" w:hAnsi="宋体" w:cs="宋体"/>
          <w:b/>
          <w:bCs/>
          <w:szCs w:val="21"/>
          <w:highlight w:val="white"/>
        </w:rPr>
        <w:t>7.6中标结果公告</w:t>
      </w:r>
    </w:p>
    <w:p w14:paraId="4C57632F">
      <w:pPr>
        <w:rPr>
          <w:rFonts w:hint="eastAsia" w:ascii="宋体" w:hAnsi="宋体" w:cs="宋体"/>
          <w:b/>
          <w:bCs/>
          <w:szCs w:val="21"/>
        </w:rPr>
      </w:pPr>
      <w:r>
        <w:rPr>
          <w:rFonts w:hint="eastAsia" w:ascii="宋体" w:hAnsi="宋体" w:cs="宋体"/>
          <w:b/>
          <w:bCs/>
          <w:szCs w:val="21"/>
          <w:highlight w:val="white"/>
        </w:rPr>
        <w:t xml:space="preserve">    </w:t>
      </w:r>
      <w:r>
        <w:rPr>
          <w:rFonts w:hint="eastAsia" w:ascii="宋体" w:hAnsi="宋体" w:cs="宋体"/>
          <w:szCs w:val="21"/>
          <w:highlight w:val="white"/>
        </w:rPr>
        <w:t xml:space="preserve"> 招标人在确定中标人之日起3日内，按照投标人须知前附表规定的公告媒介和期限公告中标结果，公告期不得少于3日。公告内容包括中标人名称、中标价、中标人本项目信用分使用情况。</w:t>
      </w:r>
    </w:p>
    <w:p w14:paraId="440789F5">
      <w:pPr>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7.7</w:t>
      </w:r>
      <w:bookmarkEnd w:id="507"/>
      <w:bookmarkEnd w:id="508"/>
      <w:bookmarkEnd w:id="509"/>
      <w:bookmarkEnd w:id="510"/>
      <w:bookmarkEnd w:id="511"/>
      <w:r>
        <w:rPr>
          <w:rFonts w:hint="eastAsia" w:ascii="宋体" w:hAnsi="宋体" w:cs="宋体"/>
          <w:b/>
          <w:bCs/>
          <w:szCs w:val="21"/>
          <w:highlight w:val="white"/>
        </w:rPr>
        <w:t>履约保证金</w:t>
      </w:r>
    </w:p>
    <w:p w14:paraId="333435D3">
      <w:pPr>
        <w:spacing w:line="360" w:lineRule="exact"/>
        <w:ind w:firstLine="420" w:firstLineChars="200"/>
        <w:rPr>
          <w:rFonts w:hint="eastAsia" w:ascii="宋体" w:hAnsi="宋体" w:cs="宋体"/>
          <w:szCs w:val="21"/>
        </w:rPr>
      </w:pPr>
      <w:r>
        <w:rPr>
          <w:rFonts w:hint="eastAsia" w:ascii="宋体" w:hAnsi="宋体" w:cs="宋体"/>
          <w:szCs w:val="21"/>
          <w:highlight w:val="white"/>
        </w:rPr>
        <w:t>7.7.1在签订合同前，中标人应按投标人须知前附表规定的金额、担保形式和招标文件第四章“合同条款及格式”规定的履约担保格式向招标人提交履约担保。</w:t>
      </w:r>
    </w:p>
    <w:p w14:paraId="02DCBF13">
      <w:pPr>
        <w:spacing w:line="340" w:lineRule="exact"/>
        <w:ind w:firstLine="420" w:firstLineChars="200"/>
        <w:rPr>
          <w:rFonts w:hint="eastAsia" w:ascii="宋体" w:hAnsi="宋体" w:cs="宋体"/>
          <w:szCs w:val="21"/>
          <w:highlight w:val="white"/>
        </w:rPr>
      </w:pPr>
      <w:r>
        <w:rPr>
          <w:rFonts w:hint="eastAsia" w:ascii="宋体" w:hAnsi="宋体" w:cs="宋体"/>
          <w:szCs w:val="21"/>
          <w:highlight w:val="white"/>
        </w:rPr>
        <w:t>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w:t>
      </w:r>
    </w:p>
    <w:p w14:paraId="5AAE8CFE">
      <w:pPr>
        <w:spacing w:line="340" w:lineRule="exact"/>
        <w:ind w:firstLine="420" w:firstLineChars="200"/>
        <w:rPr>
          <w:rFonts w:hint="eastAsia" w:ascii="宋体" w:hAnsi="宋体" w:cs="宋体"/>
          <w:szCs w:val="21"/>
        </w:rPr>
      </w:pPr>
      <w:r>
        <w:rPr>
          <w:rFonts w:hint="eastAsia" w:ascii="宋体" w:hAnsi="宋体" w:cs="宋体"/>
          <w:szCs w:val="21"/>
          <w:highlight w:val="white"/>
        </w:rPr>
        <w:t>采用银行保函时，出具银行保函的银行级别在投标人须知前附表中说明，所需的费用由中标人承担，中标人应保证银行保函有效。</w:t>
      </w:r>
    </w:p>
    <w:p w14:paraId="6DAA743F">
      <w:pPr>
        <w:spacing w:line="340" w:lineRule="exact"/>
        <w:ind w:firstLine="420" w:firstLineChars="200"/>
        <w:rPr>
          <w:rFonts w:hint="eastAsia" w:ascii="宋体" w:hAnsi="宋体" w:cs="宋体"/>
          <w:szCs w:val="21"/>
        </w:rPr>
      </w:pPr>
      <w:r>
        <w:rPr>
          <w:rFonts w:hint="eastAsia" w:ascii="宋体" w:hAnsi="宋体" w:cs="宋体"/>
          <w:szCs w:val="21"/>
          <w:highlight w:val="white"/>
        </w:rPr>
        <w:t>7.7.2 中标人不能按本章第7.7.1款要求提交履约担保的，视为放弃中标，其投标保证金不予退还，给招标人造成的损失超过投标保证金数额的，中标人还应当对超过部分予以赔偿。</w:t>
      </w:r>
    </w:p>
    <w:bookmarkEnd w:id="512"/>
    <w:bookmarkEnd w:id="513"/>
    <w:bookmarkEnd w:id="514"/>
    <w:bookmarkEnd w:id="515"/>
    <w:p w14:paraId="0FBD55D6">
      <w:pPr>
        <w:spacing w:before="48" w:beforeLines="20" w:after="48" w:afterLines="20"/>
        <w:outlineLvl w:val="4"/>
        <w:rPr>
          <w:rFonts w:hint="eastAsia" w:ascii="宋体" w:hAnsi="宋体" w:cs="宋体"/>
          <w:b/>
          <w:bCs/>
          <w:szCs w:val="21"/>
        </w:rPr>
      </w:pPr>
      <w:bookmarkStart w:id="516" w:name="_Toc362617972"/>
      <w:r>
        <w:rPr>
          <w:rFonts w:hint="eastAsia" w:ascii="宋体" w:hAnsi="宋体" w:cs="宋体"/>
          <w:b/>
          <w:bCs/>
          <w:szCs w:val="21"/>
          <w:highlight w:val="white"/>
        </w:rPr>
        <w:t>7.8 签订合同</w:t>
      </w:r>
      <w:bookmarkEnd w:id="516"/>
    </w:p>
    <w:p w14:paraId="4BD44983">
      <w:pPr>
        <w:spacing w:line="340" w:lineRule="exact"/>
        <w:ind w:firstLine="420" w:firstLineChars="200"/>
        <w:rPr>
          <w:rFonts w:hint="eastAsia" w:ascii="宋体" w:hAnsi="宋体" w:cs="宋体"/>
          <w:szCs w:val="21"/>
        </w:rPr>
      </w:pPr>
      <w:r>
        <w:rPr>
          <w:rFonts w:hint="eastAsia" w:ascii="宋体" w:hAnsi="宋体" w:cs="宋体"/>
          <w:szCs w:val="21"/>
          <w:highlight w:val="white"/>
        </w:rPr>
        <w:t xml:space="preserve">7.8.1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 </w:t>
      </w:r>
    </w:p>
    <w:p w14:paraId="48B25BC4">
      <w:pPr>
        <w:spacing w:line="340" w:lineRule="exact"/>
        <w:ind w:firstLine="420" w:firstLineChars="200"/>
        <w:rPr>
          <w:rFonts w:hint="eastAsia" w:ascii="宋体" w:hAnsi="宋体" w:cs="宋体"/>
          <w:szCs w:val="21"/>
        </w:rPr>
      </w:pPr>
      <w:r>
        <w:rPr>
          <w:rFonts w:hint="eastAsia" w:ascii="宋体" w:hAnsi="宋体" w:cs="宋体"/>
          <w:szCs w:val="21"/>
          <w:highlight w:val="white"/>
        </w:rPr>
        <w:t>7.8.2 发出中标通知书后，招标人无正当理由拒签合同，或在签订合同时向中标人提出附加条件的，招标人向中标人退还投标保证金；给中标人造成损失的，还应当赔偿损失。</w:t>
      </w:r>
    </w:p>
    <w:p w14:paraId="32AD8C6F">
      <w:pPr>
        <w:spacing w:line="340" w:lineRule="exact"/>
        <w:ind w:firstLine="420" w:firstLineChars="200"/>
        <w:rPr>
          <w:rFonts w:hint="eastAsia" w:ascii="宋体" w:hAnsi="宋体" w:cs="宋体"/>
          <w:szCs w:val="21"/>
        </w:rPr>
      </w:pPr>
      <w:r>
        <w:rPr>
          <w:rFonts w:hint="eastAsia" w:ascii="宋体" w:hAnsi="宋体" w:cs="宋体"/>
          <w:szCs w:val="21"/>
          <w:highlight w:val="white"/>
        </w:rPr>
        <w:t>7.8.3签约合同价的确定原则如下（注：如由投标人按照招标人提供的工程量固化清单填写工程量清单，无须按照第三章“评标办法”第3.1.3和第3.1.4项的规定对投标报价进行修正，则本项不适用）：</w:t>
      </w:r>
    </w:p>
    <w:p w14:paraId="25AB56C6">
      <w:pPr>
        <w:spacing w:line="340" w:lineRule="exact"/>
        <w:ind w:firstLine="420" w:firstLineChars="200"/>
        <w:rPr>
          <w:rFonts w:hint="eastAsia" w:ascii="宋体" w:hAnsi="宋体" w:cs="宋体"/>
          <w:szCs w:val="21"/>
        </w:rPr>
      </w:pPr>
      <w:r>
        <w:rPr>
          <w:rFonts w:hint="eastAsia" w:ascii="宋体" w:hAnsi="宋体" w:cs="宋体"/>
          <w:szCs w:val="21"/>
          <w:highlight w:val="white"/>
        </w:rPr>
        <w:t>（1）按照评标办法规定对投标报价进行修正后，若修正后的最终投标报价小于开标时的投标函文字报价，则签订合同时以修正后的最终投标报价为准；</w:t>
      </w:r>
    </w:p>
    <w:p w14:paraId="526899A9">
      <w:pPr>
        <w:spacing w:line="340" w:lineRule="exact"/>
        <w:ind w:firstLine="420" w:firstLineChars="200"/>
        <w:rPr>
          <w:rFonts w:hint="eastAsia" w:ascii="宋体" w:hAnsi="宋体" w:cs="宋体"/>
          <w:szCs w:val="21"/>
        </w:rPr>
      </w:pPr>
      <w:r>
        <w:rPr>
          <w:rFonts w:hint="eastAsia" w:ascii="宋体" w:hAnsi="宋体" w:cs="宋体"/>
          <w:szCs w:val="21"/>
          <w:highlight w:val="white"/>
        </w:rPr>
        <w:t>（2）按照评标办法规定对投标报价进行修正后，若修正后的最终投标报价大于开标时的投标函文字报价，则签订合同时以开标时的投标函文字报价为准，同时按比例修正相应子目的单价或合价。</w:t>
      </w:r>
    </w:p>
    <w:p w14:paraId="79B24885">
      <w:pPr>
        <w:spacing w:line="340" w:lineRule="exact"/>
        <w:ind w:firstLine="420" w:firstLineChars="200"/>
        <w:rPr>
          <w:rFonts w:hint="eastAsia" w:ascii="宋体" w:hAnsi="宋体" w:cs="宋体"/>
          <w:szCs w:val="21"/>
        </w:rPr>
      </w:pPr>
      <w:r>
        <w:rPr>
          <w:rFonts w:hint="eastAsia" w:ascii="宋体" w:hAnsi="宋体" w:cs="宋体"/>
          <w:szCs w:val="21"/>
          <w:highlight w:val="white"/>
        </w:rPr>
        <w:t>7.8.4合同协议书经双方法定代表人签署并加盖单位章后生效。若为联合体投标，则联合体各成员的法定代表人都应在合同协议书上签署并加盖单位章。发包人和中标人在签订合同协议书的同时需按照本招标文件规定的格式和要求签订廉政合同及安全生产合同，明确双方在廉政建设和安全生产方面的权利和义务以及应承担的违约责任。</w:t>
      </w:r>
    </w:p>
    <w:p w14:paraId="04E91811">
      <w:pPr>
        <w:spacing w:line="340" w:lineRule="exact"/>
        <w:ind w:firstLine="420" w:firstLineChars="200"/>
        <w:rPr>
          <w:rFonts w:hint="eastAsia" w:ascii="宋体" w:hAnsi="宋体" w:cs="宋体"/>
          <w:szCs w:val="21"/>
        </w:rPr>
      </w:pPr>
      <w:r>
        <w:rPr>
          <w:rFonts w:hint="eastAsia" w:ascii="宋体" w:hAnsi="宋体" w:cs="宋体"/>
          <w:szCs w:val="21"/>
          <w:highlight w:val="white"/>
        </w:rPr>
        <w:t>联合体中标的，联合体各方应共同与招标人签订合同，就中标项目向招标人承担连带责任。</w:t>
      </w:r>
    </w:p>
    <w:p w14:paraId="2CA8908B">
      <w:pPr>
        <w:spacing w:line="340" w:lineRule="exact"/>
        <w:ind w:firstLine="420" w:firstLineChars="200"/>
        <w:rPr>
          <w:rFonts w:hint="eastAsia" w:ascii="宋体" w:hAnsi="宋体" w:cs="宋体"/>
          <w:szCs w:val="21"/>
        </w:rPr>
      </w:pPr>
      <w:r>
        <w:rPr>
          <w:rFonts w:hint="eastAsia" w:ascii="宋体" w:hAnsi="宋体" w:cs="宋体"/>
          <w:szCs w:val="21"/>
          <w:highlight w:val="white"/>
        </w:rPr>
        <w:t>7.8.5</w:t>
      </w:r>
      <w:r>
        <w:rPr>
          <w:rStyle w:val="33"/>
          <w:rFonts w:hint="eastAsia" w:ascii="宋体" w:hAnsi="宋体" w:cs="宋体"/>
          <w:sz w:val="21"/>
          <w:szCs w:val="21"/>
          <w:highlight w:val="white"/>
        </w:rPr>
        <w:t xml:space="preserve"> </w:t>
      </w:r>
      <w:r>
        <w:rPr>
          <w:rStyle w:val="32"/>
          <w:rFonts w:cs="宋体"/>
          <w:sz w:val="21"/>
          <w:szCs w:val="21"/>
          <w:highlight w:val="white"/>
        </w:rPr>
        <w:t>招标人和中标人在签订合同协议书的同时，须按照本招标文件规定的格式和要求签订廉政合同及安全生产合同，明确双方在廉政建设和安全生产方面的权利和义务以及应承担的违约责任。</w:t>
      </w:r>
    </w:p>
    <w:p w14:paraId="7EC270DB">
      <w:pPr>
        <w:spacing w:line="340" w:lineRule="exact"/>
        <w:ind w:firstLine="420" w:firstLineChars="200"/>
        <w:rPr>
          <w:rFonts w:hint="eastAsia" w:ascii="宋体" w:hAnsi="宋体" w:cs="宋体"/>
          <w:szCs w:val="21"/>
        </w:rPr>
      </w:pPr>
      <w:r>
        <w:rPr>
          <w:rFonts w:hint="eastAsia" w:ascii="宋体" w:hAnsi="宋体" w:cs="宋体"/>
          <w:szCs w:val="21"/>
          <w:highlight w:val="white"/>
        </w:rPr>
        <w:t>7.8.6  如果根据本章第3.5.7项、第7.7.2项或第7.8.1项规定，招标人取消了中标人的中标资格，在此情况下，招标人可将合同授予下一个中标候选人，或者按规定重新组织招标。</w:t>
      </w:r>
    </w:p>
    <w:p w14:paraId="6E77D972">
      <w:pPr>
        <w:spacing w:before="48" w:beforeLines="20" w:after="48" w:afterLines="20"/>
        <w:outlineLvl w:val="3"/>
        <w:rPr>
          <w:rFonts w:hint="eastAsia" w:ascii="宋体" w:hAnsi="宋体" w:cs="宋体"/>
          <w:b/>
          <w:bCs/>
          <w:szCs w:val="21"/>
        </w:rPr>
      </w:pPr>
      <w:bookmarkStart w:id="517" w:name="_Toc40261820"/>
      <w:r>
        <w:rPr>
          <w:rFonts w:hint="eastAsia" w:ascii="宋体" w:hAnsi="宋体" w:cs="宋体"/>
          <w:b/>
          <w:bCs/>
          <w:szCs w:val="21"/>
          <w:highlight w:val="white"/>
        </w:rPr>
        <w:t>8. 重新招标或不再招标</w:t>
      </w:r>
      <w:bookmarkEnd w:id="517"/>
    </w:p>
    <w:p w14:paraId="4008F6A1">
      <w:pPr>
        <w:spacing w:before="48" w:beforeLines="20" w:after="48" w:afterLines="20"/>
        <w:outlineLvl w:val="4"/>
        <w:rPr>
          <w:rFonts w:hint="eastAsia" w:ascii="宋体" w:hAnsi="宋体" w:cs="宋体"/>
          <w:b/>
          <w:bCs/>
          <w:szCs w:val="21"/>
        </w:rPr>
      </w:pPr>
      <w:bookmarkStart w:id="518" w:name="_Toc152042348"/>
      <w:bookmarkStart w:id="519" w:name="_Toc362617974"/>
      <w:bookmarkStart w:id="520" w:name="_Toc179632590"/>
      <w:bookmarkStart w:id="521" w:name="_Toc144974540"/>
      <w:bookmarkStart w:id="522" w:name="_Toc152045572"/>
      <w:r>
        <w:rPr>
          <w:rFonts w:hint="eastAsia" w:ascii="宋体" w:hAnsi="宋体" w:cs="宋体"/>
          <w:b/>
          <w:bCs/>
          <w:szCs w:val="21"/>
          <w:highlight w:val="white"/>
        </w:rPr>
        <w:t>8.1 重新招标</w:t>
      </w:r>
      <w:bookmarkEnd w:id="518"/>
      <w:bookmarkEnd w:id="519"/>
      <w:bookmarkEnd w:id="520"/>
      <w:bookmarkEnd w:id="521"/>
      <w:bookmarkEnd w:id="522"/>
    </w:p>
    <w:p w14:paraId="698A0B25">
      <w:pPr>
        <w:spacing w:line="340" w:lineRule="exact"/>
        <w:ind w:firstLine="420" w:firstLineChars="200"/>
        <w:rPr>
          <w:rFonts w:hint="eastAsia" w:ascii="宋体" w:hAnsi="宋体" w:cs="宋体"/>
          <w:szCs w:val="21"/>
        </w:rPr>
      </w:pPr>
      <w:bookmarkStart w:id="523" w:name="_Toc144974541"/>
      <w:bookmarkStart w:id="524" w:name="_Toc179632591"/>
      <w:bookmarkStart w:id="525" w:name="_Toc152042349"/>
      <w:bookmarkStart w:id="526" w:name="_Toc152045573"/>
      <w:r>
        <w:rPr>
          <w:rFonts w:hint="eastAsia" w:ascii="宋体" w:hAnsi="宋体" w:cs="宋体"/>
          <w:szCs w:val="21"/>
          <w:highlight w:val="white"/>
        </w:rPr>
        <w:t>见投标人须知前附表。</w:t>
      </w:r>
    </w:p>
    <w:p w14:paraId="3F22D542">
      <w:pPr>
        <w:spacing w:before="48" w:beforeLines="20" w:after="48" w:afterLines="20"/>
        <w:outlineLvl w:val="4"/>
        <w:rPr>
          <w:rFonts w:hint="eastAsia" w:ascii="宋体" w:hAnsi="宋体" w:cs="宋体"/>
          <w:b/>
          <w:bCs/>
          <w:szCs w:val="21"/>
        </w:rPr>
      </w:pPr>
      <w:bookmarkStart w:id="527" w:name="_Toc362617975"/>
      <w:r>
        <w:rPr>
          <w:rFonts w:hint="eastAsia" w:ascii="宋体" w:hAnsi="宋体" w:cs="宋体"/>
          <w:b/>
          <w:bCs/>
          <w:szCs w:val="21"/>
          <w:highlight w:val="white"/>
        </w:rPr>
        <w:t>8.2 不再招标</w:t>
      </w:r>
      <w:bookmarkEnd w:id="527"/>
    </w:p>
    <w:p w14:paraId="4431903D">
      <w:pPr>
        <w:spacing w:line="340" w:lineRule="exact"/>
        <w:ind w:firstLine="420" w:firstLineChars="200"/>
        <w:rPr>
          <w:rFonts w:hint="eastAsia" w:ascii="宋体" w:hAnsi="宋体" w:cs="宋体"/>
          <w:szCs w:val="21"/>
        </w:rPr>
      </w:pPr>
      <w:r>
        <w:rPr>
          <w:rFonts w:hint="eastAsia" w:ascii="宋体" w:hAnsi="宋体" w:cs="宋体"/>
          <w:szCs w:val="21"/>
          <w:highlight w:val="white"/>
        </w:rPr>
        <w:t>重新招标后投标人仍少于3 个或者所有投标被否决的，属于必须审批或核准的工程建设项目，经原审批或核准部门批准后不再进行招标。</w:t>
      </w:r>
    </w:p>
    <w:bookmarkEnd w:id="523"/>
    <w:bookmarkEnd w:id="524"/>
    <w:bookmarkEnd w:id="525"/>
    <w:bookmarkEnd w:id="526"/>
    <w:p w14:paraId="6D65D143">
      <w:pPr>
        <w:spacing w:before="48" w:beforeLines="20" w:after="48" w:afterLines="20"/>
        <w:outlineLvl w:val="3"/>
        <w:rPr>
          <w:rFonts w:hint="eastAsia" w:ascii="宋体" w:hAnsi="宋体" w:cs="宋体"/>
          <w:b/>
          <w:bCs/>
          <w:szCs w:val="21"/>
        </w:rPr>
      </w:pPr>
      <w:bookmarkStart w:id="528" w:name="_Toc40261821"/>
      <w:bookmarkStart w:id="529" w:name="_Toc152045575"/>
      <w:bookmarkStart w:id="530" w:name="_Toc362617977"/>
      <w:bookmarkStart w:id="531" w:name="_Toc179632593"/>
      <w:bookmarkStart w:id="532" w:name="_Toc152042351"/>
      <w:bookmarkStart w:id="533" w:name="_Toc144974543"/>
      <w:r>
        <w:rPr>
          <w:rFonts w:hint="eastAsia" w:ascii="宋体" w:hAnsi="宋体" w:cs="宋体"/>
          <w:b/>
          <w:bCs/>
          <w:szCs w:val="21"/>
          <w:highlight w:val="white"/>
        </w:rPr>
        <w:t>9. 纪律和监督</w:t>
      </w:r>
      <w:bookmarkEnd w:id="528"/>
      <w:r>
        <w:rPr>
          <w:rFonts w:hint="eastAsia" w:ascii="宋体" w:hAnsi="宋体" w:cs="宋体"/>
          <w:b/>
          <w:bCs/>
          <w:szCs w:val="21"/>
          <w:highlight w:val="white"/>
        </w:rPr>
        <w:t xml:space="preserve"> </w:t>
      </w:r>
    </w:p>
    <w:p w14:paraId="7998E83D">
      <w:pPr>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9.1 对招标人的纪律要求</w:t>
      </w:r>
      <w:bookmarkEnd w:id="529"/>
      <w:bookmarkEnd w:id="530"/>
      <w:bookmarkEnd w:id="531"/>
      <w:bookmarkEnd w:id="532"/>
      <w:bookmarkEnd w:id="533"/>
    </w:p>
    <w:p w14:paraId="7A8DF178">
      <w:pPr>
        <w:spacing w:line="360" w:lineRule="exact"/>
        <w:ind w:firstLine="420" w:firstLineChars="200"/>
        <w:rPr>
          <w:rFonts w:hint="eastAsia" w:ascii="宋体" w:hAnsi="宋体" w:cs="宋体"/>
          <w:szCs w:val="21"/>
        </w:rPr>
      </w:pPr>
      <w:r>
        <w:rPr>
          <w:rFonts w:hint="eastAsia" w:ascii="宋体" w:hAnsi="宋体" w:cs="宋体"/>
          <w:szCs w:val="21"/>
          <w:highlight w:val="white"/>
        </w:rPr>
        <w:t>招标人不得泄漏招标投标活动中应当保密的情况和资料，不得与投标人串通损害国家利益、社会公共利益或者他人合法权益。</w:t>
      </w:r>
    </w:p>
    <w:p w14:paraId="6B1D919E">
      <w:pPr>
        <w:spacing w:before="48" w:beforeLines="20" w:after="48" w:afterLines="20"/>
        <w:outlineLvl w:val="4"/>
        <w:rPr>
          <w:rFonts w:hint="eastAsia" w:ascii="宋体" w:hAnsi="宋体" w:cs="宋体"/>
          <w:b/>
          <w:bCs/>
          <w:szCs w:val="21"/>
        </w:rPr>
      </w:pPr>
      <w:bookmarkStart w:id="534" w:name="_Toc152042352"/>
      <w:bookmarkStart w:id="535" w:name="_Toc144974544"/>
      <w:bookmarkStart w:id="536" w:name="_Toc152045576"/>
      <w:bookmarkStart w:id="537" w:name="_Toc179632594"/>
      <w:bookmarkStart w:id="538" w:name="_Toc362617978"/>
      <w:r>
        <w:rPr>
          <w:rFonts w:hint="eastAsia" w:ascii="宋体" w:hAnsi="宋体" w:cs="宋体"/>
          <w:b/>
          <w:bCs/>
          <w:szCs w:val="21"/>
          <w:highlight w:val="white"/>
        </w:rPr>
        <w:t>9.2 对投标人的纪律要求</w:t>
      </w:r>
      <w:bookmarkEnd w:id="534"/>
      <w:bookmarkEnd w:id="535"/>
      <w:bookmarkEnd w:id="536"/>
      <w:bookmarkEnd w:id="537"/>
      <w:bookmarkEnd w:id="538"/>
    </w:p>
    <w:p w14:paraId="2CDD3970">
      <w:pPr>
        <w:spacing w:line="360" w:lineRule="exact"/>
        <w:ind w:firstLine="420" w:firstLineChars="200"/>
        <w:rPr>
          <w:rFonts w:hint="eastAsia" w:ascii="宋体" w:hAnsi="宋体" w:cs="宋体"/>
          <w:szCs w:val="21"/>
        </w:rPr>
      </w:pPr>
      <w:r>
        <w:rPr>
          <w:rFonts w:hint="eastAsia" w:ascii="宋体" w:hAnsi="宋体" w:cs="宋体"/>
          <w:szCs w:val="21"/>
          <w:highlight w:val="white"/>
        </w:rPr>
        <w:t>投标人不得相互串通投标或者与招标人串通投标，不得向招标人或者评标委员会成员行贿谋取中标，不得以他人名义投</w:t>
      </w:r>
      <w:r>
        <w:rPr>
          <w:rFonts w:hint="eastAsia" w:ascii="宋体" w:hAnsi="宋体" w:cs="宋体"/>
          <w:spacing w:val="-6"/>
          <w:szCs w:val="21"/>
          <w:highlight w:val="white"/>
        </w:rPr>
        <w:t>标或者以其他方式弄虚作假骗取中标；投标人不得</w:t>
      </w:r>
      <w:r>
        <w:rPr>
          <w:rFonts w:hint="eastAsia" w:ascii="宋体" w:hAnsi="宋体" w:cs="宋体"/>
          <w:szCs w:val="21"/>
          <w:highlight w:val="white"/>
        </w:rPr>
        <w:t>以任何方式干扰、影响评标工作。</w:t>
      </w:r>
    </w:p>
    <w:p w14:paraId="54624279">
      <w:pPr>
        <w:spacing w:before="48" w:beforeLines="20" w:after="48" w:afterLines="20"/>
        <w:outlineLvl w:val="4"/>
        <w:rPr>
          <w:rFonts w:hint="eastAsia" w:ascii="宋体" w:hAnsi="宋体" w:cs="宋体"/>
          <w:b/>
          <w:bCs/>
          <w:szCs w:val="21"/>
        </w:rPr>
      </w:pPr>
      <w:bookmarkStart w:id="539" w:name="_Toc152042353"/>
      <w:bookmarkStart w:id="540" w:name="_Toc152045577"/>
      <w:bookmarkStart w:id="541" w:name="_Toc144974545"/>
      <w:bookmarkStart w:id="542" w:name="_Toc362617979"/>
      <w:bookmarkStart w:id="543" w:name="_Toc179632595"/>
      <w:r>
        <w:rPr>
          <w:rFonts w:hint="eastAsia" w:ascii="宋体" w:hAnsi="宋体" w:cs="宋体"/>
          <w:b/>
          <w:bCs/>
          <w:szCs w:val="21"/>
          <w:highlight w:val="white"/>
        </w:rPr>
        <w:t>9.3 对评标委员会成员的纪律要求</w:t>
      </w:r>
      <w:bookmarkEnd w:id="539"/>
      <w:bookmarkEnd w:id="540"/>
      <w:bookmarkEnd w:id="541"/>
      <w:bookmarkEnd w:id="542"/>
      <w:bookmarkEnd w:id="543"/>
    </w:p>
    <w:p w14:paraId="1B917F06">
      <w:pPr>
        <w:spacing w:line="360" w:lineRule="exact"/>
        <w:ind w:firstLine="420" w:firstLineChars="200"/>
        <w:rPr>
          <w:rFonts w:hint="eastAsia" w:ascii="宋体" w:hAnsi="宋体" w:cs="宋体"/>
          <w:szCs w:val="21"/>
        </w:rPr>
      </w:pPr>
      <w:r>
        <w:rPr>
          <w:rFonts w:hint="eastAsia" w:ascii="宋体" w:hAnsi="宋体" w:cs="宋体"/>
          <w:szCs w:val="21"/>
          <w:highlight w:val="white"/>
        </w:rPr>
        <w:t>评标委员会成员不得收受他人的财物或者其他好处，不得向他人透漏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49076FC">
      <w:pPr>
        <w:spacing w:before="48" w:beforeLines="20" w:after="48" w:afterLines="20"/>
        <w:outlineLvl w:val="4"/>
        <w:rPr>
          <w:rFonts w:hint="eastAsia" w:ascii="宋体" w:hAnsi="宋体" w:cs="宋体"/>
          <w:b/>
          <w:bCs/>
          <w:szCs w:val="21"/>
        </w:rPr>
      </w:pPr>
      <w:bookmarkStart w:id="544" w:name="_Toc362617980"/>
      <w:bookmarkStart w:id="545" w:name="_Toc179632596"/>
      <w:bookmarkStart w:id="546" w:name="_Toc152042354"/>
      <w:bookmarkStart w:id="547" w:name="_Toc152045578"/>
      <w:bookmarkStart w:id="548" w:name="_Toc144974546"/>
      <w:r>
        <w:rPr>
          <w:rFonts w:hint="eastAsia" w:ascii="宋体" w:hAnsi="宋体" w:cs="宋体"/>
          <w:b/>
          <w:bCs/>
          <w:szCs w:val="21"/>
          <w:highlight w:val="white"/>
        </w:rPr>
        <w:t>9.4 对与评标活动有关的工作人员的纪律要求</w:t>
      </w:r>
      <w:bookmarkEnd w:id="544"/>
      <w:bookmarkEnd w:id="545"/>
      <w:bookmarkEnd w:id="546"/>
      <w:bookmarkEnd w:id="547"/>
    </w:p>
    <w:p w14:paraId="5047D612">
      <w:pPr>
        <w:spacing w:line="360" w:lineRule="exact"/>
        <w:ind w:firstLine="420" w:firstLineChars="200"/>
        <w:rPr>
          <w:rFonts w:hint="eastAsia" w:ascii="宋体" w:hAnsi="宋体" w:cs="宋体"/>
          <w:szCs w:val="21"/>
        </w:rPr>
      </w:pPr>
      <w:bookmarkStart w:id="549" w:name="_Toc152042355"/>
      <w:r>
        <w:rPr>
          <w:rFonts w:hint="eastAsia" w:ascii="宋体" w:hAnsi="宋体" w:cs="宋体"/>
          <w:szCs w:val="21"/>
          <w:highlight w:val="whit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49"/>
    </w:p>
    <w:p w14:paraId="623C12FE">
      <w:pPr>
        <w:spacing w:before="48" w:beforeLines="20" w:after="48" w:afterLines="20"/>
        <w:outlineLvl w:val="4"/>
        <w:rPr>
          <w:rFonts w:hint="eastAsia" w:ascii="宋体" w:hAnsi="宋体" w:cs="宋体"/>
          <w:b/>
          <w:bCs/>
          <w:szCs w:val="21"/>
        </w:rPr>
      </w:pPr>
      <w:bookmarkStart w:id="550" w:name="_Toc152045579"/>
      <w:bookmarkStart w:id="551" w:name="_Toc362617981"/>
      <w:bookmarkStart w:id="552" w:name="_Toc152042356"/>
      <w:bookmarkStart w:id="553" w:name="_Toc179632597"/>
      <w:r>
        <w:rPr>
          <w:rFonts w:hint="eastAsia" w:ascii="宋体" w:hAnsi="宋体" w:cs="宋体"/>
          <w:b/>
          <w:bCs/>
          <w:szCs w:val="21"/>
          <w:highlight w:val="white"/>
        </w:rPr>
        <w:t>9.5 投诉</w:t>
      </w:r>
      <w:bookmarkEnd w:id="548"/>
      <w:bookmarkEnd w:id="550"/>
      <w:bookmarkEnd w:id="551"/>
      <w:bookmarkEnd w:id="552"/>
      <w:bookmarkEnd w:id="553"/>
    </w:p>
    <w:p w14:paraId="107CF6C4">
      <w:pPr>
        <w:spacing w:line="360" w:lineRule="exact"/>
        <w:ind w:firstLine="420" w:firstLineChars="200"/>
        <w:rPr>
          <w:rFonts w:hint="eastAsia" w:ascii="宋体" w:hAnsi="宋体" w:cs="宋体"/>
          <w:szCs w:val="21"/>
        </w:rPr>
      </w:pPr>
      <w:bookmarkStart w:id="554" w:name="_Toc152042357"/>
      <w:bookmarkStart w:id="555" w:name="_Toc179632598"/>
      <w:bookmarkStart w:id="556" w:name="_Toc144974547"/>
      <w:bookmarkStart w:id="557" w:name="_Toc152045580"/>
      <w:r>
        <w:rPr>
          <w:rFonts w:hint="eastAsia" w:ascii="宋体" w:hAnsi="宋体" w:cs="宋体"/>
          <w:szCs w:val="21"/>
          <w:highlight w:val="white"/>
        </w:rPr>
        <w:t>9.5.1投标人和其他利害关系人认为本次招标活动违反法律、法规和规章规定的，可以自知道或应当知道之日起10日内向有关行政监督部门投诉，投诉应有明确的请求和必要的证明材料。</w:t>
      </w:r>
    </w:p>
    <w:p w14:paraId="6759EA14">
      <w:pPr>
        <w:spacing w:line="360" w:lineRule="exact"/>
        <w:ind w:firstLine="420" w:firstLineChars="200"/>
        <w:rPr>
          <w:rFonts w:hint="eastAsia" w:ascii="宋体" w:hAnsi="宋体" w:cs="宋体"/>
          <w:szCs w:val="21"/>
        </w:rPr>
      </w:pPr>
      <w:r>
        <w:rPr>
          <w:rFonts w:hint="eastAsia" w:ascii="宋体" w:hAnsi="宋体" w:cs="宋体"/>
          <w:szCs w:val="21"/>
          <w:highlight w:val="white"/>
        </w:rPr>
        <w:t>监督部门的联系方式见投标人须知前附表。</w:t>
      </w:r>
    </w:p>
    <w:p w14:paraId="31711D74">
      <w:pPr>
        <w:spacing w:line="360" w:lineRule="exact"/>
        <w:ind w:firstLine="420" w:firstLineChars="200"/>
        <w:rPr>
          <w:rFonts w:hint="eastAsia" w:ascii="宋体" w:hAnsi="宋体" w:cs="宋体"/>
          <w:szCs w:val="21"/>
        </w:rPr>
      </w:pPr>
      <w:r>
        <w:rPr>
          <w:rFonts w:hint="eastAsia" w:ascii="宋体" w:hAnsi="宋体" w:cs="宋体"/>
          <w:szCs w:val="21"/>
          <w:highlight w:val="white"/>
        </w:rPr>
        <w:t>9.5.2</w:t>
      </w:r>
      <w:r>
        <w:rPr>
          <w:rStyle w:val="32"/>
          <w:rFonts w:cs="宋体"/>
          <w:sz w:val="21"/>
          <w:szCs w:val="21"/>
          <w:highlight w:val="white"/>
        </w:rPr>
        <w:t>投标人或其他利害关系人对招标文件、开标和评标结果提出投诉的，应按照本章第</w:t>
      </w:r>
      <w:r>
        <w:rPr>
          <w:rStyle w:val="33"/>
          <w:rFonts w:hint="eastAsia" w:ascii="宋体" w:hAnsi="宋体" w:cs="宋体"/>
          <w:sz w:val="21"/>
          <w:szCs w:val="21"/>
          <w:highlight w:val="white"/>
        </w:rPr>
        <w:t>2.4</w:t>
      </w:r>
      <w:r>
        <w:rPr>
          <w:rStyle w:val="32"/>
          <w:rFonts w:cs="宋体"/>
          <w:sz w:val="21"/>
          <w:szCs w:val="21"/>
          <w:highlight w:val="white"/>
        </w:rPr>
        <w:t>款、第</w:t>
      </w:r>
      <w:r>
        <w:rPr>
          <w:rStyle w:val="33"/>
          <w:rFonts w:hint="eastAsia" w:ascii="宋体" w:hAnsi="宋体" w:cs="宋体"/>
          <w:sz w:val="21"/>
          <w:szCs w:val="21"/>
          <w:highlight w:val="white"/>
        </w:rPr>
        <w:t>5.3</w:t>
      </w:r>
      <w:r>
        <w:rPr>
          <w:rStyle w:val="32"/>
          <w:rFonts w:cs="宋体"/>
          <w:sz w:val="21"/>
          <w:szCs w:val="21"/>
          <w:highlight w:val="white"/>
        </w:rPr>
        <w:t>款和第</w:t>
      </w:r>
      <w:r>
        <w:rPr>
          <w:rStyle w:val="33"/>
          <w:rFonts w:hint="eastAsia" w:ascii="宋体" w:hAnsi="宋体" w:cs="宋体"/>
          <w:sz w:val="21"/>
          <w:szCs w:val="21"/>
          <w:highlight w:val="white"/>
        </w:rPr>
        <w:t>7.2</w:t>
      </w:r>
      <w:r>
        <w:rPr>
          <w:rStyle w:val="32"/>
          <w:rFonts w:cs="宋体"/>
          <w:sz w:val="21"/>
          <w:szCs w:val="21"/>
          <w:highlight w:val="white"/>
        </w:rPr>
        <w:t>款的规定先向招标人提出异议。异议答复期间不计算在第</w:t>
      </w:r>
      <w:r>
        <w:rPr>
          <w:rStyle w:val="33"/>
          <w:rFonts w:hint="eastAsia" w:ascii="宋体" w:hAnsi="宋体" w:cs="宋体"/>
          <w:sz w:val="21"/>
          <w:szCs w:val="21"/>
          <w:highlight w:val="white"/>
        </w:rPr>
        <w:t>9.5.1</w:t>
      </w:r>
      <w:r>
        <w:rPr>
          <w:rStyle w:val="32"/>
          <w:rFonts w:cs="宋体"/>
          <w:sz w:val="21"/>
          <w:szCs w:val="21"/>
          <w:highlight w:val="white"/>
        </w:rPr>
        <w:t>项规定的期限内。</w:t>
      </w:r>
    </w:p>
    <w:bookmarkEnd w:id="554"/>
    <w:bookmarkEnd w:id="555"/>
    <w:bookmarkEnd w:id="556"/>
    <w:bookmarkEnd w:id="557"/>
    <w:p w14:paraId="71D1A0A5">
      <w:pPr>
        <w:spacing w:before="48" w:beforeLines="20" w:after="48" w:afterLines="20"/>
        <w:outlineLvl w:val="3"/>
        <w:rPr>
          <w:rFonts w:hint="eastAsia" w:ascii="宋体" w:hAnsi="宋体" w:cs="宋体"/>
          <w:b/>
          <w:bCs/>
          <w:szCs w:val="21"/>
        </w:rPr>
      </w:pPr>
      <w:bookmarkStart w:id="558" w:name="_Toc40261822"/>
      <w:r>
        <w:rPr>
          <w:rFonts w:hint="eastAsia" w:ascii="宋体" w:hAnsi="宋体" w:cs="宋体"/>
          <w:b/>
          <w:bCs/>
          <w:szCs w:val="21"/>
          <w:highlight w:val="white"/>
        </w:rPr>
        <w:t>10. 需要补充的其他内容</w:t>
      </w:r>
      <w:bookmarkEnd w:id="558"/>
    </w:p>
    <w:p w14:paraId="051ECFAD">
      <w:pPr>
        <w:spacing w:line="360" w:lineRule="exact"/>
        <w:rPr>
          <w:rFonts w:hint="eastAsia" w:ascii="宋体" w:hAnsi="宋体" w:cs="宋体"/>
          <w:szCs w:val="21"/>
        </w:rPr>
      </w:pPr>
      <w:r>
        <w:rPr>
          <w:rFonts w:hint="eastAsia" w:ascii="宋体" w:hAnsi="宋体" w:cs="宋体"/>
          <w:b/>
          <w:szCs w:val="21"/>
          <w:highlight w:val="white"/>
        </w:rPr>
        <w:t>10.1</w:t>
      </w:r>
      <w:r>
        <w:rPr>
          <w:rFonts w:hint="eastAsia" w:ascii="宋体" w:hAnsi="宋体" w:cs="宋体"/>
          <w:szCs w:val="21"/>
          <w:highlight w:val="white"/>
        </w:rPr>
        <w:t>自招标文件发布之日起，投标人应随时关注发布媒介的招标信息更新，以保证能及时关注招标文件的澄清或变更等信息。特别需要说明的是，招标人的各项通知、文件均通过网络发布，即默认为已送达投标人，若因投标人未及时上网查收等原因导致的不利后果由投标人自行承担。</w:t>
      </w:r>
    </w:p>
    <w:p w14:paraId="6773B646">
      <w:pPr>
        <w:rPr>
          <w:rFonts w:hint="eastAsia" w:ascii="宋体" w:hAnsi="宋体" w:cs="宋体"/>
          <w:szCs w:val="21"/>
        </w:rPr>
      </w:pPr>
      <w:r>
        <w:rPr>
          <w:rFonts w:hint="eastAsia" w:ascii="宋体" w:hAnsi="宋体" w:cs="宋体"/>
          <w:b/>
          <w:szCs w:val="21"/>
          <w:highlight w:val="white"/>
        </w:rPr>
        <w:t xml:space="preserve">10.2 </w:t>
      </w:r>
      <w:r>
        <w:rPr>
          <w:rFonts w:hint="eastAsia" w:ascii="宋体" w:hAnsi="宋体" w:cs="宋体"/>
          <w:szCs w:val="21"/>
          <w:highlight w:val="white"/>
        </w:rPr>
        <w:t>需要补充的其他内容：见投标人须知前附表。</w:t>
      </w:r>
    </w:p>
    <w:p w14:paraId="556A81DA">
      <w:pPr>
        <w:jc w:val="center"/>
        <w:rPr>
          <w:rFonts w:hint="eastAsia" w:ascii="宋体" w:hAnsi="宋体" w:cs="宋体"/>
          <w:bCs/>
        </w:rPr>
      </w:pPr>
      <w:bookmarkStart w:id="559" w:name="EB854c32f1ffe54b869de2a5ce23629661"/>
      <w:bookmarkEnd w:id="559"/>
      <w:bookmarkStart w:id="560" w:name="_Toc490825224"/>
      <w:bookmarkStart w:id="561" w:name="_Toc40261828"/>
      <w:bookmarkStart w:id="562" w:name="_Toc490825108"/>
      <w:bookmarkStart w:id="563" w:name="_Toc362617990"/>
      <w:bookmarkStart w:id="564" w:name="_Toc27039756"/>
      <w:bookmarkStart w:id="565" w:name="_Toc245379328"/>
      <w:bookmarkStart w:id="566" w:name="_Toc362613879"/>
      <w:bookmarkStart w:id="567" w:name="_Toc368320229"/>
      <w:bookmarkStart w:id="568" w:name="_Toc362614251"/>
      <w:bookmarkStart w:id="569" w:name="_Toc361993605"/>
      <w:bookmarkStart w:id="570" w:name="_Toc368338556"/>
      <w:bookmarkStart w:id="571" w:name="_Toc243796172"/>
      <w:r>
        <w:rPr>
          <w:rFonts w:hint="eastAsia" w:ascii="宋体" w:hAnsi="宋体" w:cs="宋体"/>
          <w:bCs/>
          <w:sz w:val="32"/>
          <w:szCs w:val="32"/>
          <w:highlight w:val="white"/>
        </w:rPr>
        <w:t>第三章  评标办法</w:t>
      </w:r>
      <w:bookmarkEnd w:id="560"/>
      <w:bookmarkEnd w:id="561"/>
      <w:bookmarkEnd w:id="562"/>
      <w:bookmarkEnd w:id="563"/>
      <w:bookmarkEnd w:id="564"/>
      <w:bookmarkEnd w:id="565"/>
      <w:bookmarkEnd w:id="566"/>
      <w:bookmarkEnd w:id="567"/>
      <w:bookmarkEnd w:id="568"/>
      <w:bookmarkEnd w:id="569"/>
      <w:bookmarkEnd w:id="570"/>
    </w:p>
    <w:bookmarkEnd w:id="571"/>
    <w:p w14:paraId="3F56D5CD">
      <w:pPr>
        <w:rPr>
          <w:rFonts w:hint="eastAsia" w:ascii="宋体" w:hAnsi="宋体" w:cs="宋体"/>
          <w:sz w:val="18"/>
          <w:szCs w:val="18"/>
        </w:rPr>
      </w:pPr>
      <w:r>
        <w:rPr>
          <w:rFonts w:hint="eastAsia" w:ascii="宋体" w:hAnsi="宋体" w:cs="宋体"/>
          <w:sz w:val="18"/>
          <w:szCs w:val="18"/>
          <w:highlight w:val="white"/>
        </w:rPr>
        <w:t xml:space="preserve">   </w:t>
      </w:r>
      <w:r>
        <w:rPr>
          <w:rFonts w:hint="eastAsia" w:ascii="宋体" w:hAnsi="宋体" w:cs="宋体"/>
          <w:szCs w:val="21"/>
          <w:highlight w:val="white"/>
        </w:rPr>
        <w:t xml:space="preserve"> 注：本评标办法采用“固定价随机抽取中标人(简易招标办法)”的方法评标。</w:t>
      </w:r>
    </w:p>
    <w:p w14:paraId="57A5D0B7">
      <w:pPr>
        <w:ind w:firstLine="360" w:firstLineChars="200"/>
        <w:rPr>
          <w:rFonts w:hint="eastAsia" w:ascii="宋体" w:hAnsi="宋体" w:cs="宋体"/>
          <w:highlight w:val="yellow"/>
        </w:rPr>
      </w:pPr>
      <w:r>
        <w:rPr>
          <w:rFonts w:hint="eastAsia" w:ascii="宋体" w:hAnsi="宋体" w:cs="宋体"/>
          <w:sz w:val="18"/>
          <w:szCs w:val="18"/>
          <w:highlight w:val="white"/>
        </w:rPr>
        <w:t xml:space="preserve">   </w:t>
      </w:r>
      <w:bookmarkStart w:id="572" w:name="EBe9586d8d38a140a89029916e15733205"/>
      <w:bookmarkStart w:id="573" w:name="_Toc368320230"/>
      <w:bookmarkStart w:id="574" w:name="_Toc368338557"/>
      <w:bookmarkStart w:id="575" w:name="_Toc243796173"/>
      <w:bookmarkStart w:id="576" w:name="_Toc362617991"/>
      <w:bookmarkStart w:id="577" w:name="_Toc362614252"/>
      <w:bookmarkStart w:id="578" w:name="_Toc245379329"/>
      <w:bookmarkStart w:id="579" w:name="_Toc234382652"/>
      <w:bookmarkStart w:id="580" w:name="_Toc361993606"/>
      <w:bookmarkStart w:id="581" w:name="_Toc362613880"/>
      <w:bookmarkStart w:id="582" w:name="_Toc234382651"/>
      <w:r>
        <w:rPr>
          <w:rFonts w:hint="eastAsia" w:ascii="宋体" w:hAnsi="宋体" w:cs="宋体"/>
          <w:color w:val="000080"/>
          <w:sz w:val="20"/>
          <w:highlight w:val="white"/>
        </w:rPr>
        <w:t xml:space="preserve"> </w:t>
      </w:r>
      <w:bookmarkEnd w:id="572"/>
      <w:bookmarkStart w:id="583" w:name="EB28513747d28a4a90822331ca501fc965"/>
      <w:r>
        <w:rPr>
          <w:rFonts w:hint="eastAsia" w:ascii="宋体" w:hAnsi="宋体" w:cs="宋体"/>
          <w:color w:val="000080"/>
          <w:sz w:val="20"/>
          <w:highlight w:val="white"/>
        </w:rPr>
        <w:t xml:space="preserve"> </w:t>
      </w:r>
      <w:bookmarkEnd w:id="583"/>
    </w:p>
    <w:p w14:paraId="7F8F9172">
      <w:pPr>
        <w:jc w:val="center"/>
        <w:rPr>
          <w:rFonts w:hint="eastAsia" w:ascii="宋体" w:hAnsi="宋体" w:cs="宋体"/>
          <w:sz w:val="24"/>
        </w:rPr>
      </w:pPr>
      <w:r>
        <w:rPr>
          <w:rFonts w:hint="eastAsia" w:ascii="宋体" w:hAnsi="宋体" w:cs="宋体"/>
          <w:sz w:val="24"/>
          <w:highlight w:val="white"/>
        </w:rPr>
        <w:t>评标办法前附表</w:t>
      </w:r>
      <w:bookmarkEnd w:id="573"/>
      <w:bookmarkEnd w:id="574"/>
      <w:bookmarkEnd w:id="575"/>
      <w:bookmarkEnd w:id="576"/>
      <w:bookmarkEnd w:id="577"/>
      <w:bookmarkEnd w:id="578"/>
      <w:bookmarkEnd w:id="579"/>
      <w:bookmarkEnd w:id="580"/>
      <w:bookmarkEnd w:id="581"/>
    </w:p>
    <w:tbl>
      <w:tblPr>
        <w:tblStyle w:val="15"/>
        <w:tblW w:w="9142" w:type="dxa"/>
        <w:jc w:val="center"/>
        <w:tblLayout w:type="fixed"/>
        <w:tblCellMar>
          <w:top w:w="0" w:type="dxa"/>
          <w:left w:w="108" w:type="dxa"/>
          <w:bottom w:w="0" w:type="dxa"/>
          <w:right w:w="108" w:type="dxa"/>
        </w:tblCellMar>
      </w:tblPr>
      <w:tblGrid>
        <w:gridCol w:w="1439"/>
        <w:gridCol w:w="1843"/>
        <w:gridCol w:w="5860"/>
      </w:tblGrid>
      <w:tr w14:paraId="24FB4ADD">
        <w:tblPrEx>
          <w:tblCellMar>
            <w:top w:w="0" w:type="dxa"/>
            <w:left w:w="108" w:type="dxa"/>
            <w:bottom w:w="0" w:type="dxa"/>
            <w:right w:w="108" w:type="dxa"/>
          </w:tblCellMar>
        </w:tblPrEx>
        <w:trPr>
          <w:trHeight w:val="480" w:hRule="atLeast"/>
          <w:jc w:val="center"/>
        </w:trPr>
        <w:tc>
          <w:tcPr>
            <w:tcW w:w="3281" w:type="dxa"/>
            <w:gridSpan w:val="2"/>
            <w:tcBorders>
              <w:top w:val="single" w:color="000000" w:sz="12" w:space="0"/>
              <w:left w:val="single" w:color="000000" w:sz="12" w:space="0"/>
              <w:bottom w:val="single" w:color="000000" w:sz="12" w:space="0"/>
              <w:right w:val="single" w:color="000000" w:sz="12" w:space="0"/>
            </w:tcBorders>
            <w:noWrap w:val="0"/>
            <w:vAlign w:val="center"/>
          </w:tcPr>
          <w:p w14:paraId="6F1E9598">
            <w:pPr>
              <w:widowControl/>
              <w:jc w:val="center"/>
              <w:rPr>
                <w:rFonts w:hint="eastAsia" w:ascii="宋体" w:hAnsi="宋体" w:cs="宋体"/>
                <w:b/>
                <w:bCs/>
                <w:kern w:val="0"/>
                <w:szCs w:val="21"/>
              </w:rPr>
            </w:pPr>
            <w:r>
              <w:rPr>
                <w:rFonts w:hint="eastAsia" w:ascii="宋体" w:hAnsi="宋体" w:cs="宋体"/>
                <w:b/>
                <w:bCs/>
                <w:kern w:val="0"/>
                <w:szCs w:val="21"/>
                <w:highlight w:val="white"/>
              </w:rPr>
              <w:t>条款号</w:t>
            </w:r>
          </w:p>
        </w:tc>
        <w:tc>
          <w:tcPr>
            <w:tcW w:w="5861" w:type="dxa"/>
            <w:tcBorders>
              <w:top w:val="single" w:color="000000" w:sz="12" w:space="0"/>
              <w:left w:val="nil"/>
              <w:bottom w:val="nil"/>
              <w:right w:val="single" w:color="000000" w:sz="12" w:space="0"/>
            </w:tcBorders>
            <w:noWrap w:val="0"/>
            <w:vAlign w:val="center"/>
          </w:tcPr>
          <w:p w14:paraId="1F2A1DEF">
            <w:pPr>
              <w:widowControl/>
              <w:jc w:val="center"/>
              <w:rPr>
                <w:rFonts w:hint="eastAsia" w:ascii="宋体" w:hAnsi="宋体" w:cs="宋体"/>
                <w:b/>
                <w:bCs/>
                <w:kern w:val="0"/>
                <w:szCs w:val="21"/>
              </w:rPr>
            </w:pPr>
            <w:r>
              <w:rPr>
                <w:rFonts w:hint="eastAsia" w:ascii="宋体" w:hAnsi="宋体" w:cs="宋体"/>
                <w:b/>
                <w:bCs/>
                <w:kern w:val="0"/>
                <w:szCs w:val="21"/>
                <w:highlight w:val="white"/>
              </w:rPr>
              <w:t>评审因素与标准</w:t>
            </w:r>
          </w:p>
          <w:p w14:paraId="7A1AD399">
            <w:pPr>
              <w:widowControl/>
              <w:jc w:val="center"/>
              <w:rPr>
                <w:rFonts w:hint="eastAsia" w:ascii="宋体" w:hAnsi="宋体" w:cs="宋体"/>
                <w:b/>
                <w:bCs/>
                <w:kern w:val="0"/>
                <w:szCs w:val="21"/>
              </w:rPr>
            </w:pPr>
            <w:r>
              <w:rPr>
                <w:rFonts w:hint="eastAsia" w:ascii="宋体" w:hAnsi="宋体" w:cs="宋体"/>
                <w:b/>
                <w:bCs/>
                <w:kern w:val="0"/>
                <w:szCs w:val="21"/>
                <w:highlight w:val="white"/>
              </w:rPr>
              <w:t>评审标准</w:t>
            </w:r>
          </w:p>
        </w:tc>
      </w:tr>
      <w:tr w14:paraId="6613A6DB">
        <w:tblPrEx>
          <w:tblCellMar>
            <w:top w:w="0" w:type="dxa"/>
            <w:left w:w="108" w:type="dxa"/>
            <w:bottom w:w="0" w:type="dxa"/>
            <w:right w:w="108" w:type="dxa"/>
          </w:tblCellMar>
        </w:tblPrEx>
        <w:trPr>
          <w:trHeight w:val="810" w:hRule="atLeast"/>
          <w:jc w:val="center"/>
        </w:trPr>
        <w:tc>
          <w:tcPr>
            <w:tcW w:w="1438" w:type="dxa"/>
            <w:tcBorders>
              <w:top w:val="nil"/>
              <w:left w:val="single" w:color="000000" w:sz="12" w:space="0"/>
              <w:bottom w:val="single" w:color="000000" w:sz="12" w:space="0"/>
              <w:right w:val="single" w:color="000000" w:sz="12" w:space="0"/>
            </w:tcBorders>
            <w:noWrap w:val="0"/>
            <w:vAlign w:val="center"/>
          </w:tcPr>
          <w:p w14:paraId="4FAE848C">
            <w:pPr>
              <w:widowControl/>
              <w:jc w:val="center"/>
              <w:rPr>
                <w:rFonts w:hint="eastAsia" w:ascii="宋体" w:hAnsi="宋体" w:cs="宋体"/>
                <w:kern w:val="0"/>
                <w:szCs w:val="21"/>
              </w:rPr>
            </w:pPr>
            <w:r>
              <w:rPr>
                <w:rFonts w:hint="eastAsia" w:ascii="宋体" w:hAnsi="宋体" w:cs="宋体"/>
                <w:kern w:val="0"/>
                <w:szCs w:val="21"/>
                <w:highlight w:val="white"/>
              </w:rPr>
              <w:t>1</w:t>
            </w:r>
          </w:p>
        </w:tc>
        <w:tc>
          <w:tcPr>
            <w:tcW w:w="1843" w:type="dxa"/>
            <w:tcBorders>
              <w:top w:val="nil"/>
              <w:left w:val="nil"/>
              <w:bottom w:val="single" w:color="000000" w:sz="12" w:space="0"/>
              <w:right w:val="single" w:color="000000" w:sz="12" w:space="0"/>
            </w:tcBorders>
            <w:noWrap w:val="0"/>
            <w:vAlign w:val="center"/>
          </w:tcPr>
          <w:p w14:paraId="35F9247A">
            <w:pPr>
              <w:widowControl/>
              <w:jc w:val="center"/>
              <w:rPr>
                <w:rFonts w:hint="eastAsia" w:ascii="宋体" w:hAnsi="宋体" w:cs="宋体"/>
                <w:kern w:val="0"/>
                <w:szCs w:val="21"/>
              </w:rPr>
            </w:pPr>
            <w:r>
              <w:rPr>
                <w:rFonts w:hint="eastAsia" w:ascii="宋体" w:hAnsi="宋体" w:cs="宋体"/>
                <w:kern w:val="0"/>
                <w:szCs w:val="21"/>
                <w:highlight w:val="white"/>
              </w:rPr>
              <w:t>评标办法</w:t>
            </w:r>
          </w:p>
        </w:tc>
        <w:tc>
          <w:tcPr>
            <w:tcW w:w="5861" w:type="dxa"/>
            <w:tcBorders>
              <w:top w:val="single" w:color="000000" w:sz="8" w:space="0"/>
              <w:left w:val="nil"/>
              <w:bottom w:val="single" w:color="000000" w:sz="12" w:space="0"/>
              <w:right w:val="single" w:color="000000" w:sz="12" w:space="0"/>
            </w:tcBorders>
            <w:noWrap w:val="0"/>
            <w:vAlign w:val="center"/>
          </w:tcPr>
          <w:p w14:paraId="24F56331">
            <w:pPr>
              <w:widowControl/>
              <w:numPr>
                <w:ilvl w:val="0"/>
                <w:numId w:val="3"/>
              </w:numPr>
              <w:rPr>
                <w:rFonts w:hint="eastAsia" w:ascii="宋体" w:hAnsi="宋体" w:cs="宋体"/>
                <w:kern w:val="0"/>
                <w:szCs w:val="21"/>
                <w:highlight w:val="white"/>
              </w:rPr>
            </w:pPr>
            <w:r>
              <w:rPr>
                <w:rFonts w:hint="eastAsia" w:ascii="宋体" w:hAnsi="宋体" w:cs="宋体"/>
                <w:kern w:val="0"/>
                <w:szCs w:val="21"/>
                <w:highlight w:val="white"/>
              </w:rPr>
              <w:t>项目招标实行资格后审，并采用“固定价随机抽取中标人(简易招标办法)”的方法评标。根据电子交易平台自动生成的投标人代表号，按照下列办法确定进入评审的投标人名单：</w:t>
            </w:r>
          </w:p>
          <w:p w14:paraId="0947D125">
            <w:pPr>
              <w:widowControl/>
              <w:numPr>
                <w:ilvl w:val="0"/>
                <w:numId w:val="0"/>
              </w:numPr>
              <w:rPr>
                <w:rFonts w:hint="eastAsia" w:ascii="宋体" w:hAnsi="宋体" w:cs="宋体"/>
                <w:kern w:val="0"/>
                <w:szCs w:val="21"/>
                <w:highlight w:val="white"/>
              </w:rPr>
            </w:pPr>
            <w:r>
              <w:rPr>
                <w:rFonts w:hint="eastAsia" w:ascii="宋体" w:hAnsi="宋体" w:cs="宋体"/>
                <w:kern w:val="0"/>
                <w:szCs w:val="21"/>
                <w:highlight w:val="white"/>
              </w:rPr>
              <w:t>（1）投标人数量少于20家时，全部入围评审。</w:t>
            </w:r>
          </w:p>
          <w:p w14:paraId="2A885F45">
            <w:pPr>
              <w:widowControl/>
              <w:numPr>
                <w:ilvl w:val="0"/>
                <w:numId w:val="0"/>
              </w:numPr>
              <w:rPr>
                <w:rFonts w:hint="eastAsia" w:ascii="宋体" w:hAnsi="宋体" w:cs="宋体"/>
                <w:kern w:val="0"/>
                <w:szCs w:val="21"/>
                <w:highlight w:val="white"/>
              </w:rPr>
            </w:pPr>
            <w:r>
              <w:rPr>
                <w:rFonts w:hint="eastAsia" w:ascii="宋体" w:hAnsi="宋体" w:cs="宋体"/>
                <w:kern w:val="0"/>
                <w:szCs w:val="21"/>
                <w:highlight w:val="white"/>
              </w:rPr>
              <w:t>（2）投标人数量多于20家时，由电子交易平台从投标人中随机抽取20家入围评审。经评审的合格投标人少于10家时，再从剩余投标人中随机抽取10家入围评审，直至合格投标人不少于10家（合格投标人少于10家时且剩余投标人不足10家的，剩余投标人全部入围评审，直至合格投标人不少于3家）。</w:t>
            </w:r>
          </w:p>
          <w:p w14:paraId="47464B3A">
            <w:pPr>
              <w:widowControl/>
              <w:numPr>
                <w:ilvl w:val="0"/>
                <w:numId w:val="3"/>
              </w:numPr>
              <w:rPr>
                <w:rFonts w:hint="eastAsia" w:ascii="宋体" w:hAnsi="宋体" w:cs="宋体"/>
                <w:szCs w:val="21"/>
              </w:rPr>
            </w:pPr>
            <w:r>
              <w:rPr>
                <w:rFonts w:hint="eastAsia" w:ascii="宋体" w:hAnsi="宋体" w:cs="宋体"/>
                <w:kern w:val="0"/>
                <w:szCs w:val="21"/>
                <w:highlight w:val="white"/>
              </w:rPr>
              <w:t>评标委员会按照招标文件的规定对参与评审的投标文件进行评审，评定合格的投标人。</w:t>
            </w:r>
          </w:p>
        </w:tc>
      </w:tr>
      <w:tr w14:paraId="6B3C98E9">
        <w:tblPrEx>
          <w:tblCellMar>
            <w:top w:w="0" w:type="dxa"/>
            <w:left w:w="108" w:type="dxa"/>
            <w:bottom w:w="0" w:type="dxa"/>
            <w:right w:w="108" w:type="dxa"/>
          </w:tblCellMar>
        </w:tblPrEx>
        <w:trPr>
          <w:trHeight w:val="480" w:hRule="atLeast"/>
          <w:jc w:val="center"/>
        </w:trPr>
        <w:tc>
          <w:tcPr>
            <w:tcW w:w="1438" w:type="dxa"/>
            <w:vMerge w:val="restart"/>
            <w:tcBorders>
              <w:top w:val="single" w:color="000000" w:sz="12" w:space="0"/>
              <w:left w:val="single" w:color="000000" w:sz="12" w:space="0"/>
              <w:right w:val="single" w:color="000000" w:sz="12" w:space="0"/>
            </w:tcBorders>
            <w:noWrap w:val="0"/>
            <w:vAlign w:val="center"/>
          </w:tcPr>
          <w:p w14:paraId="658C5FCC">
            <w:pPr>
              <w:widowControl/>
              <w:jc w:val="center"/>
              <w:rPr>
                <w:rFonts w:hint="eastAsia" w:ascii="宋体" w:hAnsi="宋体" w:cs="宋体"/>
                <w:kern w:val="0"/>
                <w:szCs w:val="21"/>
              </w:rPr>
            </w:pPr>
            <w:r>
              <w:rPr>
                <w:rFonts w:hint="eastAsia" w:ascii="宋体" w:hAnsi="宋体" w:cs="宋体"/>
                <w:kern w:val="0"/>
                <w:szCs w:val="21"/>
                <w:highlight w:val="white"/>
              </w:rPr>
              <w:t>2.1.1</w:t>
            </w:r>
          </w:p>
          <w:p w14:paraId="2FC82944">
            <w:pPr>
              <w:widowControl/>
              <w:jc w:val="center"/>
              <w:rPr>
                <w:rFonts w:hint="eastAsia" w:ascii="宋体" w:hAnsi="宋体" w:cs="宋体"/>
                <w:kern w:val="0"/>
                <w:szCs w:val="21"/>
              </w:rPr>
            </w:pPr>
            <w:r>
              <w:rPr>
                <w:rFonts w:hint="eastAsia" w:ascii="宋体" w:hAnsi="宋体" w:cs="宋体"/>
                <w:kern w:val="0"/>
                <w:szCs w:val="21"/>
                <w:highlight w:val="white"/>
              </w:rPr>
              <w:t>2.1.3</w:t>
            </w:r>
          </w:p>
        </w:tc>
        <w:tc>
          <w:tcPr>
            <w:tcW w:w="1843" w:type="dxa"/>
            <w:vMerge w:val="restart"/>
            <w:tcBorders>
              <w:top w:val="single" w:color="000000" w:sz="12" w:space="0"/>
              <w:left w:val="single" w:color="000000" w:sz="12" w:space="0"/>
              <w:right w:val="single" w:color="000000" w:sz="12" w:space="0"/>
            </w:tcBorders>
            <w:noWrap w:val="0"/>
            <w:vAlign w:val="center"/>
          </w:tcPr>
          <w:p w14:paraId="2113BAF2">
            <w:pPr>
              <w:widowControl/>
              <w:jc w:val="center"/>
              <w:rPr>
                <w:rFonts w:hint="eastAsia" w:ascii="宋体" w:hAnsi="宋体" w:cs="宋体"/>
                <w:kern w:val="0"/>
                <w:szCs w:val="21"/>
              </w:rPr>
            </w:pPr>
            <w:r>
              <w:rPr>
                <w:rFonts w:hint="eastAsia" w:ascii="宋体" w:hAnsi="宋体" w:cs="宋体"/>
                <w:kern w:val="0"/>
                <w:szCs w:val="21"/>
                <w:highlight w:val="white"/>
              </w:rPr>
              <w:t>形式评审与响应性评审标准</w:t>
            </w:r>
          </w:p>
        </w:tc>
        <w:tc>
          <w:tcPr>
            <w:tcW w:w="5861" w:type="dxa"/>
            <w:tcBorders>
              <w:top w:val="single" w:color="000000" w:sz="12" w:space="0"/>
              <w:left w:val="nil"/>
              <w:right w:val="single" w:color="000000" w:sz="12" w:space="0"/>
            </w:tcBorders>
            <w:noWrap w:val="0"/>
            <w:vAlign w:val="center"/>
          </w:tcPr>
          <w:p w14:paraId="4D0E88F7">
            <w:pPr>
              <w:widowControl/>
              <w:rPr>
                <w:rFonts w:hint="eastAsia" w:ascii="宋体" w:hAnsi="宋体" w:cs="宋体"/>
                <w:kern w:val="0"/>
                <w:szCs w:val="21"/>
              </w:rPr>
            </w:pPr>
            <w:r>
              <w:rPr>
                <w:rFonts w:hint="eastAsia" w:ascii="宋体" w:hAnsi="宋体" w:cs="宋体"/>
                <w:kern w:val="0"/>
                <w:szCs w:val="21"/>
                <w:highlight w:val="white"/>
              </w:rPr>
              <w:t>1．投标商务文件存在下列情形之一的，按重大偏差处理，存在的其他问题和不明确之处，按细微偏差处理：</w:t>
            </w:r>
          </w:p>
        </w:tc>
      </w:tr>
      <w:tr w14:paraId="441478CC">
        <w:tblPrEx>
          <w:tblCellMar>
            <w:top w:w="0" w:type="dxa"/>
            <w:left w:w="108" w:type="dxa"/>
            <w:bottom w:w="0" w:type="dxa"/>
            <w:right w:w="108" w:type="dxa"/>
          </w:tblCellMar>
        </w:tblPrEx>
        <w:trPr>
          <w:trHeight w:val="480" w:hRule="atLeast"/>
          <w:jc w:val="center"/>
        </w:trPr>
        <w:tc>
          <w:tcPr>
            <w:tcW w:w="1438" w:type="dxa"/>
            <w:vMerge w:val="continue"/>
            <w:tcBorders>
              <w:left w:val="single" w:color="000000" w:sz="12" w:space="0"/>
              <w:right w:val="single" w:color="000000" w:sz="12" w:space="0"/>
            </w:tcBorders>
            <w:noWrap w:val="0"/>
            <w:vAlign w:val="center"/>
          </w:tcPr>
          <w:p w14:paraId="1EDF7F97">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3033BDFD">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5D64D1E">
            <w:pPr>
              <w:widowControl/>
              <w:rPr>
                <w:rFonts w:hint="eastAsia" w:ascii="宋体" w:hAnsi="宋体" w:cs="宋体"/>
                <w:kern w:val="0"/>
                <w:szCs w:val="21"/>
              </w:rPr>
            </w:pPr>
            <w:r>
              <w:rPr>
                <w:rFonts w:hint="eastAsia" w:ascii="宋体" w:hAnsi="宋体" w:cs="宋体"/>
                <w:kern w:val="0"/>
                <w:szCs w:val="21"/>
                <w:highlight w:val="white"/>
              </w:rPr>
              <w:t>（1）投标文件未按照招标文件规定的格式、内容填写，无法辨认，造成实质性不响应招标文件要求的：</w:t>
            </w:r>
          </w:p>
        </w:tc>
      </w:tr>
      <w:tr w14:paraId="5F1EC357">
        <w:tblPrEx>
          <w:tblCellMar>
            <w:top w:w="0" w:type="dxa"/>
            <w:left w:w="108" w:type="dxa"/>
            <w:bottom w:w="0" w:type="dxa"/>
            <w:right w:w="108" w:type="dxa"/>
          </w:tblCellMar>
        </w:tblPrEx>
        <w:trPr>
          <w:trHeight w:val="300" w:hRule="atLeast"/>
          <w:jc w:val="center"/>
        </w:trPr>
        <w:tc>
          <w:tcPr>
            <w:tcW w:w="1438" w:type="dxa"/>
            <w:vMerge w:val="continue"/>
            <w:tcBorders>
              <w:left w:val="single" w:color="000000" w:sz="12" w:space="0"/>
              <w:right w:val="single" w:color="000000" w:sz="12" w:space="0"/>
            </w:tcBorders>
            <w:noWrap w:val="0"/>
            <w:vAlign w:val="center"/>
          </w:tcPr>
          <w:p w14:paraId="28C493BE">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70C0465E">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648F1204">
            <w:pPr>
              <w:widowControl/>
              <w:rPr>
                <w:rFonts w:hint="eastAsia" w:ascii="宋体" w:hAnsi="宋体" w:cs="宋体"/>
                <w:kern w:val="0"/>
                <w:szCs w:val="21"/>
              </w:rPr>
            </w:pPr>
            <w:r>
              <w:rPr>
                <w:rFonts w:hint="eastAsia" w:ascii="宋体" w:hAnsi="宋体" w:cs="宋体"/>
                <w:kern w:val="0"/>
                <w:szCs w:val="21"/>
                <w:highlight w:val="white"/>
              </w:rPr>
              <w:t>a.投标函未按招标文件的规定进行填报；</w:t>
            </w:r>
          </w:p>
        </w:tc>
      </w:tr>
      <w:tr w14:paraId="7A19CD40">
        <w:tblPrEx>
          <w:tblCellMar>
            <w:top w:w="0" w:type="dxa"/>
            <w:left w:w="108" w:type="dxa"/>
            <w:bottom w:w="0" w:type="dxa"/>
            <w:right w:w="108" w:type="dxa"/>
          </w:tblCellMar>
        </w:tblPrEx>
        <w:trPr>
          <w:trHeight w:val="300" w:hRule="atLeast"/>
          <w:jc w:val="center"/>
        </w:trPr>
        <w:tc>
          <w:tcPr>
            <w:tcW w:w="1438" w:type="dxa"/>
            <w:vMerge w:val="continue"/>
            <w:tcBorders>
              <w:left w:val="single" w:color="000000" w:sz="12" w:space="0"/>
              <w:right w:val="single" w:color="000000" w:sz="12" w:space="0"/>
            </w:tcBorders>
            <w:noWrap w:val="0"/>
            <w:vAlign w:val="center"/>
          </w:tcPr>
          <w:p w14:paraId="275DC2B1">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3027B51C">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021EBEAB">
            <w:pPr>
              <w:widowControl/>
              <w:rPr>
                <w:rFonts w:hint="eastAsia" w:ascii="宋体" w:hAnsi="宋体" w:cs="宋体"/>
                <w:kern w:val="0"/>
                <w:szCs w:val="21"/>
              </w:rPr>
            </w:pPr>
            <w:r>
              <w:rPr>
                <w:rFonts w:hint="eastAsia" w:ascii="宋体" w:hAnsi="宋体" w:cs="宋体"/>
                <w:kern w:val="0"/>
                <w:szCs w:val="21"/>
                <w:highlight w:val="white"/>
              </w:rPr>
              <w:t>b.投标函附录的数据不符合招标文件规定；</w:t>
            </w:r>
          </w:p>
        </w:tc>
      </w:tr>
      <w:tr w14:paraId="7C570574">
        <w:tblPrEx>
          <w:tblCellMar>
            <w:top w:w="0" w:type="dxa"/>
            <w:left w:w="108" w:type="dxa"/>
            <w:bottom w:w="0" w:type="dxa"/>
            <w:right w:w="108" w:type="dxa"/>
          </w:tblCellMar>
        </w:tblPrEx>
        <w:trPr>
          <w:trHeight w:val="280" w:hRule="atLeast"/>
          <w:jc w:val="center"/>
        </w:trPr>
        <w:tc>
          <w:tcPr>
            <w:tcW w:w="1438" w:type="dxa"/>
            <w:vMerge w:val="continue"/>
            <w:tcBorders>
              <w:left w:val="single" w:color="000000" w:sz="12" w:space="0"/>
              <w:right w:val="single" w:color="000000" w:sz="12" w:space="0"/>
            </w:tcBorders>
            <w:noWrap w:val="0"/>
            <w:vAlign w:val="center"/>
          </w:tcPr>
          <w:p w14:paraId="4980ED0E">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6BFB5D41">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5F6F4E26">
            <w:pPr>
              <w:widowControl/>
              <w:rPr>
                <w:rFonts w:hint="eastAsia" w:ascii="宋体" w:hAnsi="宋体" w:cs="宋体"/>
                <w:kern w:val="0"/>
                <w:szCs w:val="21"/>
              </w:rPr>
            </w:pPr>
            <w:r>
              <w:rPr>
                <w:rFonts w:hint="eastAsia" w:ascii="宋体" w:hAnsi="宋体" w:cs="宋体"/>
                <w:kern w:val="0"/>
                <w:szCs w:val="21"/>
                <w:highlight w:val="white"/>
              </w:rPr>
              <w:t>c.投标文件组成不完整，或内容未按规定填写（但项目管理机构（如有）、拟分包项目情况表（如有）及其他材料缺页不全的按照细微偏差处理，应通过澄清方式进行核实）；</w:t>
            </w:r>
          </w:p>
        </w:tc>
      </w:tr>
      <w:tr w14:paraId="16CDF216">
        <w:tblPrEx>
          <w:tblCellMar>
            <w:top w:w="0" w:type="dxa"/>
            <w:left w:w="108" w:type="dxa"/>
            <w:bottom w:w="0" w:type="dxa"/>
            <w:right w:w="108" w:type="dxa"/>
          </w:tblCellMar>
        </w:tblPrEx>
        <w:trPr>
          <w:trHeight w:val="480" w:hRule="atLeast"/>
          <w:jc w:val="center"/>
        </w:trPr>
        <w:tc>
          <w:tcPr>
            <w:tcW w:w="1438" w:type="dxa"/>
            <w:vMerge w:val="continue"/>
            <w:tcBorders>
              <w:left w:val="single" w:color="000000" w:sz="12" w:space="0"/>
              <w:right w:val="single" w:color="000000" w:sz="12" w:space="0"/>
            </w:tcBorders>
            <w:noWrap w:val="0"/>
            <w:vAlign w:val="center"/>
          </w:tcPr>
          <w:p w14:paraId="1AC6CA09">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3BD7CC4D">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63EAE9B9">
            <w:pPr>
              <w:widowControl/>
              <w:rPr>
                <w:rFonts w:hint="eastAsia" w:ascii="宋体" w:hAnsi="宋体" w:cs="宋体"/>
                <w:kern w:val="0"/>
                <w:szCs w:val="21"/>
              </w:rPr>
            </w:pPr>
            <w:r>
              <w:rPr>
                <w:rFonts w:hint="eastAsia" w:ascii="宋体" w:hAnsi="宋体" w:cs="宋体"/>
                <w:kern w:val="0"/>
                <w:szCs w:val="21"/>
                <w:highlight w:val="white"/>
              </w:rPr>
              <w:t>（2）投标人提供的投标担保金额、或格式、或时效、或内容不满足招标文件规定：</w:t>
            </w:r>
          </w:p>
        </w:tc>
      </w:tr>
      <w:tr w14:paraId="4E6BC308">
        <w:tblPrEx>
          <w:tblCellMar>
            <w:top w:w="0" w:type="dxa"/>
            <w:left w:w="108" w:type="dxa"/>
            <w:bottom w:w="0" w:type="dxa"/>
            <w:right w:w="108" w:type="dxa"/>
          </w:tblCellMar>
        </w:tblPrEx>
        <w:trPr>
          <w:trHeight w:val="300" w:hRule="atLeast"/>
          <w:jc w:val="center"/>
        </w:trPr>
        <w:tc>
          <w:tcPr>
            <w:tcW w:w="1438" w:type="dxa"/>
            <w:vMerge w:val="continue"/>
            <w:tcBorders>
              <w:left w:val="single" w:color="000000" w:sz="12" w:space="0"/>
              <w:right w:val="single" w:color="000000" w:sz="12" w:space="0"/>
            </w:tcBorders>
            <w:noWrap w:val="0"/>
            <w:vAlign w:val="center"/>
          </w:tcPr>
          <w:p w14:paraId="5A18150C">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65D75B62">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3DF4EC8">
            <w:pPr>
              <w:widowControl/>
              <w:rPr>
                <w:rFonts w:hint="eastAsia" w:ascii="宋体" w:hAnsi="宋体" w:cs="宋体"/>
                <w:kern w:val="0"/>
                <w:szCs w:val="21"/>
              </w:rPr>
            </w:pPr>
            <w:r>
              <w:rPr>
                <w:rFonts w:hint="eastAsia" w:ascii="宋体" w:hAnsi="宋体" w:cs="宋体"/>
                <w:kern w:val="0"/>
                <w:szCs w:val="21"/>
                <w:highlight w:val="white"/>
              </w:rPr>
              <w:t>a.投标担保金额不符合招标文件规定的金额；</w:t>
            </w:r>
          </w:p>
        </w:tc>
      </w:tr>
      <w:tr w14:paraId="704E5A9C">
        <w:tblPrEx>
          <w:tblCellMar>
            <w:top w:w="0" w:type="dxa"/>
            <w:left w:w="108" w:type="dxa"/>
            <w:bottom w:w="0" w:type="dxa"/>
            <w:right w:w="108" w:type="dxa"/>
          </w:tblCellMar>
        </w:tblPrEx>
        <w:trPr>
          <w:trHeight w:val="480" w:hRule="atLeast"/>
          <w:jc w:val="center"/>
        </w:trPr>
        <w:tc>
          <w:tcPr>
            <w:tcW w:w="1438" w:type="dxa"/>
            <w:vMerge w:val="continue"/>
            <w:tcBorders>
              <w:left w:val="single" w:color="000000" w:sz="12" w:space="0"/>
              <w:right w:val="single" w:color="000000" w:sz="12" w:space="0"/>
            </w:tcBorders>
            <w:noWrap w:val="0"/>
            <w:vAlign w:val="center"/>
          </w:tcPr>
          <w:p w14:paraId="06287C98">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278E39BD">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644836D8">
            <w:pPr>
              <w:widowControl/>
              <w:rPr>
                <w:rFonts w:hint="eastAsia" w:ascii="宋体" w:hAnsi="宋体" w:cs="宋体"/>
                <w:kern w:val="0"/>
                <w:szCs w:val="21"/>
              </w:rPr>
            </w:pPr>
            <w:r>
              <w:rPr>
                <w:rFonts w:hint="eastAsia" w:ascii="宋体" w:hAnsi="宋体" w:cs="宋体"/>
                <w:kern w:val="0"/>
                <w:szCs w:val="21"/>
                <w:highlight w:val="white"/>
              </w:rPr>
              <w:t>b.若采用转账或电汇，投标人未在投标人须知前附表规定的时间之前将投标担保金一次性汇入或转入招标人指定账户；</w:t>
            </w:r>
          </w:p>
        </w:tc>
      </w:tr>
      <w:tr w14:paraId="1AC03D7C">
        <w:tblPrEx>
          <w:tblCellMar>
            <w:top w:w="0" w:type="dxa"/>
            <w:left w:w="108" w:type="dxa"/>
            <w:bottom w:w="0" w:type="dxa"/>
            <w:right w:w="108" w:type="dxa"/>
          </w:tblCellMar>
        </w:tblPrEx>
        <w:trPr>
          <w:trHeight w:val="480" w:hRule="atLeast"/>
          <w:jc w:val="center"/>
        </w:trPr>
        <w:tc>
          <w:tcPr>
            <w:tcW w:w="1438" w:type="dxa"/>
            <w:vMerge w:val="continue"/>
            <w:tcBorders>
              <w:left w:val="single" w:color="000000" w:sz="12" w:space="0"/>
              <w:right w:val="single" w:color="000000" w:sz="12" w:space="0"/>
            </w:tcBorders>
            <w:noWrap w:val="0"/>
            <w:vAlign w:val="center"/>
          </w:tcPr>
          <w:p w14:paraId="1845A9DC">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2DE6B892">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26095EDB">
            <w:pPr>
              <w:widowControl/>
              <w:rPr>
                <w:rFonts w:hint="eastAsia" w:ascii="宋体" w:hAnsi="宋体" w:cs="宋体"/>
                <w:kern w:val="0"/>
                <w:szCs w:val="21"/>
              </w:rPr>
            </w:pPr>
            <w:r>
              <w:rPr>
                <w:rFonts w:hint="eastAsia" w:ascii="宋体" w:hAnsi="宋体" w:cs="宋体"/>
                <w:kern w:val="0"/>
                <w:szCs w:val="21"/>
                <w:highlight w:val="white"/>
              </w:rPr>
              <w:t>c.投标担保金额不是从投标人的基本账户一次性汇入或转入招标人指定账户；</w:t>
            </w:r>
          </w:p>
        </w:tc>
      </w:tr>
      <w:tr w14:paraId="3DBE25CA">
        <w:tblPrEx>
          <w:tblCellMar>
            <w:top w:w="0" w:type="dxa"/>
            <w:left w:w="108" w:type="dxa"/>
            <w:bottom w:w="0" w:type="dxa"/>
            <w:right w:w="108" w:type="dxa"/>
          </w:tblCellMar>
        </w:tblPrEx>
        <w:trPr>
          <w:trHeight w:val="480" w:hRule="atLeast"/>
          <w:jc w:val="center"/>
        </w:trPr>
        <w:tc>
          <w:tcPr>
            <w:tcW w:w="1438" w:type="dxa"/>
            <w:vMerge w:val="continue"/>
            <w:tcBorders>
              <w:left w:val="single" w:color="000000" w:sz="12" w:space="0"/>
              <w:right w:val="single" w:color="000000" w:sz="12" w:space="0"/>
            </w:tcBorders>
            <w:noWrap w:val="0"/>
            <w:vAlign w:val="center"/>
          </w:tcPr>
          <w:p w14:paraId="70D22D58">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657CEFFC">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BE97C55">
            <w:pPr>
              <w:widowControl/>
              <w:rPr>
                <w:rFonts w:hint="eastAsia" w:ascii="宋体" w:hAnsi="宋体" w:cs="宋体"/>
                <w:kern w:val="0"/>
                <w:szCs w:val="21"/>
              </w:rPr>
            </w:pPr>
            <w:r>
              <w:rPr>
                <w:rFonts w:hint="eastAsia" w:ascii="宋体" w:hAnsi="宋体" w:cs="宋体"/>
                <w:kern w:val="0"/>
                <w:szCs w:val="21"/>
                <w:highlight w:val="white"/>
              </w:rPr>
              <w:t>d.投标银行保函的格式、或时效、或内容、或额度、或递交银行保函原件不满足招标文件规定；</w:t>
            </w:r>
          </w:p>
        </w:tc>
      </w:tr>
      <w:tr w14:paraId="44A45B68">
        <w:tblPrEx>
          <w:tblCellMar>
            <w:top w:w="0" w:type="dxa"/>
            <w:left w:w="108" w:type="dxa"/>
            <w:bottom w:w="0" w:type="dxa"/>
            <w:right w:w="108" w:type="dxa"/>
          </w:tblCellMar>
        </w:tblPrEx>
        <w:trPr>
          <w:trHeight w:val="300" w:hRule="atLeast"/>
          <w:jc w:val="center"/>
        </w:trPr>
        <w:tc>
          <w:tcPr>
            <w:tcW w:w="1438" w:type="dxa"/>
            <w:vMerge w:val="continue"/>
            <w:tcBorders>
              <w:left w:val="single" w:color="000000" w:sz="12" w:space="0"/>
              <w:right w:val="single" w:color="000000" w:sz="12" w:space="0"/>
            </w:tcBorders>
            <w:noWrap w:val="0"/>
            <w:vAlign w:val="center"/>
          </w:tcPr>
          <w:p w14:paraId="758A073A">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2A82B349">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2D92C70F">
            <w:pPr>
              <w:widowControl/>
              <w:rPr>
                <w:rFonts w:hint="eastAsia" w:ascii="宋体" w:hAnsi="宋体" w:cs="宋体"/>
                <w:kern w:val="0"/>
                <w:szCs w:val="21"/>
              </w:rPr>
            </w:pPr>
            <w:r>
              <w:rPr>
                <w:rFonts w:hint="eastAsia" w:ascii="宋体" w:hAnsi="宋体" w:cs="宋体"/>
                <w:kern w:val="0"/>
                <w:szCs w:val="21"/>
                <w:highlight w:val="white"/>
              </w:rPr>
              <w:t>e.投标银行保函弄虚作假的；</w:t>
            </w:r>
          </w:p>
        </w:tc>
      </w:tr>
      <w:tr w14:paraId="0A54B67E">
        <w:tblPrEx>
          <w:tblCellMar>
            <w:top w:w="0" w:type="dxa"/>
            <w:left w:w="108" w:type="dxa"/>
            <w:bottom w:w="0" w:type="dxa"/>
            <w:right w:w="108" w:type="dxa"/>
          </w:tblCellMar>
        </w:tblPrEx>
        <w:trPr>
          <w:trHeight w:val="300" w:hRule="atLeast"/>
          <w:jc w:val="center"/>
        </w:trPr>
        <w:tc>
          <w:tcPr>
            <w:tcW w:w="1438" w:type="dxa"/>
            <w:vMerge w:val="continue"/>
            <w:tcBorders>
              <w:left w:val="single" w:color="000000" w:sz="12" w:space="0"/>
              <w:right w:val="single" w:color="000000" w:sz="12" w:space="0"/>
            </w:tcBorders>
            <w:noWrap w:val="0"/>
            <w:vAlign w:val="center"/>
          </w:tcPr>
          <w:p w14:paraId="11964109">
            <w:pPr>
              <w:widowControl/>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7E28F0D6">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0A3E4329">
            <w:pPr>
              <w:widowControl/>
              <w:rPr>
                <w:rFonts w:hint="eastAsia" w:ascii="宋体" w:hAnsi="宋体" w:cs="宋体"/>
                <w:kern w:val="0"/>
                <w:szCs w:val="21"/>
              </w:rPr>
            </w:pPr>
            <w:r>
              <w:rPr>
                <w:rFonts w:hint="eastAsia" w:ascii="宋体" w:hAnsi="宋体" w:cs="宋体"/>
                <w:kern w:val="0"/>
                <w:szCs w:val="21"/>
                <w:highlight w:val="white"/>
              </w:rPr>
              <w:t>f.开具投标银行保函的开具银行不符合招标文件规定的。</w:t>
            </w:r>
          </w:p>
        </w:tc>
      </w:tr>
      <w:tr w14:paraId="247FBBAE">
        <w:tblPrEx>
          <w:tblCellMar>
            <w:top w:w="0" w:type="dxa"/>
            <w:left w:w="108" w:type="dxa"/>
            <w:bottom w:w="0" w:type="dxa"/>
            <w:right w:w="108" w:type="dxa"/>
          </w:tblCellMar>
        </w:tblPrEx>
        <w:trPr>
          <w:trHeight w:val="525" w:hRule="atLeast"/>
          <w:jc w:val="center"/>
        </w:trPr>
        <w:tc>
          <w:tcPr>
            <w:tcW w:w="1438" w:type="dxa"/>
            <w:vMerge w:val="continue"/>
            <w:tcBorders>
              <w:left w:val="single" w:color="000000" w:sz="12" w:space="0"/>
              <w:bottom w:val="single" w:color="000000" w:sz="12" w:space="0"/>
              <w:right w:val="single" w:color="000000" w:sz="12" w:space="0"/>
            </w:tcBorders>
            <w:noWrap w:val="0"/>
            <w:vAlign w:val="center"/>
          </w:tcPr>
          <w:p w14:paraId="23E34071">
            <w:pPr>
              <w:widowControl/>
              <w:rPr>
                <w:rFonts w:hint="eastAsia" w:ascii="宋体" w:hAnsi="宋体" w:cs="宋体"/>
                <w:kern w:val="0"/>
                <w:szCs w:val="21"/>
              </w:rPr>
            </w:pPr>
          </w:p>
        </w:tc>
        <w:tc>
          <w:tcPr>
            <w:tcW w:w="1843" w:type="dxa"/>
            <w:vMerge w:val="continue"/>
            <w:tcBorders>
              <w:left w:val="single" w:color="000000" w:sz="12" w:space="0"/>
              <w:bottom w:val="single" w:color="000000" w:sz="12" w:space="0"/>
              <w:right w:val="single" w:color="000000" w:sz="12" w:space="0"/>
            </w:tcBorders>
            <w:noWrap w:val="0"/>
            <w:vAlign w:val="center"/>
          </w:tcPr>
          <w:p w14:paraId="39CCBABD">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130FA2B7">
            <w:pPr>
              <w:widowControl/>
              <w:rPr>
                <w:rFonts w:hint="eastAsia" w:ascii="宋体" w:hAnsi="宋体" w:cs="宋体"/>
                <w:kern w:val="0"/>
                <w:szCs w:val="21"/>
              </w:rPr>
            </w:pPr>
            <w:r>
              <w:rPr>
                <w:rFonts w:hint="eastAsia" w:ascii="宋体" w:hAnsi="宋体" w:cs="宋体"/>
                <w:kern w:val="0"/>
                <w:szCs w:val="21"/>
                <w:highlight w:val="white"/>
              </w:rPr>
              <w:t>（3）投标人如有分包计划，没有按第九章“投标文件格式”的要求填写“拟分包项目情况表”；</w:t>
            </w:r>
          </w:p>
        </w:tc>
      </w:tr>
      <w:tr w14:paraId="0FE69ADB">
        <w:tblPrEx>
          <w:tblCellMar>
            <w:top w:w="0" w:type="dxa"/>
            <w:left w:w="108" w:type="dxa"/>
            <w:bottom w:w="0" w:type="dxa"/>
            <w:right w:w="108" w:type="dxa"/>
          </w:tblCellMar>
        </w:tblPrEx>
        <w:trPr>
          <w:trHeight w:val="3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A0A90A9">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79CE2BF3">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538ACAAB">
            <w:pPr>
              <w:widowControl/>
              <w:rPr>
                <w:rFonts w:hint="eastAsia" w:ascii="宋体" w:hAnsi="宋体" w:cs="宋体"/>
                <w:kern w:val="0"/>
                <w:szCs w:val="21"/>
              </w:rPr>
            </w:pPr>
            <w:r>
              <w:rPr>
                <w:rFonts w:hint="eastAsia" w:ascii="宋体" w:hAnsi="宋体" w:cs="宋体"/>
                <w:kern w:val="0"/>
                <w:szCs w:val="21"/>
                <w:highlight w:val="white"/>
              </w:rPr>
              <w:t>（4）投标文件载明的招标项目完成期限超过招标文件规定的时限；</w:t>
            </w:r>
          </w:p>
        </w:tc>
      </w:tr>
      <w:tr w14:paraId="407C4A55">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805FC22">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087B3F5">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67628357">
            <w:pPr>
              <w:widowControl/>
              <w:rPr>
                <w:rFonts w:hint="eastAsia" w:ascii="宋体" w:hAnsi="宋体" w:cs="宋体"/>
                <w:kern w:val="0"/>
                <w:szCs w:val="21"/>
              </w:rPr>
            </w:pPr>
            <w:r>
              <w:rPr>
                <w:rFonts w:hint="eastAsia" w:ascii="宋体" w:hAnsi="宋体" w:cs="宋体"/>
                <w:kern w:val="0"/>
                <w:szCs w:val="21"/>
                <w:highlight w:val="white"/>
              </w:rPr>
              <w:t>（5）投标文件附有招标人不能接受的条件；</w:t>
            </w:r>
          </w:p>
        </w:tc>
      </w:tr>
      <w:tr w14:paraId="0C96FEDD">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A5C8E40">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7CA247B">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28877805">
            <w:pPr>
              <w:widowControl/>
              <w:rPr>
                <w:rFonts w:hint="eastAsia" w:ascii="宋体" w:hAnsi="宋体" w:cs="宋体"/>
                <w:kern w:val="0"/>
                <w:szCs w:val="21"/>
              </w:rPr>
            </w:pPr>
            <w:r>
              <w:rPr>
                <w:rFonts w:hint="eastAsia" w:ascii="宋体" w:hAnsi="宋体" w:cs="宋体"/>
                <w:kern w:val="0"/>
                <w:szCs w:val="21"/>
                <w:highlight w:val="white"/>
              </w:rPr>
              <w:t>（6）投标文件弄虚作假的，或投标人</w:t>
            </w:r>
            <w:r>
              <w:rPr>
                <w:rFonts w:hint="eastAsia" w:ascii="宋体" w:hAnsi="宋体" w:cs="宋体"/>
                <w:szCs w:val="21"/>
                <w:highlight w:val="white"/>
              </w:rPr>
              <w:t>业绩在“全国公路建设市场信用信息管理系统”或“福建省交通公路水运建设与运输市场信用信息管理系统（信用交通·福建 ）”中无法查询的</w:t>
            </w:r>
            <w:r>
              <w:rPr>
                <w:rFonts w:hint="eastAsia" w:ascii="宋体" w:hAnsi="宋体" w:cs="宋体"/>
                <w:kern w:val="0"/>
                <w:szCs w:val="21"/>
                <w:highlight w:val="white"/>
              </w:rPr>
              <w:t>；</w:t>
            </w:r>
          </w:p>
        </w:tc>
      </w:tr>
      <w:tr w14:paraId="316D5406">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1D5A0C5">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77336A39">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130EA16F">
            <w:pPr>
              <w:widowControl/>
              <w:rPr>
                <w:rFonts w:hint="eastAsia" w:ascii="宋体" w:hAnsi="宋体" w:cs="宋体"/>
                <w:kern w:val="0"/>
                <w:szCs w:val="21"/>
              </w:rPr>
            </w:pPr>
            <w:r>
              <w:rPr>
                <w:rFonts w:hint="eastAsia" w:ascii="宋体" w:hAnsi="宋体" w:cs="宋体"/>
                <w:kern w:val="0"/>
                <w:szCs w:val="21"/>
                <w:highlight w:val="white"/>
              </w:rPr>
              <w:t>（7）反映投标文件个性特征的内容出现明显雷同的；</w:t>
            </w:r>
          </w:p>
        </w:tc>
      </w:tr>
      <w:tr w14:paraId="4CC78198">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70A1CD2B">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2E9A2B6C">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293C3D5">
            <w:pPr>
              <w:widowControl/>
              <w:rPr>
                <w:rFonts w:hint="eastAsia" w:ascii="宋体" w:hAnsi="宋体" w:cs="宋体"/>
                <w:kern w:val="0"/>
                <w:szCs w:val="21"/>
              </w:rPr>
            </w:pPr>
            <w:r>
              <w:rPr>
                <w:rFonts w:hint="eastAsia" w:ascii="宋体" w:hAnsi="宋体" w:cs="宋体"/>
                <w:kern w:val="0"/>
                <w:szCs w:val="21"/>
                <w:highlight w:val="white"/>
              </w:rPr>
              <w:t>（8）不按评标委员会的要求进行澄清、说明或补正；</w:t>
            </w:r>
          </w:p>
        </w:tc>
      </w:tr>
      <w:tr w14:paraId="35052393">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D55902B">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17105529">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47A9855">
            <w:pPr>
              <w:widowControl/>
              <w:rPr>
                <w:rFonts w:hint="eastAsia" w:ascii="宋体" w:hAnsi="宋体" w:cs="宋体"/>
                <w:kern w:val="0"/>
                <w:szCs w:val="21"/>
              </w:rPr>
            </w:pPr>
            <w:r>
              <w:rPr>
                <w:rFonts w:hint="eastAsia" w:ascii="宋体" w:hAnsi="宋体" w:cs="宋体"/>
                <w:kern w:val="0"/>
                <w:szCs w:val="21"/>
                <w:highlight w:val="white"/>
              </w:rPr>
              <w:t>（9）权利义务不符合招标文件规定：</w:t>
            </w:r>
          </w:p>
        </w:tc>
      </w:tr>
      <w:tr w14:paraId="2112AB38">
        <w:tblPrEx>
          <w:tblCellMar>
            <w:top w:w="0" w:type="dxa"/>
            <w:left w:w="108" w:type="dxa"/>
            <w:bottom w:w="0" w:type="dxa"/>
            <w:right w:w="108" w:type="dxa"/>
          </w:tblCellMar>
        </w:tblPrEx>
        <w:trPr>
          <w:trHeight w:val="4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48A0673C">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E2D6DD6">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204AA827">
            <w:pPr>
              <w:widowControl/>
              <w:rPr>
                <w:rFonts w:hint="eastAsia" w:ascii="宋体" w:hAnsi="宋体" w:cs="宋体"/>
                <w:kern w:val="0"/>
                <w:szCs w:val="21"/>
              </w:rPr>
            </w:pPr>
            <w:r>
              <w:rPr>
                <w:rFonts w:hint="eastAsia" w:ascii="宋体" w:hAnsi="宋体" w:cs="宋体"/>
                <w:kern w:val="0"/>
                <w:szCs w:val="21"/>
                <w:highlight w:val="white"/>
              </w:rPr>
              <w:t>a.投标人不接受招标文件规定的风险划分原则，提出新的风险划分办法；</w:t>
            </w:r>
          </w:p>
        </w:tc>
      </w:tr>
      <w:tr w14:paraId="3619BB46">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0F9C439E">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18ED9FE1">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58EEB7C1">
            <w:pPr>
              <w:widowControl/>
              <w:rPr>
                <w:rFonts w:hint="eastAsia" w:ascii="宋体" w:hAnsi="宋体" w:cs="宋体"/>
                <w:kern w:val="0"/>
                <w:szCs w:val="21"/>
              </w:rPr>
            </w:pPr>
            <w:r>
              <w:rPr>
                <w:rFonts w:hint="eastAsia" w:ascii="宋体" w:hAnsi="宋体" w:cs="宋体"/>
                <w:kern w:val="0"/>
                <w:szCs w:val="21"/>
                <w:highlight w:val="white"/>
              </w:rPr>
              <w:t>b.投标人增加发包人的责任范围，或减少投标人义务；</w:t>
            </w:r>
          </w:p>
        </w:tc>
      </w:tr>
      <w:tr w14:paraId="11454D05">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BBB112A">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87050AE">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6DC854F6">
            <w:pPr>
              <w:widowControl/>
              <w:rPr>
                <w:rFonts w:hint="eastAsia" w:ascii="宋体" w:hAnsi="宋体" w:cs="宋体"/>
                <w:kern w:val="0"/>
                <w:szCs w:val="21"/>
              </w:rPr>
            </w:pPr>
            <w:r>
              <w:rPr>
                <w:rFonts w:hint="eastAsia" w:ascii="宋体" w:hAnsi="宋体" w:cs="宋体"/>
                <w:kern w:val="0"/>
                <w:szCs w:val="21"/>
                <w:highlight w:val="white"/>
              </w:rPr>
              <w:t>c.投标人提出不同的工程验收、计量、支付办法；</w:t>
            </w:r>
          </w:p>
        </w:tc>
      </w:tr>
      <w:tr w14:paraId="48BE2E5D">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1A0004AA">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7951A038">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57DBB1CF">
            <w:pPr>
              <w:widowControl/>
              <w:rPr>
                <w:rFonts w:hint="eastAsia" w:ascii="宋体" w:hAnsi="宋体" w:cs="宋体"/>
                <w:kern w:val="0"/>
                <w:szCs w:val="21"/>
              </w:rPr>
            </w:pPr>
            <w:r>
              <w:rPr>
                <w:rFonts w:hint="eastAsia" w:ascii="宋体" w:hAnsi="宋体" w:cs="宋体"/>
                <w:kern w:val="0"/>
                <w:szCs w:val="21"/>
                <w:highlight w:val="white"/>
              </w:rPr>
              <w:t>d.投标人对合同纠纷、事故处理办法提出异议；</w:t>
            </w:r>
          </w:p>
        </w:tc>
      </w:tr>
      <w:tr w14:paraId="088B4742">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89B335B">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19FC9ACF">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3618B219">
            <w:pPr>
              <w:widowControl/>
              <w:rPr>
                <w:rFonts w:hint="eastAsia" w:ascii="宋体" w:hAnsi="宋体" w:cs="宋体"/>
                <w:kern w:val="0"/>
                <w:szCs w:val="21"/>
              </w:rPr>
            </w:pPr>
            <w:r>
              <w:rPr>
                <w:rFonts w:hint="eastAsia" w:ascii="宋体" w:hAnsi="宋体" w:cs="宋体"/>
                <w:kern w:val="0"/>
                <w:szCs w:val="21"/>
                <w:highlight w:val="white"/>
              </w:rPr>
              <w:t>e.投标人在投标活动中有欺诈行为；</w:t>
            </w:r>
          </w:p>
        </w:tc>
      </w:tr>
      <w:tr w14:paraId="648FBA9F">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0CA72ACE">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B3638D7">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D174054">
            <w:pPr>
              <w:widowControl/>
              <w:rPr>
                <w:rFonts w:hint="eastAsia" w:ascii="宋体" w:hAnsi="宋体" w:cs="宋体"/>
                <w:kern w:val="0"/>
                <w:szCs w:val="21"/>
              </w:rPr>
            </w:pPr>
            <w:r>
              <w:rPr>
                <w:rFonts w:hint="eastAsia" w:ascii="宋体" w:hAnsi="宋体" w:cs="宋体"/>
                <w:kern w:val="0"/>
                <w:szCs w:val="21"/>
                <w:highlight w:val="white"/>
              </w:rPr>
              <w:t>f.投标人对合同条款有重要保留。</w:t>
            </w:r>
          </w:p>
        </w:tc>
      </w:tr>
      <w:tr w14:paraId="52F2A324">
        <w:tblPrEx>
          <w:tblCellMar>
            <w:top w:w="0" w:type="dxa"/>
            <w:left w:w="108" w:type="dxa"/>
            <w:bottom w:w="0" w:type="dxa"/>
            <w:right w:w="108" w:type="dxa"/>
          </w:tblCellMar>
        </w:tblPrEx>
        <w:trPr>
          <w:trHeight w:val="4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0B78543">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B777E18">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0FCD2804">
            <w:pPr>
              <w:widowControl/>
              <w:rPr>
                <w:rFonts w:hint="eastAsia" w:ascii="宋体" w:hAnsi="宋体" w:cs="宋体"/>
                <w:kern w:val="0"/>
                <w:szCs w:val="21"/>
              </w:rPr>
            </w:pPr>
            <w:r>
              <w:rPr>
                <w:rFonts w:hint="eastAsia" w:ascii="宋体" w:hAnsi="宋体" w:cs="宋体"/>
                <w:kern w:val="0"/>
                <w:szCs w:val="21"/>
                <w:highlight w:val="white"/>
              </w:rPr>
              <w:t>2.投标报价和工程量清单文件存在下列情形之一的，按重大偏差处理，存在的其他问题和不明确之处，按细微偏差处理：</w:t>
            </w:r>
          </w:p>
        </w:tc>
      </w:tr>
      <w:tr w14:paraId="62DBD956">
        <w:tblPrEx>
          <w:tblCellMar>
            <w:top w:w="0" w:type="dxa"/>
            <w:left w:w="108" w:type="dxa"/>
            <w:bottom w:w="0" w:type="dxa"/>
            <w:right w:w="108" w:type="dxa"/>
          </w:tblCellMar>
        </w:tblPrEx>
        <w:trPr>
          <w:trHeight w:val="4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61BAFA9">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4FCFECBC">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24568D79">
            <w:pPr>
              <w:widowControl/>
              <w:rPr>
                <w:rFonts w:hint="eastAsia" w:ascii="宋体" w:hAnsi="宋体" w:cs="宋体"/>
                <w:kern w:val="0"/>
                <w:szCs w:val="21"/>
              </w:rPr>
            </w:pPr>
            <w:r>
              <w:rPr>
                <w:rFonts w:hint="eastAsia" w:ascii="宋体" w:hAnsi="宋体" w:cs="宋体"/>
                <w:kern w:val="0"/>
                <w:szCs w:val="21"/>
                <w:highlight w:val="white"/>
              </w:rPr>
              <w:t>（1）未按照招标文件的要求填投标总报价或投标价；或未对同一组内的所有标段进行投标并报价的；</w:t>
            </w:r>
          </w:p>
        </w:tc>
      </w:tr>
      <w:tr w14:paraId="24727B0D">
        <w:tblPrEx>
          <w:tblCellMar>
            <w:top w:w="0" w:type="dxa"/>
            <w:left w:w="108" w:type="dxa"/>
            <w:bottom w:w="0" w:type="dxa"/>
            <w:right w:w="108" w:type="dxa"/>
          </w:tblCellMar>
        </w:tblPrEx>
        <w:trPr>
          <w:trHeight w:val="4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92ECDED">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24B286E">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3FAF61A0">
            <w:pPr>
              <w:widowControl/>
              <w:rPr>
                <w:rFonts w:hint="eastAsia" w:ascii="宋体" w:hAnsi="宋体" w:cs="宋体"/>
                <w:kern w:val="0"/>
                <w:szCs w:val="21"/>
              </w:rPr>
            </w:pPr>
            <w:r>
              <w:rPr>
                <w:rFonts w:hint="eastAsia" w:ascii="宋体" w:hAnsi="宋体" w:cs="宋体"/>
                <w:kern w:val="0"/>
                <w:szCs w:val="21"/>
                <w:highlight w:val="white"/>
              </w:rPr>
              <w:t>（2）报价文件未按照招标文件规定的格式、内容和要求填写，投标附件无法辨认的，造成对招标文件实质性不响应的：</w:t>
            </w:r>
          </w:p>
        </w:tc>
      </w:tr>
      <w:tr w14:paraId="1D88A612">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4F4759F1">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27F5351">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14FD9A2B">
            <w:pPr>
              <w:widowControl/>
              <w:rPr>
                <w:rFonts w:hint="eastAsia" w:ascii="宋体" w:hAnsi="宋体" w:cs="宋体"/>
                <w:kern w:val="0"/>
                <w:szCs w:val="21"/>
              </w:rPr>
            </w:pPr>
            <w:r>
              <w:rPr>
                <w:rFonts w:hint="eastAsia" w:ascii="宋体" w:hAnsi="宋体" w:cs="宋体"/>
                <w:kern w:val="0"/>
                <w:szCs w:val="21"/>
                <w:highlight w:val="white"/>
              </w:rPr>
              <w:t>a.投标函未按招标文件规定填报投标总报价或投标价；</w:t>
            </w:r>
          </w:p>
        </w:tc>
      </w:tr>
      <w:tr w14:paraId="345B655D">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7FEDF6C7">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23F8B41F">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6A6BC64C">
            <w:pPr>
              <w:widowControl/>
              <w:rPr>
                <w:rFonts w:hint="eastAsia" w:ascii="宋体" w:hAnsi="宋体" w:cs="宋体"/>
                <w:kern w:val="0"/>
                <w:szCs w:val="21"/>
              </w:rPr>
            </w:pPr>
            <w:r>
              <w:rPr>
                <w:rFonts w:hint="eastAsia" w:ascii="宋体" w:hAnsi="宋体" w:cs="宋体"/>
                <w:kern w:val="0"/>
                <w:szCs w:val="21"/>
                <w:highlight w:val="white"/>
              </w:rPr>
              <w:t>b.投标文件组成不完整，内容未按规定填写。</w:t>
            </w:r>
          </w:p>
        </w:tc>
      </w:tr>
      <w:tr w14:paraId="6EE85245">
        <w:tblPrEx>
          <w:tblCellMar>
            <w:top w:w="0" w:type="dxa"/>
            <w:left w:w="108" w:type="dxa"/>
            <w:bottom w:w="0" w:type="dxa"/>
            <w:right w:w="108" w:type="dxa"/>
          </w:tblCellMar>
        </w:tblPrEx>
        <w:trPr>
          <w:trHeight w:val="4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761A49EC">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ED6AE77">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5358B0C4">
            <w:pPr>
              <w:widowControl/>
              <w:rPr>
                <w:rFonts w:hint="eastAsia" w:ascii="宋体" w:hAnsi="宋体" w:cs="宋体"/>
                <w:kern w:val="0"/>
                <w:szCs w:val="21"/>
              </w:rPr>
            </w:pPr>
            <w:r>
              <w:rPr>
                <w:rFonts w:hint="eastAsia" w:ascii="宋体" w:hAnsi="宋体" w:cs="宋体"/>
                <w:kern w:val="0"/>
                <w:szCs w:val="21"/>
                <w:highlight w:val="white"/>
              </w:rPr>
              <w:t>（3）投标人擅自修改招标人提供的工程量清单中的数据、格式及运算定义或提供的格式不符合规定的；</w:t>
            </w:r>
          </w:p>
        </w:tc>
      </w:tr>
      <w:tr w14:paraId="189712F3">
        <w:tblPrEx>
          <w:tblCellMar>
            <w:top w:w="0" w:type="dxa"/>
            <w:left w:w="108" w:type="dxa"/>
            <w:bottom w:w="0" w:type="dxa"/>
            <w:right w:w="108" w:type="dxa"/>
          </w:tblCellMar>
        </w:tblPrEx>
        <w:trPr>
          <w:trHeight w:val="34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488D0E2">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18351F1">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20F645DE">
            <w:pPr>
              <w:widowControl/>
              <w:rPr>
                <w:rFonts w:hint="eastAsia" w:ascii="宋体" w:hAnsi="宋体" w:cs="宋体"/>
                <w:kern w:val="0"/>
                <w:szCs w:val="21"/>
              </w:rPr>
            </w:pPr>
            <w:r>
              <w:rPr>
                <w:rFonts w:hint="eastAsia" w:ascii="宋体" w:hAnsi="宋体" w:cs="宋体"/>
                <w:kern w:val="0"/>
                <w:szCs w:val="21"/>
                <w:highlight w:val="white"/>
              </w:rPr>
              <w:t>（4）投标报价函和报价文件上投标人的签章不符合招标文件规定的：</w:t>
            </w:r>
          </w:p>
        </w:tc>
      </w:tr>
      <w:tr w14:paraId="42B38314">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44D5E481">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2468098">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DABFF20">
            <w:pPr>
              <w:widowControl/>
              <w:rPr>
                <w:rFonts w:hint="eastAsia" w:ascii="宋体" w:hAnsi="宋体" w:cs="宋体"/>
                <w:kern w:val="0"/>
                <w:szCs w:val="21"/>
              </w:rPr>
            </w:pPr>
            <w:r>
              <w:rPr>
                <w:rFonts w:hint="eastAsia" w:ascii="宋体" w:hAnsi="宋体" w:cs="宋体"/>
                <w:kern w:val="0"/>
                <w:szCs w:val="21"/>
                <w:highlight w:val="white"/>
              </w:rPr>
              <w:t xml:space="preserve">（5）报价文件有多个投标总报价或投标价，或提交了选择性报价； </w:t>
            </w:r>
          </w:p>
        </w:tc>
      </w:tr>
      <w:tr w14:paraId="06679D0E">
        <w:tblPrEx>
          <w:tblCellMar>
            <w:top w:w="0" w:type="dxa"/>
            <w:left w:w="108" w:type="dxa"/>
            <w:bottom w:w="0" w:type="dxa"/>
            <w:right w:w="108" w:type="dxa"/>
          </w:tblCellMar>
        </w:tblPrEx>
        <w:trPr>
          <w:trHeight w:val="515"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8F78EFA">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8B56FFA">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0E9C1FB5">
            <w:pPr>
              <w:widowControl/>
              <w:rPr>
                <w:rFonts w:hint="eastAsia" w:ascii="宋体" w:hAnsi="宋体" w:cs="宋体"/>
                <w:kern w:val="0"/>
                <w:szCs w:val="21"/>
              </w:rPr>
            </w:pPr>
            <w:r>
              <w:rPr>
                <w:rFonts w:hint="eastAsia" w:ascii="宋体" w:hAnsi="宋体" w:cs="宋体"/>
                <w:kern w:val="0"/>
                <w:szCs w:val="21"/>
                <w:highlight w:val="white"/>
              </w:rPr>
              <w:t>（6）投标人的投标总报价高于招标人最高限价的，或修正后的投标价与原投标价相比偏差在1％及以上的；</w:t>
            </w:r>
          </w:p>
        </w:tc>
      </w:tr>
      <w:tr w14:paraId="3434E357">
        <w:tblPrEx>
          <w:tblCellMar>
            <w:top w:w="0" w:type="dxa"/>
            <w:left w:w="108" w:type="dxa"/>
            <w:bottom w:w="0" w:type="dxa"/>
            <w:right w:w="108" w:type="dxa"/>
          </w:tblCellMar>
        </w:tblPrEx>
        <w:trPr>
          <w:trHeight w:val="4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2D127F9C">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3864505F">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44DC67CF">
            <w:pPr>
              <w:widowControl/>
              <w:rPr>
                <w:rFonts w:hint="eastAsia" w:ascii="宋体" w:hAnsi="宋体" w:cs="宋体"/>
                <w:kern w:val="0"/>
                <w:szCs w:val="21"/>
              </w:rPr>
            </w:pPr>
            <w:r>
              <w:rPr>
                <w:rFonts w:hint="eastAsia" w:ascii="宋体" w:hAnsi="宋体" w:cs="宋体"/>
                <w:kern w:val="0"/>
                <w:szCs w:val="21"/>
                <w:highlight w:val="white"/>
              </w:rPr>
              <w:t>（7）工伤保险费、公路部分的安全生产费用、施工标准化专项费用；市政部分的安全文明施工费率（如有）不符合招标文件的规定的；</w:t>
            </w:r>
          </w:p>
        </w:tc>
      </w:tr>
      <w:tr w14:paraId="173381D6">
        <w:tblPrEx>
          <w:tblCellMar>
            <w:top w:w="0" w:type="dxa"/>
            <w:left w:w="108" w:type="dxa"/>
            <w:bottom w:w="0" w:type="dxa"/>
            <w:right w:w="108" w:type="dxa"/>
          </w:tblCellMar>
        </w:tblPrEx>
        <w:trPr>
          <w:trHeight w:val="277"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960197F">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4CA15999">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7D96E1F2">
            <w:pPr>
              <w:widowControl/>
              <w:rPr>
                <w:rFonts w:hint="eastAsia" w:ascii="宋体" w:hAnsi="宋体" w:cs="宋体"/>
                <w:kern w:val="0"/>
                <w:szCs w:val="21"/>
              </w:rPr>
            </w:pPr>
            <w:r>
              <w:rPr>
                <w:rFonts w:hint="eastAsia" w:ascii="宋体" w:hAnsi="宋体" w:cs="宋体"/>
                <w:kern w:val="0"/>
                <w:szCs w:val="21"/>
                <w:highlight w:val="white"/>
              </w:rPr>
              <w:t>（8）不同投标人之间的投标报价明显雷同、或报价相关性强的；</w:t>
            </w:r>
          </w:p>
        </w:tc>
      </w:tr>
      <w:tr w14:paraId="1639E9D5">
        <w:tblPrEx>
          <w:tblCellMar>
            <w:top w:w="0" w:type="dxa"/>
            <w:left w:w="108" w:type="dxa"/>
            <w:bottom w:w="0" w:type="dxa"/>
            <w:right w:w="108" w:type="dxa"/>
          </w:tblCellMar>
        </w:tblPrEx>
        <w:trPr>
          <w:trHeight w:val="30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60821E23">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5190BEFA">
            <w:pPr>
              <w:widowControl/>
              <w:rPr>
                <w:rFonts w:hint="eastAsia" w:ascii="宋体" w:hAnsi="宋体" w:cs="宋体"/>
                <w:kern w:val="0"/>
                <w:szCs w:val="21"/>
              </w:rPr>
            </w:pPr>
          </w:p>
        </w:tc>
        <w:tc>
          <w:tcPr>
            <w:tcW w:w="5861" w:type="dxa"/>
            <w:tcBorders>
              <w:left w:val="nil"/>
              <w:right w:val="single" w:color="000000" w:sz="12" w:space="0"/>
            </w:tcBorders>
            <w:noWrap w:val="0"/>
            <w:vAlign w:val="center"/>
          </w:tcPr>
          <w:p w14:paraId="230E4154">
            <w:pPr>
              <w:widowControl/>
              <w:rPr>
                <w:rFonts w:hint="eastAsia" w:ascii="宋体" w:hAnsi="宋体" w:cs="宋体"/>
                <w:kern w:val="0"/>
                <w:szCs w:val="21"/>
              </w:rPr>
            </w:pPr>
            <w:r>
              <w:rPr>
                <w:rFonts w:hint="eastAsia" w:ascii="宋体" w:hAnsi="宋体" w:cs="宋体"/>
                <w:kern w:val="0"/>
                <w:szCs w:val="21"/>
                <w:highlight w:val="white"/>
              </w:rPr>
              <w:t>（9）不按评标委员会的要求进行澄清、说明或补正；</w:t>
            </w:r>
          </w:p>
          <w:p w14:paraId="37185D4D">
            <w:pPr>
              <w:widowControl/>
              <w:rPr>
                <w:rFonts w:hint="eastAsia" w:ascii="宋体" w:hAnsi="宋体" w:cs="宋体"/>
                <w:kern w:val="0"/>
                <w:szCs w:val="21"/>
              </w:rPr>
            </w:pPr>
            <w:r>
              <w:rPr>
                <w:rFonts w:hint="eastAsia" w:ascii="宋体" w:hAnsi="宋体" w:cs="宋体"/>
                <w:kern w:val="0"/>
                <w:szCs w:val="21"/>
                <w:highlight w:val="white"/>
              </w:rPr>
              <w:t>（10）暂列金额、暂估价不按招标工程量清单规定填写的；</w:t>
            </w:r>
          </w:p>
          <w:p w14:paraId="7778698F">
            <w:pPr>
              <w:widowControl/>
              <w:rPr>
                <w:rFonts w:hint="eastAsia" w:ascii="宋体" w:hAnsi="宋体" w:cs="宋体"/>
                <w:kern w:val="0"/>
                <w:szCs w:val="21"/>
              </w:rPr>
            </w:pPr>
            <w:r>
              <w:rPr>
                <w:rFonts w:hint="eastAsia" w:ascii="宋体" w:hAnsi="宋体" w:cs="宋体"/>
                <w:kern w:val="0"/>
                <w:szCs w:val="21"/>
                <w:highlight w:val="white"/>
              </w:rPr>
              <w:t>（11）市政清单项目编码、项目名称、项目特征、计量单位、工程量与招标工程量清单相应内容不一致的（如有）。</w:t>
            </w:r>
          </w:p>
        </w:tc>
      </w:tr>
      <w:tr w14:paraId="519804C7">
        <w:tblPrEx>
          <w:tblCellMar>
            <w:top w:w="0" w:type="dxa"/>
            <w:left w:w="108" w:type="dxa"/>
            <w:bottom w:w="0" w:type="dxa"/>
            <w:right w:w="108" w:type="dxa"/>
          </w:tblCellMar>
        </w:tblPrEx>
        <w:trPr>
          <w:trHeight w:val="480" w:hRule="atLeast"/>
          <w:jc w:val="center"/>
        </w:trPr>
        <w:tc>
          <w:tcPr>
            <w:tcW w:w="1438"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44FC0F0F">
            <w:pPr>
              <w:widowControl/>
              <w:rPr>
                <w:rFonts w:hint="eastAsia" w:ascii="宋体" w:hAnsi="宋体" w:cs="宋体"/>
                <w:kern w:val="0"/>
                <w:szCs w:val="21"/>
              </w:rPr>
            </w:pPr>
          </w:p>
        </w:tc>
        <w:tc>
          <w:tcPr>
            <w:tcW w:w="1843" w:type="dxa"/>
            <w:vMerge w:val="continue"/>
            <w:tcBorders>
              <w:top w:val="single" w:color="000000" w:sz="12" w:space="0"/>
              <w:left w:val="single" w:color="000000" w:sz="12" w:space="0"/>
              <w:bottom w:val="single" w:color="000000" w:sz="12" w:space="0"/>
              <w:right w:val="single" w:color="000000" w:sz="12" w:space="0"/>
            </w:tcBorders>
            <w:noWrap w:val="0"/>
            <w:vAlign w:val="center"/>
          </w:tcPr>
          <w:p w14:paraId="4A0E1320">
            <w:pPr>
              <w:widowControl/>
              <w:rPr>
                <w:rFonts w:hint="eastAsia" w:ascii="宋体" w:hAnsi="宋体" w:cs="宋体"/>
                <w:kern w:val="0"/>
                <w:szCs w:val="21"/>
              </w:rPr>
            </w:pPr>
          </w:p>
        </w:tc>
        <w:tc>
          <w:tcPr>
            <w:tcW w:w="5861" w:type="dxa"/>
            <w:tcBorders>
              <w:left w:val="nil"/>
              <w:bottom w:val="single" w:color="000000" w:sz="12" w:space="0"/>
              <w:right w:val="single" w:color="000000" w:sz="12" w:space="0"/>
            </w:tcBorders>
            <w:noWrap w:val="0"/>
            <w:vAlign w:val="center"/>
          </w:tcPr>
          <w:p w14:paraId="08C6E334">
            <w:pPr>
              <w:widowControl/>
              <w:rPr>
                <w:rFonts w:hint="eastAsia" w:ascii="宋体" w:hAnsi="宋体" w:cs="宋体"/>
                <w:kern w:val="0"/>
                <w:szCs w:val="21"/>
              </w:rPr>
            </w:pPr>
            <w:r>
              <w:rPr>
                <w:rFonts w:hint="eastAsia" w:ascii="宋体" w:hAnsi="宋体" w:cs="宋体"/>
                <w:kern w:val="0"/>
                <w:szCs w:val="21"/>
                <w:highlight w:val="white"/>
              </w:rPr>
              <w:t>3.如果有证据显示投标人以他人名义投标、与他人串通投标、以非法手段谋取中标，其投标无效，按否决投标处理。</w:t>
            </w:r>
          </w:p>
        </w:tc>
      </w:tr>
      <w:tr w14:paraId="74F24EEA">
        <w:tblPrEx>
          <w:tblCellMar>
            <w:top w:w="0" w:type="dxa"/>
            <w:left w:w="108" w:type="dxa"/>
            <w:bottom w:w="0" w:type="dxa"/>
            <w:right w:w="108" w:type="dxa"/>
          </w:tblCellMar>
        </w:tblPrEx>
        <w:trPr>
          <w:trHeight w:val="480" w:hRule="atLeast"/>
          <w:jc w:val="center"/>
        </w:trPr>
        <w:tc>
          <w:tcPr>
            <w:tcW w:w="1438" w:type="dxa"/>
            <w:vMerge w:val="restart"/>
            <w:tcBorders>
              <w:top w:val="single" w:color="000000" w:sz="12" w:space="0"/>
              <w:left w:val="single" w:color="000000" w:sz="12" w:space="0"/>
              <w:right w:val="single" w:color="000000" w:sz="12" w:space="0"/>
            </w:tcBorders>
            <w:noWrap w:val="0"/>
            <w:vAlign w:val="center"/>
          </w:tcPr>
          <w:p w14:paraId="0CC5D131">
            <w:pPr>
              <w:widowControl/>
              <w:jc w:val="center"/>
              <w:rPr>
                <w:rFonts w:hint="eastAsia" w:ascii="宋体" w:hAnsi="宋体" w:cs="宋体"/>
                <w:kern w:val="0"/>
                <w:szCs w:val="21"/>
              </w:rPr>
            </w:pPr>
            <w:r>
              <w:rPr>
                <w:rFonts w:hint="eastAsia" w:ascii="宋体" w:hAnsi="宋体" w:cs="宋体"/>
                <w:kern w:val="0"/>
                <w:szCs w:val="21"/>
                <w:highlight w:val="white"/>
              </w:rPr>
              <w:t>2.1.2</w:t>
            </w:r>
          </w:p>
        </w:tc>
        <w:tc>
          <w:tcPr>
            <w:tcW w:w="1843" w:type="dxa"/>
            <w:vMerge w:val="restart"/>
            <w:tcBorders>
              <w:top w:val="single" w:color="000000" w:sz="12" w:space="0"/>
              <w:left w:val="single" w:color="000000" w:sz="12" w:space="0"/>
              <w:right w:val="single" w:color="000000" w:sz="12" w:space="0"/>
            </w:tcBorders>
            <w:noWrap w:val="0"/>
            <w:vAlign w:val="center"/>
          </w:tcPr>
          <w:p w14:paraId="782823D7">
            <w:pPr>
              <w:widowControl/>
              <w:jc w:val="center"/>
              <w:rPr>
                <w:rFonts w:hint="eastAsia" w:ascii="宋体" w:hAnsi="宋体" w:cs="宋体"/>
                <w:kern w:val="0"/>
                <w:szCs w:val="21"/>
              </w:rPr>
            </w:pPr>
            <w:r>
              <w:rPr>
                <w:rFonts w:hint="eastAsia" w:ascii="宋体" w:hAnsi="宋体" w:cs="宋体"/>
                <w:kern w:val="0"/>
                <w:szCs w:val="21"/>
                <w:highlight w:val="white"/>
              </w:rPr>
              <w:t>资格评审标准</w:t>
            </w:r>
          </w:p>
        </w:tc>
        <w:tc>
          <w:tcPr>
            <w:tcW w:w="5861" w:type="dxa"/>
            <w:tcBorders>
              <w:top w:val="single" w:color="000000" w:sz="12" w:space="0"/>
              <w:left w:val="nil"/>
              <w:right w:val="single" w:color="000000" w:sz="12" w:space="0"/>
            </w:tcBorders>
            <w:noWrap w:val="0"/>
            <w:vAlign w:val="center"/>
          </w:tcPr>
          <w:p w14:paraId="63443008">
            <w:pPr>
              <w:widowControl/>
              <w:rPr>
                <w:rFonts w:hint="eastAsia" w:ascii="宋体" w:hAnsi="宋体" w:cs="宋体"/>
                <w:kern w:val="0"/>
                <w:szCs w:val="21"/>
              </w:rPr>
            </w:pPr>
            <w:r>
              <w:rPr>
                <w:rFonts w:hint="eastAsia" w:ascii="宋体" w:hAnsi="宋体" w:cs="宋体"/>
                <w:kern w:val="0"/>
                <w:szCs w:val="21"/>
                <w:highlight w:val="white"/>
              </w:rPr>
              <w:t>资格审查文件存在下列情形之一，按重大偏差处理，存在的其他问题和不明确之处，按细微偏差处理。</w:t>
            </w:r>
          </w:p>
        </w:tc>
      </w:tr>
      <w:tr w14:paraId="4FE3C75C">
        <w:tblPrEx>
          <w:tblCellMar>
            <w:top w:w="0" w:type="dxa"/>
            <w:left w:w="108" w:type="dxa"/>
            <w:bottom w:w="0" w:type="dxa"/>
            <w:right w:w="108" w:type="dxa"/>
          </w:tblCellMar>
        </w:tblPrEx>
        <w:trPr>
          <w:trHeight w:val="480" w:hRule="atLeast"/>
          <w:jc w:val="center"/>
        </w:trPr>
        <w:tc>
          <w:tcPr>
            <w:tcW w:w="1438" w:type="dxa"/>
            <w:vMerge w:val="continue"/>
            <w:tcBorders>
              <w:top w:val="nil"/>
              <w:left w:val="single" w:color="000000" w:sz="12" w:space="0"/>
              <w:right w:val="single" w:color="000000" w:sz="12" w:space="0"/>
            </w:tcBorders>
            <w:noWrap w:val="0"/>
            <w:vAlign w:val="center"/>
          </w:tcPr>
          <w:p w14:paraId="2E16C659">
            <w:pPr>
              <w:widowControl/>
              <w:jc w:val="center"/>
              <w:rPr>
                <w:rFonts w:hint="eastAsia" w:ascii="宋体" w:hAnsi="宋体" w:cs="宋体"/>
                <w:kern w:val="0"/>
                <w:szCs w:val="21"/>
              </w:rPr>
            </w:pPr>
          </w:p>
        </w:tc>
        <w:tc>
          <w:tcPr>
            <w:tcW w:w="1843" w:type="dxa"/>
            <w:vMerge w:val="continue"/>
            <w:tcBorders>
              <w:top w:val="nil"/>
              <w:left w:val="single" w:color="000000" w:sz="12" w:space="0"/>
              <w:right w:val="single" w:color="000000" w:sz="12" w:space="0"/>
            </w:tcBorders>
            <w:noWrap w:val="0"/>
            <w:vAlign w:val="center"/>
          </w:tcPr>
          <w:p w14:paraId="46C4C6CC">
            <w:pPr>
              <w:widowControl/>
              <w:jc w:val="center"/>
              <w:rPr>
                <w:rFonts w:hint="eastAsia" w:ascii="宋体" w:hAnsi="宋体" w:cs="宋体"/>
                <w:kern w:val="0"/>
                <w:szCs w:val="21"/>
              </w:rPr>
            </w:pPr>
          </w:p>
        </w:tc>
        <w:tc>
          <w:tcPr>
            <w:tcW w:w="5861" w:type="dxa"/>
            <w:tcBorders>
              <w:top w:val="nil"/>
              <w:left w:val="nil"/>
              <w:right w:val="single" w:color="000000" w:sz="12" w:space="0"/>
            </w:tcBorders>
            <w:noWrap w:val="0"/>
            <w:vAlign w:val="center"/>
          </w:tcPr>
          <w:p w14:paraId="45AAE2D6">
            <w:pPr>
              <w:widowControl/>
              <w:rPr>
                <w:rFonts w:hint="eastAsia" w:ascii="宋体" w:hAnsi="宋体" w:cs="宋体"/>
                <w:kern w:val="0"/>
                <w:szCs w:val="21"/>
              </w:rPr>
            </w:pPr>
            <w:r>
              <w:rPr>
                <w:rFonts w:hint="eastAsia" w:ascii="宋体" w:hAnsi="宋体" w:cs="宋体"/>
                <w:kern w:val="0"/>
                <w:szCs w:val="21"/>
                <w:highlight w:val="white"/>
              </w:rPr>
              <w:t>（1）投标人的营业执照、资质证书、安全生产许可证或基本账户开户许可证或基本存款账户信息无效或不符合招标文件规定；</w:t>
            </w:r>
          </w:p>
        </w:tc>
      </w:tr>
      <w:tr w14:paraId="738D1120">
        <w:tblPrEx>
          <w:tblCellMar>
            <w:top w:w="0" w:type="dxa"/>
            <w:left w:w="108" w:type="dxa"/>
            <w:bottom w:w="0" w:type="dxa"/>
            <w:right w:w="108" w:type="dxa"/>
          </w:tblCellMar>
        </w:tblPrEx>
        <w:trPr>
          <w:trHeight w:val="300" w:hRule="atLeast"/>
          <w:jc w:val="center"/>
        </w:trPr>
        <w:tc>
          <w:tcPr>
            <w:tcW w:w="1438" w:type="dxa"/>
            <w:vMerge w:val="continue"/>
            <w:tcBorders>
              <w:top w:val="nil"/>
              <w:left w:val="single" w:color="000000" w:sz="12" w:space="0"/>
              <w:right w:val="single" w:color="000000" w:sz="12" w:space="0"/>
            </w:tcBorders>
            <w:noWrap w:val="0"/>
            <w:vAlign w:val="center"/>
          </w:tcPr>
          <w:p w14:paraId="4A13A137">
            <w:pPr>
              <w:widowControl/>
              <w:jc w:val="center"/>
              <w:rPr>
                <w:rFonts w:hint="eastAsia" w:ascii="宋体" w:hAnsi="宋体" w:cs="宋体"/>
                <w:kern w:val="0"/>
                <w:szCs w:val="21"/>
              </w:rPr>
            </w:pPr>
          </w:p>
        </w:tc>
        <w:tc>
          <w:tcPr>
            <w:tcW w:w="1843" w:type="dxa"/>
            <w:vMerge w:val="continue"/>
            <w:tcBorders>
              <w:top w:val="nil"/>
              <w:left w:val="single" w:color="000000" w:sz="12" w:space="0"/>
              <w:right w:val="single" w:color="000000" w:sz="12" w:space="0"/>
            </w:tcBorders>
            <w:noWrap w:val="0"/>
            <w:vAlign w:val="center"/>
          </w:tcPr>
          <w:p w14:paraId="3BCE62A0">
            <w:pPr>
              <w:widowControl/>
              <w:jc w:val="center"/>
              <w:rPr>
                <w:rFonts w:hint="eastAsia" w:ascii="宋体" w:hAnsi="宋体" w:cs="宋体"/>
                <w:kern w:val="0"/>
                <w:szCs w:val="21"/>
              </w:rPr>
            </w:pPr>
          </w:p>
        </w:tc>
        <w:tc>
          <w:tcPr>
            <w:tcW w:w="5861" w:type="dxa"/>
            <w:tcBorders>
              <w:top w:val="nil"/>
              <w:left w:val="nil"/>
              <w:right w:val="single" w:color="000000" w:sz="12" w:space="0"/>
            </w:tcBorders>
            <w:noWrap w:val="0"/>
            <w:vAlign w:val="center"/>
          </w:tcPr>
          <w:p w14:paraId="7D90A3AA">
            <w:pPr>
              <w:widowControl/>
              <w:rPr>
                <w:rFonts w:hint="eastAsia" w:ascii="宋体" w:hAnsi="宋体" w:cs="宋体"/>
                <w:kern w:val="0"/>
                <w:szCs w:val="21"/>
              </w:rPr>
            </w:pPr>
            <w:r>
              <w:rPr>
                <w:rFonts w:hint="eastAsia" w:ascii="宋体" w:hAnsi="宋体" w:cs="宋体"/>
                <w:kern w:val="0"/>
                <w:szCs w:val="21"/>
                <w:highlight w:val="white"/>
              </w:rPr>
              <w:t>（2）投标人的资质等级不符合招标文件规定；</w:t>
            </w:r>
          </w:p>
        </w:tc>
      </w:tr>
      <w:tr w14:paraId="16C6861E">
        <w:tblPrEx>
          <w:tblCellMar>
            <w:top w:w="0" w:type="dxa"/>
            <w:left w:w="108" w:type="dxa"/>
            <w:bottom w:w="0" w:type="dxa"/>
            <w:right w:w="108" w:type="dxa"/>
          </w:tblCellMar>
        </w:tblPrEx>
        <w:trPr>
          <w:trHeight w:val="300" w:hRule="atLeast"/>
          <w:jc w:val="center"/>
        </w:trPr>
        <w:tc>
          <w:tcPr>
            <w:tcW w:w="1438" w:type="dxa"/>
            <w:vMerge w:val="continue"/>
            <w:tcBorders>
              <w:left w:val="single" w:color="000000" w:sz="12" w:space="0"/>
              <w:right w:val="single" w:color="000000" w:sz="12" w:space="0"/>
            </w:tcBorders>
            <w:noWrap w:val="0"/>
            <w:vAlign w:val="center"/>
          </w:tcPr>
          <w:p w14:paraId="1FBD7F38">
            <w:pPr>
              <w:widowControl/>
              <w:jc w:val="center"/>
              <w:rPr>
                <w:rFonts w:hint="eastAsia" w:ascii="宋体" w:hAnsi="宋体" w:cs="宋体"/>
                <w:kern w:val="0"/>
                <w:szCs w:val="21"/>
              </w:rPr>
            </w:pPr>
          </w:p>
        </w:tc>
        <w:tc>
          <w:tcPr>
            <w:tcW w:w="1843" w:type="dxa"/>
            <w:vMerge w:val="continue"/>
            <w:tcBorders>
              <w:left w:val="single" w:color="000000" w:sz="12" w:space="0"/>
              <w:right w:val="single" w:color="000000" w:sz="12" w:space="0"/>
            </w:tcBorders>
            <w:noWrap w:val="0"/>
            <w:vAlign w:val="center"/>
          </w:tcPr>
          <w:p w14:paraId="05A3FD2B">
            <w:pPr>
              <w:widowControl/>
              <w:jc w:val="center"/>
              <w:rPr>
                <w:rFonts w:hint="eastAsia" w:ascii="宋体" w:hAnsi="宋体" w:cs="宋体"/>
                <w:kern w:val="0"/>
                <w:szCs w:val="21"/>
              </w:rPr>
            </w:pPr>
          </w:p>
        </w:tc>
        <w:tc>
          <w:tcPr>
            <w:tcW w:w="5861" w:type="dxa"/>
            <w:tcBorders>
              <w:left w:val="nil"/>
              <w:right w:val="single" w:color="000000" w:sz="12" w:space="0"/>
            </w:tcBorders>
            <w:noWrap w:val="0"/>
            <w:vAlign w:val="center"/>
          </w:tcPr>
          <w:p w14:paraId="4F002FAF">
            <w:pPr>
              <w:widowControl/>
              <w:rPr>
                <w:rFonts w:hint="eastAsia" w:ascii="宋体" w:hAnsi="宋体" w:cs="宋体"/>
                <w:kern w:val="0"/>
                <w:szCs w:val="21"/>
              </w:rPr>
            </w:pPr>
            <w:r>
              <w:rPr>
                <w:rFonts w:hint="eastAsia" w:ascii="宋体" w:hAnsi="宋体" w:cs="宋体"/>
                <w:kern w:val="0"/>
                <w:szCs w:val="21"/>
                <w:highlight w:val="white"/>
              </w:rPr>
              <w:t>（3）投标人（包括项目经理及项目总工）的类似项目业绩（若有要求）不符合招标文件规定；</w:t>
            </w:r>
          </w:p>
        </w:tc>
      </w:tr>
      <w:tr w14:paraId="5804CF6B">
        <w:tblPrEx>
          <w:tblCellMar>
            <w:top w:w="0" w:type="dxa"/>
            <w:left w:w="108" w:type="dxa"/>
            <w:bottom w:w="0" w:type="dxa"/>
            <w:right w:w="108" w:type="dxa"/>
          </w:tblCellMar>
        </w:tblPrEx>
        <w:trPr>
          <w:trHeight w:val="300" w:hRule="atLeast"/>
          <w:jc w:val="center"/>
        </w:trPr>
        <w:tc>
          <w:tcPr>
            <w:tcW w:w="1438" w:type="dxa"/>
            <w:vMerge w:val="continue"/>
            <w:tcBorders>
              <w:top w:val="nil"/>
              <w:left w:val="single" w:color="000000" w:sz="12" w:space="0"/>
              <w:right w:val="single" w:color="000000" w:sz="12" w:space="0"/>
            </w:tcBorders>
            <w:noWrap w:val="0"/>
            <w:vAlign w:val="center"/>
          </w:tcPr>
          <w:p w14:paraId="7FCD09A5">
            <w:pPr>
              <w:widowControl/>
              <w:jc w:val="center"/>
              <w:rPr>
                <w:rFonts w:hint="eastAsia" w:ascii="宋体" w:hAnsi="宋体" w:cs="宋体"/>
                <w:kern w:val="0"/>
                <w:szCs w:val="21"/>
              </w:rPr>
            </w:pPr>
          </w:p>
        </w:tc>
        <w:tc>
          <w:tcPr>
            <w:tcW w:w="1843" w:type="dxa"/>
            <w:vMerge w:val="continue"/>
            <w:tcBorders>
              <w:top w:val="nil"/>
              <w:left w:val="single" w:color="000000" w:sz="12" w:space="0"/>
              <w:right w:val="single" w:color="000000" w:sz="12" w:space="0"/>
            </w:tcBorders>
            <w:noWrap w:val="0"/>
            <w:vAlign w:val="center"/>
          </w:tcPr>
          <w:p w14:paraId="36B1817A">
            <w:pPr>
              <w:widowControl/>
              <w:jc w:val="center"/>
              <w:rPr>
                <w:rFonts w:hint="eastAsia" w:ascii="宋体" w:hAnsi="宋体" w:cs="宋体"/>
                <w:kern w:val="0"/>
                <w:szCs w:val="21"/>
              </w:rPr>
            </w:pPr>
          </w:p>
        </w:tc>
        <w:tc>
          <w:tcPr>
            <w:tcW w:w="5861" w:type="dxa"/>
            <w:tcBorders>
              <w:top w:val="nil"/>
              <w:left w:val="nil"/>
              <w:right w:val="single" w:color="000000" w:sz="12" w:space="0"/>
            </w:tcBorders>
            <w:noWrap w:val="0"/>
            <w:vAlign w:val="center"/>
          </w:tcPr>
          <w:p w14:paraId="179BEA36">
            <w:pPr>
              <w:widowControl/>
              <w:rPr>
                <w:rFonts w:hint="eastAsia" w:ascii="宋体" w:hAnsi="宋体" w:cs="宋体"/>
                <w:kern w:val="0"/>
                <w:szCs w:val="21"/>
              </w:rPr>
            </w:pPr>
            <w:r>
              <w:rPr>
                <w:rFonts w:hint="eastAsia" w:ascii="宋体" w:hAnsi="宋体" w:cs="宋体"/>
                <w:kern w:val="0"/>
                <w:szCs w:val="21"/>
                <w:highlight w:val="white"/>
              </w:rPr>
              <w:t>（4）投标人的履约信誉不符合招标文件规定；</w:t>
            </w:r>
          </w:p>
        </w:tc>
      </w:tr>
      <w:tr w14:paraId="4D86C1FB">
        <w:tblPrEx>
          <w:tblCellMar>
            <w:top w:w="0" w:type="dxa"/>
            <w:left w:w="108" w:type="dxa"/>
            <w:bottom w:w="0" w:type="dxa"/>
            <w:right w:w="108" w:type="dxa"/>
          </w:tblCellMar>
        </w:tblPrEx>
        <w:trPr>
          <w:trHeight w:val="330" w:hRule="atLeast"/>
          <w:jc w:val="center"/>
        </w:trPr>
        <w:tc>
          <w:tcPr>
            <w:tcW w:w="1438" w:type="dxa"/>
            <w:vMerge w:val="continue"/>
            <w:tcBorders>
              <w:top w:val="nil"/>
              <w:left w:val="single" w:color="000000" w:sz="12" w:space="0"/>
              <w:right w:val="single" w:color="000000" w:sz="12" w:space="0"/>
            </w:tcBorders>
            <w:noWrap w:val="0"/>
            <w:vAlign w:val="center"/>
          </w:tcPr>
          <w:p w14:paraId="0619EBA0">
            <w:pPr>
              <w:widowControl/>
              <w:jc w:val="center"/>
              <w:rPr>
                <w:rFonts w:hint="eastAsia" w:ascii="宋体" w:hAnsi="宋体" w:cs="宋体"/>
                <w:kern w:val="0"/>
                <w:szCs w:val="21"/>
              </w:rPr>
            </w:pPr>
          </w:p>
        </w:tc>
        <w:tc>
          <w:tcPr>
            <w:tcW w:w="1843" w:type="dxa"/>
            <w:vMerge w:val="continue"/>
            <w:tcBorders>
              <w:top w:val="nil"/>
              <w:left w:val="single" w:color="000000" w:sz="12" w:space="0"/>
              <w:right w:val="single" w:color="000000" w:sz="12" w:space="0"/>
            </w:tcBorders>
            <w:noWrap w:val="0"/>
            <w:vAlign w:val="center"/>
          </w:tcPr>
          <w:p w14:paraId="0EA21E56">
            <w:pPr>
              <w:widowControl/>
              <w:jc w:val="center"/>
              <w:rPr>
                <w:rFonts w:hint="eastAsia" w:ascii="宋体" w:hAnsi="宋体" w:cs="宋体"/>
                <w:kern w:val="0"/>
                <w:szCs w:val="21"/>
              </w:rPr>
            </w:pPr>
          </w:p>
        </w:tc>
        <w:tc>
          <w:tcPr>
            <w:tcW w:w="5861" w:type="dxa"/>
            <w:tcBorders>
              <w:top w:val="nil"/>
              <w:left w:val="nil"/>
              <w:right w:val="single" w:color="000000" w:sz="12" w:space="0"/>
            </w:tcBorders>
            <w:noWrap w:val="0"/>
            <w:vAlign w:val="center"/>
          </w:tcPr>
          <w:p w14:paraId="1D61D450">
            <w:pPr>
              <w:widowControl/>
              <w:rPr>
                <w:rFonts w:hint="eastAsia" w:ascii="宋体" w:hAnsi="宋体" w:cs="宋体"/>
                <w:kern w:val="0"/>
                <w:szCs w:val="21"/>
              </w:rPr>
            </w:pPr>
            <w:r>
              <w:rPr>
                <w:rFonts w:hint="eastAsia" w:ascii="宋体" w:hAnsi="宋体" w:cs="宋体"/>
                <w:kern w:val="0"/>
                <w:szCs w:val="21"/>
                <w:highlight w:val="white"/>
              </w:rPr>
              <w:t>（5）投标人的项目经理或项目总工资格不符合招标文件规定；</w:t>
            </w:r>
          </w:p>
        </w:tc>
      </w:tr>
      <w:tr w14:paraId="094BCAFB">
        <w:tblPrEx>
          <w:tblCellMar>
            <w:top w:w="0" w:type="dxa"/>
            <w:left w:w="108" w:type="dxa"/>
            <w:bottom w:w="0" w:type="dxa"/>
            <w:right w:w="108" w:type="dxa"/>
          </w:tblCellMar>
        </w:tblPrEx>
        <w:trPr>
          <w:trHeight w:val="90" w:hRule="atLeast"/>
          <w:jc w:val="center"/>
        </w:trPr>
        <w:tc>
          <w:tcPr>
            <w:tcW w:w="1438" w:type="dxa"/>
            <w:vMerge w:val="continue"/>
            <w:tcBorders>
              <w:top w:val="nil"/>
              <w:left w:val="single" w:color="000000" w:sz="12" w:space="0"/>
              <w:bottom w:val="single" w:color="000000" w:sz="12" w:space="0"/>
              <w:right w:val="single" w:color="000000" w:sz="12" w:space="0"/>
            </w:tcBorders>
            <w:noWrap w:val="0"/>
            <w:vAlign w:val="center"/>
          </w:tcPr>
          <w:p w14:paraId="4A36CC3B">
            <w:pPr>
              <w:widowControl/>
              <w:jc w:val="center"/>
              <w:rPr>
                <w:rFonts w:hint="eastAsia" w:ascii="宋体" w:hAnsi="宋体" w:cs="宋体"/>
                <w:kern w:val="0"/>
                <w:szCs w:val="21"/>
              </w:rPr>
            </w:pPr>
          </w:p>
        </w:tc>
        <w:tc>
          <w:tcPr>
            <w:tcW w:w="1843" w:type="dxa"/>
            <w:vMerge w:val="continue"/>
            <w:tcBorders>
              <w:top w:val="nil"/>
              <w:left w:val="single" w:color="000000" w:sz="12" w:space="0"/>
              <w:bottom w:val="single" w:color="000000" w:sz="12" w:space="0"/>
              <w:right w:val="single" w:color="000000" w:sz="12" w:space="0"/>
            </w:tcBorders>
            <w:noWrap w:val="0"/>
            <w:vAlign w:val="center"/>
          </w:tcPr>
          <w:p w14:paraId="39EA0B6D">
            <w:pPr>
              <w:widowControl/>
              <w:jc w:val="center"/>
              <w:rPr>
                <w:rFonts w:hint="eastAsia" w:ascii="宋体" w:hAnsi="宋体" w:cs="宋体"/>
                <w:kern w:val="0"/>
                <w:szCs w:val="21"/>
              </w:rPr>
            </w:pPr>
          </w:p>
        </w:tc>
        <w:tc>
          <w:tcPr>
            <w:tcW w:w="5861" w:type="dxa"/>
            <w:tcBorders>
              <w:top w:val="nil"/>
              <w:left w:val="nil"/>
              <w:bottom w:val="single" w:color="000000" w:sz="12" w:space="0"/>
              <w:right w:val="single" w:color="000000" w:sz="12" w:space="0"/>
            </w:tcBorders>
            <w:noWrap w:val="0"/>
            <w:vAlign w:val="center"/>
          </w:tcPr>
          <w:p w14:paraId="338C551D">
            <w:pPr>
              <w:widowControl/>
              <w:rPr>
                <w:rFonts w:hint="eastAsia" w:ascii="宋体" w:hAnsi="宋体" w:cs="宋体"/>
                <w:kern w:val="0"/>
                <w:szCs w:val="21"/>
              </w:rPr>
            </w:pPr>
            <w:r>
              <w:rPr>
                <w:rFonts w:hint="eastAsia" w:ascii="宋体" w:hAnsi="宋体" w:cs="宋体"/>
                <w:kern w:val="0"/>
                <w:szCs w:val="21"/>
                <w:highlight w:val="white"/>
              </w:rPr>
              <w:t>（6）投标人存在与投标人须知正文1.4.3或1.4.4规定的任何一种情形；</w:t>
            </w:r>
          </w:p>
        </w:tc>
      </w:tr>
      <w:tr w14:paraId="778C3D07">
        <w:tblPrEx>
          <w:tblCellMar>
            <w:top w:w="0" w:type="dxa"/>
            <w:left w:w="108" w:type="dxa"/>
            <w:bottom w:w="0" w:type="dxa"/>
            <w:right w:w="108" w:type="dxa"/>
          </w:tblCellMar>
        </w:tblPrEx>
        <w:trPr>
          <w:trHeight w:val="575" w:hRule="atLeast"/>
          <w:jc w:val="center"/>
        </w:trPr>
        <w:tc>
          <w:tcPr>
            <w:tcW w:w="1439" w:type="dxa"/>
            <w:tcBorders>
              <w:top w:val="single" w:color="000000" w:sz="12" w:space="0"/>
              <w:left w:val="single" w:color="000000" w:sz="12" w:space="0"/>
              <w:bottom w:val="single" w:color="000000" w:sz="12" w:space="0"/>
              <w:right w:val="single" w:color="000000" w:sz="12" w:space="0"/>
            </w:tcBorders>
            <w:noWrap w:val="0"/>
            <w:vAlign w:val="center"/>
          </w:tcPr>
          <w:p w14:paraId="5F3BD5F6">
            <w:pPr>
              <w:rPr>
                <w:rFonts w:hint="eastAsia" w:ascii="宋体" w:hAnsi="宋体" w:cs="宋体"/>
                <w:kern w:val="0"/>
                <w:szCs w:val="21"/>
              </w:rPr>
            </w:pPr>
            <w:bookmarkStart w:id="584" w:name="EBd04260a3fee84d41bcb970ccda6afead"/>
            <w:r>
              <w:rPr>
                <w:rFonts w:hint="eastAsia" w:ascii="宋体" w:hAnsi="宋体" w:cs="宋体"/>
                <w:color w:val="000080"/>
                <w:szCs w:val="21"/>
                <w:highlight w:val="white"/>
              </w:rPr>
              <w:t xml:space="preserve"> </w:t>
            </w:r>
            <w:bookmarkEnd w:id="584"/>
            <w:bookmarkStart w:id="585" w:name="EBcbcaf2deb1d9485393362cd5142db88a"/>
            <w:r>
              <w:rPr>
                <w:rFonts w:hint="eastAsia" w:ascii="宋体" w:hAnsi="宋体" w:cs="宋体"/>
                <w:color w:val="000080"/>
                <w:szCs w:val="21"/>
                <w:highlight w:val="white"/>
              </w:rPr>
              <w:t xml:space="preserve"> </w:t>
            </w:r>
            <w:bookmarkEnd w:id="585"/>
            <w:bookmarkStart w:id="586" w:name="EB7dd22b4d943c40e99dba94c02125c6c9"/>
            <w:r>
              <w:rPr>
                <w:rFonts w:hint="eastAsia" w:ascii="宋体" w:hAnsi="宋体" w:cs="宋体"/>
                <w:color w:val="000080"/>
                <w:szCs w:val="21"/>
                <w:highlight w:val="white"/>
              </w:rPr>
              <w:t xml:space="preserve"> </w:t>
            </w:r>
            <w:bookmarkEnd w:id="586"/>
            <w:bookmarkStart w:id="587" w:name="EB29cb4849e086476b9ac9ac88784b414f"/>
            <w:r>
              <w:rPr>
                <w:rFonts w:hint="eastAsia" w:ascii="宋体" w:hAnsi="宋体" w:cs="宋体"/>
                <w:color w:val="000080"/>
                <w:szCs w:val="21"/>
                <w:highlight w:val="white"/>
              </w:rPr>
              <w:t xml:space="preserve"> </w:t>
            </w:r>
            <w:bookmarkEnd w:id="587"/>
            <w:bookmarkStart w:id="588" w:name="EB0ddc7f7b07a142a29a3798eaad16d485"/>
            <w:r>
              <w:rPr>
                <w:rFonts w:hint="eastAsia" w:ascii="宋体" w:hAnsi="宋体" w:cs="宋体"/>
                <w:color w:val="000080"/>
                <w:szCs w:val="21"/>
                <w:highlight w:val="white"/>
              </w:rPr>
              <w:t xml:space="preserve"> </w:t>
            </w:r>
            <w:bookmarkEnd w:id="588"/>
            <w:bookmarkStart w:id="589" w:name="EBcf967ceb81e547b4a6c0e727a371ddd2"/>
            <w:r>
              <w:rPr>
                <w:rFonts w:hint="eastAsia" w:ascii="宋体" w:hAnsi="宋体" w:cs="宋体"/>
                <w:color w:val="000080"/>
                <w:szCs w:val="21"/>
                <w:highlight w:val="white"/>
              </w:rPr>
              <w:t xml:space="preserve"> </w:t>
            </w:r>
            <w:bookmarkEnd w:id="589"/>
            <w:bookmarkStart w:id="590" w:name="FE0dd2bb17c7ae4933b929bca9295bee7d"/>
            <w:bookmarkEnd w:id="590"/>
            <w:bookmarkStart w:id="591" w:name="FB0dd2bb17c7ae4933b929bca9295bee7d"/>
            <w:bookmarkEnd w:id="591"/>
            <w:r>
              <w:rPr>
                <w:rFonts w:hint="eastAsia" w:ascii="宋体" w:hAnsi="宋体" w:cs="宋体"/>
                <w:kern w:val="0"/>
                <w:szCs w:val="21"/>
                <w:highlight w:val="white"/>
              </w:rPr>
              <w:t>3.1.2</w:t>
            </w:r>
          </w:p>
        </w:tc>
        <w:tc>
          <w:tcPr>
            <w:tcW w:w="1843" w:type="dxa"/>
            <w:tcBorders>
              <w:top w:val="single" w:color="000000" w:sz="12" w:space="0"/>
              <w:left w:val="nil"/>
              <w:bottom w:val="single" w:color="000000" w:sz="12" w:space="0"/>
              <w:right w:val="single" w:color="000000" w:sz="12" w:space="0"/>
            </w:tcBorders>
            <w:noWrap w:val="0"/>
            <w:vAlign w:val="center"/>
          </w:tcPr>
          <w:p w14:paraId="765BAFEE">
            <w:pPr>
              <w:widowControl/>
              <w:jc w:val="center"/>
              <w:rPr>
                <w:rFonts w:hint="eastAsia" w:ascii="宋体" w:hAnsi="宋体" w:cs="宋体"/>
                <w:szCs w:val="21"/>
              </w:rPr>
            </w:pPr>
            <w:r>
              <w:rPr>
                <w:rFonts w:hint="eastAsia" w:ascii="宋体" w:hAnsi="宋体" w:cs="宋体"/>
                <w:kern w:val="0"/>
                <w:szCs w:val="21"/>
                <w:highlight w:val="white"/>
              </w:rPr>
              <w:t>简易招标办法否决投标条件</w:t>
            </w:r>
          </w:p>
        </w:tc>
        <w:tc>
          <w:tcPr>
            <w:tcW w:w="5860" w:type="dxa"/>
            <w:tcBorders>
              <w:top w:val="single" w:color="000000" w:sz="12" w:space="0"/>
              <w:left w:val="nil"/>
              <w:bottom w:val="single" w:color="000000" w:sz="8" w:space="0"/>
              <w:right w:val="single" w:color="000000" w:sz="12" w:space="0"/>
            </w:tcBorders>
            <w:noWrap w:val="0"/>
            <w:vAlign w:val="center"/>
          </w:tcPr>
          <w:p w14:paraId="2A5FD463">
            <w:pPr>
              <w:widowControl/>
              <w:rPr>
                <w:rFonts w:hint="eastAsia" w:ascii="宋体" w:hAnsi="宋体" w:cs="宋体"/>
                <w:kern w:val="0"/>
                <w:szCs w:val="21"/>
              </w:rPr>
            </w:pPr>
            <w:r>
              <w:rPr>
                <w:rFonts w:hint="eastAsia" w:ascii="宋体" w:hAnsi="宋体" w:cs="宋体"/>
                <w:kern w:val="0"/>
                <w:szCs w:val="21"/>
                <w:highlight w:val="white"/>
              </w:rPr>
              <w:t>/</w:t>
            </w:r>
          </w:p>
        </w:tc>
      </w:tr>
      <w:tr w14:paraId="1953C582">
        <w:tblPrEx>
          <w:tblCellMar>
            <w:top w:w="0" w:type="dxa"/>
            <w:left w:w="108" w:type="dxa"/>
            <w:bottom w:w="0" w:type="dxa"/>
            <w:right w:w="108" w:type="dxa"/>
          </w:tblCellMar>
        </w:tblPrEx>
        <w:trPr>
          <w:trHeight w:val="380" w:hRule="atLeast"/>
          <w:jc w:val="center"/>
        </w:trPr>
        <w:tc>
          <w:tcPr>
            <w:tcW w:w="1439" w:type="dxa"/>
            <w:tcBorders>
              <w:top w:val="single" w:color="000000" w:sz="12" w:space="0"/>
              <w:left w:val="single" w:color="000000" w:sz="12" w:space="0"/>
              <w:bottom w:val="single" w:color="000000" w:sz="12" w:space="0"/>
              <w:right w:val="single" w:color="000000" w:sz="12" w:space="0"/>
            </w:tcBorders>
            <w:noWrap w:val="0"/>
            <w:vAlign w:val="center"/>
          </w:tcPr>
          <w:p w14:paraId="30AA8D9F">
            <w:pPr>
              <w:rPr>
                <w:rFonts w:hint="eastAsia" w:ascii="宋体" w:hAnsi="宋体" w:cs="宋体"/>
                <w:kern w:val="0"/>
                <w:szCs w:val="21"/>
              </w:rPr>
            </w:pPr>
            <w:bookmarkStart w:id="592" w:name="EB6fdf3462c5d44a39a9833d1092c57d0c"/>
            <w:r>
              <w:rPr>
                <w:rFonts w:hint="eastAsia" w:ascii="宋体" w:hAnsi="宋体" w:cs="宋体"/>
                <w:color w:val="000080"/>
                <w:szCs w:val="21"/>
                <w:highlight w:val="white"/>
              </w:rPr>
              <w:t xml:space="preserve"> </w:t>
            </w:r>
            <w:bookmarkEnd w:id="592"/>
            <w:bookmarkStart w:id="593" w:name="EB40cbc1609ad34692b2086bd250e12746"/>
            <w:r>
              <w:rPr>
                <w:rFonts w:hint="eastAsia" w:ascii="宋体" w:hAnsi="宋体" w:cs="宋体"/>
                <w:color w:val="000080"/>
                <w:szCs w:val="21"/>
                <w:highlight w:val="white"/>
              </w:rPr>
              <w:t xml:space="preserve"> </w:t>
            </w:r>
            <w:bookmarkEnd w:id="593"/>
            <w:r>
              <w:rPr>
                <w:rFonts w:hint="eastAsia" w:ascii="宋体" w:hAnsi="宋体" w:cs="宋体"/>
                <w:kern w:val="0"/>
                <w:szCs w:val="21"/>
                <w:highlight w:val="white"/>
              </w:rPr>
              <w:t>补充条款</w:t>
            </w:r>
          </w:p>
        </w:tc>
        <w:tc>
          <w:tcPr>
            <w:tcW w:w="1843" w:type="dxa"/>
            <w:tcBorders>
              <w:top w:val="single" w:color="000000" w:sz="12" w:space="0"/>
              <w:left w:val="single" w:color="000000" w:sz="12" w:space="0"/>
              <w:bottom w:val="single" w:color="000000" w:sz="12" w:space="0"/>
              <w:right w:val="single" w:color="000000" w:sz="12" w:space="0"/>
            </w:tcBorders>
            <w:noWrap w:val="0"/>
            <w:vAlign w:val="center"/>
          </w:tcPr>
          <w:p w14:paraId="49198555">
            <w:pPr>
              <w:widowControl/>
              <w:jc w:val="center"/>
              <w:rPr>
                <w:rFonts w:hint="eastAsia" w:ascii="宋体" w:hAnsi="宋体" w:cs="宋体"/>
                <w:kern w:val="0"/>
                <w:szCs w:val="21"/>
              </w:rPr>
            </w:pPr>
          </w:p>
        </w:tc>
        <w:tc>
          <w:tcPr>
            <w:tcW w:w="5860" w:type="dxa"/>
            <w:tcBorders>
              <w:top w:val="single" w:color="000000" w:sz="12" w:space="0"/>
              <w:left w:val="nil"/>
              <w:bottom w:val="single" w:color="000000" w:sz="12" w:space="0"/>
              <w:right w:val="single" w:color="000000" w:sz="12" w:space="0"/>
            </w:tcBorders>
            <w:noWrap w:val="0"/>
            <w:vAlign w:val="center"/>
          </w:tcPr>
          <w:p w14:paraId="2369DD30">
            <w:pPr>
              <w:widowControl/>
              <w:rPr>
                <w:rFonts w:hint="eastAsia" w:ascii="宋体" w:hAnsi="宋体" w:cs="宋体"/>
                <w:kern w:val="0"/>
                <w:szCs w:val="21"/>
              </w:rPr>
            </w:pPr>
            <w:r>
              <w:rPr>
                <w:rFonts w:hint="eastAsia" w:ascii="宋体" w:hAnsi="宋体" w:cs="宋体"/>
                <w:kern w:val="0"/>
                <w:szCs w:val="21"/>
                <w:highlight w:val="white"/>
              </w:rPr>
              <w:t>以下补充条款适用于简易招标项目</w:t>
            </w:r>
          </w:p>
        </w:tc>
      </w:tr>
      <w:tr w14:paraId="502079D7">
        <w:tblPrEx>
          <w:tblCellMar>
            <w:top w:w="0" w:type="dxa"/>
            <w:left w:w="108" w:type="dxa"/>
            <w:bottom w:w="0" w:type="dxa"/>
            <w:right w:w="108" w:type="dxa"/>
          </w:tblCellMar>
        </w:tblPrEx>
        <w:trPr>
          <w:trHeight w:val="560" w:hRule="atLeast"/>
          <w:jc w:val="center"/>
        </w:trPr>
        <w:tc>
          <w:tcPr>
            <w:tcW w:w="1439" w:type="dxa"/>
            <w:tcBorders>
              <w:top w:val="nil"/>
              <w:left w:val="single" w:color="000000" w:sz="12" w:space="0"/>
              <w:bottom w:val="single" w:color="000000" w:sz="12" w:space="0"/>
              <w:right w:val="single" w:color="000000" w:sz="12" w:space="0"/>
            </w:tcBorders>
            <w:noWrap w:val="0"/>
            <w:vAlign w:val="center"/>
          </w:tcPr>
          <w:p w14:paraId="181A41F5">
            <w:pPr>
              <w:widowControl/>
              <w:jc w:val="center"/>
              <w:rPr>
                <w:rFonts w:hint="default" w:ascii="宋体" w:hAnsi="宋体" w:eastAsia="宋体" w:cs="宋体"/>
                <w:color w:val="auto"/>
                <w:kern w:val="0"/>
                <w:szCs w:val="21"/>
                <w:lang w:val="en-US" w:eastAsia="zh-CN"/>
              </w:rPr>
            </w:pPr>
            <w:bookmarkStart w:id="594" w:name="FEd3454312a12148aba65bc7ff6cc3b00e"/>
            <w:bookmarkEnd w:id="594"/>
            <w:bookmarkStart w:id="595" w:name="FBd3454312a12148aba65bc7ff6cc3b00e"/>
            <w:bookmarkEnd w:id="595"/>
            <w:r>
              <w:rPr>
                <w:rFonts w:hint="eastAsia" w:ascii="宋体" w:hAnsi="宋体" w:cs="宋体"/>
                <w:color w:val="auto"/>
                <w:kern w:val="0"/>
                <w:szCs w:val="21"/>
                <w:lang w:val="en-US" w:eastAsia="zh-CN"/>
              </w:rPr>
              <w:t>1</w:t>
            </w:r>
          </w:p>
        </w:tc>
        <w:tc>
          <w:tcPr>
            <w:tcW w:w="1843" w:type="dxa"/>
            <w:tcBorders>
              <w:top w:val="nil"/>
              <w:left w:val="single" w:color="000000" w:sz="12" w:space="0"/>
              <w:bottom w:val="single" w:color="000000" w:sz="12" w:space="0"/>
              <w:right w:val="single" w:color="000000" w:sz="12" w:space="0"/>
            </w:tcBorders>
            <w:noWrap w:val="0"/>
            <w:vAlign w:val="center"/>
          </w:tcPr>
          <w:p w14:paraId="01CE3249">
            <w:pPr>
              <w:widowControl/>
              <w:jc w:val="center"/>
              <w:rPr>
                <w:rFonts w:hint="eastAsia" w:ascii="宋体" w:hAnsi="宋体" w:cs="宋体"/>
                <w:kern w:val="0"/>
                <w:szCs w:val="21"/>
              </w:rPr>
            </w:pPr>
            <w:r>
              <w:rPr>
                <w:rFonts w:hint="eastAsia" w:ascii="宋体" w:hAnsi="宋体" w:cs="宋体"/>
                <w:szCs w:val="21"/>
                <w:highlight w:val="white"/>
              </w:rPr>
              <w:t>招标控制价及其组成和计算方法</w:t>
            </w:r>
          </w:p>
        </w:tc>
        <w:tc>
          <w:tcPr>
            <w:tcW w:w="5860" w:type="dxa"/>
            <w:tcBorders>
              <w:top w:val="nil"/>
              <w:left w:val="nil"/>
              <w:bottom w:val="single" w:color="000000" w:sz="12" w:space="0"/>
              <w:right w:val="single" w:color="000000" w:sz="12" w:space="0"/>
            </w:tcBorders>
            <w:noWrap w:val="0"/>
            <w:vAlign w:val="center"/>
          </w:tcPr>
          <w:p w14:paraId="20CB1080">
            <w:pPr>
              <w:widowControl/>
              <w:rPr>
                <w:rFonts w:hint="eastAsia" w:ascii="宋体" w:hAnsi="宋体" w:eastAsia="宋体" w:cs="宋体"/>
                <w:kern w:val="0"/>
                <w:szCs w:val="21"/>
                <w:highlight w:val="white"/>
              </w:rPr>
            </w:pPr>
            <w:r>
              <w:rPr>
                <w:rFonts w:hint="eastAsia" w:ascii="宋体" w:hAnsi="宋体" w:eastAsia="宋体" w:cs="宋体"/>
                <w:kern w:val="0"/>
                <w:szCs w:val="21"/>
                <w:highlight w:val="white"/>
              </w:rPr>
              <w:t>详见招标控制价</w:t>
            </w:r>
          </w:p>
        </w:tc>
      </w:tr>
      <w:tr w14:paraId="75568C0C">
        <w:tblPrEx>
          <w:tblCellMar>
            <w:top w:w="0" w:type="dxa"/>
            <w:left w:w="108" w:type="dxa"/>
            <w:bottom w:w="0" w:type="dxa"/>
            <w:right w:w="108" w:type="dxa"/>
          </w:tblCellMar>
        </w:tblPrEx>
        <w:trPr>
          <w:trHeight w:val="460" w:hRule="atLeast"/>
          <w:jc w:val="center"/>
        </w:trPr>
        <w:tc>
          <w:tcPr>
            <w:tcW w:w="1439" w:type="dxa"/>
            <w:tcBorders>
              <w:top w:val="nil"/>
              <w:left w:val="single" w:color="000000" w:sz="12" w:space="0"/>
              <w:bottom w:val="single" w:color="000000" w:sz="12" w:space="0"/>
              <w:right w:val="single" w:color="000000" w:sz="12" w:space="0"/>
            </w:tcBorders>
            <w:noWrap w:val="0"/>
            <w:vAlign w:val="center"/>
          </w:tcPr>
          <w:p w14:paraId="25FBE096">
            <w:pPr>
              <w:widowControl/>
              <w:jc w:val="center"/>
              <w:rPr>
                <w:rFonts w:hint="eastAsia" w:ascii="宋体" w:hAnsi="宋体" w:eastAsia="宋体" w:cs="宋体"/>
                <w:color w:val="auto"/>
                <w:szCs w:val="21"/>
                <w:lang w:val="en-US" w:eastAsia="zh-CN"/>
              </w:rPr>
            </w:pPr>
            <w:bookmarkStart w:id="596" w:name="FB6ab20a00743c41d8b2911ef3be2136ea"/>
            <w:bookmarkEnd w:id="596"/>
            <w:bookmarkStart w:id="597" w:name="FE6ab20a00743c41d8b2911ef3be2136ea"/>
            <w:bookmarkEnd w:id="597"/>
            <w:r>
              <w:rPr>
                <w:rFonts w:hint="eastAsia" w:ascii="宋体" w:hAnsi="宋体" w:cs="宋体"/>
                <w:color w:val="auto"/>
                <w:szCs w:val="21"/>
                <w:lang w:val="en-US" w:eastAsia="zh-CN"/>
              </w:rPr>
              <w:t>2</w:t>
            </w:r>
          </w:p>
        </w:tc>
        <w:tc>
          <w:tcPr>
            <w:tcW w:w="1843" w:type="dxa"/>
            <w:tcBorders>
              <w:top w:val="nil"/>
              <w:left w:val="single" w:color="000000" w:sz="12" w:space="0"/>
              <w:bottom w:val="single" w:color="000000" w:sz="12" w:space="0"/>
              <w:right w:val="single" w:color="000000" w:sz="12" w:space="0"/>
            </w:tcBorders>
            <w:noWrap w:val="0"/>
            <w:vAlign w:val="center"/>
          </w:tcPr>
          <w:p w14:paraId="73A479E3">
            <w:pPr>
              <w:widowControl/>
              <w:jc w:val="center"/>
              <w:rPr>
                <w:rFonts w:hint="eastAsia" w:ascii="宋体" w:hAnsi="宋体" w:cs="宋体"/>
                <w:color w:val="000000"/>
                <w:szCs w:val="21"/>
                <w:highlight w:val="white"/>
              </w:rPr>
            </w:pPr>
            <w:r>
              <w:rPr>
                <w:rFonts w:hint="eastAsia" w:ascii="宋体" w:hAnsi="宋体" w:cs="宋体"/>
                <w:color w:val="000000"/>
                <w:szCs w:val="21"/>
                <w:highlight w:val="white"/>
              </w:rPr>
              <w:t>简易招标</w:t>
            </w:r>
          </w:p>
          <w:p w14:paraId="1CC21BD4">
            <w:pPr>
              <w:widowControl/>
              <w:jc w:val="center"/>
              <w:rPr>
                <w:rFonts w:hint="eastAsia" w:ascii="宋体" w:hAnsi="宋体" w:cs="宋体"/>
                <w:b/>
                <w:color w:val="000000"/>
                <w:szCs w:val="21"/>
              </w:rPr>
            </w:pPr>
            <w:r>
              <w:rPr>
                <w:rFonts w:hint="eastAsia" w:ascii="宋体" w:hAnsi="宋体" w:cs="宋体"/>
                <w:color w:val="000000"/>
                <w:kern w:val="0"/>
                <w:szCs w:val="21"/>
                <w:highlight w:val="white"/>
              </w:rPr>
              <w:t>K值取定</w:t>
            </w:r>
          </w:p>
        </w:tc>
        <w:tc>
          <w:tcPr>
            <w:tcW w:w="5860" w:type="dxa"/>
            <w:tcBorders>
              <w:top w:val="nil"/>
              <w:left w:val="nil"/>
              <w:bottom w:val="single" w:color="000000" w:sz="12" w:space="0"/>
              <w:right w:val="single" w:color="000000" w:sz="12" w:space="0"/>
            </w:tcBorders>
            <w:noWrap w:val="0"/>
            <w:vAlign w:val="center"/>
          </w:tcPr>
          <w:p w14:paraId="381ADDB1">
            <w:pPr>
              <w:widowControl/>
              <w:rPr>
                <w:rFonts w:hint="eastAsia" w:ascii="宋体" w:hAnsi="宋体" w:eastAsia="宋体" w:cs="宋体"/>
                <w:kern w:val="0"/>
                <w:szCs w:val="21"/>
                <w:highlight w:val="white"/>
              </w:rPr>
            </w:pPr>
            <w:r>
              <w:rPr>
                <w:rFonts w:hint="eastAsia" w:ascii="宋体" w:hAnsi="宋体" w:eastAsia="宋体" w:cs="宋体"/>
                <w:kern w:val="0"/>
                <w:szCs w:val="21"/>
                <w:highlight w:val="white"/>
              </w:rPr>
              <w:t>K=</w:t>
            </w:r>
            <w:bookmarkStart w:id="598" w:name="EB2eda317acdad433da07a03b117701423"/>
            <w:bookmarkEnd w:id="598"/>
            <w:r>
              <w:rPr>
                <w:rFonts w:hint="eastAsia" w:ascii="宋体" w:hAnsi="宋体" w:eastAsia="宋体" w:cs="宋体"/>
                <w:kern w:val="0"/>
                <w:szCs w:val="21"/>
                <w:highlight w:val="white"/>
              </w:rPr>
              <w:t xml:space="preserve"> </w:t>
            </w:r>
            <w:r>
              <w:rPr>
                <w:rFonts w:hint="eastAsia" w:ascii="宋体" w:hAnsi="宋体" w:eastAsia="宋体" w:cs="宋体"/>
                <w:kern w:val="0"/>
                <w:szCs w:val="21"/>
                <w:highlight w:val="white"/>
                <w:lang w:val="en-US" w:eastAsia="zh-CN"/>
              </w:rPr>
              <w:t>1</w:t>
            </w:r>
            <w:r>
              <w:rPr>
                <w:rFonts w:hint="eastAsia" w:ascii="宋体" w:hAnsi="宋体" w:eastAsia="宋体" w:cs="宋体"/>
                <w:kern w:val="0"/>
                <w:szCs w:val="21"/>
                <w:highlight w:val="white"/>
              </w:rPr>
              <w:t>%</w:t>
            </w:r>
          </w:p>
        </w:tc>
      </w:tr>
      <w:tr w14:paraId="037387CA">
        <w:tblPrEx>
          <w:tblCellMar>
            <w:top w:w="0" w:type="dxa"/>
            <w:left w:w="108" w:type="dxa"/>
            <w:bottom w:w="0" w:type="dxa"/>
            <w:right w:w="108" w:type="dxa"/>
          </w:tblCellMar>
        </w:tblPrEx>
        <w:trPr>
          <w:trHeight w:val="450" w:hRule="atLeast"/>
          <w:jc w:val="center"/>
        </w:trPr>
        <w:tc>
          <w:tcPr>
            <w:tcW w:w="1439" w:type="dxa"/>
            <w:tcBorders>
              <w:top w:val="nil"/>
              <w:left w:val="single" w:color="000000" w:sz="12" w:space="0"/>
              <w:bottom w:val="single" w:color="000000" w:sz="12" w:space="0"/>
              <w:right w:val="single" w:color="000000" w:sz="12" w:space="0"/>
            </w:tcBorders>
            <w:noWrap w:val="0"/>
            <w:vAlign w:val="center"/>
          </w:tcPr>
          <w:p w14:paraId="2AA81074">
            <w:pPr>
              <w:pStyle w:val="5"/>
              <w:snapToGrid w:val="0"/>
              <w:spacing w:line="380" w:lineRule="exact"/>
              <w:ind w:firstLine="0" w:firstLineChars="0"/>
              <w:jc w:val="center"/>
              <w:rPr>
                <w:rFonts w:hint="eastAsia" w:ascii="宋体" w:hAnsi="宋体" w:eastAsia="宋体" w:cs="宋体"/>
                <w:color w:val="auto"/>
                <w:szCs w:val="21"/>
                <w:lang w:val="en-US" w:eastAsia="zh-CN"/>
              </w:rPr>
            </w:pPr>
            <w:bookmarkStart w:id="599" w:name="FE5f14f59a185140a1b9186468e600bc47"/>
            <w:bookmarkEnd w:id="599"/>
            <w:bookmarkStart w:id="600" w:name="FB5f14f59a185140a1b9186468e600bc47"/>
            <w:bookmarkEnd w:id="600"/>
            <w:r>
              <w:rPr>
                <w:rFonts w:hint="eastAsia" w:ascii="宋体" w:hAnsi="宋体" w:cs="宋体"/>
                <w:color w:val="auto"/>
                <w:szCs w:val="21"/>
                <w:lang w:val="en-US" w:eastAsia="zh-CN"/>
              </w:rPr>
              <w:t>3</w:t>
            </w:r>
          </w:p>
        </w:tc>
        <w:tc>
          <w:tcPr>
            <w:tcW w:w="1843" w:type="dxa"/>
            <w:tcBorders>
              <w:top w:val="nil"/>
              <w:left w:val="single" w:color="000000" w:sz="12" w:space="0"/>
              <w:bottom w:val="single" w:color="000000" w:sz="12" w:space="0"/>
              <w:right w:val="single" w:color="000000" w:sz="12" w:space="0"/>
            </w:tcBorders>
            <w:noWrap w:val="0"/>
            <w:vAlign w:val="center"/>
          </w:tcPr>
          <w:p w14:paraId="01A52089">
            <w:pPr>
              <w:pStyle w:val="5"/>
              <w:snapToGrid w:val="0"/>
              <w:spacing w:line="380" w:lineRule="exact"/>
              <w:ind w:firstLine="0" w:firstLineChars="0"/>
              <w:jc w:val="center"/>
              <w:rPr>
                <w:rFonts w:hint="eastAsia" w:ascii="宋体" w:hAnsi="宋体" w:cs="宋体"/>
                <w:szCs w:val="21"/>
              </w:rPr>
            </w:pPr>
            <w:r>
              <w:rPr>
                <w:rFonts w:hint="eastAsia" w:ascii="宋体" w:hAnsi="宋体" w:cs="宋体"/>
                <w:szCs w:val="21"/>
                <w:highlight w:val="white"/>
              </w:rPr>
              <w:t>随机抽取中标候选人</w:t>
            </w:r>
          </w:p>
        </w:tc>
        <w:tc>
          <w:tcPr>
            <w:tcW w:w="5860" w:type="dxa"/>
            <w:tcBorders>
              <w:top w:val="nil"/>
              <w:left w:val="nil"/>
              <w:bottom w:val="single" w:color="000000" w:sz="12" w:space="0"/>
              <w:right w:val="single" w:color="000000" w:sz="12" w:space="0"/>
            </w:tcBorders>
            <w:noWrap w:val="0"/>
            <w:vAlign w:val="center"/>
          </w:tcPr>
          <w:p w14:paraId="33478BB7">
            <w:pPr>
              <w:widowControl/>
              <w:numPr>
                <w:ilvl w:val="0"/>
                <w:numId w:val="4"/>
              </w:numPr>
              <w:rPr>
                <w:rFonts w:hint="eastAsia" w:ascii="宋体" w:hAnsi="宋体" w:cs="宋体"/>
                <w:szCs w:val="21"/>
              </w:rPr>
            </w:pPr>
            <w:r>
              <w:rPr>
                <w:rFonts w:hint="eastAsia" w:ascii="宋体" w:hAnsi="宋体" w:cs="宋体"/>
                <w:szCs w:val="21"/>
              </w:rPr>
              <w:t>在“摇球</w:t>
            </w:r>
            <w:r>
              <w:rPr>
                <w:rFonts w:hint="eastAsia" w:ascii="宋体" w:hAnsi="宋体" w:cs="宋体"/>
                <w:szCs w:val="21"/>
                <w:lang w:eastAsia="zh-CN"/>
              </w:rPr>
              <w:t>机</w:t>
            </w:r>
            <w:r>
              <w:rPr>
                <w:rFonts w:hint="eastAsia" w:ascii="宋体" w:hAnsi="宋体" w:cs="宋体"/>
                <w:szCs w:val="21"/>
              </w:rPr>
              <w:t>”中放入经评标委员会评审合格的备选投标人的号码球。</w:t>
            </w:r>
          </w:p>
          <w:p w14:paraId="01B5EC2D">
            <w:pPr>
              <w:widowControl/>
              <w:numPr>
                <w:ilvl w:val="0"/>
                <w:numId w:val="4"/>
              </w:numPr>
              <w:rPr>
                <w:rFonts w:hint="eastAsia" w:ascii="宋体" w:hAnsi="宋体" w:cs="宋体"/>
                <w:szCs w:val="21"/>
              </w:rPr>
            </w:pPr>
            <w:r>
              <w:rPr>
                <w:rFonts w:hint="eastAsia" w:ascii="宋体" w:hAnsi="宋体" w:cs="宋体"/>
                <w:szCs w:val="21"/>
              </w:rPr>
              <w:t>由招标人代表当场公开随机抽取一个号码，对应的投标人为第一中标候选人。（适用于简易招标办法）</w:t>
            </w:r>
            <w:r>
              <w:rPr>
                <w:rFonts w:hint="eastAsia" w:ascii="宋体" w:hAnsi="宋体" w:cs="宋体"/>
                <w:szCs w:val="21"/>
                <w:highlight w:val="white"/>
                <w:lang w:eastAsia="zh-CN"/>
              </w:rPr>
              <w:t>。</w:t>
            </w:r>
          </w:p>
        </w:tc>
      </w:tr>
      <w:tr w14:paraId="5F03671C">
        <w:tblPrEx>
          <w:tblCellMar>
            <w:top w:w="0" w:type="dxa"/>
            <w:left w:w="108" w:type="dxa"/>
            <w:bottom w:w="0" w:type="dxa"/>
            <w:right w:w="108" w:type="dxa"/>
          </w:tblCellMar>
        </w:tblPrEx>
        <w:trPr>
          <w:trHeight w:val="499" w:hRule="atLeast"/>
          <w:jc w:val="center"/>
        </w:trPr>
        <w:tc>
          <w:tcPr>
            <w:tcW w:w="1439" w:type="dxa"/>
            <w:tcBorders>
              <w:top w:val="nil"/>
              <w:left w:val="single" w:color="000000" w:sz="12" w:space="0"/>
              <w:bottom w:val="single" w:color="000000" w:sz="12" w:space="0"/>
              <w:right w:val="single" w:color="000000" w:sz="12" w:space="0"/>
            </w:tcBorders>
            <w:noWrap w:val="0"/>
            <w:vAlign w:val="center"/>
          </w:tcPr>
          <w:p w14:paraId="2BD8735E">
            <w:pPr>
              <w:pStyle w:val="5"/>
              <w:snapToGrid w:val="0"/>
              <w:spacing w:line="380" w:lineRule="exact"/>
              <w:ind w:firstLine="0" w:firstLineChars="0"/>
              <w:jc w:val="center"/>
              <w:rPr>
                <w:rFonts w:hint="eastAsia" w:ascii="宋体" w:hAnsi="宋体" w:eastAsia="宋体" w:cs="宋体"/>
                <w:color w:val="auto"/>
                <w:szCs w:val="21"/>
                <w:lang w:val="en-US" w:eastAsia="zh-CN"/>
              </w:rPr>
            </w:pPr>
            <w:bookmarkStart w:id="601" w:name="FE33a5472de1d849ba9dad2b686ea978e5"/>
            <w:bookmarkEnd w:id="601"/>
            <w:bookmarkStart w:id="602" w:name="FB33a5472de1d849ba9dad2b686ea978e5"/>
            <w:bookmarkEnd w:id="602"/>
            <w:r>
              <w:rPr>
                <w:rFonts w:hint="eastAsia" w:ascii="宋体" w:hAnsi="宋体" w:cs="宋体"/>
                <w:color w:val="auto"/>
                <w:szCs w:val="21"/>
                <w:lang w:val="en-US" w:eastAsia="zh-CN"/>
              </w:rPr>
              <w:t>4</w:t>
            </w:r>
          </w:p>
        </w:tc>
        <w:tc>
          <w:tcPr>
            <w:tcW w:w="1843" w:type="dxa"/>
            <w:tcBorders>
              <w:top w:val="nil"/>
              <w:left w:val="single" w:color="000000" w:sz="12" w:space="0"/>
              <w:bottom w:val="single" w:color="000000" w:sz="12" w:space="0"/>
              <w:right w:val="single" w:color="000000" w:sz="12" w:space="0"/>
            </w:tcBorders>
            <w:noWrap w:val="0"/>
            <w:vAlign w:val="center"/>
          </w:tcPr>
          <w:p w14:paraId="46E80ACA">
            <w:pPr>
              <w:pStyle w:val="5"/>
              <w:snapToGrid w:val="0"/>
              <w:spacing w:line="380" w:lineRule="exact"/>
              <w:ind w:firstLine="0" w:firstLineChars="0"/>
              <w:jc w:val="center"/>
              <w:rPr>
                <w:rFonts w:hint="eastAsia" w:ascii="宋体" w:hAnsi="宋体" w:cs="宋体"/>
                <w:b/>
                <w:szCs w:val="21"/>
              </w:rPr>
            </w:pPr>
            <w:r>
              <w:rPr>
                <w:rFonts w:hint="eastAsia" w:ascii="宋体" w:hAnsi="宋体" w:cs="宋体"/>
                <w:kern w:val="0"/>
                <w:szCs w:val="21"/>
                <w:highlight w:val="white"/>
              </w:rPr>
              <w:t>发包价</w:t>
            </w:r>
          </w:p>
        </w:tc>
        <w:tc>
          <w:tcPr>
            <w:tcW w:w="5860" w:type="dxa"/>
            <w:tcBorders>
              <w:top w:val="nil"/>
              <w:left w:val="nil"/>
              <w:bottom w:val="single" w:color="000000" w:sz="12" w:space="0"/>
              <w:right w:val="single" w:color="000000" w:sz="12" w:space="0"/>
            </w:tcBorders>
            <w:noWrap w:val="0"/>
            <w:vAlign w:val="center"/>
          </w:tcPr>
          <w:p w14:paraId="78E963A3">
            <w:pPr>
              <w:widowControl/>
              <w:rPr>
                <w:rFonts w:hint="default" w:ascii="宋体" w:hAnsi="宋体" w:eastAsia="宋体" w:cs="宋体"/>
                <w:kern w:val="0"/>
                <w:szCs w:val="21"/>
                <w:lang w:val="en-US" w:eastAsia="zh-CN"/>
              </w:rPr>
            </w:pPr>
            <w:r>
              <w:rPr>
                <w:rFonts w:hint="eastAsia" w:ascii="宋体" w:hAnsi="宋体" w:cs="宋体"/>
                <w:color w:val="0000FF"/>
                <w:szCs w:val="21"/>
                <w:highlight w:val="white"/>
              </w:rPr>
              <w:t>工程发包价</w:t>
            </w:r>
            <w:r>
              <w:rPr>
                <w:rFonts w:hint="eastAsia" w:ascii="宋体" w:hAnsi="宋体" w:cs="宋体"/>
                <w:color w:val="0000FF"/>
                <w:szCs w:val="21"/>
                <w:highlight w:val="white"/>
                <w:lang w:val="en-US" w:eastAsia="zh-CN"/>
              </w:rPr>
              <w:t>514727</w:t>
            </w:r>
            <w:r>
              <w:rPr>
                <w:rFonts w:hint="eastAsia" w:ascii="宋体" w:hAnsi="宋体" w:cs="宋体"/>
                <w:color w:val="0000FF"/>
                <w:szCs w:val="21"/>
                <w:highlight w:val="white"/>
              </w:rPr>
              <w:t>元。</w:t>
            </w:r>
            <w:r>
              <w:rPr>
                <w:rFonts w:hint="eastAsia" w:ascii="宋体" w:hAnsi="宋体" w:cs="宋体"/>
                <w:color w:val="0000FF"/>
                <w:szCs w:val="21"/>
                <w:highlight w:val="white"/>
                <w:lang w:val="en-US" w:eastAsia="zh-CN"/>
              </w:rPr>
              <w:t>工程发包价按招标控制价可竞争项目（含建筑工程一切险、第三者责任险、工伤保险费）下浮1%，不可竞争项目为暂列金25114元；</w:t>
            </w:r>
            <w:r>
              <w:rPr>
                <w:rFonts w:hint="eastAsia" w:ascii="宋体" w:hAnsi="宋体" w:eastAsia="宋体" w:cs="宋体"/>
                <w:color w:val="0000FF"/>
                <w:szCs w:val="21"/>
                <w:highlight w:val="white"/>
                <w:lang w:val="en-US" w:eastAsia="zh-CN"/>
              </w:rPr>
              <w:t>发包价</w:t>
            </w:r>
            <w:r>
              <w:rPr>
                <w:rFonts w:hint="eastAsia" w:ascii="宋体" w:hAnsi="宋体" w:eastAsia="宋体" w:cs="宋体"/>
                <w:color w:val="0000FF"/>
                <w:sz w:val="21"/>
                <w:szCs w:val="21"/>
                <w:highlight w:val="white"/>
              </w:rPr>
              <w:t>计算公式为：(B-暂列金额)×(1-K)+暂列金额。其中：B为招标控制价；暂列金额以招标工程量清单中列出的金额为准。</w:t>
            </w:r>
          </w:p>
        </w:tc>
      </w:tr>
    </w:tbl>
    <w:p w14:paraId="38F95FDD">
      <w:pPr>
        <w:rPr>
          <w:rFonts w:hint="eastAsia" w:ascii="宋体" w:hAnsi="宋体" w:cs="宋体"/>
          <w:color w:val="000080"/>
          <w:sz w:val="20"/>
          <w:highlight w:val="cyan"/>
        </w:rPr>
      </w:pPr>
      <w:bookmarkStart w:id="603" w:name="EB7ee57c859553461c9d0a51234d430c73"/>
      <w:r>
        <w:rPr>
          <w:rFonts w:hint="eastAsia" w:ascii="宋体" w:hAnsi="宋体" w:cs="宋体"/>
          <w:color w:val="000080"/>
          <w:sz w:val="20"/>
          <w:highlight w:val="white"/>
        </w:rPr>
        <w:t xml:space="preserve"> </w:t>
      </w:r>
      <w:bookmarkEnd w:id="603"/>
      <w:bookmarkStart w:id="604" w:name="EBd8efb3c06b69481d98adc1f7e400cace"/>
      <w:r>
        <w:rPr>
          <w:rFonts w:hint="eastAsia" w:ascii="宋体" w:hAnsi="宋体" w:cs="宋体"/>
          <w:color w:val="000080"/>
          <w:sz w:val="20"/>
          <w:highlight w:val="white"/>
        </w:rPr>
        <w:t xml:space="preserve"> </w:t>
      </w:r>
      <w:bookmarkEnd w:id="604"/>
    </w:p>
    <w:p w14:paraId="1A1CE311">
      <w:pPr>
        <w:jc w:val="center"/>
        <w:rPr>
          <w:rFonts w:hint="eastAsia" w:ascii="宋体" w:hAnsi="宋体" w:cs="宋体"/>
          <w:color w:val="000080"/>
          <w:sz w:val="20"/>
          <w:highlight w:val="white"/>
        </w:rPr>
      </w:pPr>
    </w:p>
    <w:p w14:paraId="696BC635">
      <w:pPr>
        <w:jc w:val="center"/>
        <w:rPr>
          <w:rFonts w:hint="eastAsia" w:ascii="宋体" w:hAnsi="宋体" w:cs="宋体"/>
          <w:sz w:val="24"/>
          <w:szCs w:val="24"/>
        </w:rPr>
      </w:pPr>
      <w:bookmarkStart w:id="605" w:name="_Toc362614253"/>
      <w:bookmarkStart w:id="606" w:name="_Toc368338558"/>
      <w:bookmarkStart w:id="607" w:name="_Toc361993607"/>
      <w:bookmarkStart w:id="608" w:name="_Toc368320231"/>
      <w:bookmarkStart w:id="609" w:name="_Toc362617992"/>
      <w:bookmarkStart w:id="610" w:name="_Toc40261829"/>
      <w:bookmarkStart w:id="611" w:name="_Toc362613881"/>
      <w:bookmarkStart w:id="612" w:name="_Toc245379330"/>
      <w:r>
        <w:rPr>
          <w:rFonts w:hint="eastAsia" w:ascii="宋体" w:hAnsi="宋体" w:cs="宋体"/>
          <w:sz w:val="24"/>
          <w:szCs w:val="24"/>
          <w:highlight w:val="white"/>
        </w:rPr>
        <w:t>评标办法正文</w:t>
      </w:r>
      <w:bookmarkEnd w:id="605"/>
      <w:bookmarkEnd w:id="606"/>
      <w:bookmarkEnd w:id="607"/>
      <w:bookmarkEnd w:id="608"/>
      <w:bookmarkEnd w:id="609"/>
      <w:bookmarkEnd w:id="610"/>
      <w:bookmarkEnd w:id="611"/>
      <w:bookmarkEnd w:id="612"/>
    </w:p>
    <w:p w14:paraId="70074875">
      <w:pPr>
        <w:spacing w:line="360" w:lineRule="exact"/>
        <w:ind w:firstLine="420" w:firstLineChars="200"/>
        <w:rPr>
          <w:rFonts w:hint="eastAsia" w:ascii="宋体" w:hAnsi="宋体" w:cs="宋体"/>
          <w:szCs w:val="21"/>
        </w:rPr>
      </w:pPr>
      <w:bookmarkStart w:id="613" w:name="_Toc362613882"/>
      <w:bookmarkStart w:id="614" w:name="_Toc362614254"/>
      <w:bookmarkStart w:id="615" w:name="_Toc179632607"/>
      <w:bookmarkStart w:id="616" w:name="_Toc152042366"/>
      <w:bookmarkStart w:id="617" w:name="_Toc152045589"/>
      <w:bookmarkStart w:id="618" w:name="_Toc243796174"/>
      <w:bookmarkStart w:id="619" w:name="_Toc234382664"/>
      <w:r>
        <w:rPr>
          <w:rFonts w:hint="eastAsia" w:ascii="宋体" w:hAnsi="宋体" w:cs="宋体"/>
          <w:szCs w:val="21"/>
          <w:highlight w:val="white"/>
        </w:rPr>
        <w:t>本评标办法正文若有与本范本评标办法前附表不一致之处，以评标办法前附表为准。</w:t>
      </w:r>
      <w:bookmarkEnd w:id="613"/>
      <w:bookmarkEnd w:id="614"/>
    </w:p>
    <w:p w14:paraId="05A0B50B">
      <w:pPr>
        <w:pStyle w:val="34"/>
        <w:keepNext w:val="0"/>
        <w:spacing w:line="280" w:lineRule="exact"/>
        <w:ind w:firstLine="880" w:firstLineChars="200"/>
        <w:jc w:val="both"/>
        <w:outlineLvl w:val="9"/>
        <w:rPr>
          <w:rFonts w:hint="eastAsia" w:ascii="宋体" w:hAnsi="宋体" w:cs="宋体"/>
        </w:rPr>
      </w:pPr>
    </w:p>
    <w:p w14:paraId="144C93F2">
      <w:pPr>
        <w:pStyle w:val="3"/>
        <w:spacing w:before="0" w:after="0" w:line="240" w:lineRule="auto"/>
        <w:rPr>
          <w:rFonts w:hint="eastAsia" w:ascii="宋体" w:hAnsi="宋体" w:cs="宋体"/>
          <w:sz w:val="21"/>
          <w:szCs w:val="21"/>
        </w:rPr>
      </w:pPr>
      <w:bookmarkStart w:id="620" w:name="_Toc362613883"/>
      <w:bookmarkStart w:id="621" w:name="_Toc368338559"/>
      <w:bookmarkStart w:id="622" w:name="_Toc367178466"/>
      <w:bookmarkStart w:id="623" w:name="_Toc368320232"/>
      <w:bookmarkStart w:id="624" w:name="_Toc40261830"/>
      <w:bookmarkStart w:id="625" w:name="_Toc362614255"/>
      <w:bookmarkStart w:id="626" w:name="_Toc362617993"/>
      <w:r>
        <w:rPr>
          <w:rFonts w:hint="eastAsia" w:ascii="宋体" w:hAnsi="宋体" w:cs="宋体"/>
          <w:sz w:val="21"/>
          <w:szCs w:val="21"/>
          <w:highlight w:val="white"/>
        </w:rPr>
        <w:t>1. 评标方法</w:t>
      </w:r>
      <w:bookmarkEnd w:id="615"/>
      <w:bookmarkEnd w:id="616"/>
      <w:bookmarkEnd w:id="617"/>
      <w:bookmarkEnd w:id="620"/>
      <w:bookmarkEnd w:id="621"/>
      <w:bookmarkEnd w:id="622"/>
      <w:bookmarkEnd w:id="623"/>
      <w:bookmarkEnd w:id="624"/>
      <w:bookmarkEnd w:id="625"/>
      <w:bookmarkEnd w:id="626"/>
    </w:p>
    <w:p w14:paraId="3DF968EE">
      <w:pPr>
        <w:spacing w:line="360" w:lineRule="exact"/>
        <w:ind w:firstLine="420" w:firstLineChars="200"/>
        <w:rPr>
          <w:rFonts w:hint="eastAsia" w:ascii="宋体" w:hAnsi="宋体" w:cs="宋体"/>
          <w:szCs w:val="21"/>
        </w:rPr>
      </w:pPr>
      <w:r>
        <w:rPr>
          <w:rFonts w:hint="eastAsia" w:ascii="宋体" w:hAnsi="宋体" w:cs="宋体"/>
          <w:szCs w:val="21"/>
          <w:highlight w:val="white"/>
        </w:rPr>
        <w:t>评标办法：见评标办法前附表。</w:t>
      </w:r>
    </w:p>
    <w:p w14:paraId="643BBB4C">
      <w:pPr>
        <w:pStyle w:val="3"/>
        <w:spacing w:before="0" w:after="0" w:line="240" w:lineRule="auto"/>
        <w:rPr>
          <w:rFonts w:hint="eastAsia" w:ascii="宋体" w:hAnsi="宋体" w:cs="宋体"/>
          <w:sz w:val="21"/>
          <w:szCs w:val="21"/>
        </w:rPr>
      </w:pPr>
      <w:bookmarkStart w:id="627" w:name="_Toc367178467"/>
      <w:bookmarkStart w:id="628" w:name="_Toc179632608"/>
      <w:bookmarkStart w:id="629" w:name="_Toc362617994"/>
      <w:bookmarkStart w:id="630" w:name="_Toc368320233"/>
      <w:bookmarkStart w:id="631" w:name="_Toc40261831"/>
      <w:bookmarkStart w:id="632" w:name="_Toc362613884"/>
      <w:bookmarkStart w:id="633" w:name="_Toc152042367"/>
      <w:bookmarkStart w:id="634" w:name="_Toc368338560"/>
      <w:bookmarkStart w:id="635" w:name="_Toc362614256"/>
      <w:bookmarkStart w:id="636" w:name="_Toc152045590"/>
      <w:r>
        <w:rPr>
          <w:rFonts w:hint="eastAsia" w:ascii="宋体" w:hAnsi="宋体" w:cs="宋体"/>
          <w:sz w:val="21"/>
          <w:szCs w:val="21"/>
          <w:highlight w:val="white"/>
        </w:rPr>
        <w:t>2. 评审标准</w:t>
      </w:r>
      <w:bookmarkEnd w:id="627"/>
      <w:bookmarkEnd w:id="628"/>
      <w:bookmarkEnd w:id="629"/>
      <w:bookmarkEnd w:id="630"/>
      <w:bookmarkEnd w:id="631"/>
      <w:bookmarkEnd w:id="632"/>
      <w:bookmarkEnd w:id="633"/>
      <w:bookmarkEnd w:id="634"/>
      <w:bookmarkEnd w:id="635"/>
      <w:bookmarkEnd w:id="636"/>
    </w:p>
    <w:p w14:paraId="55526A51">
      <w:pPr>
        <w:pStyle w:val="4"/>
        <w:spacing w:before="0" w:after="0" w:line="240" w:lineRule="auto"/>
        <w:rPr>
          <w:rFonts w:hint="eastAsia" w:ascii="宋体" w:hAnsi="宋体" w:eastAsia="宋体" w:cs="宋体"/>
          <w:sz w:val="21"/>
          <w:szCs w:val="21"/>
          <w:highlight w:val="white"/>
        </w:rPr>
      </w:pPr>
      <w:bookmarkStart w:id="637" w:name="_Toc40261832"/>
      <w:bookmarkStart w:id="638" w:name="_Toc152045591"/>
      <w:bookmarkStart w:id="639" w:name="_Toc179632609"/>
      <w:bookmarkStart w:id="640" w:name="_Toc362617995"/>
      <w:bookmarkStart w:id="641" w:name="_Toc152042368"/>
      <w:r>
        <w:rPr>
          <w:rFonts w:hint="eastAsia" w:ascii="宋体" w:hAnsi="宋体" w:eastAsia="宋体" w:cs="宋体"/>
          <w:sz w:val="21"/>
          <w:szCs w:val="21"/>
          <w:highlight w:val="white"/>
        </w:rPr>
        <w:t>2.1 初步评审标准</w:t>
      </w:r>
      <w:bookmarkEnd w:id="637"/>
      <w:bookmarkEnd w:id="638"/>
      <w:bookmarkEnd w:id="639"/>
      <w:bookmarkEnd w:id="640"/>
      <w:bookmarkEnd w:id="641"/>
    </w:p>
    <w:p w14:paraId="686CB700">
      <w:pPr>
        <w:spacing w:line="360" w:lineRule="exact"/>
        <w:ind w:firstLine="420" w:firstLineChars="200"/>
        <w:rPr>
          <w:rFonts w:hint="eastAsia" w:ascii="宋体" w:hAnsi="宋体" w:cs="宋体"/>
          <w:szCs w:val="21"/>
        </w:rPr>
      </w:pPr>
      <w:r>
        <w:rPr>
          <w:rFonts w:hint="eastAsia" w:ascii="宋体" w:hAnsi="宋体" w:cs="宋体"/>
          <w:szCs w:val="21"/>
          <w:highlight w:val="white"/>
        </w:rPr>
        <w:t>2.1.1 形式评审标准：见评标办法前附表。</w:t>
      </w:r>
    </w:p>
    <w:p w14:paraId="622D3D85">
      <w:pPr>
        <w:spacing w:line="360" w:lineRule="exact"/>
        <w:ind w:firstLine="420" w:firstLineChars="200"/>
        <w:rPr>
          <w:rFonts w:hint="eastAsia" w:ascii="宋体" w:hAnsi="宋体" w:cs="宋体"/>
          <w:szCs w:val="21"/>
        </w:rPr>
      </w:pPr>
      <w:r>
        <w:rPr>
          <w:rFonts w:hint="eastAsia" w:ascii="宋体" w:hAnsi="宋体" w:cs="宋体"/>
          <w:szCs w:val="21"/>
          <w:highlight w:val="white"/>
        </w:rPr>
        <w:t>2.1.2 资格评审标准：见评标办法前附表。</w:t>
      </w:r>
    </w:p>
    <w:p w14:paraId="3DA7913E">
      <w:pPr>
        <w:spacing w:line="360" w:lineRule="exact"/>
        <w:ind w:firstLine="420" w:firstLineChars="200"/>
        <w:rPr>
          <w:rFonts w:hint="eastAsia" w:ascii="宋体" w:hAnsi="宋体" w:cs="宋体"/>
          <w:szCs w:val="21"/>
        </w:rPr>
      </w:pPr>
      <w:r>
        <w:rPr>
          <w:rFonts w:hint="eastAsia" w:ascii="宋体" w:hAnsi="宋体" w:cs="宋体"/>
          <w:szCs w:val="21"/>
          <w:highlight w:val="white"/>
        </w:rPr>
        <w:t>2.1.3 响应性评审标准：见评标办法前附表。</w:t>
      </w:r>
    </w:p>
    <w:p w14:paraId="4D860125">
      <w:pPr>
        <w:pStyle w:val="4"/>
        <w:spacing w:before="0" w:after="0" w:line="240" w:lineRule="auto"/>
        <w:rPr>
          <w:rFonts w:hint="eastAsia" w:ascii="宋体" w:hAnsi="宋体" w:eastAsia="宋体" w:cs="宋体"/>
          <w:sz w:val="21"/>
          <w:szCs w:val="21"/>
          <w:highlight w:val="white"/>
        </w:rPr>
      </w:pPr>
      <w:bookmarkStart w:id="642" w:name="_Toc362617996"/>
      <w:bookmarkStart w:id="643" w:name="_Toc152042369"/>
      <w:bookmarkStart w:id="644" w:name="_Toc40261833"/>
      <w:bookmarkStart w:id="645" w:name="_Toc179632610"/>
      <w:bookmarkStart w:id="646" w:name="_Toc152045592"/>
      <w:r>
        <w:rPr>
          <w:rFonts w:hint="eastAsia" w:ascii="宋体" w:hAnsi="宋体" w:eastAsia="宋体" w:cs="宋体"/>
          <w:sz w:val="21"/>
          <w:szCs w:val="21"/>
          <w:highlight w:val="white"/>
        </w:rPr>
        <w:t>2.2 详细评审标准</w:t>
      </w:r>
      <w:bookmarkEnd w:id="642"/>
      <w:bookmarkEnd w:id="643"/>
      <w:bookmarkEnd w:id="644"/>
      <w:bookmarkEnd w:id="645"/>
      <w:bookmarkEnd w:id="646"/>
    </w:p>
    <w:p w14:paraId="5C0417F3">
      <w:pPr>
        <w:spacing w:line="360" w:lineRule="exact"/>
        <w:ind w:firstLine="420" w:firstLineChars="200"/>
        <w:rPr>
          <w:rFonts w:hint="eastAsia" w:ascii="宋体" w:hAnsi="宋体" w:cs="宋体"/>
          <w:szCs w:val="21"/>
        </w:rPr>
      </w:pPr>
      <w:r>
        <w:rPr>
          <w:rFonts w:hint="eastAsia" w:ascii="宋体" w:hAnsi="宋体" w:cs="宋体"/>
          <w:szCs w:val="21"/>
          <w:highlight w:val="white"/>
        </w:rPr>
        <w:t>详细评审标准：见评标办法前附表。</w:t>
      </w:r>
    </w:p>
    <w:p w14:paraId="60C9B126">
      <w:pPr>
        <w:pStyle w:val="3"/>
        <w:spacing w:before="0" w:after="0" w:line="240" w:lineRule="auto"/>
        <w:rPr>
          <w:rFonts w:hint="eastAsia" w:ascii="宋体" w:hAnsi="宋体" w:cs="宋体"/>
          <w:sz w:val="21"/>
          <w:szCs w:val="21"/>
        </w:rPr>
      </w:pPr>
      <w:bookmarkStart w:id="647" w:name="_Toc368320234"/>
      <w:bookmarkStart w:id="648" w:name="_Toc362613885"/>
      <w:bookmarkStart w:id="649" w:name="_Toc40261834"/>
      <w:bookmarkStart w:id="650" w:name="_Toc152042370"/>
      <w:bookmarkStart w:id="651" w:name="_Toc368338561"/>
      <w:bookmarkStart w:id="652" w:name="_Toc362617997"/>
      <w:bookmarkStart w:id="653" w:name="_Toc362614257"/>
      <w:bookmarkStart w:id="654" w:name="_Toc179632611"/>
      <w:bookmarkStart w:id="655" w:name="_Toc152045593"/>
      <w:bookmarkStart w:id="656" w:name="_Toc367178468"/>
      <w:r>
        <w:rPr>
          <w:rFonts w:hint="eastAsia" w:ascii="宋体" w:hAnsi="宋体" w:cs="宋体"/>
          <w:sz w:val="21"/>
          <w:szCs w:val="21"/>
          <w:highlight w:val="white"/>
        </w:rPr>
        <w:t>3. 评标程序</w:t>
      </w:r>
      <w:bookmarkEnd w:id="647"/>
      <w:bookmarkEnd w:id="648"/>
      <w:bookmarkEnd w:id="649"/>
      <w:bookmarkEnd w:id="650"/>
      <w:bookmarkEnd w:id="651"/>
      <w:bookmarkEnd w:id="652"/>
      <w:bookmarkEnd w:id="653"/>
      <w:bookmarkEnd w:id="654"/>
      <w:bookmarkEnd w:id="655"/>
      <w:bookmarkEnd w:id="656"/>
    </w:p>
    <w:p w14:paraId="4E25356E">
      <w:pPr>
        <w:pStyle w:val="4"/>
        <w:spacing w:before="0" w:after="0" w:line="240" w:lineRule="auto"/>
        <w:rPr>
          <w:rFonts w:hint="eastAsia" w:ascii="宋体" w:hAnsi="宋体" w:eastAsia="宋体" w:cs="宋体"/>
          <w:sz w:val="21"/>
          <w:szCs w:val="21"/>
          <w:highlight w:val="white"/>
        </w:rPr>
      </w:pPr>
      <w:bookmarkStart w:id="657" w:name="_Toc179632612"/>
      <w:bookmarkStart w:id="658" w:name="_Toc152045594"/>
      <w:bookmarkStart w:id="659" w:name="_Toc152042371"/>
      <w:bookmarkStart w:id="660" w:name="_Toc362617998"/>
      <w:bookmarkStart w:id="661" w:name="_Toc40261835"/>
      <w:r>
        <w:rPr>
          <w:rFonts w:hint="eastAsia" w:ascii="宋体" w:hAnsi="宋体" w:eastAsia="宋体" w:cs="宋体"/>
          <w:sz w:val="21"/>
          <w:szCs w:val="21"/>
          <w:highlight w:val="white"/>
        </w:rPr>
        <w:t>3.1 初步评审</w:t>
      </w:r>
      <w:bookmarkEnd w:id="657"/>
      <w:bookmarkEnd w:id="658"/>
      <w:bookmarkEnd w:id="659"/>
      <w:bookmarkEnd w:id="660"/>
      <w:bookmarkEnd w:id="661"/>
    </w:p>
    <w:p w14:paraId="13FB0F08">
      <w:pPr>
        <w:spacing w:line="360" w:lineRule="exact"/>
        <w:ind w:firstLine="420" w:firstLineChars="200"/>
        <w:rPr>
          <w:rFonts w:hint="eastAsia" w:ascii="宋体" w:hAnsi="宋体" w:cs="宋体"/>
          <w:szCs w:val="21"/>
        </w:rPr>
      </w:pPr>
      <w:r>
        <w:rPr>
          <w:rFonts w:hint="eastAsia" w:ascii="宋体" w:hAnsi="宋体" w:cs="宋体"/>
          <w:szCs w:val="21"/>
          <w:highlight w:val="white"/>
        </w:rPr>
        <w:t>3.1.1评标委员会依据本章第2.1款规定的标准对投标文件进行初步评审。有一项不符合评审标准的，作否决投标处理。</w:t>
      </w:r>
    </w:p>
    <w:p w14:paraId="0AF5B338">
      <w:pPr>
        <w:spacing w:line="360" w:lineRule="exact"/>
        <w:ind w:firstLine="420" w:firstLineChars="200"/>
        <w:rPr>
          <w:rFonts w:hint="eastAsia" w:ascii="宋体" w:hAnsi="宋体" w:cs="宋体"/>
          <w:szCs w:val="21"/>
        </w:rPr>
      </w:pPr>
      <w:r>
        <w:rPr>
          <w:rFonts w:hint="eastAsia" w:ascii="宋体" w:hAnsi="宋体" w:cs="宋体"/>
          <w:szCs w:val="21"/>
          <w:highlight w:val="white"/>
        </w:rPr>
        <w:t>3.1.2 投标人有以下情形之一的，其投标将被否决：</w:t>
      </w:r>
    </w:p>
    <w:p w14:paraId="1EB9C9E2">
      <w:pPr>
        <w:spacing w:line="360" w:lineRule="exact"/>
        <w:ind w:firstLine="420" w:firstLineChars="200"/>
        <w:rPr>
          <w:rFonts w:hint="eastAsia" w:ascii="宋体" w:hAnsi="宋体" w:cs="宋体"/>
          <w:szCs w:val="21"/>
        </w:rPr>
      </w:pPr>
      <w:r>
        <w:rPr>
          <w:rFonts w:hint="eastAsia" w:ascii="宋体" w:hAnsi="宋体" w:cs="宋体"/>
          <w:szCs w:val="21"/>
          <w:highlight w:val="white"/>
        </w:rPr>
        <w:t>（1）第二章“投标人须知”第1.4.3项、第1.4.4项规定的任何一种情形的；</w:t>
      </w:r>
    </w:p>
    <w:p w14:paraId="7772A541">
      <w:pPr>
        <w:spacing w:line="360" w:lineRule="exact"/>
        <w:ind w:firstLine="420" w:firstLineChars="200"/>
        <w:rPr>
          <w:rFonts w:hint="eastAsia" w:ascii="宋体" w:hAnsi="宋体" w:cs="宋体"/>
          <w:szCs w:val="21"/>
        </w:rPr>
      </w:pPr>
      <w:r>
        <w:rPr>
          <w:rFonts w:hint="eastAsia" w:ascii="宋体" w:hAnsi="宋体" w:cs="宋体"/>
          <w:szCs w:val="21"/>
          <w:highlight w:val="white"/>
        </w:rPr>
        <w:t>（2）串通投标或弄虚作假或有其他违法行为的；</w:t>
      </w:r>
    </w:p>
    <w:p w14:paraId="5829BBDD">
      <w:pPr>
        <w:spacing w:line="360" w:lineRule="exact"/>
        <w:ind w:firstLine="420" w:firstLineChars="200"/>
        <w:rPr>
          <w:rFonts w:hint="eastAsia" w:ascii="宋体" w:hAnsi="宋体" w:cs="宋体"/>
          <w:szCs w:val="21"/>
        </w:rPr>
      </w:pPr>
      <w:r>
        <w:rPr>
          <w:rFonts w:hint="eastAsia" w:ascii="宋体" w:hAnsi="宋体" w:cs="宋体"/>
          <w:szCs w:val="21"/>
          <w:highlight w:val="white"/>
        </w:rPr>
        <w:t>（3）不按评标委员会要求澄清、说明或补正的；</w:t>
      </w:r>
    </w:p>
    <w:p w14:paraId="405C773D">
      <w:pPr>
        <w:spacing w:line="360" w:lineRule="exact"/>
        <w:ind w:firstLine="420" w:firstLineChars="200"/>
        <w:rPr>
          <w:rFonts w:hint="eastAsia" w:ascii="宋体" w:hAnsi="宋体" w:cs="宋体"/>
          <w:szCs w:val="21"/>
        </w:rPr>
      </w:pPr>
      <w:r>
        <w:rPr>
          <w:rFonts w:hint="eastAsia" w:ascii="宋体" w:hAnsi="宋体" w:cs="宋体"/>
          <w:szCs w:val="21"/>
          <w:highlight w:val="white"/>
        </w:rPr>
        <w:t>（4）采用简易招标办法的，投标人不响应招标人在招标文件中提供的已标价的工程量清单内容、格式以及单价和合价。</w:t>
      </w:r>
    </w:p>
    <w:p w14:paraId="44EAF019">
      <w:pPr>
        <w:spacing w:line="360" w:lineRule="exact"/>
        <w:ind w:firstLine="420" w:firstLineChars="200"/>
        <w:rPr>
          <w:rFonts w:hint="eastAsia" w:ascii="宋体" w:hAnsi="宋体" w:cs="宋体"/>
          <w:szCs w:val="21"/>
        </w:rPr>
      </w:pPr>
      <w:r>
        <w:rPr>
          <w:rFonts w:hint="eastAsia" w:ascii="宋体" w:hAnsi="宋体" w:cs="宋体"/>
          <w:szCs w:val="21"/>
          <w:highlight w:val="white"/>
        </w:rPr>
        <w:t>3.1.3投标报价有算术错误的，评标委员会按以下原则对投标报价进行修正，修正的价格经投标人书面确认后具有约束力。投标人不接受修正价格的，其投标将被否决处理，并没收其投标担保。</w:t>
      </w:r>
    </w:p>
    <w:p w14:paraId="532A747E">
      <w:pPr>
        <w:spacing w:line="360" w:lineRule="exact"/>
        <w:ind w:firstLine="420" w:firstLineChars="200"/>
        <w:rPr>
          <w:rFonts w:hint="eastAsia" w:ascii="宋体" w:hAnsi="宋体" w:cs="宋体"/>
          <w:szCs w:val="21"/>
        </w:rPr>
      </w:pPr>
      <w:r>
        <w:rPr>
          <w:rFonts w:hint="eastAsia" w:ascii="宋体" w:hAnsi="宋体" w:cs="宋体"/>
          <w:szCs w:val="21"/>
          <w:highlight w:val="white"/>
        </w:rPr>
        <w:t>（1）投标文件中的大写金额与小写金额不一致的，以大写金额为准；</w:t>
      </w:r>
    </w:p>
    <w:p w14:paraId="6AEDDE67">
      <w:pPr>
        <w:spacing w:line="360" w:lineRule="exact"/>
        <w:ind w:firstLine="420" w:firstLineChars="200"/>
        <w:rPr>
          <w:rFonts w:hint="eastAsia" w:ascii="宋体" w:hAnsi="宋体" w:cs="宋体"/>
          <w:szCs w:val="21"/>
        </w:rPr>
      </w:pPr>
      <w:r>
        <w:rPr>
          <w:rFonts w:hint="eastAsia" w:ascii="宋体" w:hAnsi="宋体" w:cs="宋体"/>
          <w:szCs w:val="21"/>
          <w:highlight w:val="white"/>
        </w:rPr>
        <w:t>（2）总价金额与依据单价计算出的结果不一致的，以单价金额为准修正总价，但单价金额小数点有明显错误的除外；</w:t>
      </w:r>
    </w:p>
    <w:p w14:paraId="588A8EAE">
      <w:pPr>
        <w:spacing w:line="360" w:lineRule="exact"/>
        <w:ind w:firstLine="420" w:firstLineChars="200"/>
        <w:rPr>
          <w:rFonts w:hint="eastAsia" w:ascii="宋体" w:hAnsi="宋体" w:cs="宋体"/>
          <w:szCs w:val="21"/>
        </w:rPr>
      </w:pPr>
      <w:r>
        <w:rPr>
          <w:rFonts w:hint="eastAsia" w:ascii="宋体" w:hAnsi="宋体" w:cs="宋体"/>
          <w:szCs w:val="21"/>
          <w:highlight w:val="white"/>
        </w:rPr>
        <w:t>（3）当单价与数量相乘不等于合价时，以单价计算为准，如果单价有明显的小数点位置差错，应以标出的合价为准，同时对单价予以修正；</w:t>
      </w:r>
    </w:p>
    <w:p w14:paraId="528F4CD6">
      <w:pPr>
        <w:spacing w:line="360" w:lineRule="exact"/>
        <w:ind w:firstLine="420" w:firstLineChars="200"/>
        <w:rPr>
          <w:rFonts w:hint="eastAsia" w:ascii="宋体" w:hAnsi="宋体" w:cs="宋体"/>
          <w:szCs w:val="21"/>
        </w:rPr>
      </w:pPr>
      <w:r>
        <w:rPr>
          <w:rFonts w:hint="eastAsia" w:ascii="宋体" w:hAnsi="宋体" w:cs="宋体"/>
          <w:szCs w:val="21"/>
          <w:highlight w:val="white"/>
        </w:rPr>
        <w:t>（4）当各子目的合价累计不等于总价时，应以各子目合价累计数为准，修正总价。</w:t>
      </w:r>
    </w:p>
    <w:p w14:paraId="2AF5AC0B">
      <w:pPr>
        <w:tabs>
          <w:tab w:val="left" w:pos="360"/>
          <w:tab w:val="left" w:pos="540"/>
        </w:tabs>
        <w:spacing w:line="360" w:lineRule="exact"/>
        <w:ind w:firstLine="420" w:firstLineChars="200"/>
        <w:rPr>
          <w:rFonts w:hint="eastAsia" w:ascii="宋体" w:hAnsi="宋体" w:cs="宋体"/>
          <w:szCs w:val="21"/>
        </w:rPr>
      </w:pPr>
      <w:r>
        <w:rPr>
          <w:rFonts w:hint="eastAsia" w:ascii="宋体" w:hAnsi="宋体" w:cs="宋体"/>
          <w:szCs w:val="21"/>
          <w:highlight w:val="white"/>
        </w:rPr>
        <w:t>3.1.4工程量清单中的投标报价有其他错误的，评标委员会按以下原则对投标报价进行修正，修正的价格经投标人书面确认后具有约束力。投标人不接受修正价格的，其投标将被否决，并没收其投标担保。</w:t>
      </w:r>
    </w:p>
    <w:p w14:paraId="28092267">
      <w:pPr>
        <w:spacing w:line="360" w:lineRule="exact"/>
        <w:ind w:firstLine="420" w:firstLineChars="200"/>
        <w:rPr>
          <w:rFonts w:hint="eastAsia" w:ascii="宋体" w:hAnsi="宋体" w:cs="宋体"/>
          <w:szCs w:val="21"/>
        </w:rPr>
      </w:pPr>
      <w:r>
        <w:rPr>
          <w:rFonts w:hint="eastAsia" w:ascii="宋体" w:hAnsi="宋体" w:cs="宋体"/>
          <w:szCs w:val="21"/>
          <w:highlight w:val="whit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6588303">
      <w:pPr>
        <w:spacing w:line="360" w:lineRule="exact"/>
        <w:ind w:firstLine="420" w:firstLineChars="200"/>
        <w:rPr>
          <w:rFonts w:hint="eastAsia" w:ascii="宋体" w:hAnsi="宋体" w:cs="宋体"/>
          <w:szCs w:val="21"/>
        </w:rPr>
      </w:pPr>
      <w:r>
        <w:rPr>
          <w:rFonts w:hint="eastAsia" w:ascii="宋体" w:hAnsi="宋体" w:cs="宋体"/>
          <w:szCs w:val="21"/>
          <w:highlight w:val="whit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015E3B7C">
      <w:pPr>
        <w:spacing w:line="360" w:lineRule="exact"/>
        <w:ind w:firstLine="420" w:firstLineChars="200"/>
        <w:rPr>
          <w:rFonts w:hint="eastAsia" w:ascii="宋体" w:hAnsi="宋体" w:cs="宋体"/>
          <w:szCs w:val="21"/>
        </w:rPr>
      </w:pPr>
      <w:r>
        <w:rPr>
          <w:rFonts w:hint="eastAsia" w:ascii="宋体" w:hAnsi="宋体" w:cs="宋体"/>
          <w:szCs w:val="21"/>
          <w:highlight w:val="white"/>
        </w:rPr>
        <w:t>（3）当单价与数量的乘积与合价（金额）虽然一致，但投标人修改了该子目的工程数量，则其合价按招标人给定的工程数量乘以投标人所报单价予以修正。</w:t>
      </w:r>
    </w:p>
    <w:p w14:paraId="402A8C62">
      <w:pPr>
        <w:tabs>
          <w:tab w:val="left" w:pos="360"/>
          <w:tab w:val="left" w:pos="540"/>
          <w:tab w:val="left" w:pos="720"/>
        </w:tabs>
        <w:spacing w:line="360" w:lineRule="exact"/>
        <w:ind w:firstLine="420" w:firstLineChars="200"/>
        <w:rPr>
          <w:rFonts w:hint="eastAsia" w:ascii="宋体" w:hAnsi="宋体" w:cs="宋体"/>
          <w:szCs w:val="21"/>
        </w:rPr>
      </w:pPr>
      <w:r>
        <w:rPr>
          <w:rFonts w:hint="eastAsia" w:ascii="宋体" w:hAnsi="宋体" w:cs="宋体"/>
          <w:szCs w:val="21"/>
          <w:highlight w:val="white"/>
        </w:rPr>
        <w:t>3.1.5修正后的最终投标总报价若超过最高限价上限（如有），投标人的投标文件将被否决。</w:t>
      </w:r>
    </w:p>
    <w:p w14:paraId="6B1F8852">
      <w:pPr>
        <w:tabs>
          <w:tab w:val="left" w:pos="360"/>
          <w:tab w:val="left" w:pos="540"/>
          <w:tab w:val="left" w:pos="720"/>
        </w:tabs>
        <w:spacing w:line="360" w:lineRule="exact"/>
        <w:ind w:firstLine="420" w:firstLineChars="200"/>
        <w:rPr>
          <w:rFonts w:hint="eastAsia" w:ascii="宋体" w:hAnsi="宋体" w:cs="宋体"/>
          <w:szCs w:val="21"/>
        </w:rPr>
      </w:pPr>
      <w:r>
        <w:rPr>
          <w:rFonts w:hint="eastAsia" w:ascii="宋体" w:hAnsi="宋体" w:cs="宋体"/>
          <w:szCs w:val="21"/>
          <w:highlight w:val="white"/>
        </w:rPr>
        <w:t>3.1.6修正后的最终投标总报价仅作为签订合同的一个依据，不参与评标价得分的计算。</w:t>
      </w:r>
    </w:p>
    <w:p w14:paraId="25D68C79">
      <w:pPr>
        <w:pStyle w:val="4"/>
        <w:spacing w:before="0" w:after="0" w:line="240" w:lineRule="auto"/>
        <w:rPr>
          <w:rFonts w:hint="eastAsia" w:ascii="宋体" w:hAnsi="宋体" w:eastAsia="宋体" w:cs="宋体"/>
          <w:sz w:val="21"/>
          <w:szCs w:val="21"/>
          <w:highlight w:val="white"/>
        </w:rPr>
      </w:pPr>
      <w:bookmarkStart w:id="662" w:name="_Toc179632613"/>
      <w:bookmarkStart w:id="663" w:name="_Toc152042372"/>
      <w:bookmarkStart w:id="664" w:name="_Toc362617999"/>
      <w:bookmarkStart w:id="665" w:name="_Toc152045595"/>
      <w:bookmarkStart w:id="666" w:name="_Toc40261836"/>
      <w:r>
        <w:rPr>
          <w:rFonts w:hint="eastAsia" w:ascii="宋体" w:hAnsi="宋体" w:eastAsia="宋体" w:cs="宋体"/>
          <w:sz w:val="21"/>
          <w:szCs w:val="21"/>
          <w:highlight w:val="white"/>
        </w:rPr>
        <w:t>3.2 详细评审</w:t>
      </w:r>
      <w:bookmarkEnd w:id="662"/>
      <w:bookmarkEnd w:id="663"/>
      <w:bookmarkEnd w:id="664"/>
      <w:bookmarkEnd w:id="665"/>
      <w:bookmarkEnd w:id="666"/>
    </w:p>
    <w:p w14:paraId="3A4099F2">
      <w:pPr>
        <w:spacing w:line="360" w:lineRule="exact"/>
        <w:ind w:firstLine="420" w:firstLineChars="200"/>
        <w:rPr>
          <w:rFonts w:hint="eastAsia" w:ascii="宋体" w:hAnsi="宋体" w:cs="宋体"/>
          <w:szCs w:val="21"/>
        </w:rPr>
      </w:pPr>
      <w:r>
        <w:rPr>
          <w:rFonts w:hint="eastAsia" w:ascii="宋体" w:hAnsi="宋体" w:cs="宋体"/>
          <w:szCs w:val="21"/>
          <w:highlight w:val="white"/>
        </w:rPr>
        <w:t>3.2.1评标委员会按本章第2.2款规定的量化因素和标准进行价格折算，计算出评标价，并编制价格比较一览表。</w:t>
      </w:r>
    </w:p>
    <w:p w14:paraId="63EA20AE">
      <w:pPr>
        <w:spacing w:line="360" w:lineRule="exact"/>
        <w:ind w:firstLine="420" w:firstLineChars="200"/>
        <w:rPr>
          <w:rFonts w:hint="eastAsia" w:ascii="宋体" w:hAnsi="宋体" w:cs="宋体"/>
          <w:szCs w:val="21"/>
        </w:rPr>
      </w:pPr>
      <w:r>
        <w:rPr>
          <w:rFonts w:hint="eastAsia" w:ascii="宋体" w:hAnsi="宋体" w:cs="宋体"/>
          <w:szCs w:val="21"/>
          <w:highlight w:val="white"/>
        </w:rPr>
        <w:t>3.2.2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将被否决处理。</w:t>
      </w:r>
    </w:p>
    <w:p w14:paraId="4F92DD25">
      <w:pPr>
        <w:pStyle w:val="4"/>
        <w:spacing w:before="0" w:after="0" w:line="240" w:lineRule="auto"/>
        <w:rPr>
          <w:rFonts w:hint="eastAsia" w:ascii="宋体" w:hAnsi="宋体" w:eastAsia="宋体" w:cs="宋体"/>
          <w:sz w:val="21"/>
          <w:szCs w:val="21"/>
          <w:highlight w:val="white"/>
        </w:rPr>
      </w:pPr>
      <w:bookmarkStart w:id="667" w:name="_Toc179632614"/>
      <w:bookmarkStart w:id="668" w:name="_Toc40261837"/>
      <w:bookmarkStart w:id="669" w:name="_Toc152045596"/>
      <w:bookmarkStart w:id="670" w:name="_Toc362618000"/>
      <w:bookmarkStart w:id="671" w:name="_Toc152042373"/>
      <w:r>
        <w:rPr>
          <w:rFonts w:hint="eastAsia" w:ascii="宋体" w:hAnsi="宋体" w:eastAsia="宋体" w:cs="宋体"/>
          <w:sz w:val="21"/>
          <w:szCs w:val="21"/>
          <w:highlight w:val="white"/>
        </w:rPr>
        <w:t>3.3 投标文件的澄清和补正</w:t>
      </w:r>
      <w:bookmarkEnd w:id="667"/>
      <w:bookmarkEnd w:id="668"/>
      <w:bookmarkEnd w:id="669"/>
      <w:bookmarkEnd w:id="670"/>
      <w:bookmarkEnd w:id="671"/>
    </w:p>
    <w:p w14:paraId="17AA2361">
      <w:pPr>
        <w:spacing w:line="360" w:lineRule="exact"/>
        <w:ind w:firstLine="420" w:firstLineChars="200"/>
        <w:rPr>
          <w:rFonts w:hint="eastAsia" w:ascii="宋体" w:hAnsi="宋体" w:cs="宋体"/>
          <w:szCs w:val="21"/>
        </w:rPr>
      </w:pPr>
      <w:r>
        <w:rPr>
          <w:rFonts w:hint="eastAsia" w:ascii="宋体" w:hAnsi="宋体" w:cs="宋体"/>
          <w:szCs w:val="21"/>
          <w:highlight w:val="white"/>
        </w:rPr>
        <w:t>3.3.1在评标过程中，评标委员会可以书面形式要求投标人对所提交的投标文件中不明确的内容进行书面澄清或说明，或者对细微偏差进行补正。评标委员会不接受投标人主动提出的澄清、说明或补正。</w:t>
      </w:r>
    </w:p>
    <w:p w14:paraId="645E26FB">
      <w:pPr>
        <w:spacing w:line="360" w:lineRule="exact"/>
        <w:ind w:firstLine="420" w:firstLineChars="200"/>
        <w:rPr>
          <w:rFonts w:hint="eastAsia" w:ascii="宋体" w:hAnsi="宋体" w:cs="宋体"/>
          <w:szCs w:val="21"/>
        </w:rPr>
      </w:pPr>
      <w:r>
        <w:rPr>
          <w:rFonts w:hint="eastAsia" w:ascii="宋体" w:hAnsi="宋体" w:cs="宋体"/>
          <w:szCs w:val="21"/>
          <w:highlight w:val="white"/>
        </w:rPr>
        <w:t>3.3.2 澄清、说明和补正不得改变投标文件的实质性内容（算术性错误修正的除外）。投标人的书面澄清、说明和补正属于投标文件的组成部分。</w:t>
      </w:r>
    </w:p>
    <w:p w14:paraId="4E8C8761">
      <w:pPr>
        <w:spacing w:line="360" w:lineRule="exact"/>
        <w:ind w:firstLine="420" w:firstLineChars="200"/>
        <w:rPr>
          <w:rFonts w:hint="eastAsia" w:ascii="宋体" w:hAnsi="宋体" w:cs="宋体"/>
          <w:szCs w:val="21"/>
        </w:rPr>
      </w:pPr>
      <w:r>
        <w:rPr>
          <w:rFonts w:hint="eastAsia" w:ascii="宋体" w:hAnsi="宋体" w:cs="宋体"/>
          <w:szCs w:val="21"/>
          <w:highlight w:val="white"/>
        </w:rPr>
        <w:t>3.3.3 评标委员会对投标人提交的澄清、说明或补正有疑问的，可以要求投标人进一步澄清、说明或补正，直至满足评标委员会的要求。</w:t>
      </w:r>
    </w:p>
    <w:p w14:paraId="55F0248C">
      <w:pPr>
        <w:spacing w:line="360" w:lineRule="exact"/>
        <w:ind w:firstLine="420" w:firstLineChars="200"/>
        <w:rPr>
          <w:rFonts w:hint="eastAsia" w:ascii="宋体" w:hAnsi="宋体" w:cs="宋体"/>
          <w:szCs w:val="21"/>
        </w:rPr>
      </w:pPr>
      <w:r>
        <w:rPr>
          <w:rFonts w:hint="eastAsia" w:ascii="宋体" w:hAnsi="宋体" w:cs="宋体"/>
          <w:szCs w:val="21"/>
          <w:highlight w:val="white"/>
        </w:rPr>
        <w:t>3.3.4凡超出招标文件规定的或给发包人带来未曾要求的利益的变化、偏差或其他因素在评标时不予考虑。</w:t>
      </w:r>
    </w:p>
    <w:p w14:paraId="6EE18EE9">
      <w:pPr>
        <w:pStyle w:val="4"/>
        <w:spacing w:before="0" w:after="0" w:line="240" w:lineRule="auto"/>
        <w:rPr>
          <w:rFonts w:hint="eastAsia" w:ascii="宋体" w:hAnsi="宋体" w:eastAsia="宋体" w:cs="宋体"/>
          <w:sz w:val="21"/>
          <w:szCs w:val="21"/>
          <w:highlight w:val="white"/>
        </w:rPr>
      </w:pPr>
      <w:bookmarkStart w:id="672" w:name="_Toc152042374"/>
      <w:bookmarkStart w:id="673" w:name="_Toc40261838"/>
      <w:bookmarkStart w:id="674" w:name="_Toc179632615"/>
      <w:bookmarkStart w:id="675" w:name="_Toc362618001"/>
      <w:bookmarkStart w:id="676" w:name="_Toc152045597"/>
      <w:r>
        <w:rPr>
          <w:rFonts w:hint="eastAsia" w:ascii="宋体" w:hAnsi="宋体" w:eastAsia="宋体" w:cs="宋体"/>
          <w:sz w:val="21"/>
          <w:szCs w:val="21"/>
          <w:highlight w:val="white"/>
        </w:rPr>
        <w:t>3.4 评标结果</w:t>
      </w:r>
      <w:bookmarkEnd w:id="672"/>
      <w:bookmarkEnd w:id="673"/>
      <w:bookmarkEnd w:id="674"/>
      <w:bookmarkEnd w:id="675"/>
      <w:bookmarkEnd w:id="676"/>
    </w:p>
    <w:p w14:paraId="676B5553">
      <w:pPr>
        <w:spacing w:line="360" w:lineRule="exact"/>
        <w:ind w:firstLine="420" w:firstLineChars="200"/>
        <w:rPr>
          <w:rFonts w:hint="eastAsia" w:ascii="宋体" w:hAnsi="宋体" w:cs="宋体"/>
          <w:szCs w:val="21"/>
        </w:rPr>
      </w:pPr>
      <w:r>
        <w:rPr>
          <w:rFonts w:hint="eastAsia" w:ascii="宋体" w:hAnsi="宋体" w:cs="宋体"/>
          <w:szCs w:val="21"/>
          <w:highlight w:val="white"/>
        </w:rPr>
        <w:t>3.4.1除第二章“投标人须知”前附表授权直接确定中标人外，评标委员会按照经评审的得分由高到低的顺序推荐中标候选人。</w:t>
      </w:r>
    </w:p>
    <w:p w14:paraId="15204963">
      <w:pPr>
        <w:spacing w:line="360" w:lineRule="exact"/>
        <w:ind w:firstLine="420" w:firstLineChars="200"/>
        <w:rPr>
          <w:rFonts w:hint="eastAsia" w:ascii="宋体" w:hAnsi="宋体" w:cs="宋体"/>
          <w:szCs w:val="21"/>
        </w:rPr>
      </w:pPr>
      <w:r>
        <w:rPr>
          <w:rFonts w:hint="eastAsia" w:ascii="宋体" w:hAnsi="宋体" w:cs="宋体"/>
          <w:szCs w:val="21"/>
          <w:highlight w:val="white"/>
        </w:rPr>
        <w:t>3.4.2 评标委员会完成评标后，应当向招标人提交书面评标报告。</w:t>
      </w:r>
    </w:p>
    <w:p w14:paraId="64FD8F0C">
      <w:pPr>
        <w:spacing w:line="360" w:lineRule="exact"/>
        <w:ind w:firstLine="420" w:firstLineChars="200"/>
        <w:rPr>
          <w:rFonts w:hint="eastAsia" w:ascii="宋体" w:hAnsi="宋体" w:cs="宋体"/>
          <w:szCs w:val="21"/>
        </w:rPr>
      </w:pPr>
      <w:r>
        <w:rPr>
          <w:rFonts w:hint="eastAsia" w:ascii="宋体" w:hAnsi="宋体" w:cs="宋体"/>
          <w:szCs w:val="21"/>
          <w:highlight w:val="white"/>
        </w:rPr>
        <w:t>3.4.3若采用固定价随机抽取中标人（简易招标办法）招标的，由招标人随机抽取确定中标候选人。</w:t>
      </w:r>
    </w:p>
    <w:p w14:paraId="0ADAE1ED">
      <w:pPr>
        <w:spacing w:line="360" w:lineRule="exact"/>
        <w:rPr>
          <w:rFonts w:hint="eastAsia" w:ascii="宋体" w:hAnsi="宋体" w:cs="宋体"/>
          <w:szCs w:val="21"/>
          <w:highlight w:val="white"/>
        </w:rPr>
      </w:pPr>
    </w:p>
    <w:p w14:paraId="19A1B701">
      <w:pPr>
        <w:spacing w:line="360" w:lineRule="exact"/>
        <w:rPr>
          <w:rFonts w:hint="eastAsia" w:ascii="宋体" w:hAnsi="宋体" w:cs="宋体"/>
          <w:szCs w:val="21"/>
          <w:highlight w:val="white"/>
        </w:rPr>
      </w:pPr>
    </w:p>
    <w:p w14:paraId="123AB2F7">
      <w:pPr>
        <w:spacing w:line="360" w:lineRule="exact"/>
        <w:rPr>
          <w:rFonts w:hint="eastAsia" w:ascii="宋体" w:hAnsi="宋体" w:cs="宋体"/>
          <w:szCs w:val="21"/>
          <w:highlight w:val="white"/>
        </w:rPr>
      </w:pPr>
    </w:p>
    <w:p w14:paraId="5DF82A88">
      <w:pPr>
        <w:spacing w:line="360" w:lineRule="exact"/>
        <w:rPr>
          <w:rFonts w:hint="eastAsia" w:ascii="宋体" w:hAnsi="宋体" w:cs="宋体"/>
          <w:szCs w:val="21"/>
        </w:rPr>
      </w:pPr>
    </w:p>
    <w:bookmarkEnd w:id="582"/>
    <w:bookmarkEnd w:id="618"/>
    <w:bookmarkEnd w:id="619"/>
    <w:p w14:paraId="6A1DEC4E">
      <w:pPr>
        <w:pStyle w:val="2"/>
        <w:spacing w:before="400" w:after="400" w:line="240" w:lineRule="auto"/>
        <w:jc w:val="center"/>
        <w:rPr>
          <w:rFonts w:hint="eastAsia" w:ascii="宋体" w:hAnsi="宋体" w:eastAsia="宋体" w:cs="宋体"/>
          <w:bCs w:val="0"/>
          <w:kern w:val="2"/>
        </w:rPr>
      </w:pPr>
      <w:bookmarkStart w:id="677" w:name="_Toc490825109"/>
      <w:bookmarkStart w:id="678" w:name="_Toc368338562"/>
      <w:bookmarkStart w:id="679" w:name="_Toc243796177"/>
      <w:bookmarkStart w:id="680" w:name="_Toc362614258"/>
      <w:bookmarkStart w:id="681" w:name="_Toc361993608"/>
      <w:bookmarkStart w:id="682" w:name="_Toc362618002"/>
      <w:bookmarkStart w:id="683" w:name="_Toc368320235"/>
      <w:bookmarkStart w:id="684" w:name="_Toc490825225"/>
      <w:bookmarkStart w:id="685" w:name="_Toc362613886"/>
      <w:bookmarkStart w:id="686" w:name="_Toc40261839"/>
      <w:bookmarkStart w:id="687" w:name="_Toc27039757"/>
      <w:bookmarkStart w:id="688" w:name="_Toc245379331"/>
      <w:r>
        <w:rPr>
          <w:rFonts w:hint="eastAsia" w:ascii="宋体" w:hAnsi="宋体" w:eastAsia="宋体" w:cs="宋体"/>
          <w:bCs w:val="0"/>
          <w:kern w:val="2"/>
          <w:highlight w:val="white"/>
        </w:rPr>
        <w:t>第四章  合同条款及格式</w:t>
      </w:r>
      <w:bookmarkEnd w:id="677"/>
      <w:bookmarkEnd w:id="678"/>
      <w:bookmarkEnd w:id="679"/>
      <w:bookmarkEnd w:id="680"/>
      <w:bookmarkEnd w:id="681"/>
      <w:bookmarkEnd w:id="682"/>
      <w:bookmarkEnd w:id="683"/>
      <w:bookmarkEnd w:id="684"/>
      <w:bookmarkEnd w:id="685"/>
      <w:bookmarkEnd w:id="686"/>
      <w:bookmarkEnd w:id="687"/>
      <w:bookmarkEnd w:id="688"/>
      <w:bookmarkStart w:id="689" w:name="_Toc368338563"/>
      <w:bookmarkStart w:id="690" w:name="_Toc245379332"/>
      <w:bookmarkStart w:id="691" w:name="_Toc362618003"/>
      <w:bookmarkStart w:id="692" w:name="_Toc361993609"/>
      <w:bookmarkStart w:id="693" w:name="_Toc362613887"/>
      <w:bookmarkStart w:id="694" w:name="_Toc368320236"/>
      <w:bookmarkStart w:id="695" w:name="_Toc243290485"/>
      <w:bookmarkStart w:id="696" w:name="_Toc243796178"/>
      <w:bookmarkStart w:id="697" w:name="_Toc362614259"/>
    </w:p>
    <w:p w14:paraId="67A171F3">
      <w:pPr>
        <w:rPr>
          <w:rFonts w:hint="eastAsia" w:ascii="宋体" w:hAnsi="宋体" w:cs="宋体"/>
          <w:highlight w:val="yellow"/>
        </w:rPr>
      </w:pPr>
      <w:bookmarkStart w:id="698" w:name="EB6b3b3810f4184f8aa156e80736c5d4ca"/>
      <w:r>
        <w:rPr>
          <w:rFonts w:hint="eastAsia" w:ascii="宋体" w:hAnsi="宋体" w:cs="宋体"/>
          <w:color w:val="000080"/>
          <w:sz w:val="20"/>
          <w:highlight w:val="white"/>
        </w:rPr>
        <w:t xml:space="preserve"> </w:t>
      </w:r>
      <w:bookmarkEnd w:id="698"/>
      <w:bookmarkStart w:id="699" w:name="EB783989c515e048cd9642ffb398efaabd"/>
      <w:r>
        <w:rPr>
          <w:rFonts w:hint="eastAsia" w:ascii="宋体" w:hAnsi="宋体" w:cs="宋体"/>
          <w:color w:val="000080"/>
          <w:sz w:val="20"/>
          <w:highlight w:val="white"/>
        </w:rPr>
        <w:t xml:space="preserve"> </w:t>
      </w:r>
      <w:bookmarkEnd w:id="699"/>
    </w:p>
    <w:bookmarkEnd w:id="689"/>
    <w:bookmarkEnd w:id="690"/>
    <w:bookmarkEnd w:id="691"/>
    <w:bookmarkEnd w:id="692"/>
    <w:bookmarkEnd w:id="693"/>
    <w:bookmarkEnd w:id="694"/>
    <w:bookmarkEnd w:id="695"/>
    <w:bookmarkEnd w:id="696"/>
    <w:bookmarkEnd w:id="697"/>
    <w:p w14:paraId="4BE443F1">
      <w:pPr>
        <w:pStyle w:val="3"/>
        <w:spacing w:before="0" w:after="120" w:afterLines="50" w:line="240" w:lineRule="auto"/>
        <w:jc w:val="center"/>
        <w:rPr>
          <w:rFonts w:hint="eastAsia" w:ascii="宋体" w:hAnsi="宋体" w:cs="宋体"/>
          <w:kern w:val="2"/>
          <w:sz w:val="24"/>
          <w:szCs w:val="24"/>
        </w:rPr>
      </w:pPr>
      <w:bookmarkStart w:id="700" w:name="_Toc40261840"/>
      <w:bookmarkStart w:id="701" w:name="_Toc5885"/>
      <w:bookmarkStart w:id="702" w:name="_Toc31083"/>
      <w:r>
        <w:rPr>
          <w:rFonts w:hint="eastAsia" w:ascii="宋体" w:hAnsi="宋体" w:cs="宋体"/>
          <w:kern w:val="2"/>
          <w:sz w:val="24"/>
          <w:szCs w:val="24"/>
          <w:highlight w:val="white"/>
        </w:rPr>
        <w:t>第一节  通用合同条款</w:t>
      </w:r>
      <w:bookmarkEnd w:id="700"/>
      <w:bookmarkEnd w:id="701"/>
      <w:bookmarkEnd w:id="702"/>
    </w:p>
    <w:p w14:paraId="73F5D5BF">
      <w:pPr>
        <w:spacing w:line="340" w:lineRule="exact"/>
        <w:ind w:firstLine="480" w:firstLineChars="200"/>
        <w:jc w:val="center"/>
        <w:rPr>
          <w:rFonts w:hint="eastAsia" w:ascii="宋体" w:hAnsi="宋体" w:cs="宋体"/>
          <w:sz w:val="24"/>
          <w:szCs w:val="24"/>
        </w:rPr>
      </w:pPr>
      <w:r>
        <w:rPr>
          <w:rFonts w:hint="eastAsia" w:ascii="宋体" w:hAnsi="宋体" w:cs="宋体"/>
          <w:sz w:val="24"/>
          <w:szCs w:val="24"/>
          <w:highlight w:val="white"/>
        </w:rPr>
        <w:t>详见交通运输部《公路工程标准施工招标文件》（2018 版）。</w:t>
      </w:r>
    </w:p>
    <w:p w14:paraId="1BDEDE2C">
      <w:pPr>
        <w:rPr>
          <w:rFonts w:hint="eastAsia" w:ascii="宋体" w:hAnsi="宋体" w:cs="宋体"/>
          <w:highlight w:val="cyan"/>
        </w:rPr>
      </w:pPr>
      <w:bookmarkStart w:id="703" w:name="EBfe4b9aff31094926bd01e4e5962ccf0d"/>
      <w:r>
        <w:rPr>
          <w:rFonts w:hint="eastAsia" w:ascii="宋体" w:hAnsi="宋体" w:cs="宋体"/>
          <w:color w:val="000080"/>
          <w:sz w:val="20"/>
          <w:highlight w:val="white"/>
        </w:rPr>
        <w:t xml:space="preserve"> </w:t>
      </w:r>
      <w:bookmarkEnd w:id="703"/>
    </w:p>
    <w:p w14:paraId="24579D54">
      <w:pPr>
        <w:rPr>
          <w:rFonts w:hint="eastAsia" w:ascii="宋体" w:hAnsi="宋体" w:cs="宋体"/>
        </w:rPr>
      </w:pPr>
    </w:p>
    <w:p w14:paraId="1B9C383A">
      <w:pPr>
        <w:rPr>
          <w:rFonts w:hint="eastAsia" w:ascii="宋体" w:hAnsi="宋体" w:cs="宋体"/>
        </w:rPr>
      </w:pPr>
    </w:p>
    <w:p w14:paraId="01CA6DA7">
      <w:pPr>
        <w:pStyle w:val="35"/>
        <w:keepNext/>
        <w:keepLines/>
        <w:spacing w:after="120" w:afterLines="50"/>
        <w:jc w:val="center"/>
        <w:outlineLvl w:val="2"/>
        <w:rPr>
          <w:rFonts w:hint="eastAsia" w:ascii="宋体" w:hAnsi="宋体" w:cs="宋体"/>
          <w:b/>
          <w:bCs/>
          <w:sz w:val="24"/>
          <w:szCs w:val="24"/>
        </w:rPr>
      </w:pPr>
      <w:bookmarkStart w:id="704" w:name="_Toc6262"/>
      <w:bookmarkStart w:id="705" w:name="_Toc1528"/>
      <w:bookmarkStart w:id="706" w:name="_Toc40261841"/>
      <w:bookmarkStart w:id="707" w:name="EBe964f5f588af420c8528a0020d46e302"/>
      <w:r>
        <w:rPr>
          <w:rFonts w:hint="eastAsia" w:ascii="宋体" w:hAnsi="宋体" w:cs="宋体"/>
          <w:b/>
          <w:bCs/>
          <w:kern w:val="0"/>
          <w:sz w:val="24"/>
          <w:szCs w:val="32"/>
          <w:highlight w:val="white"/>
        </w:rPr>
        <w:t xml:space="preserve">第二节  </w:t>
      </w:r>
      <w:bookmarkStart w:id="708" w:name="_Toc368320260"/>
      <w:bookmarkStart w:id="709" w:name="_Toc368338587"/>
      <w:bookmarkStart w:id="710" w:name="_Toc362618159"/>
      <w:bookmarkStart w:id="711" w:name="_Toc362614284"/>
      <w:bookmarkStart w:id="712" w:name="_Toc362613912"/>
      <w:r>
        <w:rPr>
          <w:rFonts w:hint="eastAsia" w:ascii="宋体" w:hAnsi="宋体" w:cs="宋体"/>
          <w:b/>
          <w:bCs/>
          <w:sz w:val="24"/>
          <w:szCs w:val="24"/>
          <w:highlight w:val="white"/>
        </w:rPr>
        <w:t>专用合同条款</w:t>
      </w:r>
      <w:bookmarkEnd w:id="704"/>
      <w:bookmarkEnd w:id="705"/>
      <w:bookmarkEnd w:id="706"/>
      <w:bookmarkEnd w:id="708"/>
      <w:bookmarkEnd w:id="709"/>
      <w:bookmarkEnd w:id="710"/>
      <w:bookmarkEnd w:id="711"/>
      <w:bookmarkEnd w:id="712"/>
    </w:p>
    <w:p w14:paraId="2303C647">
      <w:pPr>
        <w:pStyle w:val="35"/>
        <w:spacing w:before="48" w:beforeLines="20" w:after="48" w:afterLines="20"/>
        <w:jc w:val="center"/>
        <w:outlineLvl w:val="3"/>
        <w:rPr>
          <w:rFonts w:hint="eastAsia" w:ascii="宋体" w:hAnsi="宋体" w:cs="宋体"/>
          <w:b/>
          <w:bCs/>
          <w:szCs w:val="21"/>
        </w:rPr>
      </w:pPr>
      <w:bookmarkStart w:id="713" w:name="_第二节__专用合同条款"/>
      <w:bookmarkEnd w:id="713"/>
      <w:bookmarkStart w:id="714" w:name="_Toc40261842"/>
      <w:r>
        <w:rPr>
          <w:rFonts w:hint="eastAsia" w:ascii="宋体" w:hAnsi="宋体" w:cs="宋体"/>
          <w:b/>
          <w:bCs/>
          <w:szCs w:val="21"/>
          <w:highlight w:val="white"/>
        </w:rPr>
        <w:t>项目专用条款数据表</w:t>
      </w:r>
      <w:bookmarkEnd w:id="714"/>
    </w:p>
    <w:p w14:paraId="282F7305">
      <w:pPr>
        <w:pStyle w:val="35"/>
        <w:spacing w:line="280" w:lineRule="exact"/>
        <w:ind w:left="632" w:hanging="632" w:hangingChars="300"/>
        <w:rPr>
          <w:rFonts w:hint="eastAsia" w:ascii="宋体" w:hAnsi="宋体" w:cs="宋体"/>
          <w:szCs w:val="21"/>
        </w:rPr>
      </w:pPr>
      <w:r>
        <w:rPr>
          <w:rFonts w:hint="eastAsia" w:ascii="宋体" w:hAnsi="宋体" w:cs="宋体"/>
          <w:b/>
          <w:szCs w:val="21"/>
          <w:highlight w:val="white"/>
        </w:rPr>
        <w:t>说明：</w:t>
      </w:r>
      <w:r>
        <w:rPr>
          <w:rFonts w:hint="eastAsia" w:ascii="宋体" w:hAnsi="宋体" w:cs="宋体"/>
          <w:szCs w:val="21"/>
          <w:highlight w:val="white"/>
        </w:rPr>
        <w:t>本数据表是项目专用合同条款中适用于本项目的信息和数据的归纳与提示，是项目专用合同条款的组成部分。第九章“招标文件格式”的投标函附录中的数据（供投标人确认）与本表所列有重复。</w:t>
      </w:r>
    </w:p>
    <w:tbl>
      <w:tblPr>
        <w:tblStyle w:val="15"/>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31"/>
        <w:gridCol w:w="1104"/>
        <w:gridCol w:w="7373"/>
      </w:tblGrid>
      <w:tr w14:paraId="70B6DCA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54" w:hRule="exact"/>
          <w:tblHeader/>
          <w:jc w:val="center"/>
        </w:trPr>
        <w:tc>
          <w:tcPr>
            <w:tcW w:w="731" w:type="dxa"/>
            <w:tcBorders>
              <w:top w:val="single" w:color="auto" w:sz="8" w:space="0"/>
              <w:bottom w:val="single" w:color="auto" w:sz="4" w:space="0"/>
              <w:right w:val="single" w:color="auto" w:sz="4" w:space="0"/>
            </w:tcBorders>
            <w:noWrap w:val="0"/>
            <w:vAlign w:val="center"/>
          </w:tcPr>
          <w:p w14:paraId="6CD8D03B">
            <w:pPr>
              <w:pStyle w:val="35"/>
              <w:jc w:val="center"/>
              <w:rPr>
                <w:rFonts w:hint="eastAsia" w:ascii="宋体" w:hAnsi="宋体" w:cs="宋体"/>
                <w:szCs w:val="21"/>
              </w:rPr>
            </w:pPr>
            <w:r>
              <w:rPr>
                <w:rFonts w:hint="eastAsia" w:ascii="宋体" w:hAnsi="宋体" w:cs="宋体"/>
                <w:b/>
                <w:szCs w:val="21"/>
                <w:highlight w:val="white"/>
              </w:rPr>
              <w:t>序号</w:t>
            </w:r>
          </w:p>
        </w:tc>
        <w:tc>
          <w:tcPr>
            <w:tcW w:w="1104" w:type="dxa"/>
            <w:tcBorders>
              <w:top w:val="single" w:color="auto" w:sz="8" w:space="0"/>
              <w:left w:val="single" w:color="auto" w:sz="4" w:space="0"/>
              <w:bottom w:val="single" w:color="auto" w:sz="4" w:space="0"/>
              <w:right w:val="single" w:color="auto" w:sz="4" w:space="0"/>
            </w:tcBorders>
            <w:noWrap w:val="0"/>
            <w:vAlign w:val="center"/>
          </w:tcPr>
          <w:p w14:paraId="66DD7178">
            <w:pPr>
              <w:pStyle w:val="35"/>
              <w:jc w:val="center"/>
              <w:rPr>
                <w:rFonts w:hint="eastAsia" w:ascii="宋体" w:hAnsi="宋体" w:cs="宋体"/>
                <w:b/>
                <w:szCs w:val="21"/>
              </w:rPr>
            </w:pPr>
            <w:r>
              <w:rPr>
                <w:rFonts w:hint="eastAsia" w:ascii="宋体" w:hAnsi="宋体" w:cs="宋体"/>
                <w:b/>
                <w:szCs w:val="21"/>
                <w:highlight w:val="white"/>
              </w:rPr>
              <w:t>条款号</w:t>
            </w:r>
          </w:p>
        </w:tc>
        <w:tc>
          <w:tcPr>
            <w:tcW w:w="7373" w:type="dxa"/>
            <w:tcBorders>
              <w:top w:val="single" w:color="auto" w:sz="8" w:space="0"/>
              <w:left w:val="single" w:color="auto" w:sz="4" w:space="0"/>
              <w:bottom w:val="single" w:color="auto" w:sz="4" w:space="0"/>
            </w:tcBorders>
            <w:noWrap w:val="0"/>
            <w:vAlign w:val="center"/>
          </w:tcPr>
          <w:p w14:paraId="3DE30AC2">
            <w:pPr>
              <w:pStyle w:val="35"/>
              <w:jc w:val="center"/>
              <w:rPr>
                <w:rFonts w:hint="eastAsia" w:ascii="宋体" w:hAnsi="宋体" w:cs="宋体"/>
                <w:b/>
                <w:szCs w:val="21"/>
              </w:rPr>
            </w:pPr>
            <w:r>
              <w:rPr>
                <w:rFonts w:hint="eastAsia" w:ascii="宋体" w:hAnsi="宋体" w:cs="宋体"/>
                <w:b/>
                <w:szCs w:val="21"/>
                <w:highlight w:val="white"/>
              </w:rPr>
              <w:t>信息或数据</w:t>
            </w:r>
          </w:p>
        </w:tc>
      </w:tr>
      <w:tr w14:paraId="0A6ECD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71" w:hRule="exact"/>
          <w:jc w:val="center"/>
        </w:trPr>
        <w:tc>
          <w:tcPr>
            <w:tcW w:w="731" w:type="dxa"/>
            <w:tcBorders>
              <w:top w:val="single" w:color="auto" w:sz="4" w:space="0"/>
              <w:bottom w:val="single" w:color="auto" w:sz="4" w:space="0"/>
              <w:right w:val="single" w:color="auto" w:sz="4" w:space="0"/>
            </w:tcBorders>
            <w:noWrap w:val="0"/>
            <w:vAlign w:val="center"/>
          </w:tcPr>
          <w:p w14:paraId="19CAB244">
            <w:pPr>
              <w:pStyle w:val="35"/>
              <w:jc w:val="center"/>
              <w:rPr>
                <w:rFonts w:hint="eastAsia" w:ascii="宋体" w:hAnsi="宋体" w:cs="宋体"/>
                <w:szCs w:val="21"/>
              </w:rPr>
            </w:pPr>
            <w:r>
              <w:rPr>
                <w:rFonts w:hint="eastAsia" w:ascii="宋体" w:hAnsi="宋体" w:cs="宋体"/>
                <w:szCs w:val="21"/>
                <w:highlight w:val="white"/>
              </w:rPr>
              <w:t>1</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2180A23">
            <w:pPr>
              <w:pStyle w:val="35"/>
              <w:jc w:val="center"/>
              <w:rPr>
                <w:rFonts w:hint="eastAsia" w:ascii="宋体" w:hAnsi="宋体" w:cs="宋体"/>
                <w:szCs w:val="21"/>
              </w:rPr>
            </w:pPr>
            <w:r>
              <w:rPr>
                <w:rFonts w:hint="eastAsia" w:ascii="宋体" w:hAnsi="宋体" w:cs="宋体"/>
                <w:szCs w:val="21"/>
                <w:highlight w:val="white"/>
              </w:rPr>
              <w:t>1.1.2.2</w:t>
            </w:r>
          </w:p>
        </w:tc>
        <w:tc>
          <w:tcPr>
            <w:tcW w:w="7373" w:type="dxa"/>
            <w:tcBorders>
              <w:top w:val="single" w:color="auto" w:sz="4" w:space="0"/>
              <w:left w:val="single" w:color="auto" w:sz="4" w:space="0"/>
              <w:bottom w:val="single" w:color="auto" w:sz="4" w:space="0"/>
            </w:tcBorders>
            <w:noWrap w:val="0"/>
            <w:vAlign w:val="center"/>
          </w:tcPr>
          <w:p w14:paraId="4CAC751F">
            <w:pPr>
              <w:rPr>
                <w:rFonts w:hint="eastAsia" w:ascii="宋体" w:hAnsi="宋体" w:cs="宋体"/>
                <w:szCs w:val="21"/>
                <w:highlight w:val="white"/>
                <w:lang w:eastAsia="zh-CN"/>
              </w:rPr>
            </w:pPr>
            <w:r>
              <w:rPr>
                <w:rFonts w:hint="eastAsia" w:ascii="宋体" w:hAnsi="宋体" w:cs="宋体"/>
                <w:szCs w:val="21"/>
                <w:highlight w:val="white"/>
              </w:rPr>
              <w:t>发 包 人：</w:t>
            </w:r>
            <w:r>
              <w:rPr>
                <w:rFonts w:hint="eastAsia" w:ascii="宋体" w:hAnsi="宋体" w:cs="宋体"/>
                <w:szCs w:val="21"/>
                <w:highlight w:val="white"/>
                <w:lang w:eastAsia="zh-CN"/>
              </w:rPr>
              <w:t>尤溪县台溪乡七官场村民委员会</w:t>
            </w:r>
          </w:p>
          <w:p w14:paraId="4F19F65F">
            <w:pPr>
              <w:pStyle w:val="35"/>
              <w:rPr>
                <w:rFonts w:hint="default" w:ascii="宋体" w:hAnsi="宋体" w:eastAsia="宋体" w:cs="宋体"/>
                <w:szCs w:val="21"/>
                <w:highlight w:val="white"/>
                <w:lang w:val="en-US" w:eastAsia="zh-CN"/>
              </w:rPr>
            </w:pPr>
            <w:r>
              <w:rPr>
                <w:rFonts w:hint="eastAsia" w:ascii="宋体" w:hAnsi="宋体" w:cs="宋体"/>
                <w:szCs w:val="21"/>
                <w:highlight w:val="white"/>
              </w:rPr>
              <w:t>地    址：</w:t>
            </w:r>
            <w:r>
              <w:rPr>
                <w:rFonts w:hint="eastAsia" w:ascii="宋体" w:hAnsi="宋体" w:cs="宋体"/>
                <w:szCs w:val="21"/>
                <w:highlight w:val="white"/>
                <w:lang w:eastAsia="zh-CN"/>
              </w:rPr>
              <w:t>尤溪县台溪乡七官场村</w:t>
            </w:r>
          </w:p>
          <w:p w14:paraId="10797A80">
            <w:pPr>
              <w:pStyle w:val="35"/>
              <w:rPr>
                <w:rFonts w:hint="default" w:ascii="宋体" w:hAnsi="宋体" w:eastAsia="宋体" w:cs="宋体"/>
                <w:szCs w:val="21"/>
                <w:lang w:val="en-US" w:eastAsia="zh-CN"/>
              </w:rPr>
            </w:pPr>
            <w:r>
              <w:rPr>
                <w:rFonts w:hint="eastAsia" w:ascii="宋体" w:hAnsi="宋体" w:cs="宋体"/>
                <w:szCs w:val="21"/>
                <w:highlight w:val="white"/>
              </w:rPr>
              <w:t>邮政编码：365</w:t>
            </w:r>
            <w:r>
              <w:rPr>
                <w:rFonts w:hint="eastAsia" w:ascii="宋体" w:hAnsi="宋体" w:cs="宋体"/>
                <w:szCs w:val="21"/>
                <w:highlight w:val="white"/>
                <w:lang w:val="en-US" w:eastAsia="zh-CN"/>
              </w:rPr>
              <w:t>112</w:t>
            </w:r>
          </w:p>
        </w:tc>
      </w:tr>
      <w:tr w14:paraId="424473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31" w:type="dxa"/>
            <w:tcBorders>
              <w:top w:val="single" w:color="auto" w:sz="4" w:space="0"/>
              <w:bottom w:val="single" w:color="auto" w:sz="4" w:space="0"/>
              <w:right w:val="single" w:color="auto" w:sz="4" w:space="0"/>
            </w:tcBorders>
            <w:noWrap w:val="0"/>
            <w:vAlign w:val="center"/>
          </w:tcPr>
          <w:p w14:paraId="41E546B9">
            <w:pPr>
              <w:pStyle w:val="35"/>
              <w:jc w:val="center"/>
              <w:rPr>
                <w:rFonts w:hint="eastAsia" w:ascii="宋体" w:hAnsi="宋体" w:cs="宋体"/>
                <w:szCs w:val="21"/>
              </w:rPr>
            </w:pPr>
            <w:r>
              <w:rPr>
                <w:rFonts w:hint="eastAsia" w:ascii="宋体" w:hAnsi="宋体" w:cs="宋体"/>
                <w:szCs w:val="21"/>
                <w:highlight w:val="white"/>
              </w:rPr>
              <w:t>2</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C16F809">
            <w:pPr>
              <w:pStyle w:val="35"/>
              <w:jc w:val="center"/>
              <w:rPr>
                <w:rFonts w:hint="eastAsia" w:ascii="宋体" w:hAnsi="宋体" w:cs="宋体"/>
                <w:szCs w:val="21"/>
              </w:rPr>
            </w:pPr>
            <w:r>
              <w:rPr>
                <w:rFonts w:hint="eastAsia" w:ascii="宋体" w:hAnsi="宋体" w:cs="宋体"/>
                <w:szCs w:val="21"/>
                <w:highlight w:val="white"/>
              </w:rPr>
              <w:t>1.1.2.6</w:t>
            </w:r>
          </w:p>
        </w:tc>
        <w:tc>
          <w:tcPr>
            <w:tcW w:w="7373" w:type="dxa"/>
            <w:tcBorders>
              <w:top w:val="single" w:color="auto" w:sz="4" w:space="0"/>
              <w:left w:val="single" w:color="auto" w:sz="4" w:space="0"/>
              <w:bottom w:val="single" w:color="auto" w:sz="4" w:space="0"/>
            </w:tcBorders>
            <w:noWrap w:val="0"/>
            <w:vAlign w:val="center"/>
          </w:tcPr>
          <w:p w14:paraId="1CECC7B8">
            <w:pPr>
              <w:pStyle w:val="35"/>
              <w:rPr>
                <w:rFonts w:hint="eastAsia" w:ascii="宋体" w:hAnsi="宋体" w:cs="宋体"/>
                <w:szCs w:val="21"/>
              </w:rPr>
            </w:pPr>
            <w:r>
              <w:rPr>
                <w:rFonts w:hint="eastAsia" w:ascii="宋体" w:hAnsi="宋体" w:cs="宋体"/>
                <w:szCs w:val="21"/>
                <w:highlight w:val="white"/>
              </w:rPr>
              <w:t>监 理 人：签订施工合同后通知</w:t>
            </w:r>
          </w:p>
          <w:p w14:paraId="0B98EC55">
            <w:pPr>
              <w:pStyle w:val="35"/>
              <w:rPr>
                <w:rFonts w:hint="eastAsia" w:ascii="宋体" w:hAnsi="宋体" w:cs="宋体"/>
                <w:szCs w:val="21"/>
              </w:rPr>
            </w:pPr>
            <w:r>
              <w:rPr>
                <w:rFonts w:hint="eastAsia" w:ascii="宋体" w:hAnsi="宋体" w:cs="宋体"/>
                <w:szCs w:val="21"/>
                <w:highlight w:val="white"/>
              </w:rPr>
              <w:t>地    址：签订施工合同后通知</w:t>
            </w:r>
          </w:p>
          <w:p w14:paraId="65D8BB09">
            <w:pPr>
              <w:pStyle w:val="35"/>
              <w:rPr>
                <w:rFonts w:hint="eastAsia" w:ascii="宋体" w:hAnsi="宋体" w:cs="宋体"/>
                <w:szCs w:val="21"/>
              </w:rPr>
            </w:pPr>
            <w:r>
              <w:rPr>
                <w:rFonts w:hint="eastAsia" w:ascii="宋体" w:hAnsi="宋体" w:cs="宋体"/>
                <w:szCs w:val="21"/>
                <w:highlight w:val="white"/>
              </w:rPr>
              <w:t>邮政编码：签订施工合同后通知</w:t>
            </w:r>
          </w:p>
        </w:tc>
      </w:tr>
      <w:tr w14:paraId="59B7DB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731" w:type="dxa"/>
            <w:tcBorders>
              <w:top w:val="single" w:color="auto" w:sz="4" w:space="0"/>
              <w:bottom w:val="single" w:color="auto" w:sz="4" w:space="0"/>
              <w:right w:val="single" w:color="auto" w:sz="4" w:space="0"/>
            </w:tcBorders>
            <w:noWrap w:val="0"/>
            <w:vAlign w:val="center"/>
          </w:tcPr>
          <w:p w14:paraId="41FE6809">
            <w:pPr>
              <w:pStyle w:val="35"/>
              <w:jc w:val="center"/>
              <w:rPr>
                <w:rFonts w:hint="eastAsia" w:ascii="宋体" w:hAnsi="宋体" w:cs="宋体"/>
                <w:szCs w:val="21"/>
              </w:rPr>
            </w:pPr>
            <w:r>
              <w:rPr>
                <w:rFonts w:hint="eastAsia" w:ascii="宋体" w:hAnsi="宋体" w:cs="宋体"/>
                <w:szCs w:val="21"/>
                <w:highlight w:val="white"/>
              </w:rPr>
              <w:t>3</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96B9359">
            <w:pPr>
              <w:pStyle w:val="35"/>
              <w:jc w:val="center"/>
              <w:rPr>
                <w:rFonts w:hint="eastAsia" w:ascii="宋体" w:hAnsi="宋体" w:cs="宋体"/>
                <w:szCs w:val="21"/>
              </w:rPr>
            </w:pPr>
            <w:r>
              <w:rPr>
                <w:rFonts w:hint="eastAsia" w:ascii="宋体" w:hAnsi="宋体" w:cs="宋体"/>
                <w:szCs w:val="21"/>
                <w:highlight w:val="white"/>
              </w:rPr>
              <w:t>1.1.4.5</w:t>
            </w:r>
          </w:p>
        </w:tc>
        <w:tc>
          <w:tcPr>
            <w:tcW w:w="7373" w:type="dxa"/>
            <w:tcBorders>
              <w:top w:val="single" w:color="auto" w:sz="4" w:space="0"/>
              <w:left w:val="single" w:color="auto" w:sz="4" w:space="0"/>
              <w:bottom w:val="single" w:color="auto" w:sz="4" w:space="0"/>
            </w:tcBorders>
            <w:noWrap w:val="0"/>
            <w:vAlign w:val="center"/>
          </w:tcPr>
          <w:p w14:paraId="498987A7">
            <w:pPr>
              <w:pStyle w:val="35"/>
              <w:rPr>
                <w:rFonts w:hint="eastAsia" w:ascii="宋体" w:hAnsi="宋体" w:cs="宋体"/>
                <w:szCs w:val="21"/>
              </w:rPr>
            </w:pPr>
            <w:r>
              <w:rPr>
                <w:rFonts w:hint="eastAsia" w:ascii="宋体" w:hAnsi="宋体" w:cs="宋体"/>
                <w:szCs w:val="21"/>
              </w:rPr>
              <w:t>缺陷责任期：自实际交工日期起计算</w:t>
            </w:r>
            <w:r>
              <w:rPr>
                <w:rFonts w:hint="eastAsia" w:ascii="宋体" w:hAnsi="宋体" w:cs="宋体"/>
                <w:szCs w:val="21"/>
                <w:u w:val="single"/>
              </w:rPr>
              <w:t xml:space="preserve"> </w:t>
            </w:r>
            <w:r>
              <w:rPr>
                <w:rFonts w:hint="eastAsia" w:ascii="宋体" w:hAnsi="宋体" w:cs="宋体"/>
                <w:color w:val="0000FF"/>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年（一般应为自实际交工日期起计算2年）</w:t>
            </w:r>
          </w:p>
        </w:tc>
      </w:tr>
      <w:tr w14:paraId="393EF0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31" w:type="dxa"/>
            <w:tcBorders>
              <w:top w:val="single" w:color="auto" w:sz="4" w:space="0"/>
              <w:bottom w:val="single" w:color="auto" w:sz="4" w:space="0"/>
              <w:right w:val="single" w:color="auto" w:sz="4" w:space="0"/>
            </w:tcBorders>
            <w:noWrap w:val="0"/>
            <w:vAlign w:val="center"/>
          </w:tcPr>
          <w:p w14:paraId="2AF03B7D">
            <w:pPr>
              <w:pStyle w:val="35"/>
              <w:jc w:val="center"/>
              <w:rPr>
                <w:rFonts w:hint="eastAsia" w:ascii="宋体" w:hAnsi="宋体" w:cs="宋体"/>
                <w:szCs w:val="21"/>
              </w:rPr>
            </w:pPr>
            <w:r>
              <w:rPr>
                <w:rFonts w:hint="eastAsia" w:ascii="宋体" w:hAnsi="宋体" w:cs="宋体"/>
                <w:szCs w:val="21"/>
                <w:highlight w:val="white"/>
              </w:rPr>
              <w:t>4</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2AFA61E">
            <w:pPr>
              <w:pStyle w:val="35"/>
              <w:jc w:val="center"/>
              <w:rPr>
                <w:rFonts w:hint="eastAsia" w:ascii="宋体" w:hAnsi="宋体" w:cs="宋体"/>
                <w:szCs w:val="21"/>
              </w:rPr>
            </w:pPr>
            <w:r>
              <w:rPr>
                <w:rFonts w:hint="eastAsia" w:ascii="宋体" w:hAnsi="宋体" w:cs="宋体"/>
                <w:szCs w:val="21"/>
                <w:highlight w:val="white"/>
              </w:rPr>
              <w:t>1.6.3</w:t>
            </w:r>
          </w:p>
        </w:tc>
        <w:tc>
          <w:tcPr>
            <w:tcW w:w="7373" w:type="dxa"/>
            <w:tcBorders>
              <w:top w:val="single" w:color="auto" w:sz="4" w:space="0"/>
              <w:left w:val="single" w:color="auto" w:sz="4" w:space="0"/>
              <w:bottom w:val="single" w:color="auto" w:sz="4" w:space="0"/>
            </w:tcBorders>
            <w:noWrap w:val="0"/>
            <w:vAlign w:val="center"/>
          </w:tcPr>
          <w:p w14:paraId="56DA88BB">
            <w:pPr>
              <w:pStyle w:val="35"/>
              <w:rPr>
                <w:rFonts w:hint="eastAsia" w:ascii="宋体" w:hAnsi="宋体" w:cs="宋体"/>
                <w:szCs w:val="21"/>
              </w:rPr>
            </w:pPr>
            <w:r>
              <w:rPr>
                <w:rFonts w:hint="eastAsia" w:ascii="宋体" w:hAnsi="宋体" w:cs="宋体"/>
                <w:szCs w:val="21"/>
                <w:highlight w:val="white"/>
              </w:rPr>
              <w:t>图纸需要修改和补充的，应由监理人取得发包人同意后，在该项工程或工程相应部位施工前</w:t>
            </w:r>
            <w:r>
              <w:rPr>
                <w:rFonts w:hint="eastAsia" w:ascii="宋体" w:hAnsi="宋体" w:cs="宋体"/>
                <w:color w:val="0000FF"/>
                <w:szCs w:val="21"/>
                <w:highlight w:val="white"/>
                <w:u w:val="single"/>
              </w:rPr>
              <w:t xml:space="preserve">  5 </w:t>
            </w:r>
            <w:r>
              <w:rPr>
                <w:rFonts w:hint="eastAsia" w:ascii="宋体" w:hAnsi="宋体" w:cs="宋体"/>
                <w:szCs w:val="21"/>
                <w:highlight w:val="white"/>
                <w:u w:val="single"/>
              </w:rPr>
              <w:t xml:space="preserve"> </w:t>
            </w:r>
            <w:r>
              <w:rPr>
                <w:rFonts w:hint="eastAsia" w:ascii="宋体" w:hAnsi="宋体" w:cs="宋体"/>
                <w:szCs w:val="21"/>
                <w:highlight w:val="white"/>
              </w:rPr>
              <w:t>天签发图纸修改图给承包人</w:t>
            </w:r>
          </w:p>
        </w:tc>
      </w:tr>
      <w:tr w14:paraId="103F6A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31" w:type="dxa"/>
            <w:tcBorders>
              <w:top w:val="single" w:color="auto" w:sz="4" w:space="0"/>
              <w:bottom w:val="single" w:color="auto" w:sz="4" w:space="0"/>
              <w:right w:val="single" w:color="auto" w:sz="4" w:space="0"/>
            </w:tcBorders>
            <w:noWrap w:val="0"/>
            <w:vAlign w:val="center"/>
          </w:tcPr>
          <w:p w14:paraId="474FB96E">
            <w:pPr>
              <w:pStyle w:val="35"/>
              <w:jc w:val="center"/>
              <w:rPr>
                <w:rFonts w:hint="eastAsia" w:ascii="宋体" w:hAnsi="宋体" w:cs="宋体"/>
                <w:szCs w:val="21"/>
              </w:rPr>
            </w:pPr>
            <w:r>
              <w:rPr>
                <w:rFonts w:hint="eastAsia" w:ascii="宋体" w:hAnsi="宋体" w:cs="宋体"/>
                <w:szCs w:val="21"/>
                <w:highlight w:val="white"/>
              </w:rPr>
              <w:t>5</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D437C5B">
            <w:pPr>
              <w:pStyle w:val="35"/>
              <w:jc w:val="center"/>
              <w:rPr>
                <w:rFonts w:hint="eastAsia" w:ascii="宋体" w:hAnsi="宋体" w:cs="宋体"/>
                <w:szCs w:val="21"/>
              </w:rPr>
            </w:pPr>
            <w:r>
              <w:rPr>
                <w:rFonts w:hint="eastAsia" w:ascii="宋体" w:hAnsi="宋体" w:cs="宋体"/>
                <w:szCs w:val="21"/>
                <w:highlight w:val="white"/>
              </w:rPr>
              <w:t>3.1.1</w:t>
            </w:r>
          </w:p>
        </w:tc>
        <w:tc>
          <w:tcPr>
            <w:tcW w:w="7373" w:type="dxa"/>
            <w:tcBorders>
              <w:top w:val="single" w:color="auto" w:sz="4" w:space="0"/>
              <w:left w:val="single" w:color="auto" w:sz="4" w:space="0"/>
              <w:bottom w:val="single" w:color="auto" w:sz="4" w:space="0"/>
            </w:tcBorders>
            <w:noWrap w:val="0"/>
            <w:vAlign w:val="center"/>
          </w:tcPr>
          <w:p w14:paraId="5F3765F0">
            <w:pPr>
              <w:pStyle w:val="35"/>
              <w:rPr>
                <w:rFonts w:hint="eastAsia" w:ascii="宋体" w:hAnsi="宋体" w:cs="宋体"/>
                <w:szCs w:val="21"/>
              </w:rPr>
            </w:pPr>
            <w:r>
              <w:rPr>
                <w:rFonts w:hint="eastAsia" w:ascii="宋体" w:hAnsi="宋体" w:cs="宋体"/>
                <w:szCs w:val="21"/>
                <w:highlight w:val="white"/>
              </w:rPr>
              <w:t>监理人在行使下列权利前需要经发包人事先批准：</w:t>
            </w:r>
          </w:p>
          <w:p w14:paraId="2FE8CFC5">
            <w:pPr>
              <w:pStyle w:val="35"/>
              <w:rPr>
                <w:rFonts w:hint="eastAsia" w:ascii="宋体" w:hAnsi="宋体" w:cs="宋体"/>
                <w:szCs w:val="21"/>
              </w:rPr>
            </w:pPr>
            <w:r>
              <w:rPr>
                <w:rFonts w:hint="eastAsia" w:ascii="宋体" w:hAnsi="宋体" w:cs="宋体"/>
                <w:szCs w:val="21"/>
                <w:highlight w:val="white"/>
              </w:rPr>
              <w:t>监理人在根据第15.3款发出的变更指示前均须得到发包人事先批准。</w:t>
            </w:r>
          </w:p>
        </w:tc>
      </w:tr>
      <w:tr w14:paraId="3B7B29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31" w:type="dxa"/>
            <w:tcBorders>
              <w:top w:val="single" w:color="auto" w:sz="4" w:space="0"/>
              <w:bottom w:val="single" w:color="auto" w:sz="4" w:space="0"/>
              <w:right w:val="single" w:color="auto" w:sz="4" w:space="0"/>
            </w:tcBorders>
            <w:noWrap w:val="0"/>
            <w:vAlign w:val="center"/>
          </w:tcPr>
          <w:p w14:paraId="354164C9">
            <w:pPr>
              <w:pStyle w:val="35"/>
              <w:jc w:val="center"/>
              <w:rPr>
                <w:rFonts w:hint="eastAsia" w:ascii="宋体" w:hAnsi="宋体" w:cs="宋体"/>
                <w:szCs w:val="21"/>
              </w:rPr>
            </w:pPr>
            <w:r>
              <w:rPr>
                <w:rFonts w:hint="eastAsia" w:ascii="宋体" w:hAnsi="宋体" w:cs="宋体"/>
                <w:szCs w:val="21"/>
                <w:highlight w:val="white"/>
              </w:rPr>
              <w:t>6</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3D551FB">
            <w:pPr>
              <w:pStyle w:val="35"/>
              <w:jc w:val="center"/>
              <w:rPr>
                <w:rFonts w:hint="eastAsia" w:ascii="宋体" w:hAnsi="宋体" w:cs="宋体"/>
                <w:szCs w:val="21"/>
              </w:rPr>
            </w:pPr>
            <w:r>
              <w:rPr>
                <w:rFonts w:hint="eastAsia" w:ascii="宋体" w:hAnsi="宋体" w:cs="宋体"/>
                <w:szCs w:val="21"/>
                <w:highlight w:val="white"/>
              </w:rPr>
              <w:t>5.2.1</w:t>
            </w:r>
          </w:p>
        </w:tc>
        <w:tc>
          <w:tcPr>
            <w:tcW w:w="7373" w:type="dxa"/>
            <w:tcBorders>
              <w:top w:val="single" w:color="auto" w:sz="4" w:space="0"/>
              <w:left w:val="single" w:color="auto" w:sz="4" w:space="0"/>
              <w:bottom w:val="single" w:color="auto" w:sz="4" w:space="0"/>
            </w:tcBorders>
            <w:noWrap w:val="0"/>
            <w:vAlign w:val="center"/>
          </w:tcPr>
          <w:p w14:paraId="1E8BEF49">
            <w:pPr>
              <w:pStyle w:val="35"/>
              <w:rPr>
                <w:rFonts w:hint="eastAsia" w:ascii="宋体" w:hAnsi="宋体" w:cs="宋体"/>
                <w:szCs w:val="21"/>
                <w:u w:val="single"/>
              </w:rPr>
            </w:pPr>
            <w:r>
              <w:rPr>
                <w:rFonts w:hint="eastAsia" w:ascii="宋体" w:hAnsi="宋体" w:cs="宋体"/>
                <w:szCs w:val="21"/>
                <w:highlight w:val="white"/>
              </w:rPr>
              <w:t>发包人是否提供材料或工程设备：</w:t>
            </w:r>
            <w:r>
              <w:rPr>
                <w:rFonts w:hint="eastAsia" w:ascii="宋体" w:hAnsi="宋体" w:cs="宋体"/>
                <w:szCs w:val="21"/>
                <w:highlight w:val="white"/>
                <w:u w:val="single"/>
              </w:rPr>
              <w:t>否</w:t>
            </w:r>
          </w:p>
          <w:p w14:paraId="6796D3E5">
            <w:pPr>
              <w:pStyle w:val="35"/>
              <w:rPr>
                <w:rFonts w:hint="eastAsia" w:ascii="宋体" w:hAnsi="宋体" w:cs="宋体"/>
                <w:szCs w:val="21"/>
                <w:u w:val="single"/>
              </w:rPr>
            </w:pPr>
            <w:r>
              <w:rPr>
                <w:rFonts w:hint="eastAsia" w:ascii="宋体" w:hAnsi="宋体" w:cs="宋体"/>
                <w:szCs w:val="21"/>
                <w:highlight w:val="white"/>
              </w:rPr>
              <w:t>如发包人负责提供部分材料或工程设备，相关规定如下：</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w:t>
            </w:r>
            <w:r>
              <w:rPr>
                <w:rFonts w:hint="eastAsia" w:ascii="宋体" w:hAnsi="宋体" w:cs="宋体"/>
                <w:szCs w:val="21"/>
                <w:highlight w:val="white"/>
                <w:u w:val="single"/>
              </w:rPr>
              <w:t xml:space="preserve">   </w:t>
            </w:r>
          </w:p>
        </w:tc>
      </w:tr>
      <w:tr w14:paraId="2FA2F7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31" w:type="dxa"/>
            <w:tcBorders>
              <w:top w:val="single" w:color="auto" w:sz="4" w:space="0"/>
              <w:bottom w:val="single" w:color="auto" w:sz="4" w:space="0"/>
              <w:right w:val="single" w:color="auto" w:sz="4" w:space="0"/>
            </w:tcBorders>
            <w:noWrap w:val="0"/>
            <w:vAlign w:val="center"/>
          </w:tcPr>
          <w:p w14:paraId="05905D34">
            <w:pPr>
              <w:pStyle w:val="35"/>
              <w:jc w:val="center"/>
              <w:rPr>
                <w:rFonts w:hint="eastAsia" w:ascii="宋体" w:hAnsi="宋体" w:cs="宋体"/>
                <w:szCs w:val="21"/>
              </w:rPr>
            </w:pPr>
            <w:r>
              <w:rPr>
                <w:rFonts w:hint="eastAsia" w:ascii="宋体" w:hAnsi="宋体" w:cs="宋体"/>
                <w:szCs w:val="21"/>
                <w:highlight w:val="white"/>
              </w:rPr>
              <w:t>7</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ECAC8CD">
            <w:pPr>
              <w:pStyle w:val="35"/>
              <w:jc w:val="center"/>
              <w:rPr>
                <w:rFonts w:hint="eastAsia" w:ascii="宋体" w:hAnsi="宋体" w:cs="宋体"/>
                <w:szCs w:val="21"/>
              </w:rPr>
            </w:pPr>
            <w:r>
              <w:rPr>
                <w:rFonts w:hint="eastAsia" w:ascii="宋体" w:hAnsi="宋体" w:cs="宋体"/>
                <w:szCs w:val="21"/>
                <w:highlight w:val="white"/>
              </w:rPr>
              <w:t>6.2</w:t>
            </w:r>
          </w:p>
        </w:tc>
        <w:tc>
          <w:tcPr>
            <w:tcW w:w="7373" w:type="dxa"/>
            <w:tcBorders>
              <w:top w:val="single" w:color="auto" w:sz="4" w:space="0"/>
              <w:left w:val="single" w:color="auto" w:sz="4" w:space="0"/>
              <w:bottom w:val="single" w:color="auto" w:sz="4" w:space="0"/>
            </w:tcBorders>
            <w:noWrap w:val="0"/>
            <w:vAlign w:val="center"/>
          </w:tcPr>
          <w:p w14:paraId="103A1890">
            <w:pPr>
              <w:pStyle w:val="35"/>
              <w:rPr>
                <w:rFonts w:hint="eastAsia" w:ascii="宋体" w:hAnsi="宋体" w:cs="宋体"/>
                <w:szCs w:val="21"/>
                <w:u w:val="single"/>
              </w:rPr>
            </w:pPr>
            <w:r>
              <w:rPr>
                <w:rFonts w:hint="eastAsia" w:ascii="宋体" w:hAnsi="宋体" w:cs="宋体"/>
                <w:szCs w:val="21"/>
                <w:highlight w:val="white"/>
              </w:rPr>
              <w:t>发包人是否提供施工设备和临时设施：</w:t>
            </w:r>
            <w:r>
              <w:rPr>
                <w:rFonts w:hint="eastAsia" w:ascii="宋体" w:hAnsi="宋体" w:cs="宋体"/>
                <w:szCs w:val="21"/>
                <w:highlight w:val="white"/>
                <w:u w:val="single"/>
              </w:rPr>
              <w:t>否</w:t>
            </w:r>
          </w:p>
          <w:p w14:paraId="042758E0">
            <w:pPr>
              <w:pStyle w:val="35"/>
              <w:rPr>
                <w:rFonts w:hint="eastAsia" w:ascii="宋体" w:hAnsi="宋体" w:cs="宋体"/>
                <w:szCs w:val="21"/>
              </w:rPr>
            </w:pPr>
            <w:r>
              <w:rPr>
                <w:rFonts w:hint="eastAsia" w:ascii="宋体" w:hAnsi="宋体" w:cs="宋体"/>
                <w:szCs w:val="21"/>
                <w:highlight w:val="white"/>
              </w:rPr>
              <w:t>如发包人负责提供部分施工设备和临时设施，相关规定如下：</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w:t>
            </w:r>
            <w:r>
              <w:rPr>
                <w:rFonts w:hint="eastAsia" w:ascii="宋体" w:hAnsi="宋体" w:cs="宋体"/>
                <w:szCs w:val="21"/>
                <w:highlight w:val="white"/>
                <w:u w:val="single"/>
              </w:rPr>
              <w:t xml:space="preserve">  </w:t>
            </w:r>
          </w:p>
        </w:tc>
      </w:tr>
      <w:tr w14:paraId="30D2F45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98" w:hRule="exact"/>
          <w:jc w:val="center"/>
        </w:trPr>
        <w:tc>
          <w:tcPr>
            <w:tcW w:w="731" w:type="dxa"/>
            <w:tcBorders>
              <w:top w:val="single" w:color="auto" w:sz="4" w:space="0"/>
              <w:bottom w:val="single" w:color="auto" w:sz="4" w:space="0"/>
              <w:right w:val="single" w:color="auto" w:sz="4" w:space="0"/>
            </w:tcBorders>
            <w:noWrap w:val="0"/>
            <w:vAlign w:val="center"/>
          </w:tcPr>
          <w:p w14:paraId="1F08DF68">
            <w:pPr>
              <w:pStyle w:val="35"/>
              <w:jc w:val="center"/>
              <w:rPr>
                <w:rFonts w:hint="eastAsia" w:ascii="宋体" w:hAnsi="宋体" w:cs="宋体"/>
                <w:szCs w:val="21"/>
              </w:rPr>
            </w:pPr>
            <w:r>
              <w:rPr>
                <w:rFonts w:hint="eastAsia" w:ascii="宋体" w:hAnsi="宋体" w:cs="宋体"/>
                <w:szCs w:val="21"/>
                <w:highlight w:val="white"/>
              </w:rPr>
              <w:t>8</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F40F06F">
            <w:pPr>
              <w:pStyle w:val="35"/>
              <w:jc w:val="center"/>
              <w:rPr>
                <w:rFonts w:hint="eastAsia" w:ascii="宋体" w:hAnsi="宋体" w:cs="宋体"/>
                <w:szCs w:val="21"/>
              </w:rPr>
            </w:pPr>
            <w:r>
              <w:rPr>
                <w:rFonts w:hint="eastAsia" w:ascii="宋体" w:hAnsi="宋体" w:cs="宋体"/>
                <w:szCs w:val="21"/>
                <w:highlight w:val="white"/>
              </w:rPr>
              <w:t>8.1.1</w:t>
            </w:r>
          </w:p>
        </w:tc>
        <w:tc>
          <w:tcPr>
            <w:tcW w:w="7373" w:type="dxa"/>
            <w:tcBorders>
              <w:top w:val="single" w:color="auto" w:sz="4" w:space="0"/>
              <w:left w:val="single" w:color="auto" w:sz="4" w:space="0"/>
              <w:bottom w:val="single" w:color="auto" w:sz="4" w:space="0"/>
            </w:tcBorders>
            <w:noWrap w:val="0"/>
            <w:vAlign w:val="center"/>
          </w:tcPr>
          <w:p w14:paraId="0F21360B">
            <w:pPr>
              <w:pStyle w:val="35"/>
              <w:rPr>
                <w:rFonts w:hint="eastAsia" w:ascii="宋体" w:hAnsi="宋体" w:cs="宋体"/>
                <w:spacing w:val="-4"/>
                <w:szCs w:val="21"/>
              </w:rPr>
            </w:pPr>
            <w:r>
              <w:rPr>
                <w:rFonts w:hint="eastAsia" w:ascii="宋体" w:hAnsi="宋体" w:cs="宋体"/>
                <w:spacing w:val="-4"/>
                <w:szCs w:val="21"/>
                <w:highlight w:val="white"/>
              </w:rPr>
              <w:t>发包人提供测量基准点、基准线和水准点及其书面资料的期限：签订合同后</w:t>
            </w:r>
            <w:r>
              <w:rPr>
                <w:rFonts w:hint="eastAsia" w:ascii="宋体" w:hAnsi="宋体" w:cs="宋体"/>
                <w:spacing w:val="-4"/>
                <w:szCs w:val="21"/>
                <w:highlight w:val="white"/>
                <w:u w:val="single"/>
              </w:rPr>
              <w:t xml:space="preserve"> </w:t>
            </w:r>
            <w:r>
              <w:rPr>
                <w:rFonts w:hint="eastAsia" w:ascii="宋体" w:hAnsi="宋体" w:cs="宋体"/>
                <w:color w:val="0000FF"/>
                <w:spacing w:val="-4"/>
                <w:szCs w:val="21"/>
                <w:highlight w:val="white"/>
                <w:u w:val="single"/>
              </w:rPr>
              <w:t xml:space="preserve">14 </w:t>
            </w:r>
            <w:r>
              <w:rPr>
                <w:rFonts w:hint="eastAsia" w:ascii="宋体" w:hAnsi="宋体" w:cs="宋体"/>
                <w:spacing w:val="-4"/>
                <w:szCs w:val="21"/>
                <w:highlight w:val="white"/>
                <w:u w:val="single"/>
              </w:rPr>
              <w:t xml:space="preserve"> </w:t>
            </w:r>
            <w:r>
              <w:rPr>
                <w:rFonts w:hint="eastAsia" w:ascii="宋体" w:hAnsi="宋体" w:cs="宋体"/>
                <w:spacing w:val="-4"/>
                <w:szCs w:val="21"/>
                <w:highlight w:val="white"/>
              </w:rPr>
              <w:t>天</w:t>
            </w:r>
          </w:p>
          <w:p w14:paraId="233463E3">
            <w:pPr>
              <w:pStyle w:val="35"/>
              <w:rPr>
                <w:rFonts w:hint="eastAsia" w:ascii="宋体" w:hAnsi="宋体" w:cs="宋体"/>
                <w:szCs w:val="21"/>
              </w:rPr>
            </w:pPr>
            <w:r>
              <w:rPr>
                <w:rFonts w:hint="eastAsia" w:ascii="宋体" w:hAnsi="宋体" w:cs="宋体"/>
                <w:szCs w:val="21"/>
                <w:highlight w:val="white"/>
              </w:rPr>
              <w:t>承包人将施工控制网资料报送监理人审批的期限：提供控制点后</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 7</w:t>
            </w:r>
            <w:r>
              <w:rPr>
                <w:rFonts w:hint="eastAsia" w:ascii="宋体" w:hAnsi="宋体" w:cs="宋体"/>
                <w:szCs w:val="21"/>
                <w:highlight w:val="white"/>
                <w:u w:val="single"/>
              </w:rPr>
              <w:t xml:space="preserve"> </w:t>
            </w:r>
            <w:r>
              <w:rPr>
                <w:rFonts w:hint="eastAsia" w:ascii="宋体" w:hAnsi="宋体" w:cs="宋体"/>
                <w:szCs w:val="21"/>
                <w:highlight w:val="white"/>
              </w:rPr>
              <w:t>天内</w:t>
            </w:r>
          </w:p>
        </w:tc>
      </w:tr>
      <w:tr w14:paraId="68813E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52" w:hRule="atLeast"/>
          <w:jc w:val="center"/>
        </w:trPr>
        <w:tc>
          <w:tcPr>
            <w:tcW w:w="731" w:type="dxa"/>
            <w:tcBorders>
              <w:top w:val="single" w:color="auto" w:sz="4" w:space="0"/>
              <w:bottom w:val="single" w:color="auto" w:sz="4" w:space="0"/>
              <w:right w:val="single" w:color="auto" w:sz="4" w:space="0"/>
            </w:tcBorders>
            <w:noWrap w:val="0"/>
            <w:vAlign w:val="center"/>
          </w:tcPr>
          <w:p w14:paraId="66CEA64A">
            <w:pPr>
              <w:pStyle w:val="35"/>
              <w:jc w:val="center"/>
              <w:rPr>
                <w:rFonts w:hint="eastAsia" w:ascii="宋体" w:hAnsi="宋体" w:cs="宋体"/>
                <w:szCs w:val="21"/>
              </w:rPr>
            </w:pPr>
            <w:r>
              <w:rPr>
                <w:rFonts w:hint="eastAsia" w:ascii="宋体" w:hAnsi="宋体" w:cs="宋体"/>
                <w:szCs w:val="21"/>
                <w:highlight w:val="white"/>
              </w:rPr>
              <w:t>9</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F81067B">
            <w:pPr>
              <w:pStyle w:val="35"/>
              <w:jc w:val="center"/>
              <w:rPr>
                <w:rFonts w:hint="eastAsia" w:ascii="宋体" w:hAnsi="宋体" w:cs="宋体"/>
                <w:szCs w:val="21"/>
              </w:rPr>
            </w:pPr>
            <w:r>
              <w:rPr>
                <w:rFonts w:hint="eastAsia" w:ascii="宋体" w:hAnsi="宋体" w:cs="宋体"/>
                <w:szCs w:val="21"/>
                <w:highlight w:val="white"/>
              </w:rPr>
              <w:t>11.5</w:t>
            </w:r>
          </w:p>
        </w:tc>
        <w:tc>
          <w:tcPr>
            <w:tcW w:w="7373" w:type="dxa"/>
            <w:tcBorders>
              <w:top w:val="single" w:color="auto" w:sz="4" w:space="0"/>
              <w:left w:val="single" w:color="auto" w:sz="4" w:space="0"/>
              <w:bottom w:val="single" w:color="auto" w:sz="4" w:space="0"/>
            </w:tcBorders>
            <w:noWrap w:val="0"/>
            <w:vAlign w:val="center"/>
          </w:tcPr>
          <w:p w14:paraId="4C1392D0">
            <w:pPr>
              <w:pStyle w:val="35"/>
              <w:rPr>
                <w:rFonts w:hint="eastAsia" w:ascii="宋体" w:hAnsi="宋体" w:cs="宋体"/>
                <w:szCs w:val="21"/>
              </w:rPr>
            </w:pPr>
            <w:r>
              <w:rPr>
                <w:rFonts w:hint="eastAsia" w:ascii="宋体" w:hAnsi="宋体" w:cs="宋体"/>
                <w:szCs w:val="21"/>
                <w:highlight w:val="white"/>
              </w:rPr>
              <w:t>工期延误的违约金：</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u w:val="single"/>
                <w:lang w:val="en-US" w:eastAsia="zh-CN"/>
              </w:rPr>
              <w:t>200</w:t>
            </w:r>
            <w:r>
              <w:rPr>
                <w:rFonts w:hint="eastAsia" w:ascii="宋体" w:hAnsi="宋体" w:eastAsia="宋体" w:cs="宋体"/>
                <w:szCs w:val="21"/>
                <w:highlight w:val="white"/>
                <w:u w:val="single"/>
              </w:rPr>
              <w:t>元/天</w:t>
            </w:r>
            <w:r>
              <w:rPr>
                <w:rFonts w:hint="eastAsia" w:ascii="宋体" w:hAnsi="宋体" w:cs="宋体"/>
                <w:szCs w:val="21"/>
                <w:highlight w:val="white"/>
              </w:rPr>
              <w:t>（建议采用：1.工期延误30天以内的，支付违约金0.5</w:t>
            </w:r>
            <w:r>
              <w:rPr>
                <w:rFonts w:hint="eastAsia" w:ascii="宋体" w:hAnsi="宋体" w:eastAsia="宋体" w:cs="宋体"/>
                <w:szCs w:val="21"/>
                <w:highlight w:val="white"/>
              </w:rPr>
              <w:t>万</w:t>
            </w:r>
            <w:r>
              <w:rPr>
                <w:rFonts w:hint="eastAsia" w:ascii="宋体" w:hAnsi="宋体" w:cs="宋体"/>
                <w:szCs w:val="21"/>
                <w:highlight w:val="white"/>
              </w:rPr>
              <w:t>元/天；2.工期延误30天以上60天以内的，从工期延误的首日起算，支付违约金1万元/天；3.工期延误60天以上90天以内的，从工期延误的首日起算，支付违约金1.5万元/天； 4.工期延误90天以上的，从工期延误的首日起算，支付违约金2万元/天；“以上”均不含本数，“以内”均含本数。具体每天的违约金金额可根据项目的具体情况进行修改）</w:t>
            </w:r>
          </w:p>
        </w:tc>
      </w:tr>
      <w:tr w14:paraId="23C05A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731" w:type="dxa"/>
            <w:tcBorders>
              <w:top w:val="single" w:color="auto" w:sz="4" w:space="0"/>
              <w:bottom w:val="single" w:color="auto" w:sz="4" w:space="0"/>
              <w:right w:val="single" w:color="auto" w:sz="4" w:space="0"/>
            </w:tcBorders>
            <w:noWrap w:val="0"/>
            <w:vAlign w:val="center"/>
          </w:tcPr>
          <w:p w14:paraId="5B542D3D">
            <w:pPr>
              <w:pStyle w:val="35"/>
              <w:jc w:val="center"/>
              <w:rPr>
                <w:rFonts w:hint="eastAsia" w:ascii="宋体" w:hAnsi="宋体" w:cs="宋体"/>
                <w:szCs w:val="21"/>
              </w:rPr>
            </w:pPr>
            <w:r>
              <w:rPr>
                <w:rFonts w:hint="eastAsia" w:ascii="宋体" w:hAnsi="宋体" w:cs="宋体"/>
                <w:szCs w:val="21"/>
                <w:highlight w:val="white"/>
              </w:rPr>
              <w:t>10</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3557EF0">
            <w:pPr>
              <w:pStyle w:val="35"/>
              <w:jc w:val="center"/>
              <w:rPr>
                <w:rFonts w:hint="eastAsia" w:ascii="宋体" w:hAnsi="宋体" w:cs="宋体"/>
                <w:szCs w:val="21"/>
              </w:rPr>
            </w:pPr>
            <w:r>
              <w:rPr>
                <w:rFonts w:hint="eastAsia" w:ascii="宋体" w:hAnsi="宋体" w:cs="宋体"/>
                <w:szCs w:val="21"/>
                <w:highlight w:val="white"/>
              </w:rPr>
              <w:t>11.5</w:t>
            </w:r>
          </w:p>
        </w:tc>
        <w:tc>
          <w:tcPr>
            <w:tcW w:w="7373" w:type="dxa"/>
            <w:tcBorders>
              <w:top w:val="single" w:color="auto" w:sz="4" w:space="0"/>
              <w:left w:val="single" w:color="auto" w:sz="4" w:space="0"/>
              <w:bottom w:val="single" w:color="auto" w:sz="4" w:space="0"/>
            </w:tcBorders>
            <w:noWrap w:val="0"/>
            <w:vAlign w:val="center"/>
          </w:tcPr>
          <w:p w14:paraId="77B0197E">
            <w:pPr>
              <w:pStyle w:val="35"/>
              <w:rPr>
                <w:rFonts w:hint="eastAsia" w:ascii="宋体" w:hAnsi="宋体" w:cs="宋体"/>
                <w:szCs w:val="21"/>
              </w:rPr>
            </w:pPr>
            <w:r>
              <w:rPr>
                <w:rFonts w:hint="eastAsia" w:ascii="宋体" w:hAnsi="宋体" w:cs="宋体"/>
                <w:szCs w:val="21"/>
                <w:highlight w:val="white"/>
              </w:rPr>
              <w:t>逾期交工违约金限额：</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10</w:t>
            </w:r>
            <w:r>
              <w:rPr>
                <w:rFonts w:hint="eastAsia" w:ascii="宋体" w:hAnsi="宋体" w:cs="宋体"/>
                <w:szCs w:val="21"/>
                <w:highlight w:val="white"/>
                <w:u w:val="single"/>
              </w:rPr>
              <w:t xml:space="preserve"> </w:t>
            </w:r>
            <w:r>
              <w:rPr>
                <w:rFonts w:hint="eastAsia" w:ascii="宋体" w:hAnsi="宋体" w:cs="宋体"/>
                <w:szCs w:val="21"/>
                <w:highlight w:val="white"/>
              </w:rPr>
              <w:t>%签约合同价（限额一般应为10%签约合同价）</w:t>
            </w:r>
          </w:p>
        </w:tc>
      </w:tr>
      <w:tr w14:paraId="2767FC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1" w:hRule="exact"/>
          <w:jc w:val="center"/>
        </w:trPr>
        <w:tc>
          <w:tcPr>
            <w:tcW w:w="731" w:type="dxa"/>
            <w:tcBorders>
              <w:top w:val="single" w:color="auto" w:sz="4" w:space="0"/>
              <w:bottom w:val="single" w:color="auto" w:sz="4" w:space="0"/>
              <w:right w:val="single" w:color="auto" w:sz="4" w:space="0"/>
            </w:tcBorders>
            <w:noWrap w:val="0"/>
            <w:vAlign w:val="center"/>
          </w:tcPr>
          <w:p w14:paraId="14BFADC4">
            <w:pPr>
              <w:pStyle w:val="35"/>
              <w:jc w:val="center"/>
              <w:rPr>
                <w:rFonts w:hint="eastAsia" w:ascii="宋体" w:hAnsi="宋体" w:cs="宋体"/>
                <w:szCs w:val="21"/>
              </w:rPr>
            </w:pPr>
            <w:r>
              <w:rPr>
                <w:rFonts w:hint="eastAsia" w:ascii="宋体" w:hAnsi="宋体" w:cs="宋体"/>
                <w:szCs w:val="21"/>
                <w:highlight w:val="white"/>
              </w:rPr>
              <w:t>11</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748CF1A">
            <w:pPr>
              <w:pStyle w:val="35"/>
              <w:jc w:val="center"/>
              <w:rPr>
                <w:rFonts w:hint="eastAsia" w:ascii="宋体" w:hAnsi="宋体" w:cs="宋体"/>
                <w:szCs w:val="21"/>
              </w:rPr>
            </w:pPr>
            <w:r>
              <w:rPr>
                <w:rFonts w:hint="eastAsia" w:ascii="宋体" w:hAnsi="宋体" w:cs="宋体"/>
                <w:szCs w:val="21"/>
                <w:highlight w:val="white"/>
              </w:rPr>
              <w:t>11．6</w:t>
            </w:r>
          </w:p>
        </w:tc>
        <w:tc>
          <w:tcPr>
            <w:tcW w:w="7373" w:type="dxa"/>
            <w:tcBorders>
              <w:top w:val="single" w:color="auto" w:sz="4" w:space="0"/>
              <w:left w:val="single" w:color="auto" w:sz="4" w:space="0"/>
              <w:bottom w:val="single" w:color="auto" w:sz="4" w:space="0"/>
            </w:tcBorders>
            <w:noWrap w:val="0"/>
            <w:vAlign w:val="center"/>
          </w:tcPr>
          <w:p w14:paraId="0E96B45D">
            <w:pPr>
              <w:pStyle w:val="35"/>
              <w:rPr>
                <w:rFonts w:hint="eastAsia" w:ascii="宋体" w:hAnsi="宋体" w:cs="宋体"/>
                <w:szCs w:val="21"/>
              </w:rPr>
            </w:pPr>
            <w:r>
              <w:rPr>
                <w:rFonts w:hint="eastAsia" w:ascii="宋体" w:hAnsi="宋体" w:cs="宋体"/>
                <w:szCs w:val="21"/>
                <w:highlight w:val="white"/>
              </w:rPr>
              <w:t>提前交工的奖金：</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 / </w:t>
            </w:r>
            <w:r>
              <w:rPr>
                <w:rFonts w:hint="eastAsia" w:ascii="宋体" w:hAnsi="宋体" w:cs="宋体"/>
                <w:szCs w:val="21"/>
                <w:highlight w:val="white"/>
                <w:u w:val="single"/>
              </w:rPr>
              <w:t xml:space="preserve">  </w:t>
            </w:r>
            <w:r>
              <w:rPr>
                <w:rFonts w:hint="eastAsia" w:ascii="宋体" w:hAnsi="宋体" w:cs="宋体"/>
                <w:szCs w:val="21"/>
                <w:highlight w:val="white"/>
              </w:rPr>
              <w:t>元/天</w:t>
            </w:r>
          </w:p>
        </w:tc>
      </w:tr>
      <w:tr w14:paraId="26D19F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51" w:hRule="exact"/>
          <w:jc w:val="center"/>
        </w:trPr>
        <w:tc>
          <w:tcPr>
            <w:tcW w:w="731" w:type="dxa"/>
            <w:tcBorders>
              <w:top w:val="single" w:color="auto" w:sz="4" w:space="0"/>
              <w:bottom w:val="single" w:color="auto" w:sz="4" w:space="0"/>
              <w:right w:val="single" w:color="auto" w:sz="4" w:space="0"/>
            </w:tcBorders>
            <w:noWrap w:val="0"/>
            <w:vAlign w:val="center"/>
          </w:tcPr>
          <w:p w14:paraId="5E612D49">
            <w:pPr>
              <w:pStyle w:val="35"/>
              <w:jc w:val="center"/>
              <w:rPr>
                <w:rFonts w:hint="eastAsia" w:ascii="宋体" w:hAnsi="宋体" w:cs="宋体"/>
                <w:szCs w:val="21"/>
              </w:rPr>
            </w:pPr>
            <w:r>
              <w:rPr>
                <w:rFonts w:hint="eastAsia" w:ascii="宋体" w:hAnsi="宋体" w:cs="宋体"/>
                <w:szCs w:val="21"/>
                <w:highlight w:val="white"/>
              </w:rPr>
              <w:t>12</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362518E">
            <w:pPr>
              <w:pStyle w:val="35"/>
              <w:jc w:val="center"/>
              <w:rPr>
                <w:rFonts w:hint="eastAsia" w:ascii="宋体" w:hAnsi="宋体" w:cs="宋体"/>
                <w:szCs w:val="21"/>
              </w:rPr>
            </w:pPr>
            <w:r>
              <w:rPr>
                <w:rFonts w:hint="eastAsia" w:ascii="宋体" w:hAnsi="宋体" w:cs="宋体"/>
                <w:szCs w:val="21"/>
                <w:highlight w:val="white"/>
              </w:rPr>
              <w:t>11．6</w:t>
            </w:r>
          </w:p>
        </w:tc>
        <w:tc>
          <w:tcPr>
            <w:tcW w:w="7373" w:type="dxa"/>
            <w:tcBorders>
              <w:top w:val="single" w:color="auto" w:sz="4" w:space="0"/>
              <w:left w:val="single" w:color="auto" w:sz="4" w:space="0"/>
              <w:bottom w:val="single" w:color="auto" w:sz="4" w:space="0"/>
            </w:tcBorders>
            <w:noWrap w:val="0"/>
            <w:vAlign w:val="center"/>
          </w:tcPr>
          <w:p w14:paraId="2AB85758">
            <w:pPr>
              <w:pStyle w:val="35"/>
              <w:rPr>
                <w:rFonts w:hint="eastAsia" w:ascii="宋体" w:hAnsi="宋体" w:cs="宋体"/>
                <w:szCs w:val="21"/>
              </w:rPr>
            </w:pPr>
            <w:r>
              <w:rPr>
                <w:rFonts w:hint="eastAsia" w:ascii="宋体" w:hAnsi="宋体" w:cs="宋体"/>
                <w:szCs w:val="21"/>
                <w:highlight w:val="white"/>
              </w:rPr>
              <w:t>提前交工的奖金限额：</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 </w:t>
            </w:r>
            <w:r>
              <w:rPr>
                <w:rFonts w:hint="eastAsia" w:ascii="宋体" w:hAnsi="宋体" w:cs="宋体"/>
                <w:szCs w:val="21"/>
                <w:highlight w:val="white"/>
                <w:u w:val="single"/>
              </w:rPr>
              <w:t xml:space="preserve">  </w:t>
            </w:r>
            <w:r>
              <w:rPr>
                <w:rFonts w:hint="eastAsia" w:ascii="宋体" w:hAnsi="宋体" w:cs="宋体"/>
                <w:szCs w:val="21"/>
                <w:highlight w:val="white"/>
              </w:rPr>
              <w:t>%签约合同价</w:t>
            </w:r>
          </w:p>
        </w:tc>
      </w:tr>
      <w:tr w14:paraId="08BD81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31" w:type="dxa"/>
            <w:tcBorders>
              <w:top w:val="single" w:color="auto" w:sz="4" w:space="0"/>
              <w:bottom w:val="single" w:color="auto" w:sz="4" w:space="0"/>
              <w:right w:val="single" w:color="auto" w:sz="4" w:space="0"/>
            </w:tcBorders>
            <w:noWrap w:val="0"/>
            <w:vAlign w:val="center"/>
          </w:tcPr>
          <w:p w14:paraId="03AC661A">
            <w:pPr>
              <w:pStyle w:val="35"/>
              <w:jc w:val="center"/>
              <w:rPr>
                <w:rFonts w:hint="eastAsia" w:ascii="宋体" w:hAnsi="宋体" w:cs="宋体"/>
                <w:szCs w:val="21"/>
              </w:rPr>
            </w:pPr>
            <w:r>
              <w:rPr>
                <w:rFonts w:hint="eastAsia" w:ascii="宋体" w:hAnsi="宋体" w:cs="宋体"/>
                <w:szCs w:val="21"/>
                <w:highlight w:val="white"/>
              </w:rPr>
              <w:t>13</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32C30BC">
            <w:pPr>
              <w:pStyle w:val="35"/>
              <w:jc w:val="center"/>
              <w:rPr>
                <w:rFonts w:hint="eastAsia" w:ascii="宋体" w:hAnsi="宋体" w:cs="宋体"/>
                <w:szCs w:val="21"/>
              </w:rPr>
            </w:pPr>
            <w:r>
              <w:rPr>
                <w:rFonts w:hint="eastAsia" w:ascii="宋体" w:hAnsi="宋体" w:cs="宋体"/>
                <w:szCs w:val="21"/>
                <w:highlight w:val="white"/>
              </w:rPr>
              <w:t>15.5.2</w:t>
            </w:r>
          </w:p>
        </w:tc>
        <w:tc>
          <w:tcPr>
            <w:tcW w:w="7373" w:type="dxa"/>
            <w:tcBorders>
              <w:top w:val="single" w:color="auto" w:sz="4" w:space="0"/>
              <w:left w:val="single" w:color="auto" w:sz="4" w:space="0"/>
              <w:bottom w:val="single" w:color="auto" w:sz="4" w:space="0"/>
            </w:tcBorders>
            <w:noWrap w:val="0"/>
            <w:vAlign w:val="center"/>
          </w:tcPr>
          <w:p w14:paraId="1C16FF4B">
            <w:pPr>
              <w:pStyle w:val="35"/>
              <w:rPr>
                <w:rFonts w:hint="eastAsia" w:ascii="宋体" w:hAnsi="宋体" w:cs="宋体"/>
                <w:szCs w:val="21"/>
              </w:rPr>
            </w:pPr>
            <w:r>
              <w:rPr>
                <w:rFonts w:hint="eastAsia" w:ascii="宋体" w:hAnsi="宋体" w:cs="宋体"/>
                <w:szCs w:val="21"/>
                <w:highlight w:val="white"/>
              </w:rPr>
              <w:t>承包人提出的合理化建议降低了合同价格或者提高了工程经济效益的，发包人按所节约成本的</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 </w:t>
            </w:r>
            <w:r>
              <w:rPr>
                <w:rFonts w:hint="eastAsia" w:ascii="宋体" w:hAnsi="宋体" w:cs="宋体"/>
                <w:szCs w:val="21"/>
                <w:highlight w:val="white"/>
                <w:u w:val="single"/>
              </w:rPr>
              <w:t xml:space="preserve"> </w:t>
            </w:r>
            <w:r>
              <w:rPr>
                <w:rFonts w:hint="eastAsia" w:ascii="宋体" w:hAnsi="宋体" w:cs="宋体"/>
                <w:szCs w:val="21"/>
                <w:highlight w:val="white"/>
              </w:rPr>
              <w:t>%或增加收益的</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 </w:t>
            </w:r>
            <w:r>
              <w:rPr>
                <w:rFonts w:hint="eastAsia" w:ascii="宋体" w:hAnsi="宋体" w:cs="宋体"/>
                <w:szCs w:val="21"/>
                <w:highlight w:val="white"/>
                <w:u w:val="single"/>
              </w:rPr>
              <w:t xml:space="preserve">  </w:t>
            </w:r>
            <w:r>
              <w:rPr>
                <w:rFonts w:hint="eastAsia" w:ascii="宋体" w:hAnsi="宋体" w:cs="宋体"/>
                <w:szCs w:val="21"/>
                <w:highlight w:val="white"/>
              </w:rPr>
              <w:t>%给予奖励</w:t>
            </w:r>
          </w:p>
        </w:tc>
      </w:tr>
      <w:tr w14:paraId="704708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731" w:type="dxa"/>
            <w:tcBorders>
              <w:top w:val="single" w:color="auto" w:sz="4" w:space="0"/>
              <w:bottom w:val="single" w:color="auto" w:sz="4" w:space="0"/>
              <w:right w:val="single" w:color="auto" w:sz="4" w:space="0"/>
            </w:tcBorders>
            <w:noWrap w:val="0"/>
            <w:vAlign w:val="center"/>
          </w:tcPr>
          <w:p w14:paraId="229ED701">
            <w:pPr>
              <w:pStyle w:val="35"/>
              <w:jc w:val="center"/>
              <w:rPr>
                <w:rFonts w:hint="eastAsia" w:ascii="宋体" w:hAnsi="宋体" w:cs="宋体"/>
                <w:szCs w:val="21"/>
              </w:rPr>
            </w:pPr>
            <w:r>
              <w:rPr>
                <w:rFonts w:hint="eastAsia" w:ascii="宋体" w:hAnsi="宋体" w:cs="宋体"/>
                <w:szCs w:val="21"/>
                <w:highlight w:val="white"/>
              </w:rPr>
              <w:t>14</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F7C0AC6">
            <w:pPr>
              <w:pStyle w:val="35"/>
              <w:jc w:val="center"/>
              <w:rPr>
                <w:rFonts w:hint="eastAsia" w:ascii="宋体" w:hAnsi="宋体" w:cs="宋体"/>
                <w:szCs w:val="21"/>
              </w:rPr>
            </w:pPr>
            <w:r>
              <w:rPr>
                <w:rFonts w:hint="eastAsia" w:ascii="宋体" w:hAnsi="宋体" w:cs="宋体"/>
                <w:szCs w:val="21"/>
                <w:highlight w:val="white"/>
              </w:rPr>
              <w:t>16.1</w:t>
            </w:r>
          </w:p>
        </w:tc>
        <w:tc>
          <w:tcPr>
            <w:tcW w:w="7373" w:type="dxa"/>
            <w:tcBorders>
              <w:top w:val="single" w:color="auto" w:sz="4" w:space="0"/>
              <w:left w:val="single" w:color="auto" w:sz="4" w:space="0"/>
              <w:bottom w:val="single" w:color="auto" w:sz="4" w:space="0"/>
            </w:tcBorders>
            <w:noWrap w:val="0"/>
            <w:vAlign w:val="center"/>
          </w:tcPr>
          <w:p w14:paraId="35E7BEF5">
            <w:pPr>
              <w:pStyle w:val="35"/>
              <w:rPr>
                <w:rFonts w:hint="eastAsia" w:ascii="宋体" w:hAnsi="宋体" w:cs="宋体"/>
                <w:szCs w:val="21"/>
              </w:rPr>
            </w:pPr>
            <w:r>
              <w:rPr>
                <w:rFonts w:hint="eastAsia" w:ascii="宋体" w:hAnsi="宋体" w:cs="宋体"/>
                <w:szCs w:val="21"/>
                <w:highlight w:val="white"/>
              </w:rPr>
              <w:t>□因物价波动引起的价格调整按照</w:t>
            </w:r>
            <w:r>
              <w:rPr>
                <w:rFonts w:hint="eastAsia" w:ascii="宋体" w:hAnsi="宋体" w:cs="宋体"/>
                <w:szCs w:val="21"/>
                <w:highlight w:val="white"/>
                <w:u w:val="single"/>
              </w:rPr>
              <w:t>第16.1.1项</w:t>
            </w:r>
            <w:r>
              <w:rPr>
                <w:rFonts w:hint="eastAsia" w:ascii="宋体" w:hAnsi="宋体" w:cs="宋体"/>
                <w:szCs w:val="21"/>
                <w:highlight w:val="white"/>
              </w:rPr>
              <w:t>约定的原则处理</w:t>
            </w:r>
          </w:p>
          <w:p w14:paraId="4A9E866C">
            <w:pPr>
              <w:pStyle w:val="35"/>
              <w:ind w:firstLine="243" w:firstLineChars="116"/>
              <w:rPr>
                <w:rFonts w:hint="eastAsia" w:ascii="宋体" w:hAnsi="宋体" w:cs="宋体"/>
                <w:szCs w:val="21"/>
              </w:rPr>
            </w:pPr>
            <w:r>
              <w:rPr>
                <w:rFonts w:hint="eastAsia" w:ascii="宋体" w:hAnsi="宋体" w:cs="宋体"/>
                <w:szCs w:val="21"/>
                <w:highlight w:val="white"/>
              </w:rPr>
              <w:t>若按第16.1.1项的约定采用价格调整公式进行调价，每</w:t>
            </w:r>
            <w:r>
              <w:rPr>
                <w:rFonts w:hint="eastAsia" w:ascii="宋体" w:hAnsi="宋体" w:cs="宋体"/>
                <w:szCs w:val="21"/>
                <w:highlight w:val="white"/>
                <w:u w:val="single"/>
              </w:rPr>
              <w:t xml:space="preserve"> 月 </w:t>
            </w:r>
            <w:r>
              <w:rPr>
                <w:rFonts w:hint="eastAsia" w:ascii="宋体" w:hAnsi="宋体" w:cs="宋体"/>
                <w:szCs w:val="21"/>
                <w:highlight w:val="white"/>
              </w:rPr>
              <w:t>按价格调整公式进行一次调整</w:t>
            </w:r>
          </w:p>
          <w:p w14:paraId="3CD64CDC">
            <w:pPr>
              <w:pStyle w:val="35"/>
              <w:rPr>
                <w:rFonts w:hint="eastAsia" w:ascii="宋体" w:hAnsi="宋体" w:cs="宋体"/>
                <w:szCs w:val="21"/>
              </w:rPr>
            </w:pPr>
            <w:r>
              <w:rPr>
                <w:rFonts w:hint="eastAsia" w:ascii="宋体" w:hAnsi="宋体" w:cs="宋体"/>
                <w:color w:val="0000FF"/>
                <w:szCs w:val="21"/>
                <w:highlight w:val="white"/>
              </w:rPr>
              <w:sym w:font="Wingdings 2" w:char="0052"/>
            </w:r>
            <w:r>
              <w:rPr>
                <w:rFonts w:hint="eastAsia" w:ascii="宋体" w:hAnsi="宋体" w:cs="宋体"/>
                <w:color w:val="0000FF"/>
                <w:szCs w:val="21"/>
                <w:highlight w:val="white"/>
              </w:rPr>
              <w:t>合同期内不调价</w:t>
            </w:r>
            <w:r>
              <w:rPr>
                <w:rFonts w:hint="eastAsia" w:ascii="宋体" w:hAnsi="宋体" w:cs="宋体"/>
                <w:color w:val="0000FF"/>
                <w:szCs w:val="21"/>
                <w:highlight w:val="white"/>
                <w:lang w:eastAsia="zh-CN"/>
              </w:rPr>
              <w:t>：</w:t>
            </w:r>
            <w:r>
              <w:rPr>
                <w:rFonts w:hint="eastAsia" w:ascii="宋体" w:hAnsi="宋体" w:eastAsia="宋体" w:cs="宋体"/>
                <w:szCs w:val="21"/>
                <w:highlight w:val="white"/>
              </w:rPr>
              <w:t>市场价格波动引起的</w:t>
            </w:r>
            <w:r>
              <w:rPr>
                <w:rFonts w:hint="eastAsia" w:ascii="宋体" w:hAnsi="宋体" w:eastAsia="宋体" w:cs="宋体"/>
                <w:szCs w:val="21"/>
                <w:highlight w:val="white"/>
                <w:lang w:eastAsia="zh-CN"/>
              </w:rPr>
              <w:t>不做</w:t>
            </w:r>
            <w:r>
              <w:rPr>
                <w:rFonts w:hint="eastAsia" w:ascii="宋体" w:hAnsi="宋体" w:eastAsia="宋体" w:cs="宋体"/>
                <w:szCs w:val="21"/>
                <w:highlight w:val="white"/>
              </w:rPr>
              <w:t>调整（</w:t>
            </w:r>
            <w:r>
              <w:rPr>
                <w:rFonts w:hint="eastAsia" w:ascii="宋体" w:hAnsi="宋体" w:cs="宋体"/>
                <w:szCs w:val="21"/>
                <w:highlight w:val="white"/>
              </w:rPr>
              <w:t>对于工程规模不大、工期较短的工程（例如工期不超过12个月的），可以不进行调价）</w:t>
            </w:r>
          </w:p>
        </w:tc>
      </w:tr>
      <w:tr w14:paraId="3DDA3E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731" w:type="dxa"/>
            <w:tcBorders>
              <w:top w:val="single" w:color="auto" w:sz="4" w:space="0"/>
              <w:bottom w:val="single" w:color="auto" w:sz="4" w:space="0"/>
              <w:right w:val="single" w:color="auto" w:sz="4" w:space="0"/>
            </w:tcBorders>
            <w:noWrap w:val="0"/>
            <w:vAlign w:val="center"/>
          </w:tcPr>
          <w:p w14:paraId="595986A9">
            <w:pPr>
              <w:pStyle w:val="35"/>
              <w:jc w:val="center"/>
              <w:rPr>
                <w:rFonts w:hint="eastAsia" w:ascii="宋体" w:hAnsi="宋体" w:cs="宋体"/>
                <w:szCs w:val="21"/>
              </w:rPr>
            </w:pPr>
            <w:r>
              <w:rPr>
                <w:rFonts w:hint="eastAsia" w:ascii="宋体" w:hAnsi="宋体" w:cs="宋体"/>
                <w:szCs w:val="21"/>
                <w:highlight w:val="white"/>
              </w:rPr>
              <w:t>15</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27ADDA7">
            <w:pPr>
              <w:pStyle w:val="35"/>
              <w:jc w:val="center"/>
              <w:rPr>
                <w:rFonts w:hint="eastAsia" w:ascii="宋体" w:hAnsi="宋体" w:cs="宋体"/>
                <w:szCs w:val="21"/>
              </w:rPr>
            </w:pPr>
            <w:r>
              <w:rPr>
                <w:rFonts w:hint="eastAsia" w:ascii="宋体" w:hAnsi="宋体" w:cs="宋体"/>
                <w:szCs w:val="21"/>
                <w:highlight w:val="white"/>
              </w:rPr>
              <w:t>17.2.1</w:t>
            </w:r>
          </w:p>
        </w:tc>
        <w:tc>
          <w:tcPr>
            <w:tcW w:w="7373" w:type="dxa"/>
            <w:tcBorders>
              <w:top w:val="single" w:color="auto" w:sz="4" w:space="0"/>
              <w:left w:val="single" w:color="auto" w:sz="4" w:space="0"/>
              <w:bottom w:val="single" w:color="auto" w:sz="4" w:space="0"/>
            </w:tcBorders>
            <w:noWrap w:val="0"/>
            <w:vAlign w:val="center"/>
          </w:tcPr>
          <w:p w14:paraId="05C4BE05">
            <w:pPr>
              <w:pStyle w:val="35"/>
              <w:rPr>
                <w:rFonts w:hint="eastAsia" w:ascii="宋体" w:hAnsi="宋体" w:cs="宋体"/>
                <w:szCs w:val="21"/>
              </w:rPr>
            </w:pPr>
            <w:r>
              <w:rPr>
                <w:rFonts w:hint="eastAsia" w:ascii="宋体" w:hAnsi="宋体" w:cs="宋体"/>
                <w:szCs w:val="21"/>
                <w:highlight w:val="white"/>
              </w:rPr>
              <w:t>开工预付款金额：</w:t>
            </w:r>
            <w:r>
              <w:rPr>
                <w:rFonts w:hint="eastAsia" w:ascii="宋体" w:hAnsi="宋体" w:cs="宋体"/>
                <w:color w:val="0000FF"/>
                <w:szCs w:val="21"/>
                <w:highlight w:val="white"/>
                <w:u w:val="single"/>
              </w:rPr>
              <w:t xml:space="preserve"> / </w:t>
            </w:r>
            <w:r>
              <w:rPr>
                <w:rFonts w:hint="eastAsia" w:ascii="宋体" w:hAnsi="宋体" w:cs="宋体"/>
                <w:szCs w:val="21"/>
                <w:highlight w:val="white"/>
              </w:rPr>
              <w:t>%签约合同价（一般为10%签约合同价）</w:t>
            </w:r>
          </w:p>
        </w:tc>
      </w:tr>
      <w:tr w14:paraId="3B6B93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31" w:type="dxa"/>
            <w:tcBorders>
              <w:top w:val="single" w:color="auto" w:sz="4" w:space="0"/>
              <w:bottom w:val="single" w:color="auto" w:sz="4" w:space="0"/>
              <w:right w:val="single" w:color="auto" w:sz="4" w:space="0"/>
            </w:tcBorders>
            <w:noWrap w:val="0"/>
            <w:vAlign w:val="center"/>
          </w:tcPr>
          <w:p w14:paraId="33F611F4">
            <w:pPr>
              <w:pStyle w:val="35"/>
              <w:jc w:val="center"/>
              <w:rPr>
                <w:rFonts w:hint="eastAsia" w:ascii="宋体" w:hAnsi="宋体" w:cs="宋体"/>
                <w:szCs w:val="21"/>
              </w:rPr>
            </w:pPr>
            <w:r>
              <w:rPr>
                <w:rFonts w:hint="eastAsia" w:ascii="宋体" w:hAnsi="宋体" w:cs="宋体"/>
                <w:szCs w:val="21"/>
                <w:highlight w:val="white"/>
              </w:rPr>
              <w:t>16</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1B134CE">
            <w:pPr>
              <w:pStyle w:val="35"/>
              <w:jc w:val="center"/>
              <w:rPr>
                <w:rFonts w:hint="eastAsia" w:ascii="宋体" w:hAnsi="宋体" w:cs="宋体"/>
                <w:szCs w:val="21"/>
              </w:rPr>
            </w:pPr>
            <w:r>
              <w:rPr>
                <w:rFonts w:hint="eastAsia" w:ascii="宋体" w:hAnsi="宋体" w:cs="宋体"/>
                <w:szCs w:val="21"/>
                <w:highlight w:val="white"/>
              </w:rPr>
              <w:t>17.2.1</w:t>
            </w:r>
          </w:p>
        </w:tc>
        <w:tc>
          <w:tcPr>
            <w:tcW w:w="7373" w:type="dxa"/>
            <w:tcBorders>
              <w:top w:val="single" w:color="auto" w:sz="4" w:space="0"/>
              <w:left w:val="single" w:color="auto" w:sz="4" w:space="0"/>
              <w:bottom w:val="single" w:color="auto" w:sz="4" w:space="0"/>
            </w:tcBorders>
            <w:noWrap w:val="0"/>
            <w:vAlign w:val="center"/>
          </w:tcPr>
          <w:p w14:paraId="1D2773C3">
            <w:pPr>
              <w:pStyle w:val="35"/>
              <w:rPr>
                <w:rFonts w:hint="eastAsia" w:ascii="宋体" w:hAnsi="宋体" w:cs="宋体"/>
                <w:szCs w:val="21"/>
              </w:rPr>
            </w:pPr>
            <w:r>
              <w:rPr>
                <w:rFonts w:hint="eastAsia" w:ascii="宋体" w:hAnsi="宋体" w:cs="宋体"/>
                <w:color w:val="0000FF"/>
                <w:szCs w:val="21"/>
                <w:highlight w:val="white"/>
              </w:rPr>
              <w:t>材料、设备预付款比例：仅</w:t>
            </w:r>
            <w:r>
              <w:rPr>
                <w:rFonts w:hint="eastAsia" w:ascii="宋体" w:hAnsi="宋体" w:cs="宋体"/>
                <w:b/>
                <w:color w:val="0000FF"/>
                <w:szCs w:val="21"/>
                <w:highlight w:val="white"/>
                <w:u w:val="single"/>
              </w:rPr>
              <w:t xml:space="preserve">         /         </w:t>
            </w:r>
            <w:r>
              <w:rPr>
                <w:rFonts w:hint="eastAsia" w:ascii="宋体" w:hAnsi="宋体" w:cs="宋体"/>
                <w:color w:val="0000FF"/>
                <w:szCs w:val="21"/>
                <w:highlight w:val="white"/>
              </w:rPr>
              <w:t>材料按单据所列费用的</w:t>
            </w:r>
            <w:r>
              <w:rPr>
                <w:rFonts w:hint="eastAsia" w:ascii="宋体" w:hAnsi="宋体" w:cs="宋体"/>
                <w:color w:val="0000FF"/>
                <w:szCs w:val="21"/>
                <w:highlight w:val="white"/>
                <w:u w:val="single"/>
              </w:rPr>
              <w:t xml:space="preserve">  /  </w:t>
            </w:r>
            <w:r>
              <w:rPr>
                <w:rFonts w:hint="eastAsia" w:ascii="宋体" w:hAnsi="宋体" w:cs="宋体"/>
                <w:color w:val="0000FF"/>
                <w:szCs w:val="21"/>
                <w:highlight w:val="white"/>
              </w:rPr>
              <w:t>%。（一般应为70%～75%，最低不少于60%）</w:t>
            </w:r>
          </w:p>
        </w:tc>
      </w:tr>
      <w:tr w14:paraId="01F849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1" w:type="dxa"/>
            <w:tcBorders>
              <w:top w:val="single" w:color="auto" w:sz="4" w:space="0"/>
              <w:bottom w:val="single" w:color="auto" w:sz="4" w:space="0"/>
              <w:right w:val="single" w:color="auto" w:sz="4" w:space="0"/>
            </w:tcBorders>
            <w:noWrap w:val="0"/>
            <w:vAlign w:val="center"/>
          </w:tcPr>
          <w:p w14:paraId="65277413">
            <w:pPr>
              <w:pStyle w:val="35"/>
              <w:jc w:val="center"/>
              <w:rPr>
                <w:rFonts w:hint="eastAsia" w:ascii="宋体" w:hAnsi="宋体" w:cs="宋体"/>
                <w:szCs w:val="21"/>
              </w:rPr>
            </w:pPr>
            <w:r>
              <w:rPr>
                <w:rFonts w:hint="eastAsia" w:ascii="宋体" w:hAnsi="宋体" w:cs="宋体"/>
                <w:szCs w:val="21"/>
                <w:highlight w:val="white"/>
              </w:rPr>
              <w:t>17</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F43DDA6">
            <w:pPr>
              <w:pStyle w:val="35"/>
              <w:jc w:val="center"/>
              <w:rPr>
                <w:rFonts w:hint="eastAsia" w:ascii="宋体" w:hAnsi="宋体" w:cs="宋体"/>
                <w:szCs w:val="21"/>
              </w:rPr>
            </w:pPr>
            <w:r>
              <w:rPr>
                <w:rFonts w:hint="eastAsia" w:ascii="宋体" w:hAnsi="宋体" w:cs="宋体"/>
                <w:szCs w:val="21"/>
                <w:highlight w:val="white"/>
              </w:rPr>
              <w:t>17.3.2</w:t>
            </w:r>
          </w:p>
        </w:tc>
        <w:tc>
          <w:tcPr>
            <w:tcW w:w="7373" w:type="dxa"/>
            <w:tcBorders>
              <w:top w:val="single" w:color="auto" w:sz="4" w:space="0"/>
              <w:left w:val="single" w:color="auto" w:sz="4" w:space="0"/>
              <w:bottom w:val="single" w:color="auto" w:sz="4" w:space="0"/>
            </w:tcBorders>
            <w:noWrap w:val="0"/>
            <w:vAlign w:val="center"/>
          </w:tcPr>
          <w:p w14:paraId="567161C7">
            <w:pPr>
              <w:pStyle w:val="35"/>
              <w:rPr>
                <w:rFonts w:hint="eastAsia" w:ascii="宋体" w:hAnsi="宋体" w:cs="宋体"/>
                <w:szCs w:val="21"/>
              </w:rPr>
            </w:pPr>
            <w:r>
              <w:rPr>
                <w:rFonts w:hint="eastAsia" w:ascii="宋体" w:hAnsi="宋体" w:cs="宋体"/>
                <w:szCs w:val="21"/>
                <w:highlight w:val="white"/>
              </w:rPr>
              <w:t>承包人在每个付款周期末向</w:t>
            </w:r>
            <w:r>
              <w:rPr>
                <w:rFonts w:hint="eastAsia" w:ascii="宋体" w:hAnsi="宋体" w:cs="宋体"/>
                <w:szCs w:val="21"/>
                <w:highlight w:val="white"/>
                <w:lang w:eastAsia="zh-CN"/>
              </w:rPr>
              <w:t>招标人或</w:t>
            </w:r>
            <w:r>
              <w:rPr>
                <w:rFonts w:hint="eastAsia" w:ascii="宋体" w:hAnsi="宋体" w:cs="宋体"/>
                <w:szCs w:val="21"/>
                <w:highlight w:val="white"/>
              </w:rPr>
              <w:t>监理人提交进度付款申请单的份数：</w:t>
            </w:r>
            <w:r>
              <w:rPr>
                <w:rFonts w:hint="eastAsia" w:ascii="宋体" w:hAnsi="宋体" w:cs="宋体"/>
                <w:color w:val="0000FF"/>
                <w:szCs w:val="21"/>
                <w:highlight w:val="white"/>
                <w:u w:val="single"/>
              </w:rPr>
              <w:t xml:space="preserve"> 5 </w:t>
            </w:r>
            <w:r>
              <w:rPr>
                <w:rFonts w:hint="eastAsia" w:ascii="宋体" w:hAnsi="宋体" w:cs="宋体"/>
                <w:szCs w:val="21"/>
                <w:highlight w:val="white"/>
                <w:u w:val="single"/>
              </w:rPr>
              <w:t xml:space="preserve"> </w:t>
            </w:r>
            <w:r>
              <w:rPr>
                <w:rFonts w:hint="eastAsia" w:ascii="宋体" w:hAnsi="宋体" w:cs="宋体"/>
                <w:szCs w:val="21"/>
                <w:highlight w:val="white"/>
              </w:rPr>
              <w:t>份</w:t>
            </w:r>
          </w:p>
        </w:tc>
      </w:tr>
      <w:tr w14:paraId="1E1F36E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1" w:hRule="exact"/>
          <w:jc w:val="center"/>
        </w:trPr>
        <w:tc>
          <w:tcPr>
            <w:tcW w:w="731" w:type="dxa"/>
            <w:tcBorders>
              <w:top w:val="single" w:color="auto" w:sz="4" w:space="0"/>
              <w:bottom w:val="single" w:color="auto" w:sz="4" w:space="0"/>
              <w:right w:val="single" w:color="auto" w:sz="4" w:space="0"/>
            </w:tcBorders>
            <w:noWrap w:val="0"/>
            <w:vAlign w:val="center"/>
          </w:tcPr>
          <w:p w14:paraId="01733EE9">
            <w:pPr>
              <w:pStyle w:val="35"/>
              <w:jc w:val="center"/>
              <w:rPr>
                <w:rFonts w:hint="eastAsia" w:ascii="宋体" w:hAnsi="宋体" w:cs="宋体"/>
                <w:szCs w:val="21"/>
              </w:rPr>
            </w:pPr>
            <w:r>
              <w:rPr>
                <w:rFonts w:hint="eastAsia" w:ascii="宋体" w:hAnsi="宋体" w:cs="宋体"/>
                <w:szCs w:val="21"/>
                <w:highlight w:val="white"/>
              </w:rPr>
              <w:t>18</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CE3A4E0">
            <w:pPr>
              <w:pStyle w:val="35"/>
              <w:jc w:val="center"/>
              <w:rPr>
                <w:rFonts w:hint="eastAsia" w:ascii="宋体" w:hAnsi="宋体" w:cs="宋体"/>
                <w:szCs w:val="21"/>
              </w:rPr>
            </w:pPr>
            <w:r>
              <w:rPr>
                <w:rFonts w:hint="eastAsia" w:ascii="宋体" w:hAnsi="宋体" w:cs="宋体"/>
                <w:szCs w:val="21"/>
                <w:highlight w:val="white"/>
              </w:rPr>
              <w:t>17.3.3（1）</w:t>
            </w:r>
          </w:p>
        </w:tc>
        <w:tc>
          <w:tcPr>
            <w:tcW w:w="7373" w:type="dxa"/>
            <w:tcBorders>
              <w:top w:val="single" w:color="auto" w:sz="4" w:space="0"/>
              <w:left w:val="single" w:color="auto" w:sz="4" w:space="0"/>
              <w:bottom w:val="single" w:color="auto" w:sz="4" w:space="0"/>
            </w:tcBorders>
            <w:noWrap w:val="0"/>
            <w:vAlign w:val="center"/>
          </w:tcPr>
          <w:p w14:paraId="55352786">
            <w:pPr>
              <w:pStyle w:val="35"/>
              <w:rPr>
                <w:rFonts w:hint="eastAsia" w:ascii="宋体" w:hAnsi="宋体" w:cs="宋体"/>
                <w:szCs w:val="21"/>
              </w:rPr>
            </w:pPr>
            <w:r>
              <w:rPr>
                <w:rFonts w:hint="eastAsia" w:ascii="宋体" w:hAnsi="宋体" w:cs="宋体"/>
                <w:szCs w:val="21"/>
                <w:highlight w:val="white"/>
              </w:rPr>
              <w:t>进度付款证书最低限额：</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 </w:t>
            </w:r>
            <w:r>
              <w:rPr>
                <w:rFonts w:hint="eastAsia" w:ascii="宋体" w:hAnsi="宋体" w:cs="宋体"/>
                <w:szCs w:val="21"/>
                <w:highlight w:val="white"/>
                <w:u w:val="single"/>
              </w:rPr>
              <w:t xml:space="preserve">  </w:t>
            </w:r>
            <w:r>
              <w:rPr>
                <w:rFonts w:hint="eastAsia" w:ascii="宋体" w:hAnsi="宋体" w:cs="宋体"/>
                <w:szCs w:val="21"/>
                <w:highlight w:val="white"/>
              </w:rPr>
              <w:t>万元</w:t>
            </w:r>
          </w:p>
        </w:tc>
      </w:tr>
      <w:tr w14:paraId="4A1DD0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31" w:type="dxa"/>
            <w:tcBorders>
              <w:top w:val="single" w:color="auto" w:sz="4" w:space="0"/>
              <w:bottom w:val="single" w:color="auto" w:sz="4" w:space="0"/>
              <w:right w:val="single" w:color="auto" w:sz="4" w:space="0"/>
            </w:tcBorders>
            <w:noWrap w:val="0"/>
            <w:vAlign w:val="center"/>
          </w:tcPr>
          <w:p w14:paraId="601EEC77">
            <w:pPr>
              <w:pStyle w:val="35"/>
              <w:jc w:val="center"/>
              <w:rPr>
                <w:rFonts w:hint="eastAsia" w:ascii="宋体" w:hAnsi="宋体" w:cs="宋体"/>
                <w:szCs w:val="21"/>
              </w:rPr>
            </w:pPr>
            <w:r>
              <w:rPr>
                <w:rFonts w:hint="eastAsia" w:ascii="宋体" w:hAnsi="宋体" w:cs="宋体"/>
                <w:szCs w:val="21"/>
                <w:highlight w:val="white"/>
              </w:rPr>
              <w:t>19</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DE7E305">
            <w:pPr>
              <w:pStyle w:val="35"/>
              <w:jc w:val="center"/>
              <w:rPr>
                <w:rFonts w:hint="eastAsia" w:ascii="宋体" w:hAnsi="宋体" w:cs="宋体"/>
                <w:szCs w:val="21"/>
              </w:rPr>
            </w:pPr>
            <w:r>
              <w:rPr>
                <w:rFonts w:hint="eastAsia" w:ascii="宋体" w:hAnsi="宋体" w:cs="宋体"/>
                <w:szCs w:val="21"/>
                <w:highlight w:val="white"/>
              </w:rPr>
              <w:t>17.3.3（2）</w:t>
            </w:r>
          </w:p>
        </w:tc>
        <w:tc>
          <w:tcPr>
            <w:tcW w:w="7373" w:type="dxa"/>
            <w:tcBorders>
              <w:top w:val="single" w:color="auto" w:sz="4" w:space="0"/>
              <w:left w:val="single" w:color="auto" w:sz="4" w:space="0"/>
              <w:bottom w:val="single" w:color="auto" w:sz="4" w:space="0"/>
            </w:tcBorders>
            <w:noWrap w:val="0"/>
            <w:vAlign w:val="center"/>
          </w:tcPr>
          <w:p w14:paraId="69E114DB">
            <w:pPr>
              <w:pStyle w:val="35"/>
              <w:rPr>
                <w:rFonts w:hint="eastAsia" w:ascii="宋体" w:hAnsi="宋体" w:cs="宋体"/>
                <w:szCs w:val="21"/>
              </w:rPr>
            </w:pPr>
            <w:r>
              <w:rPr>
                <w:rFonts w:hint="eastAsia" w:ascii="宋体" w:hAnsi="宋体" w:cs="宋体"/>
                <w:szCs w:val="21"/>
                <w:highlight w:val="white"/>
              </w:rPr>
              <w:t>逾期付款违约金的利率：</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 </w:t>
            </w:r>
            <w:r>
              <w:rPr>
                <w:rFonts w:hint="eastAsia" w:ascii="宋体" w:hAnsi="宋体" w:cs="宋体"/>
                <w:szCs w:val="21"/>
                <w:highlight w:val="white"/>
                <w:u w:val="single"/>
              </w:rPr>
              <w:t xml:space="preserve">  </w:t>
            </w:r>
            <w:r>
              <w:rPr>
                <w:rFonts w:hint="eastAsia" w:ascii="宋体" w:hAnsi="宋体" w:cs="宋体"/>
                <w:szCs w:val="21"/>
                <w:highlight w:val="white"/>
              </w:rPr>
              <w:t>。</w:t>
            </w:r>
          </w:p>
        </w:tc>
      </w:tr>
      <w:tr w14:paraId="244FAA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31" w:type="dxa"/>
            <w:tcBorders>
              <w:top w:val="single" w:color="auto" w:sz="4" w:space="0"/>
              <w:bottom w:val="single" w:color="auto" w:sz="4" w:space="0"/>
              <w:right w:val="single" w:color="auto" w:sz="4" w:space="0"/>
            </w:tcBorders>
            <w:noWrap w:val="0"/>
            <w:vAlign w:val="center"/>
          </w:tcPr>
          <w:p w14:paraId="5EF42EF7">
            <w:pPr>
              <w:pStyle w:val="35"/>
              <w:jc w:val="center"/>
              <w:rPr>
                <w:rFonts w:hint="eastAsia" w:ascii="宋体" w:hAnsi="宋体" w:cs="宋体"/>
                <w:szCs w:val="21"/>
              </w:rPr>
            </w:pPr>
            <w:r>
              <w:rPr>
                <w:rFonts w:hint="eastAsia" w:ascii="宋体" w:hAnsi="宋体" w:cs="宋体"/>
                <w:szCs w:val="21"/>
                <w:highlight w:val="white"/>
              </w:rPr>
              <w:t>20</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0360675">
            <w:pPr>
              <w:pStyle w:val="35"/>
              <w:jc w:val="center"/>
              <w:rPr>
                <w:rFonts w:hint="eastAsia" w:ascii="宋体" w:hAnsi="宋体" w:cs="宋体"/>
                <w:szCs w:val="21"/>
              </w:rPr>
            </w:pPr>
            <w:r>
              <w:rPr>
                <w:rFonts w:hint="eastAsia" w:ascii="宋体" w:hAnsi="宋体" w:cs="宋体"/>
                <w:szCs w:val="21"/>
                <w:highlight w:val="white"/>
              </w:rPr>
              <w:t>17.4.1</w:t>
            </w:r>
          </w:p>
        </w:tc>
        <w:tc>
          <w:tcPr>
            <w:tcW w:w="7373" w:type="dxa"/>
            <w:tcBorders>
              <w:top w:val="single" w:color="auto" w:sz="4" w:space="0"/>
              <w:left w:val="single" w:color="auto" w:sz="4" w:space="0"/>
              <w:bottom w:val="single" w:color="auto" w:sz="4" w:space="0"/>
            </w:tcBorders>
            <w:noWrap w:val="0"/>
            <w:vAlign w:val="center"/>
          </w:tcPr>
          <w:p w14:paraId="2A917D97">
            <w:pPr>
              <w:pStyle w:val="35"/>
              <w:rPr>
                <w:rFonts w:hint="eastAsia" w:ascii="宋体" w:hAnsi="宋体" w:cs="宋体"/>
                <w:szCs w:val="21"/>
              </w:rPr>
            </w:pPr>
            <w:r>
              <w:rPr>
                <w:rFonts w:hint="eastAsia" w:ascii="宋体" w:hAnsi="宋体" w:cs="宋体"/>
                <w:szCs w:val="21"/>
                <w:highlight w:val="white"/>
              </w:rPr>
              <w:t>质量保证金限额：</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lang w:val="en-US" w:eastAsia="zh-CN"/>
              </w:rPr>
              <w:t>3</w:t>
            </w:r>
            <w:r>
              <w:rPr>
                <w:rFonts w:hint="eastAsia" w:ascii="宋体" w:hAnsi="宋体" w:cs="宋体"/>
                <w:szCs w:val="21"/>
                <w:highlight w:val="white"/>
                <w:u w:val="single"/>
              </w:rPr>
              <w:t xml:space="preserve"> </w:t>
            </w:r>
            <w:r>
              <w:rPr>
                <w:rFonts w:hint="eastAsia" w:ascii="宋体" w:hAnsi="宋体" w:cs="宋体"/>
                <w:szCs w:val="21"/>
                <w:highlight w:val="white"/>
              </w:rPr>
              <w:t>%合同价格。（一般不超过合同价的3%）</w:t>
            </w:r>
          </w:p>
        </w:tc>
      </w:tr>
      <w:tr w14:paraId="0906EA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731" w:type="dxa"/>
            <w:tcBorders>
              <w:top w:val="single" w:color="auto" w:sz="4" w:space="0"/>
              <w:bottom w:val="single" w:color="auto" w:sz="4" w:space="0"/>
              <w:right w:val="single" w:color="auto" w:sz="4" w:space="0"/>
            </w:tcBorders>
            <w:noWrap w:val="0"/>
            <w:vAlign w:val="center"/>
          </w:tcPr>
          <w:p w14:paraId="691B29F3">
            <w:pPr>
              <w:pStyle w:val="35"/>
              <w:jc w:val="center"/>
              <w:rPr>
                <w:rFonts w:hint="eastAsia" w:ascii="宋体" w:hAnsi="宋体" w:cs="宋体"/>
                <w:szCs w:val="21"/>
              </w:rPr>
            </w:pPr>
            <w:r>
              <w:rPr>
                <w:rFonts w:hint="eastAsia" w:ascii="宋体" w:hAnsi="宋体" w:cs="宋体"/>
                <w:szCs w:val="21"/>
                <w:highlight w:val="white"/>
              </w:rPr>
              <w:t>21</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C0E1D83">
            <w:pPr>
              <w:pStyle w:val="35"/>
              <w:jc w:val="center"/>
              <w:rPr>
                <w:rFonts w:hint="eastAsia" w:ascii="宋体" w:hAnsi="宋体" w:cs="宋体"/>
                <w:szCs w:val="21"/>
              </w:rPr>
            </w:pPr>
            <w:r>
              <w:rPr>
                <w:rFonts w:hint="eastAsia" w:ascii="宋体" w:hAnsi="宋体" w:cs="宋体"/>
                <w:szCs w:val="21"/>
                <w:highlight w:val="white"/>
              </w:rPr>
              <w:t>17.5.1</w:t>
            </w:r>
          </w:p>
        </w:tc>
        <w:tc>
          <w:tcPr>
            <w:tcW w:w="7373" w:type="dxa"/>
            <w:tcBorders>
              <w:top w:val="single" w:color="auto" w:sz="4" w:space="0"/>
              <w:left w:val="single" w:color="auto" w:sz="4" w:space="0"/>
              <w:bottom w:val="single" w:color="auto" w:sz="4" w:space="0"/>
            </w:tcBorders>
            <w:noWrap w:val="0"/>
            <w:vAlign w:val="center"/>
          </w:tcPr>
          <w:p w14:paraId="4837A881">
            <w:pPr>
              <w:pStyle w:val="35"/>
              <w:rPr>
                <w:rFonts w:hint="eastAsia" w:ascii="宋体" w:hAnsi="宋体" w:cs="宋体"/>
                <w:szCs w:val="21"/>
              </w:rPr>
            </w:pPr>
            <w:r>
              <w:rPr>
                <w:rFonts w:hint="eastAsia" w:ascii="宋体" w:hAnsi="宋体" w:cs="宋体"/>
                <w:szCs w:val="21"/>
                <w:highlight w:val="white"/>
              </w:rPr>
              <w:t>承包人向招标人或监理人提交交工付款申请单（包括相关证明材料）的份数：</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 xml:space="preserve">5 </w:t>
            </w:r>
            <w:r>
              <w:rPr>
                <w:rFonts w:hint="eastAsia" w:ascii="宋体" w:hAnsi="宋体" w:cs="宋体"/>
                <w:szCs w:val="21"/>
                <w:highlight w:val="white"/>
              </w:rPr>
              <w:t>份</w:t>
            </w:r>
          </w:p>
        </w:tc>
      </w:tr>
      <w:tr w14:paraId="374D35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731" w:type="dxa"/>
            <w:tcBorders>
              <w:top w:val="single" w:color="auto" w:sz="4" w:space="0"/>
              <w:bottom w:val="single" w:color="auto" w:sz="4" w:space="0"/>
              <w:right w:val="single" w:color="auto" w:sz="4" w:space="0"/>
            </w:tcBorders>
            <w:noWrap w:val="0"/>
            <w:vAlign w:val="center"/>
          </w:tcPr>
          <w:p w14:paraId="044A6E5F">
            <w:pPr>
              <w:pStyle w:val="35"/>
              <w:jc w:val="center"/>
              <w:rPr>
                <w:rFonts w:hint="eastAsia" w:ascii="宋体" w:hAnsi="宋体" w:cs="宋体"/>
                <w:szCs w:val="21"/>
              </w:rPr>
            </w:pPr>
            <w:r>
              <w:rPr>
                <w:rFonts w:hint="eastAsia" w:ascii="宋体" w:hAnsi="宋体" w:cs="宋体"/>
                <w:szCs w:val="21"/>
                <w:highlight w:val="white"/>
              </w:rPr>
              <w:t>22</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88C1272">
            <w:pPr>
              <w:pStyle w:val="35"/>
              <w:jc w:val="center"/>
              <w:rPr>
                <w:rFonts w:hint="eastAsia" w:ascii="宋体" w:hAnsi="宋体" w:cs="宋体"/>
                <w:szCs w:val="21"/>
              </w:rPr>
            </w:pPr>
            <w:r>
              <w:rPr>
                <w:rFonts w:hint="eastAsia" w:ascii="宋体" w:hAnsi="宋体" w:cs="宋体"/>
                <w:szCs w:val="21"/>
                <w:highlight w:val="white"/>
              </w:rPr>
              <w:t>17.6.1</w:t>
            </w:r>
          </w:p>
        </w:tc>
        <w:tc>
          <w:tcPr>
            <w:tcW w:w="7373" w:type="dxa"/>
            <w:tcBorders>
              <w:top w:val="single" w:color="auto" w:sz="4" w:space="0"/>
              <w:left w:val="single" w:color="auto" w:sz="4" w:space="0"/>
              <w:bottom w:val="single" w:color="auto" w:sz="4" w:space="0"/>
            </w:tcBorders>
            <w:noWrap w:val="0"/>
            <w:vAlign w:val="center"/>
          </w:tcPr>
          <w:p w14:paraId="188C4D50">
            <w:pPr>
              <w:pStyle w:val="35"/>
              <w:rPr>
                <w:rFonts w:hint="eastAsia" w:ascii="宋体" w:hAnsi="宋体" w:cs="宋体"/>
                <w:szCs w:val="21"/>
              </w:rPr>
            </w:pPr>
            <w:r>
              <w:rPr>
                <w:rFonts w:hint="eastAsia" w:ascii="宋体" w:hAnsi="宋体" w:cs="宋体"/>
                <w:szCs w:val="21"/>
                <w:highlight w:val="white"/>
              </w:rPr>
              <w:t>承包人向招标人或监理人提交最终结清申请单（包括相关证明材料）的份数：</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5</w:t>
            </w:r>
            <w:r>
              <w:rPr>
                <w:rFonts w:hint="eastAsia" w:ascii="宋体" w:hAnsi="宋体" w:cs="宋体"/>
                <w:szCs w:val="21"/>
                <w:highlight w:val="white"/>
                <w:u w:val="single"/>
              </w:rPr>
              <w:t xml:space="preserve"> </w:t>
            </w:r>
            <w:r>
              <w:rPr>
                <w:rFonts w:hint="eastAsia" w:ascii="宋体" w:hAnsi="宋体" w:cs="宋体"/>
                <w:szCs w:val="21"/>
                <w:highlight w:val="white"/>
              </w:rPr>
              <w:t>份</w:t>
            </w:r>
          </w:p>
        </w:tc>
      </w:tr>
      <w:tr w14:paraId="14E8B7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731" w:type="dxa"/>
            <w:tcBorders>
              <w:top w:val="single" w:color="auto" w:sz="4" w:space="0"/>
              <w:bottom w:val="single" w:color="auto" w:sz="4" w:space="0"/>
              <w:right w:val="single" w:color="auto" w:sz="4" w:space="0"/>
            </w:tcBorders>
            <w:noWrap w:val="0"/>
            <w:vAlign w:val="center"/>
          </w:tcPr>
          <w:p w14:paraId="044DEFA0">
            <w:pPr>
              <w:pStyle w:val="35"/>
              <w:jc w:val="center"/>
              <w:rPr>
                <w:rFonts w:hint="eastAsia" w:ascii="宋体" w:hAnsi="宋体" w:cs="宋体"/>
                <w:szCs w:val="21"/>
              </w:rPr>
            </w:pPr>
            <w:r>
              <w:rPr>
                <w:rFonts w:hint="eastAsia" w:ascii="宋体" w:hAnsi="宋体" w:cs="宋体"/>
                <w:szCs w:val="21"/>
                <w:highlight w:val="white"/>
              </w:rPr>
              <w:t>23</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73A8A0E">
            <w:pPr>
              <w:pStyle w:val="35"/>
              <w:jc w:val="center"/>
              <w:rPr>
                <w:rFonts w:hint="eastAsia" w:ascii="宋体" w:hAnsi="宋体" w:cs="宋体"/>
                <w:szCs w:val="21"/>
              </w:rPr>
            </w:pPr>
            <w:r>
              <w:rPr>
                <w:rFonts w:hint="eastAsia" w:ascii="宋体" w:hAnsi="宋体" w:cs="宋体"/>
                <w:szCs w:val="21"/>
                <w:highlight w:val="white"/>
              </w:rPr>
              <w:t>18.2</w:t>
            </w:r>
          </w:p>
        </w:tc>
        <w:tc>
          <w:tcPr>
            <w:tcW w:w="7373" w:type="dxa"/>
            <w:tcBorders>
              <w:top w:val="single" w:color="auto" w:sz="4" w:space="0"/>
              <w:left w:val="single" w:color="auto" w:sz="4" w:space="0"/>
              <w:bottom w:val="single" w:color="auto" w:sz="4" w:space="0"/>
            </w:tcBorders>
            <w:noWrap w:val="0"/>
            <w:vAlign w:val="center"/>
          </w:tcPr>
          <w:p w14:paraId="02E8CA57">
            <w:pPr>
              <w:pStyle w:val="35"/>
              <w:rPr>
                <w:rFonts w:hint="eastAsia" w:ascii="宋体" w:hAnsi="宋体" w:cs="宋体"/>
                <w:szCs w:val="21"/>
              </w:rPr>
            </w:pPr>
            <w:r>
              <w:rPr>
                <w:rFonts w:hint="eastAsia" w:ascii="宋体" w:hAnsi="宋体" w:cs="宋体"/>
                <w:szCs w:val="21"/>
                <w:highlight w:val="white"/>
              </w:rPr>
              <w:t>竣工资料的份数：</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lang w:val="en-US" w:eastAsia="zh-CN"/>
              </w:rPr>
              <w:t>5</w:t>
            </w:r>
            <w:r>
              <w:rPr>
                <w:rFonts w:hint="eastAsia" w:ascii="宋体" w:hAnsi="宋体" w:cs="宋体"/>
                <w:szCs w:val="21"/>
                <w:highlight w:val="white"/>
                <w:u w:val="single"/>
              </w:rPr>
              <w:t xml:space="preserve"> </w:t>
            </w:r>
            <w:r>
              <w:rPr>
                <w:rFonts w:hint="eastAsia" w:ascii="宋体" w:hAnsi="宋体" w:cs="宋体"/>
                <w:szCs w:val="21"/>
                <w:highlight w:val="white"/>
              </w:rPr>
              <w:t>份</w:t>
            </w:r>
          </w:p>
        </w:tc>
      </w:tr>
      <w:tr w14:paraId="0272C8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731" w:type="dxa"/>
            <w:tcBorders>
              <w:top w:val="single" w:color="auto" w:sz="4" w:space="0"/>
              <w:bottom w:val="single" w:color="auto" w:sz="4" w:space="0"/>
              <w:right w:val="single" w:color="auto" w:sz="4" w:space="0"/>
            </w:tcBorders>
            <w:noWrap w:val="0"/>
            <w:vAlign w:val="center"/>
          </w:tcPr>
          <w:p w14:paraId="1D5FCB0C">
            <w:pPr>
              <w:pStyle w:val="35"/>
              <w:jc w:val="center"/>
              <w:rPr>
                <w:rFonts w:hint="eastAsia" w:ascii="宋体" w:hAnsi="宋体" w:cs="宋体"/>
                <w:szCs w:val="21"/>
              </w:rPr>
            </w:pPr>
            <w:r>
              <w:rPr>
                <w:rFonts w:hint="eastAsia" w:ascii="宋体" w:hAnsi="宋体" w:cs="宋体"/>
                <w:szCs w:val="21"/>
                <w:highlight w:val="white"/>
              </w:rPr>
              <w:t>24</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EA5C801">
            <w:pPr>
              <w:pStyle w:val="35"/>
              <w:jc w:val="center"/>
              <w:rPr>
                <w:rFonts w:hint="eastAsia" w:ascii="宋体" w:hAnsi="宋体" w:cs="宋体"/>
                <w:szCs w:val="21"/>
              </w:rPr>
            </w:pPr>
            <w:r>
              <w:rPr>
                <w:rFonts w:hint="eastAsia" w:ascii="宋体" w:hAnsi="宋体" w:cs="宋体"/>
                <w:szCs w:val="21"/>
                <w:highlight w:val="white"/>
              </w:rPr>
              <w:t>18.5.1</w:t>
            </w:r>
          </w:p>
        </w:tc>
        <w:tc>
          <w:tcPr>
            <w:tcW w:w="7373" w:type="dxa"/>
            <w:tcBorders>
              <w:top w:val="single" w:color="auto" w:sz="4" w:space="0"/>
              <w:left w:val="single" w:color="auto" w:sz="4" w:space="0"/>
              <w:bottom w:val="single" w:color="auto" w:sz="4" w:space="0"/>
            </w:tcBorders>
            <w:noWrap w:val="0"/>
            <w:vAlign w:val="center"/>
          </w:tcPr>
          <w:p w14:paraId="03E8EA1D">
            <w:pPr>
              <w:pStyle w:val="35"/>
              <w:rPr>
                <w:rFonts w:hint="eastAsia" w:ascii="宋体" w:hAnsi="宋体" w:cs="宋体"/>
                <w:szCs w:val="21"/>
                <w:u w:val="single"/>
              </w:rPr>
            </w:pPr>
            <w:r>
              <w:rPr>
                <w:rFonts w:hint="eastAsia" w:ascii="宋体" w:hAnsi="宋体" w:cs="宋体"/>
                <w:szCs w:val="21"/>
                <w:highlight w:val="white"/>
              </w:rPr>
              <w:t>单位工程或工程设备是否需投入施工期运行：</w:t>
            </w:r>
            <w:r>
              <w:rPr>
                <w:rFonts w:hint="eastAsia" w:ascii="宋体" w:hAnsi="宋体" w:cs="宋体"/>
                <w:szCs w:val="21"/>
                <w:highlight w:val="white"/>
                <w:u w:val="single"/>
              </w:rPr>
              <w:t>否</w:t>
            </w:r>
          </w:p>
          <w:p w14:paraId="5B69C19E">
            <w:pPr>
              <w:pStyle w:val="35"/>
              <w:rPr>
                <w:rFonts w:hint="eastAsia" w:ascii="宋体" w:hAnsi="宋体" w:cs="宋体"/>
                <w:szCs w:val="21"/>
              </w:rPr>
            </w:pPr>
            <w:r>
              <w:rPr>
                <w:rFonts w:hint="eastAsia" w:ascii="宋体" w:hAnsi="宋体" w:cs="宋体"/>
                <w:szCs w:val="21"/>
                <w:highlight w:val="white"/>
              </w:rPr>
              <w:t>如单位工程或工程设备需要进行施工期运行，需要施工期运行的单位工程或工程设备规定如下：</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w:t>
            </w:r>
            <w:r>
              <w:rPr>
                <w:rFonts w:hint="eastAsia" w:ascii="宋体" w:hAnsi="宋体" w:cs="宋体"/>
                <w:szCs w:val="21"/>
                <w:highlight w:val="white"/>
                <w:u w:val="single"/>
              </w:rPr>
              <w:t xml:space="preserve">     </w:t>
            </w:r>
          </w:p>
        </w:tc>
      </w:tr>
      <w:tr w14:paraId="040E21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31" w:type="dxa"/>
            <w:tcBorders>
              <w:top w:val="single" w:color="auto" w:sz="4" w:space="0"/>
              <w:bottom w:val="single" w:color="auto" w:sz="4" w:space="0"/>
              <w:right w:val="single" w:color="auto" w:sz="4" w:space="0"/>
            </w:tcBorders>
            <w:noWrap w:val="0"/>
            <w:vAlign w:val="center"/>
          </w:tcPr>
          <w:p w14:paraId="19FA6B42">
            <w:pPr>
              <w:pStyle w:val="35"/>
              <w:jc w:val="center"/>
              <w:rPr>
                <w:rFonts w:hint="eastAsia" w:ascii="宋体" w:hAnsi="宋体" w:cs="宋体"/>
                <w:szCs w:val="21"/>
              </w:rPr>
            </w:pPr>
            <w:r>
              <w:rPr>
                <w:rFonts w:hint="eastAsia" w:ascii="宋体" w:hAnsi="宋体" w:cs="宋体"/>
                <w:szCs w:val="21"/>
                <w:highlight w:val="white"/>
              </w:rPr>
              <w:t>25</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EED0A2B">
            <w:pPr>
              <w:pStyle w:val="35"/>
              <w:jc w:val="center"/>
              <w:rPr>
                <w:rFonts w:hint="eastAsia" w:ascii="宋体" w:hAnsi="宋体" w:cs="宋体"/>
                <w:szCs w:val="21"/>
              </w:rPr>
            </w:pPr>
            <w:r>
              <w:rPr>
                <w:rFonts w:hint="eastAsia" w:ascii="宋体" w:hAnsi="宋体" w:cs="宋体"/>
                <w:szCs w:val="21"/>
                <w:highlight w:val="white"/>
              </w:rPr>
              <w:t>18.6.1</w:t>
            </w:r>
          </w:p>
        </w:tc>
        <w:tc>
          <w:tcPr>
            <w:tcW w:w="7373" w:type="dxa"/>
            <w:tcBorders>
              <w:top w:val="single" w:color="auto" w:sz="4" w:space="0"/>
              <w:left w:val="single" w:color="auto" w:sz="4" w:space="0"/>
              <w:bottom w:val="single" w:color="auto" w:sz="4" w:space="0"/>
            </w:tcBorders>
            <w:noWrap w:val="0"/>
            <w:vAlign w:val="center"/>
          </w:tcPr>
          <w:p w14:paraId="5EF12818">
            <w:pPr>
              <w:pStyle w:val="35"/>
              <w:rPr>
                <w:rFonts w:hint="eastAsia" w:ascii="宋体" w:hAnsi="宋体" w:cs="宋体"/>
                <w:szCs w:val="21"/>
              </w:rPr>
            </w:pPr>
            <w:r>
              <w:rPr>
                <w:rFonts w:hint="eastAsia" w:ascii="宋体" w:hAnsi="宋体" w:cs="宋体"/>
                <w:szCs w:val="21"/>
                <w:highlight w:val="white"/>
              </w:rPr>
              <w:t>本工程及工程设备是否进行试运行：否</w:t>
            </w:r>
          </w:p>
          <w:p w14:paraId="52A3DA1F">
            <w:pPr>
              <w:pStyle w:val="35"/>
              <w:rPr>
                <w:rFonts w:hint="eastAsia" w:ascii="宋体" w:hAnsi="宋体" w:cs="宋体"/>
                <w:szCs w:val="21"/>
              </w:rPr>
            </w:pPr>
            <w:r>
              <w:rPr>
                <w:rFonts w:hint="eastAsia" w:ascii="宋体" w:hAnsi="宋体" w:cs="宋体"/>
                <w:szCs w:val="21"/>
                <w:highlight w:val="white"/>
              </w:rPr>
              <w:t>如本工程及工程设备需要进行试运行，试运行的具体规定如下：</w:t>
            </w:r>
            <w:r>
              <w:rPr>
                <w:rFonts w:hint="eastAsia" w:ascii="宋体" w:hAnsi="宋体" w:cs="宋体"/>
                <w:szCs w:val="21"/>
                <w:highlight w:val="white"/>
                <w:u w:val="single"/>
              </w:rPr>
              <w:t xml:space="preserve">  </w:t>
            </w:r>
            <w:r>
              <w:rPr>
                <w:rFonts w:hint="eastAsia" w:ascii="宋体" w:hAnsi="宋体" w:cs="宋体"/>
                <w:color w:val="0000FF"/>
                <w:szCs w:val="21"/>
                <w:highlight w:val="white"/>
                <w:u w:val="single"/>
              </w:rPr>
              <w:t>/</w:t>
            </w:r>
            <w:r>
              <w:rPr>
                <w:rFonts w:hint="eastAsia" w:ascii="宋体" w:hAnsi="宋体" w:cs="宋体"/>
                <w:szCs w:val="21"/>
                <w:highlight w:val="white"/>
                <w:u w:val="single"/>
              </w:rPr>
              <w:t xml:space="preserve">   </w:t>
            </w:r>
          </w:p>
        </w:tc>
      </w:tr>
      <w:tr w14:paraId="180E6F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31" w:type="dxa"/>
            <w:tcBorders>
              <w:top w:val="single" w:color="auto" w:sz="4" w:space="0"/>
              <w:bottom w:val="single" w:color="auto" w:sz="4" w:space="0"/>
              <w:right w:val="single" w:color="auto" w:sz="4" w:space="0"/>
            </w:tcBorders>
            <w:noWrap w:val="0"/>
            <w:vAlign w:val="center"/>
          </w:tcPr>
          <w:p w14:paraId="5F55FC31">
            <w:pPr>
              <w:pStyle w:val="35"/>
              <w:jc w:val="center"/>
              <w:rPr>
                <w:rFonts w:hint="eastAsia" w:ascii="宋体" w:hAnsi="宋体" w:cs="宋体"/>
                <w:szCs w:val="21"/>
              </w:rPr>
            </w:pPr>
            <w:r>
              <w:rPr>
                <w:rFonts w:hint="eastAsia" w:ascii="宋体" w:hAnsi="宋体" w:cs="宋体"/>
                <w:szCs w:val="21"/>
                <w:highlight w:val="white"/>
              </w:rPr>
              <w:t>26</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185D64D">
            <w:pPr>
              <w:pStyle w:val="35"/>
              <w:jc w:val="center"/>
              <w:rPr>
                <w:rFonts w:hint="eastAsia" w:ascii="宋体" w:hAnsi="宋体" w:cs="宋体"/>
                <w:szCs w:val="21"/>
              </w:rPr>
            </w:pPr>
            <w:r>
              <w:rPr>
                <w:rFonts w:hint="eastAsia" w:ascii="宋体" w:hAnsi="宋体" w:cs="宋体"/>
                <w:szCs w:val="21"/>
                <w:highlight w:val="white"/>
              </w:rPr>
              <w:t>19.7</w:t>
            </w:r>
          </w:p>
        </w:tc>
        <w:tc>
          <w:tcPr>
            <w:tcW w:w="7373" w:type="dxa"/>
            <w:tcBorders>
              <w:top w:val="single" w:color="auto" w:sz="4" w:space="0"/>
              <w:left w:val="single" w:color="auto" w:sz="4" w:space="0"/>
              <w:bottom w:val="single" w:color="auto" w:sz="4" w:space="0"/>
            </w:tcBorders>
            <w:noWrap w:val="0"/>
            <w:vAlign w:val="center"/>
          </w:tcPr>
          <w:p w14:paraId="0AB15F57">
            <w:pPr>
              <w:pStyle w:val="35"/>
              <w:jc w:val="center"/>
              <w:rPr>
                <w:rFonts w:hint="eastAsia" w:ascii="宋体" w:hAnsi="宋体" w:cs="宋体"/>
                <w:szCs w:val="21"/>
              </w:rPr>
            </w:pPr>
            <w:r>
              <w:rPr>
                <w:rFonts w:hint="eastAsia" w:ascii="宋体" w:hAnsi="宋体" w:cs="宋体"/>
                <w:szCs w:val="21"/>
                <w:highlight w:val="white"/>
              </w:rPr>
              <w:t>保修期：自实际交工日期起计算</w:t>
            </w:r>
            <w:r>
              <w:rPr>
                <w:rFonts w:hint="eastAsia" w:ascii="宋体" w:hAnsi="宋体" w:cs="宋体"/>
                <w:szCs w:val="21"/>
                <w:highlight w:val="white"/>
                <w:u w:val="single"/>
              </w:rPr>
              <w:t xml:space="preserve"> </w:t>
            </w:r>
            <w:r>
              <w:rPr>
                <w:rFonts w:hint="eastAsia" w:ascii="宋体" w:hAnsi="宋体" w:cs="宋体"/>
                <w:szCs w:val="21"/>
                <w:highlight w:val="white"/>
                <w:u w:val="single"/>
                <w:lang w:val="en-US" w:eastAsia="zh-CN"/>
              </w:rPr>
              <w:t>1</w:t>
            </w:r>
            <w:r>
              <w:rPr>
                <w:rFonts w:hint="eastAsia" w:ascii="宋体" w:hAnsi="宋体" w:cs="宋体"/>
                <w:szCs w:val="21"/>
                <w:highlight w:val="white"/>
                <w:u w:val="single"/>
              </w:rPr>
              <w:t xml:space="preserve"> </w:t>
            </w:r>
            <w:r>
              <w:rPr>
                <w:rFonts w:hint="eastAsia" w:ascii="宋体" w:hAnsi="宋体" w:cs="宋体"/>
                <w:szCs w:val="21"/>
                <w:highlight w:val="white"/>
              </w:rPr>
              <w:t>年（一般应为自实际交工日期起计算5年）</w:t>
            </w:r>
          </w:p>
        </w:tc>
      </w:tr>
      <w:tr w14:paraId="0BD95E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68" w:hRule="exact"/>
          <w:jc w:val="center"/>
        </w:trPr>
        <w:tc>
          <w:tcPr>
            <w:tcW w:w="731" w:type="dxa"/>
            <w:tcBorders>
              <w:top w:val="single" w:color="auto" w:sz="4" w:space="0"/>
              <w:bottom w:val="single" w:color="auto" w:sz="8" w:space="0"/>
              <w:right w:val="single" w:color="auto" w:sz="4" w:space="0"/>
            </w:tcBorders>
            <w:noWrap w:val="0"/>
            <w:vAlign w:val="center"/>
          </w:tcPr>
          <w:p w14:paraId="34DD2CE7">
            <w:pPr>
              <w:pStyle w:val="35"/>
              <w:jc w:val="center"/>
              <w:rPr>
                <w:rFonts w:hint="eastAsia" w:ascii="宋体" w:hAnsi="宋体" w:cs="宋体"/>
                <w:szCs w:val="21"/>
              </w:rPr>
            </w:pPr>
            <w:r>
              <w:rPr>
                <w:rFonts w:hint="eastAsia" w:ascii="宋体" w:hAnsi="宋体" w:cs="宋体"/>
                <w:szCs w:val="21"/>
                <w:highlight w:val="white"/>
              </w:rPr>
              <w:t>27</w:t>
            </w:r>
          </w:p>
        </w:tc>
        <w:tc>
          <w:tcPr>
            <w:tcW w:w="1104" w:type="dxa"/>
            <w:tcBorders>
              <w:top w:val="single" w:color="auto" w:sz="4" w:space="0"/>
              <w:left w:val="single" w:color="auto" w:sz="4" w:space="0"/>
              <w:bottom w:val="single" w:color="auto" w:sz="8" w:space="0"/>
              <w:right w:val="single" w:color="auto" w:sz="4" w:space="0"/>
            </w:tcBorders>
            <w:noWrap w:val="0"/>
            <w:vAlign w:val="center"/>
          </w:tcPr>
          <w:p w14:paraId="39FA4D2E">
            <w:pPr>
              <w:pStyle w:val="35"/>
              <w:jc w:val="center"/>
              <w:rPr>
                <w:rFonts w:hint="eastAsia" w:ascii="宋体" w:hAnsi="宋体" w:cs="宋体"/>
                <w:szCs w:val="21"/>
              </w:rPr>
            </w:pPr>
            <w:r>
              <w:rPr>
                <w:rFonts w:hint="eastAsia" w:ascii="宋体" w:hAnsi="宋体" w:cs="宋体"/>
                <w:szCs w:val="21"/>
                <w:highlight w:val="white"/>
              </w:rPr>
              <w:t>24.1</w:t>
            </w:r>
          </w:p>
        </w:tc>
        <w:tc>
          <w:tcPr>
            <w:tcW w:w="7373" w:type="dxa"/>
            <w:tcBorders>
              <w:top w:val="single" w:color="auto" w:sz="4" w:space="0"/>
              <w:left w:val="single" w:color="auto" w:sz="4" w:space="0"/>
              <w:bottom w:val="single" w:color="auto" w:sz="8" w:space="0"/>
            </w:tcBorders>
            <w:noWrap w:val="0"/>
            <w:vAlign w:val="center"/>
          </w:tcPr>
          <w:p w14:paraId="3BCB5AED">
            <w:pPr>
              <w:pStyle w:val="36"/>
              <w:rPr>
                <w:rFonts w:hint="eastAsia" w:ascii="宋体" w:hAnsi="宋体" w:cs="宋体"/>
              </w:rPr>
            </w:pPr>
            <w:r>
              <w:rPr>
                <w:rFonts w:hint="eastAsia" w:ascii="宋体" w:hAnsi="宋体" w:cs="宋体"/>
                <w:highlight w:val="white"/>
              </w:rPr>
              <w:t>争议的最终解决方式：</w:t>
            </w:r>
            <w:r>
              <w:rPr>
                <w:rFonts w:hint="eastAsia" w:ascii="宋体" w:hAnsi="宋体" w:cs="宋体"/>
                <w:color w:val="0000FF"/>
                <w:highlight w:val="white"/>
                <w:u w:val="single"/>
              </w:rPr>
              <w:t>诉讼或仲裁</w:t>
            </w:r>
          </w:p>
          <w:p w14:paraId="53D4E1F6">
            <w:pPr>
              <w:pStyle w:val="36"/>
              <w:rPr>
                <w:rFonts w:hint="eastAsia" w:ascii="宋体" w:hAnsi="宋体" w:cs="宋体"/>
              </w:rPr>
            </w:pPr>
            <w:r>
              <w:rPr>
                <w:rFonts w:hint="eastAsia" w:ascii="宋体" w:hAnsi="宋体" w:cs="宋体"/>
                <w:highlight w:val="white"/>
              </w:rPr>
              <w:t>（如为诉讼，则应向项目所在地有管辖权的人民法院提起诉讼；如为仲裁，则仲裁委员会名称：</w:t>
            </w:r>
            <w:r>
              <w:rPr>
                <w:rFonts w:hint="eastAsia" w:ascii="宋体" w:hAnsi="宋体" w:cs="宋体"/>
                <w:color w:val="0000FF"/>
                <w:highlight w:val="white"/>
                <w:u w:val="single"/>
              </w:rPr>
              <w:t>尤溪县</w:t>
            </w:r>
            <w:r>
              <w:rPr>
                <w:rFonts w:hint="eastAsia" w:ascii="宋体" w:hAnsi="宋体" w:cs="宋体"/>
                <w:highlight w:val="white"/>
              </w:rPr>
              <w:t>仲裁委员会）</w:t>
            </w:r>
          </w:p>
        </w:tc>
      </w:tr>
    </w:tbl>
    <w:p w14:paraId="47F7083F">
      <w:pPr>
        <w:pStyle w:val="35"/>
        <w:rPr>
          <w:rFonts w:hint="eastAsia" w:ascii="宋体" w:hAnsi="宋体" w:cs="宋体"/>
        </w:rPr>
      </w:pPr>
    </w:p>
    <w:p w14:paraId="4DD76F53">
      <w:pPr>
        <w:pStyle w:val="35"/>
        <w:widowControl/>
        <w:jc w:val="center"/>
        <w:rPr>
          <w:rFonts w:hint="eastAsia" w:ascii="宋体" w:hAnsi="宋体" w:cs="宋体"/>
          <w:b/>
          <w:bCs/>
          <w:szCs w:val="21"/>
        </w:rPr>
      </w:pPr>
      <w:r>
        <w:rPr>
          <w:rFonts w:hint="eastAsia" w:ascii="宋体" w:hAnsi="宋体" w:cs="宋体"/>
          <w:highlight w:val="white"/>
        </w:rPr>
        <w:br w:type="page"/>
      </w:r>
      <w:bookmarkStart w:id="715" w:name="_Toc40261843"/>
      <w:r>
        <w:rPr>
          <w:rFonts w:hint="eastAsia" w:ascii="宋体" w:hAnsi="宋体" w:cs="宋体"/>
          <w:b/>
          <w:bCs/>
          <w:szCs w:val="21"/>
          <w:highlight w:val="white"/>
        </w:rPr>
        <w:t>合同专用条款</w:t>
      </w:r>
      <w:bookmarkEnd w:id="715"/>
    </w:p>
    <w:p w14:paraId="0CCBB2BA">
      <w:pPr>
        <w:pStyle w:val="35"/>
        <w:spacing w:after="120" w:afterLines="50"/>
        <w:ind w:firstLine="420" w:firstLineChars="200"/>
        <w:rPr>
          <w:rFonts w:hint="eastAsia" w:ascii="宋体" w:hAnsi="宋体" w:cs="宋体"/>
          <w:sz w:val="24"/>
          <w:szCs w:val="24"/>
        </w:rPr>
      </w:pPr>
      <w:r>
        <w:rPr>
          <w:rFonts w:hint="eastAsia" w:ascii="宋体" w:hAnsi="宋体" w:cs="宋体"/>
          <w:szCs w:val="24"/>
          <w:highlight w:val="white"/>
        </w:rPr>
        <w:t>本章节提供的合同条款及格式摘自</w:t>
      </w:r>
      <w:r>
        <w:rPr>
          <w:rFonts w:hint="eastAsia" w:ascii="宋体" w:hAnsi="宋体" w:cs="宋体"/>
          <w:szCs w:val="21"/>
          <w:highlight w:val="white"/>
        </w:rPr>
        <w:t>交通运输部《公路工程标准施工招标文件》（2018年版）的《公路工程专用合同条款》，供招标人参考使用，招标人可根据项目实际情况修改、补充作为招标文件的组成部分。</w:t>
      </w:r>
    </w:p>
    <w:p w14:paraId="3D53461A">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 一般约定</w:t>
      </w:r>
    </w:p>
    <w:p w14:paraId="7033C02A">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1.1 词语定义</w:t>
      </w:r>
    </w:p>
    <w:p w14:paraId="421699E0">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1.1.1 合同</w:t>
      </w:r>
    </w:p>
    <w:p w14:paraId="409E522B">
      <w:pPr>
        <w:pStyle w:val="35"/>
        <w:spacing w:before="48" w:beforeLines="20" w:after="48" w:afterLines="20"/>
        <w:ind w:firstLine="407" w:firstLineChars="194"/>
        <w:outlineLvl w:val="4"/>
        <w:rPr>
          <w:rFonts w:hint="eastAsia" w:ascii="宋体" w:hAnsi="宋体" w:cs="宋体"/>
          <w:bCs/>
          <w:szCs w:val="21"/>
        </w:rPr>
      </w:pPr>
      <w:r>
        <w:rPr>
          <w:rFonts w:hint="eastAsia" w:ascii="宋体" w:hAnsi="宋体" w:cs="宋体"/>
          <w:bCs/>
          <w:szCs w:val="21"/>
          <w:highlight w:val="white"/>
        </w:rPr>
        <w:t>第 1.1.1.6 目细化为： 技术规范：指本合同所约定的技术标准和要求，是合同文件的组成部分。通用合同条款中“技术标准和要求”一词具有相同含义。第 1.1.1.8 目细化为:已标价工程量清单：指构成合同文件组成部分的已标明价格、经算术性错误修正及其他错误修正（如有）且承包人已确认的最终的工程量清单，包括工程量清 单说明、投标报价说明、计日工说明、其他说明及工程量清单各项表格（工程量清单表5.1～表5.5）。</w:t>
      </w:r>
    </w:p>
    <w:p w14:paraId="22CF48F2">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本项补充第 1.1.1.10 目：</w:t>
      </w:r>
    </w:p>
    <w:p w14:paraId="0DCC46E9">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1.1.1.10 补遗书：指发出招标文件之后由招标人向已取得招标文件的投标人发出的、编号的对招标文件所作的澄清、修改书。</w:t>
      </w:r>
    </w:p>
    <w:p w14:paraId="08ECEB03">
      <w:pPr>
        <w:pStyle w:val="35"/>
        <w:spacing w:before="48" w:beforeLines="20" w:after="48" w:afterLines="20"/>
        <w:ind w:firstLine="405" w:firstLineChars="193"/>
        <w:outlineLvl w:val="4"/>
        <w:rPr>
          <w:rFonts w:hint="eastAsia" w:ascii="宋体" w:hAnsi="宋体" w:cs="宋体"/>
          <w:bCs/>
          <w:szCs w:val="21"/>
        </w:rPr>
      </w:pPr>
      <w:r>
        <w:rPr>
          <w:rFonts w:hint="eastAsia" w:ascii="宋体" w:hAnsi="宋体" w:cs="宋体"/>
          <w:bCs/>
          <w:szCs w:val="21"/>
          <w:highlight w:val="white"/>
        </w:rPr>
        <w:t>1.1.2 合同当事人和人员</w:t>
      </w:r>
    </w:p>
    <w:p w14:paraId="4E0D3767">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本项补充第 1.1.2.8 目：</w:t>
      </w:r>
    </w:p>
    <w:p w14:paraId="1CE71E06">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1.1.2.8 承包人项目总工：指由承包人书面委派常驻现场负责管理本合同工程的总工程师或技术总负责人。</w:t>
      </w:r>
    </w:p>
    <w:p w14:paraId="1B17ABD7">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1.1.3 工程和设备</w:t>
      </w:r>
    </w:p>
    <w:p w14:paraId="56D589B3">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第 1.1.3.4 目细化为： 单位工程：指在建设项目中，根据签订的合同，具有独立施工条件的工程。第 1.1.3.10 目细化为： 永久占地：指为实施本合同工程而需要的一切永久占用的土地，包括公路两侧路权范围内的用地。</w:t>
      </w:r>
    </w:p>
    <w:p w14:paraId="60A54246">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第 1.1.3.11 目细化为： 临时占地：指为实施本合同工程而需要的一切临时占用的土地，包括施工所</w:t>
      </w:r>
    </w:p>
    <w:p w14:paraId="69EA181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用的临时支线、便道、便桥和现场的临时出入通道，以及生产（办公）、生活等临时 设施用地等。</w:t>
      </w:r>
    </w:p>
    <w:p w14:paraId="3414338A">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本项补充第 1.1.3.12 目、第 1.1.3.13 目：</w:t>
      </w:r>
    </w:p>
    <w:p w14:paraId="18FB9EEF">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1.1.3.12 分部工程：指在单位工程中，按结构部位、路段长度及施工特点或施工任务划分的若干个工程。</w:t>
      </w:r>
    </w:p>
    <w:p w14:paraId="1E3F18BF">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1.1.3.13 分项工程：指在分部工程中，按不同的施工方法、材料、工序及路 段长度等划分的若干个工程。</w:t>
      </w:r>
    </w:p>
    <w:p w14:paraId="5E098B50">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 其他</w:t>
      </w:r>
    </w:p>
    <w:p w14:paraId="7630EF9A">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本项补充第 1.1.6.2 目～第 1.1.6.9 目：</w:t>
      </w:r>
    </w:p>
    <w:p w14:paraId="2945FC54">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1.1.6.2 竣工验收：指《公路工程竣（交）工验收办法》中的竣工验收。通用 合同条款中“国家验收”一词具有相同含义。</w:t>
      </w:r>
    </w:p>
    <w:p w14:paraId="78A64817">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1.1.6.3 交工：指《公路工程竣（交）工验收办法》中的交工。通用合同条款中“竣工”一词具有相同含义。</w:t>
      </w:r>
    </w:p>
    <w:p w14:paraId="6AC8B697">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1.1.6.4 交工验收：指《公路工程竣（交）工验收办法》中的交工验收。通用 合同条款中“竣工验收”一词具有相同含义。</w:t>
      </w:r>
    </w:p>
    <w:p w14:paraId="7139DDB5">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1.1.6.5 交工验收证书：指《公路工程竣（交）工验收办法》中的交工验收证书。通用合同条款中“工程接收证书”一词具有相同含义。</w:t>
      </w:r>
    </w:p>
    <w:p w14:paraId="13F8EBAC">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1.1.6.6 转包：指承包人违反法律和不履行合同规定的责任和义务，将中标工 程全部委托或以专业分包的名义将中标工程肢解后全部委托给其他施工企业施工的 行为。</w:t>
      </w:r>
    </w:p>
    <w:p w14:paraId="14B38E42">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1.1.6.7 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6D37A91C">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1.1.6.8 劳务分包：指承包人与具有施工劳务资质的劳务企业签订劳务分包合 同，由劳务企业提供劳务人员及机具，由承包人统一组织施工、统一控制工程质量、 施工进度、材料采购、生产安全的施工行为。</w:t>
      </w:r>
    </w:p>
    <w:p w14:paraId="02601A7F">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1.1.6.9 雇用民工：指承包人与具有相应劳动能力的自然人签订劳动合同，由 承包人统一组织管理，从事分项工程施工或配套工程施工的行为。</w:t>
      </w:r>
    </w:p>
    <w:p w14:paraId="0BF7D0C9">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1.4 合同文件的优先顺序</w:t>
      </w:r>
    </w:p>
    <w:p w14:paraId="794D4126">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本款约定为： 组成合同的各项文件应互相解释，互为说明。除项目专用合同条款另有约定外，</w:t>
      </w:r>
    </w:p>
    <w:p w14:paraId="0D665C17">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解释合同文件的优先顺序如下：</w:t>
      </w:r>
    </w:p>
    <w:p w14:paraId="673866AD">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（1）合同协议书及各种合同附件（含评标期间和合同谈判过程中的澄清文件和 补充资料）；</w:t>
      </w:r>
    </w:p>
    <w:p w14:paraId="3161F1C5">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（2）中标通知书；</w:t>
      </w:r>
    </w:p>
    <w:p w14:paraId="0A5589A9">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（3）投标函及投标函附录；</w:t>
      </w:r>
    </w:p>
    <w:p w14:paraId="116ECBA7">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（4）项目专用合同条款；</w:t>
      </w:r>
    </w:p>
    <w:p w14:paraId="7CF45117">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（5）公路工程专用合同条款；</w:t>
      </w:r>
    </w:p>
    <w:p w14:paraId="29DF6722">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（6）通用合同条款；</w:t>
      </w:r>
    </w:p>
    <w:p w14:paraId="18153402">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（7）工程量清单计量规则；</w:t>
      </w:r>
    </w:p>
    <w:p w14:paraId="10E94C3A">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（8）技术规范；</w:t>
      </w:r>
    </w:p>
    <w:p w14:paraId="71609E02">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（9）图纸；</w:t>
      </w:r>
    </w:p>
    <w:p w14:paraId="129C3E9B">
      <w:pPr>
        <w:pStyle w:val="35"/>
        <w:spacing w:before="48" w:beforeLines="20" w:after="48" w:afterLines="20"/>
        <w:ind w:firstLine="308" w:firstLineChars="147"/>
        <w:outlineLvl w:val="4"/>
        <w:rPr>
          <w:rFonts w:hint="eastAsia" w:ascii="宋体" w:hAnsi="宋体" w:cs="宋体"/>
          <w:bCs/>
          <w:szCs w:val="21"/>
        </w:rPr>
      </w:pPr>
      <w:r>
        <w:rPr>
          <w:rFonts w:hint="eastAsia" w:ascii="宋体" w:hAnsi="宋体" w:cs="宋体"/>
          <w:bCs/>
          <w:szCs w:val="21"/>
          <w:highlight w:val="white"/>
        </w:rPr>
        <w:t>（10）已标价工程量清单；</w:t>
      </w:r>
    </w:p>
    <w:p w14:paraId="30564978">
      <w:pPr>
        <w:pStyle w:val="35"/>
        <w:spacing w:before="48" w:beforeLines="20" w:after="48" w:afterLines="20"/>
        <w:ind w:firstLine="308" w:firstLineChars="147"/>
        <w:outlineLvl w:val="4"/>
        <w:rPr>
          <w:rFonts w:hint="eastAsia" w:ascii="宋体" w:hAnsi="宋体" w:cs="宋体"/>
          <w:bCs/>
          <w:szCs w:val="21"/>
        </w:rPr>
      </w:pPr>
      <w:r>
        <w:rPr>
          <w:rFonts w:hint="eastAsia" w:ascii="宋体" w:hAnsi="宋体" w:cs="宋体"/>
          <w:bCs/>
          <w:szCs w:val="21"/>
          <w:highlight w:val="white"/>
        </w:rPr>
        <w:t>（11）承包人有关人员、设备投入的承诺及投标文件中的施工组织设计；</w:t>
      </w:r>
    </w:p>
    <w:p w14:paraId="2BA33401">
      <w:pPr>
        <w:pStyle w:val="35"/>
        <w:spacing w:before="48" w:beforeLines="20" w:after="48" w:afterLines="20"/>
        <w:ind w:firstLine="308" w:firstLineChars="147"/>
        <w:outlineLvl w:val="4"/>
        <w:rPr>
          <w:rFonts w:hint="eastAsia" w:ascii="宋体" w:hAnsi="宋体" w:cs="宋体"/>
          <w:bCs/>
          <w:szCs w:val="21"/>
        </w:rPr>
      </w:pPr>
      <w:r>
        <w:rPr>
          <w:rFonts w:hint="eastAsia" w:ascii="宋体" w:hAnsi="宋体" w:cs="宋体"/>
          <w:bCs/>
          <w:szCs w:val="21"/>
          <w:highlight w:val="white"/>
        </w:rPr>
        <w:t>（12）其他合同文件。</w:t>
      </w:r>
    </w:p>
    <w:p w14:paraId="0E12ED43">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1.5 合同协议书</w:t>
      </w:r>
    </w:p>
    <w:p w14:paraId="7DEDC494">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本款补充： 制备本合同文件的费用由发包人承担。在合同协议书签订并生效之前，投标函和中标通知书将对双方具有约束力。</w:t>
      </w:r>
    </w:p>
    <w:p w14:paraId="6980C06C">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1.6 图纸和承包人文件</w:t>
      </w:r>
    </w:p>
    <w:p w14:paraId="7FFA3701">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1.6.1 图纸的提供</w:t>
      </w:r>
    </w:p>
    <w:p w14:paraId="72FE83CD">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本项细化为：</w:t>
      </w:r>
    </w:p>
    <w:p w14:paraId="2C040BF3">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监理人应在发出中标通知书之后 42 天内，向承包人免费提供由发包人或其委托的设计单位设计的施工图纸、技术规范和其他技术资料 2 份，并向承包人进行技术 交底。承包人需要更多份数时，应自费复制。由于发包人未按时提供图纸造成工期 延误的，按第 11.3 款的约定办理。</w:t>
      </w:r>
    </w:p>
    <w:p w14:paraId="13BF1B6D">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1.6.2 承包人提供的文件 本项细化为： 有下列情形之一的，承包人应免费向监理人提交相关部分工程的施工图纸 3 份，</w:t>
      </w:r>
    </w:p>
    <w:p w14:paraId="2047673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并附必要的计算书、技术资料，或施工工艺图、设备安装图及安装设备的使用和维 护手册各 2 份供监理人批准。</w:t>
      </w:r>
    </w:p>
    <w:p w14:paraId="2D0F16BD">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（1）为使第 1.6.1 项所述的施工图纸适合于经施工测量后的纵、横断面；</w:t>
      </w:r>
    </w:p>
    <w:p w14:paraId="73D5D54C">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（2）为使第 1.6.1 项所述的施工图纸适合于现场具体地形；</w:t>
      </w:r>
    </w:p>
    <w:p w14:paraId="1DF39C35">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（3）为使第 1.6.1 项所述的施工图纸适合于因尺寸与位置变化而引起局部变更；</w:t>
      </w:r>
    </w:p>
    <w:p w14:paraId="5173C7DB">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（4）由于合同要求与施工需要。 此类图纸应按监理人规定的格式和图幅绘制。监理人在收到由承包人绘制的上述</w:t>
      </w:r>
    </w:p>
    <w:p w14:paraId="6866EA4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工程、工艺图纸、计算书和有关技术资料后 14 天内应予批准或提出修改要求，承包 人应按监理人提出的要求作出修改，重新向监理人提交，监理人应在 7 天内批准或 提出进一步的修改意见。</w:t>
      </w:r>
    </w:p>
    <w:p w14:paraId="3F73465F">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1.6.4 图纸的错误</w:t>
      </w:r>
    </w:p>
    <w:p w14:paraId="5C363E9F">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本项细化为： 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4C136B23">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1.9 严禁贿赂</w:t>
      </w:r>
    </w:p>
    <w:p w14:paraId="1DF27841">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本款补充： 在合同执行过程中，发包人和承包人应严格履行《廉政合同》约定的双方在廉政建设方面的权利和义务以及应承担的违约责任。承包人如果用行贿、送礼或其他不 正当手段企图影响或已经影响了发包人或监理人的行为和（或）欲获得或已获得超 出合同规定以外的额外费用，则发包人应按有关法纪严肃处理当事人，且承包人应 对其上述行为造成的工程损害、发包人的经济损失等承担一切责任，并予赔偿。情 节严重者，发包人有权终止承包人在本合同项下的承包。</w:t>
      </w:r>
    </w:p>
    <w:p w14:paraId="6943AFDF">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2. 发包人义务</w:t>
      </w:r>
    </w:p>
    <w:p w14:paraId="0A5E66BC">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2.3 提供施工场地</w:t>
      </w:r>
    </w:p>
    <w:p w14:paraId="15380601">
      <w:pPr>
        <w:pStyle w:val="35"/>
        <w:spacing w:before="48" w:beforeLines="20" w:after="48" w:afterLines="20"/>
        <w:ind w:firstLine="411" w:firstLineChars="196"/>
        <w:outlineLvl w:val="4"/>
        <w:rPr>
          <w:rFonts w:hint="eastAsia" w:ascii="宋体" w:hAnsi="宋体" w:cs="宋体"/>
          <w:bCs/>
          <w:szCs w:val="21"/>
        </w:rPr>
      </w:pPr>
      <w:r>
        <w:rPr>
          <w:rFonts w:hint="eastAsia" w:ascii="宋体" w:hAnsi="宋体" w:cs="宋体"/>
          <w:bCs/>
          <w:szCs w:val="21"/>
          <w:highlight w:val="white"/>
        </w:rPr>
        <w:t>本款补充： 发包人负责办理永久占地的征用及与之有关的拆迁赔偿手续并承担相关费用。承包人在按第 10 条规定提交施工进度计划的同时，应向监理人提交一份按施工先后次 序所需的永久占地计划。监理人应在收到此计划后的 14 天内审核并转报发包人核备。发包人应在监理人发出本工程或分部工程开工通知之前，对承包人开工所需的 永久占地办妥征用手续和相关拆迁赔偿手续，通知承包人使用，以使承包人能够及 时开工；此后按承包人提交并经监理人同意的合同进度计划的安排，分期（也可以 一次）将施工所需的其余永久占地办妥征用以及拆迁赔偿手续，通知承包人使用，以使承包人能够连续不间断地施工。由于承包人施工考虑不周或措施不当等原因而 造成的超计划占地或拆迁等所发生的征用和赔偿费用，应由承包人承担。</w:t>
      </w:r>
    </w:p>
    <w:p w14:paraId="2A392B6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由于发包人未能按照本项规定办妥永久占地征用手续，影响承包人及时使用永久 占地造成的费用增加和（或）工期延误应由发包人承担。由于承包人未能按照本项 规定提交占地计划，影响发包人办理永久占地征用手续造成的费用增加和（或）工 期延误由承包人承担。</w:t>
      </w:r>
    </w:p>
    <w:p w14:paraId="6ACB8077">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3. 监理人</w:t>
      </w:r>
    </w:p>
    <w:p w14:paraId="56CB6CD0">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3.1 监理人的职责和权力</w:t>
      </w:r>
    </w:p>
    <w:p w14:paraId="135EEDD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3.1.1 项补充： 监理人在行使下列权力前需要经发包人事先批准：</w:t>
      </w:r>
    </w:p>
    <w:p w14:paraId="5E0FCE3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（1）根据第 4.3 款，同意分包本工程的某些非关键性工作或者适合专业化队伍 施工的专项工程；</w:t>
      </w:r>
    </w:p>
    <w:p w14:paraId="12EB2F5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（2）确定第 4.11 款下产生的费用增加额；</w:t>
      </w:r>
    </w:p>
    <w:p w14:paraId="7828FE1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（3）根据第 11.1 款、第 12.3 款、第 12.4 款发布开工通知、暂停施工指示或复 工通知；</w:t>
      </w:r>
    </w:p>
    <w:p w14:paraId="0FA2BCF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（4）决定第 11.3 款、第 11.4 款下的工期延长；</w:t>
      </w:r>
    </w:p>
    <w:p w14:paraId="116594E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（5）审查批准技术方案或设计的变更；</w:t>
      </w:r>
    </w:p>
    <w:p w14:paraId="3905273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（6）根据第 15.3 款发出的变更指示，其单项工程变更或累计变更涉及的金额 超过了项目专用合同条款数据表中规定的金额；</w:t>
      </w:r>
    </w:p>
    <w:p w14:paraId="6FA83AF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（7）确定第 15.4 款下变更工作的单价；</w:t>
      </w:r>
    </w:p>
    <w:p w14:paraId="585CD19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（8）按照第 15.6 款决定有关暂列金额的使用；</w:t>
      </w:r>
    </w:p>
    <w:p w14:paraId="1F637D4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（9）确定第 15.8 款下的暂估价金额；</w:t>
      </w:r>
    </w:p>
    <w:p w14:paraId="637A6E2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（10）确定第 23.1 款下的索赔额。如果发生紧急情况，监理人认为将造成人员伤亡，或危及本工程或邻近的财产需立即采取行动，监理人有权在未征得发包人的批准的情况下发布处理紧急情况所 必需的指令，承包人应予执行，由此造成的费用增加由监理人按第 3.5 款商定或确定。</w:t>
      </w:r>
    </w:p>
    <w:p w14:paraId="641B83F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3.5 商定或确定</w:t>
      </w:r>
    </w:p>
    <w:p w14:paraId="68847E2F">
      <w:pPr>
        <w:pStyle w:val="35"/>
        <w:spacing w:before="48" w:beforeLines="20" w:after="48" w:afterLines="20"/>
        <w:ind w:firstLine="420" w:firstLineChars="200"/>
        <w:outlineLvl w:val="4"/>
        <w:rPr>
          <w:rFonts w:hint="eastAsia" w:ascii="宋体" w:hAnsi="宋体" w:cs="宋体"/>
          <w:b/>
          <w:bCs/>
          <w:szCs w:val="21"/>
        </w:rPr>
      </w:pPr>
      <w:r>
        <w:rPr>
          <w:rFonts w:hint="eastAsia" w:ascii="宋体" w:hAnsi="宋体" w:cs="宋体"/>
          <w:bCs/>
          <w:szCs w:val="21"/>
          <w:highlight w:val="white"/>
        </w:rPr>
        <w:t>第 3.5.1 项补充： 如果这项商定或确定导致费用增加和（或）工期延长，或者涉及确定变更工程的价格，则总监理工程师在发出通知前，应征得发包人的同意。</w:t>
      </w:r>
    </w:p>
    <w:p w14:paraId="2E82EDD2">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4. 承包人</w:t>
      </w:r>
    </w:p>
    <w:p w14:paraId="3F42751B">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4.1 承包人的一般义务</w:t>
      </w:r>
    </w:p>
    <w:p w14:paraId="3AD0EB9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4.1.9 工程的维护和照管</w:t>
      </w:r>
    </w:p>
    <w:p w14:paraId="2E0F3F5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本项细化为：（1）交工验收证书颁发前，承包人应负责照管和维护工程及将用于或安装在本工程中的材料、设备。交工验收证书颁发时尚有部分未交工工程的，承包人还应负 责该未交工工程、材料、设备的照管和维护工作，直至交工后移交给发包人为止。（2）在承包人负责照管与维护期间，如果本工程或材料、设备等发生损失或损 害，除不可抗力原因之外，承包人均应自费弥补，并达到合同要求。承包人还应对按第 19 条规定而实施作业过程中由承包人造成的对工程的任何损失或损害负责。</w:t>
      </w:r>
    </w:p>
    <w:p w14:paraId="1C0D3377">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4.1.10 其他义务</w:t>
      </w:r>
    </w:p>
    <w:p w14:paraId="123C070B">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本项细化为：</w:t>
      </w:r>
    </w:p>
    <w:p w14:paraId="668E2456">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（1）临时占地由承包人向当地政府土地管理部门申请，并办理租用手续，承包 人按有关规定直接支付其费用，发包人对此将予以协调。</w:t>
      </w:r>
    </w:p>
    <w:p w14:paraId="39C9A81E">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 临时占地数量、时间及因此而发生的协调、租用、复耕、地面附着物（电力、电信、 房屋、坟墓除外）的拆迁补偿等相关费用。除项目专用合同条款另有约定外，临时 占地的租地费用实行总额包干，列入工程量清单第 100 章中由承包人按总额报价。</w:t>
      </w:r>
    </w:p>
    <w:p w14:paraId="13F4AE0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临时占地退还前，承包人应自费恢复到临时占地使用前的状况。如因承包人撤离后未按要求对临时占地进行恢复或虽进行了恢复但未达到使用标准的，将由发包人 委托第三方对其恢复，所发生的费用将从应付给承包人的任何款项内扣除。</w:t>
      </w:r>
    </w:p>
    <w:p w14:paraId="7C6CDEA2">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（2）除项目专用合同条款另有约定外，承包人应承担并支付为获得本合同工程所需的石料、砂、砾石、黏土或其他当地材料等所发生的料场使用费及其他开支或 补偿费。发包人应尽可能协助承包人办理料场租用手续及解决使用过程中的有关问题。</w:t>
      </w:r>
    </w:p>
    <w:p w14:paraId="5191B4BD">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 承包人的项目经理部是民工工资支付行为的主体，承包人的项目经理是民工工资 支付的责任人。项目经理部要建立全体民工花名册和工资支付表，确保将工资直接 发放给民工本人，或委托银行发放民工工资，严禁发放给“包工头”或其他不具备用工主体资格的组织和个人。工资支付表应如实记录支付单位、支付时间、支付对象、支付数额、支付对象的身份证号和签字等信息。民工花名册和工资支付表应报监理人备查。</w:t>
      </w:r>
    </w:p>
    <w:p w14:paraId="41F46D79">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（4）承包人应分解工程价款中的人工费用，在工程项目所在地银行开设民工工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3349AB34">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培训，改善职工生产生活条件，与此相关的费用承包人应列入工程量清单第 100章中。</w:t>
      </w:r>
    </w:p>
    <w:p w14:paraId="565E9BF0">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（6）承包人应履行项目专用合同条款约定的其他义务。</w:t>
      </w:r>
    </w:p>
    <w:p w14:paraId="6EEC737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4.2 履约保证金</w:t>
      </w:r>
    </w:p>
    <w:p w14:paraId="3BD60AB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本款细化为： 承包人应保证其履约保证金在发包人签发交工验收证书且承包人按照合同约定缴纳质量保证金前一直有效。发包人应在收到承包人缴纳的质量保证金后 28 天内将 履约保证金退还给承包人。</w:t>
      </w:r>
    </w:p>
    <w:p w14:paraId="17C53DC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承包人拒绝按照本合同约定缴纳质量保证金的，发包人有权从交工付款证书中扣留相应金额作为质量保证金，或者直接将履约保证金金额用于保证承包人在缺陷 责任期内履行缺陷修复义务。</w:t>
      </w:r>
    </w:p>
    <w:p w14:paraId="198BD82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4.3 分包</w:t>
      </w:r>
    </w:p>
    <w:p w14:paraId="6405401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4.3.2 项～第 4.3.4 项细化为：</w:t>
      </w:r>
    </w:p>
    <w:p w14:paraId="6DCDEDB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4.3.2 承包人不得将工程关键性工作分包给第三人。经发包人同意，承包人可将 工程的其他部分或工作分包给第三人。分包包括专业分包和劳务分包。</w:t>
      </w:r>
    </w:p>
    <w:p w14:paraId="44B8AB7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4.3.3 专业分包 在工程施工过程中，承包人进行专业分包必须遵守以下规定：</w:t>
      </w:r>
    </w:p>
    <w:p w14:paraId="0211DAFC">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（1）允许专业分包的工程范围仅限于非关键性工程或者适合专业化队伍施工的专项工程。未列入投标文件的专项工程，承包人不得分包。但因工程变更增加了有 特殊性技术要求、特殊工艺或者涉及专利保护等的专项工程，且按规定无须再进行招标的，由承包人提出书面申请，经发包人书面同意，可以分包。</w:t>
      </w:r>
    </w:p>
    <w:p w14:paraId="4289AD68">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（2）专业分包人的资格能力（含安全生产能力）应与其分包工程的标准和规模相适应，且应当具备如下条件：</w:t>
      </w:r>
    </w:p>
    <w:p w14:paraId="1F49B728">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a.具有经工商登记的法人资格；</w:t>
      </w:r>
    </w:p>
    <w:p w14:paraId="5812D2F9">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b.具有从事类似工程经验的管理与技术人员；</w:t>
      </w:r>
    </w:p>
    <w:p w14:paraId="2652A50E">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c.具有（自有或租赁）分包工程所需的施工设备。承包人应向监理人提交专业分包人的资格能力证明材料，经监理人审查并报发包人批准后，可以将相应专业工程分包给该专业分包人。</w:t>
      </w:r>
    </w:p>
    <w:p w14:paraId="29E31987">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（3）专业分包工程不得再次分包。</w:t>
      </w:r>
    </w:p>
    <w:p w14:paraId="5DB45340">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（4）承包人和专业分包人应当按照交通运输主管部门制定的统一格式依法签订 专业分包合同，并履行合同约定的义务。专业分包合同必须遵循承包合同的各项原则，满足承包合同中的质量、安全、进度、环保以及其他技术、经济等要求。专业 分包合同必须明确约定工程款支付条款、结算方式以及保证按期支付的相应措施， 确保工程款的支付。承包人应在工程实施前，将经监理人审查同意后的分包合同报 发包人备案。</w:t>
      </w:r>
    </w:p>
    <w:p w14:paraId="51E00063">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（5）专业分包人应当设立项目管理机构，对所分包工程的施工活动实施管理。 项目管理机构应当具有与分包工程的规模、技术复杂程度相适应的技术、经济管理 人员，其中项目负责人和技术、财务、计量、质量、安全等主要管理人员必须是专业分包人本单位人员。</w:t>
      </w:r>
    </w:p>
    <w:p w14:paraId="6767344A">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（6）承包人应当建立健全相关分包管理制度和台账，对专业分包工程的质量、 安全、进度和专业分包人的行为等实施全过程管理，按照合同约定对专业分包工程 的实施向发包人负责，并承担赔偿责任。专业分包合同不免除承包合同中规定的承 包人的责任或者义务。</w:t>
      </w:r>
    </w:p>
    <w:p w14:paraId="6E03645D">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（7）专业分包人应当依据专业分包合同的约定，组织分包工程的施工，并对分 包工程的质量、安全和进度等实施有效控制。专业分包人对其分包的工程向承包人 负责，并就所分包的工程向发包人承担连带责任。</w:t>
      </w:r>
    </w:p>
    <w:p w14:paraId="75C7B340">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（8）承包人对施工现场安全负总责，并对专业分包人的安全生产进行培训和管 理。专业分包人应将其专业分包工程的施工组织设计和施工安全方案报承包人备案。 专业分包人对分包施工现场安全负责，发现事故隐患，应及时处理。</w:t>
      </w:r>
    </w:p>
    <w:p w14:paraId="2964594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违反上述规定之一者属违规分包。</w:t>
      </w:r>
    </w:p>
    <w:p w14:paraId="4C7334A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4.3.4 劳务分包 在工程施工过程中，承包人进行劳务分包必须遵守以下规定：</w:t>
      </w:r>
    </w:p>
    <w:p w14:paraId="145E5462">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（1）劳务分包人应具有施工劳务资质。</w:t>
      </w:r>
    </w:p>
    <w:p w14:paraId="7D930F03">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（2）劳务分包应当依法签订劳务分包合同，劳务分包合同必须由承包人的法定 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687DC69">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（3）承包人雇用的劳务作业应加入到承包人的施工班组统一管理。有关施工质 量、施工安全、施工进度、环境保护、技术方案、试验检测、材料保管与供应、机 械设备等都必须由承包人管理与调配，不得以包代管。</w:t>
      </w:r>
    </w:p>
    <w:p w14:paraId="3DAEB8B5">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（4）承包人应当对劳务分包人员进行安全培训和管理，劳务分包人不得将其分 包的劳务作业再次分包。</w:t>
      </w:r>
    </w:p>
    <w:p w14:paraId="74B7B49A">
      <w:pPr>
        <w:pStyle w:val="35"/>
        <w:spacing w:before="48" w:beforeLines="20" w:after="48" w:afterLines="20"/>
        <w:ind w:left="420" w:hanging="420" w:hangingChars="200"/>
        <w:outlineLvl w:val="4"/>
        <w:rPr>
          <w:rFonts w:hint="eastAsia" w:ascii="宋体" w:hAnsi="宋体" w:cs="宋体"/>
          <w:bCs/>
          <w:szCs w:val="21"/>
        </w:rPr>
      </w:pPr>
      <w:r>
        <w:rPr>
          <w:rFonts w:hint="eastAsia" w:ascii="宋体" w:hAnsi="宋体" w:cs="宋体"/>
          <w:bCs/>
          <w:szCs w:val="21"/>
          <w:highlight w:val="white"/>
        </w:rPr>
        <w:t>违反上述规定之一者属违规分包。 本款补充第 4.3.6 项、第 4.3.7 项：</w:t>
      </w:r>
    </w:p>
    <w:p w14:paraId="27523BF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4.3.6 发包人对承包人与分包人之间的法律与经济纠纷不承担任何责任和义务。</w:t>
      </w:r>
    </w:p>
    <w:p w14:paraId="00C9D04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4.3.7 本项目的各项分包工作均应遵守《公路工程施工分包管理办法》的有关规定。</w:t>
      </w:r>
    </w:p>
    <w:p w14:paraId="4B6724A4">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4.4 联合体</w:t>
      </w:r>
    </w:p>
    <w:p w14:paraId="0A32163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4.4.4 项：</w:t>
      </w:r>
    </w:p>
    <w:p w14:paraId="7CD8EE1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4.4.4 未经发包人事先同意，联合体的组成与结构不得变动。</w:t>
      </w:r>
    </w:p>
    <w:p w14:paraId="757139F0">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4.6 承包人人员的管理</w:t>
      </w:r>
    </w:p>
    <w:p w14:paraId="7944901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第 4.6.3 项细化为： </w:t>
      </w:r>
    </w:p>
    <w:p w14:paraId="70AD8C3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承包人安排在施工场地的主要管理人员和技术骨干应与承包人承诺的名单一致，并保持相对稳定。未经监理人批准，上述人员不应无故不到位或被替换；若确 实无法到位或需替换，需经监理人审核并报发包人批准后，用同等资质和经历的人员替换。</w:t>
      </w:r>
    </w:p>
    <w:p w14:paraId="08D596D8">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4.6.5 项：</w:t>
      </w:r>
    </w:p>
    <w:p w14:paraId="19813DE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4.6.5 尽管承包人已按承诺派遣了上述各类人员，但若这些人员仍不能满足合同 进度计划和（或）质量要求时，监理人有权要求承包人继续增派或雇用这类人员， 并书面通知承包人和抄送发包人。承包人在接到上述通知后应立即执行监理人的上 述指示，不得无故拖延，由此增加的费用和（或）工期延误由承包人承担。</w:t>
      </w:r>
    </w:p>
    <w:p w14:paraId="4D1568C7">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4.7 撤换承包人项目经理和其他人员</w:t>
      </w:r>
    </w:p>
    <w:p w14:paraId="08E0CFB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本款细化为： </w:t>
      </w:r>
    </w:p>
    <w:p w14:paraId="39A732B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承包人应对其项目经理和其他人员进行有效管理。监理人要求撤换不能胜任本职工作、行为不端或玩忽职守的承包人项目经理和其他人员的，承包人应予以撤换，</w:t>
      </w:r>
    </w:p>
    <w:p w14:paraId="780C75C9">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同时委派经发包人与监理人同意的新的项目经理和其他人员。</w:t>
      </w:r>
    </w:p>
    <w:p w14:paraId="72A743CA">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4.9 工程价款应专款专用</w:t>
      </w:r>
    </w:p>
    <w:p w14:paraId="3724DF6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本款细化为： </w:t>
      </w:r>
    </w:p>
    <w:p w14:paraId="11AC784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发包人按合同约定支付给承包人的各项价款应专用于合同工程。承包人必须在发包人指定的银行开户，并与发包人、银行共同签订《工程资金监管协议》，接受发 包人和银行对资金的监管。承包人应向发包人授权进行本合同工程开户银行工程资 金的查询。发包人支付的工程进度款应为本工程的专款专用资金，不得转移或用于 其他工程。发包人的期中支付款将转入该银行所设的专门账户，发包人及其派出机 构有权不定期对承包人工程资金使用情况进行检查，发现问题及时责令承包人限期 改正，否则，将终止月支付，直至承包人改正为止。</w:t>
      </w:r>
    </w:p>
    <w:p w14:paraId="555204B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4.10 承包人现场查勘</w:t>
      </w:r>
    </w:p>
    <w:p w14:paraId="046CA2A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4.10.1 项细化为：①发包人提供的本合同工程的水文、地质、气象和料场分布、取土场、弃土场位置等资料均属于参考资料，并不构成合同文件的组成部分，承包人应对自己就上述 资料的解释、推论和应用负责，发包人不对承包人据此作出的判断和决策承担任何责任。</w:t>
      </w:r>
    </w:p>
    <w:p w14:paraId="7D0461C0">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4.11 不利物质条件</w:t>
      </w:r>
    </w:p>
    <w:p w14:paraId="5FBBE33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4.11.2 项细化为：</w:t>
      </w:r>
    </w:p>
    <w:p w14:paraId="4F18868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4.11.2 承包人遇到不可预见的不利物质条件时，应采取适应不利物质条件的合 理措施继续施工，并及时通知监理人。监理人应当及时发出指示，指示构成变更的， 按第 15 条约定办理。监理人没有发出指示的，承包人因采取合理措施而增加的费用 和（或）工期延误，由发包人承担。</w:t>
      </w:r>
    </w:p>
    <w:p w14:paraId="31ACE8D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4.11.3 项：</w:t>
      </w:r>
    </w:p>
    <w:p w14:paraId="2B901A8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4.11.3 可预见的不利物质条件</w:t>
      </w:r>
    </w:p>
    <w:p w14:paraId="0586DCA5">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（1）对于项目专用合同条款中已经明确指出的不利物质条件无论承包人是否有其经历和经验均视为承包人在接受合同时已预见其影响，并已在签约合同价中计入因其影响而可能发生的一切费用。</w:t>
      </w:r>
    </w:p>
    <w:p w14:paraId="1D5A7E2E">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① 如果在招标阶段，招标人在图纸中直接指定了取土场和弃土场位置，且作为投标人投标报价的依据，则招标</w:t>
      </w:r>
    </w:p>
    <w:p w14:paraId="028558CC">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人应在项目专用合同条款中对本项规定进行调整。</w:t>
      </w:r>
    </w:p>
    <w:p w14:paraId="0356450B">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（2）对于项目专用合同条款未明确指出，但是在不利物质条件发生之前，监理人已经指示承包人有可能发生，但承包人未能及时采取有效措施，而导致的损失和 后果均由承包人承担。</w:t>
      </w:r>
    </w:p>
    <w:p w14:paraId="5540063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补充第 4.12 款、第 4.13 款：</w:t>
      </w:r>
    </w:p>
    <w:p w14:paraId="7D8A2499">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4.12 投标文件的完备性</w:t>
      </w:r>
    </w:p>
    <w:p w14:paraId="7DEEFC0A">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合同双方一致认为，承包人在递交投标文件前，对本合同工程的投标文件和已 标价工程量清单中开列的单价和总额价已查明是正确的和完备的。投标的单价和总 额价应已包括了合同中规定的承包人的全部义务（包括提供货物、材料、设备、服 务的义务，并包括了暂列金额和暂估价范围内的额外工作的义务）以及为实施和完 成本合同工程及其缺陷修复所必需的一切工作和条件。</w:t>
      </w:r>
    </w:p>
    <w:p w14:paraId="337D79D6">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4.13 开展党建工作要求</w:t>
      </w:r>
    </w:p>
    <w:p w14:paraId="4720626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对于政府投资的国家高速公路项目，或承包人为国有控股或参股企业的，承包 人应按规定在项目现场设立基层党组织。不满足上述情形的，承包人应创造条件使 党员能够参加党组织生活并接受相应管理。</w:t>
      </w:r>
    </w:p>
    <w:p w14:paraId="270D656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6AD86F6A">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5. 材料和工程设备</w:t>
      </w:r>
    </w:p>
    <w:p w14:paraId="0C2A54A2">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5.2 发包人提供的材料和工程设备</w:t>
      </w:r>
    </w:p>
    <w:p w14:paraId="7ED475D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第 5.2.3 项补充： </w:t>
      </w:r>
    </w:p>
    <w:p w14:paraId="0487BA4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承包人负责接收并按规定对材料进行抽样检验和对工程设备进行检验测试，若发现材料和工程设备存在缺陷，承包人应及时通知监理人，发包人应及时改正通知 中指出的缺陷。承包人负责接收后的运输和保管，因承包人的原因发生丢失、损坏 或进度拖延，由承包人承担相应责任。</w:t>
      </w:r>
    </w:p>
    <w:p w14:paraId="7CBF7DEA">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6. 施工设备和临时设施</w:t>
      </w:r>
    </w:p>
    <w:p w14:paraId="7954C529">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6.1 承包人提供的施工设备和临时设施</w:t>
      </w:r>
    </w:p>
    <w:p w14:paraId="7727A03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第 6.1.2 项约定为： </w:t>
      </w:r>
    </w:p>
    <w:p w14:paraId="3175BAA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承包人应自行承担修建临时设施的费用，需要临时占地的，应由承包人按第4.1.10 项（1）目的规定办理。</w:t>
      </w:r>
    </w:p>
    <w:p w14:paraId="0025E929">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6.3 要求承包人增加或更换施工设备</w:t>
      </w:r>
    </w:p>
    <w:p w14:paraId="1FF415E6">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 xml:space="preserve">本款细化为： </w:t>
      </w:r>
    </w:p>
    <w:p w14:paraId="6CE9DB4E">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承包人承诺的施工设备必须按时到达现场，不得拖延、缺短或任意更换。尽管承包人已按承诺提供了上述设备，但若承包人使用的施工设备不能满足合同进度计 划和（或）质量要求时，监理人有权要求承包人增加或更换施工设备，承包人应及 时增加或更换，由此增加的费用和（或）工期延误由承包人承担。</w:t>
      </w:r>
    </w:p>
    <w:p w14:paraId="1D75D046">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7. 交通运输</w:t>
      </w:r>
    </w:p>
    <w:p w14:paraId="2EF8F69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7.1 道路通行权和场外设施</w:t>
      </w:r>
    </w:p>
    <w:p w14:paraId="5E30E38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本款约定为： </w:t>
      </w:r>
    </w:p>
    <w:p w14:paraId="75EB0FA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227E9EB8">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8. 测量放线</w:t>
      </w:r>
    </w:p>
    <w:p w14:paraId="15169A52">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8.4 监理人使用施工控制网</w:t>
      </w:r>
    </w:p>
    <w:p w14:paraId="5322472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 经监理人批准，其他相关承包人也可免费使用施工控制网。</w:t>
      </w:r>
    </w:p>
    <w:p w14:paraId="6C36C649">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9. 施工安全、治安保卫和环境保护</w:t>
      </w:r>
    </w:p>
    <w:p w14:paraId="444F66A3">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9.2 承包人的施工安全责任</w:t>
      </w:r>
    </w:p>
    <w:p w14:paraId="5F28928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9.2.1 项细化为： </w:t>
      </w:r>
    </w:p>
    <w:p w14:paraId="62C9B7A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 方案，施工现场临时用电方案，施工安全评估，安全预控及保证措施方案，紧急应 变措施，安全标识、警示和围护方案等。对影响安全的重要工序和下列危险性较大 的工程应编制专项施工方案，并附安全验算结果，经承包人项目总工签字并报监理 人和发包人批准后实施，由专职安全生产管理人员进行现场监督。</w:t>
      </w:r>
    </w:p>
    <w:p w14:paraId="5CE99D9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本项目需要编制专项施工方案的工程包括但不限于以下内容：</w:t>
      </w:r>
    </w:p>
    <w:p w14:paraId="1DE9DD90">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（1）不良地质条件下有潜在危险性的土方、石方开挖；</w:t>
      </w:r>
    </w:p>
    <w:p w14:paraId="3AAB951A">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（2）滑坡和高边坡处理；</w:t>
      </w:r>
    </w:p>
    <w:p w14:paraId="7C99CA04">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（3）桩基础、挡墙基础、深水基础及围堰工程；</w:t>
      </w:r>
    </w:p>
    <w:p w14:paraId="1ABF2CC6">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（4）桥梁工程中的梁、拱、柱等构件施工等；</w:t>
      </w:r>
    </w:p>
    <w:p w14:paraId="408627EF">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（5）隧道工程中的不良地质隧道、高瓦斯隧道等；</w:t>
      </w:r>
    </w:p>
    <w:p w14:paraId="0347FB68">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（6）水上工程中的打桩船作业、施工船作业、外海孤岛作业、边通航边施工作业等；</w:t>
      </w:r>
    </w:p>
    <w:p w14:paraId="759F84B6">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（7）水下工程中的水下焊接、混凝土浇筑、爆破工程等；</w:t>
      </w:r>
    </w:p>
    <w:p w14:paraId="0E9B7DCC">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（8）爆破工程；</w:t>
      </w:r>
    </w:p>
    <w:p w14:paraId="056F6BD9">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（9）大型临时工程中的大型支架、模板、便桥的架设与拆除；桥梁、码头的加 固与拆除；</w:t>
      </w:r>
    </w:p>
    <w:p w14:paraId="3A482324">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（10）其他危险性较大的工程。 监理人和发包人在检查中发现有安全问题或有违反安全管理规章制度的情况时，可视为承包人违约，应按第 22.1 款的规定办理。 第 9.2.5 项细化为： 除项目专用合同条款另有约定外，安全生产费用应为投标价（不含安全生产费及建筑工程一切险及第三者责任险的保险费）的 1.5%（若发包人公布了最高投标限价时，按最高投标限价的 1.5%计）。安全生产费用应用于施工安全防护用具及设施 的采购和更新、安全施工措施的落实、安全生产条件的改善，不得挪作他用。如承 包人在此基础上增加安全生产费用以满足项目施工需要，则承包人应在本项目工程 量清单其他相关子目的单价或总额价中予以考虑，发包人不再另行支付。因采取合 同未约定的特殊防护措施增加的费用，由监理人按第 3.5 款商定或确定。</w:t>
      </w:r>
    </w:p>
    <w:p w14:paraId="2401EAC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9.2.8 项~第 9.2.11 项：</w:t>
      </w:r>
    </w:p>
    <w:p w14:paraId="41D4FE2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9.2.8 承包人应充分关注和保障所有在现场工作的人员的安全，采取以下有效措施，使现场和本合同工程的实施保持有条不紊，以免使上述人员的安全受到威胁。</w:t>
      </w:r>
    </w:p>
    <w:p w14:paraId="0116F335">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（1）按《公路水运工程安全生产监督管理办法》规定的最低数量和资质条件配备专职安全生产管理人员；</w:t>
      </w:r>
    </w:p>
    <w:p w14:paraId="10CD006A">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（2）承包人的垂直运输机械作业人员、施工船舶作业人员、爆破作业人员、安装拆卸工、起重信号工、电工、焊工等国家规定的特种作业人员，必须按照国家规 定经过专门的安全作业培训，并取得特种作业操作资格证书后，方可上岗作业；</w:t>
      </w:r>
    </w:p>
    <w:p w14:paraId="47AE2343">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（3）所有施工机具设备和高空作业设备均应定期检查，并有安全员的签字记录；</w:t>
      </w:r>
    </w:p>
    <w:p w14:paraId="30763C71">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（4）根据本合同各单位工程的施工特点，严格执行《公路水运工程安全生产监 督管理办法》《公路工程施工安全技术规范》等有关规定。</w:t>
      </w:r>
    </w:p>
    <w:p w14:paraId="38F4154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9.2.9 为了保护本合同工程免遭损坏，或为了现场附近和过往群众的安全与方便，在确有必要的时候和地方，或当监理人或有关主管部门要求时，承包人应自费 提供照明、警卫、护栅、警告标志等安全防护设施。</w:t>
      </w:r>
    </w:p>
    <w:p w14:paraId="3E33365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9.2.10 在通航水域施工时，承包人应与当地主管部门取得联系，设置必要的导 航标志，及时发布航行通告，确保施工水域安全。</w:t>
      </w:r>
    </w:p>
    <w:p w14:paraId="6D2FC81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9.2.11 在整个施工过程中对承包人采取的施工安全措施，发包人和监理人有权监督，并向承包人提出整改要求。如果由于承包人未能对其负责的上述事项采取各 种必要的措施而导致或发生与此有关的人身伤亡、罚款、索赔、损失补偿、诉讼费 用及其他一切责任应由承包人负责。</w:t>
      </w:r>
    </w:p>
    <w:p w14:paraId="14DF6BB1">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9.4 环境保护</w:t>
      </w:r>
    </w:p>
    <w:p w14:paraId="0B310B6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9.4.7 项~第 9.4.11 项：</w:t>
      </w:r>
    </w:p>
    <w:p w14:paraId="4F4C82E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9.4.7 承包人应切实执行技术规范中有关环境保护方面的条款和规定。</w:t>
      </w:r>
    </w:p>
    <w:p w14:paraId="7884BE56">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 当缩短其劳动时间。同时，要注意对机械的经常性保养，尽量使其噪声降低到最低水平。为保护施工现场附近居民的夜间休息，对居民区 150m 以内的施工现场，施工时间应加以控制。</w:t>
      </w:r>
    </w:p>
    <w:p w14:paraId="2A0B7A4F">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（2）对于公路施工中粉尘污染的主要污染源――灰土拌和、施工车辆和筑路机械运行及运输产生的扬尘，应采取有效措施减轻其对施工现场的大气污染，保护人民健康，如：</w:t>
      </w:r>
    </w:p>
    <w:p w14:paraId="2A623F6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 xml:space="preserve">    a.拌和设备应有较好的密封，或有防尘设备。</w:t>
      </w:r>
    </w:p>
    <w:p w14:paraId="73CE656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b.施工通道、沥青混凝土拌和站及灰土拌和站应经常进行洒水降尘。</w:t>
      </w:r>
    </w:p>
    <w:p w14:paraId="074F8425">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c.路面施工应注意保持水分，以免扬尘。</w:t>
      </w:r>
    </w:p>
    <w:p w14:paraId="5224F7F9">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d.隧道出渣和桥梁钻孔灌注桩施工时排出的泥浆要进行妥善处理，严禁向河流或农田排放。</w:t>
      </w:r>
    </w:p>
    <w:p w14:paraId="51F5621C">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（3）采取可靠措施保证原有交通的正常通行，维持沿线村镇的居民饮水、农田灌溉、生产生活用电及通信等管线的正常使用。</w:t>
      </w:r>
    </w:p>
    <w:p w14:paraId="08D9331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300F67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9.4.9 在施工期间，承包人应随时保持现场整洁，施工设备和材料、工程设备应 整齐妥善存放和储存，废料与垃圾及不再需要的临时设施应及时从现场清除、拆除 并运走。</w:t>
      </w:r>
    </w:p>
    <w:p w14:paraId="64B1DAD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9.4.10 在施工期间，承包人应严格遵守《关于在公路建设中实行最严格的耕地 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27B305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4B9A2F01">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10. 进度计划</w:t>
      </w:r>
    </w:p>
    <w:p w14:paraId="2DE8719F">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10.1 合同进度计划</w:t>
      </w:r>
    </w:p>
    <w:p w14:paraId="1A8FD70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w:t>
      </w:r>
    </w:p>
    <w:p w14:paraId="6B7841F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承包人编制施工方案说明的内容见项目专用合同条款。</w:t>
      </w:r>
    </w:p>
    <w:p w14:paraId="4AE33BBC">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承包人向监理人报送施工进度计划和施工方案说明的期限：签订合同协议书后28 天之内。</w:t>
      </w:r>
    </w:p>
    <w:p w14:paraId="6D52AA8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监理人应在 14 天内对承包人施工进度计划和施工方案说明予以批复或提出修改意见。</w:t>
      </w:r>
    </w:p>
    <w:p w14:paraId="1FC7FB1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合同进度计划应按照关键线路网络图和主要工作横道图两种形式分别编绘，并应包括每月预计完成的工作量和形象进度。</w:t>
      </w:r>
    </w:p>
    <w:p w14:paraId="4AC88E14">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10.2 合同进度计划的修订</w:t>
      </w:r>
    </w:p>
    <w:p w14:paraId="0DAD34C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本款补充： </w:t>
      </w:r>
    </w:p>
    <w:p w14:paraId="69BDB49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承包人提交合同进度计划修订申请报告，并附有关措施和相关资料的期限：实际进度发生滞后的当月 25 日前。 </w:t>
      </w:r>
    </w:p>
    <w:p w14:paraId="29D7C7A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监理人批复修订合同进度计划的期限：收到修订合同进度计划后 14 天内。</w:t>
      </w:r>
    </w:p>
    <w:p w14:paraId="6BBAFBFD">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本条补充第 10.3 款、第 10.4 款：</w:t>
      </w:r>
    </w:p>
    <w:p w14:paraId="41E18D36">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10.3 年度施工计划</w:t>
      </w:r>
    </w:p>
    <w:p w14:paraId="4B425EB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承包人应在每年 11 月底前，根据已同意的合同进度计划或其修订的计划，向监 理人提交 2 份格式和内容符合监理人合理规定的下一年度的施工计划，以供审查。 该计划应包括本年度估计完成的和下一年度预计完成的分项工程数量和工作量，以 及为实施此计划将采取的措施。</w:t>
      </w:r>
    </w:p>
    <w:p w14:paraId="425EAB9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10.4 合同用款计划</w:t>
      </w:r>
    </w:p>
    <w:p w14:paraId="3508F7C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承包人应在签订本合同协议书后 28 天之内，按招标文件中规定的格式，向监理人提交 2 份按合同规定承包人有权得到支付的详细的季度合同用款计划，以备监理人查阅。如果监理人提出要求，承包人还应按季度提交修订的合同用款计划。</w:t>
      </w:r>
    </w:p>
    <w:p w14:paraId="2194A0C1">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11. 开工和交工</w:t>
      </w:r>
    </w:p>
    <w:p w14:paraId="586F5AC9">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11.1 开工</w:t>
      </w:r>
    </w:p>
    <w:p w14:paraId="66C5AEE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11.1.2 项补充：</w:t>
      </w:r>
    </w:p>
    <w:p w14:paraId="4DE817D8">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承包人应在分部工程开工前 14 天向监理人提交分部工程开工报审表，若承包人的开工准备、工作计划和质量控制方法是可接受的且已获得批准，则经监理人书面同意，分部工程才能开工。</w:t>
      </w:r>
    </w:p>
    <w:p w14:paraId="725BD7FE">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11.3 发包人的工期延误</w:t>
      </w:r>
    </w:p>
    <w:p w14:paraId="5CA28B4D">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本款补充：即使由于上述原因造成工期延误，如果受影响的工程并非处在工程施工进度网络计划的关键线路上，则承包人无权要求延长总工期。</w:t>
      </w:r>
    </w:p>
    <w:p w14:paraId="715EEC8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11.4 异常恶劣的气候条件</w:t>
      </w:r>
    </w:p>
    <w:p w14:paraId="1038A268">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本款补充：异常气候是指项目所在地 30 年以上一遇的罕见气候现象（包括温度、降水、降 雪、风等）。异常恶劣的气候条件在项目专用合同条款中作具体约定。</w:t>
      </w:r>
    </w:p>
    <w:p w14:paraId="4280BDEA">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11.5 承包人的工期延误</w:t>
      </w:r>
    </w:p>
    <w:p w14:paraId="1D586C5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本款细化为：</w:t>
      </w:r>
    </w:p>
    <w:p w14:paraId="0581CE9A">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 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59E782A8">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14:paraId="4A157872">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（3）由于承包人原因造成工期延误，承包人应支付逾期交工违约金。逾期交工违约金的计算方法在项目专用合同条款数据表中约定，时间自预定的交工日期起到 交工验收证书中写明的实际交工日期止（扣除已批准的延长工期），按天计算。逾期交工违约金累计金额最高不超过项目专用合同条款数据表中写明的限额。发包人可 以从应付或到期应付给承包人的任何款项中或采用其他方法扣除此违约金。</w:t>
      </w:r>
    </w:p>
    <w:p w14:paraId="57C89AD9">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（4）承包人支付逾期交工违约金，不免除承包人完成工程及修补缺陷的义务。</w:t>
      </w:r>
    </w:p>
    <w:p w14:paraId="1C18854B">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（5）如果在合同工程完工之前，已对合同工程内按时完工的单位工程签发了交工验收证书，则合同工程的逾期交工违约金，应按已签发交工验收证书的单位工程 的价值占合同工程价值的比例予以减少，但本规定不应影响逾期交工违约金的规定限额。</w:t>
      </w:r>
    </w:p>
    <w:p w14:paraId="58993543">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11.6 工期提前</w:t>
      </w:r>
    </w:p>
    <w:p w14:paraId="562AB6D2">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本款补充： 发包人不得随意要求承包人提前交工，承包人也不得随意提出提前交工的建议。</w:t>
      </w:r>
    </w:p>
    <w:p w14:paraId="75D1141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如遇特殊情况，确需将工期提前的，发包人和承包人必须采取有效措施，确保工程质量。</w:t>
      </w:r>
    </w:p>
    <w:p w14:paraId="0CE8064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如果承包人提前交工，发包人支付奖金的计算方法在项目专用合同条款数据表中约定，时间自交工验收证书中写明的实际交工日期起至预定的交工日期止，按天 计算。但奖金最高限额不超过项目专用合同条款数据表中写明的限额。</w:t>
      </w:r>
    </w:p>
    <w:p w14:paraId="35B0F52F">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本条补充第 11.7 款：</w:t>
      </w:r>
    </w:p>
    <w:p w14:paraId="7BEE1460">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11.7 工作时间的限制</w:t>
      </w:r>
    </w:p>
    <w:p w14:paraId="62C0A273">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承包人在夜间或国家规定的节假日进行永久工程的施工，应向监理人报告，以 便监理人履行监理职责和义务。</w:t>
      </w:r>
    </w:p>
    <w:p w14:paraId="483AE297">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但是，为了抢救生命或保护财产，或为了工程的安全、质量而不可避免地短暂 作业，则不必事先向监理人报告。但承包人应在事后立即向监理人报告。</w:t>
      </w:r>
    </w:p>
    <w:p w14:paraId="10FBF740">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本款规定不适用于习惯上或施工本身要求实行连续生产的作业。</w:t>
      </w:r>
    </w:p>
    <w:p w14:paraId="76758BC7">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12. 暂停施工</w:t>
      </w:r>
    </w:p>
    <w:p w14:paraId="06F8B4CB">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12.1 承包人暂停施工的责任</w:t>
      </w:r>
    </w:p>
    <w:p w14:paraId="09A58BF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本款第（5）项细化为：</w:t>
      </w:r>
    </w:p>
    <w:p w14:paraId="4338610C">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（5）现场气候条件导致的必要停工（第 11.4 款约定的异常恶劣的气候条件除 外）；</w:t>
      </w:r>
    </w:p>
    <w:p w14:paraId="3CF0F2AE">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（6）项目专用合同条款可能约定的由承包人承担的其他暂停施工。</w:t>
      </w:r>
    </w:p>
    <w:p w14:paraId="74900C99">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13. 工程质量</w:t>
      </w:r>
    </w:p>
    <w:p w14:paraId="028DF016">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13.1 工程质量要求</w:t>
      </w:r>
    </w:p>
    <w:p w14:paraId="78DAFBC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13.1.1 项约定为： 工程质量验收按技术规范及《公路工程质量检验评定标准》执行。</w:t>
      </w:r>
    </w:p>
    <w:p w14:paraId="56D0135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13.1.4 项、第 13.1.5 项：</w:t>
      </w:r>
    </w:p>
    <w:p w14:paraId="6AA8760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13.1.4 发包人和承包人应严格遵守《关于严格落实公路工程质量责任制的若干 意见》的相关规定，认真执行工程质量责任登记制度并按要求填写工程质量责任登 记表。</w:t>
      </w:r>
    </w:p>
    <w:p w14:paraId="2DBBBCD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13.1.5 本项目严格执行质量责任追究制度。质量事故处理实行“四不放过”原则： 事故原因调查不清不放过；事故责任者没有受到教育不放过；没有防范措施不放过； 相关责任人没受到处理不放过。</w:t>
      </w:r>
    </w:p>
    <w:p w14:paraId="362E879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13.2 承包人的质量管理</w:t>
      </w:r>
    </w:p>
    <w:p w14:paraId="09BD51A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第 13.2.1 项补充： 承包人提交工程质量保证措施文件的期限：签订合同协议书后 28 天之内。 </w:t>
      </w:r>
    </w:p>
    <w:p w14:paraId="0F2A882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13.2.3 项~第 13.2.10 项：</w:t>
      </w:r>
    </w:p>
    <w:p w14:paraId="6E37448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13.2.3 公路工程施行质量责任终身制。承包人应当书面明确相应的项目负责人 和质量负责人。承包人的相关人员按照国家法律法规和有关规定在工程合理使用年 限内承担相应的质量责任。</w:t>
      </w:r>
    </w:p>
    <w:p w14:paraId="30DDB42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13.2.4 承包人应当建立健全工程质量保证体系，制定质量管理制度，强化工程 质量管理措施，完善工程质量目标保障机制；严格遵守国家有关法律、法规和规章， 严格执行公路工程强制性技术标准、各类技术规范及规程，全面履行工程合同义务。</w:t>
      </w:r>
    </w:p>
    <w:p w14:paraId="325FBB68">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13.2.5 承包人对工程施工质量负责，应当按合同约定设立现场质量管理机构、 配备工程技术人员和质量管理人员，落实工程施工质量责任制。</w:t>
      </w:r>
    </w:p>
    <w:p w14:paraId="5B705E4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13.2.6 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 进行质量自评。检验或者自评不合格的，不得进入下道工序或者投入使用。</w:t>
      </w:r>
    </w:p>
    <w:p w14:paraId="250BE9A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13.2.7 承包人应当加强施工过程质量控制，并形成完整、可追溯的施工质量管 理资料，主体工程的隐蔽部位施工还应当保留影像资料。对施工中出现的质量问题 或者验收不合格的工程，应当负责返工处理；对在保修范围和保修期限内发生质量 问题的工程，应当履行保修义务。</w:t>
      </w:r>
    </w:p>
    <w:p w14:paraId="6B5785E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13.2.8 承包人应当按照合同约定设立工地临时试验室，配齐检测和试验仪器、 仪表，及时校正确保其精度；严格按照工程技术标准、检测规范和规程，在核定的 试验检测参数范围内开展试验检测活动，并确保规范规定的检验、抽检频率。承包 人应当对其设立的工地临时试验室所出具的试验检测数据和报告的真实性、客观性、 准确性负责。</w:t>
      </w:r>
    </w:p>
    <w:p w14:paraId="0FA30E7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13.2.9 承包人应当依法规范分包行为，并对承担的工程质量负总责，分包单位对分包合同范围内的工程质量负责。</w:t>
      </w:r>
    </w:p>
    <w:p w14:paraId="26E346E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13.2.10 承包人驻工程现场机构应在现场驻地和重要的分部、分项工程施工现场 设置明显的工程质量责任登记表公示牌。</w:t>
      </w:r>
    </w:p>
    <w:p w14:paraId="30045B9A">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13.4 监理人的质量检查</w:t>
      </w:r>
    </w:p>
    <w:p w14:paraId="4E2DE83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 监理人及其委派的检验人员，应能进入工程现场，以及材料或工程设备的制造、加工或制配的车间和场所，包括不属于承包人的车间或场所进行检查，承包人应为 此提供便利和协助。监理人可以将材料或工程设备的检查和检验委托给一家独立的有质量检验认证 资格的检验单位。该独立检验单位的检验结果应视为监理人完成的。监理人应将这 种委托的通知书不少于 7 天前交给承包人。</w:t>
      </w:r>
    </w:p>
    <w:p w14:paraId="6FF84BBF">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13.5 工程隐蔽部位覆盖前的检查</w:t>
      </w:r>
    </w:p>
    <w:p w14:paraId="5AD80B4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13.5.1 项补充：当监理人有指令时，承包人应对重要隐蔽工程进行拍摄或照相并应保证监理人有充分的机会对将要覆盖或掩蔽的工程进行检查和量测，特别是在基础以上的任一 部分工程修筑之前，对该基础进行检查。</w:t>
      </w:r>
    </w:p>
    <w:p w14:paraId="45CB2572">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13.6 清除不合格工程</w:t>
      </w:r>
    </w:p>
    <w:p w14:paraId="0F34561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13.6.1 项细化为：</w:t>
      </w:r>
    </w:p>
    <w:p w14:paraId="46E248A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（1）承包人使用不合格材料、工程设备，或采用不适当的施工工艺，或施工不 当，造成工程不合格的，监理人可以随时发出指示，要求承包人立即采取措施进行 替换、补救或拆除重建，直至达到合同要求的质量标准，由此增加的费用和（或）工期延误由承包人承担。</w:t>
      </w:r>
    </w:p>
    <w:p w14:paraId="49E4A1A2">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（2）如果承包人未在规定时间内执行监理人的指示，发包人有权雇用他人执行， 由此增加的费用和（或）工期延误由承包人承担。</w:t>
      </w:r>
    </w:p>
    <w:p w14:paraId="23F316B5">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14. 试验和检验</w:t>
      </w:r>
    </w:p>
    <w:p w14:paraId="24E8F79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补充第 14.4 款：</w:t>
      </w:r>
    </w:p>
    <w:p w14:paraId="4DE079F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14.4 试验和检验费用</w:t>
      </w:r>
    </w:p>
    <w:p w14:paraId="40E5C6A5">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（1）承包人应负责提供合同和技术规范规定的试验和检验所需的全部样品，并承担其费用。</w:t>
      </w:r>
    </w:p>
    <w:p w14:paraId="5548E82D">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（2）在合同中明确规定的试验和检验，包括无须在工程量清单中单独列项和已 在工程量清单中单独列项的试验和检验，其试验和检验的费用由承包人承担。</w:t>
      </w:r>
    </w:p>
    <w:p w14:paraId="64D89D93">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（3）如果监理人所要求做的试验和检验为合同未规定的或是在该材料或工程设 备的制造、加工、制配场地以外的场所进行的，则检验结束后，如表明操作工艺或 材料、工程设备未能符合合同规定，其费用应由承包人承担，否则，其费用应由发包人承担。</w:t>
      </w:r>
    </w:p>
    <w:p w14:paraId="58CB4E4D">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15. 变更</w:t>
      </w:r>
    </w:p>
    <w:p w14:paraId="5DE2C664">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15.1 变更的范围和内容</w:t>
      </w:r>
    </w:p>
    <w:p w14:paraId="7EAA45E6">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本款第（1）项细化为：</w:t>
      </w:r>
    </w:p>
    <w:p w14:paraId="7D30E286">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（1）取消合同中任何一项工作，但被取消的工作不能转由发包人或其他人实施， 由于承包人违约造成的情况除外；</w:t>
      </w:r>
    </w:p>
    <w:p w14:paraId="673B763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15.3 变更程序</w:t>
      </w:r>
    </w:p>
    <w:p w14:paraId="4D0CE5F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15.3.4 项：</w:t>
      </w:r>
    </w:p>
    <w:p w14:paraId="4C9C14CA">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15.3.4 设计变更程序应执行《公路工程设计变更管理办法》的相关规定。</w:t>
      </w:r>
    </w:p>
    <w:p w14:paraId="5B6D771E">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15.4 变更的估价原则</w:t>
      </w:r>
    </w:p>
    <w:p w14:paraId="72E3239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本款细化为： </w:t>
      </w:r>
    </w:p>
    <w:p w14:paraId="59748A2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除项目专用合同条款另有约定外，因变更引起的价格调整按照本款约定处理。</w:t>
      </w:r>
    </w:p>
    <w:p w14:paraId="3B8F1FA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15.4.1 如果取消某项工作，则该项工作的总额价不予支付。</w:t>
      </w:r>
    </w:p>
    <w:p w14:paraId="07A42CA3">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15.4.2 已标价工程量清单中有适用于变更工作的子目的，采用该子目的单价。</w:t>
      </w:r>
    </w:p>
    <w:p w14:paraId="625A28A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15.4.3 已标价工程量清单中无适用于变更工作的子目，但有类似子目的，可在 合理范围内参照类似子目的单价，由监理人按第 3.5 款商定或确定变更工作的单价。</w:t>
      </w:r>
    </w:p>
    <w:p w14:paraId="70CB135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15.4.4 已标价工程量清单中无适用或类似子目的单价，可在综合考虑承包人在 投标时所提供的单价分析表的基础上，由监理人按第 3.5 款商定或确定变更工作的 单价。</w:t>
      </w:r>
    </w:p>
    <w:p w14:paraId="51D4CCD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15.4.5 如果本工程的变更指示是因承包人过错、承包人违反合同或承包人责任 造成的，则这种违约引起的任何额外费用应由承包人承担。</w:t>
      </w:r>
    </w:p>
    <w:p w14:paraId="29FCCD00">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15.5 承包人的合理化建议</w:t>
      </w:r>
    </w:p>
    <w:p w14:paraId="66C961E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15.5.2 项约定为：</w:t>
      </w:r>
    </w:p>
    <w:p w14:paraId="39CEB2D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承包人提出的合理化建议缩短了工期，发包人按第 11.6 款的规定给予奖励。 承包人提出的合理化建议降低了合同价格或者提高了工程经济效益的，发包人按项目专用合同条款数据表中规定的金额给予奖励。</w:t>
      </w:r>
    </w:p>
    <w:p w14:paraId="393E361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15.6 暂列金额</w:t>
      </w:r>
    </w:p>
    <w:p w14:paraId="24AE39C1">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本款细化为：</w:t>
      </w:r>
    </w:p>
    <w:p w14:paraId="4F643D4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15.6.1 暂列金额应由监理人报发包人批准后指令全部或部分地使用，或者根本不 予动用。</w:t>
      </w:r>
    </w:p>
    <w:p w14:paraId="77A2589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15.6.2 对于经发包人批准的每一笔暂列金额，监理人有权向承包人发出实施工程 或提供材料、工程设备或服务的指令。这些指令应由承包人完成，监理人应根据第</w:t>
      </w:r>
    </w:p>
    <w:p w14:paraId="06103D7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15.4 款约定的变更估价原则和第15.7 款的规定，对合同价格进行相应调整。</w:t>
      </w:r>
    </w:p>
    <w:p w14:paraId="6C31A44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15.6.3 当监理人提出要求时，承包人应提供有关暂列金额支出的所有报价单、发 票、凭证和账单或收据，除非该工作是根据已标价工程量清单列明的单价或总额价 进行的估价。</w:t>
      </w:r>
    </w:p>
    <w:p w14:paraId="56886A5B">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16. 价格调整</w:t>
      </w:r>
    </w:p>
    <w:p w14:paraId="42A501C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16.1 物价波动引起的价格调整</w:t>
      </w:r>
    </w:p>
    <w:p w14:paraId="02FC813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本款约定为：</w:t>
      </w:r>
    </w:p>
    <w:p w14:paraId="4F96D179">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（1）除项目专用合同条款另有约定外，因物价波动引起的价格调整应按项目专用合同条款数据表的规定，按照第 16.1.1 项或第 16.1.2 项约定的原则处理；</w:t>
      </w:r>
    </w:p>
    <w:p w14:paraId="6AEDA421">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（2）在合同执行期间（包括工期拖延期间）由于人工、材料和设备价格的上涨而引起工程施工成本增加的风险由承包人自行承担，合同价格不会因此而调整。</w:t>
      </w:r>
    </w:p>
    <w:p w14:paraId="27CA42F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16.1.1 采用价格指数调整价格差额</w:t>
      </w:r>
    </w:p>
    <w:p w14:paraId="0169F5E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16.1.1.1 价格调整公式 价格调整公式后增加备注如下：</w:t>
      </w:r>
    </w:p>
    <w:p w14:paraId="40E3F56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 xml:space="preserve">式中，A=1－（B1＋B2＋B3＋……＋Bn）。 </w:t>
      </w:r>
    </w:p>
    <w:p w14:paraId="6C503792">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 xml:space="preserve">本目最后一段文字细化为： </w:t>
      </w:r>
    </w:p>
    <w:p w14:paraId="6AC28CB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在采用价格调整公式进行调价时，还应遵守以下规定：</w:t>
      </w:r>
    </w:p>
    <w:p w14:paraId="7A85EF47">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7C25EA43">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1EA077E">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17. 计量与支付</w:t>
      </w:r>
    </w:p>
    <w:p w14:paraId="3BC3C3F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17.1 计量</w:t>
      </w:r>
    </w:p>
    <w:p w14:paraId="1EC8B50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17.1.2 计量方法 </w:t>
      </w:r>
    </w:p>
    <w:p w14:paraId="76D8397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本项约定为： </w:t>
      </w:r>
    </w:p>
    <w:p w14:paraId="0503C95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工程的计量应以净值为准，除非项目专用合同条款另有约定。工程量清单中各个子目的具体计量方法按本合同文件工程量清单计量规则中的规定执行。</w:t>
      </w:r>
    </w:p>
    <w:p w14:paraId="2F7A4078">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17.1.4 单价子目的计量</w:t>
      </w:r>
    </w:p>
    <w:p w14:paraId="3A5310C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本项补充：</w:t>
      </w:r>
    </w:p>
    <w:p w14:paraId="1B34FE1F">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（7）承包人未在已标价工程量清单中填入单价或总额价的工程子目，将被认为 其已包含在本合同的其他子目的单价和总额价中，发包人将不另行支付。</w:t>
      </w:r>
    </w:p>
    <w:p w14:paraId="53964D56">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 xml:space="preserve">17.1.5 总价子目的计量 </w:t>
      </w:r>
    </w:p>
    <w:p w14:paraId="3586787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本项补充： 本项目工程量清单中要求承包人以“总额”方式报价的子目，各子目的支付原则和支付进度按项目专用合同条款的规定执行。</w:t>
      </w:r>
    </w:p>
    <w:p w14:paraId="32F3C828">
      <w:pPr>
        <w:pStyle w:val="35"/>
        <w:spacing w:before="48" w:beforeLines="20" w:after="48" w:afterLines="20"/>
        <w:outlineLvl w:val="4"/>
        <w:rPr>
          <w:rFonts w:hint="eastAsia" w:ascii="宋体" w:hAnsi="宋体" w:cs="宋体"/>
          <w:bCs/>
          <w:szCs w:val="21"/>
        </w:rPr>
      </w:pPr>
      <w:r>
        <w:rPr>
          <w:rFonts w:hint="eastAsia" w:ascii="宋体" w:hAnsi="宋体" w:cs="宋体"/>
          <w:bCs/>
          <w:szCs w:val="21"/>
        </w:rPr>
        <w:t>17.2 预付款</w:t>
      </w:r>
    </w:p>
    <w:p w14:paraId="567FFB3B">
      <w:pPr>
        <w:pStyle w:val="35"/>
        <w:spacing w:before="48" w:beforeLines="20" w:after="48" w:afterLines="20"/>
        <w:ind w:firstLine="420" w:firstLineChars="200"/>
        <w:outlineLvl w:val="4"/>
        <w:rPr>
          <w:rFonts w:hint="eastAsia" w:ascii="宋体" w:hAnsi="宋体" w:cs="宋体"/>
          <w:bCs/>
          <w:color w:val="FF0000"/>
          <w:szCs w:val="21"/>
        </w:rPr>
      </w:pPr>
      <w:r>
        <w:rPr>
          <w:rFonts w:hint="eastAsia" w:ascii="宋体" w:hAnsi="宋体" w:cs="宋体"/>
          <w:bCs/>
          <w:szCs w:val="21"/>
        </w:rPr>
        <w:t xml:space="preserve">17.2.1 预付款 </w:t>
      </w:r>
    </w:p>
    <w:p w14:paraId="28562B9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rPr>
        <w:t>本项约定为： 本项目不支付预付款。</w:t>
      </w:r>
    </w:p>
    <w:p w14:paraId="0A03D4E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rPr>
        <w:t>预付款包括开工预付款和材料、设备预付款。具体额度和预付办法如下：</w:t>
      </w:r>
    </w:p>
    <w:p w14:paraId="4C53D5BD">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rPr>
        <w:t>（1）开工预付款的金额在项目专用合同条款数据表中约定。在承包人签订了合同协议书且承包人承诺的主要设备进场后，监理人应在当期进度付款证书中向承包 人支付开工预付款。</w:t>
      </w:r>
    </w:p>
    <w:p w14:paraId="0BF8AAEC">
      <w:pPr>
        <w:pStyle w:val="35"/>
        <w:spacing w:before="48" w:beforeLines="20" w:after="48" w:afterLines="20"/>
        <w:outlineLvl w:val="4"/>
        <w:rPr>
          <w:rFonts w:hint="eastAsia" w:ascii="宋体" w:hAnsi="宋体" w:cs="宋体"/>
          <w:bCs/>
          <w:szCs w:val="21"/>
        </w:rPr>
      </w:pPr>
      <w:r>
        <w:rPr>
          <w:rFonts w:hint="eastAsia" w:ascii="宋体" w:hAnsi="宋体" w:cs="宋体"/>
          <w:bCs/>
          <w:szCs w:val="21"/>
        </w:rPr>
        <w:t>承包人不得将该预付款用于与本工程无关的支出，监理人有权监督承包人对该项费用的使用，如经查实承包人滥用开工预付款，发包人有权立即向银行索赔履约保证金，并解除合同。</w:t>
      </w:r>
    </w:p>
    <w:p w14:paraId="6594A050">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rPr>
        <w:t>（2）材料、设备预付款按项目专用合同条款数据表中所列主要材料、设备单据费用（进口的材料、设备为到岸价，国内采购的为出厂价或销售价，地方材料为堆场价）的百分比支付。其预付条件为：</w:t>
      </w:r>
    </w:p>
    <w:p w14:paraId="5537690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rPr>
        <w:t>a. 材料、设备符合规范要求并经监理人认可；</w:t>
      </w:r>
    </w:p>
    <w:p w14:paraId="3FA9FED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rPr>
        <w:t>b. 承包人已出具材料、设备费用凭证或支付单据；</w:t>
      </w:r>
    </w:p>
    <w:p w14:paraId="3778179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c. 材料、设备已在现场交货，且存储良好，监理人认为材料、设备的存储方法符合要求。</w:t>
      </w:r>
    </w:p>
    <w:p w14:paraId="2BEEACE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则监理人应将此项金额作为材料、设备预付款计入下一次的进度付款证书中。在预计交工前 3 个月，将不再支付材料、设备预付款。</w:t>
      </w:r>
    </w:p>
    <w:p w14:paraId="002421A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17.2.2 预付款保函 </w:t>
      </w:r>
    </w:p>
    <w:p w14:paraId="134A7CA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本项细化为： 承包人无须向发包人提交预付款保函。发包人向承包人支付的预付款，应按照本合同第 17.2.1 项规定使用，承包人提交的履约保证金对预付款的正常使用承担保 证责任。</w:t>
      </w:r>
    </w:p>
    <w:p w14:paraId="2803B51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17.2.3 预付款的扣回与还清</w:t>
      </w:r>
    </w:p>
    <w:p w14:paraId="00884C4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本项约定为：</w:t>
      </w:r>
    </w:p>
    <w:p w14:paraId="5C7053E4">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（1）开工预付款在进度付款证书的累计金额未达到签约合同价的 30%之前不予 扣回，在达到签约合同价 30%之后，开始按工程进度以固定比例（即每完成签约合 同价的 1%，扣回开工预付款的 2%）分期从各月的进度付款证书中扣回，全部金额 在进度付款证书的累计金额达到签约合同价的 80%时扣完。</w:t>
      </w:r>
    </w:p>
    <w:p w14:paraId="7D8B647C">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（2）当材料、设备已用于或安装在永久工程之中时，材料、设备预付款应从进 度付款证书中扣回，扣回期不超过 3 个月。已经支付材料、设备预付款的材料、设 备的所有权应属于发包人。</w:t>
      </w:r>
    </w:p>
    <w:p w14:paraId="0AE0DBFB">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17.3 工程进度付款</w:t>
      </w:r>
    </w:p>
    <w:p w14:paraId="3323B852">
      <w:pPr>
        <w:pStyle w:val="35"/>
        <w:spacing w:before="48" w:beforeLines="20" w:after="48" w:afterLines="20"/>
        <w:ind w:firstLine="210" w:firstLineChars="100"/>
        <w:outlineLvl w:val="4"/>
        <w:rPr>
          <w:rFonts w:hint="eastAsia" w:ascii="宋体" w:hAnsi="宋体" w:eastAsia="宋体" w:cs="宋体"/>
          <w:bCs/>
          <w:color w:val="FF0000"/>
          <w:szCs w:val="21"/>
          <w:highlight w:val="white"/>
          <w:lang w:val="en-US" w:eastAsia="zh-CN"/>
        </w:rPr>
      </w:pPr>
      <w:r>
        <w:rPr>
          <w:rFonts w:hint="eastAsia" w:ascii="宋体" w:hAnsi="宋体" w:eastAsia="宋体" w:cs="宋体"/>
          <w:bCs/>
          <w:color w:val="FF0000"/>
          <w:szCs w:val="21"/>
          <w:highlight w:val="white"/>
          <w:lang w:val="en-US" w:eastAsia="zh-CN"/>
        </w:rPr>
        <w:t>本项目不支付进度款，中标人全程垫资方式进行施工，工程经有关部门竣工验收合格，经由结算审核单位办理完工程竣工结算审核后，待上级补助资金到招标人账户后付总工程款的97%，余下3%转为工程质量保证金（除产品质量外的其它工程），保修金自竣工验收合格之日起一年期满无质量问题并经发包人确认后一个月内一次性支付（质量保证金不计利息）。若工程一年内有质量问题，乙方应无偿保修，乙方怠于保修的，甲方有权没收未支付的款项充抵保修金，保修费用不够的，甲方仍可向乙方追偿。</w:t>
      </w:r>
    </w:p>
    <w:p w14:paraId="21423F4B">
      <w:pPr>
        <w:pStyle w:val="35"/>
        <w:spacing w:before="48" w:beforeLines="20" w:after="48" w:afterLines="20"/>
        <w:ind w:firstLine="420" w:firstLineChars="200"/>
        <w:outlineLvl w:val="4"/>
        <w:rPr>
          <w:rFonts w:hint="eastAsia" w:ascii="宋体" w:hAnsi="宋体" w:eastAsia="宋体" w:cs="宋体"/>
          <w:bCs/>
          <w:color w:val="FF0000"/>
          <w:szCs w:val="21"/>
          <w:highlight w:val="white"/>
        </w:rPr>
      </w:pPr>
      <w:r>
        <w:rPr>
          <w:rFonts w:hint="eastAsia" w:ascii="宋体" w:hAnsi="宋体" w:eastAsia="宋体" w:cs="宋体"/>
          <w:bCs/>
          <w:color w:val="FF0000"/>
          <w:szCs w:val="21"/>
          <w:highlight w:val="white"/>
        </w:rPr>
        <w:t xml:space="preserve">工程款全部以银行转账形式支付。承包人提请支取工程款前应提交同等金额的正式税务发票，否则发包人有权不予支付进度款。 </w:t>
      </w:r>
    </w:p>
    <w:p w14:paraId="2E46B73D">
      <w:pPr>
        <w:pStyle w:val="40"/>
        <w:spacing w:after="200"/>
        <w:ind w:firstLine="420" w:firstLineChars="200"/>
        <w:rPr>
          <w:rFonts w:hint="eastAsia" w:ascii="宋体" w:hAnsi="宋体" w:eastAsia="宋体" w:cs="宋体"/>
          <w:bCs/>
          <w:kern w:val="2"/>
          <w:sz w:val="21"/>
          <w:szCs w:val="21"/>
          <w:highlight w:val="white"/>
        </w:rPr>
      </w:pPr>
      <w:r>
        <w:rPr>
          <w:rFonts w:hint="eastAsia" w:ascii="宋体" w:hAnsi="宋体" w:eastAsia="宋体" w:cs="宋体"/>
          <w:bCs/>
          <w:kern w:val="2"/>
          <w:sz w:val="21"/>
          <w:szCs w:val="21"/>
          <w:highlight w:val="white"/>
        </w:rPr>
        <w:t>其它约定：在对以往历次已签发的进度付款证书进行汇总和复核中发现错、漏或重复的，监理人有权予以修正，承包人也有权提出修正申请。经双方复核同意后报发包人审批，发包人审批后在本次进度付款中支付或扣除。</w:t>
      </w:r>
    </w:p>
    <w:p w14:paraId="2694F20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发包人应在监理人收到进度付款申请单且承包人提交了合格的增值税专用发票后的 28 天内，将进度应付款支付给承包人。 </w:t>
      </w:r>
    </w:p>
    <w:p w14:paraId="423E0D93">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 xml:space="preserve">发包人不按期支付的，按项目专用合同条款数据表中约定的利率向承包人支付逾期付款违约金。违约金计算基数为发包人的全部未付款额，时间从应付而未付该款额之日算起（不计复利）。 </w:t>
      </w:r>
    </w:p>
    <w:p w14:paraId="3FA2121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17.3.5 项：</w:t>
      </w:r>
    </w:p>
    <w:p w14:paraId="40721C6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17.3.5 农民工工资保证金</w:t>
      </w:r>
    </w:p>
    <w:p w14:paraId="1AC8C3BA">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（1）为确保施工过程中农民工工资实时、足额发放到位，承包人应按照项目专用合同条款约定的时间和金额缴存农民工工资保证金。</w:t>
      </w:r>
    </w:p>
    <w:p w14:paraId="05A0C9C6">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（2）农民工工资保证金可采用银行保函或现金、支票形式。采用银行保函时，出具保函的银行须具有相应担保能力，且按照发包人批准的格式出具，所需费用由承包人承担。</w:t>
      </w:r>
    </w:p>
    <w:p w14:paraId="1070F1EE">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（3）农民工工资保证金的扣留条件、返还时间按照项目专用合同条款的约定执行。</w:t>
      </w:r>
    </w:p>
    <w:p w14:paraId="7C9C6AA2">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17.4 质量保证金</w:t>
      </w:r>
    </w:p>
    <w:p w14:paraId="4E3C8DC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17.4.1 项、第 17.4.2 项细化为：</w:t>
      </w:r>
    </w:p>
    <w:p w14:paraId="3C9197A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17.4.1 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533A00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质量保证金采用现金、支票形式提交的，发包人应在项目专用合同条款数据表中明确是否计付利息以及利息的计算方式。</w:t>
      </w:r>
    </w:p>
    <w:p w14:paraId="2C2E1B8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17.4.2 在第 1.1.4.5 目约定的缺陷责任期满，且质量监督机构已按规定对工程质量检测鉴定合格，承包人向发包人申请到期应返还承包人剩余的质量保证金金额，发包人应在 14 天内会同承包人按照合同约定的内容核实承包人是否完成缺陷责任。 如无异议，发包人应当在核实后将剩余保证金返还承包人。</w:t>
      </w:r>
    </w:p>
    <w:p w14:paraId="091C6B9E">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17.5 交工结算</w:t>
      </w:r>
    </w:p>
    <w:p w14:paraId="66CD93E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17.5.1 交工付款申请单 </w:t>
      </w:r>
    </w:p>
    <w:p w14:paraId="33846B2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本项（1）目约定为： </w:t>
      </w:r>
    </w:p>
    <w:p w14:paraId="473BB98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承包人向监理人提交交工付款申请单（包括相关证明材料）的份数在项目专用合同条款数据表中约定；期限：交工验收证书签发后 42 天内。</w:t>
      </w:r>
    </w:p>
    <w:p w14:paraId="68729F9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17.5.2 交工付款证书及支付时间 </w:t>
      </w:r>
    </w:p>
    <w:p w14:paraId="0C88482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本项（2）目细化为：发包人应在监理人出具交工付款证书且承包人提交了合格的增值税专用发票后的 14 天内，将应支付款支付给承包人。发包人不按期支付的，按第 17.3.3（2）目</w:t>
      </w:r>
    </w:p>
    <w:p w14:paraId="28D212AE">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的约定，将逾期付款违约金支付给承包人。</w:t>
      </w:r>
    </w:p>
    <w:p w14:paraId="603123AE">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17.6 最终结清</w:t>
      </w:r>
    </w:p>
    <w:p w14:paraId="2DFB514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17.6.1 最终结清申请单 </w:t>
      </w:r>
    </w:p>
    <w:p w14:paraId="7F4A92D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本项（1）目约定为：承包人向监理人提交最终结清申请单（包括相关证明材料）的份数在项目专用合同条款数据表中约定；期限：缺陷责任期终止证书签发后 28 天内。 最终结清申请单中的总金额应认为是代表了根据合同规定应付给承包人的全部款项的最后结算。</w:t>
      </w:r>
    </w:p>
    <w:p w14:paraId="44B15D6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17.6.2 最终结清证书和支付时间</w:t>
      </w:r>
    </w:p>
    <w:p w14:paraId="7EAB582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本项（2）目细化为：</w:t>
      </w:r>
    </w:p>
    <w:p w14:paraId="76C4CD29">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（2）发包人应在监理人出具最终结清证书且承包人提交了合格的增值税专用发 票后的 14 天内，将应支付款支付给承包人。发包人不按期支付的，按第 17.3.3（2）目的约定，将逾期付款违约金支付给承包人。</w:t>
      </w:r>
    </w:p>
    <w:p w14:paraId="4C0ECEBE">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18. 交工验收</w:t>
      </w:r>
    </w:p>
    <w:p w14:paraId="4EDC5D6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18.2 交工验收申请报告</w:t>
      </w:r>
    </w:p>
    <w:p w14:paraId="05678786">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 xml:space="preserve">本款第（2）项约定为： </w:t>
      </w:r>
    </w:p>
    <w:p w14:paraId="43D9971D">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竣工资料的内容：承包人应按照《公路工程竣（交）工验收办法》和相关规定编制竣工资料。竣工资料的份数在项目专用合同条款数据表中约定。</w:t>
      </w:r>
    </w:p>
    <w:p w14:paraId="5B2AB9AA">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18.3 验收</w:t>
      </w:r>
    </w:p>
    <w:p w14:paraId="10CBC6B9">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 xml:space="preserve">第 18.3.2 项补充： </w:t>
      </w:r>
    </w:p>
    <w:p w14:paraId="059C926E">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2417B2A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18.3.5 项约定为：经验收合格工程的实际交工日期，以最终提交交工验收申请报告的日期为准，并在交工验收证书中写明。</w:t>
      </w:r>
    </w:p>
    <w:p w14:paraId="4A31723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本款补充第 18.3.7 项：</w:t>
      </w:r>
    </w:p>
    <w:p w14:paraId="08FE257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组织办理交工验收和签发交工验收证书的费用由发包人承担。但按照第 18.3.4项规定达不到合格标准的交工验收费用由承包人承担。</w:t>
      </w:r>
    </w:p>
    <w:p w14:paraId="27CF157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本条补充第 18.9 款：</w:t>
      </w:r>
    </w:p>
    <w:p w14:paraId="4A168344">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18.9 竣工文件</w:t>
      </w:r>
    </w:p>
    <w:p w14:paraId="6371681D">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承包人应按照《公路工程竣（交）工验收办法》的相关规定，在缺陷责任期内为竣工验收补充竣工资料，并在签发缺陷责任期终止证书之前提交。</w:t>
      </w:r>
    </w:p>
    <w:p w14:paraId="0EDC0A75">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19. 缺陷责任与保修责任</w:t>
      </w:r>
    </w:p>
    <w:p w14:paraId="1BDC1A34">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19.2 缺陷责任</w:t>
      </w:r>
    </w:p>
    <w:p w14:paraId="1D157F2C">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 xml:space="preserve">第 19.2.2 项修改为： </w:t>
      </w:r>
    </w:p>
    <w:p w14:paraId="5988E4A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在缺陷责任期内，管养单位对已接收使用的工程负责日常养护工作。</w:t>
      </w:r>
      <w:r>
        <w:rPr>
          <w:rFonts w:hint="eastAsia" w:ascii="宋体" w:hAnsi="宋体" w:cs="宋体"/>
          <w:szCs w:val="21"/>
          <w:highlight w:val="white"/>
        </w:rPr>
        <w:t>在使用过程中，发现已接收的工程存在新的缺陷或已修复的缺陷部位或部件又遭损坏的，承包人应负责修复，直至检验合格为止。在缺陷责任期内，</w:t>
      </w:r>
      <w:r>
        <w:rPr>
          <w:rFonts w:hint="eastAsia" w:ascii="宋体" w:hAnsi="宋体" w:cs="宋体"/>
          <w:bCs/>
          <w:szCs w:val="21"/>
          <w:highlight w:val="white"/>
        </w:rPr>
        <w:t>承包人应尽快完成在交工验收证书中写明的未完成工作，并完成对本工程缺陷的修复或监理人指令的修补工作。</w:t>
      </w:r>
    </w:p>
    <w:p w14:paraId="06E8EFA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19.5 承包人的进入权</w:t>
      </w:r>
    </w:p>
    <w:p w14:paraId="26866655">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本款补充：承包人在缺陷修复施工过程中，应服从管养单位的有关安全管理规定，由于承包人自身原因造成的人员伤亡、设备和材料的损毁及罚款等责任由承包人自负。</w:t>
      </w:r>
    </w:p>
    <w:p w14:paraId="3111A490">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19.7 保修责任</w:t>
      </w:r>
    </w:p>
    <w:p w14:paraId="2FD9623A">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本款细化为：</w:t>
      </w:r>
    </w:p>
    <w:p w14:paraId="1B5CF153">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7031089">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（2）在全部工程交工验收前，已经发包人提前验收的单位工程，其保修期的起算日期相应提前。</w:t>
      </w:r>
    </w:p>
    <w:p w14:paraId="5F1F2EC3">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（3）工程保修期终止后 28 天内，监理人签发保修期终止证书。</w:t>
      </w:r>
    </w:p>
    <w:p w14:paraId="35A41336">
      <w:pPr>
        <w:pStyle w:val="35"/>
        <w:spacing w:before="48" w:beforeLines="20" w:after="48" w:afterLines="20"/>
        <w:ind w:firstLine="210" w:firstLineChars="100"/>
        <w:outlineLvl w:val="4"/>
        <w:rPr>
          <w:rFonts w:hint="eastAsia" w:ascii="宋体" w:hAnsi="宋体" w:cs="宋体"/>
          <w:bCs/>
          <w:szCs w:val="21"/>
        </w:rPr>
      </w:pPr>
      <w:r>
        <w:rPr>
          <w:rFonts w:hint="eastAsia" w:ascii="宋体" w:hAnsi="宋体" w:cs="宋体"/>
          <w:bCs/>
          <w:szCs w:val="21"/>
          <w:highlight w:val="white"/>
        </w:rPr>
        <w:t>（4）若承包人不履行保修义务和责任，则承包人应承担由于违约造成的法律后果，并由发包人将其违约行为上报省级交通运输主管部门，作为不良记录纳入公路建设市场信用信息管理系统。</w:t>
      </w:r>
    </w:p>
    <w:p w14:paraId="51BD99BA">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20. 保险</w:t>
      </w:r>
    </w:p>
    <w:p w14:paraId="6A1B4B58">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20.1 工程保险</w:t>
      </w:r>
    </w:p>
    <w:p w14:paraId="71951FF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本款约定为： </w:t>
      </w:r>
    </w:p>
    <w:p w14:paraId="5637E82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建筑工程一切险的投保内容：为本合同工程的永久工程、临时工程和设备及已运至施工工地用于永久工程的材料和设备所投的保险。</w:t>
      </w:r>
    </w:p>
    <w:p w14:paraId="1920072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保险金额：工程量清单第 100 章（不含建筑工程一切险及第三者责任险的保险费）至第 700 章的合计金额。</w:t>
      </w:r>
    </w:p>
    <w:p w14:paraId="349BF19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保险费率：在项目专用合同条款数据表中约定。 </w:t>
      </w:r>
    </w:p>
    <w:p w14:paraId="58E8079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保险期限：开工日起直至本合同工程签发缺陷责任期终止证书止（即合同工期＋缺陷责任期）。 </w:t>
      </w:r>
    </w:p>
    <w:p w14:paraId="3F473F28">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承包人应以发包人和承包人的共同名义投保建筑工程一切险。建筑工程一切险的保险费由承包人报价时列入工程量清单第 100 章内。发包人在接到保险单后，将 按照保险单的费用直接向承包人支付。</w:t>
      </w:r>
    </w:p>
    <w:p w14:paraId="152BDE2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20.4 第三者责任险</w:t>
      </w:r>
    </w:p>
    <w:p w14:paraId="23DB063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20.4.2 项补充：</w:t>
      </w:r>
    </w:p>
    <w:p w14:paraId="2338149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第三者责任险的保险费由承包人报价时列入工程量清单第 100章内。发包人在接到保险单后，将按照保险单的费用直接向承包人支付。</w:t>
      </w:r>
    </w:p>
    <w:p w14:paraId="6688334C">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20.5 其他保险</w:t>
      </w:r>
    </w:p>
    <w:p w14:paraId="27C28BD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本款约定为： </w:t>
      </w:r>
    </w:p>
    <w:p w14:paraId="1D11E37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承包人应为其施工设备等办理保险，其投保金额应足以现场重置。办理本款保险的一切费用均由承包人承担，并包括在工程量清单的单价及总额价中，发包人不单独支付。</w:t>
      </w:r>
    </w:p>
    <w:p w14:paraId="1B64F165">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20.6 对各项保险的一般要求</w:t>
      </w:r>
    </w:p>
    <w:p w14:paraId="64BE4FE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20.6.1 保险凭证 </w:t>
      </w:r>
    </w:p>
    <w:p w14:paraId="5C6ED23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本项约定为：承包人向发包人提交各项保险生效的证据和保险单副本的期限：开工后56 天内。</w:t>
      </w:r>
    </w:p>
    <w:p w14:paraId="5F2F9E1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20.6.3 持续保险</w:t>
      </w:r>
    </w:p>
    <w:p w14:paraId="156D766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本项补充：整个合同期内，承包人应按合同条款规定保证足够的保险额。</w:t>
      </w:r>
    </w:p>
    <w:p w14:paraId="676BE29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20.6.4 保险金不足的补偿 </w:t>
      </w:r>
    </w:p>
    <w:p w14:paraId="028EBF8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本项细化为：保险金不足以补偿损失的（包括免赔额和超过赔偿限额的部分），应由承包人和（或）发包人按合同约定负责补偿。</w:t>
      </w:r>
    </w:p>
    <w:p w14:paraId="26C3333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20.6.5 未按约定投保的补救</w:t>
      </w:r>
    </w:p>
    <w:p w14:paraId="7106D2C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本项（2）目细化为：</w:t>
      </w:r>
    </w:p>
    <w:p w14:paraId="13E0CB56">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115F2C6F">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21.不可抗力</w:t>
      </w:r>
    </w:p>
    <w:p w14:paraId="71C4A623">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21.1 不可抗力的确认</w:t>
      </w:r>
    </w:p>
    <w:p w14:paraId="36A2651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第 21.1.1 项细化为： </w:t>
      </w:r>
    </w:p>
    <w:p w14:paraId="1ADE148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不可抗力是指承包人和发包人在订立合同时不可预见，在工程施工过程中不可避免发生并不能克服的自然灾害和社会性突发事件。包括但不限于：</w:t>
      </w:r>
    </w:p>
    <w:p w14:paraId="2D74D06A">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（1）地震、海啸、火山爆发、泥石流、暴雨（雪）（雨量等级指标：      ）、台风（台风等级指标：      ）、龙卷风、水灾（雨量等级指标：      ）等自然灾害；</w:t>
      </w:r>
    </w:p>
    <w:p w14:paraId="506E333E">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（2）战争、骚乱、暴动，但纯属承包人或其分包人派遣与雇用的人员由于本合同工程施工原因引起者除外；</w:t>
      </w:r>
    </w:p>
    <w:p w14:paraId="5F509FB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（3）核反应、辐射或放射性污染；</w:t>
      </w:r>
    </w:p>
    <w:p w14:paraId="5424832D">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（4）空中飞行物体坠落或非发包人或承包人责任造成的爆炸、火灾；</w:t>
      </w:r>
    </w:p>
    <w:p w14:paraId="0372F39A">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（5）瘟疫；</w:t>
      </w:r>
    </w:p>
    <w:p w14:paraId="454D2C6D">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（6）项目专用合同条款约定的其他情形。</w:t>
      </w:r>
    </w:p>
    <w:p w14:paraId="02EE3F62">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21.3 不可抗力后果及其处理</w:t>
      </w:r>
    </w:p>
    <w:p w14:paraId="57D6277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21.3.4 因不可抗力解除合同 </w:t>
      </w:r>
    </w:p>
    <w:p w14:paraId="1BF2B77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 xml:space="preserve">本项细化为： </w:t>
      </w:r>
    </w:p>
    <w:p w14:paraId="656D8F9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 承包人损失不予考虑。</w:t>
      </w:r>
    </w:p>
    <w:p w14:paraId="547D84EE">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22. 违约</w:t>
      </w:r>
    </w:p>
    <w:p w14:paraId="28654C1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22.1 承包人违约</w:t>
      </w:r>
    </w:p>
    <w:p w14:paraId="28FEFC8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22.1.1 承包人违约的情形</w:t>
      </w:r>
    </w:p>
    <w:p w14:paraId="50E891F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本项（2）目细化为：</w:t>
      </w:r>
    </w:p>
    <w:p w14:paraId="6A3B55A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（2）承包人违反第 5.3 款或第 6.4 款的约定，未经监理人批准，私自将已按合同约定进入施工场地的施工设备、临时设施、材料或工程设备撤离施工场地；</w:t>
      </w:r>
    </w:p>
    <w:p w14:paraId="34CB39A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本项（7）目细化为：</w:t>
      </w:r>
    </w:p>
    <w:p w14:paraId="5DDC3FF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（7）承包人未能按期开工；</w:t>
      </w:r>
    </w:p>
    <w:p w14:paraId="00E5F15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（8）承包人违反第 4.6 款或第 6.3 款的规定，未按承诺或未按监理人的要求及时配备称职的主要管理人员、技术骨干或关键施工设备；</w:t>
      </w:r>
    </w:p>
    <w:p w14:paraId="78BF740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（9）经监理人和发包人检查，发现承包人有安全问题或有违反安全管理规章制度的情况；</w:t>
      </w:r>
    </w:p>
    <w:p w14:paraId="0FE18D9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（10）承包人不按合同约定履行义务的其他情况。</w:t>
      </w:r>
    </w:p>
    <w:p w14:paraId="5822A13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22.1.2 对承包人违约的处理</w:t>
      </w:r>
    </w:p>
    <w:p w14:paraId="5580C1E3">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本项补充：</w:t>
      </w:r>
    </w:p>
    <w:p w14:paraId="70A347E9">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（4）承包人发生第 22.1.1 项约定的违约情况时，无论发包人是否解除合同，发包人均有权向承包人课以项目专用合同条款中规定的违约金，并由发包人将其违约 行为上报省级交通运输主管部门，作为不良记录纳入公路建设市场信用信息管理系统。</w:t>
      </w:r>
    </w:p>
    <w:p w14:paraId="5AC38A76">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22.2 发包人违约</w:t>
      </w:r>
    </w:p>
    <w:p w14:paraId="155CE05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22.2.1 发包人违约的情形</w:t>
      </w:r>
    </w:p>
    <w:p w14:paraId="43A2229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本项（5）目细化为：</w:t>
      </w:r>
    </w:p>
    <w:p w14:paraId="4B0A41B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（5）发包人无正当理由不按时返还履约保证金、质量保证金或农民工工资保证金的；</w:t>
      </w:r>
    </w:p>
    <w:p w14:paraId="34C3008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（6）发包人不履行合同约定其他义务的。</w:t>
      </w:r>
    </w:p>
    <w:p w14:paraId="13C5E90C">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22.2.2 承包人有权暂停施工</w:t>
      </w:r>
    </w:p>
    <w:p w14:paraId="20FE73E6">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本项细化为：</w:t>
      </w:r>
    </w:p>
    <w:p w14:paraId="30EE555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14:paraId="248E110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发包人发生第 22.2.1（5）目的违约情况时，承包人可向发包人发出通知，要求发包人采取有效措施纠正违约行为。发包人收到承包人通知后的 28 天内仍不返还履约保证金、质量保证金或农民工工资保证金的，发包人应按项目专用合同条款的约定向承包人支付逾期返还保证金的违约金。</w:t>
      </w:r>
    </w:p>
    <w:p w14:paraId="0E637E05">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22.2.4 解除合同后的付款</w:t>
      </w:r>
    </w:p>
    <w:p w14:paraId="121AB017">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本项（2）目细化为：</w:t>
      </w:r>
    </w:p>
    <w:p w14:paraId="4CE940E1">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（2）承包人为该工程施工订购并已付款的材料、工程设备和其他物品的金额。发包人付款后，该材料、工程设备和其他物品归发包人所有；</w:t>
      </w:r>
    </w:p>
    <w:p w14:paraId="5E5FB7A8">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23. 索赔</w:t>
      </w:r>
    </w:p>
    <w:p w14:paraId="469E84ED">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23.1 承包人索赔的提出</w:t>
      </w:r>
    </w:p>
    <w:p w14:paraId="73DC299A">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本款第（4）项细化为：</w:t>
      </w:r>
    </w:p>
    <w:p w14:paraId="53C78EB6">
      <w:pPr>
        <w:pStyle w:val="35"/>
        <w:spacing w:before="48" w:beforeLines="20" w:after="48" w:afterLines="20"/>
        <w:ind w:firstLine="315" w:firstLineChars="150"/>
        <w:outlineLvl w:val="4"/>
        <w:rPr>
          <w:rFonts w:hint="eastAsia" w:ascii="宋体" w:hAnsi="宋体" w:cs="宋体"/>
          <w:bCs/>
          <w:szCs w:val="21"/>
        </w:rPr>
      </w:pPr>
      <w:r>
        <w:rPr>
          <w:rFonts w:hint="eastAsia" w:ascii="宋体" w:hAnsi="宋体" w:cs="宋体"/>
          <w:bCs/>
          <w:szCs w:val="21"/>
          <w:highlight w:val="white"/>
        </w:rPr>
        <w:t>（4）在索赔事件影响结束后的 28 天内，承包人应向监理人递交最终索赔通知书，说明最终要求索赔的追加付款金额和（或）延长的工期，并附必要的记录和证明材料。</w:t>
      </w:r>
    </w:p>
    <w:p w14:paraId="76D2790B">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23.2 承包人索赔处理程序</w:t>
      </w:r>
    </w:p>
    <w:p w14:paraId="78334888">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本款第（2）项细化为：</w:t>
      </w:r>
    </w:p>
    <w:p w14:paraId="68CAD04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 的规定，则承包人只限于索赔由监理人按当时记录予以核实的那部分款额和（或）工期延长天数。</w:t>
      </w:r>
    </w:p>
    <w:p w14:paraId="49ADC130">
      <w:pPr>
        <w:pStyle w:val="35"/>
        <w:spacing w:before="48" w:beforeLines="20" w:after="48" w:afterLines="20"/>
        <w:outlineLvl w:val="4"/>
        <w:rPr>
          <w:rFonts w:hint="eastAsia" w:ascii="宋体" w:hAnsi="宋体" w:cs="宋体"/>
          <w:b/>
          <w:bCs/>
          <w:szCs w:val="21"/>
        </w:rPr>
      </w:pPr>
      <w:r>
        <w:rPr>
          <w:rFonts w:hint="eastAsia" w:ascii="宋体" w:hAnsi="宋体" w:cs="宋体"/>
          <w:b/>
          <w:bCs/>
          <w:szCs w:val="21"/>
          <w:highlight w:val="white"/>
        </w:rPr>
        <w:t>24. 争议的解决</w:t>
      </w:r>
    </w:p>
    <w:p w14:paraId="2A478A1F">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24.3 争议评审</w:t>
      </w:r>
    </w:p>
    <w:p w14:paraId="7AE8CB2E">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第 24.3.1 项补充：</w:t>
      </w:r>
    </w:p>
    <w:p w14:paraId="532A0B48">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4777341D">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本条补充第 24.4 款、第 24.5 款（适用于采用仲裁方式最终解决争议的项目）：</w:t>
      </w:r>
    </w:p>
    <w:p w14:paraId="110B861F">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24.4 仲裁</w:t>
      </w:r>
    </w:p>
    <w:p w14:paraId="22856C7F">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（1）对于未能友好解决或未能通过争议评审解决的争议，发包人或承包人任一方均有权提交给第 24.1 款约定的仲裁委员会仲裁。</w:t>
      </w:r>
    </w:p>
    <w:p w14:paraId="3E50BD0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4DFCD9B">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（3）仲裁裁决是终局性的并对发包人和承包人双方具有约束力。</w:t>
      </w:r>
    </w:p>
    <w:p w14:paraId="66797D62">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（4）全部仲裁费用应由败诉方承担；或按仲裁委员会裁决的比例分担。</w:t>
      </w:r>
    </w:p>
    <w:p w14:paraId="425AA50A">
      <w:pPr>
        <w:pStyle w:val="35"/>
        <w:spacing w:before="48" w:beforeLines="20" w:after="48" w:afterLines="20"/>
        <w:outlineLvl w:val="4"/>
        <w:rPr>
          <w:rFonts w:hint="eastAsia" w:ascii="宋体" w:hAnsi="宋体" w:cs="宋体"/>
          <w:bCs/>
          <w:szCs w:val="21"/>
        </w:rPr>
      </w:pPr>
      <w:r>
        <w:rPr>
          <w:rFonts w:hint="eastAsia" w:ascii="宋体" w:hAnsi="宋体" w:cs="宋体"/>
          <w:bCs/>
          <w:szCs w:val="21"/>
          <w:highlight w:val="white"/>
        </w:rPr>
        <w:t>24.5 仲裁的执行</w:t>
      </w:r>
    </w:p>
    <w:p w14:paraId="01CF6E40">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（1）任何一方不履行仲裁机构的裁决的，对方可以向有管辖权的人民法院申请执行。</w:t>
      </w:r>
    </w:p>
    <w:p w14:paraId="4FA6C2C4">
      <w:pPr>
        <w:pStyle w:val="35"/>
        <w:spacing w:before="48" w:beforeLines="20" w:after="48" w:afterLines="20"/>
        <w:ind w:firstLine="420" w:firstLineChars="200"/>
        <w:outlineLvl w:val="4"/>
        <w:rPr>
          <w:rFonts w:hint="eastAsia" w:ascii="宋体" w:hAnsi="宋体" w:cs="宋体"/>
          <w:bCs/>
          <w:szCs w:val="21"/>
        </w:rPr>
      </w:pPr>
      <w:r>
        <w:rPr>
          <w:rFonts w:hint="eastAsia" w:ascii="宋体" w:hAnsi="宋体" w:cs="宋体"/>
          <w:bCs/>
          <w:szCs w:val="21"/>
          <w:highlight w:val="white"/>
        </w:rPr>
        <w:t>（2）任何一方提出证据证明裁决有《中华人民共和国仲裁法》第五十八条规定情形之一的，可以向仲裁委员会所在地的中级人民法院申请撤销裁决。人民法院认 定执行该裁决违背社会公共利益的，裁定不予执行。仲裁裁决被人民法院裁定不予执行的，当事人可以根据双方达成的书面仲裁协议重新申请仲裁，也可以向人民法院起诉。</w:t>
      </w:r>
    </w:p>
    <w:p w14:paraId="568196D2">
      <w:pPr>
        <w:pStyle w:val="35"/>
        <w:ind w:firstLine="420" w:firstLineChars="200"/>
        <w:rPr>
          <w:rFonts w:hint="eastAsia" w:ascii="宋体" w:hAnsi="宋体" w:eastAsia="宋体" w:cs="宋体"/>
          <w:bCs/>
          <w:szCs w:val="21"/>
          <w:lang w:eastAsia="zh-CN"/>
        </w:rPr>
      </w:pPr>
      <w:r>
        <w:rPr>
          <w:rFonts w:hint="eastAsia" w:ascii="宋体" w:hAnsi="宋体" w:cs="宋体"/>
          <w:bCs/>
          <w:szCs w:val="21"/>
          <w:highlight w:val="white"/>
        </w:rPr>
        <w:t>16.1.1 采用价格指数调整价格差额</w:t>
      </w:r>
      <w:r>
        <w:rPr>
          <w:rFonts w:hint="eastAsia" w:ascii="宋体" w:hAnsi="宋体" w:cs="宋体"/>
          <w:bCs/>
          <w:szCs w:val="21"/>
          <w:highlight w:val="white"/>
          <w:lang w:eastAsia="zh-CN"/>
        </w:rPr>
        <w:t>（</w:t>
      </w:r>
      <w:r>
        <w:rPr>
          <w:rFonts w:hint="eastAsia" w:ascii="宋体" w:hAnsi="宋体" w:cs="宋体"/>
          <w:bCs/>
          <w:szCs w:val="21"/>
          <w:highlight w:val="white"/>
          <w:lang w:val="en-US" w:eastAsia="zh-CN"/>
        </w:rPr>
        <w:t>本条款不适用</w:t>
      </w:r>
      <w:r>
        <w:rPr>
          <w:rFonts w:hint="eastAsia" w:ascii="宋体" w:hAnsi="宋体" w:cs="宋体"/>
          <w:bCs/>
          <w:szCs w:val="21"/>
          <w:highlight w:val="white"/>
          <w:lang w:eastAsia="zh-CN"/>
        </w:rPr>
        <w:t>）</w:t>
      </w:r>
    </w:p>
    <w:p w14:paraId="26BE9661">
      <w:pPr>
        <w:pStyle w:val="35"/>
        <w:ind w:firstLine="420" w:firstLineChars="200"/>
        <w:rPr>
          <w:rFonts w:hint="eastAsia" w:ascii="宋体" w:hAnsi="宋体" w:cs="宋体"/>
          <w:bCs/>
          <w:szCs w:val="21"/>
          <w:highlight w:val="white"/>
        </w:rPr>
      </w:pPr>
      <w:r>
        <w:rPr>
          <w:rFonts w:hint="eastAsia" w:ascii="宋体" w:hAnsi="宋体" w:cs="宋体"/>
          <w:bCs/>
          <w:szCs w:val="21"/>
          <w:highlight w:val="white"/>
        </w:rPr>
        <w:t>本项目在合同履行期间仅对钢筋、水泥、柴油、沥青、重油、钢护栏以及用于永久性工程的钢绞线、隧道结构用型钢进行价差按月调整，且仅对材料原价进行调整，运杂费、场外运输损耗、采购及仓库保管费、包装品回收价值等均不在调整之列。临时工程、临时设施及其他辅助设施材料消耗均不纳入材料调差调整范围。对于特大桥梁、大桥、特长隧道、长隧道等的非结构用材也不列入价差调整范围。</w:t>
      </w:r>
    </w:p>
    <w:p w14:paraId="2FC62AFB">
      <w:pPr>
        <w:spacing w:line="360" w:lineRule="auto"/>
        <w:rPr>
          <w:rFonts w:hint="eastAsia" w:ascii="宋体" w:hAnsi="宋体" w:cs="宋体"/>
          <w:color w:val="000080"/>
          <w:sz w:val="20"/>
          <w:highlight w:val="red"/>
        </w:rPr>
      </w:pPr>
      <w:r>
        <w:rPr>
          <w:rFonts w:hint="eastAsia" w:ascii="宋体" w:hAnsi="宋体" w:cs="宋体"/>
          <w:color w:val="000080"/>
          <w:sz w:val="20"/>
          <w:highlight w:val="white"/>
        </w:rPr>
        <w:t xml:space="preserve"> </w:t>
      </w:r>
      <w:bookmarkEnd w:id="707"/>
    </w:p>
    <w:p w14:paraId="7110E81A">
      <w:pPr>
        <w:spacing w:line="360" w:lineRule="auto"/>
        <w:jc w:val="center"/>
        <w:rPr>
          <w:rFonts w:hint="eastAsia" w:ascii="宋体" w:hAnsi="宋体" w:cs="宋体"/>
          <w:sz w:val="24"/>
          <w:szCs w:val="24"/>
        </w:rPr>
      </w:pPr>
      <w:r>
        <w:rPr>
          <w:rFonts w:hint="eastAsia" w:ascii="宋体" w:hAnsi="宋体" w:cs="宋体"/>
          <w:highlight w:val="white"/>
        </w:rPr>
        <w:br w:type="page"/>
      </w:r>
      <w:bookmarkStart w:id="716" w:name="EBed53c4d7aa3c48beaecf3edb09a06ca6"/>
      <w:r>
        <w:rPr>
          <w:rFonts w:hint="eastAsia" w:ascii="宋体" w:hAnsi="宋体" w:cs="宋体"/>
          <w:color w:val="000080"/>
          <w:sz w:val="20"/>
          <w:highlight w:val="white"/>
        </w:rPr>
        <w:t xml:space="preserve"> </w:t>
      </w:r>
      <w:bookmarkEnd w:id="716"/>
      <w:bookmarkStart w:id="717" w:name="EBf535c0389a62480793b9d088f0117d98"/>
      <w:r>
        <w:rPr>
          <w:rFonts w:hint="eastAsia" w:ascii="宋体" w:hAnsi="宋体" w:cs="宋体"/>
          <w:color w:val="000080"/>
          <w:sz w:val="20"/>
          <w:highlight w:val="white"/>
        </w:rPr>
        <w:t xml:space="preserve"> </w:t>
      </w:r>
      <w:bookmarkEnd w:id="717"/>
      <w:bookmarkStart w:id="718" w:name="_Toc362613913"/>
      <w:bookmarkStart w:id="719" w:name="_Toc368338588"/>
      <w:bookmarkStart w:id="720" w:name="_Toc40261844"/>
      <w:bookmarkStart w:id="721" w:name="_Toc362614285"/>
      <w:bookmarkStart w:id="722" w:name="_Toc362618160"/>
      <w:bookmarkStart w:id="723" w:name="_Toc368320261"/>
      <w:bookmarkStart w:id="724" w:name="_Toc243796182"/>
      <w:bookmarkStart w:id="725" w:name="_Toc245379336"/>
      <w:bookmarkStart w:id="726" w:name="_Toc361993611"/>
      <w:bookmarkStart w:id="727" w:name="_Toc234382944"/>
      <w:r>
        <w:rPr>
          <w:rFonts w:hint="eastAsia" w:ascii="宋体" w:hAnsi="宋体" w:cs="宋体"/>
          <w:sz w:val="24"/>
          <w:szCs w:val="24"/>
          <w:highlight w:val="white"/>
        </w:rPr>
        <w:t>第三节  合同附件格式</w:t>
      </w:r>
      <w:bookmarkEnd w:id="718"/>
      <w:bookmarkEnd w:id="719"/>
      <w:bookmarkEnd w:id="720"/>
      <w:bookmarkEnd w:id="721"/>
      <w:bookmarkEnd w:id="722"/>
      <w:bookmarkEnd w:id="723"/>
      <w:bookmarkEnd w:id="724"/>
      <w:bookmarkEnd w:id="725"/>
      <w:bookmarkEnd w:id="726"/>
    </w:p>
    <w:bookmarkEnd w:id="727"/>
    <w:p w14:paraId="4DFEDDE7">
      <w:pPr>
        <w:rPr>
          <w:rFonts w:hint="eastAsia" w:ascii="宋体" w:hAnsi="宋体" w:cs="宋体"/>
          <w:b/>
          <w:sz w:val="24"/>
          <w:u w:val="single"/>
        </w:rPr>
      </w:pPr>
      <w:bookmarkStart w:id="728" w:name="_Toc243290536"/>
      <w:r>
        <w:rPr>
          <w:rFonts w:hint="eastAsia" w:ascii="宋体" w:hAnsi="宋体" w:cs="宋体"/>
          <w:sz w:val="24"/>
          <w:highlight w:val="white"/>
        </w:rPr>
        <w:t xml:space="preserve">附件一  </w:t>
      </w:r>
      <w:bookmarkEnd w:id="728"/>
    </w:p>
    <w:p w14:paraId="5E392314">
      <w:pPr>
        <w:spacing w:line="288" w:lineRule="auto"/>
        <w:jc w:val="center"/>
        <w:rPr>
          <w:rFonts w:hint="eastAsia" w:ascii="宋体" w:hAnsi="宋体" w:cs="宋体"/>
          <w:b/>
          <w:sz w:val="24"/>
        </w:rPr>
      </w:pPr>
      <w:r>
        <w:rPr>
          <w:rFonts w:hint="eastAsia" w:ascii="宋体" w:hAnsi="宋体" w:cs="宋体"/>
          <w:b/>
          <w:sz w:val="24"/>
          <w:highlight w:val="white"/>
        </w:rPr>
        <w:t>合同协议书</w:t>
      </w:r>
    </w:p>
    <w:p w14:paraId="06931393">
      <w:pPr>
        <w:spacing w:line="288" w:lineRule="auto"/>
        <w:jc w:val="center"/>
        <w:rPr>
          <w:rFonts w:hint="eastAsia" w:ascii="宋体" w:hAnsi="宋体" w:cs="宋体"/>
          <w:szCs w:val="21"/>
        </w:rPr>
      </w:pPr>
      <w:r>
        <w:rPr>
          <w:rFonts w:hint="eastAsia" w:ascii="宋体" w:hAnsi="宋体" w:cs="宋体"/>
          <w:szCs w:val="21"/>
          <w:highlight w:val="white"/>
        </w:rPr>
        <w:t>（本附件投标人投标时不须提交）</w:t>
      </w:r>
    </w:p>
    <w:p w14:paraId="04A5F755">
      <w:pPr>
        <w:spacing w:before="120" w:beforeLines="50" w:line="288" w:lineRule="auto"/>
        <w:ind w:firstLine="359" w:firstLineChars="171"/>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（发包人名称，以下简称“发包人”）为实施</w:t>
      </w:r>
      <w:r>
        <w:rPr>
          <w:rFonts w:hint="eastAsia" w:ascii="宋体" w:hAnsi="宋体" w:cs="宋体"/>
          <w:szCs w:val="21"/>
          <w:highlight w:val="white"/>
          <w:u w:val="single"/>
        </w:rPr>
        <w:t xml:space="preserve">      </w:t>
      </w:r>
      <w:r>
        <w:rPr>
          <w:rFonts w:hint="eastAsia" w:ascii="宋体" w:hAnsi="宋体" w:cs="宋体"/>
          <w:szCs w:val="21"/>
          <w:highlight w:val="white"/>
        </w:rPr>
        <w:t>（项目名称），已接受</w:t>
      </w:r>
      <w:r>
        <w:rPr>
          <w:rFonts w:hint="eastAsia" w:ascii="宋体" w:hAnsi="宋体" w:cs="宋体"/>
          <w:szCs w:val="21"/>
          <w:highlight w:val="white"/>
          <w:u w:val="single"/>
        </w:rPr>
        <w:t xml:space="preserve">        </w:t>
      </w:r>
      <w:r>
        <w:rPr>
          <w:rFonts w:hint="eastAsia" w:ascii="宋体" w:hAnsi="宋体" w:cs="宋体"/>
          <w:szCs w:val="21"/>
          <w:highlight w:val="white"/>
        </w:rPr>
        <w:t>（承包人名称，以下简称“承包人”）对该项目</w:t>
      </w:r>
      <w:r>
        <w:rPr>
          <w:rFonts w:hint="eastAsia" w:ascii="宋体" w:hAnsi="宋体" w:cs="宋体"/>
          <w:szCs w:val="21"/>
          <w:highlight w:val="white"/>
          <w:u w:val="single"/>
        </w:rPr>
        <w:t xml:space="preserve">     </w:t>
      </w:r>
      <w:r>
        <w:rPr>
          <w:rFonts w:hint="eastAsia" w:ascii="宋体" w:hAnsi="宋体" w:cs="宋体"/>
          <w:szCs w:val="21"/>
          <w:highlight w:val="white"/>
        </w:rPr>
        <w:t>标段施工的投标。发包人和承包人共同达成如下协议。</w:t>
      </w:r>
    </w:p>
    <w:p w14:paraId="794DD1AB">
      <w:pPr>
        <w:spacing w:line="288" w:lineRule="auto"/>
        <w:ind w:firstLine="359" w:firstLineChars="171"/>
        <w:rPr>
          <w:rFonts w:hint="eastAsia" w:ascii="宋体" w:hAnsi="宋体" w:cs="宋体"/>
          <w:szCs w:val="21"/>
        </w:rPr>
      </w:pPr>
      <w:r>
        <w:rPr>
          <w:rFonts w:hint="eastAsia" w:ascii="宋体" w:hAnsi="宋体" w:cs="宋体"/>
          <w:szCs w:val="21"/>
          <w:highlight w:val="white"/>
        </w:rPr>
        <w:t>1.第</w:t>
      </w:r>
      <w:r>
        <w:rPr>
          <w:rFonts w:hint="eastAsia" w:ascii="宋体" w:hAnsi="宋体" w:cs="宋体"/>
          <w:szCs w:val="21"/>
          <w:highlight w:val="white"/>
          <w:u w:val="single"/>
        </w:rPr>
        <w:t xml:space="preserve">   </w:t>
      </w:r>
      <w:r>
        <w:rPr>
          <w:rFonts w:hint="eastAsia" w:ascii="宋体" w:hAnsi="宋体" w:cs="宋体"/>
          <w:szCs w:val="21"/>
          <w:highlight w:val="white"/>
        </w:rPr>
        <w:t>标段由K+</w:t>
      </w:r>
      <w:r>
        <w:rPr>
          <w:rFonts w:hint="eastAsia" w:ascii="宋体" w:hAnsi="宋体" w:cs="宋体"/>
          <w:szCs w:val="21"/>
          <w:highlight w:val="white"/>
          <w:u w:val="single"/>
        </w:rPr>
        <w:t xml:space="preserve">    </w:t>
      </w:r>
      <w:r>
        <w:rPr>
          <w:rFonts w:hint="eastAsia" w:ascii="宋体" w:hAnsi="宋体" w:cs="宋体"/>
          <w:szCs w:val="21"/>
          <w:highlight w:val="white"/>
        </w:rPr>
        <w:t>至K+</w:t>
      </w:r>
      <w:r>
        <w:rPr>
          <w:rFonts w:hint="eastAsia" w:ascii="宋体" w:hAnsi="宋体" w:cs="宋体"/>
          <w:szCs w:val="21"/>
          <w:highlight w:val="white"/>
          <w:u w:val="single"/>
        </w:rPr>
        <w:t xml:space="preserve">    </w:t>
      </w:r>
      <w:r>
        <w:rPr>
          <w:rFonts w:hint="eastAsia" w:ascii="宋体" w:hAnsi="宋体" w:cs="宋体"/>
          <w:szCs w:val="21"/>
          <w:highlight w:val="white"/>
        </w:rPr>
        <w:t>，长约</w:t>
      </w:r>
      <w:r>
        <w:rPr>
          <w:rFonts w:hint="eastAsia" w:ascii="宋体" w:hAnsi="宋体" w:cs="宋体"/>
          <w:szCs w:val="21"/>
          <w:highlight w:val="white"/>
          <w:u w:val="single"/>
        </w:rPr>
        <w:t xml:space="preserve">    </w:t>
      </w:r>
      <w:r>
        <w:rPr>
          <w:rFonts w:hint="eastAsia" w:ascii="宋体" w:hAnsi="宋体" w:cs="宋体"/>
          <w:szCs w:val="21"/>
          <w:highlight w:val="white"/>
        </w:rPr>
        <w:t>km，公路等级为</w:t>
      </w:r>
      <w:r>
        <w:rPr>
          <w:rFonts w:hint="eastAsia" w:ascii="宋体" w:hAnsi="宋体" w:cs="宋体"/>
          <w:szCs w:val="21"/>
          <w:highlight w:val="white"/>
          <w:u w:val="single"/>
        </w:rPr>
        <w:t xml:space="preserve">   </w:t>
      </w:r>
      <w:r>
        <w:rPr>
          <w:rFonts w:hint="eastAsia" w:ascii="宋体" w:hAnsi="宋体" w:cs="宋体"/>
          <w:szCs w:val="21"/>
          <w:highlight w:val="white"/>
        </w:rPr>
        <w:t>，设计时速为</w:t>
      </w:r>
      <w:r>
        <w:rPr>
          <w:rFonts w:hint="eastAsia" w:ascii="宋体" w:hAnsi="宋体" w:cs="宋体"/>
          <w:szCs w:val="21"/>
          <w:highlight w:val="white"/>
          <w:u w:val="single"/>
        </w:rPr>
        <w:t xml:space="preserve">    </w:t>
      </w:r>
      <w:r>
        <w:rPr>
          <w:rFonts w:hint="eastAsia" w:ascii="宋体" w:hAnsi="宋体" w:cs="宋体"/>
          <w:szCs w:val="21"/>
          <w:highlight w:val="white"/>
        </w:rPr>
        <w:t>，</w:t>
      </w:r>
      <w:r>
        <w:rPr>
          <w:rFonts w:hint="eastAsia" w:ascii="宋体" w:hAnsi="宋体" w:cs="宋体"/>
          <w:szCs w:val="21"/>
          <w:highlight w:val="white"/>
          <w:u w:val="single"/>
        </w:rPr>
        <w:t xml:space="preserve">   </w:t>
      </w:r>
      <w:r>
        <w:rPr>
          <w:rFonts w:hint="eastAsia" w:ascii="宋体" w:hAnsi="宋体" w:cs="宋体"/>
          <w:szCs w:val="21"/>
          <w:highlight w:val="white"/>
        </w:rPr>
        <w:t>路面，有</w:t>
      </w:r>
      <w:r>
        <w:rPr>
          <w:rFonts w:hint="eastAsia" w:ascii="宋体" w:hAnsi="宋体" w:cs="宋体"/>
          <w:szCs w:val="21"/>
          <w:highlight w:val="white"/>
          <w:u w:val="single"/>
        </w:rPr>
        <w:t xml:space="preserve">   </w:t>
      </w:r>
      <w:r>
        <w:rPr>
          <w:rFonts w:hint="eastAsia" w:ascii="宋体" w:hAnsi="宋体" w:cs="宋体"/>
          <w:szCs w:val="21"/>
          <w:highlight w:val="white"/>
        </w:rPr>
        <w:t>立交</w:t>
      </w:r>
      <w:r>
        <w:rPr>
          <w:rFonts w:hint="eastAsia" w:ascii="宋体" w:hAnsi="宋体" w:cs="宋体"/>
          <w:szCs w:val="21"/>
          <w:highlight w:val="white"/>
          <w:u w:val="single"/>
        </w:rPr>
        <w:t xml:space="preserve">   </w:t>
      </w:r>
      <w:r>
        <w:rPr>
          <w:rFonts w:hint="eastAsia" w:ascii="宋体" w:hAnsi="宋体" w:cs="宋体"/>
          <w:szCs w:val="21"/>
          <w:highlight w:val="white"/>
        </w:rPr>
        <w:t>处；特大桥</w:t>
      </w:r>
      <w:r>
        <w:rPr>
          <w:rFonts w:hint="eastAsia" w:ascii="宋体" w:hAnsi="宋体" w:cs="宋体"/>
          <w:szCs w:val="21"/>
          <w:highlight w:val="white"/>
          <w:u w:val="single"/>
        </w:rPr>
        <w:t xml:space="preserve">   </w:t>
      </w:r>
      <w:r>
        <w:rPr>
          <w:rFonts w:hint="eastAsia" w:ascii="宋体" w:hAnsi="宋体" w:cs="宋体"/>
          <w:szCs w:val="21"/>
          <w:highlight w:val="white"/>
        </w:rPr>
        <w:t>座，计长</w:t>
      </w:r>
      <w:r>
        <w:rPr>
          <w:rFonts w:hint="eastAsia" w:ascii="宋体" w:hAnsi="宋体" w:cs="宋体"/>
          <w:szCs w:val="21"/>
          <w:highlight w:val="white"/>
          <w:u w:val="single"/>
        </w:rPr>
        <w:t xml:space="preserve">    </w:t>
      </w:r>
      <w:r>
        <w:rPr>
          <w:rFonts w:hint="eastAsia" w:ascii="宋体" w:hAnsi="宋体" w:cs="宋体"/>
          <w:szCs w:val="21"/>
          <w:highlight w:val="white"/>
        </w:rPr>
        <w:t xml:space="preserve"> m；大中桥</w:t>
      </w:r>
      <w:r>
        <w:rPr>
          <w:rFonts w:hint="eastAsia" w:ascii="宋体" w:hAnsi="宋体" w:cs="宋体"/>
          <w:szCs w:val="21"/>
          <w:highlight w:val="white"/>
          <w:u w:val="single"/>
        </w:rPr>
        <w:t xml:space="preserve">   </w:t>
      </w:r>
      <w:r>
        <w:rPr>
          <w:rFonts w:hint="eastAsia" w:ascii="宋体" w:hAnsi="宋体" w:cs="宋体"/>
          <w:szCs w:val="21"/>
          <w:highlight w:val="white"/>
        </w:rPr>
        <w:t>座，计长</w:t>
      </w:r>
      <w:r>
        <w:rPr>
          <w:rFonts w:hint="eastAsia" w:ascii="宋体" w:hAnsi="宋体" w:cs="宋体"/>
          <w:szCs w:val="21"/>
          <w:highlight w:val="white"/>
          <w:u w:val="single"/>
        </w:rPr>
        <w:t xml:space="preserve">   </w:t>
      </w:r>
      <w:r>
        <w:rPr>
          <w:rFonts w:hint="eastAsia" w:ascii="宋体" w:hAnsi="宋体" w:cs="宋体"/>
          <w:szCs w:val="21"/>
          <w:highlight w:val="white"/>
        </w:rPr>
        <w:t xml:space="preserve"> m；隧道</w:t>
      </w:r>
      <w:r>
        <w:rPr>
          <w:rFonts w:hint="eastAsia" w:ascii="宋体" w:hAnsi="宋体" w:cs="宋体"/>
          <w:szCs w:val="21"/>
          <w:highlight w:val="white"/>
          <w:u w:val="single"/>
        </w:rPr>
        <w:t xml:space="preserve">    </w:t>
      </w:r>
      <w:r>
        <w:rPr>
          <w:rFonts w:hint="eastAsia" w:ascii="宋体" w:hAnsi="宋体" w:cs="宋体"/>
          <w:szCs w:val="21"/>
          <w:highlight w:val="white"/>
        </w:rPr>
        <w:t>座，计长</w:t>
      </w:r>
      <w:r>
        <w:rPr>
          <w:rFonts w:hint="eastAsia" w:ascii="宋体" w:hAnsi="宋体" w:cs="宋体"/>
          <w:szCs w:val="21"/>
          <w:highlight w:val="white"/>
          <w:u w:val="single"/>
        </w:rPr>
        <w:t xml:space="preserve">    </w:t>
      </w:r>
      <w:r>
        <w:rPr>
          <w:rFonts w:hint="eastAsia" w:ascii="宋体" w:hAnsi="宋体" w:cs="宋体"/>
          <w:szCs w:val="21"/>
          <w:highlight w:val="white"/>
        </w:rPr>
        <w:t>m；以及其他构造物工程等。</w:t>
      </w:r>
    </w:p>
    <w:p w14:paraId="21B98B2F">
      <w:pPr>
        <w:spacing w:line="288" w:lineRule="auto"/>
        <w:ind w:firstLine="359" w:firstLineChars="171"/>
        <w:rPr>
          <w:rFonts w:hint="eastAsia" w:ascii="宋体" w:hAnsi="宋体" w:cs="宋体"/>
          <w:szCs w:val="21"/>
        </w:rPr>
      </w:pPr>
      <w:bookmarkStart w:id="729" w:name="_Toc152042548"/>
      <w:bookmarkStart w:id="730" w:name="_Toc144974828"/>
      <w:r>
        <w:rPr>
          <w:rFonts w:hint="eastAsia" w:ascii="宋体" w:hAnsi="宋体" w:cs="宋体"/>
          <w:szCs w:val="21"/>
          <w:highlight w:val="white"/>
        </w:rPr>
        <w:t>2. 下列文件应视为构成合同文件的组成部分：</w:t>
      </w:r>
      <w:bookmarkEnd w:id="729"/>
      <w:bookmarkEnd w:id="730"/>
    </w:p>
    <w:p w14:paraId="5E9498C5">
      <w:pPr>
        <w:spacing w:line="288" w:lineRule="auto"/>
        <w:ind w:firstLine="359" w:firstLineChars="171"/>
        <w:rPr>
          <w:rFonts w:hint="eastAsia" w:ascii="宋体" w:hAnsi="宋体" w:cs="宋体"/>
          <w:szCs w:val="21"/>
        </w:rPr>
      </w:pPr>
      <w:r>
        <w:rPr>
          <w:rFonts w:hint="eastAsia" w:ascii="宋体" w:hAnsi="宋体" w:cs="宋体"/>
          <w:szCs w:val="21"/>
          <w:highlight w:val="white"/>
        </w:rPr>
        <w:t xml:space="preserve">   （1）本协议书及各种合同附件（含评标期间和合同谈判过程中的澄清文件和补充资料）；</w:t>
      </w:r>
    </w:p>
    <w:p w14:paraId="6ECF6CA3">
      <w:pPr>
        <w:spacing w:line="288" w:lineRule="auto"/>
        <w:ind w:firstLine="718" w:firstLineChars="342"/>
        <w:rPr>
          <w:rFonts w:hint="eastAsia" w:ascii="宋体" w:hAnsi="宋体" w:cs="宋体"/>
          <w:szCs w:val="21"/>
        </w:rPr>
      </w:pPr>
      <w:r>
        <w:rPr>
          <w:rFonts w:hint="eastAsia" w:ascii="宋体" w:hAnsi="宋体" w:cs="宋体"/>
          <w:szCs w:val="21"/>
          <w:highlight w:val="white"/>
        </w:rPr>
        <w:t>（2）中标通知书；</w:t>
      </w:r>
    </w:p>
    <w:p w14:paraId="7958DF57">
      <w:pPr>
        <w:spacing w:line="288" w:lineRule="auto"/>
        <w:ind w:firstLine="718" w:firstLineChars="342"/>
        <w:rPr>
          <w:rFonts w:hint="eastAsia" w:ascii="宋体" w:hAnsi="宋体" w:cs="宋体"/>
          <w:szCs w:val="21"/>
        </w:rPr>
      </w:pPr>
      <w:r>
        <w:rPr>
          <w:rFonts w:hint="eastAsia" w:ascii="宋体" w:hAnsi="宋体" w:cs="宋体"/>
          <w:szCs w:val="21"/>
          <w:highlight w:val="white"/>
        </w:rPr>
        <w:t>（3）投标函及投标函附录；</w:t>
      </w:r>
    </w:p>
    <w:p w14:paraId="76D13B7E">
      <w:pPr>
        <w:spacing w:line="288" w:lineRule="auto"/>
        <w:ind w:firstLine="718" w:firstLineChars="342"/>
        <w:rPr>
          <w:rFonts w:hint="eastAsia" w:ascii="宋体" w:hAnsi="宋体" w:cs="宋体"/>
          <w:szCs w:val="21"/>
        </w:rPr>
      </w:pPr>
      <w:r>
        <w:rPr>
          <w:rFonts w:hint="eastAsia" w:ascii="宋体" w:hAnsi="宋体" w:cs="宋体"/>
          <w:szCs w:val="21"/>
          <w:highlight w:val="white"/>
        </w:rPr>
        <w:t>（4）项目专用合同条款；</w:t>
      </w:r>
    </w:p>
    <w:p w14:paraId="3D06601F">
      <w:pPr>
        <w:spacing w:line="288" w:lineRule="auto"/>
        <w:ind w:firstLine="718" w:firstLineChars="342"/>
        <w:rPr>
          <w:rFonts w:hint="eastAsia" w:ascii="宋体" w:hAnsi="宋体" w:cs="宋体"/>
          <w:szCs w:val="21"/>
        </w:rPr>
      </w:pPr>
      <w:r>
        <w:rPr>
          <w:rFonts w:hint="eastAsia" w:ascii="宋体" w:hAnsi="宋体" w:cs="宋体"/>
          <w:szCs w:val="21"/>
          <w:highlight w:val="white"/>
        </w:rPr>
        <w:t>（5）公路工程专用合同条款；</w:t>
      </w:r>
    </w:p>
    <w:p w14:paraId="7D8AF3A2">
      <w:pPr>
        <w:spacing w:line="288" w:lineRule="auto"/>
        <w:ind w:firstLine="718" w:firstLineChars="342"/>
        <w:rPr>
          <w:rFonts w:hint="eastAsia" w:ascii="宋体" w:hAnsi="宋体" w:cs="宋体"/>
          <w:szCs w:val="21"/>
        </w:rPr>
      </w:pPr>
      <w:r>
        <w:rPr>
          <w:rFonts w:hint="eastAsia" w:ascii="宋体" w:hAnsi="宋体" w:cs="宋体"/>
          <w:szCs w:val="21"/>
          <w:highlight w:val="white"/>
        </w:rPr>
        <w:t>（6）通用合同条款；</w:t>
      </w:r>
    </w:p>
    <w:p w14:paraId="1442BD64">
      <w:pPr>
        <w:spacing w:line="288" w:lineRule="auto"/>
        <w:ind w:firstLine="718" w:firstLineChars="342"/>
        <w:rPr>
          <w:rFonts w:hint="eastAsia" w:ascii="宋体" w:hAnsi="宋体" w:cs="宋体"/>
          <w:szCs w:val="21"/>
        </w:rPr>
      </w:pPr>
      <w:r>
        <w:rPr>
          <w:rFonts w:hint="eastAsia" w:ascii="宋体" w:hAnsi="宋体" w:cs="宋体"/>
          <w:szCs w:val="21"/>
          <w:highlight w:val="white"/>
        </w:rPr>
        <w:t>（7）工程量清单计量规则</w:t>
      </w:r>
    </w:p>
    <w:p w14:paraId="62A48365">
      <w:pPr>
        <w:spacing w:line="288" w:lineRule="auto"/>
        <w:ind w:firstLine="718" w:firstLineChars="342"/>
        <w:rPr>
          <w:rFonts w:hint="eastAsia" w:ascii="宋体" w:hAnsi="宋体" w:cs="宋体"/>
          <w:szCs w:val="21"/>
        </w:rPr>
      </w:pPr>
      <w:r>
        <w:rPr>
          <w:rFonts w:hint="eastAsia" w:ascii="宋体" w:hAnsi="宋体" w:cs="宋体"/>
          <w:szCs w:val="21"/>
          <w:highlight w:val="white"/>
        </w:rPr>
        <w:t>（8）技术规范；</w:t>
      </w:r>
    </w:p>
    <w:p w14:paraId="7BFD3429">
      <w:pPr>
        <w:spacing w:line="288" w:lineRule="auto"/>
        <w:ind w:firstLine="718" w:firstLineChars="342"/>
        <w:rPr>
          <w:rFonts w:hint="eastAsia" w:ascii="宋体" w:hAnsi="宋体" w:cs="宋体"/>
          <w:szCs w:val="21"/>
        </w:rPr>
      </w:pPr>
      <w:r>
        <w:rPr>
          <w:rFonts w:hint="eastAsia" w:ascii="宋体" w:hAnsi="宋体" w:cs="宋体"/>
          <w:szCs w:val="21"/>
          <w:highlight w:val="white"/>
        </w:rPr>
        <w:t>（9）图纸；</w:t>
      </w:r>
    </w:p>
    <w:p w14:paraId="641D5D87">
      <w:pPr>
        <w:spacing w:line="288" w:lineRule="auto"/>
        <w:ind w:firstLine="718" w:firstLineChars="342"/>
        <w:rPr>
          <w:rFonts w:hint="eastAsia" w:ascii="宋体" w:hAnsi="宋体" w:cs="宋体"/>
          <w:szCs w:val="21"/>
        </w:rPr>
      </w:pPr>
      <w:r>
        <w:rPr>
          <w:rFonts w:hint="eastAsia" w:ascii="宋体" w:hAnsi="宋体" w:cs="宋体"/>
          <w:szCs w:val="21"/>
          <w:highlight w:val="white"/>
        </w:rPr>
        <w:t>（10）已标价工程量清单；</w:t>
      </w:r>
    </w:p>
    <w:p w14:paraId="1A898FA4">
      <w:pPr>
        <w:spacing w:line="288" w:lineRule="auto"/>
        <w:ind w:firstLine="718" w:firstLineChars="342"/>
        <w:rPr>
          <w:rFonts w:hint="eastAsia" w:ascii="宋体" w:hAnsi="宋体" w:cs="宋体"/>
          <w:szCs w:val="21"/>
        </w:rPr>
      </w:pPr>
      <w:r>
        <w:rPr>
          <w:rFonts w:hint="eastAsia" w:ascii="宋体" w:hAnsi="宋体" w:cs="宋体"/>
          <w:szCs w:val="21"/>
          <w:highlight w:val="white"/>
        </w:rPr>
        <w:t>（11）承包人有关人员、设备投入的承诺及投标文件中的施工组织设计；</w:t>
      </w:r>
    </w:p>
    <w:p w14:paraId="138B659F">
      <w:pPr>
        <w:spacing w:line="288" w:lineRule="auto"/>
        <w:ind w:firstLine="718" w:firstLineChars="342"/>
        <w:rPr>
          <w:rFonts w:hint="eastAsia" w:ascii="宋体" w:hAnsi="宋体" w:cs="宋体"/>
          <w:szCs w:val="21"/>
        </w:rPr>
      </w:pPr>
      <w:r>
        <w:rPr>
          <w:rFonts w:hint="eastAsia" w:ascii="宋体" w:hAnsi="宋体" w:cs="宋体"/>
          <w:szCs w:val="21"/>
          <w:highlight w:val="white"/>
        </w:rPr>
        <w:t>（12）其他合同文件。</w:t>
      </w:r>
    </w:p>
    <w:p w14:paraId="2083ECA2">
      <w:pPr>
        <w:spacing w:line="288" w:lineRule="auto"/>
        <w:ind w:firstLine="359" w:firstLineChars="171"/>
        <w:rPr>
          <w:rFonts w:hint="eastAsia" w:ascii="宋体" w:hAnsi="宋体" w:cs="宋体"/>
          <w:szCs w:val="21"/>
        </w:rPr>
      </w:pPr>
      <w:bookmarkStart w:id="731" w:name="_Toc144974829"/>
      <w:bookmarkStart w:id="732" w:name="_Toc152042549"/>
      <w:r>
        <w:rPr>
          <w:rFonts w:hint="eastAsia" w:ascii="宋体" w:hAnsi="宋体" w:cs="宋体"/>
          <w:szCs w:val="21"/>
          <w:highlight w:val="white"/>
        </w:rPr>
        <w:t xml:space="preserve">3. </w:t>
      </w:r>
      <w:bookmarkEnd w:id="731"/>
      <w:bookmarkEnd w:id="732"/>
      <w:r>
        <w:rPr>
          <w:rFonts w:hint="eastAsia" w:ascii="宋体" w:hAnsi="宋体" w:cs="宋体"/>
          <w:szCs w:val="21"/>
          <w:highlight w:val="white"/>
        </w:rPr>
        <w:t>上述合同文件互相补充和解释。如果合同文件之间存在矛盾或不一致之处，以上述文件的排列顺序在先者为准。</w:t>
      </w:r>
    </w:p>
    <w:p w14:paraId="7E8872C2">
      <w:pPr>
        <w:spacing w:line="288" w:lineRule="auto"/>
        <w:ind w:firstLine="359" w:firstLineChars="171"/>
        <w:rPr>
          <w:rFonts w:hint="eastAsia" w:ascii="宋体" w:hAnsi="宋体" w:cs="宋体"/>
          <w:szCs w:val="21"/>
        </w:rPr>
      </w:pPr>
      <w:r>
        <w:rPr>
          <w:rFonts w:hint="eastAsia" w:ascii="宋体" w:hAnsi="宋体" w:cs="宋体"/>
          <w:szCs w:val="21"/>
          <w:highlight w:val="white"/>
        </w:rPr>
        <w:t>4. 根据工程量清单所列的预计数量和单价或总额价计算的签约合同价为：人民币（大写）</w:t>
      </w:r>
      <w:r>
        <w:rPr>
          <w:rFonts w:hint="eastAsia" w:ascii="宋体" w:hAnsi="宋体" w:cs="宋体"/>
          <w:szCs w:val="21"/>
          <w:highlight w:val="white"/>
          <w:u w:val="single"/>
        </w:rPr>
        <w:t xml:space="preserve">   </w:t>
      </w:r>
      <w:r>
        <w:rPr>
          <w:rFonts w:hint="eastAsia" w:ascii="宋体" w:hAnsi="宋体" w:cs="宋体"/>
          <w:szCs w:val="21"/>
          <w:highlight w:val="white"/>
        </w:rPr>
        <w:t>元（¥</w:t>
      </w:r>
      <w:r>
        <w:rPr>
          <w:rFonts w:hint="eastAsia" w:ascii="宋体" w:hAnsi="宋体" w:cs="宋体"/>
          <w:szCs w:val="21"/>
          <w:highlight w:val="white"/>
          <w:u w:val="single"/>
        </w:rPr>
        <w:t xml:space="preserve">      </w:t>
      </w:r>
      <w:r>
        <w:rPr>
          <w:rFonts w:hint="eastAsia" w:ascii="宋体" w:hAnsi="宋体" w:cs="宋体"/>
          <w:szCs w:val="21"/>
          <w:highlight w:val="white"/>
        </w:rPr>
        <w:t>）。</w:t>
      </w:r>
    </w:p>
    <w:p w14:paraId="2BCB77B2">
      <w:pPr>
        <w:spacing w:line="288" w:lineRule="auto"/>
        <w:ind w:firstLine="359" w:firstLineChars="171"/>
        <w:rPr>
          <w:rFonts w:hint="eastAsia" w:ascii="宋体" w:hAnsi="宋体" w:cs="宋体"/>
          <w:szCs w:val="21"/>
          <w:u w:val="single"/>
        </w:rPr>
      </w:pPr>
      <w:r>
        <w:rPr>
          <w:rFonts w:hint="eastAsia" w:ascii="宋体" w:hAnsi="宋体" w:cs="宋体"/>
          <w:szCs w:val="21"/>
          <w:highlight w:val="white"/>
        </w:rPr>
        <w:t>5. 承包人项目经理：</w:t>
      </w:r>
      <w:r>
        <w:rPr>
          <w:rFonts w:hint="eastAsia" w:ascii="宋体" w:hAnsi="宋体" w:cs="宋体"/>
          <w:szCs w:val="21"/>
          <w:highlight w:val="white"/>
          <w:u w:val="single"/>
        </w:rPr>
        <w:t xml:space="preserve">       </w:t>
      </w:r>
      <w:r>
        <w:rPr>
          <w:rFonts w:hint="eastAsia" w:ascii="宋体" w:hAnsi="宋体" w:cs="宋体"/>
          <w:szCs w:val="21"/>
          <w:highlight w:val="white"/>
        </w:rPr>
        <w:t>。承包人项目总工：</w:t>
      </w:r>
      <w:r>
        <w:rPr>
          <w:rFonts w:hint="eastAsia" w:ascii="宋体" w:hAnsi="宋体" w:cs="宋体"/>
          <w:szCs w:val="21"/>
          <w:highlight w:val="white"/>
          <w:u w:val="single"/>
        </w:rPr>
        <w:t xml:space="preserve">       </w:t>
      </w:r>
      <w:r>
        <w:rPr>
          <w:rFonts w:hint="eastAsia" w:ascii="宋体" w:hAnsi="宋体" w:cs="宋体"/>
          <w:szCs w:val="21"/>
          <w:highlight w:val="white"/>
        </w:rPr>
        <w:t>。</w:t>
      </w:r>
    </w:p>
    <w:p w14:paraId="716D9A20">
      <w:pPr>
        <w:spacing w:line="288" w:lineRule="auto"/>
        <w:ind w:firstLine="359" w:firstLineChars="171"/>
        <w:rPr>
          <w:rFonts w:hint="eastAsia" w:ascii="宋体" w:hAnsi="宋体" w:cs="宋体"/>
          <w:szCs w:val="21"/>
        </w:rPr>
      </w:pPr>
      <w:r>
        <w:rPr>
          <w:rFonts w:hint="eastAsia" w:ascii="宋体" w:hAnsi="宋体" w:cs="宋体"/>
          <w:szCs w:val="21"/>
          <w:highlight w:val="white"/>
        </w:rPr>
        <w:t>6. 工程质量符合</w:t>
      </w:r>
      <w:r>
        <w:rPr>
          <w:rFonts w:hint="eastAsia" w:ascii="宋体" w:hAnsi="宋体" w:cs="宋体"/>
          <w:szCs w:val="21"/>
          <w:highlight w:val="white"/>
          <w:u w:val="single"/>
        </w:rPr>
        <w:t xml:space="preserve">             </w:t>
      </w:r>
      <w:r>
        <w:rPr>
          <w:rFonts w:hint="eastAsia" w:ascii="宋体" w:hAnsi="宋体" w:cs="宋体"/>
          <w:szCs w:val="21"/>
          <w:highlight w:val="white"/>
        </w:rPr>
        <w:t>标准。工程安全目标：</w:t>
      </w:r>
      <w:r>
        <w:rPr>
          <w:rFonts w:hint="eastAsia" w:ascii="宋体" w:hAnsi="宋体" w:cs="宋体"/>
          <w:szCs w:val="21"/>
          <w:highlight w:val="white"/>
          <w:u w:val="single"/>
        </w:rPr>
        <w:t xml:space="preserve">             </w:t>
      </w:r>
      <w:r>
        <w:rPr>
          <w:rFonts w:hint="eastAsia" w:ascii="宋体" w:hAnsi="宋体" w:cs="宋体"/>
          <w:szCs w:val="21"/>
          <w:highlight w:val="white"/>
        </w:rPr>
        <w:t>。</w:t>
      </w:r>
    </w:p>
    <w:p w14:paraId="23F53873">
      <w:pPr>
        <w:spacing w:line="288" w:lineRule="auto"/>
        <w:ind w:firstLine="359" w:firstLineChars="171"/>
        <w:rPr>
          <w:rFonts w:hint="eastAsia" w:ascii="宋体" w:hAnsi="宋体" w:cs="宋体"/>
          <w:szCs w:val="21"/>
        </w:rPr>
      </w:pPr>
      <w:r>
        <w:rPr>
          <w:rFonts w:hint="eastAsia" w:ascii="宋体" w:hAnsi="宋体" w:cs="宋体"/>
          <w:szCs w:val="21"/>
          <w:highlight w:val="white"/>
        </w:rPr>
        <w:t>7. 承包人承诺按合同约定承担工程的实施、完成及缺陷修复。</w:t>
      </w:r>
    </w:p>
    <w:p w14:paraId="6852275E">
      <w:pPr>
        <w:spacing w:line="288" w:lineRule="auto"/>
        <w:ind w:firstLine="359" w:firstLineChars="171"/>
        <w:rPr>
          <w:rFonts w:hint="eastAsia" w:ascii="宋体" w:hAnsi="宋体" w:cs="宋体"/>
          <w:szCs w:val="21"/>
        </w:rPr>
      </w:pPr>
      <w:r>
        <w:rPr>
          <w:rFonts w:hint="eastAsia" w:ascii="宋体" w:hAnsi="宋体" w:cs="宋体"/>
          <w:szCs w:val="21"/>
          <w:highlight w:val="white"/>
        </w:rPr>
        <w:t>8. 发包人承诺按合同约定的条件、时间和方式向承包人支付合同价款。</w:t>
      </w:r>
    </w:p>
    <w:p w14:paraId="45021D74">
      <w:pPr>
        <w:spacing w:line="288" w:lineRule="auto"/>
        <w:ind w:firstLine="359" w:firstLineChars="171"/>
        <w:rPr>
          <w:rFonts w:hint="eastAsia" w:ascii="宋体" w:hAnsi="宋体" w:cs="宋体"/>
          <w:szCs w:val="21"/>
        </w:rPr>
      </w:pPr>
      <w:r>
        <w:rPr>
          <w:rFonts w:hint="eastAsia" w:ascii="宋体" w:hAnsi="宋体" w:cs="宋体"/>
          <w:szCs w:val="21"/>
          <w:highlight w:val="white"/>
        </w:rPr>
        <w:t>9. 承包人应按照监理人指示开工，工期为</w:t>
      </w:r>
      <w:r>
        <w:rPr>
          <w:rFonts w:hint="eastAsia" w:ascii="宋体" w:hAnsi="宋体" w:cs="宋体"/>
          <w:szCs w:val="21"/>
          <w:highlight w:val="white"/>
          <w:u w:val="single"/>
        </w:rPr>
        <w:t xml:space="preserve">    </w:t>
      </w:r>
      <w:r>
        <w:rPr>
          <w:rFonts w:hint="eastAsia" w:ascii="宋体" w:hAnsi="宋体" w:cs="宋体"/>
          <w:szCs w:val="21"/>
          <w:highlight w:val="white"/>
        </w:rPr>
        <w:t>日历天。</w:t>
      </w:r>
    </w:p>
    <w:p w14:paraId="3FC3217F">
      <w:pPr>
        <w:spacing w:line="288" w:lineRule="auto"/>
        <w:ind w:firstLine="359" w:firstLineChars="171"/>
        <w:rPr>
          <w:rFonts w:hint="eastAsia" w:ascii="宋体" w:hAnsi="宋体" w:cs="宋体"/>
          <w:szCs w:val="21"/>
        </w:rPr>
      </w:pPr>
      <w:r>
        <w:rPr>
          <w:rFonts w:hint="eastAsia" w:ascii="宋体" w:hAnsi="宋体" w:cs="宋体"/>
          <w:szCs w:val="21"/>
          <w:highlight w:val="white"/>
        </w:rPr>
        <w:t>10.本协议书在承包人提供履约担保后，由双方法定代表人或其委托代理人签署并加盖单位章后生效。全部工程完工后经交工验收合格、缺陷责任期满签发缺陷责任终止证书后失效。</w:t>
      </w:r>
    </w:p>
    <w:p w14:paraId="501B0F63">
      <w:pPr>
        <w:spacing w:line="288" w:lineRule="auto"/>
        <w:ind w:firstLine="359" w:firstLineChars="171"/>
        <w:rPr>
          <w:rFonts w:hint="eastAsia" w:ascii="宋体" w:hAnsi="宋体" w:cs="宋体"/>
          <w:szCs w:val="21"/>
        </w:rPr>
      </w:pPr>
      <w:r>
        <w:rPr>
          <w:rFonts w:hint="eastAsia" w:ascii="宋体" w:hAnsi="宋体" w:cs="宋体"/>
          <w:szCs w:val="21"/>
          <w:highlight w:val="white"/>
        </w:rPr>
        <w:t>11.本协议书正本二份、副本</w:t>
      </w:r>
      <w:r>
        <w:rPr>
          <w:rFonts w:hint="eastAsia" w:ascii="宋体" w:hAnsi="宋体" w:cs="宋体"/>
          <w:szCs w:val="21"/>
          <w:highlight w:val="white"/>
          <w:u w:val="single"/>
        </w:rPr>
        <w:t xml:space="preserve">    </w:t>
      </w:r>
      <w:r>
        <w:rPr>
          <w:rFonts w:hint="eastAsia" w:ascii="宋体" w:hAnsi="宋体" w:cs="宋体"/>
          <w:szCs w:val="21"/>
          <w:highlight w:val="white"/>
        </w:rPr>
        <w:t>份，合同双方各执正本一份，副本</w:t>
      </w:r>
      <w:r>
        <w:rPr>
          <w:rFonts w:hint="eastAsia" w:ascii="宋体" w:hAnsi="宋体" w:cs="宋体"/>
          <w:szCs w:val="21"/>
          <w:highlight w:val="white"/>
          <w:u w:val="single"/>
        </w:rPr>
        <w:t xml:space="preserve">    </w:t>
      </w:r>
      <w:r>
        <w:rPr>
          <w:rFonts w:hint="eastAsia" w:ascii="宋体" w:hAnsi="宋体" w:cs="宋体"/>
          <w:szCs w:val="21"/>
          <w:highlight w:val="white"/>
        </w:rPr>
        <w:t>份，当正本与副本的内容不一致时，以正本为准。</w:t>
      </w:r>
    </w:p>
    <w:p w14:paraId="1D7F3C46">
      <w:pPr>
        <w:spacing w:line="288" w:lineRule="auto"/>
        <w:ind w:firstLine="359" w:firstLineChars="171"/>
        <w:rPr>
          <w:rFonts w:hint="eastAsia" w:ascii="宋体" w:hAnsi="宋体" w:cs="宋体"/>
          <w:szCs w:val="21"/>
        </w:rPr>
      </w:pPr>
      <w:bookmarkStart w:id="733" w:name="_Toc144974830"/>
      <w:bookmarkStart w:id="734" w:name="_Toc152042550"/>
      <w:r>
        <w:rPr>
          <w:rFonts w:hint="eastAsia" w:ascii="宋体" w:hAnsi="宋体" w:cs="宋体"/>
          <w:szCs w:val="21"/>
          <w:highlight w:val="white"/>
        </w:rPr>
        <w:t>12. 合同未尽事宜，双方另行签订补充协议。补充协议是合同的组成部分。</w:t>
      </w:r>
      <w:bookmarkEnd w:id="733"/>
      <w:bookmarkEnd w:id="734"/>
    </w:p>
    <w:p w14:paraId="3470D7DF">
      <w:pPr>
        <w:spacing w:line="288" w:lineRule="auto"/>
        <w:rPr>
          <w:rFonts w:hint="eastAsia" w:ascii="宋体" w:hAnsi="宋体" w:cs="宋体"/>
          <w:szCs w:val="21"/>
        </w:rPr>
      </w:pPr>
      <w:r>
        <w:rPr>
          <w:rFonts w:hint="eastAsia" w:ascii="宋体" w:hAnsi="宋体" w:cs="宋体"/>
          <w:szCs w:val="21"/>
          <w:highlight w:val="white"/>
        </w:rPr>
        <w:t>发包人：</w:t>
      </w:r>
      <w:r>
        <w:rPr>
          <w:rFonts w:hint="eastAsia" w:ascii="宋体" w:hAnsi="宋体" w:cs="宋体"/>
          <w:szCs w:val="21"/>
          <w:highlight w:val="white"/>
          <w:u w:val="single"/>
        </w:rPr>
        <w:t xml:space="preserve">      </w:t>
      </w:r>
      <w:r>
        <w:rPr>
          <w:rFonts w:hint="eastAsia" w:ascii="宋体" w:hAnsi="宋体" w:cs="宋体"/>
          <w:szCs w:val="21"/>
          <w:highlight w:val="white"/>
        </w:rPr>
        <w:t>（盖单位章）                          承包人：</w:t>
      </w:r>
      <w:r>
        <w:rPr>
          <w:rFonts w:hint="eastAsia" w:ascii="宋体" w:hAnsi="宋体" w:cs="宋体"/>
          <w:szCs w:val="21"/>
          <w:highlight w:val="white"/>
          <w:u w:val="single"/>
        </w:rPr>
        <w:t xml:space="preserve">      </w:t>
      </w:r>
      <w:r>
        <w:rPr>
          <w:rFonts w:hint="eastAsia" w:ascii="宋体" w:hAnsi="宋体" w:cs="宋体"/>
          <w:szCs w:val="21"/>
          <w:highlight w:val="white"/>
        </w:rPr>
        <w:t>（盖单位章）</w:t>
      </w:r>
    </w:p>
    <w:p w14:paraId="2063CBCF">
      <w:pPr>
        <w:spacing w:line="288" w:lineRule="auto"/>
        <w:rPr>
          <w:rFonts w:hint="eastAsia" w:ascii="宋体" w:hAnsi="宋体" w:cs="宋体"/>
          <w:szCs w:val="21"/>
        </w:rPr>
      </w:pPr>
      <w:r>
        <w:rPr>
          <w:rFonts w:hint="eastAsia" w:ascii="宋体" w:hAnsi="宋体" w:cs="宋体"/>
          <w:szCs w:val="21"/>
          <w:highlight w:val="white"/>
        </w:rPr>
        <w:t>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               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w:t>
      </w:r>
    </w:p>
    <w:p w14:paraId="299474EF">
      <w:pPr>
        <w:spacing w:line="288" w:lineRule="auto"/>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 xml:space="preserve">月 </w:t>
      </w:r>
      <w:r>
        <w:rPr>
          <w:rFonts w:hint="eastAsia" w:ascii="宋体" w:hAnsi="宋体" w:cs="宋体"/>
          <w:szCs w:val="21"/>
          <w:highlight w:val="white"/>
          <w:u w:val="single"/>
        </w:rPr>
        <w:t xml:space="preserve">   </w:t>
      </w:r>
      <w:r>
        <w:rPr>
          <w:rFonts w:hint="eastAsia" w:ascii="宋体" w:hAnsi="宋体" w:cs="宋体"/>
          <w:szCs w:val="21"/>
          <w:highlight w:val="white"/>
        </w:rPr>
        <w:t xml:space="preserve"> 日                                    </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 xml:space="preserve">月 </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512E00E3">
      <w:pPr>
        <w:rPr>
          <w:rFonts w:hint="eastAsia" w:ascii="宋体" w:hAnsi="宋体" w:cs="宋体"/>
          <w:sz w:val="24"/>
        </w:rPr>
      </w:pPr>
      <w:r>
        <w:rPr>
          <w:rFonts w:hint="eastAsia" w:ascii="宋体" w:hAnsi="宋体" w:cs="宋体"/>
          <w:szCs w:val="21"/>
          <w:highlight w:val="white"/>
        </w:rPr>
        <w:br w:type="page"/>
      </w:r>
      <w:r>
        <w:rPr>
          <w:rFonts w:hint="eastAsia" w:ascii="宋体" w:hAnsi="宋体" w:cs="宋体"/>
          <w:sz w:val="24"/>
          <w:highlight w:val="white"/>
        </w:rPr>
        <w:t>附件二</w:t>
      </w:r>
    </w:p>
    <w:p w14:paraId="62EBFC85">
      <w:pPr>
        <w:spacing w:line="360" w:lineRule="auto"/>
        <w:jc w:val="center"/>
        <w:rPr>
          <w:rFonts w:hint="eastAsia" w:ascii="宋体" w:hAnsi="宋体" w:cs="宋体"/>
          <w:sz w:val="24"/>
        </w:rPr>
      </w:pPr>
      <w:bookmarkStart w:id="735" w:name="_Toc243290537"/>
      <w:bookmarkEnd w:id="735"/>
      <w:r>
        <w:rPr>
          <w:rFonts w:hint="eastAsia" w:ascii="宋体" w:hAnsi="宋体" w:cs="宋体"/>
          <w:sz w:val="24"/>
          <w:highlight w:val="white"/>
        </w:rPr>
        <w:t>廉政合同</w:t>
      </w:r>
    </w:p>
    <w:p w14:paraId="2AB16890">
      <w:pPr>
        <w:spacing w:line="360" w:lineRule="auto"/>
        <w:jc w:val="center"/>
        <w:rPr>
          <w:rFonts w:hint="eastAsia" w:ascii="宋体" w:hAnsi="宋体" w:cs="宋体"/>
          <w:sz w:val="18"/>
          <w:szCs w:val="18"/>
        </w:rPr>
      </w:pPr>
      <w:r>
        <w:rPr>
          <w:rFonts w:hint="eastAsia" w:ascii="宋体" w:hAnsi="宋体" w:cs="宋体"/>
          <w:sz w:val="18"/>
          <w:szCs w:val="18"/>
          <w:highlight w:val="white"/>
        </w:rPr>
        <w:t>（本附件投标人投标时不须提交）</w:t>
      </w:r>
    </w:p>
    <w:p w14:paraId="52D7A599">
      <w:pPr>
        <w:spacing w:before="240" w:beforeLines="100" w:line="360" w:lineRule="auto"/>
        <w:rPr>
          <w:rFonts w:hint="eastAsia" w:ascii="宋体" w:hAnsi="宋体" w:cs="宋体"/>
          <w:szCs w:val="21"/>
        </w:rPr>
      </w:pPr>
      <w:r>
        <w:rPr>
          <w:rFonts w:hint="eastAsia" w:ascii="宋体" w:hAnsi="宋体" w:cs="宋体"/>
          <w:szCs w:val="21"/>
          <w:highlight w:val="white"/>
        </w:rPr>
        <w:t xml:space="preserve">   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Cs w:val="21"/>
          <w:highlight w:val="white"/>
          <w:u w:val="single"/>
        </w:rPr>
        <w:t xml:space="preserve">        </w:t>
      </w:r>
      <w:r>
        <w:rPr>
          <w:rFonts w:hint="eastAsia" w:ascii="宋体" w:hAnsi="宋体" w:cs="宋体"/>
          <w:szCs w:val="21"/>
          <w:highlight w:val="white"/>
        </w:rPr>
        <w:t>（项目名称）的项目法人</w:t>
      </w:r>
      <w:r>
        <w:rPr>
          <w:rFonts w:hint="eastAsia" w:ascii="宋体" w:hAnsi="宋体" w:cs="宋体"/>
          <w:szCs w:val="21"/>
          <w:highlight w:val="white"/>
          <w:u w:val="single"/>
        </w:rPr>
        <w:t xml:space="preserve">       </w:t>
      </w:r>
      <w:r>
        <w:rPr>
          <w:rFonts w:hint="eastAsia" w:ascii="宋体" w:hAnsi="宋体" w:cs="宋体"/>
          <w:szCs w:val="21"/>
          <w:highlight w:val="white"/>
        </w:rPr>
        <w:t>（项目法人名称，以下简称“发包人”）与该项目</w:t>
      </w:r>
      <w:r>
        <w:rPr>
          <w:rFonts w:hint="eastAsia" w:ascii="宋体" w:hAnsi="宋体" w:cs="宋体"/>
          <w:szCs w:val="21"/>
          <w:highlight w:val="white"/>
          <w:u w:val="single"/>
        </w:rPr>
        <w:t xml:space="preserve">    </w:t>
      </w:r>
      <w:r>
        <w:rPr>
          <w:rFonts w:hint="eastAsia" w:ascii="宋体" w:hAnsi="宋体" w:cs="宋体"/>
          <w:szCs w:val="21"/>
          <w:highlight w:val="white"/>
        </w:rPr>
        <w:t>标段的施工单位</w:t>
      </w:r>
      <w:r>
        <w:rPr>
          <w:rFonts w:hint="eastAsia" w:ascii="宋体" w:hAnsi="宋体" w:cs="宋体"/>
          <w:szCs w:val="21"/>
          <w:highlight w:val="white"/>
          <w:u w:val="single"/>
        </w:rPr>
        <w:t xml:space="preserve">      </w:t>
      </w:r>
      <w:r>
        <w:rPr>
          <w:rFonts w:hint="eastAsia" w:ascii="宋体" w:hAnsi="宋体" w:cs="宋体"/>
          <w:szCs w:val="21"/>
          <w:highlight w:val="white"/>
        </w:rPr>
        <w:t>（施工单位名称，以下简称“承包人”），特订立如下合同。</w:t>
      </w:r>
    </w:p>
    <w:p w14:paraId="2928F46D">
      <w:pPr>
        <w:spacing w:line="360" w:lineRule="auto"/>
        <w:rPr>
          <w:rFonts w:hint="eastAsia" w:ascii="宋体" w:hAnsi="宋体" w:cs="宋体"/>
          <w:szCs w:val="21"/>
        </w:rPr>
      </w:pPr>
      <w:r>
        <w:rPr>
          <w:rFonts w:hint="eastAsia" w:ascii="宋体" w:hAnsi="宋体" w:cs="宋体"/>
          <w:szCs w:val="21"/>
          <w:highlight w:val="white"/>
        </w:rPr>
        <w:t xml:space="preserve">     1.发包人和承包人双方的权利和义务</w:t>
      </w:r>
    </w:p>
    <w:p w14:paraId="73761513">
      <w:pPr>
        <w:spacing w:line="360" w:lineRule="auto"/>
        <w:ind w:firstLine="435"/>
        <w:rPr>
          <w:rFonts w:hint="eastAsia" w:ascii="宋体" w:hAnsi="宋体" w:cs="宋体"/>
          <w:szCs w:val="21"/>
        </w:rPr>
      </w:pPr>
      <w:r>
        <w:rPr>
          <w:rFonts w:hint="eastAsia" w:ascii="宋体" w:hAnsi="宋体" w:cs="宋体"/>
          <w:szCs w:val="21"/>
          <w:highlight w:val="white"/>
        </w:rPr>
        <w:t>（1）严格遵守党的政策规定和国家有关法律法规及交通运输部的有关规定。</w:t>
      </w:r>
    </w:p>
    <w:p w14:paraId="792D88CB">
      <w:pPr>
        <w:spacing w:line="360" w:lineRule="auto"/>
        <w:ind w:firstLine="435"/>
        <w:rPr>
          <w:rFonts w:hint="eastAsia" w:ascii="宋体" w:hAnsi="宋体" w:cs="宋体"/>
          <w:szCs w:val="21"/>
        </w:rPr>
      </w:pPr>
      <w:r>
        <w:rPr>
          <w:rFonts w:hint="eastAsia" w:ascii="宋体" w:hAnsi="宋体" w:cs="宋体"/>
          <w:szCs w:val="21"/>
          <w:highlight w:val="white"/>
        </w:rPr>
        <w:t>（2）严格执行</w:t>
      </w:r>
      <w:r>
        <w:rPr>
          <w:rFonts w:hint="eastAsia" w:ascii="宋体" w:hAnsi="宋体" w:cs="宋体"/>
          <w:szCs w:val="21"/>
          <w:highlight w:val="white"/>
          <w:u w:val="single"/>
        </w:rPr>
        <w:t xml:space="preserve">           </w:t>
      </w:r>
      <w:r>
        <w:rPr>
          <w:rFonts w:hint="eastAsia" w:ascii="宋体" w:hAnsi="宋体" w:cs="宋体"/>
          <w:szCs w:val="21"/>
          <w:highlight w:val="white"/>
        </w:rPr>
        <w:t>（项目名称）</w:t>
      </w:r>
      <w:r>
        <w:rPr>
          <w:rFonts w:hint="eastAsia" w:ascii="宋体" w:hAnsi="宋体" w:cs="宋体"/>
          <w:szCs w:val="21"/>
          <w:highlight w:val="white"/>
          <w:u w:val="single"/>
        </w:rPr>
        <w:t xml:space="preserve">     </w:t>
      </w:r>
      <w:r>
        <w:rPr>
          <w:rFonts w:hint="eastAsia" w:ascii="宋体" w:hAnsi="宋体" w:cs="宋体"/>
          <w:szCs w:val="21"/>
          <w:highlight w:val="white"/>
        </w:rPr>
        <w:t>标段施工合同文件，自觉按合同办事。</w:t>
      </w:r>
    </w:p>
    <w:p w14:paraId="0E51EB39">
      <w:pPr>
        <w:spacing w:line="360" w:lineRule="auto"/>
        <w:ind w:firstLine="435"/>
        <w:rPr>
          <w:rFonts w:hint="eastAsia" w:ascii="宋体" w:hAnsi="宋体" w:cs="宋体"/>
          <w:szCs w:val="21"/>
        </w:rPr>
      </w:pPr>
      <w:r>
        <w:rPr>
          <w:rFonts w:hint="eastAsia" w:ascii="宋体" w:hAnsi="宋体" w:cs="宋体"/>
          <w:szCs w:val="21"/>
          <w:highlight w:val="white"/>
        </w:rPr>
        <w:t>（3）双方的业务活动坚持公开、公正、诚信、透明的原则（法律认定的商业秘密和合同文件另有规定除外），不得损害国家和集体利益，不得违反工程建设管理规章制度。</w:t>
      </w:r>
    </w:p>
    <w:p w14:paraId="71D71B1B">
      <w:pPr>
        <w:spacing w:line="360" w:lineRule="auto"/>
        <w:ind w:firstLine="435"/>
        <w:rPr>
          <w:rFonts w:hint="eastAsia" w:ascii="宋体" w:hAnsi="宋体" w:cs="宋体"/>
          <w:szCs w:val="21"/>
        </w:rPr>
      </w:pPr>
      <w:r>
        <w:rPr>
          <w:rFonts w:hint="eastAsia" w:ascii="宋体" w:hAnsi="宋体" w:cs="宋体"/>
          <w:szCs w:val="21"/>
          <w:highlight w:val="white"/>
        </w:rPr>
        <w:t>（4）监理健全廉政制度，开展廉政教育，设立廉政告示牌，公布举报电话，监督并认真查处违法违纪行为。</w:t>
      </w:r>
    </w:p>
    <w:p w14:paraId="482F18C7">
      <w:pPr>
        <w:spacing w:line="360" w:lineRule="auto"/>
        <w:ind w:firstLine="435"/>
        <w:rPr>
          <w:rFonts w:hint="eastAsia" w:ascii="宋体" w:hAnsi="宋体" w:cs="宋体"/>
          <w:szCs w:val="21"/>
        </w:rPr>
      </w:pPr>
      <w:r>
        <w:rPr>
          <w:rFonts w:hint="eastAsia" w:ascii="宋体" w:hAnsi="宋体" w:cs="宋体"/>
          <w:szCs w:val="21"/>
          <w:highlight w:val="white"/>
        </w:rPr>
        <w:t>（5）发现对方在业务活动中有违反廉政规定的行为，有及时提醒对反纠正的权利和义务。</w:t>
      </w:r>
    </w:p>
    <w:p w14:paraId="63461154">
      <w:pPr>
        <w:spacing w:line="360" w:lineRule="auto"/>
        <w:ind w:firstLine="435"/>
        <w:rPr>
          <w:rFonts w:hint="eastAsia" w:ascii="宋体" w:hAnsi="宋体" w:cs="宋体"/>
          <w:szCs w:val="21"/>
        </w:rPr>
      </w:pPr>
      <w:r>
        <w:rPr>
          <w:rFonts w:hint="eastAsia" w:ascii="宋体" w:hAnsi="宋体" w:cs="宋体"/>
          <w:szCs w:val="21"/>
          <w:highlight w:val="white"/>
        </w:rPr>
        <w:t>（6）发现对方严重违反合同义务条款的行为，有向上级有关部门举报、建议给予处理并要求告知处理结果的权利。</w:t>
      </w:r>
    </w:p>
    <w:p w14:paraId="248507EF">
      <w:pPr>
        <w:spacing w:line="360" w:lineRule="auto"/>
        <w:ind w:firstLine="435"/>
        <w:rPr>
          <w:rFonts w:hint="eastAsia" w:ascii="宋体" w:hAnsi="宋体" w:cs="宋体"/>
          <w:szCs w:val="21"/>
        </w:rPr>
      </w:pPr>
      <w:r>
        <w:rPr>
          <w:rFonts w:hint="eastAsia" w:ascii="宋体" w:hAnsi="宋体" w:cs="宋体"/>
          <w:szCs w:val="21"/>
          <w:highlight w:val="white"/>
        </w:rPr>
        <w:t>2.发包人的义务</w:t>
      </w:r>
    </w:p>
    <w:p w14:paraId="7C72A545">
      <w:pPr>
        <w:spacing w:line="360" w:lineRule="auto"/>
        <w:ind w:firstLine="435"/>
        <w:rPr>
          <w:rFonts w:hint="eastAsia" w:ascii="宋体" w:hAnsi="宋体" w:cs="宋体"/>
          <w:szCs w:val="21"/>
        </w:rPr>
      </w:pPr>
      <w:r>
        <w:rPr>
          <w:rFonts w:hint="eastAsia" w:ascii="宋体" w:hAnsi="宋体" w:cs="宋体"/>
          <w:szCs w:val="21"/>
          <w:highlight w:val="white"/>
        </w:rPr>
        <w:t>（1）发包人及其工作人员不得索要或接受承包人的礼金、有价证券和贵重物品，不得让承包人报销任何应由发包人或发包人工作人员个人支付的费用等。</w:t>
      </w:r>
    </w:p>
    <w:p w14:paraId="63E83B41">
      <w:pPr>
        <w:spacing w:line="360" w:lineRule="auto"/>
        <w:ind w:firstLine="435"/>
        <w:rPr>
          <w:rFonts w:hint="eastAsia" w:ascii="宋体" w:hAnsi="宋体" w:cs="宋体"/>
          <w:szCs w:val="21"/>
        </w:rPr>
      </w:pPr>
      <w:r>
        <w:rPr>
          <w:rFonts w:hint="eastAsia" w:ascii="宋体" w:hAnsi="宋体" w:cs="宋体"/>
          <w:szCs w:val="21"/>
          <w:highlight w:val="white"/>
        </w:rPr>
        <w:t>（2）发包人工作人员不得参加承包人安排的超标准宴请和娱乐活动；不得接受承包人提供的通讯工具、交通工具和高档办公用品等。</w:t>
      </w:r>
    </w:p>
    <w:p w14:paraId="6A077380">
      <w:pPr>
        <w:spacing w:line="360" w:lineRule="auto"/>
        <w:ind w:firstLine="435"/>
        <w:rPr>
          <w:rFonts w:hint="eastAsia" w:ascii="宋体" w:hAnsi="宋体" w:cs="宋体"/>
          <w:szCs w:val="21"/>
        </w:rPr>
      </w:pPr>
      <w:r>
        <w:rPr>
          <w:rFonts w:hint="eastAsia" w:ascii="宋体" w:hAnsi="宋体" w:cs="宋体"/>
          <w:szCs w:val="21"/>
          <w:highlight w:val="white"/>
        </w:rPr>
        <w:t>（3）发包人及其工作人员不得要求或者接受承包人为其住房装修、婚丧嫁娶活的、配偶子女的工作安排以及出国出境、旅游等提供方便等。</w:t>
      </w:r>
    </w:p>
    <w:p w14:paraId="1D00ACA3">
      <w:pPr>
        <w:spacing w:line="360" w:lineRule="auto"/>
        <w:ind w:firstLine="435"/>
        <w:rPr>
          <w:rFonts w:hint="eastAsia" w:ascii="宋体" w:hAnsi="宋体" w:cs="宋体"/>
          <w:szCs w:val="21"/>
        </w:rPr>
      </w:pPr>
      <w:r>
        <w:rPr>
          <w:rFonts w:hint="eastAsia" w:ascii="宋体" w:hAnsi="宋体" w:cs="宋体"/>
          <w:szCs w:val="21"/>
          <w:highlight w:val="white"/>
        </w:rPr>
        <w:t>（4）发包人工作人员及其配偶、子女不得从事于发包人工程有关的材料设备供应、工程分包、劳务等经济活动等。</w:t>
      </w:r>
    </w:p>
    <w:p w14:paraId="720F797C">
      <w:pPr>
        <w:spacing w:line="360" w:lineRule="auto"/>
        <w:ind w:firstLine="435"/>
        <w:rPr>
          <w:rFonts w:hint="eastAsia" w:ascii="宋体" w:hAnsi="宋体" w:cs="宋体"/>
          <w:szCs w:val="21"/>
        </w:rPr>
      </w:pPr>
      <w:r>
        <w:rPr>
          <w:rFonts w:hint="eastAsia" w:ascii="宋体" w:hAnsi="宋体" w:cs="宋体"/>
          <w:szCs w:val="21"/>
          <w:highlight w:val="white"/>
        </w:rPr>
        <w:t>（5）发包人及其工作人员不得以任何理由向承包人推荐分包单位或推销材料，不得要求承包人购买合同规定外的材料和设备。</w:t>
      </w:r>
    </w:p>
    <w:p w14:paraId="36493115">
      <w:pPr>
        <w:spacing w:line="360" w:lineRule="auto"/>
        <w:ind w:firstLine="435"/>
        <w:rPr>
          <w:rFonts w:hint="eastAsia" w:ascii="宋体" w:hAnsi="宋体" w:cs="宋体"/>
          <w:szCs w:val="21"/>
        </w:rPr>
      </w:pPr>
      <w:r>
        <w:rPr>
          <w:rFonts w:hint="eastAsia" w:ascii="宋体" w:hAnsi="宋体" w:cs="宋体"/>
          <w:szCs w:val="21"/>
          <w:highlight w:val="white"/>
        </w:rPr>
        <w:t>（6）发包人工作人员要秉公办事，不准营私舞弊，不准利用职权从事各种个人有偿中介活的和安排个人施工队伍。</w:t>
      </w:r>
    </w:p>
    <w:p w14:paraId="28F88164">
      <w:pPr>
        <w:spacing w:line="360" w:lineRule="auto"/>
        <w:ind w:firstLine="435"/>
        <w:rPr>
          <w:rFonts w:hint="eastAsia" w:ascii="宋体" w:hAnsi="宋体" w:cs="宋体"/>
          <w:szCs w:val="21"/>
        </w:rPr>
      </w:pPr>
      <w:r>
        <w:rPr>
          <w:rFonts w:hint="eastAsia" w:ascii="宋体" w:hAnsi="宋体" w:cs="宋体"/>
          <w:szCs w:val="21"/>
          <w:highlight w:val="white"/>
        </w:rPr>
        <w:t>3.承包人的义务</w:t>
      </w:r>
    </w:p>
    <w:p w14:paraId="700E4D7A">
      <w:pPr>
        <w:spacing w:line="360" w:lineRule="auto"/>
        <w:ind w:firstLine="435"/>
        <w:rPr>
          <w:rFonts w:hint="eastAsia" w:ascii="宋体" w:hAnsi="宋体" w:cs="宋体"/>
          <w:szCs w:val="21"/>
        </w:rPr>
      </w:pPr>
      <w:r>
        <w:rPr>
          <w:rFonts w:hint="eastAsia" w:ascii="宋体" w:hAnsi="宋体" w:cs="宋体"/>
          <w:szCs w:val="21"/>
          <w:highlight w:val="white"/>
        </w:rPr>
        <w:t>（1）承包人不得以任何理由向发包人及其工作人员行贿或馈赠礼金、有价证券、贵重物品。</w:t>
      </w:r>
    </w:p>
    <w:p w14:paraId="54D9EDD7">
      <w:pPr>
        <w:spacing w:line="360" w:lineRule="auto"/>
        <w:ind w:firstLine="435"/>
        <w:rPr>
          <w:rFonts w:hint="eastAsia" w:ascii="宋体" w:hAnsi="宋体" w:cs="宋体"/>
          <w:szCs w:val="21"/>
        </w:rPr>
      </w:pPr>
      <w:r>
        <w:rPr>
          <w:rFonts w:hint="eastAsia" w:ascii="宋体" w:hAnsi="宋体" w:cs="宋体"/>
          <w:szCs w:val="21"/>
          <w:highlight w:val="white"/>
        </w:rPr>
        <w:t>（2）承包人不得以任何名义为发包人及其工作人员报销应由发包人单位或个人支付的任何费用，</w:t>
      </w:r>
    </w:p>
    <w:p w14:paraId="5A00E978">
      <w:pPr>
        <w:spacing w:line="360" w:lineRule="auto"/>
        <w:ind w:firstLine="435"/>
        <w:rPr>
          <w:rFonts w:hint="eastAsia" w:ascii="宋体" w:hAnsi="宋体" w:cs="宋体"/>
          <w:szCs w:val="21"/>
        </w:rPr>
      </w:pPr>
      <w:r>
        <w:rPr>
          <w:rFonts w:hint="eastAsia" w:ascii="宋体" w:hAnsi="宋体" w:cs="宋体"/>
          <w:szCs w:val="21"/>
          <w:highlight w:val="white"/>
        </w:rPr>
        <w:t>（3）承包人不得以任何理由安排发包人工作人员参加超标准宴请及娱乐活动。</w:t>
      </w:r>
    </w:p>
    <w:p w14:paraId="2B1261C9">
      <w:pPr>
        <w:spacing w:line="360" w:lineRule="auto"/>
        <w:ind w:firstLine="435"/>
        <w:rPr>
          <w:rFonts w:hint="eastAsia" w:ascii="宋体" w:hAnsi="宋体" w:cs="宋体"/>
          <w:szCs w:val="21"/>
        </w:rPr>
      </w:pPr>
      <w:r>
        <w:rPr>
          <w:rFonts w:hint="eastAsia" w:ascii="宋体" w:hAnsi="宋体" w:cs="宋体"/>
          <w:szCs w:val="21"/>
          <w:highlight w:val="white"/>
        </w:rPr>
        <w:t>（4）承包人不得为发包人单位和个人购置或提供通讯工具、交通工具盒高档办公用品等，</w:t>
      </w:r>
    </w:p>
    <w:p w14:paraId="7E267F01">
      <w:pPr>
        <w:spacing w:line="360" w:lineRule="auto"/>
        <w:ind w:firstLine="435"/>
        <w:rPr>
          <w:rFonts w:hint="eastAsia" w:ascii="宋体" w:hAnsi="宋体" w:cs="宋体"/>
          <w:szCs w:val="21"/>
        </w:rPr>
      </w:pPr>
      <w:r>
        <w:rPr>
          <w:rFonts w:hint="eastAsia" w:ascii="宋体" w:hAnsi="宋体" w:cs="宋体"/>
          <w:szCs w:val="21"/>
          <w:highlight w:val="white"/>
        </w:rPr>
        <w:t>4.违约责任</w:t>
      </w:r>
    </w:p>
    <w:p w14:paraId="24C1B4AF">
      <w:pPr>
        <w:spacing w:line="360" w:lineRule="auto"/>
        <w:ind w:firstLine="435"/>
        <w:rPr>
          <w:rFonts w:hint="eastAsia" w:ascii="宋体" w:hAnsi="宋体" w:cs="宋体"/>
          <w:szCs w:val="21"/>
        </w:rPr>
      </w:pPr>
      <w:r>
        <w:rPr>
          <w:rFonts w:hint="eastAsia" w:ascii="宋体" w:hAnsi="宋体" w:cs="宋体"/>
          <w:szCs w:val="21"/>
          <w:highlight w:val="white"/>
        </w:rPr>
        <w:t>（1）发包人及其工作人员违反本合同第1、2条，按管理权限，依据有关规定给予党纪、政纪或组织处理；涉嫌犯罪的，移交司法机关追究刑事责任；给承包人单位造成经济损失的，应予以赔偿。</w:t>
      </w:r>
    </w:p>
    <w:p w14:paraId="487516BF">
      <w:pPr>
        <w:spacing w:line="360" w:lineRule="auto"/>
        <w:ind w:firstLine="435"/>
        <w:rPr>
          <w:rFonts w:hint="eastAsia" w:ascii="宋体" w:hAnsi="宋体" w:cs="宋体"/>
          <w:szCs w:val="21"/>
        </w:rPr>
      </w:pPr>
      <w:r>
        <w:rPr>
          <w:rFonts w:hint="eastAsia" w:ascii="宋体" w:hAnsi="宋体" w:cs="宋体"/>
          <w:szCs w:val="21"/>
          <w:highlight w:val="white"/>
        </w:rPr>
        <w:t>（2）承包人以及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66BBCD17">
      <w:pPr>
        <w:spacing w:line="360" w:lineRule="auto"/>
        <w:ind w:firstLine="435"/>
        <w:rPr>
          <w:rFonts w:hint="eastAsia" w:ascii="宋体" w:hAnsi="宋体" w:cs="宋体"/>
          <w:szCs w:val="21"/>
        </w:rPr>
      </w:pPr>
      <w:r>
        <w:rPr>
          <w:rFonts w:hint="eastAsia" w:ascii="宋体" w:hAnsi="宋体" w:cs="宋体"/>
          <w:szCs w:val="21"/>
          <w:highlight w:val="whit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3945F72">
      <w:pPr>
        <w:spacing w:line="360" w:lineRule="auto"/>
        <w:ind w:firstLine="435"/>
        <w:rPr>
          <w:rFonts w:hint="eastAsia" w:ascii="宋体" w:hAnsi="宋体" w:cs="宋体"/>
          <w:szCs w:val="21"/>
        </w:rPr>
      </w:pPr>
      <w:r>
        <w:rPr>
          <w:rFonts w:hint="eastAsia" w:ascii="宋体" w:hAnsi="宋体" w:cs="宋体"/>
          <w:szCs w:val="21"/>
          <w:highlight w:val="white"/>
        </w:rPr>
        <w:t>6.本合同有效期为发包人和承包人签署之日起至该工程项目竣工验收后止。</w:t>
      </w:r>
    </w:p>
    <w:p w14:paraId="682590DC">
      <w:pPr>
        <w:spacing w:line="360" w:lineRule="auto"/>
        <w:ind w:firstLine="435"/>
        <w:rPr>
          <w:rFonts w:hint="eastAsia" w:ascii="宋体" w:hAnsi="宋体" w:cs="宋体"/>
          <w:szCs w:val="21"/>
        </w:rPr>
      </w:pPr>
      <w:r>
        <w:rPr>
          <w:rFonts w:hint="eastAsia" w:ascii="宋体" w:hAnsi="宋体" w:cs="宋体"/>
          <w:szCs w:val="21"/>
          <w:highlight w:val="white"/>
        </w:rPr>
        <w:t>7.本合同作为</w:t>
      </w:r>
      <w:r>
        <w:rPr>
          <w:rFonts w:hint="eastAsia" w:ascii="宋体" w:hAnsi="宋体" w:cs="宋体"/>
          <w:szCs w:val="21"/>
          <w:highlight w:val="white"/>
          <w:u w:val="single"/>
        </w:rPr>
        <w:t xml:space="preserve">           </w:t>
      </w:r>
      <w:r>
        <w:rPr>
          <w:rFonts w:hint="eastAsia" w:ascii="宋体" w:hAnsi="宋体" w:cs="宋体"/>
          <w:szCs w:val="21"/>
          <w:highlight w:val="white"/>
        </w:rPr>
        <w:t>（项目名称）</w:t>
      </w:r>
      <w:r>
        <w:rPr>
          <w:rFonts w:hint="eastAsia" w:ascii="宋体" w:hAnsi="宋体" w:cs="宋体"/>
          <w:szCs w:val="21"/>
          <w:highlight w:val="white"/>
          <w:u w:val="single"/>
        </w:rPr>
        <w:t xml:space="preserve">      </w:t>
      </w:r>
      <w:r>
        <w:rPr>
          <w:rFonts w:hint="eastAsia" w:ascii="宋体" w:hAnsi="宋体" w:cs="宋体"/>
          <w:szCs w:val="21"/>
          <w:highlight w:val="white"/>
        </w:rPr>
        <w:t>标段施工合同的附件，与工程施工合同具有同等的法律效力，经合同双方签署后立即生效。</w:t>
      </w:r>
    </w:p>
    <w:p w14:paraId="2374C0A8">
      <w:pPr>
        <w:spacing w:line="360" w:lineRule="auto"/>
        <w:ind w:firstLine="435"/>
        <w:rPr>
          <w:rFonts w:hint="eastAsia" w:ascii="宋体" w:hAnsi="宋体" w:cs="宋体"/>
          <w:szCs w:val="21"/>
        </w:rPr>
      </w:pPr>
      <w:r>
        <w:rPr>
          <w:rFonts w:hint="eastAsia" w:ascii="宋体" w:hAnsi="宋体" w:cs="宋体"/>
          <w:szCs w:val="21"/>
          <w:highlight w:val="white"/>
        </w:rPr>
        <w:t>8.本合同一式四份，由发包人和承包人各执一份，送交发包人和承包人的监督单位各一份。</w:t>
      </w:r>
    </w:p>
    <w:p w14:paraId="1DD299B8">
      <w:pPr>
        <w:spacing w:line="360" w:lineRule="auto"/>
        <w:ind w:firstLine="435"/>
        <w:rPr>
          <w:rFonts w:hint="eastAsia" w:ascii="宋体" w:hAnsi="宋体" w:cs="宋体"/>
          <w:szCs w:val="21"/>
        </w:rPr>
      </w:pPr>
    </w:p>
    <w:p w14:paraId="2F34DDEE">
      <w:pPr>
        <w:spacing w:line="360" w:lineRule="auto"/>
        <w:ind w:firstLine="210" w:firstLineChars="100"/>
        <w:rPr>
          <w:rFonts w:hint="eastAsia" w:ascii="宋体" w:hAnsi="宋体" w:cs="宋体"/>
          <w:szCs w:val="21"/>
          <w:u w:val="single"/>
        </w:rPr>
      </w:pPr>
      <w:r>
        <w:rPr>
          <w:rFonts w:hint="eastAsia" w:ascii="宋体" w:hAnsi="宋体" w:cs="宋体"/>
          <w:szCs w:val="21"/>
          <w:highlight w:val="white"/>
        </w:rPr>
        <w:t>发包人：</w:t>
      </w:r>
      <w:r>
        <w:rPr>
          <w:rFonts w:hint="eastAsia" w:ascii="宋体" w:hAnsi="宋体" w:cs="宋体"/>
          <w:szCs w:val="21"/>
          <w:highlight w:val="white"/>
          <w:u w:val="single"/>
        </w:rPr>
        <w:t xml:space="preserve">      </w:t>
      </w:r>
      <w:r>
        <w:rPr>
          <w:rFonts w:hint="eastAsia" w:ascii="宋体" w:hAnsi="宋体" w:cs="宋体"/>
          <w:szCs w:val="21"/>
          <w:highlight w:val="white"/>
        </w:rPr>
        <w:t xml:space="preserve">（盖单位章）                                承包人： </w:t>
      </w:r>
      <w:r>
        <w:rPr>
          <w:rFonts w:hint="eastAsia" w:ascii="宋体" w:hAnsi="宋体" w:cs="宋体"/>
          <w:szCs w:val="21"/>
          <w:highlight w:val="white"/>
          <w:u w:val="single"/>
        </w:rPr>
        <w:t xml:space="preserve">     </w:t>
      </w:r>
      <w:r>
        <w:rPr>
          <w:rFonts w:hint="eastAsia" w:ascii="宋体" w:hAnsi="宋体" w:cs="宋体"/>
          <w:szCs w:val="21"/>
          <w:highlight w:val="white"/>
        </w:rPr>
        <w:t xml:space="preserve"> （盖单位章）</w:t>
      </w:r>
    </w:p>
    <w:p w14:paraId="358125B4">
      <w:pPr>
        <w:spacing w:line="360" w:lineRule="auto"/>
        <w:rPr>
          <w:rFonts w:hint="eastAsia" w:ascii="宋体" w:hAnsi="宋体" w:cs="宋体"/>
          <w:szCs w:val="21"/>
        </w:rPr>
      </w:pPr>
      <w:r>
        <w:rPr>
          <w:rFonts w:hint="eastAsia" w:ascii="宋体" w:hAnsi="宋体" w:cs="宋体"/>
          <w:szCs w:val="21"/>
          <w:highlight w:val="white"/>
        </w:rPr>
        <w:t xml:space="preserve">  法定代表人                                                法定代表人</w:t>
      </w:r>
    </w:p>
    <w:p w14:paraId="4D27110C">
      <w:pPr>
        <w:spacing w:line="360" w:lineRule="auto"/>
        <w:ind w:firstLine="420" w:firstLineChars="200"/>
        <w:rPr>
          <w:rFonts w:hint="eastAsia" w:ascii="宋体" w:hAnsi="宋体" w:cs="宋体"/>
          <w:szCs w:val="21"/>
        </w:rPr>
      </w:pPr>
      <w:r>
        <w:rPr>
          <w:rFonts w:hint="eastAsia" w:ascii="宋体" w:hAnsi="宋体" w:cs="宋体"/>
          <w:szCs w:val="21"/>
          <w:highlight w:val="white"/>
        </w:rPr>
        <w:t>或                                                         或</w:t>
      </w:r>
    </w:p>
    <w:p w14:paraId="737D1204">
      <w:pPr>
        <w:spacing w:line="360" w:lineRule="auto"/>
        <w:rPr>
          <w:rFonts w:hint="eastAsia" w:ascii="宋体" w:hAnsi="宋体" w:cs="宋体"/>
          <w:szCs w:val="21"/>
        </w:rPr>
      </w:pPr>
      <w:r>
        <w:rPr>
          <w:rFonts w:hint="eastAsia" w:ascii="宋体" w:hAnsi="宋体" w:cs="宋体"/>
          <w:szCs w:val="21"/>
          <w:highlight w:val="white"/>
        </w:rPr>
        <w:t>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                                  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w:t>
      </w:r>
    </w:p>
    <w:p w14:paraId="7D8ECAFE">
      <w:pPr>
        <w:spacing w:line="360" w:lineRule="auto"/>
        <w:ind w:firstLine="525" w:firstLineChars="250"/>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 xml:space="preserve">月 </w:t>
      </w:r>
      <w:r>
        <w:rPr>
          <w:rFonts w:hint="eastAsia" w:ascii="宋体" w:hAnsi="宋体" w:cs="宋体"/>
          <w:szCs w:val="21"/>
          <w:highlight w:val="white"/>
          <w:u w:val="single"/>
        </w:rPr>
        <w:t xml:space="preserve">   </w:t>
      </w:r>
      <w:r>
        <w:rPr>
          <w:rFonts w:hint="eastAsia" w:ascii="宋体" w:hAnsi="宋体" w:cs="宋体"/>
          <w:szCs w:val="21"/>
          <w:highlight w:val="white"/>
        </w:rPr>
        <w:t xml:space="preserve"> 日                                   </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 xml:space="preserve">月 </w:t>
      </w:r>
      <w:r>
        <w:rPr>
          <w:rFonts w:hint="eastAsia" w:ascii="宋体" w:hAnsi="宋体" w:cs="宋体"/>
          <w:szCs w:val="21"/>
          <w:highlight w:val="white"/>
          <w:u w:val="single"/>
        </w:rPr>
        <w:t xml:space="preserve">    </w:t>
      </w:r>
      <w:r>
        <w:rPr>
          <w:rFonts w:hint="eastAsia" w:ascii="宋体" w:hAnsi="宋体" w:cs="宋体"/>
          <w:szCs w:val="21"/>
          <w:highlight w:val="white"/>
        </w:rPr>
        <w:t xml:space="preserve">日 </w:t>
      </w:r>
    </w:p>
    <w:p w14:paraId="219F71C7">
      <w:pPr>
        <w:spacing w:line="360" w:lineRule="auto"/>
        <w:ind w:firstLine="525" w:firstLineChars="250"/>
        <w:rPr>
          <w:rFonts w:hint="eastAsia" w:ascii="宋体" w:hAnsi="宋体" w:cs="宋体"/>
          <w:szCs w:val="21"/>
        </w:rPr>
      </w:pPr>
    </w:p>
    <w:p w14:paraId="1454362C">
      <w:pPr>
        <w:spacing w:line="360" w:lineRule="auto"/>
        <w:ind w:leftChars="-85" w:right="-223" w:rightChars="-106" w:hanging="178" w:hangingChars="85"/>
        <w:rPr>
          <w:rFonts w:hint="eastAsia" w:ascii="宋体" w:hAnsi="宋体" w:cs="宋体"/>
          <w:szCs w:val="21"/>
        </w:rPr>
      </w:pPr>
      <w:r>
        <w:rPr>
          <w:rFonts w:hint="eastAsia" w:ascii="宋体" w:hAnsi="宋体" w:cs="宋体"/>
          <w:szCs w:val="21"/>
          <w:highlight w:val="white"/>
        </w:rPr>
        <w:t>发包人监督单位：</w:t>
      </w:r>
      <w:r>
        <w:rPr>
          <w:rFonts w:hint="eastAsia" w:ascii="宋体" w:hAnsi="宋体" w:cs="宋体"/>
          <w:szCs w:val="21"/>
          <w:highlight w:val="white"/>
          <w:u w:val="single"/>
        </w:rPr>
        <w:t>（全称）（盖章）</w:t>
      </w:r>
      <w:r>
        <w:rPr>
          <w:rFonts w:hint="eastAsia" w:ascii="宋体" w:hAnsi="宋体" w:cs="宋体"/>
          <w:szCs w:val="21"/>
          <w:highlight w:val="white"/>
        </w:rPr>
        <w:t xml:space="preserve">                             承包人监督单位：</w:t>
      </w:r>
      <w:r>
        <w:rPr>
          <w:rFonts w:hint="eastAsia" w:ascii="宋体" w:hAnsi="宋体" w:cs="宋体"/>
          <w:szCs w:val="21"/>
          <w:highlight w:val="white"/>
          <w:u w:val="single"/>
        </w:rPr>
        <w:t>（全称）（盖章）</w:t>
      </w:r>
    </w:p>
    <w:p w14:paraId="56C66CA8">
      <w:pPr>
        <w:spacing w:line="360" w:lineRule="exact"/>
        <w:rPr>
          <w:rFonts w:hint="eastAsia" w:ascii="宋体" w:hAnsi="宋体" w:cs="宋体"/>
          <w:b/>
          <w:sz w:val="24"/>
          <w:u w:val="single"/>
        </w:rPr>
      </w:pPr>
    </w:p>
    <w:p w14:paraId="631A3DE9">
      <w:pPr>
        <w:rPr>
          <w:rFonts w:hint="eastAsia" w:ascii="宋体" w:hAnsi="宋体" w:cs="宋体"/>
          <w:b/>
          <w:sz w:val="24"/>
          <w:u w:val="single"/>
        </w:rPr>
      </w:pPr>
      <w:r>
        <w:rPr>
          <w:rFonts w:hint="eastAsia" w:ascii="宋体" w:hAnsi="宋体" w:cs="宋体"/>
          <w:highlight w:val="white"/>
        </w:rPr>
        <w:br w:type="page"/>
      </w:r>
      <w:bookmarkStart w:id="736" w:name="_Toc243290538"/>
      <w:r>
        <w:rPr>
          <w:rFonts w:hint="eastAsia" w:ascii="宋体" w:hAnsi="宋体" w:cs="宋体"/>
          <w:sz w:val="24"/>
          <w:highlight w:val="white"/>
        </w:rPr>
        <w:t xml:space="preserve">附件三   </w:t>
      </w:r>
      <w:bookmarkEnd w:id="736"/>
    </w:p>
    <w:p w14:paraId="1F8AB8FC">
      <w:pPr>
        <w:spacing w:line="360" w:lineRule="auto"/>
        <w:jc w:val="center"/>
        <w:rPr>
          <w:rFonts w:hint="eastAsia" w:ascii="宋体" w:hAnsi="宋体" w:cs="宋体"/>
          <w:sz w:val="24"/>
        </w:rPr>
      </w:pPr>
      <w:r>
        <w:rPr>
          <w:rFonts w:hint="eastAsia" w:ascii="宋体" w:hAnsi="宋体" w:cs="宋体"/>
          <w:sz w:val="24"/>
          <w:highlight w:val="white"/>
        </w:rPr>
        <w:t>安全生产合同</w:t>
      </w:r>
    </w:p>
    <w:p w14:paraId="36022CE9">
      <w:pPr>
        <w:spacing w:line="360" w:lineRule="auto"/>
        <w:jc w:val="center"/>
        <w:rPr>
          <w:rFonts w:hint="eastAsia" w:ascii="宋体" w:hAnsi="宋体" w:cs="宋体"/>
          <w:sz w:val="18"/>
          <w:szCs w:val="18"/>
        </w:rPr>
      </w:pPr>
      <w:r>
        <w:rPr>
          <w:rFonts w:hint="eastAsia" w:ascii="宋体" w:hAnsi="宋体" w:cs="宋体"/>
          <w:sz w:val="18"/>
          <w:szCs w:val="18"/>
          <w:highlight w:val="white"/>
        </w:rPr>
        <w:t>（本附件投标人投标时不须提交）</w:t>
      </w:r>
    </w:p>
    <w:p w14:paraId="7B30EACE">
      <w:pPr>
        <w:spacing w:before="240" w:beforeLines="100" w:line="360" w:lineRule="auto"/>
        <w:ind w:firstLine="420" w:firstLineChars="200"/>
        <w:rPr>
          <w:rFonts w:hint="eastAsia" w:ascii="宋体" w:hAnsi="宋体" w:cs="宋体"/>
          <w:szCs w:val="21"/>
        </w:rPr>
      </w:pPr>
      <w:r>
        <w:rPr>
          <w:rFonts w:hint="eastAsia" w:ascii="宋体" w:hAnsi="宋体" w:cs="宋体"/>
          <w:szCs w:val="21"/>
          <w:highlight w:val="white"/>
        </w:rPr>
        <w:t>为在</w:t>
      </w:r>
      <w:r>
        <w:rPr>
          <w:rFonts w:hint="eastAsia" w:ascii="宋体" w:hAnsi="宋体" w:cs="宋体"/>
          <w:szCs w:val="21"/>
          <w:highlight w:val="white"/>
          <w:u w:val="single"/>
        </w:rPr>
        <w:t xml:space="preserve">               </w:t>
      </w:r>
      <w:r>
        <w:rPr>
          <w:rFonts w:hint="eastAsia" w:ascii="宋体" w:hAnsi="宋体" w:cs="宋体"/>
          <w:szCs w:val="21"/>
          <w:highlight w:val="white"/>
        </w:rPr>
        <w:t>（项目名称）</w:t>
      </w:r>
      <w:r>
        <w:rPr>
          <w:rFonts w:hint="eastAsia" w:ascii="宋体" w:hAnsi="宋体" w:cs="宋体"/>
          <w:szCs w:val="21"/>
          <w:highlight w:val="white"/>
          <w:u w:val="single"/>
        </w:rPr>
        <w:t xml:space="preserve">     </w:t>
      </w:r>
      <w:r>
        <w:rPr>
          <w:rFonts w:hint="eastAsia" w:ascii="宋体" w:hAnsi="宋体" w:cs="宋体"/>
          <w:szCs w:val="21"/>
          <w:highlight w:val="white"/>
        </w:rPr>
        <w:t>标段施工合同的施工过程中创造安全、高效的施工环境，切实搞好本项目的安全管理工作，本项目发包人</w:t>
      </w:r>
      <w:r>
        <w:rPr>
          <w:rFonts w:hint="eastAsia" w:ascii="宋体" w:hAnsi="宋体" w:cs="宋体"/>
          <w:szCs w:val="21"/>
          <w:highlight w:val="white"/>
          <w:u w:val="single"/>
        </w:rPr>
        <w:t xml:space="preserve">         </w:t>
      </w:r>
      <w:r>
        <w:rPr>
          <w:rFonts w:hint="eastAsia" w:ascii="宋体" w:hAnsi="宋体" w:cs="宋体"/>
          <w:szCs w:val="21"/>
          <w:highlight w:val="white"/>
        </w:rPr>
        <w:t>（发包人名称，一下简称“发包人”）与承包人</w:t>
      </w:r>
      <w:r>
        <w:rPr>
          <w:rFonts w:hint="eastAsia" w:ascii="宋体" w:hAnsi="宋体" w:cs="宋体"/>
          <w:szCs w:val="21"/>
          <w:highlight w:val="white"/>
          <w:u w:val="single"/>
        </w:rPr>
        <w:t xml:space="preserve">          </w:t>
      </w:r>
      <w:r>
        <w:rPr>
          <w:rFonts w:hint="eastAsia" w:ascii="宋体" w:hAnsi="宋体" w:cs="宋体"/>
          <w:szCs w:val="21"/>
          <w:highlight w:val="white"/>
        </w:rPr>
        <w:t>（承包人名称，以下简称“承包人”）特此签订安全生产合同：</w:t>
      </w:r>
    </w:p>
    <w:p w14:paraId="1CADCE3D">
      <w:pPr>
        <w:spacing w:line="360" w:lineRule="auto"/>
        <w:ind w:firstLine="420" w:firstLineChars="200"/>
        <w:rPr>
          <w:rFonts w:hint="eastAsia" w:ascii="宋体" w:hAnsi="宋体" w:cs="宋体"/>
          <w:szCs w:val="21"/>
        </w:rPr>
      </w:pPr>
      <w:r>
        <w:rPr>
          <w:rFonts w:hint="eastAsia" w:ascii="宋体" w:hAnsi="宋体" w:cs="宋体"/>
          <w:szCs w:val="21"/>
          <w:highlight w:val="white"/>
        </w:rPr>
        <w:t>1.发包人职责</w:t>
      </w:r>
    </w:p>
    <w:p w14:paraId="6F04E114">
      <w:pPr>
        <w:spacing w:line="360" w:lineRule="auto"/>
        <w:ind w:firstLine="420" w:firstLineChars="200"/>
        <w:rPr>
          <w:rFonts w:hint="eastAsia" w:ascii="宋体" w:hAnsi="宋体" w:cs="宋体"/>
          <w:szCs w:val="21"/>
        </w:rPr>
      </w:pPr>
      <w:r>
        <w:rPr>
          <w:rFonts w:hint="eastAsia" w:ascii="宋体" w:hAnsi="宋体" w:cs="宋体"/>
          <w:szCs w:val="21"/>
          <w:highlight w:val="white"/>
        </w:rPr>
        <w:t>（1）严格遵守国家有关安全生产的法律法规，认真执行工程承包合同中的有关安全要求。</w:t>
      </w:r>
    </w:p>
    <w:p w14:paraId="75EF82BB">
      <w:pPr>
        <w:spacing w:line="360" w:lineRule="auto"/>
        <w:ind w:firstLine="420" w:firstLineChars="200"/>
        <w:rPr>
          <w:rFonts w:hint="eastAsia" w:ascii="宋体" w:hAnsi="宋体" w:cs="宋体"/>
          <w:szCs w:val="21"/>
        </w:rPr>
      </w:pPr>
      <w:r>
        <w:rPr>
          <w:rFonts w:hint="eastAsia" w:ascii="宋体" w:hAnsi="宋体" w:cs="宋体"/>
          <w:szCs w:val="21"/>
          <w:highlight w:val="white"/>
        </w:rPr>
        <w:t>（2）按照“安全第一、预防为主”坚持“管生产必须管安全”的原则进行安全生产管理，做到生产与安全工作同时计划、布置、检查、总结和评比。</w:t>
      </w:r>
    </w:p>
    <w:p w14:paraId="2B78C3EC">
      <w:pPr>
        <w:spacing w:line="360" w:lineRule="auto"/>
        <w:ind w:firstLine="420" w:firstLineChars="200"/>
        <w:rPr>
          <w:rFonts w:hint="eastAsia" w:ascii="宋体" w:hAnsi="宋体" w:cs="宋体"/>
          <w:szCs w:val="21"/>
        </w:rPr>
      </w:pPr>
      <w:r>
        <w:rPr>
          <w:rFonts w:hint="eastAsia" w:ascii="宋体" w:hAnsi="宋体" w:cs="宋体"/>
          <w:szCs w:val="21"/>
          <w:highlight w:val="white"/>
        </w:rPr>
        <w:t>（3）重要的安全设施必须坚持与主体工程“三同时”的原则，即：同时设计、审批、同时施工，同时验收，投入使用。</w:t>
      </w:r>
    </w:p>
    <w:p w14:paraId="3C30C43C">
      <w:pPr>
        <w:spacing w:line="360" w:lineRule="auto"/>
        <w:ind w:firstLine="420" w:firstLineChars="200"/>
        <w:rPr>
          <w:rFonts w:hint="eastAsia" w:ascii="宋体" w:hAnsi="宋体" w:cs="宋体"/>
          <w:szCs w:val="21"/>
        </w:rPr>
      </w:pPr>
      <w:r>
        <w:rPr>
          <w:rFonts w:hint="eastAsia" w:ascii="宋体" w:hAnsi="宋体" w:cs="宋体"/>
          <w:szCs w:val="21"/>
          <w:highlight w:val="white"/>
        </w:rPr>
        <w:t>（4）定期召开安全生产调度会，及时传达中央及地方有关安全生产的精神。</w:t>
      </w:r>
    </w:p>
    <w:p w14:paraId="715D4A5A">
      <w:pPr>
        <w:spacing w:line="360" w:lineRule="auto"/>
        <w:ind w:firstLine="420" w:firstLineChars="200"/>
        <w:rPr>
          <w:rFonts w:hint="eastAsia" w:ascii="宋体" w:hAnsi="宋体" w:cs="宋体"/>
          <w:szCs w:val="21"/>
        </w:rPr>
      </w:pPr>
      <w:r>
        <w:rPr>
          <w:rFonts w:hint="eastAsia" w:ascii="宋体" w:hAnsi="宋体" w:cs="宋体"/>
          <w:szCs w:val="21"/>
          <w:highlight w:val="white"/>
        </w:rPr>
        <w:t>（5）组织对承包人施工现场进行安全生产检查，监督承包人及时处理发现的各种安全隐患。</w:t>
      </w:r>
    </w:p>
    <w:p w14:paraId="42C79E7A">
      <w:pPr>
        <w:spacing w:line="360" w:lineRule="auto"/>
        <w:ind w:firstLine="420" w:firstLineChars="200"/>
        <w:rPr>
          <w:rFonts w:hint="eastAsia" w:ascii="宋体" w:hAnsi="宋体" w:cs="宋体"/>
          <w:szCs w:val="21"/>
        </w:rPr>
      </w:pPr>
      <w:r>
        <w:rPr>
          <w:rFonts w:hint="eastAsia" w:ascii="宋体" w:hAnsi="宋体" w:cs="宋体"/>
          <w:szCs w:val="21"/>
          <w:highlight w:val="white"/>
        </w:rPr>
        <w:t>2.承包人职责</w:t>
      </w:r>
    </w:p>
    <w:p w14:paraId="43835DB9">
      <w:pPr>
        <w:spacing w:line="360" w:lineRule="auto"/>
        <w:ind w:firstLine="420" w:firstLineChars="200"/>
        <w:rPr>
          <w:rFonts w:hint="eastAsia" w:ascii="宋体" w:hAnsi="宋体" w:cs="宋体"/>
          <w:szCs w:val="21"/>
        </w:rPr>
      </w:pPr>
      <w:r>
        <w:rPr>
          <w:rFonts w:hint="eastAsia" w:ascii="宋体" w:hAnsi="宋体" w:cs="宋体"/>
          <w:szCs w:val="21"/>
          <w:highlight w:val="whit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AA9C965">
      <w:pPr>
        <w:spacing w:line="360" w:lineRule="auto"/>
        <w:ind w:firstLine="420" w:firstLineChars="200"/>
        <w:rPr>
          <w:rFonts w:hint="eastAsia" w:ascii="宋体" w:hAnsi="宋体" w:cs="宋体"/>
          <w:szCs w:val="21"/>
        </w:rPr>
      </w:pPr>
      <w:r>
        <w:rPr>
          <w:rFonts w:hint="eastAsia" w:ascii="宋体" w:hAnsi="宋体" w:cs="宋体"/>
          <w:szCs w:val="21"/>
          <w:highlight w:val="white"/>
        </w:rPr>
        <w:t>（2）坚持“安全第一、预防为主”和“管生产必须管安全”的原则，加强安全生产宣传教育，增强全员安全生产意识，监理健全各项安全绳的管理机构和安全生产管理制度，配备专职及兼职安全检查人员，有组织有领导地开展安全生产活动。各级领导、工程技术人员、生产管理人员和具体操作人员，必须熟悉和助手本合同的各项规定，做到生产与安全生产工作同时计划、布置、检查、总结和评比。</w:t>
      </w:r>
    </w:p>
    <w:p w14:paraId="32CCBCB3">
      <w:pPr>
        <w:spacing w:line="360" w:lineRule="auto"/>
        <w:ind w:firstLine="420" w:firstLineChars="200"/>
        <w:rPr>
          <w:rFonts w:hint="eastAsia" w:ascii="宋体" w:hAnsi="宋体" w:cs="宋体"/>
          <w:szCs w:val="21"/>
        </w:rPr>
      </w:pPr>
      <w:r>
        <w:rPr>
          <w:rFonts w:hint="eastAsia" w:ascii="宋体" w:hAnsi="宋体" w:cs="宋体"/>
          <w:szCs w:val="21"/>
          <w:highlight w:val="whit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7D60EED">
      <w:pPr>
        <w:spacing w:line="360" w:lineRule="auto"/>
        <w:ind w:firstLine="420" w:firstLineChars="200"/>
        <w:rPr>
          <w:rFonts w:hint="eastAsia" w:ascii="宋体" w:hAnsi="宋体" w:cs="宋体"/>
          <w:szCs w:val="21"/>
        </w:rPr>
      </w:pPr>
      <w:r>
        <w:rPr>
          <w:rFonts w:hint="eastAsia" w:ascii="宋体" w:hAnsi="宋体" w:cs="宋体"/>
          <w:szCs w:val="21"/>
          <w:highlight w:val="white"/>
        </w:rPr>
        <w:t>（4）承包人在任何时候都应采取 合理的预防措施，防止其员工发生任何违法、违禁、暴力或妨碍治安的行为。</w:t>
      </w:r>
    </w:p>
    <w:p w14:paraId="07B8ABE2">
      <w:pPr>
        <w:spacing w:line="360" w:lineRule="auto"/>
        <w:ind w:firstLine="420" w:firstLineChars="200"/>
        <w:rPr>
          <w:rFonts w:hint="eastAsia" w:ascii="宋体" w:hAnsi="宋体" w:cs="宋体"/>
          <w:szCs w:val="21"/>
        </w:rPr>
      </w:pPr>
      <w:r>
        <w:rPr>
          <w:rFonts w:hint="eastAsia" w:ascii="宋体" w:hAnsi="宋体" w:cs="宋体"/>
          <w:szCs w:val="21"/>
          <w:highlight w:val="white"/>
        </w:rPr>
        <w:t>（5）承包人必须具有劳动安全管理部门颁发的安全生产考核合格证书，参加施工的人员，必须接受安全技术教育，熟知和遵守本工种的各项安全技术操作规程，定期进行全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43A6C91">
      <w:pPr>
        <w:spacing w:line="360" w:lineRule="auto"/>
        <w:ind w:firstLine="420" w:firstLineChars="200"/>
        <w:rPr>
          <w:rFonts w:hint="eastAsia" w:ascii="宋体" w:hAnsi="宋体" w:cs="宋体"/>
          <w:szCs w:val="21"/>
        </w:rPr>
      </w:pPr>
      <w:r>
        <w:rPr>
          <w:rFonts w:hint="eastAsia" w:ascii="宋体" w:hAnsi="宋体" w:cs="宋体"/>
          <w:szCs w:val="21"/>
          <w:highlight w:val="whit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4902FC1">
      <w:pPr>
        <w:spacing w:line="360" w:lineRule="auto"/>
        <w:ind w:firstLine="420" w:firstLineChars="200"/>
        <w:rPr>
          <w:rFonts w:hint="eastAsia" w:ascii="宋体" w:hAnsi="宋体" w:cs="宋体"/>
          <w:szCs w:val="21"/>
        </w:rPr>
      </w:pPr>
      <w:r>
        <w:rPr>
          <w:rFonts w:hint="eastAsia" w:ascii="宋体" w:hAnsi="宋体" w:cs="宋体"/>
          <w:szCs w:val="21"/>
          <w:highlight w:val="white"/>
        </w:rPr>
        <w:t>（7）操作人员上岗，必须按规定穿戴防护用品。施工负责人和安全检查员应随时检查劳动防护用品的穿戴情况，不按规定穿戴防护用品的人员不得上岗。</w:t>
      </w:r>
    </w:p>
    <w:p w14:paraId="1C2A323B">
      <w:pPr>
        <w:spacing w:line="360" w:lineRule="auto"/>
        <w:ind w:firstLine="420" w:firstLineChars="200"/>
        <w:rPr>
          <w:rFonts w:hint="eastAsia" w:ascii="宋体" w:hAnsi="宋体" w:cs="宋体"/>
          <w:szCs w:val="21"/>
        </w:rPr>
      </w:pPr>
      <w:r>
        <w:rPr>
          <w:rFonts w:hint="eastAsia" w:ascii="宋体" w:hAnsi="宋体" w:cs="宋体"/>
          <w:szCs w:val="21"/>
          <w:highlight w:val="white"/>
        </w:rPr>
        <w:t>（8）所有施工机具设备和高空作业的设备均应定期检查，并有安全员的签字记录，保证其经常处于完好状态；不合格的机具、设备和劳动保护用品严禁使用。</w:t>
      </w:r>
    </w:p>
    <w:p w14:paraId="0547D651">
      <w:pPr>
        <w:spacing w:line="360" w:lineRule="auto"/>
        <w:ind w:firstLine="420" w:firstLineChars="200"/>
        <w:rPr>
          <w:rFonts w:hint="eastAsia" w:ascii="宋体" w:hAnsi="宋体" w:cs="宋体"/>
          <w:szCs w:val="21"/>
        </w:rPr>
      </w:pPr>
      <w:r>
        <w:rPr>
          <w:rFonts w:hint="eastAsia" w:ascii="宋体" w:hAnsi="宋体" w:cs="宋体"/>
          <w:szCs w:val="21"/>
          <w:highlight w:val="white"/>
        </w:rPr>
        <w:t>（9）施工中采用新技术、新工艺、新设备、新材料时，必须制定相应的安全技术措施，施工现场必须具有相关的安全标志牌。</w:t>
      </w:r>
    </w:p>
    <w:p w14:paraId="15491929">
      <w:pPr>
        <w:spacing w:line="360" w:lineRule="auto"/>
        <w:ind w:firstLine="420" w:firstLineChars="200"/>
        <w:rPr>
          <w:rFonts w:hint="eastAsia" w:ascii="宋体" w:hAnsi="宋体" w:cs="宋体"/>
          <w:szCs w:val="21"/>
        </w:rPr>
      </w:pPr>
      <w:r>
        <w:rPr>
          <w:rFonts w:hint="eastAsia" w:ascii="宋体" w:hAnsi="宋体" w:cs="宋体"/>
          <w:szCs w:val="21"/>
          <w:highlight w:val="whit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791EB02">
      <w:pPr>
        <w:spacing w:line="360" w:lineRule="auto"/>
        <w:ind w:firstLine="420" w:firstLineChars="200"/>
        <w:rPr>
          <w:rFonts w:hint="eastAsia" w:ascii="宋体" w:hAnsi="宋体" w:cs="宋体"/>
          <w:szCs w:val="21"/>
        </w:rPr>
      </w:pPr>
      <w:r>
        <w:rPr>
          <w:rFonts w:hint="eastAsia" w:ascii="宋体" w:hAnsi="宋体" w:cs="宋体"/>
          <w:szCs w:val="21"/>
          <w:highlight w:val="white"/>
        </w:rPr>
        <w:t>（11）安全生产费用按照《公路水运工程安全生产监督管理办法》的相关规定使用和管理。</w:t>
      </w:r>
    </w:p>
    <w:p w14:paraId="4BBC6E2F">
      <w:pPr>
        <w:spacing w:line="360" w:lineRule="auto"/>
        <w:ind w:firstLine="420" w:firstLineChars="200"/>
        <w:rPr>
          <w:rFonts w:hint="eastAsia" w:ascii="宋体" w:hAnsi="宋体" w:cs="宋体"/>
          <w:szCs w:val="21"/>
        </w:rPr>
      </w:pPr>
      <w:r>
        <w:rPr>
          <w:rFonts w:hint="eastAsia" w:ascii="宋体" w:hAnsi="宋体" w:cs="宋体"/>
          <w:szCs w:val="21"/>
          <w:highlight w:val="white"/>
        </w:rPr>
        <w:t>3.违约责任</w:t>
      </w:r>
    </w:p>
    <w:p w14:paraId="23176850">
      <w:pPr>
        <w:spacing w:line="360" w:lineRule="auto"/>
        <w:ind w:firstLine="420" w:firstLineChars="200"/>
        <w:rPr>
          <w:rFonts w:hint="eastAsia" w:ascii="宋体" w:hAnsi="宋体" w:cs="宋体"/>
          <w:szCs w:val="21"/>
        </w:rPr>
      </w:pPr>
      <w:r>
        <w:rPr>
          <w:rFonts w:hint="eastAsia" w:ascii="宋体" w:hAnsi="宋体" w:cs="宋体"/>
          <w:szCs w:val="21"/>
          <w:highlight w:val="white"/>
        </w:rPr>
        <w:t>如因发包人或承包人违约造成安全事故，将依法追究责任。</w:t>
      </w:r>
    </w:p>
    <w:p w14:paraId="0635BC86">
      <w:pPr>
        <w:spacing w:line="360" w:lineRule="auto"/>
        <w:ind w:firstLine="420" w:firstLineChars="200"/>
        <w:rPr>
          <w:rFonts w:hint="eastAsia" w:ascii="宋体" w:hAnsi="宋体" w:cs="宋体"/>
          <w:szCs w:val="21"/>
        </w:rPr>
      </w:pPr>
      <w:r>
        <w:rPr>
          <w:rFonts w:hint="eastAsia" w:ascii="宋体" w:hAnsi="宋体" w:cs="宋体"/>
          <w:szCs w:val="21"/>
          <w:highlight w:val="white"/>
        </w:rPr>
        <w:t>4.本合同由双方法定代表人或其授权的代理人签署并加盖单位章后生效，全部工程竣工验收后失效。</w:t>
      </w:r>
    </w:p>
    <w:p w14:paraId="2B5F6FCD">
      <w:pPr>
        <w:spacing w:line="360" w:lineRule="auto"/>
        <w:ind w:firstLine="420" w:firstLineChars="200"/>
        <w:rPr>
          <w:rFonts w:hint="eastAsia" w:ascii="宋体" w:hAnsi="宋体" w:cs="宋体"/>
          <w:szCs w:val="21"/>
        </w:rPr>
      </w:pPr>
      <w:r>
        <w:rPr>
          <w:rFonts w:hint="eastAsia" w:ascii="宋体" w:hAnsi="宋体" w:cs="宋体"/>
          <w:szCs w:val="21"/>
          <w:highlight w:val="white"/>
        </w:rPr>
        <w:t>5.本合同正本二份、副本</w:t>
      </w:r>
      <w:r>
        <w:rPr>
          <w:rFonts w:hint="eastAsia" w:ascii="宋体" w:hAnsi="宋体" w:cs="宋体"/>
          <w:szCs w:val="21"/>
          <w:highlight w:val="white"/>
          <w:u w:val="single"/>
        </w:rPr>
        <w:t xml:space="preserve">     </w:t>
      </w:r>
      <w:r>
        <w:rPr>
          <w:rFonts w:hint="eastAsia" w:ascii="宋体" w:hAnsi="宋体" w:cs="宋体"/>
          <w:szCs w:val="21"/>
          <w:highlight w:val="white"/>
        </w:rPr>
        <w:t>份，合同双方各执正本一份，副本</w:t>
      </w:r>
      <w:r>
        <w:rPr>
          <w:rFonts w:hint="eastAsia" w:ascii="宋体" w:hAnsi="宋体" w:cs="宋体"/>
          <w:szCs w:val="21"/>
          <w:highlight w:val="white"/>
          <w:u w:val="single"/>
        </w:rPr>
        <w:t xml:space="preserve">     </w:t>
      </w:r>
      <w:r>
        <w:rPr>
          <w:rFonts w:hint="eastAsia" w:ascii="宋体" w:hAnsi="宋体" w:cs="宋体"/>
          <w:szCs w:val="21"/>
          <w:highlight w:val="white"/>
        </w:rPr>
        <w:t>份，当正本与副本内容不一致时，以正本为准。</w:t>
      </w:r>
    </w:p>
    <w:p w14:paraId="214619F1">
      <w:pPr>
        <w:spacing w:line="360" w:lineRule="auto"/>
        <w:ind w:firstLine="210" w:firstLineChars="100"/>
        <w:rPr>
          <w:rFonts w:hint="eastAsia" w:ascii="宋体" w:hAnsi="宋体" w:cs="宋体"/>
          <w:szCs w:val="21"/>
        </w:rPr>
      </w:pPr>
    </w:p>
    <w:p w14:paraId="1E0347C5">
      <w:pPr>
        <w:spacing w:line="360" w:lineRule="auto"/>
        <w:ind w:firstLine="210" w:firstLineChars="100"/>
        <w:rPr>
          <w:rFonts w:hint="eastAsia" w:ascii="宋体" w:hAnsi="宋体" w:cs="宋体"/>
          <w:szCs w:val="21"/>
        </w:rPr>
      </w:pPr>
    </w:p>
    <w:p w14:paraId="0C918E8D">
      <w:pPr>
        <w:spacing w:line="360" w:lineRule="auto"/>
        <w:ind w:firstLine="210" w:firstLineChars="100"/>
        <w:rPr>
          <w:rFonts w:hint="eastAsia" w:ascii="宋体" w:hAnsi="宋体" w:cs="宋体"/>
          <w:szCs w:val="21"/>
        </w:rPr>
      </w:pPr>
    </w:p>
    <w:p w14:paraId="396EB927">
      <w:pPr>
        <w:spacing w:line="360" w:lineRule="auto"/>
        <w:rPr>
          <w:rFonts w:hint="eastAsia" w:ascii="宋体" w:hAnsi="宋体" w:cs="宋体"/>
          <w:szCs w:val="21"/>
          <w:u w:val="single"/>
        </w:rPr>
      </w:pPr>
      <w:r>
        <w:rPr>
          <w:rFonts w:hint="eastAsia" w:ascii="宋体" w:hAnsi="宋体" w:cs="宋体"/>
          <w:szCs w:val="21"/>
          <w:highlight w:val="white"/>
        </w:rPr>
        <w:t>发包人：</w:t>
      </w:r>
      <w:r>
        <w:rPr>
          <w:rFonts w:hint="eastAsia" w:ascii="宋体" w:hAnsi="宋体" w:cs="宋体"/>
          <w:szCs w:val="21"/>
          <w:highlight w:val="white"/>
          <w:u w:val="single"/>
        </w:rPr>
        <w:t xml:space="preserve">      </w:t>
      </w:r>
      <w:r>
        <w:rPr>
          <w:rFonts w:hint="eastAsia" w:ascii="宋体" w:hAnsi="宋体" w:cs="宋体"/>
          <w:szCs w:val="21"/>
          <w:highlight w:val="white"/>
        </w:rPr>
        <w:t xml:space="preserve">（盖单位章）                          承包人： </w:t>
      </w:r>
      <w:r>
        <w:rPr>
          <w:rFonts w:hint="eastAsia" w:ascii="宋体" w:hAnsi="宋体" w:cs="宋体"/>
          <w:szCs w:val="21"/>
          <w:highlight w:val="white"/>
          <w:u w:val="single"/>
        </w:rPr>
        <w:t xml:space="preserve">       </w:t>
      </w:r>
      <w:r>
        <w:rPr>
          <w:rFonts w:hint="eastAsia" w:ascii="宋体" w:hAnsi="宋体" w:cs="宋体"/>
          <w:szCs w:val="21"/>
          <w:highlight w:val="white"/>
        </w:rPr>
        <w:t xml:space="preserve"> （盖单位章）</w:t>
      </w:r>
    </w:p>
    <w:p w14:paraId="1ADEE7B6">
      <w:pPr>
        <w:spacing w:line="360" w:lineRule="auto"/>
        <w:rPr>
          <w:rFonts w:hint="eastAsia" w:ascii="宋体" w:hAnsi="宋体" w:cs="宋体"/>
          <w:szCs w:val="21"/>
        </w:rPr>
      </w:pPr>
      <w:r>
        <w:rPr>
          <w:rFonts w:hint="eastAsia" w:ascii="宋体" w:hAnsi="宋体" w:cs="宋体"/>
          <w:szCs w:val="21"/>
          <w:highlight w:val="white"/>
        </w:rPr>
        <w:t>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               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w:t>
      </w:r>
    </w:p>
    <w:p w14:paraId="51BCBF85">
      <w:pPr>
        <w:spacing w:line="360" w:lineRule="auto"/>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 xml:space="preserve">月 </w:t>
      </w:r>
      <w:r>
        <w:rPr>
          <w:rFonts w:hint="eastAsia" w:ascii="宋体" w:hAnsi="宋体" w:cs="宋体"/>
          <w:szCs w:val="21"/>
          <w:highlight w:val="white"/>
          <w:u w:val="single"/>
        </w:rPr>
        <w:t xml:space="preserve">   </w:t>
      </w:r>
      <w:r>
        <w:rPr>
          <w:rFonts w:hint="eastAsia" w:ascii="宋体" w:hAnsi="宋体" w:cs="宋体"/>
          <w:szCs w:val="21"/>
          <w:highlight w:val="white"/>
        </w:rPr>
        <w:t xml:space="preserve"> 日                                          </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 xml:space="preserve">月 </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6A12DC81">
      <w:pPr>
        <w:spacing w:line="440" w:lineRule="exact"/>
        <w:ind w:firstLine="420" w:firstLineChars="200"/>
        <w:rPr>
          <w:rFonts w:hint="eastAsia" w:ascii="宋体" w:hAnsi="宋体" w:cs="宋体"/>
          <w:szCs w:val="21"/>
        </w:rPr>
      </w:pPr>
    </w:p>
    <w:p w14:paraId="66D78032">
      <w:pPr>
        <w:rPr>
          <w:rFonts w:hint="eastAsia" w:ascii="宋体" w:hAnsi="宋体" w:cs="宋体"/>
          <w:b/>
          <w:sz w:val="24"/>
        </w:rPr>
      </w:pPr>
      <w:r>
        <w:rPr>
          <w:rFonts w:hint="eastAsia" w:ascii="宋体" w:hAnsi="宋体" w:cs="宋体"/>
          <w:szCs w:val="21"/>
          <w:highlight w:val="white"/>
        </w:rPr>
        <w:br w:type="page"/>
      </w:r>
      <w:bookmarkStart w:id="737" w:name="_Toc234382947"/>
      <w:r>
        <w:rPr>
          <w:rFonts w:hint="eastAsia" w:ascii="宋体" w:hAnsi="宋体" w:cs="宋体"/>
          <w:sz w:val="24"/>
          <w:highlight w:val="white"/>
        </w:rPr>
        <w:t xml:space="preserve">附件四  </w:t>
      </w:r>
      <w:bookmarkEnd w:id="737"/>
    </w:p>
    <w:p w14:paraId="4C586705">
      <w:pPr>
        <w:spacing w:line="440" w:lineRule="exact"/>
        <w:jc w:val="center"/>
        <w:rPr>
          <w:rFonts w:hint="eastAsia" w:ascii="宋体" w:hAnsi="宋体" w:cs="宋体"/>
          <w:sz w:val="24"/>
        </w:rPr>
      </w:pPr>
      <w:r>
        <w:rPr>
          <w:rFonts w:hint="eastAsia" w:ascii="宋体" w:hAnsi="宋体" w:cs="宋体"/>
          <w:sz w:val="24"/>
          <w:highlight w:val="white"/>
        </w:rPr>
        <w:t>其他主要管理人员和技术人员最低要求</w:t>
      </w:r>
    </w:p>
    <w:p w14:paraId="0DD6E42F">
      <w:pPr>
        <w:spacing w:after="360" w:afterLines="150" w:line="280" w:lineRule="exact"/>
        <w:jc w:val="center"/>
        <w:rPr>
          <w:rFonts w:hint="eastAsia" w:ascii="宋体" w:hAnsi="宋体" w:cs="宋体"/>
          <w:szCs w:val="21"/>
        </w:rPr>
      </w:pPr>
      <w:r>
        <w:rPr>
          <w:rFonts w:hint="eastAsia" w:ascii="宋体" w:hAnsi="宋体" w:cs="宋体"/>
          <w:sz w:val="18"/>
          <w:szCs w:val="18"/>
          <w:highlight w:val="white"/>
        </w:rPr>
        <w:t>（</w:t>
      </w:r>
      <w:r>
        <w:rPr>
          <w:rFonts w:hint="eastAsia" w:ascii="宋体" w:hAnsi="宋体" w:cs="宋体"/>
          <w:szCs w:val="21"/>
          <w:highlight w:val="white"/>
        </w:rPr>
        <w:t>本附件投标人投标时不须提交）</w:t>
      </w:r>
    </w:p>
    <w:tbl>
      <w:tblPr>
        <w:tblStyle w:val="1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35"/>
        <w:gridCol w:w="3261"/>
        <w:gridCol w:w="3260"/>
      </w:tblGrid>
      <w:tr w14:paraId="0606A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1A11AE4B">
            <w:pPr>
              <w:spacing w:line="440" w:lineRule="exact"/>
              <w:rPr>
                <w:rFonts w:hint="eastAsia" w:ascii="宋体" w:hAnsi="宋体" w:cs="宋体"/>
                <w:szCs w:val="21"/>
              </w:rPr>
            </w:pPr>
            <w:r>
              <w:rPr>
                <w:rFonts w:hint="eastAsia" w:ascii="宋体" w:hAnsi="宋体" w:cs="宋体"/>
                <w:szCs w:val="21"/>
                <w:highlight w:val="white"/>
              </w:rPr>
              <w:t>人员</w:t>
            </w:r>
          </w:p>
        </w:tc>
        <w:tc>
          <w:tcPr>
            <w:tcW w:w="3261" w:type="dxa"/>
            <w:tcBorders>
              <w:top w:val="single" w:color="auto" w:sz="4" w:space="0"/>
              <w:left w:val="single" w:color="auto" w:sz="4" w:space="0"/>
              <w:bottom w:val="single" w:color="auto" w:sz="4" w:space="0"/>
              <w:right w:val="single" w:color="auto" w:sz="4" w:space="0"/>
            </w:tcBorders>
            <w:noWrap w:val="0"/>
            <w:vAlign w:val="top"/>
          </w:tcPr>
          <w:p w14:paraId="70488BF0">
            <w:pPr>
              <w:spacing w:line="440" w:lineRule="exact"/>
              <w:rPr>
                <w:rFonts w:hint="eastAsia" w:ascii="宋体" w:hAnsi="宋体" w:cs="宋体"/>
                <w:szCs w:val="21"/>
              </w:rPr>
            </w:pPr>
            <w:r>
              <w:rPr>
                <w:rFonts w:hint="eastAsia" w:ascii="宋体" w:hAnsi="宋体" w:cs="宋体"/>
                <w:szCs w:val="21"/>
                <w:highlight w:val="white"/>
              </w:rPr>
              <w:t>数量</w:t>
            </w:r>
          </w:p>
        </w:tc>
        <w:tc>
          <w:tcPr>
            <w:tcW w:w="3260" w:type="dxa"/>
            <w:tcBorders>
              <w:top w:val="single" w:color="auto" w:sz="4" w:space="0"/>
              <w:left w:val="single" w:color="auto" w:sz="4" w:space="0"/>
              <w:bottom w:val="single" w:color="auto" w:sz="4" w:space="0"/>
              <w:right w:val="single" w:color="auto" w:sz="4" w:space="0"/>
            </w:tcBorders>
            <w:noWrap w:val="0"/>
            <w:vAlign w:val="top"/>
          </w:tcPr>
          <w:p w14:paraId="6423BD25">
            <w:pPr>
              <w:spacing w:line="440" w:lineRule="exact"/>
              <w:rPr>
                <w:rFonts w:hint="eastAsia" w:ascii="宋体" w:hAnsi="宋体" w:cs="宋体"/>
                <w:szCs w:val="21"/>
              </w:rPr>
            </w:pPr>
            <w:r>
              <w:rPr>
                <w:rFonts w:hint="eastAsia" w:ascii="宋体" w:hAnsi="宋体" w:cs="宋体"/>
                <w:szCs w:val="21"/>
                <w:highlight w:val="white"/>
              </w:rPr>
              <w:t>资格要求</w:t>
            </w:r>
          </w:p>
        </w:tc>
      </w:tr>
      <w:tr w14:paraId="02576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517531B6">
            <w:pPr>
              <w:spacing w:line="440" w:lineRule="exact"/>
              <w:rPr>
                <w:rFonts w:hint="eastAsia" w:ascii="宋体" w:hAnsi="宋体" w:cs="宋体"/>
                <w:szCs w:val="21"/>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59A1C32B">
            <w:pPr>
              <w:spacing w:line="440" w:lineRule="exact"/>
              <w:rPr>
                <w:rFonts w:hint="eastAsia"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230ACCE1">
            <w:pPr>
              <w:spacing w:line="440" w:lineRule="exact"/>
              <w:rPr>
                <w:rFonts w:hint="eastAsia" w:ascii="宋体" w:hAnsi="宋体" w:cs="宋体"/>
                <w:szCs w:val="21"/>
              </w:rPr>
            </w:pPr>
          </w:p>
        </w:tc>
      </w:tr>
      <w:tr w14:paraId="098D3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43CEF555">
            <w:pPr>
              <w:spacing w:line="440" w:lineRule="exact"/>
              <w:rPr>
                <w:rFonts w:hint="eastAsia" w:ascii="宋体" w:hAnsi="宋体" w:cs="宋体"/>
                <w:szCs w:val="21"/>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40183A52">
            <w:pPr>
              <w:spacing w:line="440" w:lineRule="exact"/>
              <w:rPr>
                <w:rFonts w:hint="eastAsia"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20BFCAC4">
            <w:pPr>
              <w:spacing w:line="440" w:lineRule="exact"/>
              <w:rPr>
                <w:rFonts w:hint="eastAsia" w:ascii="宋体" w:hAnsi="宋体" w:cs="宋体"/>
                <w:szCs w:val="21"/>
              </w:rPr>
            </w:pPr>
          </w:p>
        </w:tc>
      </w:tr>
      <w:tr w14:paraId="4A58A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6327BBDA">
            <w:pPr>
              <w:spacing w:line="440" w:lineRule="exact"/>
              <w:rPr>
                <w:rFonts w:hint="eastAsia" w:ascii="宋体" w:hAnsi="宋体" w:cs="宋体"/>
                <w:szCs w:val="21"/>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1A74D42E">
            <w:pPr>
              <w:spacing w:line="440" w:lineRule="exact"/>
              <w:rPr>
                <w:rFonts w:hint="eastAsia"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520FED5D">
            <w:pPr>
              <w:spacing w:line="440" w:lineRule="exact"/>
              <w:rPr>
                <w:rFonts w:hint="eastAsia" w:ascii="宋体" w:hAnsi="宋体" w:cs="宋体"/>
                <w:szCs w:val="21"/>
              </w:rPr>
            </w:pPr>
          </w:p>
        </w:tc>
      </w:tr>
      <w:tr w14:paraId="677A4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72843D2E">
            <w:pPr>
              <w:spacing w:line="440" w:lineRule="exact"/>
              <w:rPr>
                <w:rFonts w:hint="eastAsia" w:ascii="宋体" w:hAnsi="宋体" w:cs="宋体"/>
                <w:sz w:val="18"/>
                <w:szCs w:val="18"/>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01E2E5A5">
            <w:pPr>
              <w:spacing w:line="440" w:lineRule="exact"/>
              <w:rPr>
                <w:rFonts w:hint="eastAsia" w:ascii="宋体" w:hAnsi="宋体" w:cs="宋体"/>
                <w:sz w:val="18"/>
                <w:szCs w:val="18"/>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49C655DE">
            <w:pPr>
              <w:spacing w:line="440" w:lineRule="exact"/>
              <w:rPr>
                <w:rFonts w:hint="eastAsia" w:ascii="宋体" w:hAnsi="宋体" w:cs="宋体"/>
                <w:sz w:val="18"/>
                <w:szCs w:val="18"/>
              </w:rPr>
            </w:pPr>
          </w:p>
        </w:tc>
      </w:tr>
      <w:tr w14:paraId="784D4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75042177">
            <w:pPr>
              <w:spacing w:line="440" w:lineRule="exact"/>
              <w:rPr>
                <w:rFonts w:hint="eastAsia" w:ascii="宋体" w:hAnsi="宋体" w:cs="宋体"/>
                <w:sz w:val="18"/>
                <w:szCs w:val="18"/>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2FB25E5F">
            <w:pPr>
              <w:spacing w:line="440" w:lineRule="exact"/>
              <w:rPr>
                <w:rFonts w:hint="eastAsia" w:ascii="宋体" w:hAnsi="宋体" w:cs="宋体"/>
                <w:sz w:val="18"/>
                <w:szCs w:val="18"/>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03A5F375">
            <w:pPr>
              <w:spacing w:line="440" w:lineRule="exact"/>
              <w:rPr>
                <w:rFonts w:hint="eastAsia" w:ascii="宋体" w:hAnsi="宋体" w:cs="宋体"/>
                <w:sz w:val="18"/>
                <w:szCs w:val="18"/>
              </w:rPr>
            </w:pPr>
          </w:p>
        </w:tc>
      </w:tr>
      <w:tr w14:paraId="3A6B4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055C3475">
            <w:pPr>
              <w:spacing w:line="440" w:lineRule="exact"/>
              <w:rPr>
                <w:rFonts w:hint="eastAsia" w:ascii="宋体" w:hAnsi="宋体" w:cs="宋体"/>
                <w:sz w:val="18"/>
                <w:szCs w:val="18"/>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7F0CBFF8">
            <w:pPr>
              <w:spacing w:line="440" w:lineRule="exact"/>
              <w:rPr>
                <w:rFonts w:hint="eastAsia" w:ascii="宋体" w:hAnsi="宋体" w:cs="宋体"/>
                <w:sz w:val="18"/>
                <w:szCs w:val="18"/>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58127A96">
            <w:pPr>
              <w:spacing w:line="440" w:lineRule="exact"/>
              <w:rPr>
                <w:rFonts w:hint="eastAsia" w:ascii="宋体" w:hAnsi="宋体" w:cs="宋体"/>
                <w:sz w:val="18"/>
                <w:szCs w:val="18"/>
              </w:rPr>
            </w:pPr>
          </w:p>
        </w:tc>
      </w:tr>
      <w:tr w14:paraId="30B1F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2D238A24">
            <w:pPr>
              <w:spacing w:line="440" w:lineRule="exact"/>
              <w:rPr>
                <w:rFonts w:hint="eastAsia" w:ascii="宋体" w:hAnsi="宋体" w:cs="宋体"/>
                <w:sz w:val="18"/>
                <w:szCs w:val="18"/>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28B7FA27">
            <w:pPr>
              <w:spacing w:line="440" w:lineRule="exact"/>
              <w:rPr>
                <w:rFonts w:hint="eastAsia" w:ascii="宋体" w:hAnsi="宋体" w:cs="宋体"/>
                <w:sz w:val="18"/>
                <w:szCs w:val="18"/>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5C746BC7">
            <w:pPr>
              <w:spacing w:line="440" w:lineRule="exact"/>
              <w:rPr>
                <w:rFonts w:hint="eastAsia" w:ascii="宋体" w:hAnsi="宋体" w:cs="宋体"/>
                <w:sz w:val="18"/>
                <w:szCs w:val="18"/>
              </w:rPr>
            </w:pPr>
          </w:p>
        </w:tc>
      </w:tr>
      <w:tr w14:paraId="2F419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28885EEE">
            <w:pPr>
              <w:spacing w:line="440" w:lineRule="exact"/>
              <w:rPr>
                <w:rFonts w:hint="eastAsia" w:ascii="宋体" w:hAnsi="宋体" w:cs="宋体"/>
                <w:sz w:val="18"/>
                <w:szCs w:val="18"/>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5B3D1991">
            <w:pPr>
              <w:spacing w:line="440" w:lineRule="exact"/>
              <w:rPr>
                <w:rFonts w:hint="eastAsia" w:ascii="宋体" w:hAnsi="宋体" w:cs="宋体"/>
                <w:sz w:val="18"/>
                <w:szCs w:val="18"/>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0C3556B2">
            <w:pPr>
              <w:spacing w:line="440" w:lineRule="exact"/>
              <w:rPr>
                <w:rFonts w:hint="eastAsia" w:ascii="宋体" w:hAnsi="宋体" w:cs="宋体"/>
                <w:sz w:val="18"/>
                <w:szCs w:val="18"/>
              </w:rPr>
            </w:pPr>
          </w:p>
        </w:tc>
      </w:tr>
      <w:tr w14:paraId="0153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14:paraId="288664AC">
            <w:pPr>
              <w:spacing w:line="440" w:lineRule="exact"/>
              <w:rPr>
                <w:rFonts w:hint="eastAsia" w:ascii="宋体" w:hAnsi="宋体" w:cs="宋体"/>
                <w:sz w:val="18"/>
                <w:szCs w:val="18"/>
              </w:rPr>
            </w:pPr>
          </w:p>
        </w:tc>
        <w:tc>
          <w:tcPr>
            <w:tcW w:w="3261" w:type="dxa"/>
            <w:tcBorders>
              <w:top w:val="single" w:color="auto" w:sz="4" w:space="0"/>
              <w:left w:val="single" w:color="auto" w:sz="4" w:space="0"/>
              <w:bottom w:val="single" w:color="auto" w:sz="4" w:space="0"/>
              <w:right w:val="single" w:color="auto" w:sz="4" w:space="0"/>
            </w:tcBorders>
            <w:noWrap w:val="0"/>
            <w:vAlign w:val="top"/>
          </w:tcPr>
          <w:p w14:paraId="7DC16238">
            <w:pPr>
              <w:spacing w:line="440" w:lineRule="exact"/>
              <w:rPr>
                <w:rFonts w:hint="eastAsia" w:ascii="宋体" w:hAnsi="宋体" w:cs="宋体"/>
                <w:sz w:val="18"/>
                <w:szCs w:val="18"/>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2A8A3704">
            <w:pPr>
              <w:spacing w:line="440" w:lineRule="exact"/>
              <w:rPr>
                <w:rFonts w:hint="eastAsia" w:ascii="宋体" w:hAnsi="宋体" w:cs="宋体"/>
                <w:sz w:val="18"/>
                <w:szCs w:val="18"/>
              </w:rPr>
            </w:pPr>
          </w:p>
        </w:tc>
      </w:tr>
    </w:tbl>
    <w:p w14:paraId="48367DEC">
      <w:pPr>
        <w:spacing w:line="280" w:lineRule="exact"/>
        <w:rPr>
          <w:rFonts w:hint="eastAsia" w:ascii="宋体" w:hAnsi="宋体" w:cs="宋体"/>
          <w:szCs w:val="21"/>
        </w:rPr>
      </w:pPr>
      <w:r>
        <w:rPr>
          <w:rFonts w:hint="eastAsia" w:ascii="宋体" w:hAnsi="宋体" w:cs="宋体"/>
          <w:szCs w:val="21"/>
          <w:highlight w:val="white"/>
        </w:rPr>
        <w:t>注：</w:t>
      </w:r>
    </w:p>
    <w:p w14:paraId="555849A4">
      <w:pPr>
        <w:pStyle w:val="29"/>
        <w:spacing w:line="280" w:lineRule="exact"/>
        <w:ind w:firstLine="420" w:firstLineChars="200"/>
        <w:rPr>
          <w:rFonts w:hint="eastAsia" w:ascii="宋体" w:hAnsi="宋体" w:cs="宋体"/>
          <w:szCs w:val="21"/>
        </w:rPr>
      </w:pPr>
      <w:r>
        <w:rPr>
          <w:rFonts w:hint="eastAsia" w:ascii="宋体" w:hAnsi="宋体" w:cs="宋体"/>
          <w:szCs w:val="21"/>
          <w:highlight w:val="white"/>
        </w:rPr>
        <w:t>1．招标人应根据工程实际在本表中列明具体的数量及资格要求，本表不作为资格审查条件，投标人无需提供上述人员名单和详细资料，也无需在投标文件中提交本表格；但投标人必须承诺中标后应按本表最低要求的数量和资格投入人员。</w:t>
      </w:r>
    </w:p>
    <w:p w14:paraId="32D77945">
      <w:pPr>
        <w:spacing w:line="280" w:lineRule="exact"/>
        <w:ind w:firstLine="420" w:firstLineChars="200"/>
        <w:rPr>
          <w:rFonts w:hint="eastAsia" w:ascii="宋体" w:hAnsi="宋体" w:cs="宋体"/>
          <w:szCs w:val="21"/>
        </w:rPr>
      </w:pPr>
      <w:r>
        <w:rPr>
          <w:rFonts w:hint="eastAsia" w:ascii="宋体" w:hAnsi="宋体" w:cs="宋体"/>
          <w:szCs w:val="21"/>
          <w:highlight w:val="white"/>
        </w:rPr>
        <w:t>2．招标人将在发出中标通知书之前要求中标人按照本表的最低要求填报派驻本标段的其他主要管理人员和技术人员，在经招标人审批后作为派驻本标段的项目管理机构主要人员且不允许更换。</w:t>
      </w:r>
    </w:p>
    <w:p w14:paraId="09AA8069">
      <w:pPr>
        <w:spacing w:line="280" w:lineRule="exact"/>
        <w:ind w:firstLine="420" w:firstLineChars="200"/>
        <w:rPr>
          <w:rFonts w:hint="eastAsia" w:ascii="宋体" w:hAnsi="宋体" w:cs="宋体"/>
          <w:szCs w:val="21"/>
        </w:rPr>
      </w:pPr>
      <w:r>
        <w:rPr>
          <w:rFonts w:hint="eastAsia" w:ascii="宋体" w:hAnsi="宋体" w:cs="宋体"/>
          <w:szCs w:val="21"/>
          <w:highlight w:val="white"/>
        </w:rPr>
        <w:t>3．工作年限以虚年计算。专职安全管理人员数量应根据年度施工产值配备，年产值每5000万元不少于1人，2亿元以上的不少于5人，且按专业配备。项目副经理及专职安全管理人员须有安全生产培训考核合格证书（由交通运输部或省级安监部门颁发）。</w:t>
      </w:r>
    </w:p>
    <w:p w14:paraId="644AD723">
      <w:pPr>
        <w:widowControl/>
        <w:rPr>
          <w:rFonts w:hint="eastAsia" w:ascii="宋体" w:hAnsi="宋体" w:cs="宋体"/>
        </w:rPr>
        <w:sectPr>
          <w:footerReference r:id="rId9" w:type="default"/>
          <w:pgSz w:w="11907" w:h="16840"/>
          <w:pgMar w:top="1440" w:right="1167" w:bottom="1440" w:left="1300" w:header="851" w:footer="1049" w:gutter="0"/>
          <w:cols w:space="720" w:num="1"/>
        </w:sectPr>
      </w:pPr>
    </w:p>
    <w:p w14:paraId="15689637">
      <w:pPr>
        <w:rPr>
          <w:rFonts w:hint="eastAsia" w:ascii="宋体" w:hAnsi="宋体" w:cs="宋体"/>
          <w:sz w:val="24"/>
        </w:rPr>
      </w:pPr>
      <w:bookmarkStart w:id="738" w:name="_Toc234382948"/>
      <w:r>
        <w:rPr>
          <w:rFonts w:hint="eastAsia" w:ascii="宋体" w:hAnsi="宋体" w:cs="宋体"/>
          <w:sz w:val="24"/>
          <w:highlight w:val="white"/>
        </w:rPr>
        <w:t xml:space="preserve">附件五   </w:t>
      </w:r>
      <w:bookmarkEnd w:id="738"/>
    </w:p>
    <w:p w14:paraId="5387DC0C">
      <w:pPr>
        <w:spacing w:line="440" w:lineRule="exact"/>
        <w:jc w:val="center"/>
        <w:rPr>
          <w:rFonts w:hint="eastAsia" w:ascii="宋体" w:hAnsi="宋体" w:cs="宋体"/>
          <w:sz w:val="24"/>
        </w:rPr>
      </w:pPr>
      <w:r>
        <w:rPr>
          <w:rFonts w:hint="eastAsia" w:ascii="宋体" w:hAnsi="宋体" w:cs="宋体"/>
          <w:sz w:val="24"/>
          <w:highlight w:val="white"/>
        </w:rPr>
        <w:t>主要机械设备和试验检测设备最低要求</w:t>
      </w:r>
    </w:p>
    <w:p w14:paraId="71CF72DA">
      <w:pPr>
        <w:spacing w:line="280" w:lineRule="exact"/>
        <w:jc w:val="center"/>
        <w:rPr>
          <w:rFonts w:hint="eastAsia" w:ascii="宋体" w:hAnsi="宋体" w:cs="宋体"/>
          <w:szCs w:val="21"/>
        </w:rPr>
      </w:pPr>
      <w:r>
        <w:rPr>
          <w:rFonts w:hint="eastAsia" w:ascii="宋体" w:hAnsi="宋体" w:cs="宋体"/>
          <w:szCs w:val="21"/>
          <w:highlight w:val="white"/>
        </w:rPr>
        <w:t>（本附件投标人投标时不须提交）</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9"/>
        <w:gridCol w:w="3086"/>
        <w:gridCol w:w="1559"/>
        <w:gridCol w:w="2410"/>
      </w:tblGrid>
      <w:tr w14:paraId="6FEAB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2915B0BA">
            <w:pPr>
              <w:spacing w:line="440" w:lineRule="exact"/>
              <w:jc w:val="center"/>
              <w:rPr>
                <w:rFonts w:hint="eastAsia" w:ascii="宋体" w:hAnsi="宋体" w:cs="宋体"/>
                <w:szCs w:val="21"/>
              </w:rPr>
            </w:pPr>
            <w:r>
              <w:rPr>
                <w:rFonts w:hint="eastAsia" w:ascii="宋体" w:hAnsi="宋体" w:cs="宋体"/>
                <w:szCs w:val="21"/>
                <w:highlight w:val="white"/>
              </w:rPr>
              <w:t>设备名称</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30B9B8E8">
            <w:pPr>
              <w:spacing w:line="440" w:lineRule="exact"/>
              <w:rPr>
                <w:rFonts w:hint="eastAsia" w:ascii="宋体" w:hAnsi="宋体" w:cs="宋体"/>
                <w:szCs w:val="21"/>
              </w:rPr>
            </w:pPr>
            <w:r>
              <w:rPr>
                <w:rFonts w:hint="eastAsia" w:ascii="宋体" w:hAnsi="宋体" w:cs="宋体"/>
                <w:szCs w:val="21"/>
                <w:highlight w:val="white"/>
              </w:rPr>
              <w:t>规格、功率及容量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F6152ED">
            <w:pPr>
              <w:spacing w:line="440" w:lineRule="exact"/>
              <w:rPr>
                <w:rFonts w:hint="eastAsia" w:ascii="宋体" w:hAnsi="宋体" w:cs="宋体"/>
                <w:szCs w:val="21"/>
              </w:rPr>
            </w:pPr>
            <w:r>
              <w:rPr>
                <w:rFonts w:hint="eastAsia" w:ascii="宋体" w:hAnsi="宋体" w:cs="宋体"/>
                <w:szCs w:val="21"/>
                <w:highlight w:val="white"/>
              </w:rPr>
              <w:t>单位</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E6DC1D9">
            <w:pPr>
              <w:spacing w:line="440" w:lineRule="exact"/>
              <w:rPr>
                <w:rFonts w:hint="eastAsia" w:ascii="宋体" w:hAnsi="宋体" w:cs="宋体"/>
                <w:szCs w:val="21"/>
              </w:rPr>
            </w:pPr>
            <w:r>
              <w:rPr>
                <w:rFonts w:hint="eastAsia" w:ascii="宋体" w:hAnsi="宋体" w:cs="宋体"/>
                <w:szCs w:val="21"/>
                <w:highlight w:val="white"/>
              </w:rPr>
              <w:t>最低数量要求</w:t>
            </w:r>
          </w:p>
        </w:tc>
      </w:tr>
      <w:tr w14:paraId="78487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3BE45F66">
            <w:pPr>
              <w:pStyle w:val="14"/>
              <w:rPr>
                <w:rFonts w:hint="default" w:ascii="宋体" w:hAnsi="宋体" w:eastAsia="宋体" w:cs="宋体"/>
                <w:color w:val="auto"/>
                <w:lang w:val="en-US" w:eastAsia="zh-CN"/>
              </w:rPr>
            </w:pPr>
            <w:r>
              <w:rPr>
                <w:rFonts w:hint="eastAsia" w:ascii="宋体" w:hAnsi="宋体" w:eastAsia="宋体" w:cs="宋体"/>
                <w:color w:val="auto"/>
                <w:highlight w:val="white"/>
                <w:lang w:val="en-US" w:eastAsia="zh-CN"/>
              </w:rPr>
              <w:t>混凝土摊铺机</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4ED85EFF">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4C1460">
            <w:pPr>
              <w:spacing w:line="440" w:lineRule="exact"/>
              <w:rPr>
                <w:rFonts w:hint="default" w:ascii="宋体" w:hAnsi="宋体" w:eastAsia="宋体" w:cs="宋体"/>
                <w:szCs w:val="21"/>
                <w:lang w:val="en-US" w:eastAsia="zh-CN"/>
              </w:rPr>
            </w:pPr>
            <w:r>
              <w:rPr>
                <w:rFonts w:hint="eastAsia" w:ascii="宋体" w:hAnsi="宋体" w:cs="宋体"/>
                <w:szCs w:val="21"/>
                <w:lang w:val="en-US" w:eastAsia="zh-CN"/>
              </w:rPr>
              <w:t xml:space="preserve"> </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7F22AB1">
            <w:pPr>
              <w:spacing w:line="440" w:lineRule="exact"/>
              <w:rPr>
                <w:rFonts w:hint="default" w:ascii="宋体" w:hAnsi="宋体" w:eastAsia="宋体" w:cs="宋体"/>
                <w:szCs w:val="21"/>
                <w:lang w:val="en-US" w:eastAsia="zh-CN"/>
              </w:rPr>
            </w:pPr>
          </w:p>
        </w:tc>
      </w:tr>
      <w:tr w14:paraId="23FA9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1DFCDDF0">
            <w:pPr>
              <w:spacing w:line="440" w:lineRule="exact"/>
              <w:jc w:val="center"/>
              <w:rPr>
                <w:rFonts w:hint="default" w:ascii="宋体" w:hAnsi="宋体" w:eastAsia="宋体" w:cs="宋体"/>
                <w:szCs w:val="21"/>
                <w:lang w:val="en-US" w:eastAsia="zh-CN"/>
              </w:rPr>
            </w:pPr>
            <w:r>
              <w:rPr>
                <w:rFonts w:hint="eastAsia" w:ascii="宋体" w:hAnsi="宋体" w:cs="宋体"/>
                <w:szCs w:val="21"/>
                <w:highlight w:val="white"/>
                <w:lang w:val="en-US" w:eastAsia="zh-CN"/>
              </w:rPr>
              <w:t>自卸汽车</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77DCBFCC">
            <w:pPr>
              <w:spacing w:line="440" w:lineRule="exact"/>
              <w:rPr>
                <w:rFonts w:hint="eastAsia" w:ascii="宋体" w:hAnsi="宋体" w:cs="宋体"/>
                <w:szCs w:val="21"/>
              </w:rPr>
            </w:pPr>
            <w:r>
              <w:rPr>
                <w:rFonts w:hint="eastAsia" w:ascii="宋体" w:hAnsi="宋体" w:cs="宋体"/>
                <w:color w:val="0000FF"/>
                <w:sz w:val="24"/>
                <w:shd w:val="clear" w:color="auto" w:fill="FFFFFF"/>
                <w:lang w:val="en-US" w:eastAsia="zh-CN"/>
              </w:rPr>
              <w:t xml:space="preserve"> </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2BA6730">
            <w:pPr>
              <w:spacing w:line="440" w:lineRule="exact"/>
              <w:rPr>
                <w:rFonts w:hint="default" w:ascii="宋体" w:hAnsi="宋体" w:eastAsia="宋体" w:cs="宋体"/>
                <w:szCs w:val="21"/>
                <w:lang w:val="en-US" w:eastAsia="zh-CN"/>
              </w:rPr>
            </w:pPr>
            <w:r>
              <w:rPr>
                <w:rFonts w:hint="eastAsia" w:ascii="宋体" w:hAnsi="宋体" w:cs="宋体"/>
                <w:szCs w:val="21"/>
                <w:lang w:val="en-US" w:eastAsia="zh-CN"/>
              </w:rPr>
              <w:t xml:space="preserve"> </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2E5653C">
            <w:pPr>
              <w:spacing w:line="440" w:lineRule="exact"/>
              <w:rPr>
                <w:rFonts w:hint="default" w:ascii="宋体" w:hAnsi="宋体" w:eastAsia="宋体" w:cs="宋体"/>
                <w:szCs w:val="21"/>
                <w:lang w:val="en-US" w:eastAsia="zh-CN"/>
              </w:rPr>
            </w:pPr>
          </w:p>
        </w:tc>
      </w:tr>
      <w:tr w14:paraId="43AEA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0146D818">
            <w:pPr>
              <w:spacing w:line="440" w:lineRule="exact"/>
              <w:jc w:val="center"/>
              <w:rPr>
                <w:rFonts w:hint="default" w:ascii="宋体" w:hAnsi="宋体" w:eastAsia="宋体" w:cs="宋体"/>
                <w:szCs w:val="21"/>
                <w:lang w:val="en-US" w:eastAsia="zh-CN"/>
              </w:rPr>
            </w:pPr>
            <w:r>
              <w:rPr>
                <w:rFonts w:hint="eastAsia" w:ascii="宋体" w:hAnsi="宋体" w:cs="宋体"/>
                <w:szCs w:val="21"/>
                <w:lang w:val="en-US" w:eastAsia="zh-CN"/>
              </w:rPr>
              <w:t>混凝土搅拌机</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5D321144">
            <w:pPr>
              <w:spacing w:line="440" w:lineRule="exact"/>
              <w:rPr>
                <w:rFonts w:hint="default" w:ascii="宋体" w:hAnsi="宋体" w:eastAsia="宋体" w:cs="宋体"/>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70E8B0">
            <w:pPr>
              <w:spacing w:line="440" w:lineRule="exact"/>
              <w:rPr>
                <w:rFonts w:hint="default" w:ascii="宋体" w:hAnsi="宋体" w:eastAsia="宋体" w:cs="宋体"/>
                <w:szCs w:val="21"/>
                <w:lang w:val="en-US" w:eastAsia="zh-CN"/>
              </w:rPr>
            </w:pPr>
            <w:r>
              <w:rPr>
                <w:rFonts w:hint="eastAsia" w:ascii="宋体" w:hAnsi="宋体" w:cs="宋体"/>
                <w:szCs w:val="21"/>
                <w:lang w:val="en-US" w:eastAsia="zh-CN"/>
              </w:rPr>
              <w:t xml:space="preserve"> </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A8DC145">
            <w:pPr>
              <w:spacing w:line="440" w:lineRule="exact"/>
              <w:rPr>
                <w:rFonts w:hint="default" w:ascii="宋体" w:hAnsi="宋体" w:eastAsia="宋体" w:cs="宋体"/>
                <w:szCs w:val="21"/>
                <w:lang w:val="en-US" w:eastAsia="zh-CN"/>
              </w:rPr>
            </w:pPr>
          </w:p>
        </w:tc>
      </w:tr>
      <w:tr w14:paraId="3E821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22589BCB"/>
        </w:tc>
        <w:tc>
          <w:tcPr>
            <w:tcW w:w="3086" w:type="dxa"/>
            <w:tcBorders>
              <w:top w:val="single" w:color="auto" w:sz="4" w:space="0"/>
              <w:left w:val="single" w:color="auto" w:sz="4" w:space="0"/>
              <w:bottom w:val="single" w:color="auto" w:sz="4" w:space="0"/>
              <w:right w:val="single" w:color="auto" w:sz="4" w:space="0"/>
            </w:tcBorders>
            <w:noWrap w:val="0"/>
            <w:vAlign w:val="center"/>
          </w:tcPr>
          <w:p w14:paraId="0A9A0909"/>
        </w:tc>
        <w:tc>
          <w:tcPr>
            <w:tcW w:w="1559" w:type="dxa"/>
            <w:tcBorders>
              <w:top w:val="single" w:color="auto" w:sz="4" w:space="0"/>
              <w:left w:val="single" w:color="auto" w:sz="4" w:space="0"/>
              <w:bottom w:val="single" w:color="auto" w:sz="4" w:space="0"/>
              <w:right w:val="single" w:color="auto" w:sz="4" w:space="0"/>
            </w:tcBorders>
            <w:noWrap w:val="0"/>
            <w:vAlign w:val="center"/>
          </w:tcPr>
          <w:p w14:paraId="2A2D5168"/>
        </w:tc>
        <w:tc>
          <w:tcPr>
            <w:tcW w:w="2410" w:type="dxa"/>
            <w:tcBorders>
              <w:top w:val="single" w:color="auto" w:sz="4" w:space="0"/>
              <w:left w:val="single" w:color="auto" w:sz="4" w:space="0"/>
              <w:bottom w:val="single" w:color="auto" w:sz="4" w:space="0"/>
              <w:right w:val="single" w:color="auto" w:sz="4" w:space="0"/>
            </w:tcBorders>
            <w:noWrap w:val="0"/>
            <w:vAlign w:val="center"/>
          </w:tcPr>
          <w:p w14:paraId="0E61B63E"/>
        </w:tc>
      </w:tr>
      <w:tr w14:paraId="58957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0DEB0A53"/>
        </w:tc>
        <w:tc>
          <w:tcPr>
            <w:tcW w:w="3086" w:type="dxa"/>
            <w:tcBorders>
              <w:top w:val="single" w:color="auto" w:sz="4" w:space="0"/>
              <w:left w:val="single" w:color="auto" w:sz="4" w:space="0"/>
              <w:bottom w:val="single" w:color="auto" w:sz="4" w:space="0"/>
              <w:right w:val="single" w:color="auto" w:sz="4" w:space="0"/>
            </w:tcBorders>
            <w:noWrap w:val="0"/>
            <w:vAlign w:val="center"/>
          </w:tcPr>
          <w:p w14:paraId="35F6B16E"/>
        </w:tc>
        <w:tc>
          <w:tcPr>
            <w:tcW w:w="1559" w:type="dxa"/>
            <w:tcBorders>
              <w:top w:val="single" w:color="auto" w:sz="4" w:space="0"/>
              <w:left w:val="single" w:color="auto" w:sz="4" w:space="0"/>
              <w:bottom w:val="single" w:color="auto" w:sz="4" w:space="0"/>
              <w:right w:val="single" w:color="auto" w:sz="4" w:space="0"/>
            </w:tcBorders>
            <w:noWrap w:val="0"/>
            <w:vAlign w:val="center"/>
          </w:tcPr>
          <w:p w14:paraId="3272F708"/>
        </w:tc>
        <w:tc>
          <w:tcPr>
            <w:tcW w:w="2410" w:type="dxa"/>
            <w:tcBorders>
              <w:top w:val="single" w:color="auto" w:sz="4" w:space="0"/>
              <w:left w:val="single" w:color="auto" w:sz="4" w:space="0"/>
              <w:bottom w:val="single" w:color="auto" w:sz="4" w:space="0"/>
              <w:right w:val="single" w:color="auto" w:sz="4" w:space="0"/>
            </w:tcBorders>
            <w:noWrap w:val="0"/>
            <w:vAlign w:val="center"/>
          </w:tcPr>
          <w:p w14:paraId="2B3C2443"/>
        </w:tc>
      </w:tr>
      <w:tr w14:paraId="7B81E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5BE23CC7">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4D56E1F4">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F7F2CFA">
            <w:pPr>
              <w:spacing w:line="440" w:lineRule="exact"/>
              <w:rPr>
                <w:rFonts w:hint="eastAsia" w:ascii="宋体" w:hAnsi="宋体" w:eastAsia="宋体" w:cs="宋体"/>
                <w:szCs w:val="21"/>
                <w:lang w:val="en-US" w:eastAsia="zh-CN"/>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00553A5">
            <w:pPr>
              <w:spacing w:line="440" w:lineRule="exact"/>
              <w:rPr>
                <w:rFonts w:hint="eastAsia" w:ascii="宋体" w:hAnsi="宋体" w:eastAsia="宋体" w:cs="宋体"/>
                <w:szCs w:val="21"/>
                <w:lang w:val="en-US" w:eastAsia="zh-CN"/>
              </w:rPr>
            </w:pPr>
          </w:p>
        </w:tc>
      </w:tr>
      <w:tr w14:paraId="5902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44A87A02">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162CA27F">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3C201E9">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7ECA51F">
            <w:pPr>
              <w:spacing w:line="440" w:lineRule="exact"/>
              <w:rPr>
                <w:rFonts w:hint="eastAsia" w:ascii="宋体" w:hAnsi="宋体" w:cs="宋体"/>
                <w:szCs w:val="21"/>
              </w:rPr>
            </w:pPr>
          </w:p>
        </w:tc>
      </w:tr>
      <w:tr w14:paraId="0D7FA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1A4C8E29">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6AFD5A27">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7359DB">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E573A0D">
            <w:pPr>
              <w:spacing w:line="440" w:lineRule="exact"/>
              <w:rPr>
                <w:rFonts w:hint="eastAsia" w:ascii="宋体" w:hAnsi="宋体" w:cs="宋体"/>
                <w:szCs w:val="21"/>
              </w:rPr>
            </w:pPr>
          </w:p>
        </w:tc>
      </w:tr>
      <w:tr w14:paraId="42FA8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57AF3FCD">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2B2797A0">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0E5218">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6A22469">
            <w:pPr>
              <w:spacing w:line="440" w:lineRule="exact"/>
              <w:rPr>
                <w:rFonts w:hint="eastAsia" w:ascii="宋体" w:hAnsi="宋体" w:cs="宋体"/>
                <w:szCs w:val="21"/>
              </w:rPr>
            </w:pPr>
          </w:p>
        </w:tc>
      </w:tr>
      <w:tr w14:paraId="33BAF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7F4EFB21">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0327C228">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F179B92">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A9B9461">
            <w:pPr>
              <w:spacing w:line="440" w:lineRule="exact"/>
              <w:rPr>
                <w:rFonts w:hint="eastAsia" w:ascii="宋体" w:hAnsi="宋体" w:cs="宋体"/>
                <w:szCs w:val="21"/>
              </w:rPr>
            </w:pPr>
          </w:p>
        </w:tc>
      </w:tr>
      <w:tr w14:paraId="1F994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40FE6C79">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1E736957">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6F4D9F3">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D3C1DE7">
            <w:pPr>
              <w:spacing w:line="440" w:lineRule="exact"/>
              <w:rPr>
                <w:rFonts w:hint="eastAsia" w:ascii="宋体" w:hAnsi="宋体" w:cs="宋体"/>
                <w:szCs w:val="21"/>
              </w:rPr>
            </w:pPr>
          </w:p>
        </w:tc>
      </w:tr>
      <w:tr w14:paraId="0A30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2E22BEC9">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4C868A74">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0C31D40">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BF68196">
            <w:pPr>
              <w:spacing w:line="440" w:lineRule="exact"/>
              <w:rPr>
                <w:rFonts w:hint="eastAsia" w:ascii="宋体" w:hAnsi="宋体" w:cs="宋体"/>
                <w:szCs w:val="21"/>
              </w:rPr>
            </w:pPr>
          </w:p>
        </w:tc>
      </w:tr>
      <w:tr w14:paraId="773C3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24F46335">
            <w:pPr>
              <w:spacing w:line="288" w:lineRule="auto"/>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76A24E07">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86A946">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B9F995E">
            <w:pPr>
              <w:spacing w:line="440" w:lineRule="exact"/>
              <w:rPr>
                <w:rFonts w:hint="eastAsia" w:ascii="宋体" w:hAnsi="宋体" w:cs="宋体"/>
                <w:szCs w:val="21"/>
              </w:rPr>
            </w:pPr>
          </w:p>
        </w:tc>
      </w:tr>
      <w:tr w14:paraId="43731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2BB8F951">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444F1EB7">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F120A0">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4ADEBD2">
            <w:pPr>
              <w:spacing w:line="440" w:lineRule="exact"/>
              <w:rPr>
                <w:rFonts w:hint="eastAsia" w:ascii="宋体" w:hAnsi="宋体" w:cs="宋体"/>
                <w:szCs w:val="21"/>
              </w:rPr>
            </w:pPr>
          </w:p>
        </w:tc>
      </w:tr>
      <w:tr w14:paraId="5B207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4C4E3DD6">
            <w:pPr>
              <w:spacing w:line="4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2887F1FA">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44BD62F">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DC51E96">
            <w:pPr>
              <w:spacing w:line="440" w:lineRule="exact"/>
              <w:rPr>
                <w:rFonts w:hint="eastAsia" w:ascii="宋体" w:hAnsi="宋体" w:cs="宋体"/>
                <w:szCs w:val="21"/>
              </w:rPr>
            </w:pPr>
          </w:p>
        </w:tc>
      </w:tr>
      <w:tr w14:paraId="09245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058EF395">
            <w:pPr>
              <w:spacing w:line="288" w:lineRule="auto"/>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2B97C731">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0B100DF">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FD5D0E0">
            <w:pPr>
              <w:spacing w:line="440" w:lineRule="exact"/>
              <w:rPr>
                <w:rFonts w:hint="eastAsia" w:ascii="宋体" w:hAnsi="宋体" w:cs="宋体"/>
                <w:szCs w:val="21"/>
              </w:rPr>
            </w:pPr>
          </w:p>
        </w:tc>
      </w:tr>
      <w:tr w14:paraId="507E9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1CC049C7">
            <w:pPr>
              <w:spacing w:line="2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098E4916">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E3C28C9">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4E8858B">
            <w:pPr>
              <w:spacing w:line="440" w:lineRule="exact"/>
              <w:rPr>
                <w:rFonts w:hint="eastAsia" w:ascii="宋体" w:hAnsi="宋体" w:cs="宋体"/>
                <w:szCs w:val="21"/>
              </w:rPr>
            </w:pPr>
          </w:p>
        </w:tc>
      </w:tr>
      <w:tr w14:paraId="26D50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7F9E51DA">
            <w:pPr>
              <w:spacing w:line="2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6DDBAF2A">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61C3C3">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0811975">
            <w:pPr>
              <w:spacing w:line="440" w:lineRule="exact"/>
              <w:rPr>
                <w:rFonts w:hint="eastAsia" w:ascii="宋体" w:hAnsi="宋体" w:cs="宋体"/>
                <w:szCs w:val="21"/>
              </w:rPr>
            </w:pPr>
          </w:p>
        </w:tc>
      </w:tr>
      <w:tr w14:paraId="4E5DE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6C9D3A1F">
            <w:pPr>
              <w:spacing w:line="240" w:lineRule="exact"/>
              <w:jc w:val="center"/>
              <w:rPr>
                <w:rFonts w:hint="eastAsia" w:ascii="宋体" w:hAnsi="宋体" w:cs="宋体"/>
                <w:szCs w:val="21"/>
              </w:rPr>
            </w:pPr>
          </w:p>
        </w:tc>
        <w:tc>
          <w:tcPr>
            <w:tcW w:w="3086" w:type="dxa"/>
            <w:tcBorders>
              <w:top w:val="single" w:color="auto" w:sz="4" w:space="0"/>
              <w:left w:val="single" w:color="auto" w:sz="4" w:space="0"/>
              <w:bottom w:val="single" w:color="auto" w:sz="4" w:space="0"/>
              <w:right w:val="single" w:color="auto" w:sz="4" w:space="0"/>
            </w:tcBorders>
            <w:noWrap w:val="0"/>
            <w:vAlign w:val="center"/>
          </w:tcPr>
          <w:p w14:paraId="21717E74">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668D6B2">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4AD1452">
            <w:pPr>
              <w:spacing w:line="440" w:lineRule="exact"/>
              <w:rPr>
                <w:rFonts w:hint="eastAsia" w:ascii="宋体" w:hAnsi="宋体" w:cs="宋体"/>
                <w:szCs w:val="21"/>
              </w:rPr>
            </w:pPr>
          </w:p>
        </w:tc>
      </w:tr>
      <w:tr w14:paraId="1DA79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615ADA30">
            <w:pPr>
              <w:spacing w:line="440" w:lineRule="exact"/>
              <w:jc w:val="center"/>
              <w:rPr>
                <w:rFonts w:hint="eastAsia" w:ascii="宋体" w:hAnsi="宋体" w:cs="宋体"/>
                <w:szCs w:val="21"/>
              </w:rPr>
            </w:pPr>
            <w:r>
              <w:rPr>
                <w:rFonts w:hint="eastAsia" w:ascii="宋体" w:hAnsi="宋体" w:cs="宋体"/>
                <w:szCs w:val="21"/>
                <w:highlight w:val="white"/>
              </w:rPr>
              <w:t>……</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3946DC06">
            <w:pPr>
              <w:spacing w:line="440" w:lineRule="exact"/>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681EA6">
            <w:pPr>
              <w:spacing w:line="440" w:lineRule="exact"/>
              <w:rPr>
                <w:rFonts w:hint="eastAsia"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E3867E7">
            <w:pPr>
              <w:spacing w:line="440" w:lineRule="exact"/>
              <w:rPr>
                <w:rFonts w:hint="eastAsia" w:ascii="宋体" w:hAnsi="宋体" w:cs="宋体"/>
                <w:szCs w:val="21"/>
              </w:rPr>
            </w:pPr>
          </w:p>
        </w:tc>
      </w:tr>
    </w:tbl>
    <w:p w14:paraId="34B39C9A">
      <w:pPr>
        <w:rPr>
          <w:rFonts w:hint="eastAsia" w:ascii="宋体" w:hAnsi="宋体" w:cs="宋体"/>
          <w:szCs w:val="21"/>
        </w:rPr>
      </w:pPr>
    </w:p>
    <w:p w14:paraId="3FD43851">
      <w:pPr>
        <w:rPr>
          <w:rFonts w:hint="eastAsia" w:ascii="宋体" w:hAnsi="宋体" w:cs="宋体"/>
          <w:szCs w:val="21"/>
        </w:rPr>
      </w:pPr>
      <w:r>
        <w:rPr>
          <w:rFonts w:hint="eastAsia" w:ascii="宋体" w:hAnsi="宋体" w:cs="宋体"/>
          <w:szCs w:val="21"/>
          <w:highlight w:val="white"/>
        </w:rPr>
        <w:t>注：</w:t>
      </w:r>
    </w:p>
    <w:p w14:paraId="15AFBF58">
      <w:pPr>
        <w:pStyle w:val="29"/>
        <w:ind w:firstLine="420" w:firstLineChars="200"/>
        <w:rPr>
          <w:rFonts w:hint="eastAsia" w:ascii="宋体" w:hAnsi="宋体" w:cs="宋体"/>
          <w:szCs w:val="21"/>
        </w:rPr>
      </w:pPr>
      <w:r>
        <w:rPr>
          <w:rFonts w:hint="eastAsia" w:ascii="宋体" w:hAnsi="宋体" w:cs="宋体"/>
          <w:szCs w:val="21"/>
          <w:highlight w:val="white"/>
        </w:rPr>
        <w:t>1．招标人应根据工程实际,在本表中列明具体的数量及规格要求，本表不作为资格审查条件，投标人无需提供上述机械设备详细清单，也无需在投标文件中提交本表格；但投标人必须承诺中标后应按本表最低要求的数量和资格投入机械设备。</w:t>
      </w:r>
    </w:p>
    <w:p w14:paraId="67F5A9F6">
      <w:pPr>
        <w:ind w:firstLine="420" w:firstLineChars="200"/>
        <w:rPr>
          <w:rFonts w:hint="eastAsia" w:ascii="宋体" w:hAnsi="宋体" w:cs="宋体"/>
          <w:szCs w:val="21"/>
        </w:rPr>
      </w:pPr>
      <w:r>
        <w:rPr>
          <w:rFonts w:hint="eastAsia" w:ascii="宋体" w:hAnsi="宋体" w:cs="宋体"/>
          <w:szCs w:val="21"/>
          <w:highlight w:val="white"/>
        </w:rPr>
        <w:t>2．招标人将在发出中标通知书之前要求中标人按照本表的最低要求填报本标段配备的主要设备，在经招标人审批后作为派驻本标段的主要设备且不允许更换。</w:t>
      </w:r>
    </w:p>
    <w:p w14:paraId="5D4A4424">
      <w:pPr>
        <w:rPr>
          <w:rFonts w:hint="eastAsia" w:ascii="宋体" w:hAnsi="宋体" w:cs="宋体"/>
          <w:b/>
          <w:sz w:val="24"/>
          <w:u w:val="single"/>
        </w:rPr>
      </w:pPr>
      <w:r>
        <w:rPr>
          <w:rFonts w:hint="eastAsia" w:ascii="宋体" w:hAnsi="宋体" w:cs="宋体"/>
          <w:sz w:val="24"/>
          <w:highlight w:val="white"/>
        </w:rPr>
        <w:br w:type="page"/>
      </w:r>
      <w:r>
        <w:rPr>
          <w:rFonts w:hint="eastAsia" w:ascii="宋体" w:hAnsi="宋体" w:cs="宋体"/>
          <w:sz w:val="24"/>
          <w:highlight w:val="white"/>
        </w:rPr>
        <w:t>附件六  项目经理委托书</w:t>
      </w:r>
    </w:p>
    <w:p w14:paraId="31C90BF3">
      <w:pPr>
        <w:spacing w:line="400" w:lineRule="exact"/>
        <w:rPr>
          <w:rFonts w:hint="eastAsia" w:ascii="宋体" w:hAnsi="宋体" w:cs="宋体"/>
          <w:b/>
          <w:sz w:val="24"/>
        </w:rPr>
      </w:pPr>
    </w:p>
    <w:p w14:paraId="7EA11271">
      <w:pPr>
        <w:spacing w:line="360" w:lineRule="auto"/>
        <w:jc w:val="center"/>
        <w:rPr>
          <w:rFonts w:hint="eastAsia" w:ascii="宋体" w:hAnsi="宋体" w:cs="宋体"/>
          <w:sz w:val="24"/>
          <w:u w:val="single"/>
        </w:rPr>
      </w:pPr>
      <w:r>
        <w:rPr>
          <w:rFonts w:hint="eastAsia" w:ascii="宋体" w:hAnsi="宋体" w:cs="宋体"/>
          <w:sz w:val="24"/>
          <w:highlight w:val="white"/>
          <w:u w:val="single"/>
        </w:rPr>
        <w:t>（承包人全称）</w:t>
      </w:r>
    </w:p>
    <w:p w14:paraId="458AB426">
      <w:pPr>
        <w:spacing w:line="360" w:lineRule="auto"/>
        <w:jc w:val="center"/>
        <w:rPr>
          <w:rFonts w:hint="eastAsia" w:ascii="宋体" w:hAnsi="宋体" w:cs="宋体"/>
          <w:sz w:val="24"/>
          <w:u w:val="single"/>
        </w:rPr>
      </w:pPr>
      <w:r>
        <w:rPr>
          <w:rFonts w:hint="eastAsia" w:ascii="宋体" w:hAnsi="宋体" w:cs="宋体"/>
          <w:sz w:val="24"/>
          <w:highlight w:val="white"/>
          <w:u w:val="single"/>
        </w:rPr>
        <w:t>（合同工程名称）项目经理委任书</w:t>
      </w:r>
    </w:p>
    <w:p w14:paraId="6402A55A">
      <w:pPr>
        <w:spacing w:line="360" w:lineRule="auto"/>
        <w:jc w:val="center"/>
        <w:rPr>
          <w:rFonts w:hint="eastAsia" w:ascii="宋体" w:hAnsi="宋体" w:cs="宋体"/>
          <w:sz w:val="20"/>
        </w:rPr>
      </w:pPr>
      <w:r>
        <w:rPr>
          <w:rFonts w:hint="eastAsia" w:ascii="宋体" w:hAnsi="宋体" w:cs="宋体"/>
          <w:sz w:val="20"/>
          <w:highlight w:val="white"/>
        </w:rPr>
        <w:t>（本附件投标人投标时不须提交）</w:t>
      </w:r>
    </w:p>
    <w:p w14:paraId="1FDE5C61">
      <w:pPr>
        <w:spacing w:line="360" w:lineRule="auto"/>
        <w:rPr>
          <w:rFonts w:hint="eastAsia" w:ascii="宋体" w:hAnsi="宋体" w:cs="宋体"/>
          <w:szCs w:val="21"/>
        </w:rPr>
      </w:pPr>
      <w:r>
        <w:rPr>
          <w:rFonts w:hint="eastAsia" w:ascii="宋体" w:hAnsi="宋体" w:cs="宋体"/>
          <w:szCs w:val="21"/>
          <w:highlight w:val="white"/>
        </w:rPr>
        <w:t>致：</w:t>
      </w:r>
      <w:r>
        <w:rPr>
          <w:rFonts w:hint="eastAsia" w:ascii="宋体" w:hAnsi="宋体" w:cs="宋体"/>
          <w:szCs w:val="21"/>
          <w:highlight w:val="white"/>
          <w:u w:val="single"/>
        </w:rPr>
        <w:t>（发包人全称</w:t>
      </w:r>
      <w:r>
        <w:rPr>
          <w:rFonts w:hint="eastAsia" w:ascii="宋体" w:hAnsi="宋体" w:cs="宋体"/>
          <w:szCs w:val="21"/>
          <w:highlight w:val="white"/>
        </w:rPr>
        <w:t>）</w:t>
      </w:r>
    </w:p>
    <w:p w14:paraId="40E92650">
      <w:pPr>
        <w:spacing w:line="360" w:lineRule="auto"/>
        <w:ind w:firstLine="420" w:firstLineChars="200"/>
        <w:rPr>
          <w:rFonts w:hint="eastAsia" w:ascii="宋体" w:hAnsi="宋体" w:cs="宋体"/>
          <w:szCs w:val="21"/>
        </w:rPr>
      </w:pPr>
      <w:r>
        <w:rPr>
          <w:rFonts w:hint="eastAsia" w:ascii="宋体" w:hAnsi="宋体" w:cs="宋体"/>
          <w:szCs w:val="21"/>
          <w:highlight w:val="white"/>
          <w:u w:val="single"/>
        </w:rPr>
        <w:t>（承包人全称）</w:t>
      </w:r>
      <w:r>
        <w:rPr>
          <w:rFonts w:hint="eastAsia" w:ascii="宋体" w:hAnsi="宋体" w:cs="宋体"/>
          <w:szCs w:val="21"/>
          <w:highlight w:val="white"/>
        </w:rPr>
        <w:t xml:space="preserve"> 法定代表人</w:t>
      </w:r>
      <w:r>
        <w:rPr>
          <w:rFonts w:hint="eastAsia" w:ascii="宋体" w:hAnsi="宋体" w:cs="宋体"/>
          <w:szCs w:val="21"/>
          <w:highlight w:val="white"/>
          <w:u w:val="single"/>
        </w:rPr>
        <w:t xml:space="preserve"> （职务、姓名）</w:t>
      </w:r>
      <w:r>
        <w:rPr>
          <w:rFonts w:hint="eastAsia" w:ascii="宋体" w:hAnsi="宋体" w:cs="宋体"/>
          <w:szCs w:val="21"/>
          <w:highlight w:val="white"/>
        </w:rPr>
        <w:t xml:space="preserve"> 代表本单位委任 </w:t>
      </w:r>
      <w:r>
        <w:rPr>
          <w:rFonts w:hint="eastAsia" w:ascii="宋体" w:hAnsi="宋体" w:cs="宋体"/>
          <w:szCs w:val="21"/>
          <w:highlight w:val="white"/>
          <w:u w:val="single"/>
        </w:rPr>
        <w:t>（职务、姓名）</w:t>
      </w:r>
      <w:r>
        <w:rPr>
          <w:rFonts w:hint="eastAsia" w:ascii="宋体" w:hAnsi="宋体" w:cs="宋体"/>
          <w:szCs w:val="21"/>
          <w:highlight w:val="white"/>
        </w:rPr>
        <w:t xml:space="preserve"> 为</w:t>
      </w:r>
      <w:r>
        <w:rPr>
          <w:rFonts w:hint="eastAsia" w:ascii="宋体" w:hAnsi="宋体" w:cs="宋体"/>
          <w:szCs w:val="21"/>
          <w:highlight w:val="white"/>
          <w:u w:val="single"/>
        </w:rPr>
        <w:t>（合同工程名称）</w:t>
      </w:r>
      <w:r>
        <w:rPr>
          <w:rFonts w:hint="eastAsia" w:ascii="宋体" w:hAnsi="宋体" w:cs="宋体"/>
          <w:szCs w:val="21"/>
          <w:highlight w:val="white"/>
        </w:rPr>
        <w:t>的项目经理。凡本合同执行中的有关技术、工程进度、现场管理、质量检验、结算与支付等方面工作，由</w:t>
      </w:r>
      <w:r>
        <w:rPr>
          <w:rFonts w:hint="eastAsia" w:ascii="宋体" w:hAnsi="宋体" w:cs="宋体"/>
          <w:szCs w:val="21"/>
          <w:highlight w:val="white"/>
          <w:u w:val="single"/>
        </w:rPr>
        <w:t xml:space="preserve"> （姓名） </w:t>
      </w:r>
      <w:r>
        <w:rPr>
          <w:rFonts w:hint="eastAsia" w:ascii="宋体" w:hAnsi="宋体" w:cs="宋体"/>
          <w:szCs w:val="21"/>
          <w:highlight w:val="white"/>
        </w:rPr>
        <w:t>代表本单位全面负责。</w:t>
      </w:r>
    </w:p>
    <w:p w14:paraId="45335052">
      <w:pPr>
        <w:spacing w:line="360" w:lineRule="auto"/>
        <w:rPr>
          <w:rFonts w:hint="eastAsia" w:ascii="宋体" w:hAnsi="宋体" w:cs="宋体"/>
          <w:szCs w:val="21"/>
        </w:rPr>
      </w:pPr>
    </w:p>
    <w:p w14:paraId="6D39961D">
      <w:pPr>
        <w:spacing w:line="360" w:lineRule="auto"/>
        <w:rPr>
          <w:rFonts w:hint="eastAsia" w:ascii="宋体" w:hAnsi="宋体" w:cs="宋体"/>
          <w:szCs w:val="21"/>
        </w:rPr>
      </w:pPr>
    </w:p>
    <w:p w14:paraId="0F2B0431">
      <w:pPr>
        <w:spacing w:line="360" w:lineRule="auto"/>
        <w:rPr>
          <w:rFonts w:hint="eastAsia" w:ascii="宋体" w:hAnsi="宋体" w:cs="宋体"/>
          <w:szCs w:val="21"/>
        </w:rPr>
      </w:pPr>
    </w:p>
    <w:p w14:paraId="640CDE25">
      <w:pPr>
        <w:spacing w:line="360" w:lineRule="auto"/>
        <w:rPr>
          <w:rFonts w:hint="eastAsia" w:ascii="宋体" w:hAnsi="宋体" w:cs="宋体"/>
          <w:szCs w:val="21"/>
        </w:rPr>
      </w:pPr>
    </w:p>
    <w:p w14:paraId="084F1B6F">
      <w:pPr>
        <w:spacing w:line="360" w:lineRule="auto"/>
        <w:rPr>
          <w:rFonts w:hint="eastAsia" w:ascii="宋体" w:hAnsi="宋体" w:cs="宋体"/>
          <w:szCs w:val="21"/>
        </w:rPr>
      </w:pPr>
    </w:p>
    <w:p w14:paraId="6047B853">
      <w:pPr>
        <w:spacing w:line="360" w:lineRule="auto"/>
        <w:jc w:val="right"/>
        <w:rPr>
          <w:rFonts w:hint="eastAsia" w:ascii="宋体" w:hAnsi="宋体" w:cs="宋体"/>
          <w:szCs w:val="21"/>
        </w:rPr>
      </w:pPr>
      <w:r>
        <w:rPr>
          <w:rFonts w:hint="eastAsia" w:ascii="宋体" w:hAnsi="宋体" w:cs="宋体"/>
          <w:szCs w:val="21"/>
          <w:highlight w:val="white"/>
        </w:rPr>
        <w:t>承包人：</w:t>
      </w:r>
      <w:r>
        <w:rPr>
          <w:rFonts w:hint="eastAsia" w:ascii="宋体" w:hAnsi="宋体" w:cs="宋体"/>
          <w:szCs w:val="21"/>
          <w:highlight w:val="white"/>
          <w:u w:val="single"/>
        </w:rPr>
        <w:t xml:space="preserve">            </w:t>
      </w:r>
      <w:r>
        <w:rPr>
          <w:rFonts w:hint="eastAsia" w:ascii="宋体" w:hAnsi="宋体" w:cs="宋体"/>
          <w:szCs w:val="21"/>
          <w:highlight w:val="white"/>
        </w:rPr>
        <w:t>（盖单位章）</w:t>
      </w:r>
    </w:p>
    <w:p w14:paraId="7EB8EC82">
      <w:pPr>
        <w:spacing w:line="360" w:lineRule="auto"/>
        <w:jc w:val="right"/>
        <w:rPr>
          <w:rFonts w:hint="eastAsia" w:ascii="宋体" w:hAnsi="宋体" w:cs="宋体"/>
          <w:szCs w:val="21"/>
          <w:u w:val="single"/>
        </w:rPr>
      </w:pPr>
      <w:r>
        <w:rPr>
          <w:rFonts w:hint="eastAsia" w:ascii="宋体" w:hAnsi="宋体" w:cs="宋体"/>
          <w:szCs w:val="21"/>
          <w:highlight w:val="white"/>
        </w:rPr>
        <w:t>法定代表人：</w:t>
      </w:r>
      <w:r>
        <w:rPr>
          <w:rFonts w:hint="eastAsia" w:ascii="宋体" w:hAnsi="宋体" w:cs="宋体"/>
          <w:szCs w:val="21"/>
          <w:highlight w:val="white"/>
          <w:u w:val="single"/>
        </w:rPr>
        <w:t xml:space="preserve">          （职务）  </w:t>
      </w:r>
    </w:p>
    <w:p w14:paraId="5C6AF32F">
      <w:pPr>
        <w:spacing w:line="360" w:lineRule="auto"/>
        <w:ind w:firstLine="1575" w:firstLineChars="750"/>
        <w:jc w:val="right"/>
        <w:rPr>
          <w:rFonts w:hint="eastAsia" w:ascii="宋体" w:hAnsi="宋体" w:cs="宋体"/>
          <w:szCs w:val="21"/>
          <w:u w:val="single"/>
        </w:rPr>
      </w:pPr>
      <w:r>
        <w:rPr>
          <w:rFonts w:hint="eastAsia" w:ascii="宋体" w:hAnsi="宋体" w:cs="宋体"/>
          <w:szCs w:val="21"/>
          <w:highlight w:val="white"/>
          <w:u w:val="single"/>
        </w:rPr>
        <w:t xml:space="preserve">           （姓名） </w:t>
      </w:r>
    </w:p>
    <w:p w14:paraId="197B7567">
      <w:pPr>
        <w:spacing w:line="360" w:lineRule="auto"/>
        <w:ind w:firstLine="1575" w:firstLineChars="750"/>
        <w:jc w:val="right"/>
        <w:rPr>
          <w:rFonts w:hint="eastAsia" w:ascii="宋体" w:hAnsi="宋体" w:cs="宋体"/>
          <w:szCs w:val="21"/>
          <w:u w:val="single"/>
        </w:rPr>
      </w:pPr>
      <w:r>
        <w:rPr>
          <w:rFonts w:hint="eastAsia" w:ascii="宋体" w:hAnsi="宋体" w:cs="宋体"/>
          <w:szCs w:val="21"/>
          <w:highlight w:val="white"/>
          <w:u w:val="single"/>
        </w:rPr>
        <w:t xml:space="preserve">           （签字） </w:t>
      </w:r>
    </w:p>
    <w:p w14:paraId="338261E3">
      <w:pPr>
        <w:spacing w:line="360" w:lineRule="auto"/>
        <w:jc w:val="right"/>
        <w:rPr>
          <w:rFonts w:hint="eastAsia" w:ascii="宋体" w:hAnsi="宋体" w:cs="宋体"/>
          <w:szCs w:val="21"/>
        </w:rPr>
      </w:pPr>
    </w:p>
    <w:p w14:paraId="1F7CE434">
      <w:pPr>
        <w:spacing w:line="360" w:lineRule="auto"/>
        <w:jc w:val="right"/>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 xml:space="preserve"> 日</w:t>
      </w:r>
    </w:p>
    <w:p w14:paraId="268378B0">
      <w:pPr>
        <w:spacing w:line="360" w:lineRule="exact"/>
        <w:jc w:val="right"/>
        <w:rPr>
          <w:rFonts w:hint="eastAsia" w:ascii="宋体" w:hAnsi="宋体" w:cs="宋体"/>
          <w:szCs w:val="21"/>
        </w:rPr>
      </w:pPr>
    </w:p>
    <w:p w14:paraId="4813B910">
      <w:pPr>
        <w:spacing w:line="360" w:lineRule="exact"/>
        <w:jc w:val="right"/>
        <w:rPr>
          <w:rFonts w:hint="eastAsia" w:ascii="宋体" w:hAnsi="宋体" w:cs="宋体"/>
          <w:szCs w:val="21"/>
        </w:rPr>
      </w:pPr>
      <w:r>
        <w:rPr>
          <w:rFonts w:hint="eastAsia" w:ascii="宋体" w:hAnsi="宋体" w:cs="宋体"/>
          <w:szCs w:val="21"/>
          <w:highlight w:val="white"/>
        </w:rPr>
        <w:t>抄送：</w:t>
      </w:r>
      <w:r>
        <w:rPr>
          <w:rFonts w:hint="eastAsia" w:ascii="宋体" w:hAnsi="宋体" w:cs="宋体"/>
          <w:szCs w:val="21"/>
          <w:highlight w:val="white"/>
          <w:u w:val="single"/>
        </w:rPr>
        <w:t xml:space="preserve">  （监理人，若有）</w:t>
      </w:r>
    </w:p>
    <w:p w14:paraId="781ACFA2">
      <w:pPr>
        <w:spacing w:before="120" w:beforeLines="50" w:after="120" w:afterLines="50" w:line="360" w:lineRule="auto"/>
        <w:rPr>
          <w:rFonts w:hint="eastAsia" w:ascii="宋体" w:hAnsi="宋体" w:cs="宋体"/>
          <w:b/>
          <w:sz w:val="24"/>
          <w:u w:val="single"/>
        </w:rPr>
      </w:pPr>
      <w:r>
        <w:rPr>
          <w:rFonts w:hint="eastAsia" w:ascii="宋体" w:hAnsi="宋体" w:cs="宋体"/>
          <w:sz w:val="24"/>
          <w:highlight w:val="white"/>
        </w:rPr>
        <w:br w:type="page"/>
      </w:r>
      <w:bookmarkStart w:id="739" w:name="_Toc243290542"/>
      <w:r>
        <w:rPr>
          <w:rFonts w:hint="eastAsia" w:ascii="宋体" w:hAnsi="宋体" w:cs="宋体"/>
          <w:sz w:val="24"/>
          <w:highlight w:val="white"/>
        </w:rPr>
        <w:t>附件七   履约保证金格式</w:t>
      </w:r>
    </w:p>
    <w:bookmarkEnd w:id="739"/>
    <w:p w14:paraId="32C5FF9B">
      <w:pPr>
        <w:spacing w:line="360" w:lineRule="auto"/>
        <w:jc w:val="center"/>
        <w:rPr>
          <w:rFonts w:hint="eastAsia" w:ascii="宋体" w:hAnsi="宋体" w:cs="宋体"/>
          <w:sz w:val="24"/>
        </w:rPr>
      </w:pPr>
      <w:r>
        <w:rPr>
          <w:rFonts w:hint="eastAsia" w:ascii="宋体" w:hAnsi="宋体" w:cs="宋体"/>
          <w:sz w:val="24"/>
          <w:highlight w:val="white"/>
        </w:rPr>
        <w:t>履约保证金格式</w:t>
      </w:r>
    </w:p>
    <w:p w14:paraId="453025B7">
      <w:pPr>
        <w:spacing w:line="360" w:lineRule="auto"/>
        <w:jc w:val="center"/>
        <w:rPr>
          <w:rFonts w:hint="eastAsia" w:ascii="宋体" w:hAnsi="宋体" w:cs="宋体"/>
          <w:sz w:val="18"/>
          <w:szCs w:val="18"/>
        </w:rPr>
      </w:pPr>
      <w:r>
        <w:rPr>
          <w:rFonts w:hint="eastAsia" w:ascii="宋体" w:hAnsi="宋体" w:cs="宋体"/>
          <w:sz w:val="18"/>
          <w:szCs w:val="18"/>
          <w:highlight w:val="white"/>
        </w:rPr>
        <w:t>（本附件投标人投标时不须提交）</w:t>
      </w:r>
    </w:p>
    <w:p w14:paraId="727049C0">
      <w:pPr>
        <w:spacing w:before="120" w:beforeLines="50" w:line="360" w:lineRule="auto"/>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 xml:space="preserve"> （发包人名称）：</w:t>
      </w:r>
    </w:p>
    <w:p w14:paraId="0CAB9F94">
      <w:pPr>
        <w:spacing w:line="360" w:lineRule="auto"/>
        <w:ind w:firstLine="420" w:firstLineChars="200"/>
        <w:rPr>
          <w:rFonts w:hint="eastAsia" w:ascii="宋体" w:hAnsi="宋体" w:cs="宋体"/>
          <w:szCs w:val="21"/>
        </w:rPr>
      </w:pPr>
      <w:r>
        <w:rPr>
          <w:rFonts w:hint="eastAsia" w:ascii="宋体" w:hAnsi="宋体" w:cs="宋体"/>
          <w:szCs w:val="21"/>
          <w:highlight w:val="white"/>
        </w:rPr>
        <w:t>鉴于</w:t>
      </w:r>
      <w:r>
        <w:rPr>
          <w:rFonts w:hint="eastAsia" w:ascii="宋体" w:hAnsi="宋体" w:cs="宋体"/>
          <w:szCs w:val="21"/>
          <w:highlight w:val="white"/>
          <w:u w:val="single"/>
        </w:rPr>
        <w:t xml:space="preserve">              </w:t>
      </w:r>
      <w:r>
        <w:rPr>
          <w:rFonts w:hint="eastAsia" w:ascii="宋体" w:hAnsi="宋体" w:cs="宋体"/>
          <w:szCs w:val="21"/>
          <w:highlight w:val="white"/>
        </w:rPr>
        <w:t xml:space="preserve">（发包人名称，以下简称“发包人”）接受 </w:t>
      </w:r>
      <w:r>
        <w:rPr>
          <w:rFonts w:hint="eastAsia" w:ascii="宋体" w:hAnsi="宋体" w:cs="宋体"/>
          <w:szCs w:val="21"/>
          <w:highlight w:val="white"/>
          <w:u w:val="single"/>
        </w:rPr>
        <w:t xml:space="preserve">     </w:t>
      </w:r>
      <w:r>
        <w:rPr>
          <w:rFonts w:hint="eastAsia" w:ascii="宋体" w:hAnsi="宋体" w:cs="宋体"/>
          <w:szCs w:val="21"/>
          <w:highlight w:val="white"/>
        </w:rPr>
        <w:t>（承包人名称）（以下称“承包人”）于</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日参加</w:t>
      </w:r>
      <w:r>
        <w:rPr>
          <w:rFonts w:hint="eastAsia" w:ascii="宋体" w:hAnsi="宋体" w:cs="宋体"/>
          <w:szCs w:val="21"/>
          <w:highlight w:val="white"/>
          <w:u w:val="single"/>
        </w:rPr>
        <w:t xml:space="preserve">        </w:t>
      </w:r>
      <w:r>
        <w:rPr>
          <w:rFonts w:hint="eastAsia" w:ascii="宋体" w:hAnsi="宋体" w:cs="宋体"/>
          <w:szCs w:val="21"/>
          <w:highlight w:val="white"/>
        </w:rPr>
        <w:t>（项目名称）</w:t>
      </w:r>
      <w:r>
        <w:rPr>
          <w:rFonts w:hint="eastAsia" w:ascii="宋体" w:hAnsi="宋体" w:cs="宋体"/>
          <w:szCs w:val="21"/>
          <w:highlight w:val="white"/>
          <w:u w:val="single"/>
        </w:rPr>
        <w:t xml:space="preserve">   </w:t>
      </w:r>
      <w:r>
        <w:rPr>
          <w:rFonts w:hint="eastAsia" w:ascii="宋体" w:hAnsi="宋体" w:cs="宋体"/>
          <w:szCs w:val="21"/>
          <w:highlight w:val="white"/>
        </w:rPr>
        <w:t xml:space="preserve">标段施工的投标。我方愿意无条件地、不可撤销地就承包人履行与你方订立的合同，向你方提供担保。 </w:t>
      </w:r>
    </w:p>
    <w:p w14:paraId="6C0D690F">
      <w:pPr>
        <w:spacing w:line="360" w:lineRule="auto"/>
        <w:ind w:firstLine="420" w:firstLineChars="200"/>
        <w:rPr>
          <w:rFonts w:hint="eastAsia" w:ascii="宋体" w:hAnsi="宋体" w:cs="宋体"/>
          <w:szCs w:val="21"/>
        </w:rPr>
      </w:pPr>
      <w:r>
        <w:rPr>
          <w:rFonts w:hint="eastAsia" w:ascii="宋体" w:hAnsi="宋体" w:cs="宋体"/>
          <w:szCs w:val="21"/>
          <w:highlight w:val="white"/>
        </w:rPr>
        <w:t>1. 担保金额人民币（大写）</w:t>
      </w:r>
      <w:r>
        <w:rPr>
          <w:rFonts w:hint="eastAsia" w:ascii="宋体" w:hAnsi="宋体" w:cs="宋体"/>
          <w:szCs w:val="21"/>
          <w:highlight w:val="white"/>
          <w:u w:val="single"/>
        </w:rPr>
        <w:t xml:space="preserve">       </w:t>
      </w:r>
      <w:r>
        <w:rPr>
          <w:rFonts w:hint="eastAsia" w:ascii="宋体" w:hAnsi="宋体" w:cs="宋体"/>
          <w:szCs w:val="21"/>
          <w:highlight w:val="white"/>
        </w:rPr>
        <w:t>圆（¥</w:t>
      </w:r>
      <w:r>
        <w:rPr>
          <w:rFonts w:hint="eastAsia" w:ascii="宋体" w:hAnsi="宋体" w:cs="宋体"/>
          <w:szCs w:val="21"/>
          <w:highlight w:val="white"/>
          <w:u w:val="single"/>
        </w:rPr>
        <w:t xml:space="preserve">         </w:t>
      </w:r>
      <w:r>
        <w:rPr>
          <w:rFonts w:hint="eastAsia" w:ascii="宋体" w:hAnsi="宋体" w:cs="宋体"/>
          <w:szCs w:val="21"/>
          <w:highlight w:val="white"/>
        </w:rPr>
        <w:t>元）。</w:t>
      </w:r>
    </w:p>
    <w:p w14:paraId="2E149C40">
      <w:pPr>
        <w:spacing w:line="360" w:lineRule="auto"/>
        <w:ind w:firstLine="420" w:firstLineChars="200"/>
        <w:rPr>
          <w:rFonts w:hint="eastAsia" w:ascii="宋体" w:hAnsi="宋体" w:cs="宋体"/>
          <w:szCs w:val="21"/>
        </w:rPr>
      </w:pPr>
      <w:r>
        <w:rPr>
          <w:rFonts w:hint="eastAsia" w:ascii="宋体" w:hAnsi="宋体" w:cs="宋体"/>
          <w:szCs w:val="21"/>
          <w:highlight w:val="white"/>
        </w:rPr>
        <w:t>2. 担保有效期自发包人与承包人签订的合同生效之日起至发包人签发交工验收证书且承包人按照合同约定交纳质量保证金之日止之日止。</w:t>
      </w:r>
    </w:p>
    <w:p w14:paraId="26C3867C">
      <w:pPr>
        <w:spacing w:line="360" w:lineRule="auto"/>
        <w:ind w:firstLine="420" w:firstLineChars="200"/>
        <w:rPr>
          <w:rFonts w:hint="eastAsia" w:ascii="宋体" w:hAnsi="宋体" w:cs="宋体"/>
          <w:szCs w:val="21"/>
        </w:rPr>
      </w:pPr>
      <w:r>
        <w:rPr>
          <w:rFonts w:hint="eastAsia" w:ascii="宋体" w:hAnsi="宋体" w:cs="宋体"/>
          <w:szCs w:val="21"/>
          <w:highlight w:val="white"/>
        </w:rPr>
        <w:t>3. 在本担保有效期内，因承包人违反合同约定的义务给你方造成经济损失时，我方在收到你方以书面形式提出的在担保金额内的赔偿要求后，在7天内无条件支付，无须你方出具证明或陈述理由。</w:t>
      </w:r>
    </w:p>
    <w:p w14:paraId="02F58265">
      <w:pPr>
        <w:spacing w:line="360" w:lineRule="auto"/>
        <w:ind w:firstLine="420" w:firstLineChars="200"/>
        <w:rPr>
          <w:rFonts w:hint="eastAsia" w:ascii="宋体" w:hAnsi="宋体" w:cs="宋体"/>
          <w:szCs w:val="21"/>
        </w:rPr>
      </w:pPr>
      <w:r>
        <w:rPr>
          <w:rFonts w:hint="eastAsia" w:ascii="宋体" w:hAnsi="宋体" w:cs="宋体"/>
          <w:szCs w:val="21"/>
          <w:highlight w:val="white"/>
        </w:rPr>
        <w:t>4. 发包人和承包人按合同条款第15条变更合同时，我方承担本担保规定的义务不变。</w:t>
      </w:r>
    </w:p>
    <w:p w14:paraId="70CC1991">
      <w:pPr>
        <w:spacing w:line="360" w:lineRule="auto"/>
        <w:rPr>
          <w:rFonts w:hint="eastAsia" w:ascii="宋体" w:hAnsi="宋体" w:cs="宋体"/>
          <w:szCs w:val="21"/>
        </w:rPr>
      </w:pPr>
    </w:p>
    <w:p w14:paraId="52E7D8F5">
      <w:pPr>
        <w:spacing w:line="360" w:lineRule="auto"/>
        <w:jc w:val="right"/>
        <w:rPr>
          <w:rFonts w:hint="eastAsia" w:ascii="宋体" w:hAnsi="宋体" w:cs="宋体"/>
          <w:szCs w:val="21"/>
        </w:rPr>
      </w:pPr>
      <w:r>
        <w:rPr>
          <w:rFonts w:hint="eastAsia" w:ascii="宋体" w:hAnsi="宋体" w:cs="宋体"/>
          <w:szCs w:val="21"/>
          <w:highlight w:val="white"/>
        </w:rPr>
        <w:t>担 保 人：</w:t>
      </w:r>
      <w:r>
        <w:rPr>
          <w:rFonts w:hint="eastAsia" w:ascii="宋体" w:hAnsi="宋体" w:cs="宋体"/>
          <w:szCs w:val="21"/>
          <w:highlight w:val="white"/>
          <w:u w:val="single"/>
        </w:rPr>
        <w:t xml:space="preserve">                  </w:t>
      </w:r>
      <w:r>
        <w:rPr>
          <w:rFonts w:hint="eastAsia" w:ascii="宋体" w:hAnsi="宋体" w:cs="宋体"/>
          <w:szCs w:val="21"/>
          <w:highlight w:val="white"/>
        </w:rPr>
        <w:t>（盖单位章）</w:t>
      </w:r>
    </w:p>
    <w:p w14:paraId="4E2B69F3">
      <w:pPr>
        <w:spacing w:line="360" w:lineRule="auto"/>
        <w:jc w:val="right"/>
        <w:rPr>
          <w:rFonts w:hint="eastAsia" w:ascii="宋体" w:hAnsi="宋体" w:cs="宋体"/>
          <w:szCs w:val="21"/>
        </w:rPr>
      </w:pPr>
      <w:r>
        <w:rPr>
          <w:rFonts w:hint="eastAsia" w:ascii="宋体" w:hAnsi="宋体" w:cs="宋体"/>
          <w:szCs w:val="21"/>
          <w:highlight w:val="white"/>
        </w:rPr>
        <w:t>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w:t>
      </w:r>
    </w:p>
    <w:p w14:paraId="04C23490">
      <w:pPr>
        <w:spacing w:line="360" w:lineRule="auto"/>
        <w:ind w:firstLine="1680" w:firstLineChars="800"/>
        <w:rPr>
          <w:rFonts w:hint="eastAsia" w:ascii="宋体" w:hAnsi="宋体" w:cs="宋体"/>
          <w:szCs w:val="21"/>
        </w:rPr>
      </w:pPr>
      <w:r>
        <w:rPr>
          <w:rFonts w:hint="eastAsia" w:ascii="宋体" w:hAnsi="宋体" w:cs="宋体"/>
          <w:szCs w:val="21"/>
          <w:highlight w:val="white"/>
        </w:rPr>
        <w:t>地    址：</w:t>
      </w:r>
      <w:r>
        <w:rPr>
          <w:rFonts w:hint="eastAsia" w:ascii="宋体" w:hAnsi="宋体" w:cs="宋体"/>
          <w:szCs w:val="21"/>
          <w:highlight w:val="white"/>
          <w:u w:val="single"/>
        </w:rPr>
        <w:t xml:space="preserve">                               </w:t>
      </w:r>
    </w:p>
    <w:p w14:paraId="234E30D6">
      <w:pPr>
        <w:wordWrap w:val="0"/>
        <w:spacing w:line="360" w:lineRule="auto"/>
        <w:ind w:right="945" w:firstLine="1680" w:firstLineChars="800"/>
        <w:rPr>
          <w:rFonts w:hint="eastAsia" w:ascii="宋体" w:hAnsi="宋体" w:cs="宋体"/>
          <w:szCs w:val="21"/>
        </w:rPr>
      </w:pPr>
      <w:r>
        <w:rPr>
          <w:rFonts w:hint="eastAsia" w:ascii="宋体" w:hAnsi="宋体" w:cs="宋体"/>
          <w:szCs w:val="21"/>
          <w:highlight w:val="white"/>
        </w:rPr>
        <w:t>邮政编码：</w:t>
      </w:r>
      <w:r>
        <w:rPr>
          <w:rFonts w:hint="eastAsia" w:ascii="宋体" w:hAnsi="宋体" w:cs="宋体"/>
          <w:szCs w:val="21"/>
          <w:highlight w:val="white"/>
          <w:u w:val="single"/>
        </w:rPr>
        <w:tab/>
      </w:r>
      <w:r>
        <w:rPr>
          <w:rFonts w:hint="eastAsia" w:ascii="宋体" w:hAnsi="宋体" w:cs="宋体"/>
          <w:szCs w:val="21"/>
          <w:highlight w:val="white"/>
          <w:u w:val="single"/>
        </w:rPr>
        <w:tab/>
      </w:r>
      <w:r>
        <w:rPr>
          <w:rFonts w:hint="eastAsia" w:ascii="宋体" w:hAnsi="宋体" w:cs="宋体"/>
          <w:szCs w:val="21"/>
          <w:highlight w:val="white"/>
          <w:u w:val="single"/>
        </w:rPr>
        <w:t xml:space="preserve">         </w:t>
      </w:r>
      <w:r>
        <w:rPr>
          <w:rFonts w:hint="eastAsia" w:ascii="宋体" w:hAnsi="宋体" w:cs="宋体"/>
          <w:szCs w:val="21"/>
          <w:highlight w:val="white"/>
          <w:u w:val="single"/>
        </w:rPr>
        <w:tab/>
      </w:r>
      <w:r>
        <w:rPr>
          <w:rFonts w:hint="eastAsia" w:ascii="宋体" w:hAnsi="宋体" w:cs="宋体"/>
          <w:szCs w:val="21"/>
          <w:highlight w:val="white"/>
          <w:u w:val="single"/>
        </w:rPr>
        <w:tab/>
      </w:r>
      <w:r>
        <w:rPr>
          <w:rFonts w:hint="eastAsia" w:ascii="宋体" w:hAnsi="宋体" w:cs="宋体"/>
          <w:szCs w:val="21"/>
          <w:highlight w:val="white"/>
          <w:u w:val="single"/>
        </w:rPr>
        <w:t xml:space="preserve">     </w:t>
      </w:r>
      <w:r>
        <w:rPr>
          <w:rFonts w:hint="eastAsia" w:ascii="宋体" w:hAnsi="宋体" w:cs="宋体"/>
          <w:szCs w:val="21"/>
          <w:highlight w:val="white"/>
          <w:u w:val="single"/>
        </w:rPr>
        <w:tab/>
      </w:r>
      <w:r>
        <w:rPr>
          <w:rFonts w:hint="eastAsia" w:ascii="宋体" w:hAnsi="宋体" w:cs="宋体"/>
          <w:szCs w:val="21"/>
          <w:highlight w:val="white"/>
          <w:u w:val="single"/>
        </w:rPr>
        <w:t xml:space="preserve"> </w:t>
      </w:r>
    </w:p>
    <w:p w14:paraId="239FE1FF">
      <w:pPr>
        <w:spacing w:line="360" w:lineRule="auto"/>
        <w:ind w:firstLine="1680" w:firstLineChars="800"/>
        <w:rPr>
          <w:rFonts w:hint="eastAsia" w:ascii="宋体" w:hAnsi="宋体" w:cs="宋体"/>
          <w:szCs w:val="21"/>
          <w:u w:val="single"/>
        </w:rPr>
      </w:pPr>
      <w:r>
        <w:rPr>
          <w:rFonts w:hint="eastAsia" w:ascii="宋体" w:hAnsi="宋体" w:cs="宋体"/>
          <w:szCs w:val="21"/>
          <w:highlight w:val="white"/>
        </w:rPr>
        <w:t>电    话：</w:t>
      </w:r>
      <w:r>
        <w:rPr>
          <w:rFonts w:hint="eastAsia" w:ascii="宋体" w:hAnsi="宋体" w:cs="宋体"/>
          <w:szCs w:val="21"/>
          <w:highlight w:val="white"/>
          <w:u w:val="single"/>
        </w:rPr>
        <w:t xml:space="preserve">                               </w:t>
      </w:r>
    </w:p>
    <w:p w14:paraId="11367296">
      <w:pPr>
        <w:spacing w:line="360" w:lineRule="auto"/>
        <w:ind w:firstLine="1680" w:firstLineChars="800"/>
        <w:rPr>
          <w:rFonts w:hint="eastAsia" w:ascii="宋体" w:hAnsi="宋体" w:cs="宋体"/>
          <w:szCs w:val="21"/>
        </w:rPr>
      </w:pPr>
      <w:r>
        <w:rPr>
          <w:rFonts w:hint="eastAsia" w:ascii="宋体" w:hAnsi="宋体" w:cs="宋体"/>
          <w:szCs w:val="21"/>
          <w:highlight w:val="white"/>
        </w:rPr>
        <w:t>传    真：</w:t>
      </w:r>
      <w:r>
        <w:rPr>
          <w:rFonts w:hint="eastAsia" w:ascii="宋体" w:hAnsi="宋体" w:cs="宋体"/>
          <w:szCs w:val="21"/>
          <w:highlight w:val="white"/>
          <w:u w:val="single"/>
        </w:rPr>
        <w:t xml:space="preserve">                               </w:t>
      </w:r>
    </w:p>
    <w:p w14:paraId="396A43BE">
      <w:pPr>
        <w:spacing w:line="360" w:lineRule="auto"/>
        <w:jc w:val="right"/>
        <w:rPr>
          <w:rFonts w:hint="eastAsia" w:ascii="宋体" w:hAnsi="宋体" w:cs="宋体"/>
          <w:b/>
          <w:sz w:val="24"/>
          <w:u w:val="single"/>
        </w:rPr>
      </w:pP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5B2F9D41">
      <w:pPr>
        <w:rPr>
          <w:rFonts w:hint="eastAsia" w:ascii="宋体" w:hAnsi="宋体" w:cs="宋体"/>
          <w:sz w:val="24"/>
        </w:rPr>
      </w:pPr>
      <w:r>
        <w:rPr>
          <w:rFonts w:hint="eastAsia" w:ascii="宋体" w:hAnsi="宋体" w:cs="宋体"/>
          <w:highlight w:val="white"/>
        </w:rPr>
        <w:br w:type="page"/>
      </w:r>
      <w:r>
        <w:rPr>
          <w:rFonts w:hint="eastAsia" w:ascii="宋体" w:hAnsi="宋体" w:cs="宋体"/>
          <w:sz w:val="24"/>
          <w:highlight w:val="white"/>
        </w:rPr>
        <w:t>附件八  工程资金监管协议格式</w:t>
      </w:r>
    </w:p>
    <w:p w14:paraId="095E9F01">
      <w:pPr>
        <w:spacing w:line="360" w:lineRule="auto"/>
        <w:ind w:firstLine="360" w:firstLineChars="200"/>
        <w:rPr>
          <w:rFonts w:hint="eastAsia" w:ascii="宋体" w:hAnsi="宋体" w:cs="宋体"/>
          <w:sz w:val="18"/>
          <w:szCs w:val="18"/>
        </w:rPr>
      </w:pPr>
      <w:r>
        <w:rPr>
          <w:rFonts w:hint="eastAsia" w:ascii="宋体" w:hAnsi="宋体" w:cs="宋体"/>
          <w:sz w:val="18"/>
          <w:szCs w:val="18"/>
          <w:highlight w:val="white"/>
        </w:rPr>
        <w:t>（发包人与承包人签订合同协议书时应与发包人指定的银行签署工程资金监管协议，工程资金监管协议内容在保证本项目资金有效监管的前提下由三方共同商定。）</w:t>
      </w:r>
    </w:p>
    <w:p w14:paraId="140FD4AD">
      <w:pPr>
        <w:spacing w:line="360" w:lineRule="auto"/>
        <w:rPr>
          <w:rFonts w:hint="eastAsia" w:ascii="宋体" w:hAnsi="宋体" w:cs="宋体"/>
          <w:sz w:val="24"/>
        </w:rPr>
      </w:pPr>
    </w:p>
    <w:p w14:paraId="76FED0E1">
      <w:pPr>
        <w:spacing w:line="360" w:lineRule="auto"/>
        <w:rPr>
          <w:rFonts w:hint="eastAsia" w:ascii="宋体" w:hAnsi="宋体" w:cs="宋体"/>
          <w:sz w:val="24"/>
        </w:rPr>
      </w:pPr>
    </w:p>
    <w:p w14:paraId="48959002">
      <w:pPr>
        <w:spacing w:line="360" w:lineRule="auto"/>
        <w:jc w:val="center"/>
        <w:rPr>
          <w:rFonts w:hint="eastAsia" w:ascii="宋体" w:hAnsi="宋体" w:cs="宋体"/>
          <w:sz w:val="24"/>
        </w:rPr>
      </w:pPr>
      <w:r>
        <w:rPr>
          <w:rFonts w:hint="eastAsia" w:ascii="宋体" w:hAnsi="宋体" w:cs="宋体"/>
          <w:sz w:val="24"/>
          <w:highlight w:val="white"/>
        </w:rPr>
        <w:t>工程资金监管协议</w:t>
      </w:r>
    </w:p>
    <w:p w14:paraId="50330D31">
      <w:pPr>
        <w:spacing w:line="360" w:lineRule="auto"/>
        <w:jc w:val="center"/>
        <w:rPr>
          <w:rFonts w:hint="eastAsia" w:ascii="宋体" w:hAnsi="宋体" w:cs="宋体"/>
          <w:sz w:val="18"/>
          <w:szCs w:val="18"/>
        </w:rPr>
      </w:pPr>
      <w:r>
        <w:rPr>
          <w:rFonts w:hint="eastAsia" w:ascii="宋体" w:hAnsi="宋体" w:cs="宋体"/>
          <w:sz w:val="18"/>
          <w:szCs w:val="18"/>
          <w:highlight w:val="white"/>
        </w:rPr>
        <w:t>（本附件投标人投标时不须提交）</w:t>
      </w:r>
    </w:p>
    <w:p w14:paraId="248B2F42">
      <w:pPr>
        <w:spacing w:line="360" w:lineRule="auto"/>
        <w:ind w:firstLine="420" w:firstLineChars="200"/>
        <w:rPr>
          <w:rFonts w:hint="eastAsia" w:ascii="宋体" w:hAnsi="宋体" w:cs="宋体"/>
          <w:szCs w:val="21"/>
        </w:rPr>
      </w:pPr>
    </w:p>
    <w:p w14:paraId="205EBF15">
      <w:pPr>
        <w:spacing w:line="360" w:lineRule="auto"/>
        <w:ind w:firstLine="420" w:firstLineChars="200"/>
        <w:rPr>
          <w:rFonts w:hint="eastAsia" w:ascii="宋体" w:hAnsi="宋体" w:cs="宋体"/>
          <w:szCs w:val="21"/>
        </w:rPr>
      </w:pPr>
      <w:r>
        <w:rPr>
          <w:rFonts w:hint="eastAsia" w:ascii="宋体" w:hAnsi="宋体" w:cs="宋体"/>
          <w:szCs w:val="21"/>
          <w:highlight w:val="white"/>
        </w:rPr>
        <w:t>发 包 人：</w:t>
      </w:r>
      <w:r>
        <w:rPr>
          <w:rFonts w:hint="eastAsia" w:ascii="宋体" w:hAnsi="宋体" w:cs="宋体"/>
          <w:szCs w:val="21"/>
          <w:highlight w:val="white"/>
          <w:u w:val="single"/>
        </w:rPr>
        <w:t xml:space="preserve">               </w:t>
      </w:r>
      <w:r>
        <w:rPr>
          <w:rFonts w:hint="eastAsia" w:ascii="宋体" w:hAnsi="宋体" w:cs="宋体"/>
          <w:szCs w:val="21"/>
          <w:highlight w:val="white"/>
        </w:rPr>
        <w:t>（以下简称“甲方”）</w:t>
      </w:r>
    </w:p>
    <w:p w14:paraId="1DBB501D">
      <w:pPr>
        <w:spacing w:line="360" w:lineRule="auto"/>
        <w:ind w:firstLine="420" w:firstLineChars="200"/>
        <w:rPr>
          <w:rFonts w:hint="eastAsia" w:ascii="宋体" w:hAnsi="宋体" w:cs="宋体"/>
          <w:szCs w:val="21"/>
        </w:rPr>
      </w:pPr>
      <w:r>
        <w:rPr>
          <w:rFonts w:hint="eastAsia" w:ascii="宋体" w:hAnsi="宋体" w:cs="宋体"/>
          <w:szCs w:val="21"/>
          <w:highlight w:val="white"/>
        </w:rPr>
        <w:t>承 包 人：</w:t>
      </w:r>
      <w:r>
        <w:rPr>
          <w:rFonts w:hint="eastAsia" w:ascii="宋体" w:hAnsi="宋体" w:cs="宋体"/>
          <w:szCs w:val="21"/>
          <w:highlight w:val="white"/>
          <w:u w:val="single"/>
        </w:rPr>
        <w:t xml:space="preserve">               </w:t>
      </w:r>
      <w:r>
        <w:rPr>
          <w:rFonts w:hint="eastAsia" w:ascii="宋体" w:hAnsi="宋体" w:cs="宋体"/>
          <w:szCs w:val="21"/>
          <w:highlight w:val="white"/>
        </w:rPr>
        <w:t>（以下简称“乙方”）</w:t>
      </w:r>
    </w:p>
    <w:p w14:paraId="274B0F92">
      <w:pPr>
        <w:spacing w:line="360" w:lineRule="auto"/>
        <w:ind w:firstLine="420" w:firstLineChars="200"/>
        <w:rPr>
          <w:rFonts w:hint="eastAsia" w:ascii="宋体" w:hAnsi="宋体" w:cs="宋体"/>
          <w:szCs w:val="21"/>
        </w:rPr>
      </w:pPr>
      <w:r>
        <w:rPr>
          <w:rFonts w:hint="eastAsia" w:ascii="宋体" w:hAnsi="宋体" w:cs="宋体"/>
          <w:szCs w:val="21"/>
          <w:highlight w:val="white"/>
        </w:rPr>
        <w:t>经办银行：</w:t>
      </w:r>
      <w:r>
        <w:rPr>
          <w:rFonts w:hint="eastAsia" w:ascii="宋体" w:hAnsi="宋体" w:cs="宋体"/>
          <w:szCs w:val="21"/>
          <w:highlight w:val="white"/>
          <w:u w:val="single"/>
        </w:rPr>
        <w:t xml:space="preserve">               </w:t>
      </w:r>
      <w:r>
        <w:rPr>
          <w:rFonts w:hint="eastAsia" w:ascii="宋体" w:hAnsi="宋体" w:cs="宋体"/>
          <w:szCs w:val="21"/>
          <w:highlight w:val="white"/>
        </w:rPr>
        <w:t>（以下简称“丙方”）</w:t>
      </w:r>
    </w:p>
    <w:p w14:paraId="56BC4072">
      <w:pPr>
        <w:tabs>
          <w:tab w:val="left" w:pos="1845"/>
        </w:tabs>
        <w:spacing w:line="360" w:lineRule="auto"/>
        <w:ind w:firstLine="420" w:firstLineChars="200"/>
        <w:rPr>
          <w:rFonts w:hint="eastAsia" w:ascii="宋体" w:hAnsi="宋体" w:cs="宋体"/>
          <w:szCs w:val="21"/>
        </w:rPr>
      </w:pPr>
      <w:r>
        <w:rPr>
          <w:rFonts w:hint="eastAsia" w:ascii="宋体" w:hAnsi="宋体" w:cs="宋体"/>
          <w:szCs w:val="21"/>
          <w:highlight w:val="white"/>
        </w:rPr>
        <w:tab/>
      </w:r>
    </w:p>
    <w:p w14:paraId="0CE0C556">
      <w:pPr>
        <w:spacing w:line="360" w:lineRule="auto"/>
        <w:ind w:firstLine="420" w:firstLineChars="200"/>
        <w:rPr>
          <w:rFonts w:hint="eastAsia" w:ascii="宋体" w:hAnsi="宋体" w:cs="宋体"/>
          <w:szCs w:val="21"/>
        </w:rPr>
      </w:pPr>
      <w:r>
        <w:rPr>
          <w:rFonts w:hint="eastAsia" w:ascii="宋体" w:hAnsi="宋体" w:cs="宋体"/>
          <w:szCs w:val="21"/>
          <w:highlight w:val="white"/>
        </w:rPr>
        <w:t>为了促进</w:t>
      </w:r>
      <w:r>
        <w:rPr>
          <w:rFonts w:hint="eastAsia" w:ascii="宋体" w:hAnsi="宋体" w:cs="宋体"/>
          <w:szCs w:val="21"/>
          <w:highlight w:val="white"/>
          <w:u w:val="single"/>
        </w:rPr>
        <w:t xml:space="preserve">           </w:t>
      </w:r>
      <w:r>
        <w:rPr>
          <w:rFonts w:hint="eastAsia" w:ascii="宋体" w:hAnsi="宋体" w:cs="宋体"/>
          <w:szCs w:val="21"/>
          <w:highlight w:val="white"/>
        </w:rPr>
        <w:t>（项目名称）的顺利实施，管好用好建设资金，确保工程资金专款专用，同时为承包人提供便捷有效的银行业务服务，根据</w:t>
      </w:r>
      <w:r>
        <w:rPr>
          <w:rFonts w:hint="eastAsia" w:ascii="宋体" w:hAnsi="宋体" w:cs="宋体"/>
          <w:szCs w:val="21"/>
          <w:highlight w:val="white"/>
          <w:u w:val="single"/>
        </w:rPr>
        <w:t xml:space="preserve">          </w:t>
      </w:r>
      <w:r>
        <w:rPr>
          <w:rFonts w:hint="eastAsia" w:ascii="宋体" w:hAnsi="宋体" w:cs="宋体"/>
          <w:szCs w:val="21"/>
          <w:highlight w:val="white"/>
        </w:rPr>
        <w:t>（项目名称）合同条款有关规定，经甲、乙、丙三方协商，达成协议如下：</w:t>
      </w:r>
    </w:p>
    <w:p w14:paraId="1132FE4E">
      <w:pPr>
        <w:spacing w:line="360" w:lineRule="auto"/>
        <w:ind w:firstLine="420" w:firstLineChars="200"/>
        <w:rPr>
          <w:rFonts w:hint="eastAsia" w:ascii="宋体" w:hAnsi="宋体" w:cs="宋体"/>
          <w:szCs w:val="21"/>
        </w:rPr>
      </w:pPr>
      <w:r>
        <w:rPr>
          <w:rFonts w:hint="eastAsia" w:ascii="宋体" w:hAnsi="宋体" w:cs="宋体"/>
          <w:szCs w:val="21"/>
          <w:highlight w:val="white"/>
        </w:rPr>
        <w:t>1.资金管理的内容</w:t>
      </w:r>
    </w:p>
    <w:p w14:paraId="6B524AC8">
      <w:pPr>
        <w:spacing w:line="360" w:lineRule="auto"/>
        <w:ind w:firstLine="420" w:firstLineChars="200"/>
        <w:rPr>
          <w:rFonts w:hint="eastAsia" w:ascii="宋体" w:hAnsi="宋体" w:cs="宋体"/>
          <w:szCs w:val="21"/>
        </w:rPr>
      </w:pPr>
      <w:r>
        <w:rPr>
          <w:rFonts w:hint="eastAsia" w:ascii="宋体" w:hAnsi="宋体" w:cs="宋体"/>
          <w:szCs w:val="21"/>
          <w:highlight w:val="white"/>
        </w:rPr>
        <w:t>（1）乙方为完成</w:t>
      </w:r>
      <w:r>
        <w:rPr>
          <w:rFonts w:hint="eastAsia" w:ascii="宋体" w:hAnsi="宋体" w:cs="宋体"/>
          <w:szCs w:val="21"/>
          <w:highlight w:val="white"/>
          <w:u w:val="single"/>
        </w:rPr>
        <w:t xml:space="preserve">           </w:t>
      </w:r>
      <w:r>
        <w:rPr>
          <w:rFonts w:hint="eastAsia" w:ascii="宋体" w:hAnsi="宋体" w:cs="宋体"/>
          <w:szCs w:val="21"/>
          <w:highlight w:val="white"/>
        </w:rPr>
        <w:t>（项目名称）工程成立的项目经理部在丙方开设基本结算户；</w:t>
      </w:r>
    </w:p>
    <w:p w14:paraId="67C10F9F">
      <w:pPr>
        <w:spacing w:line="360" w:lineRule="auto"/>
        <w:ind w:firstLine="420" w:firstLineChars="200"/>
        <w:rPr>
          <w:rFonts w:hint="eastAsia" w:ascii="宋体" w:hAnsi="宋体" w:cs="宋体"/>
          <w:szCs w:val="21"/>
        </w:rPr>
      </w:pPr>
      <w:r>
        <w:rPr>
          <w:rFonts w:hint="eastAsia" w:ascii="宋体" w:hAnsi="宋体" w:cs="宋体"/>
          <w:szCs w:val="21"/>
          <w:highlight w:val="white"/>
        </w:rPr>
        <w:t>（2）甲方应按合同规定将工程款（质量保证金除外）汇入乙方在丙方开设的账户；</w:t>
      </w:r>
    </w:p>
    <w:p w14:paraId="63450C87">
      <w:pPr>
        <w:spacing w:line="360" w:lineRule="auto"/>
        <w:ind w:firstLine="420" w:firstLineChars="200"/>
        <w:rPr>
          <w:rFonts w:hint="eastAsia" w:ascii="宋体" w:hAnsi="宋体" w:cs="宋体"/>
          <w:szCs w:val="21"/>
        </w:rPr>
      </w:pPr>
      <w:r>
        <w:rPr>
          <w:rFonts w:hint="eastAsia" w:ascii="宋体" w:hAnsi="宋体" w:cs="宋体"/>
          <w:szCs w:val="21"/>
          <w:highlight w:val="white"/>
        </w:rPr>
        <w:t>（3）乙方应将流动资金及甲方所拨付资金专项用于</w:t>
      </w:r>
      <w:r>
        <w:rPr>
          <w:rFonts w:hint="eastAsia" w:ascii="宋体" w:hAnsi="宋体" w:cs="宋体"/>
          <w:szCs w:val="21"/>
          <w:highlight w:val="white"/>
          <w:u w:val="single"/>
        </w:rPr>
        <w:t xml:space="preserve">     </w:t>
      </w:r>
      <w:r>
        <w:rPr>
          <w:rFonts w:hint="eastAsia" w:ascii="宋体" w:hAnsi="宋体" w:cs="宋体"/>
          <w:szCs w:val="21"/>
          <w:highlight w:val="white"/>
        </w:rPr>
        <w:t>（项目名称）；</w:t>
      </w:r>
    </w:p>
    <w:p w14:paraId="62218C4F">
      <w:pPr>
        <w:spacing w:line="360" w:lineRule="auto"/>
        <w:ind w:firstLine="420" w:firstLineChars="200"/>
        <w:rPr>
          <w:rFonts w:hint="eastAsia" w:ascii="宋体" w:hAnsi="宋体" w:cs="宋体"/>
          <w:szCs w:val="21"/>
        </w:rPr>
      </w:pPr>
      <w:r>
        <w:rPr>
          <w:rFonts w:hint="eastAsia" w:ascii="宋体" w:hAnsi="宋体" w:cs="宋体"/>
          <w:szCs w:val="21"/>
          <w:highlight w:val="white"/>
        </w:rPr>
        <w:t>（4）丙方应为乙方提供便捷有效的银行业务服务，并接受甲方委托对乙方在丙方开设的基本结算户资金使用情况进行监督。</w:t>
      </w:r>
    </w:p>
    <w:p w14:paraId="3E5034A7">
      <w:pPr>
        <w:spacing w:line="360" w:lineRule="auto"/>
        <w:ind w:firstLine="420" w:firstLineChars="200"/>
        <w:rPr>
          <w:rFonts w:hint="eastAsia" w:ascii="宋体" w:hAnsi="宋体" w:cs="宋体"/>
          <w:szCs w:val="21"/>
        </w:rPr>
      </w:pPr>
      <w:r>
        <w:rPr>
          <w:rFonts w:hint="eastAsia" w:ascii="宋体" w:hAnsi="宋体" w:cs="宋体"/>
          <w:szCs w:val="21"/>
          <w:highlight w:val="white"/>
        </w:rPr>
        <w:t>2.甲方的权责</w:t>
      </w:r>
    </w:p>
    <w:p w14:paraId="6342FAA6">
      <w:pPr>
        <w:spacing w:line="360" w:lineRule="auto"/>
        <w:ind w:firstLine="420" w:firstLineChars="200"/>
        <w:rPr>
          <w:rFonts w:hint="eastAsia" w:ascii="宋体" w:hAnsi="宋体" w:cs="宋体"/>
          <w:szCs w:val="21"/>
        </w:rPr>
      </w:pPr>
      <w:r>
        <w:rPr>
          <w:rFonts w:hint="eastAsia" w:ascii="宋体" w:hAnsi="宋体" w:cs="宋体"/>
          <w:szCs w:val="21"/>
          <w:highlight w:val="white"/>
        </w:rPr>
        <w:t>（1）在按</w:t>
      </w:r>
      <w:r>
        <w:rPr>
          <w:rFonts w:hint="eastAsia" w:ascii="宋体" w:hAnsi="宋体" w:cs="宋体"/>
          <w:szCs w:val="21"/>
          <w:highlight w:val="white"/>
          <w:u w:val="single"/>
        </w:rPr>
        <w:t xml:space="preserve">           </w:t>
      </w:r>
      <w:r>
        <w:rPr>
          <w:rFonts w:hint="eastAsia" w:ascii="宋体" w:hAnsi="宋体" w:cs="宋体"/>
          <w:szCs w:val="21"/>
          <w:highlight w:val="white"/>
        </w:rPr>
        <w:t>（项目名称）合同有关条款规定的时间和方式，向乙方支付工程款；</w:t>
      </w:r>
    </w:p>
    <w:p w14:paraId="68F155B9">
      <w:pPr>
        <w:spacing w:line="360" w:lineRule="auto"/>
        <w:ind w:firstLine="420" w:firstLineChars="200"/>
        <w:rPr>
          <w:rFonts w:hint="eastAsia" w:ascii="宋体" w:hAnsi="宋体" w:cs="宋体"/>
          <w:szCs w:val="21"/>
        </w:rPr>
      </w:pPr>
      <w:r>
        <w:rPr>
          <w:rFonts w:hint="eastAsia" w:ascii="宋体" w:hAnsi="宋体" w:cs="宋体"/>
          <w:szCs w:val="21"/>
          <w:highlight w:val="white"/>
        </w:rPr>
        <w:t>（2）在发现乙方将本项目资金挪用、转移时，甲方有权中止工程支付，直至乙方改正为止；</w:t>
      </w:r>
    </w:p>
    <w:p w14:paraId="25775997">
      <w:pPr>
        <w:spacing w:line="360" w:lineRule="auto"/>
        <w:ind w:firstLine="420" w:firstLineChars="200"/>
        <w:rPr>
          <w:rFonts w:hint="eastAsia" w:ascii="宋体" w:hAnsi="宋体" w:cs="宋体"/>
          <w:szCs w:val="21"/>
        </w:rPr>
      </w:pPr>
      <w:r>
        <w:rPr>
          <w:rFonts w:hint="eastAsia" w:ascii="宋体" w:hAnsi="宋体" w:cs="宋体"/>
          <w:szCs w:val="21"/>
          <w:highlight w:val="white"/>
        </w:rPr>
        <w:t>（3）不定期审查丙方对乙方的资金使用监督情况，如丙方不能履行其责任，甲方有权随时终止本协议；</w:t>
      </w:r>
    </w:p>
    <w:p w14:paraId="7D96A6B1">
      <w:pPr>
        <w:spacing w:line="360" w:lineRule="auto"/>
        <w:ind w:firstLine="420" w:firstLineChars="200"/>
        <w:rPr>
          <w:rFonts w:hint="eastAsia" w:ascii="宋体" w:hAnsi="宋体" w:cs="宋体"/>
          <w:szCs w:val="21"/>
        </w:rPr>
      </w:pPr>
      <w:r>
        <w:rPr>
          <w:rFonts w:hint="eastAsia" w:ascii="宋体" w:hAnsi="宋体" w:cs="宋体"/>
          <w:szCs w:val="21"/>
          <w:highlight w:val="white"/>
        </w:rPr>
        <w:t>（4）在乙、丙双方发生争议时，甲方应负责协调、解决。</w:t>
      </w:r>
    </w:p>
    <w:p w14:paraId="2A36CD44">
      <w:pPr>
        <w:spacing w:line="360" w:lineRule="auto"/>
        <w:ind w:firstLine="420" w:firstLineChars="200"/>
        <w:rPr>
          <w:rFonts w:hint="eastAsia" w:ascii="宋体" w:hAnsi="宋体" w:cs="宋体"/>
          <w:szCs w:val="21"/>
        </w:rPr>
      </w:pPr>
      <w:r>
        <w:rPr>
          <w:rFonts w:hint="eastAsia" w:ascii="宋体" w:hAnsi="宋体" w:cs="宋体"/>
          <w:szCs w:val="21"/>
          <w:highlight w:val="white"/>
        </w:rPr>
        <w:t>3.乙方的权责</w:t>
      </w:r>
    </w:p>
    <w:p w14:paraId="634E4F45">
      <w:pPr>
        <w:spacing w:line="360" w:lineRule="auto"/>
        <w:ind w:firstLine="420" w:firstLineChars="200"/>
        <w:rPr>
          <w:rFonts w:hint="eastAsia" w:ascii="宋体" w:hAnsi="宋体" w:cs="宋体"/>
          <w:szCs w:val="21"/>
        </w:rPr>
      </w:pPr>
      <w:r>
        <w:rPr>
          <w:rFonts w:hint="eastAsia" w:ascii="宋体" w:hAnsi="宋体" w:cs="宋体"/>
          <w:szCs w:val="21"/>
          <w:highlight w:val="white"/>
        </w:rPr>
        <w:t>（1）项目经理部成立以后，乙方应尽快在丙方开设基本结算户；</w:t>
      </w:r>
    </w:p>
    <w:p w14:paraId="1BAF6035">
      <w:pPr>
        <w:spacing w:line="360" w:lineRule="auto"/>
        <w:ind w:firstLine="420" w:firstLineChars="200"/>
        <w:rPr>
          <w:rFonts w:hint="eastAsia" w:ascii="宋体" w:hAnsi="宋体" w:cs="宋体"/>
          <w:szCs w:val="21"/>
        </w:rPr>
      </w:pPr>
      <w:r>
        <w:rPr>
          <w:rFonts w:hint="eastAsia" w:ascii="宋体" w:hAnsi="宋体" w:cs="宋体"/>
          <w:szCs w:val="21"/>
          <w:highlight w:val="white"/>
        </w:rPr>
        <w:t>（2）确保本项目资金专款专用，不发生挪用、转移资金的现象；保证不通过权益转让、抵押、担保承担债务等任何其他方式使用基本结算户的资金；</w:t>
      </w:r>
    </w:p>
    <w:p w14:paraId="56822DF3">
      <w:pPr>
        <w:spacing w:line="360" w:lineRule="auto"/>
        <w:ind w:firstLine="420" w:firstLineChars="200"/>
        <w:rPr>
          <w:rFonts w:hint="eastAsia" w:ascii="宋体" w:hAnsi="宋体" w:cs="宋体"/>
          <w:szCs w:val="21"/>
        </w:rPr>
      </w:pPr>
      <w:r>
        <w:rPr>
          <w:rFonts w:hint="eastAsia" w:ascii="宋体" w:hAnsi="宋体" w:cs="宋体"/>
          <w:szCs w:val="21"/>
          <w:highlight w:val="white"/>
        </w:rPr>
        <w:t>（3）办理材料、设备等采购业务金额在</w:t>
      </w:r>
      <w:r>
        <w:rPr>
          <w:rFonts w:hint="eastAsia" w:ascii="宋体" w:hAnsi="宋体" w:cs="宋体"/>
          <w:szCs w:val="21"/>
          <w:highlight w:val="white"/>
          <w:u w:val="single"/>
        </w:rPr>
        <w:t xml:space="preserve">       </w:t>
      </w:r>
      <w:r>
        <w:rPr>
          <w:rFonts w:hint="eastAsia" w:ascii="宋体" w:hAnsi="宋体" w:cs="宋体"/>
          <w:szCs w:val="21"/>
          <w:highlight w:val="white"/>
        </w:rPr>
        <w:t>万元以上的，应出示购货合同、协议和发票；在办理总额超过</w:t>
      </w:r>
      <w:r>
        <w:rPr>
          <w:rFonts w:hint="eastAsia" w:ascii="宋体" w:hAnsi="宋体" w:cs="宋体"/>
          <w:szCs w:val="21"/>
          <w:highlight w:val="white"/>
          <w:u w:val="single"/>
        </w:rPr>
        <w:t xml:space="preserve">        </w:t>
      </w:r>
      <w:r>
        <w:rPr>
          <w:rFonts w:hint="eastAsia" w:ascii="宋体" w:hAnsi="宋体" w:cs="宋体"/>
          <w:szCs w:val="21"/>
          <w:highlight w:val="white"/>
        </w:rPr>
        <w:t>万元以上的采购业务时，应将合同、协议和发票复印件送丙方备案；够买应急材料、设备时可先办理支付手续，但事后必须补备有关资料；</w:t>
      </w:r>
    </w:p>
    <w:p w14:paraId="2AD2C0DF">
      <w:pPr>
        <w:spacing w:line="360" w:lineRule="auto"/>
        <w:ind w:firstLine="404" w:firstLineChars="200"/>
        <w:rPr>
          <w:rFonts w:hint="eastAsia" w:ascii="宋体" w:hAnsi="宋体" w:cs="宋体"/>
          <w:spacing w:val="-4"/>
          <w:szCs w:val="21"/>
        </w:rPr>
      </w:pPr>
      <w:r>
        <w:rPr>
          <w:rFonts w:hint="eastAsia" w:ascii="宋体" w:hAnsi="宋体" w:cs="宋体"/>
          <w:spacing w:val="-4"/>
          <w:szCs w:val="21"/>
          <w:highlight w:val="white"/>
        </w:rPr>
        <w:t>（4）用银行转账支票办理支付款项时，必须将转账支票送交丙方，由丙方负责办理支票转付手续；</w:t>
      </w:r>
    </w:p>
    <w:p w14:paraId="2C31032B">
      <w:pPr>
        <w:spacing w:line="360" w:lineRule="auto"/>
        <w:ind w:firstLine="420" w:firstLineChars="200"/>
        <w:rPr>
          <w:rFonts w:hint="eastAsia" w:ascii="宋体" w:hAnsi="宋体" w:cs="宋体"/>
          <w:szCs w:val="21"/>
        </w:rPr>
      </w:pPr>
      <w:r>
        <w:rPr>
          <w:rFonts w:hint="eastAsia" w:ascii="宋体" w:hAnsi="宋体" w:cs="宋体"/>
          <w:szCs w:val="21"/>
          <w:highlight w:val="white"/>
        </w:rPr>
        <w:t>（5）向分包单位支付工程进度款时，应附甲方批准分包的文件；</w:t>
      </w:r>
    </w:p>
    <w:p w14:paraId="78B4A47F">
      <w:pPr>
        <w:spacing w:line="360" w:lineRule="auto"/>
        <w:ind w:firstLine="420" w:firstLineChars="200"/>
        <w:rPr>
          <w:rFonts w:hint="eastAsia" w:ascii="宋体" w:hAnsi="宋体" w:cs="宋体"/>
          <w:szCs w:val="21"/>
        </w:rPr>
      </w:pPr>
      <w:r>
        <w:rPr>
          <w:rFonts w:hint="eastAsia" w:ascii="宋体" w:hAnsi="宋体" w:cs="宋体"/>
          <w:szCs w:val="21"/>
          <w:highlight w:val="white"/>
        </w:rPr>
        <w:t>（6）向上级单位缴纳管理费、机械设备及周转材料租凭摊销费等款项时，应附上级单位出具的转账通知等有关资料，以确保资金专款专用。</w:t>
      </w:r>
    </w:p>
    <w:p w14:paraId="1E330EA7">
      <w:pPr>
        <w:spacing w:line="360" w:lineRule="auto"/>
        <w:ind w:firstLine="420" w:firstLineChars="200"/>
        <w:rPr>
          <w:rFonts w:hint="eastAsia" w:ascii="宋体" w:hAnsi="宋体" w:cs="宋体"/>
          <w:szCs w:val="21"/>
        </w:rPr>
      </w:pPr>
      <w:r>
        <w:rPr>
          <w:rFonts w:hint="eastAsia" w:ascii="宋体" w:hAnsi="宋体" w:cs="宋体"/>
          <w:szCs w:val="21"/>
          <w:highlight w:val="white"/>
        </w:rPr>
        <w:t>4.丙方的权责</w:t>
      </w:r>
    </w:p>
    <w:p w14:paraId="766D89D5">
      <w:pPr>
        <w:spacing w:line="360" w:lineRule="auto"/>
        <w:ind w:firstLine="420" w:firstLineChars="200"/>
        <w:rPr>
          <w:rFonts w:hint="eastAsia" w:ascii="宋体" w:hAnsi="宋体" w:cs="宋体"/>
          <w:szCs w:val="21"/>
        </w:rPr>
      </w:pPr>
      <w:r>
        <w:rPr>
          <w:rFonts w:hint="eastAsia" w:ascii="宋体" w:hAnsi="宋体" w:cs="宋体"/>
          <w:szCs w:val="21"/>
          <w:highlight w:val="white"/>
        </w:rPr>
        <w:t>（1）成立</w:t>
      </w:r>
      <w:r>
        <w:rPr>
          <w:rFonts w:hint="eastAsia" w:ascii="宋体" w:hAnsi="宋体" w:cs="宋体"/>
          <w:szCs w:val="21"/>
          <w:highlight w:val="white"/>
          <w:u w:val="single"/>
        </w:rPr>
        <w:t xml:space="preserve">           </w:t>
      </w:r>
      <w:r>
        <w:rPr>
          <w:rFonts w:hint="eastAsia" w:ascii="宋体" w:hAnsi="宋体" w:cs="宋体"/>
          <w:szCs w:val="21"/>
          <w:highlight w:val="white"/>
        </w:rPr>
        <w:t>（项目名称）工程资金管理服务小组，明确业务流程，提高工作效率，杜绝“压票”现象；</w:t>
      </w:r>
    </w:p>
    <w:p w14:paraId="7A9C138B">
      <w:pPr>
        <w:spacing w:line="360" w:lineRule="auto"/>
        <w:ind w:firstLine="420" w:firstLineChars="200"/>
        <w:rPr>
          <w:rFonts w:hint="eastAsia" w:ascii="宋体" w:hAnsi="宋体" w:cs="宋体"/>
          <w:szCs w:val="21"/>
        </w:rPr>
      </w:pPr>
      <w:r>
        <w:rPr>
          <w:rFonts w:hint="eastAsia" w:ascii="宋体" w:hAnsi="宋体" w:cs="宋体"/>
          <w:szCs w:val="21"/>
          <w:highlight w:val="white"/>
        </w:rPr>
        <w:t>（2）根据乙方提供的购货合同、协议和发票，检查其所购材料、设备是否用于（项目名称）工程建设，对本标段以外的购货款项，有权拒绝办理，并及时报告甲方；</w:t>
      </w:r>
    </w:p>
    <w:p w14:paraId="3D2384E9">
      <w:pPr>
        <w:spacing w:line="360" w:lineRule="auto"/>
        <w:ind w:firstLine="420" w:firstLineChars="200"/>
        <w:rPr>
          <w:rFonts w:hint="eastAsia" w:ascii="宋体" w:hAnsi="宋体" w:cs="宋体"/>
          <w:szCs w:val="21"/>
        </w:rPr>
      </w:pPr>
      <w:r>
        <w:rPr>
          <w:rFonts w:hint="eastAsia" w:ascii="宋体" w:hAnsi="宋体" w:cs="宋体"/>
          <w:szCs w:val="21"/>
          <w:highlight w:val="white"/>
        </w:rPr>
        <w:t>（3）根据乙方与分包单位签订的合同及支付文件，检查其支付款项是否符合有关条件，向分包单位以外单位的支付有权拒绝办理。</w:t>
      </w:r>
    </w:p>
    <w:p w14:paraId="2A59C4D4">
      <w:pPr>
        <w:spacing w:line="360" w:lineRule="auto"/>
        <w:ind w:firstLine="420" w:firstLineChars="200"/>
        <w:rPr>
          <w:rFonts w:hint="eastAsia" w:ascii="宋体" w:hAnsi="宋体" w:cs="宋体"/>
          <w:szCs w:val="21"/>
        </w:rPr>
      </w:pPr>
      <w:r>
        <w:rPr>
          <w:rFonts w:hint="eastAsia" w:ascii="宋体" w:hAnsi="宋体" w:cs="宋体"/>
          <w:szCs w:val="21"/>
          <w:highlight w:val="white"/>
        </w:rPr>
        <w:t>（4）根据乙方提供的商机单位出具的转账通知等有关资料，办理管理费、机械设备及周转材料租凭摊销费等款项的支付；对超出转账通知等有关资料以外的支付，有权拒绝办理，并及时报告甲方。</w:t>
      </w:r>
    </w:p>
    <w:p w14:paraId="29F60027">
      <w:pPr>
        <w:spacing w:line="360" w:lineRule="auto"/>
        <w:ind w:firstLine="420" w:firstLineChars="200"/>
        <w:rPr>
          <w:rFonts w:hint="eastAsia" w:ascii="宋体" w:hAnsi="宋体" w:cs="宋体"/>
          <w:szCs w:val="21"/>
        </w:rPr>
      </w:pPr>
      <w:r>
        <w:rPr>
          <w:rFonts w:hint="eastAsia" w:ascii="宋体" w:hAnsi="宋体" w:cs="宋体"/>
          <w:szCs w:val="21"/>
          <w:highlight w:val="white"/>
        </w:rPr>
        <w:t>（5）定期将乙方前一个周期的支付情况，整理后书面报送甲方；乙方复印备案的材料一并送甲方。</w:t>
      </w:r>
    </w:p>
    <w:p w14:paraId="61214F5F">
      <w:pPr>
        <w:spacing w:line="360" w:lineRule="auto"/>
        <w:ind w:firstLine="420" w:firstLineChars="200"/>
        <w:rPr>
          <w:rFonts w:hint="eastAsia" w:ascii="宋体" w:hAnsi="宋体" w:cs="宋体"/>
          <w:szCs w:val="21"/>
        </w:rPr>
      </w:pPr>
      <w:r>
        <w:rPr>
          <w:rFonts w:hint="eastAsia" w:ascii="宋体" w:hAnsi="宋体" w:cs="宋体"/>
          <w:szCs w:val="21"/>
          <w:highlight w:val="white"/>
        </w:rPr>
        <w:t>5.甲、乙、丙三方都应履行保密责任，不得将其他两方的业务情况透露给第三方以外的其他单位或个人，</w:t>
      </w:r>
    </w:p>
    <w:p w14:paraId="49F66E82">
      <w:pPr>
        <w:spacing w:line="360" w:lineRule="auto"/>
        <w:ind w:firstLine="420" w:firstLineChars="200"/>
        <w:rPr>
          <w:rFonts w:hint="eastAsia" w:ascii="宋体" w:hAnsi="宋体" w:cs="宋体"/>
          <w:szCs w:val="21"/>
        </w:rPr>
      </w:pPr>
      <w:r>
        <w:rPr>
          <w:rFonts w:hint="eastAsia" w:ascii="宋体" w:hAnsi="宋体" w:cs="宋体"/>
          <w:szCs w:val="21"/>
          <w:highlight w:val="white"/>
        </w:rPr>
        <w:t>6.本协议有效期自乙方在丙方开户起，至工程交工验收甲方向乙方颁发交工验收证书后结束。</w:t>
      </w:r>
    </w:p>
    <w:p w14:paraId="136D15DA">
      <w:pPr>
        <w:spacing w:line="360" w:lineRule="auto"/>
        <w:ind w:firstLine="420" w:firstLineChars="200"/>
        <w:rPr>
          <w:rFonts w:hint="eastAsia" w:ascii="宋体" w:hAnsi="宋体" w:cs="宋体"/>
          <w:szCs w:val="21"/>
        </w:rPr>
      </w:pPr>
      <w:r>
        <w:rPr>
          <w:rFonts w:hint="eastAsia" w:ascii="宋体" w:hAnsi="宋体" w:cs="宋体"/>
          <w:szCs w:val="21"/>
          <w:highlight w:val="white"/>
        </w:rPr>
        <w:t>7.本协议未尽事宜，由甲方牵头，三方协商解决。</w:t>
      </w:r>
    </w:p>
    <w:p w14:paraId="0F0E3DAE">
      <w:pPr>
        <w:spacing w:line="360" w:lineRule="auto"/>
        <w:ind w:firstLine="420" w:firstLineChars="200"/>
        <w:rPr>
          <w:rFonts w:hint="eastAsia" w:ascii="宋体" w:hAnsi="宋体" w:cs="宋体"/>
          <w:szCs w:val="21"/>
        </w:rPr>
      </w:pPr>
      <w:r>
        <w:rPr>
          <w:rFonts w:hint="eastAsia" w:ascii="宋体" w:hAnsi="宋体" w:cs="宋体"/>
          <w:szCs w:val="21"/>
          <w:highlight w:val="white"/>
        </w:rPr>
        <w:t>8.本协议正本三份、副本</w:t>
      </w:r>
      <w:r>
        <w:rPr>
          <w:rFonts w:hint="eastAsia" w:ascii="宋体" w:hAnsi="宋体" w:cs="宋体"/>
          <w:szCs w:val="21"/>
          <w:highlight w:val="white"/>
          <w:u w:val="single"/>
        </w:rPr>
        <w:t xml:space="preserve">      </w:t>
      </w:r>
      <w:r>
        <w:rPr>
          <w:rFonts w:hint="eastAsia" w:ascii="宋体" w:hAnsi="宋体" w:cs="宋体"/>
          <w:szCs w:val="21"/>
          <w:highlight w:val="white"/>
        </w:rPr>
        <w:t>份。合同三方各执正本一份、副本</w:t>
      </w:r>
      <w:r>
        <w:rPr>
          <w:rFonts w:hint="eastAsia" w:ascii="宋体" w:hAnsi="宋体" w:cs="宋体"/>
          <w:szCs w:val="21"/>
          <w:highlight w:val="white"/>
          <w:u w:val="single"/>
        </w:rPr>
        <w:t xml:space="preserve">      </w:t>
      </w:r>
      <w:r>
        <w:rPr>
          <w:rFonts w:hint="eastAsia" w:ascii="宋体" w:hAnsi="宋体" w:cs="宋体"/>
          <w:szCs w:val="21"/>
          <w:highlight w:val="white"/>
        </w:rPr>
        <w:t>份，当正本与副本内容不一致时，以正本为准。</w:t>
      </w:r>
    </w:p>
    <w:p w14:paraId="2EE11086">
      <w:pPr>
        <w:spacing w:line="360" w:lineRule="auto"/>
        <w:rPr>
          <w:rFonts w:hint="eastAsia" w:ascii="宋体" w:hAnsi="宋体" w:cs="宋体"/>
        </w:rPr>
      </w:pPr>
    </w:p>
    <w:p w14:paraId="4120DDDB">
      <w:pPr>
        <w:spacing w:line="360" w:lineRule="auto"/>
        <w:ind w:firstLine="210" w:firstLineChars="100"/>
        <w:jc w:val="right"/>
        <w:rPr>
          <w:rFonts w:hint="eastAsia" w:ascii="宋体" w:hAnsi="宋体" w:cs="宋体"/>
          <w:szCs w:val="21"/>
          <w:u w:val="single"/>
        </w:rPr>
      </w:pPr>
      <w:r>
        <w:rPr>
          <w:rFonts w:hint="eastAsia" w:ascii="宋体" w:hAnsi="宋体" w:cs="宋体"/>
          <w:szCs w:val="21"/>
          <w:highlight w:val="white"/>
        </w:rPr>
        <w:t>发包人：</w:t>
      </w:r>
      <w:r>
        <w:rPr>
          <w:rFonts w:hint="eastAsia" w:ascii="宋体" w:hAnsi="宋体" w:cs="宋体"/>
          <w:szCs w:val="21"/>
          <w:highlight w:val="white"/>
          <w:u w:val="single"/>
        </w:rPr>
        <w:t xml:space="preserve">                  </w:t>
      </w:r>
      <w:r>
        <w:rPr>
          <w:rFonts w:hint="eastAsia" w:ascii="宋体" w:hAnsi="宋体" w:cs="宋体"/>
          <w:szCs w:val="21"/>
          <w:highlight w:val="white"/>
        </w:rPr>
        <w:t>（盖单位章）</w:t>
      </w:r>
    </w:p>
    <w:p w14:paraId="15DB9F5A">
      <w:pPr>
        <w:spacing w:line="360" w:lineRule="auto"/>
        <w:jc w:val="right"/>
        <w:rPr>
          <w:rFonts w:hint="eastAsia" w:ascii="宋体" w:hAnsi="宋体" w:cs="宋体"/>
          <w:szCs w:val="21"/>
        </w:rPr>
      </w:pPr>
      <w:r>
        <w:rPr>
          <w:rFonts w:hint="eastAsia" w:ascii="宋体" w:hAnsi="宋体" w:cs="宋体"/>
          <w:szCs w:val="21"/>
          <w:highlight w:val="white"/>
        </w:rPr>
        <w:t>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w:t>
      </w:r>
    </w:p>
    <w:p w14:paraId="764511FD">
      <w:pPr>
        <w:spacing w:line="360" w:lineRule="auto"/>
        <w:ind w:firstLine="420" w:firstLineChars="200"/>
        <w:jc w:val="right"/>
        <w:rPr>
          <w:rFonts w:hint="eastAsia" w:ascii="宋体" w:hAnsi="宋体" w:cs="宋体"/>
          <w:szCs w:val="21"/>
        </w:rPr>
      </w:pP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024DBBE2">
      <w:pPr>
        <w:tabs>
          <w:tab w:val="left" w:pos="540"/>
        </w:tabs>
        <w:spacing w:line="360" w:lineRule="auto"/>
        <w:jc w:val="right"/>
        <w:rPr>
          <w:rFonts w:hint="eastAsia" w:ascii="宋体" w:hAnsi="宋体" w:cs="宋体"/>
        </w:rPr>
      </w:pPr>
      <w:r>
        <w:rPr>
          <w:rFonts w:hint="eastAsia" w:ascii="宋体" w:hAnsi="宋体" w:cs="宋体"/>
          <w:szCs w:val="21"/>
          <w:highlight w:val="white"/>
        </w:rPr>
        <w:t xml:space="preserve">承包人： </w:t>
      </w:r>
      <w:r>
        <w:rPr>
          <w:rFonts w:hint="eastAsia" w:ascii="宋体" w:hAnsi="宋体" w:cs="宋体"/>
          <w:szCs w:val="21"/>
          <w:highlight w:val="white"/>
          <w:u w:val="single"/>
        </w:rPr>
        <w:t xml:space="preserve">                 </w:t>
      </w:r>
      <w:r>
        <w:rPr>
          <w:rFonts w:hint="eastAsia" w:ascii="宋体" w:hAnsi="宋体" w:cs="宋体"/>
          <w:szCs w:val="21"/>
          <w:highlight w:val="white"/>
        </w:rPr>
        <w:t>（盖单位章）</w:t>
      </w:r>
    </w:p>
    <w:p w14:paraId="71D6E9A6">
      <w:pPr>
        <w:spacing w:line="360" w:lineRule="auto"/>
        <w:jc w:val="right"/>
        <w:rPr>
          <w:rFonts w:hint="eastAsia" w:ascii="宋体" w:hAnsi="宋体" w:cs="宋体"/>
          <w:szCs w:val="21"/>
        </w:rPr>
      </w:pPr>
      <w:r>
        <w:rPr>
          <w:rFonts w:hint="eastAsia" w:ascii="宋体" w:hAnsi="宋体" w:cs="宋体"/>
          <w:szCs w:val="21"/>
          <w:highlight w:val="white"/>
        </w:rPr>
        <w:t>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w:t>
      </w:r>
    </w:p>
    <w:p w14:paraId="1580DC46">
      <w:pPr>
        <w:spacing w:line="360" w:lineRule="auto"/>
        <w:jc w:val="right"/>
        <w:rPr>
          <w:rFonts w:hint="eastAsia" w:ascii="宋体" w:hAnsi="宋体" w:cs="宋体"/>
          <w:szCs w:val="21"/>
        </w:rPr>
      </w:pP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56DF6CE2">
      <w:pPr>
        <w:spacing w:line="360" w:lineRule="auto"/>
        <w:jc w:val="right"/>
        <w:rPr>
          <w:rFonts w:hint="eastAsia" w:ascii="宋体" w:hAnsi="宋体" w:cs="宋体"/>
          <w:szCs w:val="21"/>
        </w:rPr>
      </w:pPr>
    </w:p>
    <w:p w14:paraId="503842A7">
      <w:pPr>
        <w:wordWrap w:val="0"/>
        <w:spacing w:line="360" w:lineRule="auto"/>
        <w:ind w:firstLine="525" w:firstLineChars="250"/>
        <w:jc w:val="right"/>
        <w:rPr>
          <w:rFonts w:hint="eastAsia" w:ascii="宋体" w:hAnsi="宋体" w:cs="宋体"/>
          <w:szCs w:val="21"/>
        </w:rPr>
      </w:pPr>
      <w:r>
        <w:rPr>
          <w:rFonts w:hint="eastAsia" w:ascii="宋体" w:hAnsi="宋体" w:cs="宋体"/>
          <w:szCs w:val="21"/>
          <w:highlight w:val="white"/>
        </w:rPr>
        <w:t>经办银行：</w:t>
      </w:r>
      <w:r>
        <w:rPr>
          <w:rFonts w:hint="eastAsia" w:ascii="宋体" w:hAnsi="宋体" w:cs="宋体"/>
          <w:szCs w:val="21"/>
          <w:highlight w:val="white"/>
          <w:u w:val="single"/>
        </w:rPr>
        <w:t xml:space="preserve">                </w:t>
      </w:r>
      <w:r>
        <w:rPr>
          <w:rFonts w:hint="eastAsia" w:ascii="宋体" w:hAnsi="宋体" w:cs="宋体"/>
          <w:szCs w:val="21"/>
          <w:highlight w:val="white"/>
        </w:rPr>
        <w:t>（盖单位章）</w:t>
      </w:r>
    </w:p>
    <w:p w14:paraId="1C5002D5">
      <w:pPr>
        <w:spacing w:line="360" w:lineRule="auto"/>
        <w:jc w:val="right"/>
        <w:rPr>
          <w:rFonts w:hint="eastAsia" w:ascii="宋体" w:hAnsi="宋体" w:cs="宋体"/>
          <w:szCs w:val="21"/>
        </w:rPr>
      </w:pPr>
      <w:r>
        <w:rPr>
          <w:rFonts w:hint="eastAsia" w:ascii="宋体" w:hAnsi="宋体" w:cs="宋体"/>
          <w:szCs w:val="21"/>
          <w:highlight w:val="white"/>
        </w:rPr>
        <w:t>法定代表人或其委托代理人：</w:t>
      </w:r>
      <w:r>
        <w:rPr>
          <w:rFonts w:hint="eastAsia" w:ascii="宋体" w:hAnsi="宋体" w:cs="宋体"/>
          <w:szCs w:val="21"/>
          <w:highlight w:val="white"/>
          <w:u w:val="single"/>
        </w:rPr>
        <w:t xml:space="preserve">    </w:t>
      </w:r>
      <w:r>
        <w:rPr>
          <w:rFonts w:hint="eastAsia" w:ascii="宋体" w:hAnsi="宋体" w:cs="宋体"/>
          <w:szCs w:val="21"/>
          <w:highlight w:val="white"/>
        </w:rPr>
        <w:t>（签字）</w:t>
      </w:r>
    </w:p>
    <w:p w14:paraId="0FBB79FF">
      <w:pPr>
        <w:spacing w:line="360" w:lineRule="auto"/>
        <w:ind w:firstLine="4326" w:firstLineChars="2060"/>
        <w:jc w:val="right"/>
        <w:rPr>
          <w:rFonts w:hint="eastAsia" w:ascii="宋体" w:hAnsi="宋体" w:cs="宋体"/>
          <w:szCs w:val="21"/>
        </w:rPr>
      </w:pP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7C4607A8">
      <w:pPr>
        <w:rPr>
          <w:rFonts w:hint="eastAsia" w:ascii="宋体" w:hAnsi="宋体" w:cs="宋体"/>
          <w:highlight w:val="cyan"/>
        </w:rPr>
      </w:pPr>
      <w:bookmarkStart w:id="740" w:name="EB5d12c64c6bc046929b7e193fb1539be2"/>
      <w:r>
        <w:rPr>
          <w:rFonts w:hint="eastAsia" w:ascii="宋体" w:hAnsi="宋体" w:cs="宋体"/>
          <w:color w:val="000080"/>
          <w:sz w:val="20"/>
          <w:highlight w:val="white"/>
        </w:rPr>
        <w:t xml:space="preserve"> </w:t>
      </w:r>
      <w:bookmarkEnd w:id="740"/>
    </w:p>
    <w:p w14:paraId="38AB716D">
      <w:pPr>
        <w:spacing w:line="380" w:lineRule="exact"/>
        <w:ind w:firstLine="4326" w:firstLineChars="2060"/>
        <w:jc w:val="right"/>
        <w:rPr>
          <w:rFonts w:hint="eastAsia" w:ascii="宋体" w:hAnsi="宋体" w:cs="宋体"/>
          <w:szCs w:val="21"/>
        </w:rPr>
        <w:sectPr>
          <w:pgSz w:w="11907" w:h="16840"/>
          <w:pgMar w:top="1440" w:right="1080" w:bottom="1440" w:left="1080" w:header="851" w:footer="1049" w:gutter="0"/>
          <w:cols w:space="720" w:num="1"/>
          <w:docGrid w:linePitch="312" w:charSpace="0"/>
        </w:sectPr>
      </w:pPr>
    </w:p>
    <w:p w14:paraId="77EE98C6">
      <w:pPr>
        <w:pStyle w:val="2"/>
        <w:keepNext w:val="0"/>
        <w:keepLines w:val="0"/>
        <w:spacing w:before="0" w:after="0" w:line="240" w:lineRule="auto"/>
        <w:jc w:val="center"/>
        <w:rPr>
          <w:rFonts w:hint="eastAsia" w:ascii="宋体" w:hAnsi="宋体" w:eastAsia="宋体" w:cs="宋体"/>
          <w:bCs w:val="0"/>
          <w:kern w:val="2"/>
        </w:rPr>
      </w:pPr>
      <w:bookmarkStart w:id="741" w:name="_Toc361993612"/>
      <w:bookmarkStart w:id="742" w:name="_Toc40261845"/>
      <w:bookmarkStart w:id="743" w:name="_Toc362618161"/>
      <w:bookmarkStart w:id="744" w:name="_Toc362614286"/>
      <w:bookmarkStart w:id="745" w:name="_Toc243796183"/>
      <w:bookmarkStart w:id="746" w:name="_Toc27039758"/>
      <w:bookmarkStart w:id="747" w:name="_Toc245379337"/>
      <w:bookmarkStart w:id="748" w:name="_Toc368338589"/>
      <w:bookmarkStart w:id="749" w:name="_Toc490825226"/>
      <w:bookmarkStart w:id="750" w:name="_Toc362613914"/>
      <w:bookmarkStart w:id="751" w:name="_Toc490825138"/>
      <w:bookmarkStart w:id="752" w:name="_Toc490825110"/>
      <w:bookmarkStart w:id="753" w:name="_Toc368320262"/>
      <w:r>
        <w:rPr>
          <w:rFonts w:hint="eastAsia" w:ascii="宋体" w:hAnsi="宋体" w:eastAsia="宋体" w:cs="宋体"/>
          <w:bCs w:val="0"/>
          <w:kern w:val="2"/>
          <w:highlight w:val="white"/>
        </w:rPr>
        <w:t>第五章  工程量清单</w:t>
      </w:r>
      <w:bookmarkEnd w:id="741"/>
      <w:bookmarkEnd w:id="742"/>
      <w:bookmarkEnd w:id="743"/>
      <w:bookmarkEnd w:id="744"/>
      <w:bookmarkEnd w:id="745"/>
      <w:bookmarkEnd w:id="746"/>
      <w:bookmarkEnd w:id="747"/>
      <w:bookmarkEnd w:id="748"/>
      <w:bookmarkEnd w:id="749"/>
      <w:bookmarkEnd w:id="750"/>
      <w:bookmarkEnd w:id="751"/>
      <w:bookmarkEnd w:id="752"/>
    </w:p>
    <w:p w14:paraId="1547EDD4">
      <w:pPr>
        <w:pStyle w:val="14"/>
        <w:rPr>
          <w:rFonts w:hint="eastAsia" w:ascii="宋体" w:hAnsi="宋体" w:eastAsia="宋体" w:cs="宋体"/>
          <w:color w:val="auto"/>
        </w:rPr>
      </w:pPr>
      <w:bookmarkStart w:id="754" w:name="_Toc368338590"/>
      <w:r>
        <w:rPr>
          <w:rFonts w:hint="eastAsia" w:ascii="宋体" w:hAnsi="宋体" w:eastAsia="宋体" w:cs="宋体"/>
          <w:color w:val="auto"/>
          <w:highlight w:val="white"/>
        </w:rPr>
        <w:t>（另册）</w:t>
      </w:r>
      <w:bookmarkEnd w:id="753"/>
      <w:bookmarkEnd w:id="754"/>
    </w:p>
    <w:p w14:paraId="729052F3">
      <w:pPr>
        <w:spacing w:line="600" w:lineRule="exact"/>
        <w:jc w:val="center"/>
        <w:outlineLvl w:val="0"/>
        <w:rPr>
          <w:rFonts w:hint="eastAsia" w:ascii="宋体" w:hAnsi="宋体" w:cs="宋体"/>
          <w:highlight w:val="white"/>
        </w:rPr>
      </w:pPr>
      <w:bookmarkStart w:id="755" w:name="_Toc490825111"/>
      <w:bookmarkStart w:id="756" w:name="_Toc40261846"/>
      <w:bookmarkStart w:id="757" w:name="_Toc490825227"/>
      <w:bookmarkStart w:id="758" w:name="_Toc362613915"/>
      <w:bookmarkStart w:id="759" w:name="_Toc234382954"/>
      <w:bookmarkStart w:id="760" w:name="_Toc368320263"/>
      <w:bookmarkStart w:id="761" w:name="_Toc243796241"/>
      <w:bookmarkStart w:id="762" w:name="_Toc243924020"/>
      <w:bookmarkStart w:id="763" w:name="_Toc362618162"/>
      <w:bookmarkStart w:id="764" w:name="_Toc245379338"/>
      <w:bookmarkStart w:id="765" w:name="_Toc243796184"/>
      <w:bookmarkStart w:id="766" w:name="_Toc368338591"/>
      <w:bookmarkStart w:id="767" w:name="_Toc27039759"/>
      <w:bookmarkStart w:id="768" w:name="_Toc361993613"/>
      <w:bookmarkStart w:id="769" w:name="_Toc362614287"/>
    </w:p>
    <w:p w14:paraId="0F8A0704">
      <w:pPr>
        <w:spacing w:line="600" w:lineRule="exact"/>
        <w:jc w:val="center"/>
        <w:outlineLvl w:val="0"/>
        <w:rPr>
          <w:rFonts w:hint="eastAsia" w:ascii="宋体" w:hAnsi="宋体" w:cs="宋体"/>
          <w:b/>
          <w:snapToGrid w:val="0"/>
          <w:kern w:val="0"/>
          <w:sz w:val="52"/>
          <w:szCs w:val="52"/>
          <w:highlight w:val="white"/>
        </w:rPr>
      </w:pPr>
    </w:p>
    <w:p w14:paraId="043790E0">
      <w:pPr>
        <w:spacing w:line="600" w:lineRule="exact"/>
        <w:jc w:val="center"/>
        <w:outlineLvl w:val="0"/>
        <w:rPr>
          <w:rFonts w:hint="eastAsia" w:ascii="宋体" w:hAnsi="宋体" w:cs="宋体"/>
          <w:b/>
          <w:snapToGrid w:val="0"/>
          <w:kern w:val="0"/>
          <w:sz w:val="52"/>
          <w:szCs w:val="52"/>
        </w:rPr>
      </w:pPr>
      <w:r>
        <w:rPr>
          <w:rFonts w:hint="eastAsia" w:ascii="宋体" w:hAnsi="宋体" w:cs="宋体"/>
          <w:b/>
          <w:snapToGrid w:val="0"/>
          <w:kern w:val="0"/>
          <w:sz w:val="52"/>
          <w:szCs w:val="52"/>
          <w:highlight w:val="white"/>
        </w:rPr>
        <w:t>第  二  卷</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519AD97D">
      <w:pPr>
        <w:pStyle w:val="2"/>
        <w:spacing w:before="400" w:after="400" w:line="240" w:lineRule="auto"/>
        <w:jc w:val="center"/>
        <w:rPr>
          <w:rFonts w:hint="eastAsia" w:ascii="宋体" w:hAnsi="宋体" w:eastAsia="宋体" w:cs="宋体"/>
          <w:bCs w:val="0"/>
          <w:kern w:val="2"/>
          <w:highlight w:val="white"/>
        </w:rPr>
      </w:pPr>
      <w:bookmarkStart w:id="770" w:name="_Toc361993614"/>
      <w:bookmarkStart w:id="771" w:name="_Toc362614288"/>
      <w:bookmarkStart w:id="772" w:name="_Toc368338592"/>
      <w:bookmarkStart w:id="773" w:name="_Toc490825228"/>
      <w:bookmarkStart w:id="774" w:name="_Toc368320264"/>
      <w:bookmarkStart w:id="775" w:name="_Toc362618163"/>
      <w:bookmarkStart w:id="776" w:name="_Toc27039760"/>
      <w:bookmarkStart w:id="777" w:name="_Toc362613916"/>
      <w:bookmarkStart w:id="778" w:name="_Toc490825112"/>
      <w:bookmarkStart w:id="779" w:name="_Toc40261847"/>
      <w:bookmarkStart w:id="780" w:name="_Toc245379339"/>
      <w:bookmarkStart w:id="781" w:name="_Toc243796185"/>
    </w:p>
    <w:p w14:paraId="7324E054">
      <w:pPr>
        <w:pStyle w:val="2"/>
        <w:numPr>
          <w:ilvl w:val="0"/>
          <w:numId w:val="5"/>
        </w:numPr>
        <w:spacing w:before="400" w:after="400" w:line="240" w:lineRule="auto"/>
        <w:jc w:val="center"/>
        <w:rPr>
          <w:rFonts w:hint="eastAsia" w:ascii="宋体" w:hAnsi="宋体" w:eastAsia="宋体" w:cs="宋体"/>
          <w:bCs w:val="0"/>
          <w:kern w:val="2"/>
          <w:highlight w:val="white"/>
        </w:rPr>
      </w:pPr>
      <w:r>
        <w:rPr>
          <w:rFonts w:hint="eastAsia" w:ascii="宋体" w:hAnsi="宋体" w:eastAsia="宋体" w:cs="宋体"/>
          <w:bCs w:val="0"/>
          <w:kern w:val="2"/>
          <w:highlight w:val="white"/>
        </w:rPr>
        <w:t xml:space="preserve"> 图 纸</w:t>
      </w:r>
      <w:bookmarkEnd w:id="770"/>
      <w:r>
        <w:rPr>
          <w:rFonts w:hint="eastAsia" w:ascii="宋体" w:hAnsi="宋体" w:eastAsia="宋体" w:cs="宋体"/>
          <w:bCs w:val="0"/>
          <w:kern w:val="2"/>
          <w:highlight w:val="white"/>
        </w:rPr>
        <w:t>（另册）</w:t>
      </w:r>
      <w:bookmarkEnd w:id="771"/>
      <w:bookmarkEnd w:id="772"/>
      <w:bookmarkEnd w:id="773"/>
      <w:bookmarkEnd w:id="774"/>
      <w:bookmarkEnd w:id="775"/>
      <w:bookmarkEnd w:id="776"/>
      <w:bookmarkEnd w:id="777"/>
      <w:bookmarkEnd w:id="778"/>
      <w:bookmarkEnd w:id="779"/>
    </w:p>
    <w:p w14:paraId="16A649E2">
      <w:pPr>
        <w:rPr>
          <w:rFonts w:hint="eastAsia"/>
        </w:rPr>
      </w:pPr>
    </w:p>
    <w:p w14:paraId="68695C2A">
      <w:pPr>
        <w:rPr>
          <w:rFonts w:hint="eastAsia"/>
        </w:rPr>
      </w:pPr>
    </w:p>
    <w:bookmarkEnd w:id="780"/>
    <w:bookmarkEnd w:id="781"/>
    <w:p w14:paraId="467EE4CE">
      <w:pPr>
        <w:pStyle w:val="14"/>
        <w:rPr>
          <w:rFonts w:hint="eastAsia" w:ascii="宋体" w:hAnsi="宋体" w:eastAsia="宋体" w:cs="宋体"/>
          <w:color w:val="auto"/>
        </w:rPr>
      </w:pPr>
    </w:p>
    <w:p w14:paraId="291F300B">
      <w:pPr>
        <w:spacing w:line="600" w:lineRule="exact"/>
        <w:jc w:val="center"/>
        <w:outlineLvl w:val="0"/>
        <w:rPr>
          <w:rFonts w:hint="eastAsia" w:ascii="宋体" w:hAnsi="宋体" w:cs="宋体"/>
          <w:b/>
          <w:snapToGrid w:val="0"/>
          <w:kern w:val="0"/>
          <w:sz w:val="52"/>
          <w:szCs w:val="52"/>
        </w:rPr>
      </w:pPr>
      <w:bookmarkStart w:id="782" w:name="_Toc234382955"/>
      <w:bookmarkStart w:id="783" w:name="_Toc27039761"/>
      <w:bookmarkStart w:id="784" w:name="_Toc40261848"/>
      <w:bookmarkStart w:id="785" w:name="_Toc362614289"/>
      <w:bookmarkStart w:id="786" w:name="_Toc362618164"/>
      <w:bookmarkStart w:id="787" w:name="_Toc243796186"/>
      <w:bookmarkStart w:id="788" w:name="_Toc490825113"/>
      <w:bookmarkStart w:id="789" w:name="_Toc368338593"/>
      <w:bookmarkStart w:id="790" w:name="_Toc243924022"/>
      <w:bookmarkStart w:id="791" w:name="_Toc368320265"/>
      <w:bookmarkStart w:id="792" w:name="_Toc367178498"/>
      <w:bookmarkStart w:id="793" w:name="_Toc490825229"/>
      <w:bookmarkStart w:id="794" w:name="_Toc243796243"/>
      <w:bookmarkStart w:id="795" w:name="_Toc361993615"/>
      <w:bookmarkStart w:id="796" w:name="_Toc245379340"/>
      <w:bookmarkStart w:id="797" w:name="_Toc362613917"/>
      <w:r>
        <w:rPr>
          <w:rFonts w:hint="eastAsia" w:ascii="宋体" w:hAnsi="宋体" w:cs="宋体"/>
          <w:b/>
          <w:snapToGrid w:val="0"/>
          <w:kern w:val="0"/>
          <w:sz w:val="52"/>
          <w:szCs w:val="52"/>
          <w:highlight w:val="white"/>
        </w:rPr>
        <w:t>第  三  卷</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15C97BCE">
      <w:pPr>
        <w:jc w:val="center"/>
        <w:rPr>
          <w:rFonts w:hint="eastAsia" w:ascii="宋体" w:hAnsi="宋体" w:cs="宋体"/>
          <w:sz w:val="24"/>
        </w:rPr>
      </w:pPr>
      <w:bookmarkStart w:id="798" w:name="_Toc361993616"/>
      <w:bookmarkStart w:id="799" w:name="_Toc243796187"/>
      <w:bookmarkStart w:id="800" w:name="_Toc245379341"/>
    </w:p>
    <w:p w14:paraId="00F9DEBE">
      <w:pPr>
        <w:pStyle w:val="2"/>
        <w:spacing w:before="400" w:after="400" w:line="240" w:lineRule="auto"/>
        <w:jc w:val="center"/>
        <w:rPr>
          <w:rFonts w:hint="eastAsia" w:ascii="宋体" w:hAnsi="宋体" w:eastAsia="宋体" w:cs="宋体"/>
          <w:bCs w:val="0"/>
          <w:kern w:val="2"/>
          <w:highlight w:val="white"/>
        </w:rPr>
      </w:pPr>
      <w:bookmarkStart w:id="801" w:name="_Toc490825114"/>
      <w:bookmarkStart w:id="802" w:name="_Toc490825230"/>
      <w:bookmarkStart w:id="803" w:name="_Toc368338594"/>
      <w:bookmarkStart w:id="804" w:name="_Toc362618165"/>
      <w:bookmarkStart w:id="805" w:name="_Toc40261849"/>
      <w:bookmarkStart w:id="806" w:name="_Toc368320266"/>
      <w:bookmarkStart w:id="807" w:name="_Toc27039762"/>
      <w:bookmarkStart w:id="808" w:name="_Toc362613918"/>
      <w:bookmarkStart w:id="809" w:name="_Toc362614290"/>
    </w:p>
    <w:p w14:paraId="01B056AD">
      <w:pPr>
        <w:pStyle w:val="2"/>
        <w:spacing w:before="400" w:after="400" w:line="240" w:lineRule="auto"/>
        <w:jc w:val="center"/>
        <w:rPr>
          <w:rFonts w:hint="eastAsia" w:ascii="宋体" w:hAnsi="宋体" w:eastAsia="宋体" w:cs="宋体"/>
          <w:bCs w:val="0"/>
          <w:kern w:val="2"/>
        </w:rPr>
      </w:pPr>
      <w:r>
        <w:rPr>
          <w:rFonts w:hint="eastAsia" w:ascii="宋体" w:hAnsi="宋体" w:eastAsia="宋体" w:cs="宋体"/>
          <w:bCs w:val="0"/>
          <w:kern w:val="2"/>
          <w:highlight w:val="white"/>
        </w:rPr>
        <w:t>第七章  技术规范</w:t>
      </w:r>
      <w:bookmarkEnd w:id="798"/>
      <w:r>
        <w:rPr>
          <w:rFonts w:hint="eastAsia" w:ascii="宋体" w:hAnsi="宋体" w:eastAsia="宋体" w:cs="宋体"/>
          <w:bCs w:val="0"/>
          <w:kern w:val="2"/>
          <w:highlight w:val="white"/>
        </w:rPr>
        <w:t>（另册）</w:t>
      </w:r>
      <w:bookmarkEnd w:id="801"/>
      <w:bookmarkEnd w:id="802"/>
      <w:bookmarkEnd w:id="803"/>
      <w:bookmarkEnd w:id="804"/>
      <w:bookmarkEnd w:id="805"/>
      <w:bookmarkEnd w:id="806"/>
      <w:bookmarkEnd w:id="807"/>
      <w:bookmarkEnd w:id="808"/>
      <w:bookmarkEnd w:id="809"/>
    </w:p>
    <w:p w14:paraId="5DAF14CC">
      <w:pPr>
        <w:pStyle w:val="14"/>
        <w:rPr>
          <w:rFonts w:hint="eastAsia" w:ascii="宋体" w:hAnsi="宋体" w:eastAsia="宋体" w:cs="宋体"/>
          <w:color w:val="auto"/>
        </w:rPr>
      </w:pPr>
      <w:r>
        <w:rPr>
          <w:rFonts w:hint="eastAsia" w:ascii="宋体" w:hAnsi="宋体" w:eastAsia="宋体" w:cs="宋体"/>
          <w:color w:val="auto"/>
          <w:highlight w:val="white"/>
        </w:rPr>
        <w:t>（详见《公路工程标准施工招标文件》</w:t>
      </w:r>
      <w:bookmarkEnd w:id="799"/>
      <w:bookmarkEnd w:id="800"/>
      <w:r>
        <w:rPr>
          <w:rFonts w:hint="eastAsia" w:ascii="宋体" w:hAnsi="宋体" w:eastAsia="宋体" w:cs="宋体"/>
          <w:color w:val="auto"/>
          <w:highlight w:val="white"/>
        </w:rPr>
        <w:t>）</w:t>
      </w:r>
    </w:p>
    <w:p w14:paraId="574B8FCB">
      <w:pPr>
        <w:jc w:val="center"/>
        <w:rPr>
          <w:rFonts w:hint="eastAsia" w:ascii="宋体" w:hAnsi="宋体" w:cs="宋体"/>
        </w:rPr>
      </w:pPr>
      <w:bookmarkStart w:id="810" w:name="_Toc361993617"/>
      <w:bookmarkStart w:id="811" w:name="_Toc245379342"/>
    </w:p>
    <w:p w14:paraId="45F9724B">
      <w:pPr>
        <w:pStyle w:val="2"/>
        <w:spacing w:before="400" w:after="400" w:line="240" w:lineRule="auto"/>
        <w:jc w:val="center"/>
        <w:rPr>
          <w:rFonts w:hint="eastAsia" w:ascii="宋体" w:hAnsi="宋体" w:eastAsia="宋体" w:cs="宋体"/>
          <w:bCs w:val="0"/>
          <w:kern w:val="2"/>
          <w:highlight w:val="white"/>
        </w:rPr>
      </w:pPr>
      <w:bookmarkStart w:id="812" w:name="_Toc362614291"/>
      <w:bookmarkStart w:id="813" w:name="_Toc368338595"/>
      <w:bookmarkStart w:id="814" w:name="_Toc490825231"/>
      <w:bookmarkStart w:id="815" w:name="_Toc27039763"/>
      <w:bookmarkStart w:id="816" w:name="_Toc368320267"/>
      <w:bookmarkStart w:id="817" w:name="_Toc362613919"/>
      <w:bookmarkStart w:id="818" w:name="_Toc362618166"/>
      <w:bookmarkStart w:id="819" w:name="_Toc40261850"/>
    </w:p>
    <w:p w14:paraId="5C344A11">
      <w:pPr>
        <w:pStyle w:val="2"/>
        <w:spacing w:before="400" w:after="400" w:line="240" w:lineRule="auto"/>
        <w:jc w:val="center"/>
        <w:rPr>
          <w:rFonts w:hint="eastAsia" w:ascii="宋体" w:hAnsi="宋体" w:eastAsia="宋体" w:cs="宋体"/>
          <w:bCs w:val="0"/>
          <w:kern w:val="2"/>
        </w:rPr>
      </w:pPr>
      <w:r>
        <w:rPr>
          <w:rFonts w:hint="eastAsia" w:ascii="宋体" w:hAnsi="宋体" w:eastAsia="宋体" w:cs="宋体"/>
          <w:bCs w:val="0"/>
          <w:kern w:val="2"/>
          <w:highlight w:val="white"/>
        </w:rPr>
        <w:t xml:space="preserve">第八章  </w:t>
      </w:r>
      <w:bookmarkEnd w:id="810"/>
      <w:r>
        <w:rPr>
          <w:rFonts w:hint="eastAsia" w:ascii="宋体" w:hAnsi="宋体" w:eastAsia="宋体" w:cs="宋体"/>
          <w:bCs w:val="0"/>
          <w:kern w:val="2"/>
          <w:highlight w:val="white"/>
        </w:rPr>
        <w:t>工程量清单计量规则 （另册）</w:t>
      </w:r>
      <w:bookmarkEnd w:id="812"/>
      <w:bookmarkEnd w:id="813"/>
      <w:bookmarkEnd w:id="814"/>
      <w:bookmarkEnd w:id="815"/>
      <w:bookmarkEnd w:id="816"/>
      <w:bookmarkEnd w:id="817"/>
      <w:bookmarkEnd w:id="818"/>
      <w:bookmarkEnd w:id="819"/>
    </w:p>
    <w:p w14:paraId="37E67BE7">
      <w:pPr>
        <w:pStyle w:val="14"/>
        <w:rPr>
          <w:rFonts w:hint="eastAsia" w:ascii="宋体" w:hAnsi="宋体" w:eastAsia="宋体" w:cs="宋体"/>
          <w:color w:val="auto"/>
        </w:rPr>
      </w:pPr>
      <w:r>
        <w:rPr>
          <w:rFonts w:hint="eastAsia" w:ascii="宋体" w:hAnsi="宋体" w:eastAsia="宋体" w:cs="宋体"/>
          <w:color w:val="auto"/>
          <w:highlight w:val="white"/>
        </w:rPr>
        <w:t>（详见《公路工程标准施工招标文件》）</w:t>
      </w:r>
    </w:p>
    <w:p w14:paraId="4642E465">
      <w:pPr>
        <w:rPr>
          <w:rFonts w:hint="eastAsia" w:ascii="宋体" w:hAnsi="宋体" w:cs="宋体"/>
        </w:rPr>
      </w:pPr>
    </w:p>
    <w:p w14:paraId="01A71958">
      <w:pPr>
        <w:rPr>
          <w:rFonts w:hint="eastAsia" w:ascii="宋体" w:hAnsi="宋体" w:cs="宋体"/>
        </w:rPr>
        <w:sectPr>
          <w:pgSz w:w="11907" w:h="16840"/>
          <w:pgMar w:top="1440" w:right="1080" w:bottom="1440" w:left="1080" w:header="851" w:footer="1049" w:gutter="0"/>
          <w:cols w:space="720" w:num="1"/>
          <w:docGrid w:linePitch="312" w:charSpace="0"/>
        </w:sectPr>
      </w:pPr>
    </w:p>
    <w:bookmarkEnd w:id="811"/>
    <w:p w14:paraId="57F523E1">
      <w:pPr>
        <w:rPr>
          <w:rFonts w:hint="eastAsia" w:ascii="宋体" w:hAnsi="宋体" w:cs="宋体"/>
          <w:sz w:val="24"/>
        </w:rPr>
      </w:pPr>
    </w:p>
    <w:p w14:paraId="7544836D">
      <w:pPr>
        <w:spacing w:line="600" w:lineRule="exact"/>
        <w:jc w:val="center"/>
        <w:outlineLvl w:val="0"/>
        <w:rPr>
          <w:rFonts w:hint="eastAsia" w:ascii="宋体" w:hAnsi="宋体" w:cs="宋体"/>
          <w:b/>
          <w:snapToGrid w:val="0"/>
          <w:kern w:val="0"/>
          <w:sz w:val="52"/>
          <w:szCs w:val="52"/>
        </w:rPr>
      </w:pPr>
      <w:bookmarkStart w:id="820" w:name="_Toc243796188"/>
      <w:bookmarkStart w:id="821" w:name="_Toc367178501"/>
      <w:bookmarkStart w:id="822" w:name="_Toc361993618"/>
      <w:bookmarkStart w:id="823" w:name="_Toc243924024"/>
      <w:bookmarkStart w:id="824" w:name="_Toc243796245"/>
      <w:bookmarkStart w:id="825" w:name="_Toc40261851"/>
      <w:bookmarkStart w:id="826" w:name="_Toc368320268"/>
      <w:bookmarkStart w:id="827" w:name="_Toc362614292"/>
      <w:bookmarkStart w:id="828" w:name="_Toc368338596"/>
      <w:bookmarkStart w:id="829" w:name="_Toc234382956"/>
      <w:bookmarkStart w:id="830" w:name="_Toc362618167"/>
      <w:bookmarkStart w:id="831" w:name="_Toc27039764"/>
      <w:bookmarkStart w:id="832" w:name="_Toc362613920"/>
      <w:bookmarkStart w:id="833" w:name="_Toc245379343"/>
      <w:r>
        <w:rPr>
          <w:rFonts w:hint="eastAsia" w:ascii="宋体" w:hAnsi="宋体" w:cs="宋体"/>
          <w:b/>
          <w:snapToGrid w:val="0"/>
          <w:kern w:val="0"/>
          <w:sz w:val="52"/>
          <w:szCs w:val="52"/>
          <w:highlight w:val="white"/>
        </w:rPr>
        <w:t>第  四  卷</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67E1DC14">
      <w:pPr>
        <w:rPr>
          <w:rFonts w:hint="eastAsia" w:ascii="宋体" w:hAnsi="宋体" w:cs="宋体"/>
          <w:sz w:val="24"/>
        </w:rPr>
      </w:pPr>
    </w:p>
    <w:p w14:paraId="0B2EFF0A">
      <w:pPr>
        <w:pStyle w:val="2"/>
        <w:spacing w:before="400" w:after="400" w:line="240" w:lineRule="auto"/>
        <w:jc w:val="center"/>
        <w:rPr>
          <w:rFonts w:hint="eastAsia" w:ascii="宋体" w:hAnsi="宋体" w:eastAsia="宋体" w:cs="宋体"/>
          <w:bCs w:val="0"/>
          <w:kern w:val="2"/>
        </w:rPr>
      </w:pPr>
      <w:bookmarkStart w:id="834" w:name="_Toc40261852"/>
      <w:bookmarkStart w:id="835" w:name="_Toc27039765"/>
      <w:r>
        <w:rPr>
          <w:rFonts w:hint="eastAsia" w:ascii="宋体" w:hAnsi="宋体" w:eastAsia="宋体" w:cs="宋体"/>
          <w:bCs w:val="0"/>
          <w:kern w:val="2"/>
          <w:highlight w:val="white"/>
        </w:rPr>
        <w:t>第九章  投标文件格式</w:t>
      </w:r>
      <w:bookmarkEnd w:id="834"/>
      <w:bookmarkEnd w:id="835"/>
    </w:p>
    <w:p w14:paraId="034D8996">
      <w:pPr>
        <w:rPr>
          <w:rFonts w:hint="eastAsia" w:ascii="宋体" w:hAnsi="宋体" w:cs="宋体"/>
          <w:highlight w:val="red"/>
        </w:rPr>
      </w:pPr>
      <w:bookmarkStart w:id="836" w:name="EBde215c25b5ad4ce2927ec37fd8f775c1"/>
    </w:p>
    <w:p w14:paraId="618E494D">
      <w:pPr>
        <w:pStyle w:val="41"/>
        <w:jc w:val="center"/>
        <w:outlineLvl w:val="1"/>
        <w:rPr>
          <w:rFonts w:hint="eastAsia" w:cs="宋体"/>
        </w:rPr>
      </w:pPr>
      <w:r>
        <w:rPr>
          <w:rFonts w:hint="eastAsia" w:cs="宋体"/>
          <w:highlight w:val="white"/>
        </w:rPr>
        <w:br w:type="page"/>
      </w:r>
    </w:p>
    <w:p w14:paraId="236BA4CE">
      <w:pPr>
        <w:pStyle w:val="42"/>
        <w:spacing w:line="920" w:lineRule="exact"/>
        <w:ind w:left="-141" w:leftChars="-67"/>
        <w:jc w:val="center"/>
        <w:rPr>
          <w:rFonts w:hint="eastAsia" w:hAnsi="宋体" w:cs="宋体"/>
          <w:b/>
          <w:szCs w:val="24"/>
          <w:highlight w:val="white"/>
          <w:u w:val="single"/>
        </w:rPr>
      </w:pPr>
      <w:bookmarkStart w:id="837" w:name="_第五卷_附件"/>
      <w:bookmarkEnd w:id="837"/>
    </w:p>
    <w:p w14:paraId="00F32DC5">
      <w:pPr>
        <w:pStyle w:val="42"/>
        <w:spacing w:line="920" w:lineRule="exact"/>
        <w:ind w:left="-141" w:leftChars="-67"/>
        <w:jc w:val="center"/>
        <w:rPr>
          <w:rFonts w:hint="eastAsia" w:hAnsi="宋体" w:cs="宋体"/>
          <w:b/>
          <w:sz w:val="28"/>
          <w:szCs w:val="28"/>
        </w:rPr>
      </w:pPr>
      <w:r>
        <w:rPr>
          <w:rFonts w:hint="eastAsia" w:hAnsi="宋体" w:cs="宋体"/>
          <w:b/>
          <w:sz w:val="28"/>
          <w:szCs w:val="28"/>
          <w:highlight w:val="white"/>
          <w:u w:val="single"/>
        </w:rPr>
        <w:t xml:space="preserve">      </w:t>
      </w:r>
      <w:bookmarkStart w:id="838" w:name="_Toc13861"/>
      <w:bookmarkStart w:id="839" w:name="_Toc19907"/>
      <w:r>
        <w:rPr>
          <w:rFonts w:hint="eastAsia" w:hAnsi="宋体" w:cs="宋体"/>
          <w:b/>
          <w:sz w:val="28"/>
          <w:szCs w:val="28"/>
          <w:highlight w:val="white"/>
        </w:rPr>
        <w:t>（项目名称）施工招标</w:t>
      </w:r>
      <w:bookmarkEnd w:id="838"/>
      <w:bookmarkEnd w:id="839"/>
    </w:p>
    <w:p w14:paraId="12695159">
      <w:pPr>
        <w:pStyle w:val="43"/>
        <w:spacing w:line="920" w:lineRule="exact"/>
        <w:jc w:val="center"/>
        <w:rPr>
          <w:rFonts w:hint="eastAsia" w:ascii="宋体" w:hAnsi="宋体" w:cs="宋体"/>
          <w:sz w:val="52"/>
          <w:szCs w:val="52"/>
        </w:rPr>
      </w:pPr>
    </w:p>
    <w:p w14:paraId="357EC7D4">
      <w:pPr>
        <w:pStyle w:val="43"/>
        <w:spacing w:line="920" w:lineRule="exact"/>
        <w:jc w:val="center"/>
        <w:rPr>
          <w:rFonts w:hint="eastAsia" w:ascii="宋体" w:hAnsi="宋体" w:cs="宋体"/>
          <w:sz w:val="52"/>
          <w:szCs w:val="52"/>
        </w:rPr>
      </w:pPr>
    </w:p>
    <w:p w14:paraId="1048DBEA">
      <w:pPr>
        <w:pStyle w:val="43"/>
        <w:spacing w:line="360" w:lineRule="auto"/>
        <w:jc w:val="center"/>
        <w:rPr>
          <w:rFonts w:hint="eastAsia" w:ascii="宋体" w:hAnsi="宋体" w:cs="宋体"/>
          <w:sz w:val="36"/>
          <w:szCs w:val="36"/>
        </w:rPr>
      </w:pPr>
      <w:r>
        <w:rPr>
          <w:rFonts w:hint="eastAsia" w:ascii="宋体" w:hAnsi="宋体" w:cs="宋体"/>
          <w:sz w:val="56"/>
          <w:szCs w:val="56"/>
          <w:highlight w:val="white"/>
        </w:rPr>
        <w:t>投标文件</w:t>
      </w:r>
    </w:p>
    <w:p w14:paraId="58BE4536">
      <w:pPr>
        <w:pStyle w:val="43"/>
        <w:spacing w:before="48" w:beforeLines="20" w:after="48" w:afterLines="20"/>
        <w:jc w:val="center"/>
        <w:rPr>
          <w:rFonts w:hint="eastAsia" w:ascii="宋体" w:hAnsi="宋体" w:cs="宋体"/>
          <w:b/>
          <w:bCs/>
          <w:sz w:val="28"/>
          <w:szCs w:val="28"/>
        </w:rPr>
      </w:pPr>
      <w:bookmarkStart w:id="840" w:name="_Toc243796191"/>
      <w:bookmarkStart w:id="841" w:name="_Toc243924027"/>
      <w:bookmarkStart w:id="842" w:name="_Toc362618170"/>
      <w:bookmarkStart w:id="843" w:name="_Toc362614295"/>
      <w:bookmarkStart w:id="844" w:name="_Toc368338599"/>
      <w:bookmarkStart w:id="845" w:name="_Toc368320271"/>
      <w:bookmarkStart w:id="846" w:name="_Toc245379346"/>
      <w:bookmarkStart w:id="847" w:name="_Toc362613923"/>
      <w:bookmarkStart w:id="848" w:name="_Toc367178504"/>
      <w:r>
        <w:rPr>
          <w:rFonts w:hint="eastAsia" w:ascii="宋体" w:hAnsi="宋体" w:cs="宋体"/>
          <w:b/>
          <w:bCs/>
          <w:sz w:val="28"/>
          <w:szCs w:val="28"/>
          <w:highlight w:val="white"/>
        </w:rPr>
        <w:t>第1信封 商务文件</w:t>
      </w:r>
      <w:bookmarkEnd w:id="840"/>
      <w:bookmarkEnd w:id="841"/>
      <w:bookmarkEnd w:id="842"/>
      <w:bookmarkEnd w:id="843"/>
      <w:bookmarkEnd w:id="844"/>
      <w:bookmarkEnd w:id="845"/>
      <w:bookmarkEnd w:id="846"/>
      <w:bookmarkEnd w:id="847"/>
      <w:bookmarkEnd w:id="848"/>
    </w:p>
    <w:p w14:paraId="519D9654">
      <w:pPr>
        <w:pStyle w:val="43"/>
        <w:spacing w:line="360" w:lineRule="auto"/>
        <w:rPr>
          <w:rFonts w:hint="eastAsia" w:ascii="宋体" w:hAnsi="宋体" w:cs="宋体"/>
          <w:b/>
          <w:sz w:val="36"/>
          <w:szCs w:val="36"/>
        </w:rPr>
      </w:pPr>
    </w:p>
    <w:p w14:paraId="78B7C783">
      <w:pPr>
        <w:pStyle w:val="43"/>
        <w:spacing w:line="360" w:lineRule="auto"/>
        <w:rPr>
          <w:rFonts w:hint="eastAsia" w:ascii="宋体" w:hAnsi="宋体" w:cs="宋体"/>
          <w:b/>
          <w:sz w:val="36"/>
          <w:szCs w:val="36"/>
        </w:rPr>
      </w:pPr>
    </w:p>
    <w:p w14:paraId="01D52B01">
      <w:pPr>
        <w:pStyle w:val="43"/>
        <w:spacing w:line="360" w:lineRule="auto"/>
        <w:rPr>
          <w:rFonts w:hint="eastAsia" w:ascii="宋体" w:hAnsi="宋体" w:cs="宋体"/>
          <w:b/>
          <w:sz w:val="36"/>
          <w:szCs w:val="36"/>
        </w:rPr>
      </w:pPr>
    </w:p>
    <w:p w14:paraId="79534FC2">
      <w:pPr>
        <w:pStyle w:val="43"/>
        <w:spacing w:line="360" w:lineRule="auto"/>
        <w:rPr>
          <w:rFonts w:hint="eastAsia" w:ascii="宋体" w:hAnsi="宋体" w:cs="宋体"/>
          <w:b/>
          <w:sz w:val="36"/>
          <w:szCs w:val="36"/>
        </w:rPr>
      </w:pPr>
    </w:p>
    <w:p w14:paraId="39B39543">
      <w:pPr>
        <w:pStyle w:val="43"/>
        <w:spacing w:line="360" w:lineRule="auto"/>
        <w:jc w:val="center"/>
        <w:rPr>
          <w:rFonts w:hint="eastAsia" w:ascii="宋体" w:hAnsi="宋体" w:cs="宋体"/>
          <w:b/>
          <w:sz w:val="36"/>
          <w:szCs w:val="36"/>
        </w:rPr>
      </w:pPr>
    </w:p>
    <w:p w14:paraId="0A4F2FF8">
      <w:pPr>
        <w:pStyle w:val="43"/>
        <w:spacing w:line="360" w:lineRule="auto"/>
        <w:ind w:firstLine="3092" w:firstLineChars="1100"/>
        <w:jc w:val="both"/>
        <w:rPr>
          <w:rFonts w:hint="eastAsia" w:ascii="宋体" w:hAnsi="宋体" w:cs="宋体"/>
          <w:b/>
          <w:sz w:val="28"/>
          <w:szCs w:val="28"/>
        </w:rPr>
      </w:pPr>
      <w:bookmarkStart w:id="849" w:name="_Toc25795"/>
      <w:bookmarkStart w:id="850" w:name="_Toc12181"/>
      <w:r>
        <w:rPr>
          <w:rFonts w:hint="eastAsia" w:ascii="宋体" w:hAnsi="宋体" w:cs="宋体"/>
          <w:b/>
          <w:sz w:val="28"/>
          <w:szCs w:val="28"/>
          <w:highlight w:val="white"/>
        </w:rPr>
        <w:t>投标人：</w:t>
      </w:r>
      <w:r>
        <w:rPr>
          <w:rFonts w:hint="eastAsia" w:ascii="宋体" w:hAnsi="宋体" w:cs="宋体"/>
          <w:b/>
          <w:sz w:val="28"/>
          <w:szCs w:val="28"/>
          <w:highlight w:val="white"/>
          <w:u w:val="single"/>
        </w:rPr>
        <w:t xml:space="preserve">         </w:t>
      </w:r>
      <w:r>
        <w:rPr>
          <w:rFonts w:hint="eastAsia" w:ascii="宋体" w:hAnsi="宋体" w:cs="宋体"/>
          <w:b/>
          <w:sz w:val="28"/>
          <w:szCs w:val="28"/>
          <w:highlight w:val="white"/>
        </w:rPr>
        <w:t>（盖章）</w:t>
      </w:r>
      <w:bookmarkEnd w:id="849"/>
      <w:bookmarkEnd w:id="850"/>
    </w:p>
    <w:p w14:paraId="05D70649">
      <w:pPr>
        <w:pStyle w:val="43"/>
        <w:spacing w:line="360" w:lineRule="auto"/>
        <w:ind w:firstLine="3654" w:firstLineChars="1300"/>
        <w:jc w:val="both"/>
        <w:rPr>
          <w:rFonts w:hint="eastAsia" w:ascii="宋体" w:hAnsi="宋体" w:cs="宋体"/>
          <w:b/>
          <w:sz w:val="28"/>
          <w:szCs w:val="28"/>
        </w:rPr>
      </w:pPr>
      <w:bookmarkStart w:id="851" w:name="_Toc18746"/>
      <w:bookmarkStart w:id="852" w:name="_Toc10512"/>
      <w:r>
        <w:rPr>
          <w:rFonts w:hint="eastAsia" w:ascii="宋体" w:hAnsi="宋体" w:cs="宋体"/>
          <w:b/>
          <w:sz w:val="28"/>
          <w:szCs w:val="28"/>
          <w:highlight w:val="white"/>
        </w:rPr>
        <w:t>年</w:t>
      </w:r>
      <w:r>
        <w:rPr>
          <w:rFonts w:hint="eastAsia" w:ascii="宋体" w:hAnsi="宋体" w:cs="宋体"/>
          <w:b/>
          <w:sz w:val="28"/>
          <w:szCs w:val="28"/>
          <w:highlight w:val="white"/>
          <w:u w:val="single"/>
        </w:rPr>
        <w:t xml:space="preserve">    </w:t>
      </w:r>
      <w:r>
        <w:rPr>
          <w:rFonts w:hint="eastAsia" w:ascii="宋体" w:hAnsi="宋体" w:cs="宋体"/>
          <w:b/>
          <w:sz w:val="28"/>
          <w:szCs w:val="28"/>
          <w:highlight w:val="white"/>
        </w:rPr>
        <w:t>月</w:t>
      </w:r>
      <w:r>
        <w:rPr>
          <w:rFonts w:hint="eastAsia" w:ascii="宋体" w:hAnsi="宋体" w:cs="宋体"/>
          <w:b/>
          <w:sz w:val="28"/>
          <w:szCs w:val="28"/>
          <w:highlight w:val="white"/>
          <w:u w:val="single"/>
        </w:rPr>
        <w:t xml:space="preserve">    </w:t>
      </w:r>
      <w:r>
        <w:rPr>
          <w:rFonts w:hint="eastAsia" w:ascii="宋体" w:hAnsi="宋体" w:cs="宋体"/>
          <w:b/>
          <w:sz w:val="28"/>
          <w:szCs w:val="28"/>
          <w:highlight w:val="white"/>
        </w:rPr>
        <w:t>日</w:t>
      </w:r>
      <w:bookmarkEnd w:id="851"/>
      <w:bookmarkEnd w:id="852"/>
    </w:p>
    <w:p w14:paraId="0577C0D1">
      <w:pPr>
        <w:pStyle w:val="39"/>
        <w:jc w:val="center"/>
        <w:rPr>
          <w:rFonts w:hint="eastAsia" w:cs="宋体"/>
        </w:rPr>
      </w:pPr>
      <w:r>
        <w:rPr>
          <w:rFonts w:hint="eastAsia" w:cs="宋体"/>
          <w:highlight w:val="white"/>
        </w:rPr>
        <w:br w:type="page"/>
      </w:r>
      <w:bookmarkEnd w:id="836"/>
      <w:r>
        <w:rPr>
          <w:rFonts w:hint="eastAsia" w:cs="宋体"/>
          <w:highlight w:val="white"/>
        </w:rPr>
        <w:t>目    录</w:t>
      </w:r>
    </w:p>
    <w:p w14:paraId="14BB44B3">
      <w:pPr>
        <w:pStyle w:val="39"/>
        <w:jc w:val="center"/>
        <w:rPr>
          <w:rFonts w:hint="eastAsia" w:cs="宋体"/>
        </w:rPr>
      </w:pPr>
    </w:p>
    <w:p w14:paraId="656CDC9F">
      <w:pPr>
        <w:pStyle w:val="39"/>
        <w:spacing w:line="480" w:lineRule="auto"/>
        <w:ind w:firstLine="480" w:firstLineChars="200"/>
        <w:rPr>
          <w:rFonts w:hint="eastAsia" w:cs="宋体"/>
          <w:sz w:val="24"/>
        </w:rPr>
      </w:pPr>
      <w:r>
        <w:rPr>
          <w:rFonts w:hint="eastAsia" w:cs="宋体"/>
          <w:sz w:val="24"/>
          <w:highlight w:val="white"/>
        </w:rPr>
        <w:t>一、投标函及投标函附录</w:t>
      </w:r>
    </w:p>
    <w:p w14:paraId="4B593DD6">
      <w:pPr>
        <w:pStyle w:val="39"/>
        <w:spacing w:line="480" w:lineRule="auto"/>
        <w:ind w:firstLine="480" w:firstLineChars="200"/>
        <w:rPr>
          <w:rFonts w:hint="eastAsia" w:cs="宋体"/>
          <w:sz w:val="24"/>
        </w:rPr>
      </w:pPr>
      <w:r>
        <w:rPr>
          <w:rFonts w:hint="eastAsia" w:cs="宋体"/>
          <w:sz w:val="24"/>
          <w:highlight w:val="white"/>
        </w:rPr>
        <w:t>二、法定代表人身份证明及授权委托书</w:t>
      </w:r>
    </w:p>
    <w:p w14:paraId="0CFEAD8C">
      <w:pPr>
        <w:pStyle w:val="39"/>
        <w:spacing w:line="480" w:lineRule="auto"/>
        <w:ind w:firstLine="480" w:firstLineChars="200"/>
        <w:rPr>
          <w:rFonts w:hint="eastAsia" w:cs="宋体"/>
          <w:sz w:val="24"/>
        </w:rPr>
      </w:pPr>
      <w:r>
        <w:rPr>
          <w:rFonts w:hint="eastAsia" w:cs="宋体"/>
          <w:sz w:val="24"/>
          <w:highlight w:val="white"/>
        </w:rPr>
        <w:t>三、项目管理机构（如有）</w:t>
      </w:r>
    </w:p>
    <w:p w14:paraId="196B0F9C">
      <w:pPr>
        <w:pStyle w:val="39"/>
        <w:spacing w:line="480" w:lineRule="auto"/>
        <w:ind w:firstLine="480" w:firstLineChars="200"/>
        <w:rPr>
          <w:rFonts w:hint="eastAsia" w:cs="宋体"/>
          <w:sz w:val="24"/>
        </w:rPr>
      </w:pPr>
      <w:r>
        <w:rPr>
          <w:rFonts w:hint="eastAsia" w:cs="宋体"/>
          <w:sz w:val="24"/>
          <w:highlight w:val="white"/>
        </w:rPr>
        <w:t>四、资格审查资料</w:t>
      </w:r>
    </w:p>
    <w:p w14:paraId="11364FDC">
      <w:pPr>
        <w:pStyle w:val="39"/>
        <w:spacing w:line="480" w:lineRule="auto"/>
        <w:ind w:firstLine="480" w:firstLineChars="200"/>
        <w:rPr>
          <w:rFonts w:hint="eastAsia" w:cs="宋体"/>
          <w:sz w:val="24"/>
        </w:rPr>
      </w:pPr>
      <w:r>
        <w:rPr>
          <w:rFonts w:hint="eastAsia" w:cs="宋体"/>
          <w:sz w:val="24"/>
          <w:highlight w:val="white"/>
        </w:rPr>
        <w:t>五、承诺函</w:t>
      </w:r>
    </w:p>
    <w:p w14:paraId="0A0D728D">
      <w:pPr>
        <w:pStyle w:val="39"/>
        <w:spacing w:line="480" w:lineRule="auto"/>
        <w:ind w:firstLine="480" w:firstLineChars="200"/>
        <w:rPr>
          <w:rFonts w:hint="eastAsia" w:cs="宋体"/>
          <w:sz w:val="24"/>
          <w:highlight w:val="white"/>
        </w:rPr>
      </w:pPr>
      <w:r>
        <w:rPr>
          <w:rFonts w:hint="eastAsia" w:cs="宋体"/>
          <w:sz w:val="24"/>
          <w:highlight w:val="white"/>
        </w:rPr>
        <w:t>六、第一信封所需其他材料</w:t>
      </w:r>
    </w:p>
    <w:p w14:paraId="7CB93771">
      <w:pPr>
        <w:pStyle w:val="39"/>
        <w:rPr>
          <w:rFonts w:hint="eastAsia" w:cs="宋体"/>
        </w:rPr>
      </w:pPr>
      <w:bookmarkStart w:id="853" w:name="_Toc40261853"/>
      <w:r>
        <w:rPr>
          <w:rFonts w:hint="eastAsia" w:cs="宋体"/>
          <w:highlight w:val="white"/>
        </w:rPr>
        <w:br w:type="page"/>
      </w:r>
      <w:r>
        <w:rPr>
          <w:rFonts w:hint="eastAsia" w:cs="宋体"/>
          <w:highlight w:val="white"/>
        </w:rPr>
        <w:t>一、投标函及投标函附录</w:t>
      </w:r>
      <w:bookmarkEnd w:id="853"/>
    </w:p>
    <w:p w14:paraId="336AEACE">
      <w:pPr>
        <w:pStyle w:val="44"/>
        <w:wordWrap w:val="0"/>
        <w:spacing w:before="120" w:beforeLines="50" w:after="120" w:afterLines="50" w:line="400" w:lineRule="exact"/>
        <w:jc w:val="center"/>
        <w:rPr>
          <w:rFonts w:hint="eastAsia" w:ascii="宋体" w:hAnsi="宋体" w:cs="宋体"/>
          <w:sz w:val="24"/>
        </w:rPr>
      </w:pPr>
      <w:bookmarkStart w:id="854" w:name="_Toc234382958"/>
      <w:bookmarkStart w:id="855" w:name="_Toc25084"/>
      <w:r>
        <w:rPr>
          <w:rFonts w:hint="eastAsia" w:ascii="宋体" w:hAnsi="宋体" w:cs="宋体"/>
          <w:sz w:val="24"/>
          <w:highlight w:val="white"/>
        </w:rPr>
        <w:t>（一）投标函</w:t>
      </w:r>
      <w:bookmarkEnd w:id="854"/>
      <w:r>
        <w:rPr>
          <w:rFonts w:hint="eastAsia" w:ascii="宋体" w:hAnsi="宋体" w:cs="宋体"/>
          <w:sz w:val="24"/>
          <w:highlight w:val="white"/>
        </w:rPr>
        <w:t>（用于商务文件中）</w:t>
      </w:r>
      <w:bookmarkEnd w:id="855"/>
    </w:p>
    <w:p w14:paraId="433E85F1">
      <w:pPr>
        <w:wordWrap w:val="0"/>
        <w:spacing w:line="36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14:paraId="0E22C818">
      <w:pPr>
        <w:wordWrap w:val="0"/>
        <w:spacing w:line="360" w:lineRule="exact"/>
        <w:rPr>
          <w:rFonts w:hint="eastAsia" w:ascii="宋体" w:hAnsi="宋体" w:cs="宋体"/>
          <w:szCs w:val="21"/>
        </w:rPr>
      </w:pPr>
    </w:p>
    <w:p w14:paraId="01AF9B0C">
      <w:pPr>
        <w:wordWrap w:val="0"/>
        <w:spacing w:line="360" w:lineRule="exact"/>
        <w:ind w:firstLine="420" w:firstLineChars="200"/>
        <w:rPr>
          <w:rFonts w:hint="eastAsia" w:ascii="宋体" w:hAnsi="宋体" w:cs="宋体"/>
          <w:szCs w:val="21"/>
        </w:rPr>
      </w:pPr>
      <w:r>
        <w:rPr>
          <w:rFonts w:hint="eastAsia" w:ascii="宋体" w:hAnsi="宋体" w:cs="宋体"/>
          <w:szCs w:val="21"/>
        </w:rPr>
        <w:t>1.我方已仔细研究了</w:t>
      </w:r>
      <w:r>
        <w:rPr>
          <w:rFonts w:hint="eastAsia" w:ascii="宋体" w:hAnsi="宋体" w:cs="宋体"/>
          <w:szCs w:val="21"/>
          <w:u w:val="single"/>
        </w:rPr>
        <w:t xml:space="preserve">            </w:t>
      </w:r>
      <w:r>
        <w:rPr>
          <w:rFonts w:hint="eastAsia" w:ascii="宋体" w:hAnsi="宋体" w:cs="宋体"/>
          <w:szCs w:val="21"/>
        </w:rPr>
        <w:t>（项目名称）施工招标文件的全部内容（含补遗书第</w:t>
      </w:r>
      <w:r>
        <w:rPr>
          <w:rFonts w:hint="eastAsia" w:ascii="宋体" w:hAnsi="宋体" w:cs="宋体"/>
          <w:szCs w:val="21"/>
          <w:u w:val="single"/>
        </w:rPr>
        <w:t xml:space="preserve">  </w:t>
      </w:r>
      <w:r>
        <w:rPr>
          <w:rFonts w:hint="eastAsia" w:ascii="宋体" w:hAnsi="宋体" w:cs="宋体"/>
          <w:szCs w:val="21"/>
        </w:rPr>
        <w:t>号至第</w:t>
      </w:r>
      <w:r>
        <w:rPr>
          <w:rFonts w:hint="eastAsia" w:ascii="宋体" w:hAnsi="宋体" w:cs="宋体"/>
          <w:szCs w:val="21"/>
          <w:u w:val="single"/>
        </w:rPr>
        <w:t xml:space="preserve">  </w:t>
      </w:r>
      <w:r>
        <w:rPr>
          <w:rFonts w:hint="eastAsia" w:ascii="宋体" w:hAnsi="宋体" w:cs="宋体"/>
          <w:szCs w:val="21"/>
        </w:rPr>
        <w:t>号），在考察工程现场后，愿意以人民币（大写）</w:t>
      </w:r>
      <w:r>
        <w:rPr>
          <w:rFonts w:hint="eastAsia" w:ascii="宋体" w:hAnsi="宋体" w:cs="宋体"/>
          <w:szCs w:val="21"/>
          <w:u w:val="single"/>
        </w:rPr>
        <w:t xml:space="preserve">       </w:t>
      </w:r>
      <w:r>
        <w:rPr>
          <w:rFonts w:hint="eastAsia" w:ascii="宋体" w:hAnsi="宋体" w:cs="宋体"/>
          <w:szCs w:val="21"/>
        </w:rPr>
        <w:t>圆（¥</w:t>
      </w:r>
      <w:r>
        <w:rPr>
          <w:rFonts w:hint="eastAsia" w:ascii="宋体" w:hAnsi="宋体" w:cs="宋体"/>
          <w:szCs w:val="21"/>
          <w:u w:val="single"/>
        </w:rPr>
        <w:t xml:space="preserve">       </w:t>
      </w:r>
      <w:r>
        <w:rPr>
          <w:rFonts w:hint="eastAsia" w:ascii="宋体" w:hAnsi="宋体" w:cs="宋体"/>
          <w:szCs w:val="21"/>
        </w:rPr>
        <w:t>元）的投标总报价，或根据招标文件规定修正核实后确定的另一金额，工期</w:t>
      </w:r>
      <w:r>
        <w:rPr>
          <w:rFonts w:hint="eastAsia" w:ascii="宋体" w:hAnsi="宋体" w:cs="宋体"/>
          <w:szCs w:val="21"/>
          <w:u w:val="single"/>
        </w:rPr>
        <w:t xml:space="preserve">   </w:t>
      </w:r>
      <w:r>
        <w:rPr>
          <w:rFonts w:hint="eastAsia" w:ascii="宋体" w:hAnsi="宋体" w:cs="宋体"/>
          <w:szCs w:val="21"/>
        </w:rPr>
        <w:t>□日历天/□</w:t>
      </w:r>
      <w:r>
        <w:rPr>
          <w:rFonts w:hint="eastAsia" w:ascii="宋体" w:hAnsi="宋体" w:cs="宋体"/>
          <w:szCs w:val="21"/>
          <w:u w:val="single"/>
        </w:rPr>
        <w:t xml:space="preserve">    </w:t>
      </w:r>
      <w:r>
        <w:rPr>
          <w:rFonts w:hint="eastAsia" w:ascii="宋体" w:hAnsi="宋体" w:cs="宋体"/>
          <w:szCs w:val="21"/>
        </w:rPr>
        <w:t>个月，按合同约定实施和完成承包工程，修补工程中的任何缺陷，工程质量达到</w:t>
      </w:r>
      <w:r>
        <w:rPr>
          <w:rFonts w:hint="eastAsia" w:ascii="宋体" w:hAnsi="宋体" w:cs="宋体"/>
          <w:szCs w:val="21"/>
          <w:u w:val="single"/>
        </w:rPr>
        <w:t xml:space="preserve"> 招标文件规定的质量要求</w:t>
      </w:r>
      <w:r>
        <w:rPr>
          <w:rFonts w:hint="eastAsia" w:ascii="宋体" w:hAnsi="宋体" w:cs="宋体"/>
          <w:szCs w:val="21"/>
        </w:rPr>
        <w:t>。</w:t>
      </w:r>
    </w:p>
    <w:p w14:paraId="6BE25CBD">
      <w:pPr>
        <w:wordWrap w:val="0"/>
        <w:spacing w:line="360" w:lineRule="exact"/>
        <w:ind w:firstLine="420" w:firstLineChars="200"/>
        <w:rPr>
          <w:rFonts w:hint="eastAsia" w:ascii="宋体" w:hAnsi="宋体" w:cs="宋体"/>
          <w:szCs w:val="21"/>
        </w:rPr>
      </w:pPr>
      <w:r>
        <w:rPr>
          <w:rFonts w:hint="eastAsia" w:ascii="宋体" w:hAnsi="宋体" w:cs="宋体"/>
          <w:szCs w:val="21"/>
        </w:rPr>
        <w:t>2.我方承诺在投标有效期内不修改、撤销投标文件。</w:t>
      </w:r>
    </w:p>
    <w:p w14:paraId="0C95CA6D">
      <w:pPr>
        <w:wordWrap w:val="0"/>
        <w:spacing w:line="360" w:lineRule="exact"/>
        <w:ind w:firstLine="420" w:firstLineChars="200"/>
        <w:rPr>
          <w:rFonts w:hint="eastAsia" w:ascii="宋体" w:hAnsi="宋体" w:cs="宋体"/>
          <w:szCs w:val="21"/>
        </w:rPr>
      </w:pPr>
      <w:r>
        <w:rPr>
          <w:rFonts w:hint="eastAsia" w:ascii="宋体" w:hAnsi="宋体" w:cs="宋体"/>
          <w:szCs w:val="21"/>
        </w:rPr>
        <w:t>3.随同本投标函提交○投标保证金/○银行保函/○年度保证金收讫证明/○保函一份，金额为人民币（大写）</w:t>
      </w:r>
      <w:r>
        <w:rPr>
          <w:rFonts w:hint="eastAsia" w:ascii="宋体" w:hAnsi="宋体" w:cs="宋体"/>
          <w:szCs w:val="21"/>
          <w:u w:val="single"/>
        </w:rPr>
        <w:t xml:space="preserve">     </w:t>
      </w:r>
      <w:r>
        <w:rPr>
          <w:rFonts w:hint="eastAsia" w:ascii="宋体" w:hAnsi="宋体" w:cs="宋体"/>
          <w:szCs w:val="21"/>
        </w:rPr>
        <w:t>圆（¥</w:t>
      </w:r>
      <w:r>
        <w:rPr>
          <w:rFonts w:hint="eastAsia" w:ascii="宋体" w:hAnsi="宋体" w:cs="宋体"/>
          <w:szCs w:val="21"/>
          <w:u w:val="single"/>
        </w:rPr>
        <w:t xml:space="preserve">    </w:t>
      </w:r>
      <w:r>
        <w:rPr>
          <w:rFonts w:hint="eastAsia" w:ascii="宋体" w:hAnsi="宋体" w:cs="宋体"/>
          <w:szCs w:val="21"/>
        </w:rPr>
        <w:t>元）。</w:t>
      </w:r>
    </w:p>
    <w:p w14:paraId="3945A9D5">
      <w:pPr>
        <w:wordWrap w:val="0"/>
        <w:spacing w:line="360" w:lineRule="exact"/>
        <w:ind w:firstLine="420" w:firstLineChars="200"/>
        <w:rPr>
          <w:rFonts w:hint="eastAsia" w:ascii="宋体" w:hAnsi="宋体" w:cs="宋体"/>
          <w:szCs w:val="21"/>
        </w:rPr>
      </w:pPr>
      <w:r>
        <w:rPr>
          <w:rFonts w:hint="eastAsia" w:ascii="宋体" w:hAnsi="宋体" w:cs="宋体"/>
          <w:szCs w:val="21"/>
        </w:rPr>
        <w:t>4.如我方中标：</w:t>
      </w:r>
    </w:p>
    <w:p w14:paraId="2B9FE55C">
      <w:pPr>
        <w:wordWrap w:val="0"/>
        <w:spacing w:line="360" w:lineRule="exact"/>
        <w:ind w:firstLine="420" w:firstLineChars="200"/>
        <w:rPr>
          <w:rFonts w:hint="eastAsia" w:ascii="宋体" w:hAnsi="宋体" w:cs="宋体"/>
          <w:szCs w:val="21"/>
        </w:rPr>
      </w:pPr>
      <w:r>
        <w:rPr>
          <w:rFonts w:hint="eastAsia" w:ascii="宋体" w:hAnsi="宋体" w:cs="宋体"/>
          <w:szCs w:val="21"/>
        </w:rPr>
        <w:t>（1）我方承诺在收到中标通知书后，在中标通知书规定的期限内与你方签订合同。</w:t>
      </w:r>
    </w:p>
    <w:p w14:paraId="62204824">
      <w:pPr>
        <w:wordWrap w:val="0"/>
        <w:spacing w:line="360" w:lineRule="exact"/>
        <w:ind w:firstLine="420" w:firstLineChars="200"/>
        <w:rPr>
          <w:rFonts w:hint="eastAsia" w:ascii="宋体" w:hAnsi="宋体" w:cs="宋体"/>
          <w:szCs w:val="21"/>
        </w:rPr>
      </w:pPr>
      <w:r>
        <w:rPr>
          <w:rFonts w:hint="eastAsia" w:ascii="宋体" w:hAnsi="宋体" w:cs="宋体"/>
          <w:szCs w:val="21"/>
        </w:rPr>
        <w:t>（2）随同本投标函递交的投标函附录属于合同文件的组成部分。</w:t>
      </w:r>
    </w:p>
    <w:p w14:paraId="6053F18F">
      <w:pPr>
        <w:wordWrap w:val="0"/>
        <w:spacing w:line="360" w:lineRule="exact"/>
        <w:ind w:firstLine="420" w:firstLineChars="200"/>
        <w:rPr>
          <w:rFonts w:hint="eastAsia" w:ascii="宋体" w:hAnsi="宋体" w:cs="宋体"/>
          <w:szCs w:val="21"/>
        </w:rPr>
      </w:pPr>
      <w:r>
        <w:rPr>
          <w:rFonts w:hint="eastAsia" w:ascii="宋体" w:hAnsi="宋体" w:cs="宋体"/>
          <w:szCs w:val="21"/>
        </w:rPr>
        <w:t>（3）我方承诺按照招标文件规定向你方递交履约银行保函。</w:t>
      </w:r>
    </w:p>
    <w:p w14:paraId="4919F10C">
      <w:pPr>
        <w:wordWrap w:val="0"/>
        <w:spacing w:line="360" w:lineRule="exact"/>
        <w:ind w:firstLine="420" w:firstLineChars="200"/>
        <w:rPr>
          <w:rFonts w:hint="eastAsia" w:ascii="宋体" w:hAnsi="宋体" w:cs="宋体"/>
          <w:szCs w:val="21"/>
        </w:rPr>
      </w:pPr>
      <w:r>
        <w:rPr>
          <w:rFonts w:hint="eastAsia" w:ascii="宋体" w:hAnsi="宋体" w:cs="宋体"/>
          <w:szCs w:val="21"/>
        </w:rPr>
        <w:t>（4）我方承诺在合同约定的期限内完成并移交全部合同工程。</w:t>
      </w:r>
    </w:p>
    <w:p w14:paraId="288CE5D3">
      <w:pPr>
        <w:wordWrap w:val="0"/>
        <w:spacing w:line="360" w:lineRule="exact"/>
        <w:ind w:firstLine="420" w:firstLineChars="200"/>
        <w:rPr>
          <w:rFonts w:hint="eastAsia" w:ascii="宋体" w:hAnsi="宋体" w:cs="宋体"/>
          <w:szCs w:val="21"/>
        </w:rPr>
      </w:pPr>
      <w:r>
        <w:rPr>
          <w:rFonts w:hint="eastAsia" w:ascii="宋体" w:hAnsi="宋体" w:cs="宋体"/>
          <w:szCs w:val="21"/>
        </w:rPr>
        <w:t>5.我方在此声明，所递交的投标文件及有关资料内容完整、真实和准确，且不存在第二章“投标人须知”第1.4.3项规定的任何一种情形。</w:t>
      </w:r>
    </w:p>
    <w:p w14:paraId="6C6534C2">
      <w:pPr>
        <w:wordWrap w:val="0"/>
        <w:spacing w:line="360" w:lineRule="exact"/>
        <w:ind w:firstLine="420" w:firstLineChars="200"/>
        <w:rPr>
          <w:rFonts w:hint="eastAsia" w:ascii="宋体" w:hAnsi="宋体" w:cs="宋体"/>
          <w:szCs w:val="21"/>
        </w:rPr>
      </w:pPr>
      <w:r>
        <w:rPr>
          <w:rFonts w:hint="eastAsia" w:ascii="宋体" w:hAnsi="宋体" w:cs="宋体"/>
          <w:szCs w:val="21"/>
        </w:rPr>
        <w:t>6.在合同协议书正式签署生效之前，本投标函连同你方的中标通知书将构成我们双方之间共同遵守的文件，对双方具有约束力。</w:t>
      </w:r>
    </w:p>
    <w:p w14:paraId="608E9467">
      <w:pPr>
        <w:wordWrap w:val="0"/>
        <w:spacing w:line="360" w:lineRule="exact"/>
        <w:rPr>
          <w:rFonts w:hint="eastAsia" w:ascii="宋体" w:hAnsi="宋体" w:cs="宋体"/>
          <w:szCs w:val="21"/>
        </w:rPr>
      </w:pPr>
    </w:p>
    <w:p w14:paraId="62A3FDF9">
      <w:pPr>
        <w:wordWrap w:val="0"/>
        <w:spacing w:line="360" w:lineRule="auto"/>
        <w:rPr>
          <w:rFonts w:hint="eastAsia" w:ascii="宋体" w:hAnsi="宋体" w:cs="宋体"/>
          <w:szCs w:val="21"/>
        </w:rPr>
      </w:pPr>
      <w:r>
        <w:rPr>
          <w:rFonts w:hint="eastAsia" w:ascii="宋体" w:hAnsi="宋体" w:cs="宋体"/>
          <w:szCs w:val="21"/>
        </w:rPr>
        <w:t xml:space="preserve">                     地址：</w:t>
      </w:r>
      <w:r>
        <w:rPr>
          <w:rFonts w:hint="eastAsia" w:ascii="宋体" w:hAnsi="宋体" w:cs="宋体"/>
          <w:szCs w:val="21"/>
          <w:u w:val="single"/>
        </w:rPr>
        <w:t xml:space="preserve">                                     </w:t>
      </w:r>
    </w:p>
    <w:p w14:paraId="504F4496">
      <w:pPr>
        <w:wordWrap w:val="0"/>
        <w:spacing w:line="360" w:lineRule="auto"/>
        <w:rPr>
          <w:rFonts w:hint="eastAsia" w:ascii="宋体" w:hAnsi="宋体" w:cs="宋体"/>
          <w:szCs w:val="21"/>
        </w:rPr>
      </w:pPr>
      <w:r>
        <w:rPr>
          <w:rFonts w:hint="eastAsia" w:ascii="宋体" w:hAnsi="宋体" w:cs="宋体"/>
          <w:szCs w:val="21"/>
        </w:rPr>
        <w:t xml:space="preserve">                     网址：</w:t>
      </w:r>
      <w:r>
        <w:rPr>
          <w:rFonts w:hint="eastAsia" w:ascii="宋体" w:hAnsi="宋体" w:cs="宋体"/>
          <w:szCs w:val="21"/>
          <w:u w:val="single"/>
        </w:rPr>
        <w:t xml:space="preserve">                                     </w:t>
      </w:r>
    </w:p>
    <w:p w14:paraId="1616E266">
      <w:pPr>
        <w:wordWrap w:val="0"/>
        <w:spacing w:line="360" w:lineRule="auto"/>
        <w:rPr>
          <w:rFonts w:hint="eastAsia" w:ascii="宋体" w:hAnsi="宋体" w:cs="宋体"/>
          <w:szCs w:val="21"/>
        </w:rPr>
      </w:pPr>
      <w:r>
        <w:rPr>
          <w:rFonts w:hint="eastAsia" w:ascii="宋体" w:hAnsi="宋体" w:cs="宋体"/>
          <w:szCs w:val="21"/>
        </w:rPr>
        <w:t xml:space="preserve">                     电话：</w:t>
      </w:r>
      <w:r>
        <w:rPr>
          <w:rFonts w:hint="eastAsia" w:ascii="宋体" w:hAnsi="宋体" w:cs="宋体"/>
          <w:szCs w:val="21"/>
          <w:u w:val="single"/>
        </w:rPr>
        <w:t xml:space="preserve">                                     </w:t>
      </w:r>
    </w:p>
    <w:p w14:paraId="244A866C">
      <w:pPr>
        <w:wordWrap w:val="0"/>
        <w:spacing w:line="360" w:lineRule="auto"/>
        <w:rPr>
          <w:rFonts w:hint="eastAsia" w:ascii="宋体" w:hAnsi="宋体" w:cs="宋体"/>
          <w:szCs w:val="21"/>
        </w:rPr>
      </w:pPr>
      <w:r>
        <w:rPr>
          <w:rFonts w:hint="eastAsia" w:ascii="宋体" w:hAnsi="宋体" w:cs="宋体"/>
          <w:szCs w:val="21"/>
        </w:rPr>
        <w:t xml:space="preserve">                     传真：</w:t>
      </w:r>
      <w:r>
        <w:rPr>
          <w:rFonts w:hint="eastAsia" w:ascii="宋体" w:hAnsi="宋体" w:cs="宋体"/>
          <w:szCs w:val="21"/>
          <w:u w:val="single"/>
        </w:rPr>
        <w:t xml:space="preserve">                                     </w:t>
      </w:r>
    </w:p>
    <w:p w14:paraId="263803CF">
      <w:pPr>
        <w:wordWrap w:val="0"/>
        <w:spacing w:line="360" w:lineRule="auto"/>
        <w:rPr>
          <w:rFonts w:hint="eastAsia" w:ascii="宋体" w:hAnsi="宋体" w:cs="宋体"/>
          <w:szCs w:val="21"/>
        </w:rPr>
      </w:pPr>
      <w:r>
        <w:rPr>
          <w:rFonts w:hint="eastAsia" w:ascii="宋体" w:hAnsi="宋体" w:cs="宋体"/>
          <w:szCs w:val="21"/>
        </w:rPr>
        <w:t xml:space="preserve">                     邮政编码：</w:t>
      </w:r>
      <w:r>
        <w:rPr>
          <w:rFonts w:hint="eastAsia" w:ascii="宋体" w:hAnsi="宋体" w:cs="宋体"/>
          <w:szCs w:val="21"/>
          <w:u w:val="single"/>
        </w:rPr>
        <w:t xml:space="preserve">                                 </w:t>
      </w:r>
    </w:p>
    <w:p w14:paraId="388D2322">
      <w:pPr>
        <w:tabs>
          <w:tab w:val="left" w:pos="2977"/>
          <w:tab w:val="left" w:pos="3261"/>
        </w:tabs>
        <w:wordWrap w:val="0"/>
        <w:spacing w:line="360" w:lineRule="auto"/>
        <w:ind w:right="105"/>
        <w:jc w:val="right"/>
        <w:rPr>
          <w:rFonts w:hint="eastAsia" w:ascii="宋体" w:hAnsi="宋体" w:cs="宋体"/>
          <w:szCs w:val="21"/>
        </w:rPr>
      </w:pPr>
    </w:p>
    <w:p w14:paraId="6D527069">
      <w:pPr>
        <w:tabs>
          <w:tab w:val="left" w:pos="2977"/>
          <w:tab w:val="left" w:pos="3261"/>
        </w:tabs>
        <w:wordWrap w:val="0"/>
        <w:spacing w:line="480" w:lineRule="auto"/>
        <w:ind w:right="105"/>
        <w:jc w:val="right"/>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（盖章）</w:t>
      </w:r>
    </w:p>
    <w:p w14:paraId="7EFC7262">
      <w:pPr>
        <w:tabs>
          <w:tab w:val="left" w:pos="2977"/>
          <w:tab w:val="left" w:pos="3261"/>
        </w:tabs>
        <w:wordWrap w:val="0"/>
        <w:spacing w:line="480" w:lineRule="auto"/>
        <w:ind w:right="105"/>
        <w:jc w:val="right"/>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（签字或盖章）</w:t>
      </w:r>
    </w:p>
    <w:p w14:paraId="09E40CB9">
      <w:pPr>
        <w:wordWrap w:val="0"/>
        <w:spacing w:line="480" w:lineRule="auto"/>
        <w:jc w:val="righ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8F48419">
      <w:pPr>
        <w:pStyle w:val="44"/>
        <w:wordWrap w:val="0"/>
        <w:spacing w:line="360" w:lineRule="exact"/>
        <w:ind w:right="525"/>
        <w:jc w:val="right"/>
        <w:rPr>
          <w:rFonts w:hint="eastAsia" w:ascii="宋体" w:hAnsi="宋体" w:cs="宋体"/>
          <w:szCs w:val="21"/>
        </w:rPr>
      </w:pPr>
    </w:p>
    <w:p w14:paraId="1F5A71DD">
      <w:pPr>
        <w:pStyle w:val="44"/>
        <w:wordWrap w:val="0"/>
        <w:spacing w:line="360" w:lineRule="exact"/>
        <w:ind w:right="525"/>
        <w:jc w:val="right"/>
        <w:rPr>
          <w:rFonts w:hint="eastAsia" w:ascii="宋体" w:hAnsi="宋体" w:cs="宋体"/>
          <w:szCs w:val="21"/>
        </w:rPr>
      </w:pPr>
    </w:p>
    <w:p w14:paraId="33A13701">
      <w:pPr>
        <w:pStyle w:val="44"/>
        <w:wordWrap w:val="0"/>
        <w:spacing w:after="240" w:afterLines="100" w:line="360" w:lineRule="exact"/>
        <w:jc w:val="left"/>
        <w:rPr>
          <w:rFonts w:hint="eastAsia" w:ascii="宋体" w:hAnsi="宋体" w:cs="宋体"/>
          <w:sz w:val="24"/>
        </w:rPr>
      </w:pPr>
      <w:bookmarkStart w:id="856" w:name="_Toc234382959"/>
      <w:r>
        <w:rPr>
          <w:rFonts w:hint="eastAsia" w:ascii="宋体" w:hAnsi="宋体" w:cs="宋体"/>
          <w:sz w:val="24"/>
          <w:highlight w:val="white"/>
        </w:rPr>
        <w:br w:type="page"/>
      </w:r>
      <w:r>
        <w:rPr>
          <w:rFonts w:hint="eastAsia" w:ascii="宋体" w:hAnsi="宋体" w:cs="宋体"/>
          <w:sz w:val="24"/>
          <w:highlight w:val="white"/>
        </w:rPr>
        <w:t>（二）投标函附录</w:t>
      </w:r>
      <w:bookmarkEnd w:id="856"/>
      <w:r>
        <w:rPr>
          <w:rFonts w:hint="eastAsia" w:ascii="宋体" w:hAnsi="宋体" w:cs="宋体"/>
          <w:sz w:val="18"/>
          <w:szCs w:val="18"/>
          <w:highlight w:val="white"/>
        </w:rPr>
        <w:t>（与项目专用条款数据表一致）</w:t>
      </w:r>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50"/>
        <w:gridCol w:w="2117"/>
        <w:gridCol w:w="1291"/>
        <w:gridCol w:w="3695"/>
        <w:gridCol w:w="745"/>
      </w:tblGrid>
      <w:tr w14:paraId="15C288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3" w:hRule="atLeast"/>
          <w:tblHeader/>
          <w:jc w:val="center"/>
        </w:trPr>
        <w:tc>
          <w:tcPr>
            <w:tcW w:w="650" w:type="dxa"/>
            <w:tcBorders>
              <w:top w:val="single" w:color="auto" w:sz="12" w:space="0"/>
              <w:left w:val="single" w:color="auto" w:sz="12" w:space="0"/>
              <w:bottom w:val="single" w:color="auto" w:sz="6" w:space="0"/>
              <w:right w:val="single" w:color="auto" w:sz="6" w:space="0"/>
            </w:tcBorders>
            <w:noWrap w:val="0"/>
            <w:vAlign w:val="center"/>
          </w:tcPr>
          <w:p w14:paraId="68EC6DA2">
            <w:pPr>
              <w:pStyle w:val="44"/>
              <w:wordWrap w:val="0"/>
              <w:spacing w:line="360" w:lineRule="auto"/>
              <w:jc w:val="center"/>
              <w:rPr>
                <w:rFonts w:hint="eastAsia" w:ascii="宋体" w:hAnsi="宋体" w:cs="宋体"/>
                <w:b/>
                <w:bCs/>
                <w:szCs w:val="21"/>
              </w:rPr>
            </w:pPr>
            <w:r>
              <w:rPr>
                <w:rFonts w:hint="eastAsia" w:ascii="宋体" w:hAnsi="宋体" w:cs="宋体"/>
                <w:b/>
                <w:bCs/>
                <w:szCs w:val="21"/>
                <w:highlight w:val="white"/>
              </w:rPr>
              <w:t>序号</w:t>
            </w:r>
          </w:p>
        </w:tc>
        <w:tc>
          <w:tcPr>
            <w:tcW w:w="2117" w:type="dxa"/>
            <w:tcBorders>
              <w:top w:val="single" w:color="auto" w:sz="12" w:space="0"/>
              <w:left w:val="single" w:color="auto" w:sz="6" w:space="0"/>
              <w:bottom w:val="single" w:color="auto" w:sz="6" w:space="0"/>
              <w:right w:val="single" w:color="auto" w:sz="6" w:space="0"/>
            </w:tcBorders>
            <w:noWrap w:val="0"/>
            <w:vAlign w:val="center"/>
          </w:tcPr>
          <w:p w14:paraId="279D7FB9">
            <w:pPr>
              <w:pStyle w:val="44"/>
              <w:wordWrap w:val="0"/>
              <w:spacing w:line="360" w:lineRule="auto"/>
              <w:jc w:val="center"/>
              <w:rPr>
                <w:rFonts w:hint="eastAsia" w:ascii="宋体" w:hAnsi="宋体" w:cs="宋体"/>
                <w:b/>
                <w:bCs/>
                <w:szCs w:val="21"/>
              </w:rPr>
            </w:pPr>
            <w:r>
              <w:rPr>
                <w:rFonts w:hint="eastAsia" w:ascii="宋体" w:hAnsi="宋体" w:cs="宋体"/>
                <w:b/>
                <w:bCs/>
                <w:szCs w:val="21"/>
                <w:highlight w:val="white"/>
              </w:rPr>
              <w:t>条款名称</w:t>
            </w:r>
          </w:p>
        </w:tc>
        <w:tc>
          <w:tcPr>
            <w:tcW w:w="1291" w:type="dxa"/>
            <w:tcBorders>
              <w:top w:val="single" w:color="auto" w:sz="12" w:space="0"/>
              <w:left w:val="single" w:color="auto" w:sz="6" w:space="0"/>
              <w:bottom w:val="single" w:color="auto" w:sz="6" w:space="0"/>
              <w:right w:val="single" w:color="auto" w:sz="6" w:space="0"/>
            </w:tcBorders>
            <w:noWrap w:val="0"/>
            <w:vAlign w:val="center"/>
          </w:tcPr>
          <w:p w14:paraId="297A4DCA">
            <w:pPr>
              <w:pStyle w:val="44"/>
              <w:wordWrap w:val="0"/>
              <w:spacing w:line="360" w:lineRule="auto"/>
              <w:jc w:val="center"/>
              <w:rPr>
                <w:rFonts w:hint="eastAsia" w:ascii="宋体" w:hAnsi="宋体" w:cs="宋体"/>
                <w:b/>
                <w:bCs/>
                <w:szCs w:val="21"/>
              </w:rPr>
            </w:pPr>
            <w:r>
              <w:rPr>
                <w:rFonts w:hint="eastAsia" w:ascii="宋体" w:hAnsi="宋体" w:cs="宋体"/>
                <w:b/>
                <w:bCs/>
                <w:szCs w:val="21"/>
                <w:highlight w:val="white"/>
              </w:rPr>
              <w:t>合同条目号</w:t>
            </w:r>
          </w:p>
        </w:tc>
        <w:tc>
          <w:tcPr>
            <w:tcW w:w="3695" w:type="dxa"/>
            <w:tcBorders>
              <w:top w:val="single" w:color="auto" w:sz="12" w:space="0"/>
              <w:left w:val="single" w:color="auto" w:sz="6" w:space="0"/>
              <w:bottom w:val="single" w:color="auto" w:sz="6" w:space="0"/>
              <w:right w:val="single" w:color="auto" w:sz="6" w:space="0"/>
            </w:tcBorders>
            <w:noWrap w:val="0"/>
            <w:vAlign w:val="center"/>
          </w:tcPr>
          <w:p w14:paraId="212CA76D">
            <w:pPr>
              <w:pStyle w:val="44"/>
              <w:wordWrap w:val="0"/>
              <w:spacing w:line="360" w:lineRule="auto"/>
              <w:jc w:val="center"/>
              <w:rPr>
                <w:rFonts w:hint="eastAsia" w:ascii="宋体" w:hAnsi="宋体" w:cs="宋体"/>
                <w:b/>
                <w:bCs/>
                <w:szCs w:val="21"/>
              </w:rPr>
            </w:pPr>
            <w:r>
              <w:rPr>
                <w:rFonts w:hint="eastAsia" w:ascii="宋体" w:hAnsi="宋体" w:cs="宋体"/>
                <w:b/>
                <w:bCs/>
                <w:szCs w:val="21"/>
                <w:highlight w:val="white"/>
              </w:rPr>
              <w:t>约定内容</w:t>
            </w:r>
          </w:p>
        </w:tc>
        <w:tc>
          <w:tcPr>
            <w:tcW w:w="745" w:type="dxa"/>
            <w:tcBorders>
              <w:top w:val="single" w:color="auto" w:sz="12" w:space="0"/>
              <w:left w:val="single" w:color="auto" w:sz="6" w:space="0"/>
              <w:bottom w:val="single" w:color="auto" w:sz="6" w:space="0"/>
              <w:right w:val="single" w:color="auto" w:sz="12" w:space="0"/>
            </w:tcBorders>
            <w:noWrap w:val="0"/>
            <w:vAlign w:val="center"/>
          </w:tcPr>
          <w:p w14:paraId="2D0A03BD">
            <w:pPr>
              <w:pStyle w:val="44"/>
              <w:wordWrap w:val="0"/>
              <w:spacing w:line="360" w:lineRule="auto"/>
              <w:jc w:val="center"/>
              <w:rPr>
                <w:rFonts w:hint="eastAsia" w:ascii="宋体" w:hAnsi="宋体" w:cs="宋体"/>
                <w:b/>
                <w:bCs/>
                <w:szCs w:val="21"/>
              </w:rPr>
            </w:pPr>
            <w:r>
              <w:rPr>
                <w:rFonts w:hint="eastAsia" w:ascii="宋体" w:hAnsi="宋体" w:cs="宋体"/>
                <w:b/>
                <w:bCs/>
                <w:szCs w:val="21"/>
                <w:highlight w:val="white"/>
              </w:rPr>
              <w:t>备注</w:t>
            </w:r>
          </w:p>
        </w:tc>
      </w:tr>
      <w:tr w14:paraId="1CD7A0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2F67E8D2">
            <w:pPr>
              <w:pStyle w:val="44"/>
              <w:wordWrap w:val="0"/>
              <w:jc w:val="center"/>
              <w:rPr>
                <w:rFonts w:hint="eastAsia" w:ascii="宋体" w:hAnsi="宋体" w:cs="宋体"/>
                <w:szCs w:val="21"/>
              </w:rPr>
            </w:pPr>
            <w:r>
              <w:rPr>
                <w:rFonts w:hint="eastAsia" w:ascii="宋体" w:hAnsi="宋体" w:cs="宋体"/>
                <w:szCs w:val="21"/>
                <w:highlight w:val="white"/>
              </w:rPr>
              <w:t>1</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29F5029D">
            <w:pPr>
              <w:pStyle w:val="44"/>
              <w:wordWrap w:val="0"/>
              <w:jc w:val="center"/>
              <w:rPr>
                <w:rFonts w:hint="eastAsia" w:ascii="宋体" w:hAnsi="宋体" w:cs="宋体"/>
                <w:szCs w:val="21"/>
              </w:rPr>
            </w:pPr>
            <w:r>
              <w:rPr>
                <w:rFonts w:hint="eastAsia" w:ascii="宋体" w:hAnsi="宋体" w:cs="宋体"/>
                <w:szCs w:val="21"/>
                <w:highlight w:val="white"/>
              </w:rPr>
              <w:t>缺陷责任期</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0B52BD0D">
            <w:pPr>
              <w:pStyle w:val="44"/>
              <w:wordWrap w:val="0"/>
              <w:jc w:val="center"/>
              <w:rPr>
                <w:rFonts w:hint="eastAsia" w:ascii="宋体" w:hAnsi="宋体" w:cs="宋体"/>
                <w:szCs w:val="21"/>
              </w:rPr>
            </w:pPr>
            <w:r>
              <w:rPr>
                <w:rFonts w:hint="eastAsia" w:ascii="宋体" w:hAnsi="宋体" w:cs="宋体"/>
                <w:szCs w:val="21"/>
                <w:highlight w:val="white"/>
              </w:rPr>
              <w:t>1.1.4.5</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3AB97202">
            <w:pPr>
              <w:pStyle w:val="44"/>
              <w:wordWrap w:val="0"/>
              <w:ind w:firstLine="210" w:firstLineChars="100"/>
              <w:rPr>
                <w:rFonts w:hint="eastAsia" w:ascii="宋体" w:hAnsi="宋体" w:cs="宋体"/>
                <w:szCs w:val="21"/>
              </w:rPr>
            </w:pPr>
            <w:r>
              <w:rPr>
                <w:rFonts w:hint="eastAsia" w:ascii="宋体" w:hAnsi="宋体" w:cs="宋体"/>
                <w:szCs w:val="21"/>
                <w:highlight w:val="white"/>
              </w:rPr>
              <w:t>自实际交工日期起计算</w:t>
            </w:r>
            <w:r>
              <w:rPr>
                <w:rFonts w:hint="eastAsia" w:ascii="宋体" w:hAnsi="宋体" w:cs="宋体"/>
                <w:szCs w:val="21"/>
                <w:highlight w:val="white"/>
                <w:u w:val="single"/>
              </w:rPr>
              <w:t xml:space="preserve">    </w:t>
            </w:r>
            <w:r>
              <w:rPr>
                <w:rFonts w:hint="eastAsia" w:ascii="宋体" w:hAnsi="宋体" w:cs="宋体"/>
                <w:szCs w:val="21"/>
                <w:highlight w:val="white"/>
              </w:rPr>
              <w:t>年</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5C088645">
            <w:pPr>
              <w:pStyle w:val="44"/>
              <w:wordWrap w:val="0"/>
              <w:spacing w:line="360" w:lineRule="auto"/>
              <w:jc w:val="center"/>
              <w:rPr>
                <w:rFonts w:hint="eastAsia" w:ascii="宋体" w:hAnsi="宋体" w:cs="宋体"/>
                <w:szCs w:val="21"/>
              </w:rPr>
            </w:pPr>
          </w:p>
        </w:tc>
      </w:tr>
      <w:tr w14:paraId="2C51CC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7A655829">
            <w:pPr>
              <w:pStyle w:val="44"/>
              <w:wordWrap w:val="0"/>
              <w:jc w:val="center"/>
              <w:rPr>
                <w:rFonts w:hint="eastAsia" w:ascii="宋体" w:hAnsi="宋体" w:cs="宋体"/>
                <w:szCs w:val="21"/>
              </w:rPr>
            </w:pPr>
            <w:r>
              <w:rPr>
                <w:rFonts w:hint="eastAsia" w:ascii="宋体" w:hAnsi="宋体" w:cs="宋体"/>
                <w:szCs w:val="21"/>
                <w:highlight w:val="white"/>
              </w:rPr>
              <w:t>2</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78AB3C03">
            <w:pPr>
              <w:pStyle w:val="44"/>
              <w:wordWrap w:val="0"/>
              <w:jc w:val="center"/>
              <w:rPr>
                <w:rFonts w:hint="eastAsia" w:ascii="宋体" w:hAnsi="宋体" w:cs="宋体"/>
                <w:szCs w:val="21"/>
              </w:rPr>
            </w:pPr>
            <w:r>
              <w:rPr>
                <w:rFonts w:hint="eastAsia" w:ascii="宋体" w:hAnsi="宋体" w:cs="宋体"/>
                <w:szCs w:val="21"/>
                <w:highlight w:val="white"/>
              </w:rPr>
              <w:t>逾期交工违约金</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34A978E1">
            <w:pPr>
              <w:pStyle w:val="44"/>
              <w:wordWrap w:val="0"/>
              <w:jc w:val="center"/>
              <w:rPr>
                <w:rFonts w:hint="eastAsia" w:ascii="宋体" w:hAnsi="宋体" w:cs="宋体"/>
                <w:szCs w:val="21"/>
              </w:rPr>
            </w:pPr>
            <w:r>
              <w:rPr>
                <w:rFonts w:hint="eastAsia" w:ascii="宋体" w:hAnsi="宋体" w:cs="宋体"/>
                <w:szCs w:val="21"/>
                <w:highlight w:val="white"/>
              </w:rPr>
              <w:t>11.5（3）</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0769B2C1">
            <w:pPr>
              <w:pStyle w:val="44"/>
              <w:wordWrap w:val="0"/>
              <w:ind w:firstLine="210" w:firstLineChars="100"/>
              <w:rPr>
                <w:rFonts w:hint="eastAsia" w:ascii="宋体" w:hAnsi="宋体" w:cs="宋体"/>
                <w:szCs w:val="21"/>
              </w:rPr>
            </w:pPr>
            <w:r>
              <w:rPr>
                <w:rFonts w:hint="eastAsia" w:ascii="宋体" w:hAnsi="宋体" w:cs="宋体"/>
                <w:szCs w:val="21"/>
                <w:highlight w:val="white"/>
              </w:rPr>
              <w:t>工期延误的违约金：</w:t>
            </w:r>
            <w:r>
              <w:rPr>
                <w:rFonts w:hint="eastAsia" w:ascii="宋体" w:hAnsi="宋体" w:cs="宋体"/>
                <w:szCs w:val="21"/>
                <w:highlight w:val="white"/>
                <w:u w:val="single"/>
              </w:rPr>
              <w:t xml:space="preserve">    </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67F861DB">
            <w:pPr>
              <w:pStyle w:val="44"/>
              <w:wordWrap w:val="0"/>
              <w:spacing w:line="360" w:lineRule="auto"/>
              <w:jc w:val="left"/>
              <w:rPr>
                <w:rFonts w:hint="eastAsia" w:ascii="宋体" w:hAnsi="宋体" w:cs="宋体"/>
                <w:kern w:val="0"/>
                <w:szCs w:val="21"/>
              </w:rPr>
            </w:pPr>
          </w:p>
        </w:tc>
      </w:tr>
      <w:tr w14:paraId="56ADEA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68743C48">
            <w:pPr>
              <w:pStyle w:val="44"/>
              <w:wordWrap w:val="0"/>
              <w:jc w:val="center"/>
              <w:rPr>
                <w:rFonts w:hint="eastAsia" w:ascii="宋体" w:hAnsi="宋体" w:cs="宋体"/>
                <w:szCs w:val="21"/>
              </w:rPr>
            </w:pPr>
            <w:r>
              <w:rPr>
                <w:rFonts w:hint="eastAsia" w:ascii="宋体" w:hAnsi="宋体" w:cs="宋体"/>
                <w:szCs w:val="21"/>
                <w:highlight w:val="white"/>
              </w:rPr>
              <w:t>3</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4D38677A">
            <w:pPr>
              <w:pStyle w:val="44"/>
              <w:wordWrap w:val="0"/>
              <w:jc w:val="center"/>
              <w:rPr>
                <w:rFonts w:hint="eastAsia" w:ascii="宋体" w:hAnsi="宋体" w:cs="宋体"/>
                <w:szCs w:val="21"/>
              </w:rPr>
            </w:pPr>
            <w:r>
              <w:rPr>
                <w:rFonts w:hint="eastAsia" w:ascii="宋体" w:hAnsi="宋体" w:cs="宋体"/>
                <w:szCs w:val="21"/>
                <w:highlight w:val="white"/>
              </w:rPr>
              <w:t>逾期交工违约金限额</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5B263246">
            <w:pPr>
              <w:pStyle w:val="44"/>
              <w:wordWrap w:val="0"/>
              <w:jc w:val="center"/>
              <w:rPr>
                <w:rFonts w:hint="eastAsia" w:ascii="宋体" w:hAnsi="宋体" w:cs="宋体"/>
                <w:szCs w:val="21"/>
              </w:rPr>
            </w:pPr>
            <w:r>
              <w:rPr>
                <w:rFonts w:hint="eastAsia" w:ascii="宋体" w:hAnsi="宋体" w:cs="宋体"/>
                <w:szCs w:val="21"/>
                <w:highlight w:val="white"/>
              </w:rPr>
              <w:t>11.5（3）</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2AE9A4D9">
            <w:pPr>
              <w:pStyle w:val="44"/>
              <w:wordWrap w:val="0"/>
              <w:ind w:firstLine="210" w:firstLineChars="100"/>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%签约合同价</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332629F7">
            <w:pPr>
              <w:pStyle w:val="44"/>
              <w:wordWrap w:val="0"/>
              <w:spacing w:line="360" w:lineRule="auto"/>
              <w:jc w:val="center"/>
              <w:rPr>
                <w:rFonts w:hint="eastAsia" w:ascii="宋体" w:hAnsi="宋体" w:cs="宋体"/>
                <w:szCs w:val="21"/>
              </w:rPr>
            </w:pPr>
          </w:p>
        </w:tc>
      </w:tr>
      <w:tr w14:paraId="0F8388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482E4F80">
            <w:pPr>
              <w:pStyle w:val="44"/>
              <w:wordWrap w:val="0"/>
              <w:jc w:val="center"/>
              <w:rPr>
                <w:rFonts w:hint="eastAsia" w:ascii="宋体" w:hAnsi="宋体" w:cs="宋体"/>
                <w:szCs w:val="21"/>
              </w:rPr>
            </w:pPr>
            <w:r>
              <w:rPr>
                <w:rFonts w:hint="eastAsia" w:ascii="宋体" w:hAnsi="宋体" w:cs="宋体"/>
                <w:szCs w:val="21"/>
                <w:highlight w:val="white"/>
              </w:rPr>
              <w:t>4</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5D0FA117">
            <w:pPr>
              <w:pStyle w:val="44"/>
              <w:wordWrap w:val="0"/>
              <w:jc w:val="center"/>
              <w:rPr>
                <w:rFonts w:hint="eastAsia" w:ascii="宋体" w:hAnsi="宋体" w:cs="宋体"/>
                <w:szCs w:val="21"/>
              </w:rPr>
            </w:pPr>
            <w:r>
              <w:rPr>
                <w:rFonts w:hint="eastAsia" w:ascii="宋体" w:hAnsi="宋体" w:cs="宋体"/>
                <w:szCs w:val="21"/>
                <w:highlight w:val="white"/>
              </w:rPr>
              <w:t>提前交工的奖金</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5C7995DF">
            <w:pPr>
              <w:pStyle w:val="44"/>
              <w:wordWrap w:val="0"/>
              <w:jc w:val="center"/>
              <w:rPr>
                <w:rFonts w:hint="eastAsia" w:ascii="宋体" w:hAnsi="宋体" w:cs="宋体"/>
                <w:szCs w:val="21"/>
              </w:rPr>
            </w:pPr>
            <w:r>
              <w:rPr>
                <w:rFonts w:hint="eastAsia" w:ascii="宋体" w:hAnsi="宋体" w:cs="宋体"/>
                <w:szCs w:val="21"/>
                <w:highlight w:val="white"/>
              </w:rPr>
              <w:t>11.6</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1BD52AE7">
            <w:pPr>
              <w:pStyle w:val="44"/>
              <w:wordWrap w:val="0"/>
              <w:ind w:firstLine="210" w:firstLineChars="100"/>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元/天</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168E166B">
            <w:pPr>
              <w:pStyle w:val="44"/>
              <w:wordWrap w:val="0"/>
              <w:spacing w:line="360" w:lineRule="auto"/>
              <w:jc w:val="center"/>
              <w:rPr>
                <w:rFonts w:hint="eastAsia" w:ascii="宋体" w:hAnsi="宋体" w:cs="宋体"/>
                <w:szCs w:val="21"/>
              </w:rPr>
            </w:pPr>
          </w:p>
        </w:tc>
      </w:tr>
      <w:tr w14:paraId="481757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27505573">
            <w:pPr>
              <w:pStyle w:val="44"/>
              <w:wordWrap w:val="0"/>
              <w:jc w:val="center"/>
              <w:rPr>
                <w:rFonts w:hint="eastAsia" w:ascii="宋体" w:hAnsi="宋体" w:cs="宋体"/>
                <w:szCs w:val="21"/>
              </w:rPr>
            </w:pPr>
            <w:r>
              <w:rPr>
                <w:rFonts w:hint="eastAsia" w:ascii="宋体" w:hAnsi="宋体" w:cs="宋体"/>
                <w:szCs w:val="21"/>
                <w:highlight w:val="white"/>
              </w:rPr>
              <w:t>5</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0589484D">
            <w:pPr>
              <w:pStyle w:val="44"/>
              <w:wordWrap w:val="0"/>
              <w:jc w:val="center"/>
              <w:rPr>
                <w:rFonts w:hint="eastAsia" w:ascii="宋体" w:hAnsi="宋体" w:cs="宋体"/>
                <w:szCs w:val="21"/>
              </w:rPr>
            </w:pPr>
            <w:r>
              <w:rPr>
                <w:rFonts w:hint="eastAsia" w:ascii="宋体" w:hAnsi="宋体" w:cs="宋体"/>
                <w:szCs w:val="21"/>
                <w:highlight w:val="white"/>
              </w:rPr>
              <w:t>提前交工的奖金限额</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6F80F5A2">
            <w:pPr>
              <w:pStyle w:val="44"/>
              <w:wordWrap w:val="0"/>
              <w:jc w:val="center"/>
              <w:rPr>
                <w:rFonts w:hint="eastAsia" w:ascii="宋体" w:hAnsi="宋体" w:cs="宋体"/>
                <w:szCs w:val="21"/>
              </w:rPr>
            </w:pPr>
            <w:r>
              <w:rPr>
                <w:rFonts w:hint="eastAsia" w:ascii="宋体" w:hAnsi="宋体" w:cs="宋体"/>
                <w:szCs w:val="21"/>
                <w:highlight w:val="white"/>
              </w:rPr>
              <w:t>11.6</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50C1866A">
            <w:pPr>
              <w:pStyle w:val="44"/>
              <w:wordWrap w:val="0"/>
              <w:ind w:firstLine="210" w:firstLineChars="100"/>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%签约合同价</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4DC7F4E6">
            <w:pPr>
              <w:pStyle w:val="44"/>
              <w:wordWrap w:val="0"/>
              <w:spacing w:line="360" w:lineRule="auto"/>
              <w:jc w:val="center"/>
              <w:rPr>
                <w:rFonts w:hint="eastAsia" w:ascii="宋体" w:hAnsi="宋体" w:cs="宋体"/>
                <w:szCs w:val="21"/>
              </w:rPr>
            </w:pPr>
          </w:p>
        </w:tc>
      </w:tr>
      <w:tr w14:paraId="057F0F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014E1E53">
            <w:pPr>
              <w:pStyle w:val="44"/>
              <w:wordWrap w:val="0"/>
              <w:jc w:val="center"/>
              <w:rPr>
                <w:rFonts w:hint="eastAsia" w:ascii="宋体" w:hAnsi="宋体" w:cs="宋体"/>
                <w:szCs w:val="21"/>
              </w:rPr>
            </w:pPr>
            <w:r>
              <w:rPr>
                <w:rFonts w:hint="eastAsia" w:ascii="宋体" w:hAnsi="宋体" w:cs="宋体"/>
                <w:szCs w:val="21"/>
                <w:highlight w:val="white"/>
              </w:rPr>
              <w:t>6</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2A26A767">
            <w:pPr>
              <w:pStyle w:val="44"/>
              <w:wordWrap w:val="0"/>
              <w:jc w:val="center"/>
              <w:rPr>
                <w:rFonts w:hint="eastAsia" w:ascii="宋体" w:hAnsi="宋体" w:cs="宋体"/>
                <w:szCs w:val="21"/>
              </w:rPr>
            </w:pPr>
            <w:r>
              <w:rPr>
                <w:rFonts w:hint="eastAsia" w:ascii="宋体" w:hAnsi="宋体" w:cs="宋体"/>
                <w:szCs w:val="21"/>
                <w:highlight w:val="white"/>
              </w:rPr>
              <w:t>价格调整的差额计算</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450D6A83">
            <w:pPr>
              <w:pStyle w:val="44"/>
              <w:wordWrap w:val="0"/>
              <w:jc w:val="center"/>
              <w:rPr>
                <w:rFonts w:hint="eastAsia" w:ascii="宋体" w:hAnsi="宋体" w:cs="宋体"/>
                <w:szCs w:val="21"/>
              </w:rPr>
            </w:pPr>
            <w:r>
              <w:rPr>
                <w:rFonts w:hint="eastAsia" w:ascii="宋体" w:hAnsi="宋体" w:cs="宋体"/>
                <w:szCs w:val="21"/>
                <w:highlight w:val="white"/>
              </w:rPr>
              <w:t>16.1.1</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216CABF2">
            <w:pPr>
              <w:pStyle w:val="44"/>
              <w:wordWrap w:val="0"/>
              <w:ind w:firstLine="210" w:firstLineChars="100"/>
              <w:rPr>
                <w:rFonts w:hint="eastAsia" w:ascii="宋体" w:hAnsi="宋体" w:cs="宋体"/>
                <w:szCs w:val="21"/>
              </w:rPr>
            </w:pPr>
            <w:r>
              <w:rPr>
                <w:rFonts w:hint="eastAsia" w:ascii="宋体" w:hAnsi="宋体" w:cs="宋体"/>
                <w:szCs w:val="21"/>
                <w:highlight w:val="white"/>
              </w:rPr>
              <w:t>合同期内不调价</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701A47AC">
            <w:pPr>
              <w:pStyle w:val="44"/>
              <w:wordWrap w:val="0"/>
              <w:spacing w:line="360" w:lineRule="auto"/>
              <w:jc w:val="center"/>
              <w:rPr>
                <w:rFonts w:hint="eastAsia" w:ascii="宋体" w:hAnsi="宋体" w:cs="宋体"/>
                <w:szCs w:val="21"/>
              </w:rPr>
            </w:pPr>
          </w:p>
        </w:tc>
      </w:tr>
      <w:tr w14:paraId="59AB98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6F69C5E7">
            <w:pPr>
              <w:pStyle w:val="44"/>
              <w:wordWrap w:val="0"/>
              <w:jc w:val="center"/>
              <w:rPr>
                <w:rFonts w:hint="eastAsia" w:ascii="宋体" w:hAnsi="宋体" w:cs="宋体"/>
                <w:szCs w:val="21"/>
              </w:rPr>
            </w:pPr>
            <w:r>
              <w:rPr>
                <w:rFonts w:hint="eastAsia" w:ascii="宋体" w:hAnsi="宋体" w:cs="宋体"/>
                <w:szCs w:val="21"/>
                <w:highlight w:val="white"/>
              </w:rPr>
              <w:t>7</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3570DDC3">
            <w:pPr>
              <w:pStyle w:val="44"/>
              <w:wordWrap w:val="0"/>
              <w:jc w:val="center"/>
              <w:rPr>
                <w:rFonts w:hint="eastAsia" w:ascii="宋体" w:hAnsi="宋体" w:cs="宋体"/>
                <w:szCs w:val="21"/>
              </w:rPr>
            </w:pPr>
            <w:r>
              <w:rPr>
                <w:rFonts w:hint="eastAsia" w:ascii="宋体" w:hAnsi="宋体" w:cs="宋体"/>
                <w:szCs w:val="21"/>
                <w:highlight w:val="white"/>
              </w:rPr>
              <w:t>开工预付款金额</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3C992970">
            <w:pPr>
              <w:pStyle w:val="44"/>
              <w:wordWrap w:val="0"/>
              <w:jc w:val="center"/>
              <w:rPr>
                <w:rFonts w:hint="eastAsia" w:ascii="宋体" w:hAnsi="宋体" w:cs="宋体"/>
                <w:szCs w:val="21"/>
              </w:rPr>
            </w:pPr>
            <w:r>
              <w:rPr>
                <w:rFonts w:hint="eastAsia" w:ascii="宋体" w:hAnsi="宋体" w:cs="宋体"/>
                <w:szCs w:val="21"/>
                <w:highlight w:val="white"/>
              </w:rPr>
              <w:t>17.2.1（1）</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623BA95E">
            <w:pPr>
              <w:pStyle w:val="44"/>
              <w:wordWrap w:val="0"/>
              <w:ind w:firstLine="210" w:firstLineChars="100"/>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%签约合同价</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1EE337E5">
            <w:pPr>
              <w:pStyle w:val="44"/>
              <w:wordWrap w:val="0"/>
              <w:spacing w:line="360" w:lineRule="auto"/>
              <w:jc w:val="center"/>
              <w:rPr>
                <w:rFonts w:hint="eastAsia" w:ascii="宋体" w:hAnsi="宋体" w:cs="宋体"/>
                <w:szCs w:val="21"/>
              </w:rPr>
            </w:pPr>
          </w:p>
        </w:tc>
      </w:tr>
      <w:tr w14:paraId="787084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0A149F2B">
            <w:pPr>
              <w:pStyle w:val="44"/>
              <w:wordWrap w:val="0"/>
              <w:jc w:val="center"/>
              <w:rPr>
                <w:rFonts w:hint="eastAsia" w:ascii="宋体" w:hAnsi="宋体" w:cs="宋体"/>
                <w:szCs w:val="21"/>
              </w:rPr>
            </w:pPr>
            <w:r>
              <w:rPr>
                <w:rFonts w:hint="eastAsia" w:ascii="宋体" w:hAnsi="宋体" w:cs="宋体"/>
                <w:szCs w:val="21"/>
                <w:highlight w:val="white"/>
              </w:rPr>
              <w:t>8</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5BA7B25F">
            <w:pPr>
              <w:pStyle w:val="44"/>
              <w:wordWrap w:val="0"/>
              <w:jc w:val="center"/>
              <w:rPr>
                <w:rFonts w:hint="eastAsia" w:ascii="宋体" w:hAnsi="宋体" w:cs="宋体"/>
                <w:szCs w:val="21"/>
              </w:rPr>
            </w:pPr>
            <w:r>
              <w:rPr>
                <w:rFonts w:hint="eastAsia" w:ascii="宋体" w:hAnsi="宋体" w:cs="宋体"/>
                <w:szCs w:val="21"/>
                <w:highlight w:val="white"/>
              </w:rPr>
              <w:t>材料、设备</w:t>
            </w:r>
          </w:p>
          <w:p w14:paraId="1AFEF42E">
            <w:pPr>
              <w:pStyle w:val="44"/>
              <w:wordWrap w:val="0"/>
              <w:jc w:val="center"/>
              <w:rPr>
                <w:rFonts w:hint="eastAsia" w:ascii="宋体" w:hAnsi="宋体" w:cs="宋体"/>
                <w:szCs w:val="21"/>
              </w:rPr>
            </w:pPr>
            <w:r>
              <w:rPr>
                <w:rFonts w:hint="eastAsia" w:ascii="宋体" w:hAnsi="宋体" w:cs="宋体"/>
                <w:szCs w:val="21"/>
                <w:highlight w:val="white"/>
              </w:rPr>
              <w:t>预付款</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49FC0E27">
            <w:pPr>
              <w:pStyle w:val="44"/>
              <w:wordWrap w:val="0"/>
              <w:jc w:val="center"/>
              <w:rPr>
                <w:rFonts w:hint="eastAsia" w:ascii="宋体" w:hAnsi="宋体" w:cs="宋体"/>
                <w:szCs w:val="21"/>
              </w:rPr>
            </w:pPr>
            <w:r>
              <w:rPr>
                <w:rFonts w:hint="eastAsia" w:ascii="宋体" w:hAnsi="宋体" w:cs="宋体"/>
                <w:szCs w:val="21"/>
                <w:highlight w:val="white"/>
              </w:rPr>
              <w:t>17.2.1（1）</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1D1537A3">
            <w:pPr>
              <w:pStyle w:val="44"/>
              <w:wordWrap w:val="0"/>
              <w:rPr>
                <w:rFonts w:hint="eastAsia" w:ascii="宋体" w:hAnsi="宋体" w:cs="宋体"/>
                <w:szCs w:val="21"/>
              </w:rPr>
            </w:pPr>
            <w:r>
              <w:rPr>
                <w:rFonts w:hint="eastAsia" w:ascii="宋体" w:hAnsi="宋体" w:cs="宋体"/>
                <w:szCs w:val="21"/>
                <w:highlight w:val="white"/>
              </w:rPr>
              <w:t>用于永久性工程结构的</w:t>
            </w:r>
            <w:r>
              <w:rPr>
                <w:rFonts w:hint="eastAsia" w:ascii="宋体" w:hAnsi="宋体" w:cs="宋体"/>
                <w:szCs w:val="21"/>
                <w:highlight w:val="white"/>
                <w:u w:val="single"/>
              </w:rPr>
              <w:t xml:space="preserve">                  </w:t>
            </w:r>
            <w:r>
              <w:rPr>
                <w:rFonts w:hint="eastAsia" w:ascii="宋体" w:hAnsi="宋体" w:cs="宋体"/>
                <w:szCs w:val="21"/>
                <w:highlight w:val="white"/>
              </w:rPr>
              <w:t>等材料按单据所列费用的</w:t>
            </w:r>
            <w:r>
              <w:rPr>
                <w:rFonts w:hint="eastAsia" w:ascii="宋体" w:hAnsi="宋体" w:cs="宋体"/>
                <w:szCs w:val="21"/>
                <w:highlight w:val="white"/>
                <w:u w:val="single"/>
              </w:rPr>
              <w:t xml:space="preserve">   </w:t>
            </w:r>
            <w:r>
              <w:rPr>
                <w:rFonts w:hint="eastAsia" w:ascii="宋体" w:hAnsi="宋体" w:cs="宋体"/>
                <w:szCs w:val="21"/>
                <w:highlight w:val="white"/>
              </w:rPr>
              <w:t>%。</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293069A2">
            <w:pPr>
              <w:pStyle w:val="44"/>
              <w:wordWrap w:val="0"/>
              <w:spacing w:line="360" w:lineRule="auto"/>
              <w:jc w:val="center"/>
              <w:rPr>
                <w:rFonts w:hint="eastAsia" w:ascii="宋体" w:hAnsi="宋体" w:cs="宋体"/>
                <w:szCs w:val="21"/>
              </w:rPr>
            </w:pPr>
          </w:p>
        </w:tc>
      </w:tr>
      <w:tr w14:paraId="677AEE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246853B2">
            <w:pPr>
              <w:pStyle w:val="44"/>
              <w:wordWrap w:val="0"/>
              <w:jc w:val="center"/>
              <w:rPr>
                <w:rFonts w:hint="eastAsia" w:ascii="宋体" w:hAnsi="宋体" w:cs="宋体"/>
                <w:szCs w:val="21"/>
              </w:rPr>
            </w:pPr>
            <w:r>
              <w:rPr>
                <w:rFonts w:hint="eastAsia" w:ascii="宋体" w:hAnsi="宋体" w:cs="宋体"/>
                <w:szCs w:val="21"/>
                <w:highlight w:val="white"/>
              </w:rPr>
              <w:t>9</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53CB8A5E">
            <w:pPr>
              <w:pStyle w:val="44"/>
              <w:wordWrap w:val="0"/>
              <w:jc w:val="center"/>
              <w:rPr>
                <w:rFonts w:hint="eastAsia" w:ascii="宋体" w:hAnsi="宋体" w:cs="宋体"/>
                <w:szCs w:val="21"/>
                <w:highlight w:val="white"/>
              </w:rPr>
            </w:pPr>
            <w:r>
              <w:rPr>
                <w:rFonts w:hint="eastAsia" w:ascii="宋体" w:hAnsi="宋体" w:cs="宋体"/>
                <w:szCs w:val="21"/>
                <w:highlight w:val="white"/>
              </w:rPr>
              <w:t>进度付款证书</w:t>
            </w:r>
          </w:p>
          <w:p w14:paraId="22DEE5C4">
            <w:pPr>
              <w:pStyle w:val="44"/>
              <w:wordWrap w:val="0"/>
              <w:jc w:val="center"/>
              <w:rPr>
                <w:rFonts w:hint="eastAsia" w:ascii="宋体" w:hAnsi="宋体" w:cs="宋体"/>
                <w:szCs w:val="21"/>
              </w:rPr>
            </w:pPr>
            <w:r>
              <w:rPr>
                <w:rFonts w:hint="eastAsia" w:ascii="宋体" w:hAnsi="宋体" w:cs="宋体"/>
                <w:szCs w:val="21"/>
                <w:highlight w:val="white"/>
              </w:rPr>
              <w:t>最低限额</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14A9839E">
            <w:pPr>
              <w:pStyle w:val="44"/>
              <w:wordWrap w:val="0"/>
              <w:jc w:val="center"/>
              <w:rPr>
                <w:rFonts w:hint="eastAsia" w:ascii="宋体" w:hAnsi="宋体" w:cs="宋体"/>
                <w:szCs w:val="21"/>
              </w:rPr>
            </w:pPr>
            <w:r>
              <w:rPr>
                <w:rFonts w:hint="eastAsia" w:ascii="宋体" w:hAnsi="宋体" w:cs="宋体"/>
                <w:szCs w:val="21"/>
                <w:highlight w:val="white"/>
              </w:rPr>
              <w:t>17.3.3.（1）</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5B9672E8">
            <w:pPr>
              <w:pStyle w:val="44"/>
              <w:wordWrap w:val="0"/>
              <w:ind w:firstLine="210" w:firstLineChars="100"/>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万圆</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6BC5A0DD">
            <w:pPr>
              <w:pStyle w:val="44"/>
              <w:wordWrap w:val="0"/>
              <w:spacing w:line="360" w:lineRule="auto"/>
              <w:jc w:val="center"/>
              <w:rPr>
                <w:rFonts w:hint="eastAsia" w:ascii="宋体" w:hAnsi="宋体" w:cs="宋体"/>
                <w:szCs w:val="21"/>
              </w:rPr>
            </w:pPr>
          </w:p>
        </w:tc>
      </w:tr>
      <w:tr w14:paraId="3C7ABD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7F0A421D">
            <w:pPr>
              <w:pStyle w:val="44"/>
              <w:wordWrap w:val="0"/>
              <w:jc w:val="center"/>
              <w:rPr>
                <w:rFonts w:hint="eastAsia" w:ascii="宋体" w:hAnsi="宋体" w:cs="宋体"/>
                <w:szCs w:val="21"/>
              </w:rPr>
            </w:pPr>
            <w:r>
              <w:rPr>
                <w:rFonts w:hint="eastAsia" w:ascii="宋体" w:hAnsi="宋体" w:cs="宋体"/>
                <w:szCs w:val="21"/>
                <w:highlight w:val="white"/>
              </w:rPr>
              <w:t>10</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18AA73CB">
            <w:pPr>
              <w:pStyle w:val="44"/>
              <w:wordWrap w:val="0"/>
              <w:jc w:val="center"/>
              <w:rPr>
                <w:rFonts w:hint="eastAsia" w:ascii="宋体" w:hAnsi="宋体" w:cs="宋体"/>
                <w:szCs w:val="21"/>
                <w:highlight w:val="white"/>
              </w:rPr>
            </w:pPr>
            <w:r>
              <w:rPr>
                <w:rFonts w:hint="eastAsia" w:ascii="宋体" w:hAnsi="宋体" w:cs="宋体"/>
                <w:szCs w:val="21"/>
                <w:highlight w:val="white"/>
              </w:rPr>
              <w:t>逾期付款违约金</w:t>
            </w:r>
          </w:p>
          <w:p w14:paraId="378C90C9">
            <w:pPr>
              <w:pStyle w:val="44"/>
              <w:wordWrap w:val="0"/>
              <w:jc w:val="center"/>
              <w:rPr>
                <w:rFonts w:hint="eastAsia" w:ascii="宋体" w:hAnsi="宋体" w:cs="宋体"/>
                <w:szCs w:val="21"/>
              </w:rPr>
            </w:pPr>
            <w:r>
              <w:rPr>
                <w:rFonts w:hint="eastAsia" w:ascii="宋体" w:hAnsi="宋体" w:cs="宋体"/>
                <w:szCs w:val="21"/>
                <w:highlight w:val="white"/>
              </w:rPr>
              <w:t>的利率</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4D391DBE">
            <w:pPr>
              <w:pStyle w:val="44"/>
              <w:wordWrap w:val="0"/>
              <w:jc w:val="center"/>
              <w:rPr>
                <w:rFonts w:hint="eastAsia" w:ascii="宋体" w:hAnsi="宋体" w:cs="宋体"/>
                <w:szCs w:val="21"/>
              </w:rPr>
            </w:pPr>
            <w:r>
              <w:rPr>
                <w:rFonts w:hint="eastAsia" w:ascii="宋体" w:hAnsi="宋体" w:cs="宋体"/>
                <w:szCs w:val="21"/>
                <w:highlight w:val="white"/>
              </w:rPr>
              <w:t>17.3.3</w:t>
            </w:r>
          </w:p>
          <w:p w14:paraId="23086A4F">
            <w:pPr>
              <w:pStyle w:val="44"/>
              <w:wordWrap w:val="0"/>
              <w:jc w:val="center"/>
              <w:rPr>
                <w:rFonts w:hint="eastAsia" w:ascii="宋体" w:hAnsi="宋体" w:cs="宋体"/>
                <w:szCs w:val="21"/>
              </w:rPr>
            </w:pPr>
            <w:r>
              <w:rPr>
                <w:rFonts w:hint="eastAsia" w:ascii="宋体" w:hAnsi="宋体" w:cs="宋体"/>
                <w:szCs w:val="21"/>
                <w:highlight w:val="white"/>
              </w:rPr>
              <w:t>（2）</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7E3CD30B">
            <w:pPr>
              <w:pStyle w:val="44"/>
              <w:wordWrap w:val="0"/>
              <w:ind w:firstLine="210" w:firstLineChars="100"/>
              <w:rPr>
                <w:rFonts w:ascii="宋体" w:hAnsi="宋体" w:cs="宋体"/>
                <w:szCs w:val="21"/>
              </w:rPr>
            </w:pPr>
            <w:r>
              <w:rPr>
                <w:rFonts w:hint="eastAsia" w:ascii="宋体" w:hAnsi="宋体" w:cs="宋体"/>
                <w:szCs w:val="21"/>
                <w:highlight w:val="white"/>
                <w:u w:val="single"/>
              </w:rPr>
              <w:t xml:space="preserve">    </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0EB177D5">
            <w:pPr>
              <w:pStyle w:val="44"/>
              <w:wordWrap w:val="0"/>
              <w:spacing w:line="360" w:lineRule="auto"/>
              <w:jc w:val="center"/>
              <w:rPr>
                <w:rFonts w:hint="eastAsia" w:ascii="宋体" w:hAnsi="宋体" w:cs="宋体"/>
                <w:szCs w:val="21"/>
              </w:rPr>
            </w:pPr>
          </w:p>
        </w:tc>
      </w:tr>
      <w:tr w14:paraId="4166F42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50" w:type="dxa"/>
            <w:tcBorders>
              <w:top w:val="single" w:color="auto" w:sz="6" w:space="0"/>
              <w:left w:val="single" w:color="auto" w:sz="12" w:space="0"/>
              <w:bottom w:val="single" w:color="auto" w:sz="6" w:space="0"/>
              <w:right w:val="single" w:color="auto" w:sz="6" w:space="0"/>
            </w:tcBorders>
            <w:noWrap w:val="0"/>
            <w:vAlign w:val="center"/>
          </w:tcPr>
          <w:p w14:paraId="10FF714F">
            <w:pPr>
              <w:pStyle w:val="44"/>
              <w:wordWrap w:val="0"/>
              <w:jc w:val="center"/>
              <w:rPr>
                <w:rFonts w:hint="eastAsia" w:ascii="宋体" w:hAnsi="宋体" w:cs="宋体"/>
                <w:szCs w:val="21"/>
              </w:rPr>
            </w:pPr>
            <w:r>
              <w:rPr>
                <w:rFonts w:hint="eastAsia" w:ascii="宋体" w:hAnsi="宋体" w:cs="宋体"/>
                <w:szCs w:val="21"/>
                <w:highlight w:val="white"/>
              </w:rPr>
              <w:t>11</w:t>
            </w: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31D2342">
            <w:pPr>
              <w:pStyle w:val="44"/>
              <w:wordWrap w:val="0"/>
              <w:jc w:val="center"/>
              <w:rPr>
                <w:rFonts w:hint="eastAsia" w:ascii="宋体" w:hAnsi="宋体" w:cs="宋体"/>
                <w:szCs w:val="21"/>
              </w:rPr>
            </w:pPr>
            <w:r>
              <w:rPr>
                <w:rFonts w:hint="eastAsia" w:ascii="宋体" w:hAnsi="宋体" w:cs="宋体"/>
                <w:szCs w:val="21"/>
                <w:highlight w:val="white"/>
              </w:rPr>
              <w:t>质量保证金限额</w:t>
            </w:r>
          </w:p>
        </w:tc>
        <w:tc>
          <w:tcPr>
            <w:tcW w:w="1291" w:type="dxa"/>
            <w:tcBorders>
              <w:top w:val="single" w:color="auto" w:sz="6" w:space="0"/>
              <w:left w:val="single" w:color="auto" w:sz="6" w:space="0"/>
              <w:bottom w:val="single" w:color="auto" w:sz="6" w:space="0"/>
              <w:right w:val="single" w:color="auto" w:sz="6" w:space="0"/>
            </w:tcBorders>
            <w:noWrap w:val="0"/>
            <w:vAlign w:val="center"/>
          </w:tcPr>
          <w:p w14:paraId="6A9D376F">
            <w:pPr>
              <w:pStyle w:val="44"/>
              <w:wordWrap w:val="0"/>
              <w:jc w:val="center"/>
              <w:rPr>
                <w:rFonts w:hint="eastAsia" w:ascii="宋体" w:hAnsi="宋体" w:cs="宋体"/>
                <w:szCs w:val="21"/>
              </w:rPr>
            </w:pPr>
            <w:r>
              <w:rPr>
                <w:rFonts w:hint="eastAsia" w:ascii="宋体" w:hAnsi="宋体" w:cs="宋体"/>
                <w:szCs w:val="21"/>
                <w:highlight w:val="white"/>
              </w:rPr>
              <w:t>17.4.1</w:t>
            </w:r>
          </w:p>
        </w:tc>
        <w:tc>
          <w:tcPr>
            <w:tcW w:w="3695" w:type="dxa"/>
            <w:tcBorders>
              <w:top w:val="single" w:color="auto" w:sz="6" w:space="0"/>
              <w:left w:val="single" w:color="auto" w:sz="6" w:space="0"/>
              <w:bottom w:val="single" w:color="auto" w:sz="6" w:space="0"/>
              <w:right w:val="single" w:color="auto" w:sz="6" w:space="0"/>
            </w:tcBorders>
            <w:noWrap w:val="0"/>
            <w:vAlign w:val="center"/>
          </w:tcPr>
          <w:p w14:paraId="6A27A113">
            <w:pPr>
              <w:pStyle w:val="44"/>
              <w:wordWrap w:val="0"/>
              <w:ind w:firstLine="210" w:firstLineChars="100"/>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%合同价格</w:t>
            </w:r>
          </w:p>
        </w:tc>
        <w:tc>
          <w:tcPr>
            <w:tcW w:w="745" w:type="dxa"/>
            <w:tcBorders>
              <w:top w:val="single" w:color="auto" w:sz="6" w:space="0"/>
              <w:left w:val="single" w:color="auto" w:sz="6" w:space="0"/>
              <w:bottom w:val="single" w:color="auto" w:sz="6" w:space="0"/>
              <w:right w:val="single" w:color="auto" w:sz="12" w:space="0"/>
            </w:tcBorders>
            <w:noWrap w:val="0"/>
            <w:vAlign w:val="center"/>
          </w:tcPr>
          <w:p w14:paraId="201E6863">
            <w:pPr>
              <w:pStyle w:val="44"/>
              <w:wordWrap w:val="0"/>
              <w:spacing w:line="360" w:lineRule="auto"/>
              <w:jc w:val="center"/>
              <w:rPr>
                <w:rFonts w:hint="eastAsia" w:ascii="宋体" w:hAnsi="宋体" w:cs="宋体"/>
                <w:szCs w:val="21"/>
              </w:rPr>
            </w:pPr>
          </w:p>
        </w:tc>
      </w:tr>
      <w:tr w14:paraId="108EC3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12" w:space="0"/>
              <w:right w:val="single" w:color="auto" w:sz="6" w:space="0"/>
            </w:tcBorders>
            <w:noWrap w:val="0"/>
            <w:vAlign w:val="center"/>
          </w:tcPr>
          <w:p w14:paraId="5C4C6B03">
            <w:pPr>
              <w:pStyle w:val="44"/>
              <w:wordWrap w:val="0"/>
              <w:jc w:val="center"/>
              <w:rPr>
                <w:rFonts w:hint="eastAsia" w:ascii="宋体" w:hAnsi="宋体" w:cs="宋体"/>
                <w:szCs w:val="21"/>
              </w:rPr>
            </w:pPr>
            <w:r>
              <w:rPr>
                <w:rFonts w:hint="eastAsia" w:ascii="宋体" w:hAnsi="宋体" w:cs="宋体"/>
                <w:szCs w:val="21"/>
                <w:highlight w:val="white"/>
              </w:rPr>
              <w:t>12</w:t>
            </w:r>
          </w:p>
        </w:tc>
        <w:tc>
          <w:tcPr>
            <w:tcW w:w="2117" w:type="dxa"/>
            <w:tcBorders>
              <w:top w:val="single" w:color="auto" w:sz="6" w:space="0"/>
              <w:left w:val="single" w:color="auto" w:sz="6" w:space="0"/>
              <w:bottom w:val="single" w:color="auto" w:sz="12" w:space="0"/>
              <w:right w:val="single" w:color="auto" w:sz="6" w:space="0"/>
            </w:tcBorders>
            <w:noWrap w:val="0"/>
            <w:vAlign w:val="center"/>
          </w:tcPr>
          <w:p w14:paraId="01FCCEC9">
            <w:pPr>
              <w:pStyle w:val="44"/>
              <w:wordWrap w:val="0"/>
              <w:jc w:val="center"/>
              <w:rPr>
                <w:rFonts w:hint="eastAsia" w:ascii="宋体" w:hAnsi="宋体" w:cs="宋体"/>
                <w:szCs w:val="21"/>
              </w:rPr>
            </w:pPr>
            <w:r>
              <w:rPr>
                <w:rFonts w:hint="eastAsia" w:ascii="宋体" w:hAnsi="宋体" w:cs="宋体"/>
                <w:szCs w:val="21"/>
                <w:highlight w:val="white"/>
              </w:rPr>
              <w:t>保修期</w:t>
            </w:r>
          </w:p>
        </w:tc>
        <w:tc>
          <w:tcPr>
            <w:tcW w:w="1291" w:type="dxa"/>
            <w:tcBorders>
              <w:top w:val="single" w:color="auto" w:sz="6" w:space="0"/>
              <w:left w:val="single" w:color="auto" w:sz="6" w:space="0"/>
              <w:bottom w:val="single" w:color="auto" w:sz="12" w:space="0"/>
              <w:right w:val="single" w:color="auto" w:sz="6" w:space="0"/>
            </w:tcBorders>
            <w:noWrap w:val="0"/>
            <w:vAlign w:val="center"/>
          </w:tcPr>
          <w:p w14:paraId="5F1BB346">
            <w:pPr>
              <w:pStyle w:val="44"/>
              <w:wordWrap w:val="0"/>
              <w:jc w:val="center"/>
              <w:rPr>
                <w:rFonts w:hint="eastAsia" w:ascii="宋体" w:hAnsi="宋体" w:cs="宋体"/>
                <w:szCs w:val="21"/>
              </w:rPr>
            </w:pPr>
            <w:r>
              <w:rPr>
                <w:rFonts w:hint="eastAsia" w:ascii="宋体" w:hAnsi="宋体" w:cs="宋体"/>
                <w:szCs w:val="21"/>
                <w:highlight w:val="white"/>
              </w:rPr>
              <w:t>19.7</w:t>
            </w:r>
          </w:p>
        </w:tc>
        <w:tc>
          <w:tcPr>
            <w:tcW w:w="3695" w:type="dxa"/>
            <w:tcBorders>
              <w:top w:val="single" w:color="auto" w:sz="6" w:space="0"/>
              <w:left w:val="single" w:color="auto" w:sz="6" w:space="0"/>
              <w:bottom w:val="single" w:color="auto" w:sz="12" w:space="0"/>
              <w:right w:val="single" w:color="auto" w:sz="6" w:space="0"/>
            </w:tcBorders>
            <w:noWrap w:val="0"/>
            <w:vAlign w:val="center"/>
          </w:tcPr>
          <w:p w14:paraId="35B09D78">
            <w:pPr>
              <w:pStyle w:val="44"/>
              <w:wordWrap w:val="0"/>
              <w:rPr>
                <w:rFonts w:hint="eastAsia" w:ascii="宋体" w:hAnsi="宋体" w:cs="宋体"/>
                <w:szCs w:val="21"/>
              </w:rPr>
            </w:pPr>
            <w:r>
              <w:rPr>
                <w:rFonts w:hint="eastAsia" w:ascii="宋体" w:hAnsi="宋体" w:cs="宋体"/>
                <w:szCs w:val="21"/>
                <w:highlight w:val="white"/>
              </w:rPr>
              <w:t>自实际交工日期起计算</w:t>
            </w:r>
            <w:r>
              <w:rPr>
                <w:rFonts w:hint="eastAsia" w:ascii="宋体" w:hAnsi="宋体" w:cs="宋体"/>
                <w:szCs w:val="21"/>
                <w:highlight w:val="white"/>
                <w:u w:val="single"/>
              </w:rPr>
              <w:t xml:space="preserve">    </w:t>
            </w:r>
            <w:r>
              <w:rPr>
                <w:rFonts w:hint="eastAsia" w:ascii="宋体" w:hAnsi="宋体" w:cs="宋体"/>
                <w:szCs w:val="21"/>
                <w:highlight w:val="white"/>
              </w:rPr>
              <w:t>年</w:t>
            </w:r>
          </w:p>
        </w:tc>
        <w:tc>
          <w:tcPr>
            <w:tcW w:w="745" w:type="dxa"/>
            <w:tcBorders>
              <w:top w:val="single" w:color="auto" w:sz="6" w:space="0"/>
              <w:left w:val="single" w:color="auto" w:sz="6" w:space="0"/>
              <w:bottom w:val="single" w:color="auto" w:sz="12" w:space="0"/>
              <w:right w:val="single" w:color="auto" w:sz="12" w:space="0"/>
            </w:tcBorders>
            <w:noWrap w:val="0"/>
            <w:vAlign w:val="center"/>
          </w:tcPr>
          <w:p w14:paraId="562A3DB0">
            <w:pPr>
              <w:pStyle w:val="44"/>
              <w:wordWrap w:val="0"/>
              <w:spacing w:line="360" w:lineRule="auto"/>
              <w:jc w:val="center"/>
              <w:rPr>
                <w:rFonts w:hint="eastAsia" w:ascii="宋体" w:hAnsi="宋体" w:cs="宋体"/>
                <w:szCs w:val="21"/>
              </w:rPr>
            </w:pPr>
          </w:p>
        </w:tc>
      </w:tr>
    </w:tbl>
    <w:p w14:paraId="65A73D79">
      <w:pPr>
        <w:pStyle w:val="45"/>
        <w:spacing w:line="360" w:lineRule="auto"/>
        <w:jc w:val="center"/>
        <w:outlineLvl w:val="1"/>
        <w:rPr>
          <w:rFonts w:hint="eastAsia" w:cs="宋体"/>
        </w:rPr>
      </w:pPr>
      <w:r>
        <w:rPr>
          <w:rFonts w:hint="eastAsia" w:cs="宋体"/>
          <w:highlight w:val="white"/>
        </w:rPr>
        <w:br w:type="page"/>
      </w:r>
      <w:bookmarkStart w:id="857" w:name="_Toc40261854"/>
      <w:r>
        <w:rPr>
          <w:rFonts w:hint="eastAsia" w:cs="宋体"/>
          <w:highlight w:val="white"/>
        </w:rPr>
        <w:t>二、法定代表人身份证明及授权委托书</w:t>
      </w:r>
      <w:bookmarkEnd w:id="857"/>
    </w:p>
    <w:p w14:paraId="7D75B260">
      <w:pPr>
        <w:pStyle w:val="46"/>
        <w:spacing w:before="120" w:beforeLines="50" w:after="120" w:afterLines="50" w:line="360" w:lineRule="auto"/>
        <w:jc w:val="center"/>
        <w:rPr>
          <w:rFonts w:hint="eastAsia" w:ascii="宋体" w:hAnsi="宋体" w:cs="宋体"/>
          <w:sz w:val="24"/>
        </w:rPr>
      </w:pPr>
      <w:bookmarkStart w:id="858" w:name="_Toc234382962"/>
      <w:r>
        <w:rPr>
          <w:rFonts w:hint="eastAsia" w:ascii="宋体" w:hAnsi="宋体" w:cs="宋体"/>
          <w:sz w:val="24"/>
          <w:highlight w:val="white"/>
        </w:rPr>
        <w:t>（一）法定代表人身份证明</w:t>
      </w:r>
      <w:bookmarkEnd w:id="858"/>
    </w:p>
    <w:p w14:paraId="013DA996">
      <w:pPr>
        <w:pStyle w:val="46"/>
        <w:spacing w:line="360" w:lineRule="auto"/>
        <w:rPr>
          <w:rFonts w:hint="eastAsia" w:ascii="宋体" w:hAnsi="宋体" w:cs="宋体"/>
          <w:sz w:val="24"/>
        </w:rPr>
      </w:pPr>
    </w:p>
    <w:p w14:paraId="28D6C63E">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投标人名称：</w:t>
      </w:r>
      <w:r>
        <w:rPr>
          <w:rFonts w:hint="eastAsia" w:ascii="宋体" w:hAnsi="宋体" w:cs="宋体"/>
          <w:szCs w:val="21"/>
          <w:highlight w:val="white"/>
          <w:u w:val="single"/>
        </w:rPr>
        <w:t xml:space="preserve">                        </w:t>
      </w:r>
    </w:p>
    <w:p w14:paraId="5FE62E67">
      <w:pPr>
        <w:pStyle w:val="46"/>
        <w:spacing w:line="360" w:lineRule="auto"/>
        <w:ind w:firstLine="420" w:firstLineChars="200"/>
        <w:rPr>
          <w:rFonts w:hint="eastAsia" w:ascii="宋体" w:hAnsi="宋体" w:cs="宋体"/>
          <w:szCs w:val="21"/>
          <w:u w:val="single"/>
        </w:rPr>
      </w:pPr>
      <w:r>
        <w:rPr>
          <w:rFonts w:hint="eastAsia" w:ascii="宋体" w:hAnsi="宋体" w:cs="宋体"/>
          <w:szCs w:val="21"/>
          <w:highlight w:val="white"/>
        </w:rPr>
        <w:t>单位性质：</w:t>
      </w:r>
      <w:r>
        <w:rPr>
          <w:rFonts w:hint="eastAsia" w:ascii="宋体" w:hAnsi="宋体" w:cs="宋体"/>
          <w:szCs w:val="21"/>
          <w:highlight w:val="white"/>
          <w:u w:val="single"/>
        </w:rPr>
        <w:t xml:space="preserve">                        </w:t>
      </w:r>
    </w:p>
    <w:p w14:paraId="7E6C5368">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地    址：</w:t>
      </w:r>
      <w:r>
        <w:rPr>
          <w:rFonts w:hint="eastAsia" w:ascii="宋体" w:hAnsi="宋体" w:cs="宋体"/>
          <w:szCs w:val="21"/>
          <w:highlight w:val="white"/>
          <w:u w:val="single"/>
        </w:rPr>
        <w:t xml:space="preserve">                        </w:t>
      </w:r>
    </w:p>
    <w:p w14:paraId="09185BFF">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成立时间：</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09227D5A">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经营期限：</w:t>
      </w:r>
      <w:r>
        <w:rPr>
          <w:rFonts w:hint="eastAsia" w:ascii="宋体" w:hAnsi="宋体" w:cs="宋体"/>
          <w:szCs w:val="21"/>
          <w:highlight w:val="white"/>
          <w:u w:val="single"/>
        </w:rPr>
        <w:t xml:space="preserve">          </w:t>
      </w:r>
    </w:p>
    <w:p w14:paraId="3A42503D">
      <w:pPr>
        <w:pStyle w:val="46"/>
        <w:spacing w:line="360" w:lineRule="auto"/>
        <w:ind w:firstLine="420" w:firstLineChars="200"/>
        <w:rPr>
          <w:rFonts w:hint="eastAsia" w:ascii="宋体" w:hAnsi="宋体" w:cs="宋体"/>
          <w:szCs w:val="21"/>
          <w:u w:val="single"/>
        </w:rPr>
      </w:pPr>
      <w:r>
        <w:rPr>
          <w:rFonts w:hint="eastAsia" w:ascii="宋体" w:hAnsi="宋体" w:cs="宋体"/>
          <w:szCs w:val="21"/>
          <w:highlight w:val="white"/>
        </w:rPr>
        <w:t>姓名：</w:t>
      </w:r>
      <w:r>
        <w:rPr>
          <w:rFonts w:hint="eastAsia" w:ascii="宋体" w:hAnsi="宋体" w:cs="宋体"/>
          <w:szCs w:val="21"/>
          <w:highlight w:val="white"/>
          <w:u w:val="single"/>
        </w:rPr>
        <w:t xml:space="preserve">                </w:t>
      </w:r>
      <w:r>
        <w:rPr>
          <w:rFonts w:hint="eastAsia" w:ascii="宋体" w:hAnsi="宋体" w:cs="宋体"/>
          <w:szCs w:val="21"/>
          <w:highlight w:val="white"/>
        </w:rPr>
        <w:t>性别：</w:t>
      </w:r>
      <w:r>
        <w:rPr>
          <w:rFonts w:hint="eastAsia" w:ascii="宋体" w:hAnsi="宋体" w:cs="宋体"/>
          <w:szCs w:val="21"/>
          <w:highlight w:val="white"/>
          <w:u w:val="single"/>
        </w:rPr>
        <w:t xml:space="preserve">      </w:t>
      </w:r>
      <w:r>
        <w:rPr>
          <w:rFonts w:hint="eastAsia" w:ascii="宋体" w:hAnsi="宋体" w:cs="宋体"/>
          <w:szCs w:val="21"/>
          <w:highlight w:val="white"/>
        </w:rPr>
        <w:t>年龄：</w:t>
      </w:r>
      <w:r>
        <w:rPr>
          <w:rFonts w:hint="eastAsia" w:ascii="宋体" w:hAnsi="宋体" w:cs="宋体"/>
          <w:szCs w:val="21"/>
          <w:highlight w:val="white"/>
          <w:u w:val="single"/>
        </w:rPr>
        <w:t xml:space="preserve">      </w:t>
      </w:r>
    </w:p>
    <w:p w14:paraId="64AF0A91">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职务：</w:t>
      </w:r>
      <w:r>
        <w:rPr>
          <w:rFonts w:hint="eastAsia" w:ascii="宋体" w:hAnsi="宋体" w:cs="宋体"/>
          <w:szCs w:val="21"/>
          <w:highlight w:val="white"/>
          <w:u w:val="single"/>
        </w:rPr>
        <w:t xml:space="preserve">     </w:t>
      </w:r>
      <w:r>
        <w:rPr>
          <w:rFonts w:hint="eastAsia" w:ascii="宋体" w:hAnsi="宋体" w:cs="宋体"/>
          <w:szCs w:val="21"/>
          <w:highlight w:val="white"/>
        </w:rPr>
        <w:t>系</w:t>
      </w:r>
      <w:r>
        <w:rPr>
          <w:rFonts w:hint="eastAsia" w:ascii="宋体" w:hAnsi="宋体" w:cs="宋体"/>
          <w:szCs w:val="21"/>
          <w:highlight w:val="white"/>
          <w:u w:val="single"/>
        </w:rPr>
        <w:t xml:space="preserve">         </w:t>
      </w:r>
      <w:r>
        <w:rPr>
          <w:rFonts w:hint="eastAsia" w:ascii="宋体" w:hAnsi="宋体" w:cs="宋体"/>
          <w:szCs w:val="21"/>
          <w:highlight w:val="white"/>
        </w:rPr>
        <w:t>（投标人名称）的法定代表人。</w:t>
      </w:r>
    </w:p>
    <w:p w14:paraId="7BC4B412">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附：法定代表人身份证明复印件</w:t>
      </w:r>
    </w:p>
    <w:p w14:paraId="163DE027">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特此证明。</w:t>
      </w:r>
    </w:p>
    <w:p w14:paraId="077C1E3E">
      <w:pPr>
        <w:pStyle w:val="46"/>
        <w:spacing w:line="360" w:lineRule="auto"/>
        <w:rPr>
          <w:rFonts w:hint="eastAsia" w:ascii="宋体" w:hAnsi="宋体" w:cs="宋体"/>
          <w:szCs w:val="21"/>
        </w:rPr>
      </w:pPr>
    </w:p>
    <w:p w14:paraId="5BEDECDA">
      <w:pPr>
        <w:pStyle w:val="46"/>
        <w:spacing w:line="360" w:lineRule="auto"/>
        <w:jc w:val="center"/>
        <w:rPr>
          <w:rFonts w:hint="eastAsia" w:ascii="宋体" w:hAnsi="宋体" w:cs="宋体"/>
          <w:szCs w:val="21"/>
        </w:rPr>
      </w:pPr>
      <w:r>
        <w:rPr>
          <w:rFonts w:hint="eastAsia" w:ascii="宋体" w:hAnsi="宋体" w:cs="宋体"/>
          <w:szCs w:val="21"/>
          <w:highlight w:val="white"/>
        </w:rPr>
        <w:t xml:space="preserve">                                                    投标人：</w:t>
      </w:r>
      <w:r>
        <w:rPr>
          <w:rFonts w:hint="eastAsia" w:ascii="宋体" w:hAnsi="宋体" w:cs="宋体"/>
          <w:szCs w:val="21"/>
          <w:highlight w:val="white"/>
          <w:u w:val="single"/>
        </w:rPr>
        <w:t xml:space="preserve">                 </w:t>
      </w:r>
      <w:r>
        <w:rPr>
          <w:rFonts w:hint="eastAsia" w:ascii="宋体" w:hAnsi="宋体" w:cs="宋体"/>
          <w:szCs w:val="21"/>
          <w:highlight w:val="white"/>
        </w:rPr>
        <w:t>（盖章）</w:t>
      </w:r>
    </w:p>
    <w:p w14:paraId="2929825F">
      <w:pPr>
        <w:pStyle w:val="46"/>
        <w:spacing w:line="360" w:lineRule="auto"/>
        <w:jc w:val="left"/>
        <w:rPr>
          <w:rFonts w:hint="eastAsia" w:ascii="宋体" w:hAnsi="宋体" w:cs="宋体"/>
          <w:szCs w:val="21"/>
        </w:rPr>
      </w:pPr>
      <w:r>
        <w:rPr>
          <w:rFonts w:hint="eastAsia" w:ascii="宋体" w:hAnsi="宋体" w:cs="宋体"/>
          <w:szCs w:val="21"/>
          <w:highlight w:val="white"/>
        </w:rPr>
        <w:t xml:space="preserve">                                                        法定代表人：</w:t>
      </w:r>
      <w:r>
        <w:rPr>
          <w:rFonts w:hint="eastAsia" w:ascii="宋体" w:hAnsi="宋体" w:cs="宋体"/>
          <w:szCs w:val="21"/>
          <w:highlight w:val="white"/>
          <w:u w:val="single"/>
        </w:rPr>
        <w:t xml:space="preserve">           </w:t>
      </w:r>
      <w:r>
        <w:rPr>
          <w:rFonts w:hint="eastAsia" w:ascii="宋体" w:hAnsi="宋体" w:cs="宋体"/>
          <w:szCs w:val="21"/>
          <w:highlight w:val="white"/>
        </w:rPr>
        <w:t>（签字或盖章）</w:t>
      </w:r>
    </w:p>
    <w:p w14:paraId="449DE964">
      <w:pPr>
        <w:pStyle w:val="46"/>
        <w:spacing w:line="360" w:lineRule="auto"/>
        <w:jc w:val="left"/>
        <w:rPr>
          <w:rFonts w:hint="eastAsia" w:ascii="宋体" w:hAnsi="宋体" w:cs="宋体"/>
          <w:szCs w:val="21"/>
          <w:u w:val="single"/>
        </w:rPr>
      </w:pPr>
      <w:r>
        <w:rPr>
          <w:rFonts w:hint="eastAsia" w:ascii="宋体" w:hAnsi="宋体" w:cs="宋体"/>
          <w:szCs w:val="21"/>
          <w:highlight w:val="white"/>
        </w:rPr>
        <w:t xml:space="preserve">                                                        身份证号码：</w:t>
      </w:r>
      <w:r>
        <w:rPr>
          <w:rFonts w:hint="eastAsia" w:ascii="宋体" w:hAnsi="宋体" w:cs="宋体"/>
          <w:szCs w:val="21"/>
          <w:highlight w:val="white"/>
          <w:u w:val="single"/>
        </w:rPr>
        <w:t xml:space="preserve">           </w:t>
      </w:r>
    </w:p>
    <w:p w14:paraId="69ADA0E9">
      <w:pPr>
        <w:pStyle w:val="46"/>
        <w:spacing w:line="360" w:lineRule="auto"/>
        <w:jc w:val="left"/>
        <w:rPr>
          <w:rFonts w:hint="eastAsia" w:ascii="宋体" w:hAnsi="宋体" w:cs="宋体"/>
          <w:szCs w:val="21"/>
        </w:rPr>
      </w:pPr>
      <w:r>
        <w:rPr>
          <w:rFonts w:hint="eastAsia" w:ascii="宋体" w:hAnsi="宋体" w:cs="宋体"/>
          <w:szCs w:val="21"/>
          <w:highlight w:val="white"/>
        </w:rPr>
        <w:t xml:space="preserve">                 </w:t>
      </w:r>
    </w:p>
    <w:p w14:paraId="52CE38BA">
      <w:pPr>
        <w:pStyle w:val="46"/>
        <w:spacing w:line="360" w:lineRule="auto"/>
        <w:jc w:val="right"/>
        <w:rPr>
          <w:rFonts w:hint="eastAsia" w:ascii="宋体" w:hAnsi="宋体" w:cs="宋体"/>
          <w:szCs w:val="21"/>
        </w:rPr>
      </w:pPr>
      <w:r>
        <w:rPr>
          <w:rFonts w:hint="eastAsia" w:ascii="宋体" w:hAnsi="宋体" w:cs="宋体"/>
          <w:szCs w:val="21"/>
          <w:highlight w:val="white"/>
        </w:rPr>
        <w:t xml:space="preserve">                     </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3A1D30D4">
      <w:pPr>
        <w:pStyle w:val="46"/>
        <w:rPr>
          <w:rFonts w:hint="eastAsia" w:ascii="宋体" w:hAnsi="宋体" w:cs="宋体"/>
          <w:szCs w:val="21"/>
        </w:rPr>
      </w:pPr>
    </w:p>
    <w:p w14:paraId="48A1F8DD">
      <w:pPr>
        <w:pStyle w:val="46"/>
        <w:rPr>
          <w:rFonts w:hint="eastAsia" w:ascii="宋体" w:hAnsi="宋体" w:cs="宋体"/>
          <w:szCs w:val="21"/>
        </w:rPr>
      </w:pPr>
    </w:p>
    <w:p w14:paraId="502D17FC">
      <w:pPr>
        <w:pStyle w:val="46"/>
        <w:rPr>
          <w:rFonts w:hint="eastAsia" w:ascii="宋体" w:hAnsi="宋体" w:cs="宋体"/>
          <w:szCs w:val="21"/>
        </w:rPr>
      </w:pPr>
    </w:p>
    <w:p w14:paraId="41C4196B">
      <w:pPr>
        <w:pStyle w:val="46"/>
        <w:spacing w:line="360" w:lineRule="auto"/>
        <w:jc w:val="center"/>
        <w:rPr>
          <w:rFonts w:hint="eastAsia" w:ascii="宋体" w:hAnsi="宋体" w:cs="宋体"/>
          <w:sz w:val="24"/>
        </w:rPr>
      </w:pPr>
      <w:r>
        <w:rPr>
          <w:rFonts w:hint="eastAsia" w:ascii="宋体" w:hAnsi="宋体" w:cs="宋体"/>
          <w:szCs w:val="21"/>
          <w:highlight w:val="white"/>
        </w:rPr>
        <w:br w:type="page"/>
      </w:r>
      <w:r>
        <w:rPr>
          <w:rFonts w:hint="eastAsia" w:ascii="宋体" w:hAnsi="宋体" w:cs="宋体"/>
          <w:bCs/>
          <w:kern w:val="44"/>
          <w:sz w:val="24"/>
          <w:highlight w:val="white"/>
        </w:rPr>
        <w:t>（二）授权委托书（若有）</w:t>
      </w:r>
    </w:p>
    <w:p w14:paraId="0E180E4B">
      <w:pPr>
        <w:pStyle w:val="46"/>
        <w:spacing w:line="360" w:lineRule="auto"/>
        <w:rPr>
          <w:rFonts w:hint="eastAsia" w:ascii="宋体" w:hAnsi="宋体" w:cs="宋体"/>
          <w:sz w:val="24"/>
        </w:rPr>
      </w:pPr>
    </w:p>
    <w:p w14:paraId="5189E88B">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本人</w:t>
      </w:r>
      <w:r>
        <w:rPr>
          <w:rFonts w:hint="eastAsia" w:ascii="宋体" w:hAnsi="宋体" w:cs="宋体"/>
          <w:szCs w:val="21"/>
          <w:highlight w:val="white"/>
          <w:u w:val="single"/>
        </w:rPr>
        <w:t xml:space="preserve">        </w:t>
      </w:r>
      <w:r>
        <w:rPr>
          <w:rFonts w:hint="eastAsia" w:ascii="宋体" w:hAnsi="宋体" w:cs="宋体"/>
          <w:szCs w:val="21"/>
          <w:highlight w:val="white"/>
        </w:rPr>
        <w:t>（姓名）系</w:t>
      </w:r>
      <w:r>
        <w:rPr>
          <w:rFonts w:hint="eastAsia" w:ascii="宋体" w:hAnsi="宋体" w:cs="宋体"/>
          <w:szCs w:val="21"/>
          <w:highlight w:val="white"/>
          <w:u w:val="single"/>
        </w:rPr>
        <w:t xml:space="preserve">                   </w:t>
      </w:r>
      <w:r>
        <w:rPr>
          <w:rFonts w:hint="eastAsia" w:ascii="宋体" w:hAnsi="宋体" w:cs="宋体"/>
          <w:szCs w:val="21"/>
          <w:highlight w:val="white"/>
        </w:rPr>
        <w:t>（投标人名称）的法定代表人，现委托</w:t>
      </w:r>
      <w:r>
        <w:rPr>
          <w:rFonts w:hint="eastAsia" w:ascii="宋体" w:hAnsi="宋体" w:cs="宋体"/>
          <w:szCs w:val="21"/>
          <w:highlight w:val="white"/>
          <w:u w:val="single"/>
        </w:rPr>
        <w:t xml:space="preserve">   </w:t>
      </w:r>
      <w:r>
        <w:rPr>
          <w:rFonts w:hint="eastAsia" w:ascii="宋体" w:hAnsi="宋体" w:cs="宋体"/>
          <w:szCs w:val="21"/>
          <w:highlight w:val="white"/>
        </w:rPr>
        <w:t>（姓名）为我方代理人。代理人根据授权，以我方名义签署、澄清、递交、撤回、修改</w:t>
      </w:r>
      <w:r>
        <w:rPr>
          <w:rFonts w:hint="eastAsia" w:ascii="宋体" w:hAnsi="宋体" w:cs="宋体"/>
          <w:szCs w:val="21"/>
          <w:highlight w:val="white"/>
          <w:u w:val="single"/>
        </w:rPr>
        <w:t xml:space="preserve">     </w:t>
      </w:r>
      <w:r>
        <w:rPr>
          <w:rFonts w:hint="eastAsia" w:ascii="宋体" w:hAnsi="宋体" w:cs="宋体"/>
          <w:szCs w:val="21"/>
          <w:highlight w:val="white"/>
        </w:rPr>
        <w:t>（项目名称）施工投标文件、签订合同和处理有关事宜，其法律后果由我方承担。</w:t>
      </w:r>
    </w:p>
    <w:p w14:paraId="22ADC3B7">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委托期限：</w:t>
      </w:r>
      <w:r>
        <w:rPr>
          <w:rFonts w:hint="eastAsia" w:ascii="宋体" w:hAnsi="宋体" w:cs="宋体"/>
          <w:szCs w:val="21"/>
          <w:highlight w:val="white"/>
          <w:u w:val="single"/>
        </w:rPr>
        <w:t xml:space="preserve">          </w:t>
      </w:r>
      <w:r>
        <w:rPr>
          <w:rFonts w:hint="eastAsia" w:ascii="宋体" w:hAnsi="宋体" w:cs="宋体"/>
          <w:szCs w:val="21"/>
          <w:highlight w:val="white"/>
        </w:rPr>
        <w:t>。</w:t>
      </w:r>
    </w:p>
    <w:p w14:paraId="1C5BFD4A">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 xml:space="preserve">代理人无转委托权。 </w:t>
      </w:r>
    </w:p>
    <w:p w14:paraId="4B63F81F">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附：代理人身份证明复印件</w:t>
      </w:r>
    </w:p>
    <w:p w14:paraId="2C30F4D4">
      <w:pPr>
        <w:pStyle w:val="46"/>
        <w:spacing w:line="360" w:lineRule="auto"/>
        <w:rPr>
          <w:rFonts w:hint="eastAsia" w:ascii="宋体" w:hAnsi="宋体" w:cs="宋体"/>
          <w:szCs w:val="21"/>
        </w:rPr>
      </w:pPr>
    </w:p>
    <w:p w14:paraId="6A2B7F96">
      <w:pPr>
        <w:pStyle w:val="46"/>
        <w:spacing w:line="360" w:lineRule="auto"/>
        <w:rPr>
          <w:rFonts w:hint="eastAsia" w:ascii="宋体" w:hAnsi="宋体" w:cs="宋体"/>
          <w:szCs w:val="21"/>
        </w:rPr>
      </w:pPr>
    </w:p>
    <w:p w14:paraId="728BFCA7">
      <w:pPr>
        <w:pStyle w:val="46"/>
        <w:spacing w:line="360" w:lineRule="auto"/>
        <w:rPr>
          <w:rFonts w:hint="eastAsia" w:ascii="宋体" w:hAnsi="宋体" w:cs="宋体"/>
          <w:szCs w:val="21"/>
        </w:rPr>
      </w:pPr>
      <w:r>
        <w:rPr>
          <w:rFonts w:hint="eastAsia" w:ascii="宋体" w:hAnsi="宋体" w:cs="宋体"/>
          <w:szCs w:val="21"/>
          <w:highlight w:val="white"/>
        </w:rPr>
        <w:t xml:space="preserve">                    </w:t>
      </w:r>
      <w:r>
        <w:rPr>
          <w:rFonts w:hint="eastAsia" w:ascii="宋体" w:hAnsi="宋体" w:cs="宋体"/>
          <w:kern w:val="0"/>
          <w:szCs w:val="21"/>
          <w:highlight w:val="white"/>
        </w:rPr>
        <w:t>投标人</w:t>
      </w:r>
      <w:r>
        <w:rPr>
          <w:rFonts w:hint="eastAsia" w:ascii="宋体" w:hAnsi="宋体" w:cs="宋体"/>
          <w:szCs w:val="21"/>
          <w:highlight w:val="white"/>
        </w:rPr>
        <w:t>：</w:t>
      </w:r>
      <w:r>
        <w:rPr>
          <w:rFonts w:hint="eastAsia" w:ascii="宋体" w:hAnsi="宋体" w:cs="宋体"/>
          <w:szCs w:val="21"/>
          <w:highlight w:val="white"/>
          <w:u w:val="single"/>
        </w:rPr>
        <w:t xml:space="preserve">              </w:t>
      </w:r>
      <w:r>
        <w:rPr>
          <w:rFonts w:hint="eastAsia" w:ascii="宋体" w:hAnsi="宋体" w:cs="宋体"/>
          <w:szCs w:val="21"/>
          <w:highlight w:val="white"/>
        </w:rPr>
        <w:t>（盖章）</w:t>
      </w:r>
    </w:p>
    <w:p w14:paraId="25F4FDCF">
      <w:pPr>
        <w:pStyle w:val="46"/>
        <w:spacing w:line="360" w:lineRule="auto"/>
        <w:rPr>
          <w:rFonts w:hint="eastAsia" w:ascii="宋体" w:hAnsi="宋体" w:cs="宋体"/>
          <w:szCs w:val="21"/>
        </w:rPr>
      </w:pPr>
      <w:r>
        <w:rPr>
          <w:rFonts w:hint="eastAsia" w:ascii="宋体" w:hAnsi="宋体" w:cs="宋体"/>
          <w:szCs w:val="21"/>
          <w:highlight w:val="white"/>
        </w:rPr>
        <w:t xml:space="preserve">                    法定代表人：</w:t>
      </w:r>
      <w:r>
        <w:rPr>
          <w:rFonts w:hint="eastAsia" w:ascii="宋体" w:hAnsi="宋体" w:cs="宋体"/>
          <w:szCs w:val="21"/>
          <w:highlight w:val="white"/>
          <w:u w:val="single"/>
        </w:rPr>
        <w:t xml:space="preserve">          </w:t>
      </w:r>
      <w:r>
        <w:rPr>
          <w:rFonts w:hint="eastAsia" w:ascii="宋体" w:hAnsi="宋体" w:cs="宋体"/>
          <w:szCs w:val="21"/>
          <w:highlight w:val="white"/>
        </w:rPr>
        <w:t>（签字或盖章）</w:t>
      </w:r>
    </w:p>
    <w:p w14:paraId="39861CF3">
      <w:pPr>
        <w:pStyle w:val="46"/>
        <w:spacing w:line="360" w:lineRule="auto"/>
        <w:rPr>
          <w:rFonts w:hint="eastAsia" w:ascii="宋体" w:hAnsi="宋体" w:cs="宋体"/>
          <w:szCs w:val="21"/>
        </w:rPr>
      </w:pPr>
      <w:r>
        <w:rPr>
          <w:rFonts w:hint="eastAsia" w:ascii="宋体" w:hAnsi="宋体" w:cs="宋体"/>
          <w:szCs w:val="21"/>
          <w:highlight w:val="white"/>
        </w:rPr>
        <w:t xml:space="preserve">                    身份证号码：</w:t>
      </w:r>
      <w:r>
        <w:rPr>
          <w:rFonts w:hint="eastAsia" w:ascii="宋体" w:hAnsi="宋体" w:cs="宋体"/>
          <w:szCs w:val="21"/>
          <w:highlight w:val="white"/>
          <w:u w:val="single"/>
        </w:rPr>
        <w:t xml:space="preserve">                     </w:t>
      </w:r>
    </w:p>
    <w:p w14:paraId="7B2FCBB4">
      <w:pPr>
        <w:pStyle w:val="46"/>
        <w:spacing w:line="360" w:lineRule="auto"/>
        <w:rPr>
          <w:rFonts w:hint="eastAsia" w:ascii="宋体" w:hAnsi="宋体" w:cs="宋体"/>
          <w:szCs w:val="21"/>
        </w:rPr>
      </w:pPr>
      <w:r>
        <w:rPr>
          <w:rFonts w:hint="eastAsia" w:ascii="宋体" w:hAnsi="宋体" w:cs="宋体"/>
          <w:szCs w:val="21"/>
          <w:highlight w:val="white"/>
        </w:rPr>
        <w:t xml:space="preserve">                    委托代理人：</w:t>
      </w:r>
      <w:r>
        <w:rPr>
          <w:rFonts w:hint="eastAsia" w:ascii="宋体" w:hAnsi="宋体" w:cs="宋体"/>
          <w:szCs w:val="21"/>
          <w:highlight w:val="white"/>
          <w:u w:val="single"/>
        </w:rPr>
        <w:t xml:space="preserve">            </w:t>
      </w:r>
      <w:r>
        <w:rPr>
          <w:rFonts w:hint="eastAsia" w:ascii="宋体" w:hAnsi="宋体" w:cs="宋体"/>
          <w:szCs w:val="21"/>
          <w:highlight w:val="white"/>
        </w:rPr>
        <w:t>（签字或盖章）</w:t>
      </w:r>
    </w:p>
    <w:p w14:paraId="1EA3E17A">
      <w:pPr>
        <w:pStyle w:val="46"/>
        <w:spacing w:line="360" w:lineRule="auto"/>
        <w:rPr>
          <w:rFonts w:hint="eastAsia" w:ascii="宋体" w:hAnsi="宋体" w:cs="宋体"/>
          <w:szCs w:val="21"/>
        </w:rPr>
      </w:pPr>
      <w:r>
        <w:rPr>
          <w:rFonts w:hint="eastAsia" w:ascii="宋体" w:hAnsi="宋体" w:cs="宋体"/>
          <w:szCs w:val="21"/>
          <w:highlight w:val="white"/>
        </w:rPr>
        <w:t xml:space="preserve">                    身份证号码：</w:t>
      </w:r>
      <w:r>
        <w:rPr>
          <w:rFonts w:hint="eastAsia" w:ascii="宋体" w:hAnsi="宋体" w:cs="宋体"/>
          <w:szCs w:val="21"/>
          <w:highlight w:val="white"/>
          <w:u w:val="single"/>
        </w:rPr>
        <w:t xml:space="preserve">                           </w:t>
      </w:r>
    </w:p>
    <w:p w14:paraId="2A33EC9A">
      <w:pPr>
        <w:pStyle w:val="46"/>
        <w:spacing w:line="360" w:lineRule="auto"/>
        <w:jc w:val="right"/>
        <w:rPr>
          <w:rFonts w:hint="eastAsia" w:ascii="宋体" w:hAnsi="宋体" w:cs="宋体"/>
          <w:szCs w:val="21"/>
        </w:rPr>
      </w:pPr>
      <w:r>
        <w:rPr>
          <w:rFonts w:hint="eastAsia" w:ascii="宋体" w:hAnsi="宋体" w:cs="宋体"/>
          <w:szCs w:val="21"/>
          <w:highlight w:val="white"/>
        </w:rPr>
        <w:t xml:space="preserve">                              </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0890D58E">
      <w:pPr>
        <w:pStyle w:val="46"/>
        <w:spacing w:line="360" w:lineRule="auto"/>
        <w:ind w:firstLine="360" w:firstLineChars="200"/>
        <w:rPr>
          <w:rFonts w:hint="eastAsia" w:ascii="宋体" w:hAnsi="宋体" w:cs="宋体"/>
          <w:sz w:val="18"/>
          <w:szCs w:val="18"/>
        </w:rPr>
      </w:pPr>
    </w:p>
    <w:p w14:paraId="3ACAF84F">
      <w:pPr>
        <w:pStyle w:val="46"/>
        <w:spacing w:line="360" w:lineRule="auto"/>
        <w:jc w:val="center"/>
        <w:rPr>
          <w:rFonts w:hint="eastAsia" w:ascii="宋体" w:hAnsi="宋体" w:cs="宋体"/>
          <w:szCs w:val="21"/>
        </w:rPr>
      </w:pPr>
    </w:p>
    <w:p w14:paraId="13C5A8B9">
      <w:pPr>
        <w:pStyle w:val="46"/>
        <w:spacing w:line="360" w:lineRule="auto"/>
        <w:jc w:val="center"/>
        <w:rPr>
          <w:rFonts w:hint="eastAsia" w:ascii="宋体" w:hAnsi="宋体" w:cs="宋体"/>
          <w:szCs w:val="21"/>
        </w:rPr>
      </w:pPr>
    </w:p>
    <w:p w14:paraId="1536BF3F">
      <w:pPr>
        <w:pStyle w:val="46"/>
        <w:spacing w:line="360" w:lineRule="auto"/>
        <w:jc w:val="center"/>
        <w:rPr>
          <w:rFonts w:hint="eastAsia" w:ascii="宋体" w:hAnsi="宋体" w:cs="宋体"/>
          <w:szCs w:val="21"/>
        </w:rPr>
      </w:pPr>
    </w:p>
    <w:p w14:paraId="77086E48">
      <w:pPr>
        <w:pStyle w:val="46"/>
        <w:spacing w:line="360" w:lineRule="auto"/>
        <w:ind w:firstLine="420" w:firstLineChars="200"/>
        <w:rPr>
          <w:rFonts w:hint="eastAsia" w:ascii="宋体" w:hAnsi="宋体" w:cs="宋体"/>
          <w:szCs w:val="21"/>
        </w:rPr>
      </w:pPr>
      <w:r>
        <w:rPr>
          <w:rFonts w:hint="eastAsia" w:ascii="宋体" w:hAnsi="宋体" w:cs="宋体"/>
          <w:szCs w:val="21"/>
          <w:highlight w:val="white"/>
        </w:rPr>
        <w:t>注：如果由投标人的法定代表人亲自签署投标文件，则不需提交授权委托书。</w:t>
      </w:r>
    </w:p>
    <w:p w14:paraId="01012752">
      <w:pPr>
        <w:pStyle w:val="47"/>
        <w:jc w:val="center"/>
        <w:outlineLvl w:val="1"/>
        <w:rPr>
          <w:rFonts w:hint="eastAsia" w:cs="宋体"/>
        </w:rPr>
      </w:pPr>
      <w:r>
        <w:rPr>
          <w:rFonts w:hint="eastAsia" w:cs="宋体"/>
          <w:highlight w:val="white"/>
        </w:rPr>
        <w:br w:type="page"/>
      </w:r>
      <w:bookmarkStart w:id="859" w:name="_Toc40261855"/>
      <w:r>
        <w:rPr>
          <w:rFonts w:hint="eastAsia" w:cs="宋体"/>
          <w:highlight w:val="white"/>
        </w:rPr>
        <w:t>三、</w:t>
      </w:r>
      <w:bookmarkEnd w:id="859"/>
      <w:bookmarkStart w:id="860" w:name="_Toc40261857"/>
      <w:r>
        <w:rPr>
          <w:rFonts w:hint="eastAsia" w:cs="宋体"/>
          <w:highlight w:val="white"/>
        </w:rPr>
        <w:t>项目管理机构（如有）</w:t>
      </w:r>
      <w:bookmarkEnd w:id="860"/>
    </w:p>
    <w:p w14:paraId="19BBF9BE">
      <w:pPr>
        <w:pStyle w:val="48"/>
        <w:rPr>
          <w:rFonts w:hint="eastAsia" w:ascii="宋体" w:hAnsi="宋体" w:cs="宋体"/>
          <w:bCs/>
          <w:kern w:val="44"/>
          <w:sz w:val="24"/>
        </w:rPr>
      </w:pPr>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312"/>
      </w:tblGrid>
      <w:tr w14:paraId="4A70E3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7312" w:type="dxa"/>
            <w:tcBorders>
              <w:top w:val="single" w:color="auto" w:sz="12" w:space="0"/>
              <w:left w:val="single" w:color="auto" w:sz="12" w:space="0"/>
              <w:bottom w:val="single" w:color="auto" w:sz="6" w:space="0"/>
              <w:right w:val="single" w:color="auto" w:sz="12" w:space="0"/>
            </w:tcBorders>
            <w:noWrap w:val="0"/>
            <w:vAlign w:val="top"/>
          </w:tcPr>
          <w:p w14:paraId="08EFFCBA">
            <w:pPr>
              <w:pStyle w:val="48"/>
              <w:rPr>
                <w:rFonts w:hint="eastAsia" w:ascii="宋体" w:hAnsi="宋体" w:cs="宋体"/>
                <w:szCs w:val="21"/>
              </w:rPr>
            </w:pPr>
          </w:p>
          <w:p w14:paraId="2813EFAC">
            <w:pPr>
              <w:pStyle w:val="48"/>
              <w:rPr>
                <w:rFonts w:hint="eastAsia" w:ascii="宋体" w:hAnsi="宋体" w:cs="宋体"/>
                <w:szCs w:val="21"/>
              </w:rPr>
            </w:pPr>
            <w:r>
              <w:rPr>
                <w:rFonts w:hint="eastAsia" w:ascii="宋体" w:hAnsi="宋体" w:cs="宋体"/>
                <w:szCs w:val="21"/>
                <w:highlight w:val="white"/>
              </w:rPr>
              <w:t>拟为承包本标段工程设立的组织机构以框图方式表示</w:t>
            </w:r>
          </w:p>
        </w:tc>
      </w:tr>
      <w:tr w14:paraId="060AAE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68" w:hRule="atLeast"/>
          <w:jc w:val="center"/>
        </w:trPr>
        <w:tc>
          <w:tcPr>
            <w:tcW w:w="7312" w:type="dxa"/>
            <w:tcBorders>
              <w:top w:val="single" w:color="auto" w:sz="6" w:space="0"/>
              <w:left w:val="single" w:color="auto" w:sz="12" w:space="0"/>
              <w:bottom w:val="single" w:color="auto" w:sz="12" w:space="0"/>
              <w:right w:val="single" w:color="auto" w:sz="12" w:space="0"/>
            </w:tcBorders>
            <w:noWrap w:val="0"/>
            <w:vAlign w:val="top"/>
          </w:tcPr>
          <w:p w14:paraId="145FC4C4">
            <w:pPr>
              <w:pStyle w:val="48"/>
              <w:rPr>
                <w:rFonts w:hint="eastAsia" w:ascii="宋体" w:hAnsi="宋体" w:cs="宋体"/>
                <w:szCs w:val="21"/>
              </w:rPr>
            </w:pPr>
          </w:p>
          <w:p w14:paraId="0E10DA83">
            <w:pPr>
              <w:pStyle w:val="48"/>
              <w:rPr>
                <w:rFonts w:hint="eastAsia" w:ascii="宋体" w:hAnsi="宋体" w:cs="宋体"/>
                <w:szCs w:val="21"/>
              </w:rPr>
            </w:pPr>
            <w:r>
              <w:rPr>
                <w:rFonts w:hint="eastAsia" w:ascii="宋体" w:hAnsi="宋体" w:cs="宋体"/>
                <w:szCs w:val="21"/>
                <w:highlight w:val="white"/>
              </w:rPr>
              <w:t>说明</w:t>
            </w:r>
          </w:p>
        </w:tc>
      </w:tr>
    </w:tbl>
    <w:p w14:paraId="644CB19C">
      <w:pPr>
        <w:pStyle w:val="49"/>
        <w:jc w:val="center"/>
        <w:outlineLvl w:val="1"/>
        <w:rPr>
          <w:rFonts w:hint="eastAsia" w:cs="宋体"/>
        </w:rPr>
      </w:pPr>
      <w:r>
        <w:rPr>
          <w:rFonts w:hint="eastAsia" w:cs="宋体"/>
          <w:highlight w:val="white"/>
        </w:rPr>
        <w:br w:type="page"/>
      </w:r>
      <w:bookmarkStart w:id="861" w:name="_Toc40261858"/>
      <w:r>
        <w:rPr>
          <w:rFonts w:hint="eastAsia" w:cs="宋体"/>
          <w:highlight w:val="white"/>
          <w:lang w:val="en-US" w:eastAsia="zh-CN"/>
        </w:rPr>
        <w:t>四</w:t>
      </w:r>
      <w:r>
        <w:rPr>
          <w:rFonts w:hint="eastAsia" w:cs="宋体"/>
          <w:highlight w:val="white"/>
        </w:rPr>
        <w:t>、资格审查资料</w:t>
      </w:r>
      <w:bookmarkEnd w:id="861"/>
    </w:p>
    <w:p w14:paraId="3C990D98">
      <w:pPr>
        <w:pStyle w:val="50"/>
        <w:wordWrap w:val="0"/>
        <w:jc w:val="center"/>
        <w:rPr>
          <w:rFonts w:hint="eastAsia" w:ascii="宋体" w:hAnsi="宋体" w:cs="宋体"/>
          <w:bCs/>
          <w:kern w:val="44"/>
          <w:sz w:val="24"/>
        </w:rPr>
      </w:pPr>
      <w:bookmarkStart w:id="862" w:name="_Toc31445"/>
      <w:bookmarkStart w:id="863" w:name="_Toc234382978"/>
      <w:r>
        <w:rPr>
          <w:rFonts w:hint="eastAsia" w:ascii="宋体" w:hAnsi="宋体" w:cs="宋体"/>
          <w:bCs/>
          <w:kern w:val="44"/>
          <w:sz w:val="24"/>
          <w:highlight w:val="white"/>
        </w:rPr>
        <w:t>（一）投标人基本情况表</w:t>
      </w:r>
      <w:bookmarkEnd w:id="862"/>
      <w:bookmarkEnd w:id="863"/>
    </w:p>
    <w:p w14:paraId="3CE0FED6">
      <w:pPr>
        <w:pStyle w:val="50"/>
        <w:wordWrap w:val="0"/>
        <w:jc w:val="center"/>
        <w:rPr>
          <w:rFonts w:hint="eastAsia" w:ascii="宋体" w:hAnsi="宋体" w:cs="宋体"/>
          <w:bCs/>
          <w:kern w:val="44"/>
          <w:sz w:val="24"/>
        </w:rPr>
      </w:pPr>
    </w:p>
    <w:p w14:paraId="6380BC91">
      <w:pPr>
        <w:pStyle w:val="50"/>
        <w:wordWrap w:val="0"/>
        <w:spacing w:line="400" w:lineRule="exact"/>
        <w:ind w:right="460"/>
        <w:rPr>
          <w:rFonts w:hint="eastAsia" w:ascii="宋体" w:hAnsi="宋体" w:cs="宋体"/>
          <w:szCs w:val="21"/>
          <w:u w:val="single"/>
        </w:rPr>
      </w:pPr>
      <w:r>
        <w:rPr>
          <w:rFonts w:hint="eastAsia" w:ascii="宋体" w:hAnsi="宋体" w:cs="宋体"/>
          <w:szCs w:val="21"/>
          <w:highlight w:val="white"/>
        </w:rPr>
        <w:t xml:space="preserve">投标人名称： </w:t>
      </w:r>
      <w:r>
        <w:rPr>
          <w:rFonts w:hint="eastAsia" w:ascii="宋体" w:hAnsi="宋体" w:cs="宋体"/>
          <w:szCs w:val="21"/>
          <w:highlight w:val="white"/>
          <w:u w:val="single"/>
        </w:rPr>
        <w:t xml:space="preserve">        （公章）     </w:t>
      </w:r>
      <w:r>
        <w:rPr>
          <w:rFonts w:hint="eastAsia" w:ascii="宋体" w:hAnsi="宋体" w:cs="宋体"/>
          <w:szCs w:val="21"/>
          <w:highlight w:val="white"/>
        </w:rPr>
        <w:t xml:space="preserve">                 </w:t>
      </w:r>
    </w:p>
    <w:tbl>
      <w:tblPr>
        <w:tblStyle w:val="15"/>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1940"/>
        <w:gridCol w:w="960"/>
        <w:gridCol w:w="720"/>
        <w:gridCol w:w="834"/>
        <w:gridCol w:w="366"/>
        <w:gridCol w:w="1200"/>
        <w:gridCol w:w="164"/>
        <w:gridCol w:w="796"/>
        <w:gridCol w:w="921"/>
      </w:tblGrid>
      <w:tr w14:paraId="7E3351A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1940" w:type="dxa"/>
            <w:tcBorders>
              <w:top w:val="single" w:color="000000" w:sz="12" w:space="0"/>
              <w:left w:val="single" w:color="000000" w:sz="12" w:space="0"/>
              <w:bottom w:val="single" w:color="000000" w:sz="6" w:space="0"/>
              <w:right w:val="single" w:color="000000" w:sz="6" w:space="0"/>
            </w:tcBorders>
            <w:noWrap w:val="0"/>
            <w:vAlign w:val="center"/>
          </w:tcPr>
          <w:p w14:paraId="7B6E6206">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投标人名称</w:t>
            </w:r>
          </w:p>
        </w:tc>
        <w:tc>
          <w:tcPr>
            <w:tcW w:w="5961" w:type="dxa"/>
            <w:gridSpan w:val="8"/>
            <w:tcBorders>
              <w:top w:val="single" w:color="000000" w:sz="12" w:space="0"/>
              <w:left w:val="single" w:color="000000" w:sz="6" w:space="0"/>
              <w:bottom w:val="single" w:color="000000" w:sz="6" w:space="0"/>
              <w:right w:val="single" w:color="000000" w:sz="12" w:space="0"/>
            </w:tcBorders>
            <w:noWrap w:val="0"/>
            <w:vAlign w:val="center"/>
          </w:tcPr>
          <w:p w14:paraId="70DEF7F8">
            <w:pPr>
              <w:pStyle w:val="50"/>
              <w:wordWrap w:val="0"/>
              <w:autoSpaceDE w:val="0"/>
              <w:autoSpaceDN w:val="0"/>
              <w:adjustRightInd w:val="0"/>
              <w:spacing w:line="360" w:lineRule="exact"/>
              <w:jc w:val="center"/>
              <w:rPr>
                <w:rFonts w:hint="eastAsia" w:ascii="宋体" w:hAnsi="宋体" w:cs="宋体"/>
                <w:kern w:val="0"/>
                <w:szCs w:val="21"/>
              </w:rPr>
            </w:pPr>
          </w:p>
        </w:tc>
      </w:tr>
      <w:tr w14:paraId="24084EC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75FA22D2">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注册地址</w:t>
            </w:r>
          </w:p>
        </w:tc>
        <w:tc>
          <w:tcPr>
            <w:tcW w:w="2880" w:type="dxa"/>
            <w:gridSpan w:val="4"/>
            <w:tcBorders>
              <w:top w:val="single" w:color="000000" w:sz="6" w:space="0"/>
              <w:left w:val="single" w:color="000000" w:sz="6" w:space="0"/>
              <w:bottom w:val="single" w:color="000000" w:sz="6" w:space="0"/>
              <w:right w:val="single" w:color="000000" w:sz="6" w:space="0"/>
            </w:tcBorders>
            <w:noWrap w:val="0"/>
            <w:vAlign w:val="center"/>
          </w:tcPr>
          <w:p w14:paraId="3FA67C4B">
            <w:pPr>
              <w:pStyle w:val="50"/>
              <w:wordWrap w:val="0"/>
              <w:autoSpaceDE w:val="0"/>
              <w:autoSpaceDN w:val="0"/>
              <w:adjustRightInd w:val="0"/>
              <w:spacing w:line="360" w:lineRule="exact"/>
              <w:jc w:val="center"/>
              <w:rPr>
                <w:rFonts w:hint="eastAsia" w:ascii="宋体" w:hAnsi="宋体" w:cs="宋体"/>
                <w:kern w:val="0"/>
                <w:szCs w:val="21"/>
              </w:rPr>
            </w:pPr>
          </w:p>
        </w:tc>
        <w:tc>
          <w:tcPr>
            <w:tcW w:w="1200" w:type="dxa"/>
            <w:tcBorders>
              <w:top w:val="single" w:color="000000" w:sz="6" w:space="0"/>
              <w:left w:val="single" w:color="000000" w:sz="6" w:space="0"/>
              <w:bottom w:val="single" w:color="000000" w:sz="6" w:space="0"/>
              <w:right w:val="single" w:color="000000" w:sz="6" w:space="0"/>
            </w:tcBorders>
            <w:noWrap w:val="0"/>
            <w:vAlign w:val="center"/>
          </w:tcPr>
          <w:p w14:paraId="4B6DC66B">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邮政编码</w:t>
            </w:r>
          </w:p>
        </w:tc>
        <w:tc>
          <w:tcPr>
            <w:tcW w:w="1881" w:type="dxa"/>
            <w:gridSpan w:val="3"/>
            <w:tcBorders>
              <w:top w:val="single" w:color="000000" w:sz="6" w:space="0"/>
              <w:left w:val="single" w:color="000000" w:sz="6" w:space="0"/>
              <w:bottom w:val="single" w:color="000000" w:sz="6" w:space="0"/>
              <w:right w:val="single" w:color="000000" w:sz="12" w:space="0"/>
            </w:tcBorders>
            <w:noWrap w:val="0"/>
            <w:vAlign w:val="center"/>
          </w:tcPr>
          <w:p w14:paraId="4C567806">
            <w:pPr>
              <w:pStyle w:val="50"/>
              <w:wordWrap w:val="0"/>
              <w:autoSpaceDE w:val="0"/>
              <w:autoSpaceDN w:val="0"/>
              <w:adjustRightInd w:val="0"/>
              <w:spacing w:line="360" w:lineRule="exact"/>
              <w:jc w:val="center"/>
              <w:rPr>
                <w:rFonts w:hint="eastAsia" w:ascii="宋体" w:hAnsi="宋体" w:cs="宋体"/>
                <w:kern w:val="0"/>
                <w:szCs w:val="21"/>
              </w:rPr>
            </w:pPr>
          </w:p>
        </w:tc>
      </w:tr>
      <w:tr w14:paraId="4358EB2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vMerge w:val="restart"/>
            <w:tcBorders>
              <w:top w:val="single" w:color="000000" w:sz="6" w:space="0"/>
              <w:left w:val="single" w:color="000000" w:sz="12" w:space="0"/>
              <w:bottom w:val="single" w:color="000000" w:sz="6" w:space="0"/>
              <w:right w:val="single" w:color="000000" w:sz="6" w:space="0"/>
            </w:tcBorders>
            <w:noWrap w:val="0"/>
            <w:vAlign w:val="center"/>
          </w:tcPr>
          <w:p w14:paraId="2A65BCF0">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联系方式</w:t>
            </w:r>
          </w:p>
        </w:tc>
        <w:tc>
          <w:tcPr>
            <w:tcW w:w="960" w:type="dxa"/>
            <w:tcBorders>
              <w:top w:val="single" w:color="000000" w:sz="6" w:space="0"/>
              <w:left w:val="single" w:color="000000" w:sz="6" w:space="0"/>
              <w:bottom w:val="single" w:color="000000" w:sz="6" w:space="0"/>
              <w:right w:val="single" w:color="000000" w:sz="6" w:space="0"/>
            </w:tcBorders>
            <w:noWrap w:val="0"/>
            <w:vAlign w:val="center"/>
          </w:tcPr>
          <w:p w14:paraId="0EAC9197">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联系人</w:t>
            </w:r>
          </w:p>
        </w:tc>
        <w:tc>
          <w:tcPr>
            <w:tcW w:w="1920" w:type="dxa"/>
            <w:gridSpan w:val="3"/>
            <w:tcBorders>
              <w:top w:val="single" w:color="000000" w:sz="6" w:space="0"/>
              <w:left w:val="single" w:color="000000" w:sz="6" w:space="0"/>
              <w:bottom w:val="single" w:color="000000" w:sz="6" w:space="0"/>
              <w:right w:val="single" w:color="000000" w:sz="6" w:space="0"/>
            </w:tcBorders>
            <w:noWrap w:val="0"/>
            <w:vAlign w:val="center"/>
          </w:tcPr>
          <w:p w14:paraId="6F1F6EC5">
            <w:pPr>
              <w:pStyle w:val="50"/>
              <w:wordWrap w:val="0"/>
              <w:autoSpaceDE w:val="0"/>
              <w:autoSpaceDN w:val="0"/>
              <w:adjustRightInd w:val="0"/>
              <w:spacing w:line="360" w:lineRule="exact"/>
              <w:jc w:val="center"/>
              <w:rPr>
                <w:rFonts w:hint="eastAsia" w:ascii="宋体" w:hAnsi="宋体" w:cs="宋体"/>
                <w:kern w:val="0"/>
                <w:szCs w:val="21"/>
              </w:rPr>
            </w:pPr>
          </w:p>
        </w:tc>
        <w:tc>
          <w:tcPr>
            <w:tcW w:w="1200" w:type="dxa"/>
            <w:tcBorders>
              <w:top w:val="single" w:color="000000" w:sz="6" w:space="0"/>
              <w:left w:val="single" w:color="000000" w:sz="6" w:space="0"/>
              <w:bottom w:val="single" w:color="000000" w:sz="6" w:space="0"/>
              <w:right w:val="single" w:color="000000" w:sz="6" w:space="0"/>
            </w:tcBorders>
            <w:noWrap w:val="0"/>
            <w:vAlign w:val="center"/>
          </w:tcPr>
          <w:p w14:paraId="5CC38EA4">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电 话</w:t>
            </w:r>
          </w:p>
        </w:tc>
        <w:tc>
          <w:tcPr>
            <w:tcW w:w="1881" w:type="dxa"/>
            <w:gridSpan w:val="3"/>
            <w:tcBorders>
              <w:top w:val="single" w:color="000000" w:sz="6" w:space="0"/>
              <w:left w:val="single" w:color="000000" w:sz="6" w:space="0"/>
              <w:bottom w:val="single" w:color="000000" w:sz="6" w:space="0"/>
              <w:right w:val="single" w:color="000000" w:sz="12" w:space="0"/>
            </w:tcBorders>
            <w:noWrap w:val="0"/>
            <w:vAlign w:val="center"/>
          </w:tcPr>
          <w:p w14:paraId="0AEDC852">
            <w:pPr>
              <w:pStyle w:val="50"/>
              <w:wordWrap w:val="0"/>
              <w:autoSpaceDE w:val="0"/>
              <w:autoSpaceDN w:val="0"/>
              <w:adjustRightInd w:val="0"/>
              <w:spacing w:line="360" w:lineRule="exact"/>
              <w:jc w:val="center"/>
              <w:rPr>
                <w:rFonts w:hint="eastAsia" w:ascii="宋体" w:hAnsi="宋体" w:cs="宋体"/>
                <w:kern w:val="0"/>
                <w:szCs w:val="21"/>
              </w:rPr>
            </w:pPr>
          </w:p>
        </w:tc>
      </w:tr>
      <w:tr w14:paraId="4DE67B3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vMerge w:val="continue"/>
            <w:tcBorders>
              <w:top w:val="single" w:color="000000" w:sz="6" w:space="0"/>
              <w:left w:val="single" w:color="000000" w:sz="12" w:space="0"/>
              <w:bottom w:val="single" w:color="000000" w:sz="6" w:space="0"/>
              <w:right w:val="single" w:color="000000" w:sz="6" w:space="0"/>
            </w:tcBorders>
            <w:noWrap w:val="0"/>
            <w:vAlign w:val="center"/>
          </w:tcPr>
          <w:p w14:paraId="2A386D99">
            <w:pPr>
              <w:pStyle w:val="50"/>
              <w:widowControl/>
              <w:wordWrap w:val="0"/>
              <w:spacing w:line="360" w:lineRule="exact"/>
              <w:jc w:val="left"/>
              <w:rPr>
                <w:rFonts w:hint="eastAsia" w:ascii="宋体" w:hAnsi="宋体" w:cs="宋体"/>
                <w:kern w:val="0"/>
                <w:szCs w:val="21"/>
              </w:rPr>
            </w:pPr>
          </w:p>
        </w:tc>
        <w:tc>
          <w:tcPr>
            <w:tcW w:w="960" w:type="dxa"/>
            <w:tcBorders>
              <w:top w:val="single" w:color="000000" w:sz="6" w:space="0"/>
              <w:left w:val="single" w:color="000000" w:sz="6" w:space="0"/>
              <w:bottom w:val="single" w:color="000000" w:sz="6" w:space="0"/>
              <w:right w:val="single" w:color="000000" w:sz="6" w:space="0"/>
            </w:tcBorders>
            <w:noWrap w:val="0"/>
            <w:vAlign w:val="center"/>
          </w:tcPr>
          <w:p w14:paraId="15C8947A">
            <w:pPr>
              <w:pStyle w:val="50"/>
              <w:tabs>
                <w:tab w:val="left" w:pos="540"/>
              </w:tabs>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传真</w:t>
            </w:r>
          </w:p>
        </w:tc>
        <w:tc>
          <w:tcPr>
            <w:tcW w:w="1920" w:type="dxa"/>
            <w:gridSpan w:val="3"/>
            <w:tcBorders>
              <w:top w:val="single" w:color="000000" w:sz="6" w:space="0"/>
              <w:left w:val="single" w:color="000000" w:sz="6" w:space="0"/>
              <w:bottom w:val="single" w:color="000000" w:sz="6" w:space="0"/>
              <w:right w:val="single" w:color="000000" w:sz="6" w:space="0"/>
            </w:tcBorders>
            <w:noWrap w:val="0"/>
            <w:vAlign w:val="center"/>
          </w:tcPr>
          <w:p w14:paraId="7C0C5783">
            <w:pPr>
              <w:pStyle w:val="50"/>
              <w:wordWrap w:val="0"/>
              <w:autoSpaceDE w:val="0"/>
              <w:autoSpaceDN w:val="0"/>
              <w:adjustRightInd w:val="0"/>
              <w:spacing w:line="360" w:lineRule="exact"/>
              <w:jc w:val="center"/>
              <w:rPr>
                <w:rFonts w:hint="eastAsia" w:ascii="宋体" w:hAnsi="宋体" w:cs="宋体"/>
                <w:kern w:val="0"/>
                <w:szCs w:val="21"/>
              </w:rPr>
            </w:pPr>
          </w:p>
        </w:tc>
        <w:tc>
          <w:tcPr>
            <w:tcW w:w="1200" w:type="dxa"/>
            <w:tcBorders>
              <w:top w:val="single" w:color="000000" w:sz="6" w:space="0"/>
              <w:left w:val="single" w:color="000000" w:sz="6" w:space="0"/>
              <w:bottom w:val="single" w:color="000000" w:sz="6" w:space="0"/>
              <w:right w:val="single" w:color="000000" w:sz="6" w:space="0"/>
            </w:tcBorders>
            <w:noWrap w:val="0"/>
            <w:vAlign w:val="center"/>
          </w:tcPr>
          <w:p w14:paraId="553C868A">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电子邮件</w:t>
            </w:r>
          </w:p>
        </w:tc>
        <w:tc>
          <w:tcPr>
            <w:tcW w:w="1881" w:type="dxa"/>
            <w:gridSpan w:val="3"/>
            <w:tcBorders>
              <w:top w:val="single" w:color="000000" w:sz="6" w:space="0"/>
              <w:left w:val="single" w:color="000000" w:sz="6" w:space="0"/>
              <w:bottom w:val="single" w:color="000000" w:sz="6" w:space="0"/>
              <w:right w:val="single" w:color="000000" w:sz="12" w:space="0"/>
            </w:tcBorders>
            <w:noWrap w:val="0"/>
            <w:vAlign w:val="center"/>
          </w:tcPr>
          <w:p w14:paraId="4E80F6D2">
            <w:pPr>
              <w:pStyle w:val="50"/>
              <w:wordWrap w:val="0"/>
              <w:autoSpaceDE w:val="0"/>
              <w:autoSpaceDN w:val="0"/>
              <w:adjustRightInd w:val="0"/>
              <w:spacing w:line="360" w:lineRule="exact"/>
              <w:jc w:val="center"/>
              <w:rPr>
                <w:rFonts w:hint="eastAsia" w:ascii="宋体" w:hAnsi="宋体" w:cs="宋体"/>
                <w:kern w:val="0"/>
                <w:szCs w:val="21"/>
              </w:rPr>
            </w:pPr>
          </w:p>
        </w:tc>
      </w:tr>
      <w:tr w14:paraId="25D574C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59EBAA8E">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法定代表人</w:t>
            </w:r>
          </w:p>
        </w:tc>
        <w:tc>
          <w:tcPr>
            <w:tcW w:w="960" w:type="dxa"/>
            <w:tcBorders>
              <w:top w:val="single" w:color="000000" w:sz="6" w:space="0"/>
              <w:left w:val="single" w:color="000000" w:sz="6" w:space="0"/>
              <w:bottom w:val="single" w:color="000000" w:sz="6" w:space="0"/>
              <w:right w:val="single" w:color="000000" w:sz="6" w:space="0"/>
            </w:tcBorders>
            <w:noWrap w:val="0"/>
            <w:vAlign w:val="center"/>
          </w:tcPr>
          <w:p w14:paraId="1832279C">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姓名</w:t>
            </w:r>
          </w:p>
        </w:tc>
        <w:tc>
          <w:tcPr>
            <w:tcW w:w="720" w:type="dxa"/>
            <w:tcBorders>
              <w:top w:val="single" w:color="000000" w:sz="6" w:space="0"/>
              <w:left w:val="single" w:color="000000" w:sz="6" w:space="0"/>
              <w:bottom w:val="single" w:color="000000" w:sz="6" w:space="0"/>
              <w:right w:val="single" w:color="000000" w:sz="6" w:space="0"/>
            </w:tcBorders>
            <w:noWrap w:val="0"/>
            <w:vAlign w:val="center"/>
          </w:tcPr>
          <w:p w14:paraId="471D683A">
            <w:pPr>
              <w:pStyle w:val="50"/>
              <w:wordWrap w:val="0"/>
              <w:autoSpaceDE w:val="0"/>
              <w:autoSpaceDN w:val="0"/>
              <w:adjustRightInd w:val="0"/>
              <w:spacing w:line="360" w:lineRule="exact"/>
              <w:jc w:val="center"/>
              <w:rPr>
                <w:rFonts w:hint="eastAsia" w:ascii="宋体" w:hAnsi="宋体" w:cs="宋体"/>
                <w:kern w:val="0"/>
                <w:szCs w:val="21"/>
              </w:rPr>
            </w:pPr>
          </w:p>
        </w:tc>
        <w:tc>
          <w:tcPr>
            <w:tcW w:w="1200" w:type="dxa"/>
            <w:gridSpan w:val="2"/>
            <w:tcBorders>
              <w:top w:val="single" w:color="000000" w:sz="6" w:space="0"/>
              <w:left w:val="single" w:color="000000" w:sz="6" w:space="0"/>
              <w:bottom w:val="single" w:color="000000" w:sz="6" w:space="0"/>
              <w:right w:val="single" w:color="000000" w:sz="6" w:space="0"/>
            </w:tcBorders>
            <w:noWrap w:val="0"/>
            <w:vAlign w:val="center"/>
          </w:tcPr>
          <w:p w14:paraId="01AEE75D">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技术职称</w:t>
            </w:r>
          </w:p>
        </w:tc>
        <w:tc>
          <w:tcPr>
            <w:tcW w:w="1364" w:type="dxa"/>
            <w:gridSpan w:val="2"/>
            <w:tcBorders>
              <w:top w:val="single" w:color="000000" w:sz="6" w:space="0"/>
              <w:left w:val="single" w:color="000000" w:sz="6" w:space="0"/>
              <w:bottom w:val="single" w:color="000000" w:sz="6" w:space="0"/>
              <w:right w:val="single" w:color="000000" w:sz="6" w:space="0"/>
            </w:tcBorders>
            <w:noWrap w:val="0"/>
            <w:vAlign w:val="center"/>
          </w:tcPr>
          <w:p w14:paraId="47EE202F">
            <w:pPr>
              <w:pStyle w:val="50"/>
              <w:wordWrap w:val="0"/>
              <w:autoSpaceDE w:val="0"/>
              <w:autoSpaceDN w:val="0"/>
              <w:adjustRightInd w:val="0"/>
              <w:spacing w:line="360" w:lineRule="exact"/>
              <w:jc w:val="center"/>
              <w:rPr>
                <w:rFonts w:hint="eastAsia" w:ascii="宋体" w:hAnsi="宋体" w:cs="宋体"/>
                <w:kern w:val="0"/>
                <w:szCs w:val="21"/>
              </w:rPr>
            </w:pPr>
          </w:p>
        </w:tc>
        <w:tc>
          <w:tcPr>
            <w:tcW w:w="796" w:type="dxa"/>
            <w:tcBorders>
              <w:top w:val="single" w:color="000000" w:sz="6" w:space="0"/>
              <w:left w:val="single" w:color="000000" w:sz="6" w:space="0"/>
              <w:bottom w:val="single" w:color="000000" w:sz="6" w:space="0"/>
              <w:right w:val="single" w:color="000000" w:sz="6" w:space="0"/>
            </w:tcBorders>
            <w:noWrap w:val="0"/>
            <w:vAlign w:val="center"/>
          </w:tcPr>
          <w:p w14:paraId="2575EE94">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电话</w:t>
            </w: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31E5A17D">
            <w:pPr>
              <w:pStyle w:val="50"/>
              <w:wordWrap w:val="0"/>
              <w:autoSpaceDE w:val="0"/>
              <w:autoSpaceDN w:val="0"/>
              <w:adjustRightInd w:val="0"/>
              <w:spacing w:line="360" w:lineRule="exact"/>
              <w:jc w:val="center"/>
              <w:rPr>
                <w:rFonts w:hint="eastAsia" w:ascii="宋体" w:hAnsi="宋体" w:cs="宋体"/>
                <w:kern w:val="0"/>
                <w:szCs w:val="21"/>
              </w:rPr>
            </w:pPr>
          </w:p>
        </w:tc>
      </w:tr>
      <w:tr w14:paraId="431CE40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2D68A950">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szCs w:val="21"/>
                <w:highlight w:val="white"/>
              </w:rPr>
              <w:t>项目总工</w:t>
            </w:r>
          </w:p>
        </w:tc>
        <w:tc>
          <w:tcPr>
            <w:tcW w:w="960" w:type="dxa"/>
            <w:tcBorders>
              <w:top w:val="single" w:color="000000" w:sz="6" w:space="0"/>
              <w:left w:val="single" w:color="000000" w:sz="6" w:space="0"/>
              <w:bottom w:val="single" w:color="000000" w:sz="6" w:space="0"/>
              <w:right w:val="single" w:color="000000" w:sz="6" w:space="0"/>
            </w:tcBorders>
            <w:noWrap w:val="0"/>
            <w:vAlign w:val="center"/>
          </w:tcPr>
          <w:p w14:paraId="74110C92">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姓名</w:t>
            </w:r>
          </w:p>
        </w:tc>
        <w:tc>
          <w:tcPr>
            <w:tcW w:w="720" w:type="dxa"/>
            <w:tcBorders>
              <w:top w:val="single" w:color="000000" w:sz="6" w:space="0"/>
              <w:left w:val="single" w:color="000000" w:sz="6" w:space="0"/>
              <w:bottom w:val="single" w:color="000000" w:sz="6" w:space="0"/>
              <w:right w:val="single" w:color="000000" w:sz="6" w:space="0"/>
            </w:tcBorders>
            <w:noWrap w:val="0"/>
            <w:vAlign w:val="center"/>
          </w:tcPr>
          <w:p w14:paraId="1F3A334A">
            <w:pPr>
              <w:pStyle w:val="50"/>
              <w:wordWrap w:val="0"/>
              <w:autoSpaceDE w:val="0"/>
              <w:autoSpaceDN w:val="0"/>
              <w:adjustRightInd w:val="0"/>
              <w:spacing w:line="360" w:lineRule="exact"/>
              <w:jc w:val="center"/>
              <w:rPr>
                <w:rFonts w:hint="eastAsia" w:ascii="宋体" w:hAnsi="宋体" w:cs="宋体"/>
                <w:kern w:val="0"/>
                <w:szCs w:val="21"/>
              </w:rPr>
            </w:pPr>
          </w:p>
        </w:tc>
        <w:tc>
          <w:tcPr>
            <w:tcW w:w="1200" w:type="dxa"/>
            <w:gridSpan w:val="2"/>
            <w:tcBorders>
              <w:top w:val="single" w:color="000000" w:sz="6" w:space="0"/>
              <w:left w:val="single" w:color="000000" w:sz="6" w:space="0"/>
              <w:bottom w:val="single" w:color="000000" w:sz="6" w:space="0"/>
              <w:right w:val="single" w:color="000000" w:sz="6" w:space="0"/>
            </w:tcBorders>
            <w:noWrap w:val="0"/>
            <w:vAlign w:val="center"/>
          </w:tcPr>
          <w:p w14:paraId="22BD2D3E">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技术职称</w:t>
            </w:r>
          </w:p>
        </w:tc>
        <w:tc>
          <w:tcPr>
            <w:tcW w:w="1364" w:type="dxa"/>
            <w:gridSpan w:val="2"/>
            <w:tcBorders>
              <w:top w:val="single" w:color="000000" w:sz="6" w:space="0"/>
              <w:left w:val="single" w:color="000000" w:sz="6" w:space="0"/>
              <w:bottom w:val="single" w:color="000000" w:sz="6" w:space="0"/>
              <w:right w:val="single" w:color="000000" w:sz="6" w:space="0"/>
            </w:tcBorders>
            <w:noWrap w:val="0"/>
            <w:vAlign w:val="center"/>
          </w:tcPr>
          <w:p w14:paraId="6E2932B3">
            <w:pPr>
              <w:pStyle w:val="50"/>
              <w:wordWrap w:val="0"/>
              <w:autoSpaceDE w:val="0"/>
              <w:autoSpaceDN w:val="0"/>
              <w:adjustRightInd w:val="0"/>
              <w:spacing w:line="360" w:lineRule="exact"/>
              <w:jc w:val="center"/>
              <w:rPr>
                <w:rFonts w:hint="eastAsia" w:ascii="宋体" w:hAnsi="宋体" w:cs="宋体"/>
                <w:kern w:val="0"/>
                <w:szCs w:val="21"/>
              </w:rPr>
            </w:pPr>
          </w:p>
        </w:tc>
        <w:tc>
          <w:tcPr>
            <w:tcW w:w="796" w:type="dxa"/>
            <w:tcBorders>
              <w:top w:val="single" w:color="000000" w:sz="6" w:space="0"/>
              <w:left w:val="single" w:color="000000" w:sz="6" w:space="0"/>
              <w:bottom w:val="single" w:color="000000" w:sz="6" w:space="0"/>
              <w:right w:val="single" w:color="000000" w:sz="6" w:space="0"/>
            </w:tcBorders>
            <w:noWrap w:val="0"/>
            <w:vAlign w:val="center"/>
          </w:tcPr>
          <w:p w14:paraId="7BCAD7EE">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电话</w:t>
            </w: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06EA2FBD">
            <w:pPr>
              <w:pStyle w:val="50"/>
              <w:wordWrap w:val="0"/>
              <w:autoSpaceDE w:val="0"/>
              <w:autoSpaceDN w:val="0"/>
              <w:adjustRightInd w:val="0"/>
              <w:spacing w:line="360" w:lineRule="exact"/>
              <w:jc w:val="center"/>
              <w:rPr>
                <w:rFonts w:hint="eastAsia" w:ascii="宋体" w:hAnsi="宋体" w:cs="宋体"/>
                <w:kern w:val="0"/>
                <w:szCs w:val="21"/>
              </w:rPr>
            </w:pPr>
          </w:p>
        </w:tc>
      </w:tr>
      <w:tr w14:paraId="5158DB3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7A516DC9">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成立时间</w:t>
            </w:r>
          </w:p>
        </w:tc>
        <w:tc>
          <w:tcPr>
            <w:tcW w:w="1680" w:type="dxa"/>
            <w:gridSpan w:val="2"/>
            <w:tcBorders>
              <w:top w:val="single" w:color="000000" w:sz="6" w:space="0"/>
              <w:left w:val="single" w:color="000000" w:sz="6" w:space="0"/>
              <w:bottom w:val="single" w:color="000000" w:sz="6" w:space="0"/>
              <w:right w:val="single" w:color="000000" w:sz="6" w:space="0"/>
            </w:tcBorders>
            <w:noWrap w:val="0"/>
            <w:vAlign w:val="center"/>
          </w:tcPr>
          <w:p w14:paraId="3A065D20">
            <w:pPr>
              <w:pStyle w:val="50"/>
              <w:wordWrap w:val="0"/>
              <w:autoSpaceDE w:val="0"/>
              <w:autoSpaceDN w:val="0"/>
              <w:adjustRightInd w:val="0"/>
              <w:spacing w:line="360" w:lineRule="exact"/>
              <w:jc w:val="center"/>
              <w:rPr>
                <w:rFonts w:hint="eastAsia" w:ascii="宋体" w:hAnsi="宋体" w:cs="宋体"/>
                <w:kern w:val="0"/>
                <w:szCs w:val="21"/>
              </w:rPr>
            </w:pPr>
          </w:p>
        </w:tc>
        <w:tc>
          <w:tcPr>
            <w:tcW w:w="4281" w:type="dxa"/>
            <w:gridSpan w:val="6"/>
            <w:tcBorders>
              <w:top w:val="single" w:color="000000" w:sz="6" w:space="0"/>
              <w:left w:val="single" w:color="000000" w:sz="6" w:space="0"/>
              <w:bottom w:val="single" w:color="000000" w:sz="6" w:space="0"/>
              <w:right w:val="single" w:color="000000" w:sz="12" w:space="0"/>
            </w:tcBorders>
            <w:noWrap w:val="0"/>
            <w:vAlign w:val="center"/>
          </w:tcPr>
          <w:p w14:paraId="25BC8971">
            <w:pPr>
              <w:pStyle w:val="50"/>
              <w:wordWrap w:val="0"/>
              <w:autoSpaceDE w:val="0"/>
              <w:autoSpaceDN w:val="0"/>
              <w:adjustRightInd w:val="0"/>
              <w:spacing w:line="360" w:lineRule="exact"/>
              <w:ind w:left="105" w:leftChars="50"/>
              <w:jc w:val="center"/>
              <w:rPr>
                <w:rFonts w:hint="eastAsia" w:ascii="宋体" w:hAnsi="宋体" w:cs="宋体"/>
                <w:kern w:val="0"/>
                <w:szCs w:val="21"/>
                <w:u w:val="single"/>
              </w:rPr>
            </w:pPr>
            <w:r>
              <w:rPr>
                <w:rFonts w:hint="eastAsia" w:ascii="宋体" w:hAnsi="宋体" w:cs="宋体"/>
                <w:kern w:val="0"/>
                <w:szCs w:val="21"/>
                <w:highlight w:val="white"/>
              </w:rPr>
              <w:t>员工总人数：</w:t>
            </w:r>
          </w:p>
        </w:tc>
      </w:tr>
      <w:tr w14:paraId="7D7D000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4B4F494E">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企业资质等级</w:t>
            </w:r>
          </w:p>
        </w:tc>
        <w:tc>
          <w:tcPr>
            <w:tcW w:w="1680" w:type="dxa"/>
            <w:gridSpan w:val="2"/>
            <w:tcBorders>
              <w:top w:val="single" w:color="000000" w:sz="6" w:space="0"/>
              <w:left w:val="single" w:color="000000" w:sz="6" w:space="0"/>
              <w:bottom w:val="single" w:color="000000" w:sz="6" w:space="0"/>
              <w:right w:val="single" w:color="000000" w:sz="6" w:space="0"/>
            </w:tcBorders>
            <w:noWrap w:val="0"/>
            <w:vAlign w:val="center"/>
          </w:tcPr>
          <w:p w14:paraId="107A1BC6">
            <w:pPr>
              <w:pStyle w:val="50"/>
              <w:wordWrap w:val="0"/>
              <w:autoSpaceDE w:val="0"/>
              <w:autoSpaceDN w:val="0"/>
              <w:adjustRightInd w:val="0"/>
              <w:spacing w:line="360" w:lineRule="exact"/>
              <w:jc w:val="center"/>
              <w:rPr>
                <w:rFonts w:hint="eastAsia" w:ascii="宋体" w:hAnsi="宋体" w:cs="宋体"/>
                <w:kern w:val="0"/>
                <w:szCs w:val="21"/>
              </w:rPr>
            </w:pPr>
          </w:p>
        </w:tc>
        <w:tc>
          <w:tcPr>
            <w:tcW w:w="834" w:type="dxa"/>
            <w:vMerge w:val="restart"/>
            <w:tcBorders>
              <w:top w:val="single" w:color="000000" w:sz="6" w:space="0"/>
              <w:left w:val="single" w:color="000000" w:sz="6" w:space="0"/>
              <w:bottom w:val="single" w:color="000000" w:sz="6" w:space="0"/>
              <w:right w:val="single" w:color="000000" w:sz="6" w:space="0"/>
            </w:tcBorders>
            <w:noWrap w:val="0"/>
            <w:vAlign w:val="center"/>
          </w:tcPr>
          <w:p w14:paraId="7B65F25D">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其中</w:t>
            </w:r>
          </w:p>
        </w:tc>
        <w:tc>
          <w:tcPr>
            <w:tcW w:w="1730" w:type="dxa"/>
            <w:gridSpan w:val="3"/>
            <w:tcBorders>
              <w:top w:val="single" w:color="000000" w:sz="6" w:space="0"/>
              <w:left w:val="single" w:color="000000" w:sz="6" w:space="0"/>
              <w:bottom w:val="single" w:color="000000" w:sz="6" w:space="0"/>
              <w:right w:val="single" w:color="000000" w:sz="6" w:space="0"/>
            </w:tcBorders>
            <w:noWrap w:val="0"/>
            <w:vAlign w:val="center"/>
          </w:tcPr>
          <w:p w14:paraId="6D0C8F91">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项目经理</w:t>
            </w:r>
          </w:p>
        </w:tc>
        <w:tc>
          <w:tcPr>
            <w:tcW w:w="1717" w:type="dxa"/>
            <w:gridSpan w:val="2"/>
            <w:tcBorders>
              <w:top w:val="single" w:color="000000" w:sz="6" w:space="0"/>
              <w:left w:val="single" w:color="000000" w:sz="6" w:space="0"/>
              <w:bottom w:val="single" w:color="000000" w:sz="6" w:space="0"/>
              <w:right w:val="single" w:color="000000" w:sz="12" w:space="0"/>
            </w:tcBorders>
            <w:noWrap w:val="0"/>
            <w:vAlign w:val="center"/>
          </w:tcPr>
          <w:p w14:paraId="0405C453">
            <w:pPr>
              <w:pStyle w:val="50"/>
              <w:wordWrap w:val="0"/>
              <w:autoSpaceDE w:val="0"/>
              <w:autoSpaceDN w:val="0"/>
              <w:adjustRightInd w:val="0"/>
              <w:spacing w:line="360" w:lineRule="exact"/>
              <w:jc w:val="center"/>
              <w:rPr>
                <w:rFonts w:hint="eastAsia" w:ascii="宋体" w:hAnsi="宋体" w:cs="宋体"/>
                <w:kern w:val="0"/>
                <w:szCs w:val="21"/>
              </w:rPr>
            </w:pPr>
          </w:p>
        </w:tc>
      </w:tr>
      <w:tr w14:paraId="4A3F0B5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4B46B25A">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营业执照号</w:t>
            </w:r>
          </w:p>
        </w:tc>
        <w:tc>
          <w:tcPr>
            <w:tcW w:w="1680" w:type="dxa"/>
            <w:gridSpan w:val="2"/>
            <w:tcBorders>
              <w:top w:val="single" w:color="000000" w:sz="6" w:space="0"/>
              <w:left w:val="single" w:color="000000" w:sz="6" w:space="0"/>
              <w:bottom w:val="single" w:color="000000" w:sz="6" w:space="0"/>
              <w:right w:val="single" w:color="000000" w:sz="6" w:space="0"/>
            </w:tcBorders>
            <w:noWrap w:val="0"/>
            <w:vAlign w:val="center"/>
          </w:tcPr>
          <w:p w14:paraId="1BE30370">
            <w:pPr>
              <w:pStyle w:val="50"/>
              <w:wordWrap w:val="0"/>
              <w:autoSpaceDE w:val="0"/>
              <w:autoSpaceDN w:val="0"/>
              <w:adjustRightInd w:val="0"/>
              <w:spacing w:line="360" w:lineRule="exact"/>
              <w:jc w:val="center"/>
              <w:rPr>
                <w:rFonts w:hint="eastAsia" w:ascii="宋体" w:hAnsi="宋体" w:cs="宋体"/>
                <w:kern w:val="0"/>
                <w:szCs w:val="21"/>
              </w:rPr>
            </w:pPr>
          </w:p>
        </w:tc>
        <w:tc>
          <w:tcPr>
            <w:tcW w:w="834" w:type="dxa"/>
            <w:vMerge w:val="continue"/>
            <w:tcBorders>
              <w:top w:val="single" w:color="000000" w:sz="6" w:space="0"/>
              <w:left w:val="single" w:color="000000" w:sz="6" w:space="0"/>
              <w:bottom w:val="single" w:color="000000" w:sz="6" w:space="0"/>
              <w:right w:val="single" w:color="000000" w:sz="6" w:space="0"/>
            </w:tcBorders>
            <w:noWrap w:val="0"/>
            <w:vAlign w:val="center"/>
          </w:tcPr>
          <w:p w14:paraId="2AFE0251">
            <w:pPr>
              <w:pStyle w:val="50"/>
              <w:widowControl/>
              <w:wordWrap w:val="0"/>
              <w:spacing w:line="360" w:lineRule="exact"/>
              <w:jc w:val="left"/>
              <w:rPr>
                <w:rFonts w:hint="eastAsia" w:ascii="宋体" w:hAnsi="宋体" w:cs="宋体"/>
                <w:kern w:val="0"/>
                <w:szCs w:val="21"/>
              </w:rPr>
            </w:pPr>
          </w:p>
        </w:tc>
        <w:tc>
          <w:tcPr>
            <w:tcW w:w="1730" w:type="dxa"/>
            <w:gridSpan w:val="3"/>
            <w:tcBorders>
              <w:top w:val="single" w:color="000000" w:sz="6" w:space="0"/>
              <w:left w:val="single" w:color="000000" w:sz="6" w:space="0"/>
              <w:bottom w:val="single" w:color="000000" w:sz="6" w:space="0"/>
              <w:right w:val="single" w:color="000000" w:sz="6" w:space="0"/>
            </w:tcBorders>
            <w:noWrap w:val="0"/>
            <w:vAlign w:val="center"/>
          </w:tcPr>
          <w:p w14:paraId="65181C47">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高级职称人员</w:t>
            </w:r>
          </w:p>
        </w:tc>
        <w:tc>
          <w:tcPr>
            <w:tcW w:w="1717" w:type="dxa"/>
            <w:gridSpan w:val="2"/>
            <w:tcBorders>
              <w:top w:val="single" w:color="000000" w:sz="6" w:space="0"/>
              <w:left w:val="single" w:color="000000" w:sz="6" w:space="0"/>
              <w:bottom w:val="single" w:color="000000" w:sz="6" w:space="0"/>
              <w:right w:val="single" w:color="000000" w:sz="12" w:space="0"/>
            </w:tcBorders>
            <w:noWrap w:val="0"/>
            <w:vAlign w:val="center"/>
          </w:tcPr>
          <w:p w14:paraId="00218F56">
            <w:pPr>
              <w:pStyle w:val="50"/>
              <w:wordWrap w:val="0"/>
              <w:autoSpaceDE w:val="0"/>
              <w:autoSpaceDN w:val="0"/>
              <w:adjustRightInd w:val="0"/>
              <w:spacing w:line="360" w:lineRule="exact"/>
              <w:jc w:val="center"/>
              <w:rPr>
                <w:rFonts w:hint="eastAsia" w:ascii="宋体" w:hAnsi="宋体" w:cs="宋体"/>
                <w:kern w:val="0"/>
                <w:szCs w:val="21"/>
              </w:rPr>
            </w:pPr>
          </w:p>
        </w:tc>
      </w:tr>
      <w:tr w14:paraId="6309516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462669B4">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注册资金</w:t>
            </w:r>
          </w:p>
        </w:tc>
        <w:tc>
          <w:tcPr>
            <w:tcW w:w="1680" w:type="dxa"/>
            <w:gridSpan w:val="2"/>
            <w:tcBorders>
              <w:top w:val="single" w:color="000000" w:sz="6" w:space="0"/>
              <w:left w:val="single" w:color="000000" w:sz="6" w:space="0"/>
              <w:bottom w:val="single" w:color="000000" w:sz="6" w:space="0"/>
              <w:right w:val="single" w:color="000000" w:sz="6" w:space="0"/>
            </w:tcBorders>
            <w:noWrap w:val="0"/>
            <w:vAlign w:val="center"/>
          </w:tcPr>
          <w:p w14:paraId="1087D8B6">
            <w:pPr>
              <w:pStyle w:val="50"/>
              <w:wordWrap w:val="0"/>
              <w:autoSpaceDE w:val="0"/>
              <w:autoSpaceDN w:val="0"/>
              <w:adjustRightInd w:val="0"/>
              <w:spacing w:line="360" w:lineRule="exact"/>
              <w:jc w:val="center"/>
              <w:rPr>
                <w:rFonts w:hint="eastAsia" w:ascii="宋体" w:hAnsi="宋体" w:cs="宋体"/>
                <w:kern w:val="0"/>
                <w:szCs w:val="21"/>
              </w:rPr>
            </w:pPr>
          </w:p>
        </w:tc>
        <w:tc>
          <w:tcPr>
            <w:tcW w:w="834" w:type="dxa"/>
            <w:vMerge w:val="continue"/>
            <w:tcBorders>
              <w:top w:val="single" w:color="000000" w:sz="6" w:space="0"/>
              <w:left w:val="single" w:color="000000" w:sz="6" w:space="0"/>
              <w:bottom w:val="single" w:color="000000" w:sz="6" w:space="0"/>
              <w:right w:val="single" w:color="000000" w:sz="6" w:space="0"/>
            </w:tcBorders>
            <w:noWrap w:val="0"/>
            <w:vAlign w:val="center"/>
          </w:tcPr>
          <w:p w14:paraId="304F46BD">
            <w:pPr>
              <w:pStyle w:val="50"/>
              <w:widowControl/>
              <w:wordWrap w:val="0"/>
              <w:spacing w:line="360" w:lineRule="exact"/>
              <w:jc w:val="left"/>
              <w:rPr>
                <w:rFonts w:hint="eastAsia" w:ascii="宋体" w:hAnsi="宋体" w:cs="宋体"/>
                <w:kern w:val="0"/>
                <w:szCs w:val="21"/>
              </w:rPr>
            </w:pPr>
          </w:p>
        </w:tc>
        <w:tc>
          <w:tcPr>
            <w:tcW w:w="1730" w:type="dxa"/>
            <w:gridSpan w:val="3"/>
            <w:tcBorders>
              <w:top w:val="single" w:color="000000" w:sz="6" w:space="0"/>
              <w:left w:val="single" w:color="000000" w:sz="6" w:space="0"/>
              <w:bottom w:val="single" w:color="000000" w:sz="6" w:space="0"/>
              <w:right w:val="single" w:color="000000" w:sz="6" w:space="0"/>
            </w:tcBorders>
            <w:noWrap w:val="0"/>
            <w:vAlign w:val="center"/>
          </w:tcPr>
          <w:p w14:paraId="611D8CF9">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中级职称人员</w:t>
            </w:r>
          </w:p>
        </w:tc>
        <w:tc>
          <w:tcPr>
            <w:tcW w:w="1717" w:type="dxa"/>
            <w:gridSpan w:val="2"/>
            <w:tcBorders>
              <w:top w:val="single" w:color="000000" w:sz="6" w:space="0"/>
              <w:left w:val="single" w:color="000000" w:sz="6" w:space="0"/>
              <w:bottom w:val="single" w:color="000000" w:sz="6" w:space="0"/>
              <w:right w:val="single" w:color="000000" w:sz="12" w:space="0"/>
            </w:tcBorders>
            <w:noWrap w:val="0"/>
            <w:vAlign w:val="center"/>
          </w:tcPr>
          <w:p w14:paraId="6D6158B3">
            <w:pPr>
              <w:pStyle w:val="50"/>
              <w:wordWrap w:val="0"/>
              <w:autoSpaceDE w:val="0"/>
              <w:autoSpaceDN w:val="0"/>
              <w:adjustRightInd w:val="0"/>
              <w:spacing w:line="360" w:lineRule="exact"/>
              <w:jc w:val="center"/>
              <w:rPr>
                <w:rFonts w:hint="eastAsia" w:ascii="宋体" w:hAnsi="宋体" w:cs="宋体"/>
                <w:kern w:val="0"/>
                <w:szCs w:val="21"/>
              </w:rPr>
            </w:pPr>
          </w:p>
        </w:tc>
      </w:tr>
      <w:tr w14:paraId="610500E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7E334D48">
            <w:pPr>
              <w:pStyle w:val="50"/>
              <w:wordWrap w:val="0"/>
              <w:autoSpaceDE w:val="0"/>
              <w:autoSpaceDN w:val="0"/>
              <w:adjustRightInd w:val="0"/>
              <w:spacing w:line="260" w:lineRule="exact"/>
              <w:jc w:val="center"/>
              <w:rPr>
                <w:rFonts w:hint="eastAsia" w:ascii="宋体" w:hAnsi="宋体" w:cs="宋体"/>
                <w:kern w:val="0"/>
                <w:szCs w:val="21"/>
              </w:rPr>
            </w:pPr>
            <w:r>
              <w:rPr>
                <w:rFonts w:hint="eastAsia" w:ascii="宋体" w:hAnsi="宋体" w:cs="宋体"/>
                <w:kern w:val="0"/>
                <w:szCs w:val="21"/>
                <w:highlight w:val="white"/>
              </w:rPr>
              <w:t>基本账户开户银行</w:t>
            </w:r>
          </w:p>
        </w:tc>
        <w:tc>
          <w:tcPr>
            <w:tcW w:w="1680" w:type="dxa"/>
            <w:gridSpan w:val="2"/>
            <w:tcBorders>
              <w:top w:val="single" w:color="000000" w:sz="6" w:space="0"/>
              <w:left w:val="single" w:color="000000" w:sz="6" w:space="0"/>
              <w:bottom w:val="single" w:color="000000" w:sz="6" w:space="0"/>
              <w:right w:val="single" w:color="000000" w:sz="6" w:space="0"/>
            </w:tcBorders>
            <w:noWrap w:val="0"/>
            <w:vAlign w:val="center"/>
          </w:tcPr>
          <w:p w14:paraId="7E4F2708">
            <w:pPr>
              <w:pStyle w:val="50"/>
              <w:wordWrap w:val="0"/>
              <w:autoSpaceDE w:val="0"/>
              <w:autoSpaceDN w:val="0"/>
              <w:adjustRightInd w:val="0"/>
              <w:spacing w:line="360" w:lineRule="exact"/>
              <w:jc w:val="center"/>
              <w:rPr>
                <w:rFonts w:hint="eastAsia" w:ascii="宋体" w:hAnsi="宋体" w:cs="宋体"/>
                <w:kern w:val="0"/>
                <w:szCs w:val="21"/>
              </w:rPr>
            </w:pPr>
          </w:p>
        </w:tc>
        <w:tc>
          <w:tcPr>
            <w:tcW w:w="834" w:type="dxa"/>
            <w:vMerge w:val="continue"/>
            <w:tcBorders>
              <w:top w:val="single" w:color="000000" w:sz="6" w:space="0"/>
              <w:left w:val="single" w:color="000000" w:sz="6" w:space="0"/>
              <w:bottom w:val="single" w:color="000000" w:sz="6" w:space="0"/>
              <w:right w:val="single" w:color="000000" w:sz="6" w:space="0"/>
            </w:tcBorders>
            <w:noWrap w:val="0"/>
            <w:vAlign w:val="center"/>
          </w:tcPr>
          <w:p w14:paraId="4ECD9EC1">
            <w:pPr>
              <w:pStyle w:val="50"/>
              <w:widowControl/>
              <w:wordWrap w:val="0"/>
              <w:spacing w:line="360" w:lineRule="exact"/>
              <w:jc w:val="left"/>
              <w:rPr>
                <w:rFonts w:hint="eastAsia" w:ascii="宋体" w:hAnsi="宋体" w:cs="宋体"/>
                <w:kern w:val="0"/>
                <w:szCs w:val="21"/>
              </w:rPr>
            </w:pPr>
          </w:p>
        </w:tc>
        <w:tc>
          <w:tcPr>
            <w:tcW w:w="1730" w:type="dxa"/>
            <w:gridSpan w:val="3"/>
            <w:tcBorders>
              <w:top w:val="single" w:color="000000" w:sz="6" w:space="0"/>
              <w:left w:val="single" w:color="000000" w:sz="6" w:space="0"/>
              <w:bottom w:val="single" w:color="000000" w:sz="6" w:space="0"/>
              <w:right w:val="single" w:color="000000" w:sz="6" w:space="0"/>
            </w:tcBorders>
            <w:noWrap w:val="0"/>
            <w:vAlign w:val="center"/>
          </w:tcPr>
          <w:p w14:paraId="519B72F9">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初级职称人员</w:t>
            </w:r>
          </w:p>
        </w:tc>
        <w:tc>
          <w:tcPr>
            <w:tcW w:w="1717" w:type="dxa"/>
            <w:gridSpan w:val="2"/>
            <w:tcBorders>
              <w:top w:val="single" w:color="000000" w:sz="6" w:space="0"/>
              <w:left w:val="single" w:color="000000" w:sz="6" w:space="0"/>
              <w:bottom w:val="single" w:color="000000" w:sz="6" w:space="0"/>
              <w:right w:val="single" w:color="000000" w:sz="12" w:space="0"/>
            </w:tcBorders>
            <w:noWrap w:val="0"/>
            <w:vAlign w:val="center"/>
          </w:tcPr>
          <w:p w14:paraId="3B9A7E4D">
            <w:pPr>
              <w:pStyle w:val="50"/>
              <w:wordWrap w:val="0"/>
              <w:autoSpaceDE w:val="0"/>
              <w:autoSpaceDN w:val="0"/>
              <w:adjustRightInd w:val="0"/>
              <w:spacing w:line="360" w:lineRule="exact"/>
              <w:jc w:val="center"/>
              <w:rPr>
                <w:rFonts w:hint="eastAsia" w:ascii="宋体" w:hAnsi="宋体" w:cs="宋体"/>
                <w:kern w:val="0"/>
                <w:szCs w:val="21"/>
              </w:rPr>
            </w:pPr>
          </w:p>
        </w:tc>
      </w:tr>
      <w:tr w14:paraId="479ECA0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63"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00A9BE11">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基本账户账号</w:t>
            </w:r>
          </w:p>
        </w:tc>
        <w:tc>
          <w:tcPr>
            <w:tcW w:w="1680" w:type="dxa"/>
            <w:gridSpan w:val="2"/>
            <w:tcBorders>
              <w:top w:val="single" w:color="000000" w:sz="6" w:space="0"/>
              <w:left w:val="single" w:color="000000" w:sz="6" w:space="0"/>
              <w:bottom w:val="single" w:color="000000" w:sz="6" w:space="0"/>
              <w:right w:val="single" w:color="000000" w:sz="6" w:space="0"/>
            </w:tcBorders>
            <w:noWrap w:val="0"/>
            <w:vAlign w:val="center"/>
          </w:tcPr>
          <w:p w14:paraId="07303829">
            <w:pPr>
              <w:pStyle w:val="50"/>
              <w:wordWrap w:val="0"/>
              <w:autoSpaceDE w:val="0"/>
              <w:autoSpaceDN w:val="0"/>
              <w:adjustRightInd w:val="0"/>
              <w:spacing w:line="360" w:lineRule="exact"/>
              <w:jc w:val="center"/>
              <w:rPr>
                <w:rFonts w:hint="eastAsia" w:ascii="宋体" w:hAnsi="宋体" w:cs="宋体"/>
                <w:kern w:val="0"/>
                <w:szCs w:val="21"/>
              </w:rPr>
            </w:pPr>
          </w:p>
        </w:tc>
        <w:tc>
          <w:tcPr>
            <w:tcW w:w="834" w:type="dxa"/>
            <w:vMerge w:val="continue"/>
            <w:tcBorders>
              <w:top w:val="single" w:color="000000" w:sz="6" w:space="0"/>
              <w:left w:val="single" w:color="000000" w:sz="6" w:space="0"/>
              <w:bottom w:val="single" w:color="000000" w:sz="6" w:space="0"/>
              <w:right w:val="single" w:color="000000" w:sz="6" w:space="0"/>
            </w:tcBorders>
            <w:noWrap w:val="0"/>
            <w:vAlign w:val="center"/>
          </w:tcPr>
          <w:p w14:paraId="4985D3C6">
            <w:pPr>
              <w:pStyle w:val="50"/>
              <w:widowControl/>
              <w:wordWrap w:val="0"/>
              <w:spacing w:line="360" w:lineRule="exact"/>
              <w:jc w:val="left"/>
              <w:rPr>
                <w:rFonts w:hint="eastAsia" w:ascii="宋体" w:hAnsi="宋体" w:cs="宋体"/>
                <w:kern w:val="0"/>
                <w:szCs w:val="21"/>
              </w:rPr>
            </w:pPr>
          </w:p>
        </w:tc>
        <w:tc>
          <w:tcPr>
            <w:tcW w:w="1730" w:type="dxa"/>
            <w:gridSpan w:val="3"/>
            <w:tcBorders>
              <w:top w:val="single" w:color="000000" w:sz="6" w:space="0"/>
              <w:left w:val="single" w:color="000000" w:sz="6" w:space="0"/>
              <w:bottom w:val="single" w:color="000000" w:sz="6" w:space="0"/>
              <w:right w:val="single" w:color="000000" w:sz="6" w:space="0"/>
            </w:tcBorders>
            <w:noWrap w:val="0"/>
            <w:vAlign w:val="center"/>
          </w:tcPr>
          <w:p w14:paraId="3B93E9E6">
            <w:pPr>
              <w:pStyle w:val="50"/>
              <w:tabs>
                <w:tab w:val="left" w:pos="1240"/>
              </w:tabs>
              <w:wordWrap w:val="0"/>
              <w:autoSpaceDE w:val="0"/>
              <w:autoSpaceDN w:val="0"/>
              <w:adjustRightInd w:val="0"/>
              <w:spacing w:before="98" w:line="360" w:lineRule="exact"/>
              <w:jc w:val="center"/>
              <w:rPr>
                <w:rFonts w:hint="eastAsia" w:ascii="宋体" w:hAnsi="宋体" w:cs="宋体"/>
                <w:kern w:val="0"/>
                <w:szCs w:val="21"/>
              </w:rPr>
            </w:pPr>
            <w:r>
              <w:rPr>
                <w:rFonts w:hint="eastAsia" w:ascii="宋体" w:hAnsi="宋体" w:cs="宋体"/>
                <w:kern w:val="0"/>
                <w:szCs w:val="21"/>
                <w:highlight w:val="white"/>
              </w:rPr>
              <w:t>技工</w:t>
            </w:r>
          </w:p>
        </w:tc>
        <w:tc>
          <w:tcPr>
            <w:tcW w:w="1717" w:type="dxa"/>
            <w:gridSpan w:val="2"/>
            <w:tcBorders>
              <w:top w:val="single" w:color="000000" w:sz="6" w:space="0"/>
              <w:left w:val="single" w:color="000000" w:sz="6" w:space="0"/>
              <w:bottom w:val="single" w:color="000000" w:sz="6" w:space="0"/>
              <w:right w:val="single" w:color="000000" w:sz="12" w:space="0"/>
            </w:tcBorders>
            <w:noWrap w:val="0"/>
            <w:vAlign w:val="center"/>
          </w:tcPr>
          <w:p w14:paraId="16F054B1">
            <w:pPr>
              <w:pStyle w:val="50"/>
              <w:wordWrap w:val="0"/>
              <w:autoSpaceDE w:val="0"/>
              <w:autoSpaceDN w:val="0"/>
              <w:adjustRightInd w:val="0"/>
              <w:spacing w:line="360" w:lineRule="exact"/>
              <w:jc w:val="center"/>
              <w:rPr>
                <w:rFonts w:hint="eastAsia" w:ascii="宋体" w:hAnsi="宋体" w:cs="宋体"/>
                <w:kern w:val="0"/>
                <w:szCs w:val="21"/>
              </w:rPr>
            </w:pPr>
          </w:p>
        </w:tc>
      </w:tr>
      <w:tr w14:paraId="196E829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043A154D">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经营范围</w:t>
            </w:r>
          </w:p>
        </w:tc>
        <w:tc>
          <w:tcPr>
            <w:tcW w:w="5961" w:type="dxa"/>
            <w:gridSpan w:val="8"/>
            <w:tcBorders>
              <w:top w:val="single" w:color="000000" w:sz="6" w:space="0"/>
              <w:left w:val="single" w:color="000000" w:sz="6" w:space="0"/>
              <w:bottom w:val="single" w:color="000000" w:sz="6" w:space="0"/>
              <w:right w:val="single" w:color="000000" w:sz="12" w:space="0"/>
            </w:tcBorders>
            <w:noWrap w:val="0"/>
            <w:vAlign w:val="center"/>
          </w:tcPr>
          <w:p w14:paraId="19967E29">
            <w:pPr>
              <w:pStyle w:val="50"/>
              <w:wordWrap w:val="0"/>
              <w:autoSpaceDE w:val="0"/>
              <w:autoSpaceDN w:val="0"/>
              <w:adjustRightInd w:val="0"/>
              <w:spacing w:line="360" w:lineRule="exact"/>
              <w:jc w:val="center"/>
              <w:rPr>
                <w:rFonts w:hint="eastAsia" w:ascii="宋体" w:hAnsi="宋体" w:cs="宋体"/>
                <w:kern w:val="0"/>
                <w:szCs w:val="21"/>
              </w:rPr>
            </w:pPr>
          </w:p>
        </w:tc>
      </w:tr>
      <w:tr w14:paraId="1433F05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35" w:hRule="atLeast"/>
          <w:jc w:val="center"/>
        </w:trPr>
        <w:tc>
          <w:tcPr>
            <w:tcW w:w="1940" w:type="dxa"/>
            <w:tcBorders>
              <w:top w:val="single" w:color="000000" w:sz="6" w:space="0"/>
              <w:left w:val="single" w:color="000000" w:sz="12" w:space="0"/>
              <w:bottom w:val="single" w:color="000000" w:sz="6" w:space="0"/>
              <w:right w:val="single" w:color="000000" w:sz="6" w:space="0"/>
            </w:tcBorders>
            <w:noWrap w:val="0"/>
            <w:vAlign w:val="center"/>
          </w:tcPr>
          <w:p w14:paraId="15225481">
            <w:pPr>
              <w:pStyle w:val="50"/>
              <w:wordWrap w:val="0"/>
              <w:autoSpaceDE w:val="0"/>
              <w:autoSpaceDN w:val="0"/>
              <w:adjustRightInd w:val="0"/>
              <w:spacing w:line="260" w:lineRule="exact"/>
              <w:jc w:val="center"/>
              <w:rPr>
                <w:rFonts w:hint="eastAsia" w:ascii="宋体" w:hAnsi="宋体" w:cs="宋体"/>
                <w:kern w:val="0"/>
                <w:szCs w:val="21"/>
              </w:rPr>
            </w:pPr>
            <w:r>
              <w:rPr>
                <w:rFonts w:hint="eastAsia" w:ascii="宋体" w:hAnsi="宋体" w:cs="宋体"/>
                <w:kern w:val="0"/>
                <w:szCs w:val="21"/>
                <w:highlight w:val="white"/>
              </w:rPr>
              <w:t>资产构成情况及申请人投资参股的关联企业情况</w:t>
            </w:r>
          </w:p>
        </w:tc>
        <w:tc>
          <w:tcPr>
            <w:tcW w:w="5961" w:type="dxa"/>
            <w:gridSpan w:val="8"/>
            <w:tcBorders>
              <w:top w:val="single" w:color="000000" w:sz="6" w:space="0"/>
              <w:left w:val="single" w:color="000000" w:sz="6" w:space="0"/>
              <w:bottom w:val="single" w:color="000000" w:sz="6" w:space="0"/>
              <w:right w:val="single" w:color="000000" w:sz="12" w:space="0"/>
            </w:tcBorders>
            <w:noWrap w:val="0"/>
            <w:vAlign w:val="center"/>
          </w:tcPr>
          <w:p w14:paraId="5D10BBD4">
            <w:pPr>
              <w:pStyle w:val="50"/>
              <w:wordWrap w:val="0"/>
              <w:autoSpaceDE w:val="0"/>
              <w:autoSpaceDN w:val="0"/>
              <w:adjustRightInd w:val="0"/>
              <w:spacing w:line="360" w:lineRule="exact"/>
              <w:jc w:val="center"/>
              <w:rPr>
                <w:rFonts w:hint="eastAsia" w:ascii="宋体" w:hAnsi="宋体" w:cs="宋体"/>
                <w:kern w:val="0"/>
                <w:szCs w:val="21"/>
              </w:rPr>
            </w:pPr>
          </w:p>
        </w:tc>
      </w:tr>
      <w:tr w14:paraId="1FAB7C0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1940" w:type="dxa"/>
            <w:tcBorders>
              <w:top w:val="single" w:color="000000" w:sz="6" w:space="0"/>
              <w:left w:val="single" w:color="000000" w:sz="12" w:space="0"/>
              <w:bottom w:val="single" w:color="000000" w:sz="12" w:space="0"/>
              <w:right w:val="single" w:color="000000" w:sz="6" w:space="0"/>
            </w:tcBorders>
            <w:noWrap w:val="0"/>
            <w:vAlign w:val="center"/>
          </w:tcPr>
          <w:p w14:paraId="3F418340">
            <w:pPr>
              <w:pStyle w:val="50"/>
              <w:wordWrap w:val="0"/>
              <w:autoSpaceDE w:val="0"/>
              <w:autoSpaceDN w:val="0"/>
              <w:adjustRightInd w:val="0"/>
              <w:spacing w:line="360" w:lineRule="exact"/>
              <w:jc w:val="center"/>
              <w:rPr>
                <w:rFonts w:hint="eastAsia" w:ascii="宋体" w:hAnsi="宋体" w:cs="宋体"/>
                <w:kern w:val="0"/>
                <w:szCs w:val="21"/>
              </w:rPr>
            </w:pPr>
            <w:r>
              <w:rPr>
                <w:rFonts w:hint="eastAsia" w:ascii="宋体" w:hAnsi="宋体" w:cs="宋体"/>
                <w:kern w:val="0"/>
                <w:szCs w:val="21"/>
                <w:highlight w:val="white"/>
              </w:rPr>
              <w:t>备    注</w:t>
            </w:r>
          </w:p>
        </w:tc>
        <w:tc>
          <w:tcPr>
            <w:tcW w:w="5961" w:type="dxa"/>
            <w:gridSpan w:val="8"/>
            <w:tcBorders>
              <w:top w:val="single" w:color="000000" w:sz="6" w:space="0"/>
              <w:left w:val="single" w:color="000000" w:sz="6" w:space="0"/>
              <w:bottom w:val="single" w:color="000000" w:sz="12" w:space="0"/>
              <w:right w:val="single" w:color="000000" w:sz="12" w:space="0"/>
            </w:tcBorders>
            <w:noWrap w:val="0"/>
            <w:vAlign w:val="center"/>
          </w:tcPr>
          <w:p w14:paraId="1F99498B">
            <w:pPr>
              <w:pStyle w:val="50"/>
              <w:wordWrap w:val="0"/>
              <w:autoSpaceDE w:val="0"/>
              <w:autoSpaceDN w:val="0"/>
              <w:adjustRightInd w:val="0"/>
              <w:spacing w:line="360" w:lineRule="exact"/>
              <w:jc w:val="center"/>
              <w:rPr>
                <w:rFonts w:hint="eastAsia" w:ascii="宋体" w:hAnsi="宋体" w:cs="宋体"/>
                <w:kern w:val="0"/>
                <w:szCs w:val="21"/>
              </w:rPr>
            </w:pPr>
          </w:p>
        </w:tc>
      </w:tr>
    </w:tbl>
    <w:p w14:paraId="1575BE60">
      <w:pPr>
        <w:pStyle w:val="50"/>
        <w:spacing w:before="120" w:beforeLines="50"/>
        <w:ind w:firstLine="422" w:firstLineChars="200"/>
        <w:jc w:val="left"/>
        <w:rPr>
          <w:rFonts w:hint="eastAsia" w:ascii="宋体" w:hAnsi="宋体" w:cs="宋体"/>
          <w:szCs w:val="21"/>
        </w:rPr>
      </w:pPr>
      <w:r>
        <w:rPr>
          <w:rFonts w:hint="eastAsia" w:ascii="宋体" w:hAnsi="宋体" w:cs="宋体"/>
          <w:b/>
          <w:bCs/>
          <w:szCs w:val="21"/>
          <w:highlight w:val="white"/>
        </w:rPr>
        <w:t>注：</w:t>
      </w:r>
      <w:r>
        <w:rPr>
          <w:rFonts w:hint="eastAsia" w:ascii="宋体" w:hAnsi="宋体" w:cs="宋体"/>
          <w:szCs w:val="21"/>
          <w:highlight w:val="white"/>
        </w:rPr>
        <w:t>在本表后附企业法人营业执照副本（全本）的复印件、施工资质证书副本（全本）的复印件、安全生产许可证副本（全本）的复印件、基本账户开户许可证或基本存款账户信息的复印件，以上材料均需加盖单位公章。</w:t>
      </w:r>
    </w:p>
    <w:p w14:paraId="45B04F1C">
      <w:pPr>
        <w:pStyle w:val="50"/>
        <w:wordWrap w:val="0"/>
        <w:spacing w:before="120" w:beforeLines="50"/>
        <w:jc w:val="center"/>
        <w:rPr>
          <w:rFonts w:hint="eastAsia" w:ascii="宋体" w:hAnsi="宋体" w:cs="宋体"/>
          <w:bCs/>
          <w:kern w:val="44"/>
          <w:sz w:val="24"/>
        </w:rPr>
      </w:pPr>
      <w:r>
        <w:rPr>
          <w:rFonts w:hint="eastAsia" w:ascii="宋体" w:hAnsi="宋体" w:cs="宋体"/>
          <w:highlight w:val="white"/>
        </w:rPr>
        <w:br w:type="page"/>
      </w:r>
      <w:bookmarkStart w:id="864" w:name="_Toc365962413"/>
      <w:bookmarkStart w:id="865" w:name="_Toc360864731"/>
      <w:bookmarkStart w:id="866" w:name="_Toc234382979"/>
      <w:r>
        <w:rPr>
          <w:rFonts w:hint="eastAsia" w:ascii="宋体" w:hAnsi="宋体" w:cs="宋体"/>
          <w:bCs/>
          <w:kern w:val="44"/>
          <w:sz w:val="24"/>
          <w:highlight w:val="white"/>
        </w:rPr>
        <w:t>（二）关联企业一览表</w:t>
      </w:r>
      <w:bookmarkEnd w:id="864"/>
      <w:bookmarkEnd w:id="865"/>
    </w:p>
    <w:p w14:paraId="46A481B8">
      <w:pPr>
        <w:pStyle w:val="50"/>
        <w:wordWrap w:val="0"/>
        <w:spacing w:before="120" w:beforeLines="50"/>
        <w:jc w:val="center"/>
        <w:rPr>
          <w:rFonts w:hint="eastAsia" w:ascii="宋体" w:hAnsi="宋体" w:cs="宋体"/>
          <w:bCs/>
          <w:kern w:val="44"/>
          <w:sz w:val="24"/>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90"/>
        <w:gridCol w:w="1374"/>
        <w:gridCol w:w="1479"/>
        <w:gridCol w:w="2141"/>
      </w:tblGrid>
      <w:tr w14:paraId="11B70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3090" w:type="dxa"/>
            <w:noWrap w:val="0"/>
            <w:vAlign w:val="center"/>
          </w:tcPr>
          <w:p w14:paraId="699405C0">
            <w:pPr>
              <w:pStyle w:val="50"/>
              <w:wordWrap w:val="0"/>
              <w:spacing w:line="0" w:lineRule="atLeast"/>
              <w:jc w:val="center"/>
              <w:rPr>
                <w:rFonts w:hint="eastAsia" w:ascii="宋体" w:hAnsi="宋体" w:cs="宋体"/>
                <w:szCs w:val="21"/>
              </w:rPr>
            </w:pPr>
            <w:r>
              <w:rPr>
                <w:rFonts w:hint="eastAsia" w:ascii="宋体" w:hAnsi="宋体" w:cs="宋体"/>
                <w:szCs w:val="21"/>
                <w:highlight w:val="white"/>
              </w:rPr>
              <w:t>单位名称</w:t>
            </w:r>
          </w:p>
        </w:tc>
        <w:tc>
          <w:tcPr>
            <w:tcW w:w="1374" w:type="dxa"/>
            <w:noWrap w:val="0"/>
            <w:vAlign w:val="center"/>
          </w:tcPr>
          <w:p w14:paraId="742668C4">
            <w:pPr>
              <w:pStyle w:val="50"/>
              <w:wordWrap w:val="0"/>
              <w:spacing w:line="0" w:lineRule="atLeast"/>
              <w:jc w:val="center"/>
              <w:rPr>
                <w:rFonts w:hint="eastAsia" w:ascii="宋体" w:hAnsi="宋体" w:cs="宋体"/>
                <w:szCs w:val="21"/>
              </w:rPr>
            </w:pPr>
            <w:r>
              <w:rPr>
                <w:rFonts w:hint="eastAsia" w:ascii="宋体" w:hAnsi="宋体" w:cs="宋体"/>
                <w:szCs w:val="21"/>
                <w:highlight w:val="white"/>
              </w:rPr>
              <w:t>关联类型</w:t>
            </w:r>
          </w:p>
        </w:tc>
        <w:tc>
          <w:tcPr>
            <w:tcW w:w="1479" w:type="dxa"/>
            <w:noWrap w:val="0"/>
            <w:vAlign w:val="center"/>
          </w:tcPr>
          <w:p w14:paraId="0A48B159">
            <w:pPr>
              <w:pStyle w:val="50"/>
              <w:wordWrap w:val="0"/>
              <w:spacing w:line="0" w:lineRule="atLeast"/>
              <w:jc w:val="center"/>
              <w:rPr>
                <w:rFonts w:hint="eastAsia" w:ascii="宋体" w:hAnsi="宋体" w:cs="宋体"/>
                <w:szCs w:val="21"/>
              </w:rPr>
            </w:pPr>
            <w:r>
              <w:rPr>
                <w:rFonts w:hint="eastAsia" w:ascii="宋体" w:hAnsi="宋体" w:cs="宋体"/>
                <w:szCs w:val="21"/>
                <w:highlight w:val="white"/>
              </w:rPr>
              <w:t>统一信用代码</w:t>
            </w:r>
          </w:p>
        </w:tc>
        <w:tc>
          <w:tcPr>
            <w:tcW w:w="2141" w:type="dxa"/>
            <w:noWrap w:val="0"/>
            <w:vAlign w:val="center"/>
          </w:tcPr>
          <w:p w14:paraId="0995D2C4">
            <w:pPr>
              <w:pStyle w:val="50"/>
              <w:wordWrap w:val="0"/>
              <w:spacing w:line="0" w:lineRule="atLeast"/>
              <w:jc w:val="center"/>
              <w:rPr>
                <w:rFonts w:hint="eastAsia" w:ascii="宋体" w:hAnsi="宋体" w:cs="宋体"/>
                <w:szCs w:val="21"/>
              </w:rPr>
            </w:pPr>
            <w:r>
              <w:rPr>
                <w:rFonts w:hint="eastAsia" w:ascii="宋体" w:hAnsi="宋体" w:cs="宋体"/>
                <w:szCs w:val="21"/>
                <w:highlight w:val="white"/>
              </w:rPr>
              <w:t>公司所在省、市</w:t>
            </w:r>
          </w:p>
        </w:tc>
      </w:tr>
      <w:tr w14:paraId="315F1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090" w:type="dxa"/>
            <w:noWrap w:val="0"/>
            <w:vAlign w:val="center"/>
          </w:tcPr>
          <w:p w14:paraId="2C3B138A">
            <w:pPr>
              <w:pStyle w:val="50"/>
              <w:wordWrap w:val="0"/>
              <w:spacing w:line="0" w:lineRule="atLeast"/>
              <w:jc w:val="center"/>
              <w:rPr>
                <w:rFonts w:hint="eastAsia" w:ascii="宋体" w:hAnsi="宋体" w:cs="宋体"/>
                <w:szCs w:val="21"/>
              </w:rPr>
            </w:pPr>
            <w:r>
              <w:rPr>
                <w:rFonts w:hint="eastAsia" w:ascii="宋体" w:hAnsi="宋体" w:cs="宋体"/>
                <w:szCs w:val="21"/>
                <w:highlight w:val="white"/>
              </w:rPr>
              <w:t>1.本企业</w:t>
            </w:r>
          </w:p>
        </w:tc>
        <w:tc>
          <w:tcPr>
            <w:tcW w:w="1374" w:type="dxa"/>
            <w:noWrap w:val="0"/>
            <w:vAlign w:val="center"/>
          </w:tcPr>
          <w:p w14:paraId="0676AE9D">
            <w:pPr>
              <w:pStyle w:val="50"/>
              <w:wordWrap w:val="0"/>
              <w:spacing w:line="0" w:lineRule="atLeast"/>
              <w:jc w:val="center"/>
              <w:rPr>
                <w:rFonts w:hint="eastAsia" w:ascii="宋体" w:hAnsi="宋体" w:cs="宋体"/>
                <w:szCs w:val="21"/>
              </w:rPr>
            </w:pPr>
          </w:p>
        </w:tc>
        <w:tc>
          <w:tcPr>
            <w:tcW w:w="1479" w:type="dxa"/>
            <w:noWrap w:val="0"/>
            <w:vAlign w:val="center"/>
          </w:tcPr>
          <w:p w14:paraId="162F7E3C">
            <w:pPr>
              <w:pStyle w:val="50"/>
              <w:wordWrap w:val="0"/>
              <w:spacing w:line="0" w:lineRule="atLeast"/>
              <w:jc w:val="center"/>
              <w:rPr>
                <w:rFonts w:hint="eastAsia" w:ascii="宋体" w:hAnsi="宋体" w:cs="宋体"/>
                <w:szCs w:val="21"/>
              </w:rPr>
            </w:pPr>
          </w:p>
        </w:tc>
        <w:tc>
          <w:tcPr>
            <w:tcW w:w="2141" w:type="dxa"/>
            <w:noWrap w:val="0"/>
            <w:vAlign w:val="center"/>
          </w:tcPr>
          <w:p w14:paraId="4BA49711">
            <w:pPr>
              <w:pStyle w:val="50"/>
              <w:wordWrap w:val="0"/>
              <w:spacing w:line="0" w:lineRule="atLeast"/>
              <w:jc w:val="center"/>
              <w:rPr>
                <w:rFonts w:hint="eastAsia" w:ascii="宋体" w:hAnsi="宋体" w:cs="宋体"/>
                <w:szCs w:val="21"/>
              </w:rPr>
            </w:pPr>
          </w:p>
        </w:tc>
      </w:tr>
      <w:tr w14:paraId="74374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090" w:type="dxa"/>
            <w:noWrap w:val="0"/>
            <w:vAlign w:val="center"/>
          </w:tcPr>
          <w:p w14:paraId="1161DCA6">
            <w:pPr>
              <w:pStyle w:val="50"/>
              <w:wordWrap w:val="0"/>
              <w:spacing w:line="0" w:lineRule="atLeast"/>
              <w:jc w:val="center"/>
              <w:rPr>
                <w:rFonts w:hint="eastAsia" w:ascii="宋体" w:hAnsi="宋体" w:cs="宋体"/>
                <w:szCs w:val="21"/>
              </w:rPr>
            </w:pPr>
            <w:r>
              <w:rPr>
                <w:rFonts w:hint="eastAsia" w:ascii="宋体" w:hAnsi="宋体" w:cs="宋体"/>
                <w:szCs w:val="21"/>
                <w:highlight w:val="white"/>
              </w:rPr>
              <w:t>2.相关联企业</w:t>
            </w:r>
          </w:p>
        </w:tc>
        <w:tc>
          <w:tcPr>
            <w:tcW w:w="1374" w:type="dxa"/>
            <w:noWrap w:val="0"/>
            <w:vAlign w:val="center"/>
          </w:tcPr>
          <w:p w14:paraId="770C4476">
            <w:pPr>
              <w:pStyle w:val="50"/>
              <w:wordWrap w:val="0"/>
              <w:spacing w:line="0" w:lineRule="atLeast"/>
              <w:jc w:val="center"/>
              <w:rPr>
                <w:rFonts w:hint="eastAsia" w:ascii="宋体" w:hAnsi="宋体" w:cs="宋体"/>
                <w:szCs w:val="21"/>
              </w:rPr>
            </w:pPr>
          </w:p>
        </w:tc>
        <w:tc>
          <w:tcPr>
            <w:tcW w:w="1479" w:type="dxa"/>
            <w:noWrap w:val="0"/>
            <w:vAlign w:val="center"/>
          </w:tcPr>
          <w:p w14:paraId="13B91EC8">
            <w:pPr>
              <w:pStyle w:val="50"/>
              <w:wordWrap w:val="0"/>
              <w:spacing w:line="0" w:lineRule="atLeast"/>
              <w:jc w:val="center"/>
              <w:rPr>
                <w:rFonts w:hint="eastAsia" w:ascii="宋体" w:hAnsi="宋体" w:cs="宋体"/>
                <w:szCs w:val="21"/>
              </w:rPr>
            </w:pPr>
          </w:p>
        </w:tc>
        <w:tc>
          <w:tcPr>
            <w:tcW w:w="2141" w:type="dxa"/>
            <w:noWrap w:val="0"/>
            <w:vAlign w:val="center"/>
          </w:tcPr>
          <w:p w14:paraId="0FB9C18F">
            <w:pPr>
              <w:pStyle w:val="50"/>
              <w:wordWrap w:val="0"/>
              <w:spacing w:line="0" w:lineRule="atLeast"/>
              <w:jc w:val="center"/>
              <w:rPr>
                <w:rFonts w:hint="eastAsia" w:ascii="宋体" w:hAnsi="宋体" w:cs="宋体"/>
                <w:szCs w:val="21"/>
              </w:rPr>
            </w:pPr>
          </w:p>
        </w:tc>
      </w:tr>
      <w:tr w14:paraId="2EDF3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090" w:type="dxa"/>
            <w:noWrap w:val="0"/>
            <w:vAlign w:val="center"/>
          </w:tcPr>
          <w:p w14:paraId="12684057">
            <w:pPr>
              <w:pStyle w:val="50"/>
              <w:wordWrap w:val="0"/>
              <w:spacing w:line="0" w:lineRule="atLeast"/>
              <w:jc w:val="center"/>
              <w:rPr>
                <w:rFonts w:hint="eastAsia" w:ascii="宋体" w:hAnsi="宋体" w:cs="宋体"/>
                <w:szCs w:val="21"/>
              </w:rPr>
            </w:pPr>
          </w:p>
        </w:tc>
        <w:tc>
          <w:tcPr>
            <w:tcW w:w="1374" w:type="dxa"/>
            <w:noWrap w:val="0"/>
            <w:vAlign w:val="center"/>
          </w:tcPr>
          <w:p w14:paraId="127D24C0">
            <w:pPr>
              <w:pStyle w:val="50"/>
              <w:wordWrap w:val="0"/>
              <w:spacing w:line="0" w:lineRule="atLeast"/>
              <w:jc w:val="center"/>
              <w:rPr>
                <w:rFonts w:hint="eastAsia" w:ascii="宋体" w:hAnsi="宋体" w:cs="宋体"/>
                <w:szCs w:val="21"/>
              </w:rPr>
            </w:pPr>
          </w:p>
        </w:tc>
        <w:tc>
          <w:tcPr>
            <w:tcW w:w="1479" w:type="dxa"/>
            <w:noWrap w:val="0"/>
            <w:vAlign w:val="center"/>
          </w:tcPr>
          <w:p w14:paraId="57FD5DA4">
            <w:pPr>
              <w:pStyle w:val="50"/>
              <w:wordWrap w:val="0"/>
              <w:spacing w:line="0" w:lineRule="atLeast"/>
              <w:jc w:val="center"/>
              <w:rPr>
                <w:rFonts w:hint="eastAsia" w:ascii="宋体" w:hAnsi="宋体" w:cs="宋体"/>
                <w:szCs w:val="21"/>
              </w:rPr>
            </w:pPr>
          </w:p>
        </w:tc>
        <w:tc>
          <w:tcPr>
            <w:tcW w:w="2141" w:type="dxa"/>
            <w:noWrap w:val="0"/>
            <w:vAlign w:val="center"/>
          </w:tcPr>
          <w:p w14:paraId="284565B7">
            <w:pPr>
              <w:pStyle w:val="50"/>
              <w:wordWrap w:val="0"/>
              <w:spacing w:line="0" w:lineRule="atLeast"/>
              <w:jc w:val="center"/>
              <w:rPr>
                <w:rFonts w:hint="eastAsia" w:ascii="宋体" w:hAnsi="宋体" w:cs="宋体"/>
                <w:szCs w:val="21"/>
              </w:rPr>
            </w:pPr>
          </w:p>
        </w:tc>
      </w:tr>
      <w:tr w14:paraId="5D43D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090" w:type="dxa"/>
            <w:noWrap w:val="0"/>
            <w:vAlign w:val="center"/>
          </w:tcPr>
          <w:p w14:paraId="12A1EFA6">
            <w:pPr>
              <w:pStyle w:val="50"/>
              <w:wordWrap w:val="0"/>
              <w:spacing w:line="0" w:lineRule="atLeast"/>
              <w:jc w:val="center"/>
              <w:rPr>
                <w:rFonts w:hint="eastAsia" w:ascii="宋体" w:hAnsi="宋体" w:cs="宋体"/>
                <w:szCs w:val="21"/>
              </w:rPr>
            </w:pPr>
            <w:r>
              <w:rPr>
                <w:rFonts w:hint="eastAsia" w:ascii="宋体" w:hAnsi="宋体" w:cs="宋体"/>
                <w:szCs w:val="21"/>
                <w:highlight w:val="white"/>
              </w:rPr>
              <w:t>（一）母公司（控股股东）</w:t>
            </w:r>
          </w:p>
        </w:tc>
        <w:tc>
          <w:tcPr>
            <w:tcW w:w="1374" w:type="dxa"/>
            <w:noWrap w:val="0"/>
            <w:vAlign w:val="center"/>
          </w:tcPr>
          <w:p w14:paraId="2C62B892">
            <w:pPr>
              <w:pStyle w:val="50"/>
              <w:wordWrap w:val="0"/>
              <w:spacing w:line="0" w:lineRule="atLeast"/>
              <w:jc w:val="center"/>
              <w:rPr>
                <w:rFonts w:hint="eastAsia" w:ascii="宋体" w:hAnsi="宋体" w:cs="宋体"/>
                <w:szCs w:val="21"/>
              </w:rPr>
            </w:pPr>
          </w:p>
        </w:tc>
        <w:tc>
          <w:tcPr>
            <w:tcW w:w="1479" w:type="dxa"/>
            <w:noWrap w:val="0"/>
            <w:vAlign w:val="center"/>
          </w:tcPr>
          <w:p w14:paraId="54D25A71">
            <w:pPr>
              <w:pStyle w:val="50"/>
              <w:wordWrap w:val="0"/>
              <w:spacing w:line="0" w:lineRule="atLeast"/>
              <w:jc w:val="center"/>
              <w:rPr>
                <w:rFonts w:hint="eastAsia" w:ascii="宋体" w:hAnsi="宋体" w:cs="宋体"/>
                <w:szCs w:val="21"/>
              </w:rPr>
            </w:pPr>
          </w:p>
        </w:tc>
        <w:tc>
          <w:tcPr>
            <w:tcW w:w="2141" w:type="dxa"/>
            <w:noWrap w:val="0"/>
            <w:vAlign w:val="center"/>
          </w:tcPr>
          <w:p w14:paraId="27E1281F">
            <w:pPr>
              <w:pStyle w:val="50"/>
              <w:wordWrap w:val="0"/>
              <w:spacing w:line="0" w:lineRule="atLeast"/>
              <w:jc w:val="center"/>
              <w:rPr>
                <w:rFonts w:hint="eastAsia" w:ascii="宋体" w:hAnsi="宋体" w:cs="宋体"/>
                <w:szCs w:val="21"/>
              </w:rPr>
            </w:pPr>
          </w:p>
        </w:tc>
      </w:tr>
      <w:tr w14:paraId="7F155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090" w:type="dxa"/>
            <w:noWrap w:val="0"/>
            <w:vAlign w:val="center"/>
          </w:tcPr>
          <w:p w14:paraId="29E63DAA">
            <w:pPr>
              <w:pStyle w:val="50"/>
              <w:wordWrap w:val="0"/>
              <w:spacing w:line="0" w:lineRule="atLeast"/>
              <w:jc w:val="center"/>
              <w:rPr>
                <w:rFonts w:hint="eastAsia" w:ascii="宋体" w:hAnsi="宋体" w:cs="宋体"/>
                <w:szCs w:val="21"/>
              </w:rPr>
            </w:pPr>
            <w:r>
              <w:rPr>
                <w:rFonts w:hint="eastAsia" w:ascii="宋体" w:hAnsi="宋体" w:cs="宋体"/>
                <w:szCs w:val="21"/>
                <w:highlight w:val="white"/>
              </w:rPr>
              <w:t>…………</w:t>
            </w:r>
          </w:p>
        </w:tc>
        <w:tc>
          <w:tcPr>
            <w:tcW w:w="1374" w:type="dxa"/>
            <w:noWrap w:val="0"/>
            <w:vAlign w:val="center"/>
          </w:tcPr>
          <w:p w14:paraId="2F76134F">
            <w:pPr>
              <w:pStyle w:val="50"/>
              <w:wordWrap w:val="0"/>
              <w:spacing w:line="0" w:lineRule="atLeast"/>
              <w:jc w:val="center"/>
              <w:rPr>
                <w:rFonts w:hint="eastAsia" w:ascii="宋体" w:hAnsi="宋体" w:cs="宋体"/>
                <w:szCs w:val="21"/>
              </w:rPr>
            </w:pPr>
          </w:p>
        </w:tc>
        <w:tc>
          <w:tcPr>
            <w:tcW w:w="1479" w:type="dxa"/>
            <w:noWrap w:val="0"/>
            <w:vAlign w:val="center"/>
          </w:tcPr>
          <w:p w14:paraId="1C0A80BF">
            <w:pPr>
              <w:pStyle w:val="50"/>
              <w:wordWrap w:val="0"/>
              <w:spacing w:line="0" w:lineRule="atLeast"/>
              <w:jc w:val="center"/>
              <w:rPr>
                <w:rFonts w:hint="eastAsia" w:ascii="宋体" w:hAnsi="宋体" w:cs="宋体"/>
                <w:szCs w:val="21"/>
              </w:rPr>
            </w:pPr>
          </w:p>
        </w:tc>
        <w:tc>
          <w:tcPr>
            <w:tcW w:w="2141" w:type="dxa"/>
            <w:noWrap w:val="0"/>
            <w:vAlign w:val="center"/>
          </w:tcPr>
          <w:p w14:paraId="29053127">
            <w:pPr>
              <w:pStyle w:val="50"/>
              <w:wordWrap w:val="0"/>
              <w:spacing w:line="0" w:lineRule="atLeast"/>
              <w:jc w:val="center"/>
              <w:rPr>
                <w:rFonts w:hint="eastAsia" w:ascii="宋体" w:hAnsi="宋体" w:cs="宋体"/>
                <w:szCs w:val="21"/>
              </w:rPr>
            </w:pPr>
          </w:p>
        </w:tc>
      </w:tr>
      <w:tr w14:paraId="69704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090" w:type="dxa"/>
            <w:noWrap w:val="0"/>
            <w:vAlign w:val="center"/>
          </w:tcPr>
          <w:p w14:paraId="4E864809">
            <w:pPr>
              <w:pStyle w:val="50"/>
              <w:wordWrap w:val="0"/>
              <w:spacing w:line="0" w:lineRule="atLeast"/>
              <w:jc w:val="center"/>
              <w:rPr>
                <w:rFonts w:hint="eastAsia" w:ascii="宋体" w:hAnsi="宋体" w:cs="宋体"/>
                <w:szCs w:val="21"/>
              </w:rPr>
            </w:pPr>
            <w:r>
              <w:rPr>
                <w:rFonts w:hint="eastAsia" w:ascii="宋体" w:hAnsi="宋体" w:cs="宋体"/>
                <w:szCs w:val="21"/>
                <w:highlight w:val="white"/>
              </w:rPr>
              <w:t>（二）子公司（控股子公司）</w:t>
            </w:r>
          </w:p>
        </w:tc>
        <w:tc>
          <w:tcPr>
            <w:tcW w:w="1374" w:type="dxa"/>
            <w:noWrap w:val="0"/>
            <w:vAlign w:val="center"/>
          </w:tcPr>
          <w:p w14:paraId="5768B13D">
            <w:pPr>
              <w:pStyle w:val="50"/>
              <w:wordWrap w:val="0"/>
              <w:spacing w:line="0" w:lineRule="atLeast"/>
              <w:jc w:val="center"/>
              <w:rPr>
                <w:rFonts w:hint="eastAsia" w:ascii="宋体" w:hAnsi="宋体" w:cs="宋体"/>
                <w:szCs w:val="21"/>
              </w:rPr>
            </w:pPr>
          </w:p>
        </w:tc>
        <w:tc>
          <w:tcPr>
            <w:tcW w:w="1479" w:type="dxa"/>
            <w:noWrap w:val="0"/>
            <w:vAlign w:val="center"/>
          </w:tcPr>
          <w:p w14:paraId="6CB96B97">
            <w:pPr>
              <w:pStyle w:val="50"/>
              <w:wordWrap w:val="0"/>
              <w:spacing w:line="0" w:lineRule="atLeast"/>
              <w:jc w:val="center"/>
              <w:rPr>
                <w:rFonts w:hint="eastAsia" w:ascii="宋体" w:hAnsi="宋体" w:cs="宋体"/>
                <w:szCs w:val="21"/>
              </w:rPr>
            </w:pPr>
          </w:p>
        </w:tc>
        <w:tc>
          <w:tcPr>
            <w:tcW w:w="2141" w:type="dxa"/>
            <w:noWrap w:val="0"/>
            <w:vAlign w:val="center"/>
          </w:tcPr>
          <w:p w14:paraId="7FC302CB">
            <w:pPr>
              <w:pStyle w:val="50"/>
              <w:wordWrap w:val="0"/>
              <w:spacing w:line="0" w:lineRule="atLeast"/>
              <w:jc w:val="center"/>
              <w:rPr>
                <w:rFonts w:hint="eastAsia" w:ascii="宋体" w:hAnsi="宋体" w:cs="宋体"/>
                <w:szCs w:val="21"/>
              </w:rPr>
            </w:pPr>
          </w:p>
        </w:tc>
      </w:tr>
      <w:tr w14:paraId="580DE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3090" w:type="dxa"/>
            <w:noWrap w:val="0"/>
            <w:vAlign w:val="center"/>
          </w:tcPr>
          <w:p w14:paraId="3C4D1E16">
            <w:pPr>
              <w:pStyle w:val="50"/>
              <w:wordWrap w:val="0"/>
              <w:spacing w:line="0" w:lineRule="atLeast"/>
              <w:jc w:val="center"/>
              <w:rPr>
                <w:rFonts w:hint="eastAsia" w:ascii="宋体" w:hAnsi="宋体" w:cs="宋体"/>
                <w:szCs w:val="21"/>
              </w:rPr>
            </w:pPr>
            <w:r>
              <w:rPr>
                <w:rFonts w:hint="eastAsia" w:ascii="宋体" w:hAnsi="宋体" w:cs="宋体"/>
                <w:szCs w:val="21"/>
                <w:highlight w:val="white"/>
              </w:rPr>
              <w:t>…………</w:t>
            </w:r>
          </w:p>
        </w:tc>
        <w:tc>
          <w:tcPr>
            <w:tcW w:w="1374" w:type="dxa"/>
            <w:noWrap w:val="0"/>
            <w:vAlign w:val="center"/>
          </w:tcPr>
          <w:p w14:paraId="7D3EB952">
            <w:pPr>
              <w:pStyle w:val="50"/>
              <w:wordWrap w:val="0"/>
              <w:spacing w:line="0" w:lineRule="atLeast"/>
              <w:jc w:val="center"/>
              <w:rPr>
                <w:rFonts w:hint="eastAsia" w:ascii="宋体" w:hAnsi="宋体" w:cs="宋体"/>
                <w:szCs w:val="21"/>
              </w:rPr>
            </w:pPr>
          </w:p>
        </w:tc>
        <w:tc>
          <w:tcPr>
            <w:tcW w:w="1479" w:type="dxa"/>
            <w:noWrap w:val="0"/>
            <w:vAlign w:val="center"/>
          </w:tcPr>
          <w:p w14:paraId="2B1D9100">
            <w:pPr>
              <w:pStyle w:val="50"/>
              <w:wordWrap w:val="0"/>
              <w:spacing w:line="0" w:lineRule="atLeast"/>
              <w:jc w:val="center"/>
              <w:rPr>
                <w:rFonts w:hint="eastAsia" w:ascii="宋体" w:hAnsi="宋体" w:cs="宋体"/>
                <w:szCs w:val="21"/>
              </w:rPr>
            </w:pPr>
          </w:p>
        </w:tc>
        <w:tc>
          <w:tcPr>
            <w:tcW w:w="2141" w:type="dxa"/>
            <w:noWrap w:val="0"/>
            <w:vAlign w:val="center"/>
          </w:tcPr>
          <w:p w14:paraId="1E236824">
            <w:pPr>
              <w:pStyle w:val="50"/>
              <w:wordWrap w:val="0"/>
              <w:spacing w:line="0" w:lineRule="atLeast"/>
              <w:jc w:val="center"/>
              <w:rPr>
                <w:rFonts w:hint="eastAsia" w:ascii="宋体" w:hAnsi="宋体" w:cs="宋体"/>
                <w:szCs w:val="21"/>
              </w:rPr>
            </w:pPr>
          </w:p>
        </w:tc>
      </w:tr>
      <w:tr w14:paraId="6A324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3090" w:type="dxa"/>
            <w:noWrap w:val="0"/>
            <w:vAlign w:val="center"/>
          </w:tcPr>
          <w:p w14:paraId="127C967F">
            <w:pPr>
              <w:pStyle w:val="50"/>
              <w:wordWrap w:val="0"/>
              <w:spacing w:line="0" w:lineRule="atLeast"/>
              <w:jc w:val="center"/>
              <w:rPr>
                <w:rFonts w:hint="eastAsia" w:ascii="宋体" w:hAnsi="宋体" w:cs="宋体"/>
                <w:szCs w:val="21"/>
              </w:rPr>
            </w:pPr>
            <w:r>
              <w:rPr>
                <w:rFonts w:hint="eastAsia" w:ascii="宋体" w:hAnsi="宋体" w:cs="宋体"/>
                <w:szCs w:val="21"/>
                <w:highlight w:val="white"/>
              </w:rPr>
              <w:t>（三）单位负责人（法定代表人）为同一人的公司</w:t>
            </w:r>
          </w:p>
        </w:tc>
        <w:tc>
          <w:tcPr>
            <w:tcW w:w="1374" w:type="dxa"/>
            <w:noWrap w:val="0"/>
            <w:vAlign w:val="center"/>
          </w:tcPr>
          <w:p w14:paraId="6DCFEC9F">
            <w:pPr>
              <w:pStyle w:val="50"/>
              <w:wordWrap w:val="0"/>
              <w:spacing w:line="0" w:lineRule="atLeast"/>
              <w:jc w:val="center"/>
              <w:rPr>
                <w:rFonts w:hint="eastAsia" w:ascii="宋体" w:hAnsi="宋体" w:cs="宋体"/>
                <w:szCs w:val="21"/>
              </w:rPr>
            </w:pPr>
          </w:p>
        </w:tc>
        <w:tc>
          <w:tcPr>
            <w:tcW w:w="1479" w:type="dxa"/>
            <w:noWrap w:val="0"/>
            <w:vAlign w:val="center"/>
          </w:tcPr>
          <w:p w14:paraId="559AE390">
            <w:pPr>
              <w:pStyle w:val="50"/>
              <w:wordWrap w:val="0"/>
              <w:spacing w:line="0" w:lineRule="atLeast"/>
              <w:jc w:val="center"/>
              <w:rPr>
                <w:rFonts w:hint="eastAsia" w:ascii="宋体" w:hAnsi="宋体" w:cs="宋体"/>
                <w:szCs w:val="21"/>
              </w:rPr>
            </w:pPr>
          </w:p>
        </w:tc>
        <w:tc>
          <w:tcPr>
            <w:tcW w:w="2141" w:type="dxa"/>
            <w:noWrap w:val="0"/>
            <w:vAlign w:val="center"/>
          </w:tcPr>
          <w:p w14:paraId="5B597427">
            <w:pPr>
              <w:pStyle w:val="50"/>
              <w:wordWrap w:val="0"/>
              <w:spacing w:line="0" w:lineRule="atLeast"/>
              <w:jc w:val="center"/>
              <w:rPr>
                <w:rFonts w:hint="eastAsia" w:ascii="宋体" w:hAnsi="宋体" w:cs="宋体"/>
                <w:szCs w:val="21"/>
              </w:rPr>
            </w:pPr>
          </w:p>
        </w:tc>
      </w:tr>
      <w:tr w14:paraId="53198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3090" w:type="dxa"/>
            <w:noWrap w:val="0"/>
            <w:vAlign w:val="center"/>
          </w:tcPr>
          <w:p w14:paraId="5C9F0D40">
            <w:pPr>
              <w:pStyle w:val="50"/>
              <w:wordWrap w:val="0"/>
              <w:spacing w:line="0" w:lineRule="atLeast"/>
              <w:jc w:val="center"/>
              <w:rPr>
                <w:rFonts w:hint="eastAsia" w:ascii="宋体" w:hAnsi="宋体" w:cs="宋体"/>
                <w:szCs w:val="21"/>
              </w:rPr>
            </w:pPr>
            <w:r>
              <w:rPr>
                <w:rFonts w:hint="eastAsia" w:ascii="宋体" w:hAnsi="宋体" w:cs="宋体"/>
                <w:szCs w:val="21"/>
                <w:highlight w:val="white"/>
              </w:rPr>
              <w:t>…………</w:t>
            </w:r>
          </w:p>
        </w:tc>
        <w:tc>
          <w:tcPr>
            <w:tcW w:w="1374" w:type="dxa"/>
            <w:noWrap w:val="0"/>
            <w:vAlign w:val="center"/>
          </w:tcPr>
          <w:p w14:paraId="3C85BC33">
            <w:pPr>
              <w:pStyle w:val="50"/>
              <w:wordWrap w:val="0"/>
              <w:spacing w:line="0" w:lineRule="atLeast"/>
              <w:jc w:val="center"/>
              <w:rPr>
                <w:rFonts w:hint="eastAsia" w:ascii="宋体" w:hAnsi="宋体" w:cs="宋体"/>
                <w:szCs w:val="21"/>
              </w:rPr>
            </w:pPr>
          </w:p>
        </w:tc>
        <w:tc>
          <w:tcPr>
            <w:tcW w:w="1479" w:type="dxa"/>
            <w:noWrap w:val="0"/>
            <w:vAlign w:val="center"/>
          </w:tcPr>
          <w:p w14:paraId="5D6BD3D4">
            <w:pPr>
              <w:pStyle w:val="50"/>
              <w:wordWrap w:val="0"/>
              <w:spacing w:line="0" w:lineRule="atLeast"/>
              <w:jc w:val="center"/>
              <w:rPr>
                <w:rFonts w:hint="eastAsia" w:ascii="宋体" w:hAnsi="宋体" w:cs="宋体"/>
                <w:szCs w:val="21"/>
              </w:rPr>
            </w:pPr>
          </w:p>
        </w:tc>
        <w:tc>
          <w:tcPr>
            <w:tcW w:w="2141" w:type="dxa"/>
            <w:noWrap w:val="0"/>
            <w:vAlign w:val="center"/>
          </w:tcPr>
          <w:p w14:paraId="29F4C399">
            <w:pPr>
              <w:pStyle w:val="50"/>
              <w:wordWrap w:val="0"/>
              <w:spacing w:line="0" w:lineRule="atLeast"/>
              <w:jc w:val="center"/>
              <w:rPr>
                <w:rFonts w:hint="eastAsia" w:ascii="宋体" w:hAnsi="宋体" w:cs="宋体"/>
                <w:szCs w:val="21"/>
              </w:rPr>
            </w:pPr>
          </w:p>
        </w:tc>
      </w:tr>
      <w:tr w14:paraId="29239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3090" w:type="dxa"/>
            <w:noWrap w:val="0"/>
            <w:vAlign w:val="center"/>
          </w:tcPr>
          <w:p w14:paraId="43E6CA02">
            <w:pPr>
              <w:pStyle w:val="50"/>
              <w:wordWrap w:val="0"/>
              <w:spacing w:line="0" w:lineRule="atLeast"/>
              <w:jc w:val="center"/>
              <w:rPr>
                <w:rFonts w:hint="eastAsia" w:ascii="宋体" w:hAnsi="宋体" w:cs="宋体"/>
                <w:szCs w:val="21"/>
              </w:rPr>
            </w:pPr>
          </w:p>
        </w:tc>
        <w:tc>
          <w:tcPr>
            <w:tcW w:w="1374" w:type="dxa"/>
            <w:noWrap w:val="0"/>
            <w:vAlign w:val="center"/>
          </w:tcPr>
          <w:p w14:paraId="65DCD4EB">
            <w:pPr>
              <w:pStyle w:val="50"/>
              <w:wordWrap w:val="0"/>
              <w:spacing w:line="0" w:lineRule="atLeast"/>
              <w:jc w:val="center"/>
              <w:rPr>
                <w:rFonts w:hint="eastAsia" w:ascii="宋体" w:hAnsi="宋体" w:cs="宋体"/>
                <w:szCs w:val="21"/>
              </w:rPr>
            </w:pPr>
          </w:p>
        </w:tc>
        <w:tc>
          <w:tcPr>
            <w:tcW w:w="1479" w:type="dxa"/>
            <w:noWrap w:val="0"/>
            <w:vAlign w:val="center"/>
          </w:tcPr>
          <w:p w14:paraId="2DCA278A">
            <w:pPr>
              <w:pStyle w:val="50"/>
              <w:wordWrap w:val="0"/>
              <w:spacing w:line="0" w:lineRule="atLeast"/>
              <w:jc w:val="center"/>
              <w:rPr>
                <w:rFonts w:hint="eastAsia" w:ascii="宋体" w:hAnsi="宋体" w:cs="宋体"/>
                <w:szCs w:val="21"/>
              </w:rPr>
            </w:pPr>
          </w:p>
        </w:tc>
        <w:tc>
          <w:tcPr>
            <w:tcW w:w="2141" w:type="dxa"/>
            <w:noWrap w:val="0"/>
            <w:vAlign w:val="center"/>
          </w:tcPr>
          <w:p w14:paraId="48B6E851">
            <w:pPr>
              <w:pStyle w:val="50"/>
              <w:wordWrap w:val="0"/>
              <w:spacing w:line="0" w:lineRule="atLeast"/>
              <w:jc w:val="center"/>
              <w:rPr>
                <w:rFonts w:hint="eastAsia" w:ascii="宋体" w:hAnsi="宋体" w:cs="宋体"/>
                <w:szCs w:val="21"/>
              </w:rPr>
            </w:pPr>
          </w:p>
        </w:tc>
      </w:tr>
      <w:tr w14:paraId="6F6BC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3090" w:type="dxa"/>
            <w:noWrap w:val="0"/>
            <w:vAlign w:val="center"/>
          </w:tcPr>
          <w:p w14:paraId="2A047F4E">
            <w:pPr>
              <w:pStyle w:val="50"/>
              <w:wordWrap w:val="0"/>
              <w:spacing w:line="0" w:lineRule="atLeast"/>
              <w:jc w:val="center"/>
              <w:rPr>
                <w:rFonts w:hint="eastAsia" w:ascii="宋体" w:hAnsi="宋体" w:cs="宋体"/>
                <w:szCs w:val="21"/>
              </w:rPr>
            </w:pPr>
          </w:p>
        </w:tc>
        <w:tc>
          <w:tcPr>
            <w:tcW w:w="1374" w:type="dxa"/>
            <w:noWrap w:val="0"/>
            <w:vAlign w:val="center"/>
          </w:tcPr>
          <w:p w14:paraId="58C4B2B7">
            <w:pPr>
              <w:pStyle w:val="50"/>
              <w:wordWrap w:val="0"/>
              <w:spacing w:line="0" w:lineRule="atLeast"/>
              <w:jc w:val="center"/>
              <w:rPr>
                <w:rFonts w:hint="eastAsia" w:ascii="宋体" w:hAnsi="宋体" w:cs="宋体"/>
                <w:szCs w:val="21"/>
              </w:rPr>
            </w:pPr>
          </w:p>
        </w:tc>
        <w:tc>
          <w:tcPr>
            <w:tcW w:w="1479" w:type="dxa"/>
            <w:noWrap w:val="0"/>
            <w:vAlign w:val="center"/>
          </w:tcPr>
          <w:p w14:paraId="6152EE7C">
            <w:pPr>
              <w:pStyle w:val="50"/>
              <w:wordWrap w:val="0"/>
              <w:spacing w:line="0" w:lineRule="atLeast"/>
              <w:jc w:val="center"/>
              <w:rPr>
                <w:rFonts w:hint="eastAsia" w:ascii="宋体" w:hAnsi="宋体" w:cs="宋体"/>
                <w:szCs w:val="21"/>
              </w:rPr>
            </w:pPr>
          </w:p>
        </w:tc>
        <w:tc>
          <w:tcPr>
            <w:tcW w:w="2141" w:type="dxa"/>
            <w:noWrap w:val="0"/>
            <w:vAlign w:val="center"/>
          </w:tcPr>
          <w:p w14:paraId="151A0C24">
            <w:pPr>
              <w:pStyle w:val="50"/>
              <w:wordWrap w:val="0"/>
              <w:spacing w:line="0" w:lineRule="atLeast"/>
              <w:jc w:val="center"/>
              <w:rPr>
                <w:rFonts w:hint="eastAsia" w:ascii="宋体" w:hAnsi="宋体" w:cs="宋体"/>
                <w:szCs w:val="21"/>
              </w:rPr>
            </w:pPr>
          </w:p>
        </w:tc>
      </w:tr>
      <w:tr w14:paraId="35F76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3090" w:type="dxa"/>
            <w:noWrap w:val="0"/>
            <w:vAlign w:val="center"/>
          </w:tcPr>
          <w:p w14:paraId="00EE74EF">
            <w:pPr>
              <w:pStyle w:val="50"/>
              <w:wordWrap w:val="0"/>
              <w:spacing w:line="0" w:lineRule="atLeast"/>
              <w:jc w:val="center"/>
              <w:rPr>
                <w:rFonts w:hint="eastAsia" w:ascii="宋体" w:hAnsi="宋体" w:cs="宋体"/>
                <w:szCs w:val="21"/>
              </w:rPr>
            </w:pPr>
          </w:p>
        </w:tc>
        <w:tc>
          <w:tcPr>
            <w:tcW w:w="1374" w:type="dxa"/>
            <w:noWrap w:val="0"/>
            <w:vAlign w:val="center"/>
          </w:tcPr>
          <w:p w14:paraId="23E49F7C">
            <w:pPr>
              <w:pStyle w:val="50"/>
              <w:wordWrap w:val="0"/>
              <w:spacing w:line="0" w:lineRule="atLeast"/>
              <w:jc w:val="center"/>
              <w:rPr>
                <w:rFonts w:hint="eastAsia" w:ascii="宋体" w:hAnsi="宋体" w:cs="宋体"/>
                <w:szCs w:val="21"/>
              </w:rPr>
            </w:pPr>
          </w:p>
        </w:tc>
        <w:tc>
          <w:tcPr>
            <w:tcW w:w="1479" w:type="dxa"/>
            <w:noWrap w:val="0"/>
            <w:vAlign w:val="center"/>
          </w:tcPr>
          <w:p w14:paraId="656471D2">
            <w:pPr>
              <w:pStyle w:val="50"/>
              <w:wordWrap w:val="0"/>
              <w:spacing w:line="0" w:lineRule="atLeast"/>
              <w:jc w:val="center"/>
              <w:rPr>
                <w:rFonts w:hint="eastAsia" w:ascii="宋体" w:hAnsi="宋体" w:cs="宋体"/>
                <w:szCs w:val="21"/>
              </w:rPr>
            </w:pPr>
          </w:p>
        </w:tc>
        <w:tc>
          <w:tcPr>
            <w:tcW w:w="2141" w:type="dxa"/>
            <w:noWrap w:val="0"/>
            <w:vAlign w:val="center"/>
          </w:tcPr>
          <w:p w14:paraId="31426B73">
            <w:pPr>
              <w:pStyle w:val="50"/>
              <w:wordWrap w:val="0"/>
              <w:spacing w:line="0" w:lineRule="atLeast"/>
              <w:jc w:val="center"/>
              <w:rPr>
                <w:rFonts w:hint="eastAsia" w:ascii="宋体" w:hAnsi="宋体" w:cs="宋体"/>
                <w:szCs w:val="21"/>
              </w:rPr>
            </w:pPr>
          </w:p>
        </w:tc>
      </w:tr>
    </w:tbl>
    <w:p w14:paraId="43C87E2C">
      <w:pPr>
        <w:pStyle w:val="50"/>
        <w:wordWrap w:val="0"/>
        <w:ind w:firstLine="420" w:firstLineChars="200"/>
        <w:rPr>
          <w:rFonts w:hint="eastAsia" w:ascii="宋体" w:hAnsi="宋体" w:cs="宋体"/>
          <w:szCs w:val="21"/>
        </w:rPr>
      </w:pPr>
      <w:r>
        <w:rPr>
          <w:rFonts w:hint="eastAsia" w:ascii="宋体" w:hAnsi="宋体" w:cs="宋体"/>
          <w:szCs w:val="21"/>
          <w:highlight w:val="white"/>
        </w:rPr>
        <w:t>注：1.投标人必须将本单位关联企业如实填写入本表。</w:t>
      </w:r>
      <w:bookmarkEnd w:id="866"/>
      <w:bookmarkStart w:id="867" w:name="_Toc234382980"/>
      <w:bookmarkStart w:id="868" w:name="_Toc4236"/>
    </w:p>
    <w:p w14:paraId="5E5BE9B6">
      <w:pPr>
        <w:pStyle w:val="50"/>
        <w:wordWrap w:val="0"/>
        <w:ind w:firstLine="360" w:firstLineChars="200"/>
        <w:rPr>
          <w:rFonts w:hint="eastAsia" w:ascii="宋体" w:hAnsi="宋体" w:cs="宋体"/>
          <w:sz w:val="18"/>
          <w:szCs w:val="18"/>
        </w:rPr>
      </w:pPr>
      <w:r>
        <w:rPr>
          <w:rFonts w:hint="eastAsia" w:ascii="宋体" w:hAnsi="宋体" w:cs="宋体"/>
          <w:sz w:val="18"/>
          <w:szCs w:val="18"/>
          <w:highlight w:val="white"/>
        </w:rPr>
        <w:br w:type="page"/>
      </w:r>
    </w:p>
    <w:p w14:paraId="21576663">
      <w:pPr>
        <w:pStyle w:val="50"/>
        <w:ind w:firstLine="480" w:firstLineChars="200"/>
        <w:jc w:val="center"/>
        <w:rPr>
          <w:rFonts w:hint="eastAsia" w:ascii="宋体" w:hAnsi="宋体" w:cs="宋体"/>
          <w:bCs/>
          <w:kern w:val="44"/>
          <w:sz w:val="24"/>
        </w:rPr>
      </w:pPr>
      <w:r>
        <w:rPr>
          <w:rFonts w:hint="eastAsia" w:ascii="宋体" w:hAnsi="宋体" w:cs="宋体"/>
          <w:bCs/>
          <w:kern w:val="44"/>
          <w:sz w:val="24"/>
          <w:highlight w:val="white"/>
        </w:rPr>
        <w:t>（三）</w:t>
      </w:r>
      <w:bookmarkEnd w:id="867"/>
      <w:r>
        <w:rPr>
          <w:rFonts w:hint="eastAsia" w:ascii="宋体" w:hAnsi="宋体" w:cs="宋体"/>
          <w:bCs/>
          <w:kern w:val="44"/>
          <w:sz w:val="24"/>
          <w:highlight w:val="white"/>
        </w:rPr>
        <w:t>拟委任的项目经理和项目总工资历及业绩表</w:t>
      </w:r>
      <w:bookmarkEnd w:id="868"/>
    </w:p>
    <w:p w14:paraId="68ABCF05">
      <w:pPr>
        <w:pStyle w:val="50"/>
        <w:wordWrap w:val="0"/>
        <w:spacing w:line="400" w:lineRule="exact"/>
        <w:ind w:right="460" w:firstLine="3060" w:firstLineChars="1700"/>
        <w:rPr>
          <w:rFonts w:hint="eastAsia" w:ascii="宋体" w:hAnsi="宋体" w:cs="宋体"/>
          <w:szCs w:val="21"/>
        </w:rPr>
      </w:pPr>
      <w:r>
        <w:rPr>
          <w:rFonts w:hint="eastAsia" w:ascii="宋体" w:hAnsi="宋体" w:cs="宋体"/>
          <w:sz w:val="18"/>
          <w:szCs w:val="18"/>
          <w:highlight w:val="white"/>
        </w:rPr>
        <w:t xml:space="preserve">               </w:t>
      </w:r>
      <w:r>
        <w:rPr>
          <w:rFonts w:hint="eastAsia" w:ascii="宋体" w:hAnsi="宋体" w:cs="宋体"/>
          <w:szCs w:val="21"/>
          <w:highlight w:val="white"/>
        </w:rPr>
        <w:t xml:space="preserve">  序号：</w:t>
      </w:r>
      <w:r>
        <w:rPr>
          <w:rFonts w:hint="eastAsia" w:ascii="宋体" w:hAnsi="宋体" w:cs="宋体"/>
          <w:szCs w:val="21"/>
          <w:highlight w:val="white"/>
          <w:u w:val="single"/>
        </w:rPr>
        <w:t xml:space="preserve">       </w:t>
      </w:r>
    </w:p>
    <w:p w14:paraId="500814B0">
      <w:pPr>
        <w:pStyle w:val="50"/>
        <w:wordWrap w:val="0"/>
        <w:topLinePunct/>
        <w:spacing w:line="240" w:lineRule="exact"/>
        <w:jc w:val="center"/>
        <w:rPr>
          <w:rFonts w:hint="eastAsia" w:ascii="宋体" w:hAnsi="宋体" w:cs="宋体"/>
          <w:b/>
          <w:szCs w:val="21"/>
        </w:rPr>
      </w:pPr>
    </w:p>
    <w:p w14:paraId="6E6CF9D1">
      <w:pPr>
        <w:pStyle w:val="50"/>
        <w:wordWrap w:val="0"/>
        <w:topLinePunct/>
        <w:spacing w:line="240" w:lineRule="exact"/>
        <w:jc w:val="center"/>
        <w:rPr>
          <w:rFonts w:hint="eastAsia" w:ascii="宋体" w:hAnsi="宋体" w:cs="宋体"/>
          <w:b/>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5"/>
        <w:gridCol w:w="1149"/>
        <w:gridCol w:w="583"/>
        <w:gridCol w:w="928"/>
        <w:gridCol w:w="450"/>
        <w:gridCol w:w="698"/>
        <w:gridCol w:w="1425"/>
        <w:gridCol w:w="2549"/>
      </w:tblGrid>
      <w:tr w14:paraId="3C1CA1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8747" w:type="dxa"/>
            <w:gridSpan w:val="8"/>
            <w:tcBorders>
              <w:top w:val="single" w:color="auto" w:sz="12" w:space="0"/>
              <w:left w:val="single" w:color="auto" w:sz="12" w:space="0"/>
              <w:bottom w:val="single" w:color="auto" w:sz="6" w:space="0"/>
              <w:right w:val="single" w:color="auto" w:sz="12" w:space="0"/>
            </w:tcBorders>
            <w:noWrap w:val="0"/>
            <w:vAlign w:val="center"/>
          </w:tcPr>
          <w:p w14:paraId="5E04A478">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拟在本标段担任项目经理</w:t>
            </w:r>
          </w:p>
        </w:tc>
      </w:tr>
      <w:tr w14:paraId="4E3A53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965" w:type="dxa"/>
            <w:tcBorders>
              <w:top w:val="single" w:color="auto" w:sz="6" w:space="0"/>
              <w:left w:val="single" w:color="auto" w:sz="12" w:space="0"/>
              <w:bottom w:val="single" w:color="auto" w:sz="6" w:space="0"/>
              <w:right w:val="single" w:color="auto" w:sz="6" w:space="0"/>
            </w:tcBorders>
            <w:noWrap w:val="0"/>
            <w:vAlign w:val="center"/>
          </w:tcPr>
          <w:p w14:paraId="77A01646">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姓名</w:t>
            </w:r>
          </w:p>
        </w:tc>
        <w:tc>
          <w:tcPr>
            <w:tcW w:w="1732" w:type="dxa"/>
            <w:gridSpan w:val="2"/>
            <w:tcBorders>
              <w:top w:val="single" w:color="auto" w:sz="6" w:space="0"/>
              <w:left w:val="single" w:color="auto" w:sz="6" w:space="0"/>
              <w:bottom w:val="single" w:color="auto" w:sz="6" w:space="0"/>
              <w:right w:val="single" w:color="auto" w:sz="6" w:space="0"/>
            </w:tcBorders>
            <w:noWrap w:val="0"/>
            <w:vAlign w:val="center"/>
          </w:tcPr>
          <w:p w14:paraId="53A5047B">
            <w:pPr>
              <w:pStyle w:val="50"/>
              <w:wordWrap w:val="0"/>
              <w:topLinePunct/>
              <w:spacing w:line="260" w:lineRule="exact"/>
              <w:jc w:val="center"/>
              <w:rPr>
                <w:rFonts w:hint="eastAsia" w:ascii="宋体" w:hAnsi="宋体" w:cs="宋体"/>
                <w:szCs w:val="21"/>
              </w:rPr>
            </w:pPr>
          </w:p>
        </w:tc>
        <w:tc>
          <w:tcPr>
            <w:tcW w:w="928" w:type="dxa"/>
            <w:tcBorders>
              <w:top w:val="single" w:color="auto" w:sz="6" w:space="0"/>
              <w:left w:val="single" w:color="auto" w:sz="6" w:space="0"/>
              <w:bottom w:val="single" w:color="auto" w:sz="6" w:space="0"/>
              <w:right w:val="single" w:color="auto" w:sz="6" w:space="0"/>
            </w:tcBorders>
            <w:noWrap w:val="0"/>
            <w:vAlign w:val="center"/>
          </w:tcPr>
          <w:p w14:paraId="7818E124">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年龄</w:t>
            </w:r>
          </w:p>
        </w:tc>
        <w:tc>
          <w:tcPr>
            <w:tcW w:w="1148" w:type="dxa"/>
            <w:gridSpan w:val="2"/>
            <w:tcBorders>
              <w:top w:val="single" w:color="auto" w:sz="6" w:space="0"/>
              <w:left w:val="single" w:color="auto" w:sz="6" w:space="0"/>
              <w:bottom w:val="single" w:color="auto" w:sz="6" w:space="0"/>
              <w:right w:val="single" w:color="auto" w:sz="6" w:space="0"/>
            </w:tcBorders>
            <w:noWrap w:val="0"/>
            <w:vAlign w:val="center"/>
          </w:tcPr>
          <w:p w14:paraId="61E6A508">
            <w:pPr>
              <w:pStyle w:val="50"/>
              <w:wordWrap w:val="0"/>
              <w:topLinePunct/>
              <w:spacing w:line="260" w:lineRule="exact"/>
              <w:jc w:val="center"/>
              <w:rPr>
                <w:rFonts w:hint="eastAsia" w:ascii="宋体" w:hAnsi="宋体" w:cs="宋体"/>
                <w:szCs w:val="21"/>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FC6B992">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职称及证书编号</w:t>
            </w:r>
          </w:p>
        </w:tc>
        <w:tc>
          <w:tcPr>
            <w:tcW w:w="2549" w:type="dxa"/>
            <w:tcBorders>
              <w:top w:val="single" w:color="auto" w:sz="6" w:space="0"/>
              <w:left w:val="single" w:color="auto" w:sz="6" w:space="0"/>
              <w:bottom w:val="single" w:color="auto" w:sz="6" w:space="0"/>
              <w:right w:val="single" w:color="auto" w:sz="12" w:space="0"/>
            </w:tcBorders>
            <w:noWrap w:val="0"/>
            <w:vAlign w:val="center"/>
          </w:tcPr>
          <w:p w14:paraId="4B2EB55B">
            <w:pPr>
              <w:pStyle w:val="50"/>
              <w:wordWrap w:val="0"/>
              <w:topLinePunct/>
              <w:spacing w:line="260" w:lineRule="exact"/>
              <w:jc w:val="center"/>
              <w:rPr>
                <w:rFonts w:hint="eastAsia" w:ascii="宋体" w:hAnsi="宋体" w:cs="宋体"/>
                <w:szCs w:val="21"/>
              </w:rPr>
            </w:pPr>
          </w:p>
        </w:tc>
      </w:tr>
      <w:tr w14:paraId="6F92F5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2114" w:type="dxa"/>
            <w:gridSpan w:val="2"/>
            <w:tcBorders>
              <w:top w:val="single" w:color="auto" w:sz="6" w:space="0"/>
              <w:left w:val="single" w:color="auto" w:sz="12" w:space="0"/>
              <w:bottom w:val="single" w:color="auto" w:sz="6" w:space="0"/>
              <w:right w:val="single" w:color="auto" w:sz="6" w:space="0"/>
            </w:tcBorders>
            <w:noWrap w:val="0"/>
            <w:vAlign w:val="center"/>
          </w:tcPr>
          <w:p w14:paraId="426095FB">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建造师证书编号</w:t>
            </w:r>
          </w:p>
        </w:tc>
        <w:tc>
          <w:tcPr>
            <w:tcW w:w="1961" w:type="dxa"/>
            <w:gridSpan w:val="3"/>
            <w:tcBorders>
              <w:top w:val="single" w:color="auto" w:sz="6" w:space="0"/>
              <w:left w:val="single" w:color="auto" w:sz="6" w:space="0"/>
              <w:bottom w:val="single" w:color="auto" w:sz="6" w:space="0"/>
              <w:right w:val="single" w:color="auto" w:sz="6" w:space="0"/>
            </w:tcBorders>
            <w:noWrap w:val="0"/>
            <w:vAlign w:val="center"/>
          </w:tcPr>
          <w:p w14:paraId="64C668C2">
            <w:pPr>
              <w:pStyle w:val="50"/>
              <w:wordWrap w:val="0"/>
              <w:topLinePunct/>
              <w:spacing w:line="260" w:lineRule="exact"/>
              <w:jc w:val="center"/>
              <w:rPr>
                <w:rFonts w:hint="eastAsia" w:ascii="宋体" w:hAnsi="宋体" w:cs="宋体"/>
                <w:szCs w:val="21"/>
              </w:rPr>
            </w:pPr>
          </w:p>
        </w:tc>
        <w:tc>
          <w:tcPr>
            <w:tcW w:w="2123" w:type="dxa"/>
            <w:gridSpan w:val="2"/>
            <w:tcBorders>
              <w:top w:val="single" w:color="auto" w:sz="6" w:space="0"/>
              <w:left w:val="single" w:color="auto" w:sz="6" w:space="0"/>
              <w:bottom w:val="single" w:color="auto" w:sz="6" w:space="0"/>
              <w:right w:val="single" w:color="auto" w:sz="6" w:space="0"/>
            </w:tcBorders>
            <w:noWrap w:val="0"/>
            <w:vAlign w:val="center"/>
          </w:tcPr>
          <w:p w14:paraId="6D351F95">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安全生产考核合格证书编号</w:t>
            </w:r>
          </w:p>
        </w:tc>
        <w:tc>
          <w:tcPr>
            <w:tcW w:w="2549" w:type="dxa"/>
            <w:tcBorders>
              <w:top w:val="single" w:color="auto" w:sz="6" w:space="0"/>
              <w:left w:val="single" w:color="auto" w:sz="6" w:space="0"/>
              <w:bottom w:val="single" w:color="auto" w:sz="6" w:space="0"/>
              <w:right w:val="single" w:color="auto" w:sz="12" w:space="0"/>
            </w:tcBorders>
            <w:noWrap w:val="0"/>
            <w:vAlign w:val="center"/>
          </w:tcPr>
          <w:p w14:paraId="67121FD1">
            <w:pPr>
              <w:pStyle w:val="50"/>
              <w:wordWrap w:val="0"/>
              <w:topLinePunct/>
              <w:spacing w:line="260" w:lineRule="exact"/>
              <w:jc w:val="center"/>
              <w:rPr>
                <w:rFonts w:hint="eastAsia" w:ascii="宋体" w:hAnsi="宋体" w:cs="宋体"/>
                <w:szCs w:val="21"/>
              </w:rPr>
            </w:pPr>
          </w:p>
        </w:tc>
      </w:tr>
      <w:tr w14:paraId="37C568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2114" w:type="dxa"/>
            <w:gridSpan w:val="2"/>
            <w:tcBorders>
              <w:top w:val="single" w:color="auto" w:sz="6" w:space="0"/>
              <w:left w:val="single" w:color="auto" w:sz="12" w:space="0"/>
              <w:bottom w:val="single" w:color="auto" w:sz="6" w:space="0"/>
              <w:right w:val="single" w:color="auto" w:sz="6" w:space="0"/>
            </w:tcBorders>
            <w:noWrap w:val="0"/>
            <w:vAlign w:val="center"/>
          </w:tcPr>
          <w:p w14:paraId="730E0856">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说明在岗情况</w:t>
            </w:r>
          </w:p>
        </w:tc>
        <w:tc>
          <w:tcPr>
            <w:tcW w:w="6633" w:type="dxa"/>
            <w:gridSpan w:val="6"/>
            <w:tcBorders>
              <w:top w:val="single" w:color="auto" w:sz="6" w:space="0"/>
              <w:left w:val="single" w:color="auto" w:sz="6" w:space="0"/>
              <w:bottom w:val="single" w:color="auto" w:sz="6" w:space="0"/>
              <w:right w:val="single" w:color="auto" w:sz="12" w:space="0"/>
            </w:tcBorders>
            <w:noWrap w:val="0"/>
            <w:vAlign w:val="center"/>
          </w:tcPr>
          <w:p w14:paraId="267B2518">
            <w:pPr>
              <w:pStyle w:val="50"/>
              <w:wordWrap w:val="0"/>
              <w:topLinePunct/>
              <w:spacing w:line="260" w:lineRule="exact"/>
              <w:rPr>
                <w:rFonts w:hint="eastAsia" w:ascii="宋体" w:hAnsi="宋体" w:cs="宋体"/>
                <w:szCs w:val="21"/>
              </w:rPr>
            </w:pPr>
            <w:r>
              <w:rPr>
                <w:rFonts w:hint="eastAsia" w:ascii="宋体" w:hAnsi="宋体" w:cs="宋体"/>
                <w:szCs w:val="21"/>
                <w:highlight w:val="white"/>
              </w:rPr>
              <w:t>○目前未在其他项目上仟职，现从事工作为：</w:t>
            </w:r>
            <w:r>
              <w:rPr>
                <w:rFonts w:hint="eastAsia" w:ascii="宋体" w:hAnsi="宋体" w:cs="宋体"/>
                <w:szCs w:val="21"/>
                <w:highlight w:val="white"/>
                <w:u w:val="single"/>
              </w:rPr>
              <w:t xml:space="preserve">                </w:t>
            </w:r>
            <w:r>
              <w:rPr>
                <w:rFonts w:hint="eastAsia" w:ascii="宋体" w:hAnsi="宋体" w:cs="宋体"/>
                <w:szCs w:val="21"/>
                <w:highlight w:val="white"/>
              </w:rPr>
              <w:t xml:space="preserve">。 </w:t>
            </w:r>
          </w:p>
          <w:p w14:paraId="6AC1D39B">
            <w:pPr>
              <w:pStyle w:val="50"/>
              <w:wordWrap w:val="0"/>
              <w:topLinePunct/>
              <w:spacing w:line="260" w:lineRule="exact"/>
              <w:rPr>
                <w:rFonts w:hint="eastAsia" w:ascii="宋体" w:hAnsi="宋体" w:cs="宋体"/>
                <w:szCs w:val="21"/>
              </w:rPr>
            </w:pPr>
            <w:r>
              <w:rPr>
                <w:rFonts w:hint="eastAsia" w:ascii="宋体" w:hAnsi="宋体" w:cs="宋体"/>
                <w:szCs w:val="21"/>
                <w:highlight w:val="white"/>
              </w:rPr>
              <w:t>○目前虽在其他项目上任职，但本项目中标后能够从该项目撤离，目前任职项目：</w:t>
            </w:r>
            <w:r>
              <w:rPr>
                <w:rFonts w:hint="eastAsia" w:ascii="宋体" w:hAnsi="宋体" w:cs="宋体"/>
                <w:szCs w:val="21"/>
                <w:highlight w:val="white"/>
                <w:u w:val="single"/>
              </w:rPr>
              <w:t xml:space="preserve">             </w:t>
            </w:r>
            <w:r>
              <w:rPr>
                <w:rFonts w:hint="eastAsia" w:ascii="宋体" w:hAnsi="宋体" w:cs="宋体"/>
                <w:szCs w:val="21"/>
                <w:highlight w:val="white"/>
              </w:rPr>
              <w:t>，担任职位：</w:t>
            </w:r>
            <w:r>
              <w:rPr>
                <w:rFonts w:hint="eastAsia" w:ascii="宋体" w:hAnsi="宋体" w:cs="宋体"/>
                <w:szCs w:val="21"/>
                <w:highlight w:val="white"/>
                <w:u w:val="single"/>
              </w:rPr>
              <w:t xml:space="preserve">             </w:t>
            </w:r>
            <w:r>
              <w:rPr>
                <w:rFonts w:hint="eastAsia" w:ascii="宋体" w:hAnsi="宋体" w:cs="宋体"/>
                <w:szCs w:val="21"/>
                <w:highlight w:val="white"/>
              </w:rPr>
              <w:t>。</w:t>
            </w:r>
          </w:p>
        </w:tc>
      </w:tr>
      <w:tr w14:paraId="473649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2114" w:type="dxa"/>
            <w:gridSpan w:val="2"/>
            <w:tcBorders>
              <w:top w:val="single" w:color="auto" w:sz="6" w:space="0"/>
              <w:left w:val="single" w:color="auto" w:sz="12" w:space="0"/>
              <w:bottom w:val="single" w:color="auto" w:sz="6" w:space="0"/>
              <w:right w:val="single" w:color="000000" w:sz="4" w:space="0"/>
            </w:tcBorders>
            <w:noWrap w:val="0"/>
            <w:vAlign w:val="center"/>
          </w:tcPr>
          <w:p w14:paraId="234CD4C3">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业绩简要说明</w:t>
            </w:r>
          </w:p>
        </w:tc>
        <w:tc>
          <w:tcPr>
            <w:tcW w:w="6633" w:type="dxa"/>
            <w:gridSpan w:val="6"/>
            <w:tcBorders>
              <w:top w:val="single" w:color="auto" w:sz="6" w:space="0"/>
              <w:left w:val="single" w:color="000000" w:sz="4" w:space="0"/>
              <w:bottom w:val="single" w:color="auto" w:sz="6" w:space="0"/>
              <w:right w:val="single" w:color="auto" w:sz="12" w:space="0"/>
            </w:tcBorders>
            <w:noWrap w:val="0"/>
            <w:vAlign w:val="center"/>
          </w:tcPr>
          <w:p w14:paraId="10AF4B70">
            <w:pPr>
              <w:pStyle w:val="50"/>
              <w:wordWrap w:val="0"/>
              <w:topLinePunct/>
              <w:spacing w:line="260" w:lineRule="exact"/>
              <w:jc w:val="center"/>
              <w:rPr>
                <w:rFonts w:hint="eastAsia" w:ascii="宋体" w:hAnsi="宋体" w:cs="宋体"/>
                <w:szCs w:val="21"/>
              </w:rPr>
            </w:pPr>
          </w:p>
        </w:tc>
      </w:tr>
      <w:tr w14:paraId="798CCE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8747" w:type="dxa"/>
            <w:gridSpan w:val="8"/>
            <w:tcBorders>
              <w:top w:val="single" w:color="auto" w:sz="6" w:space="0"/>
              <w:left w:val="single" w:color="auto" w:sz="12" w:space="0"/>
              <w:bottom w:val="single" w:color="auto" w:sz="6" w:space="0"/>
              <w:right w:val="single" w:color="auto" w:sz="12" w:space="0"/>
            </w:tcBorders>
            <w:noWrap w:val="0"/>
            <w:vAlign w:val="center"/>
          </w:tcPr>
          <w:p w14:paraId="4EBA3A4F">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拟在本标段担任项目总工</w:t>
            </w:r>
          </w:p>
        </w:tc>
      </w:tr>
      <w:tr w14:paraId="137034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965" w:type="dxa"/>
            <w:tcBorders>
              <w:top w:val="single" w:color="auto" w:sz="6" w:space="0"/>
              <w:left w:val="single" w:color="auto" w:sz="12" w:space="0"/>
              <w:bottom w:val="single" w:color="auto" w:sz="6" w:space="0"/>
              <w:right w:val="single" w:color="auto" w:sz="6" w:space="0"/>
            </w:tcBorders>
            <w:noWrap w:val="0"/>
            <w:vAlign w:val="center"/>
          </w:tcPr>
          <w:p w14:paraId="7671DB62">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姓名</w:t>
            </w:r>
          </w:p>
        </w:tc>
        <w:tc>
          <w:tcPr>
            <w:tcW w:w="1732" w:type="dxa"/>
            <w:gridSpan w:val="2"/>
            <w:tcBorders>
              <w:top w:val="single" w:color="auto" w:sz="6" w:space="0"/>
              <w:left w:val="single" w:color="auto" w:sz="6" w:space="0"/>
              <w:bottom w:val="single" w:color="auto" w:sz="6" w:space="0"/>
              <w:right w:val="single" w:color="auto" w:sz="6" w:space="0"/>
            </w:tcBorders>
            <w:noWrap w:val="0"/>
            <w:vAlign w:val="center"/>
          </w:tcPr>
          <w:p w14:paraId="771E8C7D">
            <w:pPr>
              <w:pStyle w:val="50"/>
              <w:wordWrap w:val="0"/>
              <w:topLinePunct/>
              <w:spacing w:line="260" w:lineRule="exact"/>
              <w:jc w:val="center"/>
              <w:rPr>
                <w:rFonts w:hint="eastAsia" w:ascii="宋体" w:hAnsi="宋体" w:cs="宋体"/>
                <w:szCs w:val="21"/>
              </w:rPr>
            </w:pPr>
          </w:p>
        </w:tc>
        <w:tc>
          <w:tcPr>
            <w:tcW w:w="928" w:type="dxa"/>
            <w:tcBorders>
              <w:top w:val="single" w:color="auto" w:sz="6" w:space="0"/>
              <w:left w:val="single" w:color="auto" w:sz="6" w:space="0"/>
              <w:bottom w:val="single" w:color="auto" w:sz="6" w:space="0"/>
              <w:right w:val="single" w:color="auto" w:sz="6" w:space="0"/>
            </w:tcBorders>
            <w:noWrap w:val="0"/>
            <w:vAlign w:val="center"/>
          </w:tcPr>
          <w:p w14:paraId="634DD267">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年龄</w:t>
            </w:r>
          </w:p>
        </w:tc>
        <w:tc>
          <w:tcPr>
            <w:tcW w:w="1148" w:type="dxa"/>
            <w:gridSpan w:val="2"/>
            <w:tcBorders>
              <w:top w:val="single" w:color="auto" w:sz="6" w:space="0"/>
              <w:left w:val="single" w:color="auto" w:sz="6" w:space="0"/>
              <w:bottom w:val="single" w:color="auto" w:sz="6" w:space="0"/>
              <w:right w:val="single" w:color="auto" w:sz="6" w:space="0"/>
            </w:tcBorders>
            <w:noWrap w:val="0"/>
            <w:vAlign w:val="center"/>
          </w:tcPr>
          <w:p w14:paraId="2790102F">
            <w:pPr>
              <w:pStyle w:val="50"/>
              <w:wordWrap w:val="0"/>
              <w:topLinePunct/>
              <w:spacing w:line="260" w:lineRule="exact"/>
              <w:jc w:val="center"/>
              <w:rPr>
                <w:rFonts w:hint="eastAsia" w:ascii="宋体" w:hAnsi="宋体" w:cs="宋体"/>
                <w:szCs w:val="21"/>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CC23FB9">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职称及证书编号</w:t>
            </w:r>
          </w:p>
        </w:tc>
        <w:tc>
          <w:tcPr>
            <w:tcW w:w="2549" w:type="dxa"/>
            <w:tcBorders>
              <w:top w:val="single" w:color="auto" w:sz="6" w:space="0"/>
              <w:left w:val="single" w:color="auto" w:sz="6" w:space="0"/>
              <w:bottom w:val="single" w:color="auto" w:sz="6" w:space="0"/>
              <w:right w:val="single" w:color="auto" w:sz="12" w:space="0"/>
            </w:tcBorders>
            <w:noWrap w:val="0"/>
            <w:vAlign w:val="center"/>
          </w:tcPr>
          <w:p w14:paraId="704EFE55">
            <w:pPr>
              <w:pStyle w:val="50"/>
              <w:wordWrap w:val="0"/>
              <w:topLinePunct/>
              <w:spacing w:line="260" w:lineRule="exact"/>
              <w:jc w:val="center"/>
              <w:rPr>
                <w:rFonts w:hint="eastAsia" w:ascii="宋体" w:hAnsi="宋体" w:cs="宋体"/>
                <w:szCs w:val="21"/>
              </w:rPr>
            </w:pPr>
          </w:p>
        </w:tc>
      </w:tr>
      <w:tr w14:paraId="11DFE5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2697" w:type="dxa"/>
            <w:gridSpan w:val="3"/>
            <w:tcBorders>
              <w:top w:val="single" w:color="auto" w:sz="6" w:space="0"/>
              <w:left w:val="single" w:color="auto" w:sz="12" w:space="0"/>
              <w:bottom w:val="single" w:color="auto" w:sz="6" w:space="0"/>
              <w:right w:val="single" w:color="auto" w:sz="6" w:space="0"/>
            </w:tcBorders>
            <w:noWrap w:val="0"/>
            <w:vAlign w:val="center"/>
          </w:tcPr>
          <w:p w14:paraId="75EC7919">
            <w:pPr>
              <w:pStyle w:val="50"/>
              <w:wordWrap w:val="0"/>
              <w:topLinePunct/>
              <w:spacing w:line="260" w:lineRule="exact"/>
              <w:jc w:val="center"/>
              <w:rPr>
                <w:rFonts w:hint="eastAsia" w:ascii="宋体" w:hAnsi="宋体" w:cs="宋体"/>
                <w:szCs w:val="21"/>
                <w:highlight w:val="white"/>
              </w:rPr>
            </w:pPr>
            <w:r>
              <w:rPr>
                <w:rFonts w:hint="eastAsia" w:ascii="宋体" w:hAnsi="宋体" w:cs="宋体"/>
                <w:szCs w:val="21"/>
                <w:highlight w:val="white"/>
              </w:rPr>
              <w:t>安全生产考核合格</w:t>
            </w:r>
          </w:p>
          <w:p w14:paraId="456D7334">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证书编号</w:t>
            </w:r>
          </w:p>
        </w:tc>
        <w:tc>
          <w:tcPr>
            <w:tcW w:w="6050" w:type="dxa"/>
            <w:gridSpan w:val="5"/>
            <w:tcBorders>
              <w:top w:val="single" w:color="auto" w:sz="6" w:space="0"/>
              <w:left w:val="single" w:color="auto" w:sz="6" w:space="0"/>
              <w:bottom w:val="single" w:color="auto" w:sz="6" w:space="0"/>
              <w:right w:val="single" w:color="auto" w:sz="12" w:space="0"/>
            </w:tcBorders>
            <w:noWrap w:val="0"/>
            <w:vAlign w:val="center"/>
          </w:tcPr>
          <w:p w14:paraId="4CF1FB26">
            <w:pPr>
              <w:pStyle w:val="50"/>
              <w:wordWrap w:val="0"/>
              <w:topLinePunct/>
              <w:spacing w:line="260" w:lineRule="exact"/>
              <w:jc w:val="center"/>
              <w:rPr>
                <w:rFonts w:hint="eastAsia" w:ascii="宋体" w:hAnsi="宋体" w:cs="宋体"/>
                <w:szCs w:val="21"/>
              </w:rPr>
            </w:pPr>
          </w:p>
        </w:tc>
      </w:tr>
      <w:tr w14:paraId="21AC49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2114" w:type="dxa"/>
            <w:gridSpan w:val="2"/>
            <w:tcBorders>
              <w:top w:val="single" w:color="auto" w:sz="6" w:space="0"/>
              <w:left w:val="single" w:color="auto" w:sz="12" w:space="0"/>
              <w:bottom w:val="single" w:color="auto" w:sz="6" w:space="0"/>
              <w:right w:val="single" w:color="auto" w:sz="6" w:space="0"/>
            </w:tcBorders>
            <w:noWrap w:val="0"/>
            <w:vAlign w:val="center"/>
          </w:tcPr>
          <w:p w14:paraId="23FC6E13">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说明在岗情况</w:t>
            </w:r>
          </w:p>
        </w:tc>
        <w:tc>
          <w:tcPr>
            <w:tcW w:w="6633" w:type="dxa"/>
            <w:gridSpan w:val="6"/>
            <w:tcBorders>
              <w:top w:val="single" w:color="auto" w:sz="6" w:space="0"/>
              <w:left w:val="single" w:color="auto" w:sz="6" w:space="0"/>
              <w:bottom w:val="single" w:color="auto" w:sz="6" w:space="0"/>
              <w:right w:val="single" w:color="auto" w:sz="12" w:space="0"/>
            </w:tcBorders>
            <w:noWrap w:val="0"/>
            <w:vAlign w:val="center"/>
          </w:tcPr>
          <w:p w14:paraId="4E29B474">
            <w:pPr>
              <w:pStyle w:val="50"/>
              <w:wordWrap w:val="0"/>
              <w:topLinePunct/>
              <w:spacing w:line="260" w:lineRule="exact"/>
              <w:rPr>
                <w:rFonts w:hint="eastAsia" w:ascii="宋体" w:hAnsi="宋体" w:cs="宋体"/>
                <w:szCs w:val="21"/>
              </w:rPr>
            </w:pPr>
            <w:r>
              <w:rPr>
                <w:rFonts w:hint="eastAsia" w:ascii="宋体" w:hAnsi="宋体" w:cs="宋体"/>
                <w:szCs w:val="21"/>
                <w:highlight w:val="white"/>
              </w:rPr>
              <w:t>○目前未在其他项目上仟职，现从事工作为：</w:t>
            </w:r>
            <w:r>
              <w:rPr>
                <w:rFonts w:hint="eastAsia" w:ascii="宋体" w:hAnsi="宋体" w:cs="宋体"/>
                <w:szCs w:val="21"/>
                <w:highlight w:val="white"/>
                <w:u w:val="single"/>
              </w:rPr>
              <w:t xml:space="preserve">                </w:t>
            </w:r>
            <w:r>
              <w:rPr>
                <w:rFonts w:hint="eastAsia" w:ascii="宋体" w:hAnsi="宋体" w:cs="宋体"/>
                <w:szCs w:val="21"/>
                <w:highlight w:val="white"/>
              </w:rPr>
              <w:t xml:space="preserve">。 </w:t>
            </w:r>
          </w:p>
          <w:p w14:paraId="54838BEF">
            <w:pPr>
              <w:pStyle w:val="50"/>
              <w:wordWrap w:val="0"/>
              <w:topLinePunct/>
              <w:spacing w:line="260" w:lineRule="exact"/>
              <w:rPr>
                <w:rFonts w:hint="eastAsia" w:ascii="宋体" w:hAnsi="宋体" w:cs="宋体"/>
                <w:szCs w:val="21"/>
              </w:rPr>
            </w:pPr>
            <w:r>
              <w:rPr>
                <w:rFonts w:hint="eastAsia" w:ascii="宋体" w:hAnsi="宋体" w:cs="宋体"/>
                <w:szCs w:val="21"/>
                <w:highlight w:val="white"/>
              </w:rPr>
              <w:t>○目前虽在其他项目上任职，但本项目中标后能够从该项目撤离，目前任职项目：</w:t>
            </w:r>
            <w:r>
              <w:rPr>
                <w:rFonts w:hint="eastAsia" w:ascii="宋体" w:hAnsi="宋体" w:cs="宋体"/>
                <w:szCs w:val="21"/>
                <w:highlight w:val="white"/>
                <w:u w:val="single"/>
              </w:rPr>
              <w:t xml:space="preserve">             </w:t>
            </w:r>
            <w:r>
              <w:rPr>
                <w:rFonts w:hint="eastAsia" w:ascii="宋体" w:hAnsi="宋体" w:cs="宋体"/>
                <w:szCs w:val="21"/>
                <w:highlight w:val="white"/>
              </w:rPr>
              <w:t>，担任职位：</w:t>
            </w:r>
            <w:r>
              <w:rPr>
                <w:rFonts w:hint="eastAsia" w:ascii="宋体" w:hAnsi="宋体" w:cs="宋体"/>
                <w:szCs w:val="21"/>
                <w:highlight w:val="white"/>
                <w:u w:val="single"/>
              </w:rPr>
              <w:t xml:space="preserve">             </w:t>
            </w:r>
            <w:r>
              <w:rPr>
                <w:rFonts w:hint="eastAsia" w:ascii="宋体" w:hAnsi="宋体" w:cs="宋体"/>
                <w:szCs w:val="21"/>
                <w:highlight w:val="white"/>
              </w:rPr>
              <w:t>。</w:t>
            </w:r>
          </w:p>
        </w:tc>
      </w:tr>
      <w:tr w14:paraId="7D1C85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2114" w:type="dxa"/>
            <w:gridSpan w:val="2"/>
            <w:tcBorders>
              <w:top w:val="single" w:color="auto" w:sz="6" w:space="0"/>
              <w:left w:val="single" w:color="auto" w:sz="12" w:space="0"/>
              <w:bottom w:val="single" w:color="auto" w:sz="6" w:space="0"/>
              <w:right w:val="single" w:color="auto" w:sz="6" w:space="0"/>
            </w:tcBorders>
            <w:noWrap w:val="0"/>
            <w:vAlign w:val="center"/>
          </w:tcPr>
          <w:p w14:paraId="37DFFFFC">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业绩简要说明</w:t>
            </w:r>
          </w:p>
        </w:tc>
        <w:tc>
          <w:tcPr>
            <w:tcW w:w="6633" w:type="dxa"/>
            <w:gridSpan w:val="6"/>
            <w:tcBorders>
              <w:top w:val="single" w:color="auto" w:sz="6" w:space="0"/>
              <w:left w:val="single" w:color="auto" w:sz="6" w:space="0"/>
              <w:bottom w:val="single" w:color="auto" w:sz="6" w:space="0"/>
              <w:right w:val="single" w:color="auto" w:sz="12" w:space="0"/>
            </w:tcBorders>
            <w:noWrap w:val="0"/>
            <w:vAlign w:val="center"/>
          </w:tcPr>
          <w:p w14:paraId="42FB4D8F">
            <w:pPr>
              <w:pStyle w:val="50"/>
              <w:wordWrap w:val="0"/>
              <w:topLinePunct/>
              <w:spacing w:line="260" w:lineRule="exact"/>
              <w:jc w:val="center"/>
              <w:rPr>
                <w:rFonts w:hint="eastAsia" w:ascii="宋体" w:hAnsi="宋体" w:cs="宋体"/>
                <w:szCs w:val="21"/>
              </w:rPr>
            </w:pPr>
          </w:p>
        </w:tc>
      </w:tr>
      <w:tr w14:paraId="44E270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74" w:hRule="atLeast"/>
          <w:jc w:val="center"/>
        </w:trPr>
        <w:tc>
          <w:tcPr>
            <w:tcW w:w="965" w:type="dxa"/>
            <w:tcBorders>
              <w:top w:val="single" w:color="auto" w:sz="6" w:space="0"/>
              <w:left w:val="single" w:color="auto" w:sz="12" w:space="0"/>
              <w:bottom w:val="single" w:color="auto" w:sz="12" w:space="0"/>
              <w:right w:val="single" w:color="auto" w:sz="6" w:space="0"/>
            </w:tcBorders>
            <w:noWrap w:val="0"/>
            <w:vAlign w:val="center"/>
          </w:tcPr>
          <w:p w14:paraId="553AB971">
            <w:pPr>
              <w:pStyle w:val="50"/>
              <w:wordWrap w:val="0"/>
              <w:topLinePunct/>
              <w:spacing w:line="260" w:lineRule="exact"/>
              <w:jc w:val="center"/>
              <w:rPr>
                <w:rFonts w:hint="eastAsia" w:ascii="宋体" w:hAnsi="宋体" w:cs="宋体"/>
                <w:szCs w:val="21"/>
              </w:rPr>
            </w:pPr>
            <w:r>
              <w:rPr>
                <w:rFonts w:hint="eastAsia" w:ascii="宋体" w:hAnsi="宋体" w:cs="宋体"/>
                <w:szCs w:val="21"/>
                <w:highlight w:val="white"/>
              </w:rPr>
              <w:t>备注</w:t>
            </w:r>
          </w:p>
        </w:tc>
        <w:tc>
          <w:tcPr>
            <w:tcW w:w="7782" w:type="dxa"/>
            <w:gridSpan w:val="7"/>
            <w:tcBorders>
              <w:top w:val="single" w:color="auto" w:sz="6" w:space="0"/>
              <w:left w:val="single" w:color="auto" w:sz="6" w:space="0"/>
              <w:bottom w:val="single" w:color="auto" w:sz="12" w:space="0"/>
              <w:right w:val="single" w:color="auto" w:sz="12" w:space="0"/>
            </w:tcBorders>
            <w:noWrap w:val="0"/>
            <w:vAlign w:val="center"/>
          </w:tcPr>
          <w:p w14:paraId="1EEBB3B1">
            <w:pPr>
              <w:pStyle w:val="51"/>
              <w:wordWrap w:val="0"/>
              <w:spacing w:line="260" w:lineRule="exact"/>
              <w:rPr>
                <w:rFonts w:hint="eastAsia" w:ascii="宋体" w:hAnsi="宋体" w:eastAsia="宋体" w:cs="宋体"/>
                <w:color w:val="auto"/>
              </w:rPr>
            </w:pPr>
          </w:p>
        </w:tc>
      </w:tr>
    </w:tbl>
    <w:p w14:paraId="547B834C">
      <w:pPr>
        <w:pStyle w:val="50"/>
        <w:wordWrap w:val="0"/>
        <w:topLinePunct/>
        <w:spacing w:line="240" w:lineRule="exact"/>
        <w:jc w:val="center"/>
        <w:rPr>
          <w:rFonts w:hint="eastAsia" w:ascii="宋体" w:hAnsi="宋体" w:cs="宋体"/>
          <w:b/>
          <w:szCs w:val="21"/>
        </w:rPr>
      </w:pPr>
    </w:p>
    <w:p w14:paraId="3F76CE30">
      <w:pPr>
        <w:pStyle w:val="50"/>
        <w:wordWrap w:val="0"/>
        <w:autoSpaceDE w:val="0"/>
        <w:autoSpaceDN w:val="0"/>
        <w:adjustRightInd w:val="0"/>
        <w:ind w:left="735" w:leftChars="200" w:hanging="315" w:hangingChars="150"/>
        <w:rPr>
          <w:rFonts w:hint="eastAsia" w:ascii="宋体" w:hAnsi="宋体" w:cs="宋体"/>
          <w:szCs w:val="21"/>
        </w:rPr>
      </w:pPr>
      <w:r>
        <w:rPr>
          <w:rFonts w:hint="eastAsia" w:ascii="宋体" w:hAnsi="宋体" w:cs="宋体"/>
          <w:szCs w:val="21"/>
          <w:highlight w:val="white"/>
        </w:rPr>
        <w:t>注：1.本表后应附项目经理和项目总工的身份证、职称资格证书以及资格审查条件所要求其他相关证书（如建造师注册证书、安全生产考核合格证书、社保证明等）的复印件。</w:t>
      </w:r>
    </w:p>
    <w:p w14:paraId="219C2730">
      <w:pPr>
        <w:pStyle w:val="50"/>
        <w:wordWrap w:val="0"/>
        <w:autoSpaceDE w:val="0"/>
        <w:autoSpaceDN w:val="0"/>
        <w:adjustRightInd w:val="0"/>
        <w:ind w:left="672" w:leftChars="170" w:hanging="315" w:hangingChars="150"/>
        <w:rPr>
          <w:rFonts w:hint="eastAsia" w:ascii="宋体" w:hAnsi="宋体" w:cs="宋体"/>
          <w:szCs w:val="21"/>
        </w:rPr>
      </w:pPr>
      <w:r>
        <w:rPr>
          <w:rFonts w:hint="eastAsia" w:ascii="宋体" w:hAnsi="宋体" w:cs="宋体"/>
          <w:szCs w:val="21"/>
          <w:highlight w:val="white"/>
        </w:rPr>
        <w:t>2.项目经理或项目总工目前未在具体项目上任职的，请在备注栏说明现在负责的工作内容。如目前仍在其他项目上任职，则投标人应提供由该项目发包人出具的、承诺上述人员能够从该项目撤离的书面证明材料原件复印件。</w:t>
      </w:r>
    </w:p>
    <w:p w14:paraId="7C35E0A5">
      <w:pPr>
        <w:pStyle w:val="50"/>
        <w:wordWrap w:val="0"/>
        <w:jc w:val="center"/>
        <w:rPr>
          <w:rFonts w:hint="eastAsia" w:ascii="宋体" w:hAnsi="宋体" w:cs="宋体"/>
          <w:bCs/>
          <w:kern w:val="44"/>
          <w:sz w:val="24"/>
        </w:rPr>
      </w:pPr>
      <w:r>
        <w:rPr>
          <w:rFonts w:hint="eastAsia" w:ascii="宋体" w:hAnsi="宋体" w:cs="宋体"/>
          <w:sz w:val="18"/>
          <w:szCs w:val="18"/>
          <w:highlight w:val="white"/>
        </w:rPr>
        <w:br w:type="page"/>
      </w:r>
      <w:bookmarkStart w:id="869" w:name="_Toc234382982"/>
      <w:bookmarkStart w:id="870" w:name="_Toc234242181"/>
      <w:bookmarkStart w:id="871" w:name="_Toc16627"/>
      <w:r>
        <w:rPr>
          <w:rFonts w:hint="eastAsia" w:ascii="宋体" w:hAnsi="宋体" w:cs="宋体"/>
          <w:bCs/>
          <w:kern w:val="44"/>
          <w:sz w:val="24"/>
          <w:highlight w:val="white"/>
        </w:rPr>
        <w:t>（四）</w:t>
      </w:r>
      <w:bookmarkEnd w:id="869"/>
      <w:bookmarkEnd w:id="870"/>
      <w:bookmarkEnd w:id="871"/>
      <w:bookmarkStart w:id="872" w:name="_Toc10887"/>
      <w:r>
        <w:rPr>
          <w:rFonts w:hint="eastAsia" w:ascii="宋体" w:hAnsi="宋体" w:cs="宋体"/>
          <w:bCs/>
          <w:kern w:val="44"/>
          <w:sz w:val="24"/>
          <w:highlight w:val="white"/>
        </w:rPr>
        <w:t>投标人的信誉情况</w:t>
      </w:r>
      <w:bookmarkEnd w:id="872"/>
    </w:p>
    <w:p w14:paraId="0BAFB345">
      <w:pPr>
        <w:pStyle w:val="50"/>
        <w:wordWrap w:val="0"/>
        <w:rPr>
          <w:rFonts w:hint="eastAsia" w:ascii="宋体" w:hAnsi="宋体" w:cs="宋体"/>
          <w:sz w:val="24"/>
        </w:rPr>
      </w:pPr>
    </w:p>
    <w:p w14:paraId="693F4500">
      <w:pPr>
        <w:pStyle w:val="50"/>
        <w:wordWrap w:val="0"/>
        <w:rPr>
          <w:rFonts w:hint="eastAsia" w:ascii="宋体" w:hAnsi="宋体" w:cs="宋体"/>
          <w:sz w:val="24"/>
        </w:rPr>
      </w:pPr>
    </w:p>
    <w:p w14:paraId="417E6B46">
      <w:pPr>
        <w:pStyle w:val="50"/>
        <w:wordWrap w:val="0"/>
        <w:rPr>
          <w:rFonts w:hint="eastAsia" w:ascii="宋体" w:hAnsi="宋体" w:cs="宋体"/>
          <w:sz w:val="24"/>
        </w:rPr>
      </w:pPr>
    </w:p>
    <w:p w14:paraId="3B9339EC">
      <w:pPr>
        <w:pStyle w:val="50"/>
        <w:wordWrap w:val="0"/>
        <w:ind w:firstLine="480" w:firstLineChars="200"/>
        <w:jc w:val="left"/>
        <w:rPr>
          <w:rFonts w:hint="eastAsia" w:ascii="宋体" w:hAnsi="宋体" w:cs="宋体"/>
          <w:sz w:val="24"/>
        </w:rPr>
      </w:pPr>
      <w:r>
        <w:rPr>
          <w:rFonts w:hint="eastAsia" w:ascii="宋体" w:hAnsi="宋体" w:cs="宋体"/>
          <w:sz w:val="24"/>
          <w:highlight w:val="white"/>
        </w:rPr>
        <w:t>1.投标人应按照招标文件第二章“投标人须知”前附表附录4、“投标人须知”第1.4.4项规定的内容，逐条说明其信誉情况。</w:t>
      </w:r>
    </w:p>
    <w:p w14:paraId="637CAA18">
      <w:pPr>
        <w:pStyle w:val="50"/>
        <w:wordWrap w:val="0"/>
        <w:ind w:firstLine="480" w:firstLineChars="200"/>
        <w:jc w:val="left"/>
        <w:rPr>
          <w:rFonts w:hint="eastAsia" w:ascii="宋体" w:hAnsi="宋体" w:cs="宋体"/>
          <w:sz w:val="24"/>
        </w:rPr>
      </w:pPr>
      <w:r>
        <w:rPr>
          <w:rFonts w:hint="eastAsia" w:ascii="宋体" w:hAnsi="宋体" w:cs="宋体"/>
          <w:sz w:val="24"/>
          <w:highlight w:val="white"/>
        </w:rPr>
        <w:t>2.上传在“信用中国”网站中未被列入失信被执行人名单的网页截图。</w:t>
      </w:r>
    </w:p>
    <w:p w14:paraId="38BC1A99">
      <w:pPr>
        <w:pStyle w:val="50"/>
        <w:wordWrap w:val="0"/>
        <w:ind w:firstLine="480" w:firstLineChars="200"/>
        <w:jc w:val="left"/>
        <w:rPr>
          <w:rFonts w:hint="eastAsia" w:ascii="宋体" w:hAnsi="宋体" w:cs="宋体"/>
          <w:sz w:val="24"/>
        </w:rPr>
      </w:pPr>
      <w:r>
        <w:rPr>
          <w:rFonts w:hint="eastAsia" w:ascii="宋体" w:hAnsi="宋体" w:cs="宋体"/>
          <w:sz w:val="24"/>
          <w:highlight w:val="white"/>
        </w:rPr>
        <w:t>3.上传在“国家企业信用信息公示系统”网站中未被列入严重违法失信企业名单的网页截图。</w:t>
      </w:r>
    </w:p>
    <w:p w14:paraId="36836485">
      <w:pPr>
        <w:pStyle w:val="50"/>
        <w:wordWrap w:val="0"/>
        <w:ind w:firstLine="480" w:firstLineChars="200"/>
        <w:jc w:val="left"/>
        <w:rPr>
          <w:rFonts w:hint="eastAsia" w:ascii="宋体" w:hAnsi="宋体" w:cs="宋体"/>
          <w:sz w:val="24"/>
        </w:rPr>
      </w:pPr>
      <w:r>
        <w:rPr>
          <w:rFonts w:hint="eastAsia" w:ascii="宋体" w:hAnsi="宋体" w:cs="宋体"/>
          <w:sz w:val="24"/>
          <w:highlight w:val="white"/>
        </w:rPr>
        <w:t>4.上传在“无行贿犯罪记录承诺书”，承诺书格式自拟。</w:t>
      </w:r>
    </w:p>
    <w:p w14:paraId="7755665C">
      <w:pPr>
        <w:pStyle w:val="50"/>
        <w:wordWrap w:val="0"/>
        <w:ind w:firstLine="480" w:firstLineChars="200"/>
        <w:jc w:val="left"/>
        <w:rPr>
          <w:rFonts w:hint="eastAsia" w:ascii="宋体" w:hAnsi="宋体" w:cs="宋体"/>
          <w:sz w:val="24"/>
        </w:rPr>
      </w:pPr>
    </w:p>
    <w:p w14:paraId="3748C8A9">
      <w:pPr>
        <w:pStyle w:val="52"/>
        <w:jc w:val="center"/>
        <w:outlineLvl w:val="1"/>
        <w:rPr>
          <w:rFonts w:hint="eastAsia" w:cs="宋体"/>
        </w:rPr>
      </w:pPr>
      <w:r>
        <w:rPr>
          <w:rFonts w:hint="eastAsia" w:cs="宋体"/>
          <w:highlight w:val="white"/>
        </w:rPr>
        <w:br w:type="page"/>
      </w:r>
      <w:bookmarkStart w:id="873" w:name="_Toc40261859"/>
      <w:r>
        <w:rPr>
          <w:rFonts w:hint="eastAsia" w:cs="宋体"/>
          <w:highlight w:val="white"/>
          <w:lang w:val="en-US" w:eastAsia="zh-CN"/>
        </w:rPr>
        <w:t>五</w:t>
      </w:r>
      <w:r>
        <w:rPr>
          <w:rFonts w:hint="eastAsia" w:cs="宋体"/>
          <w:highlight w:val="white"/>
        </w:rPr>
        <w:t>、承诺函</w:t>
      </w:r>
      <w:bookmarkEnd w:id="873"/>
    </w:p>
    <w:p w14:paraId="39279DC4">
      <w:pPr>
        <w:pStyle w:val="53"/>
        <w:spacing w:before="240" w:after="240" w:line="480" w:lineRule="auto"/>
        <w:rPr>
          <w:rFonts w:hint="eastAsia" w:ascii="宋体" w:hAnsi="宋体" w:cs="宋体"/>
          <w:szCs w:val="21"/>
        </w:rPr>
      </w:pPr>
      <w:r>
        <w:rPr>
          <w:rFonts w:hint="eastAsia" w:ascii="宋体" w:hAnsi="宋体" w:cs="宋体"/>
          <w:szCs w:val="21"/>
          <w:highlight w:val="white"/>
          <w:u w:val="single"/>
        </w:rPr>
        <w:t xml:space="preserve">             </w:t>
      </w:r>
      <w:r>
        <w:rPr>
          <w:rFonts w:hint="eastAsia" w:ascii="宋体" w:hAnsi="宋体" w:cs="宋体"/>
          <w:szCs w:val="21"/>
          <w:highlight w:val="white"/>
        </w:rPr>
        <w:t>（招标人名称）：</w:t>
      </w:r>
    </w:p>
    <w:p w14:paraId="32D5866E">
      <w:pPr>
        <w:pStyle w:val="53"/>
        <w:spacing w:line="480" w:lineRule="auto"/>
        <w:ind w:firstLine="420" w:firstLineChars="200"/>
        <w:rPr>
          <w:rFonts w:hint="eastAsia" w:ascii="宋体" w:hAnsi="宋体" w:cs="宋体"/>
          <w:szCs w:val="21"/>
        </w:rPr>
      </w:pPr>
      <w:r>
        <w:rPr>
          <w:rFonts w:hint="eastAsia" w:ascii="宋体" w:hAnsi="宋体" w:cs="宋体"/>
          <w:szCs w:val="21"/>
          <w:highlight w:val="white"/>
        </w:rPr>
        <w:t>我方参加了</w:t>
      </w:r>
      <w:r>
        <w:rPr>
          <w:rFonts w:hint="eastAsia" w:ascii="宋体" w:hAnsi="宋体" w:cs="宋体"/>
          <w:szCs w:val="21"/>
          <w:highlight w:val="white"/>
          <w:u w:val="single"/>
        </w:rPr>
        <w:t xml:space="preserve">       </w:t>
      </w:r>
      <w:r>
        <w:rPr>
          <w:rFonts w:hint="eastAsia" w:ascii="宋体" w:hAnsi="宋体" w:cs="宋体"/>
          <w:szCs w:val="21"/>
          <w:highlight w:val="white"/>
        </w:rPr>
        <w:t>（项目名称）施工投标，我方在此承诺：</w:t>
      </w:r>
    </w:p>
    <w:p w14:paraId="21F51B6B">
      <w:pPr>
        <w:pStyle w:val="53"/>
        <w:spacing w:line="480" w:lineRule="auto"/>
        <w:ind w:firstLine="420" w:firstLineChars="200"/>
        <w:rPr>
          <w:rFonts w:hint="eastAsia" w:ascii="宋体" w:hAnsi="宋体" w:cs="宋体"/>
          <w:szCs w:val="21"/>
        </w:rPr>
      </w:pPr>
      <w:r>
        <w:rPr>
          <w:rFonts w:hint="eastAsia" w:ascii="宋体" w:hAnsi="宋体" w:cs="宋体"/>
          <w:szCs w:val="21"/>
          <w:highlight w:val="white"/>
        </w:rPr>
        <w:t>若我方中标，我方将按照投标人须知附录及合同附件提出的最低要求填报派驻本标段的其他主要管理人员和技术人员及主要机械设备和试验检测设备，在经招标人审批后作为派驻本标段的项目管理机构主要人员和主要设备且不进行更换。</w:t>
      </w:r>
    </w:p>
    <w:p w14:paraId="51A81446">
      <w:pPr>
        <w:pStyle w:val="53"/>
        <w:spacing w:line="480" w:lineRule="auto"/>
        <w:ind w:firstLine="420" w:firstLineChars="200"/>
        <w:rPr>
          <w:rFonts w:hint="eastAsia" w:ascii="宋体" w:hAnsi="宋体" w:cs="宋体"/>
          <w:szCs w:val="21"/>
        </w:rPr>
      </w:pPr>
      <w:r>
        <w:rPr>
          <w:rFonts w:hint="eastAsia" w:ascii="宋体" w:hAnsi="宋体" w:cs="宋体"/>
          <w:szCs w:val="21"/>
          <w:highlight w:val="white"/>
        </w:rPr>
        <w:t>我方也承诺，在合同实施期间，若有人员、机械设备、试验检测设备不能满足要求，随时应招标人的要求予以增加或更换，直至招标人满意为止。</w:t>
      </w:r>
    </w:p>
    <w:p w14:paraId="39B0A062">
      <w:pPr>
        <w:pStyle w:val="53"/>
        <w:spacing w:line="480" w:lineRule="auto"/>
        <w:ind w:firstLine="420" w:firstLineChars="200"/>
        <w:rPr>
          <w:rFonts w:hint="eastAsia" w:ascii="宋体" w:hAnsi="宋体" w:cs="宋体"/>
          <w:szCs w:val="21"/>
        </w:rPr>
      </w:pPr>
      <w:r>
        <w:rPr>
          <w:rFonts w:hint="eastAsia" w:ascii="宋体" w:hAnsi="宋体" w:cs="宋体"/>
          <w:szCs w:val="21"/>
          <w:highlight w:val="white"/>
        </w:rPr>
        <w:t>如我方违背了上述承诺，招标人有权取消我方的中标资格，并由招标人将我方的违约行为上报省级交通主管部门，作为不良记录纳入公路建设市场信息管理系统。</w:t>
      </w:r>
    </w:p>
    <w:p w14:paraId="3A62CCFD">
      <w:pPr>
        <w:pStyle w:val="53"/>
        <w:spacing w:line="480" w:lineRule="auto"/>
        <w:rPr>
          <w:rFonts w:hint="eastAsia" w:ascii="宋体" w:hAnsi="宋体" w:cs="宋体"/>
          <w:szCs w:val="21"/>
        </w:rPr>
      </w:pPr>
    </w:p>
    <w:p w14:paraId="488C4656">
      <w:pPr>
        <w:pStyle w:val="53"/>
        <w:wordWrap w:val="0"/>
        <w:spacing w:line="480" w:lineRule="auto"/>
        <w:jc w:val="right"/>
        <w:rPr>
          <w:rFonts w:hint="eastAsia" w:ascii="宋体" w:hAnsi="宋体" w:cs="宋体"/>
          <w:szCs w:val="21"/>
        </w:rPr>
      </w:pPr>
      <w:r>
        <w:rPr>
          <w:rFonts w:hint="eastAsia" w:ascii="宋体" w:hAnsi="宋体" w:cs="宋体"/>
          <w:kern w:val="0"/>
          <w:szCs w:val="21"/>
          <w:highlight w:val="white"/>
        </w:rPr>
        <w:t>投  标  人：</w:t>
      </w:r>
      <w:r>
        <w:rPr>
          <w:rFonts w:hint="eastAsia" w:ascii="宋体" w:hAnsi="宋体" w:cs="宋体"/>
          <w:szCs w:val="21"/>
          <w:highlight w:val="white"/>
          <w:u w:val="single"/>
        </w:rPr>
        <w:t xml:space="preserve">               </w:t>
      </w:r>
      <w:r>
        <w:rPr>
          <w:rFonts w:hint="eastAsia" w:ascii="宋体" w:hAnsi="宋体" w:cs="宋体"/>
          <w:szCs w:val="21"/>
          <w:highlight w:val="white"/>
        </w:rPr>
        <w:t>（盖单位章）</w:t>
      </w:r>
    </w:p>
    <w:p w14:paraId="41120789">
      <w:pPr>
        <w:pStyle w:val="53"/>
        <w:wordWrap w:val="0"/>
        <w:spacing w:line="480" w:lineRule="auto"/>
        <w:jc w:val="right"/>
        <w:rPr>
          <w:rFonts w:hint="eastAsia" w:ascii="宋体" w:hAnsi="宋体" w:cs="宋体"/>
          <w:szCs w:val="21"/>
        </w:rPr>
      </w:pPr>
      <w:r>
        <w:rPr>
          <w:rFonts w:hint="eastAsia" w:ascii="宋体" w:hAnsi="宋体" w:cs="宋体"/>
          <w:szCs w:val="21"/>
          <w:highlight w:val="white"/>
        </w:rPr>
        <w:t>法定代表人或其委托代理人：</w:t>
      </w:r>
      <w:r>
        <w:rPr>
          <w:rFonts w:hint="eastAsia" w:ascii="宋体" w:hAnsi="宋体" w:cs="宋体"/>
          <w:szCs w:val="21"/>
          <w:highlight w:val="white"/>
          <w:u w:val="single"/>
        </w:rPr>
        <w:t xml:space="preserve">     （签字或盖章）</w:t>
      </w:r>
    </w:p>
    <w:p w14:paraId="2C584BC2">
      <w:pPr>
        <w:pStyle w:val="53"/>
        <w:wordWrap w:val="0"/>
        <w:spacing w:line="480" w:lineRule="auto"/>
        <w:jc w:val="right"/>
        <w:rPr>
          <w:rFonts w:hint="eastAsia" w:ascii="宋体" w:hAnsi="宋体" w:cs="宋体"/>
          <w:szCs w:val="21"/>
        </w:rPr>
      </w:pPr>
      <w:r>
        <w:rPr>
          <w:rFonts w:hint="eastAsia" w:ascii="宋体" w:hAnsi="宋体" w:cs="宋体"/>
          <w:szCs w:val="21"/>
          <w:highlight w:val="white"/>
        </w:rPr>
        <w:t xml:space="preserve">      </w:t>
      </w:r>
      <w:r>
        <w:rPr>
          <w:rFonts w:hint="eastAsia" w:ascii="宋体" w:hAnsi="宋体" w:cs="宋体"/>
          <w:szCs w:val="21"/>
          <w:highlight w:val="white"/>
          <w:u w:val="single"/>
        </w:rPr>
        <w:t xml:space="preserve">     </w:t>
      </w:r>
      <w:bookmarkStart w:id="874" w:name="_Toc23398"/>
      <w:bookmarkStart w:id="875" w:name="_Toc7246"/>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bookmarkEnd w:id="874"/>
      <w:bookmarkEnd w:id="875"/>
    </w:p>
    <w:p w14:paraId="5ADF3582">
      <w:pPr>
        <w:pStyle w:val="54"/>
        <w:jc w:val="center"/>
        <w:outlineLvl w:val="1"/>
        <w:rPr>
          <w:rFonts w:hint="eastAsia" w:cs="宋体"/>
        </w:rPr>
      </w:pPr>
      <w:r>
        <w:rPr>
          <w:rFonts w:hint="eastAsia" w:cs="宋体"/>
          <w:highlight w:val="white"/>
        </w:rPr>
        <w:br w:type="page"/>
      </w:r>
      <w:bookmarkStart w:id="876" w:name="_Toc40261860"/>
      <w:r>
        <w:rPr>
          <w:rFonts w:hint="eastAsia" w:cs="宋体"/>
          <w:highlight w:val="white"/>
          <w:lang w:val="en-US" w:eastAsia="zh-CN"/>
        </w:rPr>
        <w:t>六</w:t>
      </w:r>
      <w:r>
        <w:rPr>
          <w:rFonts w:hint="eastAsia" w:cs="宋体"/>
          <w:highlight w:val="white"/>
        </w:rPr>
        <w:t>、</w:t>
      </w:r>
      <w:bookmarkEnd w:id="876"/>
      <w:bookmarkStart w:id="877" w:name="_Toc40261861"/>
      <w:r>
        <w:rPr>
          <w:rFonts w:hint="eastAsia" w:cs="宋体"/>
          <w:highlight w:val="white"/>
        </w:rPr>
        <w:t>第一信封所需其他材料</w:t>
      </w:r>
      <w:bookmarkEnd w:id="877"/>
    </w:p>
    <w:p w14:paraId="238506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D216">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14:paraId="1FAF8CD0">
    <w:pPr>
      <w:pStyle w:val="9"/>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73A6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473A6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7C26">
    <w:pPr>
      <w:pStyle w:val="9"/>
      <w:framePr w:wrap="around" w:vAnchor="text" w:hAnchor="margin" w:xAlign="center" w:y="1"/>
      <w:rPr>
        <w:rStyle w:val="17"/>
      </w:rPr>
    </w:pPr>
    <w:r>
      <w:fldChar w:fldCharType="begin"/>
    </w:r>
    <w:r>
      <w:rPr>
        <w:rStyle w:val="17"/>
      </w:rPr>
      <w:instrText xml:space="preserve">PAGE  </w:instrText>
    </w:r>
    <w:r>
      <w:fldChar w:fldCharType="end"/>
    </w:r>
  </w:p>
  <w:p w14:paraId="058304C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BEE5E">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F76A">
    <w:pPr>
      <w:pStyle w:val="9"/>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54279">
                          <w:pPr>
                            <w:pStyle w:val="9"/>
                            <w:jc w:val="center"/>
                          </w:pPr>
                          <w:r>
                            <w:fldChar w:fldCharType="begin"/>
                          </w:r>
                          <w:r>
                            <w:rPr>
                              <w:highlight w:val="white"/>
                            </w:rPr>
                            <w:instrText xml:space="preserve">PAGE   \* MERGEFORMAT</w:instrText>
                          </w:r>
                          <w:r>
                            <w:fldChar w:fldCharType="separate"/>
                          </w:r>
                          <w:r>
                            <w:rPr>
                              <w:highlight w:val="white"/>
                              <w:lang w:val="zh-CN"/>
                            </w:rP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BE54279">
                    <w:pPr>
                      <w:pStyle w:val="9"/>
                      <w:jc w:val="center"/>
                    </w:pPr>
                    <w:r>
                      <w:fldChar w:fldCharType="begin"/>
                    </w:r>
                    <w:r>
                      <w:rPr>
                        <w:highlight w:val="white"/>
                      </w:rPr>
                      <w:instrText xml:space="preserve">PAGE   \* MERGEFORMAT</w:instrText>
                    </w:r>
                    <w:r>
                      <w:fldChar w:fldCharType="separate"/>
                    </w:r>
                    <w:r>
                      <w:rPr>
                        <w:highlight w:val="white"/>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A1DD">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9952">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240B38">
                          <w:pPr>
                            <w:pStyle w:val="9"/>
                            <w:jc w:val="center"/>
                          </w:pPr>
                          <w:r>
                            <w:fldChar w:fldCharType="begin"/>
                          </w:r>
                          <w:r>
                            <w:rPr>
                              <w:highlight w:val="white"/>
                            </w:rPr>
                            <w:instrText xml:space="preserve">PAGE   \* MERGEFORMAT</w:instrText>
                          </w:r>
                          <w:r>
                            <w:fldChar w:fldCharType="separate"/>
                          </w:r>
                          <w:r>
                            <w:rPr>
                              <w:highlight w:val="white"/>
                              <w:lang w:val="zh-CN"/>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F240B38">
                    <w:pPr>
                      <w:pStyle w:val="9"/>
                      <w:jc w:val="center"/>
                    </w:pPr>
                    <w:r>
                      <w:fldChar w:fldCharType="begin"/>
                    </w:r>
                    <w:r>
                      <w:rPr>
                        <w:highlight w:val="white"/>
                      </w:rPr>
                      <w:instrText xml:space="preserve">PAGE   \* MERGEFORMAT</w:instrText>
                    </w:r>
                    <w:r>
                      <w:fldChar w:fldCharType="separate"/>
                    </w:r>
                    <w:r>
                      <w:rPr>
                        <w:highlight w:val="white"/>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ACDE">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CA310"/>
    <w:multiLevelType w:val="singleLevel"/>
    <w:tmpl w:val="8F4CA310"/>
    <w:lvl w:ilvl="0" w:tentative="0">
      <w:start w:val="1"/>
      <w:numFmt w:val="chineseCounting"/>
      <w:suff w:val="space"/>
      <w:lvlText w:val="第%1章"/>
      <w:lvlJc w:val="left"/>
      <w:rPr>
        <w:rFonts w:hint="eastAsia"/>
        <w:sz w:val="32"/>
        <w:szCs w:val="32"/>
      </w:rPr>
    </w:lvl>
  </w:abstractNum>
  <w:abstractNum w:abstractNumId="1">
    <w:nsid w:val="914F2C12"/>
    <w:multiLevelType w:val="singleLevel"/>
    <w:tmpl w:val="914F2C12"/>
    <w:lvl w:ilvl="0" w:tentative="0">
      <w:start w:val="6"/>
      <w:numFmt w:val="chineseCounting"/>
      <w:suff w:val="space"/>
      <w:lvlText w:val="第%1章"/>
      <w:lvlJc w:val="left"/>
      <w:rPr>
        <w:rFonts w:hint="eastAsia"/>
      </w:rPr>
    </w:lvl>
  </w:abstractNum>
  <w:abstractNum w:abstractNumId="2">
    <w:nsid w:val="1197767B"/>
    <w:multiLevelType w:val="singleLevel"/>
    <w:tmpl w:val="1197767B"/>
    <w:lvl w:ilvl="0" w:tentative="0">
      <w:start w:val="1"/>
      <w:numFmt w:val="decimal"/>
      <w:lvlText w:val="%1."/>
      <w:lvlJc w:val="left"/>
      <w:pPr>
        <w:tabs>
          <w:tab w:val="left" w:pos="312"/>
        </w:tabs>
      </w:pPr>
    </w:lvl>
  </w:abstractNum>
  <w:abstractNum w:abstractNumId="3">
    <w:nsid w:val="1525F0C1"/>
    <w:multiLevelType w:val="singleLevel"/>
    <w:tmpl w:val="1525F0C1"/>
    <w:lvl w:ilvl="0" w:tentative="0">
      <w:start w:val="1"/>
      <w:numFmt w:val="decimal"/>
      <w:suff w:val="nothing"/>
      <w:lvlText w:val="%1、"/>
      <w:lvlJc w:val="left"/>
    </w:lvl>
  </w:abstractNum>
  <w:abstractNum w:abstractNumId="4">
    <w:nsid w:val="6E6A794F"/>
    <w:multiLevelType w:val="singleLevel"/>
    <w:tmpl w:val="6E6A794F"/>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73920"/>
    <w:rsid w:val="00B8082F"/>
    <w:rsid w:val="05A47024"/>
    <w:rsid w:val="098A5011"/>
    <w:rsid w:val="0C0E4802"/>
    <w:rsid w:val="0CD36B2A"/>
    <w:rsid w:val="0D377E0D"/>
    <w:rsid w:val="0DBE4CA5"/>
    <w:rsid w:val="0DD44758"/>
    <w:rsid w:val="0FE752CC"/>
    <w:rsid w:val="13854144"/>
    <w:rsid w:val="15D57CA7"/>
    <w:rsid w:val="160F76C1"/>
    <w:rsid w:val="16C94B20"/>
    <w:rsid w:val="190F18FA"/>
    <w:rsid w:val="1A240213"/>
    <w:rsid w:val="1B9B4505"/>
    <w:rsid w:val="1C4D20AD"/>
    <w:rsid w:val="1D0D31E0"/>
    <w:rsid w:val="1FA66F8E"/>
    <w:rsid w:val="209B7A04"/>
    <w:rsid w:val="22573920"/>
    <w:rsid w:val="22B203F6"/>
    <w:rsid w:val="233174FD"/>
    <w:rsid w:val="28CD3858"/>
    <w:rsid w:val="2BBE6D04"/>
    <w:rsid w:val="2C5D44D0"/>
    <w:rsid w:val="36826596"/>
    <w:rsid w:val="39930ABA"/>
    <w:rsid w:val="39BE5B37"/>
    <w:rsid w:val="3CE41DAC"/>
    <w:rsid w:val="3E882E97"/>
    <w:rsid w:val="3FAE55EA"/>
    <w:rsid w:val="40C66801"/>
    <w:rsid w:val="46B506E4"/>
    <w:rsid w:val="46CE4EDF"/>
    <w:rsid w:val="47E50732"/>
    <w:rsid w:val="482C3DB5"/>
    <w:rsid w:val="49757CA4"/>
    <w:rsid w:val="4F304989"/>
    <w:rsid w:val="5144620A"/>
    <w:rsid w:val="55564A1D"/>
    <w:rsid w:val="578908A0"/>
    <w:rsid w:val="57CA51C0"/>
    <w:rsid w:val="57D44734"/>
    <w:rsid w:val="582E58F6"/>
    <w:rsid w:val="58BE5CB3"/>
    <w:rsid w:val="593257A1"/>
    <w:rsid w:val="5C402FE7"/>
    <w:rsid w:val="5C6C2D78"/>
    <w:rsid w:val="603E42E0"/>
    <w:rsid w:val="623E6C09"/>
    <w:rsid w:val="63DB258A"/>
    <w:rsid w:val="65DB01B6"/>
    <w:rsid w:val="695232F6"/>
    <w:rsid w:val="6A4A18DA"/>
    <w:rsid w:val="6CE14227"/>
    <w:rsid w:val="6D947AC3"/>
    <w:rsid w:val="6F18711B"/>
    <w:rsid w:val="740B45F1"/>
    <w:rsid w:val="74DE5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3">
    <w:name w:val="heading 3"/>
    <w:basedOn w:val="1"/>
    <w:next w:val="1"/>
    <w:qFormat/>
    <w:uiPriority w:val="0"/>
    <w:pPr>
      <w:keepNext/>
      <w:keepLines/>
      <w:spacing w:before="260" w:after="260" w:line="415" w:lineRule="auto"/>
      <w:outlineLvl w:val="2"/>
    </w:pPr>
    <w:rPr>
      <w:b/>
      <w:bCs/>
      <w:kern w:val="0"/>
      <w:sz w:val="32"/>
      <w:szCs w:val="32"/>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3"/>
    <w:basedOn w:val="1"/>
    <w:qFormat/>
    <w:uiPriority w:val="99"/>
    <w:rPr>
      <w:rFonts w:ascii="宋体"/>
      <w:kern w:val="0"/>
      <w:sz w:val="24"/>
      <w:szCs w:val="20"/>
    </w:rPr>
  </w:style>
  <w:style w:type="paragraph" w:styleId="8">
    <w:name w:val="toc 3"/>
    <w:basedOn w:val="1"/>
    <w:next w:val="1"/>
    <w:qFormat/>
    <w:uiPriority w:val="39"/>
    <w:pPr>
      <w:ind w:left="210"/>
      <w:jc w:val="left"/>
    </w:pPr>
    <w:rPr>
      <w:sz w:val="20"/>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toc 1"/>
    <w:basedOn w:val="1"/>
    <w:next w:val="1"/>
    <w:qFormat/>
    <w:uiPriority w:val="39"/>
    <w:pPr>
      <w:spacing w:before="360"/>
      <w:jc w:val="left"/>
    </w:pPr>
    <w:rPr>
      <w:rFonts w:ascii="Arial" w:hAnsi="Arial" w:cs="Arial"/>
      <w:b/>
      <w:bCs/>
      <w:caps/>
      <w:sz w:val="24"/>
    </w:rPr>
  </w:style>
  <w:style w:type="paragraph" w:styleId="11">
    <w:name w:val="toc 4"/>
    <w:basedOn w:val="1"/>
    <w:next w:val="1"/>
    <w:qFormat/>
    <w:uiPriority w:val="39"/>
    <w:pPr>
      <w:ind w:left="420"/>
      <w:jc w:val="left"/>
    </w:pPr>
    <w:rPr>
      <w:sz w:val="20"/>
      <w:szCs w:val="20"/>
    </w:rPr>
  </w:style>
  <w:style w:type="paragraph" w:styleId="12">
    <w:name w:val="toc 2"/>
    <w:basedOn w:val="1"/>
    <w:next w:val="1"/>
    <w:qFormat/>
    <w:uiPriority w:val="39"/>
    <w:pPr>
      <w:spacing w:before="240"/>
      <w:jc w:val="left"/>
    </w:pPr>
    <w:rPr>
      <w:b/>
      <w:bCs/>
      <w:sz w:val="20"/>
      <w:szCs w:val="20"/>
    </w:rPr>
  </w:style>
  <w:style w:type="paragraph" w:styleId="13">
    <w:name w:val="Normal (Web)"/>
    <w:basedOn w:val="1"/>
    <w:qFormat/>
    <w:uiPriority w:val="99"/>
    <w:pPr>
      <w:widowControl/>
      <w:spacing w:line="360" w:lineRule="auto"/>
      <w:jc w:val="left"/>
    </w:pPr>
    <w:rPr>
      <w:rFonts w:ascii="宋体" w:hAnsi="宋体"/>
      <w:kern w:val="0"/>
      <w:sz w:val="24"/>
    </w:rPr>
  </w:style>
  <w:style w:type="paragraph" w:styleId="14">
    <w:name w:val="index 1"/>
    <w:basedOn w:val="1"/>
    <w:next w:val="1"/>
    <w:qFormat/>
    <w:uiPriority w:val="99"/>
    <w:pPr>
      <w:jc w:val="center"/>
    </w:pPr>
    <w:rPr>
      <w:rFonts w:ascii="华文宋体" w:hAnsi="华文宋体" w:eastAsia="华文宋体"/>
      <w:color w:val="000000"/>
      <w:szCs w:val="21"/>
    </w:rPr>
  </w:style>
  <w:style w:type="character" w:styleId="17">
    <w:name w:val="page number"/>
    <w:qFormat/>
    <w:uiPriority w:val="0"/>
  </w:style>
  <w:style w:type="character" w:styleId="18">
    <w:name w:val="FollowedHyperlink"/>
    <w:basedOn w:val="16"/>
    <w:qFormat/>
    <w:uiPriority w:val="0"/>
    <w:rPr>
      <w:color w:val="800080"/>
      <w:u w:val="none"/>
    </w:rPr>
  </w:style>
  <w:style w:type="character" w:styleId="19">
    <w:name w:val="HTML Definition"/>
    <w:basedOn w:val="16"/>
    <w:qFormat/>
    <w:uiPriority w:val="0"/>
  </w:style>
  <w:style w:type="character" w:styleId="20">
    <w:name w:val="HTML Typewriter"/>
    <w:basedOn w:val="16"/>
    <w:qFormat/>
    <w:uiPriority w:val="0"/>
    <w:rPr>
      <w:rFonts w:hint="default" w:ascii="monospace" w:hAnsi="monospace" w:eastAsia="monospace" w:cs="monospace"/>
      <w:sz w:val="20"/>
    </w:rPr>
  </w:style>
  <w:style w:type="character" w:styleId="21">
    <w:name w:val="HTML Acronym"/>
    <w:basedOn w:val="16"/>
    <w:qFormat/>
    <w:uiPriority w:val="0"/>
  </w:style>
  <w:style w:type="character" w:styleId="22">
    <w:name w:val="HTML Variable"/>
    <w:basedOn w:val="16"/>
    <w:qFormat/>
    <w:uiPriority w:val="0"/>
  </w:style>
  <w:style w:type="character" w:styleId="23">
    <w:name w:val="Hyperlink"/>
    <w:qFormat/>
    <w:uiPriority w:val="99"/>
    <w:rPr>
      <w:color w:val="0000FF"/>
      <w:u w:val="none"/>
    </w:rPr>
  </w:style>
  <w:style w:type="character" w:styleId="24">
    <w:name w:val="HTML Code"/>
    <w:basedOn w:val="16"/>
    <w:qFormat/>
    <w:uiPriority w:val="0"/>
    <w:rPr>
      <w:rFonts w:hint="default" w:ascii="monospace" w:hAnsi="monospace" w:eastAsia="monospace" w:cs="monospace"/>
      <w:sz w:val="20"/>
    </w:rPr>
  </w:style>
  <w:style w:type="character" w:styleId="25">
    <w:name w:val="HTML Cite"/>
    <w:basedOn w:val="16"/>
    <w:qFormat/>
    <w:uiPriority w:val="0"/>
  </w:style>
  <w:style w:type="character" w:styleId="26">
    <w:name w:val="HTML Keyboard"/>
    <w:basedOn w:val="16"/>
    <w:qFormat/>
    <w:uiPriority w:val="0"/>
    <w:rPr>
      <w:rFonts w:hint="default" w:ascii="monospace" w:hAnsi="monospace" w:eastAsia="monospace" w:cs="monospace"/>
      <w:sz w:val="20"/>
    </w:rPr>
  </w:style>
  <w:style w:type="character" w:styleId="27">
    <w:name w:val="HTML Sample"/>
    <w:basedOn w:val="16"/>
    <w:qFormat/>
    <w:uiPriority w:val="0"/>
    <w:rPr>
      <w:rFonts w:ascii="monospace" w:hAnsi="monospace" w:eastAsia="monospace" w:cs="monospace"/>
    </w:rPr>
  </w:style>
  <w:style w:type="paragraph" w:customStyle="1" w:styleId="28">
    <w:name w:val="正文（缩进）"/>
    <w:semiHidden/>
    <w:qFormat/>
    <w:uiPriority w:val="99"/>
    <w:pPr>
      <w:widowControl w:val="0"/>
      <w:ind w:firstLine="480" w:firstLineChars="200"/>
      <w:jc w:val="both"/>
    </w:pPr>
    <w:rPr>
      <w:rFonts w:ascii="Calibri" w:hAnsi="Calibri" w:eastAsia="宋体" w:cs="Times New Roman"/>
      <w:kern w:val="2"/>
      <w:sz w:val="21"/>
      <w:szCs w:val="22"/>
      <w:lang w:val="en-US" w:eastAsia="zh-CN" w:bidi="ar-SA"/>
    </w:rPr>
  </w:style>
  <w:style w:type="paragraph" w:customStyle="1" w:styleId="29">
    <w:name w:val="1"/>
    <w:basedOn w:val="1"/>
    <w:next w:val="30"/>
    <w:qFormat/>
    <w:uiPriority w:val="99"/>
  </w:style>
  <w:style w:type="paragraph" w:customStyle="1" w:styleId="30">
    <w:name w:val="超级链接"/>
    <w:basedOn w:val="1"/>
    <w:qFormat/>
    <w:uiPriority w:val="99"/>
  </w:style>
  <w:style w:type="paragraph" w:customStyle="1" w:styleId="31">
    <w:name w:val="样式 悬挂缩进: 2.07 字符 行距: 固定值 20 磅"/>
    <w:basedOn w:val="1"/>
    <w:qFormat/>
    <w:uiPriority w:val="99"/>
    <w:pPr>
      <w:spacing w:line="400" w:lineRule="exact"/>
    </w:pPr>
    <w:rPr>
      <w:rFonts w:ascii="宋体" w:hAnsi="宋体"/>
      <w:color w:val="FF0000"/>
      <w:sz w:val="24"/>
    </w:rPr>
  </w:style>
  <w:style w:type="character" w:customStyle="1" w:styleId="32">
    <w:name w:val="fontstyle21"/>
    <w:qFormat/>
    <w:uiPriority w:val="0"/>
    <w:rPr>
      <w:rFonts w:hint="eastAsia" w:ascii="宋体" w:hAnsi="宋体" w:eastAsia="宋体"/>
      <w:color w:val="000000"/>
      <w:sz w:val="24"/>
      <w:szCs w:val="24"/>
    </w:rPr>
  </w:style>
  <w:style w:type="character" w:customStyle="1" w:styleId="33">
    <w:name w:val="fontstyle01"/>
    <w:qFormat/>
    <w:uiPriority w:val="0"/>
    <w:rPr>
      <w:rFonts w:hint="default" w:ascii="Times New Roman" w:hAnsi="Times New Roman" w:cs="Times New Roman"/>
      <w:color w:val="000000"/>
      <w:sz w:val="24"/>
      <w:szCs w:val="24"/>
    </w:rPr>
  </w:style>
  <w:style w:type="paragraph" w:customStyle="1" w:styleId="34">
    <w:name w:val="标题二"/>
    <w:basedOn w:val="2"/>
    <w:qFormat/>
    <w:uiPriority w:val="99"/>
    <w:pPr>
      <w:keepLines w:val="0"/>
      <w:spacing w:before="0" w:after="0" w:line="360" w:lineRule="auto"/>
      <w:jc w:val="center"/>
    </w:pPr>
    <w:rPr>
      <w:rFonts w:ascii="Cambria" w:hAnsi="Cambria" w:eastAsia="宋体"/>
      <w:b w:val="0"/>
      <w:sz w:val="44"/>
      <w:szCs w:val="24"/>
    </w:rPr>
  </w:style>
  <w:style w:type="paragraph" w:customStyle="1" w:styleId="35">
    <w:name w:val="正文_0"/>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Normal_0_0"/>
    <w:basedOn w:val="38"/>
    <w:qFormat/>
    <w:uiPriority w:val="0"/>
    <w:pPr>
      <w:jc w:val="left"/>
    </w:pPr>
    <w:rPr>
      <w:rFonts w:ascii="宋体" w:hAnsi="宋体" w:eastAsia="Times New Roman" w:cs="宋体"/>
      <w:kern w:val="0"/>
      <w:sz w:val="32"/>
      <w:szCs w:val="32"/>
    </w:rPr>
  </w:style>
  <w:style w:type="paragraph" w:customStyle="1" w:styleId="38">
    <w:name w:val="正文1"/>
    <w:basedOn w:val="39"/>
    <w:qFormat/>
    <w:uiPriority w:val="0"/>
    <w:pPr>
      <w:jc w:val="both"/>
    </w:pPr>
    <w:rPr>
      <w:szCs w:val="21"/>
      <w:lang w:val="en-US" w:eastAsia="zh-CN" w:bidi="ar-SA"/>
    </w:rPr>
  </w:style>
  <w:style w:type="paragraph" w:customStyle="1" w:styleId="39">
    <w:name w:val="Normal_1"/>
    <w:qFormat/>
    <w:uiPriority w:val="0"/>
    <w:rPr>
      <w:rFonts w:ascii="宋体" w:hAnsi="宋体" w:eastAsia="宋体" w:cs="Times New Roman"/>
      <w:sz w:val="32"/>
      <w:szCs w:val="24"/>
      <w:lang w:bidi="ar-SA"/>
    </w:rPr>
  </w:style>
  <w:style w:type="paragraph" w:customStyle="1" w:styleId="40">
    <w:name w:val="Normal_0_0_0"/>
    <w:basedOn w:val="38"/>
    <w:qFormat/>
    <w:uiPriority w:val="0"/>
    <w:pPr>
      <w:widowControl w:val="0"/>
    </w:pPr>
    <w:rPr>
      <w:rFonts w:eastAsia="Times New Roman"/>
      <w:kern w:val="0"/>
      <w:sz w:val="24"/>
      <w:szCs w:val="24"/>
    </w:rPr>
  </w:style>
  <w:style w:type="paragraph" w:customStyle="1" w:styleId="41">
    <w:name w:val="Normal_0"/>
    <w:qFormat/>
    <w:uiPriority w:val="0"/>
    <w:rPr>
      <w:rFonts w:ascii="宋体" w:hAnsi="宋体" w:eastAsia="宋体" w:cs="Times New Roman"/>
      <w:sz w:val="32"/>
      <w:szCs w:val="24"/>
      <w:lang w:bidi="ar-SA"/>
    </w:rPr>
  </w:style>
  <w:style w:type="paragraph" w:customStyle="1" w:styleId="42">
    <w:name w:val="正文文本 3_0"/>
    <w:basedOn w:val="43"/>
    <w:qFormat/>
    <w:uiPriority w:val="0"/>
    <w:rPr>
      <w:rFonts w:ascii="宋体" w:eastAsia="宋体"/>
      <w:kern w:val="0"/>
      <w:sz w:val="24"/>
      <w:szCs w:val="20"/>
    </w:rPr>
  </w:style>
  <w:style w:type="paragraph" w:customStyle="1" w:styleId="4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Normal_2"/>
    <w:qFormat/>
    <w:uiPriority w:val="0"/>
    <w:rPr>
      <w:rFonts w:ascii="宋体" w:hAnsi="宋体" w:eastAsia="宋体" w:cs="Times New Roman"/>
      <w:sz w:val="32"/>
      <w:szCs w:val="24"/>
      <w:lang w:bidi="ar-SA"/>
    </w:rPr>
  </w:style>
  <w:style w:type="paragraph" w:customStyle="1" w:styleId="4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ormal_5"/>
    <w:qFormat/>
    <w:uiPriority w:val="0"/>
    <w:rPr>
      <w:rFonts w:ascii="宋体" w:hAnsi="宋体" w:eastAsia="宋体" w:cs="Times New Roman"/>
      <w:sz w:val="32"/>
      <w:szCs w:val="24"/>
      <w:lang w:bidi="ar-SA"/>
    </w:rPr>
  </w:style>
  <w:style w:type="paragraph" w:customStyle="1" w:styleId="4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6"/>
    <w:qFormat/>
    <w:uiPriority w:val="0"/>
    <w:rPr>
      <w:rFonts w:ascii="宋体" w:hAnsi="宋体" w:eastAsia="宋体" w:cs="Times New Roman"/>
      <w:sz w:val="32"/>
      <w:szCs w:val="24"/>
      <w:lang w:bidi="ar-SA"/>
    </w:rPr>
  </w:style>
  <w:style w:type="paragraph" w:customStyle="1" w:styleId="5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索引 1_0"/>
    <w:basedOn w:val="50"/>
    <w:next w:val="50"/>
    <w:qFormat/>
    <w:uiPriority w:val="0"/>
    <w:pPr>
      <w:jc w:val="center"/>
    </w:pPr>
    <w:rPr>
      <w:rFonts w:ascii="华文宋体" w:hAnsi="华文宋体" w:eastAsia="华文宋体"/>
      <w:color w:val="000000"/>
      <w:szCs w:val="21"/>
    </w:rPr>
  </w:style>
  <w:style w:type="paragraph" w:customStyle="1" w:styleId="52">
    <w:name w:val="Normal_7"/>
    <w:qFormat/>
    <w:uiPriority w:val="0"/>
    <w:rPr>
      <w:rFonts w:ascii="宋体" w:hAnsi="宋体" w:eastAsia="宋体" w:cs="Times New Roman"/>
      <w:sz w:val="32"/>
      <w:szCs w:val="24"/>
      <w:lang w:bidi="ar-SA"/>
    </w:rPr>
  </w:style>
  <w:style w:type="paragraph" w:customStyle="1" w:styleId="5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9"/>
    <w:qFormat/>
    <w:uiPriority w:val="0"/>
    <w:rPr>
      <w:rFonts w:ascii="宋体" w:hAnsi="宋体" w:eastAsia="宋体" w:cs="Times New Roman"/>
      <w:sz w:val="32"/>
      <w:szCs w:val="24"/>
      <w:lang w:bidi="ar-SA"/>
    </w:rPr>
  </w:style>
  <w:style w:type="paragraph" w:customStyle="1" w:styleId="55">
    <w:name w:val="Table Paragraph"/>
    <w:qFormat/>
    <w:uiPriority w:val="1"/>
    <w:pPr>
      <w:widowControl w:val="0"/>
      <w:autoSpaceDE w:val="0"/>
      <w:autoSpaceDN w:val="0"/>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34223</Words>
  <Characters>36728</Characters>
  <Lines>0</Lines>
  <Paragraphs>0</Paragraphs>
  <TotalTime>83</TotalTime>
  <ScaleCrop>false</ScaleCrop>
  <LinksUpToDate>false</LinksUpToDate>
  <CharactersWithSpaces>37566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2025-05-23T00:37:00Z</dcterms:created>
  <dc:creator>用生命在耍帅</dc:creator>
  <cp:lastModifiedBy>Administrator</cp:lastModifiedBy>
  <dcterms:modified xsi:type="dcterms:W3CDTF">2025-11-12T08:00:38Z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69311261808745A3A194F1381C0E05B0_13</vt:lpwstr>
  </property>
  <property fmtid="{D5CDD505-2E9C-101B-9397-08002B2CF9AE}" pid="4" name="KSOTemplateDocerSaveRecord">
    <vt:lpwstr>eyJoZGlkIjoiNzdjNzdhYzQ2NzEyNGEyOTQyNTZmMjI0YmE2ZGE0M2EiLCJ1c2VySWQiOiI1Njk0Nzk2OTEifQ==</vt:lpwstr>
  </property>
</Properties>
</file>