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E50E8">
      <w:pPr>
        <w:rPr>
          <w:rFonts w:hint="eastAsia" w:ascii="黑体" w:hAnsi="黑体" w:eastAsia="黑体"/>
          <w:color w:val="auto"/>
          <w:sz w:val="32"/>
          <w:szCs w:val="32"/>
          <w:highlight w:val="none"/>
          <w:lang w:eastAsia="zh-CN"/>
        </w:rPr>
      </w:pPr>
    </w:p>
    <w:p w14:paraId="7E039B8B">
      <w:pPr>
        <w:jc w:val="center"/>
        <w:rPr>
          <w:rFonts w:hint="eastAsia" w:ascii="黑体" w:hAnsi="黑体" w:eastAsia="黑体"/>
          <w:color w:val="auto"/>
          <w:spacing w:val="5760"/>
          <w:w w:val="100"/>
          <w:kern w:val="0"/>
          <w:sz w:val="36"/>
          <w:szCs w:val="36"/>
          <w:highlight w:val="none"/>
          <w:fitText w:val="6120" w:id="-1002138880"/>
          <w:lang w:val="en-US" w:eastAsia="zh-CN"/>
        </w:rPr>
      </w:pPr>
    </w:p>
    <w:p w14:paraId="143A0883">
      <w:pPr>
        <w:jc w:val="center"/>
        <w:rPr>
          <w:rFonts w:hint="eastAsia" w:ascii="宋体" w:hAnsi="宋体" w:eastAsia="宋体" w:cs="宋体"/>
          <w:b/>
          <w:bCs/>
          <w:color w:val="auto"/>
          <w:sz w:val="60"/>
          <w:szCs w:val="60"/>
          <w:highlight w:val="none"/>
          <w:lang w:val="en-US" w:eastAsia="zh-CN"/>
        </w:rPr>
      </w:pPr>
      <w:r>
        <w:rPr>
          <w:rFonts w:hint="eastAsia" w:ascii="宋体" w:hAnsi="宋体" w:eastAsia="宋体" w:cs="宋体"/>
          <w:b/>
          <w:bCs/>
          <w:color w:val="auto"/>
          <w:kern w:val="0"/>
          <w:sz w:val="60"/>
          <w:szCs w:val="60"/>
          <w:highlight w:val="none"/>
          <w:lang w:val="en-US" w:eastAsia="zh-CN"/>
        </w:rPr>
        <w:t>兵团政府采购项目</w:t>
      </w:r>
    </w:p>
    <w:p w14:paraId="01CD27AD">
      <w:pPr>
        <w:jc w:val="center"/>
        <w:rPr>
          <w:rFonts w:hint="eastAsia" w:ascii="宋体" w:hAnsi="宋体" w:eastAsia="宋体" w:cs="宋体"/>
          <w:b/>
          <w:bCs/>
          <w:color w:val="auto"/>
          <w:sz w:val="60"/>
          <w:szCs w:val="60"/>
          <w:highlight w:val="none"/>
          <w:lang w:val="en-US" w:eastAsia="zh-CN"/>
        </w:rPr>
      </w:pPr>
      <w:r>
        <w:rPr>
          <w:rFonts w:hint="eastAsia" w:ascii="宋体" w:hAnsi="宋体" w:eastAsia="宋体" w:cs="宋体"/>
          <w:b/>
          <w:bCs/>
          <w:color w:val="auto"/>
          <w:sz w:val="60"/>
          <w:szCs w:val="60"/>
          <w:highlight w:val="none"/>
        </w:rPr>
        <w:t>公开招标文件</w:t>
      </w:r>
      <w:r>
        <w:rPr>
          <w:rFonts w:hint="eastAsia" w:ascii="宋体" w:hAnsi="宋体" w:eastAsia="宋体" w:cs="宋体"/>
          <w:b/>
          <w:bCs/>
          <w:color w:val="auto"/>
          <w:sz w:val="60"/>
          <w:szCs w:val="60"/>
          <w:highlight w:val="none"/>
          <w:lang w:val="en-US" w:eastAsia="zh-CN"/>
        </w:rPr>
        <w:t>示范文本</w:t>
      </w:r>
    </w:p>
    <w:p w14:paraId="2348539C">
      <w:pPr>
        <w:jc w:val="center"/>
        <w:rPr>
          <w:rFonts w:hint="eastAsia" w:ascii="宋体" w:hAnsi="宋体" w:eastAsia="宋体" w:cs="宋体"/>
          <w:b/>
          <w:bCs/>
          <w:color w:val="auto"/>
          <w:sz w:val="60"/>
          <w:szCs w:val="60"/>
          <w:highlight w:val="none"/>
        </w:rPr>
      </w:pPr>
      <w:r>
        <w:rPr>
          <w:rFonts w:hint="eastAsia" w:ascii="宋体" w:hAnsi="宋体" w:eastAsia="宋体" w:cs="宋体"/>
          <w:b/>
          <w:bCs/>
          <w:color w:val="auto"/>
          <w:sz w:val="60"/>
          <w:szCs w:val="60"/>
          <w:highlight w:val="none"/>
          <w:lang w:val="en-US" w:eastAsia="zh-CN"/>
        </w:rPr>
        <w:t>（货物）</w:t>
      </w:r>
    </w:p>
    <w:p w14:paraId="5DC44D9A">
      <w:pPr>
        <w:jc w:val="center"/>
        <w:rPr>
          <w:rFonts w:hint="eastAsia" w:ascii="宋体" w:hAnsi="宋体" w:eastAsia="宋体" w:cs="宋体"/>
          <w:b/>
          <w:bCs/>
          <w:color w:val="auto"/>
          <w:sz w:val="60"/>
          <w:szCs w:val="60"/>
          <w:highlight w:val="none"/>
        </w:rPr>
      </w:pPr>
      <w:bookmarkStart w:id="0" w:name="_Hlk164181180"/>
      <w:r>
        <w:rPr>
          <w:rFonts w:hint="eastAsia" w:ascii="宋体" w:hAnsi="宋体" w:eastAsia="宋体" w:cs="宋体"/>
          <w:b/>
          <w:bCs/>
          <w:color w:val="auto"/>
          <w:sz w:val="60"/>
          <w:szCs w:val="60"/>
          <w:highlight w:val="none"/>
        </w:rPr>
        <w:t>（202</w:t>
      </w:r>
      <w:r>
        <w:rPr>
          <w:rFonts w:hint="eastAsia" w:ascii="宋体" w:hAnsi="宋体" w:eastAsia="宋体" w:cs="宋体"/>
          <w:b/>
          <w:bCs/>
          <w:color w:val="auto"/>
          <w:sz w:val="60"/>
          <w:szCs w:val="60"/>
          <w:highlight w:val="none"/>
          <w:lang w:val="en-US" w:eastAsia="zh-CN"/>
        </w:rPr>
        <w:t>5年</w:t>
      </w:r>
      <w:r>
        <w:rPr>
          <w:rFonts w:hint="eastAsia" w:ascii="宋体" w:hAnsi="宋体" w:eastAsia="宋体" w:cs="宋体"/>
          <w:b/>
          <w:bCs/>
          <w:color w:val="auto"/>
          <w:sz w:val="60"/>
          <w:szCs w:val="60"/>
          <w:highlight w:val="none"/>
        </w:rPr>
        <w:t>版）</w:t>
      </w:r>
    </w:p>
    <w:bookmarkEnd w:id="0"/>
    <w:p w14:paraId="7757DFAA">
      <w:pPr>
        <w:spacing w:line="240" w:lineRule="auto"/>
        <w:jc w:val="center"/>
        <w:rPr>
          <w:rFonts w:ascii="黑体" w:hAnsi="黑体" w:eastAsia="黑体"/>
          <w:color w:val="auto"/>
          <w:sz w:val="52"/>
          <w:szCs w:val="52"/>
          <w:highlight w:val="none"/>
        </w:rPr>
      </w:pPr>
    </w:p>
    <w:p w14:paraId="67E856E7">
      <w:pPr>
        <w:spacing w:line="240" w:lineRule="auto"/>
        <w:jc w:val="center"/>
        <w:rPr>
          <w:rFonts w:ascii="黑体" w:hAnsi="黑体" w:eastAsia="黑体"/>
          <w:color w:val="auto"/>
          <w:sz w:val="52"/>
          <w:szCs w:val="52"/>
          <w:highlight w:val="none"/>
        </w:rPr>
      </w:pPr>
    </w:p>
    <w:p w14:paraId="6E97F6A4">
      <w:pPr>
        <w:spacing w:line="240" w:lineRule="auto"/>
        <w:jc w:val="center"/>
        <w:rPr>
          <w:rFonts w:ascii="黑体" w:hAnsi="黑体" w:eastAsia="黑体"/>
          <w:color w:val="auto"/>
          <w:sz w:val="52"/>
          <w:szCs w:val="52"/>
          <w:highlight w:val="none"/>
        </w:rPr>
      </w:pPr>
    </w:p>
    <w:p w14:paraId="0F88ECFE">
      <w:pPr>
        <w:ind w:left="420" w:leftChars="175"/>
        <w:rPr>
          <w:rFonts w:hint="eastAsia" w:ascii="宋体" w:hAnsi="宋体" w:eastAsia="宋体" w:cs="宋体"/>
          <w:color w:val="FF0000"/>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SJX-2025-615</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FF0000"/>
          <w:sz w:val="36"/>
          <w:szCs w:val="36"/>
          <w:highlight w:val="none"/>
          <w:u w:val="single"/>
        </w:rPr>
        <w:t xml:space="preserve">    </w:t>
      </w:r>
    </w:p>
    <w:p w14:paraId="0E6E48F8">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道路交通安全风险地图系统建设项目  </w:t>
      </w:r>
    </w:p>
    <w:p w14:paraId="0F84FA94">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购</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u w:val="single"/>
        </w:rPr>
        <w:t xml:space="preserve">     </w:t>
      </w:r>
      <w:r>
        <w:rPr>
          <w:rFonts w:hint="eastAsia" w:cs="宋体"/>
          <w:sz w:val="36"/>
          <w:szCs w:val="36"/>
          <w:u w:val="single"/>
        </w:rPr>
        <w:t>新疆生产建设兵团某单位</w:t>
      </w:r>
      <w:r>
        <w:rPr>
          <w:rFonts w:hint="eastAsia" w:ascii="宋体" w:hAnsi="宋体" w:eastAsia="宋体" w:cs="宋体"/>
          <w:color w:val="auto"/>
          <w:sz w:val="36"/>
          <w:szCs w:val="36"/>
          <w:highlight w:val="none"/>
          <w:u w:val="single"/>
        </w:rPr>
        <w:t xml:space="preserve">                     </w:t>
      </w:r>
    </w:p>
    <w:p w14:paraId="4B180FDF">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采购代理机构：</w:t>
      </w:r>
      <w:r>
        <w:rPr>
          <w:rFonts w:hint="eastAsia" w:ascii="宋体" w:hAnsi="宋体" w:eastAsia="宋体" w:cs="宋体"/>
          <w:color w:val="auto"/>
          <w:sz w:val="36"/>
          <w:szCs w:val="36"/>
          <w:highlight w:val="none"/>
          <w:u w:val="single"/>
        </w:rPr>
        <w:t xml:space="preserve">   新疆世纪星工程咨询有限公司                         </w:t>
      </w:r>
    </w:p>
    <w:p w14:paraId="2C93F193">
      <w:pPr>
        <w:rPr>
          <w:rFonts w:ascii="黑体" w:hAnsi="黑体" w:eastAsia="黑体"/>
          <w:color w:val="auto"/>
          <w:highlight w:val="none"/>
        </w:rPr>
      </w:pPr>
    </w:p>
    <w:p w14:paraId="320C1BF6">
      <w:pPr>
        <w:ind w:left="420" w:leftChars="175" w:firstLine="640" w:firstLineChars="200"/>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 xml:space="preserve"> </w:t>
      </w:r>
      <w:r>
        <w:rPr>
          <w:rFonts w:ascii="黑体" w:hAnsi="黑体" w:eastAsia="黑体"/>
          <w:color w:val="auto"/>
          <w:sz w:val="32"/>
          <w:szCs w:val="32"/>
          <w:highlight w:val="none"/>
        </w:rPr>
        <w:t xml:space="preserve">   </w:t>
      </w:r>
    </w:p>
    <w:p w14:paraId="3B2CDAF9">
      <w:pPr>
        <w:jc w:val="center"/>
        <w:rPr>
          <w:rFonts w:hint="eastAsia" w:ascii="黑体" w:hAnsi="黑体" w:eastAsia="黑体"/>
          <w:color w:val="auto"/>
          <w:sz w:val="48"/>
          <w:szCs w:val="48"/>
          <w:highlight w:val="none"/>
        </w:rPr>
      </w:pPr>
    </w:p>
    <w:p w14:paraId="309B13BD">
      <w:pPr>
        <w:jc w:val="center"/>
        <w:rPr>
          <w:rFonts w:hint="eastAsia" w:ascii="黑体" w:hAnsi="黑体" w:eastAsia="黑体"/>
          <w:color w:val="auto"/>
          <w:sz w:val="48"/>
          <w:szCs w:val="48"/>
          <w:highlight w:val="none"/>
        </w:rPr>
      </w:pPr>
    </w:p>
    <w:p w14:paraId="67540CEC">
      <w:pPr>
        <w:jc w:val="center"/>
        <w:rPr>
          <w:rFonts w:hint="eastAsia" w:ascii="黑体" w:hAnsi="黑体" w:eastAsia="黑体"/>
          <w:color w:val="auto"/>
          <w:sz w:val="48"/>
          <w:szCs w:val="48"/>
          <w:highlight w:val="none"/>
        </w:rPr>
      </w:pPr>
    </w:p>
    <w:p w14:paraId="0BD23774">
      <w:pPr>
        <w:jc w:val="center"/>
        <w:rPr>
          <w:rFonts w:hint="eastAsia" w:ascii="黑体" w:hAnsi="黑体" w:eastAsia="黑体"/>
          <w:color w:val="auto"/>
          <w:sz w:val="48"/>
          <w:szCs w:val="48"/>
          <w:highlight w:val="none"/>
        </w:rPr>
      </w:pPr>
    </w:p>
    <w:p w14:paraId="2E6E0FD2">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目 </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55100918">
      <w:pPr>
        <w:jc w:val="center"/>
        <w:rPr>
          <w:rFonts w:hint="eastAsia" w:ascii="宋体" w:hAnsi="宋体" w:eastAsia="宋体" w:cs="宋体"/>
          <w:b/>
          <w:bCs/>
          <w:color w:val="auto"/>
          <w:sz w:val="36"/>
          <w:szCs w:val="36"/>
          <w:highlight w:val="none"/>
        </w:rPr>
      </w:pPr>
    </w:p>
    <w:p w14:paraId="0DE72A4F">
      <w:pPr>
        <w:pStyle w:val="22"/>
        <w:tabs>
          <w:tab w:val="right" w:leader="dot" w:pos="8306"/>
        </w:tabs>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_Toc440 </w:instrText>
      </w:r>
      <w:r>
        <w:rPr>
          <w:rFonts w:hint="eastAsia" w:ascii="宋体" w:hAnsi="宋体" w:eastAsia="宋体" w:cs="宋体"/>
          <w:szCs w:val="24"/>
          <w:highlight w:val="none"/>
        </w:rPr>
        <w:fldChar w:fldCharType="separate"/>
      </w:r>
      <w:r>
        <w:rPr>
          <w:rFonts w:hint="eastAsia" w:ascii="宋体" w:hAnsi="宋体" w:eastAsia="宋体" w:cs="宋体"/>
          <w:bCs/>
          <w:kern w:val="44"/>
          <w:szCs w:val="36"/>
          <w:highlight w:val="none"/>
          <w:lang w:val="en-US" w:eastAsia="zh-CN" w:bidi="ar-SA"/>
        </w:rPr>
        <w:t xml:space="preserve">第一章 </w:t>
      </w:r>
      <w:r>
        <w:rPr>
          <w:rFonts w:hint="eastAsia" w:ascii="宋体" w:hAnsi="宋体" w:eastAsia="宋体" w:cs="宋体"/>
          <w:szCs w:val="36"/>
          <w:highlight w:val="none"/>
          <w:lang w:val="en-US" w:eastAsia="zh-CN"/>
        </w:rPr>
        <w:t>招标公告</w:t>
      </w:r>
      <w:r>
        <w:tab/>
      </w:r>
      <w:r>
        <w:fldChar w:fldCharType="begin"/>
      </w:r>
      <w:r>
        <w:instrText xml:space="preserve"> PAGEREF _Toc440 \h </w:instrText>
      </w:r>
      <w:r>
        <w:fldChar w:fldCharType="separate"/>
      </w:r>
      <w:r>
        <w:t>- 1 -</w:t>
      </w:r>
      <w:r>
        <w:fldChar w:fldCharType="end"/>
      </w:r>
      <w:r>
        <w:rPr>
          <w:rFonts w:hint="eastAsia" w:ascii="宋体" w:hAnsi="宋体" w:eastAsia="宋体" w:cs="宋体"/>
          <w:color w:val="auto"/>
          <w:szCs w:val="24"/>
          <w:highlight w:val="none"/>
        </w:rPr>
        <w:fldChar w:fldCharType="end"/>
      </w:r>
    </w:p>
    <w:p w14:paraId="3B7E7FDC">
      <w:pPr>
        <w:pStyle w:val="25"/>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_Toc8772 </w:instrText>
      </w:r>
      <w:r>
        <w:rPr>
          <w:rFonts w:hint="eastAsia" w:ascii="宋体" w:hAnsi="宋体" w:eastAsia="宋体" w:cs="宋体"/>
          <w:szCs w:val="24"/>
          <w:highlight w:val="none"/>
        </w:rPr>
        <w:fldChar w:fldCharType="separate"/>
      </w:r>
      <w:r>
        <w:rPr>
          <w:rFonts w:hint="eastAsia"/>
          <w:szCs w:val="24"/>
          <w:highlight w:val="none"/>
          <w:lang w:val="en-US" w:eastAsia="zh-CN"/>
        </w:rPr>
        <w:t>项目概况：</w:t>
      </w:r>
      <w:r>
        <w:tab/>
      </w:r>
      <w:r>
        <w:fldChar w:fldCharType="begin"/>
      </w:r>
      <w:r>
        <w:instrText xml:space="preserve"> PAGEREF _Toc8772 \h </w:instrText>
      </w:r>
      <w:r>
        <w:fldChar w:fldCharType="separate"/>
      </w:r>
      <w:r>
        <w:t>- 1 -</w:t>
      </w:r>
      <w:r>
        <w:fldChar w:fldCharType="end"/>
      </w:r>
      <w:r>
        <w:rPr>
          <w:rFonts w:hint="eastAsia" w:ascii="宋体" w:hAnsi="宋体" w:eastAsia="宋体" w:cs="宋体"/>
          <w:color w:val="auto"/>
          <w:szCs w:val="24"/>
          <w:highlight w:val="none"/>
        </w:rPr>
        <w:fldChar w:fldCharType="end"/>
      </w:r>
    </w:p>
    <w:p w14:paraId="4067BA69">
      <w:pPr>
        <w:pStyle w:val="25"/>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_Toc21735 </w:instrText>
      </w:r>
      <w:r>
        <w:rPr>
          <w:rFonts w:hint="eastAsia" w:ascii="宋体" w:hAnsi="宋体" w:eastAsia="宋体" w:cs="宋体"/>
          <w:szCs w:val="24"/>
          <w:highlight w:val="none"/>
        </w:rPr>
        <w:fldChar w:fldCharType="separate"/>
      </w:r>
      <w:r>
        <w:rPr>
          <w:rFonts w:hint="eastAsia" w:ascii="宋体" w:hAnsi="宋体" w:eastAsia="宋体" w:cs="宋体"/>
          <w:bCs/>
          <w:kern w:val="2"/>
          <w:szCs w:val="24"/>
          <w:highlight w:val="none"/>
          <w:lang w:val="hr-HR" w:eastAsia="zh-CN" w:bidi="ar-SA"/>
        </w:rPr>
        <w:t>一、</w:t>
      </w:r>
      <w:r>
        <w:rPr>
          <w:rFonts w:hint="eastAsia" w:ascii="宋体" w:hAnsi="宋体" w:eastAsia="宋体" w:cs="宋体"/>
          <w:szCs w:val="24"/>
          <w:highlight w:val="none"/>
          <w:lang w:val="hr-HR"/>
        </w:rPr>
        <w:t>项目基本情况</w:t>
      </w:r>
      <w:r>
        <w:tab/>
      </w:r>
      <w:r>
        <w:fldChar w:fldCharType="begin"/>
      </w:r>
      <w:r>
        <w:instrText xml:space="preserve"> PAGEREF _Toc21735 \h </w:instrText>
      </w:r>
      <w:r>
        <w:fldChar w:fldCharType="separate"/>
      </w:r>
      <w:r>
        <w:t>- 1 -</w:t>
      </w:r>
      <w:r>
        <w:fldChar w:fldCharType="end"/>
      </w:r>
      <w:r>
        <w:rPr>
          <w:rFonts w:hint="eastAsia" w:ascii="宋体" w:hAnsi="宋体" w:eastAsia="宋体" w:cs="宋体"/>
          <w:color w:val="auto"/>
          <w:szCs w:val="24"/>
          <w:highlight w:val="none"/>
        </w:rPr>
        <w:fldChar w:fldCharType="end"/>
      </w:r>
    </w:p>
    <w:p w14:paraId="61FD68FE">
      <w:pPr>
        <w:pStyle w:val="25"/>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_Toc24222 </w:instrText>
      </w:r>
      <w:r>
        <w:rPr>
          <w:rFonts w:hint="eastAsia" w:ascii="宋体" w:hAnsi="宋体" w:eastAsia="宋体" w:cs="宋体"/>
          <w:szCs w:val="24"/>
          <w:highlight w:val="none"/>
        </w:rPr>
        <w:fldChar w:fldCharType="separate"/>
      </w:r>
      <w:r>
        <w:rPr>
          <w:rFonts w:hint="eastAsia" w:ascii="宋体" w:hAnsi="宋体" w:eastAsia="宋体" w:cs="宋体"/>
          <w:bCs/>
          <w:kern w:val="2"/>
          <w:szCs w:val="24"/>
          <w:highlight w:val="none"/>
          <w:lang w:val="en-US" w:eastAsia="zh-CN" w:bidi="ar-SA"/>
        </w:rPr>
        <w:t>二、申请</w:t>
      </w:r>
      <w:r>
        <w:rPr>
          <w:rFonts w:hint="eastAsia" w:ascii="宋体" w:hAnsi="宋体" w:eastAsia="宋体" w:cs="宋体"/>
          <w:bCs/>
          <w:kern w:val="2"/>
          <w:szCs w:val="24"/>
          <w:highlight w:val="none"/>
          <w:lang w:val="hr-HR" w:eastAsia="zh-CN" w:bidi="ar-SA"/>
        </w:rPr>
        <w:t>人</w:t>
      </w:r>
      <w:r>
        <w:rPr>
          <w:rFonts w:hint="eastAsia" w:ascii="宋体" w:hAnsi="宋体" w:eastAsia="宋体" w:cs="宋体"/>
          <w:bCs/>
          <w:kern w:val="2"/>
          <w:szCs w:val="24"/>
          <w:highlight w:val="none"/>
          <w:lang w:val="en-US" w:eastAsia="zh-CN" w:bidi="ar-SA"/>
        </w:rPr>
        <w:t>的</w:t>
      </w:r>
      <w:r>
        <w:rPr>
          <w:rFonts w:hint="eastAsia" w:ascii="宋体" w:hAnsi="宋体" w:eastAsia="宋体" w:cs="宋体"/>
          <w:bCs/>
          <w:kern w:val="2"/>
          <w:szCs w:val="24"/>
          <w:highlight w:val="none"/>
          <w:lang w:val="hr-HR" w:eastAsia="zh-CN" w:bidi="ar-SA"/>
        </w:rPr>
        <w:t>资格要求</w:t>
      </w:r>
      <w:r>
        <w:tab/>
      </w:r>
      <w:r>
        <w:fldChar w:fldCharType="begin"/>
      </w:r>
      <w:r>
        <w:instrText xml:space="preserve"> PAGEREF _Toc24222 \h </w:instrText>
      </w:r>
      <w:r>
        <w:fldChar w:fldCharType="separate"/>
      </w:r>
      <w:r>
        <w:t>- 1 -</w:t>
      </w:r>
      <w:r>
        <w:fldChar w:fldCharType="end"/>
      </w:r>
      <w:r>
        <w:rPr>
          <w:rFonts w:hint="eastAsia" w:ascii="宋体" w:hAnsi="宋体" w:eastAsia="宋体" w:cs="宋体"/>
          <w:color w:val="auto"/>
          <w:szCs w:val="24"/>
          <w:highlight w:val="none"/>
        </w:rPr>
        <w:fldChar w:fldCharType="end"/>
      </w:r>
    </w:p>
    <w:p w14:paraId="34A29151">
      <w:pPr>
        <w:pStyle w:val="25"/>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_Toc323 </w:instrText>
      </w:r>
      <w:r>
        <w:rPr>
          <w:rFonts w:hint="eastAsia" w:ascii="宋体" w:hAnsi="宋体" w:eastAsia="宋体" w:cs="宋体"/>
          <w:szCs w:val="24"/>
          <w:highlight w:val="none"/>
        </w:rPr>
        <w:fldChar w:fldCharType="separate"/>
      </w:r>
      <w:r>
        <w:rPr>
          <w:rFonts w:hint="eastAsia" w:ascii="宋体" w:hAnsi="宋体" w:eastAsia="宋体" w:cs="宋体"/>
          <w:bCs/>
          <w:kern w:val="2"/>
          <w:szCs w:val="24"/>
          <w:highlight w:val="none"/>
          <w:lang w:val="en-US" w:eastAsia="zh-CN" w:bidi="ar-SA"/>
        </w:rPr>
        <w:t>三、</w:t>
      </w:r>
      <w:r>
        <w:rPr>
          <w:rFonts w:hint="eastAsia" w:ascii="宋体" w:hAnsi="宋体" w:eastAsia="宋体" w:cs="宋体"/>
          <w:bCs/>
          <w:kern w:val="2"/>
          <w:szCs w:val="24"/>
          <w:highlight w:val="none"/>
          <w:lang w:val="hr-HR" w:eastAsia="zh-CN" w:bidi="ar-SA"/>
        </w:rPr>
        <w:t>获取招标文件</w:t>
      </w:r>
      <w:r>
        <w:tab/>
      </w:r>
      <w:r>
        <w:fldChar w:fldCharType="begin"/>
      </w:r>
      <w:r>
        <w:instrText xml:space="preserve"> PAGEREF _Toc323 \h </w:instrText>
      </w:r>
      <w:r>
        <w:fldChar w:fldCharType="separate"/>
      </w:r>
      <w:r>
        <w:t>- 2 -</w:t>
      </w:r>
      <w:r>
        <w:fldChar w:fldCharType="end"/>
      </w:r>
      <w:r>
        <w:rPr>
          <w:rFonts w:hint="eastAsia" w:ascii="宋体" w:hAnsi="宋体" w:eastAsia="宋体" w:cs="宋体"/>
          <w:color w:val="auto"/>
          <w:szCs w:val="24"/>
          <w:highlight w:val="none"/>
        </w:rPr>
        <w:fldChar w:fldCharType="end"/>
      </w:r>
    </w:p>
    <w:p w14:paraId="577C828A">
      <w:pPr>
        <w:pStyle w:val="25"/>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_Toc11234 </w:instrText>
      </w:r>
      <w:r>
        <w:rPr>
          <w:rFonts w:hint="eastAsia" w:ascii="宋体" w:hAnsi="宋体" w:eastAsia="宋体" w:cs="宋体"/>
          <w:szCs w:val="24"/>
          <w:highlight w:val="none"/>
        </w:rPr>
        <w:fldChar w:fldCharType="separate"/>
      </w:r>
      <w:r>
        <w:rPr>
          <w:rFonts w:hint="eastAsia" w:ascii="宋体" w:hAnsi="宋体" w:eastAsia="宋体" w:cs="宋体"/>
          <w:bCs/>
          <w:kern w:val="2"/>
          <w:szCs w:val="24"/>
          <w:highlight w:val="none"/>
          <w:lang w:val="en-US" w:eastAsia="zh-CN" w:bidi="ar-SA"/>
        </w:rPr>
        <w:t>四、</w:t>
      </w:r>
      <w:r>
        <w:rPr>
          <w:rFonts w:hint="eastAsia" w:ascii="宋体" w:hAnsi="宋体" w:eastAsia="宋体" w:cs="宋体"/>
          <w:bCs/>
          <w:kern w:val="2"/>
          <w:szCs w:val="24"/>
          <w:highlight w:val="none"/>
          <w:lang w:val="hr-HR" w:eastAsia="zh-CN" w:bidi="ar-SA"/>
        </w:rPr>
        <w:t>提交投标文件截止时间</w:t>
      </w:r>
      <w:r>
        <w:rPr>
          <w:rFonts w:hint="eastAsia" w:ascii="宋体" w:hAnsi="宋体" w:eastAsia="宋体" w:cs="宋体"/>
          <w:bCs/>
          <w:kern w:val="2"/>
          <w:szCs w:val="24"/>
          <w:highlight w:val="none"/>
          <w:lang w:val="en-US" w:eastAsia="zh-CN" w:bidi="ar-SA"/>
        </w:rPr>
        <w:t>/</w:t>
      </w:r>
      <w:r>
        <w:rPr>
          <w:rFonts w:hint="eastAsia" w:ascii="宋体" w:hAnsi="宋体" w:eastAsia="宋体" w:cs="宋体"/>
          <w:bCs/>
          <w:kern w:val="2"/>
          <w:szCs w:val="24"/>
          <w:highlight w:val="none"/>
          <w:lang w:val="hr-HR" w:eastAsia="zh-CN" w:bidi="ar-SA"/>
        </w:rPr>
        <w:t>开标时间、递交方式和</w:t>
      </w:r>
      <w:r>
        <w:rPr>
          <w:rFonts w:hint="eastAsia" w:ascii="宋体" w:hAnsi="宋体" w:eastAsia="宋体" w:cs="宋体"/>
          <w:bCs/>
          <w:kern w:val="2"/>
          <w:szCs w:val="24"/>
          <w:highlight w:val="none"/>
          <w:lang w:val="en-US" w:eastAsia="zh-CN" w:bidi="ar-SA"/>
        </w:rPr>
        <w:t>开标</w:t>
      </w:r>
      <w:r>
        <w:rPr>
          <w:rFonts w:hint="eastAsia" w:ascii="宋体" w:hAnsi="宋体" w:eastAsia="宋体" w:cs="宋体"/>
          <w:bCs/>
          <w:kern w:val="2"/>
          <w:szCs w:val="24"/>
          <w:highlight w:val="none"/>
          <w:lang w:val="hr-HR" w:eastAsia="zh-CN" w:bidi="ar-SA"/>
        </w:rPr>
        <w:t>地点</w:t>
      </w:r>
      <w:r>
        <w:tab/>
      </w:r>
      <w:r>
        <w:fldChar w:fldCharType="begin"/>
      </w:r>
      <w:r>
        <w:instrText xml:space="preserve"> PAGEREF _Toc11234 \h </w:instrText>
      </w:r>
      <w:r>
        <w:fldChar w:fldCharType="separate"/>
      </w:r>
      <w:r>
        <w:t>- 2 -</w:t>
      </w:r>
      <w:r>
        <w:fldChar w:fldCharType="end"/>
      </w:r>
      <w:r>
        <w:rPr>
          <w:rFonts w:hint="eastAsia" w:ascii="宋体" w:hAnsi="宋体" w:eastAsia="宋体" w:cs="宋体"/>
          <w:color w:val="auto"/>
          <w:szCs w:val="24"/>
          <w:highlight w:val="none"/>
        </w:rPr>
        <w:fldChar w:fldCharType="end"/>
      </w:r>
    </w:p>
    <w:p w14:paraId="65390E1C">
      <w:pPr>
        <w:pStyle w:val="25"/>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_Toc16016 </w:instrText>
      </w:r>
      <w:r>
        <w:rPr>
          <w:rFonts w:hint="eastAsia" w:ascii="宋体" w:hAnsi="宋体" w:eastAsia="宋体" w:cs="宋体"/>
          <w:szCs w:val="24"/>
          <w:highlight w:val="none"/>
        </w:rPr>
        <w:fldChar w:fldCharType="separate"/>
      </w:r>
      <w:r>
        <w:rPr>
          <w:rFonts w:hint="eastAsia" w:ascii="宋体" w:hAnsi="宋体" w:eastAsia="宋体" w:cs="宋体"/>
          <w:bCs w:val="0"/>
          <w:highlight w:val="none"/>
        </w:rPr>
        <w:t>1.截止时间</w:t>
      </w:r>
      <w:r>
        <w:rPr>
          <w:rFonts w:hint="eastAsia" w:ascii="宋体" w:hAnsi="宋体" w:eastAsia="宋体" w:cs="宋体"/>
          <w:bCs w:val="0"/>
          <w:highlight w:val="none"/>
          <w:lang w:val="en-US"/>
        </w:rPr>
        <w:t>/</w:t>
      </w:r>
      <w:r>
        <w:rPr>
          <w:rFonts w:hint="eastAsia" w:ascii="宋体" w:hAnsi="宋体" w:eastAsia="宋体" w:cs="宋体"/>
          <w:bCs w:val="0"/>
          <w:highlight w:val="none"/>
        </w:rPr>
        <w:t>开标时间：2025年10月13日11时00分（北京时间）。</w:t>
      </w:r>
      <w:r>
        <w:tab/>
      </w:r>
      <w:r>
        <w:fldChar w:fldCharType="begin"/>
      </w:r>
      <w:r>
        <w:instrText xml:space="preserve"> PAGEREF _Toc16016 \h </w:instrText>
      </w:r>
      <w:r>
        <w:fldChar w:fldCharType="separate"/>
      </w:r>
      <w:r>
        <w:t>- 2 -</w:t>
      </w:r>
      <w:r>
        <w:fldChar w:fldCharType="end"/>
      </w:r>
      <w:r>
        <w:rPr>
          <w:rFonts w:hint="eastAsia" w:ascii="宋体" w:hAnsi="宋体" w:eastAsia="宋体" w:cs="宋体"/>
          <w:color w:val="auto"/>
          <w:szCs w:val="24"/>
          <w:highlight w:val="none"/>
        </w:rPr>
        <w:fldChar w:fldCharType="end"/>
      </w:r>
    </w:p>
    <w:p w14:paraId="64E2A4B5">
      <w:pPr>
        <w:pStyle w:val="25"/>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_Toc12377 </w:instrText>
      </w:r>
      <w:r>
        <w:rPr>
          <w:rFonts w:hint="eastAsia" w:ascii="宋体" w:hAnsi="宋体" w:eastAsia="宋体" w:cs="宋体"/>
          <w:szCs w:val="24"/>
          <w:highlight w:val="none"/>
        </w:rPr>
        <w:fldChar w:fldCharType="separate"/>
      </w:r>
      <w:r>
        <w:rPr>
          <w:rFonts w:hint="eastAsia" w:ascii="宋体" w:hAnsi="宋体" w:eastAsia="宋体" w:cs="宋体"/>
          <w:bCs/>
          <w:kern w:val="2"/>
          <w:szCs w:val="24"/>
          <w:highlight w:val="none"/>
          <w:lang w:val="en-US" w:eastAsia="zh-CN" w:bidi="ar-SA"/>
        </w:rPr>
        <w:t>五、</w:t>
      </w:r>
      <w:r>
        <w:rPr>
          <w:rFonts w:hint="eastAsia" w:ascii="宋体" w:hAnsi="宋体" w:eastAsia="宋体" w:cs="宋体"/>
          <w:bCs/>
          <w:kern w:val="2"/>
          <w:szCs w:val="24"/>
          <w:highlight w:val="none"/>
          <w:lang w:val="hr-HR" w:eastAsia="zh-CN" w:bidi="ar-SA"/>
        </w:rPr>
        <w:t>公告期限</w:t>
      </w:r>
      <w:r>
        <w:tab/>
      </w:r>
      <w:r>
        <w:fldChar w:fldCharType="begin"/>
      </w:r>
      <w:r>
        <w:instrText xml:space="preserve"> PAGEREF _Toc12377 \h </w:instrText>
      </w:r>
      <w:r>
        <w:fldChar w:fldCharType="separate"/>
      </w:r>
      <w:r>
        <w:t>- 2 -</w:t>
      </w:r>
      <w:r>
        <w:fldChar w:fldCharType="end"/>
      </w:r>
      <w:r>
        <w:rPr>
          <w:rFonts w:hint="eastAsia" w:ascii="宋体" w:hAnsi="宋体" w:eastAsia="宋体" w:cs="宋体"/>
          <w:color w:val="auto"/>
          <w:szCs w:val="24"/>
          <w:highlight w:val="none"/>
        </w:rPr>
        <w:fldChar w:fldCharType="end"/>
      </w:r>
    </w:p>
    <w:p w14:paraId="12FBD926">
      <w:pPr>
        <w:pStyle w:val="25"/>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_Toc31029 </w:instrText>
      </w:r>
      <w:r>
        <w:rPr>
          <w:rFonts w:hint="eastAsia" w:ascii="宋体" w:hAnsi="宋体" w:eastAsia="宋体" w:cs="宋体"/>
          <w:szCs w:val="24"/>
          <w:highlight w:val="none"/>
        </w:rPr>
        <w:fldChar w:fldCharType="separate"/>
      </w:r>
      <w:r>
        <w:rPr>
          <w:rFonts w:hint="eastAsia" w:ascii="宋体" w:hAnsi="宋体" w:eastAsia="宋体" w:cs="宋体"/>
          <w:bCs/>
          <w:kern w:val="2"/>
          <w:szCs w:val="24"/>
          <w:highlight w:val="none"/>
          <w:lang w:val="en-US" w:eastAsia="zh-CN" w:bidi="ar-SA"/>
        </w:rPr>
        <w:t>六、</w:t>
      </w:r>
      <w:r>
        <w:rPr>
          <w:rFonts w:hint="eastAsia" w:ascii="宋体" w:hAnsi="宋体" w:eastAsia="宋体" w:cs="宋体"/>
          <w:bCs/>
          <w:kern w:val="2"/>
          <w:szCs w:val="24"/>
          <w:highlight w:val="none"/>
          <w:lang w:val="hr-HR" w:eastAsia="zh-CN" w:bidi="ar-SA"/>
        </w:rPr>
        <w:t>其他补充事宜【如政采云平台信息内容更新，按最新内容自行修改】</w:t>
      </w:r>
      <w:r>
        <w:tab/>
      </w:r>
      <w:r>
        <w:fldChar w:fldCharType="begin"/>
      </w:r>
      <w:r>
        <w:instrText xml:space="preserve"> PAGEREF _Toc31029 \h </w:instrText>
      </w:r>
      <w:r>
        <w:fldChar w:fldCharType="separate"/>
      </w:r>
      <w:r>
        <w:t>- 2 -</w:t>
      </w:r>
      <w:r>
        <w:fldChar w:fldCharType="end"/>
      </w:r>
      <w:r>
        <w:rPr>
          <w:rFonts w:hint="eastAsia" w:ascii="宋体" w:hAnsi="宋体" w:eastAsia="宋体" w:cs="宋体"/>
          <w:color w:val="auto"/>
          <w:szCs w:val="24"/>
          <w:highlight w:val="none"/>
        </w:rPr>
        <w:fldChar w:fldCharType="end"/>
      </w:r>
    </w:p>
    <w:p w14:paraId="0A4ADC37">
      <w:pPr>
        <w:pStyle w:val="25"/>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_Toc12525 </w:instrText>
      </w:r>
      <w:r>
        <w:rPr>
          <w:rFonts w:hint="eastAsia" w:ascii="宋体" w:hAnsi="宋体" w:eastAsia="宋体" w:cs="宋体"/>
          <w:szCs w:val="24"/>
          <w:highlight w:val="none"/>
        </w:rPr>
        <w:fldChar w:fldCharType="separate"/>
      </w:r>
      <w:r>
        <w:rPr>
          <w:rFonts w:hint="eastAsia" w:ascii="宋体" w:hAnsi="宋体" w:eastAsia="宋体" w:cs="宋体"/>
          <w:bCs/>
          <w:kern w:val="2"/>
          <w:szCs w:val="24"/>
          <w:highlight w:val="none"/>
          <w:lang w:val="en-US" w:eastAsia="zh-CN" w:bidi="ar-SA"/>
        </w:rPr>
        <w:t>七、</w:t>
      </w:r>
      <w:r>
        <w:rPr>
          <w:rFonts w:hint="eastAsia" w:ascii="宋体" w:hAnsi="宋体" w:eastAsia="宋体" w:cs="宋体"/>
          <w:bCs/>
          <w:kern w:val="2"/>
          <w:szCs w:val="24"/>
          <w:highlight w:val="none"/>
          <w:lang w:val="hr-HR" w:eastAsia="zh-CN" w:bidi="ar-SA"/>
        </w:rPr>
        <w:t>对本次</w:t>
      </w:r>
      <w:r>
        <w:rPr>
          <w:rFonts w:hint="eastAsia" w:ascii="宋体" w:hAnsi="宋体" w:eastAsia="宋体" w:cs="宋体"/>
          <w:bCs/>
          <w:kern w:val="2"/>
          <w:szCs w:val="24"/>
          <w:highlight w:val="none"/>
          <w:lang w:val="en-US" w:eastAsia="zh-CN" w:bidi="ar-SA"/>
        </w:rPr>
        <w:t>招标</w:t>
      </w:r>
      <w:r>
        <w:rPr>
          <w:rFonts w:hint="eastAsia" w:ascii="宋体" w:hAnsi="宋体" w:eastAsia="宋体" w:cs="宋体"/>
          <w:bCs/>
          <w:kern w:val="2"/>
          <w:szCs w:val="24"/>
          <w:highlight w:val="none"/>
          <w:lang w:val="hr-HR" w:eastAsia="zh-CN" w:bidi="ar-SA"/>
        </w:rPr>
        <w:t>提出询问，请按以下方式联系</w:t>
      </w:r>
      <w:r>
        <w:tab/>
      </w:r>
      <w:r>
        <w:fldChar w:fldCharType="begin"/>
      </w:r>
      <w:r>
        <w:instrText xml:space="preserve"> PAGEREF _Toc12525 \h </w:instrText>
      </w:r>
      <w:r>
        <w:fldChar w:fldCharType="separate"/>
      </w:r>
      <w:r>
        <w:t>- 3 -</w:t>
      </w:r>
      <w:r>
        <w:fldChar w:fldCharType="end"/>
      </w:r>
      <w:r>
        <w:rPr>
          <w:rFonts w:hint="eastAsia" w:ascii="宋体" w:hAnsi="宋体" w:eastAsia="宋体" w:cs="宋体"/>
          <w:color w:val="auto"/>
          <w:szCs w:val="24"/>
          <w:highlight w:val="none"/>
        </w:rPr>
        <w:fldChar w:fldCharType="end"/>
      </w:r>
    </w:p>
    <w:p w14:paraId="565B2600">
      <w:pPr>
        <w:pStyle w:val="2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_Toc19471 </w:instrText>
      </w:r>
      <w:r>
        <w:rPr>
          <w:rFonts w:hint="eastAsia" w:ascii="宋体" w:hAnsi="宋体" w:eastAsia="宋体" w:cs="宋体"/>
          <w:szCs w:val="24"/>
          <w:highlight w:val="none"/>
        </w:rPr>
        <w:fldChar w:fldCharType="separate"/>
      </w:r>
      <w:r>
        <w:rPr>
          <w:rFonts w:hint="eastAsia" w:ascii="宋体" w:hAnsi="宋体" w:eastAsia="宋体" w:cs="宋体"/>
          <w:bCs/>
          <w:kern w:val="44"/>
          <w:szCs w:val="36"/>
          <w:highlight w:val="none"/>
          <w:lang w:val="en-US" w:eastAsia="zh-CN" w:bidi="ar-SA"/>
        </w:rPr>
        <w:t>第二章 投标人须知</w:t>
      </w:r>
      <w:r>
        <w:tab/>
      </w:r>
      <w:r>
        <w:fldChar w:fldCharType="begin"/>
      </w:r>
      <w:r>
        <w:instrText xml:space="preserve"> PAGEREF _Toc19471 \h </w:instrText>
      </w:r>
      <w:r>
        <w:fldChar w:fldCharType="separate"/>
      </w:r>
      <w:r>
        <w:t>1</w:t>
      </w:r>
      <w:r>
        <w:fldChar w:fldCharType="end"/>
      </w:r>
      <w:r>
        <w:rPr>
          <w:rFonts w:hint="eastAsia" w:ascii="宋体" w:hAnsi="宋体" w:eastAsia="宋体" w:cs="宋体"/>
          <w:color w:val="auto"/>
          <w:szCs w:val="24"/>
          <w:highlight w:val="none"/>
        </w:rPr>
        <w:fldChar w:fldCharType="end"/>
      </w:r>
    </w:p>
    <w:p w14:paraId="557660DD">
      <w:pPr>
        <w:pStyle w:val="25"/>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_Toc2105 </w:instrText>
      </w:r>
      <w:r>
        <w:rPr>
          <w:rFonts w:hint="eastAsia" w:ascii="宋体" w:hAnsi="宋体" w:eastAsia="宋体" w:cs="宋体"/>
          <w:szCs w:val="24"/>
          <w:highlight w:val="none"/>
        </w:rPr>
        <w:fldChar w:fldCharType="separate"/>
      </w:r>
      <w:r>
        <w:rPr>
          <w:rFonts w:hint="eastAsia" w:eastAsia="宋体" w:asciiTheme="majorHAnsi" w:hAnsiTheme="majorHAnsi" w:cstheme="majorBidi"/>
          <w:bCs/>
          <w:kern w:val="2"/>
          <w:szCs w:val="28"/>
          <w:highlight w:val="none"/>
          <w:lang w:val="en-US" w:eastAsia="zh-CN" w:bidi="ar-SA"/>
        </w:rPr>
        <w:t>一、投标人须知前附表</w:t>
      </w:r>
      <w:r>
        <w:tab/>
      </w:r>
      <w:r>
        <w:fldChar w:fldCharType="begin"/>
      </w:r>
      <w:r>
        <w:instrText xml:space="preserve"> PAGEREF _Toc2105 \h </w:instrText>
      </w:r>
      <w:r>
        <w:fldChar w:fldCharType="separate"/>
      </w:r>
      <w:r>
        <w:t>1</w:t>
      </w:r>
      <w:r>
        <w:fldChar w:fldCharType="end"/>
      </w:r>
      <w:r>
        <w:rPr>
          <w:rFonts w:hint="eastAsia" w:ascii="宋体" w:hAnsi="宋体" w:eastAsia="宋体" w:cs="宋体"/>
          <w:color w:val="auto"/>
          <w:szCs w:val="24"/>
          <w:highlight w:val="none"/>
        </w:rPr>
        <w:fldChar w:fldCharType="end"/>
      </w:r>
    </w:p>
    <w:p w14:paraId="48361271">
      <w:pPr>
        <w:pStyle w:val="25"/>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_Toc28089 </w:instrText>
      </w:r>
      <w:r>
        <w:rPr>
          <w:rFonts w:hint="eastAsia" w:ascii="宋体" w:hAnsi="宋体" w:eastAsia="宋体" w:cs="宋体"/>
          <w:szCs w:val="24"/>
          <w:highlight w:val="none"/>
        </w:rPr>
        <w:fldChar w:fldCharType="separate"/>
      </w:r>
      <w:r>
        <w:rPr>
          <w:rFonts w:hint="eastAsia" w:eastAsia="宋体" w:asciiTheme="majorHAnsi" w:hAnsiTheme="majorHAnsi" w:cstheme="majorBidi"/>
          <w:bCs/>
          <w:kern w:val="2"/>
          <w:szCs w:val="28"/>
          <w:highlight w:val="none"/>
          <w:lang w:val="en-US" w:eastAsia="zh-CN" w:bidi="ar-SA"/>
        </w:rPr>
        <w:t>二、投标人须知</w:t>
      </w:r>
      <w:r>
        <w:tab/>
      </w:r>
      <w:r>
        <w:fldChar w:fldCharType="begin"/>
      </w:r>
      <w:r>
        <w:instrText xml:space="preserve"> PAGEREF _Toc28089 \h </w:instrText>
      </w:r>
      <w:r>
        <w:fldChar w:fldCharType="separate"/>
      </w:r>
      <w:r>
        <w:t>7</w:t>
      </w:r>
      <w:r>
        <w:fldChar w:fldCharType="end"/>
      </w:r>
      <w:r>
        <w:rPr>
          <w:rFonts w:hint="eastAsia" w:ascii="宋体" w:hAnsi="宋体" w:eastAsia="宋体" w:cs="宋体"/>
          <w:color w:val="auto"/>
          <w:szCs w:val="24"/>
          <w:highlight w:val="none"/>
        </w:rPr>
        <w:fldChar w:fldCharType="end"/>
      </w:r>
    </w:p>
    <w:p w14:paraId="311BB99B">
      <w:pPr>
        <w:pStyle w:val="2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_Toc26416 </w:instrText>
      </w:r>
      <w:r>
        <w:rPr>
          <w:rFonts w:hint="eastAsia" w:ascii="宋体" w:hAnsi="宋体" w:eastAsia="宋体" w:cs="宋体"/>
          <w:szCs w:val="24"/>
          <w:highlight w:val="none"/>
        </w:rPr>
        <w:fldChar w:fldCharType="separate"/>
      </w:r>
      <w:r>
        <w:rPr>
          <w:rFonts w:hint="eastAsia" w:eastAsia="宋体" w:cs="宋体"/>
          <w:bCs/>
          <w:kern w:val="44"/>
          <w:szCs w:val="36"/>
          <w:highlight w:val="none"/>
          <w:lang w:val="en-US" w:eastAsia="zh-CN" w:bidi="ar-SA"/>
        </w:rPr>
        <w:t xml:space="preserve">第三章 </w:t>
      </w:r>
      <w:r>
        <w:rPr>
          <w:rFonts w:hint="eastAsia" w:ascii="宋体" w:hAnsi="宋体" w:eastAsia="宋体" w:cs="宋体"/>
          <w:bCs/>
          <w:kern w:val="44"/>
          <w:szCs w:val="36"/>
          <w:highlight w:val="none"/>
          <w:lang w:val="en-US" w:eastAsia="zh-CN" w:bidi="ar-SA"/>
        </w:rPr>
        <w:t>采购需求</w:t>
      </w:r>
      <w:r>
        <w:tab/>
      </w:r>
      <w:r>
        <w:fldChar w:fldCharType="begin"/>
      </w:r>
      <w:r>
        <w:instrText xml:space="preserve"> PAGEREF _Toc26416 \h </w:instrText>
      </w:r>
      <w:r>
        <w:fldChar w:fldCharType="separate"/>
      </w:r>
      <w:r>
        <w:t>35</w:t>
      </w:r>
      <w:r>
        <w:fldChar w:fldCharType="end"/>
      </w:r>
      <w:r>
        <w:rPr>
          <w:rFonts w:hint="eastAsia" w:ascii="宋体" w:hAnsi="宋体" w:eastAsia="宋体" w:cs="宋体"/>
          <w:color w:val="auto"/>
          <w:szCs w:val="24"/>
          <w:highlight w:val="none"/>
        </w:rPr>
        <w:fldChar w:fldCharType="end"/>
      </w:r>
    </w:p>
    <w:p w14:paraId="2560703F">
      <w:pPr>
        <w:pStyle w:val="2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_Toc21780 </w:instrText>
      </w:r>
      <w:r>
        <w:rPr>
          <w:rFonts w:hint="eastAsia" w:ascii="宋体" w:hAnsi="宋体" w:eastAsia="宋体" w:cs="宋体"/>
          <w:szCs w:val="24"/>
          <w:highlight w:val="none"/>
        </w:rPr>
        <w:fldChar w:fldCharType="separate"/>
      </w:r>
      <w:r>
        <w:rPr>
          <w:rFonts w:hint="eastAsia" w:ascii="宋体" w:hAnsi="宋体" w:eastAsia="宋体" w:cs="宋体"/>
          <w:bCs/>
          <w:kern w:val="44"/>
          <w:szCs w:val="36"/>
          <w:highlight w:val="none"/>
          <w:lang w:val="en-US" w:eastAsia="zh-CN" w:bidi="ar-SA"/>
        </w:rPr>
        <w:t>项目概述</w:t>
      </w:r>
      <w:r>
        <w:tab/>
      </w:r>
      <w:r>
        <w:fldChar w:fldCharType="begin"/>
      </w:r>
      <w:r>
        <w:instrText xml:space="preserve"> PAGEREF _Toc21780 \h </w:instrText>
      </w:r>
      <w:r>
        <w:fldChar w:fldCharType="separate"/>
      </w:r>
      <w:r>
        <w:t>35</w:t>
      </w:r>
      <w:r>
        <w:fldChar w:fldCharType="end"/>
      </w:r>
      <w:r>
        <w:rPr>
          <w:rFonts w:hint="eastAsia" w:ascii="宋体" w:hAnsi="宋体" w:eastAsia="宋体" w:cs="宋体"/>
          <w:color w:val="auto"/>
          <w:szCs w:val="24"/>
          <w:highlight w:val="none"/>
        </w:rPr>
        <w:fldChar w:fldCharType="end"/>
      </w:r>
    </w:p>
    <w:p w14:paraId="10BE3455">
      <w:pPr>
        <w:pStyle w:val="2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_Toc13314 </w:instrText>
      </w:r>
      <w:r>
        <w:rPr>
          <w:rFonts w:hint="eastAsia" w:ascii="宋体" w:hAnsi="宋体" w:eastAsia="宋体" w:cs="宋体"/>
          <w:szCs w:val="24"/>
          <w:highlight w:val="none"/>
        </w:rPr>
        <w:fldChar w:fldCharType="separate"/>
      </w:r>
      <w:r>
        <w:rPr>
          <w:rFonts w:hint="eastAsia" w:ascii="宋体" w:hAnsi="宋体" w:eastAsia="宋体" w:cs="宋体"/>
          <w:szCs w:val="24"/>
        </w:rPr>
        <w:t>总体设计与技术要求</w:t>
      </w:r>
      <w:r>
        <w:tab/>
      </w:r>
      <w:r>
        <w:fldChar w:fldCharType="begin"/>
      </w:r>
      <w:r>
        <w:instrText xml:space="preserve"> PAGEREF _Toc13314 \h </w:instrText>
      </w:r>
      <w:r>
        <w:fldChar w:fldCharType="separate"/>
      </w:r>
      <w:r>
        <w:t>36</w:t>
      </w:r>
      <w:r>
        <w:fldChar w:fldCharType="end"/>
      </w:r>
      <w:r>
        <w:rPr>
          <w:rFonts w:hint="eastAsia" w:ascii="宋体" w:hAnsi="宋体" w:eastAsia="宋体" w:cs="宋体"/>
          <w:color w:val="auto"/>
          <w:szCs w:val="24"/>
          <w:highlight w:val="none"/>
        </w:rPr>
        <w:fldChar w:fldCharType="end"/>
      </w:r>
    </w:p>
    <w:p w14:paraId="3CFF7728">
      <w:pPr>
        <w:pStyle w:val="25"/>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_Toc14104 </w:instrText>
      </w:r>
      <w:r>
        <w:rPr>
          <w:rFonts w:hint="eastAsia" w:ascii="宋体" w:hAnsi="宋体" w:eastAsia="宋体" w:cs="宋体"/>
          <w:szCs w:val="24"/>
          <w:highlight w:val="none"/>
        </w:rPr>
        <w:fldChar w:fldCharType="separate"/>
      </w:r>
      <w:r>
        <w:rPr>
          <w:rFonts w:hint="eastAsia" w:ascii="宋体" w:hAnsi="宋体" w:eastAsia="宋体" w:cs="宋体"/>
          <w:bCs/>
          <w:kern w:val="2"/>
          <w:szCs w:val="24"/>
          <w:highlight w:val="none"/>
          <w:lang w:val="en-US" w:eastAsia="zh-CN" w:bidi="ar-SA"/>
        </w:rPr>
        <w:t>验收、售后服务与技术要求</w:t>
      </w:r>
      <w:r>
        <w:tab/>
      </w:r>
      <w:r>
        <w:fldChar w:fldCharType="begin"/>
      </w:r>
      <w:r>
        <w:instrText xml:space="preserve"> PAGEREF _Toc14104 \h </w:instrText>
      </w:r>
      <w:r>
        <w:fldChar w:fldCharType="separate"/>
      </w:r>
      <w:r>
        <w:t>42</w:t>
      </w:r>
      <w:r>
        <w:fldChar w:fldCharType="end"/>
      </w:r>
      <w:r>
        <w:rPr>
          <w:rFonts w:hint="eastAsia" w:ascii="宋体" w:hAnsi="宋体" w:eastAsia="宋体" w:cs="宋体"/>
          <w:color w:val="auto"/>
          <w:szCs w:val="24"/>
          <w:highlight w:val="none"/>
        </w:rPr>
        <w:fldChar w:fldCharType="end"/>
      </w:r>
    </w:p>
    <w:p w14:paraId="07DED38E">
      <w:pPr>
        <w:pStyle w:val="2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_Toc16679 </w:instrText>
      </w:r>
      <w:r>
        <w:rPr>
          <w:rFonts w:hint="eastAsia" w:ascii="宋体" w:hAnsi="宋体" w:eastAsia="宋体" w:cs="宋体"/>
          <w:szCs w:val="24"/>
          <w:highlight w:val="none"/>
        </w:rPr>
        <w:fldChar w:fldCharType="separate"/>
      </w:r>
      <w:r>
        <w:rPr>
          <w:rFonts w:hint="eastAsia" w:cs="Times New Roman"/>
          <w:szCs w:val="32"/>
          <w:lang w:val="en-US" w:eastAsia="zh-CN"/>
        </w:rPr>
        <w:t>采购清单</w:t>
      </w:r>
      <w:r>
        <w:tab/>
      </w:r>
      <w:r>
        <w:fldChar w:fldCharType="begin"/>
      </w:r>
      <w:r>
        <w:instrText xml:space="preserve"> PAGEREF _Toc16679 \h </w:instrText>
      </w:r>
      <w:r>
        <w:fldChar w:fldCharType="separate"/>
      </w:r>
      <w:r>
        <w:t>43</w:t>
      </w:r>
      <w:r>
        <w:fldChar w:fldCharType="end"/>
      </w:r>
      <w:r>
        <w:rPr>
          <w:rFonts w:hint="eastAsia" w:ascii="宋体" w:hAnsi="宋体" w:eastAsia="宋体" w:cs="宋体"/>
          <w:color w:val="auto"/>
          <w:szCs w:val="24"/>
          <w:highlight w:val="none"/>
        </w:rPr>
        <w:fldChar w:fldCharType="end"/>
      </w:r>
    </w:p>
    <w:p w14:paraId="1B6159FB">
      <w:pPr>
        <w:pStyle w:val="2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_Toc20537 </w:instrText>
      </w:r>
      <w:r>
        <w:rPr>
          <w:rFonts w:hint="eastAsia" w:ascii="宋体" w:hAnsi="宋体" w:eastAsia="宋体" w:cs="宋体"/>
          <w:szCs w:val="24"/>
          <w:highlight w:val="none"/>
        </w:rPr>
        <w:fldChar w:fldCharType="separate"/>
      </w:r>
      <w:r>
        <w:rPr>
          <w:rFonts w:hint="eastAsia" w:ascii="宋体" w:hAnsi="宋体" w:eastAsia="宋体" w:cs="宋体"/>
          <w:bCs/>
          <w:kern w:val="44"/>
          <w:szCs w:val="36"/>
          <w:highlight w:val="none"/>
          <w:lang w:val="en-US" w:eastAsia="zh-CN" w:bidi="ar-SA"/>
        </w:rPr>
        <w:t>第四章 资格审查</w:t>
      </w:r>
      <w:r>
        <w:tab/>
      </w:r>
      <w:r>
        <w:fldChar w:fldCharType="begin"/>
      </w:r>
      <w:r>
        <w:instrText xml:space="preserve"> PAGEREF _Toc20537 \h </w:instrText>
      </w:r>
      <w:r>
        <w:fldChar w:fldCharType="separate"/>
      </w:r>
      <w:r>
        <w:t>- 45 -</w:t>
      </w:r>
      <w:r>
        <w:fldChar w:fldCharType="end"/>
      </w:r>
      <w:r>
        <w:rPr>
          <w:rFonts w:hint="eastAsia" w:ascii="宋体" w:hAnsi="宋体" w:eastAsia="宋体" w:cs="宋体"/>
          <w:color w:val="auto"/>
          <w:szCs w:val="24"/>
          <w:highlight w:val="none"/>
        </w:rPr>
        <w:fldChar w:fldCharType="end"/>
      </w:r>
    </w:p>
    <w:p w14:paraId="4CAC615D">
      <w:pPr>
        <w:pStyle w:val="25"/>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_Toc9651 </w:instrText>
      </w:r>
      <w:r>
        <w:rPr>
          <w:rFonts w:hint="eastAsia" w:ascii="宋体" w:hAnsi="宋体" w:eastAsia="宋体" w:cs="宋体"/>
          <w:szCs w:val="24"/>
          <w:highlight w:val="none"/>
        </w:rPr>
        <w:fldChar w:fldCharType="separate"/>
      </w:r>
      <w:r>
        <w:rPr>
          <w:rFonts w:hint="eastAsia"/>
          <w:szCs w:val="28"/>
          <w:highlight w:val="none"/>
          <w:lang w:val="en-US" w:eastAsia="zh-CN"/>
        </w:rPr>
        <w:t>一、资格审查程序</w:t>
      </w:r>
      <w:r>
        <w:tab/>
      </w:r>
      <w:r>
        <w:fldChar w:fldCharType="begin"/>
      </w:r>
      <w:r>
        <w:instrText xml:space="preserve"> PAGEREF _Toc9651 \h </w:instrText>
      </w:r>
      <w:r>
        <w:fldChar w:fldCharType="separate"/>
      </w:r>
      <w:r>
        <w:t>- 45 -</w:t>
      </w:r>
      <w:r>
        <w:fldChar w:fldCharType="end"/>
      </w:r>
      <w:r>
        <w:rPr>
          <w:rFonts w:hint="eastAsia" w:ascii="宋体" w:hAnsi="宋体" w:eastAsia="宋体" w:cs="宋体"/>
          <w:color w:val="auto"/>
          <w:szCs w:val="24"/>
          <w:highlight w:val="none"/>
        </w:rPr>
        <w:fldChar w:fldCharType="end"/>
      </w:r>
    </w:p>
    <w:p w14:paraId="6E00E6AB">
      <w:pPr>
        <w:pStyle w:val="25"/>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_Toc15844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lang w:val="en-US" w:eastAsia="zh-CN"/>
        </w:rPr>
        <w:t>二、资格审查要求</w:t>
      </w:r>
      <w:r>
        <w:tab/>
      </w:r>
      <w:r>
        <w:fldChar w:fldCharType="begin"/>
      </w:r>
      <w:r>
        <w:instrText xml:space="preserve"> PAGEREF _Toc15844 \h </w:instrText>
      </w:r>
      <w:r>
        <w:fldChar w:fldCharType="separate"/>
      </w:r>
      <w:r>
        <w:t>- 45 -</w:t>
      </w:r>
      <w:r>
        <w:fldChar w:fldCharType="end"/>
      </w:r>
      <w:r>
        <w:rPr>
          <w:rFonts w:hint="eastAsia" w:ascii="宋体" w:hAnsi="宋体" w:eastAsia="宋体" w:cs="宋体"/>
          <w:color w:val="auto"/>
          <w:szCs w:val="24"/>
          <w:highlight w:val="none"/>
        </w:rPr>
        <w:fldChar w:fldCharType="end"/>
      </w:r>
    </w:p>
    <w:p w14:paraId="10E00BDB">
      <w:pPr>
        <w:pStyle w:val="2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_Toc2404 </w:instrText>
      </w:r>
      <w:r>
        <w:rPr>
          <w:rFonts w:hint="eastAsia" w:ascii="宋体" w:hAnsi="宋体" w:eastAsia="宋体" w:cs="宋体"/>
          <w:szCs w:val="24"/>
          <w:highlight w:val="none"/>
        </w:rPr>
        <w:fldChar w:fldCharType="separate"/>
      </w:r>
      <w:r>
        <w:rPr>
          <w:rFonts w:hint="eastAsia" w:ascii="宋体" w:hAnsi="宋体" w:eastAsia="宋体" w:cs="宋体"/>
          <w:bCs/>
          <w:kern w:val="44"/>
          <w:szCs w:val="36"/>
          <w:highlight w:val="none"/>
          <w:lang w:val="en-US" w:eastAsia="zh-CN" w:bidi="ar-SA"/>
        </w:rPr>
        <w:t>第五章 评标方法及标准(综合评分法)</w:t>
      </w:r>
      <w:r>
        <w:tab/>
      </w:r>
      <w:r>
        <w:fldChar w:fldCharType="begin"/>
      </w:r>
      <w:r>
        <w:instrText xml:space="preserve"> PAGEREF _Toc2404 \h </w:instrText>
      </w:r>
      <w:r>
        <w:fldChar w:fldCharType="separate"/>
      </w:r>
      <w:r>
        <w:t>- 47 -</w:t>
      </w:r>
      <w:r>
        <w:fldChar w:fldCharType="end"/>
      </w:r>
      <w:r>
        <w:rPr>
          <w:rFonts w:hint="eastAsia" w:ascii="宋体" w:hAnsi="宋体" w:eastAsia="宋体" w:cs="宋体"/>
          <w:color w:val="auto"/>
          <w:szCs w:val="24"/>
          <w:highlight w:val="none"/>
        </w:rPr>
        <w:fldChar w:fldCharType="end"/>
      </w:r>
    </w:p>
    <w:p w14:paraId="47E2829D">
      <w:pPr>
        <w:pStyle w:val="25"/>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_Toc4314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lang w:val="zh-CN" w:eastAsia="zh-CN"/>
        </w:rPr>
        <w:t>一、评标</w:t>
      </w:r>
      <w:r>
        <w:rPr>
          <w:rFonts w:hint="eastAsia" w:ascii="宋体" w:hAnsi="宋体" w:eastAsia="宋体" w:cs="宋体"/>
          <w:szCs w:val="28"/>
          <w:highlight w:val="none"/>
          <w:lang w:val="en-US" w:eastAsia="zh-CN"/>
        </w:rPr>
        <w:t>方</w:t>
      </w:r>
      <w:r>
        <w:rPr>
          <w:rFonts w:hint="eastAsia" w:ascii="宋体" w:hAnsi="宋体" w:eastAsia="宋体" w:cs="宋体"/>
          <w:szCs w:val="28"/>
          <w:highlight w:val="none"/>
          <w:lang w:val="zh-CN" w:eastAsia="zh-CN"/>
        </w:rPr>
        <w:t>法</w:t>
      </w:r>
      <w:r>
        <w:tab/>
      </w:r>
      <w:r>
        <w:fldChar w:fldCharType="begin"/>
      </w:r>
      <w:r>
        <w:instrText xml:space="preserve"> PAGEREF _Toc4314 \h </w:instrText>
      </w:r>
      <w:r>
        <w:fldChar w:fldCharType="separate"/>
      </w:r>
      <w:r>
        <w:t>- 47 -</w:t>
      </w:r>
      <w:r>
        <w:fldChar w:fldCharType="end"/>
      </w:r>
      <w:r>
        <w:rPr>
          <w:rFonts w:hint="eastAsia" w:ascii="宋体" w:hAnsi="宋体" w:eastAsia="宋体" w:cs="宋体"/>
          <w:color w:val="auto"/>
          <w:szCs w:val="24"/>
          <w:highlight w:val="none"/>
        </w:rPr>
        <w:fldChar w:fldCharType="end"/>
      </w:r>
    </w:p>
    <w:p w14:paraId="2BF1E8F1">
      <w:pPr>
        <w:pStyle w:val="25"/>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_Toc2569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lang w:val="en-US" w:eastAsia="zh-CN"/>
        </w:rPr>
        <w:t>二</w:t>
      </w:r>
      <w:r>
        <w:rPr>
          <w:rFonts w:hint="eastAsia" w:ascii="宋体" w:hAnsi="宋体" w:eastAsia="宋体" w:cs="宋体"/>
          <w:szCs w:val="28"/>
          <w:highlight w:val="none"/>
          <w:lang w:val="zh-CN" w:eastAsia="zh-CN"/>
        </w:rPr>
        <w:t>、评标程序</w:t>
      </w:r>
      <w:r>
        <w:tab/>
      </w:r>
      <w:r>
        <w:fldChar w:fldCharType="begin"/>
      </w:r>
      <w:r>
        <w:instrText xml:space="preserve"> PAGEREF _Toc2569 \h </w:instrText>
      </w:r>
      <w:r>
        <w:fldChar w:fldCharType="separate"/>
      </w:r>
      <w:r>
        <w:t>- 47 -</w:t>
      </w:r>
      <w:r>
        <w:fldChar w:fldCharType="end"/>
      </w:r>
      <w:r>
        <w:rPr>
          <w:rFonts w:hint="eastAsia" w:ascii="宋体" w:hAnsi="宋体" w:eastAsia="宋体" w:cs="宋体"/>
          <w:color w:val="auto"/>
          <w:szCs w:val="24"/>
          <w:highlight w:val="none"/>
        </w:rPr>
        <w:fldChar w:fldCharType="end"/>
      </w:r>
    </w:p>
    <w:p w14:paraId="14382741">
      <w:pPr>
        <w:pStyle w:val="25"/>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_Toc18295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lang w:val="zh-CN" w:eastAsia="zh-CN"/>
        </w:rPr>
        <w:t>三、评标</w:t>
      </w:r>
      <w:r>
        <w:rPr>
          <w:rFonts w:hint="eastAsia" w:ascii="宋体" w:hAnsi="宋体" w:eastAsia="宋体" w:cs="宋体"/>
          <w:szCs w:val="28"/>
          <w:highlight w:val="none"/>
          <w:lang w:val="en-US" w:eastAsia="zh-CN"/>
        </w:rPr>
        <w:t>其他要求</w:t>
      </w:r>
      <w:r>
        <w:tab/>
      </w:r>
      <w:r>
        <w:fldChar w:fldCharType="begin"/>
      </w:r>
      <w:r>
        <w:instrText xml:space="preserve"> PAGEREF _Toc18295 \h </w:instrText>
      </w:r>
      <w:r>
        <w:fldChar w:fldCharType="separate"/>
      </w:r>
      <w:r>
        <w:t>- 53 -</w:t>
      </w:r>
      <w:r>
        <w:fldChar w:fldCharType="end"/>
      </w:r>
      <w:r>
        <w:rPr>
          <w:rFonts w:hint="eastAsia" w:ascii="宋体" w:hAnsi="宋体" w:eastAsia="宋体" w:cs="宋体"/>
          <w:color w:val="auto"/>
          <w:szCs w:val="24"/>
          <w:highlight w:val="none"/>
        </w:rPr>
        <w:fldChar w:fldCharType="end"/>
      </w:r>
    </w:p>
    <w:p w14:paraId="17218A98">
      <w:pPr>
        <w:pStyle w:val="25"/>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_Toc19761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lang w:val="en-US" w:eastAsia="zh-CN"/>
        </w:rPr>
        <w:t>四</w:t>
      </w:r>
      <w:r>
        <w:rPr>
          <w:rFonts w:hint="eastAsia" w:ascii="宋体" w:hAnsi="宋体" w:eastAsia="宋体" w:cs="宋体"/>
          <w:szCs w:val="28"/>
          <w:highlight w:val="none"/>
          <w:lang w:val="zh-CN" w:eastAsia="zh-CN"/>
        </w:rPr>
        <w:t>、评标标准</w:t>
      </w:r>
      <w:r>
        <w:tab/>
      </w:r>
      <w:r>
        <w:fldChar w:fldCharType="begin"/>
      </w:r>
      <w:r>
        <w:instrText xml:space="preserve"> PAGEREF _Toc19761 \h </w:instrText>
      </w:r>
      <w:r>
        <w:fldChar w:fldCharType="separate"/>
      </w:r>
      <w:r>
        <w:t>- 54 -</w:t>
      </w:r>
      <w:r>
        <w:fldChar w:fldCharType="end"/>
      </w:r>
      <w:r>
        <w:rPr>
          <w:rFonts w:hint="eastAsia" w:ascii="宋体" w:hAnsi="宋体" w:eastAsia="宋体" w:cs="宋体"/>
          <w:color w:val="auto"/>
          <w:szCs w:val="24"/>
          <w:highlight w:val="none"/>
        </w:rPr>
        <w:fldChar w:fldCharType="end"/>
      </w:r>
    </w:p>
    <w:p w14:paraId="1DDD881F">
      <w:pPr>
        <w:pStyle w:val="2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_Toc5927 </w:instrText>
      </w:r>
      <w:r>
        <w:rPr>
          <w:rFonts w:hint="eastAsia" w:ascii="宋体" w:hAnsi="宋体" w:eastAsia="宋体" w:cs="宋体"/>
          <w:szCs w:val="24"/>
          <w:highlight w:val="none"/>
        </w:rPr>
        <w:fldChar w:fldCharType="separate"/>
      </w:r>
      <w:r>
        <w:rPr>
          <w:rFonts w:hint="eastAsia" w:ascii="宋体" w:hAnsi="宋体" w:eastAsia="宋体" w:cs="宋体"/>
          <w:bCs/>
          <w:kern w:val="44"/>
          <w:szCs w:val="36"/>
          <w:highlight w:val="none"/>
          <w:lang w:val="zh-CN" w:eastAsia="zh-CN" w:bidi="ar-SA"/>
        </w:rPr>
        <w:t>第六章 合同草案</w:t>
      </w:r>
      <w:r>
        <w:tab/>
      </w:r>
      <w:r>
        <w:fldChar w:fldCharType="begin"/>
      </w:r>
      <w:r>
        <w:instrText xml:space="preserve"> PAGEREF _Toc5927 \h </w:instrText>
      </w:r>
      <w:r>
        <w:fldChar w:fldCharType="separate"/>
      </w:r>
      <w:r>
        <w:t>- 58 -</w:t>
      </w:r>
      <w:r>
        <w:fldChar w:fldCharType="end"/>
      </w:r>
      <w:r>
        <w:rPr>
          <w:rFonts w:hint="eastAsia" w:ascii="宋体" w:hAnsi="宋体" w:eastAsia="宋体" w:cs="宋体"/>
          <w:color w:val="auto"/>
          <w:szCs w:val="24"/>
          <w:highlight w:val="none"/>
        </w:rPr>
        <w:fldChar w:fldCharType="end"/>
      </w:r>
    </w:p>
    <w:p w14:paraId="4328BD76">
      <w:pPr>
        <w:pStyle w:val="25"/>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_Toc10309 </w:instrText>
      </w:r>
      <w:r>
        <w:rPr>
          <w:rFonts w:hint="eastAsia" w:ascii="宋体" w:hAnsi="宋体" w:eastAsia="宋体" w:cs="宋体"/>
          <w:szCs w:val="24"/>
          <w:highlight w:val="none"/>
        </w:rPr>
        <w:fldChar w:fldCharType="separate"/>
      </w:r>
      <w:r>
        <w:rPr>
          <w:rFonts w:hint="eastAsia" w:ascii="仿宋" w:hAnsi="仿宋" w:eastAsia="仿宋" w:cs="仿宋"/>
          <w:bCs/>
          <w:i w:val="0"/>
          <w:iCs w:val="0"/>
          <w:spacing w:val="-20"/>
          <w:kern w:val="44"/>
          <w:szCs w:val="44"/>
          <w:highlight w:val="none"/>
          <w:lang w:val="en-US" w:eastAsia="zh-CN" w:bidi="ar-SA"/>
        </w:rPr>
        <w:t>政府采购合同参考范本</w:t>
      </w:r>
      <w:r>
        <w:tab/>
      </w:r>
      <w:r>
        <w:fldChar w:fldCharType="begin"/>
      </w:r>
      <w:r>
        <w:instrText xml:space="preserve"> PAGEREF _Toc10309 \h </w:instrText>
      </w:r>
      <w:r>
        <w:fldChar w:fldCharType="separate"/>
      </w:r>
      <w:r>
        <w:t>- 58 -</w:t>
      </w:r>
      <w:r>
        <w:fldChar w:fldCharType="end"/>
      </w:r>
      <w:r>
        <w:rPr>
          <w:rFonts w:hint="eastAsia" w:ascii="宋体" w:hAnsi="宋体" w:eastAsia="宋体" w:cs="宋体"/>
          <w:color w:val="auto"/>
          <w:szCs w:val="24"/>
          <w:highlight w:val="none"/>
        </w:rPr>
        <w:fldChar w:fldCharType="end"/>
      </w:r>
    </w:p>
    <w:p w14:paraId="00CB2113">
      <w:pPr>
        <w:pStyle w:val="25"/>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_Toc26268 </w:instrText>
      </w:r>
      <w:r>
        <w:rPr>
          <w:rFonts w:hint="eastAsia" w:ascii="宋体" w:hAnsi="宋体" w:eastAsia="宋体" w:cs="宋体"/>
          <w:szCs w:val="24"/>
          <w:highlight w:val="none"/>
        </w:rPr>
        <w:fldChar w:fldCharType="separate"/>
      </w:r>
      <w:r>
        <w:rPr>
          <w:rFonts w:hint="eastAsia" w:ascii="仿宋" w:hAnsi="仿宋" w:eastAsia="仿宋" w:cs="仿宋"/>
          <w:i w:val="0"/>
          <w:iCs w:val="0"/>
          <w:szCs w:val="36"/>
          <w:highlight w:val="none"/>
        </w:rPr>
        <w:t>第一部分 合同书</w:t>
      </w:r>
      <w:r>
        <w:tab/>
      </w:r>
      <w:r>
        <w:fldChar w:fldCharType="begin"/>
      </w:r>
      <w:r>
        <w:instrText xml:space="preserve"> PAGEREF _Toc26268 \h </w:instrText>
      </w:r>
      <w:r>
        <w:fldChar w:fldCharType="separate"/>
      </w:r>
      <w:r>
        <w:t>- 58 -</w:t>
      </w:r>
      <w:r>
        <w:fldChar w:fldCharType="end"/>
      </w:r>
      <w:r>
        <w:rPr>
          <w:rFonts w:hint="eastAsia" w:ascii="宋体" w:hAnsi="宋体" w:eastAsia="宋体" w:cs="宋体"/>
          <w:color w:val="auto"/>
          <w:szCs w:val="24"/>
          <w:highlight w:val="none"/>
        </w:rPr>
        <w:fldChar w:fldCharType="end"/>
      </w:r>
    </w:p>
    <w:p w14:paraId="6C67ED8E">
      <w:pPr>
        <w:pStyle w:val="22"/>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_Toc23159 </w:instrText>
      </w:r>
      <w:r>
        <w:rPr>
          <w:rFonts w:hint="eastAsia" w:ascii="宋体" w:hAnsi="宋体" w:eastAsia="宋体" w:cs="宋体"/>
          <w:szCs w:val="24"/>
          <w:highlight w:val="none"/>
        </w:rPr>
        <w:fldChar w:fldCharType="separate"/>
      </w:r>
      <w:r>
        <w:rPr>
          <w:rFonts w:hint="eastAsia" w:ascii="宋体" w:hAnsi="宋体" w:eastAsia="宋体" w:cs="宋体"/>
          <w:bCs/>
          <w:kern w:val="44"/>
          <w:szCs w:val="36"/>
          <w:highlight w:val="none"/>
          <w:lang w:val="en-US" w:eastAsia="zh-CN" w:bidi="ar-SA"/>
        </w:rPr>
        <w:t>第七章 投标文件格式</w:t>
      </w:r>
      <w:r>
        <w:tab/>
      </w:r>
      <w:r>
        <w:fldChar w:fldCharType="begin"/>
      </w:r>
      <w:r>
        <w:instrText xml:space="preserve"> PAGEREF _Toc23159 \h </w:instrText>
      </w:r>
      <w:r>
        <w:fldChar w:fldCharType="separate"/>
      </w:r>
      <w:r>
        <w:t>- 62 -</w:t>
      </w:r>
      <w:r>
        <w:fldChar w:fldCharType="end"/>
      </w:r>
      <w:r>
        <w:rPr>
          <w:rFonts w:hint="eastAsia" w:ascii="宋体" w:hAnsi="宋体" w:eastAsia="宋体" w:cs="宋体"/>
          <w:color w:val="auto"/>
          <w:szCs w:val="24"/>
          <w:highlight w:val="none"/>
        </w:rPr>
        <w:fldChar w:fldCharType="end"/>
      </w:r>
    </w:p>
    <w:p w14:paraId="3F08299F">
      <w:pPr>
        <w:pStyle w:val="25"/>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_Toc9847 </w:instrText>
      </w:r>
      <w:r>
        <w:rPr>
          <w:rFonts w:hint="eastAsia" w:ascii="宋体" w:hAnsi="宋体" w:eastAsia="宋体" w:cs="宋体"/>
          <w:szCs w:val="24"/>
          <w:highlight w:val="none"/>
        </w:rPr>
        <w:fldChar w:fldCharType="separate"/>
      </w:r>
      <w:r>
        <w:rPr>
          <w:rFonts w:hint="eastAsia" w:eastAsia="宋体" w:asciiTheme="majorHAnsi" w:hAnsiTheme="majorHAnsi" w:cstheme="majorBidi"/>
          <w:bCs/>
          <w:kern w:val="2"/>
          <w:szCs w:val="28"/>
          <w:highlight w:val="none"/>
          <w:lang w:val="en-US" w:eastAsia="zh-CN" w:bidi="ar-SA"/>
        </w:rPr>
        <w:t>一、满足《中华人民共和国政府采购法》第二十二条规定</w:t>
      </w:r>
      <w:r>
        <w:tab/>
      </w:r>
      <w:r>
        <w:fldChar w:fldCharType="begin"/>
      </w:r>
      <w:r>
        <w:instrText xml:space="preserve"> PAGEREF _Toc9847 \h </w:instrText>
      </w:r>
      <w:r>
        <w:fldChar w:fldCharType="separate"/>
      </w:r>
      <w:r>
        <w:t>- 64 -</w:t>
      </w:r>
      <w:r>
        <w:fldChar w:fldCharType="end"/>
      </w:r>
      <w:r>
        <w:rPr>
          <w:rFonts w:hint="eastAsia" w:ascii="宋体" w:hAnsi="宋体" w:eastAsia="宋体" w:cs="宋体"/>
          <w:color w:val="auto"/>
          <w:szCs w:val="24"/>
          <w:highlight w:val="none"/>
        </w:rPr>
        <w:fldChar w:fldCharType="end"/>
      </w:r>
    </w:p>
    <w:p w14:paraId="0ED42879">
      <w:pPr>
        <w:pStyle w:val="25"/>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_Toc28463 </w:instrText>
      </w:r>
      <w:r>
        <w:rPr>
          <w:rFonts w:hint="eastAsia" w:ascii="宋体" w:hAnsi="宋体" w:eastAsia="宋体" w:cs="宋体"/>
          <w:szCs w:val="24"/>
          <w:highlight w:val="none"/>
        </w:rPr>
        <w:fldChar w:fldCharType="separate"/>
      </w:r>
      <w:r>
        <w:rPr>
          <w:rFonts w:hint="eastAsia" w:eastAsia="宋体" w:cstheme="majorBidi"/>
          <w:bCs/>
          <w:kern w:val="2"/>
          <w:szCs w:val="24"/>
          <w:highlight w:val="none"/>
          <w:lang w:val="en-US" w:eastAsia="zh-CN" w:bidi="ar-SA"/>
        </w:rPr>
        <w:t>（二）兵团政府采购供应商信用承诺函</w:t>
      </w:r>
      <w:r>
        <w:tab/>
      </w:r>
      <w:r>
        <w:fldChar w:fldCharType="begin"/>
      </w:r>
      <w:r>
        <w:instrText xml:space="preserve"> PAGEREF _Toc28463 \h </w:instrText>
      </w:r>
      <w:r>
        <w:fldChar w:fldCharType="separate"/>
      </w:r>
      <w:r>
        <w:t>- 65 -</w:t>
      </w:r>
      <w:r>
        <w:fldChar w:fldCharType="end"/>
      </w:r>
      <w:r>
        <w:rPr>
          <w:rFonts w:hint="eastAsia" w:ascii="宋体" w:hAnsi="宋体" w:eastAsia="宋体" w:cs="宋体"/>
          <w:color w:val="auto"/>
          <w:szCs w:val="24"/>
          <w:highlight w:val="none"/>
        </w:rPr>
        <w:fldChar w:fldCharType="end"/>
      </w:r>
    </w:p>
    <w:p w14:paraId="5C3F4DE0">
      <w:pPr>
        <w:pStyle w:val="25"/>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_Toc25739 </w:instrText>
      </w:r>
      <w:r>
        <w:rPr>
          <w:rFonts w:hint="eastAsia" w:ascii="宋体" w:hAnsi="宋体" w:eastAsia="宋体" w:cs="宋体"/>
          <w:szCs w:val="24"/>
          <w:highlight w:val="none"/>
        </w:rPr>
        <w:fldChar w:fldCharType="separate"/>
      </w:r>
      <w:r>
        <w:rPr>
          <w:rFonts w:hint="eastAsia" w:cstheme="majorBidi"/>
          <w:bCs/>
          <w:kern w:val="2"/>
          <w:szCs w:val="28"/>
          <w:highlight w:val="none"/>
          <w:lang w:val="en-US" w:eastAsia="zh-CN" w:bidi="ar-SA"/>
        </w:rPr>
        <w:t>二</w:t>
      </w:r>
      <w:r>
        <w:rPr>
          <w:rFonts w:hint="eastAsia" w:eastAsia="宋体" w:asciiTheme="majorHAnsi" w:hAnsiTheme="majorHAnsi" w:cstheme="majorBidi"/>
          <w:bCs/>
          <w:kern w:val="2"/>
          <w:szCs w:val="28"/>
          <w:highlight w:val="none"/>
          <w:lang w:val="en-US" w:eastAsia="zh-CN" w:bidi="ar-SA"/>
        </w:rPr>
        <w:t>、落实政府采购政策相关证明文件</w:t>
      </w:r>
      <w:r>
        <w:tab/>
      </w:r>
      <w:r>
        <w:fldChar w:fldCharType="begin"/>
      </w:r>
      <w:r>
        <w:instrText xml:space="preserve"> PAGEREF _Toc25739 \h </w:instrText>
      </w:r>
      <w:r>
        <w:fldChar w:fldCharType="separate"/>
      </w:r>
      <w:r>
        <w:t>- 67 -</w:t>
      </w:r>
      <w:r>
        <w:fldChar w:fldCharType="end"/>
      </w:r>
      <w:r>
        <w:rPr>
          <w:rFonts w:hint="eastAsia" w:ascii="宋体" w:hAnsi="宋体" w:eastAsia="宋体" w:cs="宋体"/>
          <w:color w:val="auto"/>
          <w:szCs w:val="24"/>
          <w:highlight w:val="none"/>
        </w:rPr>
        <w:fldChar w:fldCharType="end"/>
      </w:r>
    </w:p>
    <w:p w14:paraId="1330412E">
      <w:pPr>
        <w:pStyle w:val="25"/>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_Toc21726 </w:instrText>
      </w:r>
      <w:r>
        <w:rPr>
          <w:rFonts w:hint="eastAsia" w:ascii="宋体" w:hAnsi="宋体" w:eastAsia="宋体" w:cs="宋体"/>
          <w:szCs w:val="24"/>
          <w:highlight w:val="none"/>
        </w:rPr>
        <w:fldChar w:fldCharType="separate"/>
      </w:r>
      <w:r>
        <w:rPr>
          <w:rFonts w:hint="eastAsia" w:cstheme="majorBidi"/>
          <w:bCs/>
          <w:kern w:val="2"/>
          <w:szCs w:val="28"/>
          <w:highlight w:val="none"/>
          <w:lang w:val="en-US" w:eastAsia="zh-CN" w:bidi="ar-SA"/>
        </w:rPr>
        <w:t>三、不参与围标串标承诺书</w:t>
      </w:r>
      <w:r>
        <w:tab/>
      </w:r>
      <w:r>
        <w:fldChar w:fldCharType="begin"/>
      </w:r>
      <w:r>
        <w:instrText xml:space="preserve"> PAGEREF _Toc21726 \h </w:instrText>
      </w:r>
      <w:r>
        <w:fldChar w:fldCharType="separate"/>
      </w:r>
      <w:r>
        <w:t>- 80 -</w:t>
      </w:r>
      <w:r>
        <w:fldChar w:fldCharType="end"/>
      </w:r>
      <w:r>
        <w:rPr>
          <w:rFonts w:hint="eastAsia" w:ascii="宋体" w:hAnsi="宋体" w:eastAsia="宋体" w:cs="宋体"/>
          <w:color w:val="auto"/>
          <w:szCs w:val="24"/>
          <w:highlight w:val="none"/>
        </w:rPr>
        <w:fldChar w:fldCharType="end"/>
      </w:r>
    </w:p>
    <w:p w14:paraId="241B8832">
      <w:pPr>
        <w:pStyle w:val="25"/>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_Toc5600 </w:instrText>
      </w:r>
      <w:r>
        <w:rPr>
          <w:rFonts w:hint="eastAsia" w:ascii="宋体" w:hAnsi="宋体" w:eastAsia="宋体" w:cs="宋体"/>
          <w:szCs w:val="24"/>
          <w:highlight w:val="none"/>
        </w:rPr>
        <w:fldChar w:fldCharType="separate"/>
      </w:r>
      <w:r>
        <w:rPr>
          <w:rFonts w:hint="eastAsia" w:cstheme="majorBidi"/>
          <w:bCs/>
          <w:kern w:val="2"/>
          <w:szCs w:val="28"/>
          <w:highlight w:val="none"/>
          <w:lang w:val="en-US" w:eastAsia="zh-CN" w:bidi="ar-SA"/>
        </w:rPr>
        <w:t>四</w:t>
      </w:r>
      <w:r>
        <w:rPr>
          <w:rFonts w:hint="eastAsia" w:eastAsia="宋体" w:asciiTheme="majorHAnsi" w:hAnsiTheme="majorHAnsi" w:cstheme="majorBidi"/>
          <w:bCs/>
          <w:kern w:val="2"/>
          <w:szCs w:val="28"/>
          <w:highlight w:val="none"/>
          <w:lang w:val="en-US" w:eastAsia="zh-CN" w:bidi="ar-SA"/>
        </w:rPr>
        <w:t>、</w:t>
      </w:r>
      <w:r>
        <w:rPr>
          <w:rFonts w:hint="eastAsia" w:eastAsia="宋体" w:asciiTheme="majorHAnsi" w:hAnsiTheme="majorHAnsi" w:cstheme="majorBidi"/>
          <w:bCs/>
          <w:kern w:val="2"/>
          <w:szCs w:val="28"/>
          <w:highlight w:val="none"/>
          <w:lang w:val="zh-CN" w:eastAsia="zh-CN" w:bidi="ar-SA"/>
        </w:rPr>
        <w:t>其他资格证明文件</w:t>
      </w:r>
      <w:r>
        <w:tab/>
      </w:r>
      <w:r>
        <w:fldChar w:fldCharType="begin"/>
      </w:r>
      <w:r>
        <w:instrText xml:space="preserve"> PAGEREF _Toc5600 \h </w:instrText>
      </w:r>
      <w:r>
        <w:fldChar w:fldCharType="separate"/>
      </w:r>
      <w:r>
        <w:t>- 81 -</w:t>
      </w:r>
      <w:r>
        <w:fldChar w:fldCharType="end"/>
      </w:r>
      <w:r>
        <w:rPr>
          <w:rFonts w:hint="eastAsia" w:ascii="宋体" w:hAnsi="宋体" w:eastAsia="宋体" w:cs="宋体"/>
          <w:color w:val="auto"/>
          <w:szCs w:val="24"/>
          <w:highlight w:val="none"/>
        </w:rPr>
        <w:fldChar w:fldCharType="end"/>
      </w:r>
    </w:p>
    <w:p w14:paraId="15E0F6FE">
      <w:pPr>
        <w:pStyle w:val="25"/>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_Toc21339 </w:instrText>
      </w:r>
      <w:r>
        <w:rPr>
          <w:rFonts w:hint="eastAsia" w:ascii="宋体" w:hAnsi="宋体" w:eastAsia="宋体" w:cs="宋体"/>
          <w:szCs w:val="24"/>
          <w:highlight w:val="none"/>
        </w:rPr>
        <w:fldChar w:fldCharType="separate"/>
      </w:r>
      <w:r>
        <w:rPr>
          <w:rFonts w:hint="eastAsia" w:cstheme="majorBidi"/>
          <w:bCs/>
          <w:kern w:val="2"/>
          <w:szCs w:val="32"/>
          <w:highlight w:val="none"/>
          <w:lang w:val="en-US" w:eastAsia="zh-CN" w:bidi="ar-SA"/>
        </w:rPr>
        <w:t>一、开标一览表</w:t>
      </w:r>
      <w:r>
        <w:tab/>
      </w:r>
      <w:r>
        <w:fldChar w:fldCharType="begin"/>
      </w:r>
      <w:r>
        <w:instrText xml:space="preserve"> PAGEREF _Toc21339 \h </w:instrText>
      </w:r>
      <w:r>
        <w:fldChar w:fldCharType="separate"/>
      </w:r>
      <w:r>
        <w:t>- 83 -</w:t>
      </w:r>
      <w:r>
        <w:fldChar w:fldCharType="end"/>
      </w:r>
      <w:r>
        <w:rPr>
          <w:rFonts w:hint="eastAsia" w:ascii="宋体" w:hAnsi="宋体" w:eastAsia="宋体" w:cs="宋体"/>
          <w:color w:val="auto"/>
          <w:szCs w:val="24"/>
          <w:highlight w:val="none"/>
        </w:rPr>
        <w:fldChar w:fldCharType="end"/>
      </w:r>
    </w:p>
    <w:p w14:paraId="1EA953CE">
      <w:pPr>
        <w:pStyle w:val="25"/>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_Toc13851 </w:instrText>
      </w:r>
      <w:r>
        <w:rPr>
          <w:rFonts w:hint="eastAsia" w:ascii="宋体" w:hAnsi="宋体" w:eastAsia="宋体" w:cs="宋体"/>
          <w:szCs w:val="24"/>
          <w:highlight w:val="none"/>
        </w:rPr>
        <w:fldChar w:fldCharType="separate"/>
      </w:r>
      <w:r>
        <w:rPr>
          <w:rFonts w:hint="eastAsia" w:cstheme="majorBidi"/>
          <w:bCs/>
          <w:kern w:val="2"/>
          <w:szCs w:val="32"/>
          <w:highlight w:val="none"/>
          <w:lang w:val="en-US" w:eastAsia="zh-CN" w:bidi="ar-SA"/>
        </w:rPr>
        <w:t>二、分项报价表</w:t>
      </w:r>
      <w:r>
        <w:tab/>
      </w:r>
      <w:r>
        <w:fldChar w:fldCharType="begin"/>
      </w:r>
      <w:r>
        <w:instrText xml:space="preserve"> PAGEREF _Toc13851 \h </w:instrText>
      </w:r>
      <w:r>
        <w:fldChar w:fldCharType="separate"/>
      </w:r>
      <w:r>
        <w:t>- 84 -</w:t>
      </w:r>
      <w:r>
        <w:fldChar w:fldCharType="end"/>
      </w:r>
      <w:r>
        <w:rPr>
          <w:rFonts w:hint="eastAsia" w:ascii="宋体" w:hAnsi="宋体" w:eastAsia="宋体" w:cs="宋体"/>
          <w:color w:val="auto"/>
          <w:szCs w:val="24"/>
          <w:highlight w:val="none"/>
        </w:rPr>
        <w:fldChar w:fldCharType="end"/>
      </w:r>
    </w:p>
    <w:p w14:paraId="1AEA401D">
      <w:pPr>
        <w:pStyle w:val="25"/>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_Toc9782 </w:instrText>
      </w:r>
      <w:r>
        <w:rPr>
          <w:rFonts w:hint="eastAsia" w:ascii="宋体" w:hAnsi="宋体" w:eastAsia="宋体" w:cs="宋体"/>
          <w:szCs w:val="24"/>
          <w:highlight w:val="none"/>
        </w:rPr>
        <w:fldChar w:fldCharType="separate"/>
      </w:r>
      <w:r>
        <w:rPr>
          <w:rFonts w:hint="eastAsia" w:eastAsia="宋体" w:asciiTheme="majorHAnsi" w:hAnsiTheme="majorHAnsi" w:cstheme="majorBidi"/>
          <w:bCs/>
          <w:kern w:val="2"/>
          <w:szCs w:val="32"/>
          <w:highlight w:val="none"/>
          <w:lang w:val="en-US" w:eastAsia="zh-CN" w:bidi="ar-SA"/>
        </w:rPr>
        <w:t>一、投标函</w:t>
      </w:r>
      <w:r>
        <w:tab/>
      </w:r>
      <w:r>
        <w:fldChar w:fldCharType="begin"/>
      </w:r>
      <w:r>
        <w:instrText xml:space="preserve"> PAGEREF _Toc9782 \h </w:instrText>
      </w:r>
      <w:r>
        <w:fldChar w:fldCharType="separate"/>
      </w:r>
      <w:r>
        <w:t>- 87 -</w:t>
      </w:r>
      <w:r>
        <w:fldChar w:fldCharType="end"/>
      </w:r>
      <w:r>
        <w:rPr>
          <w:rFonts w:hint="eastAsia" w:ascii="宋体" w:hAnsi="宋体" w:eastAsia="宋体" w:cs="宋体"/>
          <w:color w:val="auto"/>
          <w:szCs w:val="24"/>
          <w:highlight w:val="none"/>
        </w:rPr>
        <w:fldChar w:fldCharType="end"/>
      </w:r>
    </w:p>
    <w:p w14:paraId="519801CE">
      <w:pPr>
        <w:pStyle w:val="25"/>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_Toc3844 </w:instrText>
      </w:r>
      <w:r>
        <w:rPr>
          <w:rFonts w:hint="eastAsia" w:ascii="宋体" w:hAnsi="宋体" w:eastAsia="宋体" w:cs="宋体"/>
          <w:szCs w:val="24"/>
          <w:highlight w:val="none"/>
        </w:rPr>
        <w:fldChar w:fldCharType="separate"/>
      </w:r>
      <w:r>
        <w:rPr>
          <w:rFonts w:hint="eastAsia" w:cstheme="majorBidi"/>
          <w:bCs/>
          <w:kern w:val="2"/>
          <w:szCs w:val="32"/>
          <w:highlight w:val="none"/>
          <w:lang w:val="en-US" w:eastAsia="zh-CN" w:bidi="ar-SA"/>
        </w:rPr>
        <w:t>二</w:t>
      </w:r>
      <w:r>
        <w:rPr>
          <w:rFonts w:hint="eastAsia" w:eastAsia="宋体" w:asciiTheme="majorHAnsi" w:hAnsiTheme="majorHAnsi" w:cstheme="majorBidi"/>
          <w:bCs/>
          <w:kern w:val="2"/>
          <w:szCs w:val="32"/>
          <w:highlight w:val="none"/>
          <w:lang w:val="en-US" w:eastAsia="zh-CN" w:bidi="ar-SA"/>
        </w:rPr>
        <w:t>、法定代表人（单位负责人）身份证明</w:t>
      </w:r>
      <w:r>
        <w:tab/>
      </w:r>
      <w:r>
        <w:fldChar w:fldCharType="begin"/>
      </w:r>
      <w:r>
        <w:instrText xml:space="preserve"> PAGEREF _Toc3844 \h </w:instrText>
      </w:r>
      <w:r>
        <w:fldChar w:fldCharType="separate"/>
      </w:r>
      <w:r>
        <w:t>- 89 -</w:t>
      </w:r>
      <w:r>
        <w:fldChar w:fldCharType="end"/>
      </w:r>
      <w:r>
        <w:rPr>
          <w:rFonts w:hint="eastAsia" w:ascii="宋体" w:hAnsi="宋体" w:eastAsia="宋体" w:cs="宋体"/>
          <w:color w:val="auto"/>
          <w:szCs w:val="24"/>
          <w:highlight w:val="none"/>
        </w:rPr>
        <w:fldChar w:fldCharType="end"/>
      </w:r>
    </w:p>
    <w:p w14:paraId="753AE265">
      <w:pPr>
        <w:pStyle w:val="25"/>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_Toc25259 </w:instrText>
      </w:r>
      <w:r>
        <w:rPr>
          <w:rFonts w:hint="eastAsia" w:ascii="宋体" w:hAnsi="宋体" w:eastAsia="宋体" w:cs="宋体"/>
          <w:szCs w:val="24"/>
          <w:highlight w:val="none"/>
        </w:rPr>
        <w:fldChar w:fldCharType="separate"/>
      </w:r>
      <w:r>
        <w:rPr>
          <w:rFonts w:hint="eastAsia" w:cstheme="majorBidi"/>
          <w:bCs/>
          <w:kern w:val="2"/>
          <w:szCs w:val="32"/>
          <w:highlight w:val="none"/>
          <w:lang w:val="en-US" w:eastAsia="zh-CN" w:bidi="ar-SA"/>
        </w:rPr>
        <w:t>三</w:t>
      </w:r>
      <w:r>
        <w:rPr>
          <w:rFonts w:hint="eastAsia" w:eastAsia="宋体" w:asciiTheme="majorHAnsi" w:hAnsiTheme="majorHAnsi" w:cstheme="majorBidi"/>
          <w:bCs/>
          <w:kern w:val="2"/>
          <w:szCs w:val="32"/>
          <w:highlight w:val="none"/>
          <w:lang w:val="en-US" w:eastAsia="zh-CN" w:bidi="ar-SA"/>
        </w:rPr>
        <w:t>、授权委托书</w:t>
      </w:r>
      <w:r>
        <w:tab/>
      </w:r>
      <w:r>
        <w:fldChar w:fldCharType="begin"/>
      </w:r>
      <w:r>
        <w:instrText xml:space="preserve"> PAGEREF _Toc25259 \h </w:instrText>
      </w:r>
      <w:r>
        <w:fldChar w:fldCharType="separate"/>
      </w:r>
      <w:r>
        <w:t>- 90 -</w:t>
      </w:r>
      <w:r>
        <w:fldChar w:fldCharType="end"/>
      </w:r>
      <w:r>
        <w:rPr>
          <w:rFonts w:hint="eastAsia" w:ascii="宋体" w:hAnsi="宋体" w:eastAsia="宋体" w:cs="宋体"/>
          <w:color w:val="auto"/>
          <w:szCs w:val="24"/>
          <w:highlight w:val="none"/>
        </w:rPr>
        <w:fldChar w:fldCharType="end"/>
      </w:r>
    </w:p>
    <w:p w14:paraId="25FC025F">
      <w:pPr>
        <w:pStyle w:val="25"/>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_Toc20787 </w:instrText>
      </w:r>
      <w:r>
        <w:rPr>
          <w:rFonts w:hint="eastAsia" w:ascii="宋体" w:hAnsi="宋体" w:eastAsia="宋体" w:cs="宋体"/>
          <w:szCs w:val="24"/>
          <w:highlight w:val="none"/>
        </w:rPr>
        <w:fldChar w:fldCharType="separate"/>
      </w:r>
      <w:r>
        <w:rPr>
          <w:rFonts w:hint="eastAsia" w:cstheme="majorBidi"/>
          <w:bCs/>
          <w:kern w:val="2"/>
          <w:szCs w:val="32"/>
          <w:highlight w:val="none"/>
          <w:lang w:val="en-US" w:eastAsia="zh-CN" w:bidi="ar-SA"/>
        </w:rPr>
        <w:t>四</w:t>
      </w:r>
      <w:r>
        <w:rPr>
          <w:rFonts w:hint="eastAsia" w:eastAsia="宋体" w:asciiTheme="majorHAnsi" w:hAnsiTheme="majorHAnsi" w:cstheme="majorBidi"/>
          <w:bCs/>
          <w:kern w:val="2"/>
          <w:szCs w:val="32"/>
          <w:highlight w:val="none"/>
          <w:lang w:val="en-US" w:eastAsia="zh-CN" w:bidi="ar-SA"/>
        </w:rPr>
        <w:t>、</w:t>
      </w:r>
      <w:r>
        <w:rPr>
          <w:rFonts w:hint="eastAsia" w:eastAsia="宋体" w:asciiTheme="majorHAnsi" w:hAnsiTheme="majorHAnsi" w:cstheme="majorBidi"/>
          <w:bCs/>
          <w:kern w:val="2"/>
          <w:szCs w:val="32"/>
          <w:highlight w:val="none"/>
          <w:lang w:val="zh-CN" w:eastAsia="zh-CN" w:bidi="ar-SA"/>
        </w:rPr>
        <w:t>政府采购</w:t>
      </w:r>
      <w:r>
        <w:rPr>
          <w:rFonts w:hint="eastAsia" w:cstheme="majorBidi"/>
          <w:bCs/>
          <w:kern w:val="2"/>
          <w:szCs w:val="32"/>
          <w:highlight w:val="none"/>
          <w:lang w:val="en-US" w:eastAsia="zh-CN" w:bidi="ar-SA"/>
        </w:rPr>
        <w:t>投标人</w:t>
      </w:r>
      <w:r>
        <w:rPr>
          <w:rFonts w:hint="eastAsia" w:eastAsia="宋体" w:asciiTheme="majorHAnsi" w:hAnsiTheme="majorHAnsi" w:cstheme="majorBidi"/>
          <w:bCs/>
          <w:kern w:val="2"/>
          <w:szCs w:val="32"/>
          <w:highlight w:val="none"/>
          <w:lang w:val="zh-CN" w:eastAsia="zh-CN" w:bidi="ar-SA"/>
        </w:rPr>
        <w:t>廉洁自律承诺书</w:t>
      </w:r>
      <w:r>
        <w:tab/>
      </w:r>
      <w:r>
        <w:fldChar w:fldCharType="begin"/>
      </w:r>
      <w:r>
        <w:instrText xml:space="preserve"> PAGEREF _Toc20787 \h </w:instrText>
      </w:r>
      <w:r>
        <w:fldChar w:fldCharType="separate"/>
      </w:r>
      <w:r>
        <w:t>- 91 -</w:t>
      </w:r>
      <w:r>
        <w:fldChar w:fldCharType="end"/>
      </w:r>
      <w:r>
        <w:rPr>
          <w:rFonts w:hint="eastAsia" w:ascii="宋体" w:hAnsi="宋体" w:eastAsia="宋体" w:cs="宋体"/>
          <w:color w:val="auto"/>
          <w:szCs w:val="24"/>
          <w:highlight w:val="none"/>
        </w:rPr>
        <w:fldChar w:fldCharType="end"/>
      </w:r>
    </w:p>
    <w:p w14:paraId="526AEF32">
      <w:pPr>
        <w:pStyle w:val="25"/>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_Toc19990 </w:instrText>
      </w:r>
      <w:r>
        <w:rPr>
          <w:rFonts w:hint="eastAsia" w:ascii="宋体" w:hAnsi="宋体" w:eastAsia="宋体" w:cs="宋体"/>
          <w:szCs w:val="24"/>
          <w:highlight w:val="none"/>
        </w:rPr>
        <w:fldChar w:fldCharType="separate"/>
      </w:r>
      <w:r>
        <w:rPr>
          <w:rFonts w:hint="eastAsia" w:cstheme="majorBidi"/>
          <w:bCs/>
          <w:kern w:val="2"/>
          <w:szCs w:val="32"/>
          <w:highlight w:val="none"/>
          <w:lang w:val="en-US" w:eastAsia="zh-CN" w:bidi="ar-SA"/>
        </w:rPr>
        <w:t>六</w:t>
      </w:r>
      <w:r>
        <w:rPr>
          <w:rFonts w:hint="eastAsia" w:eastAsia="宋体" w:asciiTheme="majorHAnsi" w:hAnsiTheme="majorHAnsi" w:cstheme="majorBidi"/>
          <w:bCs/>
          <w:kern w:val="2"/>
          <w:szCs w:val="32"/>
          <w:highlight w:val="none"/>
          <w:lang w:val="en-US" w:eastAsia="zh-CN" w:bidi="ar-SA"/>
        </w:rPr>
        <w:t>、商务响应偏离表</w:t>
      </w:r>
      <w:r>
        <w:tab/>
      </w:r>
      <w:r>
        <w:fldChar w:fldCharType="begin"/>
      </w:r>
      <w:r>
        <w:instrText xml:space="preserve"> PAGEREF _Toc19990 \h </w:instrText>
      </w:r>
      <w:r>
        <w:fldChar w:fldCharType="separate"/>
      </w:r>
      <w:r>
        <w:t>- 93 -</w:t>
      </w:r>
      <w:r>
        <w:fldChar w:fldCharType="end"/>
      </w:r>
      <w:r>
        <w:rPr>
          <w:rFonts w:hint="eastAsia" w:ascii="宋体" w:hAnsi="宋体" w:eastAsia="宋体" w:cs="宋体"/>
          <w:color w:val="auto"/>
          <w:szCs w:val="24"/>
          <w:highlight w:val="none"/>
        </w:rPr>
        <w:fldChar w:fldCharType="end"/>
      </w:r>
    </w:p>
    <w:p w14:paraId="39F0ACF0">
      <w:pPr>
        <w:pStyle w:val="25"/>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_Toc12077 </w:instrText>
      </w:r>
      <w:r>
        <w:rPr>
          <w:rFonts w:hint="eastAsia" w:ascii="宋体" w:hAnsi="宋体" w:eastAsia="宋体" w:cs="宋体"/>
          <w:szCs w:val="24"/>
          <w:highlight w:val="none"/>
        </w:rPr>
        <w:fldChar w:fldCharType="separate"/>
      </w:r>
      <w:r>
        <w:rPr>
          <w:rFonts w:hint="eastAsia" w:cstheme="majorBidi"/>
          <w:bCs/>
          <w:kern w:val="2"/>
          <w:szCs w:val="32"/>
          <w:highlight w:val="none"/>
          <w:lang w:val="en-US" w:eastAsia="zh-CN" w:bidi="ar-SA"/>
        </w:rPr>
        <w:t>七</w:t>
      </w:r>
      <w:r>
        <w:rPr>
          <w:rFonts w:hint="eastAsia" w:eastAsia="宋体" w:asciiTheme="majorHAnsi" w:hAnsiTheme="majorHAnsi" w:cstheme="majorBidi"/>
          <w:bCs/>
          <w:kern w:val="2"/>
          <w:szCs w:val="32"/>
          <w:highlight w:val="none"/>
          <w:lang w:val="en-US" w:eastAsia="zh-CN" w:bidi="ar-SA"/>
        </w:rPr>
        <w:t>、业绩证明文件</w:t>
      </w:r>
      <w:r>
        <w:tab/>
      </w:r>
      <w:r>
        <w:fldChar w:fldCharType="begin"/>
      </w:r>
      <w:r>
        <w:instrText xml:space="preserve"> PAGEREF _Toc12077 \h </w:instrText>
      </w:r>
      <w:r>
        <w:fldChar w:fldCharType="separate"/>
      </w:r>
      <w:r>
        <w:t>- 94 -</w:t>
      </w:r>
      <w:r>
        <w:fldChar w:fldCharType="end"/>
      </w:r>
      <w:r>
        <w:rPr>
          <w:rFonts w:hint="eastAsia" w:ascii="宋体" w:hAnsi="宋体" w:eastAsia="宋体" w:cs="宋体"/>
          <w:color w:val="auto"/>
          <w:szCs w:val="24"/>
          <w:highlight w:val="none"/>
        </w:rPr>
        <w:fldChar w:fldCharType="end"/>
      </w:r>
    </w:p>
    <w:p w14:paraId="420B7E1C">
      <w:pPr>
        <w:pStyle w:val="25"/>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_Toc12565 </w:instrText>
      </w:r>
      <w:r>
        <w:rPr>
          <w:rFonts w:hint="eastAsia" w:ascii="宋体" w:hAnsi="宋体" w:eastAsia="宋体" w:cs="宋体"/>
          <w:szCs w:val="24"/>
          <w:highlight w:val="none"/>
        </w:rPr>
        <w:fldChar w:fldCharType="separate"/>
      </w:r>
      <w:r>
        <w:rPr>
          <w:rFonts w:hint="eastAsia" w:cstheme="majorBidi"/>
          <w:bCs/>
          <w:kern w:val="2"/>
          <w:szCs w:val="32"/>
          <w:highlight w:val="none"/>
          <w:lang w:val="en-US" w:eastAsia="zh-CN" w:bidi="ar-SA"/>
        </w:rPr>
        <w:t>八</w:t>
      </w:r>
      <w:r>
        <w:rPr>
          <w:rFonts w:hint="eastAsia" w:eastAsia="宋体" w:asciiTheme="majorHAnsi" w:hAnsiTheme="majorHAnsi" w:cstheme="majorBidi"/>
          <w:bCs/>
          <w:kern w:val="2"/>
          <w:szCs w:val="32"/>
          <w:highlight w:val="none"/>
          <w:lang w:val="en-US" w:eastAsia="zh-CN" w:bidi="ar-SA"/>
        </w:rPr>
        <w:t>、拟派项目团队</w:t>
      </w:r>
      <w:r>
        <w:tab/>
      </w:r>
      <w:r>
        <w:fldChar w:fldCharType="begin"/>
      </w:r>
      <w:r>
        <w:instrText xml:space="preserve"> PAGEREF _Toc12565 \h </w:instrText>
      </w:r>
      <w:r>
        <w:fldChar w:fldCharType="separate"/>
      </w:r>
      <w:r>
        <w:t>- 95 -</w:t>
      </w:r>
      <w:r>
        <w:fldChar w:fldCharType="end"/>
      </w:r>
      <w:r>
        <w:rPr>
          <w:rFonts w:hint="eastAsia" w:ascii="宋体" w:hAnsi="宋体" w:eastAsia="宋体" w:cs="宋体"/>
          <w:color w:val="auto"/>
          <w:szCs w:val="24"/>
          <w:highlight w:val="none"/>
        </w:rPr>
        <w:fldChar w:fldCharType="end"/>
      </w:r>
    </w:p>
    <w:p w14:paraId="22E55C45">
      <w:pPr>
        <w:pStyle w:val="25"/>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_Toc30337 </w:instrText>
      </w:r>
      <w:r>
        <w:rPr>
          <w:rFonts w:hint="eastAsia" w:ascii="宋体" w:hAnsi="宋体" w:eastAsia="宋体" w:cs="宋体"/>
          <w:szCs w:val="24"/>
          <w:highlight w:val="none"/>
        </w:rPr>
        <w:fldChar w:fldCharType="separate"/>
      </w:r>
      <w:r>
        <w:rPr>
          <w:rFonts w:hint="eastAsia" w:cstheme="majorBidi"/>
          <w:bCs/>
          <w:kern w:val="2"/>
          <w:szCs w:val="32"/>
          <w:highlight w:val="none"/>
          <w:lang w:val="en-US" w:eastAsia="zh-CN" w:bidi="ar-SA"/>
        </w:rPr>
        <w:t>九</w:t>
      </w:r>
      <w:r>
        <w:rPr>
          <w:rFonts w:hint="eastAsia" w:eastAsia="宋体" w:asciiTheme="majorHAnsi" w:hAnsiTheme="majorHAnsi" w:cstheme="majorBidi"/>
          <w:bCs/>
          <w:kern w:val="2"/>
          <w:szCs w:val="32"/>
          <w:highlight w:val="none"/>
          <w:lang w:val="en-US" w:eastAsia="zh-CN" w:bidi="ar-SA"/>
        </w:rPr>
        <w:t>、技术响应偏离表</w:t>
      </w:r>
      <w:r>
        <w:tab/>
      </w:r>
      <w:r>
        <w:fldChar w:fldCharType="begin"/>
      </w:r>
      <w:r>
        <w:instrText xml:space="preserve"> PAGEREF _Toc30337 \h </w:instrText>
      </w:r>
      <w:r>
        <w:fldChar w:fldCharType="separate"/>
      </w:r>
      <w:r>
        <w:t>- 96 -</w:t>
      </w:r>
      <w:r>
        <w:fldChar w:fldCharType="end"/>
      </w:r>
      <w:r>
        <w:rPr>
          <w:rFonts w:hint="eastAsia" w:ascii="宋体" w:hAnsi="宋体" w:eastAsia="宋体" w:cs="宋体"/>
          <w:color w:val="auto"/>
          <w:szCs w:val="24"/>
          <w:highlight w:val="none"/>
        </w:rPr>
        <w:fldChar w:fldCharType="end"/>
      </w:r>
    </w:p>
    <w:p w14:paraId="2D65727A">
      <w:pPr>
        <w:pStyle w:val="25"/>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_Toc21698 </w:instrText>
      </w:r>
      <w:r>
        <w:rPr>
          <w:rFonts w:hint="eastAsia" w:ascii="宋体" w:hAnsi="宋体" w:eastAsia="宋体" w:cs="宋体"/>
          <w:szCs w:val="24"/>
          <w:highlight w:val="none"/>
        </w:rPr>
        <w:fldChar w:fldCharType="separate"/>
      </w:r>
      <w:r>
        <w:rPr>
          <w:rFonts w:hint="eastAsia" w:cstheme="majorBidi"/>
          <w:bCs/>
          <w:kern w:val="2"/>
          <w:szCs w:val="32"/>
          <w:highlight w:val="none"/>
          <w:lang w:val="en-US" w:eastAsia="zh-CN" w:bidi="ar-SA"/>
        </w:rPr>
        <w:t>十</w:t>
      </w:r>
      <w:r>
        <w:rPr>
          <w:rFonts w:hint="eastAsia" w:eastAsia="宋体" w:asciiTheme="majorHAnsi" w:hAnsiTheme="majorHAnsi" w:cstheme="majorBidi"/>
          <w:bCs/>
          <w:kern w:val="2"/>
          <w:szCs w:val="32"/>
          <w:highlight w:val="none"/>
          <w:lang w:val="en-US" w:eastAsia="zh-CN" w:bidi="ar-SA"/>
        </w:rPr>
        <w:t>、技术方案</w:t>
      </w:r>
      <w:r>
        <w:tab/>
      </w:r>
      <w:r>
        <w:fldChar w:fldCharType="begin"/>
      </w:r>
      <w:r>
        <w:instrText xml:space="preserve"> PAGEREF _Toc21698 \h </w:instrText>
      </w:r>
      <w:r>
        <w:fldChar w:fldCharType="separate"/>
      </w:r>
      <w:r>
        <w:t>- 97 -</w:t>
      </w:r>
      <w:r>
        <w:fldChar w:fldCharType="end"/>
      </w:r>
      <w:r>
        <w:rPr>
          <w:rFonts w:hint="eastAsia" w:ascii="宋体" w:hAnsi="宋体" w:eastAsia="宋体" w:cs="宋体"/>
          <w:color w:val="auto"/>
          <w:szCs w:val="24"/>
          <w:highlight w:val="none"/>
        </w:rPr>
        <w:fldChar w:fldCharType="end"/>
      </w:r>
    </w:p>
    <w:p w14:paraId="5D5AFE4C">
      <w:pPr>
        <w:pStyle w:val="25"/>
        <w:tabs>
          <w:tab w:val="right" w:leader="dot" w:pos="8306"/>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_Toc16029 </w:instrText>
      </w:r>
      <w:r>
        <w:rPr>
          <w:rFonts w:hint="eastAsia" w:ascii="宋体" w:hAnsi="宋体" w:eastAsia="宋体" w:cs="宋体"/>
          <w:szCs w:val="24"/>
          <w:highlight w:val="none"/>
        </w:rPr>
        <w:fldChar w:fldCharType="separate"/>
      </w:r>
      <w:r>
        <w:rPr>
          <w:rFonts w:hint="eastAsia" w:eastAsia="宋体" w:asciiTheme="majorHAnsi" w:hAnsiTheme="majorHAnsi" w:cstheme="majorBidi"/>
          <w:bCs/>
          <w:kern w:val="2"/>
          <w:szCs w:val="32"/>
          <w:highlight w:val="none"/>
          <w:lang w:val="en-US" w:eastAsia="zh-CN" w:bidi="ar-SA"/>
        </w:rPr>
        <w:t>十</w:t>
      </w:r>
      <w:r>
        <w:rPr>
          <w:rFonts w:hint="eastAsia" w:cstheme="majorBidi"/>
          <w:bCs/>
          <w:kern w:val="2"/>
          <w:szCs w:val="32"/>
          <w:highlight w:val="none"/>
          <w:lang w:val="en-US" w:eastAsia="zh-CN" w:bidi="ar-SA"/>
        </w:rPr>
        <w:t>一</w:t>
      </w:r>
      <w:r>
        <w:rPr>
          <w:rFonts w:hint="eastAsia" w:eastAsia="宋体" w:asciiTheme="majorHAnsi" w:hAnsiTheme="majorHAnsi" w:cstheme="majorBidi"/>
          <w:bCs/>
          <w:kern w:val="2"/>
          <w:szCs w:val="32"/>
          <w:highlight w:val="none"/>
          <w:lang w:val="en-US" w:eastAsia="zh-CN" w:bidi="ar-SA"/>
        </w:rPr>
        <w:t>、其他文件</w:t>
      </w:r>
      <w:r>
        <w:tab/>
      </w:r>
      <w:r>
        <w:fldChar w:fldCharType="begin"/>
      </w:r>
      <w:r>
        <w:instrText xml:space="preserve"> PAGEREF _Toc16029 \h </w:instrText>
      </w:r>
      <w:r>
        <w:fldChar w:fldCharType="separate"/>
      </w:r>
      <w:r>
        <w:t>- 98 -</w:t>
      </w:r>
      <w:r>
        <w:fldChar w:fldCharType="end"/>
      </w:r>
      <w:r>
        <w:rPr>
          <w:rFonts w:hint="eastAsia" w:ascii="宋体" w:hAnsi="宋体" w:eastAsia="宋体" w:cs="宋体"/>
          <w:color w:val="auto"/>
          <w:szCs w:val="24"/>
          <w:highlight w:val="none"/>
        </w:rPr>
        <w:fldChar w:fldCharType="end"/>
      </w:r>
    </w:p>
    <w:p w14:paraId="0DD905C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rFonts w:hint="eastAsia" w:ascii="宋体" w:hAnsi="宋体" w:eastAsia="宋体" w:cs="宋体"/>
          <w:color w:val="auto"/>
          <w:szCs w:val="24"/>
          <w:highlight w:val="none"/>
        </w:rPr>
        <w:fldChar w:fldCharType="end"/>
      </w:r>
    </w:p>
    <w:p w14:paraId="4C618998">
      <w:pPr>
        <w:jc w:val="center"/>
        <w:rPr>
          <w:rFonts w:ascii="黑体" w:hAnsi="黑体" w:eastAsia="黑体"/>
          <w:b/>
          <w:bCs/>
          <w:color w:val="auto"/>
          <w:sz w:val="32"/>
          <w:szCs w:val="32"/>
          <w:highlight w:val="none"/>
        </w:rPr>
        <w:sectPr>
          <w:head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9DD1FCB">
      <w:pPr>
        <w:pStyle w:val="3"/>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color w:val="auto"/>
          <w:sz w:val="36"/>
          <w:szCs w:val="36"/>
          <w:highlight w:val="none"/>
          <w:lang w:val="en-US" w:eastAsia="zh-CN"/>
        </w:rPr>
      </w:pPr>
      <w:bookmarkStart w:id="1" w:name="_Toc163492811"/>
      <w:bookmarkStart w:id="2" w:name="_Toc155185859"/>
      <w:bookmarkStart w:id="3" w:name="_Toc440"/>
      <w:r>
        <w:rPr>
          <w:rFonts w:hint="eastAsia" w:ascii="宋体" w:hAnsi="宋体" w:eastAsia="宋体" w:cs="宋体"/>
          <w:b/>
          <w:bCs/>
          <w:color w:val="auto"/>
          <w:kern w:val="44"/>
          <w:sz w:val="36"/>
          <w:szCs w:val="36"/>
          <w:highlight w:val="none"/>
          <w:lang w:val="en-US" w:eastAsia="zh-CN" w:bidi="ar-SA"/>
        </w:rPr>
        <w:t xml:space="preserve">第一章 </w:t>
      </w:r>
      <w:bookmarkEnd w:id="1"/>
      <w:bookmarkEnd w:id="2"/>
      <w:bookmarkStart w:id="4" w:name="_Hlk130458318"/>
      <w:r>
        <w:rPr>
          <w:rFonts w:hint="eastAsia" w:ascii="宋体" w:hAnsi="宋体" w:eastAsia="宋体" w:cs="宋体"/>
          <w:color w:val="auto"/>
          <w:sz w:val="36"/>
          <w:szCs w:val="36"/>
          <w:highlight w:val="none"/>
          <w:lang w:val="en-US" w:eastAsia="zh-CN"/>
        </w:rPr>
        <w:t>招标公告</w:t>
      </w:r>
      <w:bookmarkEnd w:id="3"/>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756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4682E00">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color w:val="auto"/>
                <w:sz w:val="24"/>
                <w:szCs w:val="24"/>
                <w:highlight w:val="none"/>
                <w:lang w:val="en-US" w:eastAsia="zh-CN"/>
              </w:rPr>
            </w:pPr>
            <w:bookmarkStart w:id="5" w:name="_Toc17609"/>
            <w:bookmarkStart w:id="6" w:name="_Toc8772"/>
            <w:bookmarkStart w:id="7" w:name="_Toc28359089"/>
            <w:bookmarkStart w:id="8" w:name="_Toc163492812"/>
            <w:bookmarkStart w:id="9" w:name="_Toc28359012"/>
            <w:bookmarkStart w:id="10" w:name="_Toc140132745"/>
            <w:bookmarkStart w:id="11" w:name="_Toc35393629"/>
            <w:bookmarkStart w:id="12" w:name="_Toc35393798"/>
            <w:bookmarkStart w:id="13" w:name="_Toc155185860"/>
            <w:bookmarkStart w:id="14" w:name="_Toc109899829"/>
            <w:bookmarkStart w:id="15" w:name="_Toc44583628"/>
            <w:bookmarkStart w:id="16" w:name="_Toc109900248"/>
            <w:bookmarkStart w:id="17" w:name="_Toc109899410"/>
            <w:r>
              <w:rPr>
                <w:rFonts w:hint="eastAsia"/>
                <w:color w:val="auto"/>
                <w:sz w:val="24"/>
                <w:szCs w:val="24"/>
                <w:highlight w:val="none"/>
                <w:lang w:val="en-US" w:eastAsia="zh-CN"/>
              </w:rPr>
              <w:t>项目概况：</w:t>
            </w:r>
            <w:bookmarkEnd w:id="5"/>
            <w:bookmarkEnd w:id="6"/>
          </w:p>
          <w:p w14:paraId="2852FE91">
            <w:pPr>
              <w:spacing w:line="360" w:lineRule="auto"/>
              <w:ind w:firstLine="480" w:firstLineChars="200"/>
              <w:rPr>
                <w:rFonts w:hint="default"/>
                <w:color w:val="auto"/>
                <w:highlight w:val="none"/>
                <w:lang w:val="en-US" w:eastAsia="zh-CN"/>
              </w:rPr>
            </w:pP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 xml:space="preserve"> 道路交通安全风险地图系统建设项目 </w:t>
            </w:r>
            <w:r>
              <w:rPr>
                <w:rFonts w:hint="eastAsia" w:ascii="宋体" w:hAnsi="宋体" w:eastAsia="宋体" w:cstheme="minorBidi"/>
                <w:iCs/>
                <w:color w:val="auto"/>
                <w:kern w:val="2"/>
                <w:sz w:val="24"/>
                <w:szCs w:val="24"/>
                <w:highlight w:val="none"/>
                <w:shd w:val="clear" w:color="auto" w:fill="FFFFFF" w:themeFill="background1"/>
                <w:lang w:val="hr-HR" w:eastAsia="zh-CN" w:bidi="ar-SA"/>
              </w:rPr>
              <w:t>招标项目的潜在投标人应在</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兵团政府采购电子交易云平台（网址：https://www.zcygov.cn/）（地址）</w:t>
            </w:r>
            <w:r>
              <w:rPr>
                <w:rFonts w:hint="eastAsia" w:ascii="宋体" w:hAnsi="宋体" w:eastAsia="宋体" w:cstheme="minorBidi"/>
                <w:iCs/>
                <w:color w:val="auto"/>
                <w:kern w:val="2"/>
                <w:sz w:val="24"/>
                <w:szCs w:val="24"/>
                <w:highlight w:val="none"/>
                <w:shd w:val="clear" w:color="auto" w:fill="FFFFFF" w:themeFill="background1"/>
                <w:lang w:val="hr-HR" w:eastAsia="zh-CN" w:bidi="ar-SA"/>
              </w:rPr>
              <w:t>获取招标文件，并于</w:t>
            </w:r>
            <w:r>
              <w:rPr>
                <w:rFonts w:hint="eastAsia" w:cstheme="minorBidi"/>
                <w:iCs/>
                <w:color w:val="auto"/>
                <w:kern w:val="2"/>
                <w:sz w:val="24"/>
                <w:szCs w:val="24"/>
                <w:highlight w:val="none"/>
                <w:u w:val="single"/>
                <w:shd w:val="clear" w:color="auto" w:fill="FFFFFF" w:themeFill="background1"/>
                <w:lang w:val="en-US" w:eastAsia="zh-CN" w:bidi="ar-SA"/>
              </w:rPr>
              <w:t>2025</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年</w:t>
            </w:r>
            <w:r>
              <w:rPr>
                <w:rFonts w:hint="eastAsia" w:cstheme="minorBidi"/>
                <w:iCs/>
                <w:color w:val="auto"/>
                <w:kern w:val="2"/>
                <w:sz w:val="24"/>
                <w:szCs w:val="24"/>
                <w:highlight w:val="none"/>
                <w:u w:val="single"/>
                <w:shd w:val="clear" w:color="auto" w:fill="FFFFFF" w:themeFill="background1"/>
                <w:lang w:val="en-US" w:eastAsia="zh-CN" w:bidi="ar-SA"/>
              </w:rPr>
              <w:t>10</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月</w:t>
            </w:r>
            <w:r>
              <w:rPr>
                <w:rFonts w:hint="eastAsia" w:cstheme="minorBidi"/>
                <w:iCs/>
                <w:color w:val="auto"/>
                <w:kern w:val="2"/>
                <w:sz w:val="24"/>
                <w:szCs w:val="24"/>
                <w:highlight w:val="none"/>
                <w:u w:val="single"/>
                <w:shd w:val="clear" w:color="auto" w:fill="FFFFFF" w:themeFill="background1"/>
                <w:lang w:val="en-US" w:eastAsia="zh-CN" w:bidi="ar-SA"/>
              </w:rPr>
              <w:t>13</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日</w:t>
            </w:r>
            <w:r>
              <w:rPr>
                <w:rFonts w:hint="eastAsia" w:cstheme="minorBidi"/>
                <w:iCs/>
                <w:color w:val="auto"/>
                <w:kern w:val="2"/>
                <w:sz w:val="24"/>
                <w:szCs w:val="24"/>
                <w:highlight w:val="none"/>
                <w:u w:val="single"/>
                <w:shd w:val="clear" w:color="auto" w:fill="FFFFFF" w:themeFill="background1"/>
                <w:lang w:val="en-US" w:eastAsia="zh-CN" w:bidi="ar-SA"/>
              </w:rPr>
              <w:t>11时00</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分</w:t>
            </w:r>
            <w:r>
              <w:rPr>
                <w:rFonts w:hint="eastAsia" w:ascii="宋体" w:hAnsi="宋体" w:eastAsia="宋体" w:cstheme="minorBidi"/>
                <w:iCs/>
                <w:color w:val="auto"/>
                <w:kern w:val="2"/>
                <w:sz w:val="24"/>
                <w:szCs w:val="24"/>
                <w:highlight w:val="none"/>
                <w:shd w:val="clear" w:color="auto" w:fill="FFFFFF" w:themeFill="background1"/>
                <w:lang w:val="hr-HR" w:eastAsia="zh-CN" w:bidi="ar-SA"/>
              </w:rPr>
              <w:t>（北京</w:t>
            </w:r>
            <w:r>
              <w:rPr>
                <w:rFonts w:hint="eastAsia" w:ascii="宋体" w:hAnsi="宋体" w:eastAsia="宋体" w:cstheme="minorBidi"/>
                <w:iCs/>
                <w:color w:val="auto"/>
                <w:kern w:val="2"/>
                <w:sz w:val="24"/>
                <w:szCs w:val="24"/>
                <w:highlight w:val="none"/>
                <w:shd w:val="clear" w:color="auto" w:fill="FFFFFF" w:themeFill="background1"/>
                <w:lang w:val="hr-HR" w:eastAsia="zh-CN" w:bidi="ar-SA"/>
              </w:rPr>
              <w:t>时间）前递交投标文件。</w:t>
            </w:r>
          </w:p>
        </w:tc>
      </w:tr>
    </w:tbl>
    <w:p w14:paraId="4072DEF0">
      <w:pPr>
        <w:pStyle w:val="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color w:val="auto"/>
          <w:sz w:val="24"/>
          <w:szCs w:val="24"/>
          <w:highlight w:val="none"/>
          <w:lang w:val="hr-HR"/>
        </w:rPr>
      </w:pPr>
      <w:bookmarkStart w:id="18" w:name="_Toc21735"/>
      <w:r>
        <w:rPr>
          <w:rFonts w:hint="eastAsia" w:ascii="宋体" w:hAnsi="宋体" w:eastAsia="宋体" w:cs="宋体"/>
          <w:b/>
          <w:bCs/>
          <w:color w:val="auto"/>
          <w:kern w:val="2"/>
          <w:sz w:val="24"/>
          <w:szCs w:val="24"/>
          <w:highlight w:val="none"/>
          <w:lang w:val="hr-HR" w:eastAsia="zh-CN" w:bidi="ar-SA"/>
        </w:rPr>
        <w:t>一、</w:t>
      </w:r>
      <w:r>
        <w:rPr>
          <w:rFonts w:hint="eastAsia" w:ascii="宋体" w:hAnsi="宋体" w:eastAsia="宋体" w:cs="宋体"/>
          <w:color w:val="auto"/>
          <w:sz w:val="24"/>
          <w:szCs w:val="24"/>
          <w:highlight w:val="none"/>
          <w:lang w:val="hr-HR"/>
        </w:rPr>
        <w:t>项目基本情况</w:t>
      </w:r>
      <w:bookmarkEnd w:id="7"/>
      <w:bookmarkEnd w:id="8"/>
      <w:bookmarkEnd w:id="9"/>
      <w:bookmarkEnd w:id="10"/>
      <w:bookmarkEnd w:id="11"/>
      <w:bookmarkEnd w:id="12"/>
      <w:bookmarkEnd w:id="13"/>
      <w:bookmarkEnd w:id="14"/>
      <w:bookmarkEnd w:id="15"/>
      <w:bookmarkEnd w:id="16"/>
      <w:bookmarkEnd w:id="17"/>
      <w:bookmarkEnd w:id="18"/>
    </w:p>
    <w:p w14:paraId="590E39A6">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hr-HR"/>
        </w:rPr>
        <w:t>1.项目编号</w:t>
      </w:r>
      <w:r>
        <w:rPr>
          <w:rFonts w:hint="eastAsia" w:ascii="宋体" w:hAnsi="宋体" w:eastAsia="宋体" w:cs="宋体"/>
          <w:color w:val="auto"/>
          <w:sz w:val="24"/>
          <w:highlight w:val="none"/>
          <w:lang w:val="en-US" w:eastAsia="zh-CN"/>
        </w:rPr>
        <w:t>/包号</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u w:val="single"/>
        </w:rPr>
        <w:t xml:space="preserve">     SJX-2025-615             </w:t>
      </w:r>
      <w:r>
        <w:rPr>
          <w:rFonts w:hint="eastAsia" w:ascii="宋体" w:hAnsi="宋体" w:eastAsia="宋体" w:cs="宋体"/>
          <w:color w:val="auto"/>
          <w:sz w:val="24"/>
          <w:highlight w:val="none"/>
          <w:u w:val="single"/>
          <w:lang w:val="hr-HR"/>
        </w:rPr>
        <w:t xml:space="preserve"> </w:t>
      </w:r>
    </w:p>
    <w:p w14:paraId="544AA4B7">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hr-HR"/>
        </w:rPr>
        <w:t>.项目名称：</w:t>
      </w:r>
      <w:r>
        <w:rPr>
          <w:rFonts w:hint="eastAsia" w:ascii="宋体" w:hAnsi="宋体" w:eastAsia="宋体" w:cs="宋体"/>
          <w:color w:val="auto"/>
          <w:sz w:val="24"/>
          <w:highlight w:val="none"/>
          <w:u w:val="single"/>
        </w:rPr>
        <w:t xml:space="preserve">   道路交通安全风险地图系统建设项目 </w:t>
      </w:r>
      <w:r>
        <w:rPr>
          <w:rFonts w:hint="eastAsia" w:ascii="宋体" w:hAnsi="宋体" w:eastAsia="宋体" w:cs="宋体"/>
          <w:color w:val="auto"/>
          <w:sz w:val="24"/>
          <w:highlight w:val="none"/>
          <w:u w:val="single"/>
          <w:lang w:val="hr-HR"/>
        </w:rPr>
        <w:t xml:space="preserve"> </w:t>
      </w:r>
    </w:p>
    <w:p w14:paraId="3CE35A7E">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.采购方式：</w:t>
      </w:r>
      <w:r>
        <w:rPr>
          <w:rFonts w:hint="eastAsia" w:ascii="宋体" w:hAnsi="宋体" w:eastAsia="宋体" w:cs="宋体"/>
          <w:color w:val="auto"/>
          <w:sz w:val="24"/>
          <w:highlight w:val="none"/>
          <w:u w:val="single"/>
        </w:rPr>
        <w:t>公开招标</w:t>
      </w:r>
    </w:p>
    <w:p w14:paraId="78A90596">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lang w:val="hr-HR"/>
        </w:rPr>
        <w:t>预算金额：</w:t>
      </w:r>
      <w:r>
        <w:rPr>
          <w:rFonts w:hint="eastAsia" w:ascii="宋体" w:hAnsi="宋体" w:eastAsia="宋体" w:cs="宋体"/>
          <w:color w:val="auto"/>
          <w:sz w:val="24"/>
          <w:highlight w:val="none"/>
          <w:u w:val="single"/>
        </w:rPr>
        <w:t xml:space="preserve">    247</w:t>
      </w:r>
      <w:r>
        <w:rPr>
          <w:rFonts w:hint="eastAsia"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74    </w:t>
      </w:r>
      <w:r>
        <w:rPr>
          <w:rFonts w:hint="eastAsia" w:ascii="宋体" w:hAnsi="宋体" w:eastAsia="宋体" w:cs="宋体"/>
          <w:color w:val="auto"/>
          <w:sz w:val="24"/>
          <w:highlight w:val="none"/>
          <w:lang w:val="hr-HR"/>
        </w:rPr>
        <w:t>万元</w:t>
      </w:r>
    </w:p>
    <w:p w14:paraId="7851BE2C">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rPr>
        <w:t>最高限价【如有】</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u w:val="single"/>
          <w:lang w:val="hr-HR"/>
        </w:rPr>
        <w:t xml:space="preserve">    </w:t>
      </w:r>
      <w:r>
        <w:rPr>
          <w:rFonts w:hint="eastAsia" w:ascii="宋体" w:hAnsi="宋体" w:eastAsia="宋体" w:cs="宋体"/>
          <w:color w:val="auto"/>
          <w:sz w:val="24"/>
          <w:highlight w:val="none"/>
          <w:u w:val="single"/>
        </w:rPr>
        <w:t>247</w:t>
      </w:r>
      <w:r>
        <w:rPr>
          <w:rFonts w:hint="eastAsia" w:cs="宋体"/>
          <w:color w:val="auto"/>
          <w:sz w:val="24"/>
          <w:highlight w:val="none"/>
          <w:u w:val="single"/>
          <w:lang w:val="en-US" w:eastAsia="zh-CN"/>
        </w:rPr>
        <w:t>.</w:t>
      </w:r>
      <w:r>
        <w:rPr>
          <w:rFonts w:hint="eastAsia" w:ascii="宋体" w:hAnsi="宋体" w:eastAsia="宋体" w:cs="宋体"/>
          <w:color w:val="auto"/>
          <w:sz w:val="24"/>
          <w:highlight w:val="none"/>
          <w:u w:val="single"/>
        </w:rPr>
        <w:t>74</w:t>
      </w:r>
      <w:r>
        <w:rPr>
          <w:rFonts w:hint="eastAsia" w:ascii="宋体" w:hAnsi="宋体" w:eastAsia="宋体" w:cs="宋体"/>
          <w:color w:val="auto"/>
          <w:sz w:val="24"/>
          <w:highlight w:val="none"/>
          <w:u w:val="single"/>
          <w:lang w:val="hr-HR"/>
        </w:rPr>
        <w:t xml:space="preserve">     </w:t>
      </w:r>
      <w:r>
        <w:rPr>
          <w:rFonts w:hint="eastAsia" w:ascii="宋体" w:hAnsi="宋体" w:eastAsia="宋体" w:cs="宋体"/>
          <w:color w:val="auto"/>
          <w:sz w:val="24"/>
          <w:highlight w:val="none"/>
        </w:rPr>
        <w:t>万元</w:t>
      </w:r>
    </w:p>
    <w:p w14:paraId="242750DC">
      <w:pPr>
        <w:pStyle w:val="37"/>
        <w:pageBreakBefore w:val="0"/>
        <w:widowControl w:val="0"/>
        <w:kinsoku/>
        <w:overflowPunct/>
        <w:topLinePunct w:val="0"/>
        <w:autoSpaceDE/>
        <w:autoSpaceDN/>
        <w:bidi w:val="0"/>
        <w:adjustRightInd/>
        <w:snapToGrid/>
        <w:spacing w:line="360" w:lineRule="auto"/>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hr-HR"/>
        </w:rPr>
        <w:t>.采购需求：</w:t>
      </w:r>
      <w:r>
        <w:rPr>
          <w:rFonts w:hint="eastAsia" w:cs="宋体"/>
          <w:color w:val="auto"/>
          <w:sz w:val="24"/>
          <w:highlight w:val="none"/>
          <w:u w:val="single"/>
          <w:lang w:val="en-US" w:eastAsia="zh-CN"/>
        </w:rPr>
        <w:t>详见招标文件第三章采购需求。</w:t>
      </w:r>
    </w:p>
    <w:p w14:paraId="56FBF6DA">
      <w:pPr>
        <w:pStyle w:val="37"/>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.合同履行期限：</w:t>
      </w:r>
      <w:r>
        <w:rPr>
          <w:rFonts w:hint="eastAsia" w:ascii="宋体" w:hAnsi="宋体" w:eastAsia="宋体" w:cs="宋体"/>
          <w:color w:val="auto"/>
          <w:sz w:val="24"/>
          <w:highlight w:val="none"/>
          <w:u w:val="single"/>
        </w:rPr>
        <w:t xml:space="preserve">      </w:t>
      </w:r>
      <w:r>
        <w:rPr>
          <w:rFonts w:hint="eastAsia" w:cs="宋体"/>
          <w:color w:val="auto"/>
          <w:sz w:val="24"/>
          <w:highlight w:val="none"/>
          <w:u w:val="single"/>
          <w:lang w:val="en-US" w:eastAsia="zh-CN"/>
        </w:rPr>
        <w:t>60天</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hr-HR"/>
        </w:rPr>
        <w:t xml:space="preserve"> </w:t>
      </w:r>
    </w:p>
    <w:p w14:paraId="4B098642">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bookmarkStart w:id="19" w:name="_Toc35393799"/>
      <w:bookmarkStart w:id="20" w:name="_Toc35393630"/>
      <w:bookmarkStart w:id="21" w:name="_Toc28359090"/>
      <w:bookmarkStart w:id="22" w:name="_Toc44583629"/>
      <w:bookmarkStart w:id="23" w:name="_Toc28359013"/>
      <w:r>
        <w:rPr>
          <w:rFonts w:hint="eastAsia" w:ascii="宋体" w:hAnsi="宋体" w:eastAsia="宋体" w:cs="宋体"/>
          <w:color w:val="auto"/>
          <w:sz w:val="24"/>
          <w:highlight w:val="none"/>
          <w:lang w:val="en-US" w:eastAsia="zh-CN"/>
        </w:rPr>
        <w:t>8.</w:t>
      </w:r>
      <w:bookmarkStart w:id="24" w:name="_Hlk162011358"/>
      <w:r>
        <w:rPr>
          <w:rFonts w:hint="eastAsia" w:ascii="宋体" w:hAnsi="宋体" w:eastAsia="宋体" w:cs="宋体"/>
          <w:color w:val="auto"/>
          <w:sz w:val="24"/>
          <w:highlight w:val="none"/>
          <w:lang w:val="en-US" w:eastAsia="zh-CN"/>
        </w:rPr>
        <w:t>本项目是否接受联合体投标：</w:t>
      </w:r>
      <w:r>
        <w:rPr>
          <w:rFonts w:hint="eastAsia" w:cs="宋体"/>
          <w:color w:val="auto"/>
          <w:sz w:val="24"/>
          <w:highlight w:val="none"/>
          <w:lang w:val="en-US" w:eastAsia="zh-CN"/>
        </w:rPr>
        <w:t>□</w:t>
      </w:r>
      <w:r>
        <w:rPr>
          <w:rFonts w:hint="eastAsia" w:ascii="宋体" w:hAnsi="宋体" w:eastAsia="宋体" w:cs="宋体"/>
          <w:color w:val="auto"/>
          <w:sz w:val="24"/>
          <w:highlight w:val="none"/>
          <w:lang w:val="en-US" w:eastAsia="zh-CN"/>
        </w:rPr>
        <w:t>是</w:t>
      </w:r>
      <w:bookmarkEnd w:id="24"/>
      <w:r>
        <w:rPr>
          <w:rFonts w:hint="eastAsia" w:ascii="宋体" w:hAnsi="宋体" w:eastAsia="宋体" w:cs="宋体"/>
          <w:color w:val="auto"/>
          <w:sz w:val="24"/>
          <w:highlight w:val="none"/>
          <w:lang w:val="en-US" w:eastAsia="zh-CN"/>
        </w:rPr>
        <w:t xml:space="preserve">   </w:t>
      </w:r>
      <w:r>
        <w:rPr>
          <w:rFonts w:hint="eastAsia" w:cs="宋体"/>
          <w:color w:val="auto"/>
          <w:sz w:val="24"/>
          <w:highlight w:val="none"/>
          <w:lang w:val="en-US" w:eastAsia="zh-CN"/>
        </w:rPr>
        <w:t>☑</w:t>
      </w:r>
      <w:r>
        <w:rPr>
          <w:rFonts w:hint="eastAsia" w:ascii="宋体" w:hAnsi="宋体" w:eastAsia="宋体" w:cs="宋体"/>
          <w:color w:val="auto"/>
          <w:sz w:val="24"/>
          <w:highlight w:val="none"/>
          <w:lang w:val="en-US" w:eastAsia="zh-CN"/>
        </w:rPr>
        <w:t>否</w:t>
      </w:r>
    </w:p>
    <w:p w14:paraId="1EEB1622">
      <w:pPr>
        <w:pStyle w:val="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25" w:name="_Toc155185861"/>
      <w:bookmarkStart w:id="26" w:name="_Toc109899830"/>
      <w:bookmarkStart w:id="27" w:name="_Toc109899411"/>
      <w:bookmarkStart w:id="28" w:name="_Toc109900249"/>
      <w:bookmarkStart w:id="29" w:name="_Toc163492813"/>
      <w:bookmarkStart w:id="30" w:name="_Toc140132746"/>
      <w:bookmarkStart w:id="31" w:name="_Toc24222"/>
      <w:r>
        <w:rPr>
          <w:rFonts w:hint="eastAsia" w:ascii="宋体" w:hAnsi="宋体" w:eastAsia="宋体" w:cs="宋体"/>
          <w:b/>
          <w:bCs/>
          <w:color w:val="auto"/>
          <w:kern w:val="2"/>
          <w:sz w:val="24"/>
          <w:szCs w:val="24"/>
          <w:highlight w:val="none"/>
          <w:lang w:val="en-US" w:eastAsia="zh-CN" w:bidi="ar-SA"/>
        </w:rPr>
        <w:t>二、申请</w:t>
      </w:r>
      <w:r>
        <w:rPr>
          <w:rFonts w:hint="eastAsia" w:ascii="宋体" w:hAnsi="宋体" w:eastAsia="宋体" w:cs="宋体"/>
          <w:b/>
          <w:bCs/>
          <w:color w:val="auto"/>
          <w:kern w:val="2"/>
          <w:sz w:val="24"/>
          <w:szCs w:val="24"/>
          <w:highlight w:val="none"/>
          <w:lang w:val="hr-HR" w:eastAsia="zh-CN" w:bidi="ar-SA"/>
        </w:rPr>
        <w:t>人</w:t>
      </w:r>
      <w:r>
        <w:rPr>
          <w:rFonts w:hint="eastAsia" w:ascii="宋体" w:hAnsi="宋体" w:eastAsia="宋体" w:cs="宋体"/>
          <w:b/>
          <w:bCs/>
          <w:color w:val="auto"/>
          <w:kern w:val="2"/>
          <w:sz w:val="24"/>
          <w:szCs w:val="24"/>
          <w:highlight w:val="none"/>
          <w:lang w:val="en-US" w:eastAsia="zh-CN" w:bidi="ar-SA"/>
        </w:rPr>
        <w:t>的</w:t>
      </w:r>
      <w:r>
        <w:rPr>
          <w:rFonts w:hint="eastAsia" w:ascii="宋体" w:hAnsi="宋体" w:eastAsia="宋体" w:cs="宋体"/>
          <w:b/>
          <w:bCs/>
          <w:color w:val="auto"/>
          <w:kern w:val="2"/>
          <w:sz w:val="24"/>
          <w:szCs w:val="24"/>
          <w:highlight w:val="none"/>
          <w:lang w:val="hr-HR" w:eastAsia="zh-CN" w:bidi="ar-SA"/>
        </w:rPr>
        <w:t>资格要求</w:t>
      </w:r>
      <w:bookmarkEnd w:id="19"/>
      <w:bookmarkEnd w:id="20"/>
      <w:bookmarkEnd w:id="21"/>
      <w:bookmarkEnd w:id="22"/>
      <w:bookmarkEnd w:id="23"/>
      <w:bookmarkEnd w:id="25"/>
      <w:bookmarkEnd w:id="26"/>
      <w:bookmarkEnd w:id="27"/>
      <w:bookmarkEnd w:id="28"/>
      <w:bookmarkEnd w:id="29"/>
      <w:bookmarkEnd w:id="30"/>
      <w:bookmarkEnd w:id="31"/>
    </w:p>
    <w:p w14:paraId="4033335F">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bookmarkStart w:id="32" w:name="_Toc28359014"/>
      <w:bookmarkStart w:id="33" w:name="_Toc44583630"/>
      <w:bookmarkStart w:id="34" w:name="_Toc28359091"/>
      <w:bookmarkStart w:id="35" w:name="_Toc35393800"/>
      <w:bookmarkStart w:id="36" w:name="_Toc35393631"/>
      <w:r>
        <w:rPr>
          <w:rFonts w:hint="eastAsia" w:ascii="宋体" w:hAnsi="宋体" w:eastAsia="宋体" w:cs="宋体"/>
          <w:color w:val="auto"/>
          <w:sz w:val="24"/>
          <w:highlight w:val="none"/>
          <w:lang w:val="en-US" w:eastAsia="zh-CN"/>
        </w:rPr>
        <w:t>1.满足《中华人民共和国政府采购法》第二十二条规定；</w:t>
      </w:r>
    </w:p>
    <w:p w14:paraId="35BE3CA5">
      <w:pPr>
        <w:ind w:firstLine="480" w:firstLineChars="200"/>
        <w:rPr>
          <w:rFonts w:cs="宋体"/>
          <w:szCs w:val="24"/>
          <w:highlight w:val="none"/>
        </w:rPr>
      </w:pPr>
      <w:r>
        <w:rPr>
          <w:rFonts w:hint="eastAsia" w:ascii="宋体" w:hAnsi="宋体" w:eastAsia="宋体" w:cs="宋体"/>
          <w:color w:val="auto"/>
          <w:sz w:val="24"/>
          <w:highlight w:val="none"/>
          <w:lang w:val="en-US" w:eastAsia="zh-CN"/>
        </w:rPr>
        <w:t>2.落实政府采购政策需满足的资格要求：</w:t>
      </w:r>
      <w:r>
        <w:rPr>
          <w:rFonts w:hint="eastAsia" w:cs="宋体"/>
          <w:szCs w:val="24"/>
          <w:u w:val="single"/>
        </w:rPr>
        <w:t>本项目专门面向</w:t>
      </w:r>
      <w:r>
        <w:rPr>
          <w:rFonts w:hint="eastAsia" w:cs="宋体"/>
          <w:szCs w:val="24"/>
          <w:u w:val="single"/>
          <w:lang w:val="en-US" w:eastAsia="zh-CN"/>
        </w:rPr>
        <w:t>小微</w:t>
      </w:r>
      <w:r>
        <w:rPr>
          <w:rFonts w:hint="eastAsia" w:cs="宋体"/>
          <w:szCs w:val="24"/>
          <w:u w:val="single"/>
        </w:rPr>
        <w:t>企业</w:t>
      </w:r>
      <w:r>
        <w:rPr>
          <w:rFonts w:hint="eastAsia" w:cs="宋体"/>
          <w:szCs w:val="24"/>
          <w:u w:val="single"/>
          <w:lang w:eastAsia="zh-CN"/>
        </w:rPr>
        <w:t>（</w:t>
      </w:r>
      <w:r>
        <w:rPr>
          <w:rFonts w:hint="eastAsia" w:cs="宋体"/>
          <w:szCs w:val="24"/>
          <w:u w:val="single"/>
          <w:lang w:val="en-US" w:eastAsia="zh-CN"/>
        </w:rPr>
        <w:t>小微企业100%</w:t>
      </w:r>
      <w:r>
        <w:rPr>
          <w:rFonts w:hint="eastAsia" w:cs="宋体"/>
          <w:szCs w:val="24"/>
          <w:u w:val="single"/>
          <w:lang w:eastAsia="zh-CN"/>
        </w:rPr>
        <w:t>）</w:t>
      </w:r>
      <w:r>
        <w:rPr>
          <w:rFonts w:hint="eastAsia" w:cs="宋体"/>
          <w:szCs w:val="24"/>
          <w:u w:val="single"/>
        </w:rPr>
        <w:t>，货物的制造商应符合《政府采购促进中小企业发展管理办法》(财库〔2020〕46号) 第四条规定的情形，且应当提供《政府采购促进中小企业发展管理办法》(财库〔2020〕46号)规定的《中小企业声明函》。</w:t>
      </w:r>
    </w:p>
    <w:p w14:paraId="331D3E1D">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val="en-US" w:eastAsia="zh-CN"/>
        </w:rPr>
        <w:t>3.本项目的特定资格要求：</w:t>
      </w:r>
      <w:r>
        <w:rPr>
          <w:rFonts w:hint="eastAsia" w:cs="宋体"/>
          <w:color w:val="auto"/>
          <w:sz w:val="24"/>
          <w:highlight w:val="none"/>
          <w:lang w:val="en-US" w:eastAsia="zh-CN"/>
        </w:rPr>
        <w:t>/</w:t>
      </w:r>
    </w:p>
    <w:p w14:paraId="69D2AB04">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 其他资格要求</w:t>
      </w:r>
    </w:p>
    <w:p w14:paraId="040E7358">
      <w:pPr>
        <w:pStyle w:val="37"/>
        <w:rPr>
          <w:rFonts w:hint="eastAsia" w:ascii="宋体" w:hAnsi="宋体" w:eastAsia="宋体" w:cs="宋体"/>
          <w:color w:val="auto"/>
          <w:sz w:val="24"/>
          <w:szCs w:val="24"/>
          <w:highlight w:val="none"/>
          <w:lang w:val="hr-HR"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hr-HR"/>
        </w:rPr>
        <w:t>法定代表人或</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lang w:val="hr-HR"/>
        </w:rPr>
        <w:t>负责人为同一人或者存在</w:t>
      </w:r>
      <w:r>
        <w:rPr>
          <w:rFonts w:hint="eastAsia" w:ascii="宋体" w:hAnsi="宋体" w:eastAsia="宋体" w:cs="宋体"/>
          <w:color w:val="auto"/>
          <w:sz w:val="24"/>
          <w:szCs w:val="24"/>
          <w:highlight w:val="none"/>
          <w:lang w:val="en-US" w:eastAsia="zh-CN"/>
        </w:rPr>
        <w:t>直接</w:t>
      </w:r>
      <w:r>
        <w:rPr>
          <w:rFonts w:hint="eastAsia" w:ascii="宋体" w:hAnsi="宋体" w:eastAsia="宋体" w:cs="宋体"/>
          <w:color w:val="auto"/>
          <w:sz w:val="24"/>
          <w:szCs w:val="24"/>
          <w:highlight w:val="none"/>
          <w:lang w:val="hr-HR"/>
        </w:rPr>
        <w:t>控股、管理关系的</w:t>
      </w:r>
      <w:r>
        <w:rPr>
          <w:rFonts w:hint="eastAsia" w:ascii="宋体" w:hAnsi="宋体" w:eastAsia="宋体" w:cs="宋体"/>
          <w:color w:val="auto"/>
          <w:sz w:val="24"/>
          <w:szCs w:val="24"/>
          <w:highlight w:val="none"/>
          <w:lang w:val="en-US" w:eastAsia="zh-CN"/>
        </w:rPr>
        <w:t>不同供应商</w:t>
      </w:r>
      <w:r>
        <w:rPr>
          <w:rFonts w:hint="eastAsia" w:ascii="宋体" w:hAnsi="宋体" w:eastAsia="宋体" w:cs="宋体"/>
          <w:color w:val="auto"/>
          <w:sz w:val="24"/>
          <w:szCs w:val="24"/>
          <w:highlight w:val="none"/>
          <w:lang w:val="hr-HR"/>
        </w:rPr>
        <w:t>，不得参加同一合同项下的政府采购活动。</w:t>
      </w:r>
    </w:p>
    <w:p w14:paraId="68099EEC">
      <w:pPr>
        <w:pStyle w:val="37"/>
        <w:rPr>
          <w:rFonts w:hint="eastAsia" w:ascii="宋体" w:hAnsi="宋体" w:eastAsia="宋体" w:cs="宋体"/>
          <w:color w:val="auto"/>
          <w:sz w:val="24"/>
          <w:szCs w:val="24"/>
          <w:highlight w:val="none"/>
          <w:lang w:val="hr-HR"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hr-HR"/>
        </w:rPr>
        <w:t>除单一来源采购项目外，为采购项目提供整体设计、规范编制或者项目管理、监理、检测等服务的供应商，不得再参加该采购项目的其他采购活动。</w:t>
      </w:r>
    </w:p>
    <w:p w14:paraId="37F1F70A">
      <w:pPr>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hr-HR"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hr-HR"/>
        </w:rPr>
        <w:t>供应商的信用行为</w:t>
      </w:r>
      <w:r>
        <w:rPr>
          <w:rFonts w:hint="eastAsia" w:ascii="宋体" w:hAnsi="宋体" w:eastAsia="宋体" w:cs="宋体"/>
          <w:color w:val="auto"/>
          <w:sz w:val="24"/>
          <w:szCs w:val="24"/>
          <w:highlight w:val="none"/>
          <w:lang w:val="hr-HR" w:eastAsia="zh-CN"/>
        </w:rPr>
        <w:t>：</w:t>
      </w:r>
      <w:r>
        <w:rPr>
          <w:rFonts w:hint="eastAsia" w:ascii="宋体" w:hAnsi="宋体" w:eastAsia="宋体" w:cs="宋体"/>
          <w:color w:val="auto"/>
          <w:sz w:val="24"/>
          <w:szCs w:val="24"/>
          <w:highlight w:val="none"/>
          <w:lang w:val="hr-HR"/>
        </w:rPr>
        <w:t>在</w:t>
      </w:r>
      <w:r>
        <w:rPr>
          <w:rFonts w:hint="eastAsia" w:ascii="宋体" w:hAnsi="宋体" w:eastAsia="宋体" w:cs="宋体"/>
          <w:color w:val="auto"/>
          <w:sz w:val="24"/>
          <w:szCs w:val="24"/>
          <w:highlight w:val="none"/>
          <w:lang w:val="en-US" w:eastAsia="zh-CN"/>
        </w:rPr>
        <w:t>资格审查阶段经查询</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eastAsia="zh-CN"/>
        </w:rPr>
        <w:t>未被列入“失信被执行人”、“重大税收违法失信主体”、“政府采购严重违法失信行为记录名单”</w:t>
      </w:r>
      <w:r>
        <w:rPr>
          <w:rFonts w:hint="eastAsia" w:ascii="宋体" w:hAnsi="宋体" w:eastAsia="宋体" w:cs="宋体"/>
          <w:color w:val="auto"/>
          <w:sz w:val="24"/>
          <w:szCs w:val="24"/>
          <w:highlight w:val="none"/>
          <w:lang w:val="hr-HR"/>
        </w:rPr>
        <w:t>其中之一。如有以上不良信用记录</w:t>
      </w:r>
      <w:r>
        <w:rPr>
          <w:rFonts w:hint="eastAsia" w:ascii="宋体" w:hAnsi="宋体" w:eastAsia="宋体" w:cs="宋体"/>
          <w:color w:val="auto"/>
          <w:sz w:val="24"/>
          <w:szCs w:val="24"/>
          <w:highlight w:val="none"/>
          <w:lang w:val="en-US" w:eastAsia="zh-CN"/>
        </w:rPr>
        <w:t>之一的，</w:t>
      </w:r>
      <w:r>
        <w:rPr>
          <w:rFonts w:hint="eastAsia" w:ascii="宋体" w:hAnsi="宋体" w:eastAsia="宋体" w:cs="宋体"/>
          <w:color w:val="auto"/>
          <w:sz w:val="24"/>
          <w:szCs w:val="24"/>
          <w:highlight w:val="none"/>
          <w:lang w:val="hr-HR"/>
        </w:rPr>
        <w:t>其</w:t>
      </w:r>
      <w:r>
        <w:rPr>
          <w:rFonts w:hint="eastAsia" w:ascii="宋体" w:hAnsi="宋体" w:eastAsia="宋体" w:cs="宋体"/>
          <w:b/>
          <w:bCs/>
          <w:color w:val="auto"/>
          <w:sz w:val="24"/>
          <w:szCs w:val="24"/>
          <w:highlight w:val="none"/>
          <w:lang w:val="en-US" w:eastAsia="zh-CN"/>
        </w:rPr>
        <w:t>响应无效</w:t>
      </w:r>
      <w:r>
        <w:rPr>
          <w:rFonts w:hint="eastAsia" w:ascii="宋体" w:hAnsi="宋体" w:eastAsia="宋体" w:cs="宋体"/>
          <w:color w:val="auto"/>
          <w:sz w:val="24"/>
          <w:szCs w:val="24"/>
          <w:highlight w:val="none"/>
          <w:lang w:val="hr-HR"/>
        </w:rPr>
        <w:t>。</w:t>
      </w:r>
    </w:p>
    <w:p w14:paraId="17F1ED43">
      <w:pPr>
        <w:pStyle w:val="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bCs/>
          <w:color w:val="auto"/>
          <w:kern w:val="2"/>
          <w:sz w:val="24"/>
          <w:szCs w:val="24"/>
          <w:highlight w:val="none"/>
          <w:lang w:val="hr-HR" w:eastAsia="zh-CN" w:bidi="ar-SA"/>
        </w:rPr>
      </w:pPr>
      <w:bookmarkStart w:id="37" w:name="_Toc163492814"/>
      <w:bookmarkStart w:id="38" w:name="_Toc109899412"/>
      <w:bookmarkStart w:id="39" w:name="_Toc140132747"/>
      <w:bookmarkStart w:id="40" w:name="_Toc109900250"/>
      <w:bookmarkStart w:id="41" w:name="_Toc109899831"/>
      <w:bookmarkStart w:id="42" w:name="_Toc155185862"/>
      <w:bookmarkStart w:id="43" w:name="_Toc323"/>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hr-HR" w:eastAsia="zh-CN" w:bidi="ar-SA"/>
        </w:rPr>
        <w:t>获取招标文件</w:t>
      </w:r>
      <w:bookmarkEnd w:id="32"/>
      <w:bookmarkEnd w:id="33"/>
      <w:bookmarkEnd w:id="34"/>
      <w:bookmarkEnd w:id="35"/>
      <w:bookmarkEnd w:id="36"/>
      <w:bookmarkEnd w:id="37"/>
      <w:bookmarkEnd w:id="38"/>
      <w:bookmarkEnd w:id="39"/>
      <w:bookmarkEnd w:id="40"/>
      <w:bookmarkEnd w:id="41"/>
      <w:bookmarkEnd w:id="42"/>
      <w:bookmarkEnd w:id="43"/>
      <w:r>
        <w:rPr>
          <w:rFonts w:hint="eastAsia" w:ascii="宋体" w:hAnsi="宋体" w:eastAsia="宋体" w:cs="宋体"/>
          <w:b/>
          <w:bCs/>
          <w:color w:val="auto"/>
          <w:kern w:val="2"/>
          <w:sz w:val="24"/>
          <w:szCs w:val="24"/>
          <w:highlight w:val="none"/>
          <w:lang w:val="hr-HR" w:eastAsia="zh-CN" w:bidi="ar-SA"/>
        </w:rPr>
        <w:t xml:space="preserve"> </w:t>
      </w:r>
    </w:p>
    <w:p w14:paraId="7F0135DE">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bookmarkStart w:id="44" w:name="_Hlk130457234"/>
      <w:bookmarkStart w:id="45" w:name="_Hlk130457261"/>
      <w:bookmarkStart w:id="46" w:name="_Hlk130457327"/>
      <w:bookmarkStart w:id="47" w:name="_Toc28359015"/>
      <w:bookmarkStart w:id="48" w:name="_Toc35393632"/>
      <w:bookmarkStart w:id="49" w:name="_Toc35393801"/>
      <w:bookmarkStart w:id="50" w:name="_Toc28359092"/>
      <w:r>
        <w:rPr>
          <w:rFonts w:hint="eastAsia" w:ascii="宋体" w:hAnsi="宋体" w:eastAsia="宋体" w:cs="宋体"/>
          <w:color w:val="auto"/>
          <w:sz w:val="24"/>
          <w:highlight w:val="none"/>
          <w:lang w:val="hr-HR"/>
        </w:rPr>
        <w:t>1.时间：</w:t>
      </w:r>
      <w:r>
        <w:rPr>
          <w:rFonts w:hint="eastAsia" w:ascii="宋体" w:hAnsi="宋体" w:eastAsia="宋体" w:cs="宋体"/>
          <w:color w:val="auto"/>
          <w:sz w:val="24"/>
          <w:highlight w:val="none"/>
          <w:u w:val="single"/>
        </w:rPr>
        <w:t xml:space="preserve"> </w:t>
      </w:r>
      <w:r>
        <w:rPr>
          <w:rFonts w:hint="eastAsia" w:cs="宋体"/>
          <w:color w:val="auto"/>
          <w:sz w:val="24"/>
          <w:highlight w:val="none"/>
          <w:u w:val="single"/>
          <w:lang w:val="en-US" w:eastAsia="zh-CN"/>
        </w:rPr>
        <w:t>2025</w:t>
      </w:r>
      <w:r>
        <w:rPr>
          <w:rFonts w:hint="eastAsia" w:ascii="宋体" w:hAnsi="宋体" w:eastAsia="宋体" w:cs="宋体"/>
          <w:color w:val="auto"/>
          <w:sz w:val="24"/>
          <w:highlight w:val="none"/>
          <w:u w:val="single"/>
        </w:rPr>
        <w:t xml:space="preserve"> 年 </w:t>
      </w:r>
      <w:r>
        <w:rPr>
          <w:rFonts w:hint="eastAsia" w:cs="宋体"/>
          <w:color w:val="auto"/>
          <w:sz w:val="24"/>
          <w:highlight w:val="none"/>
          <w:u w:val="single"/>
          <w:lang w:val="en-US" w:eastAsia="zh-CN"/>
        </w:rPr>
        <w:t>9</w:t>
      </w:r>
      <w:r>
        <w:rPr>
          <w:rFonts w:hint="eastAsia" w:ascii="宋体" w:hAnsi="宋体" w:eastAsia="宋体" w:cs="宋体"/>
          <w:color w:val="auto"/>
          <w:sz w:val="24"/>
          <w:highlight w:val="none"/>
          <w:u w:val="single"/>
        </w:rPr>
        <w:t xml:space="preserve"> 月</w:t>
      </w:r>
      <w:r>
        <w:rPr>
          <w:rFonts w:hint="eastAsia" w:cs="宋体"/>
          <w:color w:val="auto"/>
          <w:sz w:val="24"/>
          <w:highlight w:val="none"/>
          <w:u w:val="single"/>
          <w:lang w:val="en-US" w:eastAsia="zh-CN"/>
        </w:rPr>
        <w:t>21</w:t>
      </w:r>
      <w:r>
        <w:rPr>
          <w:rFonts w:hint="eastAsia" w:ascii="宋体" w:hAnsi="宋体" w:eastAsia="宋体" w:cs="宋体"/>
          <w:color w:val="auto"/>
          <w:sz w:val="24"/>
          <w:highlight w:val="none"/>
          <w:u w:val="single"/>
        </w:rPr>
        <w:t xml:space="preserve">日 </w:t>
      </w:r>
      <w:r>
        <w:rPr>
          <w:rFonts w:hint="eastAsia" w:cs="宋体"/>
          <w:color w:val="auto"/>
          <w:sz w:val="24"/>
          <w:highlight w:val="none"/>
          <w:u w:val="single"/>
          <w:lang w:val="en-US" w:eastAsia="zh-CN"/>
        </w:rPr>
        <w:t>23</w:t>
      </w:r>
      <w:r>
        <w:rPr>
          <w:rFonts w:hint="eastAsia" w:ascii="宋体" w:hAnsi="宋体" w:eastAsia="宋体" w:cs="宋体"/>
          <w:color w:val="auto"/>
          <w:sz w:val="24"/>
          <w:highlight w:val="none"/>
          <w:u w:val="single"/>
        </w:rPr>
        <w:t xml:space="preserve"> 时  </w:t>
      </w:r>
      <w:r>
        <w:rPr>
          <w:rFonts w:hint="eastAsia" w:cs="宋体"/>
          <w:color w:val="auto"/>
          <w:sz w:val="24"/>
          <w:highlight w:val="none"/>
          <w:u w:val="single"/>
          <w:lang w:val="en-US" w:eastAsia="zh-CN"/>
        </w:rPr>
        <w:t>59</w:t>
      </w:r>
      <w:r>
        <w:rPr>
          <w:rFonts w:hint="eastAsia" w:ascii="宋体" w:hAnsi="宋体" w:eastAsia="宋体" w:cs="宋体"/>
          <w:color w:val="auto"/>
          <w:sz w:val="24"/>
          <w:highlight w:val="none"/>
          <w:u w:val="single"/>
        </w:rPr>
        <w:t xml:space="preserve"> 分</w:t>
      </w:r>
      <w:r>
        <w:rPr>
          <w:rFonts w:hint="eastAsia" w:ascii="宋体" w:hAnsi="宋体" w:eastAsia="宋体" w:cs="宋体"/>
          <w:color w:val="auto"/>
          <w:sz w:val="24"/>
          <w:highlight w:val="none"/>
          <w:lang w:val="hr-HR"/>
        </w:rPr>
        <w:t>至</w:t>
      </w:r>
      <w:r>
        <w:rPr>
          <w:rFonts w:hint="eastAsia" w:ascii="宋体" w:hAnsi="宋体" w:eastAsia="宋体" w:cs="宋体"/>
          <w:color w:val="auto"/>
          <w:sz w:val="24"/>
          <w:highlight w:val="none"/>
          <w:u w:val="single"/>
          <w:lang w:val="hr-HR"/>
        </w:rPr>
        <w:t xml:space="preserve">  </w:t>
      </w:r>
      <w:r>
        <w:rPr>
          <w:rFonts w:hint="eastAsia" w:cs="宋体"/>
          <w:color w:val="auto"/>
          <w:sz w:val="24"/>
          <w:highlight w:val="none"/>
          <w:u w:val="single"/>
          <w:lang w:val="en-US" w:eastAsia="zh-CN"/>
        </w:rPr>
        <w:t>2025</w:t>
      </w:r>
      <w:r>
        <w:rPr>
          <w:rFonts w:hint="eastAsia" w:ascii="宋体" w:hAnsi="宋体" w:eastAsia="宋体" w:cs="宋体"/>
          <w:color w:val="auto"/>
          <w:sz w:val="24"/>
          <w:highlight w:val="none"/>
          <w:u w:val="single"/>
        </w:rPr>
        <w:t xml:space="preserve">年 </w:t>
      </w:r>
      <w:r>
        <w:rPr>
          <w:rFonts w:hint="eastAsia" w:cs="宋体"/>
          <w:color w:val="auto"/>
          <w:sz w:val="24"/>
          <w:highlight w:val="none"/>
          <w:u w:val="single"/>
          <w:lang w:val="en-US" w:eastAsia="zh-CN"/>
        </w:rPr>
        <w:t>9</w:t>
      </w:r>
      <w:r>
        <w:rPr>
          <w:rFonts w:hint="eastAsia" w:ascii="宋体" w:hAnsi="宋体" w:eastAsia="宋体" w:cs="宋体"/>
          <w:color w:val="auto"/>
          <w:sz w:val="24"/>
          <w:highlight w:val="none"/>
          <w:u w:val="single"/>
        </w:rPr>
        <w:t xml:space="preserve"> 月 </w:t>
      </w:r>
      <w:r>
        <w:rPr>
          <w:rFonts w:hint="eastAsia" w:cs="宋体"/>
          <w:color w:val="auto"/>
          <w:sz w:val="24"/>
          <w:highlight w:val="none"/>
          <w:u w:val="single"/>
          <w:lang w:val="en-US" w:eastAsia="zh-CN"/>
        </w:rPr>
        <w:t>29</w:t>
      </w:r>
      <w:r>
        <w:rPr>
          <w:rFonts w:hint="eastAsia" w:ascii="宋体" w:hAnsi="宋体" w:eastAsia="宋体" w:cs="宋体"/>
          <w:color w:val="auto"/>
          <w:sz w:val="24"/>
          <w:highlight w:val="none"/>
          <w:u w:val="single"/>
        </w:rPr>
        <w:t xml:space="preserve"> 日 </w:t>
      </w:r>
      <w:r>
        <w:rPr>
          <w:rFonts w:hint="eastAsia" w:cs="宋体"/>
          <w:color w:val="auto"/>
          <w:sz w:val="24"/>
          <w:highlight w:val="none"/>
          <w:u w:val="single"/>
          <w:lang w:val="en-US" w:eastAsia="zh-CN"/>
        </w:rPr>
        <w:t>00</w:t>
      </w:r>
      <w:r>
        <w:rPr>
          <w:rFonts w:hint="eastAsia" w:ascii="宋体" w:hAnsi="宋体" w:eastAsia="宋体" w:cs="宋体"/>
          <w:color w:val="auto"/>
          <w:sz w:val="24"/>
          <w:highlight w:val="none"/>
          <w:u w:val="single"/>
        </w:rPr>
        <w:t xml:space="preserve"> 时 </w:t>
      </w:r>
      <w:r>
        <w:rPr>
          <w:rFonts w:hint="eastAsia"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lang w:val="hr-HR"/>
        </w:rPr>
        <w:t>（北京时间）。</w:t>
      </w:r>
    </w:p>
    <w:bookmarkEnd w:id="44"/>
    <w:p w14:paraId="34FD69CE">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lang w:val="hr-HR"/>
        </w:rPr>
        <w:t>2.</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lang w:val="hr-HR"/>
        </w:rPr>
        <w:t>：</w:t>
      </w:r>
      <w:bookmarkStart w:id="51" w:name="_Hlk89807779"/>
      <w:r>
        <w:rPr>
          <w:rFonts w:hint="eastAsia" w:ascii="宋体" w:hAnsi="宋体" w:eastAsia="宋体" w:cs="宋体"/>
          <w:color w:val="auto"/>
          <w:sz w:val="24"/>
          <w:highlight w:val="none"/>
          <w:lang w:val="en-US"/>
        </w:rPr>
        <w:t>兵团</w:t>
      </w:r>
      <w:r>
        <w:rPr>
          <w:rFonts w:hint="eastAsia" w:ascii="宋体" w:hAnsi="宋体" w:eastAsia="宋体" w:cs="宋体"/>
          <w:color w:val="auto"/>
          <w:sz w:val="24"/>
          <w:highlight w:val="none"/>
        </w:rPr>
        <w:t>政府采购</w:t>
      </w:r>
      <w:r>
        <w:rPr>
          <w:rFonts w:hint="eastAsia" w:ascii="宋体" w:hAnsi="宋体" w:eastAsia="宋体" w:cs="宋体"/>
          <w:color w:val="auto"/>
          <w:sz w:val="24"/>
          <w:highlight w:val="none"/>
          <w:lang w:val="en-US"/>
        </w:rPr>
        <w:t>电子交易云</w:t>
      </w:r>
      <w:r>
        <w:rPr>
          <w:rFonts w:hint="eastAsia" w:ascii="宋体" w:hAnsi="宋体" w:eastAsia="宋体" w:cs="宋体"/>
          <w:color w:val="auto"/>
          <w:sz w:val="24"/>
          <w:highlight w:val="none"/>
        </w:rPr>
        <w:t>平台</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rPr>
        <w:t>网址</w:t>
      </w:r>
      <w:r>
        <w:rPr>
          <w:rFonts w:hint="eastAsia" w:ascii="宋体" w:hAnsi="宋体" w:eastAsia="宋体" w:cs="宋体"/>
          <w:color w:val="auto"/>
          <w:sz w:val="24"/>
          <w:highlight w:val="none"/>
          <w:lang w:val="hr-HR"/>
        </w:rPr>
        <w:t>：https://www.zcygov.cn/）</w:t>
      </w:r>
      <w:r>
        <w:rPr>
          <w:rFonts w:hint="eastAsia" w:ascii="宋体" w:hAnsi="宋体" w:eastAsia="宋体" w:cs="宋体"/>
          <w:color w:val="auto"/>
          <w:sz w:val="24"/>
          <w:highlight w:val="none"/>
        </w:rPr>
        <w:t>。</w:t>
      </w:r>
      <w:bookmarkEnd w:id="51"/>
    </w:p>
    <w:p w14:paraId="674E7A4D">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hr-HR"/>
        </w:rPr>
        <w:t>3.</w:t>
      </w:r>
      <w:r>
        <w:rPr>
          <w:rFonts w:hint="eastAsia" w:ascii="宋体" w:hAnsi="宋体" w:eastAsia="宋体" w:cs="宋体"/>
          <w:color w:val="auto"/>
          <w:sz w:val="24"/>
          <w:highlight w:val="none"/>
        </w:rPr>
        <w:t>方式</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rPr>
        <w:t>投标供应商登录政采云平台</w:t>
      </w:r>
      <w:r>
        <w:rPr>
          <w:rFonts w:hint="eastAsia" w:ascii="宋体" w:hAnsi="宋体" w:eastAsia="宋体" w:cs="宋体"/>
          <w:color w:val="auto"/>
          <w:sz w:val="24"/>
          <w:highlight w:val="none"/>
          <w:lang w:val="hr-HR"/>
        </w:rPr>
        <w:t>https</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hr-HR"/>
        </w:rPr>
        <w:t>//www.zcygov.cn/</w:t>
      </w:r>
      <w:r>
        <w:rPr>
          <w:rFonts w:hint="eastAsia" w:ascii="宋体" w:hAnsi="宋体" w:eastAsia="宋体" w:cs="宋体"/>
          <w:color w:val="auto"/>
          <w:sz w:val="24"/>
          <w:highlight w:val="none"/>
          <w:lang w:val="en-US"/>
        </w:rPr>
        <w:t>在线申请</w:t>
      </w:r>
      <w:r>
        <w:rPr>
          <w:rFonts w:hint="eastAsia" w:ascii="宋体" w:hAnsi="宋体" w:eastAsia="宋体" w:cs="宋体"/>
          <w:color w:val="auto"/>
          <w:sz w:val="24"/>
          <w:highlight w:val="none"/>
          <w:lang w:val="en-US" w:eastAsia="zh-CN"/>
        </w:rPr>
        <w:t>，免费</w:t>
      </w:r>
      <w:r>
        <w:rPr>
          <w:rFonts w:hint="eastAsia" w:ascii="宋体" w:hAnsi="宋体" w:eastAsia="宋体" w:cs="宋体"/>
          <w:color w:val="auto"/>
          <w:sz w:val="24"/>
          <w:highlight w:val="none"/>
          <w:lang w:val="en-US"/>
        </w:rPr>
        <w:t>获取</w:t>
      </w:r>
      <w:r>
        <w:rPr>
          <w:rFonts w:hint="eastAsia" w:ascii="宋体" w:hAnsi="宋体" w:eastAsia="宋体" w:cs="宋体"/>
          <w:color w:val="auto"/>
          <w:sz w:val="24"/>
          <w:highlight w:val="none"/>
          <w:lang w:val="en-US" w:eastAsia="zh-CN"/>
        </w:rPr>
        <w:t>电子</w:t>
      </w:r>
      <w:r>
        <w:rPr>
          <w:rFonts w:hint="eastAsia" w:ascii="宋体" w:hAnsi="宋体" w:eastAsia="宋体" w:cs="宋体"/>
          <w:color w:val="auto"/>
          <w:sz w:val="24"/>
          <w:highlight w:val="none"/>
          <w:lang w:val="en-US"/>
        </w:rPr>
        <w:t>采购文件</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rPr>
        <w:t>进入</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rPr>
        <w:t>项目采购</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rPr>
        <w:t>应用</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rPr>
        <w:t>在获取采购文件菜单中选择项目</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rPr>
        <w:t>申请获取采购文件</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rPr>
        <w:t>。</w:t>
      </w:r>
    </w:p>
    <w:p w14:paraId="21D74D7F">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4.售价：0元。</w:t>
      </w:r>
    </w:p>
    <w:bookmarkEnd w:id="45"/>
    <w:bookmarkEnd w:id="46"/>
    <w:bookmarkEnd w:id="47"/>
    <w:bookmarkEnd w:id="48"/>
    <w:bookmarkEnd w:id="49"/>
    <w:bookmarkEnd w:id="50"/>
    <w:p w14:paraId="6020FAF9">
      <w:pPr>
        <w:pStyle w:val="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52" w:name="_Toc155185863"/>
      <w:bookmarkStart w:id="53" w:name="_Toc163492815"/>
      <w:bookmarkStart w:id="54" w:name="_Toc109899832"/>
      <w:bookmarkStart w:id="55" w:name="_Toc140132748"/>
      <w:bookmarkStart w:id="56" w:name="_Toc109899413"/>
      <w:bookmarkStart w:id="57" w:name="_Toc109900251"/>
      <w:bookmarkStart w:id="58" w:name="_Toc11234"/>
      <w:r>
        <w:rPr>
          <w:rFonts w:hint="eastAsia" w:ascii="宋体" w:hAnsi="宋体" w:eastAsia="宋体" w:cs="宋体"/>
          <w:b/>
          <w:bCs/>
          <w:color w:val="auto"/>
          <w:kern w:val="2"/>
          <w:sz w:val="24"/>
          <w:szCs w:val="24"/>
          <w:highlight w:val="none"/>
          <w:lang w:val="en-US" w:eastAsia="zh-CN" w:bidi="ar-SA"/>
        </w:rPr>
        <w:t>四、</w:t>
      </w:r>
      <w:bookmarkEnd w:id="52"/>
      <w:bookmarkEnd w:id="53"/>
      <w:bookmarkEnd w:id="54"/>
      <w:bookmarkEnd w:id="55"/>
      <w:bookmarkEnd w:id="56"/>
      <w:bookmarkEnd w:id="57"/>
      <w:r>
        <w:rPr>
          <w:rFonts w:hint="eastAsia" w:ascii="宋体" w:hAnsi="宋体" w:eastAsia="宋体" w:cs="宋体"/>
          <w:b/>
          <w:bCs/>
          <w:color w:val="auto"/>
          <w:kern w:val="2"/>
          <w:sz w:val="24"/>
          <w:szCs w:val="24"/>
          <w:highlight w:val="none"/>
          <w:lang w:val="hr-HR" w:eastAsia="zh-CN" w:bidi="ar-SA"/>
        </w:rPr>
        <w:t>提交投标文件截止时间</w:t>
      </w: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hr-HR" w:eastAsia="zh-CN" w:bidi="ar-SA"/>
        </w:rPr>
        <w:t>开标时间、递交方式和</w:t>
      </w:r>
      <w:r>
        <w:rPr>
          <w:rFonts w:hint="eastAsia" w:ascii="宋体" w:hAnsi="宋体" w:eastAsia="宋体" w:cs="宋体"/>
          <w:b/>
          <w:bCs/>
          <w:color w:val="auto"/>
          <w:kern w:val="2"/>
          <w:sz w:val="24"/>
          <w:szCs w:val="24"/>
          <w:highlight w:val="none"/>
          <w:lang w:val="en-US" w:eastAsia="zh-CN" w:bidi="ar-SA"/>
        </w:rPr>
        <w:t>开标</w:t>
      </w:r>
      <w:r>
        <w:rPr>
          <w:rFonts w:hint="eastAsia" w:ascii="宋体" w:hAnsi="宋体" w:eastAsia="宋体" w:cs="宋体"/>
          <w:b/>
          <w:bCs/>
          <w:color w:val="auto"/>
          <w:kern w:val="2"/>
          <w:sz w:val="24"/>
          <w:szCs w:val="24"/>
          <w:highlight w:val="none"/>
          <w:lang w:val="hr-HR" w:eastAsia="zh-CN" w:bidi="ar-SA"/>
        </w:rPr>
        <w:t>地点</w:t>
      </w:r>
      <w:bookmarkEnd w:id="58"/>
      <w:bookmarkStart w:id="59" w:name="_Hlk130457395"/>
      <w:bookmarkStart w:id="60" w:name="_Toc28359094"/>
      <w:bookmarkStart w:id="61" w:name="_Toc35393803"/>
      <w:bookmarkStart w:id="62" w:name="_Toc28359017"/>
      <w:bookmarkStart w:id="63" w:name="_Toc35393634"/>
      <w:bookmarkStart w:id="64" w:name="_Toc44583633"/>
    </w:p>
    <w:p w14:paraId="2D110B47">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 w:val="0"/>
          <w:bCs w:val="0"/>
          <w:color w:val="auto"/>
          <w:sz w:val="24"/>
          <w:highlight w:val="none"/>
        </w:rPr>
      </w:pPr>
      <w:bookmarkStart w:id="65" w:name="_Toc8573"/>
      <w:bookmarkStart w:id="66" w:name="_Toc16016"/>
      <w:r>
        <w:rPr>
          <w:rFonts w:hint="eastAsia" w:ascii="宋体" w:hAnsi="宋体" w:eastAsia="宋体" w:cs="宋体"/>
          <w:b w:val="0"/>
          <w:bCs w:val="0"/>
          <w:color w:val="auto"/>
          <w:sz w:val="24"/>
          <w:highlight w:val="none"/>
        </w:rPr>
        <w:t>1.截止时间</w:t>
      </w:r>
      <w:r>
        <w:rPr>
          <w:rFonts w:hint="eastAsia" w:ascii="宋体" w:hAnsi="宋体" w:eastAsia="宋体" w:cs="宋体"/>
          <w:b w:val="0"/>
          <w:bCs w:val="0"/>
          <w:color w:val="auto"/>
          <w:sz w:val="24"/>
          <w:highlight w:val="none"/>
          <w:lang w:val="en-US"/>
        </w:rPr>
        <w:t>/</w:t>
      </w:r>
      <w:r>
        <w:rPr>
          <w:rFonts w:hint="eastAsia" w:ascii="宋体" w:hAnsi="宋体" w:eastAsia="宋体" w:cs="宋体"/>
          <w:b w:val="0"/>
          <w:bCs w:val="0"/>
          <w:color w:val="auto"/>
          <w:sz w:val="24"/>
          <w:highlight w:val="none"/>
        </w:rPr>
        <w:t>开标时间：</w:t>
      </w:r>
      <w:r>
        <w:rPr>
          <w:rFonts w:hint="eastAsia" w:ascii="宋体" w:hAnsi="宋体" w:eastAsia="宋体" w:cs="宋体"/>
          <w:b w:val="0"/>
          <w:bCs w:val="0"/>
          <w:color w:val="auto"/>
          <w:sz w:val="24"/>
          <w:highlight w:val="none"/>
          <w:u w:val="single"/>
        </w:rPr>
        <w:t>2025年10月13日11时00分</w:t>
      </w:r>
      <w:r>
        <w:rPr>
          <w:rFonts w:hint="eastAsia" w:ascii="宋体" w:hAnsi="宋体" w:eastAsia="宋体" w:cs="宋体"/>
          <w:b w:val="0"/>
          <w:bCs w:val="0"/>
          <w:color w:val="auto"/>
          <w:sz w:val="24"/>
          <w:highlight w:val="none"/>
        </w:rPr>
        <w:t>（北京时间）。</w:t>
      </w:r>
      <w:bookmarkEnd w:id="65"/>
      <w:bookmarkEnd w:id="66"/>
    </w:p>
    <w:p w14:paraId="51B173F3">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2.递交方式：</w:t>
      </w:r>
      <w:bookmarkStart w:id="67" w:name="_Hlk89807823"/>
      <w:r>
        <w:rPr>
          <w:rFonts w:hint="eastAsia" w:ascii="宋体" w:hAnsi="宋体" w:eastAsia="宋体" w:cs="宋体"/>
          <w:color w:val="auto"/>
          <w:sz w:val="24"/>
          <w:highlight w:val="none"/>
        </w:rPr>
        <w:t>在兵团政府采购电子交易云平台（网址：https://www.zcygov.cn/）进入“项目采购”应用，在投标文件上传菜单中选择项目进行上传。</w:t>
      </w:r>
      <w:bookmarkEnd w:id="67"/>
    </w:p>
    <w:p w14:paraId="276D3E17">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3.开标</w:t>
      </w:r>
      <w:r>
        <w:rPr>
          <w:rFonts w:hint="eastAsia" w:ascii="宋体" w:hAnsi="宋体" w:eastAsia="宋体" w:cs="宋体"/>
          <w:color w:val="auto"/>
          <w:sz w:val="24"/>
          <w:highlight w:val="none"/>
          <w:lang w:val="en-US"/>
        </w:rPr>
        <w:t>地点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rPr>
        <w:t>投标</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lang w:val="en-US"/>
        </w:rPr>
        <w:t>登录政采云平台https</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rPr>
        <w:t>//www.zcygov.cn/，进入项目采购-开</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lang w:val="en-US"/>
        </w:rPr>
        <w:t>评标-右边选择对应项目点击“进入项目”进入开标大厅</w:t>
      </w:r>
      <w:r>
        <w:rPr>
          <w:rFonts w:hint="eastAsia" w:ascii="宋体" w:hAnsi="宋体" w:eastAsia="宋体" w:cs="宋体"/>
          <w:color w:val="auto"/>
          <w:sz w:val="24"/>
          <w:highlight w:val="none"/>
        </w:rPr>
        <w:t>。</w:t>
      </w:r>
    </w:p>
    <w:bookmarkEnd w:id="59"/>
    <w:p w14:paraId="679A69E0">
      <w:pPr>
        <w:pStyle w:val="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68" w:name="_Toc155185864"/>
      <w:bookmarkStart w:id="69" w:name="_Toc109900252"/>
      <w:bookmarkStart w:id="70" w:name="_Toc109899833"/>
      <w:bookmarkStart w:id="71" w:name="_Toc140132749"/>
      <w:bookmarkStart w:id="72" w:name="_Toc163492816"/>
      <w:bookmarkStart w:id="73" w:name="_Toc109899414"/>
      <w:bookmarkStart w:id="74" w:name="_Toc12377"/>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b/>
          <w:bCs/>
          <w:color w:val="auto"/>
          <w:kern w:val="2"/>
          <w:sz w:val="24"/>
          <w:szCs w:val="24"/>
          <w:highlight w:val="none"/>
          <w:lang w:val="hr-HR" w:eastAsia="zh-CN" w:bidi="ar-SA"/>
        </w:rPr>
        <w:t>公告期限</w:t>
      </w:r>
      <w:bookmarkEnd w:id="60"/>
      <w:bookmarkEnd w:id="61"/>
      <w:bookmarkEnd w:id="62"/>
      <w:bookmarkEnd w:id="63"/>
      <w:bookmarkEnd w:id="64"/>
      <w:bookmarkEnd w:id="68"/>
      <w:bookmarkEnd w:id="69"/>
      <w:bookmarkEnd w:id="70"/>
      <w:bookmarkEnd w:id="71"/>
      <w:bookmarkEnd w:id="72"/>
      <w:bookmarkEnd w:id="73"/>
      <w:bookmarkEnd w:id="74"/>
    </w:p>
    <w:p w14:paraId="32028F42">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自招标公告发布之日起5个工作日。</w:t>
      </w:r>
    </w:p>
    <w:p w14:paraId="20DD1AA0">
      <w:pPr>
        <w:pStyle w:val="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75" w:name="_Toc109899834"/>
      <w:bookmarkStart w:id="76" w:name="_Toc109900253"/>
      <w:bookmarkStart w:id="77" w:name="_Toc35393635"/>
      <w:bookmarkStart w:id="78" w:name="_Toc44583634"/>
      <w:bookmarkStart w:id="79" w:name="_Toc109899415"/>
      <w:bookmarkStart w:id="80" w:name="_Toc35393804"/>
      <w:bookmarkStart w:id="81" w:name="_Toc140132750"/>
      <w:bookmarkStart w:id="82" w:name="_Toc155185865"/>
      <w:bookmarkStart w:id="83" w:name="_Toc163492817"/>
      <w:bookmarkStart w:id="84" w:name="_Toc31029"/>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hr-HR" w:eastAsia="zh-CN" w:bidi="ar-SA"/>
        </w:rPr>
        <w:t>其他补充事宜</w:t>
      </w:r>
      <w:bookmarkEnd w:id="75"/>
      <w:bookmarkEnd w:id="76"/>
      <w:bookmarkEnd w:id="77"/>
      <w:bookmarkEnd w:id="78"/>
      <w:bookmarkEnd w:id="79"/>
      <w:bookmarkEnd w:id="80"/>
      <w:bookmarkEnd w:id="81"/>
      <w:bookmarkEnd w:id="82"/>
      <w:bookmarkEnd w:id="83"/>
      <w:r>
        <w:rPr>
          <w:rFonts w:hint="eastAsia" w:ascii="宋体" w:hAnsi="宋体" w:eastAsia="宋体" w:cs="宋体"/>
          <w:b/>
          <w:bCs/>
          <w:color w:val="auto"/>
          <w:kern w:val="2"/>
          <w:sz w:val="24"/>
          <w:szCs w:val="24"/>
          <w:highlight w:val="none"/>
          <w:lang w:val="hr-HR" w:eastAsia="zh-CN" w:bidi="ar-SA"/>
        </w:rPr>
        <w:t>【如政采云平台信息内容更新，按最新内容自行修改】</w:t>
      </w:r>
      <w:bookmarkEnd w:id="84"/>
    </w:p>
    <w:p w14:paraId="30FA302A">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1、本项目实行网上投标，采用电子投标文件；</w:t>
      </w:r>
    </w:p>
    <w:p w14:paraId="40387C18">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各投标人应在开标前应确保成为政采云平台供应商，并完成CA数字证书（符合国密标准）申领。因未注册入库、未办理CA数字证书等原因造成无法投标或投标失败等后果由投标人自行承担。有意向参与兵团区域电子开评标的投标人，可访问兵团政府采购网-办事指南-操作指南-CA证书办理操作指南或点击链接：http://ccgp-bingtuan.gov.cn/site/detail?parentId=189171&amp;articleId=CZ0bD526ZE+CHX5isJvt0w==&amp;utm=site.site-PC-4840.633-pc-websitegroup-secondlevelpage-front.1.2e96d52081d811eebbd67dd2372c0b9a自行进行申领。</w:t>
      </w:r>
    </w:p>
    <w:p w14:paraId="34AAF104">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3、投标人将政采云电子交易客户端下载、安装完成后，可通过账号密码或CA登录客户端进行投标文件的制作。在使用政采云</w:t>
      </w:r>
      <w:r>
        <w:rPr>
          <w:rFonts w:hint="eastAsia" w:cs="宋体"/>
          <w:color w:val="auto"/>
          <w:sz w:val="24"/>
          <w:highlight w:val="none"/>
          <w:lang w:val="en-US" w:eastAsia="zh-CN"/>
        </w:rPr>
        <w:t>“</w:t>
      </w:r>
      <w:r>
        <w:rPr>
          <w:rFonts w:hint="eastAsia" w:ascii="宋体" w:hAnsi="宋体" w:eastAsia="宋体" w:cs="宋体"/>
          <w:color w:val="auto"/>
          <w:sz w:val="24"/>
          <w:highlight w:val="none"/>
          <w:lang w:val="en-US" w:eastAsia="zh-CN"/>
        </w:rPr>
        <w:t>投标客户端</w:t>
      </w:r>
      <w:r>
        <w:rPr>
          <w:rFonts w:hint="eastAsia" w:cs="宋体"/>
          <w:color w:val="auto"/>
          <w:sz w:val="24"/>
          <w:highlight w:val="none"/>
          <w:lang w:val="en-US" w:eastAsia="zh-CN"/>
        </w:rPr>
        <w:t>”</w:t>
      </w:r>
      <w:r>
        <w:rPr>
          <w:rFonts w:hint="eastAsia" w:ascii="宋体" w:hAnsi="宋体" w:eastAsia="宋体" w:cs="宋体"/>
          <w:color w:val="auto"/>
          <w:sz w:val="24"/>
          <w:highlight w:val="none"/>
          <w:lang w:val="en-US" w:eastAsia="zh-CN"/>
        </w:rPr>
        <w:t>时，建议使用WIN7（64位）及以上操作系统。客户端请至兵团政府采购网（http://ccgp-bingtuan.gov.cn/）下载专区查看，如有问题可拨打政采云客户服务热线95763进行咨询。如因投标人自身原因导致在规定时间内无法正常解密的（如：浏览器故障、未安装相关驱动、网络故障、加密CA与解密CA不一致等），视为投标人自动弃标。</w:t>
      </w:r>
    </w:p>
    <w:p w14:paraId="2658125B">
      <w:pPr>
        <w:pStyle w:val="37"/>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p w14:paraId="723251BD">
      <w:pPr>
        <w:pStyle w:val="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85" w:name="_Toc35393636"/>
      <w:bookmarkStart w:id="86" w:name="_Toc28359018"/>
      <w:bookmarkStart w:id="87" w:name="_Toc155185866"/>
      <w:bookmarkStart w:id="88" w:name="_Toc35393805"/>
      <w:bookmarkStart w:id="89" w:name="_Toc140132751"/>
      <w:bookmarkStart w:id="90" w:name="_Toc44583635"/>
      <w:bookmarkStart w:id="91" w:name="_Toc163492818"/>
      <w:bookmarkStart w:id="92" w:name="_Toc28359095"/>
      <w:bookmarkStart w:id="93" w:name="_Toc109899835"/>
      <w:bookmarkStart w:id="94" w:name="_Toc109900254"/>
      <w:bookmarkStart w:id="95" w:name="_Toc109899416"/>
      <w:bookmarkStart w:id="96" w:name="_Toc12525"/>
      <w:r>
        <w:rPr>
          <w:rFonts w:hint="eastAsia" w:ascii="宋体" w:hAnsi="宋体" w:eastAsia="宋体" w:cs="宋体"/>
          <w:b/>
          <w:bCs/>
          <w:color w:val="auto"/>
          <w:kern w:val="2"/>
          <w:sz w:val="24"/>
          <w:szCs w:val="24"/>
          <w:highlight w:val="none"/>
          <w:lang w:val="en-US" w:eastAsia="zh-CN" w:bidi="ar-SA"/>
        </w:rPr>
        <w:t>七、</w:t>
      </w:r>
      <w:bookmarkEnd w:id="85"/>
      <w:bookmarkEnd w:id="86"/>
      <w:bookmarkEnd w:id="87"/>
      <w:bookmarkEnd w:id="88"/>
      <w:bookmarkEnd w:id="89"/>
      <w:bookmarkEnd w:id="90"/>
      <w:bookmarkEnd w:id="91"/>
      <w:bookmarkEnd w:id="92"/>
      <w:bookmarkEnd w:id="93"/>
      <w:bookmarkEnd w:id="94"/>
      <w:bookmarkEnd w:id="95"/>
      <w:r>
        <w:rPr>
          <w:rFonts w:hint="eastAsia" w:ascii="宋体" w:hAnsi="宋体" w:eastAsia="宋体" w:cs="宋体"/>
          <w:b/>
          <w:bCs/>
          <w:color w:val="auto"/>
          <w:kern w:val="2"/>
          <w:sz w:val="24"/>
          <w:szCs w:val="24"/>
          <w:highlight w:val="none"/>
          <w:lang w:val="hr-HR" w:eastAsia="zh-CN" w:bidi="ar-SA"/>
        </w:rPr>
        <w:t>对本次</w:t>
      </w:r>
      <w:r>
        <w:rPr>
          <w:rFonts w:hint="eastAsia" w:ascii="宋体" w:hAnsi="宋体" w:eastAsia="宋体" w:cs="宋体"/>
          <w:b/>
          <w:bCs/>
          <w:color w:val="auto"/>
          <w:kern w:val="2"/>
          <w:sz w:val="24"/>
          <w:szCs w:val="24"/>
          <w:highlight w:val="none"/>
          <w:lang w:val="en-US" w:eastAsia="zh-CN" w:bidi="ar-SA"/>
        </w:rPr>
        <w:t>招标</w:t>
      </w:r>
      <w:r>
        <w:rPr>
          <w:rFonts w:hint="eastAsia" w:ascii="宋体" w:hAnsi="宋体" w:eastAsia="宋体" w:cs="宋体"/>
          <w:b/>
          <w:bCs/>
          <w:color w:val="auto"/>
          <w:kern w:val="2"/>
          <w:sz w:val="24"/>
          <w:szCs w:val="24"/>
          <w:highlight w:val="none"/>
          <w:lang w:val="hr-HR" w:eastAsia="zh-CN" w:bidi="ar-SA"/>
        </w:rPr>
        <w:t>提出询问，请按以下方式联系</w:t>
      </w:r>
      <w:bookmarkEnd w:id="96"/>
    </w:p>
    <w:p w14:paraId="3EEAC95D">
      <w:pPr>
        <w:pStyle w:val="37"/>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bookmarkStart w:id="97" w:name="_Toc28359096"/>
      <w:bookmarkStart w:id="98" w:name="_Toc35393806"/>
      <w:bookmarkStart w:id="99" w:name="_Toc28359019"/>
      <w:bookmarkStart w:id="100" w:name="_Toc35393637"/>
      <w:r>
        <w:rPr>
          <w:rFonts w:hint="eastAsia" w:ascii="宋体" w:hAnsi="宋体" w:eastAsia="宋体" w:cs="宋体"/>
          <w:color w:val="auto"/>
          <w:sz w:val="24"/>
          <w:highlight w:val="none"/>
        </w:rPr>
        <w:t>1.采购人信息</w:t>
      </w:r>
      <w:bookmarkEnd w:id="97"/>
      <w:bookmarkEnd w:id="98"/>
      <w:bookmarkEnd w:id="99"/>
      <w:bookmarkEnd w:id="100"/>
    </w:p>
    <w:p w14:paraId="78A2EFA3">
      <w:pPr>
        <w:pStyle w:val="37"/>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 xml:space="preserve">  </w:t>
      </w:r>
      <w:r>
        <w:rPr>
          <w:rFonts w:hint="eastAsia" w:cs="宋体"/>
          <w:u w:val="single"/>
          <w:lang w:val="en-US"/>
        </w:rPr>
        <w:t>新疆生产建设兵团某单位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14:paraId="1DD202A8">
      <w:pPr>
        <w:pStyle w:val="37"/>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新疆乌鲁木齐市天山区光明路106号      </w:t>
      </w:r>
    </w:p>
    <w:p w14:paraId="676204EA">
      <w:pPr>
        <w:pStyle w:val="37"/>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bookmarkStart w:id="101" w:name="_Hlk46775675"/>
      <w:r>
        <w:rPr>
          <w:rFonts w:hint="eastAsia" w:ascii="宋体" w:hAnsi="宋体" w:eastAsia="宋体" w:cs="宋体"/>
          <w:color w:val="auto"/>
          <w:sz w:val="24"/>
          <w:highlight w:val="none"/>
          <w:u w:val="single"/>
        </w:rPr>
        <w:t xml:space="preserve"> </w:t>
      </w:r>
      <w:r>
        <w:rPr>
          <w:rFonts w:hint="eastAsia" w:cs="宋体"/>
          <w:color w:val="auto"/>
          <w:sz w:val="24"/>
          <w:highlight w:val="none"/>
          <w:u w:val="single"/>
          <w:lang w:val="en-US" w:eastAsia="zh-CN"/>
        </w:rPr>
        <w:t>李先生 0991-5988245</w:t>
      </w:r>
      <w:r>
        <w:rPr>
          <w:rFonts w:hint="eastAsia" w:ascii="宋体" w:hAnsi="宋体" w:eastAsia="宋体" w:cs="宋体"/>
          <w:color w:val="auto"/>
          <w:sz w:val="24"/>
          <w:highlight w:val="none"/>
          <w:u w:val="single"/>
        </w:rPr>
        <w:t xml:space="preserve">   </w:t>
      </w:r>
    </w:p>
    <w:bookmarkEnd w:id="101"/>
    <w:p w14:paraId="5C798AB6">
      <w:pPr>
        <w:pStyle w:val="37"/>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bookmarkStart w:id="102" w:name="_Toc35393807"/>
      <w:bookmarkStart w:id="103" w:name="_Toc28359020"/>
      <w:bookmarkStart w:id="104" w:name="_Toc35393638"/>
      <w:bookmarkStart w:id="105" w:name="_Toc28359097"/>
      <w:r>
        <w:rPr>
          <w:rFonts w:hint="eastAsia" w:ascii="宋体" w:hAnsi="宋体" w:eastAsia="宋体" w:cs="宋体"/>
          <w:color w:val="auto"/>
          <w:sz w:val="24"/>
          <w:highlight w:val="none"/>
        </w:rPr>
        <w:t>2.采购代理机构信息</w:t>
      </w:r>
      <w:bookmarkEnd w:id="102"/>
      <w:bookmarkEnd w:id="103"/>
      <w:bookmarkEnd w:id="104"/>
      <w:bookmarkEnd w:id="105"/>
    </w:p>
    <w:p w14:paraId="5E585559">
      <w:pPr>
        <w:pStyle w:val="37"/>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新疆世纪星工程咨询有限公司</w:t>
      </w:r>
    </w:p>
    <w:p w14:paraId="0BDF5C2F">
      <w:pPr>
        <w:pStyle w:val="37"/>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乌鲁木齐经济技术开发区二期黄山街一品九点阳光</w:t>
      </w:r>
    </w:p>
    <w:p w14:paraId="2395F894">
      <w:pPr>
        <w:pStyle w:val="37"/>
        <w:keepNext w:val="0"/>
        <w:keepLines w:val="0"/>
        <w:pageBreakBefore w:val="0"/>
        <w:widowControl w:val="0"/>
        <w:kinsoku/>
        <w:wordWrap w:val="0"/>
        <w:overflowPunct/>
        <w:topLinePunct w:val="0"/>
        <w:autoSpaceDE/>
        <w:autoSpaceDN/>
        <w:bidi w:val="0"/>
        <w:adjustRightInd/>
        <w:snapToGrid/>
        <w:spacing w:line="360" w:lineRule="auto"/>
        <w:ind w:firstLine="1200" w:firstLineChars="5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德港大厦B座20楼</w:t>
      </w:r>
    </w:p>
    <w:p w14:paraId="7EBA1364">
      <w:pPr>
        <w:pStyle w:val="37"/>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0991-3678303</w:t>
      </w:r>
    </w:p>
    <w:p w14:paraId="28B1182B">
      <w:pPr>
        <w:pStyle w:val="37"/>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highlight w:val="none"/>
          <w:lang w:val="en-US" w:eastAsia="zh-CN"/>
        </w:rPr>
      </w:pPr>
      <w:bookmarkStart w:id="106" w:name="_Toc28359021"/>
      <w:bookmarkStart w:id="107" w:name="_Toc35393808"/>
      <w:bookmarkStart w:id="108" w:name="_Toc28359098"/>
      <w:bookmarkStart w:id="109" w:name="_Toc35393639"/>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项目联系方式</w:t>
      </w:r>
    </w:p>
    <w:p w14:paraId="7E6118A7">
      <w:pPr>
        <w:pStyle w:val="37"/>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毛文静、</w:t>
      </w:r>
      <w:r>
        <w:rPr>
          <w:rFonts w:hint="eastAsia" w:cs="宋体"/>
          <w:color w:val="auto"/>
          <w:szCs w:val="24"/>
          <w:highlight w:val="none"/>
          <w:u w:val="single"/>
          <w:lang w:val="en-US"/>
        </w:rPr>
        <w:t>李梦</w:t>
      </w:r>
      <w:r>
        <w:rPr>
          <w:rFonts w:hint="eastAsia" w:cs="宋体"/>
          <w:color w:val="auto"/>
          <w:szCs w:val="24"/>
          <w:u w:val="single"/>
          <w:lang w:val="en-US"/>
        </w:rPr>
        <w:t>媛、李航、范艳娥、龚凡</w:t>
      </w:r>
      <w:r>
        <w:rPr>
          <w:rFonts w:hint="eastAsia" w:ascii="宋体" w:hAnsi="宋体" w:eastAsia="宋体" w:cs="宋体"/>
          <w:color w:val="auto"/>
          <w:sz w:val="24"/>
          <w:szCs w:val="24"/>
          <w:highlight w:val="none"/>
          <w:u w:val="single"/>
          <w:lang w:val="en-US" w:eastAsia="zh-CN"/>
        </w:rPr>
        <w:t xml:space="preserve">          </w:t>
      </w:r>
    </w:p>
    <w:bookmarkEnd w:id="106"/>
    <w:bookmarkEnd w:id="107"/>
    <w:bookmarkEnd w:id="108"/>
    <w:bookmarkEnd w:id="109"/>
    <w:p w14:paraId="567D1B59">
      <w:pPr>
        <w:pStyle w:val="37"/>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电话：</w:t>
      </w:r>
      <w:r>
        <w:rPr>
          <w:rFonts w:hint="eastAsia" w:ascii="宋体" w:hAnsi="宋体" w:eastAsia="宋体" w:cs="宋体"/>
          <w:color w:val="auto"/>
          <w:sz w:val="24"/>
          <w:szCs w:val="24"/>
          <w:highlight w:val="none"/>
          <w:u w:val="single"/>
          <w:lang w:val="en-US" w:eastAsia="zh-CN"/>
        </w:rPr>
        <w:t xml:space="preserve"> 0991-3678303  </w:t>
      </w:r>
    </w:p>
    <w:p w14:paraId="3ADF3AE0">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p w14:paraId="3B793992">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p w14:paraId="34A5BC61">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p w14:paraId="10B047C1">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4D23FB4C">
      <w:pPr>
        <w:pStyle w:val="3"/>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110" w:name="_Toc155185867"/>
      <w:bookmarkStart w:id="111" w:name="_Toc163492819"/>
      <w:bookmarkStart w:id="112" w:name="_Toc19471"/>
      <w:r>
        <w:rPr>
          <w:rFonts w:hint="eastAsia" w:ascii="宋体" w:hAnsi="宋体" w:eastAsia="宋体" w:cs="宋体"/>
          <w:b/>
          <w:bCs/>
          <w:color w:val="auto"/>
          <w:kern w:val="44"/>
          <w:sz w:val="36"/>
          <w:szCs w:val="36"/>
          <w:highlight w:val="none"/>
          <w:lang w:val="en-US" w:eastAsia="zh-CN" w:bidi="ar-SA"/>
        </w:rPr>
        <w:t>第二章 投标人须知</w:t>
      </w:r>
      <w:bookmarkEnd w:id="110"/>
      <w:bookmarkEnd w:id="111"/>
      <w:bookmarkEnd w:id="112"/>
    </w:p>
    <w:bookmarkEnd w:id="4"/>
    <w:p w14:paraId="5A1F6903">
      <w:pPr>
        <w:pStyle w:val="4"/>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en-US" w:eastAsia="zh-CN" w:bidi="ar-SA"/>
        </w:rPr>
      </w:pPr>
      <w:bookmarkStart w:id="113" w:name="_Toc155185868"/>
      <w:bookmarkStart w:id="114" w:name="_Toc163492820"/>
      <w:bookmarkStart w:id="115" w:name="_Toc2105"/>
      <w:r>
        <w:rPr>
          <w:rFonts w:hint="eastAsia" w:eastAsia="宋体" w:asciiTheme="majorHAnsi" w:hAnsiTheme="majorHAnsi" w:cstheme="majorBidi"/>
          <w:b/>
          <w:bCs/>
          <w:color w:val="auto"/>
          <w:kern w:val="2"/>
          <w:sz w:val="28"/>
          <w:szCs w:val="28"/>
          <w:highlight w:val="none"/>
          <w:lang w:val="en-US" w:eastAsia="zh-CN" w:bidi="ar-SA"/>
        </w:rPr>
        <w:t>一、投标人须知前附表</w:t>
      </w:r>
      <w:bookmarkEnd w:id="113"/>
      <w:bookmarkEnd w:id="114"/>
      <w:bookmarkEnd w:id="115"/>
    </w:p>
    <w:p w14:paraId="7F3ACB7A">
      <w:pPr>
        <w:pStyle w:val="37"/>
        <w:rPr>
          <w:rFonts w:hint="default" w:eastAsia="宋体"/>
          <w:color w:val="auto"/>
          <w:sz w:val="24"/>
          <w:szCs w:val="24"/>
          <w:highlight w:val="none"/>
          <w:lang w:val="en-US" w:eastAsia="zh-CN"/>
        </w:rPr>
      </w:pPr>
      <w:r>
        <w:rPr>
          <w:rFonts w:hint="eastAsia"/>
          <w:color w:val="auto"/>
          <w:sz w:val="24"/>
          <w:szCs w:val="24"/>
          <w:highlight w:val="none"/>
        </w:rPr>
        <w:t>投标人应仔细阅读本招标文件的第二章“投标人须知”，下面所列资料是对“投标人须知”的具体补充和说明</w:t>
      </w:r>
      <w:r>
        <w:rPr>
          <w:rFonts w:hint="eastAsia"/>
          <w:color w:val="auto"/>
          <w:sz w:val="24"/>
          <w:szCs w:val="24"/>
          <w:highlight w:val="none"/>
          <w:lang w:eastAsia="zh-CN"/>
        </w:rPr>
        <w:t>，</w:t>
      </w:r>
      <w:r>
        <w:rPr>
          <w:rFonts w:hint="eastAsia"/>
          <w:color w:val="auto"/>
          <w:sz w:val="24"/>
          <w:szCs w:val="24"/>
          <w:highlight w:val="none"/>
        </w:rPr>
        <w:t>如有矛盾，应以本表为准。</w:t>
      </w:r>
      <w:r>
        <w:rPr>
          <w:rFonts w:hint="eastAsia"/>
          <w:color w:val="auto"/>
          <w:sz w:val="24"/>
          <w:szCs w:val="24"/>
          <w:highlight w:val="none"/>
          <w:lang w:val="en-US" w:eastAsia="zh-CN"/>
        </w:rPr>
        <w:t>标记“</w:t>
      </w:r>
      <w:r>
        <w:rPr>
          <w:rFonts w:hint="eastAsia" w:ascii="宋体" w:hAnsi="宋体" w:eastAsia="宋体"/>
          <w:color w:val="auto"/>
          <w:sz w:val="24"/>
          <w:szCs w:val="24"/>
          <w:highlight w:val="none"/>
          <w:lang w:val="en-US" w:eastAsia="zh-CN"/>
        </w:rPr>
        <w:t>☑”的选项意为适用于本项目，标记“□”的选项意为不适用于本项目。</w:t>
      </w:r>
    </w:p>
    <w:tbl>
      <w:tblPr>
        <w:tblStyle w:val="30"/>
        <w:tblW w:w="9408" w:type="dxa"/>
        <w:tblInd w:w="-35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1033"/>
        <w:gridCol w:w="1675"/>
        <w:gridCol w:w="6700"/>
      </w:tblGrid>
      <w:tr w14:paraId="1B64B2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73" w:hRule="atLeast"/>
          <w:tblHeader/>
        </w:trPr>
        <w:tc>
          <w:tcPr>
            <w:tcW w:w="103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C4440DB">
            <w:pPr>
              <w:pStyle w:val="49"/>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p>
        </w:tc>
        <w:tc>
          <w:tcPr>
            <w:tcW w:w="167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B9EABEB">
            <w:pPr>
              <w:pStyle w:val="49"/>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条款名称</w:t>
            </w:r>
          </w:p>
        </w:tc>
        <w:tc>
          <w:tcPr>
            <w:tcW w:w="670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C7B3B70">
            <w:pPr>
              <w:pStyle w:val="49"/>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  容</w:t>
            </w:r>
          </w:p>
        </w:tc>
      </w:tr>
      <w:tr w14:paraId="46137A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1033" w:type="dxa"/>
            <w:vAlign w:val="center"/>
          </w:tcPr>
          <w:p w14:paraId="60441C76">
            <w:pPr>
              <w:pStyle w:val="49"/>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1675" w:type="dxa"/>
            <w:vAlign w:val="center"/>
          </w:tcPr>
          <w:p w14:paraId="3D9DB5F0">
            <w:pPr>
              <w:pStyle w:val="4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核心产品</w:t>
            </w:r>
          </w:p>
        </w:tc>
        <w:tc>
          <w:tcPr>
            <w:tcW w:w="6700" w:type="dxa"/>
            <w:vAlign w:val="center"/>
          </w:tcPr>
          <w:p w14:paraId="7BB22B3E">
            <w:pPr>
              <w:pStyle w:val="49"/>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本项目不适用。 </w:t>
            </w:r>
          </w:p>
          <w:p w14:paraId="3D32C559">
            <w:pPr>
              <w:pStyle w:val="49"/>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本项目为单一产品采购项目。 </w:t>
            </w:r>
          </w:p>
          <w:p w14:paraId="6BCC34C0">
            <w:pPr>
              <w:pStyle w:val="49"/>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本项目为非单一产品采购项目，其中核心产品为：</w:t>
            </w:r>
            <w:r>
              <w:rPr>
                <w:rFonts w:hint="eastAsia" w:ascii="宋体" w:hAnsi="宋体" w:eastAsia="宋体" w:cs="宋体"/>
                <w:color w:val="auto"/>
                <w:sz w:val="24"/>
                <w:szCs w:val="24"/>
                <w:highlight w:val="none"/>
                <w:u w:val="single"/>
                <w:lang w:val="en-US" w:eastAsia="zh-CN"/>
              </w:rPr>
              <w:t>道路交通安全风险地图系统_</w:t>
            </w:r>
            <w:r>
              <w:rPr>
                <w:rFonts w:hint="eastAsia" w:ascii="宋体" w:hAnsi="宋体" w:eastAsia="宋体" w:cs="宋体"/>
                <w:color w:val="auto"/>
                <w:sz w:val="24"/>
                <w:szCs w:val="24"/>
                <w:highlight w:val="none"/>
                <w:lang w:val="en-US" w:eastAsia="zh-CN"/>
              </w:rPr>
              <w:t>。</w:t>
            </w:r>
          </w:p>
        </w:tc>
      </w:tr>
      <w:tr w14:paraId="2E7636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685" w:hRule="atLeast"/>
        </w:trPr>
        <w:tc>
          <w:tcPr>
            <w:tcW w:w="1033" w:type="dxa"/>
            <w:shd w:val="clear" w:color="auto" w:fill="auto"/>
            <w:vAlign w:val="center"/>
          </w:tcPr>
          <w:p w14:paraId="1BF1D896">
            <w:pPr>
              <w:pStyle w:val="49"/>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2.6</w:t>
            </w:r>
          </w:p>
        </w:tc>
        <w:tc>
          <w:tcPr>
            <w:tcW w:w="1675" w:type="dxa"/>
            <w:shd w:val="clear" w:color="auto" w:fill="auto"/>
            <w:vAlign w:val="center"/>
          </w:tcPr>
          <w:p w14:paraId="700F5EE9">
            <w:pPr>
              <w:keepNext w:val="0"/>
              <w:keepLines w:val="0"/>
              <w:widowControl/>
              <w:suppressLineNumbers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科研仪器设备</w:t>
            </w:r>
          </w:p>
        </w:tc>
        <w:tc>
          <w:tcPr>
            <w:tcW w:w="6700" w:type="dxa"/>
            <w:shd w:val="clear" w:color="auto" w:fill="auto"/>
            <w:vAlign w:val="center"/>
          </w:tcPr>
          <w:p w14:paraId="0F6FC5C1">
            <w:pPr>
              <w:keepNext w:val="0"/>
              <w:keepLines w:val="0"/>
              <w:widowControl/>
              <w:suppressLineNumbers w:val="0"/>
              <w:spacing w:line="24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是否属于科研仪器设备采购项目： </w:t>
            </w:r>
          </w:p>
          <w:p w14:paraId="4A1686C7">
            <w:pPr>
              <w:keepNext w:val="0"/>
              <w:keepLines w:val="0"/>
              <w:widowControl/>
              <w:suppressLineNumbers w:val="0"/>
              <w:spacing w:line="24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 xml:space="preserve">是 </w:t>
            </w:r>
          </w:p>
          <w:p w14:paraId="7C9332C8">
            <w:pPr>
              <w:keepNext w:val="0"/>
              <w:keepLines w:val="0"/>
              <w:widowControl/>
              <w:suppressLineNumbers w:val="0"/>
              <w:spacing w:line="240" w:lineRule="auto"/>
              <w:jc w:val="left"/>
              <w:rPr>
                <w:rFonts w:hint="eastAsia" w:ascii="宋体" w:hAnsi="宋体" w:eastAsia="宋体" w:cs="宋体"/>
                <w:color w:val="auto"/>
                <w:kern w:val="0"/>
                <w:sz w:val="24"/>
                <w:szCs w:val="24"/>
                <w:highlight w:val="none"/>
                <w:lang w:val="en-US" w:eastAsia="zh-CN" w:bidi="ar"/>
              </w:rPr>
            </w:pPr>
            <w:r>
              <w:rPr>
                <w:rFonts w:hint="eastAsia"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否</w:t>
            </w:r>
          </w:p>
        </w:tc>
      </w:tr>
      <w:tr w14:paraId="25C468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68" w:hRule="atLeast"/>
        </w:trPr>
        <w:tc>
          <w:tcPr>
            <w:tcW w:w="1033" w:type="dxa"/>
            <w:vAlign w:val="center"/>
          </w:tcPr>
          <w:p w14:paraId="3A136892">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w:t>
            </w:r>
          </w:p>
        </w:tc>
        <w:tc>
          <w:tcPr>
            <w:tcW w:w="1675" w:type="dxa"/>
            <w:vAlign w:val="center"/>
          </w:tcPr>
          <w:p w14:paraId="117C18AE">
            <w:pPr>
              <w:pStyle w:val="49"/>
              <w:rPr>
                <w:rFonts w:hint="eastAsia" w:ascii="宋体" w:hAnsi="宋体" w:eastAsia="宋体" w:cs="宋体"/>
                <w:color w:val="auto"/>
                <w:sz w:val="24"/>
                <w:szCs w:val="24"/>
                <w:highlight w:val="none"/>
              </w:rPr>
            </w:pPr>
            <w:bookmarkStart w:id="116" w:name="_Hlk143529175"/>
            <w:r>
              <w:rPr>
                <w:rFonts w:hint="eastAsia" w:ascii="宋体" w:hAnsi="宋体" w:eastAsia="宋体" w:cs="宋体"/>
                <w:color w:val="auto"/>
                <w:sz w:val="24"/>
                <w:szCs w:val="24"/>
                <w:highlight w:val="none"/>
              </w:rPr>
              <w:t>现场考察</w:t>
            </w:r>
            <w:bookmarkEnd w:id="116"/>
          </w:p>
        </w:tc>
        <w:tc>
          <w:tcPr>
            <w:tcW w:w="6700" w:type="dxa"/>
            <w:vAlign w:val="center"/>
          </w:tcPr>
          <w:p w14:paraId="36549596">
            <w:pPr>
              <w:pStyle w:val="4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不组织，投标人自行前往</w:t>
            </w:r>
            <w:r>
              <w:rPr>
                <w:rFonts w:hint="eastAsia" w:ascii="宋体" w:hAnsi="宋体" w:eastAsia="宋体" w:cs="宋体"/>
                <w:color w:val="auto"/>
                <w:sz w:val="24"/>
                <w:szCs w:val="24"/>
                <w:highlight w:val="none"/>
                <w:lang w:eastAsia="zh-CN"/>
              </w:rPr>
              <w:t>。</w:t>
            </w:r>
          </w:p>
          <w:p w14:paraId="70F71951">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组织</w:t>
            </w:r>
          </w:p>
          <w:p w14:paraId="0A578DA1">
            <w:pPr>
              <w:pStyle w:val="49"/>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FE8AF39">
            <w:pPr>
              <w:pStyle w:val="49"/>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31CF27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35" w:hRule="atLeast"/>
        </w:trPr>
        <w:tc>
          <w:tcPr>
            <w:tcW w:w="1033" w:type="dxa"/>
            <w:vAlign w:val="center"/>
          </w:tcPr>
          <w:p w14:paraId="0D95D099">
            <w:pPr>
              <w:pStyle w:val="49"/>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9.5</w:t>
            </w:r>
          </w:p>
        </w:tc>
        <w:tc>
          <w:tcPr>
            <w:tcW w:w="1675" w:type="dxa"/>
            <w:vAlign w:val="center"/>
          </w:tcPr>
          <w:p w14:paraId="4A5FE036">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答疑会</w:t>
            </w:r>
          </w:p>
        </w:tc>
        <w:tc>
          <w:tcPr>
            <w:tcW w:w="6700" w:type="dxa"/>
            <w:vAlign w:val="center"/>
          </w:tcPr>
          <w:p w14:paraId="6B78B750">
            <w:pPr>
              <w:pStyle w:val="4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不组织</w:t>
            </w:r>
          </w:p>
          <w:p w14:paraId="3C61F0CD">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组织</w:t>
            </w:r>
          </w:p>
          <w:p w14:paraId="1279EA7E">
            <w:pPr>
              <w:pStyle w:val="49"/>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368AD2C">
            <w:pPr>
              <w:pStyle w:val="49"/>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58EAFC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1033" w:type="dxa"/>
            <w:vAlign w:val="center"/>
          </w:tcPr>
          <w:p w14:paraId="09017C90">
            <w:pPr>
              <w:pStyle w:val="49"/>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p>
        </w:tc>
        <w:tc>
          <w:tcPr>
            <w:tcW w:w="1675" w:type="dxa"/>
            <w:vAlign w:val="center"/>
          </w:tcPr>
          <w:p w14:paraId="14B3667D">
            <w:pPr>
              <w:pStyle w:val="4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询问</w:t>
            </w:r>
          </w:p>
        </w:tc>
        <w:tc>
          <w:tcPr>
            <w:tcW w:w="6700" w:type="dxa"/>
            <w:vAlign w:val="center"/>
          </w:tcPr>
          <w:p w14:paraId="6B834BFF">
            <w:pPr>
              <w:pStyle w:val="49"/>
              <w:rPr>
                <w:rFonts w:cs="宋体"/>
                <w:szCs w:val="24"/>
              </w:rPr>
            </w:pPr>
            <w:r>
              <w:rPr>
                <w:rFonts w:hint="eastAsia" w:cs="宋体"/>
                <w:szCs w:val="24"/>
              </w:rPr>
              <w:t>1.方式：</w:t>
            </w:r>
          </w:p>
          <w:p w14:paraId="4CB3653B">
            <w:pPr>
              <w:pStyle w:val="49"/>
              <w:ind w:firstLine="240" w:firstLineChars="100"/>
              <w:rPr>
                <w:rFonts w:cs="宋体"/>
                <w:szCs w:val="24"/>
              </w:rPr>
            </w:pPr>
            <w:r>
              <w:rPr>
                <w:rFonts w:hint="eastAsia" w:cs="宋体"/>
                <w:szCs w:val="24"/>
              </w:rPr>
              <w:t>在供应商客户端中按照格式填写询问函，并在生成询问函后加盖电子印章提交；其他询问方式：</w:t>
            </w:r>
            <w:r>
              <w:rPr>
                <w:rFonts w:hint="eastAsia" w:cs="宋体"/>
                <w:szCs w:val="24"/>
                <w:u w:val="single"/>
              </w:rPr>
              <w:t xml:space="preserve"> 书面形式递交至代理机构 </w:t>
            </w:r>
            <w:r>
              <w:rPr>
                <w:rFonts w:hint="eastAsia" w:cs="宋体"/>
                <w:szCs w:val="24"/>
              </w:rPr>
              <w:t>。</w:t>
            </w:r>
          </w:p>
          <w:p w14:paraId="3F5406DA">
            <w:pPr>
              <w:pStyle w:val="49"/>
              <w:rPr>
                <w:rFonts w:hint="eastAsia" w:ascii="宋体" w:hAnsi="宋体" w:eastAsia="宋体" w:cs="宋体"/>
                <w:color w:val="auto"/>
                <w:sz w:val="24"/>
                <w:szCs w:val="24"/>
                <w:highlight w:val="none"/>
                <w:lang w:val="en-US" w:eastAsia="zh-CN"/>
              </w:rPr>
            </w:pPr>
            <w:r>
              <w:rPr>
                <w:rFonts w:hint="eastAsia" w:cs="宋体"/>
                <w:szCs w:val="24"/>
              </w:rPr>
              <w:t>2.时间要求：</w:t>
            </w:r>
            <w:r>
              <w:rPr>
                <w:rFonts w:hint="eastAsia" w:cs="宋体"/>
                <w:szCs w:val="24"/>
                <w:u w:val="single"/>
              </w:rPr>
              <w:t xml:space="preserve"> 每天上午10:00至14:00，下午16:00至19:00（北京时间，法定节假日除外） </w:t>
            </w:r>
            <w:r>
              <w:rPr>
                <w:rFonts w:hint="eastAsia" w:cs="宋体"/>
                <w:szCs w:val="24"/>
              </w:rPr>
              <w:t>。</w:t>
            </w:r>
          </w:p>
        </w:tc>
      </w:tr>
      <w:tr w14:paraId="67C3BC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1033" w:type="dxa"/>
            <w:vAlign w:val="center"/>
          </w:tcPr>
          <w:p w14:paraId="1A104107">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w:t>
            </w:r>
          </w:p>
        </w:tc>
        <w:tc>
          <w:tcPr>
            <w:tcW w:w="1675" w:type="dxa"/>
            <w:vAlign w:val="center"/>
          </w:tcPr>
          <w:p w14:paraId="79A1D807">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700" w:type="dxa"/>
            <w:vAlign w:val="center"/>
          </w:tcPr>
          <w:p w14:paraId="41DD7733">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w:t>
            </w: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日历日。</w:t>
            </w:r>
          </w:p>
        </w:tc>
      </w:tr>
      <w:tr w14:paraId="05426B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674" w:hRule="atLeast"/>
        </w:trPr>
        <w:tc>
          <w:tcPr>
            <w:tcW w:w="1033" w:type="dxa"/>
            <w:vAlign w:val="center"/>
          </w:tcPr>
          <w:p w14:paraId="3DB59B05">
            <w:pPr>
              <w:pStyle w:val="49"/>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17.1</w:t>
            </w:r>
          </w:p>
        </w:tc>
        <w:tc>
          <w:tcPr>
            <w:tcW w:w="1675" w:type="dxa"/>
            <w:vAlign w:val="center"/>
          </w:tcPr>
          <w:p w14:paraId="02D54664">
            <w:pPr>
              <w:pStyle w:val="4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w:t>
            </w:r>
          </w:p>
        </w:tc>
        <w:tc>
          <w:tcPr>
            <w:tcW w:w="6700" w:type="dxa"/>
            <w:vAlign w:val="center"/>
          </w:tcPr>
          <w:p w14:paraId="713A171A">
            <w:pPr>
              <w:pStyle w:val="53"/>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金额：</w:t>
            </w:r>
          </w:p>
          <w:p w14:paraId="5947F8CF">
            <w:pPr>
              <w:pStyle w:val="53"/>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免收</w:t>
            </w:r>
          </w:p>
          <w:p w14:paraId="659FBE06">
            <w:pPr>
              <w:pStyle w:val="53"/>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预算金额</w:t>
            </w:r>
            <w:r>
              <w:rPr>
                <w:rFonts w:hint="eastAsia" w:ascii="宋体" w:hAnsi="宋体" w:eastAsia="宋体" w:cs="宋体"/>
                <w:color w:val="auto"/>
                <w:sz w:val="24"/>
                <w:szCs w:val="24"/>
                <w:highlight w:val="none"/>
              </w:rPr>
              <w:t>的   %</w:t>
            </w:r>
            <w:r>
              <w:rPr>
                <w:rFonts w:hint="eastAsia" w:ascii="宋体" w:hAnsi="宋体" w:eastAsia="宋体" w:cs="宋体"/>
                <w:color w:val="auto"/>
                <w:sz w:val="24"/>
                <w:szCs w:val="24"/>
                <w:highlight w:val="none"/>
                <w:lang w:eastAsia="zh-CN"/>
              </w:rPr>
              <w:t>。</w:t>
            </w:r>
          </w:p>
          <w:p w14:paraId="408CDEE0">
            <w:pPr>
              <w:pStyle w:val="53"/>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定额收取：人民币</w:t>
            </w:r>
            <w:r>
              <w:rPr>
                <w:rFonts w:hint="eastAsia" w:ascii="宋体" w:hAnsi="宋体" w:cs="宋体"/>
                <w:color w:val="auto"/>
                <w:sz w:val="24"/>
                <w:szCs w:val="24"/>
                <w:highlight w:val="none"/>
                <w:lang w:val="en-US" w:eastAsia="zh-CN"/>
              </w:rPr>
              <w:t>49548</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p>
          <w:p w14:paraId="63043736">
            <w:pPr>
              <w:pStyle w:val="53"/>
              <w:spacing w:line="340" w:lineRule="exact"/>
              <w:rPr>
                <w:rFonts w:ascii="宋体" w:hAnsi="宋体" w:cs="宋体"/>
                <w:sz w:val="24"/>
                <w:szCs w:val="24"/>
                <w:highlight w:val="none"/>
              </w:rPr>
            </w:pPr>
            <w:r>
              <w:rPr>
                <w:rFonts w:hint="eastAsia" w:ascii="宋体" w:hAnsi="宋体" w:cs="宋体"/>
                <w:sz w:val="24"/>
                <w:szCs w:val="24"/>
                <w:highlight w:val="none"/>
              </w:rPr>
              <w:t>2.支付方式：</w:t>
            </w:r>
          </w:p>
          <w:p w14:paraId="0E5F5266">
            <w:pPr>
              <w:pStyle w:val="53"/>
              <w:spacing w:line="340" w:lineRule="exact"/>
              <w:ind w:firstLine="480" w:firstLineChars="200"/>
              <w:rPr>
                <w:rFonts w:ascii="宋体" w:hAnsi="宋体" w:cs="宋体"/>
                <w:sz w:val="24"/>
                <w:szCs w:val="24"/>
                <w:highlight w:val="none"/>
              </w:rPr>
            </w:pPr>
            <w:r>
              <w:rPr>
                <w:rFonts w:hint="eastAsia" w:ascii="宋体" w:hAnsi="宋体" w:cs="宋体"/>
                <w:sz w:val="24"/>
                <w:szCs w:val="24"/>
                <w:highlight w:val="none"/>
              </w:rPr>
              <w:t>投标人可自主选择以支票、汇票、本票、电汇、转账、网银、保函等非现金形式缴纳或提交保证金。</w:t>
            </w:r>
          </w:p>
          <w:p w14:paraId="68D0D4BF">
            <w:pPr>
              <w:pStyle w:val="53"/>
              <w:spacing w:line="340" w:lineRule="exact"/>
              <w:rPr>
                <w:rFonts w:ascii="宋体" w:hAnsi="宋体" w:cs="宋体"/>
                <w:sz w:val="24"/>
                <w:szCs w:val="24"/>
                <w:highlight w:val="none"/>
              </w:rPr>
            </w:pPr>
            <w:r>
              <w:rPr>
                <w:rFonts w:hint="eastAsia" w:ascii="宋体" w:hAnsi="宋体" w:cs="宋体"/>
                <w:sz w:val="24"/>
                <w:szCs w:val="24"/>
                <w:highlight w:val="none"/>
              </w:rPr>
              <w:t xml:space="preserve">3.收取单位：新疆世纪星工程咨询有限公司                            </w:t>
            </w:r>
          </w:p>
          <w:p w14:paraId="5E1ABF56">
            <w:pPr>
              <w:pStyle w:val="53"/>
              <w:spacing w:line="340" w:lineRule="exact"/>
              <w:rPr>
                <w:rFonts w:ascii="宋体" w:hAnsi="宋体" w:cs="宋体"/>
                <w:sz w:val="24"/>
                <w:szCs w:val="24"/>
                <w:highlight w:val="none"/>
              </w:rPr>
            </w:pPr>
            <w:r>
              <w:rPr>
                <w:rFonts w:hint="eastAsia" w:ascii="宋体" w:hAnsi="宋体" w:cs="宋体"/>
                <w:sz w:val="24"/>
                <w:szCs w:val="24"/>
                <w:highlight w:val="none"/>
              </w:rPr>
              <w:t xml:space="preserve">4.收取账号：512090100100073085（保证金专户，不作它用）              </w:t>
            </w:r>
          </w:p>
          <w:p w14:paraId="265297B5">
            <w:pPr>
              <w:pStyle w:val="53"/>
              <w:spacing w:line="340" w:lineRule="exact"/>
              <w:rPr>
                <w:rFonts w:ascii="宋体" w:hAnsi="宋体" w:cs="宋体"/>
                <w:sz w:val="24"/>
                <w:szCs w:val="24"/>
                <w:highlight w:val="none"/>
              </w:rPr>
            </w:pPr>
            <w:r>
              <w:rPr>
                <w:rFonts w:hint="eastAsia" w:ascii="宋体" w:hAnsi="宋体" w:cs="宋体"/>
                <w:sz w:val="24"/>
                <w:szCs w:val="24"/>
                <w:highlight w:val="none"/>
              </w:rPr>
              <w:t xml:space="preserve">5.退还时间： 未中标供应商的保证金将在中标通知书发出之日暨中标结果公告公布之日起 5 个工作日内，及时联系采购代理机构办理。因供应商自身原因导致无法及时退还的，采购代理机构将不承担资金占用费。中标人应在与采购人签订合同之日起 5 个工作日内及时联系采购代理机构办理保证金退还手续。             </w:t>
            </w:r>
          </w:p>
          <w:p w14:paraId="549EFFC4">
            <w:pPr>
              <w:pStyle w:val="53"/>
              <w:spacing w:line="340" w:lineRule="exact"/>
              <w:rPr>
                <w:rFonts w:ascii="宋体" w:hAnsi="宋体" w:cs="宋体"/>
                <w:sz w:val="24"/>
                <w:szCs w:val="24"/>
                <w:highlight w:val="none"/>
              </w:rPr>
            </w:pPr>
            <w:r>
              <w:rPr>
                <w:rFonts w:hint="eastAsia" w:ascii="宋体" w:hAnsi="宋体" w:cs="宋体"/>
                <w:b/>
                <w:bCs/>
                <w:sz w:val="24"/>
                <w:szCs w:val="24"/>
                <w:highlight w:val="none"/>
              </w:rPr>
              <w:t>注意事项：</w:t>
            </w:r>
          </w:p>
          <w:p w14:paraId="1029EE4C">
            <w:pPr>
              <w:pStyle w:val="53"/>
              <w:spacing w:line="340" w:lineRule="exact"/>
              <w:ind w:firstLine="240" w:firstLineChars="100"/>
              <w:rPr>
                <w:rFonts w:ascii="宋体" w:hAnsi="宋体" w:cs="宋体"/>
                <w:sz w:val="24"/>
                <w:szCs w:val="24"/>
                <w:highlight w:val="none"/>
              </w:rPr>
            </w:pPr>
            <w:r>
              <w:rPr>
                <w:rFonts w:hint="eastAsia" w:ascii="宋体" w:hAnsi="宋体" w:cs="宋体"/>
                <w:sz w:val="24"/>
                <w:szCs w:val="24"/>
                <w:highlight w:val="none"/>
              </w:rPr>
              <w:t>1.以上各类机构出具的以担保函、保证保险承担责任的方式均须满足无条件见索即付条件。</w:t>
            </w:r>
          </w:p>
          <w:p w14:paraId="14E0D780">
            <w:pPr>
              <w:pStyle w:val="53"/>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cs="宋体"/>
                <w:sz w:val="24"/>
                <w:szCs w:val="24"/>
                <w:highlight w:val="none"/>
              </w:rPr>
              <w:t>2.以担保函、保证保险形式缴纳投标保证金的，受益人和收取单位须为采购人。</w:t>
            </w:r>
          </w:p>
        </w:tc>
      </w:tr>
      <w:tr w14:paraId="4501EC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603" w:hRule="atLeast"/>
        </w:trPr>
        <w:tc>
          <w:tcPr>
            <w:tcW w:w="1033" w:type="dxa"/>
            <w:vAlign w:val="center"/>
          </w:tcPr>
          <w:p w14:paraId="0FAEE6C9">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p>
        </w:tc>
        <w:tc>
          <w:tcPr>
            <w:tcW w:w="1675" w:type="dxa"/>
            <w:vAlign w:val="center"/>
          </w:tcPr>
          <w:p w14:paraId="1A5D11C5">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实物样品</w:t>
            </w:r>
          </w:p>
        </w:tc>
        <w:tc>
          <w:tcPr>
            <w:tcW w:w="6700" w:type="dxa"/>
            <w:vAlign w:val="center"/>
          </w:tcPr>
          <w:p w14:paraId="29F70D2B">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投标样品递交： </w:t>
            </w:r>
          </w:p>
          <w:p w14:paraId="08448385">
            <w:pPr>
              <w:pStyle w:val="49"/>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不需要 </w:t>
            </w:r>
          </w:p>
          <w:p w14:paraId="75ABDCC9">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□需要，具体要求如下： </w:t>
            </w:r>
          </w:p>
          <w:p w14:paraId="45E00831">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1.样品制作的标准和要求：_________； </w:t>
            </w:r>
          </w:p>
          <w:p w14:paraId="636410A9">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2.是否需要随样品提交相关检测报告： </w:t>
            </w:r>
          </w:p>
          <w:p w14:paraId="4042F79A">
            <w:pPr>
              <w:pStyle w:val="49"/>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□不需要 </w:t>
            </w:r>
          </w:p>
          <w:p w14:paraId="69ACDCB3">
            <w:pPr>
              <w:pStyle w:val="49"/>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□需要 </w:t>
            </w:r>
          </w:p>
          <w:p w14:paraId="2365C0AF">
            <w:pPr>
              <w:pStyle w:val="49"/>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3.样品递交要求：递交时间：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p>
          <w:p w14:paraId="0C201764">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，逾期提供的样品将不予接受。</w:t>
            </w:r>
            <w:r>
              <w:rPr>
                <w:rFonts w:hint="eastAsia" w:ascii="宋体" w:hAnsi="宋体" w:eastAsia="宋体" w:cs="宋体"/>
                <w:color w:val="auto"/>
                <w:sz w:val="24"/>
                <w:szCs w:val="24"/>
                <w:highlight w:val="none"/>
                <w:lang w:val="en-US" w:eastAsia="zh-CN"/>
              </w:rPr>
              <w:t xml:space="preserve"> </w:t>
            </w:r>
          </w:p>
          <w:p w14:paraId="20C6A605">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4.未中标人样品退还：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2FA55552">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5.中标人样品保管、封存及退还：_________； </w:t>
            </w:r>
          </w:p>
          <w:p w14:paraId="5F60BBB0">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6.其他要求（如有）：_________。 </w:t>
            </w:r>
          </w:p>
        </w:tc>
      </w:tr>
      <w:tr w14:paraId="1C643F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1033" w:type="dxa"/>
            <w:vAlign w:val="center"/>
          </w:tcPr>
          <w:p w14:paraId="03DA43E2">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p>
        </w:tc>
        <w:tc>
          <w:tcPr>
            <w:tcW w:w="1675" w:type="dxa"/>
            <w:vAlign w:val="center"/>
          </w:tcPr>
          <w:p w14:paraId="22504622">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演示</w:t>
            </w:r>
          </w:p>
        </w:tc>
        <w:tc>
          <w:tcPr>
            <w:tcW w:w="6700" w:type="dxa"/>
            <w:vAlign w:val="center"/>
          </w:tcPr>
          <w:p w14:paraId="7B2FDAC1">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sym w:font="Wingdings" w:char="00FE"/>
            </w:r>
            <w:r>
              <w:rPr>
                <w:rFonts w:hint="eastAsia" w:ascii="宋体" w:hAnsi="宋体" w:eastAsia="宋体" w:cs="宋体"/>
                <w:color w:val="auto"/>
                <w:sz w:val="24"/>
                <w:szCs w:val="24"/>
                <w:highlight w:val="none"/>
              </w:rPr>
              <w:t>不进行</w:t>
            </w:r>
          </w:p>
          <w:p w14:paraId="7B0141AF">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进行，远程线上演示/现场演示</w:t>
            </w:r>
          </w:p>
          <w:p w14:paraId="29D1FB67">
            <w:pPr>
              <w:pStyle w:val="49"/>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1.演示时间不得超过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分钟；</w:t>
            </w:r>
          </w:p>
          <w:p w14:paraId="0D5B188D">
            <w:pPr>
              <w:pStyle w:val="49"/>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2.进行远程线上演示的，投标人应提前自行准备好演示的软硬配置环境和网络环境，做好演示的各项准备工作。因投标人自身原因无法演示或者演示效果不理想的，导致的后果由投标人自行承担；</w:t>
            </w:r>
          </w:p>
          <w:p w14:paraId="34ED7966">
            <w:pPr>
              <w:pStyle w:val="49"/>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3.进行现场演示的，演示人员不得超过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人，演示现场提供</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097642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93" w:hRule="atLeast"/>
        </w:trPr>
        <w:tc>
          <w:tcPr>
            <w:tcW w:w="1033" w:type="dxa"/>
            <w:vAlign w:val="center"/>
          </w:tcPr>
          <w:p w14:paraId="4CE72DC4">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w:t>
            </w:r>
          </w:p>
        </w:tc>
        <w:tc>
          <w:tcPr>
            <w:tcW w:w="1675" w:type="dxa"/>
            <w:vAlign w:val="center"/>
          </w:tcPr>
          <w:p w14:paraId="35FB661A">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解密投标文件的时限</w:t>
            </w:r>
          </w:p>
        </w:tc>
        <w:tc>
          <w:tcPr>
            <w:tcW w:w="6700" w:type="dxa"/>
            <w:vAlign w:val="center"/>
          </w:tcPr>
          <w:p w14:paraId="44601FEC">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不见面开标默认解密时长：</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分钟。</w:t>
            </w:r>
            <w:r>
              <w:rPr>
                <w:rFonts w:hint="eastAsia" w:ascii="宋体" w:hAnsi="宋体" w:eastAsia="宋体" w:cs="宋体"/>
                <w:color w:val="auto"/>
                <w:sz w:val="24"/>
                <w:szCs w:val="24"/>
                <w:highlight w:val="none"/>
              </w:rPr>
              <w:t xml:space="preserve"> </w:t>
            </w:r>
          </w:p>
          <w:p w14:paraId="01B25268">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除因交易平台发生故障导致投标文件无法按时解密外，投标文件未按时解密的，视为未按规定提交投标文件。</w:t>
            </w:r>
          </w:p>
        </w:tc>
      </w:tr>
      <w:tr w14:paraId="79EC87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77" w:hRule="atLeast"/>
        </w:trPr>
        <w:tc>
          <w:tcPr>
            <w:tcW w:w="1033" w:type="dxa"/>
            <w:vAlign w:val="center"/>
          </w:tcPr>
          <w:p w14:paraId="23FC94CD">
            <w:pPr>
              <w:pStyle w:val="49"/>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29.1</w:t>
            </w:r>
          </w:p>
        </w:tc>
        <w:tc>
          <w:tcPr>
            <w:tcW w:w="1675" w:type="dxa"/>
            <w:vAlign w:val="center"/>
          </w:tcPr>
          <w:p w14:paraId="5A1E858C">
            <w:pPr>
              <w:pStyle w:val="4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评标方法</w:t>
            </w:r>
          </w:p>
        </w:tc>
        <w:tc>
          <w:tcPr>
            <w:tcW w:w="6700" w:type="dxa"/>
            <w:vAlign w:val="center"/>
          </w:tcPr>
          <w:p w14:paraId="49F2488F">
            <w:pPr>
              <w:pStyle w:val="4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lang w:val="en-US" w:eastAsia="zh-CN"/>
              </w:rPr>
              <w:t>综合评分法</w:t>
            </w:r>
          </w:p>
          <w:p w14:paraId="63A64BEE">
            <w:pPr>
              <w:pStyle w:val="4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val="en-US" w:eastAsia="zh-CN"/>
              </w:rPr>
              <w:t>最低评标价法</w:t>
            </w:r>
          </w:p>
        </w:tc>
      </w:tr>
      <w:tr w14:paraId="5A0872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65" w:hRule="atLeast"/>
        </w:trPr>
        <w:tc>
          <w:tcPr>
            <w:tcW w:w="1033" w:type="dxa"/>
            <w:vAlign w:val="center"/>
          </w:tcPr>
          <w:p w14:paraId="42D57B39">
            <w:pPr>
              <w:pStyle w:val="49"/>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p>
        </w:tc>
        <w:tc>
          <w:tcPr>
            <w:tcW w:w="1675" w:type="dxa"/>
            <w:vAlign w:val="center"/>
          </w:tcPr>
          <w:p w14:paraId="109515DE">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推荐中标候选人</w:t>
            </w:r>
          </w:p>
        </w:tc>
        <w:tc>
          <w:tcPr>
            <w:tcW w:w="6700" w:type="dxa"/>
            <w:vAlign w:val="center"/>
          </w:tcPr>
          <w:p w14:paraId="0DB0E73E">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中标候选人数量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家</w:t>
            </w:r>
          </w:p>
        </w:tc>
      </w:tr>
      <w:tr w14:paraId="176C1C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613" w:hRule="atLeast"/>
        </w:trPr>
        <w:tc>
          <w:tcPr>
            <w:tcW w:w="1033" w:type="dxa"/>
            <w:vAlign w:val="center"/>
          </w:tcPr>
          <w:p w14:paraId="4EEEE9B4">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w:t>
            </w:r>
          </w:p>
        </w:tc>
        <w:tc>
          <w:tcPr>
            <w:tcW w:w="1675" w:type="dxa"/>
            <w:vAlign w:val="center"/>
          </w:tcPr>
          <w:p w14:paraId="266C355B">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确定中标人</w:t>
            </w:r>
          </w:p>
        </w:tc>
        <w:tc>
          <w:tcPr>
            <w:tcW w:w="6700" w:type="dxa"/>
            <w:vAlign w:val="center"/>
          </w:tcPr>
          <w:p w14:paraId="3AF868A2">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采购人按评审报告中推荐的中标候选人排序确定中标人。</w:t>
            </w:r>
          </w:p>
          <w:p w14:paraId="0911185A">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采购人委托评标委员会直接确定中标人。</w:t>
            </w:r>
          </w:p>
        </w:tc>
      </w:tr>
      <w:tr w14:paraId="6F937C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01" w:hRule="atLeast"/>
        </w:trPr>
        <w:tc>
          <w:tcPr>
            <w:tcW w:w="1033" w:type="dxa"/>
            <w:vAlign w:val="center"/>
          </w:tcPr>
          <w:p w14:paraId="7325020F">
            <w:pPr>
              <w:pStyle w:val="49"/>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30.2</w:t>
            </w:r>
          </w:p>
          <w:p w14:paraId="55F094A5">
            <w:pPr>
              <w:pStyle w:val="49"/>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30.3</w:t>
            </w:r>
          </w:p>
        </w:tc>
        <w:tc>
          <w:tcPr>
            <w:tcW w:w="1675" w:type="dxa"/>
            <w:vAlign w:val="center"/>
          </w:tcPr>
          <w:p w14:paraId="1B13E6FA">
            <w:pPr>
              <w:pStyle w:val="49"/>
              <w:rPr>
                <w:rFonts w:hint="eastAsia" w:ascii="宋体" w:hAnsi="宋体" w:eastAsia="宋体" w:cs="宋体"/>
                <w:color w:val="auto"/>
                <w:sz w:val="24"/>
                <w:szCs w:val="24"/>
                <w:highlight w:val="red"/>
                <w:lang w:val="en-US"/>
              </w:rPr>
            </w:pPr>
            <w:r>
              <w:rPr>
                <w:rFonts w:hint="eastAsia" w:ascii="宋体" w:hAnsi="宋体" w:eastAsia="宋体" w:cs="宋体"/>
                <w:color w:val="auto"/>
                <w:kern w:val="0"/>
                <w:sz w:val="24"/>
                <w:szCs w:val="24"/>
                <w:highlight w:val="none"/>
                <w:lang w:val="en-US" w:eastAsia="zh-CN" w:bidi="ar"/>
              </w:rPr>
              <w:t>提供相同品牌产品的不同投标人确定中标候选人的规定</w:t>
            </w:r>
          </w:p>
        </w:tc>
        <w:tc>
          <w:tcPr>
            <w:tcW w:w="6700" w:type="dxa"/>
            <w:vAlign w:val="center"/>
          </w:tcPr>
          <w:p w14:paraId="1B566793">
            <w:pPr>
              <w:pStyle w:val="49"/>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kern w:val="0"/>
                <w:sz w:val="24"/>
                <w:szCs w:val="24"/>
                <w:highlight w:val="none"/>
                <w:lang w:val="en-US" w:eastAsia="zh-CN" w:bidi="ar"/>
              </w:rPr>
              <w:t>综合评分法的采购项目，提供相同品牌产品且通过资格审查、符合性审查的不同投标人参加同一合同项下投标的，按一家投标人计算，评审后得分相同的，按照</w:t>
            </w:r>
            <w:r>
              <w:rPr>
                <w:rFonts w:hint="eastAsia" w:ascii="宋体" w:hAnsi="宋体" w:eastAsia="宋体" w:cs="宋体"/>
                <w:color w:val="auto"/>
                <w:kern w:val="0"/>
                <w:sz w:val="24"/>
                <w:szCs w:val="24"/>
                <w:highlight w:val="none"/>
                <w:u w:val="single"/>
                <w:lang w:val="en-US" w:eastAsia="zh-CN" w:bidi="ar"/>
              </w:rPr>
              <w:t xml:space="preserve">   </w:t>
            </w:r>
            <w:r>
              <w:rPr>
                <w:rFonts w:hint="eastAsia" w:cs="宋体"/>
                <w:b/>
                <w:bCs/>
                <w:color w:val="auto"/>
                <w:kern w:val="0"/>
                <w:sz w:val="24"/>
                <w:szCs w:val="24"/>
                <w:highlight w:val="none"/>
                <w:u w:val="single"/>
                <w:lang w:val="en-US" w:eastAsia="zh-CN" w:bidi="ar"/>
              </w:rPr>
              <w:t>报价最低</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方式确定一个投标人获得中标人推荐资格，其他同品牌投标人不作为中标候选人。</w:t>
            </w:r>
          </w:p>
          <w:p w14:paraId="0F6B6850">
            <w:pPr>
              <w:pStyle w:val="49"/>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kern w:val="0"/>
                <w:sz w:val="24"/>
                <w:szCs w:val="24"/>
                <w:highlight w:val="none"/>
                <w:lang w:val="en-US" w:eastAsia="zh-CN" w:bidi="ar"/>
              </w:rPr>
              <w:t>最低评标价法的采购项目，提供相同品牌产品的不同投标人参加同一合同项下投标的，以其中通过资格审查、符合性审查且报价最低的参加评标；报价相同的，按照</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方式确定一个参加评标的投标人，其他投标无效。</w:t>
            </w:r>
          </w:p>
        </w:tc>
      </w:tr>
      <w:tr w14:paraId="35A01A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641" w:hRule="atLeast"/>
        </w:trPr>
        <w:tc>
          <w:tcPr>
            <w:tcW w:w="1033" w:type="dxa"/>
            <w:vAlign w:val="center"/>
          </w:tcPr>
          <w:p w14:paraId="1D722A96">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p>
        </w:tc>
        <w:tc>
          <w:tcPr>
            <w:tcW w:w="1675" w:type="dxa"/>
            <w:vAlign w:val="center"/>
          </w:tcPr>
          <w:p w14:paraId="0A6B190B">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700" w:type="dxa"/>
            <w:vAlign w:val="center"/>
          </w:tcPr>
          <w:p w14:paraId="52B73BFF">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金额：</w:t>
            </w:r>
          </w:p>
          <w:p w14:paraId="2D4AA05F">
            <w:pPr>
              <w:pStyle w:val="49"/>
              <w:ind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免收</w:t>
            </w:r>
          </w:p>
          <w:p w14:paraId="185FFD88">
            <w:pPr>
              <w:pStyle w:val="49"/>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□合同价的   %</w:t>
            </w:r>
          </w:p>
          <w:p w14:paraId="7DCA35D2">
            <w:pPr>
              <w:pStyle w:val="49"/>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□定额收取：人民币              元</w:t>
            </w:r>
          </w:p>
          <w:p w14:paraId="78911AAD">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支付方式：</w:t>
            </w:r>
          </w:p>
          <w:p w14:paraId="12B7F8B1">
            <w:pPr>
              <w:pStyle w:val="53"/>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投标人可自主选择以支票、汇票、本票、电汇、转账、网银、保函等非现金形式缴纳或提交保证金。</w:t>
            </w:r>
          </w:p>
          <w:p w14:paraId="20AB6ECE">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3.</w:t>
            </w:r>
            <w:r>
              <w:rPr>
                <w:rFonts w:hint="eastAsia" w:ascii="宋体" w:hAnsi="宋体" w:eastAsia="宋体" w:cs="宋体"/>
                <w:color w:val="auto"/>
                <w:sz w:val="24"/>
                <w:szCs w:val="24"/>
                <w:highlight w:val="none"/>
              </w:rPr>
              <w:t xml:space="preserve">收取单位：                            </w:t>
            </w:r>
          </w:p>
          <w:p w14:paraId="4D83FA75">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4.收取账号：</w:t>
            </w:r>
            <w:r>
              <w:rPr>
                <w:rFonts w:hint="eastAsia" w:ascii="宋体" w:hAnsi="宋体" w:eastAsia="宋体" w:cs="宋体"/>
                <w:color w:val="auto"/>
                <w:sz w:val="24"/>
                <w:szCs w:val="24"/>
                <w:highlight w:val="none"/>
              </w:rPr>
              <w:t xml:space="preserve">              </w:t>
            </w:r>
          </w:p>
          <w:p w14:paraId="2CF8CC08">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5.</w:t>
            </w:r>
            <w:r>
              <w:rPr>
                <w:rFonts w:hint="eastAsia" w:ascii="宋体" w:hAnsi="宋体" w:eastAsia="宋体" w:cs="宋体"/>
                <w:color w:val="auto"/>
                <w:sz w:val="24"/>
                <w:szCs w:val="24"/>
                <w:highlight w:val="none"/>
              </w:rPr>
              <w:t xml:space="preserve">退还时间：              </w:t>
            </w:r>
          </w:p>
          <w:p w14:paraId="5BA146AB">
            <w:pPr>
              <w:pStyle w:val="4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注意事项：</w:t>
            </w:r>
          </w:p>
          <w:p w14:paraId="43FE4EC8">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以上各类机构出具的以担保函、保证保险承担责任的方式均须满足无条件见索即付条件。</w:t>
            </w:r>
          </w:p>
          <w:p w14:paraId="191E3959">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以担保函、保证保险形式缴纳履约保证金的，受益人和收取单位须为采购人。</w:t>
            </w:r>
          </w:p>
        </w:tc>
      </w:tr>
      <w:tr w14:paraId="6B1F02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923" w:hRule="atLeast"/>
        </w:trPr>
        <w:tc>
          <w:tcPr>
            <w:tcW w:w="1033" w:type="dxa"/>
            <w:vAlign w:val="center"/>
          </w:tcPr>
          <w:p w14:paraId="600814BC">
            <w:pPr>
              <w:pStyle w:val="49"/>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34.5</w:t>
            </w:r>
          </w:p>
        </w:tc>
        <w:tc>
          <w:tcPr>
            <w:tcW w:w="1675" w:type="dxa"/>
            <w:vAlign w:val="center"/>
          </w:tcPr>
          <w:p w14:paraId="74D19386">
            <w:pPr>
              <w:pStyle w:val="4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中标后分包</w:t>
            </w:r>
          </w:p>
        </w:tc>
        <w:tc>
          <w:tcPr>
            <w:tcW w:w="6700" w:type="dxa"/>
            <w:vAlign w:val="center"/>
          </w:tcPr>
          <w:p w14:paraId="4344EC45">
            <w:pPr>
              <w:pStyle w:val="4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本项目的非主体、非关键性工作是否允许分包： </w:t>
            </w:r>
          </w:p>
          <w:p w14:paraId="3D901FC0">
            <w:pPr>
              <w:pStyle w:val="49"/>
              <w:ind w:firstLine="480" w:firstLineChars="200"/>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 xml:space="preserve">不允许 </w:t>
            </w:r>
          </w:p>
          <w:p w14:paraId="56DFA0F7">
            <w:pPr>
              <w:pStyle w:val="49"/>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□允许，具体要求： </w:t>
            </w:r>
          </w:p>
          <w:p w14:paraId="6C445FF2">
            <w:pPr>
              <w:pStyle w:val="4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1.可以分包履行的具体内容：_____； </w:t>
            </w:r>
          </w:p>
          <w:p w14:paraId="71BE067E">
            <w:pPr>
              <w:pStyle w:val="4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2.允许分包的金额或者比例：_____； </w:t>
            </w:r>
          </w:p>
          <w:p w14:paraId="2F04DF99">
            <w:pPr>
              <w:pStyle w:val="4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3.其他要求：_____。 </w:t>
            </w:r>
          </w:p>
        </w:tc>
      </w:tr>
      <w:tr w14:paraId="19B12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1033" w:type="dxa"/>
            <w:vAlign w:val="center"/>
          </w:tcPr>
          <w:p w14:paraId="5BFFADC2">
            <w:pPr>
              <w:pStyle w:val="49"/>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35.1</w:t>
            </w:r>
          </w:p>
        </w:tc>
        <w:tc>
          <w:tcPr>
            <w:tcW w:w="1675" w:type="dxa"/>
            <w:vAlign w:val="center"/>
          </w:tcPr>
          <w:p w14:paraId="6B25F509">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质疑</w:t>
            </w:r>
          </w:p>
        </w:tc>
        <w:tc>
          <w:tcPr>
            <w:tcW w:w="6700" w:type="dxa"/>
            <w:vAlign w:val="center"/>
          </w:tcPr>
          <w:p w14:paraId="1C013622">
            <w:pPr>
              <w:pStyle w:val="57"/>
              <w:autoSpaceDE w:val="0"/>
              <w:autoSpaceDN w:val="0"/>
              <w:adjustRightInd w:val="0"/>
              <w:rPr>
                <w:rFonts w:ascii="宋体" w:hAnsi="宋体" w:cs="宋体"/>
                <w:sz w:val="24"/>
                <w:lang w:val="zh-CN"/>
              </w:rPr>
            </w:pPr>
            <w:r>
              <w:rPr>
                <w:rFonts w:hint="eastAsia" w:ascii="宋体" w:hAnsi="宋体" w:cs="宋体"/>
                <w:sz w:val="24"/>
                <w:lang w:val="zh-CN"/>
              </w:rPr>
              <w:t>递交方式：</w:t>
            </w:r>
            <w:r>
              <w:rPr>
                <w:rFonts w:hint="eastAsia" w:ascii="宋体" w:hAnsi="宋体" w:cs="宋体"/>
                <w:sz w:val="24"/>
                <w:u w:val="single"/>
              </w:rPr>
              <w:t xml:space="preserve"> 书面递交    </w:t>
            </w:r>
            <w:r>
              <w:rPr>
                <w:rFonts w:hint="eastAsia" w:ascii="宋体" w:hAnsi="宋体" w:cs="宋体"/>
                <w:sz w:val="24"/>
                <w:lang w:val="zh-CN"/>
              </w:rPr>
              <w:t xml:space="preserve">              </w:t>
            </w:r>
          </w:p>
          <w:p w14:paraId="445319D5">
            <w:pPr>
              <w:pStyle w:val="57"/>
              <w:autoSpaceDE w:val="0"/>
              <w:autoSpaceDN w:val="0"/>
              <w:adjustRightInd w:val="0"/>
              <w:rPr>
                <w:rFonts w:ascii="宋体" w:hAnsi="宋体" w:cs="宋体"/>
                <w:sz w:val="24"/>
                <w:lang w:val="zh-CN"/>
              </w:rPr>
            </w:pPr>
            <w:r>
              <w:rPr>
                <w:rFonts w:hint="eastAsia" w:ascii="宋体" w:hAnsi="宋体" w:cs="宋体"/>
                <w:sz w:val="24"/>
                <w:lang w:val="zh-CN"/>
              </w:rPr>
              <w:t>接收部门：</w:t>
            </w:r>
            <w:r>
              <w:rPr>
                <w:rFonts w:hint="eastAsia" w:ascii="宋体" w:hAnsi="宋体" w:cs="宋体"/>
                <w:sz w:val="24"/>
                <w:u w:val="single"/>
              </w:rPr>
              <w:t xml:space="preserve"> 新疆世纪星工程咨询有限公司  </w:t>
            </w:r>
            <w:r>
              <w:rPr>
                <w:rFonts w:hint="eastAsia" w:ascii="宋体" w:hAnsi="宋体" w:cs="宋体"/>
                <w:sz w:val="24"/>
                <w:lang w:val="zh-CN"/>
              </w:rPr>
              <w:t xml:space="preserve">              </w:t>
            </w:r>
          </w:p>
          <w:p w14:paraId="49FA496D">
            <w:pPr>
              <w:pStyle w:val="57"/>
              <w:autoSpaceDE w:val="0"/>
              <w:autoSpaceDN w:val="0"/>
              <w:adjustRightInd w:val="0"/>
              <w:rPr>
                <w:rFonts w:ascii="宋体" w:hAnsi="宋体" w:cs="宋体"/>
                <w:sz w:val="24"/>
                <w:lang w:val="zh-CN"/>
              </w:rPr>
            </w:pPr>
            <w:r>
              <w:rPr>
                <w:rFonts w:hint="eastAsia" w:ascii="宋体" w:hAnsi="宋体" w:cs="宋体"/>
                <w:sz w:val="24"/>
                <w:lang w:val="zh-CN"/>
              </w:rPr>
              <w:t>联系电话：</w:t>
            </w:r>
            <w:r>
              <w:rPr>
                <w:rFonts w:hint="eastAsia" w:ascii="宋体" w:hAnsi="宋体" w:cs="宋体"/>
                <w:sz w:val="24"/>
                <w:u w:val="single"/>
              </w:rPr>
              <w:t xml:space="preserve"> 0991-3678303            </w:t>
            </w:r>
            <w:r>
              <w:rPr>
                <w:rFonts w:hint="eastAsia" w:ascii="宋体" w:hAnsi="宋体" w:cs="宋体"/>
                <w:sz w:val="24"/>
                <w:lang w:val="zh-CN"/>
              </w:rPr>
              <w:t xml:space="preserve">              </w:t>
            </w:r>
          </w:p>
          <w:p w14:paraId="30211831">
            <w:pPr>
              <w:pStyle w:val="57"/>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sz w:val="24"/>
                <w:lang w:val="zh-CN"/>
              </w:rPr>
              <w:t>通讯地址：</w:t>
            </w:r>
            <w:r>
              <w:rPr>
                <w:rFonts w:hint="eastAsia" w:ascii="宋体" w:hAnsi="宋体" w:cs="宋体"/>
                <w:sz w:val="24"/>
                <w:u w:val="single"/>
              </w:rPr>
              <w:t xml:space="preserve"> 乌鲁木齐市黄山街81号一品九点阳光B座九源酒店20楼            </w:t>
            </w:r>
            <w:r>
              <w:rPr>
                <w:rFonts w:hint="eastAsia" w:ascii="宋体" w:hAnsi="宋体" w:cs="宋体"/>
                <w:sz w:val="24"/>
                <w:lang w:val="zh-CN"/>
              </w:rPr>
              <w:t xml:space="preserve"> </w:t>
            </w:r>
            <w:r>
              <w:rPr>
                <w:rFonts w:hint="eastAsia" w:ascii="宋体" w:hAnsi="宋体" w:eastAsia="宋体" w:cs="宋体"/>
                <w:color w:val="auto"/>
                <w:kern w:val="2"/>
                <w:sz w:val="24"/>
                <w:szCs w:val="24"/>
                <w:highlight w:val="none"/>
                <w:lang w:val="zh-CN" w:eastAsia="zh-CN" w:bidi="ar-SA"/>
              </w:rPr>
              <w:t xml:space="preserve">          </w:t>
            </w:r>
          </w:p>
        </w:tc>
      </w:tr>
      <w:tr w14:paraId="3C8ED1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04" w:hRule="atLeast"/>
        </w:trPr>
        <w:tc>
          <w:tcPr>
            <w:tcW w:w="1033" w:type="dxa"/>
            <w:vAlign w:val="center"/>
          </w:tcPr>
          <w:p w14:paraId="422A3CDD">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w:t>
            </w:r>
          </w:p>
        </w:tc>
        <w:tc>
          <w:tcPr>
            <w:tcW w:w="1675" w:type="dxa"/>
            <w:vAlign w:val="center"/>
          </w:tcPr>
          <w:p w14:paraId="1782DE51">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采购代理服务费</w:t>
            </w:r>
          </w:p>
        </w:tc>
        <w:tc>
          <w:tcPr>
            <w:tcW w:w="6700" w:type="dxa"/>
            <w:vAlign w:val="center"/>
          </w:tcPr>
          <w:p w14:paraId="4D12CAE7">
            <w:pPr>
              <w:pStyle w:val="49"/>
              <w:rPr>
                <w:rFonts w:hint="eastAsia" w:cs="宋体"/>
                <w:szCs w:val="24"/>
                <w:highlight w:val="none"/>
                <w:u w:val="single"/>
              </w:rPr>
            </w:pPr>
            <w:r>
              <w:rPr>
                <w:rFonts w:hint="eastAsia" w:cs="宋体"/>
                <w:szCs w:val="24"/>
                <w:highlight w:val="none"/>
                <w:u w:val="single"/>
              </w:rPr>
              <w:t>1.收费对象：</w:t>
            </w:r>
            <w:r>
              <w:rPr>
                <w:rFonts w:hint="eastAsia" w:cs="宋体"/>
                <w:szCs w:val="24"/>
                <w:highlight w:val="none"/>
                <w:u w:val="single"/>
              </w:rPr>
              <w:sym w:font="Wingdings" w:char="00A8"/>
            </w:r>
            <w:r>
              <w:rPr>
                <w:rFonts w:hint="eastAsia" w:cs="宋体"/>
                <w:szCs w:val="24"/>
                <w:highlight w:val="none"/>
                <w:u w:val="single"/>
              </w:rPr>
              <w:t xml:space="preserve">采购人支付 </w:t>
            </w:r>
            <w:r>
              <w:rPr>
                <w:rFonts w:hint="eastAsia" w:cs="宋体"/>
                <w:szCs w:val="24"/>
                <w:highlight w:val="none"/>
                <w:u w:val="single"/>
              </w:rPr>
              <w:sym w:font="Wingdings" w:char="00FE"/>
            </w:r>
            <w:r>
              <w:rPr>
                <w:rFonts w:hint="eastAsia" w:cs="宋体"/>
                <w:szCs w:val="24"/>
                <w:highlight w:val="none"/>
                <w:u w:val="single"/>
              </w:rPr>
              <w:t xml:space="preserve">中标人支付 </w:t>
            </w:r>
          </w:p>
          <w:p w14:paraId="4D8B577D">
            <w:pPr>
              <w:pStyle w:val="49"/>
              <w:rPr>
                <w:rFonts w:hint="eastAsia" w:cs="宋体"/>
                <w:szCs w:val="24"/>
                <w:highlight w:val="none"/>
                <w:u w:val="single"/>
              </w:rPr>
            </w:pPr>
            <w:r>
              <w:rPr>
                <w:rFonts w:hint="eastAsia" w:cs="宋体"/>
                <w:szCs w:val="24"/>
                <w:highlight w:val="none"/>
                <w:u w:val="single"/>
              </w:rPr>
              <w:t>2.收费标准：</w:t>
            </w:r>
            <w:r>
              <w:rPr>
                <w:rFonts w:hint="eastAsia" w:cs="宋体"/>
                <w:color w:val="auto"/>
                <w:sz w:val="24"/>
                <w:szCs w:val="24"/>
                <w:highlight w:val="none"/>
                <w:u w:val="single"/>
                <w:lang w:val="en-US" w:eastAsia="zh-CN"/>
              </w:rPr>
              <w:t>固定金额：  10625.48元</w:t>
            </w:r>
            <w:r>
              <w:rPr>
                <w:rFonts w:hint="eastAsia" w:cs="宋体"/>
                <w:szCs w:val="24"/>
                <w:highlight w:val="none"/>
                <w:u w:val="single"/>
              </w:rPr>
              <w:t xml:space="preserve">            </w:t>
            </w:r>
          </w:p>
          <w:p w14:paraId="6D22BA90">
            <w:pPr>
              <w:pStyle w:val="49"/>
              <w:rPr>
                <w:rFonts w:cs="宋体"/>
                <w:szCs w:val="24"/>
                <w:highlight w:val="none"/>
              </w:rPr>
            </w:pPr>
            <w:r>
              <w:rPr>
                <w:rFonts w:hint="eastAsia" w:cs="宋体"/>
                <w:szCs w:val="24"/>
                <w:highlight w:val="none"/>
              </w:rPr>
              <w:t>3.收取时间：</w:t>
            </w:r>
            <w:r>
              <w:rPr>
                <w:rFonts w:hint="eastAsia" w:cs="宋体"/>
                <w:szCs w:val="24"/>
                <w:highlight w:val="none"/>
                <w:u w:val="single"/>
              </w:rPr>
              <w:t xml:space="preserve"> 领取中标通知书的同时  </w:t>
            </w:r>
          </w:p>
          <w:p w14:paraId="3717DF74">
            <w:pPr>
              <w:pStyle w:val="49"/>
              <w:rPr>
                <w:rFonts w:hint="eastAsia" w:ascii="宋体" w:hAnsi="宋体" w:eastAsia="宋体" w:cs="宋体"/>
                <w:color w:val="auto"/>
                <w:sz w:val="24"/>
                <w:szCs w:val="24"/>
                <w:highlight w:val="none"/>
              </w:rPr>
            </w:pPr>
            <w:r>
              <w:rPr>
                <w:rFonts w:hint="eastAsia" w:cs="宋体"/>
                <w:szCs w:val="24"/>
                <w:highlight w:val="none"/>
              </w:rPr>
              <w:t>4.收取方式：</w:t>
            </w:r>
            <w:r>
              <w:rPr>
                <w:rFonts w:hint="eastAsia" w:cs="宋体"/>
                <w:szCs w:val="24"/>
                <w:highlight w:val="none"/>
                <w:u w:val="single"/>
              </w:rPr>
              <w:t xml:space="preserve"> 转账、电汇等形式    </w:t>
            </w:r>
          </w:p>
        </w:tc>
      </w:tr>
      <w:tr w14:paraId="30DE59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42" w:hRule="atLeast"/>
        </w:trPr>
        <w:tc>
          <w:tcPr>
            <w:tcW w:w="1033" w:type="dxa"/>
            <w:vAlign w:val="center"/>
          </w:tcPr>
          <w:p w14:paraId="6F1BF374">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w:t>
            </w:r>
          </w:p>
        </w:tc>
        <w:tc>
          <w:tcPr>
            <w:tcW w:w="1675" w:type="dxa"/>
            <w:vAlign w:val="center"/>
          </w:tcPr>
          <w:p w14:paraId="5D860FC6">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是否接受进口产品</w:t>
            </w:r>
          </w:p>
        </w:tc>
        <w:tc>
          <w:tcPr>
            <w:tcW w:w="6700" w:type="dxa"/>
            <w:vAlign w:val="center"/>
          </w:tcPr>
          <w:p w14:paraId="438B47DA">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不接受</w:t>
            </w:r>
          </w:p>
          <w:p w14:paraId="1481386A">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val="zh-CN"/>
              </w:rPr>
              <w:t>接受</w:t>
            </w:r>
          </w:p>
        </w:tc>
      </w:tr>
      <w:tr w14:paraId="2539FC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1033" w:type="dxa"/>
            <w:vAlign w:val="center"/>
          </w:tcPr>
          <w:p w14:paraId="06648806">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2</w:t>
            </w:r>
          </w:p>
        </w:tc>
        <w:tc>
          <w:tcPr>
            <w:tcW w:w="1675" w:type="dxa"/>
            <w:vAlign w:val="center"/>
          </w:tcPr>
          <w:p w14:paraId="34AA4482">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支持中小企业政策</w:t>
            </w:r>
            <w:r>
              <w:rPr>
                <w:rStyle w:val="33"/>
                <w:rFonts w:hint="eastAsia" w:ascii="宋体" w:hAnsi="宋体" w:eastAsia="宋体" w:cs="宋体"/>
                <w:b w:val="0"/>
                <w:color w:val="auto"/>
                <w:sz w:val="24"/>
                <w:szCs w:val="24"/>
                <w:highlight w:val="none"/>
                <w:lang w:val="en-US" w:eastAsia="zh-CN"/>
              </w:rPr>
              <w:t>（非专门面向中小企业采购项目适用）</w:t>
            </w:r>
          </w:p>
        </w:tc>
        <w:tc>
          <w:tcPr>
            <w:tcW w:w="6700" w:type="dxa"/>
            <w:vAlign w:val="center"/>
          </w:tcPr>
          <w:p w14:paraId="736B9D94">
            <w:pPr>
              <w:pStyle w:val="70"/>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1</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小型和微型企业价格扣除：</w:t>
            </w:r>
            <w:r>
              <w:rPr>
                <w:rFonts w:hint="eastAsia" w:ascii="宋体" w:hAnsi="宋体" w:eastAsia="宋体" w:cs="宋体"/>
                <w:b w:val="0"/>
                <w:color w:val="auto"/>
                <w:sz w:val="24"/>
                <w:szCs w:val="24"/>
                <w:highlight w:val="none"/>
                <w:u w:val="single"/>
                <w:lang w:val="en-US" w:eastAsia="zh-CN"/>
              </w:rPr>
              <w:t xml:space="preserve">   </w:t>
            </w:r>
            <w:r>
              <w:rPr>
                <w:rFonts w:hint="eastAsia" w:cs="宋体"/>
                <w:b w:val="0"/>
                <w:color w:val="auto"/>
                <w:sz w:val="24"/>
                <w:szCs w:val="24"/>
                <w:highlight w:val="none"/>
                <w:u w:val="single"/>
                <w:lang w:val="en-US" w:eastAsia="zh-CN"/>
              </w:rPr>
              <w:t>/</w:t>
            </w:r>
            <w:r>
              <w:rPr>
                <w:rFonts w:hint="eastAsia" w:ascii="宋体" w:hAnsi="宋体" w:eastAsia="宋体" w:cs="宋体"/>
                <w:b w:val="0"/>
                <w:color w:val="auto"/>
                <w:sz w:val="24"/>
                <w:szCs w:val="24"/>
                <w:highlight w:val="none"/>
                <w:u w:val="single"/>
                <w:lang w:val="en-US" w:eastAsia="zh-CN"/>
              </w:rPr>
              <w:t xml:space="preserve"> </w:t>
            </w:r>
            <w:r>
              <w:rPr>
                <w:rFonts w:hint="eastAsia" w:cs="宋体"/>
                <w:b w:val="0"/>
                <w:color w:val="auto"/>
                <w:sz w:val="24"/>
                <w:szCs w:val="24"/>
                <w:highlight w:val="none"/>
                <w:u w:val="single"/>
                <w:lang w:val="en-US" w:eastAsia="zh-CN"/>
              </w:rPr>
              <w:t>（本项目不适用）</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w:t>
            </w:r>
          </w:p>
          <w:p w14:paraId="3A14D5AD">
            <w:pPr>
              <w:pStyle w:val="70"/>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2</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监狱企业价格扣除：</w:t>
            </w:r>
            <w:r>
              <w:rPr>
                <w:rFonts w:hint="eastAsia" w:ascii="宋体" w:hAnsi="宋体" w:eastAsia="宋体" w:cs="宋体"/>
                <w:b w:val="0"/>
                <w:color w:val="auto"/>
                <w:sz w:val="24"/>
                <w:szCs w:val="24"/>
                <w:highlight w:val="none"/>
                <w:u w:val="none"/>
              </w:rPr>
              <w:t>同小型和微型企业</w:t>
            </w:r>
            <w:r>
              <w:rPr>
                <w:rFonts w:hint="eastAsia" w:ascii="宋体" w:hAnsi="宋体" w:eastAsia="宋体" w:cs="宋体"/>
                <w:b w:val="0"/>
                <w:color w:val="auto"/>
                <w:sz w:val="24"/>
                <w:szCs w:val="24"/>
                <w:highlight w:val="none"/>
              </w:rPr>
              <w:t>。</w:t>
            </w:r>
          </w:p>
          <w:p w14:paraId="5CF7AA8F">
            <w:pPr>
              <w:pStyle w:val="70"/>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3</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残疾人福利性单位价格扣除：</w:t>
            </w:r>
            <w:r>
              <w:rPr>
                <w:rFonts w:hint="eastAsia" w:ascii="宋体" w:hAnsi="宋体" w:eastAsia="宋体" w:cs="宋体"/>
                <w:b w:val="0"/>
                <w:color w:val="auto"/>
                <w:sz w:val="24"/>
                <w:szCs w:val="24"/>
                <w:highlight w:val="none"/>
                <w:u w:val="none"/>
              </w:rPr>
              <w:t>同小型和微型企业</w:t>
            </w:r>
            <w:r>
              <w:rPr>
                <w:rFonts w:hint="eastAsia" w:ascii="宋体" w:hAnsi="宋体" w:eastAsia="宋体" w:cs="宋体"/>
                <w:b w:val="0"/>
                <w:color w:val="auto"/>
                <w:sz w:val="24"/>
                <w:szCs w:val="24"/>
                <w:highlight w:val="none"/>
              </w:rPr>
              <w:t>。</w:t>
            </w:r>
          </w:p>
          <w:p w14:paraId="529022C4">
            <w:pPr>
              <w:pStyle w:val="70"/>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4</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符合条件的联合体价格扣除：</w:t>
            </w:r>
            <w:r>
              <w:rPr>
                <w:rFonts w:hint="eastAsia" w:ascii="宋体" w:hAnsi="宋体" w:eastAsia="宋体" w:cs="宋体"/>
                <w:b w:val="0"/>
                <w:color w:val="auto"/>
                <w:sz w:val="24"/>
                <w:szCs w:val="24"/>
                <w:highlight w:val="none"/>
                <w:u w:val="single"/>
                <w:lang w:val="en-US" w:eastAsia="zh-CN"/>
              </w:rPr>
              <w:t xml:space="preserve">   </w:t>
            </w:r>
            <w:r>
              <w:rPr>
                <w:rFonts w:hint="eastAsia" w:cs="宋体"/>
                <w:b w:val="0"/>
                <w:color w:val="auto"/>
                <w:sz w:val="24"/>
                <w:szCs w:val="24"/>
                <w:highlight w:val="none"/>
                <w:u w:val="single"/>
                <w:lang w:val="en-US" w:eastAsia="zh-CN"/>
              </w:rPr>
              <w:t>/</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w:t>
            </w:r>
          </w:p>
          <w:p w14:paraId="1B996B16">
            <w:pPr>
              <w:pStyle w:val="70"/>
              <w:widowControl w:val="0"/>
              <w:spacing w:before="0" w:beforeAutospacing="0" w:after="0" w:afterAutospacing="0" w:line="240" w:lineRule="auto"/>
              <w:jc w:val="both"/>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5</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符合条件的向小微企业分包的大中型企业价格扣除：</w:t>
            </w:r>
            <w:r>
              <w:rPr>
                <w:rFonts w:hint="eastAsia" w:ascii="宋体" w:hAnsi="宋体" w:eastAsia="宋体" w:cs="宋体"/>
                <w:b w:val="0"/>
                <w:color w:val="auto"/>
                <w:sz w:val="24"/>
                <w:szCs w:val="24"/>
                <w:highlight w:val="none"/>
                <w:u w:val="single"/>
                <w:lang w:val="en-US" w:eastAsia="zh-CN"/>
              </w:rPr>
              <w:t xml:space="preserve">   </w:t>
            </w:r>
            <w:r>
              <w:rPr>
                <w:rFonts w:hint="eastAsia" w:cs="宋体"/>
                <w:b w:val="0"/>
                <w:color w:val="auto"/>
                <w:sz w:val="24"/>
                <w:szCs w:val="24"/>
                <w:highlight w:val="none"/>
                <w:u w:val="single"/>
                <w:lang w:val="en-US" w:eastAsia="zh-CN"/>
              </w:rPr>
              <w:t>/</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w:t>
            </w:r>
            <w:r>
              <w:rPr>
                <w:rFonts w:hint="eastAsia" w:ascii="宋体" w:hAnsi="宋体" w:eastAsia="宋体" w:cs="宋体"/>
                <w:b w:val="0"/>
                <w:i w:val="0"/>
                <w:iCs/>
                <w:color w:val="auto"/>
                <w:sz w:val="24"/>
                <w:szCs w:val="24"/>
                <w:highlight w:val="none"/>
              </w:rPr>
              <w:t>（允许大中型企业向小微企业分包的项目适用）</w:t>
            </w:r>
          </w:p>
        </w:tc>
      </w:tr>
      <w:tr w14:paraId="707AAB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2513" w:hRule="atLeast"/>
        </w:trPr>
        <w:tc>
          <w:tcPr>
            <w:tcW w:w="1033" w:type="dxa"/>
            <w:vAlign w:val="center"/>
          </w:tcPr>
          <w:p w14:paraId="3AAFC5B3">
            <w:pPr>
              <w:pStyle w:val="49"/>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42.5</w:t>
            </w:r>
          </w:p>
        </w:tc>
        <w:tc>
          <w:tcPr>
            <w:tcW w:w="1675" w:type="dxa"/>
            <w:vAlign w:val="center"/>
          </w:tcPr>
          <w:p w14:paraId="59931474">
            <w:pPr>
              <w:pStyle w:val="4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标的所属行业</w:t>
            </w:r>
          </w:p>
          <w:p w14:paraId="27995733">
            <w:pPr>
              <w:pStyle w:val="49"/>
              <w:rPr>
                <w:rFonts w:hint="eastAsia" w:ascii="宋体" w:hAnsi="宋体" w:eastAsia="宋体" w:cs="宋体"/>
                <w:color w:val="auto"/>
                <w:sz w:val="24"/>
                <w:szCs w:val="24"/>
                <w:highlight w:val="none"/>
                <w:lang w:val="en-US" w:eastAsia="zh-CN"/>
              </w:rPr>
            </w:pPr>
            <w:r>
              <w:rPr>
                <w:rStyle w:val="33"/>
                <w:rFonts w:hint="eastAsia" w:ascii="宋体" w:hAnsi="宋体" w:eastAsia="宋体" w:cs="宋体"/>
                <w:b w:val="0"/>
                <w:color w:val="auto"/>
                <w:sz w:val="24"/>
                <w:szCs w:val="24"/>
                <w:highlight w:val="none"/>
                <w:lang w:val="en-US" w:eastAsia="zh-CN"/>
              </w:rPr>
              <w:t>参照后附</w:t>
            </w:r>
            <w:r>
              <w:rPr>
                <w:rStyle w:val="33"/>
                <w:rFonts w:hint="eastAsia" w:ascii="宋体" w:hAnsi="宋体" w:eastAsia="宋体" w:cs="宋体"/>
                <w:b w:val="0"/>
                <w:color w:val="auto"/>
                <w:sz w:val="24"/>
                <w:szCs w:val="24"/>
                <w:highlight w:val="none"/>
                <w:lang w:eastAsia="zh-CN"/>
              </w:rPr>
              <w:t>《</w:t>
            </w:r>
            <w:r>
              <w:rPr>
                <w:rStyle w:val="33"/>
                <w:rFonts w:hint="eastAsia" w:ascii="宋体" w:hAnsi="宋体" w:eastAsia="宋体" w:cs="宋体"/>
                <w:b w:val="0"/>
                <w:color w:val="auto"/>
                <w:sz w:val="24"/>
                <w:szCs w:val="24"/>
                <w:highlight w:val="none"/>
              </w:rPr>
              <w:t>工信部联企业〔2011〕300号</w:t>
            </w:r>
            <w:r>
              <w:rPr>
                <w:rStyle w:val="33"/>
                <w:rFonts w:hint="eastAsia" w:ascii="宋体" w:hAnsi="宋体" w:eastAsia="宋体" w:cs="宋体"/>
                <w:b w:val="0"/>
                <w:color w:val="auto"/>
                <w:sz w:val="24"/>
                <w:szCs w:val="24"/>
                <w:highlight w:val="none"/>
                <w:lang w:eastAsia="zh-CN"/>
              </w:rPr>
              <w:t>》</w:t>
            </w:r>
          </w:p>
        </w:tc>
        <w:tc>
          <w:tcPr>
            <w:tcW w:w="6700" w:type="dxa"/>
            <w:vAlign w:val="center"/>
          </w:tcPr>
          <w:p w14:paraId="6804F69E">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本项目采购标的对应的中小企业划分标准所属行业： </w:t>
            </w:r>
          </w:p>
          <w:tbl>
            <w:tblPr>
              <w:tblStyle w:val="31"/>
              <w:tblW w:w="6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824"/>
              <w:gridCol w:w="3245"/>
            </w:tblGrid>
            <w:tr w14:paraId="1CAA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7059451F">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包号</w:t>
                  </w:r>
                </w:p>
              </w:tc>
              <w:tc>
                <w:tcPr>
                  <w:tcW w:w="1824" w:type="dxa"/>
                  <w:vAlign w:val="center"/>
                </w:tcPr>
                <w:p w14:paraId="334359A5">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标的名称</w:t>
                  </w:r>
                </w:p>
              </w:tc>
              <w:tc>
                <w:tcPr>
                  <w:tcW w:w="3245" w:type="dxa"/>
                  <w:vAlign w:val="center"/>
                </w:tcPr>
                <w:p w14:paraId="6E9115BA">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中小企业划分标准所属行业</w:t>
                  </w:r>
                </w:p>
              </w:tc>
            </w:tr>
            <w:tr w14:paraId="3152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restart"/>
                  <w:vAlign w:val="center"/>
                </w:tcPr>
                <w:p w14:paraId="3274AA05">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第1包</w:t>
                  </w:r>
                </w:p>
              </w:tc>
              <w:tc>
                <w:tcPr>
                  <w:tcW w:w="1824" w:type="dxa"/>
                  <w:vAlign w:val="center"/>
                </w:tcPr>
                <w:p w14:paraId="48A998B1">
                  <w:pPr>
                    <w:keepNext w:val="0"/>
                    <w:keepLines w:val="0"/>
                    <w:widowControl/>
                    <w:suppressLineNumbers w:val="0"/>
                    <w:jc w:val="center"/>
                    <w:rPr>
                      <w:rFonts w:hint="eastAsia" w:cs="宋体"/>
                      <w:szCs w:val="24"/>
                      <w:highlight w:val="none"/>
                    </w:rPr>
                  </w:pPr>
                  <w:r>
                    <w:rPr>
                      <w:rFonts w:hint="eastAsia" w:cs="宋体"/>
                      <w:szCs w:val="24"/>
                      <w:highlight w:val="none"/>
                      <w:lang w:val="en-US" w:eastAsia="zh-CN"/>
                    </w:rPr>
                    <w:t>GPU服务器</w:t>
                  </w:r>
                </w:p>
              </w:tc>
              <w:tc>
                <w:tcPr>
                  <w:tcW w:w="3245" w:type="dxa"/>
                  <w:vAlign w:val="center"/>
                </w:tcPr>
                <w:p w14:paraId="219CBBE4">
                  <w:pPr>
                    <w:keepNext w:val="0"/>
                    <w:keepLines w:val="0"/>
                    <w:widowControl/>
                    <w:suppressLineNumbers w:val="0"/>
                    <w:jc w:val="center"/>
                    <w:rPr>
                      <w:rFonts w:hint="default" w:eastAsia="宋体" w:cs="宋体"/>
                      <w:szCs w:val="24"/>
                      <w:highlight w:val="none"/>
                      <w:lang w:val="en-US" w:eastAsia="zh-CN"/>
                    </w:rPr>
                  </w:pPr>
                  <w:r>
                    <w:rPr>
                      <w:rFonts w:hint="eastAsia" w:cs="宋体"/>
                      <w:szCs w:val="24"/>
                      <w:highlight w:val="none"/>
                      <w:lang w:val="en-US" w:eastAsia="zh-CN"/>
                    </w:rPr>
                    <w:t>工业</w:t>
                  </w:r>
                </w:p>
              </w:tc>
            </w:tr>
            <w:tr w14:paraId="585F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Merge w:val="continue"/>
                  <w:vAlign w:val="center"/>
                </w:tcPr>
                <w:p w14:paraId="4BD03589">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p>
              </w:tc>
              <w:tc>
                <w:tcPr>
                  <w:tcW w:w="1824" w:type="dxa"/>
                  <w:vAlign w:val="center"/>
                </w:tcPr>
                <w:p w14:paraId="402B250B">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道路交通安全风险地图系统</w:t>
                  </w:r>
                </w:p>
              </w:tc>
              <w:tc>
                <w:tcPr>
                  <w:tcW w:w="3245" w:type="dxa"/>
                  <w:vAlign w:val="center"/>
                </w:tcPr>
                <w:p w14:paraId="6A9C8731">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cs="宋体"/>
                      <w:szCs w:val="24"/>
                      <w:highlight w:val="none"/>
                    </w:rPr>
                    <w:t>软件和信息技术服务业</w:t>
                  </w:r>
                </w:p>
              </w:tc>
            </w:tr>
          </w:tbl>
          <w:p w14:paraId="56AC7DD6">
            <w:pPr>
              <w:pStyle w:val="49"/>
              <w:rPr>
                <w:rFonts w:hint="eastAsia" w:ascii="宋体" w:hAnsi="宋体" w:eastAsia="宋体" w:cs="宋体"/>
                <w:color w:val="auto"/>
                <w:sz w:val="24"/>
                <w:szCs w:val="24"/>
                <w:highlight w:val="none"/>
              </w:rPr>
            </w:pPr>
          </w:p>
        </w:tc>
      </w:tr>
      <w:tr w14:paraId="545B04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25" w:hRule="atLeast"/>
        </w:trPr>
        <w:tc>
          <w:tcPr>
            <w:tcW w:w="1033" w:type="dxa"/>
            <w:shd w:val="clear" w:color="auto" w:fill="auto"/>
            <w:vAlign w:val="center"/>
          </w:tcPr>
          <w:p w14:paraId="18792692">
            <w:pPr>
              <w:pStyle w:val="49"/>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43.5</w:t>
            </w:r>
          </w:p>
        </w:tc>
        <w:tc>
          <w:tcPr>
            <w:tcW w:w="1675" w:type="dxa"/>
            <w:shd w:val="clear" w:color="auto" w:fill="auto"/>
            <w:vAlign w:val="center"/>
          </w:tcPr>
          <w:p w14:paraId="69CF29E9">
            <w:pPr>
              <w:pStyle w:val="4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优先采购创新节能环保产品</w:t>
            </w:r>
          </w:p>
        </w:tc>
        <w:tc>
          <w:tcPr>
            <w:tcW w:w="6700" w:type="dxa"/>
            <w:shd w:val="clear" w:color="auto" w:fill="auto"/>
            <w:vAlign w:val="center"/>
          </w:tcPr>
          <w:p w14:paraId="299F639F">
            <w:pPr>
              <w:pStyle w:val="4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所投产品纳入创新产品应用示范推荐目录内企业、所投产品获得节能产品或环境标志产品认证证书的</w:t>
            </w: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rPr>
              <w:t>给予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lang w:val="en-US" w:eastAsia="zh-CN"/>
              </w:rPr>
              <w:t>评审优惠</w:t>
            </w:r>
            <w:r>
              <w:rPr>
                <w:rFonts w:hint="eastAsia" w:ascii="宋体" w:hAnsi="宋体" w:eastAsia="宋体" w:cs="宋体"/>
                <w:color w:val="auto"/>
                <w:sz w:val="24"/>
                <w:szCs w:val="24"/>
                <w:highlight w:val="none"/>
              </w:rPr>
              <w:t>。</w:t>
            </w:r>
          </w:p>
        </w:tc>
      </w:tr>
      <w:tr w14:paraId="140D50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379" w:hRule="atLeast"/>
        </w:trPr>
        <w:tc>
          <w:tcPr>
            <w:tcW w:w="1033" w:type="dxa"/>
            <w:tcBorders>
              <w:right w:val="single" w:color="auto" w:sz="4" w:space="0"/>
            </w:tcBorders>
            <w:vAlign w:val="center"/>
          </w:tcPr>
          <w:p w14:paraId="08D3F63A">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p>
        </w:tc>
        <w:tc>
          <w:tcPr>
            <w:tcW w:w="1675" w:type="dxa"/>
            <w:tcBorders>
              <w:left w:val="single" w:color="auto" w:sz="4" w:space="0"/>
              <w:right w:val="single" w:color="auto" w:sz="4" w:space="0"/>
            </w:tcBorders>
            <w:vAlign w:val="center"/>
          </w:tcPr>
          <w:p w14:paraId="651753DB">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w:t>
            </w:r>
          </w:p>
          <w:p w14:paraId="5E3751DF">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合同融资政策</w:t>
            </w:r>
          </w:p>
        </w:tc>
        <w:tc>
          <w:tcPr>
            <w:tcW w:w="6700" w:type="dxa"/>
            <w:tcBorders>
              <w:left w:val="single" w:color="auto" w:sz="4" w:space="0"/>
            </w:tcBorders>
            <w:vAlign w:val="center"/>
          </w:tcPr>
          <w:p w14:paraId="4377B3EE">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1.</w:t>
            </w:r>
            <w:r>
              <w:rPr>
                <w:rFonts w:hint="eastAsia" w:ascii="宋体" w:hAnsi="宋体" w:eastAsia="宋体" w:cs="宋体"/>
                <w:color w:val="auto"/>
                <w:sz w:val="24"/>
                <w:szCs w:val="24"/>
                <w:highlight w:val="none"/>
              </w:rPr>
              <w:t>有融资需求的中标人在获得政府采购中标通知书后，即可向开展“政采贷”业务的金融机构提出申请，金融机构依据政府采购中标通知书和政府采购合同，为中小微企业提供融资服务。</w:t>
            </w:r>
          </w:p>
          <w:p w14:paraId="3BFAFBB3">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渠道和方式：</w:t>
            </w:r>
            <w:r>
              <w:rPr>
                <w:rFonts w:hint="eastAsia" w:cs="宋体"/>
                <w:szCs w:val="24"/>
                <w:u w:val="single"/>
              </w:rPr>
              <w:t>详见《关于开展政府采购合同信用融资工作的通知》（兵财库【2022】31 号）文件</w:t>
            </w:r>
            <w:r>
              <w:rPr>
                <w:rFonts w:hint="eastAsia" w:cs="宋体"/>
                <w:szCs w:val="24"/>
              </w:rPr>
              <w:t>。</w:t>
            </w:r>
          </w:p>
          <w:p w14:paraId="5D7FBF5F">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2.</w:t>
            </w:r>
            <w:r>
              <w:rPr>
                <w:rFonts w:hint="eastAsia" w:ascii="宋体" w:hAnsi="宋体" w:eastAsia="宋体" w:cs="宋体"/>
                <w:color w:val="auto"/>
                <w:sz w:val="24"/>
                <w:szCs w:val="24"/>
                <w:highlight w:val="none"/>
                <w:lang w:eastAsia="zh-CN"/>
              </w:rPr>
              <w:t>“政采贷”融资指引：在取得政府采购中标通知书后，可访问“</w:t>
            </w:r>
            <w:r>
              <w:rPr>
                <w:rFonts w:hint="eastAsia" w:ascii="宋体" w:hAnsi="宋体" w:eastAsia="宋体" w:cs="宋体"/>
                <w:color w:val="auto"/>
                <w:sz w:val="24"/>
                <w:szCs w:val="24"/>
                <w:highlight w:val="none"/>
                <w:lang w:val="en-US" w:eastAsia="zh-CN"/>
              </w:rPr>
              <w:t>兵团</w:t>
            </w:r>
            <w:r>
              <w:rPr>
                <w:rFonts w:hint="eastAsia" w:ascii="宋体" w:hAnsi="宋体" w:eastAsia="宋体" w:cs="宋体"/>
                <w:color w:val="auto"/>
                <w:sz w:val="24"/>
                <w:szCs w:val="24"/>
                <w:highlight w:val="none"/>
                <w:lang w:eastAsia="zh-CN"/>
              </w:rPr>
              <w:t>政采贷</w:t>
            </w:r>
            <w:r>
              <w:rPr>
                <w:rFonts w:hint="eastAsia" w:ascii="宋体" w:hAnsi="宋体" w:eastAsia="宋体" w:cs="宋体"/>
                <w:color w:val="auto"/>
                <w:sz w:val="24"/>
                <w:szCs w:val="24"/>
                <w:highlight w:val="none"/>
                <w:lang w:val="en-US" w:eastAsia="zh-CN"/>
              </w:rPr>
              <w:t>融资服务平台”</w:t>
            </w:r>
            <w:r>
              <w:rPr>
                <w:rFonts w:hint="eastAsia" w:ascii="宋体" w:hAnsi="宋体" w:eastAsia="宋体" w:cs="宋体"/>
                <w:color w:val="auto"/>
                <w:sz w:val="24"/>
                <w:szCs w:val="24"/>
                <w:highlight w:val="none"/>
                <w:lang w:eastAsia="zh-CN"/>
              </w:rPr>
              <w:t>，查看和联系第三方平台或者金融机构，商洽融资事项，确定融资意向。中标人签署政府采购中标合同后，登录“</w:t>
            </w:r>
            <w:r>
              <w:rPr>
                <w:rFonts w:hint="eastAsia" w:ascii="宋体" w:hAnsi="宋体" w:eastAsia="宋体" w:cs="宋体"/>
                <w:color w:val="auto"/>
                <w:sz w:val="24"/>
                <w:szCs w:val="24"/>
                <w:highlight w:val="none"/>
                <w:lang w:val="en-US" w:eastAsia="zh-CN"/>
              </w:rPr>
              <w:t>兵团</w:t>
            </w:r>
            <w:r>
              <w:rPr>
                <w:rFonts w:hint="eastAsia" w:ascii="宋体" w:hAnsi="宋体" w:eastAsia="宋体" w:cs="宋体"/>
                <w:color w:val="auto"/>
                <w:sz w:val="24"/>
                <w:szCs w:val="24"/>
                <w:highlight w:val="none"/>
                <w:lang w:eastAsia="zh-CN"/>
              </w:rPr>
              <w:t>政采贷</w:t>
            </w:r>
            <w:r>
              <w:rPr>
                <w:rFonts w:hint="eastAsia" w:ascii="宋体" w:hAnsi="宋体" w:eastAsia="宋体" w:cs="宋体"/>
                <w:color w:val="auto"/>
                <w:sz w:val="24"/>
                <w:szCs w:val="24"/>
                <w:highlight w:val="none"/>
                <w:lang w:val="en-US" w:eastAsia="zh-CN"/>
              </w:rPr>
              <w:t>融资服务平台”</w:t>
            </w:r>
            <w:r>
              <w:rPr>
                <w:rFonts w:hint="eastAsia" w:ascii="宋体" w:hAnsi="宋体" w:eastAsia="宋体" w:cs="宋体"/>
                <w:color w:val="auto"/>
                <w:sz w:val="24"/>
                <w:szCs w:val="24"/>
                <w:highlight w:val="none"/>
                <w:lang w:eastAsia="zh-CN"/>
              </w:rPr>
              <w:t>，选择意向产品进行申请，并填写相关信息，“</w:t>
            </w:r>
            <w:r>
              <w:rPr>
                <w:rFonts w:hint="eastAsia" w:ascii="宋体" w:hAnsi="宋体" w:eastAsia="宋体" w:cs="宋体"/>
                <w:color w:val="auto"/>
                <w:sz w:val="24"/>
                <w:szCs w:val="24"/>
                <w:highlight w:val="none"/>
                <w:lang w:val="en-US" w:eastAsia="zh-CN"/>
              </w:rPr>
              <w:t>兵团</w:t>
            </w:r>
            <w:r>
              <w:rPr>
                <w:rFonts w:hint="eastAsia" w:ascii="宋体" w:hAnsi="宋体" w:eastAsia="宋体" w:cs="宋体"/>
                <w:color w:val="auto"/>
                <w:sz w:val="24"/>
                <w:szCs w:val="24"/>
                <w:highlight w:val="none"/>
                <w:lang w:eastAsia="zh-CN"/>
              </w:rPr>
              <w:t>政采贷</w:t>
            </w:r>
            <w:r>
              <w:rPr>
                <w:rFonts w:hint="eastAsia" w:ascii="宋体" w:hAnsi="宋体" w:eastAsia="宋体" w:cs="宋体"/>
                <w:color w:val="auto"/>
                <w:sz w:val="24"/>
                <w:szCs w:val="24"/>
                <w:highlight w:val="none"/>
                <w:lang w:val="en-US" w:eastAsia="zh-CN"/>
              </w:rPr>
              <w:t>融资服务平台”</w:t>
            </w:r>
            <w:r>
              <w:rPr>
                <w:rFonts w:hint="eastAsia" w:ascii="宋体" w:hAnsi="宋体" w:eastAsia="宋体" w:cs="宋体"/>
                <w:color w:val="auto"/>
                <w:sz w:val="24"/>
                <w:szCs w:val="24"/>
                <w:highlight w:val="none"/>
                <w:lang w:eastAsia="zh-CN"/>
              </w:rPr>
              <w:t>将中标人融资申请信息推送第三方平台、意向金融机构。</w:t>
            </w:r>
          </w:p>
        </w:tc>
      </w:tr>
      <w:tr w14:paraId="48C9FD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99" w:hRule="atLeast"/>
        </w:trPr>
        <w:tc>
          <w:tcPr>
            <w:tcW w:w="1033" w:type="dxa"/>
            <w:tcBorders>
              <w:right w:val="single" w:color="auto" w:sz="4" w:space="0"/>
            </w:tcBorders>
            <w:vAlign w:val="center"/>
          </w:tcPr>
          <w:p w14:paraId="59449E7E">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w:t>
            </w:r>
          </w:p>
        </w:tc>
        <w:tc>
          <w:tcPr>
            <w:tcW w:w="1675" w:type="dxa"/>
            <w:tcBorders>
              <w:right w:val="single" w:color="auto" w:sz="4" w:space="0"/>
            </w:tcBorders>
            <w:vAlign w:val="center"/>
          </w:tcPr>
          <w:p w14:paraId="7068A1E1">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w:t>
            </w:r>
          </w:p>
        </w:tc>
        <w:tc>
          <w:tcPr>
            <w:tcW w:w="6700" w:type="dxa"/>
            <w:tcBorders>
              <w:left w:val="single" w:color="auto" w:sz="4" w:space="0"/>
            </w:tcBorders>
            <w:vAlign w:val="center"/>
          </w:tcPr>
          <w:p w14:paraId="3E007DEA">
            <w:pPr>
              <w:pStyle w:val="49"/>
              <w:rPr>
                <w:rFonts w:cs="宋体"/>
                <w:color w:val="auto"/>
                <w:szCs w:val="24"/>
              </w:rPr>
            </w:pPr>
            <w:r>
              <w:rPr>
                <w:rFonts w:hint="eastAsia" w:cs="宋体"/>
                <w:color w:val="auto"/>
                <w:szCs w:val="24"/>
              </w:rPr>
              <w:t>（1）本次招标过程中，供应商若存在提供虚假材料应标或参数造假谋取中标等违规行为，按照《政府采购法》第七十七条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4C717C1">
            <w:pPr>
              <w:pStyle w:val="49"/>
              <w:rPr>
                <w:rFonts w:cs="宋体"/>
                <w:color w:val="auto"/>
                <w:szCs w:val="24"/>
              </w:rPr>
            </w:pPr>
            <w:r>
              <w:rPr>
                <w:rFonts w:hint="eastAsia" w:cs="宋体"/>
                <w:color w:val="auto"/>
                <w:szCs w:val="24"/>
              </w:rPr>
              <w:t>（2）采购方与中标供应商应于《中标通知书》发出之日起25日内，按照采购文件确定的事项签订采购合同，合同签订之日起2个工作日内进行公示。成交供应商须于合同签订当日将本项目《政府采购合同》扫描件发送至采购代理机构邮箱</w:t>
            </w:r>
            <w:r>
              <w:rPr>
                <w:rFonts w:hint="eastAsia" w:cs="宋体"/>
                <w:color w:val="auto"/>
                <w:szCs w:val="24"/>
                <w:lang w:val="en-US" w:eastAsia="zh-CN"/>
              </w:rPr>
              <w:t>1074057075</w:t>
            </w:r>
            <w:r>
              <w:rPr>
                <w:rFonts w:hint="eastAsia" w:cs="宋体"/>
                <w:color w:val="auto"/>
                <w:szCs w:val="24"/>
              </w:rPr>
              <w:t>@qq.com，便于及时公示以及办理投标保证金（如收</w:t>
            </w:r>
          </w:p>
          <w:p w14:paraId="7D59F1A1">
            <w:pPr>
              <w:pStyle w:val="49"/>
              <w:rPr>
                <w:rFonts w:cs="宋体"/>
                <w:color w:val="auto"/>
                <w:szCs w:val="24"/>
              </w:rPr>
            </w:pPr>
            <w:r>
              <w:rPr>
                <w:rFonts w:hint="eastAsia" w:cs="宋体"/>
                <w:color w:val="auto"/>
                <w:szCs w:val="24"/>
              </w:rPr>
              <w:t>取）退还手续。</w:t>
            </w:r>
          </w:p>
          <w:p w14:paraId="1BE35E12">
            <w:pPr>
              <w:pStyle w:val="49"/>
              <w:numPr>
                <w:ilvl w:val="0"/>
                <w:numId w:val="0"/>
              </w:numPr>
              <w:rPr>
                <w:rFonts w:cs="宋体"/>
                <w:color w:val="auto"/>
                <w:szCs w:val="24"/>
              </w:rPr>
            </w:pPr>
            <w:r>
              <w:rPr>
                <w:rFonts w:hint="eastAsia" w:cs="宋体"/>
                <w:color w:val="auto"/>
                <w:szCs w:val="24"/>
                <w:lang w:eastAsia="zh-CN"/>
              </w:rPr>
              <w:t>（</w:t>
            </w:r>
            <w:r>
              <w:rPr>
                <w:rFonts w:hint="eastAsia" w:cs="宋体"/>
                <w:color w:val="auto"/>
                <w:szCs w:val="24"/>
                <w:lang w:val="en-US" w:eastAsia="zh-CN"/>
              </w:rPr>
              <w:t>3）</w:t>
            </w:r>
            <w:r>
              <w:rPr>
                <w:rFonts w:hint="eastAsia" w:cs="宋体"/>
                <w:color w:val="auto"/>
                <w:szCs w:val="24"/>
              </w:rPr>
              <w:t>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6B55E9D6">
            <w:pPr>
              <w:pStyle w:val="49"/>
              <w:numPr>
                <w:ilvl w:val="0"/>
                <w:numId w:val="0"/>
              </w:numPr>
              <w:rPr>
                <w:rFonts w:cs="宋体"/>
                <w:color w:val="auto"/>
                <w:szCs w:val="24"/>
              </w:rPr>
            </w:pPr>
            <w:r>
              <w:rPr>
                <w:rFonts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4</w:t>
            </w:r>
            <w:r>
              <w:rPr>
                <w:rFonts w:ascii="宋体" w:hAnsi="宋体" w:eastAsia="宋体" w:cs="宋体"/>
                <w:color w:val="auto"/>
                <w:kern w:val="2"/>
                <w:sz w:val="24"/>
                <w:szCs w:val="24"/>
                <w:lang w:val="en-US" w:eastAsia="zh-CN" w:bidi="ar-SA"/>
              </w:rPr>
              <w:t>）</w:t>
            </w:r>
            <w:r>
              <w:rPr>
                <w:rFonts w:hint="eastAsia" w:cs="宋体"/>
                <w:color w:val="auto"/>
                <w:szCs w:val="24"/>
              </w:rPr>
              <w:t>供应商在开标前须提前配置好电脑浏览器（建议使用360浏览器或谷歌浏览器），开标时请使用制作加密电子响应文件的CA锁进行解密及报价确认。本项目投标文件解密时间定为30分钟，如供应商因自身原因导致在规定的时间无法正常解密，视为开标后撤销其投标文件，投标保证金招标人有权不予退还。</w:t>
            </w:r>
          </w:p>
          <w:p w14:paraId="5B11E5F4">
            <w:pPr>
              <w:pStyle w:val="49"/>
              <w:rPr>
                <w:rFonts w:hint="eastAsia" w:cs="宋体"/>
                <w:b/>
                <w:bCs/>
                <w:color w:val="auto"/>
                <w:szCs w:val="24"/>
              </w:rPr>
            </w:pPr>
            <w:r>
              <w:rPr>
                <w:rFonts w:hint="eastAsia" w:cs="宋体"/>
                <w:b/>
                <w:bCs/>
                <w:color w:val="auto"/>
                <w:szCs w:val="24"/>
              </w:rPr>
              <w:t>（</w:t>
            </w:r>
            <w:r>
              <w:rPr>
                <w:rFonts w:hint="eastAsia" w:cs="宋体"/>
                <w:b/>
                <w:bCs/>
                <w:color w:val="auto"/>
                <w:szCs w:val="24"/>
                <w:lang w:val="en-US" w:eastAsia="zh-CN"/>
              </w:rPr>
              <w:t>5</w:t>
            </w:r>
            <w:r>
              <w:rPr>
                <w:rFonts w:hint="eastAsia" w:cs="宋体"/>
                <w:b/>
                <w:bCs/>
                <w:color w:val="auto"/>
                <w:szCs w:val="24"/>
              </w:rPr>
              <w:t>）供应商在法定质疑期内一次性提出针对同一采购程序环节的质疑，本项目不接受供应商多次/反复质疑。</w:t>
            </w:r>
          </w:p>
          <w:p w14:paraId="448F424F">
            <w:pPr>
              <w:pStyle w:val="49"/>
              <w:rPr>
                <w:rFonts w:hint="eastAsia" w:cs="宋体"/>
                <w:b/>
                <w:bCs/>
                <w:color w:val="auto"/>
                <w:szCs w:val="24"/>
                <w:lang w:eastAsia="zh-CN"/>
              </w:rPr>
            </w:pPr>
            <w:r>
              <w:rPr>
                <w:rFonts w:hint="eastAsia" w:cs="宋体"/>
                <w:b/>
                <w:bCs/>
                <w:color w:val="auto"/>
                <w:szCs w:val="24"/>
                <w:lang w:eastAsia="zh-CN"/>
              </w:rPr>
              <w:t>（</w:t>
            </w:r>
            <w:r>
              <w:rPr>
                <w:rFonts w:hint="eastAsia" w:cs="宋体"/>
                <w:b/>
                <w:bCs/>
                <w:color w:val="auto"/>
                <w:szCs w:val="24"/>
                <w:lang w:val="en-US" w:eastAsia="zh-CN"/>
              </w:rPr>
              <w:t>6</w:t>
            </w:r>
            <w:r>
              <w:rPr>
                <w:rFonts w:hint="eastAsia" w:cs="宋体"/>
                <w:b/>
                <w:bCs/>
                <w:color w:val="auto"/>
                <w:szCs w:val="24"/>
                <w:lang w:eastAsia="zh-CN"/>
              </w:rPr>
              <w:t>）</w:t>
            </w:r>
            <w:r>
              <w:rPr>
                <w:rFonts w:hint="eastAsia" w:cs="宋体"/>
                <w:b/>
                <w:bCs/>
                <w:color w:val="auto"/>
                <w:szCs w:val="24"/>
                <w:lang w:val="en-US" w:eastAsia="zh-CN"/>
              </w:rPr>
              <w:t>付款方式：</w:t>
            </w:r>
            <w:r>
              <w:rPr>
                <w:rFonts w:hint="eastAsia" w:cs="宋体"/>
                <w:b/>
                <w:bCs/>
                <w:color w:val="auto"/>
                <w:szCs w:val="24"/>
                <w:lang w:eastAsia="zh-CN"/>
              </w:rPr>
              <w:t>合同签订后30个日历日内，支付合同总价的50%；货到后经采购人验收合格且供应商向采购人提供合同总价的</w:t>
            </w:r>
            <w:r>
              <w:rPr>
                <w:rFonts w:hint="eastAsia" w:cs="宋体"/>
                <w:b/>
                <w:bCs/>
                <w:color w:val="auto"/>
                <w:szCs w:val="24"/>
                <w:lang w:val="en-US" w:eastAsia="zh-CN"/>
              </w:rPr>
              <w:t>3%</w:t>
            </w:r>
            <w:r>
              <w:rPr>
                <w:rFonts w:hint="eastAsia" w:cs="宋体"/>
                <w:b/>
                <w:bCs/>
                <w:color w:val="auto"/>
                <w:szCs w:val="24"/>
                <w:lang w:eastAsia="zh-CN"/>
              </w:rPr>
              <w:t>的银行保函（有效期为验收合格之日起1年）后，30个日历日内采购人向供应商支付总合同总价50%。银行保函待保修期满后若货物无质量问题的，该银行保函自动失效，供应商可取回该保函原件。</w:t>
            </w:r>
          </w:p>
        </w:tc>
      </w:tr>
      <w:tr w14:paraId="0C2269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408" w:type="dxa"/>
            <w:gridSpan w:val="3"/>
            <w:vAlign w:val="center"/>
          </w:tcPr>
          <w:p w14:paraId="16CF3F9F">
            <w:pPr>
              <w:pStyle w:val="4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p w14:paraId="1ECD6A03">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除本招标文件另有规定外，招标文件中出现的类似于“近三年”或“前三年”、“近五年”或“前五年”均指递交投标文件</w:t>
            </w:r>
            <w:r>
              <w:rPr>
                <w:rFonts w:hint="eastAsia" w:ascii="宋体" w:hAnsi="宋体" w:eastAsia="宋体" w:cs="宋体"/>
                <w:color w:val="auto"/>
                <w:sz w:val="24"/>
                <w:szCs w:val="24"/>
                <w:highlight w:val="none"/>
                <w:lang w:val="en-US" w:eastAsia="zh-CN"/>
              </w:rPr>
              <w:t>截止</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之</w:t>
            </w:r>
            <w:r>
              <w:rPr>
                <w:rFonts w:hint="eastAsia" w:ascii="宋体" w:hAnsi="宋体" w:eastAsia="宋体" w:cs="宋体"/>
                <w:color w:val="auto"/>
                <w:sz w:val="24"/>
                <w:szCs w:val="24"/>
                <w:highlight w:val="none"/>
              </w:rPr>
              <w:t>前三年或前五年，以此类推。如：递交投标文件时间为  年  月  日，则“近三年”是指  年  月  日至  年  月  日。</w:t>
            </w:r>
          </w:p>
          <w:p w14:paraId="6F66C892">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本招标文件所称的“以上”、“以下”、“内”、“以内”，包括本数；所称的“不足”，不包括本数。</w:t>
            </w:r>
          </w:p>
        </w:tc>
      </w:tr>
    </w:tbl>
    <w:p w14:paraId="452C548F">
      <w:pPr>
        <w:rPr>
          <w:color w:val="auto"/>
          <w:highlight w:val="none"/>
        </w:rPr>
      </w:pPr>
      <w:r>
        <w:rPr>
          <w:color w:val="auto"/>
          <w:highlight w:val="none"/>
        </w:rPr>
        <w:br w:type="page"/>
      </w:r>
    </w:p>
    <w:p w14:paraId="410914FC">
      <w:pPr>
        <w:pStyle w:val="4"/>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en-US" w:eastAsia="zh-CN" w:bidi="ar-SA"/>
        </w:rPr>
      </w:pPr>
      <w:bookmarkStart w:id="117" w:name="_Toc155185869"/>
      <w:bookmarkStart w:id="118" w:name="_Toc163492821"/>
      <w:bookmarkStart w:id="119" w:name="_Toc28089"/>
      <w:r>
        <w:rPr>
          <w:rFonts w:hint="eastAsia" w:eastAsia="宋体" w:asciiTheme="majorHAnsi" w:hAnsiTheme="majorHAnsi" w:cstheme="majorBidi"/>
          <w:b/>
          <w:bCs/>
          <w:color w:val="auto"/>
          <w:kern w:val="2"/>
          <w:sz w:val="28"/>
          <w:szCs w:val="28"/>
          <w:highlight w:val="none"/>
          <w:lang w:val="en-US" w:eastAsia="zh-CN" w:bidi="ar-SA"/>
        </w:rPr>
        <w:t>二、投标人须知</w:t>
      </w:r>
      <w:bookmarkEnd w:id="117"/>
      <w:bookmarkEnd w:id="118"/>
      <w:bookmarkEnd w:id="119"/>
    </w:p>
    <w:p w14:paraId="604D77A9">
      <w:pPr>
        <w:pStyle w:val="5"/>
        <w:keepNext w:val="0"/>
        <w:keepLines w:val="0"/>
        <w:pageBreakBefore w:val="0"/>
        <w:widowControl w:val="0"/>
        <w:numPr>
          <w:ilvl w:val="0"/>
          <w:numId w:val="0"/>
        </w:numPr>
        <w:kinsoku/>
        <w:wordWrap/>
        <w:overflowPunct/>
        <w:topLinePunct w:val="0"/>
        <w:autoSpaceDE/>
        <w:autoSpaceDN/>
        <w:bidi w:val="0"/>
        <w:adjustRightInd/>
        <w:snapToGrid/>
        <w:spacing w:before="180" w:after="180" w:line="240" w:lineRule="auto"/>
        <w:ind w:left="420" w:leftChars="0" w:hanging="420" w:firstLineChars="0"/>
        <w:textAlignment w:val="auto"/>
        <w:rPr>
          <w:rFonts w:hint="eastAsia" w:ascii="宋体" w:hAnsi="宋体" w:eastAsia="宋体" w:cs="宋体"/>
          <w:b/>
          <w:bCs/>
          <w:color w:val="auto"/>
          <w:kern w:val="2"/>
          <w:sz w:val="24"/>
          <w:szCs w:val="32"/>
          <w:highlight w:val="none"/>
          <w:lang w:val="en-US" w:eastAsia="zh-CN" w:bidi="ar-SA"/>
        </w:rPr>
      </w:pPr>
      <w:bookmarkStart w:id="120" w:name="_Toc163492822"/>
      <w:bookmarkStart w:id="121" w:name="_Toc155185870"/>
      <w:r>
        <w:rPr>
          <w:rFonts w:hint="eastAsia" w:ascii="宋体" w:hAnsi="宋体" w:eastAsia="宋体" w:cs="宋体"/>
          <w:b/>
          <w:bCs/>
          <w:color w:val="auto"/>
          <w:kern w:val="2"/>
          <w:sz w:val="24"/>
          <w:szCs w:val="32"/>
          <w:highlight w:val="none"/>
          <w:lang w:val="en-US" w:eastAsia="zh-CN" w:bidi="ar-SA"/>
        </w:rPr>
        <w:t>（一）总则</w:t>
      </w:r>
      <w:bookmarkEnd w:id="120"/>
      <w:bookmarkEnd w:id="121"/>
    </w:p>
    <w:p w14:paraId="788765C9">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22" w:name="_Toc31233"/>
      <w:bookmarkStart w:id="123" w:name="_Toc109897532"/>
      <w:bookmarkStart w:id="124" w:name="_Toc109899631"/>
      <w:bookmarkStart w:id="125" w:name="_Toc163492823"/>
      <w:bookmarkStart w:id="126" w:name="_Toc109900469"/>
      <w:bookmarkStart w:id="127" w:name="_Toc109900050"/>
      <w:bookmarkStart w:id="128" w:name="_Toc155095689"/>
      <w:r>
        <w:rPr>
          <w:rFonts w:hint="eastAsia" w:ascii="宋体" w:hAnsi="宋体" w:eastAsia="宋体" w:cs="宋体"/>
          <w:b/>
          <w:bCs/>
          <w:color w:val="auto"/>
          <w:kern w:val="2"/>
          <w:sz w:val="24"/>
          <w:szCs w:val="28"/>
          <w:highlight w:val="none"/>
          <w:lang w:val="en-US" w:eastAsia="zh-CN" w:bidi="ar-SA"/>
        </w:rPr>
        <w:t>1.适用范围</w:t>
      </w:r>
      <w:bookmarkEnd w:id="122"/>
      <w:bookmarkEnd w:id="123"/>
      <w:bookmarkEnd w:id="124"/>
      <w:bookmarkEnd w:id="125"/>
      <w:bookmarkEnd w:id="126"/>
      <w:bookmarkEnd w:id="127"/>
      <w:bookmarkEnd w:id="128"/>
    </w:p>
    <w:p w14:paraId="38963635">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1.1本招标文件仅适用于本项目的采购活动。</w:t>
      </w:r>
    </w:p>
    <w:p w14:paraId="34F08411">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29" w:name="_Toc163492824"/>
      <w:r>
        <w:rPr>
          <w:rFonts w:hint="eastAsia" w:ascii="宋体" w:hAnsi="宋体" w:eastAsia="宋体" w:cs="宋体"/>
          <w:b/>
          <w:bCs/>
          <w:color w:val="auto"/>
          <w:kern w:val="2"/>
          <w:sz w:val="24"/>
          <w:szCs w:val="28"/>
          <w:highlight w:val="none"/>
          <w:lang w:val="en-US" w:eastAsia="zh-CN" w:bidi="ar-SA"/>
        </w:rPr>
        <w:t>2.基本定义</w:t>
      </w:r>
      <w:bookmarkEnd w:id="129"/>
    </w:p>
    <w:p w14:paraId="768D70C2">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2.1根据《中华人民共和国政府采购法》及其实施条例等有关法律、法规和规章的规定，制定本招标文件。</w:t>
      </w:r>
    </w:p>
    <w:p w14:paraId="342EC44E">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eastAsia="宋体"/>
          <w:color w:val="auto"/>
          <w:sz w:val="24"/>
          <w:highlight w:val="none"/>
        </w:rPr>
      </w:pPr>
      <w:r>
        <w:rPr>
          <w:rFonts w:hint="eastAsia" w:eastAsia="宋体"/>
          <w:color w:val="auto"/>
          <w:sz w:val="24"/>
          <w:highlight w:val="none"/>
        </w:rPr>
        <w:t>2.2采购人：</w:t>
      </w:r>
      <w:r>
        <w:rPr>
          <w:rFonts w:hint="eastAsia" w:ascii="宋体" w:hAnsi="宋体" w:eastAsia="宋体" w:cs="宋体"/>
          <w:color w:val="auto"/>
          <w:kern w:val="0"/>
          <w:sz w:val="24"/>
          <w:szCs w:val="24"/>
          <w:highlight w:val="none"/>
          <w:lang w:val="en-US" w:eastAsia="zh-CN" w:bidi="ar"/>
        </w:rPr>
        <w:t>指依法进行政府采购的国家机关、事业单位、团体组织</w:t>
      </w:r>
      <w:r>
        <w:rPr>
          <w:rFonts w:hint="eastAsia" w:eastAsia="宋体"/>
          <w:color w:val="auto"/>
          <w:sz w:val="24"/>
          <w:highlight w:val="none"/>
        </w:rPr>
        <w:t>。</w:t>
      </w:r>
    </w:p>
    <w:p w14:paraId="429A3EF6">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eastAsia="宋体"/>
          <w:color w:val="auto"/>
          <w:sz w:val="24"/>
          <w:highlight w:val="none"/>
        </w:rPr>
      </w:pPr>
      <w:r>
        <w:rPr>
          <w:rFonts w:hint="eastAsia" w:eastAsia="宋体"/>
          <w:color w:val="auto"/>
          <w:sz w:val="24"/>
          <w:highlight w:val="none"/>
        </w:rPr>
        <w:t>2.3采购代理机构：</w:t>
      </w:r>
      <w:r>
        <w:rPr>
          <w:rFonts w:hint="eastAsia" w:ascii="宋体" w:hAnsi="宋体" w:eastAsia="宋体" w:cs="宋体"/>
          <w:color w:val="auto"/>
          <w:kern w:val="0"/>
          <w:sz w:val="24"/>
          <w:szCs w:val="24"/>
          <w:highlight w:val="none"/>
          <w:lang w:val="en-US" w:eastAsia="zh-CN" w:bidi="ar"/>
        </w:rPr>
        <w:t>指依法进行政府采购的国家机关、事业单位、团体组织</w:t>
      </w:r>
      <w:r>
        <w:rPr>
          <w:rFonts w:hint="eastAsia" w:eastAsia="宋体"/>
          <w:color w:val="auto"/>
          <w:sz w:val="24"/>
          <w:highlight w:val="none"/>
          <w:lang w:val="en-US" w:eastAsia="zh-CN"/>
        </w:rPr>
        <w:t>委托的采购代理机构</w:t>
      </w:r>
      <w:r>
        <w:rPr>
          <w:rFonts w:hint="eastAsia" w:eastAsia="宋体"/>
          <w:color w:val="auto"/>
          <w:sz w:val="24"/>
          <w:highlight w:val="none"/>
        </w:rPr>
        <w:t>。</w:t>
      </w:r>
    </w:p>
    <w:p w14:paraId="26D50742">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2.4政府采购监督管理部门：各级人民政府财政部门是负责政府采购监督管理的部门，依法履行对政府采购活动的监督管理职责。各级人民政府其他有关部门依法履行与政府采购活动有关的监督管理职责。</w:t>
      </w:r>
    </w:p>
    <w:p w14:paraId="18E21DAA">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2.5 核心产品见</w:t>
      </w:r>
      <w:r>
        <w:rPr>
          <w:rFonts w:hint="eastAsia" w:eastAsia="宋体"/>
          <w:color w:val="auto"/>
          <w:sz w:val="24"/>
          <w:highlight w:val="none"/>
        </w:rPr>
        <w:t>“投标人须知前附表”</w:t>
      </w:r>
      <w:r>
        <w:rPr>
          <w:rFonts w:hint="eastAsia" w:eastAsia="宋体"/>
          <w:color w:val="auto"/>
          <w:sz w:val="24"/>
          <w:highlight w:val="none"/>
          <w:lang w:val="en-US" w:eastAsia="zh-CN"/>
        </w:rPr>
        <w:t>。</w:t>
      </w:r>
    </w:p>
    <w:p w14:paraId="6557BF30">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2.6是否属于</w:t>
      </w:r>
      <w:r>
        <w:rPr>
          <w:rFonts w:ascii="FZShuSong-Z01" w:hAnsi="FZShuSong-Z01" w:eastAsia="宋体" w:cs="FZShuSong-Z01"/>
          <w:color w:val="auto"/>
          <w:kern w:val="0"/>
          <w:sz w:val="24"/>
          <w:szCs w:val="24"/>
          <w:highlight w:val="none"/>
          <w:lang w:val="en-US" w:eastAsia="zh-CN" w:bidi="ar"/>
        </w:rPr>
        <w:t>科研仪器设备</w:t>
      </w:r>
      <w:r>
        <w:rPr>
          <w:rFonts w:hint="eastAsia" w:ascii="FZShuSong-Z01" w:hAnsi="FZShuSong-Z01" w:eastAsia="宋体" w:cs="FZShuSong-Z01"/>
          <w:color w:val="auto"/>
          <w:kern w:val="0"/>
          <w:sz w:val="24"/>
          <w:szCs w:val="24"/>
          <w:highlight w:val="none"/>
          <w:lang w:val="en-US" w:eastAsia="zh-CN" w:bidi="ar"/>
        </w:rPr>
        <w:t>采购</w:t>
      </w:r>
      <w:r>
        <w:rPr>
          <w:rFonts w:hint="eastAsia" w:eastAsia="宋体"/>
          <w:color w:val="auto"/>
          <w:sz w:val="24"/>
          <w:highlight w:val="none"/>
          <w:lang w:val="en-US" w:eastAsia="zh-CN"/>
        </w:rPr>
        <w:t>见</w:t>
      </w:r>
      <w:r>
        <w:rPr>
          <w:rFonts w:hint="eastAsia" w:eastAsia="宋体"/>
          <w:color w:val="auto"/>
          <w:sz w:val="24"/>
          <w:highlight w:val="none"/>
        </w:rPr>
        <w:t>“</w:t>
      </w:r>
      <w:r>
        <w:rPr>
          <w:rFonts w:hint="eastAsia" w:eastAsia="宋体"/>
          <w:color w:val="auto"/>
          <w:sz w:val="24"/>
          <w:highlight w:val="none"/>
          <w:lang w:val="en-US" w:eastAsia="zh-CN"/>
        </w:rPr>
        <w:t>投标人</w:t>
      </w:r>
      <w:r>
        <w:rPr>
          <w:rFonts w:hint="eastAsia" w:eastAsia="宋体"/>
          <w:color w:val="auto"/>
          <w:sz w:val="24"/>
          <w:highlight w:val="none"/>
        </w:rPr>
        <w:t>须知前附表”</w:t>
      </w:r>
      <w:r>
        <w:rPr>
          <w:rFonts w:hint="eastAsia" w:eastAsia="宋体"/>
          <w:color w:val="auto"/>
          <w:sz w:val="24"/>
          <w:highlight w:val="none"/>
          <w:lang w:val="en-US" w:eastAsia="zh-CN"/>
        </w:rPr>
        <w:t>。</w:t>
      </w:r>
    </w:p>
    <w:p w14:paraId="214DD75F">
      <w:pPr>
        <w:ind w:firstLine="480" w:firstLineChars="200"/>
        <w:rPr>
          <w:rFonts w:eastAsia="宋体"/>
          <w:color w:val="auto"/>
          <w:sz w:val="24"/>
          <w:highlight w:val="none"/>
        </w:rPr>
      </w:pPr>
      <w:r>
        <w:rPr>
          <w:rFonts w:hint="eastAsia" w:eastAsia="宋体"/>
          <w:iCs/>
          <w:color w:val="auto"/>
          <w:sz w:val="24"/>
          <w:highlight w:val="none"/>
          <w:shd w:val="clear" w:color="auto" w:fill="FFFFFF" w:themeFill="background1"/>
        </w:rPr>
        <w:t>2.</w:t>
      </w:r>
      <w:r>
        <w:rPr>
          <w:rFonts w:hint="eastAsia" w:eastAsia="宋体"/>
          <w:iCs/>
          <w:color w:val="auto"/>
          <w:sz w:val="24"/>
          <w:highlight w:val="none"/>
          <w:shd w:val="clear" w:color="auto" w:fill="FFFFFF" w:themeFill="background1"/>
          <w:lang w:val="en-US" w:eastAsia="zh-CN"/>
        </w:rPr>
        <w:t>7</w:t>
      </w:r>
      <w:r>
        <w:rPr>
          <w:rFonts w:hint="eastAsia" w:eastAsia="宋体"/>
          <w:iCs/>
          <w:color w:val="auto"/>
          <w:sz w:val="24"/>
          <w:highlight w:val="none"/>
          <w:shd w:val="clear" w:color="auto" w:fill="FFFFFF" w:themeFill="background1"/>
        </w:rPr>
        <w:t>投标人（也称“供应商”、“申请人”）：指向采购人提供货物、工程或者服务的法人、其他组织或者自然人。</w:t>
      </w:r>
      <w:r>
        <w:rPr>
          <w:rFonts w:hint="eastAsia" w:eastAsia="宋体"/>
          <w:color w:val="auto"/>
          <w:sz w:val="24"/>
          <w:highlight w:val="none"/>
        </w:rPr>
        <w:t>分支机构不得参加政府采购活动，但银行、保险、石油石化、电力、电信等</w:t>
      </w:r>
      <w:r>
        <w:rPr>
          <w:rFonts w:hint="eastAsia" w:eastAsia="宋体"/>
          <w:color w:val="auto"/>
          <w:sz w:val="24"/>
          <w:highlight w:val="none"/>
          <w:lang w:val="en-US" w:eastAsia="zh-CN"/>
        </w:rPr>
        <w:t>有</w:t>
      </w:r>
      <w:r>
        <w:rPr>
          <w:rFonts w:hint="eastAsia" w:eastAsia="宋体"/>
          <w:color w:val="auto"/>
          <w:sz w:val="24"/>
          <w:highlight w:val="none"/>
        </w:rPr>
        <w:t>行业特殊</w:t>
      </w:r>
      <w:r>
        <w:rPr>
          <w:rFonts w:hint="eastAsia" w:eastAsia="宋体"/>
          <w:color w:val="auto"/>
          <w:sz w:val="24"/>
          <w:highlight w:val="none"/>
          <w:lang w:val="en-US" w:eastAsia="zh-CN"/>
        </w:rPr>
        <w:t>情况的</w:t>
      </w:r>
      <w:r>
        <w:rPr>
          <w:rFonts w:hint="eastAsia" w:eastAsia="宋体"/>
          <w:color w:val="auto"/>
          <w:sz w:val="24"/>
          <w:highlight w:val="none"/>
        </w:rPr>
        <w:t>除外。</w:t>
      </w:r>
      <w:r>
        <w:rPr>
          <w:rFonts w:eastAsia="宋体"/>
          <w:color w:val="auto"/>
          <w:sz w:val="24"/>
          <w:highlight w:val="none"/>
        </w:rPr>
        <w:t>本项目的投标人须满足以下条件：</w:t>
      </w:r>
    </w:p>
    <w:p w14:paraId="2518C535">
      <w:pPr>
        <w:ind w:firstLine="480" w:firstLineChars="200"/>
        <w:rPr>
          <w:rFonts w:eastAsia="宋体"/>
          <w:color w:val="auto"/>
          <w:sz w:val="24"/>
          <w:highlight w:val="none"/>
        </w:rPr>
      </w:pPr>
      <w:r>
        <w:rPr>
          <w:rFonts w:hint="eastAsia" w:eastAsia="宋体"/>
          <w:color w:val="auto"/>
          <w:sz w:val="24"/>
          <w:highlight w:val="none"/>
        </w:rPr>
        <w:t>2.</w:t>
      </w:r>
      <w:r>
        <w:rPr>
          <w:rFonts w:hint="eastAsia" w:eastAsia="宋体"/>
          <w:color w:val="auto"/>
          <w:sz w:val="24"/>
          <w:highlight w:val="none"/>
          <w:lang w:val="en-US" w:eastAsia="zh-CN"/>
        </w:rPr>
        <w:t>7</w:t>
      </w:r>
      <w:r>
        <w:rPr>
          <w:rFonts w:eastAsia="宋体"/>
          <w:color w:val="auto"/>
          <w:sz w:val="24"/>
          <w:highlight w:val="none"/>
        </w:rPr>
        <w:t>.</w:t>
      </w:r>
      <w:r>
        <w:rPr>
          <w:rFonts w:hint="eastAsia" w:eastAsia="宋体"/>
          <w:color w:val="auto"/>
          <w:sz w:val="24"/>
          <w:highlight w:val="none"/>
        </w:rPr>
        <w:t>1</w:t>
      </w:r>
      <w:r>
        <w:rPr>
          <w:rFonts w:eastAsia="宋体"/>
          <w:color w:val="auto"/>
          <w:sz w:val="24"/>
          <w:highlight w:val="none"/>
        </w:rPr>
        <w:t>具备《中华人民共和国政府采购法》第二十二条规定的</w:t>
      </w:r>
      <w:r>
        <w:rPr>
          <w:rFonts w:hint="eastAsia" w:eastAsia="宋体"/>
          <w:color w:val="auto"/>
          <w:sz w:val="24"/>
          <w:highlight w:val="none"/>
        </w:rPr>
        <w:t>条件</w:t>
      </w:r>
      <w:r>
        <w:rPr>
          <w:rFonts w:eastAsia="宋体"/>
          <w:color w:val="auto"/>
          <w:sz w:val="24"/>
          <w:highlight w:val="none"/>
        </w:rPr>
        <w:t>，遵守本项目采购人本级和上级财政部门政府采购的有关规定。</w:t>
      </w:r>
    </w:p>
    <w:p w14:paraId="76745163">
      <w:pPr>
        <w:ind w:firstLine="480" w:firstLineChars="200"/>
        <w:rPr>
          <w:rFonts w:hint="eastAsia" w:eastAsia="宋体"/>
          <w:color w:val="auto"/>
          <w:sz w:val="24"/>
          <w:highlight w:val="none"/>
        </w:rPr>
      </w:pPr>
      <w:r>
        <w:rPr>
          <w:rFonts w:hint="eastAsia" w:eastAsia="宋体"/>
          <w:color w:val="auto"/>
          <w:sz w:val="24"/>
          <w:highlight w:val="none"/>
        </w:rPr>
        <w:t>2.</w:t>
      </w:r>
      <w:r>
        <w:rPr>
          <w:rFonts w:hint="eastAsia" w:eastAsia="宋体"/>
          <w:color w:val="auto"/>
          <w:sz w:val="24"/>
          <w:highlight w:val="none"/>
          <w:lang w:val="en-US" w:eastAsia="zh-CN"/>
        </w:rPr>
        <w:t>7</w:t>
      </w:r>
      <w:r>
        <w:rPr>
          <w:rFonts w:hint="eastAsia" w:eastAsia="宋体"/>
          <w:color w:val="auto"/>
          <w:sz w:val="24"/>
          <w:highlight w:val="none"/>
        </w:rPr>
        <w:t>.2以招标公告中发布的方式依法获得了本项目的招标文件。</w:t>
      </w:r>
    </w:p>
    <w:p w14:paraId="0DE24F0D">
      <w:pPr>
        <w:ind w:firstLine="480" w:firstLineChars="200"/>
        <w:rPr>
          <w:rFonts w:hint="eastAsia" w:eastAsia="宋体"/>
          <w:color w:val="auto"/>
          <w:sz w:val="24"/>
          <w:highlight w:val="none"/>
          <w:lang w:val="en-US" w:eastAsia="zh-CN"/>
        </w:rPr>
      </w:pPr>
      <w:r>
        <w:rPr>
          <w:rFonts w:hint="eastAsia" w:eastAsia="宋体"/>
          <w:color w:val="auto"/>
          <w:sz w:val="24"/>
          <w:highlight w:val="none"/>
          <w:lang w:val="en-US" w:eastAsia="zh-CN"/>
        </w:rPr>
        <w:t>2.7.3符合本招标文件规定并参加投标的供应商。</w:t>
      </w:r>
    </w:p>
    <w:p w14:paraId="5FC27D1B">
      <w:pPr>
        <w:spacing w:line="360" w:lineRule="auto"/>
        <w:ind w:firstLine="480" w:firstLineChars="200"/>
        <w:rPr>
          <w:rFonts w:hint="default" w:eastAsia="宋体"/>
          <w:color w:val="auto"/>
          <w:sz w:val="24"/>
          <w:highlight w:val="none"/>
          <w:lang w:val="en-US" w:eastAsia="zh-CN"/>
        </w:rPr>
      </w:pPr>
      <w:r>
        <w:rPr>
          <w:rFonts w:hint="eastAsia" w:eastAsia="宋体"/>
          <w:color w:val="auto"/>
          <w:sz w:val="24"/>
          <w:highlight w:val="none"/>
          <w:lang w:val="en-US" w:eastAsia="zh-CN"/>
        </w:rPr>
        <w:t>2.8</w:t>
      </w:r>
      <w:r>
        <w:rPr>
          <w:rFonts w:hint="eastAsia" w:eastAsia="宋体"/>
          <w:iCs/>
          <w:color w:val="auto"/>
          <w:sz w:val="24"/>
          <w:highlight w:val="none"/>
          <w:shd w:val="clear" w:color="auto" w:fill="FFFFFF" w:themeFill="background1"/>
        </w:rPr>
        <w:t>潜在投标人、潜在供应商</w:t>
      </w:r>
      <w:r>
        <w:rPr>
          <w:rFonts w:hint="eastAsia" w:eastAsia="宋体"/>
          <w:iCs/>
          <w:color w:val="auto"/>
          <w:sz w:val="24"/>
          <w:highlight w:val="none"/>
          <w:shd w:val="clear" w:color="auto" w:fill="FFFFFF" w:themeFill="background1"/>
          <w:lang w:eastAsia="zh-CN"/>
        </w:rPr>
        <w:t>：</w:t>
      </w:r>
      <w:r>
        <w:rPr>
          <w:rFonts w:hint="eastAsia" w:eastAsia="宋体"/>
          <w:iCs/>
          <w:color w:val="auto"/>
          <w:sz w:val="24"/>
          <w:highlight w:val="none"/>
          <w:shd w:val="clear" w:color="auto" w:fill="FFFFFF" w:themeFill="background1"/>
          <w:lang w:val="en-US" w:eastAsia="zh-CN"/>
        </w:rPr>
        <w:t>指</w:t>
      </w:r>
      <w:r>
        <w:rPr>
          <w:rFonts w:hint="eastAsia" w:eastAsia="宋体"/>
          <w:color w:val="auto"/>
          <w:sz w:val="24"/>
          <w:highlight w:val="none"/>
          <w:lang w:val="en-US" w:eastAsia="zh-CN"/>
        </w:rPr>
        <w:t>符合本招标文件规定的供应商。</w:t>
      </w:r>
    </w:p>
    <w:p w14:paraId="7BECD896">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30" w:name="_Toc163492825"/>
      <w:bookmarkStart w:id="131" w:name="_Toc140132758"/>
      <w:r>
        <w:rPr>
          <w:rFonts w:hint="eastAsia" w:ascii="宋体" w:hAnsi="宋体" w:eastAsia="宋体" w:cs="宋体"/>
          <w:b/>
          <w:bCs/>
          <w:color w:val="auto"/>
          <w:kern w:val="2"/>
          <w:sz w:val="24"/>
          <w:szCs w:val="28"/>
          <w:highlight w:val="none"/>
          <w:lang w:val="en-US" w:eastAsia="zh-CN" w:bidi="ar-SA"/>
        </w:rPr>
        <w:t>3.资金来源</w:t>
      </w:r>
      <w:bookmarkEnd w:id="130"/>
      <w:bookmarkEnd w:id="131"/>
    </w:p>
    <w:p w14:paraId="76E8C14F">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3.1资金来源：</w:t>
      </w:r>
      <w:r>
        <w:rPr>
          <w:rFonts w:hint="eastAsia" w:eastAsia="宋体"/>
          <w:color w:val="auto"/>
          <w:sz w:val="24"/>
          <w:highlight w:val="none"/>
          <w:lang w:val="en-US" w:eastAsia="zh-CN"/>
        </w:rPr>
        <w:t>为财政性资金即</w:t>
      </w:r>
      <w:r>
        <w:rPr>
          <w:rFonts w:hint="eastAsia" w:eastAsia="宋体"/>
          <w:color w:val="auto"/>
          <w:sz w:val="24"/>
          <w:highlight w:val="none"/>
        </w:rPr>
        <w:t>纳入预算管理的资金</w:t>
      </w:r>
      <w:r>
        <w:rPr>
          <w:rFonts w:hint="eastAsia" w:eastAsia="宋体"/>
          <w:color w:val="auto"/>
          <w:sz w:val="24"/>
          <w:highlight w:val="none"/>
          <w:lang w:eastAsia="zh-CN"/>
        </w:rPr>
        <w:t>。</w:t>
      </w:r>
      <w:r>
        <w:rPr>
          <w:rFonts w:hint="eastAsia" w:eastAsia="宋体"/>
          <w:color w:val="auto"/>
          <w:sz w:val="24"/>
          <w:highlight w:val="none"/>
        </w:rPr>
        <w:t>以财政性资金作为还款来源的借贷资金，视同财政性资金。财政性资金与非财政性资金无法分割采购的，统一适用《中华人民共和国政府采购法》及其实施条例。</w:t>
      </w:r>
    </w:p>
    <w:p w14:paraId="17722C40">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32" w:name="_Toc163492826"/>
      <w:bookmarkStart w:id="133" w:name="_Toc140132760"/>
      <w:r>
        <w:rPr>
          <w:rFonts w:hint="eastAsia" w:ascii="宋体" w:hAnsi="宋体" w:eastAsia="宋体" w:cs="宋体"/>
          <w:b/>
          <w:bCs/>
          <w:color w:val="auto"/>
          <w:kern w:val="2"/>
          <w:sz w:val="24"/>
          <w:szCs w:val="28"/>
          <w:highlight w:val="none"/>
          <w:lang w:val="en-US" w:eastAsia="zh-CN" w:bidi="ar-SA"/>
        </w:rPr>
        <w:t>4.投标人资格要求</w:t>
      </w:r>
      <w:bookmarkEnd w:id="132"/>
      <w:bookmarkEnd w:id="133"/>
    </w:p>
    <w:p w14:paraId="522AD9C1">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4.1投标人资格要求：见“</w:t>
      </w:r>
      <w:r>
        <w:rPr>
          <w:rFonts w:hint="eastAsia" w:eastAsia="宋体"/>
          <w:color w:val="auto"/>
          <w:sz w:val="24"/>
          <w:highlight w:val="none"/>
          <w:lang w:val="en-US" w:eastAsia="zh-CN"/>
        </w:rPr>
        <w:t>第一章 招标公告</w:t>
      </w:r>
      <w:r>
        <w:rPr>
          <w:rFonts w:hint="eastAsia" w:eastAsia="宋体"/>
          <w:color w:val="auto"/>
          <w:sz w:val="24"/>
          <w:highlight w:val="none"/>
        </w:rPr>
        <w:t>”；</w:t>
      </w:r>
    </w:p>
    <w:p w14:paraId="3B57853B">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en-US" w:eastAsia="zh-CN"/>
        </w:rPr>
        <w:t>4</w:t>
      </w:r>
      <w:r>
        <w:rPr>
          <w:rFonts w:hint="eastAsia" w:eastAsia="宋体"/>
          <w:color w:val="auto"/>
          <w:sz w:val="24"/>
          <w:highlight w:val="none"/>
          <w:lang w:val="zh-CN" w:eastAsia="zh-CN"/>
        </w:rPr>
        <w:t>.</w:t>
      </w:r>
      <w:r>
        <w:rPr>
          <w:rFonts w:hint="eastAsia" w:eastAsia="宋体"/>
          <w:color w:val="auto"/>
          <w:sz w:val="24"/>
          <w:highlight w:val="none"/>
          <w:lang w:val="en-US" w:eastAsia="zh-CN"/>
        </w:rPr>
        <w:t>2</w:t>
      </w:r>
      <w:r>
        <w:rPr>
          <w:rFonts w:hint="eastAsia" w:eastAsia="宋体"/>
          <w:color w:val="auto"/>
          <w:sz w:val="24"/>
          <w:highlight w:val="none"/>
          <w:lang w:val="zh-CN" w:eastAsia="zh-CN"/>
        </w:rPr>
        <w:t>“</w:t>
      </w:r>
      <w:r>
        <w:rPr>
          <w:rFonts w:hint="eastAsia" w:eastAsia="宋体"/>
          <w:color w:val="auto"/>
          <w:sz w:val="24"/>
          <w:highlight w:val="none"/>
          <w:lang w:val="en-US" w:eastAsia="zh-CN"/>
        </w:rPr>
        <w:t>第一章 招标公告</w:t>
      </w:r>
      <w:r>
        <w:rPr>
          <w:rFonts w:hint="eastAsia" w:eastAsia="宋体"/>
          <w:color w:val="auto"/>
          <w:sz w:val="24"/>
          <w:highlight w:val="none"/>
          <w:lang w:val="zh-CN" w:eastAsia="zh-CN"/>
        </w:rPr>
        <w:t>”规定接受联合体投标的，还应遵守以下规定：</w:t>
      </w:r>
    </w:p>
    <w:p w14:paraId="512308FF">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eastAsia="宋体"/>
          <w:color w:val="auto"/>
          <w:sz w:val="24"/>
          <w:highlight w:val="none"/>
          <w:lang w:val="en-US" w:eastAsia="zh-CN"/>
        </w:rPr>
        <w:t>4</w:t>
      </w:r>
      <w:r>
        <w:rPr>
          <w:rFonts w:hint="eastAsia" w:eastAsia="宋体"/>
          <w:color w:val="auto"/>
          <w:sz w:val="24"/>
          <w:highlight w:val="none"/>
          <w:lang w:val="zh-CN" w:eastAsia="zh-CN"/>
        </w:rPr>
        <w:t>.</w:t>
      </w:r>
      <w:r>
        <w:rPr>
          <w:rFonts w:hint="eastAsia" w:eastAsia="宋体"/>
          <w:color w:val="auto"/>
          <w:sz w:val="24"/>
          <w:highlight w:val="none"/>
          <w:lang w:val="en-US" w:eastAsia="zh-CN"/>
        </w:rPr>
        <w:t>2.</w:t>
      </w:r>
      <w:r>
        <w:rPr>
          <w:rFonts w:hint="eastAsia" w:eastAsia="宋体"/>
          <w:color w:val="auto"/>
          <w:sz w:val="24"/>
          <w:highlight w:val="none"/>
          <w:lang w:val="zh-CN" w:eastAsia="zh-CN"/>
        </w:rPr>
        <w:t>1两个以上的自然人、法人或者其他组织可以组成一个联合体，以一个</w:t>
      </w:r>
      <w:r>
        <w:rPr>
          <w:rFonts w:hint="eastAsia" w:eastAsia="宋体"/>
          <w:color w:val="auto"/>
          <w:sz w:val="24"/>
          <w:highlight w:val="none"/>
          <w:lang w:val="en-US" w:eastAsia="zh-CN"/>
        </w:rPr>
        <w:t>投标人</w:t>
      </w:r>
      <w:r>
        <w:rPr>
          <w:rFonts w:hint="eastAsia" w:eastAsia="宋体"/>
          <w:color w:val="auto"/>
          <w:sz w:val="24"/>
          <w:highlight w:val="none"/>
          <w:lang w:val="zh-CN" w:eastAsia="zh-CN"/>
        </w:rPr>
        <w:t>的身份共同参加政府采购。</w:t>
      </w:r>
      <w:r>
        <w:rPr>
          <w:rFonts w:hint="eastAsia" w:ascii="宋体" w:hAnsi="宋体" w:eastAsia="宋体" w:cstheme="minorBidi"/>
          <w:iCs/>
          <w:color w:val="auto"/>
          <w:kern w:val="2"/>
          <w:sz w:val="24"/>
          <w:szCs w:val="22"/>
          <w:highlight w:val="none"/>
          <w:shd w:val="clear" w:color="auto" w:fill="FFFFFF" w:themeFill="background1"/>
          <w:lang w:val="zh-CN" w:eastAsia="zh-CN" w:bidi="ar-SA"/>
        </w:rPr>
        <w:t>以联合体形式进行政府采购的，参加联合体的供应商均应当具备《</w:t>
      </w:r>
      <w:r>
        <w:rPr>
          <w:rFonts w:hint="eastAsia" w:eastAsia="宋体"/>
          <w:color w:val="auto"/>
          <w:sz w:val="24"/>
          <w:highlight w:val="none"/>
        </w:rPr>
        <w:t>中华人民共和国政府采购法</w:t>
      </w:r>
      <w:r>
        <w:rPr>
          <w:rFonts w:hint="eastAsia" w:ascii="宋体" w:hAnsi="宋体" w:eastAsia="宋体" w:cstheme="minorBidi"/>
          <w:iCs/>
          <w:color w:val="auto"/>
          <w:kern w:val="2"/>
          <w:sz w:val="24"/>
          <w:szCs w:val="22"/>
          <w:highlight w:val="none"/>
          <w:shd w:val="clear" w:color="auto" w:fill="FFFFFF" w:themeFill="background1"/>
          <w:lang w:val="zh-CN" w:eastAsia="zh-CN" w:bidi="ar-SA"/>
        </w:rPr>
        <w:t>》第二十二条规定的条件。</w:t>
      </w:r>
    </w:p>
    <w:p w14:paraId="7EFB49B3">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4</w:t>
      </w:r>
      <w:r>
        <w:rPr>
          <w:rFonts w:hint="eastAsia" w:ascii="宋体" w:hAnsi="宋体" w:eastAsia="宋体" w:cstheme="minorBidi"/>
          <w:iCs/>
          <w:color w:val="auto"/>
          <w:kern w:val="2"/>
          <w:sz w:val="24"/>
          <w:szCs w:val="22"/>
          <w:highlight w:val="none"/>
          <w:shd w:val="clear" w:color="auto" w:fill="FFFFFF" w:themeFill="background1"/>
          <w:lang w:val="zh-CN"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2.</w:t>
      </w:r>
      <w:r>
        <w:rPr>
          <w:rFonts w:hint="eastAsia" w:eastAsia="宋体" w:cstheme="minorBidi"/>
          <w:iCs/>
          <w:color w:val="auto"/>
          <w:kern w:val="2"/>
          <w:sz w:val="24"/>
          <w:szCs w:val="22"/>
          <w:highlight w:val="none"/>
          <w:shd w:val="clear" w:color="auto" w:fill="FFFFFF" w:themeFill="background1"/>
          <w:lang w:val="en-US" w:eastAsia="zh-CN" w:bidi="ar-SA"/>
        </w:rPr>
        <w:t>2</w:t>
      </w:r>
      <w:r>
        <w:rPr>
          <w:rFonts w:hint="eastAsia" w:ascii="宋体" w:hAnsi="宋体" w:eastAsia="宋体" w:cstheme="minorBidi"/>
          <w:iCs/>
          <w:color w:val="auto"/>
          <w:kern w:val="2"/>
          <w:sz w:val="24"/>
          <w:szCs w:val="22"/>
          <w:highlight w:val="none"/>
          <w:shd w:val="clear" w:color="auto" w:fill="FFFFFF" w:themeFill="background1"/>
          <w:lang w:val="zh-CN" w:eastAsia="zh-CN" w:bidi="ar-SA"/>
        </w:rPr>
        <w:t>联合体各方应按招标文件提供的格式签订联合</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体</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协议</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书</w:t>
      </w:r>
      <w:r>
        <w:rPr>
          <w:rFonts w:hint="eastAsia" w:ascii="宋体" w:hAnsi="宋体" w:eastAsia="宋体" w:cstheme="minorBidi"/>
          <w:iCs/>
          <w:color w:val="auto"/>
          <w:kern w:val="2"/>
          <w:sz w:val="24"/>
          <w:szCs w:val="22"/>
          <w:highlight w:val="none"/>
          <w:shd w:val="clear" w:color="auto" w:fill="FFFFFF" w:themeFill="background1"/>
          <w:lang w:val="zh-CN" w:eastAsia="zh-CN" w:bidi="ar-SA"/>
        </w:rPr>
        <w:t>，明确约定联合体各方承担的工作和相应的责任，并将联合</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体</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协议</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书</w:t>
      </w:r>
      <w:r>
        <w:rPr>
          <w:rFonts w:hint="eastAsia" w:ascii="宋体" w:hAnsi="宋体" w:eastAsia="宋体" w:cstheme="minorBidi"/>
          <w:iCs/>
          <w:color w:val="auto"/>
          <w:kern w:val="2"/>
          <w:sz w:val="24"/>
          <w:szCs w:val="22"/>
          <w:highlight w:val="none"/>
          <w:shd w:val="clear" w:color="auto" w:fill="FFFFFF" w:themeFill="background1"/>
          <w:lang w:val="zh-CN" w:eastAsia="zh-CN" w:bidi="ar-SA"/>
        </w:rPr>
        <w:t>作为投标文件的一部分提交，该协议书对联合</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体所有成员</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均具有法律约束力。</w:t>
      </w:r>
    </w:p>
    <w:p w14:paraId="5343E5B5">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4.2.</w:t>
      </w:r>
      <w:r>
        <w:rPr>
          <w:rFonts w:hint="eastAsia" w:eastAsia="宋体" w:cstheme="minorBidi"/>
          <w:iCs/>
          <w:color w:val="auto"/>
          <w:kern w:val="2"/>
          <w:sz w:val="24"/>
          <w:szCs w:val="22"/>
          <w:highlight w:val="none"/>
          <w:shd w:val="clear" w:color="auto" w:fill="FFFFFF" w:themeFill="background1"/>
          <w:lang w:val="en-US" w:eastAsia="zh-CN" w:bidi="ar-SA"/>
        </w:rPr>
        <w:t>3</w:t>
      </w:r>
      <w:r>
        <w:rPr>
          <w:rFonts w:hint="eastAsia" w:ascii="宋体" w:hAnsi="宋体" w:eastAsia="宋体" w:cstheme="minorBidi"/>
          <w:iCs/>
          <w:color w:val="auto"/>
          <w:kern w:val="2"/>
          <w:sz w:val="24"/>
          <w:szCs w:val="22"/>
          <w:highlight w:val="none"/>
          <w:shd w:val="clear" w:color="auto" w:fill="FFFFFF" w:themeFill="background1"/>
          <w:lang w:val="zh-CN" w:eastAsia="zh-CN" w:bidi="ar-SA"/>
        </w:rPr>
        <w:t>联合体中有同类资质的供应商按照联合体分工承担相同工作的，应当按照资质等级较低的供应商确定资质等级。</w:t>
      </w:r>
    </w:p>
    <w:p w14:paraId="21D444C4">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4.2</w:t>
      </w:r>
      <w:r>
        <w:rPr>
          <w:rFonts w:hint="eastAsia" w:ascii="宋体" w:hAnsi="宋体" w:eastAsia="宋体" w:cstheme="minorBidi"/>
          <w:iCs/>
          <w:color w:val="auto"/>
          <w:kern w:val="2"/>
          <w:sz w:val="24"/>
          <w:szCs w:val="22"/>
          <w:highlight w:val="none"/>
          <w:shd w:val="clear" w:color="auto" w:fill="FFFFFF" w:themeFill="background1"/>
          <w:lang w:val="zh-CN" w:eastAsia="zh-CN" w:bidi="ar-SA"/>
        </w:rPr>
        <w:t>.</w:t>
      </w:r>
      <w:r>
        <w:rPr>
          <w:rFonts w:hint="eastAsia" w:eastAsia="宋体" w:cstheme="minorBidi"/>
          <w:iCs/>
          <w:color w:val="auto"/>
          <w:kern w:val="2"/>
          <w:sz w:val="24"/>
          <w:szCs w:val="22"/>
          <w:highlight w:val="none"/>
          <w:shd w:val="clear" w:color="auto" w:fill="FFFFFF" w:themeFill="background1"/>
          <w:lang w:val="en-US" w:eastAsia="zh-CN" w:bidi="ar-SA"/>
        </w:rPr>
        <w:t>4</w:t>
      </w:r>
      <w:r>
        <w:rPr>
          <w:rFonts w:hint="eastAsia" w:ascii="宋体" w:hAnsi="宋体" w:eastAsia="宋体" w:cstheme="minorBidi"/>
          <w:iCs/>
          <w:color w:val="auto"/>
          <w:kern w:val="2"/>
          <w:sz w:val="24"/>
          <w:szCs w:val="22"/>
          <w:highlight w:val="none"/>
          <w:shd w:val="clear" w:color="auto" w:fill="FFFFFF" w:themeFill="background1"/>
          <w:lang w:val="zh-CN" w:eastAsia="zh-CN" w:bidi="ar-SA"/>
        </w:rPr>
        <w:t>以联合体形式参加政府采购活动的，联合体各方不得再单独参加或者与其他供应商另外组成联合体参加</w:t>
      </w:r>
      <w:r>
        <w:rPr>
          <w:rFonts w:hint="eastAsia" w:ascii="宋体" w:hAnsi="宋体" w:eastAsia="宋体" w:cstheme="minorBidi"/>
          <w:iCs/>
          <w:color w:val="auto"/>
          <w:kern w:val="2"/>
          <w:sz w:val="24"/>
          <w:szCs w:val="22"/>
          <w:highlight w:val="none"/>
          <w:shd w:val="clear" w:color="auto" w:fill="FFFFFF" w:themeFill="background1"/>
          <w:lang w:val="en-US" w:eastAsia="zh-CN" w:bidi="ar-SA"/>
        </w:rPr>
        <w:t>同一合同项下的</w:t>
      </w:r>
      <w:r>
        <w:rPr>
          <w:rFonts w:hint="eastAsia" w:ascii="宋体" w:hAnsi="宋体" w:eastAsia="宋体" w:cstheme="minorBidi"/>
          <w:iCs/>
          <w:color w:val="auto"/>
          <w:kern w:val="2"/>
          <w:sz w:val="24"/>
          <w:szCs w:val="22"/>
          <w:highlight w:val="none"/>
          <w:shd w:val="clear" w:color="auto" w:fill="FFFFFF" w:themeFill="background1"/>
          <w:lang w:val="zh-CN" w:eastAsia="zh-CN" w:bidi="ar-SA"/>
        </w:rPr>
        <w:t>投标，否则相关投标将被认定为</w:t>
      </w:r>
      <w:r>
        <w:rPr>
          <w:rFonts w:hint="eastAsia" w:ascii="宋体" w:hAnsi="宋体" w:eastAsia="宋体" w:cstheme="minorBidi"/>
          <w:b/>
          <w:bCs/>
          <w:iCs/>
          <w:color w:val="auto"/>
          <w:kern w:val="2"/>
          <w:sz w:val="24"/>
          <w:szCs w:val="22"/>
          <w:highlight w:val="none"/>
          <w:shd w:val="clear" w:color="auto" w:fill="FFFFFF" w:themeFill="background1"/>
          <w:lang w:val="zh-CN" w:eastAsia="zh-CN" w:bidi="ar-SA"/>
        </w:rPr>
        <w:t>投标无效</w:t>
      </w:r>
      <w:r>
        <w:rPr>
          <w:rFonts w:hint="eastAsia" w:ascii="宋体" w:hAnsi="宋体" w:eastAsia="宋体" w:cstheme="minorBidi"/>
          <w:iCs/>
          <w:color w:val="auto"/>
          <w:kern w:val="2"/>
          <w:sz w:val="24"/>
          <w:szCs w:val="22"/>
          <w:highlight w:val="none"/>
          <w:shd w:val="clear" w:color="auto" w:fill="FFFFFF" w:themeFill="background1"/>
          <w:lang w:val="zh-CN" w:eastAsia="zh-CN" w:bidi="ar-SA"/>
        </w:rPr>
        <w:t>。</w:t>
      </w:r>
    </w:p>
    <w:p w14:paraId="2E60D00D">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4.2</w:t>
      </w:r>
      <w:r>
        <w:rPr>
          <w:rFonts w:hint="eastAsia" w:ascii="宋体" w:hAnsi="宋体" w:eastAsia="宋体" w:cstheme="minorBidi"/>
          <w:iCs/>
          <w:color w:val="auto"/>
          <w:kern w:val="2"/>
          <w:sz w:val="24"/>
          <w:szCs w:val="22"/>
          <w:highlight w:val="none"/>
          <w:shd w:val="clear" w:color="auto" w:fill="FFFFFF" w:themeFill="background1"/>
          <w:lang w:val="zh-CN" w:eastAsia="zh-CN" w:bidi="ar-SA"/>
        </w:rPr>
        <w:t>.5大中型企业、其他自然人、法人或者非法人组织与小型、微型企业组成联合体共同参加投标</w:t>
      </w:r>
      <w:r>
        <w:rPr>
          <w:rFonts w:hint="eastAsia" w:ascii="宋体" w:hAnsi="宋体" w:eastAsia="宋体" w:cstheme="minorBidi"/>
          <w:iCs/>
          <w:color w:val="auto"/>
          <w:kern w:val="2"/>
          <w:sz w:val="24"/>
          <w:szCs w:val="22"/>
          <w:highlight w:val="none"/>
          <w:shd w:val="clear" w:color="auto" w:fill="FFFFFF" w:themeFill="background1"/>
          <w:lang w:val="en-US" w:eastAsia="zh-CN" w:bidi="ar-SA"/>
        </w:rPr>
        <w:t>的</w:t>
      </w:r>
      <w:r>
        <w:rPr>
          <w:rFonts w:hint="eastAsia" w:ascii="宋体" w:hAnsi="宋体" w:eastAsia="宋体" w:cstheme="minorBidi"/>
          <w:iCs/>
          <w:color w:val="auto"/>
          <w:kern w:val="2"/>
          <w:sz w:val="24"/>
          <w:szCs w:val="22"/>
          <w:highlight w:val="none"/>
          <w:shd w:val="clear" w:color="auto" w:fill="FFFFFF" w:themeFill="background1"/>
          <w:lang w:val="zh-CN" w:eastAsia="zh-CN" w:bidi="ar-SA"/>
        </w:rPr>
        <w:t>，联合</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体</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协议</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书</w:t>
      </w:r>
      <w:r>
        <w:rPr>
          <w:rFonts w:hint="eastAsia" w:ascii="宋体" w:hAnsi="宋体" w:eastAsia="宋体" w:cstheme="minorBidi"/>
          <w:iCs/>
          <w:color w:val="auto"/>
          <w:kern w:val="2"/>
          <w:sz w:val="24"/>
          <w:szCs w:val="22"/>
          <w:highlight w:val="none"/>
          <w:shd w:val="clear" w:color="auto" w:fill="FFFFFF" w:themeFill="background1"/>
          <w:lang w:val="zh-CN" w:eastAsia="zh-CN" w:bidi="ar-SA"/>
        </w:rPr>
        <w:t>中应写明小型、微型企业的合同金额占到联合</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体</w:t>
      </w:r>
      <w:r>
        <w:rPr>
          <w:rFonts w:hint="eastAsia" w:ascii="宋体" w:hAnsi="宋体" w:eastAsia="宋体" w:cstheme="minorBidi"/>
          <w:iCs/>
          <w:color w:val="auto"/>
          <w:kern w:val="2"/>
          <w:sz w:val="24"/>
          <w:szCs w:val="22"/>
          <w:highlight w:val="none"/>
          <w:shd w:val="clear" w:color="auto" w:fill="FFFFFF" w:themeFill="background1"/>
          <w:lang w:val="zh-CN" w:eastAsia="zh-CN" w:bidi="ar-SA"/>
        </w:rPr>
        <w:t>投标</w:t>
      </w:r>
      <w:r>
        <w:rPr>
          <w:rFonts w:hint="eastAsia" w:ascii="宋体" w:hAnsi="宋体" w:eastAsia="宋体" w:cstheme="minorBidi"/>
          <w:iCs/>
          <w:color w:val="auto"/>
          <w:kern w:val="2"/>
          <w:sz w:val="24"/>
          <w:szCs w:val="22"/>
          <w:highlight w:val="none"/>
          <w:shd w:val="clear" w:color="auto" w:fill="FFFFFF" w:themeFill="background1"/>
          <w:lang w:val="en-US" w:eastAsia="zh-CN" w:bidi="ar-SA"/>
        </w:rPr>
        <w:t>合同</w:t>
      </w:r>
      <w:r>
        <w:rPr>
          <w:rFonts w:hint="eastAsia" w:ascii="宋体" w:hAnsi="宋体" w:eastAsia="宋体" w:cstheme="minorBidi"/>
          <w:iCs/>
          <w:color w:val="auto"/>
          <w:kern w:val="2"/>
          <w:sz w:val="24"/>
          <w:szCs w:val="22"/>
          <w:highlight w:val="none"/>
          <w:shd w:val="clear" w:color="auto" w:fill="FFFFFF" w:themeFill="background1"/>
          <w:lang w:val="zh-CN" w:eastAsia="zh-CN" w:bidi="ar-SA"/>
        </w:rPr>
        <w:t>总金额的比例。</w:t>
      </w:r>
    </w:p>
    <w:p w14:paraId="7127D169">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zh-CN" w:eastAsia="zh-CN" w:bidi="ar-SA"/>
        </w:rPr>
        <w:t>4.2</w:t>
      </w:r>
      <w:r>
        <w:rPr>
          <w:rFonts w:hint="eastAsia"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eastAsia="宋体" w:cstheme="minorBidi"/>
          <w:iCs/>
          <w:color w:val="auto"/>
          <w:kern w:val="2"/>
          <w:sz w:val="24"/>
          <w:szCs w:val="22"/>
          <w:highlight w:val="none"/>
          <w:shd w:val="clear" w:color="auto" w:fill="FFFFFF" w:themeFill="background1"/>
          <w:lang w:val="en-US" w:eastAsia="zh-CN" w:bidi="ar-SA"/>
        </w:rPr>
        <w:t>6</w:t>
      </w:r>
      <w:r>
        <w:rPr>
          <w:rFonts w:hint="eastAsia" w:ascii="宋体" w:hAnsi="宋体" w:eastAsia="宋体" w:cstheme="minorBidi"/>
          <w:iCs/>
          <w:color w:val="auto"/>
          <w:kern w:val="2"/>
          <w:sz w:val="24"/>
          <w:szCs w:val="22"/>
          <w:highlight w:val="none"/>
          <w:shd w:val="clear" w:color="auto" w:fill="FFFFFF" w:themeFill="background1"/>
          <w:lang w:val="zh-CN" w:eastAsia="zh-CN" w:bidi="ar-SA"/>
        </w:rPr>
        <w:t>联合体中标</w:t>
      </w:r>
      <w:r>
        <w:rPr>
          <w:rFonts w:hint="eastAsia" w:eastAsia="宋体" w:cstheme="minorBidi"/>
          <w:iCs/>
          <w:color w:val="auto"/>
          <w:kern w:val="2"/>
          <w:sz w:val="24"/>
          <w:szCs w:val="22"/>
          <w:highlight w:val="none"/>
          <w:shd w:val="clear" w:color="auto" w:fill="FFFFFF" w:themeFill="background1"/>
          <w:lang w:val="en-US" w:eastAsia="zh-CN" w:bidi="ar-SA"/>
        </w:rPr>
        <w:t>的</w:t>
      </w:r>
      <w:r>
        <w:rPr>
          <w:rFonts w:hint="eastAsia" w:ascii="宋体" w:hAnsi="宋体" w:eastAsia="宋体" w:cstheme="minorBidi"/>
          <w:iCs/>
          <w:color w:val="auto"/>
          <w:kern w:val="2"/>
          <w:sz w:val="24"/>
          <w:szCs w:val="22"/>
          <w:highlight w:val="none"/>
          <w:shd w:val="clear" w:color="auto" w:fill="FFFFFF" w:themeFill="background1"/>
          <w:lang w:val="zh-CN"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采购</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合同应由</w:t>
      </w:r>
      <w:r>
        <w:rPr>
          <w:rFonts w:hint="eastAsia" w:ascii="宋体" w:hAnsi="宋体" w:eastAsia="宋体" w:cstheme="minorBidi"/>
          <w:iCs/>
          <w:color w:val="auto"/>
          <w:kern w:val="2"/>
          <w:sz w:val="24"/>
          <w:szCs w:val="22"/>
          <w:highlight w:val="none"/>
          <w:shd w:val="clear" w:color="auto" w:fill="FFFFFF" w:themeFill="background1"/>
          <w:lang w:val="en-US" w:eastAsia="zh-CN" w:bidi="ar-SA"/>
        </w:rPr>
        <w:t>联合体</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各成员的合法授权代表签字</w:t>
      </w:r>
      <w:r>
        <w:rPr>
          <w:rFonts w:hint="eastAsia" w:eastAsia="宋体" w:cstheme="minorBidi"/>
          <w:iCs/>
          <w:color w:val="auto"/>
          <w:kern w:val="2"/>
          <w:sz w:val="24"/>
          <w:szCs w:val="22"/>
          <w:highlight w:val="none"/>
          <w:shd w:val="clear" w:color="auto" w:fill="FFFFFF" w:themeFill="background1"/>
          <w:lang w:val="en-US" w:eastAsia="zh-CN" w:bidi="ar-SA"/>
        </w:rPr>
        <w:t>及</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加盖</w:t>
      </w:r>
      <w:r>
        <w:rPr>
          <w:rFonts w:hint="eastAsia" w:ascii="宋体" w:hAnsi="宋体" w:eastAsia="宋体" w:cstheme="minorBidi"/>
          <w:iCs/>
          <w:color w:val="auto"/>
          <w:kern w:val="2"/>
          <w:sz w:val="24"/>
          <w:szCs w:val="22"/>
          <w:highlight w:val="none"/>
          <w:shd w:val="clear" w:color="auto" w:fill="FFFFFF" w:themeFill="background1"/>
          <w:lang w:val="en-US" w:eastAsia="zh-CN" w:bidi="ar-SA"/>
        </w:rPr>
        <w:t>联合体</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各成员公章，</w:t>
      </w:r>
      <w:r>
        <w:rPr>
          <w:rFonts w:hint="eastAsia" w:eastAsia="宋体" w:cstheme="minorBidi"/>
          <w:iCs/>
          <w:color w:val="auto"/>
          <w:kern w:val="2"/>
          <w:sz w:val="24"/>
          <w:szCs w:val="22"/>
          <w:highlight w:val="none"/>
          <w:shd w:val="clear" w:color="auto" w:fill="FFFFFF" w:themeFill="background1"/>
          <w:lang w:val="en-US" w:eastAsia="zh-CN" w:bidi="ar-SA"/>
        </w:rPr>
        <w:t>并</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对联合体成员作为整体和他们各自作为独立体均具有法律约束力，但若该签字或公章不齐全或缺乏，该联合体的牵头人的签署或类似的意思表示人具有代表该联合体的签署或意思表示的法律效力，并且据此各成员为履行合同应向采购人与采购代理机构承担连带责任。</w:t>
      </w:r>
    </w:p>
    <w:p w14:paraId="72C3CFE0">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zh-CN" w:eastAsia="zh-CN" w:bidi="ar-SA"/>
        </w:rPr>
        <w:t>4.2</w:t>
      </w:r>
      <w:r>
        <w:rPr>
          <w:rFonts w:hint="eastAsia"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eastAsia="宋体" w:cstheme="minorBidi"/>
          <w:iCs/>
          <w:color w:val="auto"/>
          <w:kern w:val="2"/>
          <w:sz w:val="24"/>
          <w:szCs w:val="22"/>
          <w:highlight w:val="none"/>
          <w:shd w:val="clear" w:color="auto" w:fill="FFFFFF" w:themeFill="background1"/>
          <w:lang w:val="en-US" w:eastAsia="zh-CN" w:bidi="ar-SA"/>
        </w:rPr>
        <w:t>7</w:t>
      </w:r>
      <w:r>
        <w:rPr>
          <w:rFonts w:hint="eastAsia" w:ascii="宋体" w:hAnsi="宋体" w:eastAsia="宋体" w:cstheme="minorBidi"/>
          <w:iCs/>
          <w:color w:val="auto"/>
          <w:kern w:val="2"/>
          <w:sz w:val="24"/>
          <w:szCs w:val="22"/>
          <w:highlight w:val="none"/>
          <w:shd w:val="clear" w:color="auto" w:fill="FFFFFF" w:themeFill="background1"/>
          <w:lang w:val="zh-CN" w:eastAsia="zh-CN" w:bidi="ar-SA"/>
        </w:rPr>
        <w:t>联合体或其成员不得将其在合同项下的权利或义务全部或部分转让给第三人，有关分包事项须事先取得采购</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人</w:t>
      </w:r>
      <w:r>
        <w:rPr>
          <w:rFonts w:hint="eastAsia" w:ascii="宋体" w:hAnsi="宋体" w:eastAsia="宋体" w:cstheme="minorBidi"/>
          <w:iCs/>
          <w:color w:val="auto"/>
          <w:kern w:val="2"/>
          <w:sz w:val="24"/>
          <w:szCs w:val="22"/>
          <w:highlight w:val="none"/>
          <w:shd w:val="clear" w:color="auto" w:fill="FFFFFF" w:themeFill="background1"/>
          <w:lang w:val="zh-CN" w:eastAsia="zh-CN" w:bidi="ar-SA"/>
        </w:rPr>
        <w:t>书面同意并且须遵守相关法律、法规、本次招标的全部相关规定。</w:t>
      </w:r>
    </w:p>
    <w:p w14:paraId="7D2803AB">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4.2</w:t>
      </w:r>
      <w:r>
        <w:rPr>
          <w:rFonts w:hint="eastAsia" w:ascii="宋体" w:hAnsi="宋体" w:eastAsia="宋体" w:cstheme="minorBidi"/>
          <w:iCs/>
          <w:color w:val="auto"/>
          <w:kern w:val="2"/>
          <w:sz w:val="24"/>
          <w:szCs w:val="22"/>
          <w:highlight w:val="none"/>
          <w:shd w:val="clear" w:color="auto" w:fill="FFFFFF" w:themeFill="background1"/>
          <w:lang w:val="zh-CN" w:eastAsia="zh-CN" w:bidi="ar-SA"/>
        </w:rPr>
        <w:t>.</w:t>
      </w:r>
      <w:r>
        <w:rPr>
          <w:rFonts w:hint="eastAsia" w:eastAsia="宋体" w:cstheme="minorBidi"/>
          <w:iCs/>
          <w:color w:val="auto"/>
          <w:kern w:val="2"/>
          <w:sz w:val="24"/>
          <w:szCs w:val="22"/>
          <w:highlight w:val="none"/>
          <w:shd w:val="clear" w:color="auto" w:fill="FFFFFF" w:themeFill="background1"/>
          <w:lang w:val="en-US" w:eastAsia="zh-CN" w:bidi="ar-SA"/>
        </w:rPr>
        <w:t>8</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对联合体投标的其他资格要求见</w:t>
      </w:r>
      <w:r>
        <w:rPr>
          <w:rFonts w:hint="eastAsia" w:eastAsia="宋体"/>
          <w:color w:val="auto"/>
          <w:sz w:val="24"/>
          <w:highlight w:val="none"/>
        </w:rPr>
        <w:t>“</w:t>
      </w:r>
      <w:r>
        <w:rPr>
          <w:rFonts w:hint="eastAsia" w:eastAsia="宋体"/>
          <w:color w:val="auto"/>
          <w:sz w:val="24"/>
          <w:highlight w:val="none"/>
          <w:lang w:val="en-US" w:eastAsia="zh-CN"/>
        </w:rPr>
        <w:t>第一章 招标公告</w:t>
      </w:r>
      <w:r>
        <w:rPr>
          <w:rFonts w:hint="eastAsia" w:eastAsia="宋体"/>
          <w:color w:val="auto"/>
          <w:sz w:val="24"/>
          <w:highlight w:val="none"/>
        </w:rPr>
        <w:t>”</w:t>
      </w:r>
      <w:r>
        <w:rPr>
          <w:rFonts w:hint="eastAsia" w:eastAsia="宋体"/>
          <w:color w:val="auto"/>
          <w:sz w:val="24"/>
          <w:highlight w:val="none"/>
          <w:lang w:val="en-US" w:eastAsia="zh-CN"/>
        </w:rPr>
        <w:t>中的“二、</w:t>
      </w:r>
      <w:r>
        <w:rPr>
          <w:rFonts w:hint="eastAsia" w:ascii="宋体" w:hAnsi="宋体" w:eastAsia="宋体" w:cstheme="minorBidi"/>
          <w:iCs/>
          <w:color w:val="auto"/>
          <w:kern w:val="2"/>
          <w:sz w:val="24"/>
          <w:szCs w:val="22"/>
          <w:highlight w:val="none"/>
          <w:shd w:val="clear" w:color="auto" w:fill="FFFFFF" w:themeFill="background1"/>
          <w:lang w:val="en-US" w:eastAsia="zh-CN" w:bidi="ar-SA"/>
        </w:rPr>
        <w:t>申请人的</w:t>
      </w:r>
      <w:r>
        <w:rPr>
          <w:rFonts w:hint="eastAsia" w:ascii="宋体" w:hAnsi="宋体" w:eastAsia="宋体" w:cstheme="minorBidi"/>
          <w:iCs/>
          <w:color w:val="auto"/>
          <w:kern w:val="2"/>
          <w:sz w:val="24"/>
          <w:szCs w:val="22"/>
          <w:highlight w:val="none"/>
          <w:shd w:val="clear" w:color="auto" w:fill="FFFFFF" w:themeFill="background1"/>
          <w:lang w:val="zh-CN" w:eastAsia="zh-CN" w:bidi="ar-SA"/>
        </w:rPr>
        <w:t>资格</w:t>
      </w:r>
      <w:r>
        <w:rPr>
          <w:rFonts w:hint="eastAsia" w:ascii="宋体" w:hAnsi="宋体" w:eastAsia="宋体" w:cstheme="minorBidi"/>
          <w:iCs/>
          <w:color w:val="auto"/>
          <w:kern w:val="2"/>
          <w:sz w:val="24"/>
          <w:szCs w:val="22"/>
          <w:highlight w:val="none"/>
          <w:shd w:val="clear" w:color="auto" w:fill="FFFFFF" w:themeFill="background1"/>
          <w:lang w:val="en-US" w:eastAsia="zh-CN" w:bidi="ar-SA"/>
        </w:rPr>
        <w:t>要求</w:t>
      </w:r>
      <w:r>
        <w:rPr>
          <w:rFonts w:hint="eastAsia"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zh-CN" w:eastAsia="zh-CN" w:bidi="ar-SA"/>
        </w:rPr>
        <w:t>。</w:t>
      </w:r>
    </w:p>
    <w:p w14:paraId="4DE6446D">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34" w:name="_Toc163492827"/>
      <w:r>
        <w:rPr>
          <w:rFonts w:hint="eastAsia" w:ascii="宋体" w:hAnsi="宋体" w:eastAsia="宋体" w:cs="宋体"/>
          <w:b/>
          <w:bCs/>
          <w:color w:val="auto"/>
          <w:kern w:val="2"/>
          <w:sz w:val="24"/>
          <w:szCs w:val="28"/>
          <w:highlight w:val="none"/>
          <w:lang w:val="en-US" w:eastAsia="zh-CN" w:bidi="ar-SA"/>
        </w:rPr>
        <w:t>5.费用承担</w:t>
      </w:r>
      <w:bookmarkEnd w:id="134"/>
    </w:p>
    <w:p w14:paraId="3C6741ED">
      <w:pPr>
        <w:pStyle w:val="37"/>
        <w:keepNext w:val="0"/>
        <w:keepLines w:val="0"/>
        <w:pageBreakBefore w:val="0"/>
        <w:widowControl w:val="0"/>
        <w:kinsoku/>
        <w:overflowPunct/>
        <w:topLinePunct w:val="0"/>
        <w:autoSpaceDE/>
        <w:autoSpaceDN/>
        <w:bidi w:val="0"/>
        <w:adjustRightInd/>
        <w:snapToGrid/>
        <w:textAlignment w:val="auto"/>
        <w:rPr>
          <w:rFonts w:hint="eastAsia" w:eastAsia="宋体"/>
          <w:color w:val="auto"/>
          <w:sz w:val="24"/>
          <w:highlight w:val="none"/>
        </w:rPr>
      </w:pPr>
      <w:r>
        <w:rPr>
          <w:rFonts w:hint="eastAsia" w:eastAsia="宋体"/>
          <w:color w:val="auto"/>
          <w:sz w:val="24"/>
          <w:highlight w:val="none"/>
        </w:rPr>
        <w:t>5.1</w:t>
      </w:r>
      <w:r>
        <w:rPr>
          <w:rFonts w:hint="eastAsia" w:eastAsia="宋体"/>
          <w:color w:val="auto"/>
          <w:sz w:val="24"/>
          <w:highlight w:val="none"/>
          <w:lang w:val="en-US" w:eastAsia="zh-CN"/>
        </w:rPr>
        <w:t>不论投标的结果如何，投标人应承担所有与准备和参加投标有关的费用。</w:t>
      </w:r>
    </w:p>
    <w:p w14:paraId="0CE9ACA3">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35" w:name="_Toc140132761"/>
      <w:bookmarkStart w:id="136" w:name="_Toc163492828"/>
      <w:r>
        <w:rPr>
          <w:rFonts w:hint="eastAsia" w:ascii="宋体" w:hAnsi="宋体" w:eastAsia="宋体" w:cs="宋体"/>
          <w:b/>
          <w:bCs/>
          <w:color w:val="auto"/>
          <w:kern w:val="2"/>
          <w:sz w:val="24"/>
          <w:szCs w:val="28"/>
          <w:highlight w:val="none"/>
          <w:lang w:val="en-US" w:eastAsia="zh-CN" w:bidi="ar-SA"/>
        </w:rPr>
        <w:t>6.保密</w:t>
      </w:r>
      <w:bookmarkEnd w:id="135"/>
      <w:bookmarkEnd w:id="136"/>
    </w:p>
    <w:p w14:paraId="7CBA93F7">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6.1</w:t>
      </w:r>
      <w:r>
        <w:rPr>
          <w:rFonts w:hint="eastAsia" w:eastAsia="宋体"/>
          <w:color w:val="auto"/>
          <w:sz w:val="24"/>
          <w:highlight w:val="none"/>
          <w:lang w:val="en-US" w:eastAsia="zh-CN"/>
        </w:rPr>
        <w:t xml:space="preserve"> </w:t>
      </w:r>
      <w:r>
        <w:rPr>
          <w:rFonts w:hint="eastAsia" w:eastAsia="宋体"/>
          <w:color w:val="auto"/>
          <w:sz w:val="24"/>
          <w:highlight w:val="none"/>
        </w:rPr>
        <w:t>参与招标投标活动的各方应对招标文件和投标文件中的商业和技术等秘密保密，否则应承担相应的法律责任。</w:t>
      </w:r>
    </w:p>
    <w:p w14:paraId="2947ABFF">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lang w:val="en-US" w:eastAsia="zh-CN"/>
        </w:rPr>
        <w:t>6</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 xml:space="preserve">2 </w:t>
      </w:r>
      <w:r>
        <w:rPr>
          <w:rFonts w:hint="eastAsia" w:ascii="宋体" w:hAnsi="宋体" w:eastAsia="宋体" w:cs="宋体"/>
          <w:color w:val="auto"/>
          <w:kern w:val="2"/>
          <w:sz w:val="24"/>
          <w:szCs w:val="22"/>
          <w:highlight w:val="none"/>
        </w:rPr>
        <w:t>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38BD9605">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lang w:val="en-US" w:eastAsia="zh-CN"/>
        </w:rPr>
        <w:t>6</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 xml:space="preserve">3 </w:t>
      </w:r>
      <w:r>
        <w:rPr>
          <w:rFonts w:hint="eastAsia" w:ascii="宋体" w:hAnsi="宋体" w:eastAsia="宋体" w:cs="宋体"/>
          <w:color w:val="auto"/>
          <w:kern w:val="2"/>
          <w:sz w:val="24"/>
          <w:szCs w:val="22"/>
          <w:highlight w:val="none"/>
        </w:rPr>
        <w:t>采购代理机构有权将投标人提供的所有资料向有关政府部门或评审</w:t>
      </w:r>
      <w:r>
        <w:rPr>
          <w:rFonts w:hint="eastAsia" w:ascii="宋体" w:hAnsi="宋体" w:eastAsia="宋体" w:cs="宋体"/>
          <w:color w:val="auto"/>
          <w:kern w:val="2"/>
          <w:sz w:val="24"/>
          <w:szCs w:val="22"/>
          <w:highlight w:val="none"/>
          <w:lang w:val="en-US" w:eastAsia="zh-CN"/>
        </w:rPr>
        <w:t>投标文件</w:t>
      </w:r>
      <w:r>
        <w:rPr>
          <w:rFonts w:hint="eastAsia" w:ascii="宋体" w:hAnsi="宋体" w:eastAsia="宋体" w:cs="宋体"/>
          <w:color w:val="auto"/>
          <w:kern w:val="2"/>
          <w:sz w:val="24"/>
          <w:szCs w:val="22"/>
          <w:highlight w:val="none"/>
        </w:rPr>
        <w:t>的有关人员披露。</w:t>
      </w:r>
    </w:p>
    <w:p w14:paraId="7D9AB2DE">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6</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4 各级人民政府财政部门对政府采购活动进行监督检查，有权查阅、复制有关文件、资料，相关单位和人员应当予以配合。</w:t>
      </w:r>
    </w:p>
    <w:p w14:paraId="284B114B">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37" w:name="_Toc140132762"/>
      <w:bookmarkStart w:id="138" w:name="_Toc163492829"/>
      <w:r>
        <w:rPr>
          <w:rFonts w:hint="eastAsia" w:ascii="宋体" w:hAnsi="宋体" w:eastAsia="宋体" w:cs="宋体"/>
          <w:b/>
          <w:bCs/>
          <w:color w:val="auto"/>
          <w:kern w:val="2"/>
          <w:sz w:val="24"/>
          <w:szCs w:val="28"/>
          <w:highlight w:val="none"/>
          <w:lang w:val="en-US" w:eastAsia="zh-CN" w:bidi="ar-SA"/>
        </w:rPr>
        <w:t>7.语言文字</w:t>
      </w:r>
      <w:bookmarkEnd w:id="137"/>
      <w:bookmarkEnd w:id="138"/>
    </w:p>
    <w:p w14:paraId="25140936">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7.1招标投标</w:t>
      </w:r>
      <w:r>
        <w:rPr>
          <w:rFonts w:hint="eastAsia" w:eastAsia="宋体"/>
          <w:color w:val="auto"/>
          <w:sz w:val="24"/>
          <w:highlight w:val="none"/>
          <w:lang w:val="en-US" w:eastAsia="zh-CN"/>
        </w:rPr>
        <w:t>过程</w:t>
      </w:r>
      <w:r>
        <w:rPr>
          <w:rFonts w:hint="eastAsia" w:eastAsia="宋体"/>
          <w:color w:val="auto"/>
          <w:sz w:val="24"/>
          <w:highlight w:val="none"/>
        </w:rPr>
        <w:t>文件使用的语言文字为中文。专用术语使用外文的，应附有中文注释。</w:t>
      </w:r>
      <w:r>
        <w:rPr>
          <w:rFonts w:hint="eastAsia" w:eastAsia="宋体"/>
          <w:color w:val="auto"/>
          <w:sz w:val="24"/>
          <w:highlight w:val="none"/>
          <w:lang w:val="en-US" w:eastAsia="zh-CN"/>
        </w:rPr>
        <w:t>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F336166">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39" w:name="_Toc163492830"/>
      <w:bookmarkStart w:id="140" w:name="_Toc140132763"/>
      <w:r>
        <w:rPr>
          <w:rFonts w:hint="eastAsia" w:ascii="宋体" w:hAnsi="宋体" w:eastAsia="宋体" w:cs="宋体"/>
          <w:b/>
          <w:bCs/>
          <w:color w:val="auto"/>
          <w:kern w:val="2"/>
          <w:sz w:val="24"/>
          <w:szCs w:val="28"/>
          <w:highlight w:val="none"/>
          <w:lang w:val="en-US" w:eastAsia="zh-CN" w:bidi="ar-SA"/>
        </w:rPr>
        <w:t>8.计量单位</w:t>
      </w:r>
      <w:bookmarkEnd w:id="139"/>
      <w:bookmarkEnd w:id="140"/>
    </w:p>
    <w:p w14:paraId="45A7AE57">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8.1所有计量均采用中华人民共和国法定计量单位。</w:t>
      </w:r>
    </w:p>
    <w:p w14:paraId="099F3EF6">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41" w:name="_Toc163492831"/>
      <w:bookmarkStart w:id="142" w:name="_Toc140132764"/>
      <w:r>
        <w:rPr>
          <w:rFonts w:hint="eastAsia" w:ascii="宋体" w:hAnsi="宋体" w:eastAsia="宋体" w:cs="宋体"/>
          <w:b/>
          <w:bCs/>
          <w:color w:val="auto"/>
          <w:kern w:val="2"/>
          <w:sz w:val="24"/>
          <w:szCs w:val="28"/>
          <w:highlight w:val="none"/>
          <w:lang w:val="en-US" w:eastAsia="zh-CN" w:bidi="ar-SA"/>
        </w:rPr>
        <w:t>9.现场考察和答疑会</w:t>
      </w:r>
      <w:bookmarkEnd w:id="141"/>
      <w:bookmarkEnd w:id="142"/>
    </w:p>
    <w:p w14:paraId="5A8B8C45">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bookmarkStart w:id="143" w:name="_Hlk143529198"/>
      <w:r>
        <w:rPr>
          <w:rFonts w:hint="eastAsia" w:eastAsia="宋体"/>
          <w:color w:val="auto"/>
          <w:sz w:val="24"/>
          <w:highlight w:val="none"/>
        </w:rPr>
        <w:t xml:space="preserve">9.1 “投标人须知前附表”规定组织现场考察的，采购代理机构按“投标人须知前附表”规定的时间、地点组织投标人项目现场考察。 </w:t>
      </w:r>
    </w:p>
    <w:p w14:paraId="5F8A235F">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9.2 投标人现场考察发生的费用自理。</w:t>
      </w:r>
    </w:p>
    <w:p w14:paraId="199A48B2">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9.3 在现场考察中，因投标人自身原因发生的人员伤亡和财产损失，由投标人自行负责。</w:t>
      </w:r>
    </w:p>
    <w:p w14:paraId="6F1F6A2D">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9.4 采购人在现场考察中介绍的项目场地和相关的周边环境情况，仅供投标人在编制投标文件时参考，采购人和采购代理机构不对投标人据此作出的判断和决策负责。</w:t>
      </w:r>
    </w:p>
    <w:p w14:paraId="0E249AE3">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9.5 “投标人须知前附表”规定召开答疑会的，采购代理机构按“投标人须知前附表”规定的时间和地点召开答疑会，澄清投标人提出的问题。</w:t>
      </w:r>
    </w:p>
    <w:p w14:paraId="00943847">
      <w:pPr>
        <w:pStyle w:val="37"/>
        <w:keepNext w:val="0"/>
        <w:keepLines w:val="0"/>
        <w:pageBreakBefore w:val="0"/>
        <w:widowControl w:val="0"/>
        <w:kinsoku/>
        <w:overflowPunct/>
        <w:topLinePunct w:val="0"/>
        <w:autoSpaceDE/>
        <w:autoSpaceDN/>
        <w:bidi w:val="0"/>
        <w:adjustRightInd/>
        <w:textAlignment w:val="auto"/>
        <w:rPr>
          <w:rFonts w:hint="default" w:eastAsia="宋体"/>
          <w:color w:val="auto"/>
          <w:sz w:val="24"/>
          <w:highlight w:val="none"/>
          <w:lang w:val="en-US" w:eastAsia="zh-CN"/>
        </w:rPr>
      </w:pPr>
      <w:r>
        <w:rPr>
          <w:rFonts w:hint="eastAsia" w:eastAsia="宋体"/>
          <w:color w:val="auto"/>
          <w:sz w:val="24"/>
          <w:highlight w:val="none"/>
          <w:lang w:val="en-US" w:eastAsia="zh-CN"/>
        </w:rPr>
        <w:t>9.6 由于未参加现场考察或未参加标前答疑会而导致对项目实际情况不了解，影响投标文件编制、投标报价准确性、综合因素响应不全面等问题的，由投标人自行承担不利评审后果。</w:t>
      </w:r>
    </w:p>
    <w:bookmarkEnd w:id="143"/>
    <w:p w14:paraId="015C1ED3">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default" w:ascii="宋体" w:hAnsi="宋体" w:eastAsia="宋体" w:cs="宋体"/>
          <w:b/>
          <w:bCs/>
          <w:color w:val="auto"/>
          <w:kern w:val="2"/>
          <w:sz w:val="24"/>
          <w:szCs w:val="28"/>
          <w:highlight w:val="none"/>
          <w:lang w:val="en-US" w:eastAsia="zh-CN" w:bidi="ar-SA"/>
        </w:rPr>
      </w:pPr>
      <w:bookmarkStart w:id="144" w:name="_Toc155185858"/>
      <w:bookmarkStart w:id="145" w:name="_Toc163492833"/>
      <w:bookmarkStart w:id="146" w:name="_Toc155185871"/>
      <w:r>
        <w:rPr>
          <w:rFonts w:hint="eastAsia" w:ascii="宋体" w:hAnsi="宋体" w:eastAsia="宋体" w:cs="宋体"/>
          <w:b/>
          <w:bCs/>
          <w:color w:val="auto"/>
          <w:kern w:val="2"/>
          <w:sz w:val="24"/>
          <w:szCs w:val="28"/>
          <w:highlight w:val="none"/>
          <w:lang w:val="en-US" w:eastAsia="zh-CN" w:bidi="ar-SA"/>
        </w:rPr>
        <w:t>10.电子投标说明</w:t>
      </w:r>
      <w:bookmarkEnd w:id="144"/>
      <w:bookmarkEnd w:id="145"/>
      <w:r>
        <w:rPr>
          <w:rFonts w:hint="eastAsia" w:ascii="宋体" w:hAnsi="宋体" w:eastAsia="宋体" w:cs="宋体"/>
          <w:b/>
          <w:bCs/>
          <w:color w:val="auto"/>
          <w:kern w:val="2"/>
          <w:sz w:val="24"/>
          <w:szCs w:val="28"/>
          <w:highlight w:val="none"/>
          <w:lang w:val="en-US" w:eastAsia="zh-CN" w:bidi="ar-SA"/>
        </w:rPr>
        <w:t xml:space="preserve">   </w:t>
      </w:r>
    </w:p>
    <w:p w14:paraId="111A1565">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w:t>
      </w:r>
      <w:r>
        <w:rPr>
          <w:rFonts w:hint="eastAsia" w:eastAsia="宋体"/>
          <w:color w:val="auto"/>
          <w:sz w:val="24"/>
          <w:highlight w:val="none"/>
          <w:lang w:val="en-US" w:eastAsia="zh-CN"/>
        </w:rPr>
        <w:t>0</w:t>
      </w:r>
      <w:r>
        <w:rPr>
          <w:rFonts w:hint="eastAsia" w:ascii="宋体" w:hAnsi="宋体" w:eastAsia="宋体"/>
          <w:color w:val="auto"/>
          <w:sz w:val="24"/>
          <w:highlight w:val="none"/>
          <w:lang w:val="en-US" w:eastAsia="zh-CN"/>
        </w:rPr>
        <w:t xml:space="preserve">.1 </w:t>
      </w:r>
      <w:r>
        <w:rPr>
          <w:rFonts w:hint="eastAsia" w:ascii="宋体" w:hAnsi="宋体" w:eastAsia="宋体"/>
          <w:color w:val="auto"/>
          <w:sz w:val="24"/>
          <w:highlight w:val="none"/>
        </w:rPr>
        <w:t>本次采购采用电子交易方式，电子交易平台为</w:t>
      </w:r>
      <w:r>
        <w:rPr>
          <w:rFonts w:hint="eastAsia" w:ascii="宋体" w:hAnsi="宋体" w:eastAsia="宋体"/>
          <w:color w:val="auto"/>
          <w:sz w:val="24"/>
          <w:highlight w:val="none"/>
          <w:lang w:val="en-US"/>
        </w:rPr>
        <w:t>兵团</w:t>
      </w:r>
      <w:r>
        <w:rPr>
          <w:rFonts w:hint="eastAsia" w:ascii="宋体" w:hAnsi="宋体" w:eastAsia="宋体"/>
          <w:color w:val="auto"/>
          <w:sz w:val="24"/>
          <w:highlight w:val="none"/>
        </w:rPr>
        <w:t>政府采购</w:t>
      </w:r>
      <w:r>
        <w:rPr>
          <w:rFonts w:hint="eastAsia" w:ascii="宋体" w:hAnsi="宋体" w:eastAsia="宋体"/>
          <w:color w:val="auto"/>
          <w:sz w:val="24"/>
          <w:highlight w:val="none"/>
          <w:lang w:val="en-US"/>
        </w:rPr>
        <w:t>电子交易云</w:t>
      </w:r>
      <w:r>
        <w:rPr>
          <w:rFonts w:hint="eastAsia" w:ascii="宋体" w:hAnsi="宋体" w:eastAsia="宋体"/>
          <w:color w:val="auto"/>
          <w:sz w:val="24"/>
          <w:highlight w:val="none"/>
        </w:rPr>
        <w:t>平台</w:t>
      </w:r>
      <w:r>
        <w:rPr>
          <w:rFonts w:hint="eastAsia" w:ascii="宋体" w:hAnsi="宋体" w:eastAsia="宋体"/>
          <w:color w:val="auto"/>
          <w:sz w:val="24"/>
          <w:highlight w:val="none"/>
          <w:lang w:val="hr-HR"/>
        </w:rPr>
        <w:t>（</w:t>
      </w:r>
      <w:r>
        <w:rPr>
          <w:rFonts w:hint="eastAsia" w:ascii="宋体" w:hAnsi="宋体" w:eastAsia="宋体"/>
          <w:color w:val="auto"/>
          <w:sz w:val="24"/>
          <w:highlight w:val="none"/>
        </w:rPr>
        <w:t>网址</w:t>
      </w:r>
      <w:r>
        <w:rPr>
          <w:rFonts w:hint="eastAsia" w:ascii="宋体" w:hAnsi="宋体" w:eastAsia="宋体"/>
          <w:color w:val="auto"/>
          <w:sz w:val="24"/>
          <w:highlight w:val="none"/>
          <w:lang w:val="hr-HR"/>
        </w:rPr>
        <w:t>：https://www.zcygov.cn/）</w:t>
      </w:r>
      <w:r>
        <w:rPr>
          <w:rFonts w:hint="eastAsia" w:ascii="宋体" w:hAnsi="宋体" w:eastAsia="宋体"/>
          <w:color w:val="auto"/>
          <w:sz w:val="24"/>
          <w:highlight w:val="none"/>
        </w:rPr>
        <w:t>。投标人参与本项目电子交易活动前，应</w:t>
      </w:r>
      <w:r>
        <w:rPr>
          <w:rFonts w:hint="eastAsia" w:eastAsia="宋体"/>
          <w:color w:val="auto"/>
          <w:sz w:val="24"/>
          <w:highlight w:val="none"/>
          <w:lang w:val="en-US" w:eastAsia="zh-CN"/>
        </w:rPr>
        <w:t>在</w:t>
      </w:r>
      <w:r>
        <w:rPr>
          <w:rFonts w:hint="eastAsia" w:ascii="宋体" w:hAnsi="宋体" w:eastAsia="宋体"/>
          <w:color w:val="auto"/>
          <w:sz w:val="24"/>
          <w:highlight w:val="none"/>
        </w:rPr>
        <w:t>政</w:t>
      </w:r>
      <w:r>
        <w:rPr>
          <w:rFonts w:hint="eastAsia" w:eastAsia="宋体"/>
          <w:color w:val="auto"/>
          <w:sz w:val="24"/>
          <w:highlight w:val="none"/>
          <w:lang w:val="en-US" w:eastAsia="zh-CN"/>
        </w:rPr>
        <w:t>采</w:t>
      </w:r>
      <w:r>
        <w:rPr>
          <w:rFonts w:hint="eastAsia" w:ascii="宋体" w:hAnsi="宋体" w:eastAsia="宋体"/>
          <w:color w:val="auto"/>
          <w:sz w:val="24"/>
          <w:highlight w:val="none"/>
          <w:lang w:val="en-US"/>
        </w:rPr>
        <w:t>云</w:t>
      </w:r>
      <w:r>
        <w:rPr>
          <w:rFonts w:hint="eastAsia" w:ascii="宋体" w:hAnsi="宋体" w:eastAsia="宋体"/>
          <w:color w:val="auto"/>
          <w:sz w:val="24"/>
          <w:highlight w:val="none"/>
        </w:rPr>
        <w:t>平台</w:t>
      </w:r>
      <w:r>
        <w:rPr>
          <w:rFonts w:hint="eastAsia" w:eastAsia="宋体"/>
          <w:color w:val="auto"/>
          <w:sz w:val="24"/>
          <w:highlight w:val="none"/>
          <w:lang w:val="en-US" w:eastAsia="zh-CN"/>
        </w:rPr>
        <w:t>上</w:t>
      </w:r>
      <w:r>
        <w:rPr>
          <w:rFonts w:hint="eastAsia" w:ascii="宋体" w:hAnsi="宋体" w:eastAsia="宋体"/>
          <w:color w:val="auto"/>
          <w:sz w:val="24"/>
          <w:highlight w:val="none"/>
        </w:rPr>
        <w:t>注册</w:t>
      </w:r>
      <w:r>
        <w:rPr>
          <w:rFonts w:hint="eastAsia" w:eastAsia="宋体"/>
          <w:color w:val="auto"/>
          <w:sz w:val="24"/>
          <w:highlight w:val="none"/>
          <w:lang w:val="en-US" w:eastAsia="zh-CN"/>
        </w:rPr>
        <w:t>供应商账号</w:t>
      </w:r>
      <w:r>
        <w:rPr>
          <w:rFonts w:hint="eastAsia" w:ascii="宋体" w:hAnsi="宋体" w:eastAsia="宋体"/>
          <w:color w:val="auto"/>
          <w:sz w:val="24"/>
          <w:highlight w:val="none"/>
        </w:rPr>
        <w:t>。编制电子</w:t>
      </w:r>
      <w:r>
        <w:rPr>
          <w:rFonts w:hint="eastAsia" w:ascii="宋体" w:hAnsi="宋体" w:eastAsia="宋体"/>
          <w:color w:val="auto"/>
          <w:sz w:val="24"/>
          <w:highlight w:val="none"/>
          <w:lang w:val="en-US" w:eastAsia="zh-CN"/>
        </w:rPr>
        <w:t>投标</w:t>
      </w:r>
      <w:r>
        <w:rPr>
          <w:rFonts w:hint="eastAsia" w:ascii="宋体" w:hAnsi="宋体" w:eastAsia="宋体"/>
          <w:color w:val="auto"/>
          <w:sz w:val="24"/>
          <w:highlight w:val="none"/>
        </w:rPr>
        <w:t>文件前还需</w:t>
      </w:r>
      <w:r>
        <w:rPr>
          <w:rFonts w:hint="eastAsia" w:ascii="宋体" w:hAnsi="宋体" w:eastAsia="宋体"/>
          <w:color w:val="auto"/>
          <w:sz w:val="24"/>
          <w:highlight w:val="none"/>
          <w:lang w:val="en-US" w:eastAsia="zh-CN"/>
        </w:rPr>
        <w:t>申领CA证书并绑定帐号。投标人应充分考虑完成平台注册、申领CA证书等所需的时间。</w:t>
      </w:r>
      <w:r>
        <w:rPr>
          <w:rFonts w:hint="eastAsia" w:ascii="宋体" w:hAnsi="宋体" w:eastAsia="宋体"/>
          <w:color w:val="auto"/>
          <w:sz w:val="24"/>
          <w:highlight w:val="none"/>
          <w:lang w:val="zh-CN" w:eastAsia="zh-CN"/>
        </w:rPr>
        <w:t>潜在投标人领取文件须提前完成注册、CA证书和电子签章申领和绑定、下载</w:t>
      </w:r>
      <w:r>
        <w:rPr>
          <w:rFonts w:hint="eastAsia"/>
          <w:color w:val="auto"/>
          <w:sz w:val="24"/>
          <w:highlight w:val="none"/>
          <w:lang w:val="zh-CN" w:eastAsia="zh-CN"/>
        </w:rPr>
        <w:t>“</w:t>
      </w:r>
      <w:r>
        <w:rPr>
          <w:rFonts w:hint="eastAsia" w:ascii="宋体" w:hAnsi="宋体" w:eastAsia="宋体"/>
          <w:color w:val="auto"/>
          <w:sz w:val="24"/>
          <w:highlight w:val="none"/>
          <w:lang w:val="zh-CN" w:eastAsia="zh-CN"/>
        </w:rPr>
        <w:t>投标客户端</w:t>
      </w:r>
      <w:r>
        <w:rPr>
          <w:rFonts w:hint="eastAsia"/>
          <w:color w:val="auto"/>
          <w:sz w:val="24"/>
          <w:highlight w:val="none"/>
          <w:lang w:val="zh-CN" w:eastAsia="zh-CN"/>
        </w:rPr>
        <w:t>”</w:t>
      </w:r>
      <w:r>
        <w:rPr>
          <w:rFonts w:hint="eastAsia" w:ascii="宋体" w:hAnsi="宋体" w:eastAsia="宋体"/>
          <w:color w:val="auto"/>
          <w:sz w:val="24"/>
          <w:highlight w:val="none"/>
          <w:lang w:val="zh-CN" w:eastAsia="zh-CN"/>
        </w:rPr>
        <w:t>。因未办理CA数字证书、CA证书故障、操作不当等原因造成无法投标或投标失败等后果由投标人自行承担。</w:t>
      </w:r>
      <w:r>
        <w:rPr>
          <w:rFonts w:hint="eastAsia" w:eastAsia="宋体"/>
          <w:color w:val="auto"/>
          <w:sz w:val="24"/>
          <w:highlight w:val="none"/>
          <w:lang w:val="en-US" w:eastAsia="zh-CN"/>
        </w:rPr>
        <w:t>投标人</w:t>
      </w:r>
      <w:r>
        <w:rPr>
          <w:rFonts w:hint="eastAsia" w:ascii="宋体" w:hAnsi="宋体" w:eastAsia="宋体"/>
          <w:color w:val="auto"/>
          <w:sz w:val="24"/>
          <w:highlight w:val="none"/>
          <w:lang w:val="zh-CN" w:eastAsia="zh-CN"/>
        </w:rPr>
        <w:t>登录兵团政府采购网“供应商注册”—“新疆生产建设兵团政府采购供应商入驻登记”—“立即登记”进行自助注册绑定。</w:t>
      </w:r>
    </w:p>
    <w:p w14:paraId="18ECC266">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eastAsia="宋体"/>
          <w:color w:val="auto"/>
          <w:sz w:val="24"/>
          <w:highlight w:val="none"/>
          <w:lang w:val="en-US" w:eastAsia="zh-CN"/>
        </w:rPr>
        <w:t>0</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投标人将</w:t>
      </w:r>
      <w:r>
        <w:rPr>
          <w:rFonts w:hint="eastAsia" w:ascii="宋体" w:hAnsi="宋体" w:eastAsia="宋体"/>
          <w:color w:val="auto"/>
          <w:sz w:val="24"/>
          <w:highlight w:val="none"/>
          <w:lang w:val="en-US"/>
        </w:rPr>
        <w:t>兵团</w:t>
      </w:r>
      <w:r>
        <w:rPr>
          <w:rFonts w:hint="eastAsia" w:ascii="宋体" w:hAnsi="宋体" w:eastAsia="宋体"/>
          <w:color w:val="auto"/>
          <w:sz w:val="24"/>
          <w:highlight w:val="none"/>
        </w:rPr>
        <w:t>政府采购</w:t>
      </w:r>
      <w:r>
        <w:rPr>
          <w:rFonts w:hint="eastAsia" w:ascii="宋体" w:hAnsi="宋体" w:eastAsia="宋体"/>
          <w:color w:val="auto"/>
          <w:sz w:val="24"/>
          <w:highlight w:val="none"/>
          <w:lang w:val="en-US"/>
        </w:rPr>
        <w:t>电子交易云</w:t>
      </w:r>
      <w:r>
        <w:rPr>
          <w:rFonts w:hint="eastAsia" w:ascii="宋体" w:hAnsi="宋体" w:eastAsia="宋体"/>
          <w:color w:val="auto"/>
          <w:sz w:val="24"/>
          <w:highlight w:val="none"/>
        </w:rPr>
        <w:t>平台电子交易客户端下载、安装完成后，可通过账号密码或CA登录客户端进行</w:t>
      </w:r>
      <w:r>
        <w:rPr>
          <w:rFonts w:hint="eastAsia" w:ascii="宋体" w:hAnsi="宋体" w:eastAsia="宋体"/>
          <w:color w:val="auto"/>
          <w:sz w:val="24"/>
          <w:highlight w:val="none"/>
          <w:lang w:eastAsia="zh-CN"/>
        </w:rPr>
        <w:t>投标文件</w:t>
      </w:r>
      <w:r>
        <w:rPr>
          <w:rFonts w:hint="eastAsia" w:ascii="宋体" w:hAnsi="宋体" w:eastAsia="宋体"/>
          <w:color w:val="auto"/>
          <w:sz w:val="24"/>
          <w:highlight w:val="none"/>
        </w:rPr>
        <w:t>制作。在使用政采云</w:t>
      </w:r>
      <w:r>
        <w:rPr>
          <w:rFonts w:hint="eastAsia"/>
          <w:color w:val="auto"/>
          <w:sz w:val="24"/>
          <w:highlight w:val="none"/>
          <w:lang w:eastAsia="zh-CN"/>
        </w:rPr>
        <w:t>“</w:t>
      </w:r>
      <w:r>
        <w:rPr>
          <w:rFonts w:hint="eastAsia" w:ascii="宋体" w:hAnsi="宋体" w:eastAsia="宋体"/>
          <w:color w:val="auto"/>
          <w:sz w:val="24"/>
          <w:highlight w:val="none"/>
        </w:rPr>
        <w:t>投标客户端</w:t>
      </w:r>
      <w:r>
        <w:rPr>
          <w:rFonts w:hint="eastAsia"/>
          <w:color w:val="auto"/>
          <w:sz w:val="24"/>
          <w:highlight w:val="none"/>
          <w:lang w:eastAsia="zh-CN"/>
        </w:rPr>
        <w:t>”</w:t>
      </w:r>
      <w:r>
        <w:rPr>
          <w:rFonts w:hint="eastAsia" w:ascii="宋体" w:hAnsi="宋体" w:eastAsia="宋体"/>
          <w:color w:val="auto"/>
          <w:sz w:val="24"/>
          <w:highlight w:val="none"/>
        </w:rPr>
        <w:t>时，建议使用WIN7及以上操作系统。</w:t>
      </w:r>
      <w:r>
        <w:rPr>
          <w:rFonts w:hint="eastAsia" w:eastAsia="宋体"/>
          <w:color w:val="auto"/>
          <w:sz w:val="24"/>
          <w:highlight w:val="none"/>
          <w:lang w:val="en-US" w:eastAsia="zh-CN"/>
        </w:rPr>
        <w:t>投标人</w:t>
      </w:r>
      <w:r>
        <w:rPr>
          <w:rFonts w:hint="eastAsia" w:ascii="宋体" w:hAnsi="宋体" w:eastAsia="宋体"/>
          <w:color w:val="auto"/>
          <w:sz w:val="24"/>
          <w:highlight w:val="none"/>
        </w:rPr>
        <w:t>登录兵团政府采购网“下载专区”—“电子招投标客户端下载”下载相关客户端，如有问题可拨打政采云客户服务热线95763进行咨询。</w:t>
      </w:r>
    </w:p>
    <w:p w14:paraId="1E16A3EF">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eastAsia="宋体"/>
          <w:color w:val="auto"/>
          <w:sz w:val="24"/>
          <w:highlight w:val="none"/>
          <w:lang w:val="en-US" w:eastAsia="zh-CN"/>
        </w:rPr>
        <w:t>0</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加密的电子</w:t>
      </w:r>
      <w:r>
        <w:rPr>
          <w:rFonts w:hint="eastAsia" w:ascii="宋体" w:hAnsi="宋体" w:eastAsia="宋体"/>
          <w:color w:val="auto"/>
          <w:sz w:val="24"/>
          <w:highlight w:val="none"/>
          <w:lang w:eastAsia="zh-CN"/>
        </w:rPr>
        <w:t>投标文件</w:t>
      </w:r>
      <w:r>
        <w:rPr>
          <w:rFonts w:hint="eastAsia" w:ascii="宋体" w:hAnsi="宋体" w:eastAsia="宋体"/>
          <w:color w:val="auto"/>
          <w:sz w:val="24"/>
          <w:highlight w:val="none"/>
        </w:rPr>
        <w:t>应在</w:t>
      </w:r>
      <w:r>
        <w:rPr>
          <w:rFonts w:hint="eastAsia" w:ascii="宋体" w:hAnsi="宋体" w:eastAsia="宋体"/>
          <w:color w:val="auto"/>
          <w:sz w:val="24"/>
          <w:highlight w:val="none"/>
          <w:lang w:eastAsia="zh-CN"/>
        </w:rPr>
        <w:t>投标文件</w:t>
      </w:r>
      <w:r>
        <w:rPr>
          <w:rFonts w:hint="eastAsia" w:ascii="宋体" w:hAnsi="宋体" w:eastAsia="宋体"/>
          <w:color w:val="auto"/>
          <w:sz w:val="24"/>
          <w:highlight w:val="none"/>
        </w:rPr>
        <w:t>递交截止时间前通过政采云平台上传完成。逾期上传或者未上传指定地点的</w:t>
      </w:r>
      <w:r>
        <w:rPr>
          <w:rFonts w:hint="eastAsia" w:ascii="宋体" w:hAnsi="宋体" w:eastAsia="宋体"/>
          <w:color w:val="auto"/>
          <w:sz w:val="24"/>
          <w:highlight w:val="none"/>
          <w:lang w:eastAsia="zh-CN"/>
        </w:rPr>
        <w:t>投标文件</w:t>
      </w:r>
      <w:r>
        <w:rPr>
          <w:rFonts w:hint="eastAsia" w:ascii="宋体" w:hAnsi="宋体" w:eastAsia="宋体"/>
          <w:color w:val="auto"/>
          <w:sz w:val="24"/>
          <w:highlight w:val="none"/>
        </w:rPr>
        <w:t>，不予受理。</w:t>
      </w:r>
    </w:p>
    <w:p w14:paraId="53B28965">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eastAsia="宋体"/>
          <w:color w:val="auto"/>
          <w:sz w:val="24"/>
          <w:highlight w:val="none"/>
          <w:lang w:val="en-US" w:eastAsia="zh-CN"/>
        </w:rPr>
        <w:t>0</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4</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投标人在开标前须提前配置好电脑</w:t>
      </w:r>
      <w:r>
        <w:rPr>
          <w:rFonts w:hint="eastAsia" w:eastAsia="宋体"/>
          <w:color w:val="auto"/>
          <w:sz w:val="24"/>
          <w:highlight w:val="none"/>
          <w:lang w:val="en-US" w:eastAsia="zh-CN"/>
        </w:rPr>
        <w:t>及</w:t>
      </w:r>
      <w:r>
        <w:rPr>
          <w:rFonts w:hint="eastAsia" w:ascii="宋体" w:hAnsi="宋体" w:eastAsia="宋体"/>
          <w:color w:val="auto"/>
          <w:sz w:val="24"/>
          <w:highlight w:val="none"/>
        </w:rPr>
        <w:t>浏览器，开标时请使用制作加密电子</w:t>
      </w:r>
      <w:r>
        <w:rPr>
          <w:rFonts w:hint="eastAsia" w:ascii="宋体" w:hAnsi="宋体" w:eastAsia="宋体"/>
          <w:color w:val="auto"/>
          <w:sz w:val="24"/>
          <w:highlight w:val="none"/>
          <w:lang w:eastAsia="zh-CN"/>
        </w:rPr>
        <w:t>投标文件</w:t>
      </w:r>
      <w:r>
        <w:rPr>
          <w:rFonts w:hint="eastAsia" w:ascii="宋体" w:hAnsi="宋体" w:eastAsia="宋体"/>
          <w:color w:val="auto"/>
          <w:sz w:val="24"/>
          <w:highlight w:val="none"/>
        </w:rPr>
        <w:t>的CA锁进行解密及报价确认。本项目</w:t>
      </w:r>
      <w:r>
        <w:rPr>
          <w:rFonts w:hint="eastAsia" w:ascii="宋体" w:hAnsi="宋体" w:eastAsia="宋体"/>
          <w:color w:val="auto"/>
          <w:sz w:val="24"/>
          <w:highlight w:val="none"/>
          <w:lang w:eastAsia="zh-CN"/>
        </w:rPr>
        <w:t>投标文件</w:t>
      </w:r>
      <w:r>
        <w:rPr>
          <w:rFonts w:hint="eastAsia" w:ascii="宋体" w:hAnsi="宋体" w:eastAsia="宋体"/>
          <w:color w:val="auto"/>
          <w:sz w:val="24"/>
          <w:highlight w:val="none"/>
        </w:rPr>
        <w:t>解密时间</w:t>
      </w:r>
      <w:r>
        <w:rPr>
          <w:rFonts w:hint="eastAsia" w:eastAsia="宋体"/>
          <w:color w:val="auto"/>
          <w:sz w:val="24"/>
          <w:highlight w:val="none"/>
          <w:lang w:val="en-US" w:eastAsia="zh-CN"/>
        </w:rPr>
        <w:t>详见“投标人须知前附表”</w:t>
      </w:r>
      <w:r>
        <w:rPr>
          <w:rFonts w:hint="eastAsia" w:ascii="宋体" w:hAnsi="宋体" w:eastAsia="宋体"/>
          <w:color w:val="auto"/>
          <w:sz w:val="24"/>
          <w:highlight w:val="none"/>
        </w:rPr>
        <w:t>，如因自身原因导致无法正常解密，后果由投标人自行承担。</w:t>
      </w:r>
    </w:p>
    <w:p w14:paraId="469768F0">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eastAsia="宋体"/>
          <w:color w:val="auto"/>
          <w:sz w:val="24"/>
          <w:highlight w:val="none"/>
          <w:lang w:val="en-US" w:eastAsia="zh-CN"/>
        </w:rPr>
        <w:t>0</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5</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如遇“</w:t>
      </w:r>
      <w:r>
        <w:rPr>
          <w:rFonts w:hint="eastAsia" w:ascii="宋体" w:hAnsi="宋体" w:eastAsia="宋体"/>
          <w:color w:val="auto"/>
          <w:sz w:val="24"/>
          <w:highlight w:val="none"/>
          <w:lang w:val="en-US"/>
        </w:rPr>
        <w:t>兵团</w:t>
      </w:r>
      <w:r>
        <w:rPr>
          <w:rFonts w:hint="eastAsia" w:ascii="宋体" w:hAnsi="宋体" w:eastAsia="宋体"/>
          <w:color w:val="auto"/>
          <w:sz w:val="24"/>
          <w:highlight w:val="none"/>
        </w:rPr>
        <w:t>政府采购</w:t>
      </w:r>
      <w:r>
        <w:rPr>
          <w:rFonts w:hint="eastAsia" w:ascii="宋体" w:hAnsi="宋体" w:eastAsia="宋体"/>
          <w:color w:val="auto"/>
          <w:sz w:val="24"/>
          <w:highlight w:val="none"/>
          <w:lang w:val="en-US"/>
        </w:rPr>
        <w:t>电子交易云</w:t>
      </w:r>
      <w:r>
        <w:rPr>
          <w:rFonts w:hint="eastAsia" w:ascii="宋体" w:hAnsi="宋体" w:eastAsia="宋体"/>
          <w:color w:val="auto"/>
          <w:sz w:val="24"/>
          <w:highlight w:val="none"/>
        </w:rPr>
        <w:t>平台</w:t>
      </w:r>
      <w:r>
        <w:rPr>
          <w:rFonts w:hint="eastAsia" w:ascii="宋体" w:hAnsi="宋体" w:eastAsia="宋体"/>
          <w:color w:val="auto"/>
          <w:sz w:val="24"/>
          <w:highlight w:val="none"/>
          <w:lang w:val="hr-HR"/>
        </w:rPr>
        <w:t>（</w:t>
      </w:r>
      <w:r>
        <w:rPr>
          <w:rFonts w:hint="eastAsia" w:ascii="宋体" w:hAnsi="宋体" w:eastAsia="宋体"/>
          <w:color w:val="auto"/>
          <w:sz w:val="24"/>
          <w:highlight w:val="none"/>
        </w:rPr>
        <w:t>网址</w:t>
      </w:r>
      <w:r>
        <w:rPr>
          <w:rFonts w:hint="eastAsia" w:ascii="宋体" w:hAnsi="宋体" w:eastAsia="宋体"/>
          <w:color w:val="auto"/>
          <w:sz w:val="24"/>
          <w:highlight w:val="none"/>
          <w:lang w:val="hr-HR"/>
        </w:rPr>
        <w:t>：https://www.zcygov.cn/）</w:t>
      </w:r>
      <w:r>
        <w:rPr>
          <w:rFonts w:hint="eastAsia" w:ascii="宋体" w:hAnsi="宋体" w:eastAsia="宋体"/>
          <w:color w:val="auto"/>
          <w:sz w:val="24"/>
          <w:highlight w:val="none"/>
        </w:rPr>
        <w:t>”电子交易规则调整，以最新要求为准。</w:t>
      </w:r>
    </w:p>
    <w:p w14:paraId="08AA0ABB">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w:t>
      </w:r>
      <w:r>
        <w:rPr>
          <w:rFonts w:hint="eastAsia" w:eastAsia="宋体"/>
          <w:color w:val="auto"/>
          <w:sz w:val="24"/>
          <w:highlight w:val="none"/>
          <w:lang w:val="en-US" w:eastAsia="zh-CN"/>
        </w:rPr>
        <w:t>0</w:t>
      </w:r>
      <w:r>
        <w:rPr>
          <w:rFonts w:hint="eastAsia" w:ascii="宋体" w:hAnsi="宋体" w:eastAsia="宋体"/>
          <w:color w:val="auto"/>
          <w:sz w:val="24"/>
          <w:highlight w:val="none"/>
          <w:lang w:val="en-US" w:eastAsia="zh-CN"/>
        </w:rPr>
        <w:t>.6 电子交易系统咨询：投标人应当充分考虑到电子投标可能会发生的各种问题和风险，特别是投标文件签署、提交等问题，</w:t>
      </w:r>
      <w:r>
        <w:rPr>
          <w:rFonts w:hint="eastAsia" w:eastAsia="宋体"/>
          <w:color w:val="auto"/>
          <w:sz w:val="24"/>
          <w:highlight w:val="none"/>
          <w:lang w:val="en-US" w:eastAsia="zh-CN"/>
        </w:rPr>
        <w:t>可</w:t>
      </w:r>
      <w:r>
        <w:rPr>
          <w:rFonts w:hint="eastAsia" w:ascii="宋体" w:hAnsi="宋体" w:eastAsia="宋体"/>
          <w:color w:val="auto"/>
          <w:sz w:val="24"/>
          <w:highlight w:val="none"/>
          <w:lang w:val="en-US" w:eastAsia="zh-CN"/>
        </w:rPr>
        <w:t>按照“</w:t>
      </w:r>
      <w:r>
        <w:rPr>
          <w:rFonts w:hint="eastAsia" w:eastAsia="宋体"/>
          <w:color w:val="auto"/>
          <w:sz w:val="24"/>
          <w:highlight w:val="none"/>
          <w:lang w:val="en-US" w:eastAsia="zh-CN"/>
        </w:rPr>
        <w:t>第一章 招标公告</w:t>
      </w:r>
      <w:r>
        <w:rPr>
          <w:rFonts w:hint="eastAsia" w:ascii="宋体" w:hAnsi="宋体" w:eastAsia="宋体"/>
          <w:color w:val="auto"/>
          <w:sz w:val="24"/>
          <w:highlight w:val="none"/>
          <w:lang w:val="en-US" w:eastAsia="zh-CN"/>
        </w:rPr>
        <w:t>”的</w:t>
      </w:r>
      <w:r>
        <w:rPr>
          <w:rFonts w:hint="eastAsia" w:eastAsia="宋体"/>
          <w:color w:val="auto"/>
          <w:sz w:val="24"/>
          <w:highlight w:val="none"/>
          <w:lang w:val="en-US" w:eastAsia="zh-CN"/>
        </w:rPr>
        <w:t>联系方式咨询相关人员</w:t>
      </w:r>
      <w:r>
        <w:rPr>
          <w:rFonts w:hint="eastAsia" w:ascii="宋体" w:hAnsi="宋体" w:eastAsia="宋体"/>
          <w:color w:val="auto"/>
          <w:sz w:val="24"/>
          <w:highlight w:val="none"/>
          <w:lang w:val="en-US" w:eastAsia="zh-CN"/>
        </w:rPr>
        <w:t>。</w:t>
      </w:r>
    </w:p>
    <w:p w14:paraId="39CA1037">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w:t>
      </w:r>
      <w:r>
        <w:rPr>
          <w:rFonts w:hint="eastAsia" w:eastAsia="宋体"/>
          <w:color w:val="auto"/>
          <w:sz w:val="24"/>
          <w:highlight w:val="none"/>
          <w:lang w:val="en-US" w:eastAsia="zh-CN"/>
        </w:rPr>
        <w:t>0</w:t>
      </w:r>
      <w:r>
        <w:rPr>
          <w:rFonts w:hint="eastAsia" w:ascii="宋体" w:hAnsi="宋体" w:eastAsia="宋体"/>
          <w:color w:val="auto"/>
          <w:sz w:val="24"/>
          <w:highlight w:val="none"/>
          <w:lang w:val="en-US" w:eastAsia="zh-CN"/>
        </w:rPr>
        <w:t>.7 由于本项目采用电子招标方式，潜在投标人的名单将在</w:t>
      </w:r>
      <w:r>
        <w:rPr>
          <w:rFonts w:hint="eastAsia" w:eastAsia="宋体"/>
          <w:color w:val="auto"/>
          <w:sz w:val="24"/>
          <w:highlight w:val="none"/>
          <w:lang w:val="en-US" w:eastAsia="zh-CN"/>
        </w:rPr>
        <w:t>提交</w:t>
      </w:r>
      <w:r>
        <w:rPr>
          <w:rFonts w:hint="eastAsia" w:ascii="宋体" w:hAnsi="宋体" w:eastAsia="宋体"/>
          <w:color w:val="auto"/>
          <w:sz w:val="24"/>
          <w:highlight w:val="none"/>
          <w:lang w:val="en-US" w:eastAsia="zh-CN"/>
        </w:rPr>
        <w:t>投标</w:t>
      </w:r>
      <w:r>
        <w:rPr>
          <w:rFonts w:hint="eastAsia" w:eastAsia="宋体"/>
          <w:color w:val="auto"/>
          <w:sz w:val="24"/>
          <w:highlight w:val="none"/>
          <w:lang w:val="en-US" w:eastAsia="zh-CN"/>
        </w:rPr>
        <w:t>文件</w:t>
      </w:r>
      <w:r>
        <w:rPr>
          <w:rFonts w:hint="eastAsia" w:ascii="宋体" w:hAnsi="宋体" w:eastAsia="宋体"/>
          <w:color w:val="auto"/>
          <w:sz w:val="24"/>
          <w:highlight w:val="none"/>
          <w:lang w:val="en-US" w:eastAsia="zh-CN"/>
        </w:rPr>
        <w:t>截止时间后才会解密。因此，采购人或采购代理机构无法通过传统的传真或邮件方式，将招标文件的澄清或修改内容逐一通知到每位已获取招标文件的潜在投标人。为确保信息的及时性和准确性，澄清或修改的内容将仅在政采云平台以更正公告的形式发布。潜在投标人需密切关注该网站，及时查看并下载相关更正公告。若因潜在投标人未能及时查看或下载相关更正公告，而导致的一切后果，将由潜在投标人自行承担。</w:t>
      </w:r>
    </w:p>
    <w:p w14:paraId="7A306C00">
      <w:pPr>
        <w:pStyle w:val="5"/>
        <w:keepNext w:val="0"/>
        <w:keepLines w:val="0"/>
        <w:pageBreakBefore w:val="0"/>
        <w:widowControl w:val="0"/>
        <w:numPr>
          <w:ilvl w:val="0"/>
          <w:numId w:val="0"/>
        </w:numPr>
        <w:kinsoku/>
        <w:wordWrap/>
        <w:overflowPunct/>
        <w:topLinePunct w:val="0"/>
        <w:autoSpaceDE/>
        <w:autoSpaceDN/>
        <w:bidi w:val="0"/>
        <w:adjustRightInd/>
        <w:snapToGrid/>
        <w:spacing w:before="180" w:after="180" w:line="240" w:lineRule="auto"/>
        <w:ind w:left="420" w:leftChars="0" w:hanging="420" w:firstLineChars="0"/>
        <w:textAlignment w:val="auto"/>
        <w:rPr>
          <w:rFonts w:hint="eastAsia" w:ascii="宋体" w:hAnsi="宋体" w:eastAsia="宋体" w:cs="宋体"/>
          <w:b/>
          <w:bCs/>
          <w:color w:val="auto"/>
          <w:kern w:val="2"/>
          <w:sz w:val="24"/>
          <w:szCs w:val="32"/>
          <w:highlight w:val="none"/>
          <w:lang w:val="en-US" w:eastAsia="zh-CN" w:bidi="ar-SA"/>
        </w:rPr>
      </w:pPr>
      <w:bookmarkStart w:id="147" w:name="_Toc163492834"/>
      <w:r>
        <w:rPr>
          <w:rFonts w:hint="eastAsia" w:ascii="宋体" w:hAnsi="宋体" w:eastAsia="宋体" w:cs="宋体"/>
          <w:b/>
          <w:bCs/>
          <w:color w:val="auto"/>
          <w:kern w:val="2"/>
          <w:sz w:val="24"/>
          <w:szCs w:val="32"/>
          <w:highlight w:val="none"/>
          <w:lang w:val="en-US" w:eastAsia="zh-CN" w:bidi="ar-SA"/>
        </w:rPr>
        <w:t>（二）招标文件</w:t>
      </w:r>
      <w:bookmarkEnd w:id="146"/>
      <w:bookmarkEnd w:id="147"/>
    </w:p>
    <w:p w14:paraId="08A2C6A4">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48" w:name="_Toc163492835"/>
      <w:bookmarkStart w:id="149" w:name="_Toc140132768"/>
      <w:r>
        <w:rPr>
          <w:rFonts w:hint="eastAsia" w:ascii="宋体" w:hAnsi="宋体" w:eastAsia="宋体" w:cs="宋体"/>
          <w:b/>
          <w:bCs/>
          <w:color w:val="auto"/>
          <w:kern w:val="2"/>
          <w:sz w:val="24"/>
          <w:szCs w:val="28"/>
          <w:highlight w:val="none"/>
          <w:lang w:val="en-US" w:eastAsia="zh-CN" w:bidi="ar-SA"/>
        </w:rPr>
        <w:t>11.招标文件的组成</w:t>
      </w:r>
      <w:bookmarkEnd w:id="148"/>
      <w:bookmarkEnd w:id="149"/>
    </w:p>
    <w:p w14:paraId="0FCCC628">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1</w:t>
      </w:r>
      <w:r>
        <w:rPr>
          <w:rFonts w:hint="eastAsia" w:eastAsia="宋体" w:cs="仿宋_GB2312"/>
          <w:color w:val="auto"/>
          <w:sz w:val="24"/>
          <w:szCs w:val="24"/>
          <w:highlight w:val="none"/>
        </w:rPr>
        <w:t>.1本招标文件包括下列文件及根据本章第9款、第</w:t>
      </w: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2</w:t>
      </w:r>
      <w:r>
        <w:rPr>
          <w:rFonts w:hint="eastAsia" w:eastAsia="宋体" w:cs="仿宋_GB2312"/>
          <w:color w:val="auto"/>
          <w:sz w:val="24"/>
          <w:szCs w:val="24"/>
          <w:highlight w:val="none"/>
        </w:rPr>
        <w:t>款对招标文件所作的澄清或者修改。</w:t>
      </w:r>
    </w:p>
    <w:p w14:paraId="5876B8A3">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 xml:space="preserve">第一章 </w:t>
      </w:r>
      <w:r>
        <w:rPr>
          <w:rFonts w:hint="eastAsia" w:eastAsia="宋体"/>
          <w:color w:val="auto"/>
          <w:sz w:val="24"/>
          <w:highlight w:val="none"/>
          <w:lang w:val="en-US" w:eastAsia="zh-CN"/>
        </w:rPr>
        <w:t>招标公告</w:t>
      </w:r>
    </w:p>
    <w:p w14:paraId="626801D6">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第二章 投标人须知</w:t>
      </w:r>
    </w:p>
    <w:p w14:paraId="5E339F13">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第三章 采购需求</w:t>
      </w:r>
    </w:p>
    <w:p w14:paraId="750A6D4C">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第四章 资格审查</w:t>
      </w:r>
    </w:p>
    <w:p w14:paraId="08BF9358">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第五章 评标</w:t>
      </w:r>
      <w:r>
        <w:rPr>
          <w:rFonts w:hint="eastAsia" w:eastAsia="宋体" w:cs="仿宋_GB2312"/>
          <w:color w:val="auto"/>
          <w:sz w:val="24"/>
          <w:szCs w:val="24"/>
          <w:highlight w:val="none"/>
          <w:lang w:val="en-US" w:eastAsia="zh-CN"/>
        </w:rPr>
        <w:t>方</w:t>
      </w:r>
      <w:r>
        <w:rPr>
          <w:rFonts w:hint="eastAsia" w:eastAsia="宋体" w:cs="仿宋_GB2312"/>
          <w:color w:val="auto"/>
          <w:sz w:val="24"/>
          <w:szCs w:val="24"/>
          <w:highlight w:val="none"/>
        </w:rPr>
        <w:t>法及标准</w:t>
      </w:r>
    </w:p>
    <w:p w14:paraId="3F57501F">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第六章 合同草案</w:t>
      </w:r>
    </w:p>
    <w:p w14:paraId="5855AFA7">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第七章 投标文件的格式</w:t>
      </w:r>
    </w:p>
    <w:p w14:paraId="78CADEE1">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50" w:name="_Toc140132769"/>
      <w:bookmarkStart w:id="151" w:name="_Toc163492836"/>
      <w:r>
        <w:rPr>
          <w:rFonts w:hint="eastAsia" w:ascii="宋体" w:hAnsi="宋体" w:eastAsia="宋体" w:cs="宋体"/>
          <w:b/>
          <w:bCs/>
          <w:color w:val="auto"/>
          <w:kern w:val="2"/>
          <w:sz w:val="24"/>
          <w:szCs w:val="28"/>
          <w:highlight w:val="none"/>
          <w:lang w:val="en-US" w:eastAsia="zh-CN" w:bidi="ar-SA"/>
        </w:rPr>
        <w:t>12.招标文件的询问、澄清或者修改</w:t>
      </w:r>
      <w:bookmarkEnd w:id="150"/>
      <w:bookmarkEnd w:id="151"/>
    </w:p>
    <w:p w14:paraId="2E6BAA48">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cs="仿宋_GB2312"/>
          <w:color w:val="auto"/>
          <w:sz w:val="24"/>
          <w:szCs w:val="24"/>
          <w:highlight w:val="none"/>
          <w:lang w:val="en-US" w:eastAsia="zh-CN"/>
        </w:rPr>
        <w:t>12</w:t>
      </w:r>
      <w:r>
        <w:rPr>
          <w:rFonts w:eastAsia="宋体" w:cs="仿宋_GB2312"/>
          <w:color w:val="auto"/>
          <w:sz w:val="24"/>
          <w:szCs w:val="24"/>
          <w:highlight w:val="none"/>
        </w:rPr>
        <w:t>.</w:t>
      </w:r>
      <w:r>
        <w:rPr>
          <w:rFonts w:hint="eastAsia" w:eastAsia="宋体" w:cs="仿宋_GB2312"/>
          <w:color w:val="auto"/>
          <w:sz w:val="24"/>
          <w:szCs w:val="24"/>
          <w:highlight w:val="none"/>
        </w:rPr>
        <w:t>1</w:t>
      </w:r>
      <w:r>
        <w:rPr>
          <w:rFonts w:eastAsia="宋体" w:cs="仿宋_GB2312"/>
          <w:color w:val="auto"/>
          <w:sz w:val="24"/>
          <w:szCs w:val="24"/>
          <w:highlight w:val="none"/>
        </w:rPr>
        <w:t>投标人如对招标文件内容有疑问，须在</w:t>
      </w:r>
      <w:r>
        <w:rPr>
          <w:rFonts w:hint="eastAsia" w:cs="仿宋_GB2312"/>
          <w:color w:val="auto"/>
          <w:sz w:val="24"/>
          <w:szCs w:val="24"/>
          <w:highlight w:val="none"/>
          <w:lang w:eastAsia="zh-CN"/>
        </w:rPr>
        <w:t>“</w:t>
      </w:r>
      <w:r>
        <w:rPr>
          <w:rFonts w:eastAsia="宋体" w:cs="仿宋_GB2312"/>
          <w:color w:val="auto"/>
          <w:sz w:val="24"/>
          <w:szCs w:val="24"/>
          <w:highlight w:val="none"/>
        </w:rPr>
        <w:t>投标人须知前附表</w:t>
      </w:r>
      <w:r>
        <w:rPr>
          <w:rFonts w:hint="eastAsia" w:cs="仿宋_GB2312"/>
          <w:color w:val="auto"/>
          <w:sz w:val="24"/>
          <w:szCs w:val="24"/>
          <w:highlight w:val="none"/>
          <w:lang w:eastAsia="zh-CN"/>
        </w:rPr>
        <w:t>”</w:t>
      </w:r>
      <w:r>
        <w:rPr>
          <w:rFonts w:eastAsia="宋体" w:cs="仿宋_GB2312"/>
          <w:color w:val="auto"/>
          <w:sz w:val="24"/>
          <w:szCs w:val="24"/>
          <w:highlight w:val="none"/>
        </w:rPr>
        <w:t>规定的</w:t>
      </w:r>
      <w:r>
        <w:rPr>
          <w:rFonts w:hint="eastAsia" w:eastAsia="宋体" w:cs="仿宋_GB2312"/>
          <w:color w:val="auto"/>
          <w:sz w:val="24"/>
          <w:szCs w:val="24"/>
          <w:highlight w:val="none"/>
        </w:rPr>
        <w:t>询问</w:t>
      </w:r>
      <w:r>
        <w:rPr>
          <w:rFonts w:hint="eastAsia" w:cs="仿宋_GB2312"/>
          <w:color w:val="auto"/>
          <w:sz w:val="24"/>
          <w:szCs w:val="24"/>
          <w:highlight w:val="none"/>
          <w:lang w:val="en-US" w:eastAsia="zh-CN"/>
        </w:rPr>
        <w:t>方式和</w:t>
      </w:r>
      <w:r>
        <w:rPr>
          <w:rFonts w:eastAsia="宋体" w:cs="仿宋_GB2312"/>
          <w:color w:val="auto"/>
          <w:sz w:val="24"/>
          <w:szCs w:val="24"/>
          <w:highlight w:val="none"/>
        </w:rPr>
        <w:t>时间提交给</w:t>
      </w:r>
      <w:r>
        <w:rPr>
          <w:rFonts w:hint="eastAsia" w:cs="仿宋_GB2312"/>
          <w:color w:val="auto"/>
          <w:sz w:val="24"/>
          <w:szCs w:val="24"/>
          <w:highlight w:val="none"/>
          <w:lang w:val="en-US" w:eastAsia="zh-CN"/>
        </w:rPr>
        <w:t>采购人或</w:t>
      </w:r>
      <w:r>
        <w:rPr>
          <w:rFonts w:eastAsia="宋体" w:cs="仿宋_GB2312"/>
          <w:color w:val="auto"/>
          <w:sz w:val="24"/>
          <w:szCs w:val="24"/>
          <w:highlight w:val="none"/>
        </w:rPr>
        <w:t>采购代理机构。</w:t>
      </w:r>
    </w:p>
    <w:p w14:paraId="6D964354">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cs="仿宋_GB2312"/>
          <w:color w:val="auto"/>
          <w:sz w:val="24"/>
          <w:szCs w:val="24"/>
          <w:highlight w:val="none"/>
          <w:lang w:val="en-US" w:eastAsia="zh-CN"/>
        </w:rPr>
        <w:t>12</w:t>
      </w:r>
      <w:r>
        <w:rPr>
          <w:rFonts w:eastAsia="宋体" w:cs="仿宋_GB2312"/>
          <w:color w:val="auto"/>
          <w:sz w:val="24"/>
          <w:szCs w:val="24"/>
          <w:highlight w:val="none"/>
        </w:rPr>
        <w:t>.</w:t>
      </w:r>
      <w:r>
        <w:rPr>
          <w:rFonts w:hint="eastAsia" w:eastAsia="宋体" w:cs="仿宋_GB2312"/>
          <w:color w:val="auto"/>
          <w:sz w:val="24"/>
          <w:szCs w:val="24"/>
          <w:highlight w:val="none"/>
        </w:rPr>
        <w:t>2采购人可主动地或在</w:t>
      </w:r>
      <w:r>
        <w:rPr>
          <w:rFonts w:hint="eastAsia" w:eastAsia="宋体" w:cs="仿宋_GB2312"/>
          <w:color w:val="auto"/>
          <w:sz w:val="24"/>
          <w:szCs w:val="24"/>
          <w:highlight w:val="none"/>
          <w:lang w:val="en-US" w:eastAsia="zh-CN"/>
        </w:rPr>
        <w:t>答复</w:t>
      </w:r>
      <w:r>
        <w:rPr>
          <w:rFonts w:hint="eastAsia" w:eastAsia="宋体" w:cs="仿宋_GB2312"/>
          <w:color w:val="auto"/>
          <w:sz w:val="24"/>
          <w:szCs w:val="24"/>
          <w:highlight w:val="none"/>
        </w:rPr>
        <w:t>投标人提出的</w:t>
      </w:r>
      <w:r>
        <w:rPr>
          <w:rFonts w:hint="eastAsia" w:eastAsia="宋体" w:cs="仿宋_GB2312"/>
          <w:color w:val="auto"/>
          <w:sz w:val="24"/>
          <w:szCs w:val="24"/>
          <w:highlight w:val="none"/>
          <w:lang w:val="en-US" w:eastAsia="zh-CN"/>
        </w:rPr>
        <w:t>询问</w:t>
      </w:r>
      <w:r>
        <w:rPr>
          <w:rFonts w:hint="eastAsia" w:eastAsia="宋体" w:cs="仿宋_GB2312"/>
          <w:color w:val="auto"/>
          <w:sz w:val="24"/>
          <w:szCs w:val="24"/>
          <w:highlight w:val="none"/>
        </w:rPr>
        <w:t>时对招标文件进行澄清与修改。</w:t>
      </w:r>
      <w:r>
        <w:rPr>
          <w:rFonts w:eastAsia="宋体" w:cs="仿宋_GB2312"/>
          <w:color w:val="auto"/>
          <w:sz w:val="24"/>
          <w:szCs w:val="24"/>
          <w:highlight w:val="none"/>
        </w:rPr>
        <w:t>采购代理机构将</w:t>
      </w:r>
      <w:r>
        <w:rPr>
          <w:rFonts w:hint="eastAsia" w:eastAsia="宋体" w:cs="仿宋_GB2312"/>
          <w:color w:val="auto"/>
          <w:sz w:val="24"/>
          <w:szCs w:val="24"/>
          <w:highlight w:val="none"/>
        </w:rPr>
        <w:t>在</w:t>
      </w:r>
      <w:r>
        <w:rPr>
          <w:rFonts w:hint="eastAsia" w:cs="仿宋_GB2312"/>
          <w:color w:val="auto"/>
          <w:sz w:val="24"/>
          <w:szCs w:val="24"/>
          <w:highlight w:val="none"/>
          <w:lang w:val="en-US" w:eastAsia="zh-CN"/>
        </w:rPr>
        <w:t>兵团政府采购云平台</w:t>
      </w:r>
      <w:r>
        <w:rPr>
          <w:rFonts w:hint="eastAsia" w:eastAsia="宋体" w:cs="仿宋_GB2312"/>
          <w:color w:val="auto"/>
          <w:sz w:val="24"/>
          <w:szCs w:val="24"/>
          <w:highlight w:val="none"/>
        </w:rPr>
        <w:t>以发布更正公告的方式澄清或修改招标文件，更正公告的</w:t>
      </w:r>
      <w:r>
        <w:rPr>
          <w:rFonts w:eastAsia="宋体" w:cs="仿宋_GB2312"/>
          <w:color w:val="auto"/>
          <w:sz w:val="24"/>
          <w:szCs w:val="24"/>
          <w:highlight w:val="none"/>
        </w:rPr>
        <w:t>内容</w:t>
      </w:r>
      <w:r>
        <w:rPr>
          <w:rFonts w:hint="eastAsia" w:eastAsia="宋体" w:cs="仿宋_GB2312"/>
          <w:color w:val="auto"/>
          <w:sz w:val="24"/>
          <w:szCs w:val="24"/>
          <w:highlight w:val="none"/>
        </w:rPr>
        <w:t>作</w:t>
      </w:r>
      <w:r>
        <w:rPr>
          <w:rFonts w:eastAsia="宋体" w:cs="仿宋_GB2312"/>
          <w:color w:val="auto"/>
          <w:sz w:val="24"/>
          <w:szCs w:val="24"/>
          <w:highlight w:val="none"/>
        </w:rPr>
        <w:t>为招标文件</w:t>
      </w:r>
      <w:r>
        <w:rPr>
          <w:rFonts w:hint="eastAsia" w:eastAsia="宋体" w:cs="仿宋_GB2312"/>
          <w:color w:val="auto"/>
          <w:sz w:val="24"/>
          <w:szCs w:val="24"/>
          <w:highlight w:val="none"/>
        </w:rPr>
        <w:t>的</w:t>
      </w:r>
      <w:r>
        <w:rPr>
          <w:rFonts w:eastAsia="宋体" w:cs="仿宋_GB2312"/>
          <w:color w:val="auto"/>
          <w:sz w:val="24"/>
          <w:szCs w:val="24"/>
          <w:highlight w:val="none"/>
        </w:rPr>
        <w:t>组成部分，对投标人起约束作用</w:t>
      </w:r>
      <w:r>
        <w:rPr>
          <w:rFonts w:hint="eastAsia" w:eastAsia="宋体" w:cs="仿宋_GB2312"/>
          <w:color w:val="auto"/>
          <w:sz w:val="24"/>
          <w:szCs w:val="24"/>
          <w:highlight w:val="none"/>
        </w:rPr>
        <w:t>。投标人应主动上网查询。采购代理机构不承担投标人未及时关注相关信息引发的相关责任。</w:t>
      </w:r>
    </w:p>
    <w:p w14:paraId="14950506">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2</w:t>
      </w:r>
      <w:r>
        <w:rPr>
          <w:rFonts w:hint="eastAsia" w:eastAsia="宋体" w:cs="仿宋_GB2312"/>
          <w:color w:val="auto"/>
          <w:sz w:val="24"/>
          <w:szCs w:val="24"/>
          <w:highlight w:val="none"/>
        </w:rPr>
        <w:t>.3 招标文件的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593F433F">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cs="仿宋_GB2312"/>
          <w:color w:val="auto"/>
          <w:sz w:val="24"/>
          <w:szCs w:val="24"/>
          <w:highlight w:val="none"/>
          <w:lang w:val="en-US" w:eastAsia="zh-CN"/>
        </w:rPr>
        <w:t>12</w:t>
      </w:r>
      <w:r>
        <w:rPr>
          <w:rFonts w:hint="eastAsia" w:eastAsia="宋体" w:cs="仿宋_GB2312"/>
          <w:color w:val="auto"/>
          <w:sz w:val="24"/>
          <w:szCs w:val="24"/>
          <w:highlight w:val="none"/>
        </w:rPr>
        <w:t>.</w:t>
      </w:r>
      <w:r>
        <w:rPr>
          <w:rFonts w:hint="eastAsia" w:cs="仿宋_GB2312"/>
          <w:color w:val="auto"/>
          <w:sz w:val="24"/>
          <w:szCs w:val="24"/>
          <w:highlight w:val="none"/>
          <w:lang w:val="en-US" w:eastAsia="zh-CN"/>
        </w:rPr>
        <w:t>4</w:t>
      </w:r>
      <w:r>
        <w:rPr>
          <w:rFonts w:hint="eastAsia" w:eastAsia="宋体" w:cs="仿宋_GB2312"/>
          <w:color w:val="auto"/>
          <w:sz w:val="24"/>
          <w:szCs w:val="24"/>
          <w:highlight w:val="none"/>
        </w:rPr>
        <w:t>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715B8664">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cs="仿宋_GB2312"/>
          <w:color w:val="auto"/>
          <w:sz w:val="24"/>
          <w:szCs w:val="24"/>
          <w:highlight w:val="none"/>
          <w:lang w:val="en-US" w:eastAsia="zh-CN"/>
        </w:rPr>
        <w:t>12.5</w:t>
      </w:r>
      <w:r>
        <w:rPr>
          <w:rFonts w:eastAsia="宋体" w:cs="仿宋_GB2312"/>
          <w:color w:val="auto"/>
          <w:sz w:val="24"/>
          <w:szCs w:val="24"/>
          <w:highlight w:val="none"/>
        </w:rPr>
        <w:t>对于没有提出</w:t>
      </w:r>
      <w:r>
        <w:rPr>
          <w:rFonts w:hint="eastAsia" w:eastAsia="宋体" w:cs="仿宋_GB2312"/>
          <w:color w:val="auto"/>
          <w:sz w:val="24"/>
          <w:szCs w:val="24"/>
          <w:highlight w:val="none"/>
        </w:rPr>
        <w:t>疑问</w:t>
      </w:r>
      <w:r>
        <w:rPr>
          <w:rFonts w:eastAsia="宋体" w:cs="仿宋_GB2312"/>
          <w:color w:val="auto"/>
          <w:sz w:val="24"/>
          <w:szCs w:val="24"/>
          <w:highlight w:val="none"/>
        </w:rPr>
        <w:t>又参与了</w:t>
      </w:r>
      <w:r>
        <w:rPr>
          <w:rFonts w:hint="eastAsia" w:eastAsia="宋体" w:cs="仿宋_GB2312"/>
          <w:color w:val="auto"/>
          <w:sz w:val="24"/>
          <w:szCs w:val="24"/>
          <w:highlight w:val="none"/>
        </w:rPr>
        <w:t>本</w:t>
      </w:r>
      <w:r>
        <w:rPr>
          <w:rFonts w:eastAsia="宋体" w:cs="仿宋_GB2312"/>
          <w:color w:val="auto"/>
          <w:sz w:val="24"/>
          <w:szCs w:val="24"/>
          <w:highlight w:val="none"/>
        </w:rPr>
        <w:t>项目投标的</w:t>
      </w:r>
      <w:r>
        <w:rPr>
          <w:rFonts w:hint="eastAsia" w:eastAsia="宋体" w:cs="仿宋_GB2312"/>
          <w:color w:val="auto"/>
          <w:sz w:val="24"/>
          <w:szCs w:val="24"/>
          <w:highlight w:val="none"/>
        </w:rPr>
        <w:t>投标人</w:t>
      </w:r>
      <w:r>
        <w:rPr>
          <w:rFonts w:eastAsia="宋体" w:cs="仿宋_GB2312"/>
          <w:color w:val="auto"/>
          <w:sz w:val="24"/>
          <w:szCs w:val="24"/>
          <w:highlight w:val="none"/>
        </w:rPr>
        <w:t>将被视为完全认同</w:t>
      </w:r>
      <w:r>
        <w:rPr>
          <w:rFonts w:hint="eastAsia" w:eastAsia="宋体" w:cs="仿宋_GB2312"/>
          <w:color w:val="auto"/>
          <w:sz w:val="24"/>
          <w:szCs w:val="24"/>
          <w:highlight w:val="none"/>
        </w:rPr>
        <w:t>本</w:t>
      </w:r>
      <w:r>
        <w:rPr>
          <w:rFonts w:eastAsia="宋体" w:cs="仿宋_GB2312"/>
          <w:color w:val="auto"/>
          <w:sz w:val="24"/>
          <w:szCs w:val="24"/>
          <w:highlight w:val="none"/>
        </w:rPr>
        <w:t>招标文件（含</w:t>
      </w:r>
      <w:r>
        <w:rPr>
          <w:rFonts w:hint="eastAsia" w:eastAsia="宋体" w:cs="仿宋_GB2312"/>
          <w:color w:val="auto"/>
          <w:sz w:val="24"/>
          <w:szCs w:val="24"/>
          <w:highlight w:val="none"/>
        </w:rPr>
        <w:t>更正公告的</w:t>
      </w:r>
      <w:r>
        <w:rPr>
          <w:rFonts w:eastAsia="宋体" w:cs="仿宋_GB2312"/>
          <w:color w:val="auto"/>
          <w:sz w:val="24"/>
          <w:szCs w:val="24"/>
          <w:highlight w:val="none"/>
        </w:rPr>
        <w:t>内容）</w:t>
      </w:r>
      <w:r>
        <w:rPr>
          <w:rFonts w:hint="eastAsia" w:eastAsia="宋体" w:cs="仿宋_GB2312"/>
          <w:color w:val="auto"/>
          <w:sz w:val="24"/>
          <w:szCs w:val="24"/>
          <w:highlight w:val="none"/>
        </w:rPr>
        <w:t>。</w:t>
      </w:r>
    </w:p>
    <w:p w14:paraId="6F274E6E">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color w:val="auto"/>
          <w:sz w:val="24"/>
          <w:highlight w:val="none"/>
        </w:rPr>
        <w:t>1</w:t>
      </w:r>
      <w:r>
        <w:rPr>
          <w:rFonts w:hint="eastAsia" w:eastAsia="宋体"/>
          <w:color w:val="auto"/>
          <w:sz w:val="24"/>
          <w:highlight w:val="none"/>
          <w:lang w:val="en-US" w:eastAsia="zh-CN"/>
        </w:rPr>
        <w:t>2</w:t>
      </w:r>
      <w:r>
        <w:rPr>
          <w:rFonts w:eastAsia="宋体"/>
          <w:color w:val="auto"/>
          <w:sz w:val="24"/>
          <w:highlight w:val="none"/>
        </w:rPr>
        <w:t>.</w:t>
      </w:r>
      <w:r>
        <w:rPr>
          <w:rFonts w:hint="eastAsia"/>
          <w:color w:val="auto"/>
          <w:sz w:val="24"/>
          <w:highlight w:val="none"/>
          <w:lang w:val="en-US" w:eastAsia="zh-CN"/>
        </w:rPr>
        <w:t>6</w:t>
      </w:r>
      <w:r>
        <w:rPr>
          <w:rFonts w:hint="eastAsia" w:eastAsia="宋体"/>
          <w:color w:val="auto"/>
          <w:sz w:val="24"/>
          <w:highlight w:val="none"/>
        </w:rPr>
        <w:t xml:space="preserve"> </w:t>
      </w:r>
      <w:r>
        <w:rPr>
          <w:rFonts w:hint="eastAsia" w:eastAsia="宋体" w:cs="仿宋_GB2312"/>
          <w:color w:val="auto"/>
          <w:sz w:val="24"/>
          <w:szCs w:val="24"/>
          <w:highlight w:val="none"/>
          <w:lang w:val="en-US" w:eastAsia="zh-CN"/>
        </w:rPr>
        <w:t>“</w:t>
      </w:r>
      <w:r>
        <w:rPr>
          <w:rFonts w:hint="eastAsia" w:eastAsia="宋体" w:cs="仿宋_GB2312"/>
          <w:color w:val="auto"/>
          <w:sz w:val="24"/>
          <w:szCs w:val="24"/>
          <w:highlight w:val="none"/>
        </w:rPr>
        <w:t>投标人须知”所称“</w:t>
      </w:r>
      <w:r>
        <w:rPr>
          <w:rFonts w:hint="eastAsia" w:eastAsia="宋体"/>
          <w:color w:val="auto"/>
          <w:sz w:val="24"/>
          <w:highlight w:val="none"/>
        </w:rPr>
        <w:t>书面形式</w:t>
      </w:r>
      <w:r>
        <w:rPr>
          <w:rFonts w:hint="eastAsia" w:eastAsia="宋体" w:cs="仿宋_GB2312"/>
          <w:color w:val="auto"/>
          <w:sz w:val="24"/>
          <w:szCs w:val="24"/>
          <w:highlight w:val="none"/>
        </w:rPr>
        <w:t>”</w:t>
      </w:r>
      <w:r>
        <w:rPr>
          <w:rFonts w:hint="eastAsia" w:eastAsia="宋体"/>
          <w:color w:val="auto"/>
          <w:sz w:val="24"/>
          <w:highlight w:val="none"/>
        </w:rPr>
        <w:t>包括系统消息、政府采购</w:t>
      </w:r>
      <w:r>
        <w:rPr>
          <w:rFonts w:hint="eastAsia" w:eastAsia="宋体"/>
          <w:color w:val="auto"/>
          <w:sz w:val="24"/>
          <w:highlight w:val="none"/>
          <w:lang w:val="en-US" w:eastAsia="zh-CN"/>
        </w:rPr>
        <w:t>云平台</w:t>
      </w:r>
      <w:r>
        <w:rPr>
          <w:rFonts w:hint="eastAsia" w:eastAsia="宋体"/>
          <w:color w:val="auto"/>
          <w:sz w:val="24"/>
          <w:highlight w:val="none"/>
        </w:rPr>
        <w:t>发布的公告。</w:t>
      </w:r>
    </w:p>
    <w:p w14:paraId="39FCE417">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lang w:val="en-US" w:eastAsia="zh-CN"/>
        </w:rPr>
        <w:t>12.7</w:t>
      </w:r>
      <w:r>
        <w:rPr>
          <w:rFonts w:hint="eastAsia" w:ascii="宋体" w:hAnsi="宋体" w:eastAsia="宋体" w:cs="宋体"/>
          <w:color w:val="auto"/>
          <w:kern w:val="2"/>
          <w:sz w:val="24"/>
          <w:szCs w:val="22"/>
          <w:highlight w:val="none"/>
        </w:rPr>
        <w:t>当招标文件的澄清、修改及其他答复等就同一内容的表述不一致时，以最后发布的内容为准。</w:t>
      </w:r>
    </w:p>
    <w:p w14:paraId="578320B0">
      <w:pPr>
        <w:pStyle w:val="5"/>
        <w:keepNext w:val="0"/>
        <w:keepLines w:val="0"/>
        <w:pageBreakBefore w:val="0"/>
        <w:widowControl w:val="0"/>
        <w:numPr>
          <w:ilvl w:val="0"/>
          <w:numId w:val="0"/>
        </w:numPr>
        <w:kinsoku/>
        <w:wordWrap/>
        <w:overflowPunct/>
        <w:topLinePunct w:val="0"/>
        <w:autoSpaceDE/>
        <w:autoSpaceDN/>
        <w:bidi w:val="0"/>
        <w:adjustRightInd/>
        <w:snapToGrid/>
        <w:spacing w:before="180" w:after="180" w:line="240" w:lineRule="auto"/>
        <w:ind w:left="420" w:leftChars="0" w:hanging="420" w:firstLineChars="0"/>
        <w:textAlignment w:val="auto"/>
        <w:rPr>
          <w:rFonts w:hint="eastAsia" w:ascii="宋体" w:hAnsi="宋体" w:eastAsia="宋体" w:cs="宋体"/>
          <w:b/>
          <w:bCs/>
          <w:color w:val="auto"/>
          <w:kern w:val="2"/>
          <w:sz w:val="24"/>
          <w:szCs w:val="32"/>
          <w:highlight w:val="none"/>
          <w:lang w:val="en-US" w:eastAsia="zh-CN" w:bidi="ar-SA"/>
        </w:rPr>
      </w:pPr>
      <w:bookmarkStart w:id="152" w:name="_Toc155185872"/>
      <w:bookmarkStart w:id="153" w:name="_Toc163492837"/>
      <w:r>
        <w:rPr>
          <w:rFonts w:hint="eastAsia" w:ascii="宋体" w:hAnsi="宋体" w:eastAsia="宋体" w:cs="宋体"/>
          <w:b/>
          <w:bCs/>
          <w:color w:val="auto"/>
          <w:kern w:val="2"/>
          <w:sz w:val="24"/>
          <w:szCs w:val="32"/>
          <w:highlight w:val="none"/>
          <w:lang w:val="en-US" w:eastAsia="zh-CN" w:bidi="ar-SA"/>
        </w:rPr>
        <w:t>（三）投标文件</w:t>
      </w:r>
      <w:bookmarkEnd w:id="152"/>
      <w:bookmarkEnd w:id="153"/>
    </w:p>
    <w:p w14:paraId="67D7EC68">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default" w:ascii="宋体" w:hAnsi="宋体" w:eastAsia="宋体" w:cs="宋体"/>
          <w:b/>
          <w:bCs/>
          <w:color w:val="auto"/>
          <w:kern w:val="2"/>
          <w:sz w:val="24"/>
          <w:szCs w:val="28"/>
          <w:highlight w:val="none"/>
          <w:lang w:val="en-US" w:eastAsia="zh-CN" w:bidi="ar-SA"/>
        </w:rPr>
      </w:pPr>
      <w:bookmarkStart w:id="154" w:name="_Toc163492838"/>
      <w:r>
        <w:rPr>
          <w:rFonts w:hint="eastAsia" w:ascii="宋体" w:hAnsi="宋体" w:eastAsia="宋体" w:cs="宋体"/>
          <w:b/>
          <w:bCs/>
          <w:color w:val="auto"/>
          <w:kern w:val="2"/>
          <w:sz w:val="24"/>
          <w:szCs w:val="28"/>
          <w:highlight w:val="none"/>
          <w:lang w:val="en-US" w:eastAsia="zh-CN" w:bidi="ar-SA"/>
        </w:rPr>
        <w:t>13.投标文件的组成</w:t>
      </w:r>
      <w:bookmarkEnd w:id="154"/>
    </w:p>
    <w:p w14:paraId="174A0A3D">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bookmarkStart w:id="155" w:name="_Toc140132772"/>
      <w:bookmarkStart w:id="156" w:name="_Toc163492839"/>
      <w:r>
        <w:rPr>
          <w:rFonts w:hint="eastAsia" w:ascii="宋体" w:hAnsi="宋体" w:eastAsia="宋体" w:cs="宋体"/>
          <w:color w:val="auto"/>
          <w:kern w:val="2"/>
          <w:sz w:val="24"/>
          <w:szCs w:val="22"/>
          <w:highlight w:val="none"/>
          <w:lang w:val="en-US" w:eastAsia="zh-CN"/>
        </w:rPr>
        <w:t>13</w:t>
      </w:r>
      <w:r>
        <w:rPr>
          <w:rFonts w:hint="eastAsia" w:ascii="宋体" w:hAnsi="宋体" w:eastAsia="宋体" w:cs="宋体"/>
          <w:color w:val="auto"/>
          <w:kern w:val="2"/>
          <w:sz w:val="24"/>
          <w:szCs w:val="22"/>
          <w:highlight w:val="none"/>
        </w:rPr>
        <w:t>.1投标人应完整地按招标文件提供的投标文件格式及要求编写投标文件，具体内容详见</w:t>
      </w:r>
      <w:r>
        <w:rPr>
          <w:rFonts w:hint="eastAsia" w:ascii="宋体" w:hAnsi="宋体" w:eastAsia="宋体" w:cs="宋体"/>
          <w:color w:val="auto"/>
          <w:kern w:val="2"/>
          <w:sz w:val="24"/>
          <w:szCs w:val="22"/>
          <w:highlight w:val="none"/>
          <w:lang w:eastAsia="zh-CN"/>
        </w:rPr>
        <w:t>“</w:t>
      </w:r>
      <w:r>
        <w:rPr>
          <w:rFonts w:hint="eastAsia" w:ascii="宋体" w:hAnsi="宋体" w:eastAsia="宋体" w:cs="宋体"/>
          <w:color w:val="auto"/>
          <w:kern w:val="2"/>
          <w:sz w:val="24"/>
          <w:szCs w:val="22"/>
          <w:highlight w:val="none"/>
          <w:lang w:val="en-US" w:eastAsia="zh-CN"/>
        </w:rPr>
        <w:t xml:space="preserve">第七章 </w:t>
      </w:r>
      <w:r>
        <w:rPr>
          <w:rFonts w:hint="eastAsia" w:ascii="宋体" w:hAnsi="宋体" w:eastAsia="宋体" w:cs="宋体"/>
          <w:color w:val="auto"/>
          <w:kern w:val="2"/>
          <w:sz w:val="24"/>
          <w:szCs w:val="22"/>
          <w:highlight w:val="none"/>
        </w:rPr>
        <w:t>投标文件格式</w:t>
      </w:r>
      <w:r>
        <w:rPr>
          <w:rFonts w:hint="eastAsia" w:ascii="宋体" w:hAnsi="宋体" w:eastAsia="宋体" w:cs="宋体"/>
          <w:color w:val="auto"/>
          <w:kern w:val="2"/>
          <w:sz w:val="24"/>
          <w:szCs w:val="22"/>
          <w:highlight w:val="none"/>
          <w:lang w:eastAsia="zh-CN"/>
        </w:rPr>
        <w:t>”</w:t>
      </w:r>
      <w:r>
        <w:rPr>
          <w:rFonts w:hint="eastAsia" w:ascii="宋体" w:hAnsi="宋体" w:eastAsia="宋体" w:cs="宋体"/>
          <w:color w:val="auto"/>
          <w:kern w:val="2"/>
          <w:sz w:val="24"/>
          <w:szCs w:val="22"/>
          <w:highlight w:val="none"/>
        </w:rPr>
        <w:t>的相关内容。</w:t>
      </w:r>
    </w:p>
    <w:p w14:paraId="3BB3A0B7">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13.2</w:t>
      </w:r>
      <w:r>
        <w:rPr>
          <w:rFonts w:hint="eastAsia" w:ascii="宋体" w:hAnsi="宋体" w:eastAsia="宋体" w:cs="宋体"/>
          <w:color w:val="auto"/>
          <w:kern w:val="2"/>
          <w:sz w:val="24"/>
          <w:szCs w:val="22"/>
          <w:highlight w:val="none"/>
        </w:rPr>
        <w:t>投标人应提交招标文件要求的证明文件，证明其投标内容符合招标文件规定</w:t>
      </w:r>
      <w:r>
        <w:rPr>
          <w:rFonts w:hint="eastAsia" w:ascii="宋体" w:hAnsi="宋体" w:eastAsia="宋体" w:cs="宋体"/>
          <w:color w:val="auto"/>
          <w:kern w:val="2"/>
          <w:sz w:val="24"/>
          <w:szCs w:val="22"/>
          <w:highlight w:val="none"/>
          <w:lang w:eastAsia="zh-CN"/>
        </w:rPr>
        <w:t>，</w:t>
      </w:r>
      <w:r>
        <w:rPr>
          <w:rFonts w:hint="eastAsia" w:ascii="宋体" w:hAnsi="宋体" w:eastAsia="宋体" w:cs="宋体"/>
          <w:color w:val="auto"/>
          <w:kern w:val="2"/>
          <w:sz w:val="24"/>
          <w:szCs w:val="22"/>
          <w:highlight w:val="none"/>
        </w:rPr>
        <w:t>该证明文件是投标文件的一部分</w:t>
      </w:r>
      <w:r>
        <w:rPr>
          <w:rFonts w:hint="eastAsia" w:ascii="宋体" w:hAnsi="宋体" w:eastAsia="宋体" w:cs="宋体"/>
          <w:color w:val="auto"/>
          <w:kern w:val="2"/>
          <w:sz w:val="24"/>
          <w:szCs w:val="22"/>
          <w:highlight w:val="none"/>
          <w:lang w:eastAsia="zh-CN"/>
        </w:rPr>
        <w:t>。</w:t>
      </w:r>
      <w:r>
        <w:rPr>
          <w:rFonts w:hint="eastAsia" w:ascii="宋体" w:hAnsi="宋体" w:eastAsia="宋体" w:cs="宋体"/>
          <w:color w:val="auto"/>
          <w:kern w:val="2"/>
          <w:sz w:val="24"/>
          <w:szCs w:val="22"/>
          <w:highlight w:val="none"/>
        </w:rPr>
        <w:t>证明文件</w:t>
      </w:r>
      <w:r>
        <w:rPr>
          <w:rFonts w:hint="eastAsia" w:ascii="宋体" w:hAnsi="宋体" w:eastAsia="宋体" w:cs="宋体"/>
          <w:color w:val="auto"/>
          <w:kern w:val="2"/>
          <w:sz w:val="24"/>
          <w:szCs w:val="22"/>
          <w:highlight w:val="none"/>
          <w:lang w:val="en-US" w:eastAsia="zh-CN"/>
        </w:rPr>
        <w:t>形式</w:t>
      </w:r>
      <w:r>
        <w:rPr>
          <w:rFonts w:hint="eastAsia" w:ascii="宋体" w:hAnsi="宋体" w:eastAsia="宋体" w:cs="宋体"/>
          <w:color w:val="auto"/>
          <w:kern w:val="2"/>
          <w:sz w:val="24"/>
          <w:szCs w:val="22"/>
          <w:highlight w:val="none"/>
        </w:rPr>
        <w:t>可以是文字资料、图纸和数据</w:t>
      </w:r>
      <w:bookmarkStart w:id="157" w:name="_Hlk11703583"/>
      <w:r>
        <w:rPr>
          <w:rFonts w:hint="eastAsia" w:ascii="宋体" w:hAnsi="宋体" w:eastAsia="宋体" w:cs="宋体"/>
          <w:color w:val="auto"/>
          <w:kern w:val="2"/>
          <w:sz w:val="24"/>
          <w:szCs w:val="22"/>
          <w:highlight w:val="none"/>
          <w:lang w:val="en-US" w:eastAsia="zh-CN"/>
        </w:rPr>
        <w:t>等。</w:t>
      </w:r>
    </w:p>
    <w:bookmarkEnd w:id="157"/>
    <w:p w14:paraId="781BBAEB">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13.3</w:t>
      </w:r>
      <w:r>
        <w:rPr>
          <w:rFonts w:hint="eastAsia" w:ascii="宋体" w:hAnsi="宋体" w:eastAsia="宋体" w:cs="宋体"/>
          <w:color w:val="auto"/>
          <w:kern w:val="2"/>
          <w:sz w:val="24"/>
          <w:szCs w:val="22"/>
          <w:highlight w:val="none"/>
        </w:rPr>
        <w:t>为保证公平公正，除非</w:t>
      </w:r>
      <w:r>
        <w:rPr>
          <w:rFonts w:hint="eastAsia" w:ascii="宋体" w:hAnsi="宋体" w:eastAsia="宋体" w:cs="宋体"/>
          <w:color w:val="auto"/>
          <w:kern w:val="2"/>
          <w:sz w:val="24"/>
          <w:szCs w:val="22"/>
          <w:highlight w:val="none"/>
          <w:lang w:val="en-US" w:eastAsia="zh-CN"/>
        </w:rPr>
        <w:t>本招标文件</w:t>
      </w:r>
      <w:r>
        <w:rPr>
          <w:rFonts w:hint="eastAsia" w:ascii="宋体" w:hAnsi="宋体" w:eastAsia="宋体" w:cs="宋体"/>
          <w:color w:val="auto"/>
          <w:kern w:val="2"/>
          <w:sz w:val="24"/>
          <w:szCs w:val="22"/>
          <w:highlight w:val="none"/>
        </w:rPr>
        <w:t>另有规定或说明，投标人对同一项目投标时，不得同时提供备选投标方案。</w:t>
      </w:r>
    </w:p>
    <w:p w14:paraId="2DB5A9E4">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r>
        <w:rPr>
          <w:rFonts w:hint="eastAsia" w:ascii="宋体" w:hAnsi="宋体" w:eastAsia="宋体" w:cs="宋体"/>
          <w:b/>
          <w:bCs/>
          <w:color w:val="auto"/>
          <w:kern w:val="2"/>
          <w:sz w:val="24"/>
          <w:szCs w:val="28"/>
          <w:highlight w:val="none"/>
          <w:lang w:val="en-US" w:eastAsia="zh-CN" w:bidi="ar-SA"/>
        </w:rPr>
        <w:t>14.投标报价</w:t>
      </w:r>
      <w:bookmarkEnd w:id="155"/>
      <w:bookmarkEnd w:id="156"/>
    </w:p>
    <w:p w14:paraId="3BD2CDC3">
      <w:pPr>
        <w:keepNext w:val="0"/>
        <w:keepLines w:val="0"/>
        <w:pageBreakBefore w:val="0"/>
        <w:widowControl w:val="0"/>
        <w:kinsoku/>
        <w:overflowPunct/>
        <w:topLinePunct w:val="0"/>
        <w:autoSpaceDE/>
        <w:autoSpaceDN/>
        <w:bidi w:val="0"/>
        <w:adjustRightInd/>
        <w:ind w:firstLine="480" w:firstLineChars="200"/>
        <w:textAlignment w:val="auto"/>
        <w:rPr>
          <w:rFonts w:eastAsia="宋体" w:cs="宋体"/>
          <w:snapToGrid w:val="0"/>
          <w:color w:val="auto"/>
          <w:sz w:val="24"/>
          <w:szCs w:val="24"/>
          <w:highlight w:val="none"/>
          <w:lang w:val="zh-CN"/>
        </w:rPr>
      </w:pPr>
      <w:r>
        <w:rPr>
          <w:rFonts w:eastAsia="宋体" w:cs="宋体"/>
          <w:snapToGrid w:val="0"/>
          <w:color w:val="auto"/>
          <w:sz w:val="24"/>
          <w:szCs w:val="24"/>
          <w:highlight w:val="none"/>
        </w:rPr>
        <w:t>1</w:t>
      </w:r>
      <w:r>
        <w:rPr>
          <w:rFonts w:hint="eastAsia" w:eastAsia="宋体" w:cs="宋体"/>
          <w:snapToGrid w:val="0"/>
          <w:color w:val="auto"/>
          <w:sz w:val="24"/>
          <w:szCs w:val="24"/>
          <w:highlight w:val="none"/>
          <w:lang w:val="en-US" w:eastAsia="zh-CN"/>
        </w:rPr>
        <w:t>4</w:t>
      </w:r>
      <w:r>
        <w:rPr>
          <w:rFonts w:hint="eastAsia" w:eastAsia="宋体" w:cs="宋体"/>
          <w:snapToGrid w:val="0"/>
          <w:color w:val="auto"/>
          <w:sz w:val="24"/>
          <w:szCs w:val="24"/>
          <w:highlight w:val="none"/>
        </w:rPr>
        <w:t xml:space="preserve">.1 </w:t>
      </w:r>
      <w:r>
        <w:rPr>
          <w:rFonts w:hint="eastAsia" w:eastAsia="宋体" w:cs="宋体"/>
          <w:snapToGrid w:val="0"/>
          <w:color w:val="auto"/>
          <w:sz w:val="24"/>
          <w:szCs w:val="24"/>
          <w:highlight w:val="none"/>
          <w:lang w:val="zh-CN"/>
        </w:rPr>
        <w:t>投标人的报价均应以人民币进行报价。</w:t>
      </w:r>
    </w:p>
    <w:p w14:paraId="6CC00543">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宋体"/>
          <w:snapToGrid w:val="0"/>
          <w:color w:val="auto"/>
          <w:sz w:val="24"/>
          <w:szCs w:val="24"/>
          <w:highlight w:val="none"/>
        </w:rPr>
      </w:pPr>
      <w:r>
        <w:rPr>
          <w:rFonts w:eastAsia="宋体" w:cs="宋体"/>
          <w:snapToGrid w:val="0"/>
          <w:color w:val="auto"/>
          <w:sz w:val="24"/>
          <w:szCs w:val="24"/>
          <w:highlight w:val="none"/>
        </w:rPr>
        <w:t>1</w:t>
      </w:r>
      <w:r>
        <w:rPr>
          <w:rFonts w:hint="eastAsia" w:eastAsia="宋体" w:cs="宋体"/>
          <w:snapToGrid w:val="0"/>
          <w:color w:val="auto"/>
          <w:sz w:val="24"/>
          <w:szCs w:val="24"/>
          <w:highlight w:val="none"/>
          <w:lang w:val="en-US" w:eastAsia="zh-CN"/>
        </w:rPr>
        <w:t>4</w:t>
      </w:r>
      <w:r>
        <w:rPr>
          <w:rFonts w:hint="eastAsia" w:eastAsia="宋体" w:cs="宋体"/>
          <w:snapToGrid w:val="0"/>
          <w:color w:val="auto"/>
          <w:sz w:val="24"/>
          <w:szCs w:val="24"/>
          <w:highlight w:val="none"/>
        </w:rPr>
        <w:t>.2 投标人应按照本招标文件规定的报价方式进行报价，投标报价中不得包含招标文件要求以外的内容，否则，在评标时不予核减。投标报价中也不得</w:t>
      </w:r>
      <w:r>
        <w:rPr>
          <w:rFonts w:hint="eastAsia" w:eastAsia="宋体" w:cs="宋体"/>
          <w:snapToGrid w:val="0"/>
          <w:color w:val="auto"/>
          <w:sz w:val="24"/>
          <w:szCs w:val="24"/>
          <w:highlight w:val="none"/>
          <w:lang w:val="en-US" w:eastAsia="zh-CN"/>
        </w:rPr>
        <w:t>缺</w:t>
      </w:r>
      <w:r>
        <w:rPr>
          <w:rFonts w:hint="eastAsia" w:eastAsia="宋体" w:cs="宋体"/>
          <w:snapToGrid w:val="0"/>
          <w:color w:val="auto"/>
          <w:sz w:val="24"/>
          <w:szCs w:val="24"/>
          <w:highlight w:val="none"/>
        </w:rPr>
        <w:t>漏招标文件所要求的内容，否则其</w:t>
      </w:r>
      <w:r>
        <w:rPr>
          <w:rFonts w:hint="eastAsia" w:eastAsia="宋体" w:cs="宋体"/>
          <w:b/>
          <w:bCs/>
          <w:snapToGrid w:val="0"/>
          <w:color w:val="auto"/>
          <w:sz w:val="24"/>
          <w:szCs w:val="24"/>
          <w:highlight w:val="none"/>
        </w:rPr>
        <w:t>投标无效</w:t>
      </w:r>
      <w:r>
        <w:rPr>
          <w:rFonts w:hint="eastAsia" w:eastAsia="宋体" w:cs="宋体"/>
          <w:snapToGrid w:val="0"/>
          <w:color w:val="auto"/>
          <w:sz w:val="24"/>
          <w:szCs w:val="24"/>
          <w:highlight w:val="none"/>
        </w:rPr>
        <w:t>。</w:t>
      </w:r>
    </w:p>
    <w:p w14:paraId="1197AD09">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kern w:val="2"/>
          <w:sz w:val="24"/>
          <w:szCs w:val="22"/>
          <w:highlight w:val="none"/>
        </w:rPr>
      </w:pPr>
      <w:r>
        <w:rPr>
          <w:rFonts w:hint="eastAsia" w:eastAsia="宋体" w:cs="宋体"/>
          <w:color w:val="auto"/>
          <w:kern w:val="2"/>
          <w:sz w:val="24"/>
          <w:szCs w:val="22"/>
          <w:highlight w:val="none"/>
          <w:lang w:val="en-US" w:eastAsia="zh-CN"/>
        </w:rPr>
        <w:t>投标人的报价应包括为完成本项目所发生的一切费用和税费，采购人将不再支付报价以外的任何费用。</w:t>
      </w:r>
      <w:r>
        <w:rPr>
          <w:rFonts w:hint="eastAsia" w:ascii="宋体" w:hAnsi="宋体" w:eastAsia="宋体" w:cs="宋体"/>
          <w:color w:val="auto"/>
          <w:kern w:val="2"/>
          <w:sz w:val="24"/>
          <w:szCs w:val="22"/>
          <w:highlight w:val="none"/>
        </w:rPr>
        <w:t>只要投报了一个确定数额的总价，无论分项价格是否全部填报了相应的金额或免费字样，</w:t>
      </w:r>
      <w:r>
        <w:rPr>
          <w:rFonts w:hint="eastAsia" w:eastAsia="宋体" w:cs="宋体"/>
          <w:color w:val="auto"/>
          <w:kern w:val="2"/>
          <w:sz w:val="24"/>
          <w:szCs w:val="22"/>
          <w:highlight w:val="none"/>
          <w:lang w:val="en-US" w:eastAsia="zh-CN"/>
        </w:rPr>
        <w:t>该报价应被视为已包含但不限</w:t>
      </w:r>
      <w:r>
        <w:rPr>
          <w:rFonts w:hint="eastAsia" w:ascii="宋体" w:hAnsi="宋体" w:eastAsia="宋体" w:cs="宋体"/>
          <w:color w:val="auto"/>
          <w:kern w:val="2"/>
          <w:sz w:val="24"/>
          <w:szCs w:val="22"/>
          <w:highlight w:val="none"/>
        </w:rPr>
        <w:t>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14:paraId="41BDFD38">
      <w:pPr>
        <w:pStyle w:val="10"/>
        <w:keepNext w:val="0"/>
        <w:keepLines w:val="0"/>
        <w:pageBreakBefore w:val="0"/>
        <w:widowControl w:val="0"/>
        <w:kinsoku/>
        <w:overflowPunct/>
        <w:topLinePunct w:val="0"/>
        <w:autoSpaceDE/>
        <w:autoSpaceDN/>
        <w:bidi w:val="0"/>
        <w:adjustRightInd/>
        <w:textAlignment w:val="auto"/>
        <w:rPr>
          <w:rFonts w:hint="eastAsia" w:eastAsia="宋体" w:cs="宋体"/>
          <w:color w:val="auto"/>
          <w:kern w:val="2"/>
          <w:sz w:val="24"/>
          <w:szCs w:val="22"/>
          <w:highlight w:val="none"/>
          <w:lang w:val="en-US" w:eastAsia="zh-CN"/>
        </w:rPr>
      </w:pPr>
      <w:r>
        <w:rPr>
          <w:rFonts w:hint="eastAsia" w:eastAsia="宋体" w:cs="宋体"/>
          <w:color w:val="auto"/>
          <w:kern w:val="2"/>
          <w:sz w:val="24"/>
          <w:szCs w:val="22"/>
          <w:highlight w:val="none"/>
          <w:lang w:val="en-US" w:eastAsia="zh-CN"/>
        </w:rPr>
        <w:t xml:space="preserve">投标人的报价应包括但不限于下列内容： </w:t>
      </w:r>
    </w:p>
    <w:p w14:paraId="4342C0DA">
      <w:pPr>
        <w:pStyle w:val="10"/>
        <w:keepNext w:val="0"/>
        <w:keepLines w:val="0"/>
        <w:pageBreakBefore w:val="0"/>
        <w:widowControl w:val="0"/>
        <w:kinsoku/>
        <w:overflowPunct/>
        <w:topLinePunct w:val="0"/>
        <w:autoSpaceDE/>
        <w:autoSpaceDN/>
        <w:bidi w:val="0"/>
        <w:adjustRightInd/>
        <w:textAlignment w:val="auto"/>
        <w:rPr>
          <w:rFonts w:hint="eastAsia" w:eastAsia="宋体" w:cs="宋体"/>
          <w:color w:val="auto"/>
          <w:kern w:val="2"/>
          <w:sz w:val="24"/>
          <w:szCs w:val="22"/>
          <w:highlight w:val="none"/>
          <w:lang w:val="en-US" w:eastAsia="zh-CN"/>
        </w:rPr>
      </w:pPr>
      <w:r>
        <w:rPr>
          <w:rFonts w:hint="eastAsia" w:ascii="宋体" w:hAnsi="宋体" w:eastAsia="宋体" w:cs="宋体"/>
          <w:snapToGrid w:val="0"/>
          <w:color w:val="auto"/>
          <w:kern w:val="2"/>
          <w:sz w:val="24"/>
          <w:szCs w:val="24"/>
          <w:highlight w:val="none"/>
          <w:lang w:val="en-US" w:eastAsia="zh-CN" w:bidi="ar-SA"/>
        </w:rPr>
        <w:t>14.2.1 投标货物及标准附件、备品备件、专用工具等的出厂价（包括已在中</w:t>
      </w:r>
      <w:r>
        <w:rPr>
          <w:rFonts w:hint="eastAsia" w:eastAsia="宋体" w:cs="宋体"/>
          <w:color w:val="auto"/>
          <w:kern w:val="2"/>
          <w:sz w:val="24"/>
          <w:szCs w:val="22"/>
          <w:highlight w:val="none"/>
          <w:lang w:val="en-US" w:eastAsia="zh-CN"/>
        </w:rPr>
        <w:t xml:space="preserve">国国内的进口货物完税后的仓库交货价、展室交货价或货架交货价）和运至最终目的地的运输费和保险费，安装调试、检验、技术服务、培训、质量保证、售后服务、税费等； </w:t>
      </w:r>
    </w:p>
    <w:p w14:paraId="412F0384">
      <w:pPr>
        <w:pStyle w:val="1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14.2.2 按照招标文件要求完成本项目的全部相关费用。</w:t>
      </w:r>
    </w:p>
    <w:p w14:paraId="3EFD841C">
      <w:pPr>
        <w:keepNext w:val="0"/>
        <w:keepLines w:val="0"/>
        <w:pageBreakBefore w:val="0"/>
        <w:widowControl w:val="0"/>
        <w:kinsoku/>
        <w:overflowPunct/>
        <w:topLinePunct w:val="0"/>
        <w:autoSpaceDE/>
        <w:autoSpaceDN/>
        <w:bidi w:val="0"/>
        <w:adjustRightInd/>
        <w:ind w:firstLine="480" w:firstLineChars="200"/>
        <w:textAlignment w:val="auto"/>
        <w:rPr>
          <w:rFonts w:eastAsia="宋体" w:cs="宋体"/>
          <w:snapToGrid w:val="0"/>
          <w:color w:val="auto"/>
          <w:sz w:val="24"/>
          <w:szCs w:val="24"/>
          <w:highlight w:val="none"/>
          <w:lang w:val="zh-CN"/>
        </w:rPr>
      </w:pPr>
      <w:r>
        <w:rPr>
          <w:rFonts w:eastAsia="宋体" w:cs="宋体"/>
          <w:snapToGrid w:val="0"/>
          <w:color w:val="auto"/>
          <w:sz w:val="24"/>
          <w:szCs w:val="24"/>
          <w:highlight w:val="none"/>
        </w:rPr>
        <w:t>1</w:t>
      </w:r>
      <w:r>
        <w:rPr>
          <w:rFonts w:hint="eastAsia" w:eastAsia="宋体" w:cs="宋体"/>
          <w:snapToGrid w:val="0"/>
          <w:color w:val="auto"/>
          <w:sz w:val="24"/>
          <w:szCs w:val="24"/>
          <w:highlight w:val="none"/>
          <w:lang w:val="en-US" w:eastAsia="zh-CN"/>
        </w:rPr>
        <w:t>4</w:t>
      </w:r>
      <w:r>
        <w:rPr>
          <w:rFonts w:hint="eastAsia" w:eastAsia="宋体" w:cs="宋体"/>
          <w:snapToGrid w:val="0"/>
          <w:color w:val="auto"/>
          <w:sz w:val="24"/>
          <w:szCs w:val="24"/>
          <w:highlight w:val="none"/>
        </w:rPr>
        <w:t xml:space="preserve">.3 </w:t>
      </w:r>
      <w:r>
        <w:rPr>
          <w:rFonts w:hint="eastAsia" w:ascii="宋体" w:hAnsi="宋体" w:eastAsia="宋体" w:cs="宋体"/>
          <w:color w:val="auto"/>
          <w:kern w:val="2"/>
          <w:sz w:val="24"/>
          <w:szCs w:val="22"/>
          <w:highlight w:val="none"/>
        </w:rPr>
        <w:t>投标人须严格按照</w:t>
      </w:r>
      <w:r>
        <w:rPr>
          <w:rFonts w:hint="eastAsia" w:eastAsia="宋体" w:cs="宋体"/>
          <w:color w:val="auto"/>
          <w:kern w:val="2"/>
          <w:sz w:val="24"/>
          <w:szCs w:val="22"/>
          <w:highlight w:val="none"/>
          <w:lang w:val="en-US" w:eastAsia="zh-CN"/>
        </w:rPr>
        <w:t>分项</w:t>
      </w:r>
      <w:r>
        <w:rPr>
          <w:rFonts w:hint="eastAsia" w:ascii="宋体" w:hAnsi="宋体" w:eastAsia="宋体" w:cs="宋体"/>
          <w:color w:val="auto"/>
          <w:kern w:val="2"/>
          <w:sz w:val="24"/>
          <w:szCs w:val="22"/>
          <w:highlight w:val="none"/>
        </w:rPr>
        <w:t>报价表规定的内容填写货物单价以及其他事项。</w:t>
      </w:r>
      <w:r>
        <w:rPr>
          <w:rFonts w:hint="eastAsia" w:eastAsia="宋体" w:cs="宋体"/>
          <w:snapToGrid w:val="0"/>
          <w:color w:val="auto"/>
          <w:sz w:val="24"/>
          <w:szCs w:val="24"/>
          <w:highlight w:val="none"/>
          <w:lang w:val="zh-CN"/>
        </w:rPr>
        <w:t>投标人应根据本招标文件的规定和要求、市场价格水平及其走势、投标人的管理水平、投标人的方案和由这些因素决定的投标人之于本项目的成本水平等提出自己的报价。报价应合理，并包含完成本招标文件采购需求全部内容的所有费用，所有根据本招标文件或其它原因应由投标人支付的税款和其他应</w:t>
      </w:r>
      <w:r>
        <w:rPr>
          <w:rFonts w:hint="eastAsia" w:eastAsia="宋体" w:cs="宋体"/>
          <w:snapToGrid w:val="0"/>
          <w:color w:val="auto"/>
          <w:sz w:val="24"/>
          <w:szCs w:val="24"/>
          <w:highlight w:val="none"/>
          <w:lang w:val="en-US" w:eastAsia="zh-CN"/>
        </w:rPr>
        <w:t>缴</w:t>
      </w:r>
      <w:r>
        <w:rPr>
          <w:rFonts w:hint="eastAsia" w:eastAsia="宋体" w:cs="宋体"/>
          <w:snapToGrid w:val="0"/>
          <w:color w:val="auto"/>
          <w:sz w:val="24"/>
          <w:szCs w:val="24"/>
          <w:highlight w:val="none"/>
          <w:lang w:val="zh-CN"/>
        </w:rPr>
        <w:t>纳的费用都应包括在投标人提交的投标报价中。</w:t>
      </w:r>
    </w:p>
    <w:p w14:paraId="5E3B6519">
      <w:pPr>
        <w:keepNext w:val="0"/>
        <w:keepLines w:val="0"/>
        <w:pageBreakBefore w:val="0"/>
        <w:widowControl w:val="0"/>
        <w:kinsoku/>
        <w:overflowPunct/>
        <w:topLinePunct w:val="0"/>
        <w:autoSpaceDE/>
        <w:autoSpaceDN/>
        <w:bidi w:val="0"/>
        <w:adjustRightInd/>
        <w:ind w:firstLine="480" w:firstLineChars="200"/>
        <w:textAlignment w:val="auto"/>
        <w:rPr>
          <w:rFonts w:eastAsia="宋体" w:cs="宋体"/>
          <w:snapToGrid w:val="0"/>
          <w:color w:val="auto"/>
          <w:sz w:val="24"/>
          <w:szCs w:val="24"/>
          <w:highlight w:val="none"/>
        </w:rPr>
      </w:pPr>
      <w:r>
        <w:rPr>
          <w:rFonts w:eastAsia="宋体" w:cs="宋体"/>
          <w:snapToGrid w:val="0"/>
          <w:color w:val="auto"/>
          <w:sz w:val="24"/>
          <w:szCs w:val="24"/>
          <w:highlight w:val="none"/>
        </w:rPr>
        <w:t>1</w:t>
      </w:r>
      <w:r>
        <w:rPr>
          <w:rFonts w:hint="eastAsia" w:eastAsia="宋体" w:cs="宋体"/>
          <w:snapToGrid w:val="0"/>
          <w:color w:val="auto"/>
          <w:sz w:val="24"/>
          <w:szCs w:val="24"/>
          <w:highlight w:val="none"/>
          <w:lang w:val="en-US" w:eastAsia="zh-CN"/>
        </w:rPr>
        <w:t>4</w:t>
      </w:r>
      <w:r>
        <w:rPr>
          <w:rFonts w:hint="eastAsia" w:eastAsia="宋体" w:cs="宋体"/>
          <w:snapToGrid w:val="0"/>
          <w:color w:val="auto"/>
          <w:sz w:val="24"/>
          <w:szCs w:val="24"/>
          <w:highlight w:val="none"/>
        </w:rPr>
        <w:t>.4 投标人在投标文件中注明免费的项目将视为包含在投标报价中。</w:t>
      </w:r>
    </w:p>
    <w:p w14:paraId="78B9FFCD">
      <w:pPr>
        <w:pStyle w:val="10"/>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ascii="宋体" w:hAnsi="宋体" w:eastAsia="宋体" w:cs="宋体"/>
          <w:snapToGrid w:val="0"/>
          <w:color w:val="auto"/>
          <w:kern w:val="2"/>
          <w:sz w:val="24"/>
          <w:szCs w:val="24"/>
          <w:highlight w:val="none"/>
          <w:lang w:val="en-US" w:eastAsia="zh-CN" w:bidi="ar-SA"/>
        </w:rPr>
        <w:t>1</w:t>
      </w:r>
      <w:r>
        <w:rPr>
          <w:rFonts w:hint="eastAsia" w:ascii="宋体" w:hAnsi="宋体" w:eastAsia="宋体" w:cs="宋体"/>
          <w:snapToGrid w:val="0"/>
          <w:color w:val="auto"/>
          <w:kern w:val="2"/>
          <w:sz w:val="24"/>
          <w:szCs w:val="24"/>
          <w:highlight w:val="none"/>
          <w:lang w:val="en-US" w:eastAsia="zh-CN" w:bidi="ar-SA"/>
        </w:rPr>
        <w:t>4.5 每一</w:t>
      </w:r>
      <w:r>
        <w:rPr>
          <w:rFonts w:hint="eastAsia" w:eastAsia="宋体" w:cs="宋体"/>
          <w:snapToGrid w:val="0"/>
          <w:color w:val="auto"/>
          <w:sz w:val="24"/>
          <w:szCs w:val="24"/>
          <w:highlight w:val="none"/>
        </w:rPr>
        <w:t>种采购内容只允许有一个报价，否则其</w:t>
      </w:r>
      <w:r>
        <w:rPr>
          <w:rFonts w:hint="eastAsia" w:eastAsia="宋体" w:cs="宋体"/>
          <w:b/>
          <w:bCs/>
          <w:snapToGrid w:val="0"/>
          <w:color w:val="auto"/>
          <w:sz w:val="24"/>
          <w:szCs w:val="24"/>
          <w:highlight w:val="none"/>
        </w:rPr>
        <w:t>投标无效</w:t>
      </w:r>
      <w:r>
        <w:rPr>
          <w:rFonts w:hint="eastAsia" w:eastAsia="宋体" w:cs="宋体"/>
          <w:snapToGrid w:val="0"/>
          <w:color w:val="auto"/>
          <w:sz w:val="24"/>
          <w:szCs w:val="24"/>
          <w:highlight w:val="none"/>
        </w:rPr>
        <w:t>。</w:t>
      </w:r>
      <w:r>
        <w:rPr>
          <w:rFonts w:hint="eastAsia" w:ascii="宋体" w:hAnsi="宋体" w:eastAsia="宋体" w:cs="宋体"/>
          <w:color w:val="auto"/>
          <w:kern w:val="2"/>
          <w:sz w:val="24"/>
          <w:szCs w:val="22"/>
          <w:highlight w:val="none"/>
        </w:rPr>
        <w:t>除非招标文件另有规定，不接受可选择或可调整的投标方案和报价，任何有选择的或可调整的投标方案和报价将被视为非</w:t>
      </w:r>
      <w:r>
        <w:rPr>
          <w:rFonts w:hint="eastAsia" w:ascii="宋体" w:hAnsi="宋体" w:eastAsia="宋体" w:cs="宋体"/>
          <w:color w:val="auto"/>
          <w:kern w:val="2"/>
          <w:sz w:val="24"/>
          <w:szCs w:val="22"/>
          <w:highlight w:val="none"/>
          <w:lang w:val="en-US" w:eastAsia="zh-CN"/>
        </w:rPr>
        <w:t>实质性</w:t>
      </w:r>
      <w:r>
        <w:rPr>
          <w:rFonts w:hint="eastAsia" w:ascii="宋体" w:hAnsi="宋体" w:eastAsia="宋体" w:cs="宋体"/>
          <w:color w:val="auto"/>
          <w:kern w:val="2"/>
          <w:sz w:val="24"/>
          <w:szCs w:val="22"/>
          <w:highlight w:val="none"/>
        </w:rPr>
        <w:t>响应</w:t>
      </w:r>
      <w:r>
        <w:rPr>
          <w:rFonts w:hint="eastAsia" w:ascii="宋体" w:hAnsi="宋体" w:eastAsia="宋体" w:cs="宋体"/>
          <w:color w:val="auto"/>
          <w:kern w:val="2"/>
          <w:sz w:val="24"/>
          <w:szCs w:val="22"/>
          <w:highlight w:val="none"/>
          <w:lang w:val="en-US" w:eastAsia="zh-CN"/>
        </w:rPr>
        <w:t>招标文件,其</w:t>
      </w:r>
      <w:r>
        <w:rPr>
          <w:rFonts w:hint="eastAsia" w:eastAsia="宋体" w:cs="宋体"/>
          <w:b/>
          <w:bCs/>
          <w:snapToGrid w:val="0"/>
          <w:color w:val="auto"/>
          <w:sz w:val="24"/>
          <w:szCs w:val="24"/>
          <w:highlight w:val="none"/>
          <w:lang w:eastAsia="zh-CN"/>
        </w:rPr>
        <w:t>投标无效</w:t>
      </w:r>
      <w:r>
        <w:rPr>
          <w:rFonts w:hint="eastAsia" w:ascii="宋体" w:hAnsi="宋体" w:eastAsia="宋体" w:cs="宋体"/>
          <w:color w:val="auto"/>
          <w:kern w:val="2"/>
          <w:sz w:val="24"/>
          <w:szCs w:val="22"/>
          <w:highlight w:val="none"/>
        </w:rPr>
        <w:t>。</w:t>
      </w:r>
    </w:p>
    <w:p w14:paraId="234C15F2">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4</w:t>
      </w:r>
      <w:r>
        <w:rPr>
          <w:rFonts w:eastAsia="宋体" w:cs="仿宋_GB2312"/>
          <w:color w:val="auto"/>
          <w:sz w:val="24"/>
          <w:szCs w:val="24"/>
          <w:highlight w:val="none"/>
        </w:rPr>
        <w:t>.</w:t>
      </w:r>
      <w:r>
        <w:rPr>
          <w:rFonts w:hint="eastAsia" w:eastAsia="宋体" w:cs="仿宋_GB2312"/>
          <w:color w:val="auto"/>
          <w:sz w:val="24"/>
          <w:szCs w:val="24"/>
          <w:highlight w:val="none"/>
          <w:lang w:val="en-US" w:eastAsia="zh-CN"/>
        </w:rPr>
        <w:t xml:space="preserve">6 </w:t>
      </w:r>
      <w:r>
        <w:rPr>
          <w:rFonts w:hint="eastAsia" w:eastAsia="宋体" w:cs="仿宋_GB2312"/>
          <w:color w:val="auto"/>
          <w:sz w:val="24"/>
          <w:szCs w:val="24"/>
          <w:highlight w:val="none"/>
        </w:rPr>
        <w:t>投标报价不得超过“</w:t>
      </w:r>
      <w:r>
        <w:rPr>
          <w:rFonts w:hint="eastAsia" w:eastAsia="宋体"/>
          <w:color w:val="auto"/>
          <w:sz w:val="24"/>
          <w:highlight w:val="none"/>
          <w:lang w:val="en-US" w:eastAsia="zh-CN"/>
        </w:rPr>
        <w:t>第一章 招标公告</w:t>
      </w:r>
      <w:r>
        <w:rPr>
          <w:rFonts w:hint="eastAsia" w:eastAsia="宋体" w:cs="仿宋_GB2312"/>
          <w:color w:val="auto"/>
          <w:sz w:val="24"/>
          <w:szCs w:val="24"/>
          <w:highlight w:val="none"/>
        </w:rPr>
        <w:t>”中规定的最高投标限价</w:t>
      </w:r>
      <w:r>
        <w:rPr>
          <w:rFonts w:hint="eastAsia" w:ascii="宋体" w:hAnsi="宋体" w:eastAsia="宋体"/>
          <w:color w:val="auto"/>
          <w:sz w:val="24"/>
          <w:highlight w:val="none"/>
          <w:lang w:val="en-US" w:eastAsia="zh-CN"/>
        </w:rPr>
        <w:t>或者预算金额</w:t>
      </w:r>
      <w:r>
        <w:rPr>
          <w:rFonts w:hint="eastAsia" w:eastAsia="宋体" w:cs="仿宋_GB2312"/>
          <w:color w:val="auto"/>
          <w:sz w:val="24"/>
          <w:szCs w:val="24"/>
          <w:highlight w:val="none"/>
        </w:rPr>
        <w:t>，否则</w:t>
      </w:r>
      <w:r>
        <w:rPr>
          <w:rFonts w:eastAsia="宋体" w:cs="仿宋_GB2312"/>
          <w:color w:val="auto"/>
          <w:sz w:val="24"/>
          <w:szCs w:val="24"/>
          <w:highlight w:val="none"/>
        </w:rPr>
        <w:t>评标委员会将</w:t>
      </w:r>
      <w:r>
        <w:rPr>
          <w:rFonts w:hint="eastAsia" w:eastAsia="宋体" w:cs="仿宋_GB2312"/>
          <w:b w:val="0"/>
          <w:bCs w:val="0"/>
          <w:color w:val="auto"/>
          <w:sz w:val="24"/>
          <w:szCs w:val="24"/>
          <w:highlight w:val="none"/>
          <w:lang w:val="en-US" w:eastAsia="zh-CN"/>
        </w:rPr>
        <w:t>对</w:t>
      </w:r>
      <w:r>
        <w:rPr>
          <w:rFonts w:eastAsia="宋体" w:cs="仿宋_GB2312"/>
          <w:b w:val="0"/>
          <w:bCs w:val="0"/>
          <w:color w:val="auto"/>
          <w:sz w:val="24"/>
          <w:szCs w:val="24"/>
          <w:highlight w:val="none"/>
        </w:rPr>
        <w:t>其</w:t>
      </w:r>
      <w:r>
        <w:rPr>
          <w:rFonts w:hint="eastAsia" w:eastAsia="宋体" w:cs="仿宋_GB2312"/>
          <w:b w:val="0"/>
          <w:bCs w:val="0"/>
          <w:color w:val="auto"/>
          <w:sz w:val="24"/>
          <w:szCs w:val="24"/>
          <w:highlight w:val="none"/>
          <w:lang w:val="en-US" w:eastAsia="zh-CN"/>
        </w:rPr>
        <w:t>作</w:t>
      </w:r>
      <w:r>
        <w:rPr>
          <w:rFonts w:hint="eastAsia" w:eastAsia="宋体" w:cs="仿宋_GB2312"/>
          <w:b/>
          <w:bCs/>
          <w:color w:val="auto"/>
          <w:sz w:val="24"/>
          <w:szCs w:val="24"/>
          <w:highlight w:val="none"/>
          <w:lang w:val="en-US" w:eastAsia="zh-CN"/>
        </w:rPr>
        <w:t>无效</w:t>
      </w:r>
      <w:r>
        <w:rPr>
          <w:rFonts w:eastAsia="宋体" w:cs="仿宋_GB2312"/>
          <w:b/>
          <w:bCs/>
          <w:color w:val="auto"/>
          <w:sz w:val="24"/>
          <w:szCs w:val="24"/>
          <w:highlight w:val="none"/>
        </w:rPr>
        <w:t>投标</w:t>
      </w:r>
      <w:r>
        <w:rPr>
          <w:rFonts w:hint="eastAsia" w:eastAsia="宋体" w:cs="仿宋_GB2312"/>
          <w:b/>
          <w:bCs/>
          <w:color w:val="auto"/>
          <w:sz w:val="24"/>
          <w:szCs w:val="24"/>
          <w:highlight w:val="none"/>
          <w:lang w:val="en-US" w:eastAsia="zh-CN"/>
        </w:rPr>
        <w:t>处理</w:t>
      </w:r>
      <w:r>
        <w:rPr>
          <w:rFonts w:eastAsia="宋体" w:cs="仿宋_GB2312"/>
          <w:color w:val="auto"/>
          <w:sz w:val="24"/>
          <w:szCs w:val="24"/>
          <w:highlight w:val="none"/>
        </w:rPr>
        <w:t>。</w:t>
      </w:r>
    </w:p>
    <w:p w14:paraId="313FA63F">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1</w:t>
      </w:r>
      <w:r>
        <w:rPr>
          <w:rFonts w:hint="eastAsia" w:ascii="宋体" w:hAnsi="宋体" w:eastAsia="宋体" w:cs="宋体"/>
          <w:color w:val="auto"/>
          <w:kern w:val="2"/>
          <w:sz w:val="24"/>
          <w:szCs w:val="22"/>
          <w:highlight w:val="none"/>
          <w:lang w:val="en-US" w:eastAsia="zh-CN"/>
        </w:rPr>
        <w:t>4</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 xml:space="preserve">7 </w:t>
      </w:r>
      <w:r>
        <w:rPr>
          <w:rFonts w:hint="eastAsia" w:ascii="宋体" w:hAnsi="宋体" w:eastAsia="宋体" w:cs="宋体"/>
          <w:color w:val="auto"/>
          <w:kern w:val="2"/>
          <w:sz w:val="24"/>
          <w:szCs w:val="22"/>
          <w:highlight w:val="none"/>
        </w:rPr>
        <w:t>投标人对投标报价若有说明应在投标文件中显著处注明。</w:t>
      </w:r>
    </w:p>
    <w:p w14:paraId="2DE4CF29">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除政策性文件规定以外，投标人所报价格在合同实施期间不因市场变化因素而变动。</w:t>
      </w:r>
    </w:p>
    <w:p w14:paraId="2C302D73">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1</w:t>
      </w:r>
      <w:r>
        <w:rPr>
          <w:rFonts w:hint="eastAsia" w:ascii="宋体" w:hAnsi="宋体" w:eastAsia="宋体" w:cs="宋体"/>
          <w:color w:val="auto"/>
          <w:kern w:val="2"/>
          <w:sz w:val="24"/>
          <w:szCs w:val="22"/>
          <w:highlight w:val="none"/>
          <w:lang w:val="en-US" w:eastAsia="zh-CN"/>
        </w:rPr>
        <w:t>4</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 xml:space="preserve">8 </w:t>
      </w:r>
      <w:r>
        <w:rPr>
          <w:rFonts w:hint="eastAsia" w:ascii="宋体" w:hAnsi="宋体" w:eastAsia="宋体" w:cs="宋体"/>
          <w:color w:val="auto"/>
          <w:kern w:val="2"/>
          <w:sz w:val="24"/>
          <w:szCs w:val="22"/>
          <w:highlight w:val="none"/>
        </w:rPr>
        <w:t>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14:paraId="7CD424F2">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1</w:t>
      </w:r>
      <w:r>
        <w:rPr>
          <w:rFonts w:hint="eastAsia" w:ascii="宋体" w:hAnsi="宋体" w:eastAsia="宋体" w:cs="宋体"/>
          <w:color w:val="auto"/>
          <w:kern w:val="2"/>
          <w:sz w:val="24"/>
          <w:szCs w:val="22"/>
          <w:highlight w:val="none"/>
          <w:lang w:val="en-US" w:eastAsia="zh-CN"/>
        </w:rPr>
        <w:t>4</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 xml:space="preserve">9 </w:t>
      </w:r>
      <w:r>
        <w:rPr>
          <w:rFonts w:hint="eastAsia" w:ascii="宋体" w:hAnsi="宋体" w:eastAsia="宋体" w:cs="宋体"/>
          <w:color w:val="auto"/>
          <w:kern w:val="2"/>
          <w:sz w:val="24"/>
          <w:szCs w:val="22"/>
          <w:highlight w:val="none"/>
        </w:rPr>
        <w:t>最低报价不能作为中标的保证。</w:t>
      </w:r>
    </w:p>
    <w:p w14:paraId="2C6B9037">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default"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1</w:t>
      </w:r>
      <w:r>
        <w:rPr>
          <w:rFonts w:hint="eastAsia" w:eastAsia="宋体" w:cs="宋体"/>
          <w:color w:val="auto"/>
          <w:kern w:val="2"/>
          <w:sz w:val="24"/>
          <w:szCs w:val="22"/>
          <w:highlight w:val="none"/>
          <w:lang w:val="en-US" w:eastAsia="zh-CN"/>
        </w:rPr>
        <w:t>4</w:t>
      </w:r>
      <w:r>
        <w:rPr>
          <w:rFonts w:hint="eastAsia" w:ascii="宋体" w:hAnsi="宋体" w:eastAsia="宋体" w:cs="宋体"/>
          <w:color w:val="auto"/>
          <w:kern w:val="2"/>
          <w:sz w:val="24"/>
          <w:szCs w:val="22"/>
          <w:highlight w:val="none"/>
          <w:lang w:val="en-US" w:eastAsia="zh-CN"/>
        </w:rPr>
        <w:t>.10</w:t>
      </w:r>
      <w:r>
        <w:rPr>
          <w:rFonts w:hint="eastAsia" w:ascii="宋体" w:hAnsi="宋体" w:eastAsia="宋体" w:cs="宋体"/>
          <w:color w:val="auto"/>
          <w:kern w:val="0"/>
          <w:sz w:val="24"/>
          <w:szCs w:val="24"/>
          <w:highlight w:val="none"/>
          <w:lang w:val="en-US" w:eastAsia="zh-CN" w:bidi="ar"/>
        </w:rPr>
        <w:t>采购人不得向</w:t>
      </w:r>
      <w:r>
        <w:rPr>
          <w:rFonts w:hint="eastAsia" w:eastAsia="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索要或者接受其给予的赠品、回扣或者与采购无关的其他商品、服务。</w:t>
      </w:r>
    </w:p>
    <w:p w14:paraId="691BBD09">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58" w:name="_Toc140132773"/>
      <w:bookmarkStart w:id="159" w:name="_Toc163492840"/>
      <w:r>
        <w:rPr>
          <w:rFonts w:hint="eastAsia" w:ascii="宋体" w:hAnsi="宋体" w:eastAsia="宋体" w:cs="宋体"/>
          <w:b/>
          <w:bCs/>
          <w:color w:val="auto"/>
          <w:kern w:val="2"/>
          <w:sz w:val="24"/>
          <w:szCs w:val="28"/>
          <w:highlight w:val="none"/>
          <w:lang w:val="en-US" w:eastAsia="zh-CN" w:bidi="ar-SA"/>
        </w:rPr>
        <w:t>15.投标有效期</w:t>
      </w:r>
      <w:bookmarkEnd w:id="158"/>
      <w:bookmarkEnd w:id="159"/>
    </w:p>
    <w:p w14:paraId="13B2B164">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5</w:t>
      </w:r>
      <w:r>
        <w:rPr>
          <w:rFonts w:hint="eastAsia" w:eastAsia="宋体" w:cs="仿宋_GB2312"/>
          <w:color w:val="auto"/>
          <w:sz w:val="24"/>
          <w:szCs w:val="24"/>
          <w:highlight w:val="none"/>
        </w:rPr>
        <w:t xml:space="preserve">.1 </w:t>
      </w:r>
      <w:r>
        <w:rPr>
          <w:rFonts w:ascii="Arial" w:hAnsi="Arial" w:eastAsia="宋体" w:cs="Arial"/>
          <w:color w:val="auto"/>
          <w:kern w:val="0"/>
          <w:sz w:val="24"/>
          <w:szCs w:val="21"/>
          <w:highlight w:val="none"/>
          <w:lang w:val="en"/>
        </w:rPr>
        <w:t>投标有效期</w:t>
      </w:r>
      <w:r>
        <w:rPr>
          <w:rFonts w:hint="eastAsia" w:eastAsia="宋体" w:cs="仿宋_GB2312"/>
          <w:color w:val="auto"/>
          <w:sz w:val="24"/>
          <w:szCs w:val="24"/>
          <w:highlight w:val="none"/>
        </w:rPr>
        <w:t>见“</w:t>
      </w:r>
      <w:r>
        <w:rPr>
          <w:rFonts w:hint="eastAsia" w:eastAsia="宋体" w:cs="仿宋_GB2312"/>
          <w:color w:val="auto"/>
          <w:sz w:val="24"/>
          <w:szCs w:val="24"/>
          <w:highlight w:val="none"/>
          <w:lang w:val="en-US" w:eastAsia="zh-CN"/>
        </w:rPr>
        <w:t xml:space="preserve">第二章 </w:t>
      </w:r>
      <w:r>
        <w:rPr>
          <w:rFonts w:eastAsia="宋体" w:cs="仿宋_GB2312"/>
          <w:color w:val="auto"/>
          <w:sz w:val="24"/>
          <w:szCs w:val="24"/>
          <w:highlight w:val="none"/>
        </w:rPr>
        <w:t>投标人须知前附表</w:t>
      </w:r>
      <w:r>
        <w:rPr>
          <w:rFonts w:hint="eastAsia" w:eastAsia="宋体" w:cs="仿宋_GB2312"/>
          <w:color w:val="auto"/>
          <w:sz w:val="24"/>
          <w:szCs w:val="24"/>
          <w:highlight w:val="none"/>
        </w:rPr>
        <w:t>”，投标人承诺的投标有效期</w:t>
      </w:r>
      <w:r>
        <w:rPr>
          <w:rFonts w:hint="eastAsia" w:eastAsia="宋体"/>
          <w:snapToGrid w:val="0"/>
          <w:color w:val="auto"/>
          <w:sz w:val="24"/>
          <w:highlight w:val="none"/>
          <w:lang w:val="zh-CN" w:eastAsia="zh-CN"/>
        </w:rPr>
        <w:t>少于</w:t>
      </w:r>
      <w:r>
        <w:rPr>
          <w:rFonts w:hint="eastAsia" w:eastAsia="宋体"/>
          <w:snapToGrid w:val="0"/>
          <w:color w:val="auto"/>
          <w:sz w:val="24"/>
          <w:highlight w:val="none"/>
          <w:lang w:val="en-US" w:eastAsia="zh-CN"/>
        </w:rPr>
        <w:t>招标</w:t>
      </w:r>
      <w:r>
        <w:rPr>
          <w:rFonts w:hint="eastAsia" w:eastAsia="宋体"/>
          <w:snapToGrid w:val="0"/>
          <w:color w:val="auto"/>
          <w:sz w:val="24"/>
          <w:highlight w:val="none"/>
          <w:lang w:val="zh-CN" w:eastAsia="zh-CN"/>
        </w:rPr>
        <w:t>文件规定期限的，其</w:t>
      </w:r>
      <w:r>
        <w:rPr>
          <w:rFonts w:hint="eastAsia" w:eastAsia="宋体"/>
          <w:b/>
          <w:bCs/>
          <w:snapToGrid w:val="0"/>
          <w:color w:val="auto"/>
          <w:sz w:val="24"/>
          <w:highlight w:val="none"/>
          <w:lang w:val="en-US" w:eastAsia="zh-CN"/>
        </w:rPr>
        <w:t>投标</w:t>
      </w:r>
      <w:r>
        <w:rPr>
          <w:rFonts w:hint="eastAsia" w:eastAsia="宋体"/>
          <w:b/>
          <w:bCs/>
          <w:snapToGrid w:val="0"/>
          <w:color w:val="auto"/>
          <w:sz w:val="24"/>
          <w:highlight w:val="none"/>
          <w:lang w:val="zh-CN" w:eastAsia="zh-CN"/>
        </w:rPr>
        <w:t>无效</w:t>
      </w:r>
      <w:r>
        <w:rPr>
          <w:rFonts w:hint="eastAsia" w:eastAsia="宋体"/>
          <w:snapToGrid w:val="0"/>
          <w:color w:val="auto"/>
          <w:sz w:val="24"/>
          <w:highlight w:val="none"/>
          <w:lang w:val="zh-CN" w:eastAsia="zh-CN"/>
        </w:rPr>
        <w:t>。</w:t>
      </w:r>
    </w:p>
    <w:p w14:paraId="6D112F8D">
      <w:pPr>
        <w:keepNext w:val="0"/>
        <w:keepLines w:val="0"/>
        <w:pageBreakBefore w:val="0"/>
        <w:widowControl w:val="0"/>
        <w:kinsoku/>
        <w:overflowPunct/>
        <w:topLinePunct w:val="0"/>
        <w:autoSpaceDE/>
        <w:autoSpaceDN/>
        <w:bidi w:val="0"/>
        <w:adjustRightInd/>
        <w:ind w:firstLine="480" w:firstLineChars="200"/>
        <w:textAlignment w:val="auto"/>
        <w:rPr>
          <w:rFonts w:hint="default" w:eastAsia="宋体" w:cs="仿宋_GB2312"/>
          <w:color w:val="auto"/>
          <w:sz w:val="24"/>
          <w:szCs w:val="24"/>
          <w:highlight w:val="none"/>
          <w:lang w:val="en-US" w:eastAsia="zh-CN"/>
        </w:rPr>
      </w:pPr>
      <w:r>
        <w:rPr>
          <w:rFonts w:hint="eastAsia" w:eastAsia="宋体" w:cs="仿宋_GB2312"/>
          <w:color w:val="auto"/>
          <w:sz w:val="24"/>
          <w:szCs w:val="24"/>
          <w:highlight w:val="none"/>
          <w:lang w:val="en-US" w:eastAsia="zh-CN"/>
        </w:rPr>
        <w:t>15.2 投标有效期从提交投标文件的截止之日起算。投标文件中承诺的投标有效期应当不少于招标文件中载明的投标有效期。投标有效期内投标人撤销投标文件的，采购人或者采购代理机构可以不退还投标保证金。</w:t>
      </w:r>
    </w:p>
    <w:p w14:paraId="4457FE8E">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5</w:t>
      </w:r>
      <w:r>
        <w:rPr>
          <w:rFonts w:eastAsia="宋体" w:cs="仿宋_GB2312"/>
          <w:color w:val="auto"/>
          <w:sz w:val="24"/>
          <w:szCs w:val="24"/>
          <w:highlight w:val="none"/>
        </w:rPr>
        <w:t>.</w:t>
      </w:r>
      <w:r>
        <w:rPr>
          <w:rFonts w:hint="eastAsia" w:eastAsia="宋体" w:cs="仿宋_GB2312"/>
          <w:color w:val="auto"/>
          <w:sz w:val="24"/>
          <w:szCs w:val="24"/>
          <w:highlight w:val="none"/>
          <w:lang w:val="en-US" w:eastAsia="zh-CN"/>
        </w:rPr>
        <w:t>3</w:t>
      </w:r>
      <w:r>
        <w:rPr>
          <w:rFonts w:eastAsia="宋体" w:cs="仿宋_GB2312"/>
          <w:color w:val="auto"/>
          <w:sz w:val="24"/>
          <w:szCs w:val="24"/>
          <w:highlight w:val="none"/>
        </w:rPr>
        <w:t>特殊情况下，在原</w:t>
      </w:r>
      <w:r>
        <w:rPr>
          <w:rFonts w:hint="eastAsia" w:eastAsia="宋体" w:cs="仿宋_GB2312"/>
          <w:color w:val="auto"/>
          <w:sz w:val="24"/>
          <w:szCs w:val="24"/>
          <w:highlight w:val="none"/>
        </w:rPr>
        <w:t>投标文件</w:t>
      </w:r>
      <w:r>
        <w:rPr>
          <w:rFonts w:eastAsia="宋体" w:cs="仿宋_GB2312"/>
          <w:color w:val="auto"/>
          <w:sz w:val="24"/>
          <w:szCs w:val="24"/>
          <w:highlight w:val="none"/>
        </w:rPr>
        <w:t>有效期截止之前，采购代理机构或采购人可要求</w:t>
      </w:r>
      <w:r>
        <w:rPr>
          <w:rFonts w:hint="eastAsia" w:eastAsia="宋体" w:cs="仿宋_GB2312"/>
          <w:color w:val="auto"/>
          <w:sz w:val="24"/>
          <w:szCs w:val="24"/>
          <w:highlight w:val="none"/>
        </w:rPr>
        <w:t>投标人</w:t>
      </w:r>
      <w:r>
        <w:rPr>
          <w:rFonts w:eastAsia="宋体" w:cs="仿宋_GB2312"/>
          <w:color w:val="auto"/>
          <w:sz w:val="24"/>
          <w:szCs w:val="24"/>
          <w:highlight w:val="none"/>
        </w:rPr>
        <w:t>延长</w:t>
      </w:r>
      <w:r>
        <w:rPr>
          <w:rFonts w:hint="eastAsia" w:eastAsia="宋体" w:cs="仿宋_GB2312"/>
          <w:color w:val="auto"/>
          <w:sz w:val="24"/>
          <w:szCs w:val="24"/>
          <w:highlight w:val="none"/>
        </w:rPr>
        <w:t>投标</w:t>
      </w:r>
      <w:r>
        <w:rPr>
          <w:rFonts w:eastAsia="宋体" w:cs="仿宋_GB2312"/>
          <w:color w:val="auto"/>
          <w:sz w:val="24"/>
          <w:szCs w:val="24"/>
          <w:highlight w:val="none"/>
        </w:rPr>
        <w:t>有效期。需要延长</w:t>
      </w:r>
      <w:r>
        <w:rPr>
          <w:rFonts w:hint="eastAsia" w:eastAsia="宋体" w:cs="仿宋_GB2312"/>
          <w:color w:val="auto"/>
          <w:sz w:val="24"/>
          <w:szCs w:val="24"/>
          <w:highlight w:val="none"/>
        </w:rPr>
        <w:t>投标</w:t>
      </w:r>
      <w:r>
        <w:rPr>
          <w:rFonts w:eastAsia="宋体" w:cs="仿宋_GB2312"/>
          <w:color w:val="auto"/>
          <w:sz w:val="24"/>
          <w:szCs w:val="24"/>
          <w:highlight w:val="none"/>
        </w:rPr>
        <w:t>有效期时，采购代理机构或采购人将以书面形式通知所有</w:t>
      </w:r>
      <w:r>
        <w:rPr>
          <w:rFonts w:hint="eastAsia" w:eastAsia="宋体" w:cs="仿宋_GB2312"/>
          <w:color w:val="auto"/>
          <w:sz w:val="24"/>
          <w:szCs w:val="24"/>
          <w:highlight w:val="none"/>
        </w:rPr>
        <w:t>投标人</w:t>
      </w:r>
      <w:r>
        <w:rPr>
          <w:rFonts w:eastAsia="宋体" w:cs="仿宋_GB2312"/>
          <w:color w:val="auto"/>
          <w:sz w:val="24"/>
          <w:szCs w:val="24"/>
          <w:highlight w:val="none"/>
        </w:rPr>
        <w:t>，</w:t>
      </w:r>
      <w:r>
        <w:rPr>
          <w:rFonts w:hint="eastAsia" w:eastAsia="宋体" w:cs="仿宋_GB2312"/>
          <w:color w:val="auto"/>
          <w:sz w:val="24"/>
          <w:szCs w:val="24"/>
          <w:highlight w:val="none"/>
        </w:rPr>
        <w:t>投标人</w:t>
      </w:r>
      <w:r>
        <w:rPr>
          <w:rFonts w:eastAsia="宋体" w:cs="仿宋_GB2312"/>
          <w:color w:val="auto"/>
          <w:sz w:val="24"/>
          <w:szCs w:val="24"/>
          <w:highlight w:val="none"/>
        </w:rPr>
        <w:t>应以书面形式答复是否同意延长</w:t>
      </w:r>
      <w:r>
        <w:rPr>
          <w:rFonts w:hint="eastAsia" w:eastAsia="宋体" w:cs="仿宋_GB2312"/>
          <w:color w:val="auto"/>
          <w:sz w:val="24"/>
          <w:szCs w:val="24"/>
          <w:highlight w:val="none"/>
        </w:rPr>
        <w:t>投标</w:t>
      </w:r>
      <w:r>
        <w:rPr>
          <w:rFonts w:eastAsia="宋体" w:cs="仿宋_GB2312"/>
          <w:color w:val="auto"/>
          <w:sz w:val="24"/>
          <w:szCs w:val="24"/>
          <w:highlight w:val="none"/>
        </w:rPr>
        <w:t>有效期。</w:t>
      </w:r>
    </w:p>
    <w:p w14:paraId="2EF7720C">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5</w:t>
      </w:r>
      <w:r>
        <w:rPr>
          <w:rFonts w:eastAsia="宋体" w:cs="仿宋_GB2312"/>
          <w:color w:val="auto"/>
          <w:sz w:val="24"/>
          <w:szCs w:val="24"/>
          <w:highlight w:val="none"/>
        </w:rPr>
        <w:t>.</w:t>
      </w:r>
      <w:r>
        <w:rPr>
          <w:rFonts w:hint="eastAsia" w:eastAsia="宋体" w:cs="仿宋_GB2312"/>
          <w:color w:val="auto"/>
          <w:sz w:val="24"/>
          <w:szCs w:val="24"/>
          <w:highlight w:val="none"/>
          <w:lang w:val="en-US" w:eastAsia="zh-CN"/>
        </w:rPr>
        <w:t>4</w:t>
      </w:r>
      <w:r>
        <w:rPr>
          <w:rFonts w:hint="eastAsia" w:eastAsia="宋体" w:cs="仿宋_GB2312"/>
          <w:color w:val="auto"/>
          <w:sz w:val="24"/>
          <w:szCs w:val="24"/>
          <w:highlight w:val="none"/>
        </w:rPr>
        <w:t>投标人</w:t>
      </w:r>
      <w:r>
        <w:rPr>
          <w:rFonts w:eastAsia="宋体" w:cs="仿宋_GB2312"/>
          <w:color w:val="auto"/>
          <w:sz w:val="24"/>
          <w:szCs w:val="24"/>
          <w:highlight w:val="none"/>
        </w:rPr>
        <w:t>同意延长的，</w:t>
      </w:r>
      <w:r>
        <w:rPr>
          <w:rFonts w:hint="eastAsia" w:eastAsia="宋体" w:cs="宋体"/>
          <w:color w:val="auto"/>
          <w:kern w:val="2"/>
          <w:sz w:val="24"/>
          <w:szCs w:val="22"/>
          <w:highlight w:val="none"/>
          <w:lang w:val="en-US" w:eastAsia="zh-CN"/>
        </w:rPr>
        <w:t>其</w:t>
      </w:r>
      <w:r>
        <w:rPr>
          <w:rFonts w:hint="eastAsia" w:ascii="宋体" w:hAnsi="宋体" w:eastAsia="宋体" w:cs="宋体"/>
          <w:color w:val="auto"/>
          <w:kern w:val="2"/>
          <w:sz w:val="24"/>
          <w:szCs w:val="22"/>
          <w:highlight w:val="none"/>
        </w:rPr>
        <w:t>投标保证金的有效期也相应延长</w:t>
      </w:r>
      <w:r>
        <w:rPr>
          <w:rFonts w:hint="eastAsia" w:eastAsia="宋体" w:cs="宋体"/>
          <w:color w:val="auto"/>
          <w:kern w:val="2"/>
          <w:sz w:val="24"/>
          <w:szCs w:val="22"/>
          <w:highlight w:val="none"/>
          <w:lang w:eastAsia="zh-CN"/>
        </w:rPr>
        <w:t>，</w:t>
      </w:r>
      <w:r>
        <w:rPr>
          <w:rFonts w:hint="eastAsia" w:eastAsia="宋体" w:cs="宋体"/>
          <w:color w:val="auto"/>
          <w:kern w:val="2"/>
          <w:sz w:val="24"/>
          <w:szCs w:val="22"/>
          <w:highlight w:val="none"/>
          <w:lang w:val="en-US" w:eastAsia="zh-CN"/>
        </w:rPr>
        <w:t>但</w:t>
      </w:r>
      <w:r>
        <w:rPr>
          <w:rFonts w:eastAsia="宋体" w:cs="仿宋_GB2312"/>
          <w:color w:val="auto"/>
          <w:sz w:val="24"/>
          <w:szCs w:val="24"/>
          <w:highlight w:val="none"/>
        </w:rPr>
        <w:t>不得要求或被允许修改或撤销其</w:t>
      </w:r>
      <w:r>
        <w:rPr>
          <w:rFonts w:hint="eastAsia" w:eastAsia="宋体" w:cs="仿宋_GB2312"/>
          <w:color w:val="auto"/>
          <w:sz w:val="24"/>
          <w:szCs w:val="24"/>
          <w:highlight w:val="none"/>
        </w:rPr>
        <w:t>投标文件</w:t>
      </w:r>
      <w:r>
        <w:rPr>
          <w:rFonts w:eastAsia="宋体" w:cs="仿宋_GB2312"/>
          <w:color w:val="auto"/>
          <w:sz w:val="24"/>
          <w:szCs w:val="24"/>
          <w:highlight w:val="none"/>
        </w:rPr>
        <w:t>；</w:t>
      </w:r>
      <w:r>
        <w:rPr>
          <w:rFonts w:hint="eastAsia" w:eastAsia="宋体" w:cs="仿宋_GB2312"/>
          <w:color w:val="auto"/>
          <w:sz w:val="24"/>
          <w:szCs w:val="24"/>
          <w:highlight w:val="none"/>
          <w:lang w:val="en-US" w:eastAsia="zh-CN"/>
        </w:rPr>
        <w:t>投标人</w:t>
      </w:r>
      <w:r>
        <w:rPr>
          <w:rFonts w:eastAsia="宋体" w:cs="仿宋_GB2312"/>
          <w:color w:val="auto"/>
          <w:sz w:val="24"/>
          <w:szCs w:val="24"/>
          <w:highlight w:val="none"/>
        </w:rPr>
        <w:t>拒绝延长的，其</w:t>
      </w:r>
      <w:r>
        <w:rPr>
          <w:rFonts w:hint="eastAsia" w:eastAsia="宋体" w:cs="仿宋_GB2312"/>
          <w:color w:val="auto"/>
          <w:sz w:val="24"/>
          <w:szCs w:val="24"/>
          <w:highlight w:val="none"/>
        </w:rPr>
        <w:t>投标文件</w:t>
      </w:r>
      <w:r>
        <w:rPr>
          <w:rFonts w:eastAsia="宋体" w:cs="仿宋_GB2312"/>
          <w:color w:val="auto"/>
          <w:sz w:val="24"/>
          <w:szCs w:val="24"/>
          <w:highlight w:val="none"/>
        </w:rPr>
        <w:t>在原</w:t>
      </w:r>
      <w:r>
        <w:rPr>
          <w:rFonts w:hint="eastAsia" w:eastAsia="宋体" w:cs="仿宋_GB2312"/>
          <w:color w:val="auto"/>
          <w:sz w:val="24"/>
          <w:szCs w:val="24"/>
          <w:highlight w:val="none"/>
        </w:rPr>
        <w:t>投标</w:t>
      </w:r>
      <w:r>
        <w:rPr>
          <w:rFonts w:eastAsia="宋体" w:cs="仿宋_GB2312"/>
          <w:color w:val="auto"/>
          <w:sz w:val="24"/>
          <w:szCs w:val="24"/>
          <w:highlight w:val="none"/>
        </w:rPr>
        <w:t>有效期满后将不再有效</w:t>
      </w:r>
      <w:r>
        <w:rPr>
          <w:rFonts w:hint="eastAsia" w:eastAsia="宋体" w:cs="仿宋_GB2312"/>
          <w:color w:val="auto"/>
          <w:sz w:val="24"/>
          <w:szCs w:val="24"/>
          <w:highlight w:val="none"/>
          <w:lang w:eastAsia="zh-CN"/>
        </w:rPr>
        <w:t>，</w:t>
      </w:r>
      <w:r>
        <w:rPr>
          <w:rFonts w:hint="eastAsia" w:eastAsia="宋体" w:cs="仿宋_GB2312"/>
          <w:color w:val="auto"/>
          <w:sz w:val="24"/>
          <w:szCs w:val="24"/>
          <w:highlight w:val="none"/>
          <w:lang w:val="en-US" w:eastAsia="zh-CN"/>
        </w:rPr>
        <w:t>但其提交的投标保证金可予以退还</w:t>
      </w:r>
      <w:r>
        <w:rPr>
          <w:rFonts w:eastAsia="宋体" w:cs="仿宋_GB2312"/>
          <w:color w:val="auto"/>
          <w:sz w:val="24"/>
          <w:szCs w:val="24"/>
          <w:highlight w:val="none"/>
        </w:rPr>
        <w:t>。</w:t>
      </w:r>
    </w:p>
    <w:p w14:paraId="51F7C8DB">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60" w:name="_Toc163492841"/>
      <w:bookmarkStart w:id="161" w:name="_Toc140132774"/>
      <w:r>
        <w:rPr>
          <w:rFonts w:hint="eastAsia" w:ascii="宋体" w:hAnsi="宋体" w:eastAsia="宋体" w:cs="宋体"/>
          <w:b/>
          <w:bCs/>
          <w:color w:val="auto"/>
          <w:kern w:val="2"/>
          <w:sz w:val="24"/>
          <w:szCs w:val="28"/>
          <w:highlight w:val="none"/>
          <w:lang w:val="en-US" w:eastAsia="zh-CN" w:bidi="ar-SA"/>
        </w:rPr>
        <w:t>16.投标文件的编制</w:t>
      </w:r>
      <w:bookmarkEnd w:id="160"/>
      <w:bookmarkEnd w:id="161"/>
    </w:p>
    <w:p w14:paraId="523C51E8">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6</w:t>
      </w:r>
      <w:r>
        <w:rPr>
          <w:rFonts w:hint="eastAsia" w:eastAsia="宋体" w:cs="仿宋_GB2312"/>
          <w:color w:val="auto"/>
          <w:sz w:val="24"/>
          <w:szCs w:val="24"/>
          <w:highlight w:val="none"/>
        </w:rPr>
        <w:t>.1投标文件应在</w:t>
      </w:r>
      <w:r>
        <w:rPr>
          <w:rFonts w:hint="eastAsia" w:cs="宋体"/>
          <w:color w:val="auto"/>
          <w:sz w:val="24"/>
          <w:szCs w:val="24"/>
          <w:highlight w:val="none"/>
          <w:lang w:eastAsia="zh-CN"/>
        </w:rPr>
        <w:t>“</w:t>
      </w:r>
      <w:r>
        <w:rPr>
          <w:rFonts w:hint="eastAsia" w:cs="仿宋_GB2312"/>
          <w:color w:val="auto"/>
          <w:sz w:val="24"/>
          <w:szCs w:val="24"/>
          <w:highlight w:val="none"/>
          <w:lang w:val="en-US" w:eastAsia="zh-CN"/>
        </w:rPr>
        <w:t>投标</w:t>
      </w:r>
      <w:r>
        <w:rPr>
          <w:rFonts w:hint="eastAsia" w:eastAsia="宋体" w:cs="仿宋_GB2312"/>
          <w:color w:val="auto"/>
          <w:sz w:val="24"/>
          <w:szCs w:val="24"/>
          <w:highlight w:val="none"/>
        </w:rPr>
        <w:t>客户端</w:t>
      </w:r>
      <w:r>
        <w:rPr>
          <w:rFonts w:hint="eastAsia" w:cs="仿宋_GB2312"/>
          <w:color w:val="auto"/>
          <w:sz w:val="24"/>
          <w:szCs w:val="24"/>
          <w:highlight w:val="none"/>
          <w:lang w:eastAsia="zh-CN"/>
        </w:rPr>
        <w:t>”</w:t>
      </w:r>
      <w:r>
        <w:rPr>
          <w:rFonts w:hint="eastAsia" w:eastAsia="宋体" w:cs="仿宋_GB2312"/>
          <w:color w:val="auto"/>
          <w:sz w:val="24"/>
          <w:szCs w:val="24"/>
          <w:highlight w:val="none"/>
        </w:rPr>
        <w:t>中进行编制，在投标文件中要求加盖印章的，除有特殊说明之外，</w:t>
      </w:r>
      <w:r>
        <w:rPr>
          <w:rFonts w:hint="eastAsia" w:eastAsia="宋体" w:cs="仿宋_GB2312"/>
          <w:color w:val="auto"/>
          <w:sz w:val="24"/>
          <w:szCs w:val="24"/>
          <w:highlight w:val="none"/>
          <w:lang w:val="en-US" w:eastAsia="zh-CN"/>
        </w:rPr>
        <w:t>可</w:t>
      </w:r>
      <w:r>
        <w:rPr>
          <w:rFonts w:hint="eastAsia" w:eastAsia="宋体" w:cs="仿宋_GB2312"/>
          <w:color w:val="auto"/>
          <w:sz w:val="24"/>
          <w:szCs w:val="24"/>
          <w:highlight w:val="none"/>
        </w:rPr>
        <w:t>使用电子签章签署。</w:t>
      </w:r>
    </w:p>
    <w:p w14:paraId="540601F4">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color w:val="auto"/>
          <w:sz w:val="24"/>
          <w:highlight w:val="none"/>
        </w:rPr>
        <w:t>1</w:t>
      </w:r>
      <w:r>
        <w:rPr>
          <w:rFonts w:hint="eastAsia" w:eastAsia="宋体"/>
          <w:color w:val="auto"/>
          <w:sz w:val="24"/>
          <w:highlight w:val="none"/>
          <w:lang w:val="en-US" w:eastAsia="zh-CN"/>
        </w:rPr>
        <w:t>6</w:t>
      </w:r>
      <w:r>
        <w:rPr>
          <w:rFonts w:hint="eastAsia" w:eastAsia="宋体"/>
          <w:color w:val="auto"/>
          <w:sz w:val="24"/>
          <w:highlight w:val="none"/>
        </w:rPr>
        <w:t>.</w:t>
      </w:r>
      <w:bookmarkStart w:id="162" w:name="_Hlk143528557"/>
      <w:r>
        <w:rPr>
          <w:rFonts w:eastAsia="宋体"/>
          <w:color w:val="auto"/>
          <w:sz w:val="24"/>
          <w:highlight w:val="none"/>
        </w:rPr>
        <w:t>2</w:t>
      </w:r>
      <w:r>
        <w:rPr>
          <w:rFonts w:hint="eastAsia" w:eastAsia="宋体"/>
          <w:color w:val="auto"/>
          <w:sz w:val="24"/>
          <w:highlight w:val="none"/>
        </w:rPr>
        <w:t>投标人在</w:t>
      </w:r>
      <w:r>
        <w:rPr>
          <w:rFonts w:hint="eastAsia" w:cs="宋体"/>
          <w:color w:val="auto"/>
          <w:sz w:val="24"/>
          <w:szCs w:val="24"/>
          <w:highlight w:val="none"/>
          <w:lang w:eastAsia="zh-CN"/>
        </w:rPr>
        <w:t>“</w:t>
      </w:r>
      <w:r>
        <w:rPr>
          <w:rFonts w:hint="eastAsia" w:cs="仿宋_GB2312"/>
          <w:color w:val="auto"/>
          <w:sz w:val="24"/>
          <w:szCs w:val="24"/>
          <w:highlight w:val="none"/>
          <w:lang w:val="en-US" w:eastAsia="zh-CN"/>
        </w:rPr>
        <w:t>投标</w:t>
      </w:r>
      <w:r>
        <w:rPr>
          <w:rFonts w:hint="eastAsia" w:eastAsia="宋体" w:cs="仿宋_GB2312"/>
          <w:color w:val="auto"/>
          <w:sz w:val="24"/>
          <w:szCs w:val="24"/>
          <w:highlight w:val="none"/>
        </w:rPr>
        <w:t>客户端</w:t>
      </w:r>
      <w:r>
        <w:rPr>
          <w:rFonts w:hint="eastAsia" w:cs="仿宋_GB2312"/>
          <w:color w:val="auto"/>
          <w:sz w:val="24"/>
          <w:szCs w:val="24"/>
          <w:highlight w:val="none"/>
          <w:lang w:eastAsia="zh-CN"/>
        </w:rPr>
        <w:t>”</w:t>
      </w:r>
      <w:r>
        <w:rPr>
          <w:rFonts w:hint="eastAsia" w:eastAsia="宋体"/>
          <w:color w:val="auto"/>
          <w:sz w:val="24"/>
          <w:highlight w:val="none"/>
        </w:rPr>
        <w:t>中按照</w:t>
      </w:r>
      <w:r>
        <w:rPr>
          <w:rFonts w:hint="eastAsia" w:cs="宋体"/>
          <w:color w:val="auto"/>
          <w:sz w:val="24"/>
          <w:szCs w:val="24"/>
          <w:highlight w:val="none"/>
          <w:lang w:eastAsia="zh-CN"/>
        </w:rPr>
        <w:t>“</w:t>
      </w:r>
      <w:r>
        <w:rPr>
          <w:rFonts w:hint="eastAsia" w:cs="仿宋_GB2312"/>
          <w:color w:val="auto"/>
          <w:sz w:val="24"/>
          <w:szCs w:val="24"/>
          <w:highlight w:val="none"/>
          <w:lang w:val="en-US" w:eastAsia="zh-CN"/>
        </w:rPr>
        <w:t>投标</w:t>
      </w:r>
      <w:r>
        <w:rPr>
          <w:rFonts w:hint="eastAsia" w:eastAsia="宋体" w:cs="仿宋_GB2312"/>
          <w:color w:val="auto"/>
          <w:sz w:val="24"/>
          <w:szCs w:val="24"/>
          <w:highlight w:val="none"/>
        </w:rPr>
        <w:t>客户端</w:t>
      </w:r>
      <w:r>
        <w:rPr>
          <w:rFonts w:hint="eastAsia" w:cs="仿宋_GB2312"/>
          <w:color w:val="auto"/>
          <w:sz w:val="24"/>
          <w:szCs w:val="24"/>
          <w:highlight w:val="none"/>
          <w:lang w:eastAsia="zh-CN"/>
        </w:rPr>
        <w:t>”</w:t>
      </w:r>
      <w:r>
        <w:rPr>
          <w:rFonts w:hint="eastAsia" w:eastAsia="宋体"/>
          <w:color w:val="auto"/>
          <w:sz w:val="24"/>
          <w:highlight w:val="none"/>
        </w:rPr>
        <w:t>中的格式要求填写响应内容后，生成投标文件。投标人须按照招标文件的要求使用电子签章对要求加盖印章的部分逐一进行签章。</w:t>
      </w:r>
      <w:bookmarkEnd w:id="162"/>
    </w:p>
    <w:p w14:paraId="1A7BD123">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投标人应详细阅读招标文件的全部内容。投标文件须对招标文件中的内容作出实质性和完整的响应，如果投标文件填报的内容不详，或没有提供招标文件中所要求的全部资料及数据，将可能</w:t>
      </w:r>
      <w:r>
        <w:rPr>
          <w:rFonts w:hint="eastAsia" w:ascii="宋体" w:hAnsi="宋体" w:eastAsia="宋体"/>
          <w:b/>
          <w:bCs/>
          <w:color w:val="auto"/>
          <w:sz w:val="24"/>
          <w:highlight w:val="none"/>
        </w:rPr>
        <w:t>导致</w:t>
      </w:r>
      <w:r>
        <w:rPr>
          <w:rFonts w:hint="eastAsia" w:eastAsia="宋体"/>
          <w:b/>
          <w:bCs/>
          <w:color w:val="auto"/>
          <w:sz w:val="24"/>
          <w:highlight w:val="none"/>
          <w:lang w:val="en-US" w:eastAsia="zh-CN"/>
        </w:rPr>
        <w:t>其</w:t>
      </w:r>
      <w:r>
        <w:rPr>
          <w:rFonts w:hint="eastAsia" w:ascii="宋体" w:hAnsi="宋体" w:eastAsia="宋体"/>
          <w:b/>
          <w:bCs/>
          <w:color w:val="auto"/>
          <w:sz w:val="24"/>
          <w:highlight w:val="none"/>
        </w:rPr>
        <w:t>投标</w:t>
      </w:r>
      <w:r>
        <w:rPr>
          <w:rFonts w:hint="eastAsia" w:eastAsia="宋体"/>
          <w:b/>
          <w:bCs/>
          <w:color w:val="auto"/>
          <w:sz w:val="24"/>
          <w:highlight w:val="none"/>
          <w:lang w:val="en-US" w:eastAsia="zh-CN"/>
        </w:rPr>
        <w:t>无效</w:t>
      </w:r>
      <w:r>
        <w:rPr>
          <w:rFonts w:hint="eastAsia" w:ascii="宋体" w:hAnsi="宋体" w:eastAsia="宋体"/>
          <w:color w:val="auto"/>
          <w:sz w:val="24"/>
          <w:highlight w:val="none"/>
        </w:rPr>
        <w:t>。</w:t>
      </w:r>
    </w:p>
    <w:p w14:paraId="7A6BB4B7">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投标文件须严格按照</w:t>
      </w:r>
      <w:r>
        <w:rPr>
          <w:rFonts w:hint="eastAsia" w:ascii="宋体" w:hAnsi="宋体" w:eastAsia="宋体"/>
          <w:color w:val="auto"/>
          <w:sz w:val="24"/>
          <w:highlight w:val="none"/>
          <w:lang w:val="en-US" w:eastAsia="zh-CN"/>
        </w:rPr>
        <w:t>本</w:t>
      </w:r>
      <w:r>
        <w:rPr>
          <w:rFonts w:hint="eastAsia" w:ascii="宋体" w:hAnsi="宋体" w:eastAsia="宋体"/>
          <w:color w:val="auto"/>
          <w:sz w:val="24"/>
          <w:highlight w:val="none"/>
        </w:rPr>
        <w:t>招标文件第</w:t>
      </w:r>
      <w:r>
        <w:rPr>
          <w:rFonts w:hint="eastAsia" w:ascii="宋体" w:hAnsi="宋体" w:eastAsia="宋体"/>
          <w:color w:val="auto"/>
          <w:sz w:val="24"/>
          <w:highlight w:val="none"/>
          <w:lang w:val="en-US" w:eastAsia="zh-CN"/>
        </w:rPr>
        <w:t>七章</w:t>
      </w:r>
      <w:r>
        <w:rPr>
          <w:rFonts w:hint="eastAsia" w:ascii="宋体" w:hAnsi="宋体" w:eastAsia="宋体"/>
          <w:color w:val="auto"/>
          <w:sz w:val="24"/>
          <w:highlight w:val="none"/>
        </w:rPr>
        <w:t>规定的格式提交，并按规定的统一格式逐项填写，不准有空项；无相应内容可填的项，应填写“无”、“未测试”、“没有相应指标”等明确的回答文字。由于编排混乱导致投标文件被误读或查找不到，其责任由投标人承担。</w:t>
      </w:r>
    </w:p>
    <w:p w14:paraId="10A9DC8A">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eastAsia="宋体"/>
          <w:color w:val="auto"/>
          <w:sz w:val="24"/>
          <w:highlight w:val="none"/>
          <w:lang w:val="en-US" w:eastAsia="zh-CN"/>
        </w:rPr>
        <w:t>16.5货物的</w:t>
      </w:r>
      <w:r>
        <w:rPr>
          <w:rFonts w:hint="eastAsia" w:ascii="宋体" w:hAnsi="宋体" w:eastAsia="宋体"/>
          <w:color w:val="auto"/>
          <w:sz w:val="24"/>
          <w:highlight w:val="none"/>
          <w:lang w:val="en-US" w:eastAsia="zh-CN"/>
        </w:rPr>
        <w:t>技术参数有具体数值要求的，</w:t>
      </w:r>
      <w:r>
        <w:rPr>
          <w:rFonts w:hint="eastAsia" w:eastAsia="宋体"/>
          <w:color w:val="auto"/>
          <w:sz w:val="24"/>
          <w:highlight w:val="none"/>
          <w:lang w:val="en-US" w:eastAsia="zh-CN"/>
        </w:rPr>
        <w:t>且招标</w:t>
      </w:r>
      <w:r>
        <w:rPr>
          <w:rFonts w:hint="eastAsia" w:ascii="宋体" w:hAnsi="宋体" w:eastAsia="宋体"/>
          <w:color w:val="auto"/>
          <w:sz w:val="24"/>
          <w:highlight w:val="none"/>
          <w:lang w:val="en-US" w:eastAsia="zh-CN"/>
        </w:rPr>
        <w:t>文件要求</w:t>
      </w:r>
      <w:r>
        <w:rPr>
          <w:rFonts w:hint="eastAsia" w:eastAsia="宋体"/>
          <w:color w:val="auto"/>
          <w:sz w:val="24"/>
          <w:highlight w:val="none"/>
          <w:lang w:val="en-US" w:eastAsia="zh-CN"/>
        </w:rPr>
        <w:t>投标人</w:t>
      </w:r>
      <w:r>
        <w:rPr>
          <w:rFonts w:hint="eastAsia" w:ascii="宋体" w:hAnsi="宋体" w:eastAsia="宋体"/>
          <w:color w:val="auto"/>
          <w:sz w:val="24"/>
          <w:highlight w:val="none"/>
          <w:lang w:val="en-US" w:eastAsia="zh-CN"/>
        </w:rPr>
        <w:t>提供响应产品彩页、检验检测报告、厂家使用说明书等证明材料，</w:t>
      </w:r>
      <w:r>
        <w:rPr>
          <w:rFonts w:hint="eastAsia" w:eastAsia="宋体"/>
          <w:color w:val="auto"/>
          <w:sz w:val="24"/>
          <w:highlight w:val="none"/>
          <w:lang w:val="en-US" w:eastAsia="zh-CN"/>
        </w:rPr>
        <w:t>则投标人</w:t>
      </w:r>
      <w:r>
        <w:rPr>
          <w:rFonts w:hint="eastAsia" w:ascii="宋体" w:hAnsi="宋体" w:eastAsia="宋体"/>
          <w:color w:val="auto"/>
          <w:sz w:val="24"/>
          <w:highlight w:val="none"/>
          <w:lang w:val="en-US" w:eastAsia="zh-CN"/>
        </w:rPr>
        <w:t>在技术参数响应表中</w:t>
      </w:r>
      <w:r>
        <w:rPr>
          <w:rFonts w:hint="eastAsia" w:eastAsia="宋体"/>
          <w:color w:val="auto"/>
          <w:sz w:val="24"/>
          <w:highlight w:val="none"/>
          <w:lang w:val="en-US" w:eastAsia="zh-CN"/>
        </w:rPr>
        <w:t>须</w:t>
      </w:r>
      <w:r>
        <w:rPr>
          <w:rFonts w:hint="eastAsia" w:ascii="宋体" w:hAnsi="宋体" w:eastAsia="宋体"/>
          <w:color w:val="auto"/>
          <w:sz w:val="24"/>
          <w:highlight w:val="none"/>
          <w:lang w:val="en-US" w:eastAsia="zh-CN"/>
        </w:rPr>
        <w:t>标注产品实际参数数值，照搬照抄</w:t>
      </w:r>
      <w:r>
        <w:rPr>
          <w:rFonts w:hint="eastAsia" w:eastAsia="宋体"/>
          <w:color w:val="auto"/>
          <w:sz w:val="24"/>
          <w:highlight w:val="none"/>
          <w:lang w:val="en-US" w:eastAsia="zh-CN"/>
        </w:rPr>
        <w:t>招标</w:t>
      </w:r>
      <w:r>
        <w:rPr>
          <w:rFonts w:hint="eastAsia" w:ascii="宋体" w:hAnsi="宋体" w:eastAsia="宋体"/>
          <w:color w:val="auto"/>
          <w:sz w:val="24"/>
          <w:highlight w:val="none"/>
          <w:lang w:val="en-US" w:eastAsia="zh-CN"/>
        </w:rPr>
        <w:t>文件参数、不注明实际数值者</w:t>
      </w:r>
      <w:r>
        <w:rPr>
          <w:rFonts w:hint="eastAsia" w:ascii="宋体" w:hAnsi="宋体" w:eastAsia="宋体"/>
          <w:b/>
          <w:bCs/>
          <w:color w:val="auto"/>
          <w:sz w:val="24"/>
          <w:highlight w:val="none"/>
          <w:lang w:val="en-US" w:eastAsia="zh-CN"/>
        </w:rPr>
        <w:t>视为未响应</w:t>
      </w:r>
      <w:r>
        <w:rPr>
          <w:rFonts w:hint="eastAsia" w:ascii="宋体" w:hAnsi="宋体" w:eastAsia="宋体"/>
          <w:color w:val="auto"/>
          <w:sz w:val="24"/>
          <w:highlight w:val="none"/>
          <w:lang w:val="en-US" w:eastAsia="zh-CN"/>
        </w:rPr>
        <w:t>。</w:t>
      </w:r>
    </w:p>
    <w:p w14:paraId="4B72F25A">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eastAsia="宋体"/>
          <w:color w:val="auto"/>
          <w:sz w:val="24"/>
          <w:highlight w:val="none"/>
          <w:lang w:val="en-US" w:eastAsia="zh-CN"/>
        </w:rPr>
        <w:t>6</w:t>
      </w:r>
      <w:r>
        <w:rPr>
          <w:rFonts w:hint="eastAsia" w:ascii="宋体" w:hAnsi="宋体" w:eastAsia="宋体"/>
          <w:color w:val="auto"/>
          <w:sz w:val="24"/>
          <w:highlight w:val="none"/>
        </w:rPr>
        <w:t>开标一览表为在开标</w:t>
      </w:r>
      <w:r>
        <w:rPr>
          <w:rFonts w:hint="eastAsia" w:eastAsia="宋体"/>
          <w:color w:val="auto"/>
          <w:sz w:val="24"/>
          <w:highlight w:val="none"/>
          <w:lang w:val="en-US" w:eastAsia="zh-CN"/>
        </w:rPr>
        <w:t>时</w:t>
      </w:r>
      <w:r>
        <w:rPr>
          <w:rFonts w:hint="eastAsia" w:ascii="宋体" w:hAnsi="宋体" w:eastAsia="宋体"/>
          <w:color w:val="auto"/>
          <w:sz w:val="24"/>
          <w:highlight w:val="none"/>
        </w:rPr>
        <w:t>唱标的内容，要求按格式统一填写，不得自行增减内容。</w:t>
      </w:r>
    </w:p>
    <w:p w14:paraId="499D7059">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eastAsia="宋体"/>
          <w:color w:val="auto"/>
          <w:sz w:val="24"/>
          <w:highlight w:val="none"/>
          <w:lang w:val="en-US" w:eastAsia="zh-CN"/>
        </w:rPr>
        <w:t>7</w:t>
      </w:r>
      <w:r>
        <w:rPr>
          <w:rFonts w:hint="eastAsia" w:ascii="宋体" w:hAnsi="宋体" w:eastAsia="宋体"/>
          <w:color w:val="auto"/>
          <w:sz w:val="24"/>
          <w:highlight w:val="none"/>
        </w:rPr>
        <w:t>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w:t>
      </w:r>
      <w:r>
        <w:rPr>
          <w:rFonts w:hint="eastAsia" w:eastAsia="宋体"/>
          <w:color w:val="auto"/>
          <w:sz w:val="24"/>
          <w:highlight w:val="none"/>
          <w:lang w:val="en-US" w:eastAsia="zh-CN"/>
        </w:rPr>
        <w:t>按</w:t>
      </w:r>
      <w:r>
        <w:rPr>
          <w:rFonts w:hint="eastAsia" w:eastAsia="宋体"/>
          <w:b/>
          <w:bCs/>
          <w:color w:val="auto"/>
          <w:sz w:val="24"/>
          <w:highlight w:val="none"/>
          <w:lang w:val="en-US" w:eastAsia="zh-CN"/>
        </w:rPr>
        <w:t>无效投标</w:t>
      </w:r>
      <w:r>
        <w:rPr>
          <w:rFonts w:hint="eastAsia" w:ascii="宋体" w:hAnsi="宋体" w:eastAsia="宋体"/>
          <w:color w:val="auto"/>
          <w:sz w:val="24"/>
          <w:highlight w:val="none"/>
        </w:rPr>
        <w:t>处理。</w:t>
      </w:r>
    </w:p>
    <w:p w14:paraId="7DBECB06">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eastAsia="宋体"/>
          <w:color w:val="auto"/>
          <w:sz w:val="24"/>
          <w:highlight w:val="none"/>
          <w:lang w:val="en-US" w:eastAsia="zh-CN"/>
        </w:rPr>
        <w:t>8</w:t>
      </w:r>
      <w:r>
        <w:rPr>
          <w:rFonts w:hint="eastAsia" w:ascii="宋体" w:hAnsi="宋体" w:eastAsia="宋体"/>
          <w:color w:val="auto"/>
          <w:sz w:val="24"/>
          <w:highlight w:val="none"/>
        </w:rPr>
        <w:t>投标人必须保证投标文件所提供的全部资料真实可靠，并接受采购</w:t>
      </w:r>
      <w:r>
        <w:rPr>
          <w:rFonts w:hint="eastAsia" w:ascii="宋体" w:hAnsi="宋体" w:eastAsia="宋体"/>
          <w:color w:val="auto"/>
          <w:sz w:val="24"/>
          <w:highlight w:val="none"/>
          <w:lang w:val="en-US" w:eastAsia="zh-CN"/>
        </w:rPr>
        <w:t>人、采购</w:t>
      </w:r>
      <w:r>
        <w:rPr>
          <w:rFonts w:hint="eastAsia" w:ascii="宋体" w:hAnsi="宋体" w:eastAsia="宋体"/>
          <w:color w:val="auto"/>
          <w:sz w:val="24"/>
          <w:highlight w:val="none"/>
        </w:rPr>
        <w:t>代理机构或评标委员会对其中任何资料进一步审查的要求。</w:t>
      </w:r>
    </w:p>
    <w:p w14:paraId="7AE3718F">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eastAsia="宋体"/>
          <w:color w:val="auto"/>
          <w:sz w:val="24"/>
          <w:highlight w:val="none"/>
          <w:lang w:val="en-US" w:eastAsia="zh-CN"/>
        </w:rPr>
        <w:t>9</w:t>
      </w:r>
      <w:r>
        <w:rPr>
          <w:rFonts w:hint="eastAsia" w:ascii="宋体" w:hAnsi="宋体" w:eastAsia="宋体"/>
          <w:color w:val="auto"/>
          <w:sz w:val="24"/>
          <w:highlight w:val="none"/>
        </w:rPr>
        <w:t>投标人在投标文件及相关文件的签订、履行、通知等事项的文件中的单位盖章、印章、公章等处均指与当事人全称相一致的标准公章，不得使用其他形式（如带有“专用章”等字样的印章）。不符合本条规定的按</w:t>
      </w:r>
      <w:r>
        <w:rPr>
          <w:rFonts w:hint="eastAsia" w:ascii="宋体" w:hAnsi="宋体" w:eastAsia="宋体"/>
          <w:b/>
          <w:bCs/>
          <w:color w:val="auto"/>
          <w:sz w:val="24"/>
          <w:highlight w:val="none"/>
        </w:rPr>
        <w:t>无效投标</w:t>
      </w:r>
      <w:r>
        <w:rPr>
          <w:rFonts w:hint="eastAsia" w:ascii="宋体" w:hAnsi="宋体" w:eastAsia="宋体"/>
          <w:color w:val="auto"/>
          <w:sz w:val="24"/>
          <w:highlight w:val="none"/>
        </w:rPr>
        <w:t>处理。</w:t>
      </w:r>
    </w:p>
    <w:p w14:paraId="323B93DE">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16.10电子投标文件的编制</w:t>
      </w:r>
    </w:p>
    <w:p w14:paraId="072DFFA4">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 xml:space="preserve">16.10.1电子投标文件需按招标文件要求进行制作编制。投标文件制作时，不同内容按标签提示制作导入，按照招标文件中明确的投标文件目录和格式进行编制，保证目录清晰、内容完整；           </w:t>
      </w:r>
    </w:p>
    <w:p w14:paraId="51F1928B">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16.10.2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w:t>
      </w:r>
      <w:r>
        <w:rPr>
          <w:rFonts w:hint="eastAsia" w:ascii="宋体" w:hAnsi="宋体" w:eastAsia="宋体" w:cstheme="minorBidi"/>
          <w:b/>
          <w:bCs/>
          <w:iCs/>
          <w:color w:val="auto"/>
          <w:kern w:val="2"/>
          <w:sz w:val="24"/>
          <w:szCs w:val="22"/>
          <w:highlight w:val="none"/>
          <w:shd w:val="clear" w:color="auto" w:fill="FFFFFF" w:themeFill="background1"/>
          <w:lang w:val="en-US" w:eastAsia="zh-CN" w:bidi="ar-SA"/>
        </w:rPr>
        <w:t>其投标无效</w:t>
      </w:r>
      <w:r>
        <w:rPr>
          <w:rFonts w:hint="eastAsia" w:ascii="宋体" w:hAnsi="宋体" w:eastAsia="宋体" w:cstheme="minorBidi"/>
          <w:iCs/>
          <w:color w:val="auto"/>
          <w:kern w:val="2"/>
          <w:sz w:val="24"/>
          <w:szCs w:val="22"/>
          <w:highlight w:val="none"/>
          <w:shd w:val="clear" w:color="auto" w:fill="FFFFFF" w:themeFill="background1"/>
          <w:lang w:val="en-US" w:eastAsia="zh-CN" w:bidi="ar-SA"/>
        </w:rPr>
        <w:t xml:space="preserve">。 </w:t>
      </w:r>
    </w:p>
    <w:p w14:paraId="6B2E6D6A">
      <w:pPr>
        <w:pStyle w:val="5"/>
        <w:keepNext w:val="0"/>
        <w:keepLines w:val="0"/>
        <w:pageBreakBefore w:val="0"/>
        <w:widowControl w:val="0"/>
        <w:numPr>
          <w:ilvl w:val="0"/>
          <w:numId w:val="0"/>
        </w:numPr>
        <w:kinsoku/>
        <w:wordWrap/>
        <w:overflowPunct/>
        <w:topLinePunct w:val="0"/>
        <w:autoSpaceDE/>
        <w:autoSpaceDN/>
        <w:bidi w:val="0"/>
        <w:adjustRightInd/>
        <w:snapToGrid/>
        <w:spacing w:before="180" w:after="180" w:line="240" w:lineRule="auto"/>
        <w:ind w:left="420" w:leftChars="0" w:hanging="420" w:firstLineChars="0"/>
        <w:textAlignment w:val="auto"/>
        <w:rPr>
          <w:rFonts w:hint="eastAsia" w:ascii="宋体" w:hAnsi="宋体" w:eastAsia="宋体" w:cs="宋体"/>
          <w:b/>
          <w:bCs/>
          <w:color w:val="auto"/>
          <w:kern w:val="2"/>
          <w:sz w:val="24"/>
          <w:szCs w:val="32"/>
          <w:highlight w:val="none"/>
          <w:lang w:val="en-US" w:eastAsia="zh-CN" w:bidi="ar-SA"/>
        </w:rPr>
      </w:pPr>
      <w:bookmarkStart w:id="163" w:name="_Toc163492842"/>
      <w:bookmarkStart w:id="164" w:name="_Toc155185873"/>
      <w:r>
        <w:rPr>
          <w:rFonts w:hint="eastAsia" w:ascii="宋体" w:hAnsi="宋体" w:eastAsia="宋体" w:cs="宋体"/>
          <w:b/>
          <w:bCs/>
          <w:color w:val="auto"/>
          <w:kern w:val="2"/>
          <w:sz w:val="24"/>
          <w:szCs w:val="32"/>
          <w:highlight w:val="none"/>
          <w:lang w:val="en-US" w:eastAsia="zh-CN" w:bidi="ar-SA"/>
        </w:rPr>
        <w:t>（四）投标</w:t>
      </w:r>
      <w:bookmarkEnd w:id="163"/>
      <w:bookmarkEnd w:id="164"/>
    </w:p>
    <w:p w14:paraId="386CC8EA">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65" w:name="_Toc163492843"/>
      <w:r>
        <w:rPr>
          <w:rFonts w:hint="eastAsia" w:ascii="宋体" w:hAnsi="宋体" w:eastAsia="宋体" w:cs="宋体"/>
          <w:b/>
          <w:bCs/>
          <w:color w:val="auto"/>
          <w:kern w:val="2"/>
          <w:sz w:val="24"/>
          <w:szCs w:val="28"/>
          <w:highlight w:val="none"/>
          <w:lang w:val="en-US" w:eastAsia="zh-CN" w:bidi="ar-SA"/>
        </w:rPr>
        <w:t>17.投标保证金</w:t>
      </w:r>
    </w:p>
    <w:p w14:paraId="1182B9BB">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17.1投标人应按照招标文件“第二章 投标人须知前附表”规定的金额及要求提交投标保证金。投标人自愿超额缴纳投标保证金的，投标文件不做无效处理。</w:t>
      </w:r>
    </w:p>
    <w:p w14:paraId="370C7C1E">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eastAsia="宋体" w:cstheme="minorBidi"/>
          <w:iCs/>
          <w:color w:val="auto"/>
          <w:kern w:val="2"/>
          <w:sz w:val="24"/>
          <w:szCs w:val="22"/>
          <w:highlight w:val="none"/>
          <w:shd w:val="clear" w:color="auto" w:fill="FFFFFF" w:themeFill="background1"/>
          <w:lang w:val="en-US" w:eastAsia="zh-CN" w:bidi="ar-SA"/>
        </w:rPr>
        <w:t>7</w:t>
      </w:r>
      <w:r>
        <w:rPr>
          <w:rFonts w:hint="eastAsia" w:ascii="宋体" w:hAnsi="宋体" w:eastAsia="宋体" w:cstheme="minorBidi"/>
          <w:iCs/>
          <w:color w:val="auto"/>
          <w:kern w:val="2"/>
          <w:sz w:val="24"/>
          <w:szCs w:val="22"/>
          <w:highlight w:val="none"/>
          <w:shd w:val="clear" w:color="auto" w:fill="FFFFFF" w:themeFill="background1"/>
          <w:lang w:val="en-US" w:eastAsia="zh-CN" w:bidi="ar-SA"/>
        </w:rPr>
        <w:t>.2</w:t>
      </w:r>
      <w:r>
        <w:rPr>
          <w:rFonts w:hint="eastAsia" w:eastAsia="宋体" w:cstheme="minorBidi"/>
          <w:iCs/>
          <w:color w:val="auto"/>
          <w:kern w:val="2"/>
          <w:sz w:val="24"/>
          <w:szCs w:val="22"/>
          <w:highlight w:val="none"/>
          <w:shd w:val="clear" w:color="auto" w:fill="FFFFFF" w:themeFill="background1"/>
          <w:lang w:val="en-US" w:eastAsia="zh-CN" w:bidi="ar-SA"/>
        </w:rPr>
        <w:t>提交</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投标保证金可采用的形式：政府采购法律法规接受的支票、汇票、本票、网上银行支付或者金融机构、担保机构出具的保函等非现金形式。</w:t>
      </w:r>
      <w:r>
        <w:rPr>
          <w:rFonts w:hint="eastAsia" w:ascii="宋体" w:hAnsi="宋体" w:eastAsia="宋体" w:cs="宋体"/>
          <w:color w:val="auto"/>
          <w:kern w:val="2"/>
          <w:sz w:val="24"/>
          <w:szCs w:val="22"/>
          <w:highlight w:val="none"/>
          <w:lang w:val="en-US" w:eastAsia="zh-CN" w:bidi="ar-SA"/>
        </w:rPr>
        <w:t>投标人未按照招标文件要求提交投标保证金的，</w:t>
      </w:r>
      <w:r>
        <w:rPr>
          <w:rFonts w:hint="eastAsia" w:eastAsia="宋体" w:cs="宋体"/>
          <w:color w:val="auto"/>
          <w:kern w:val="2"/>
          <w:sz w:val="24"/>
          <w:szCs w:val="22"/>
          <w:highlight w:val="none"/>
          <w:lang w:val="en-US" w:eastAsia="zh-CN" w:bidi="ar-SA"/>
        </w:rPr>
        <w:t>其</w:t>
      </w:r>
      <w:r>
        <w:rPr>
          <w:rFonts w:hint="eastAsia" w:ascii="宋体" w:hAnsi="宋体" w:eastAsia="宋体" w:cs="宋体"/>
          <w:b/>
          <w:bCs/>
          <w:color w:val="auto"/>
          <w:kern w:val="2"/>
          <w:sz w:val="24"/>
          <w:szCs w:val="22"/>
          <w:highlight w:val="none"/>
          <w:lang w:val="en-US" w:eastAsia="zh-CN" w:bidi="ar-SA"/>
        </w:rPr>
        <w:t>投标无效</w:t>
      </w:r>
      <w:r>
        <w:rPr>
          <w:rFonts w:hint="eastAsia" w:ascii="宋体" w:hAnsi="宋体" w:eastAsia="宋体" w:cs="宋体"/>
          <w:color w:val="auto"/>
          <w:kern w:val="2"/>
          <w:sz w:val="24"/>
          <w:szCs w:val="22"/>
          <w:highlight w:val="none"/>
          <w:lang w:val="en-US" w:eastAsia="zh-CN" w:bidi="ar-SA"/>
        </w:rPr>
        <w:t>。</w:t>
      </w:r>
      <w:r>
        <w:rPr>
          <w:rFonts w:hint="eastAsia" w:eastAsia="宋体"/>
          <w:color w:val="auto"/>
          <w:sz w:val="24"/>
          <w:highlight w:val="none"/>
          <w:lang w:val="en-US" w:eastAsia="zh-CN"/>
        </w:rPr>
        <w:t>投标保证金有效期同投标有效期。</w:t>
      </w:r>
    </w:p>
    <w:p w14:paraId="54BD0912">
      <w:pPr>
        <w:pStyle w:val="1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17.3投标保证金到账（保函提交）截止时间同投标截止时间。以支票、汇票、本票、网上银行支付等形式提交投标保证金的，应在投标截止时间前到账；以金融机构、担保机构出具的保函等形式提交投标保证金的，应在投标截止时间前将投标保证金支付原件扫描后作为投标文件的组成部分与投标文件一起上传。由于到账时间晚于投标截止时间，或者票据错误、印鉴不清等原因导致不能到账的，其</w:t>
      </w:r>
      <w:r>
        <w:rPr>
          <w:rFonts w:hint="eastAsia" w:ascii="宋体" w:hAnsi="宋体" w:eastAsia="宋体" w:cs="宋体"/>
          <w:b/>
          <w:bCs/>
          <w:color w:val="auto"/>
          <w:kern w:val="2"/>
          <w:sz w:val="24"/>
          <w:szCs w:val="22"/>
          <w:highlight w:val="none"/>
          <w:lang w:val="en-US" w:eastAsia="zh-CN"/>
        </w:rPr>
        <w:t>投标无效</w:t>
      </w:r>
      <w:r>
        <w:rPr>
          <w:rFonts w:hint="eastAsia" w:ascii="宋体" w:hAnsi="宋体" w:eastAsia="宋体" w:cs="宋体"/>
          <w:color w:val="auto"/>
          <w:kern w:val="2"/>
          <w:sz w:val="24"/>
          <w:szCs w:val="22"/>
          <w:highlight w:val="none"/>
          <w:lang w:val="en-US" w:eastAsia="zh-CN"/>
        </w:rPr>
        <w:t>。</w:t>
      </w:r>
    </w:p>
    <w:p w14:paraId="3BAA958D">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default"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4</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投标人为联合体的，可以由联合体中的一方或者多方共同</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提交</w:t>
      </w:r>
      <w:r>
        <w:rPr>
          <w:rFonts w:hint="default" w:ascii="宋体" w:hAnsi="宋体" w:eastAsia="宋体" w:cstheme="minorBidi"/>
          <w:iCs/>
          <w:color w:val="auto"/>
          <w:kern w:val="2"/>
          <w:sz w:val="24"/>
          <w:szCs w:val="22"/>
          <w:highlight w:val="none"/>
          <w:shd w:val="clear" w:color="auto" w:fill="FFFFFF" w:themeFill="background1"/>
          <w:lang w:val="en-US" w:eastAsia="zh-CN" w:bidi="ar-SA"/>
        </w:rPr>
        <w:t>投标保证金，其</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提交</w:t>
      </w:r>
      <w:r>
        <w:rPr>
          <w:rFonts w:hint="default" w:ascii="宋体" w:hAnsi="宋体" w:eastAsia="宋体" w:cstheme="minorBidi"/>
          <w:iCs/>
          <w:color w:val="auto"/>
          <w:kern w:val="2"/>
          <w:sz w:val="24"/>
          <w:szCs w:val="22"/>
          <w:highlight w:val="none"/>
          <w:shd w:val="clear" w:color="auto" w:fill="FFFFFF" w:themeFill="background1"/>
          <w:lang w:val="en-US" w:eastAsia="zh-CN" w:bidi="ar-SA"/>
        </w:rPr>
        <w:t>的投标保证金对联合体各方均具有约束力。</w:t>
      </w:r>
    </w:p>
    <w:p w14:paraId="27BA1101">
      <w:pPr>
        <w:pStyle w:val="54"/>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 xml:space="preserve">    17.5</w:t>
      </w:r>
      <w:r>
        <w:rPr>
          <w:rFonts w:hint="default" w:ascii="宋体" w:hAnsi="宋体" w:eastAsia="宋体" w:cstheme="minorBidi"/>
          <w:iCs/>
          <w:color w:val="auto"/>
          <w:kern w:val="2"/>
          <w:sz w:val="24"/>
          <w:szCs w:val="22"/>
          <w:highlight w:val="none"/>
          <w:shd w:val="clear" w:color="auto" w:fill="FFFFFF" w:themeFill="background1"/>
          <w:lang w:val="en-US" w:eastAsia="zh-CN" w:bidi="ar-SA"/>
        </w:rPr>
        <w:t>采购人或者采购代理机构应当在采购活动结束后及时退还</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投标人</w:t>
      </w:r>
      <w:r>
        <w:rPr>
          <w:rFonts w:hint="default" w:ascii="宋体" w:hAnsi="宋体" w:eastAsia="宋体" w:cstheme="minorBidi"/>
          <w:iCs/>
          <w:color w:val="auto"/>
          <w:kern w:val="2"/>
          <w:sz w:val="24"/>
          <w:szCs w:val="22"/>
          <w:highlight w:val="none"/>
          <w:shd w:val="clear" w:color="auto" w:fill="FFFFFF" w:themeFill="background1"/>
          <w:lang w:val="en-US" w:eastAsia="zh-CN" w:bidi="ar-SA"/>
        </w:rPr>
        <w:t>的</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w:t>
      </w:r>
      <w:r>
        <w:rPr>
          <w:rFonts w:hint="default" w:ascii="宋体" w:hAnsi="宋体" w:eastAsia="宋体" w:cstheme="minorBidi"/>
          <w:iCs/>
          <w:color w:val="auto"/>
          <w:kern w:val="2"/>
          <w:sz w:val="24"/>
          <w:szCs w:val="22"/>
          <w:highlight w:val="none"/>
          <w:shd w:val="clear" w:color="auto" w:fill="FFFFFF" w:themeFill="background1"/>
          <w:lang w:val="en-US" w:eastAsia="zh-CN" w:bidi="ar-SA"/>
        </w:rPr>
        <w:t>保证金，采用银行保函、担保机构担保函等形式递交的</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w:t>
      </w:r>
      <w:r>
        <w:rPr>
          <w:rFonts w:hint="default" w:ascii="宋体" w:hAnsi="宋体" w:eastAsia="宋体" w:cstheme="minorBidi"/>
          <w:iCs/>
          <w:color w:val="auto"/>
          <w:kern w:val="2"/>
          <w:sz w:val="24"/>
          <w:szCs w:val="22"/>
          <w:highlight w:val="none"/>
          <w:shd w:val="clear" w:color="auto" w:fill="FFFFFF" w:themeFill="background1"/>
          <w:lang w:val="en-US" w:eastAsia="zh-CN" w:bidi="ar-SA"/>
        </w:rPr>
        <w:t>保证金，经</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投标人</w:t>
      </w:r>
      <w:r>
        <w:rPr>
          <w:rFonts w:hint="default" w:ascii="宋体" w:hAnsi="宋体" w:eastAsia="宋体" w:cstheme="minorBidi"/>
          <w:iCs/>
          <w:color w:val="auto"/>
          <w:kern w:val="2"/>
          <w:sz w:val="24"/>
          <w:szCs w:val="22"/>
          <w:highlight w:val="none"/>
          <w:shd w:val="clear" w:color="auto" w:fill="FFFFFF" w:themeFill="background1"/>
          <w:lang w:val="en-US" w:eastAsia="zh-CN" w:bidi="ar-SA"/>
        </w:rPr>
        <w:t>同意后采购人、采购代理机构可以不再退还，但因</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投标人</w:t>
      </w:r>
      <w:r>
        <w:rPr>
          <w:rFonts w:hint="default" w:ascii="宋体" w:hAnsi="宋体" w:eastAsia="宋体" w:cstheme="minorBidi"/>
          <w:iCs/>
          <w:color w:val="auto"/>
          <w:kern w:val="2"/>
          <w:sz w:val="24"/>
          <w:szCs w:val="22"/>
          <w:highlight w:val="none"/>
          <w:shd w:val="clear" w:color="auto" w:fill="FFFFFF" w:themeFill="background1"/>
          <w:lang w:val="en-US" w:eastAsia="zh-CN" w:bidi="ar-SA"/>
        </w:rPr>
        <w:t>自身原因导致无法及时退还的除外。未</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中标投标人</w:t>
      </w:r>
      <w:r>
        <w:rPr>
          <w:rFonts w:hint="default" w:ascii="宋体" w:hAnsi="宋体" w:eastAsia="宋体" w:cstheme="minorBidi"/>
          <w:iCs/>
          <w:color w:val="auto"/>
          <w:kern w:val="2"/>
          <w:sz w:val="24"/>
          <w:szCs w:val="22"/>
          <w:highlight w:val="none"/>
          <w:shd w:val="clear" w:color="auto" w:fill="FFFFFF" w:themeFill="background1"/>
          <w:lang w:val="en-US" w:eastAsia="zh-CN" w:bidi="ar-SA"/>
        </w:rPr>
        <w:t>的</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w:t>
      </w:r>
      <w:r>
        <w:rPr>
          <w:rFonts w:hint="default" w:ascii="宋体" w:hAnsi="宋体" w:eastAsia="宋体" w:cstheme="minorBidi"/>
          <w:iCs/>
          <w:color w:val="auto"/>
          <w:kern w:val="2"/>
          <w:sz w:val="24"/>
          <w:szCs w:val="22"/>
          <w:highlight w:val="none"/>
          <w:shd w:val="clear" w:color="auto" w:fill="FFFFFF" w:themeFill="background1"/>
          <w:lang w:val="en-US" w:eastAsia="zh-CN" w:bidi="ar-SA"/>
        </w:rPr>
        <w:t>保证金应当自中标通知书发出之日起 5 个工作日内退还，</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中标投标人</w:t>
      </w:r>
      <w:r>
        <w:rPr>
          <w:rFonts w:hint="default" w:ascii="宋体" w:hAnsi="宋体" w:eastAsia="宋体" w:cstheme="minorBidi"/>
          <w:iCs/>
          <w:color w:val="auto"/>
          <w:kern w:val="2"/>
          <w:sz w:val="24"/>
          <w:szCs w:val="22"/>
          <w:highlight w:val="none"/>
          <w:shd w:val="clear" w:color="auto" w:fill="FFFFFF" w:themeFill="background1"/>
          <w:lang w:val="en-US" w:eastAsia="zh-CN" w:bidi="ar-SA"/>
        </w:rPr>
        <w:t>的</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保证金应当自采购合同签订之日起 5 个工作日内退还。 </w:t>
      </w:r>
    </w:p>
    <w:p w14:paraId="6CFB121F">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default"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6</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投标人在投标截止时间前撤回已</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提</w:t>
      </w:r>
      <w:r>
        <w:rPr>
          <w:rFonts w:hint="default" w:ascii="宋体" w:hAnsi="宋体" w:eastAsia="宋体" w:cstheme="minorBidi"/>
          <w:iCs/>
          <w:color w:val="auto"/>
          <w:kern w:val="2"/>
          <w:sz w:val="24"/>
          <w:szCs w:val="22"/>
          <w:highlight w:val="none"/>
          <w:shd w:val="clear" w:color="auto" w:fill="FFFFFF" w:themeFill="background1"/>
          <w:lang w:val="en-US" w:eastAsia="zh-CN" w:bidi="ar-SA"/>
        </w:rPr>
        <w:t>交的投标文件的，自收到投标人书面撤回通知之日起 5 个工作日内，退还已收取的投标保证金，但因投标人自身原因导致无法及时退还的除外</w:t>
      </w:r>
      <w:r>
        <w:rPr>
          <w:rFonts w:hint="eastAsia" w:ascii="宋体" w:hAnsi="宋体" w:eastAsia="宋体" w:cstheme="minorBidi"/>
          <w:iCs/>
          <w:color w:val="auto"/>
          <w:kern w:val="2"/>
          <w:sz w:val="24"/>
          <w:szCs w:val="22"/>
          <w:highlight w:val="none"/>
          <w:shd w:val="clear" w:color="auto" w:fill="FFFFFF" w:themeFill="background1"/>
          <w:lang w:val="en-US" w:eastAsia="zh-CN" w:bidi="ar-SA"/>
        </w:rPr>
        <w:t>。</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w:t>
      </w:r>
    </w:p>
    <w:p w14:paraId="28156F6E">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default"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终止招标项目已经收取投标保证金的，自终止采购活动后 5 个工作日内退还已收取的投标保证金及其在银行产生的孳息。</w:t>
      </w:r>
    </w:p>
    <w:p w14:paraId="0B6A028F">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default"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8</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有下列情形之一的，采购人或采购代理机构可以不予退还投标保证金</w:t>
      </w:r>
      <w:r>
        <w:rPr>
          <w:rFonts w:hint="eastAsia"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宋体"/>
          <w:color w:val="auto"/>
          <w:kern w:val="2"/>
          <w:sz w:val="24"/>
          <w:szCs w:val="22"/>
          <w:highlight w:val="none"/>
        </w:rPr>
        <w:t>情节严重的将其列入不良记录名单</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w:t>
      </w:r>
    </w:p>
    <w:p w14:paraId="02F7ADEB">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default"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8</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.1 </w:t>
      </w:r>
      <w:r>
        <w:rPr>
          <w:rFonts w:hint="eastAsia" w:ascii="宋体" w:hAnsi="宋体" w:eastAsia="宋体" w:cs="宋体"/>
          <w:color w:val="auto"/>
          <w:kern w:val="2"/>
          <w:sz w:val="24"/>
          <w:szCs w:val="22"/>
          <w:highlight w:val="none"/>
        </w:rPr>
        <w:t>开标后在投标有效期内，投标人撤</w:t>
      </w:r>
      <w:r>
        <w:rPr>
          <w:rFonts w:hint="eastAsia" w:ascii="宋体" w:hAnsi="宋体" w:eastAsia="宋体" w:cs="宋体"/>
          <w:color w:val="auto"/>
          <w:kern w:val="2"/>
          <w:sz w:val="24"/>
          <w:szCs w:val="22"/>
          <w:highlight w:val="none"/>
          <w:lang w:val="en-US" w:eastAsia="zh-CN"/>
        </w:rPr>
        <w:t>销</w:t>
      </w:r>
      <w:r>
        <w:rPr>
          <w:rFonts w:hint="eastAsia" w:ascii="宋体" w:hAnsi="宋体" w:eastAsia="宋体" w:cs="宋体"/>
          <w:color w:val="auto"/>
          <w:kern w:val="2"/>
          <w:sz w:val="24"/>
          <w:szCs w:val="22"/>
          <w:highlight w:val="none"/>
        </w:rPr>
        <w:t>其投标</w:t>
      </w:r>
      <w:r>
        <w:rPr>
          <w:rFonts w:hint="eastAsia" w:ascii="宋体" w:hAnsi="宋体" w:eastAsia="宋体" w:cs="宋体"/>
          <w:color w:val="auto"/>
          <w:kern w:val="2"/>
          <w:sz w:val="24"/>
          <w:szCs w:val="22"/>
          <w:highlight w:val="none"/>
          <w:lang w:val="en-US" w:eastAsia="zh-CN"/>
        </w:rPr>
        <w:t>的</w:t>
      </w:r>
      <w:r>
        <w:rPr>
          <w:rFonts w:hint="eastAsia" w:ascii="宋体" w:hAnsi="宋体" w:eastAsia="宋体" w:cs="宋体"/>
          <w:color w:val="auto"/>
          <w:kern w:val="2"/>
          <w:sz w:val="24"/>
          <w:szCs w:val="22"/>
          <w:highlight w:val="none"/>
        </w:rPr>
        <w:t>；</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w:t>
      </w:r>
    </w:p>
    <w:p w14:paraId="36FC9D74">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default"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8</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.2 </w:t>
      </w:r>
      <w:r>
        <w:rPr>
          <w:rFonts w:hint="eastAsia" w:ascii="宋体" w:hAnsi="宋体" w:eastAsia="宋体" w:cs="宋体"/>
          <w:color w:val="auto"/>
          <w:kern w:val="2"/>
          <w:sz w:val="24"/>
          <w:szCs w:val="22"/>
          <w:highlight w:val="none"/>
        </w:rPr>
        <w:t>中标后无正当理由不与采购人签订合同的；</w:t>
      </w:r>
    </w:p>
    <w:p w14:paraId="3694295C">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 xml:space="preserve">17.8.3 </w:t>
      </w:r>
      <w:r>
        <w:rPr>
          <w:rFonts w:hint="eastAsia" w:ascii="宋体" w:hAnsi="宋体" w:eastAsia="宋体" w:cs="宋体"/>
          <w:color w:val="auto"/>
          <w:kern w:val="2"/>
          <w:sz w:val="24"/>
          <w:szCs w:val="22"/>
          <w:highlight w:val="none"/>
        </w:rPr>
        <w:t>中标人与采购人订立背离合同实质性内容的其他协议；</w:t>
      </w:r>
    </w:p>
    <w:p w14:paraId="54583F23">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17.8.</w:t>
      </w:r>
      <w:r>
        <w:rPr>
          <w:rFonts w:hint="eastAsia" w:ascii="宋体" w:hAnsi="宋体" w:eastAsia="宋体" w:cs="宋体"/>
          <w:color w:val="auto"/>
          <w:kern w:val="2"/>
          <w:sz w:val="24"/>
          <w:szCs w:val="22"/>
          <w:highlight w:val="none"/>
        </w:rPr>
        <w:t>4</w:t>
      </w:r>
      <w:r>
        <w:rPr>
          <w:rFonts w:hint="eastAsia" w:ascii="宋体" w:hAnsi="宋体" w:eastAsia="宋体" w:cs="宋体"/>
          <w:color w:val="auto"/>
          <w:kern w:val="2"/>
          <w:sz w:val="24"/>
          <w:szCs w:val="22"/>
          <w:highlight w:val="none"/>
          <w:lang w:val="en-US" w:eastAsia="zh-CN"/>
        </w:rPr>
        <w:t xml:space="preserve"> </w:t>
      </w:r>
      <w:r>
        <w:rPr>
          <w:rFonts w:hint="eastAsia" w:ascii="宋体" w:hAnsi="宋体" w:eastAsia="宋体" w:cs="宋体"/>
          <w:color w:val="auto"/>
          <w:kern w:val="2"/>
          <w:sz w:val="24"/>
          <w:szCs w:val="22"/>
          <w:highlight w:val="none"/>
        </w:rPr>
        <w:t>将中标项目转让给他人，或者在投标文件中未说明，且未经采购</w:t>
      </w:r>
      <w:r>
        <w:rPr>
          <w:rFonts w:hint="eastAsia" w:ascii="宋体" w:hAnsi="宋体" w:eastAsia="宋体" w:cs="宋体"/>
          <w:color w:val="auto"/>
          <w:kern w:val="2"/>
          <w:sz w:val="24"/>
          <w:szCs w:val="22"/>
          <w:highlight w:val="none"/>
          <w:lang w:val="en-US" w:eastAsia="zh-CN"/>
        </w:rPr>
        <w:t>人</w:t>
      </w:r>
      <w:r>
        <w:rPr>
          <w:rFonts w:hint="eastAsia" w:ascii="宋体" w:hAnsi="宋体" w:eastAsia="宋体" w:cs="宋体"/>
          <w:color w:val="auto"/>
          <w:kern w:val="2"/>
          <w:sz w:val="24"/>
          <w:szCs w:val="22"/>
          <w:highlight w:val="none"/>
        </w:rPr>
        <w:t>同意，将中标项目分包给他人的；</w:t>
      </w:r>
    </w:p>
    <w:p w14:paraId="433DB211">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17.8.</w:t>
      </w:r>
      <w:r>
        <w:rPr>
          <w:rFonts w:hint="eastAsia" w:ascii="宋体" w:hAnsi="宋体" w:eastAsia="宋体" w:cs="宋体"/>
          <w:color w:val="auto"/>
          <w:kern w:val="2"/>
          <w:sz w:val="24"/>
          <w:szCs w:val="22"/>
          <w:highlight w:val="none"/>
        </w:rPr>
        <w:t>5</w:t>
      </w:r>
      <w:r>
        <w:rPr>
          <w:rFonts w:hint="eastAsia" w:ascii="宋体" w:hAnsi="宋体" w:eastAsia="宋体" w:cs="宋体"/>
          <w:color w:val="auto"/>
          <w:kern w:val="2"/>
          <w:sz w:val="24"/>
          <w:szCs w:val="22"/>
          <w:highlight w:val="none"/>
          <w:lang w:val="en-US" w:eastAsia="zh-CN"/>
        </w:rPr>
        <w:t xml:space="preserve"> </w:t>
      </w:r>
      <w:r>
        <w:rPr>
          <w:rFonts w:hint="eastAsia" w:ascii="宋体" w:hAnsi="宋体" w:eastAsia="宋体" w:cs="宋体"/>
          <w:color w:val="auto"/>
          <w:kern w:val="2"/>
          <w:sz w:val="24"/>
          <w:szCs w:val="22"/>
          <w:highlight w:val="none"/>
        </w:rPr>
        <w:t>存在串通投标行为的；</w:t>
      </w:r>
    </w:p>
    <w:p w14:paraId="0A3E2CC4">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17.8.</w:t>
      </w:r>
      <w:r>
        <w:rPr>
          <w:rFonts w:hint="eastAsia" w:ascii="宋体" w:hAnsi="宋体" w:eastAsia="宋体" w:cs="宋体"/>
          <w:color w:val="auto"/>
          <w:kern w:val="2"/>
          <w:sz w:val="24"/>
          <w:szCs w:val="22"/>
          <w:highlight w:val="none"/>
        </w:rPr>
        <w:t>6</w:t>
      </w:r>
      <w:r>
        <w:rPr>
          <w:rFonts w:hint="eastAsia" w:ascii="宋体" w:hAnsi="宋体" w:eastAsia="宋体" w:cs="宋体"/>
          <w:color w:val="auto"/>
          <w:kern w:val="2"/>
          <w:sz w:val="24"/>
          <w:szCs w:val="22"/>
          <w:highlight w:val="none"/>
          <w:lang w:val="en-US" w:eastAsia="zh-CN"/>
        </w:rPr>
        <w:t xml:space="preserve"> </w:t>
      </w:r>
      <w:r>
        <w:rPr>
          <w:rFonts w:hint="eastAsia" w:ascii="宋体" w:hAnsi="宋体" w:eastAsia="宋体" w:cs="宋体"/>
          <w:color w:val="auto"/>
          <w:kern w:val="2"/>
          <w:sz w:val="24"/>
          <w:szCs w:val="22"/>
          <w:highlight w:val="none"/>
        </w:rPr>
        <w:t>存在弄虚作假或提供虚假材料谋取中标的；</w:t>
      </w:r>
    </w:p>
    <w:p w14:paraId="3CBF915F">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17.8.</w:t>
      </w:r>
      <w:r>
        <w:rPr>
          <w:rFonts w:hint="eastAsia" w:ascii="宋体" w:hAnsi="宋体" w:eastAsia="宋体" w:cs="宋体"/>
          <w:color w:val="auto"/>
          <w:kern w:val="2"/>
          <w:sz w:val="24"/>
          <w:szCs w:val="22"/>
          <w:highlight w:val="none"/>
        </w:rPr>
        <w:t>7</w:t>
      </w:r>
      <w:r>
        <w:rPr>
          <w:rFonts w:hint="eastAsia" w:ascii="宋体" w:hAnsi="宋体" w:eastAsia="宋体" w:cs="宋体"/>
          <w:color w:val="auto"/>
          <w:kern w:val="2"/>
          <w:sz w:val="24"/>
          <w:szCs w:val="22"/>
          <w:highlight w:val="none"/>
          <w:lang w:val="en-US" w:eastAsia="zh-CN"/>
        </w:rPr>
        <w:t xml:space="preserve"> </w:t>
      </w:r>
      <w:r>
        <w:rPr>
          <w:rFonts w:hint="eastAsia" w:ascii="宋体" w:hAnsi="宋体" w:eastAsia="宋体" w:cs="宋体"/>
          <w:color w:val="auto"/>
          <w:kern w:val="2"/>
          <w:sz w:val="24"/>
          <w:szCs w:val="22"/>
          <w:highlight w:val="none"/>
        </w:rPr>
        <w:t>投标人其他未按招标文件规定和合同约定履行义务的行为。</w:t>
      </w:r>
    </w:p>
    <w:p w14:paraId="330E240F">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17.9如开标时投标人对本单位投标保证金缴纳情况有疑义，投标人应在开标结束前向采购人提交书面申请核实保证金缴纳情况。由银行或保险公司核实后出具书面材料予以答复。</w:t>
      </w:r>
    </w:p>
    <w:p w14:paraId="7018BCE4">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17.10为支持和促进中小企业发展，进一步发挥政府采购政策功能，鼓励投标供应商使用电子保函代替现金缴纳投标保证金，在线完成保函的申请、审核、开票、出函等环节，投标企业注意区分办理保函类型，并确认投标有效期，如采用政采云电子保函，可登录“兵团政府采购网”—顶部通栏“信用融资”或者“兵团政府采购网”首页“政采贷｜电子保函”快捷模块查看：</w:t>
      </w:r>
    </w:p>
    <w:p w14:paraId="1F3A8C5E">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直达链接（电子保函）：</w:t>
      </w:r>
    </w:p>
    <w:p w14:paraId="15E30E92">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https://jinrong.zcygov.cn/luban/finance/xinjiang?utm=site.site-PC-4838.1473-pc-wsg-customFloatWindow-front.1.b9d627301e6311efb796b33a13fe0d0a</w:t>
      </w:r>
    </w:p>
    <w:p w14:paraId="071DFFA7">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金融服务支撑热线：</w:t>
      </w:r>
      <w:r>
        <w:rPr>
          <w:rFonts w:hint="eastAsia" w:ascii="宋体" w:hAnsi="宋体" w:eastAsia="宋体" w:cstheme="minorBidi"/>
          <w:b/>
          <w:bCs/>
          <w:iCs/>
          <w:color w:val="auto"/>
          <w:kern w:val="2"/>
          <w:sz w:val="24"/>
          <w:szCs w:val="22"/>
          <w:highlight w:val="none"/>
          <w:shd w:val="clear" w:color="auto" w:fill="FFFFFF" w:themeFill="background1"/>
          <w:lang w:val="en-US" w:eastAsia="zh-CN" w:bidi="ar-SA"/>
        </w:rPr>
        <w:t>95763</w:t>
      </w:r>
      <w:r>
        <w:rPr>
          <w:rFonts w:hint="eastAsia" w:ascii="宋体" w:hAnsi="宋体" w:eastAsia="宋体" w:cstheme="minorBidi"/>
          <w:iCs/>
          <w:color w:val="auto"/>
          <w:kern w:val="2"/>
          <w:sz w:val="24"/>
          <w:szCs w:val="22"/>
          <w:highlight w:val="none"/>
          <w:shd w:val="clear" w:color="auto" w:fill="FFFFFF" w:themeFill="background1"/>
          <w:lang w:val="en-US" w:eastAsia="zh-CN" w:bidi="ar-SA"/>
        </w:rPr>
        <w:t xml:space="preserve">     </w:t>
      </w:r>
    </w:p>
    <w:p w14:paraId="3586E853">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r>
        <w:rPr>
          <w:rFonts w:hint="eastAsia" w:ascii="宋体" w:hAnsi="宋体" w:eastAsia="宋体" w:cs="宋体"/>
          <w:b/>
          <w:bCs/>
          <w:color w:val="auto"/>
          <w:kern w:val="2"/>
          <w:sz w:val="24"/>
          <w:szCs w:val="28"/>
          <w:highlight w:val="none"/>
          <w:lang w:val="en-US" w:eastAsia="zh-CN" w:bidi="ar-SA"/>
        </w:rPr>
        <w:t>18.投标文件的加密</w:t>
      </w:r>
      <w:bookmarkEnd w:id="165"/>
    </w:p>
    <w:p w14:paraId="7CFFC076">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u w:val="single"/>
        </w:rPr>
      </w:pPr>
      <w:bookmarkStart w:id="166" w:name="_Hlk143531864"/>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8</w:t>
      </w:r>
      <w:r>
        <w:rPr>
          <w:rFonts w:hint="eastAsia" w:eastAsia="宋体" w:cs="仿宋_GB2312"/>
          <w:color w:val="auto"/>
          <w:sz w:val="24"/>
          <w:szCs w:val="24"/>
          <w:highlight w:val="none"/>
        </w:rPr>
        <w:t>.1投标人在</w:t>
      </w:r>
      <w:r>
        <w:rPr>
          <w:rFonts w:hint="eastAsia" w:cs="宋体"/>
          <w:color w:val="auto"/>
          <w:sz w:val="24"/>
          <w:szCs w:val="24"/>
          <w:highlight w:val="none"/>
          <w:lang w:eastAsia="zh-CN"/>
        </w:rPr>
        <w:t>“</w:t>
      </w:r>
      <w:r>
        <w:rPr>
          <w:rFonts w:hint="eastAsia" w:cs="仿宋_GB2312"/>
          <w:color w:val="auto"/>
          <w:sz w:val="24"/>
          <w:szCs w:val="24"/>
          <w:highlight w:val="none"/>
          <w:lang w:val="en-US" w:eastAsia="zh-CN"/>
        </w:rPr>
        <w:t>投标</w:t>
      </w:r>
      <w:r>
        <w:rPr>
          <w:rFonts w:hint="eastAsia" w:eastAsia="宋体" w:cs="仿宋_GB2312"/>
          <w:color w:val="auto"/>
          <w:sz w:val="24"/>
          <w:szCs w:val="24"/>
          <w:highlight w:val="none"/>
        </w:rPr>
        <w:t>客户端</w:t>
      </w:r>
      <w:r>
        <w:rPr>
          <w:rFonts w:hint="eastAsia" w:cs="仿宋_GB2312"/>
          <w:color w:val="auto"/>
          <w:sz w:val="24"/>
          <w:szCs w:val="24"/>
          <w:highlight w:val="none"/>
          <w:lang w:eastAsia="zh-CN"/>
        </w:rPr>
        <w:t>”</w:t>
      </w:r>
      <w:r>
        <w:rPr>
          <w:rFonts w:hint="eastAsia" w:eastAsia="宋体" w:cs="仿宋_GB2312"/>
          <w:color w:val="auto"/>
          <w:sz w:val="24"/>
          <w:szCs w:val="24"/>
          <w:highlight w:val="none"/>
        </w:rPr>
        <w:t>中生成投标文件并完成签章之后，使用CA证书在</w:t>
      </w:r>
      <w:r>
        <w:rPr>
          <w:rFonts w:hint="eastAsia" w:cs="宋体"/>
          <w:color w:val="auto"/>
          <w:sz w:val="24"/>
          <w:szCs w:val="24"/>
          <w:highlight w:val="none"/>
          <w:lang w:eastAsia="zh-CN"/>
        </w:rPr>
        <w:t>“</w:t>
      </w:r>
      <w:r>
        <w:rPr>
          <w:rFonts w:hint="eastAsia" w:cs="仿宋_GB2312"/>
          <w:color w:val="auto"/>
          <w:sz w:val="24"/>
          <w:szCs w:val="24"/>
          <w:highlight w:val="none"/>
          <w:lang w:val="en-US" w:eastAsia="zh-CN"/>
        </w:rPr>
        <w:t>投标</w:t>
      </w:r>
      <w:r>
        <w:rPr>
          <w:rFonts w:hint="eastAsia" w:eastAsia="宋体" w:cs="仿宋_GB2312"/>
          <w:color w:val="auto"/>
          <w:sz w:val="24"/>
          <w:szCs w:val="24"/>
          <w:highlight w:val="none"/>
        </w:rPr>
        <w:t>客户端</w:t>
      </w:r>
      <w:r>
        <w:rPr>
          <w:rFonts w:hint="eastAsia" w:cs="仿宋_GB2312"/>
          <w:color w:val="auto"/>
          <w:sz w:val="24"/>
          <w:szCs w:val="24"/>
          <w:highlight w:val="none"/>
          <w:lang w:eastAsia="zh-CN"/>
        </w:rPr>
        <w:t>”</w:t>
      </w:r>
      <w:r>
        <w:rPr>
          <w:rFonts w:hint="eastAsia" w:eastAsia="宋体" w:cs="仿宋_GB2312"/>
          <w:color w:val="auto"/>
          <w:sz w:val="24"/>
          <w:szCs w:val="24"/>
          <w:highlight w:val="none"/>
        </w:rPr>
        <w:t>中对投标文件进行加密。</w:t>
      </w:r>
    </w:p>
    <w:p w14:paraId="20075D69">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8</w:t>
      </w:r>
      <w:r>
        <w:rPr>
          <w:rFonts w:hint="eastAsia" w:eastAsia="宋体" w:cs="仿宋_GB2312"/>
          <w:color w:val="auto"/>
          <w:sz w:val="24"/>
          <w:szCs w:val="24"/>
          <w:highlight w:val="none"/>
        </w:rPr>
        <w:t>.2投标人应在</w:t>
      </w:r>
      <w:r>
        <w:rPr>
          <w:rFonts w:hint="eastAsia" w:cs="宋体"/>
          <w:color w:val="auto"/>
          <w:sz w:val="24"/>
          <w:szCs w:val="24"/>
          <w:highlight w:val="none"/>
          <w:lang w:eastAsia="zh-CN"/>
        </w:rPr>
        <w:t>“</w:t>
      </w:r>
      <w:r>
        <w:rPr>
          <w:rFonts w:hint="eastAsia" w:cs="仿宋_GB2312"/>
          <w:color w:val="auto"/>
          <w:sz w:val="24"/>
          <w:szCs w:val="24"/>
          <w:highlight w:val="none"/>
          <w:lang w:val="en-US" w:eastAsia="zh-CN"/>
        </w:rPr>
        <w:t>投标</w:t>
      </w:r>
      <w:r>
        <w:rPr>
          <w:rFonts w:hint="eastAsia" w:eastAsia="宋体" w:cs="仿宋_GB2312"/>
          <w:color w:val="auto"/>
          <w:sz w:val="24"/>
          <w:szCs w:val="24"/>
          <w:highlight w:val="none"/>
        </w:rPr>
        <w:t>客户端</w:t>
      </w:r>
      <w:r>
        <w:rPr>
          <w:rFonts w:hint="eastAsia" w:cs="仿宋_GB2312"/>
          <w:color w:val="auto"/>
          <w:sz w:val="24"/>
          <w:szCs w:val="24"/>
          <w:highlight w:val="none"/>
          <w:lang w:eastAsia="zh-CN"/>
        </w:rPr>
        <w:t>”</w:t>
      </w:r>
      <w:r>
        <w:rPr>
          <w:rFonts w:hint="eastAsia" w:eastAsia="宋体" w:cs="仿宋_GB2312"/>
          <w:color w:val="auto"/>
          <w:sz w:val="24"/>
          <w:szCs w:val="24"/>
          <w:highlight w:val="none"/>
        </w:rPr>
        <w:t>中对加密的投标文件进行解密验证，以防止投标文件加密异常，在开标时无法解密。</w:t>
      </w:r>
    </w:p>
    <w:p w14:paraId="60E84957">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8</w:t>
      </w:r>
      <w:r>
        <w:rPr>
          <w:rFonts w:hint="eastAsia" w:eastAsia="宋体" w:cs="仿宋_GB2312"/>
          <w:color w:val="auto"/>
          <w:sz w:val="24"/>
          <w:szCs w:val="24"/>
          <w:highlight w:val="none"/>
        </w:rPr>
        <w:t>.3 投标人应保证加密投标文件的CA证书有效期在开标时间之前。若CA证书有效期临近开标时间，建议投标人提前办理CA证书续期，以免开标时无法进行解密。</w:t>
      </w:r>
    </w:p>
    <w:p w14:paraId="4D80B003">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rPr>
        <w:t>1</w:t>
      </w:r>
      <w:r>
        <w:rPr>
          <w:rFonts w:hint="eastAsia" w:eastAsia="宋体" w:cs="仿宋_GB2312"/>
          <w:color w:val="auto"/>
          <w:sz w:val="24"/>
          <w:szCs w:val="24"/>
          <w:highlight w:val="none"/>
          <w:lang w:val="en-US" w:eastAsia="zh-CN"/>
        </w:rPr>
        <w:t>8</w:t>
      </w:r>
      <w:r>
        <w:rPr>
          <w:rFonts w:hint="eastAsia" w:eastAsia="宋体" w:cs="仿宋_GB2312"/>
          <w:color w:val="auto"/>
          <w:sz w:val="24"/>
          <w:szCs w:val="24"/>
          <w:highlight w:val="none"/>
        </w:rPr>
        <w:t>.</w:t>
      </w:r>
      <w:r>
        <w:rPr>
          <w:rFonts w:hint="eastAsia" w:eastAsia="宋体" w:cs="仿宋_GB2312"/>
          <w:color w:val="auto"/>
          <w:sz w:val="24"/>
          <w:szCs w:val="24"/>
          <w:highlight w:val="none"/>
          <w:lang w:val="en-US" w:eastAsia="zh-CN"/>
        </w:rPr>
        <w:t>4</w:t>
      </w:r>
      <w:r>
        <w:rPr>
          <w:rFonts w:hint="eastAsia" w:eastAsia="宋体" w:cs="仿宋_GB2312"/>
          <w:color w:val="auto"/>
          <w:sz w:val="24"/>
          <w:szCs w:val="24"/>
          <w:highlight w:val="none"/>
          <w:lang w:eastAsia="zh-CN"/>
        </w:rPr>
        <w:t>投标人</w:t>
      </w:r>
      <w:r>
        <w:rPr>
          <w:rFonts w:hint="eastAsia" w:eastAsia="宋体" w:cs="仿宋_GB2312"/>
          <w:color w:val="auto"/>
          <w:sz w:val="24"/>
          <w:szCs w:val="24"/>
          <w:highlight w:val="none"/>
        </w:rPr>
        <w:t>在</w:t>
      </w:r>
      <w:r>
        <w:rPr>
          <w:rFonts w:hint="eastAsia" w:eastAsia="宋体" w:cs="仿宋_GB2312"/>
          <w:color w:val="auto"/>
          <w:sz w:val="24"/>
          <w:szCs w:val="24"/>
          <w:highlight w:val="none"/>
          <w:lang w:eastAsia="zh-CN"/>
        </w:rPr>
        <w:t>投标文件</w:t>
      </w:r>
      <w:r>
        <w:rPr>
          <w:rFonts w:hint="eastAsia" w:eastAsia="宋体" w:cs="仿宋_GB2312"/>
          <w:color w:val="auto"/>
          <w:sz w:val="24"/>
          <w:szCs w:val="24"/>
          <w:highlight w:val="none"/>
        </w:rPr>
        <w:t>递交截</w:t>
      </w:r>
      <w:r>
        <w:rPr>
          <w:rFonts w:hint="eastAsia" w:eastAsia="宋体" w:cs="仿宋_GB2312"/>
          <w:color w:val="auto"/>
          <w:sz w:val="24"/>
          <w:szCs w:val="24"/>
          <w:highlight w:val="none"/>
          <w:lang w:val="en-US" w:eastAsia="zh-CN"/>
        </w:rPr>
        <w:t>止</w:t>
      </w:r>
      <w:r>
        <w:rPr>
          <w:rFonts w:hint="eastAsia" w:eastAsia="宋体" w:cs="仿宋_GB2312"/>
          <w:color w:val="auto"/>
          <w:sz w:val="24"/>
          <w:szCs w:val="24"/>
          <w:highlight w:val="none"/>
        </w:rPr>
        <w:t>时间前通过</w:t>
      </w:r>
      <w:r>
        <w:rPr>
          <w:rFonts w:hint="eastAsia" w:eastAsia="宋体" w:cs="仿宋_GB2312"/>
          <w:color w:val="auto"/>
          <w:sz w:val="24"/>
          <w:szCs w:val="24"/>
          <w:highlight w:val="none"/>
          <w:lang w:val="en-US" w:eastAsia="zh-CN"/>
        </w:rPr>
        <w:t>兵团</w:t>
      </w:r>
      <w:r>
        <w:rPr>
          <w:rFonts w:hint="eastAsia" w:eastAsia="宋体" w:cs="仿宋_GB2312"/>
          <w:color w:val="auto"/>
          <w:sz w:val="24"/>
          <w:szCs w:val="24"/>
          <w:highlight w:val="none"/>
        </w:rPr>
        <w:t>政府采购网（http://ccgp-bingtuan.gov.cn/）的”政采云登录入口”登录后，将加密电子</w:t>
      </w:r>
      <w:r>
        <w:rPr>
          <w:rFonts w:hint="eastAsia" w:eastAsia="宋体" w:cs="仿宋_GB2312"/>
          <w:color w:val="auto"/>
          <w:sz w:val="24"/>
          <w:szCs w:val="24"/>
          <w:highlight w:val="none"/>
          <w:lang w:eastAsia="zh-CN"/>
        </w:rPr>
        <w:t>投标文件</w:t>
      </w:r>
      <w:r>
        <w:rPr>
          <w:rFonts w:hint="eastAsia" w:ascii="宋体" w:hAnsi="宋体" w:eastAsia="宋体" w:cs="仿宋_GB2312"/>
          <w:color w:val="auto"/>
          <w:sz w:val="24"/>
          <w:szCs w:val="24"/>
          <w:highlight w:val="none"/>
        </w:rPr>
        <w:t>（为.jmbs后缀格式）</w:t>
      </w:r>
      <w:r>
        <w:rPr>
          <w:rFonts w:hint="eastAsia" w:eastAsia="宋体" w:cs="仿宋_GB2312"/>
          <w:color w:val="auto"/>
          <w:sz w:val="24"/>
          <w:szCs w:val="24"/>
          <w:highlight w:val="none"/>
        </w:rPr>
        <w:t>上传到对应项目的指定位置</w:t>
      </w:r>
      <w:r>
        <w:rPr>
          <w:rFonts w:hint="eastAsia" w:eastAsia="宋体" w:cs="仿宋_GB2312"/>
          <w:color w:val="auto"/>
          <w:sz w:val="24"/>
          <w:szCs w:val="24"/>
          <w:highlight w:val="none"/>
          <w:lang w:eastAsia="zh-CN"/>
        </w:rPr>
        <w:t>，</w:t>
      </w:r>
      <w:r>
        <w:rPr>
          <w:rFonts w:hint="eastAsia" w:eastAsia="宋体" w:cs="仿宋_GB2312"/>
          <w:color w:val="auto"/>
          <w:sz w:val="24"/>
          <w:szCs w:val="24"/>
          <w:highlight w:val="none"/>
        </w:rPr>
        <w:t>投标人认为有必要提交的其他资料请于投标截止时间前一并提交。</w:t>
      </w:r>
    </w:p>
    <w:p w14:paraId="7FD09881">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rPr>
        <w:t>1</w:t>
      </w:r>
      <w:r>
        <w:rPr>
          <w:rFonts w:hint="eastAsia" w:eastAsia="宋体" w:cs="仿宋_GB2312"/>
          <w:color w:val="auto"/>
          <w:sz w:val="24"/>
          <w:szCs w:val="24"/>
          <w:highlight w:val="none"/>
          <w:lang w:val="en-US" w:eastAsia="zh-CN"/>
        </w:rPr>
        <w:t>8</w:t>
      </w:r>
      <w:r>
        <w:rPr>
          <w:rFonts w:hint="eastAsia" w:eastAsia="宋体" w:cs="仿宋_GB2312"/>
          <w:color w:val="auto"/>
          <w:sz w:val="24"/>
          <w:szCs w:val="24"/>
          <w:highlight w:val="none"/>
        </w:rPr>
        <w:t>.</w:t>
      </w:r>
      <w:r>
        <w:rPr>
          <w:rFonts w:hint="eastAsia" w:eastAsia="宋体" w:cs="仿宋_GB2312"/>
          <w:color w:val="auto"/>
          <w:sz w:val="24"/>
          <w:szCs w:val="24"/>
          <w:highlight w:val="none"/>
          <w:lang w:val="en-US" w:eastAsia="zh-CN"/>
        </w:rPr>
        <w:t>5</w:t>
      </w:r>
      <w:r>
        <w:rPr>
          <w:rFonts w:hint="eastAsia" w:eastAsia="宋体" w:cs="仿宋_GB2312"/>
          <w:color w:val="auto"/>
          <w:sz w:val="24"/>
          <w:szCs w:val="24"/>
          <w:highlight w:val="none"/>
        </w:rPr>
        <w:t>如果投标人未按上述要求</w:t>
      </w:r>
      <w:r>
        <w:rPr>
          <w:rFonts w:hint="eastAsia" w:eastAsia="宋体" w:cs="仿宋_GB2312"/>
          <w:color w:val="auto"/>
          <w:sz w:val="24"/>
          <w:szCs w:val="24"/>
          <w:highlight w:val="none"/>
          <w:lang w:val="en-US" w:eastAsia="zh-CN"/>
        </w:rPr>
        <w:t>加密并上传</w:t>
      </w:r>
      <w:r>
        <w:rPr>
          <w:rFonts w:hint="eastAsia" w:eastAsia="宋体" w:cs="仿宋_GB2312"/>
          <w:color w:val="auto"/>
          <w:sz w:val="24"/>
          <w:szCs w:val="24"/>
          <w:highlight w:val="none"/>
        </w:rPr>
        <w:t>，采购代理机构对投标文件的误投</w:t>
      </w:r>
      <w:r>
        <w:rPr>
          <w:rFonts w:hint="eastAsia" w:eastAsia="宋体" w:cs="仿宋_GB2312"/>
          <w:color w:val="auto"/>
          <w:sz w:val="24"/>
          <w:szCs w:val="24"/>
          <w:highlight w:val="none"/>
          <w:lang w:eastAsia="zh-CN"/>
        </w:rPr>
        <w:t>、</w:t>
      </w:r>
      <w:r>
        <w:rPr>
          <w:rFonts w:hint="eastAsia" w:eastAsia="宋体" w:cs="仿宋_GB2312"/>
          <w:color w:val="auto"/>
          <w:sz w:val="24"/>
          <w:szCs w:val="24"/>
          <w:highlight w:val="none"/>
          <w:lang w:val="en-US" w:eastAsia="zh-CN"/>
        </w:rPr>
        <w:t>无法解密、传输错误等问题</w:t>
      </w:r>
      <w:r>
        <w:rPr>
          <w:rFonts w:hint="eastAsia" w:eastAsia="宋体" w:cs="仿宋_GB2312"/>
          <w:color w:val="auto"/>
          <w:sz w:val="24"/>
          <w:szCs w:val="24"/>
          <w:highlight w:val="none"/>
        </w:rPr>
        <w:t>概不负责。对由此造成</w:t>
      </w:r>
      <w:r>
        <w:rPr>
          <w:rFonts w:hint="eastAsia" w:eastAsia="宋体" w:cs="仿宋_GB2312"/>
          <w:color w:val="auto"/>
          <w:sz w:val="24"/>
          <w:szCs w:val="24"/>
          <w:highlight w:val="none"/>
          <w:lang w:val="en-US" w:eastAsia="zh-CN"/>
        </w:rPr>
        <w:t>无法正常开启</w:t>
      </w:r>
      <w:r>
        <w:rPr>
          <w:rFonts w:hint="eastAsia" w:eastAsia="宋体" w:cs="仿宋_GB2312"/>
          <w:color w:val="auto"/>
          <w:sz w:val="24"/>
          <w:szCs w:val="24"/>
          <w:highlight w:val="none"/>
        </w:rPr>
        <w:t>的投标文件，采购代理机构有权予以拒绝，并退回投标人。</w:t>
      </w:r>
    </w:p>
    <w:p w14:paraId="23051441">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rPr>
        <w:t>1</w:t>
      </w:r>
      <w:r>
        <w:rPr>
          <w:rFonts w:hint="eastAsia" w:eastAsia="宋体" w:cs="仿宋_GB2312"/>
          <w:color w:val="auto"/>
          <w:sz w:val="24"/>
          <w:szCs w:val="24"/>
          <w:highlight w:val="none"/>
          <w:lang w:val="en-US" w:eastAsia="zh-CN"/>
        </w:rPr>
        <w:t>8</w:t>
      </w:r>
      <w:r>
        <w:rPr>
          <w:rFonts w:hint="eastAsia" w:eastAsia="宋体" w:cs="仿宋_GB2312"/>
          <w:color w:val="auto"/>
          <w:sz w:val="24"/>
          <w:szCs w:val="24"/>
          <w:highlight w:val="none"/>
        </w:rPr>
        <w:t>.</w:t>
      </w:r>
      <w:r>
        <w:rPr>
          <w:rFonts w:hint="eastAsia" w:eastAsia="宋体" w:cs="仿宋_GB2312"/>
          <w:color w:val="auto"/>
          <w:sz w:val="24"/>
          <w:szCs w:val="24"/>
          <w:highlight w:val="none"/>
          <w:lang w:val="en-US" w:eastAsia="zh-CN"/>
        </w:rPr>
        <w:t>6</w:t>
      </w:r>
      <w:r>
        <w:rPr>
          <w:rFonts w:hint="eastAsia" w:eastAsia="宋体" w:cs="仿宋_GB2312"/>
          <w:color w:val="auto"/>
          <w:sz w:val="24"/>
          <w:szCs w:val="24"/>
          <w:highlight w:val="none"/>
        </w:rPr>
        <w:t>本项目采用不见面开标，无需提供电子</w:t>
      </w:r>
      <w:r>
        <w:rPr>
          <w:rFonts w:hint="eastAsia" w:ascii="宋体" w:hAnsi="宋体" w:eastAsia="宋体" w:cs="仿宋_GB2312"/>
          <w:color w:val="auto"/>
          <w:sz w:val="24"/>
          <w:szCs w:val="24"/>
          <w:highlight w:val="none"/>
        </w:rPr>
        <w:t>投标文件U盘</w:t>
      </w:r>
      <w:r>
        <w:rPr>
          <w:rFonts w:hint="eastAsia" w:eastAsia="宋体" w:cs="仿宋_GB2312"/>
          <w:color w:val="auto"/>
          <w:sz w:val="24"/>
          <w:szCs w:val="24"/>
          <w:highlight w:val="none"/>
        </w:rPr>
        <w:t>。</w:t>
      </w:r>
    </w:p>
    <w:bookmarkEnd w:id="166"/>
    <w:p w14:paraId="31ED663E">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67" w:name="_Toc140132777"/>
      <w:bookmarkStart w:id="168" w:name="_Toc163492844"/>
      <w:r>
        <w:rPr>
          <w:rFonts w:hint="eastAsia" w:ascii="宋体" w:hAnsi="宋体" w:eastAsia="宋体" w:cs="宋体"/>
          <w:b/>
          <w:bCs/>
          <w:color w:val="auto"/>
          <w:kern w:val="2"/>
          <w:sz w:val="24"/>
          <w:szCs w:val="28"/>
          <w:highlight w:val="none"/>
          <w:lang w:val="en-US" w:eastAsia="zh-CN" w:bidi="ar-SA"/>
        </w:rPr>
        <w:t>19.投标文件的递交</w:t>
      </w:r>
      <w:bookmarkEnd w:id="167"/>
      <w:r>
        <w:rPr>
          <w:rFonts w:hint="eastAsia" w:ascii="宋体" w:hAnsi="宋体" w:eastAsia="宋体" w:cs="宋体"/>
          <w:b/>
          <w:bCs/>
          <w:color w:val="auto"/>
          <w:kern w:val="2"/>
          <w:sz w:val="24"/>
          <w:szCs w:val="28"/>
          <w:highlight w:val="none"/>
          <w:lang w:val="en-US" w:eastAsia="zh-CN" w:bidi="ar-SA"/>
        </w:rPr>
        <w:t>（上传）</w:t>
      </w:r>
      <w:bookmarkEnd w:id="168"/>
    </w:p>
    <w:p w14:paraId="68ADD5DF">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bookmarkStart w:id="169" w:name="_Hlk143531977"/>
      <w:r>
        <w:rPr>
          <w:rFonts w:hint="eastAsia" w:eastAsia="宋体" w:cs="仿宋_GB2312"/>
          <w:color w:val="auto"/>
          <w:sz w:val="24"/>
          <w:szCs w:val="24"/>
          <w:highlight w:val="none"/>
          <w:lang w:val="en-US" w:eastAsia="zh-CN"/>
        </w:rPr>
        <w:t>19</w:t>
      </w:r>
      <w:r>
        <w:rPr>
          <w:rFonts w:hint="eastAsia" w:eastAsia="宋体" w:cs="仿宋_GB2312"/>
          <w:color w:val="auto"/>
          <w:sz w:val="24"/>
          <w:szCs w:val="24"/>
          <w:highlight w:val="none"/>
        </w:rPr>
        <w:t>.1 投标人应在“</w:t>
      </w:r>
      <w:r>
        <w:rPr>
          <w:rFonts w:hint="eastAsia" w:eastAsia="宋体" w:cs="仿宋_GB2312"/>
          <w:color w:val="auto"/>
          <w:sz w:val="24"/>
          <w:szCs w:val="24"/>
          <w:highlight w:val="none"/>
          <w:lang w:val="en-US" w:eastAsia="zh-CN"/>
        </w:rPr>
        <w:t xml:space="preserve">第一章 </w:t>
      </w:r>
      <w:r>
        <w:rPr>
          <w:rFonts w:hint="eastAsia" w:eastAsia="宋体"/>
          <w:color w:val="auto"/>
          <w:sz w:val="24"/>
          <w:highlight w:val="none"/>
          <w:lang w:val="en-US" w:eastAsia="zh-CN"/>
        </w:rPr>
        <w:t>招标公告</w:t>
      </w:r>
      <w:r>
        <w:rPr>
          <w:rFonts w:hint="eastAsia" w:eastAsia="宋体" w:cs="仿宋_GB2312"/>
          <w:color w:val="auto"/>
          <w:sz w:val="24"/>
          <w:szCs w:val="24"/>
          <w:highlight w:val="none"/>
        </w:rPr>
        <w:t>”规定的投标截止时间前递交（上传）投标文件。</w:t>
      </w:r>
    </w:p>
    <w:p w14:paraId="0686D9A3">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lang w:val="en-US" w:eastAsia="zh-CN"/>
        </w:rPr>
        <w:t>19</w:t>
      </w:r>
      <w:r>
        <w:rPr>
          <w:rFonts w:hint="eastAsia" w:eastAsia="宋体" w:cs="仿宋_GB2312"/>
          <w:color w:val="auto"/>
          <w:sz w:val="24"/>
          <w:szCs w:val="24"/>
          <w:highlight w:val="none"/>
        </w:rPr>
        <w:t>.2 投标人递交（上传）投标文件的地点见“</w:t>
      </w:r>
      <w:r>
        <w:rPr>
          <w:rFonts w:hint="eastAsia" w:eastAsia="宋体" w:cs="仿宋_GB2312"/>
          <w:color w:val="auto"/>
          <w:sz w:val="24"/>
          <w:szCs w:val="24"/>
          <w:highlight w:val="none"/>
          <w:lang w:val="en-US" w:eastAsia="zh-CN"/>
        </w:rPr>
        <w:t xml:space="preserve">第一章 </w:t>
      </w:r>
      <w:r>
        <w:rPr>
          <w:rFonts w:hint="eastAsia" w:eastAsia="宋体"/>
          <w:color w:val="auto"/>
          <w:sz w:val="24"/>
          <w:highlight w:val="none"/>
          <w:lang w:val="en-US" w:eastAsia="zh-CN"/>
        </w:rPr>
        <w:t>招标公告</w:t>
      </w:r>
      <w:r>
        <w:rPr>
          <w:rFonts w:hint="eastAsia" w:eastAsia="宋体" w:cs="仿宋_GB2312"/>
          <w:color w:val="auto"/>
          <w:sz w:val="24"/>
          <w:szCs w:val="24"/>
          <w:highlight w:val="none"/>
        </w:rPr>
        <w:t>”。</w:t>
      </w:r>
    </w:p>
    <w:p w14:paraId="6AE6974A">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lang w:eastAsia="zh-CN"/>
        </w:rPr>
      </w:pPr>
      <w:r>
        <w:rPr>
          <w:rFonts w:hint="eastAsia" w:eastAsia="宋体" w:cs="仿宋_GB2312"/>
          <w:color w:val="auto"/>
          <w:sz w:val="24"/>
          <w:szCs w:val="24"/>
          <w:highlight w:val="none"/>
          <w:lang w:val="en-US" w:eastAsia="zh-CN"/>
        </w:rPr>
        <w:t>19</w:t>
      </w:r>
      <w:r>
        <w:rPr>
          <w:rFonts w:hint="eastAsia" w:eastAsia="宋体" w:cs="仿宋_GB2312"/>
          <w:color w:val="auto"/>
          <w:sz w:val="24"/>
          <w:szCs w:val="24"/>
          <w:highlight w:val="none"/>
        </w:rPr>
        <w:t>.3投标人应充分评估集中同时投标带来的网络影响，尽量避开投标高峰时间，错峰进行电子投标。投标人递交全部的投标文件后可在政采云平台（项目采购</w:t>
      </w:r>
      <w:r>
        <w:rPr>
          <w:rFonts w:hint="eastAsia" w:eastAsia="宋体" w:cs="仿宋_GB2312"/>
          <w:color w:val="auto"/>
          <w:sz w:val="24"/>
          <w:szCs w:val="24"/>
          <w:highlight w:val="none"/>
          <w:lang w:eastAsia="zh-CN"/>
        </w:rPr>
        <w:t>—</w:t>
      </w:r>
      <w:r>
        <w:rPr>
          <w:rFonts w:hint="eastAsia" w:eastAsia="宋体" w:cs="仿宋_GB2312"/>
          <w:color w:val="auto"/>
          <w:sz w:val="24"/>
          <w:szCs w:val="24"/>
          <w:highlight w:val="none"/>
        </w:rPr>
        <w:t>投标文件上传）中获取投标文件递交回执单。</w:t>
      </w:r>
    </w:p>
    <w:p w14:paraId="66FB688C">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lang w:val="en-US" w:eastAsia="zh-CN"/>
        </w:rPr>
        <w:t>19</w:t>
      </w:r>
      <w:r>
        <w:rPr>
          <w:rFonts w:hint="eastAsia" w:eastAsia="宋体" w:cs="仿宋_GB2312"/>
          <w:color w:val="auto"/>
          <w:sz w:val="24"/>
          <w:szCs w:val="24"/>
          <w:highlight w:val="none"/>
        </w:rPr>
        <w:t>.4 投标人应在</w:t>
      </w:r>
      <w:r>
        <w:rPr>
          <w:rFonts w:hint="eastAsia" w:cs="宋体"/>
          <w:color w:val="auto"/>
          <w:sz w:val="24"/>
          <w:szCs w:val="24"/>
          <w:highlight w:val="none"/>
          <w:lang w:eastAsia="zh-CN"/>
        </w:rPr>
        <w:t>“</w:t>
      </w:r>
      <w:r>
        <w:rPr>
          <w:rFonts w:hint="eastAsia" w:cs="仿宋_GB2312"/>
          <w:color w:val="auto"/>
          <w:sz w:val="24"/>
          <w:szCs w:val="24"/>
          <w:highlight w:val="none"/>
          <w:lang w:val="en-US" w:eastAsia="zh-CN"/>
        </w:rPr>
        <w:t>投标</w:t>
      </w:r>
      <w:r>
        <w:rPr>
          <w:rFonts w:hint="eastAsia" w:eastAsia="宋体" w:cs="仿宋_GB2312"/>
          <w:color w:val="auto"/>
          <w:sz w:val="24"/>
          <w:szCs w:val="24"/>
          <w:highlight w:val="none"/>
        </w:rPr>
        <w:t>客户端</w:t>
      </w:r>
      <w:r>
        <w:rPr>
          <w:rFonts w:hint="eastAsia" w:cs="仿宋_GB2312"/>
          <w:color w:val="auto"/>
          <w:sz w:val="24"/>
          <w:szCs w:val="24"/>
          <w:highlight w:val="none"/>
          <w:lang w:eastAsia="zh-CN"/>
        </w:rPr>
        <w:t>”</w:t>
      </w:r>
      <w:r>
        <w:rPr>
          <w:rFonts w:hint="eastAsia" w:eastAsia="宋体" w:cs="仿宋_GB2312"/>
          <w:color w:val="auto"/>
          <w:sz w:val="24"/>
          <w:szCs w:val="24"/>
          <w:highlight w:val="none"/>
        </w:rPr>
        <w:t>中下载未加密且完成签章的投标文件妥善保存，以便启动应急开标程序时使用。</w:t>
      </w:r>
    </w:p>
    <w:p w14:paraId="4469D505">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lang w:val="en-US" w:eastAsia="zh-CN"/>
        </w:rPr>
        <w:t>19</w:t>
      </w:r>
      <w:r>
        <w:rPr>
          <w:rFonts w:hint="eastAsia" w:eastAsia="宋体" w:cs="仿宋_GB2312"/>
          <w:color w:val="auto"/>
          <w:sz w:val="24"/>
          <w:szCs w:val="24"/>
          <w:highlight w:val="none"/>
        </w:rPr>
        <w:t>.5投标人所递交的投标文件不予退还。</w:t>
      </w:r>
    </w:p>
    <w:bookmarkEnd w:id="169"/>
    <w:p w14:paraId="6AD70963">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70" w:name="_Toc163492845"/>
      <w:r>
        <w:rPr>
          <w:rFonts w:hint="eastAsia" w:ascii="宋体" w:hAnsi="宋体" w:eastAsia="宋体" w:cs="宋体"/>
          <w:b/>
          <w:bCs/>
          <w:color w:val="auto"/>
          <w:kern w:val="2"/>
          <w:sz w:val="24"/>
          <w:szCs w:val="28"/>
          <w:highlight w:val="none"/>
          <w:lang w:val="en-US" w:eastAsia="zh-CN" w:bidi="ar-SA"/>
        </w:rPr>
        <w:t>20.拒收</w:t>
      </w:r>
      <w:bookmarkEnd w:id="170"/>
    </w:p>
    <w:p w14:paraId="163AD542">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rPr>
        <w:t>2</w:t>
      </w:r>
      <w:r>
        <w:rPr>
          <w:rFonts w:hint="eastAsia" w:eastAsia="宋体" w:cs="仿宋_GB2312"/>
          <w:color w:val="auto"/>
          <w:sz w:val="24"/>
          <w:szCs w:val="24"/>
          <w:highlight w:val="none"/>
          <w:lang w:val="en-US" w:eastAsia="zh-CN"/>
        </w:rPr>
        <w:t>0</w:t>
      </w:r>
      <w:r>
        <w:rPr>
          <w:rFonts w:hint="eastAsia" w:eastAsia="宋体" w:cs="仿宋_GB2312"/>
          <w:color w:val="auto"/>
          <w:sz w:val="24"/>
          <w:szCs w:val="24"/>
          <w:highlight w:val="none"/>
        </w:rPr>
        <w:t>.1 超过投标文件提交截止时间</w:t>
      </w:r>
      <w:bookmarkStart w:id="171" w:name="_Hlk143532404"/>
      <w:r>
        <w:rPr>
          <w:rFonts w:hint="eastAsia" w:eastAsia="宋体" w:cs="仿宋_GB2312"/>
          <w:color w:val="auto"/>
          <w:sz w:val="24"/>
          <w:szCs w:val="24"/>
          <w:highlight w:val="none"/>
        </w:rPr>
        <w:t>或者不按照本章要求加密的投标文件，交易系统应当拒收</w:t>
      </w:r>
      <w:bookmarkEnd w:id="171"/>
      <w:r>
        <w:rPr>
          <w:rFonts w:hint="eastAsia" w:eastAsia="宋体" w:cs="仿宋_GB2312"/>
          <w:color w:val="auto"/>
          <w:sz w:val="24"/>
          <w:szCs w:val="24"/>
          <w:highlight w:val="none"/>
        </w:rPr>
        <w:t>。</w:t>
      </w:r>
    </w:p>
    <w:p w14:paraId="03561218">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72" w:name="_Toc140132778"/>
      <w:bookmarkStart w:id="173" w:name="_Toc163492846"/>
      <w:r>
        <w:rPr>
          <w:rFonts w:hint="eastAsia" w:ascii="宋体" w:hAnsi="宋体" w:eastAsia="宋体" w:cs="宋体"/>
          <w:b/>
          <w:bCs/>
          <w:color w:val="auto"/>
          <w:kern w:val="2"/>
          <w:sz w:val="24"/>
          <w:szCs w:val="28"/>
          <w:highlight w:val="none"/>
          <w:lang w:val="en-US" w:eastAsia="zh-CN" w:bidi="ar-SA"/>
        </w:rPr>
        <w:t>21.投标文件的修改与撤回</w:t>
      </w:r>
      <w:bookmarkEnd w:id="172"/>
      <w:bookmarkEnd w:id="173"/>
    </w:p>
    <w:p w14:paraId="7DBF29E0">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rPr>
        <w:t>2</w:t>
      </w:r>
      <w:r>
        <w:rPr>
          <w:rFonts w:hint="eastAsia" w:eastAsia="宋体" w:cs="仿宋_GB2312"/>
          <w:color w:val="auto"/>
          <w:sz w:val="24"/>
          <w:szCs w:val="24"/>
          <w:highlight w:val="none"/>
          <w:lang w:val="en-US" w:eastAsia="zh-CN"/>
        </w:rPr>
        <w:t>1</w:t>
      </w:r>
      <w:r>
        <w:rPr>
          <w:rFonts w:hint="eastAsia" w:eastAsia="宋体" w:cs="仿宋_GB2312"/>
          <w:color w:val="auto"/>
          <w:sz w:val="24"/>
          <w:szCs w:val="24"/>
          <w:highlight w:val="none"/>
        </w:rPr>
        <w:t>.1</w:t>
      </w:r>
      <w:bookmarkStart w:id="174" w:name="_Hlk143532466"/>
      <w:r>
        <w:rPr>
          <w:rFonts w:hint="eastAsia" w:eastAsia="宋体" w:cs="仿宋_GB2312"/>
          <w:color w:val="auto"/>
          <w:sz w:val="24"/>
          <w:szCs w:val="24"/>
          <w:highlight w:val="none"/>
          <w:lang w:eastAsia="zh-CN"/>
        </w:rPr>
        <w:t>投标人</w:t>
      </w:r>
      <w:r>
        <w:rPr>
          <w:rFonts w:hint="eastAsia" w:eastAsia="宋体" w:cs="仿宋_GB2312"/>
          <w:color w:val="auto"/>
          <w:sz w:val="24"/>
          <w:szCs w:val="24"/>
          <w:highlight w:val="none"/>
        </w:rPr>
        <w:t>在</w:t>
      </w:r>
      <w:r>
        <w:rPr>
          <w:rFonts w:hint="eastAsia" w:eastAsia="宋体" w:cs="仿宋_GB2312"/>
          <w:color w:val="auto"/>
          <w:sz w:val="24"/>
          <w:szCs w:val="24"/>
          <w:highlight w:val="none"/>
          <w:lang w:eastAsia="zh-CN"/>
        </w:rPr>
        <w:t>“</w:t>
      </w:r>
      <w:r>
        <w:rPr>
          <w:rFonts w:hint="eastAsia" w:eastAsia="宋体"/>
          <w:color w:val="auto"/>
          <w:sz w:val="24"/>
          <w:highlight w:val="none"/>
          <w:lang w:val="en-US" w:eastAsia="zh-CN"/>
        </w:rPr>
        <w:t>第一章 招标公告</w:t>
      </w:r>
      <w:r>
        <w:rPr>
          <w:rFonts w:hint="eastAsia" w:eastAsia="宋体" w:cs="仿宋_GB2312"/>
          <w:color w:val="auto"/>
          <w:sz w:val="24"/>
          <w:szCs w:val="24"/>
          <w:highlight w:val="none"/>
          <w:lang w:eastAsia="zh-CN"/>
        </w:rPr>
        <w:t>”</w:t>
      </w:r>
      <w:r>
        <w:rPr>
          <w:rFonts w:hint="eastAsia" w:eastAsia="宋体" w:cs="仿宋_GB2312"/>
          <w:color w:val="auto"/>
          <w:sz w:val="24"/>
          <w:szCs w:val="24"/>
          <w:highlight w:val="none"/>
        </w:rPr>
        <w:t>规定的</w:t>
      </w:r>
      <w:r>
        <w:rPr>
          <w:rFonts w:hint="eastAsia" w:eastAsia="宋体" w:cs="仿宋_GB2312"/>
          <w:color w:val="auto"/>
          <w:sz w:val="24"/>
          <w:szCs w:val="24"/>
          <w:highlight w:val="none"/>
          <w:lang w:eastAsia="zh-CN"/>
        </w:rPr>
        <w:t>投标文件</w:t>
      </w:r>
      <w:r>
        <w:rPr>
          <w:rFonts w:hint="eastAsia" w:eastAsia="宋体" w:cs="仿宋_GB2312"/>
          <w:color w:val="auto"/>
          <w:sz w:val="24"/>
          <w:szCs w:val="24"/>
          <w:highlight w:val="none"/>
        </w:rPr>
        <w:t>递交截止时间之前，可在兵团政府采购电子交易云平台上随时撤回已上传的电子</w:t>
      </w:r>
      <w:r>
        <w:rPr>
          <w:rFonts w:hint="eastAsia" w:eastAsia="宋体" w:cs="仿宋_GB2312"/>
          <w:color w:val="auto"/>
          <w:sz w:val="24"/>
          <w:szCs w:val="24"/>
          <w:highlight w:val="none"/>
          <w:lang w:eastAsia="zh-CN"/>
        </w:rPr>
        <w:t>投标文件</w:t>
      </w:r>
      <w:r>
        <w:rPr>
          <w:rFonts w:hint="eastAsia" w:eastAsia="宋体" w:cs="仿宋_GB2312"/>
          <w:color w:val="auto"/>
          <w:sz w:val="24"/>
          <w:szCs w:val="24"/>
          <w:highlight w:val="none"/>
        </w:rPr>
        <w:t>，将修改好的电子</w:t>
      </w:r>
      <w:r>
        <w:rPr>
          <w:rFonts w:hint="eastAsia" w:eastAsia="宋体" w:cs="仿宋_GB2312"/>
          <w:color w:val="auto"/>
          <w:sz w:val="24"/>
          <w:szCs w:val="24"/>
          <w:highlight w:val="none"/>
          <w:lang w:eastAsia="zh-CN"/>
        </w:rPr>
        <w:t>投标文件</w:t>
      </w:r>
      <w:r>
        <w:rPr>
          <w:rFonts w:hint="eastAsia" w:eastAsia="宋体" w:cs="仿宋_GB2312"/>
          <w:color w:val="auto"/>
          <w:sz w:val="24"/>
          <w:szCs w:val="24"/>
          <w:highlight w:val="none"/>
        </w:rPr>
        <w:t>在</w:t>
      </w:r>
      <w:r>
        <w:rPr>
          <w:rFonts w:hint="eastAsia" w:eastAsia="宋体" w:cs="仿宋_GB2312"/>
          <w:color w:val="auto"/>
          <w:sz w:val="24"/>
          <w:szCs w:val="24"/>
          <w:highlight w:val="none"/>
          <w:lang w:eastAsia="zh-CN"/>
        </w:rPr>
        <w:t>投标文件</w:t>
      </w:r>
      <w:r>
        <w:rPr>
          <w:rFonts w:hint="eastAsia" w:eastAsia="宋体" w:cs="仿宋_GB2312"/>
          <w:color w:val="auto"/>
          <w:sz w:val="24"/>
          <w:szCs w:val="24"/>
          <w:highlight w:val="none"/>
        </w:rPr>
        <w:t>递交截止时间前重新上传到兵团政府采购电子交易云平台的</w:t>
      </w:r>
      <w:r>
        <w:rPr>
          <w:rFonts w:hint="eastAsia" w:eastAsia="宋体" w:cs="仿宋_GB2312"/>
          <w:color w:val="auto"/>
          <w:sz w:val="24"/>
          <w:szCs w:val="24"/>
          <w:highlight w:val="none"/>
          <w:lang w:val="en-US" w:eastAsia="zh-CN"/>
        </w:rPr>
        <w:t>指</w:t>
      </w:r>
      <w:r>
        <w:rPr>
          <w:rFonts w:hint="eastAsia" w:eastAsia="宋体" w:cs="仿宋_GB2312"/>
          <w:color w:val="auto"/>
          <w:sz w:val="24"/>
          <w:szCs w:val="24"/>
          <w:highlight w:val="none"/>
        </w:rPr>
        <w:t>定位置。</w:t>
      </w:r>
    </w:p>
    <w:bookmarkEnd w:id="174"/>
    <w:p w14:paraId="20434D8C">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75" w:name="_Toc155185874"/>
      <w:bookmarkStart w:id="176" w:name="_Toc163492847"/>
      <w:r>
        <w:rPr>
          <w:rFonts w:hint="eastAsia" w:ascii="宋体" w:hAnsi="宋体" w:eastAsia="宋体" w:cs="宋体"/>
          <w:b/>
          <w:bCs/>
          <w:color w:val="auto"/>
          <w:kern w:val="2"/>
          <w:sz w:val="24"/>
          <w:szCs w:val="28"/>
          <w:highlight w:val="none"/>
          <w:lang w:val="en-US" w:eastAsia="zh-CN" w:bidi="ar-SA"/>
        </w:rPr>
        <w:t>22.实物样品</w:t>
      </w:r>
      <w:bookmarkEnd w:id="175"/>
      <w:bookmarkEnd w:id="176"/>
    </w:p>
    <w:p w14:paraId="52D4EAF6">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2</w:t>
      </w:r>
      <w:r>
        <w:rPr>
          <w:rFonts w:hint="eastAsia" w:eastAsia="宋体"/>
          <w:color w:val="auto"/>
          <w:sz w:val="24"/>
          <w:highlight w:val="none"/>
          <w:lang w:val="en-US" w:eastAsia="zh-CN"/>
        </w:rPr>
        <w:t>2</w:t>
      </w:r>
      <w:r>
        <w:rPr>
          <w:rFonts w:hint="eastAsia" w:eastAsia="宋体"/>
          <w:color w:val="auto"/>
          <w:sz w:val="24"/>
          <w:highlight w:val="none"/>
        </w:rPr>
        <w:t>.1“投标人须知前附表”要求提供样品的，样品的具体要求及评审详见“第三章 采购需求”和“第五章 评标</w:t>
      </w:r>
      <w:r>
        <w:rPr>
          <w:rFonts w:hint="eastAsia" w:eastAsia="宋体"/>
          <w:color w:val="auto"/>
          <w:sz w:val="24"/>
          <w:highlight w:val="none"/>
          <w:lang w:val="en-US" w:eastAsia="zh-CN"/>
        </w:rPr>
        <w:t>方</w:t>
      </w:r>
      <w:r>
        <w:rPr>
          <w:rFonts w:hint="eastAsia" w:eastAsia="宋体"/>
          <w:color w:val="auto"/>
          <w:sz w:val="24"/>
          <w:highlight w:val="none"/>
        </w:rPr>
        <w:t>法及标准”。</w:t>
      </w:r>
    </w:p>
    <w:p w14:paraId="2D6ED3FC">
      <w:pPr>
        <w:pStyle w:val="37"/>
        <w:keepNext w:val="0"/>
        <w:keepLines w:val="0"/>
        <w:pageBreakBefore w:val="0"/>
        <w:widowControl w:val="0"/>
        <w:kinsoku/>
        <w:overflowPunct/>
        <w:topLinePunct w:val="0"/>
        <w:autoSpaceDE/>
        <w:autoSpaceDN/>
        <w:bidi w:val="0"/>
        <w:adjustRightInd/>
        <w:textAlignment w:val="auto"/>
        <w:rPr>
          <w:rFonts w:eastAsia="宋体" w:cs="仿宋_GB2312"/>
          <w:b/>
          <w:color w:val="auto"/>
          <w:sz w:val="24"/>
          <w:szCs w:val="24"/>
          <w:highlight w:val="none"/>
        </w:rPr>
      </w:pPr>
      <w:r>
        <w:rPr>
          <w:rFonts w:eastAsia="宋体"/>
          <w:color w:val="auto"/>
          <w:sz w:val="24"/>
          <w:highlight w:val="none"/>
        </w:rPr>
        <w:t>2</w:t>
      </w:r>
      <w:r>
        <w:rPr>
          <w:rFonts w:hint="eastAsia" w:eastAsia="宋体"/>
          <w:color w:val="auto"/>
          <w:sz w:val="24"/>
          <w:highlight w:val="none"/>
          <w:lang w:val="en-US" w:eastAsia="zh-CN"/>
        </w:rPr>
        <w:t>2</w:t>
      </w:r>
      <w:r>
        <w:rPr>
          <w:rFonts w:hint="eastAsia" w:eastAsia="宋体"/>
          <w:color w:val="auto"/>
          <w:sz w:val="24"/>
          <w:highlight w:val="none"/>
        </w:rPr>
        <w:t>.2样品退还：</w:t>
      </w:r>
      <w:r>
        <w:rPr>
          <w:rFonts w:hint="eastAsia" w:ascii="宋体" w:hAnsi="宋体" w:eastAsia="宋体"/>
          <w:color w:val="auto"/>
          <w:sz w:val="24"/>
          <w:highlight w:val="none"/>
        </w:rPr>
        <w:t>未中标的投标人应</w:t>
      </w:r>
      <w:r>
        <w:rPr>
          <w:rFonts w:hint="eastAsia" w:ascii="宋体" w:hAnsi="宋体" w:eastAsia="宋体"/>
          <w:color w:val="auto"/>
          <w:sz w:val="24"/>
          <w:highlight w:val="none"/>
          <w:lang w:val="en-US" w:eastAsia="zh-CN"/>
        </w:rPr>
        <w:t>按照</w:t>
      </w:r>
      <w:r>
        <w:rPr>
          <w:rFonts w:hint="eastAsia" w:ascii="宋体" w:hAnsi="宋体" w:eastAsia="宋体"/>
          <w:color w:val="auto"/>
          <w:sz w:val="24"/>
          <w:highlight w:val="none"/>
        </w:rPr>
        <w:t>“投标人须知前附表”</w:t>
      </w:r>
      <w:r>
        <w:rPr>
          <w:rFonts w:hint="eastAsia" w:ascii="宋体" w:hAnsi="宋体" w:eastAsia="宋体"/>
          <w:color w:val="auto"/>
          <w:sz w:val="24"/>
          <w:highlight w:val="none"/>
          <w:lang w:val="en-US" w:eastAsia="zh-CN"/>
        </w:rPr>
        <w:t>要求</w:t>
      </w:r>
      <w:r>
        <w:rPr>
          <w:rFonts w:hint="eastAsia" w:ascii="宋体" w:hAnsi="宋体" w:eastAsia="宋体"/>
          <w:color w:val="auto"/>
          <w:sz w:val="24"/>
          <w:highlight w:val="none"/>
        </w:rPr>
        <w:t>自行联系采购人取回投标样品；中标人的样品由采购人进行保管、封存，并作为履约验收的参考</w:t>
      </w:r>
      <w:r>
        <w:rPr>
          <w:rFonts w:hint="eastAsia" w:eastAsia="宋体"/>
          <w:color w:val="auto"/>
          <w:sz w:val="24"/>
          <w:highlight w:val="none"/>
        </w:rPr>
        <w:t>（招标文件另有规定的从其规定）。</w:t>
      </w:r>
    </w:p>
    <w:p w14:paraId="7DD3C31F">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77" w:name="_Toc163492848"/>
      <w:bookmarkStart w:id="178" w:name="_Toc155185875"/>
      <w:r>
        <w:rPr>
          <w:rFonts w:hint="eastAsia" w:ascii="宋体" w:hAnsi="宋体" w:eastAsia="宋体" w:cs="宋体"/>
          <w:b/>
          <w:bCs/>
          <w:color w:val="auto"/>
          <w:kern w:val="2"/>
          <w:sz w:val="24"/>
          <w:szCs w:val="28"/>
          <w:highlight w:val="none"/>
          <w:lang w:val="en-US" w:eastAsia="zh-CN" w:bidi="ar-SA"/>
        </w:rPr>
        <w:t>23.演示</w:t>
      </w:r>
      <w:bookmarkEnd w:id="177"/>
      <w:bookmarkEnd w:id="178"/>
    </w:p>
    <w:p w14:paraId="1A234B38">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eastAsia="宋体"/>
          <w:color w:val="auto"/>
          <w:sz w:val="24"/>
          <w:highlight w:val="none"/>
        </w:rPr>
        <w:t>2</w:t>
      </w:r>
      <w:r>
        <w:rPr>
          <w:rFonts w:hint="eastAsia" w:eastAsia="宋体"/>
          <w:color w:val="auto"/>
          <w:sz w:val="24"/>
          <w:highlight w:val="none"/>
          <w:lang w:val="en-US" w:eastAsia="zh-CN"/>
        </w:rPr>
        <w:t>3</w:t>
      </w:r>
      <w:r>
        <w:rPr>
          <w:rFonts w:hint="eastAsia" w:eastAsia="宋体"/>
          <w:color w:val="auto"/>
          <w:sz w:val="24"/>
          <w:highlight w:val="none"/>
        </w:rPr>
        <w:t>.1要求投标人进行演示的，演示要求详见“投标人须知前附表”。</w:t>
      </w:r>
    </w:p>
    <w:p w14:paraId="527E9036">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color w:val="auto"/>
          <w:sz w:val="24"/>
          <w:highlight w:val="none"/>
        </w:rPr>
        <w:t>2</w:t>
      </w:r>
      <w:r>
        <w:rPr>
          <w:rFonts w:hint="eastAsia" w:eastAsia="宋体"/>
          <w:color w:val="auto"/>
          <w:sz w:val="24"/>
          <w:highlight w:val="none"/>
          <w:lang w:val="en-US" w:eastAsia="zh-CN"/>
        </w:rPr>
        <w:t>3</w:t>
      </w:r>
      <w:r>
        <w:rPr>
          <w:rFonts w:hint="eastAsia" w:eastAsia="宋体"/>
          <w:color w:val="auto"/>
          <w:sz w:val="24"/>
          <w:highlight w:val="none"/>
        </w:rPr>
        <w:t>.2演示的评审详见“第三章 采购需求”和“第五章 评标</w:t>
      </w:r>
      <w:r>
        <w:rPr>
          <w:rFonts w:hint="eastAsia" w:eastAsia="宋体"/>
          <w:color w:val="auto"/>
          <w:sz w:val="24"/>
          <w:highlight w:val="none"/>
          <w:lang w:val="en-US" w:eastAsia="zh-CN"/>
        </w:rPr>
        <w:t>方</w:t>
      </w:r>
      <w:r>
        <w:rPr>
          <w:rFonts w:hint="eastAsia" w:eastAsia="宋体"/>
          <w:color w:val="auto"/>
          <w:sz w:val="24"/>
          <w:highlight w:val="none"/>
        </w:rPr>
        <w:t>法及标准”。</w:t>
      </w:r>
    </w:p>
    <w:p w14:paraId="44828689">
      <w:pPr>
        <w:pStyle w:val="5"/>
        <w:keepNext w:val="0"/>
        <w:keepLines w:val="0"/>
        <w:pageBreakBefore w:val="0"/>
        <w:widowControl w:val="0"/>
        <w:numPr>
          <w:ilvl w:val="0"/>
          <w:numId w:val="0"/>
        </w:numPr>
        <w:kinsoku/>
        <w:wordWrap/>
        <w:overflowPunct/>
        <w:topLinePunct w:val="0"/>
        <w:autoSpaceDE/>
        <w:autoSpaceDN/>
        <w:bidi w:val="0"/>
        <w:adjustRightInd/>
        <w:snapToGrid/>
        <w:spacing w:before="180" w:after="180" w:line="240" w:lineRule="auto"/>
        <w:ind w:left="420" w:leftChars="0" w:hanging="420" w:firstLineChars="0"/>
        <w:textAlignment w:val="auto"/>
        <w:rPr>
          <w:rFonts w:hint="eastAsia" w:ascii="宋体" w:hAnsi="宋体" w:eastAsia="宋体" w:cs="宋体"/>
          <w:b/>
          <w:bCs/>
          <w:color w:val="auto"/>
          <w:kern w:val="2"/>
          <w:sz w:val="24"/>
          <w:szCs w:val="32"/>
          <w:highlight w:val="none"/>
          <w:lang w:val="en-US" w:eastAsia="zh-CN" w:bidi="ar-SA"/>
        </w:rPr>
      </w:pPr>
      <w:bookmarkStart w:id="179" w:name="_Toc140132779"/>
      <w:bookmarkStart w:id="180" w:name="_Toc155185876"/>
      <w:bookmarkStart w:id="181" w:name="_Toc163492849"/>
      <w:r>
        <w:rPr>
          <w:rFonts w:hint="eastAsia" w:ascii="宋体" w:hAnsi="宋体" w:eastAsia="宋体" w:cs="宋体"/>
          <w:b/>
          <w:bCs/>
          <w:color w:val="auto"/>
          <w:kern w:val="2"/>
          <w:sz w:val="24"/>
          <w:szCs w:val="32"/>
          <w:highlight w:val="none"/>
          <w:lang w:val="en-US" w:eastAsia="zh-CN" w:bidi="ar-SA"/>
        </w:rPr>
        <w:t>（五）开标</w:t>
      </w:r>
      <w:bookmarkEnd w:id="179"/>
      <w:bookmarkEnd w:id="180"/>
      <w:bookmarkEnd w:id="181"/>
    </w:p>
    <w:p w14:paraId="1705A8FF">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82" w:name="_Toc140132780"/>
      <w:bookmarkStart w:id="183" w:name="_Toc163492850"/>
      <w:r>
        <w:rPr>
          <w:rFonts w:hint="eastAsia" w:ascii="宋体" w:hAnsi="宋体" w:eastAsia="宋体" w:cs="宋体"/>
          <w:b/>
          <w:bCs/>
          <w:color w:val="auto"/>
          <w:kern w:val="2"/>
          <w:sz w:val="24"/>
          <w:szCs w:val="28"/>
          <w:highlight w:val="none"/>
          <w:lang w:val="en-US" w:eastAsia="zh-CN" w:bidi="ar-SA"/>
        </w:rPr>
        <w:t>24.开标会议</w:t>
      </w:r>
      <w:bookmarkEnd w:id="182"/>
      <w:bookmarkEnd w:id="183"/>
    </w:p>
    <w:p w14:paraId="43376441">
      <w:pPr>
        <w:keepNext w:val="0"/>
        <w:keepLines w:val="0"/>
        <w:pageBreakBefore w:val="0"/>
        <w:widowControl w:val="0"/>
        <w:kinsoku/>
        <w:overflowPunct/>
        <w:topLinePunct w:val="0"/>
        <w:autoSpaceDE/>
        <w:autoSpaceDN/>
        <w:bidi w:val="0"/>
        <w:adjustRightInd/>
        <w:snapToGrid/>
        <w:ind w:firstLine="480" w:firstLineChars="200"/>
        <w:textAlignment w:val="auto"/>
        <w:rPr>
          <w:rFonts w:hint="eastAsia" w:eastAsia="宋体" w:cs="仿宋_GB2312"/>
          <w:color w:val="auto"/>
          <w:sz w:val="24"/>
          <w:szCs w:val="24"/>
          <w:highlight w:val="none"/>
          <w:lang w:eastAsia="zh-CN"/>
        </w:rPr>
      </w:pPr>
      <w:bookmarkStart w:id="184" w:name="_Toc140132781"/>
      <w:r>
        <w:rPr>
          <w:rFonts w:eastAsia="宋体" w:cs="仿宋_GB2312"/>
          <w:color w:val="auto"/>
          <w:sz w:val="24"/>
          <w:szCs w:val="24"/>
          <w:highlight w:val="none"/>
        </w:rPr>
        <w:t>2</w:t>
      </w:r>
      <w:r>
        <w:rPr>
          <w:rFonts w:hint="eastAsia" w:eastAsia="宋体" w:cs="仿宋_GB2312"/>
          <w:color w:val="auto"/>
          <w:sz w:val="24"/>
          <w:szCs w:val="24"/>
          <w:highlight w:val="none"/>
          <w:lang w:val="en-US" w:eastAsia="zh-CN"/>
        </w:rPr>
        <w:t>4</w:t>
      </w:r>
      <w:r>
        <w:rPr>
          <w:rFonts w:hint="eastAsia" w:eastAsia="宋体" w:cs="仿宋_GB2312"/>
          <w:color w:val="auto"/>
          <w:sz w:val="24"/>
          <w:szCs w:val="24"/>
          <w:highlight w:val="none"/>
        </w:rPr>
        <w:t>.</w:t>
      </w:r>
      <w:r>
        <w:rPr>
          <w:rFonts w:hint="eastAsia" w:eastAsia="宋体" w:cs="仿宋_GB2312"/>
          <w:color w:val="auto"/>
          <w:sz w:val="24"/>
          <w:szCs w:val="24"/>
          <w:highlight w:val="none"/>
          <w:lang w:val="en-US" w:eastAsia="zh-CN"/>
        </w:rPr>
        <w:t>1</w:t>
      </w:r>
      <w:r>
        <w:rPr>
          <w:rFonts w:hint="eastAsia" w:eastAsia="宋体" w:cs="仿宋_GB2312"/>
          <w:color w:val="auto"/>
          <w:sz w:val="24"/>
          <w:szCs w:val="24"/>
          <w:highlight w:val="none"/>
        </w:rPr>
        <w:t>开标会按“</w:t>
      </w:r>
      <w:r>
        <w:rPr>
          <w:rFonts w:hint="eastAsia" w:eastAsia="宋体" w:cs="仿宋_GB2312"/>
          <w:color w:val="auto"/>
          <w:sz w:val="24"/>
          <w:szCs w:val="24"/>
          <w:highlight w:val="none"/>
          <w:lang w:val="en-US" w:eastAsia="zh-CN"/>
        </w:rPr>
        <w:t xml:space="preserve">第一章 </w:t>
      </w:r>
      <w:r>
        <w:rPr>
          <w:rFonts w:hint="eastAsia" w:eastAsia="宋体"/>
          <w:color w:val="auto"/>
          <w:sz w:val="24"/>
          <w:highlight w:val="none"/>
          <w:lang w:val="en-US" w:eastAsia="zh-CN"/>
        </w:rPr>
        <w:t>招标公告</w:t>
      </w:r>
      <w:r>
        <w:rPr>
          <w:rFonts w:hint="eastAsia" w:eastAsia="宋体" w:cs="仿宋_GB2312"/>
          <w:color w:val="auto"/>
          <w:sz w:val="24"/>
          <w:szCs w:val="24"/>
          <w:highlight w:val="none"/>
        </w:rPr>
        <w:t>”规定的开标时间和地点准时举行，采购人、采购代理机构邀请所有投标人准时参加开标会。</w:t>
      </w:r>
      <w:r>
        <w:rPr>
          <w:rFonts w:hint="eastAsia" w:eastAsia="宋体"/>
          <w:color w:val="auto"/>
          <w:sz w:val="24"/>
          <w:highlight w:val="none"/>
        </w:rPr>
        <w:t>投标人应按照</w:t>
      </w:r>
      <w:r>
        <w:rPr>
          <w:rFonts w:hint="eastAsia" w:eastAsia="宋体"/>
          <w:color w:val="auto"/>
          <w:sz w:val="24"/>
          <w:highlight w:val="none"/>
          <w:lang w:val="en-US" w:eastAsia="zh-CN"/>
        </w:rPr>
        <w:t>招标文件</w:t>
      </w:r>
      <w:r>
        <w:rPr>
          <w:rFonts w:hint="eastAsia" w:eastAsia="宋体"/>
          <w:color w:val="auto"/>
          <w:sz w:val="24"/>
          <w:highlight w:val="none"/>
        </w:rPr>
        <w:t>的要求参与</w:t>
      </w:r>
      <w:r>
        <w:rPr>
          <w:rFonts w:hint="eastAsia" w:eastAsia="宋体"/>
          <w:color w:val="auto"/>
          <w:sz w:val="24"/>
          <w:highlight w:val="none"/>
          <w:lang w:val="en-US" w:eastAsia="zh-CN"/>
        </w:rPr>
        <w:t>不见面开标</w:t>
      </w:r>
      <w:r>
        <w:rPr>
          <w:rFonts w:hint="eastAsia" w:eastAsia="宋体"/>
          <w:color w:val="auto"/>
          <w:sz w:val="24"/>
          <w:highlight w:val="none"/>
        </w:rPr>
        <w:t>。</w:t>
      </w:r>
    </w:p>
    <w:p w14:paraId="60A061F0">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hint="eastAsia" w:ascii="宋体" w:hAnsi="宋体" w:eastAsia="宋体" w:cs="宋体"/>
          <w:color w:val="auto"/>
          <w:kern w:val="2"/>
          <w:sz w:val="24"/>
          <w:szCs w:val="22"/>
          <w:highlight w:val="none"/>
        </w:rPr>
      </w:pPr>
      <w:r>
        <w:rPr>
          <w:rFonts w:eastAsia="宋体"/>
          <w:color w:val="auto"/>
          <w:sz w:val="24"/>
          <w:highlight w:val="none"/>
        </w:rPr>
        <w:t>2</w:t>
      </w:r>
      <w:r>
        <w:rPr>
          <w:rFonts w:hint="eastAsia" w:eastAsia="宋体"/>
          <w:color w:val="auto"/>
          <w:sz w:val="24"/>
          <w:highlight w:val="none"/>
          <w:lang w:val="en-US" w:eastAsia="zh-CN"/>
        </w:rPr>
        <w:t>4</w:t>
      </w:r>
      <w:r>
        <w:rPr>
          <w:rFonts w:hint="eastAsia" w:eastAsia="宋体"/>
          <w:color w:val="auto"/>
          <w:sz w:val="24"/>
          <w:highlight w:val="none"/>
        </w:rPr>
        <w:t>.</w:t>
      </w:r>
      <w:r>
        <w:rPr>
          <w:rFonts w:hint="eastAsia" w:eastAsia="宋体"/>
          <w:color w:val="auto"/>
          <w:sz w:val="24"/>
          <w:highlight w:val="none"/>
          <w:lang w:val="en-US" w:eastAsia="zh-CN"/>
        </w:rPr>
        <w:t>2</w:t>
      </w:r>
      <w:r>
        <w:rPr>
          <w:rFonts w:hint="eastAsia" w:eastAsia="宋体"/>
          <w:color w:val="auto"/>
          <w:sz w:val="24"/>
          <w:highlight w:val="none"/>
        </w:rPr>
        <w:t xml:space="preserve"> </w:t>
      </w:r>
      <w:bookmarkEnd w:id="184"/>
      <w:r>
        <w:rPr>
          <w:rFonts w:hint="eastAsia" w:ascii="宋体" w:hAnsi="宋体" w:eastAsia="宋体" w:cs="宋体"/>
          <w:color w:val="auto"/>
          <w:kern w:val="2"/>
          <w:sz w:val="24"/>
          <w:szCs w:val="22"/>
          <w:highlight w:val="none"/>
        </w:rPr>
        <w:t>采购代理机构按照招标文件规定的时间、地点主持开标。采购人在规定的</w:t>
      </w:r>
      <w:r>
        <w:rPr>
          <w:rFonts w:hint="eastAsia" w:ascii="宋体" w:hAnsi="宋体" w:eastAsia="宋体" w:cs="宋体"/>
          <w:color w:val="auto"/>
          <w:kern w:val="2"/>
          <w:sz w:val="24"/>
          <w:szCs w:val="22"/>
          <w:highlight w:val="none"/>
          <w:lang w:eastAsia="zh-CN"/>
        </w:rPr>
        <w:t>投标文件</w:t>
      </w:r>
      <w:r>
        <w:rPr>
          <w:rFonts w:hint="eastAsia" w:ascii="宋体" w:hAnsi="宋体" w:eastAsia="宋体" w:cs="宋体"/>
          <w:color w:val="auto"/>
          <w:kern w:val="2"/>
          <w:sz w:val="24"/>
          <w:szCs w:val="22"/>
          <w:highlight w:val="none"/>
        </w:rPr>
        <w:t>递交截止时间（开标时间）和地点进行不见面远程开标。</w:t>
      </w:r>
      <w:r>
        <w:rPr>
          <w:rFonts w:hint="eastAsia" w:ascii="宋体" w:hAnsi="宋体" w:eastAsia="宋体" w:cs="宋体"/>
          <w:color w:val="auto"/>
          <w:kern w:val="2"/>
          <w:sz w:val="24"/>
          <w:szCs w:val="22"/>
          <w:highlight w:val="none"/>
          <w:lang w:eastAsia="zh-CN"/>
        </w:rPr>
        <w:t>投标人</w:t>
      </w:r>
      <w:r>
        <w:rPr>
          <w:rFonts w:hint="eastAsia" w:ascii="宋体" w:hAnsi="宋体" w:eastAsia="宋体" w:cs="宋体"/>
          <w:color w:val="auto"/>
          <w:kern w:val="2"/>
          <w:sz w:val="24"/>
          <w:szCs w:val="22"/>
          <w:highlight w:val="none"/>
        </w:rPr>
        <w:t>的法定代表人或其委托代理人无需到达开标现场，仅需在任意地点通过</w:t>
      </w:r>
      <w:r>
        <w:rPr>
          <w:rFonts w:hint="eastAsia" w:ascii="宋体" w:hAnsi="宋体" w:eastAsia="宋体" w:cs="宋体"/>
          <w:color w:val="auto"/>
          <w:kern w:val="2"/>
          <w:sz w:val="24"/>
          <w:szCs w:val="22"/>
          <w:highlight w:val="none"/>
          <w:lang w:val="en-US" w:eastAsia="zh-CN"/>
        </w:rPr>
        <w:t>兵团政府采购电子交易云平台（网址：https://www.zcygov.cn/）</w:t>
      </w:r>
      <w:r>
        <w:rPr>
          <w:rFonts w:hint="eastAsia" w:ascii="宋体" w:hAnsi="宋体" w:eastAsia="宋体" w:cs="宋体"/>
          <w:color w:val="auto"/>
          <w:kern w:val="2"/>
          <w:sz w:val="24"/>
          <w:szCs w:val="22"/>
          <w:highlight w:val="none"/>
        </w:rPr>
        <w:t>的</w:t>
      </w:r>
      <w:r>
        <w:rPr>
          <w:rFonts w:hint="eastAsia" w:eastAsia="宋体" w:cs="宋体"/>
          <w:color w:val="auto"/>
          <w:kern w:val="2"/>
          <w:sz w:val="24"/>
          <w:szCs w:val="22"/>
          <w:highlight w:val="none"/>
          <w:lang w:eastAsia="zh-CN"/>
        </w:rPr>
        <w:t>“</w:t>
      </w:r>
      <w:r>
        <w:rPr>
          <w:rFonts w:hint="eastAsia" w:ascii="宋体" w:hAnsi="宋体" w:eastAsia="宋体" w:cs="宋体"/>
          <w:color w:val="auto"/>
          <w:kern w:val="2"/>
          <w:sz w:val="24"/>
          <w:szCs w:val="22"/>
          <w:highlight w:val="none"/>
        </w:rPr>
        <w:t>政采云登录入口”登录后，进入“政采云远程开标大厅”参加开标会议，并使用CA密钥完成远程解密、提疑澄清、开标唱标、结果公布等交互环节。</w:t>
      </w:r>
    </w:p>
    <w:p w14:paraId="4F83B05F">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lang w:val="en-US" w:eastAsia="zh-CN"/>
        </w:rPr>
        <w:t>2</w:t>
      </w:r>
      <w:r>
        <w:rPr>
          <w:rFonts w:hint="eastAsia" w:eastAsia="宋体" w:cs="宋体"/>
          <w:color w:val="auto"/>
          <w:kern w:val="2"/>
          <w:sz w:val="24"/>
          <w:szCs w:val="22"/>
          <w:highlight w:val="none"/>
          <w:lang w:val="en-US" w:eastAsia="zh-CN"/>
        </w:rPr>
        <w:t>4</w:t>
      </w:r>
      <w:r>
        <w:rPr>
          <w:rFonts w:hint="eastAsia" w:ascii="宋体" w:hAnsi="宋体" w:eastAsia="宋体" w:cs="宋体"/>
          <w:color w:val="auto"/>
          <w:kern w:val="2"/>
          <w:sz w:val="24"/>
          <w:szCs w:val="22"/>
          <w:highlight w:val="none"/>
          <w:lang w:val="en-US" w:eastAsia="zh-CN"/>
        </w:rPr>
        <w:t xml:space="preserve">.3开标过程将宣布投标人名称、投标价格和招标文件规定的需要宣布的其他内容并进行记录，并由参加开标的各投标人确认。投标人未在规定时间内提 出疑义或确认一览表的，视同认可开标结果。 </w:t>
      </w:r>
    </w:p>
    <w:p w14:paraId="63FB5E60">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85" w:name="_Toc140132783"/>
      <w:bookmarkStart w:id="186" w:name="_Toc163492852"/>
      <w:r>
        <w:rPr>
          <w:rFonts w:hint="eastAsia" w:ascii="宋体" w:hAnsi="宋体" w:eastAsia="宋体" w:cs="宋体"/>
          <w:b/>
          <w:bCs/>
          <w:color w:val="auto"/>
          <w:kern w:val="2"/>
          <w:sz w:val="24"/>
          <w:szCs w:val="28"/>
          <w:highlight w:val="none"/>
          <w:lang w:val="en-US" w:eastAsia="zh-CN" w:bidi="ar-SA"/>
        </w:rPr>
        <w:t>25.开标程序</w:t>
      </w:r>
      <w:bookmarkEnd w:id="185"/>
      <w:bookmarkEnd w:id="186"/>
    </w:p>
    <w:p w14:paraId="60F7948B">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2</w:t>
      </w:r>
      <w:r>
        <w:rPr>
          <w:rFonts w:hint="eastAsia" w:eastAsia="宋体" w:cs="仿宋_GB2312"/>
          <w:color w:val="auto"/>
          <w:sz w:val="24"/>
          <w:szCs w:val="24"/>
          <w:highlight w:val="none"/>
          <w:lang w:val="en-US" w:eastAsia="zh-CN"/>
        </w:rPr>
        <w:t>5</w:t>
      </w:r>
      <w:r>
        <w:rPr>
          <w:rFonts w:hint="eastAsia" w:eastAsia="宋体" w:cs="仿宋_GB2312"/>
          <w:color w:val="auto"/>
          <w:sz w:val="24"/>
          <w:szCs w:val="24"/>
          <w:highlight w:val="none"/>
        </w:rPr>
        <w:t>.1 投标人不足3家的，不得开标。</w:t>
      </w:r>
    </w:p>
    <w:p w14:paraId="5B4EFA66">
      <w:pPr>
        <w:keepNext w:val="0"/>
        <w:keepLines w:val="0"/>
        <w:pageBreakBefore w:val="0"/>
        <w:widowControl w:val="0"/>
        <w:kinsoku/>
        <w:overflowPunct/>
        <w:topLinePunct w:val="0"/>
        <w:autoSpaceDE/>
        <w:autoSpaceDN/>
        <w:bidi w:val="0"/>
        <w:adjustRightInd/>
        <w:ind w:firstLine="480" w:firstLineChars="200"/>
        <w:textAlignment w:val="auto"/>
        <w:rPr>
          <w:rFonts w:eastAsia="宋体"/>
          <w:color w:val="auto"/>
          <w:sz w:val="24"/>
          <w:highlight w:val="none"/>
        </w:rPr>
      </w:pPr>
      <w:r>
        <w:rPr>
          <w:rFonts w:eastAsia="宋体" w:cs="仿宋_GB2312"/>
          <w:color w:val="auto"/>
          <w:sz w:val="24"/>
          <w:szCs w:val="24"/>
          <w:highlight w:val="none"/>
        </w:rPr>
        <w:t>2</w:t>
      </w:r>
      <w:r>
        <w:rPr>
          <w:rFonts w:hint="eastAsia" w:eastAsia="宋体" w:cs="仿宋_GB2312"/>
          <w:color w:val="auto"/>
          <w:sz w:val="24"/>
          <w:szCs w:val="24"/>
          <w:highlight w:val="none"/>
          <w:lang w:val="en-US" w:eastAsia="zh-CN"/>
        </w:rPr>
        <w:t>5</w:t>
      </w:r>
      <w:r>
        <w:rPr>
          <w:rFonts w:hint="eastAsia" w:eastAsia="宋体" w:cs="仿宋_GB2312"/>
          <w:color w:val="auto"/>
          <w:sz w:val="24"/>
          <w:szCs w:val="24"/>
          <w:highlight w:val="none"/>
        </w:rPr>
        <w:t>.2 评标委员会成员不得参加开标活动。</w:t>
      </w:r>
    </w:p>
    <w:p w14:paraId="6EDD80B3">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2</w:t>
      </w:r>
      <w:r>
        <w:rPr>
          <w:rFonts w:hint="eastAsia" w:eastAsia="宋体" w:cs="仿宋_GB2312"/>
          <w:color w:val="auto"/>
          <w:sz w:val="24"/>
          <w:szCs w:val="24"/>
          <w:highlight w:val="none"/>
          <w:lang w:val="en-US" w:eastAsia="zh-CN"/>
        </w:rPr>
        <w:t>5</w:t>
      </w:r>
      <w:r>
        <w:rPr>
          <w:rFonts w:hint="eastAsia" w:eastAsia="宋体" w:cs="仿宋_GB2312"/>
          <w:color w:val="auto"/>
          <w:sz w:val="24"/>
          <w:szCs w:val="24"/>
          <w:highlight w:val="none"/>
        </w:rPr>
        <w:t>.3主持人按下列程序进行开标：</w:t>
      </w:r>
    </w:p>
    <w:p w14:paraId="02BF7803">
      <w:pPr>
        <w:keepNext w:val="0"/>
        <w:keepLines w:val="0"/>
        <w:pageBreakBefore w:val="0"/>
        <w:widowControl w:val="0"/>
        <w:kinsoku/>
        <w:overflowPunct/>
        <w:topLinePunct w:val="0"/>
        <w:autoSpaceDE/>
        <w:autoSpaceDN/>
        <w:bidi w:val="0"/>
        <w:adjustRightInd/>
        <w:ind w:firstLine="398" w:firstLineChars="166"/>
        <w:textAlignment w:val="auto"/>
        <w:rPr>
          <w:rFonts w:eastAsia="宋体" w:cs="仿宋_GB2312"/>
          <w:color w:val="auto"/>
          <w:sz w:val="24"/>
          <w:szCs w:val="24"/>
          <w:highlight w:val="none"/>
        </w:rPr>
      </w:pPr>
      <w:r>
        <w:rPr>
          <w:rFonts w:hint="eastAsia" w:eastAsia="宋体" w:cs="仿宋_GB2312"/>
          <w:color w:val="auto"/>
          <w:sz w:val="24"/>
          <w:szCs w:val="24"/>
          <w:highlight w:val="none"/>
        </w:rPr>
        <w:t>（1）宣布开标会纪律；</w:t>
      </w:r>
    </w:p>
    <w:p w14:paraId="06FE8596">
      <w:pPr>
        <w:keepNext w:val="0"/>
        <w:keepLines w:val="0"/>
        <w:pageBreakBefore w:val="0"/>
        <w:widowControl w:val="0"/>
        <w:kinsoku/>
        <w:overflowPunct/>
        <w:topLinePunct w:val="0"/>
        <w:autoSpaceDE/>
        <w:autoSpaceDN/>
        <w:bidi w:val="0"/>
        <w:adjustRightInd/>
        <w:ind w:firstLine="398" w:firstLineChars="166"/>
        <w:textAlignment w:val="auto"/>
        <w:rPr>
          <w:rFonts w:eastAsia="宋体" w:cs="仿宋_GB2312"/>
          <w:color w:val="auto"/>
          <w:sz w:val="24"/>
          <w:szCs w:val="24"/>
          <w:highlight w:val="none"/>
        </w:rPr>
      </w:pPr>
      <w:r>
        <w:rPr>
          <w:rFonts w:hint="eastAsia" w:eastAsia="宋体" w:cs="仿宋_GB2312"/>
          <w:color w:val="auto"/>
          <w:sz w:val="24"/>
          <w:szCs w:val="24"/>
          <w:highlight w:val="none"/>
        </w:rPr>
        <w:t>（2）介绍参加开标会的单位和人员；</w:t>
      </w:r>
    </w:p>
    <w:p w14:paraId="69CFC68B">
      <w:pPr>
        <w:keepNext w:val="0"/>
        <w:keepLines w:val="0"/>
        <w:pageBreakBefore w:val="0"/>
        <w:widowControl w:val="0"/>
        <w:kinsoku/>
        <w:overflowPunct/>
        <w:topLinePunct w:val="0"/>
        <w:autoSpaceDE/>
        <w:autoSpaceDN/>
        <w:bidi w:val="0"/>
        <w:adjustRightInd/>
        <w:ind w:firstLine="398" w:firstLineChars="166"/>
        <w:textAlignment w:val="auto"/>
        <w:rPr>
          <w:rFonts w:hint="eastAsia" w:eastAsia="宋体" w:cs="仿宋_GB2312"/>
          <w:color w:val="auto"/>
          <w:sz w:val="24"/>
          <w:szCs w:val="24"/>
          <w:highlight w:val="none"/>
        </w:rPr>
      </w:pPr>
      <w:r>
        <w:rPr>
          <w:rFonts w:hint="eastAsia" w:eastAsia="宋体" w:cs="仿宋_GB2312"/>
          <w:color w:val="auto"/>
          <w:sz w:val="24"/>
          <w:szCs w:val="24"/>
          <w:highlight w:val="none"/>
        </w:rPr>
        <w:t>（3）发起投标文件解密。投标人应在“投标人须知前附表”规定的时间内使用加密投标文件的CA证书在系统中完成投标文件的解密；</w:t>
      </w:r>
      <w:r>
        <w:rPr>
          <w:rFonts w:hint="eastAsia" w:eastAsia="宋体" w:cs="仿宋_GB2312"/>
          <w:color w:val="auto"/>
          <w:sz w:val="24"/>
          <w:szCs w:val="24"/>
          <w:highlight w:val="none"/>
          <w:lang w:val="en-US" w:eastAsia="zh-CN"/>
        </w:rPr>
        <w:t>投标人不足3家的，不予解密；</w:t>
      </w:r>
    </w:p>
    <w:p w14:paraId="30C058B0">
      <w:pPr>
        <w:keepNext w:val="0"/>
        <w:keepLines w:val="0"/>
        <w:pageBreakBefore w:val="0"/>
        <w:widowControl w:val="0"/>
        <w:kinsoku/>
        <w:overflowPunct/>
        <w:topLinePunct w:val="0"/>
        <w:autoSpaceDE/>
        <w:autoSpaceDN/>
        <w:bidi w:val="0"/>
        <w:adjustRightInd/>
        <w:ind w:firstLine="398" w:firstLineChars="166"/>
        <w:textAlignment w:val="auto"/>
        <w:rPr>
          <w:rFonts w:eastAsia="宋体" w:cs="仿宋_GB2312"/>
          <w:color w:val="auto"/>
          <w:sz w:val="24"/>
          <w:szCs w:val="24"/>
          <w:highlight w:val="none"/>
        </w:rPr>
      </w:pPr>
      <w:r>
        <w:rPr>
          <w:rFonts w:hint="eastAsia" w:eastAsia="宋体" w:cs="仿宋_GB2312"/>
          <w:color w:val="auto"/>
          <w:sz w:val="24"/>
          <w:szCs w:val="24"/>
          <w:highlight w:val="none"/>
        </w:rPr>
        <w:t>（4）解密完成后，系统自动显示投标人名称、投标价格和招标文件规定的需要宣布的其他内容；</w:t>
      </w:r>
    </w:p>
    <w:p w14:paraId="102D4E44">
      <w:pPr>
        <w:keepNext w:val="0"/>
        <w:keepLines w:val="0"/>
        <w:pageBreakBefore w:val="0"/>
        <w:widowControl w:val="0"/>
        <w:kinsoku/>
        <w:overflowPunct/>
        <w:topLinePunct w:val="0"/>
        <w:autoSpaceDE/>
        <w:autoSpaceDN/>
        <w:bidi w:val="0"/>
        <w:adjustRightInd/>
        <w:ind w:left="564" w:leftChars="200" w:hanging="84" w:hangingChars="35"/>
        <w:textAlignment w:val="auto"/>
        <w:rPr>
          <w:rFonts w:hint="eastAsia" w:eastAsia="宋体" w:cs="仿宋_GB2312"/>
          <w:color w:val="auto"/>
          <w:sz w:val="24"/>
          <w:szCs w:val="24"/>
          <w:highlight w:val="none"/>
          <w:lang w:val="en-US" w:eastAsia="zh-CN"/>
        </w:rPr>
      </w:pPr>
      <w:r>
        <w:rPr>
          <w:rFonts w:hint="eastAsia" w:eastAsia="宋体" w:cs="仿宋_GB2312"/>
          <w:color w:val="auto"/>
          <w:sz w:val="24"/>
          <w:szCs w:val="24"/>
          <w:highlight w:val="none"/>
        </w:rPr>
        <w:t>（5）系统自动生成开标记录表，</w:t>
      </w:r>
      <w:r>
        <w:rPr>
          <w:rFonts w:hint="eastAsia" w:eastAsia="宋体" w:cs="仿宋_GB2312"/>
          <w:color w:val="auto"/>
          <w:sz w:val="24"/>
          <w:szCs w:val="24"/>
          <w:highlight w:val="none"/>
          <w:lang w:val="en-US" w:eastAsia="zh-CN"/>
        </w:rPr>
        <w:t>投标人</w:t>
      </w:r>
      <w:r>
        <w:rPr>
          <w:rFonts w:hint="eastAsia" w:eastAsia="宋体" w:cs="仿宋_GB2312"/>
          <w:color w:val="auto"/>
          <w:sz w:val="24"/>
          <w:szCs w:val="24"/>
          <w:highlight w:val="none"/>
        </w:rPr>
        <w:t>应在线对开标记录进行签署确认</w:t>
      </w:r>
      <w:r>
        <w:rPr>
          <w:rFonts w:hint="eastAsia" w:eastAsia="宋体" w:cs="仿宋_GB2312"/>
          <w:color w:val="auto"/>
          <w:sz w:val="24"/>
          <w:szCs w:val="24"/>
          <w:highlight w:val="none"/>
          <w:lang w:val="en-US" w:eastAsia="zh-CN"/>
        </w:rPr>
        <w:t>；</w:t>
      </w:r>
    </w:p>
    <w:p w14:paraId="1E68785D">
      <w:pPr>
        <w:keepNext w:val="0"/>
        <w:keepLines w:val="0"/>
        <w:pageBreakBefore w:val="0"/>
        <w:widowControl w:val="0"/>
        <w:kinsoku/>
        <w:overflowPunct/>
        <w:topLinePunct w:val="0"/>
        <w:autoSpaceDE/>
        <w:autoSpaceDN/>
        <w:bidi w:val="0"/>
        <w:adjustRightInd/>
        <w:ind w:left="564" w:leftChars="200" w:hanging="84" w:hangingChars="35"/>
        <w:textAlignment w:val="auto"/>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（6）开标会结束。</w:t>
      </w:r>
      <w:bookmarkStart w:id="187" w:name="_Toc163492853"/>
      <w:bookmarkStart w:id="188" w:name="_Toc140132784"/>
    </w:p>
    <w:p w14:paraId="459D358F">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r>
        <w:rPr>
          <w:rFonts w:hint="eastAsia" w:ascii="宋体" w:hAnsi="宋体" w:eastAsia="宋体" w:cs="宋体"/>
          <w:b/>
          <w:bCs/>
          <w:color w:val="auto"/>
          <w:kern w:val="2"/>
          <w:sz w:val="24"/>
          <w:szCs w:val="28"/>
          <w:highlight w:val="none"/>
          <w:lang w:val="en-US" w:eastAsia="zh-CN" w:bidi="ar-SA"/>
        </w:rPr>
        <w:t>26.开标疑义及回避情形</w:t>
      </w:r>
      <w:bookmarkEnd w:id="187"/>
      <w:bookmarkEnd w:id="188"/>
    </w:p>
    <w:p w14:paraId="04573EB2">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eastAsia="宋体"/>
          <w:color w:val="auto"/>
          <w:sz w:val="24"/>
          <w:highlight w:val="none"/>
        </w:rPr>
        <w:t>2</w:t>
      </w:r>
      <w:r>
        <w:rPr>
          <w:rFonts w:hint="eastAsia" w:eastAsia="宋体"/>
          <w:color w:val="auto"/>
          <w:sz w:val="24"/>
          <w:highlight w:val="none"/>
          <w:lang w:val="en-US" w:eastAsia="zh-CN"/>
        </w:rPr>
        <w:t>6</w:t>
      </w:r>
      <w:r>
        <w:rPr>
          <w:rFonts w:hint="eastAsia" w:eastAsia="宋体"/>
          <w:color w:val="auto"/>
          <w:sz w:val="24"/>
          <w:highlight w:val="none"/>
        </w:rPr>
        <w:t>.1投标人代表对开标过程和开标记录有疑义，以及认为采购人、采购代理机构相关工作人员有需要回避的情形的，应在开标会议中提出询问或者回避申请。采购人、采购代理机构对投标人授权代表提出的询问或者回避申请应当及时处理。</w:t>
      </w:r>
    </w:p>
    <w:p w14:paraId="4E69EE01">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2</w:t>
      </w:r>
      <w:r>
        <w:rPr>
          <w:rFonts w:hint="eastAsia" w:eastAsia="宋体"/>
          <w:color w:val="auto"/>
          <w:sz w:val="24"/>
          <w:highlight w:val="none"/>
          <w:lang w:val="en-US" w:eastAsia="zh-CN"/>
        </w:rPr>
        <w:t>6</w:t>
      </w:r>
      <w:r>
        <w:rPr>
          <w:rFonts w:hint="eastAsia" w:eastAsia="宋体"/>
          <w:color w:val="auto"/>
          <w:sz w:val="24"/>
          <w:highlight w:val="none"/>
        </w:rPr>
        <w:t>.2投标人未参加开标的，视同认可开标结果。</w:t>
      </w:r>
    </w:p>
    <w:p w14:paraId="55D243EF">
      <w:pPr>
        <w:pStyle w:val="5"/>
        <w:keepNext w:val="0"/>
        <w:keepLines w:val="0"/>
        <w:pageBreakBefore w:val="0"/>
        <w:widowControl w:val="0"/>
        <w:numPr>
          <w:ilvl w:val="0"/>
          <w:numId w:val="0"/>
        </w:numPr>
        <w:kinsoku/>
        <w:wordWrap/>
        <w:overflowPunct/>
        <w:topLinePunct w:val="0"/>
        <w:autoSpaceDE/>
        <w:autoSpaceDN/>
        <w:bidi w:val="0"/>
        <w:adjustRightInd/>
        <w:snapToGrid/>
        <w:spacing w:before="180" w:after="180" w:line="240" w:lineRule="auto"/>
        <w:ind w:left="420" w:leftChars="0" w:hanging="420" w:firstLineChars="0"/>
        <w:textAlignment w:val="auto"/>
        <w:rPr>
          <w:rFonts w:hint="eastAsia" w:ascii="宋体" w:hAnsi="宋体" w:eastAsia="宋体" w:cs="宋体"/>
          <w:b/>
          <w:bCs/>
          <w:color w:val="auto"/>
          <w:kern w:val="2"/>
          <w:sz w:val="24"/>
          <w:szCs w:val="32"/>
          <w:highlight w:val="none"/>
          <w:lang w:val="en-US" w:eastAsia="zh-CN" w:bidi="ar-SA"/>
        </w:rPr>
      </w:pPr>
      <w:bookmarkStart w:id="189" w:name="_Toc163492854"/>
      <w:bookmarkStart w:id="190" w:name="_Toc155185877"/>
      <w:bookmarkStart w:id="191" w:name="_Toc140132785"/>
      <w:r>
        <w:rPr>
          <w:rFonts w:hint="eastAsia" w:ascii="宋体" w:hAnsi="宋体" w:eastAsia="宋体" w:cs="宋体"/>
          <w:b/>
          <w:bCs/>
          <w:color w:val="auto"/>
          <w:kern w:val="2"/>
          <w:sz w:val="24"/>
          <w:szCs w:val="32"/>
          <w:highlight w:val="none"/>
          <w:lang w:val="en-US" w:eastAsia="zh-CN" w:bidi="ar-SA"/>
        </w:rPr>
        <w:t>（六）资格审查</w:t>
      </w:r>
      <w:bookmarkEnd w:id="189"/>
      <w:bookmarkEnd w:id="190"/>
      <w:bookmarkEnd w:id="191"/>
    </w:p>
    <w:p w14:paraId="2C1B5FD6">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92" w:name="_Toc163492855"/>
      <w:r>
        <w:rPr>
          <w:rFonts w:hint="eastAsia" w:ascii="宋体" w:hAnsi="宋体" w:eastAsia="宋体" w:cs="宋体"/>
          <w:b/>
          <w:bCs/>
          <w:color w:val="auto"/>
          <w:kern w:val="2"/>
          <w:sz w:val="24"/>
          <w:szCs w:val="28"/>
          <w:highlight w:val="none"/>
          <w:lang w:val="en-US" w:eastAsia="zh-CN" w:bidi="ar-SA"/>
        </w:rPr>
        <w:t>27.资格审查及审查主体</w:t>
      </w:r>
      <w:bookmarkEnd w:id="192"/>
    </w:p>
    <w:p w14:paraId="3F6E8AD4">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bookmarkStart w:id="193" w:name="_Toc140132786"/>
      <w:r>
        <w:rPr>
          <w:rFonts w:hint="eastAsia" w:eastAsia="宋体"/>
          <w:color w:val="auto"/>
          <w:sz w:val="24"/>
          <w:highlight w:val="none"/>
        </w:rPr>
        <w:t>2</w:t>
      </w:r>
      <w:r>
        <w:rPr>
          <w:rFonts w:hint="eastAsia" w:eastAsia="宋体"/>
          <w:color w:val="auto"/>
          <w:sz w:val="24"/>
          <w:highlight w:val="none"/>
          <w:lang w:val="en-US" w:eastAsia="zh-CN"/>
        </w:rPr>
        <w:t>7</w:t>
      </w:r>
      <w:r>
        <w:rPr>
          <w:rFonts w:hint="eastAsia" w:eastAsia="宋体"/>
          <w:color w:val="auto"/>
          <w:sz w:val="24"/>
          <w:highlight w:val="none"/>
        </w:rPr>
        <w:t>.1</w:t>
      </w:r>
      <w:bookmarkEnd w:id="193"/>
      <w:r>
        <w:rPr>
          <w:rFonts w:hint="eastAsia" w:eastAsia="宋体"/>
          <w:color w:val="auto"/>
          <w:sz w:val="24"/>
          <w:highlight w:val="none"/>
        </w:rPr>
        <w:t>开标结束后，采购人或者采购代理机构应当依法对投标人的资格进行审查。</w:t>
      </w:r>
    </w:p>
    <w:p w14:paraId="6F7626D3">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bookmarkStart w:id="194" w:name="_Toc140132787"/>
      <w:r>
        <w:rPr>
          <w:rFonts w:eastAsia="宋体"/>
          <w:color w:val="auto"/>
          <w:sz w:val="24"/>
          <w:highlight w:val="none"/>
        </w:rPr>
        <w:t>2</w:t>
      </w:r>
      <w:r>
        <w:rPr>
          <w:rFonts w:hint="eastAsia" w:eastAsia="宋体"/>
          <w:color w:val="auto"/>
          <w:sz w:val="24"/>
          <w:highlight w:val="none"/>
          <w:lang w:val="en-US" w:eastAsia="zh-CN"/>
        </w:rPr>
        <w:t>7</w:t>
      </w:r>
      <w:r>
        <w:rPr>
          <w:rFonts w:hint="eastAsia" w:eastAsia="宋体"/>
          <w:color w:val="auto"/>
          <w:sz w:val="24"/>
          <w:highlight w:val="none"/>
        </w:rPr>
        <w:t>.2</w:t>
      </w:r>
      <w:r>
        <w:rPr>
          <w:rFonts w:eastAsia="宋体"/>
          <w:color w:val="auto"/>
          <w:sz w:val="24"/>
          <w:highlight w:val="none"/>
        </w:rPr>
        <w:t>资格审查</w:t>
      </w:r>
      <w:r>
        <w:rPr>
          <w:rFonts w:hint="eastAsia" w:eastAsia="宋体"/>
          <w:color w:val="auto"/>
          <w:sz w:val="24"/>
          <w:highlight w:val="none"/>
        </w:rPr>
        <w:t>按“第四章</w:t>
      </w:r>
      <w:r>
        <w:rPr>
          <w:rFonts w:hint="eastAsia" w:eastAsia="宋体"/>
          <w:color w:val="auto"/>
          <w:sz w:val="24"/>
          <w:highlight w:val="none"/>
          <w:lang w:val="en-US" w:eastAsia="zh-CN"/>
        </w:rPr>
        <w:t xml:space="preserve"> </w:t>
      </w:r>
      <w:r>
        <w:rPr>
          <w:rFonts w:hint="eastAsia" w:eastAsia="宋体"/>
          <w:color w:val="auto"/>
          <w:sz w:val="24"/>
          <w:highlight w:val="none"/>
        </w:rPr>
        <w:t>资格审查”的规定进行。</w:t>
      </w:r>
      <w:bookmarkEnd w:id="194"/>
    </w:p>
    <w:p w14:paraId="44D43B82">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bookmarkStart w:id="195" w:name="_Toc140132788"/>
      <w:r>
        <w:rPr>
          <w:rFonts w:eastAsia="宋体"/>
          <w:color w:val="auto"/>
          <w:sz w:val="24"/>
          <w:highlight w:val="none"/>
        </w:rPr>
        <w:t>2</w:t>
      </w:r>
      <w:r>
        <w:rPr>
          <w:rFonts w:hint="eastAsia" w:eastAsia="宋体"/>
          <w:color w:val="auto"/>
          <w:sz w:val="24"/>
          <w:highlight w:val="none"/>
          <w:lang w:val="en-US" w:eastAsia="zh-CN"/>
        </w:rPr>
        <w:t>7</w:t>
      </w:r>
      <w:r>
        <w:rPr>
          <w:rFonts w:hint="eastAsia" w:eastAsia="宋体"/>
          <w:color w:val="auto"/>
          <w:sz w:val="24"/>
          <w:highlight w:val="none"/>
        </w:rPr>
        <w:t>.3</w:t>
      </w:r>
      <w:r>
        <w:rPr>
          <w:rFonts w:eastAsia="宋体"/>
          <w:color w:val="auto"/>
          <w:sz w:val="24"/>
          <w:highlight w:val="none"/>
        </w:rPr>
        <w:t>资格审查结束后，应及时对资格审查结果进行复核，对资格审查错误进行及时纠正并记录。</w:t>
      </w:r>
      <w:bookmarkEnd w:id="195"/>
    </w:p>
    <w:p w14:paraId="272F167A">
      <w:pPr>
        <w:pStyle w:val="37"/>
        <w:keepNext w:val="0"/>
        <w:keepLines w:val="0"/>
        <w:pageBreakBefore w:val="0"/>
        <w:widowControl w:val="0"/>
        <w:kinsoku/>
        <w:overflowPunct/>
        <w:topLinePunct w:val="0"/>
        <w:autoSpaceDE/>
        <w:autoSpaceDN/>
        <w:bidi w:val="0"/>
        <w:adjustRightInd/>
        <w:textAlignment w:val="auto"/>
        <w:rPr>
          <w:rFonts w:hint="default" w:eastAsia="宋体"/>
          <w:color w:val="auto"/>
          <w:sz w:val="24"/>
          <w:highlight w:val="none"/>
          <w:lang w:val="en-US" w:eastAsia="zh-CN"/>
        </w:rPr>
      </w:pPr>
      <w:r>
        <w:rPr>
          <w:rFonts w:hint="eastAsia" w:eastAsia="宋体"/>
          <w:color w:val="auto"/>
          <w:sz w:val="24"/>
          <w:highlight w:val="none"/>
          <w:lang w:val="en-US" w:eastAsia="zh-CN"/>
        </w:rPr>
        <w:t>27.4</w:t>
      </w:r>
      <w:r>
        <w:rPr>
          <w:rFonts w:eastAsia="宋体"/>
          <w:color w:val="auto"/>
          <w:sz w:val="24"/>
          <w:highlight w:val="none"/>
        </w:rPr>
        <w:t>资格审查</w:t>
      </w:r>
      <w:r>
        <w:rPr>
          <w:rFonts w:hint="eastAsia" w:eastAsia="宋体"/>
          <w:color w:val="auto"/>
          <w:sz w:val="24"/>
          <w:highlight w:val="none"/>
        </w:rPr>
        <w:t>合格投标人不足3家的，不得评标。</w:t>
      </w:r>
    </w:p>
    <w:p w14:paraId="7A1F7D21">
      <w:pPr>
        <w:pStyle w:val="5"/>
        <w:keepNext w:val="0"/>
        <w:keepLines w:val="0"/>
        <w:pageBreakBefore w:val="0"/>
        <w:widowControl w:val="0"/>
        <w:numPr>
          <w:ilvl w:val="0"/>
          <w:numId w:val="0"/>
        </w:numPr>
        <w:kinsoku/>
        <w:wordWrap/>
        <w:overflowPunct/>
        <w:topLinePunct w:val="0"/>
        <w:autoSpaceDE/>
        <w:autoSpaceDN/>
        <w:bidi w:val="0"/>
        <w:adjustRightInd/>
        <w:snapToGrid/>
        <w:spacing w:before="180" w:after="180" w:line="240" w:lineRule="auto"/>
        <w:ind w:left="420" w:leftChars="0" w:hanging="420" w:firstLineChars="0"/>
        <w:textAlignment w:val="auto"/>
        <w:rPr>
          <w:rFonts w:hint="eastAsia" w:ascii="宋体" w:hAnsi="宋体" w:eastAsia="宋体" w:cs="宋体"/>
          <w:b/>
          <w:bCs/>
          <w:color w:val="auto"/>
          <w:kern w:val="2"/>
          <w:sz w:val="24"/>
          <w:szCs w:val="32"/>
          <w:highlight w:val="none"/>
          <w:lang w:val="en-US" w:eastAsia="zh-CN" w:bidi="ar-SA"/>
        </w:rPr>
      </w:pPr>
      <w:bookmarkStart w:id="196" w:name="_Toc140132789"/>
      <w:bookmarkStart w:id="197" w:name="_Toc155185878"/>
      <w:bookmarkStart w:id="198" w:name="_Toc163492856"/>
      <w:r>
        <w:rPr>
          <w:rFonts w:hint="eastAsia" w:ascii="宋体" w:hAnsi="宋体" w:eastAsia="宋体" w:cs="宋体"/>
          <w:b/>
          <w:bCs/>
          <w:color w:val="auto"/>
          <w:kern w:val="2"/>
          <w:sz w:val="24"/>
          <w:szCs w:val="32"/>
          <w:highlight w:val="none"/>
          <w:lang w:val="en-US" w:eastAsia="zh-CN" w:bidi="ar-SA"/>
        </w:rPr>
        <w:t>（七）评标</w:t>
      </w:r>
      <w:bookmarkEnd w:id="196"/>
      <w:bookmarkEnd w:id="197"/>
      <w:bookmarkEnd w:id="198"/>
    </w:p>
    <w:p w14:paraId="7EBE7ABE">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99" w:name="_Toc163492857"/>
      <w:bookmarkStart w:id="200" w:name="_Toc140132790"/>
      <w:r>
        <w:rPr>
          <w:rFonts w:hint="eastAsia" w:ascii="宋体" w:hAnsi="宋体" w:eastAsia="宋体" w:cs="宋体"/>
          <w:b/>
          <w:bCs/>
          <w:color w:val="auto"/>
          <w:kern w:val="2"/>
          <w:sz w:val="24"/>
          <w:szCs w:val="28"/>
          <w:highlight w:val="none"/>
          <w:lang w:val="en-US" w:eastAsia="zh-CN" w:bidi="ar-SA"/>
        </w:rPr>
        <w:t>28.评标委员会</w:t>
      </w:r>
      <w:bookmarkEnd w:id="199"/>
      <w:bookmarkEnd w:id="200"/>
    </w:p>
    <w:p w14:paraId="1EA2B13D">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8</w:t>
      </w:r>
      <w:r>
        <w:rPr>
          <w:rFonts w:hint="eastAsia" w:ascii="宋体" w:hAnsi="宋体" w:eastAsia="宋体"/>
          <w:color w:val="auto"/>
          <w:sz w:val="24"/>
          <w:highlight w:val="none"/>
        </w:rPr>
        <w:t>.1 评标由采购人依法组建的评标委员会负责。评标委员会由采购人代表和评审专家组成</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成员人数应当为5</w:t>
      </w:r>
      <w:r>
        <w:rPr>
          <w:rFonts w:hint="eastAsia" w:ascii="宋体" w:hAnsi="宋体" w:eastAsia="宋体"/>
          <w:color w:val="auto"/>
          <w:sz w:val="24"/>
          <w:highlight w:val="none"/>
        </w:rPr>
        <w:t>人以上单数，其中</w:t>
      </w:r>
      <w:r>
        <w:rPr>
          <w:rFonts w:hint="eastAsia" w:ascii="宋体" w:hAnsi="宋体" w:eastAsia="宋体"/>
          <w:color w:val="auto"/>
          <w:sz w:val="24"/>
          <w:highlight w:val="none"/>
          <w:lang w:val="en-US" w:eastAsia="zh-CN"/>
        </w:rPr>
        <w:t>评审</w:t>
      </w:r>
      <w:r>
        <w:rPr>
          <w:rFonts w:hint="eastAsia" w:ascii="宋体" w:hAnsi="宋体" w:eastAsia="宋体"/>
          <w:color w:val="auto"/>
          <w:sz w:val="24"/>
          <w:highlight w:val="none"/>
        </w:rPr>
        <w:t>专家不</w:t>
      </w:r>
      <w:r>
        <w:rPr>
          <w:rFonts w:hint="eastAsia" w:ascii="宋体" w:hAnsi="宋体" w:eastAsia="宋体"/>
          <w:color w:val="auto"/>
          <w:sz w:val="24"/>
          <w:highlight w:val="none"/>
          <w:lang w:val="en-US" w:eastAsia="zh-CN"/>
        </w:rPr>
        <w:t>得</w:t>
      </w:r>
      <w:r>
        <w:rPr>
          <w:rFonts w:hint="eastAsia" w:ascii="宋体" w:hAnsi="宋体" w:eastAsia="宋体"/>
          <w:color w:val="auto"/>
          <w:sz w:val="24"/>
          <w:highlight w:val="none"/>
        </w:rPr>
        <w:t>少于</w:t>
      </w:r>
      <w:r>
        <w:rPr>
          <w:rFonts w:hint="eastAsia" w:ascii="宋体" w:hAnsi="宋体" w:eastAsia="宋体"/>
          <w:color w:val="auto"/>
          <w:sz w:val="24"/>
          <w:highlight w:val="none"/>
          <w:lang w:val="en-US" w:eastAsia="zh-CN"/>
        </w:rPr>
        <w:t>成员总数的</w:t>
      </w:r>
      <w:r>
        <w:rPr>
          <w:rFonts w:hint="eastAsia" w:ascii="宋体" w:hAnsi="宋体" w:eastAsia="宋体"/>
          <w:color w:val="auto"/>
          <w:sz w:val="24"/>
          <w:highlight w:val="none"/>
        </w:rPr>
        <w:t>三分之二。</w:t>
      </w:r>
      <w:r>
        <w:rPr>
          <w:rFonts w:hint="default" w:ascii="宋体" w:hAnsi="宋体" w:eastAsia="宋体"/>
          <w:color w:val="auto"/>
          <w:sz w:val="24"/>
          <w:highlight w:val="none"/>
          <w:lang w:val="en-US" w:eastAsia="zh-CN"/>
        </w:rPr>
        <w:t>采购人或者采购代理机构应当从省级以上财政部门设立的政府采购评审专家库中，通过随机方式抽取评审专家。</w:t>
      </w:r>
    </w:p>
    <w:p w14:paraId="32DE7801">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28.2 </w:t>
      </w:r>
      <w:r>
        <w:rPr>
          <w:rFonts w:ascii="宋体" w:hAnsi="宋体" w:eastAsia="宋体"/>
          <w:color w:val="auto"/>
          <w:sz w:val="24"/>
          <w:highlight w:val="none"/>
          <w:lang w:val="en-US" w:eastAsia="zh-CN"/>
        </w:rPr>
        <w:t>采购项目符合下列情形之一的，评标委员会成员人数应当为</w:t>
      </w:r>
      <w:r>
        <w:rPr>
          <w:rFonts w:hint="default" w:ascii="宋体" w:hAnsi="宋体" w:eastAsia="宋体"/>
          <w:color w:val="auto"/>
          <w:sz w:val="24"/>
          <w:highlight w:val="none"/>
          <w:lang w:val="en-US" w:eastAsia="zh-CN"/>
        </w:rPr>
        <w:t>7人以上单数：</w:t>
      </w:r>
    </w:p>
    <w:p w14:paraId="05C639B0">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default" w:ascii="宋体" w:hAnsi="宋体" w:eastAsia="宋体"/>
          <w:color w:val="auto"/>
          <w:sz w:val="24"/>
          <w:highlight w:val="none"/>
          <w:lang w:val="en-US" w:eastAsia="zh-CN"/>
        </w:rPr>
        <w:t>（</w:t>
      </w:r>
      <w:r>
        <w:rPr>
          <w:rFonts w:hint="eastAsia" w:ascii="宋体" w:hAnsi="宋体" w:eastAsia="宋体"/>
          <w:color w:val="auto"/>
          <w:sz w:val="24"/>
          <w:highlight w:val="none"/>
          <w:lang w:val="en-US" w:eastAsia="zh-CN"/>
        </w:rPr>
        <w:t>1</w:t>
      </w:r>
      <w:r>
        <w:rPr>
          <w:rFonts w:hint="default" w:ascii="宋体" w:hAnsi="宋体" w:eastAsia="宋体"/>
          <w:color w:val="auto"/>
          <w:sz w:val="24"/>
          <w:highlight w:val="none"/>
          <w:lang w:val="en-US" w:eastAsia="zh-CN"/>
        </w:rPr>
        <w:t>）采购预算金额在1000万元以上；</w:t>
      </w:r>
    </w:p>
    <w:p w14:paraId="67DFE620">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default" w:ascii="宋体" w:hAnsi="宋体" w:eastAsia="宋体"/>
          <w:color w:val="auto"/>
          <w:sz w:val="24"/>
          <w:highlight w:val="none"/>
          <w:lang w:val="en-US" w:eastAsia="zh-CN"/>
        </w:rPr>
        <w:t>（</w:t>
      </w:r>
      <w:r>
        <w:rPr>
          <w:rFonts w:hint="eastAsia" w:ascii="宋体" w:hAnsi="宋体" w:eastAsia="宋体"/>
          <w:color w:val="auto"/>
          <w:sz w:val="24"/>
          <w:highlight w:val="none"/>
          <w:lang w:val="en-US" w:eastAsia="zh-CN"/>
        </w:rPr>
        <w:t>2</w:t>
      </w:r>
      <w:r>
        <w:rPr>
          <w:rFonts w:hint="default" w:ascii="宋体" w:hAnsi="宋体" w:eastAsia="宋体"/>
          <w:color w:val="auto"/>
          <w:sz w:val="24"/>
          <w:highlight w:val="none"/>
          <w:lang w:val="en-US" w:eastAsia="zh-CN"/>
        </w:rPr>
        <w:t>）技术复杂；</w:t>
      </w:r>
    </w:p>
    <w:p w14:paraId="6B9FB10B">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default" w:ascii="宋体" w:hAnsi="宋体" w:eastAsia="宋体"/>
          <w:color w:val="auto"/>
          <w:sz w:val="24"/>
          <w:highlight w:val="none"/>
          <w:lang w:val="en-US" w:eastAsia="zh-CN"/>
        </w:rPr>
        <w:t>（</w:t>
      </w:r>
      <w:r>
        <w:rPr>
          <w:rFonts w:hint="eastAsia" w:ascii="宋体" w:hAnsi="宋体" w:eastAsia="宋体"/>
          <w:color w:val="auto"/>
          <w:sz w:val="24"/>
          <w:highlight w:val="none"/>
          <w:lang w:val="en-US" w:eastAsia="zh-CN"/>
        </w:rPr>
        <w:t>3</w:t>
      </w:r>
      <w:r>
        <w:rPr>
          <w:rFonts w:hint="default" w:ascii="宋体" w:hAnsi="宋体" w:eastAsia="宋体"/>
          <w:color w:val="auto"/>
          <w:sz w:val="24"/>
          <w:highlight w:val="none"/>
          <w:lang w:val="en-US" w:eastAsia="zh-CN"/>
        </w:rPr>
        <w:t>）社会影响较大。</w:t>
      </w:r>
    </w:p>
    <w:p w14:paraId="4590A674">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28.3</w:t>
      </w:r>
      <w:r>
        <w:rPr>
          <w:rFonts w:hint="default" w:ascii="宋体" w:hAnsi="宋体" w:eastAsia="宋体"/>
          <w:color w:val="auto"/>
          <w:sz w:val="24"/>
          <w:highlight w:val="none"/>
          <w:lang w:val="en-US" w:eastAsia="zh-CN"/>
        </w:rPr>
        <w:t>评审专家对本单位的采购项目只能作为采购人代表参与评标，对技术复杂、专业性强的采购项目，通过随机方式难以确定合适评审专家的，经主管预算单位同意，采购人可以自行选定相应专业领域的评审专家。采购代理机构工作人员不得参加由本机构代理的政府采购项目的评标。</w:t>
      </w:r>
    </w:p>
    <w:p w14:paraId="16E92807">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28.4</w:t>
      </w:r>
      <w:r>
        <w:rPr>
          <w:rFonts w:hint="default" w:ascii="宋体" w:hAnsi="宋体" w:eastAsia="宋体"/>
          <w:color w:val="auto"/>
          <w:sz w:val="24"/>
          <w:highlight w:val="none"/>
          <w:lang w:val="en-US" w:eastAsia="zh-CN"/>
        </w:rPr>
        <w:t>评标委员会成员名单在评标结果公告前应当保密。</w:t>
      </w:r>
    </w:p>
    <w:p w14:paraId="2F8842E2">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28.5</w:t>
      </w:r>
      <w:r>
        <w:rPr>
          <w:rFonts w:hint="default" w:ascii="宋体" w:hAnsi="宋体" w:eastAsia="宋体"/>
          <w:color w:val="auto"/>
          <w:sz w:val="24"/>
          <w:highlight w:val="none"/>
          <w:lang w:val="en-US" w:eastAsia="zh-CN"/>
        </w:rPr>
        <w:t>评标中因评标委员会成员缺席、回避或者健康等特殊原因导致评标委员会组成不符合本办法规定的，采购人或者采购代理机构应当依法补足后继续评标。被更换的评标委员会成员所作出的评标意见无效。</w:t>
      </w:r>
    </w:p>
    <w:p w14:paraId="28948BF7">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28.6</w:t>
      </w:r>
      <w:r>
        <w:rPr>
          <w:rFonts w:hint="default" w:ascii="宋体" w:hAnsi="宋体" w:eastAsia="宋体"/>
          <w:color w:val="auto"/>
          <w:sz w:val="24"/>
          <w:highlight w:val="none"/>
          <w:lang w:val="en-US" w:eastAsia="zh-CN"/>
        </w:rPr>
        <w:t>无法及时补足评标委员会成员的，采购人或者采购代理机构应当停止评标活动，封存所有投标文件和开标、评标资料，依法重新组建评标委员会进行评标。原评标委员会所作出的评标意见无效。</w:t>
      </w:r>
    </w:p>
    <w:p w14:paraId="301CAD81">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eastAsia="宋体"/>
          <w:color w:val="auto"/>
          <w:sz w:val="24"/>
          <w:highlight w:val="none"/>
        </w:rPr>
        <w:t>2</w:t>
      </w:r>
      <w:r>
        <w:rPr>
          <w:rFonts w:hint="eastAsia" w:eastAsia="宋体"/>
          <w:color w:val="auto"/>
          <w:sz w:val="24"/>
          <w:highlight w:val="none"/>
          <w:lang w:val="en-US" w:eastAsia="zh-CN"/>
        </w:rPr>
        <w:t>8</w:t>
      </w:r>
      <w:r>
        <w:rPr>
          <w:rFonts w:hint="eastAsia" w:eastAsia="宋体"/>
          <w:color w:val="auto"/>
          <w:sz w:val="24"/>
          <w:highlight w:val="none"/>
        </w:rPr>
        <w:t>.</w:t>
      </w:r>
      <w:r>
        <w:rPr>
          <w:rFonts w:hint="eastAsia" w:eastAsia="宋体"/>
          <w:color w:val="auto"/>
          <w:sz w:val="24"/>
          <w:highlight w:val="none"/>
          <w:lang w:val="en-US" w:eastAsia="zh-CN"/>
        </w:rPr>
        <w:t>7</w:t>
      </w:r>
      <w:r>
        <w:rPr>
          <w:rFonts w:hint="eastAsia" w:eastAsia="宋体"/>
          <w:color w:val="auto"/>
          <w:sz w:val="24"/>
          <w:highlight w:val="none"/>
        </w:rPr>
        <w:t xml:space="preserve"> 评标委员会成员有下列情形之一的，应当回避：</w:t>
      </w:r>
    </w:p>
    <w:p w14:paraId="0656ACEF">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（1）参加采购活动前3年内与投标人存在劳动关系；</w:t>
      </w:r>
    </w:p>
    <w:p w14:paraId="55B6A1BF">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（2）参加采购活动前3年内担任投标人的董事、监事；</w:t>
      </w:r>
    </w:p>
    <w:p w14:paraId="61A1D2B8">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（3）参加采购活动前3年内是投标人的控股股东或实际控制人；</w:t>
      </w:r>
    </w:p>
    <w:p w14:paraId="2961D582">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（4）与投标人的法定代表人或者负责人有夫妻、直系血亲、三代以内旁系血亲或者近姻亲关系；</w:t>
      </w:r>
    </w:p>
    <w:p w14:paraId="20FB9B78">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（5）与投标人有其他可能影响采购活动公平、公正进行的关系。</w:t>
      </w:r>
    </w:p>
    <w:p w14:paraId="25BEA5A7">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01" w:name="_Toc140132791"/>
      <w:bookmarkStart w:id="202" w:name="_Toc163492858"/>
      <w:r>
        <w:rPr>
          <w:rFonts w:hint="eastAsia" w:ascii="宋体" w:hAnsi="宋体" w:eastAsia="宋体" w:cs="宋体"/>
          <w:b/>
          <w:bCs/>
          <w:color w:val="auto"/>
          <w:kern w:val="2"/>
          <w:sz w:val="24"/>
          <w:szCs w:val="28"/>
          <w:highlight w:val="none"/>
          <w:lang w:val="en-US" w:eastAsia="zh-CN" w:bidi="ar-SA"/>
        </w:rPr>
        <w:t>29.评标</w:t>
      </w:r>
      <w:bookmarkEnd w:id="201"/>
      <w:bookmarkEnd w:id="202"/>
    </w:p>
    <w:p w14:paraId="6D0B095D">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eastAsia="zh-CN"/>
        </w:rPr>
      </w:pPr>
      <w:r>
        <w:rPr>
          <w:rFonts w:hint="eastAsia" w:eastAsia="宋体"/>
          <w:color w:val="auto"/>
          <w:sz w:val="24"/>
          <w:highlight w:val="none"/>
          <w:lang w:val="en-US" w:eastAsia="zh-CN"/>
        </w:rPr>
        <w:t>29</w:t>
      </w:r>
      <w:r>
        <w:rPr>
          <w:rFonts w:hint="eastAsia" w:eastAsia="宋体"/>
          <w:color w:val="auto"/>
          <w:sz w:val="24"/>
          <w:highlight w:val="none"/>
        </w:rPr>
        <w:t>.1</w:t>
      </w:r>
      <w:r>
        <w:rPr>
          <w:rFonts w:hint="eastAsia" w:eastAsia="宋体"/>
          <w:color w:val="auto"/>
          <w:sz w:val="24"/>
          <w:highlight w:val="none"/>
          <w:lang w:val="en-US" w:eastAsia="zh-CN"/>
        </w:rPr>
        <w:t xml:space="preserve"> 评标方法分为综合评分法和</w:t>
      </w:r>
      <w:r>
        <w:rPr>
          <w:rFonts w:eastAsia="宋体"/>
          <w:color w:val="auto"/>
          <w:sz w:val="24"/>
          <w:highlight w:val="none"/>
        </w:rPr>
        <w:t>最低评标价法</w:t>
      </w:r>
      <w:r>
        <w:rPr>
          <w:rFonts w:hint="eastAsia" w:eastAsia="宋体"/>
          <w:color w:val="auto"/>
          <w:sz w:val="24"/>
          <w:highlight w:val="none"/>
          <w:lang w:eastAsia="zh-CN"/>
        </w:rPr>
        <w:t>，</w:t>
      </w:r>
      <w:r>
        <w:rPr>
          <w:rFonts w:eastAsia="宋体"/>
          <w:color w:val="auto"/>
          <w:sz w:val="24"/>
          <w:highlight w:val="none"/>
        </w:rPr>
        <w:t>本项目</w:t>
      </w:r>
      <w:r>
        <w:rPr>
          <w:rFonts w:hint="eastAsia" w:eastAsia="宋体"/>
          <w:color w:val="auto"/>
          <w:sz w:val="24"/>
          <w:highlight w:val="none"/>
        </w:rPr>
        <w:t>评标</w:t>
      </w:r>
      <w:r>
        <w:rPr>
          <w:rFonts w:hint="eastAsia" w:eastAsia="宋体"/>
          <w:color w:val="auto"/>
          <w:sz w:val="24"/>
          <w:highlight w:val="none"/>
          <w:lang w:val="en-US" w:eastAsia="zh-CN"/>
        </w:rPr>
        <w:t>方法详见</w:t>
      </w:r>
      <w:r>
        <w:rPr>
          <w:rFonts w:hint="eastAsia" w:eastAsia="宋体"/>
          <w:color w:val="auto"/>
          <w:sz w:val="24"/>
          <w:highlight w:val="none"/>
        </w:rPr>
        <w:t>“投标人须知前附表”</w:t>
      </w:r>
      <w:r>
        <w:rPr>
          <w:rFonts w:hint="eastAsia" w:eastAsia="宋体"/>
          <w:color w:val="auto"/>
          <w:sz w:val="24"/>
          <w:highlight w:val="none"/>
          <w:lang w:eastAsia="zh-CN"/>
        </w:rPr>
        <w:t>。</w:t>
      </w:r>
    </w:p>
    <w:p w14:paraId="2BC22B3E">
      <w:pPr>
        <w:pStyle w:val="37"/>
        <w:rPr>
          <w:rFonts w:eastAsia="宋体"/>
          <w:color w:val="auto"/>
          <w:sz w:val="24"/>
          <w:highlight w:val="none"/>
        </w:rPr>
      </w:pPr>
      <w:r>
        <w:rPr>
          <w:rFonts w:eastAsia="宋体"/>
          <w:color w:val="auto"/>
          <w:sz w:val="24"/>
          <w:highlight w:val="none"/>
        </w:rPr>
        <w:t>2</w:t>
      </w:r>
      <w:r>
        <w:rPr>
          <w:rFonts w:hint="eastAsia" w:eastAsia="宋体"/>
          <w:color w:val="auto"/>
          <w:sz w:val="24"/>
          <w:highlight w:val="none"/>
          <w:lang w:val="en-US" w:eastAsia="zh-CN"/>
        </w:rPr>
        <w:t>9.1.1</w:t>
      </w:r>
      <w:r>
        <w:rPr>
          <w:rFonts w:eastAsia="宋体"/>
          <w:color w:val="auto"/>
          <w:sz w:val="24"/>
          <w:highlight w:val="none"/>
        </w:rPr>
        <w:t>综合评分法，是指投标文件满足招标文件全部实质性要求</w:t>
      </w:r>
      <w:r>
        <w:rPr>
          <w:rFonts w:hint="eastAsia" w:eastAsia="宋体"/>
          <w:color w:val="auto"/>
          <w:sz w:val="24"/>
          <w:highlight w:val="none"/>
          <w:lang w:eastAsia="zh-CN"/>
        </w:rPr>
        <w:t>，</w:t>
      </w:r>
      <w:r>
        <w:rPr>
          <w:rFonts w:eastAsia="宋体"/>
          <w:color w:val="auto"/>
          <w:sz w:val="24"/>
          <w:highlight w:val="none"/>
        </w:rPr>
        <w:t>且按照评审因素的量化指标评审得分最高的投标人为中标候选人的评标方法。</w:t>
      </w:r>
    </w:p>
    <w:p w14:paraId="0E3867EE">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29.1.2.</w:t>
      </w:r>
      <w:r>
        <w:rPr>
          <w:rFonts w:eastAsia="宋体"/>
          <w:color w:val="auto"/>
          <w:sz w:val="24"/>
          <w:highlight w:val="none"/>
        </w:rPr>
        <w:t>最低评标价法，是指投标文件满足招标文件全部实质性要求</w:t>
      </w:r>
      <w:r>
        <w:rPr>
          <w:rFonts w:hint="eastAsia" w:eastAsia="宋体"/>
          <w:color w:val="auto"/>
          <w:sz w:val="24"/>
          <w:highlight w:val="none"/>
          <w:lang w:eastAsia="zh-CN"/>
        </w:rPr>
        <w:t>，</w:t>
      </w:r>
      <w:r>
        <w:rPr>
          <w:rFonts w:eastAsia="宋体"/>
          <w:color w:val="auto"/>
          <w:sz w:val="24"/>
          <w:highlight w:val="none"/>
        </w:rPr>
        <w:t>且投标报价最低的投标人为中标候选人的评标方法。</w:t>
      </w:r>
    </w:p>
    <w:p w14:paraId="418DE4CD">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lang w:val="en-US" w:eastAsia="zh-CN"/>
        </w:rPr>
        <w:t>29</w:t>
      </w:r>
      <w:r>
        <w:rPr>
          <w:rFonts w:hint="eastAsia" w:eastAsia="宋体"/>
          <w:color w:val="auto"/>
          <w:sz w:val="24"/>
          <w:highlight w:val="none"/>
        </w:rPr>
        <w:t>.</w:t>
      </w:r>
      <w:r>
        <w:rPr>
          <w:rFonts w:hint="eastAsia" w:eastAsia="宋体"/>
          <w:color w:val="auto"/>
          <w:sz w:val="24"/>
          <w:highlight w:val="none"/>
          <w:lang w:val="en-US" w:eastAsia="zh-CN"/>
        </w:rPr>
        <w:t xml:space="preserve">2 </w:t>
      </w:r>
      <w:r>
        <w:rPr>
          <w:rFonts w:hint="eastAsia" w:eastAsia="宋体"/>
          <w:color w:val="auto"/>
          <w:sz w:val="24"/>
          <w:highlight w:val="none"/>
        </w:rPr>
        <w:t>评标委员会按照“第五章</w:t>
      </w:r>
      <w:r>
        <w:rPr>
          <w:rFonts w:hint="eastAsia" w:eastAsia="宋体"/>
          <w:color w:val="auto"/>
          <w:sz w:val="24"/>
          <w:highlight w:val="none"/>
          <w:lang w:val="en-US" w:eastAsia="zh-CN"/>
        </w:rPr>
        <w:t xml:space="preserve"> </w:t>
      </w:r>
      <w:r>
        <w:rPr>
          <w:rFonts w:hint="eastAsia" w:eastAsia="宋体"/>
          <w:color w:val="auto"/>
          <w:sz w:val="24"/>
          <w:highlight w:val="none"/>
        </w:rPr>
        <w:t>评标</w:t>
      </w:r>
      <w:r>
        <w:rPr>
          <w:rFonts w:hint="eastAsia" w:eastAsia="宋体"/>
          <w:color w:val="auto"/>
          <w:sz w:val="24"/>
          <w:highlight w:val="none"/>
          <w:lang w:val="en-US" w:eastAsia="zh-CN"/>
        </w:rPr>
        <w:t>方</w:t>
      </w:r>
      <w:r>
        <w:rPr>
          <w:rFonts w:hint="eastAsia" w:eastAsia="宋体"/>
          <w:color w:val="auto"/>
          <w:sz w:val="24"/>
          <w:highlight w:val="none"/>
        </w:rPr>
        <w:t>法及标准”</w:t>
      </w:r>
      <w:r>
        <w:rPr>
          <w:rFonts w:hint="eastAsia" w:eastAsia="宋体"/>
          <w:color w:val="auto"/>
          <w:sz w:val="24"/>
          <w:highlight w:val="none"/>
          <w:lang w:val="en-US" w:eastAsia="zh-CN"/>
        </w:rPr>
        <w:t>的</w:t>
      </w:r>
      <w:r>
        <w:rPr>
          <w:rFonts w:hint="eastAsia" w:eastAsia="宋体"/>
          <w:color w:val="auto"/>
          <w:sz w:val="24"/>
          <w:highlight w:val="none"/>
        </w:rPr>
        <w:t>规定对投标文件进行评审。“第五章</w:t>
      </w:r>
      <w:r>
        <w:rPr>
          <w:rFonts w:hint="eastAsia" w:eastAsia="宋体"/>
          <w:color w:val="auto"/>
          <w:sz w:val="24"/>
          <w:highlight w:val="none"/>
          <w:lang w:val="en-US" w:eastAsia="zh-CN"/>
        </w:rPr>
        <w:t xml:space="preserve"> </w:t>
      </w:r>
      <w:r>
        <w:rPr>
          <w:rFonts w:hint="eastAsia" w:eastAsia="宋体"/>
          <w:color w:val="auto"/>
          <w:sz w:val="24"/>
          <w:highlight w:val="none"/>
        </w:rPr>
        <w:t>评标</w:t>
      </w:r>
      <w:r>
        <w:rPr>
          <w:rFonts w:hint="eastAsia" w:eastAsia="宋体"/>
          <w:color w:val="auto"/>
          <w:sz w:val="24"/>
          <w:highlight w:val="none"/>
          <w:lang w:val="en-US" w:eastAsia="zh-CN"/>
        </w:rPr>
        <w:t>方</w:t>
      </w:r>
      <w:r>
        <w:rPr>
          <w:rFonts w:hint="eastAsia" w:eastAsia="宋体"/>
          <w:color w:val="auto"/>
          <w:sz w:val="24"/>
          <w:highlight w:val="none"/>
        </w:rPr>
        <w:t>法及标准”没有规定的方法、评审因素和标准，不作为评标依据。</w:t>
      </w:r>
    </w:p>
    <w:p w14:paraId="1A9007D8">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lang w:val="en-US" w:eastAsia="zh-CN"/>
        </w:rPr>
        <w:t>29</w:t>
      </w:r>
      <w:r>
        <w:rPr>
          <w:rFonts w:hint="eastAsia" w:eastAsia="宋体"/>
          <w:color w:val="auto"/>
          <w:sz w:val="24"/>
          <w:highlight w:val="none"/>
        </w:rPr>
        <w:t>.</w:t>
      </w:r>
      <w:r>
        <w:rPr>
          <w:rFonts w:hint="eastAsia" w:eastAsia="宋体"/>
          <w:color w:val="auto"/>
          <w:sz w:val="24"/>
          <w:highlight w:val="none"/>
          <w:lang w:val="en-US" w:eastAsia="zh-CN"/>
        </w:rPr>
        <w:t xml:space="preserve">3 </w:t>
      </w:r>
      <w:r>
        <w:rPr>
          <w:rFonts w:hint="eastAsia" w:eastAsia="宋体"/>
          <w:color w:val="auto"/>
          <w:sz w:val="24"/>
          <w:highlight w:val="none"/>
        </w:rPr>
        <w:t>评标委员会按“投标人须知前附表”规定的中标候选人数量在评标报告中向采购人推荐中标候选人。</w:t>
      </w:r>
    </w:p>
    <w:p w14:paraId="1E63454C">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29.4 开标之后，直到签订合同止，凡是属于审查、澄清、评价和比较投标的有关资料以及定标意向等，均不得向投标人或者其他与评标无关的人员透露。</w:t>
      </w:r>
    </w:p>
    <w:p w14:paraId="57927CBE">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29.5 在确定中标人之前，投标人试图在投标文件审查、澄清、比较和评标时对评标委员会、采购人和采购代理机构施加任何影响都可能导致其</w:t>
      </w:r>
      <w:r>
        <w:rPr>
          <w:rFonts w:hint="eastAsia" w:eastAsia="宋体"/>
          <w:b/>
          <w:bCs/>
          <w:color w:val="auto"/>
          <w:sz w:val="24"/>
          <w:highlight w:val="none"/>
          <w:lang w:val="en-US" w:eastAsia="zh-CN"/>
        </w:rPr>
        <w:t>投标无效</w:t>
      </w:r>
      <w:r>
        <w:rPr>
          <w:rFonts w:hint="eastAsia" w:eastAsia="宋体"/>
          <w:color w:val="auto"/>
          <w:sz w:val="24"/>
          <w:highlight w:val="none"/>
          <w:lang w:val="en-US" w:eastAsia="zh-CN"/>
        </w:rPr>
        <w:t>。</w:t>
      </w:r>
    </w:p>
    <w:p w14:paraId="32A32003">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29.6 电子招投标的应急措施</w:t>
      </w:r>
    </w:p>
    <w:p w14:paraId="52525CD6">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29.6.1电子开标、评标如出现下列原因，导致系统无法正常运行或无法正常评标时，应采取应急措施。</w:t>
      </w:r>
    </w:p>
    <w:p w14:paraId="3D99F562">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（1）系统服务器发生故障，无法访问或无法使用系统；</w:t>
      </w:r>
    </w:p>
    <w:p w14:paraId="518B308A">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（2）系统的软件或数据库出现错误，不能进行正常操作；</w:t>
      </w:r>
    </w:p>
    <w:p w14:paraId="657BA7B3">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（3）系统发现有安全漏洞，有潜在的泄密危险；</w:t>
      </w:r>
    </w:p>
    <w:p w14:paraId="26B15397">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（4）病毒发作或受到外来病毒的攻击；</w:t>
      </w:r>
    </w:p>
    <w:p w14:paraId="6BCA43D9">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（5）出现其他不可抗拒的客观原因造成开评标系统无法正常使用。</w:t>
      </w:r>
    </w:p>
    <w:p w14:paraId="2BA3CE00">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出现上述情况时，应对未开标的暂停开标。已在系统内开标、评标的立即停止。采取应急措施时，必须对原有资料及信息作出妥善保密处理。</w:t>
      </w:r>
    </w:p>
    <w:p w14:paraId="791CC4F0">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29.6.2因系统原因导致投标人均无法解密电子投标文件时，采购代理机构可在开标现场直接导入投标人在投标截止时间前递交的未加密的电子投标文件进行开标、评标。</w:t>
      </w:r>
    </w:p>
    <w:p w14:paraId="28CD45E0">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29.7 投标人瑕疵滞后发现的处理规则</w:t>
      </w:r>
    </w:p>
    <w:p w14:paraId="11E85EAD">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29.7.1无论基于何种原因，各项本应作</w:t>
      </w:r>
      <w:r>
        <w:rPr>
          <w:rFonts w:hint="eastAsia" w:eastAsia="宋体"/>
          <w:b/>
          <w:bCs/>
          <w:color w:val="auto"/>
          <w:sz w:val="24"/>
          <w:highlight w:val="none"/>
          <w:lang w:val="en-US" w:eastAsia="zh-CN"/>
        </w:rPr>
        <w:t>无效投标</w:t>
      </w:r>
      <w:r>
        <w:rPr>
          <w:rFonts w:hint="eastAsia" w:eastAsia="宋体"/>
          <w:color w:val="auto"/>
          <w:sz w:val="24"/>
          <w:highlight w:val="none"/>
          <w:lang w:val="en-US" w:eastAsia="zh-CN"/>
        </w:rPr>
        <w:t>处理的情形即便未被及时发现而使该投标人进入初审、综合评审或其他后续程序，包括已经签订合同的情形，一旦该投标人的投标作无效投标处理或该投标人的此前评议结果被取消，其现有的位置将被其他投标人依序替代，相关的一切损失均由该投标人承担。</w:t>
      </w:r>
    </w:p>
    <w:p w14:paraId="34027149">
      <w:pPr>
        <w:pStyle w:val="5"/>
        <w:keepNext w:val="0"/>
        <w:keepLines w:val="0"/>
        <w:pageBreakBefore w:val="0"/>
        <w:widowControl w:val="0"/>
        <w:numPr>
          <w:ilvl w:val="0"/>
          <w:numId w:val="0"/>
        </w:numPr>
        <w:kinsoku/>
        <w:wordWrap/>
        <w:overflowPunct/>
        <w:topLinePunct w:val="0"/>
        <w:autoSpaceDE/>
        <w:autoSpaceDN/>
        <w:bidi w:val="0"/>
        <w:adjustRightInd/>
        <w:snapToGrid/>
        <w:spacing w:before="180" w:after="180" w:line="240" w:lineRule="auto"/>
        <w:ind w:left="420" w:leftChars="0" w:hanging="420" w:firstLineChars="0"/>
        <w:textAlignment w:val="auto"/>
        <w:rPr>
          <w:rFonts w:hint="eastAsia" w:ascii="宋体" w:hAnsi="宋体" w:eastAsia="宋体" w:cs="宋体"/>
          <w:b/>
          <w:bCs/>
          <w:color w:val="auto"/>
          <w:kern w:val="2"/>
          <w:sz w:val="24"/>
          <w:szCs w:val="32"/>
          <w:highlight w:val="none"/>
          <w:lang w:val="en-US" w:eastAsia="zh-CN" w:bidi="ar-SA"/>
        </w:rPr>
      </w:pPr>
      <w:bookmarkStart w:id="203" w:name="_Toc140132792"/>
      <w:bookmarkStart w:id="204" w:name="_Toc155185879"/>
      <w:bookmarkStart w:id="205" w:name="_Toc163492859"/>
      <w:r>
        <w:rPr>
          <w:rFonts w:hint="eastAsia" w:ascii="宋体" w:hAnsi="宋体" w:eastAsia="宋体" w:cs="宋体"/>
          <w:b/>
          <w:bCs/>
          <w:color w:val="auto"/>
          <w:kern w:val="2"/>
          <w:sz w:val="24"/>
          <w:szCs w:val="32"/>
          <w:highlight w:val="none"/>
          <w:lang w:val="en-US" w:eastAsia="zh-CN" w:bidi="ar-SA"/>
        </w:rPr>
        <w:t>（八）中标</w:t>
      </w:r>
      <w:bookmarkEnd w:id="203"/>
      <w:bookmarkEnd w:id="204"/>
      <w:bookmarkEnd w:id="205"/>
    </w:p>
    <w:p w14:paraId="37B6B950">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06" w:name="_Toc163492860"/>
      <w:bookmarkStart w:id="207" w:name="_Toc140132793"/>
      <w:r>
        <w:rPr>
          <w:rFonts w:hint="eastAsia" w:ascii="宋体" w:hAnsi="宋体" w:eastAsia="宋体" w:cs="宋体"/>
          <w:b/>
          <w:bCs/>
          <w:color w:val="auto"/>
          <w:kern w:val="2"/>
          <w:sz w:val="24"/>
          <w:szCs w:val="28"/>
          <w:highlight w:val="none"/>
          <w:lang w:val="en-US" w:eastAsia="zh-CN" w:bidi="ar-SA"/>
        </w:rPr>
        <w:t>30.确定中标人</w:t>
      </w:r>
      <w:bookmarkEnd w:id="206"/>
      <w:bookmarkEnd w:id="207"/>
    </w:p>
    <w:p w14:paraId="23CC2B81">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eastAsia="宋体"/>
          <w:color w:val="auto"/>
          <w:sz w:val="24"/>
          <w:highlight w:val="none"/>
          <w:lang w:val="en-US" w:eastAsia="zh-CN"/>
        </w:rPr>
        <w:t>30.1</w:t>
      </w:r>
      <w:r>
        <w:rPr>
          <w:rFonts w:hint="eastAsia" w:ascii="宋体" w:hAnsi="宋体" w:eastAsia="宋体" w:cs="宋体"/>
          <w:color w:val="auto"/>
          <w:kern w:val="0"/>
          <w:sz w:val="24"/>
          <w:szCs w:val="24"/>
          <w:highlight w:val="none"/>
          <w:lang w:val="en-US" w:eastAsia="zh-CN" w:bidi="ar"/>
        </w:rPr>
        <w:t>采购人将在评标报告确定的中标候选人名单中按顺序确定中标人，中标候选人并列的，按照</w:t>
      </w:r>
      <w:r>
        <w:rPr>
          <w:rFonts w:hint="eastAsia" w:eastAsia="宋体"/>
          <w:color w:val="auto"/>
          <w:sz w:val="24"/>
          <w:highlight w:val="none"/>
        </w:rPr>
        <w:t>“投标人须知前附表”</w:t>
      </w:r>
      <w:r>
        <w:rPr>
          <w:rFonts w:hint="eastAsia" w:ascii="宋体" w:hAnsi="宋体" w:eastAsia="宋体" w:cs="宋体"/>
          <w:color w:val="auto"/>
          <w:kern w:val="0"/>
          <w:sz w:val="24"/>
          <w:szCs w:val="24"/>
          <w:highlight w:val="none"/>
          <w:lang w:val="en-US" w:eastAsia="zh-CN" w:bidi="ar"/>
        </w:rPr>
        <w:t>确定中标人；招标文件未规定的，采取随机抽取的方式确定。采购人是否委托评标委员会直接确定中标人，见</w:t>
      </w:r>
      <w:r>
        <w:rPr>
          <w:rFonts w:hint="eastAsia" w:eastAsia="宋体"/>
          <w:color w:val="auto"/>
          <w:sz w:val="24"/>
          <w:highlight w:val="none"/>
        </w:rPr>
        <w:t>“投标人须知前附表”</w:t>
      </w:r>
      <w:r>
        <w:rPr>
          <w:rFonts w:hint="eastAsia" w:ascii="宋体" w:hAnsi="宋体" w:eastAsia="宋体" w:cs="宋体"/>
          <w:color w:val="auto"/>
          <w:kern w:val="0"/>
          <w:sz w:val="24"/>
          <w:szCs w:val="24"/>
          <w:highlight w:val="none"/>
          <w:lang w:val="en-US" w:eastAsia="zh-CN" w:bidi="ar"/>
        </w:rPr>
        <w:t>。</w:t>
      </w:r>
    </w:p>
    <w:p w14:paraId="1B14917F">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r>
        <w:rPr>
          <w:rFonts w:hint="eastAsia"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val="en-US" w:eastAsia="zh-CN" w:bidi="ar"/>
        </w:rPr>
        <w:t>.</w:t>
      </w:r>
      <w:r>
        <w:rPr>
          <w:rFonts w:hint="eastAsia" w:eastAsia="宋体" w:cs="宋体"/>
          <w:color w:val="auto"/>
          <w:kern w:val="0"/>
          <w:sz w:val="24"/>
          <w:szCs w:val="24"/>
          <w:highlight w:val="none"/>
          <w:lang w:val="en-US" w:eastAsia="zh-CN" w:bidi="ar"/>
        </w:rPr>
        <w:t>2采</w:t>
      </w:r>
      <w:r>
        <w:rPr>
          <w:rFonts w:hint="eastAsia" w:ascii="宋体" w:hAnsi="宋体" w:eastAsia="宋体" w:cs="宋体"/>
          <w:color w:val="auto"/>
          <w:kern w:val="0"/>
          <w:sz w:val="24"/>
          <w:szCs w:val="24"/>
          <w:highlight w:val="none"/>
          <w:lang w:val="en-US" w:eastAsia="zh-CN" w:bidi="ar"/>
        </w:rPr>
        <w:t>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eastAsia="宋体"/>
          <w:color w:val="auto"/>
          <w:sz w:val="24"/>
          <w:highlight w:val="none"/>
        </w:rPr>
        <w:t>“投标人须知前附表”</w:t>
      </w:r>
      <w:r>
        <w:rPr>
          <w:rFonts w:hint="eastAsia" w:ascii="宋体" w:hAnsi="宋体" w:eastAsia="宋体" w:cs="宋体"/>
          <w:color w:val="auto"/>
          <w:kern w:val="0"/>
          <w:sz w:val="24"/>
          <w:szCs w:val="24"/>
          <w:highlight w:val="none"/>
          <w:lang w:val="en-US" w:eastAsia="zh-CN" w:bidi="ar"/>
        </w:rPr>
        <w:t>规定的方式确定一个投标人获得中标人推荐资格，招标文件未规定的采取随机抽取方式确定，其他同品牌投标人不作为中标候选人。</w:t>
      </w:r>
    </w:p>
    <w:p w14:paraId="5EF9107C">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eastAsia="宋体" w:cs="宋体"/>
          <w:color w:val="auto"/>
          <w:kern w:val="0"/>
          <w:sz w:val="24"/>
          <w:szCs w:val="24"/>
          <w:highlight w:val="none"/>
          <w:lang w:val="en-US" w:eastAsia="zh-CN" w:bidi="ar"/>
        </w:rPr>
      </w:pPr>
      <w:r>
        <w:rPr>
          <w:rFonts w:hint="eastAsia" w:eastAsia="宋体" w:cs="宋体"/>
          <w:color w:val="auto"/>
          <w:kern w:val="0"/>
          <w:sz w:val="24"/>
          <w:szCs w:val="24"/>
          <w:highlight w:val="none"/>
          <w:lang w:val="en-US" w:eastAsia="zh-CN" w:bidi="ar"/>
        </w:rPr>
        <w:t>30.3采用最低评标价法的采购项目，提供相同品牌产品的不同投标人参加同一合同项下投标的，以其中通过资格审查、符合性审查且报价最低的参加评标；报价相同的，由采购人或者采购人委托评标委员会按照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eastAsia="宋体"/>
          <w:color w:val="auto"/>
          <w:sz w:val="24"/>
          <w:highlight w:val="none"/>
        </w:rPr>
        <w:t>“投标人须知前附表”</w:t>
      </w:r>
      <w:r>
        <w:rPr>
          <w:rFonts w:hint="eastAsia" w:eastAsia="宋体" w:cs="宋体"/>
          <w:color w:val="auto"/>
          <w:kern w:val="0"/>
          <w:sz w:val="24"/>
          <w:szCs w:val="24"/>
          <w:highlight w:val="none"/>
          <w:lang w:val="en-US" w:eastAsia="zh-CN" w:bidi="ar"/>
        </w:rPr>
        <w:t>规定的方式确定一个参加评标的投标人，招标文件未规定的采取随机抽取方式确定，其他投标无效。</w:t>
      </w:r>
    </w:p>
    <w:p w14:paraId="4A5A7398">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eastAsia="宋体"/>
          <w:color w:val="auto"/>
          <w:sz w:val="24"/>
          <w:highlight w:val="none"/>
        </w:rPr>
      </w:pPr>
      <w:r>
        <w:rPr>
          <w:rFonts w:hint="eastAsia" w:eastAsia="宋体" w:cs="宋体"/>
          <w:color w:val="auto"/>
          <w:kern w:val="0"/>
          <w:sz w:val="24"/>
          <w:szCs w:val="24"/>
          <w:highlight w:val="none"/>
          <w:lang w:val="en-US" w:eastAsia="zh-CN" w:bidi="ar"/>
        </w:rPr>
        <w:t>30.4非单一产品采购项目，采购人应当根据采购项目技术构成、产品价格比重等合理确定核心产品，并在</w:t>
      </w:r>
      <w:r>
        <w:rPr>
          <w:rFonts w:hint="eastAsia" w:eastAsia="宋体"/>
          <w:color w:val="auto"/>
          <w:sz w:val="24"/>
          <w:highlight w:val="none"/>
        </w:rPr>
        <w:t>“投标人须知前附表”</w:t>
      </w:r>
      <w:r>
        <w:rPr>
          <w:rFonts w:hint="eastAsia" w:eastAsia="宋体" w:cs="宋体"/>
          <w:color w:val="auto"/>
          <w:kern w:val="0"/>
          <w:sz w:val="24"/>
          <w:szCs w:val="24"/>
          <w:highlight w:val="none"/>
          <w:lang w:val="en-US" w:eastAsia="zh-CN" w:bidi="ar"/>
        </w:rPr>
        <w:t>中载明。多家投标人提供的核心产品品牌相同的，按前两款规定处理。</w:t>
      </w:r>
      <w:r>
        <w:rPr>
          <w:rFonts w:hint="eastAsia" w:ascii="宋体" w:hAnsi="宋体" w:eastAsia="宋体" w:cs="宋体"/>
          <w:color w:val="auto"/>
          <w:kern w:val="0"/>
          <w:sz w:val="24"/>
          <w:szCs w:val="24"/>
          <w:highlight w:val="none"/>
          <w:lang w:val="en-US" w:eastAsia="zh-CN" w:bidi="ar"/>
        </w:rPr>
        <w:t xml:space="preserve"> </w:t>
      </w:r>
    </w:p>
    <w:p w14:paraId="18971451">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08" w:name="_Toc140132794"/>
      <w:bookmarkStart w:id="209" w:name="_Toc163492861"/>
      <w:r>
        <w:rPr>
          <w:rFonts w:hint="eastAsia" w:ascii="宋体" w:hAnsi="宋体" w:eastAsia="宋体" w:cs="宋体"/>
          <w:b/>
          <w:bCs/>
          <w:color w:val="auto"/>
          <w:kern w:val="2"/>
          <w:sz w:val="24"/>
          <w:szCs w:val="28"/>
          <w:highlight w:val="none"/>
          <w:lang w:val="en-US" w:eastAsia="zh-CN" w:bidi="ar-SA"/>
        </w:rPr>
        <w:t>31.中标结果公告</w:t>
      </w:r>
      <w:bookmarkEnd w:id="208"/>
      <w:bookmarkEnd w:id="209"/>
    </w:p>
    <w:p w14:paraId="712AF3E4">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1</w:t>
      </w:r>
      <w:r>
        <w:rPr>
          <w:rFonts w:hint="eastAsia" w:eastAsia="宋体"/>
          <w:color w:val="auto"/>
          <w:sz w:val="24"/>
          <w:highlight w:val="none"/>
        </w:rPr>
        <w:t>.1</w:t>
      </w:r>
      <w:r>
        <w:rPr>
          <w:rFonts w:hint="eastAsia" w:eastAsia="宋体"/>
          <w:color w:val="auto"/>
          <w:sz w:val="24"/>
          <w:highlight w:val="none"/>
          <w:lang w:val="en-US" w:eastAsia="zh-CN"/>
        </w:rPr>
        <w:t>采购人或</w:t>
      </w:r>
      <w:r>
        <w:rPr>
          <w:rFonts w:hint="eastAsia" w:eastAsia="宋体"/>
          <w:color w:val="auto"/>
          <w:sz w:val="24"/>
          <w:highlight w:val="none"/>
        </w:rPr>
        <w:t>采购代理机构应当自中标人确定之日起2个工作日内，在</w:t>
      </w:r>
      <w:r>
        <w:rPr>
          <w:rFonts w:hint="eastAsia" w:eastAsia="宋体"/>
          <w:color w:val="auto"/>
          <w:sz w:val="24"/>
          <w:highlight w:val="none"/>
          <w:lang w:val="en-US" w:eastAsia="zh-CN"/>
        </w:rPr>
        <w:t>发布招标公告的同一</w:t>
      </w:r>
      <w:r>
        <w:rPr>
          <w:rFonts w:hint="eastAsia" w:eastAsia="宋体"/>
          <w:color w:val="auto"/>
          <w:sz w:val="24"/>
          <w:highlight w:val="none"/>
        </w:rPr>
        <w:t>媒体上发布中标结果公告，</w:t>
      </w:r>
      <w:r>
        <w:rPr>
          <w:rFonts w:hint="eastAsia" w:eastAsia="宋体"/>
          <w:color w:val="auto"/>
          <w:sz w:val="24"/>
          <w:highlight w:val="none"/>
          <w:lang w:val="en-US" w:eastAsia="zh-CN"/>
        </w:rPr>
        <w:t>同时向中标人</w:t>
      </w:r>
      <w:r>
        <w:rPr>
          <w:rFonts w:hint="eastAsia" w:eastAsia="宋体"/>
          <w:color w:val="auto"/>
          <w:sz w:val="24"/>
          <w:highlight w:val="none"/>
        </w:rPr>
        <w:t>发出中标通知书</w:t>
      </w:r>
      <w:r>
        <w:rPr>
          <w:rFonts w:hint="eastAsia" w:eastAsia="宋体"/>
          <w:color w:val="auto"/>
          <w:sz w:val="24"/>
          <w:highlight w:val="none"/>
          <w:lang w:eastAsia="zh-CN"/>
        </w:rPr>
        <w:t>。招标文件随中标结果同时公告，</w:t>
      </w:r>
      <w:r>
        <w:rPr>
          <w:rFonts w:hint="eastAsia" w:eastAsia="宋体"/>
          <w:color w:val="auto"/>
          <w:sz w:val="24"/>
          <w:highlight w:val="none"/>
        </w:rPr>
        <w:t>中标结果公告期限为1个工作日。</w:t>
      </w:r>
    </w:p>
    <w:p w14:paraId="5352A1FC">
      <w:pPr>
        <w:pStyle w:val="37"/>
        <w:keepNext w:val="0"/>
        <w:keepLines w:val="0"/>
        <w:pageBreakBefore w:val="0"/>
        <w:widowControl w:val="0"/>
        <w:kinsoku/>
        <w:overflowPunct/>
        <w:topLinePunct w:val="0"/>
        <w:autoSpaceDE/>
        <w:autoSpaceDN/>
        <w:bidi w:val="0"/>
        <w:adjustRightInd/>
        <w:textAlignment w:val="auto"/>
        <w:rPr>
          <w:rFonts w:hint="eastAsia" w:eastAsia="宋体"/>
          <w:bCs/>
          <w:color w:val="auto"/>
          <w:sz w:val="24"/>
          <w:highlight w:val="none"/>
          <w:lang w:eastAsia="zh-CN"/>
        </w:rPr>
      </w:pPr>
      <w:r>
        <w:rPr>
          <w:rFonts w:hint="eastAsia" w:eastAsia="宋体"/>
          <w:bCs/>
          <w:color w:val="auto"/>
          <w:sz w:val="24"/>
          <w:highlight w:val="none"/>
        </w:rPr>
        <w:t>3</w:t>
      </w:r>
      <w:r>
        <w:rPr>
          <w:rFonts w:hint="eastAsia" w:eastAsia="宋体"/>
          <w:bCs/>
          <w:color w:val="auto"/>
          <w:sz w:val="24"/>
          <w:highlight w:val="none"/>
          <w:lang w:val="en-US" w:eastAsia="zh-CN"/>
        </w:rPr>
        <w:t>1</w:t>
      </w:r>
      <w:r>
        <w:rPr>
          <w:rFonts w:eastAsia="宋体"/>
          <w:bCs/>
          <w:color w:val="auto"/>
          <w:sz w:val="24"/>
          <w:highlight w:val="none"/>
        </w:rPr>
        <w:t>.2</w:t>
      </w:r>
      <w:r>
        <w:rPr>
          <w:rFonts w:hint="eastAsia" w:eastAsia="宋体"/>
          <w:bCs/>
          <w:color w:val="auto"/>
          <w:sz w:val="24"/>
          <w:highlight w:val="none"/>
          <w:lang w:eastAsia="zh-CN"/>
        </w:rPr>
        <w:t>中标</w:t>
      </w:r>
      <w:r>
        <w:rPr>
          <w:rFonts w:hint="eastAsia" w:eastAsia="宋体"/>
          <w:bCs/>
          <w:color w:val="auto"/>
          <w:sz w:val="24"/>
          <w:highlight w:val="none"/>
          <w:lang w:val="en-US" w:eastAsia="zh-CN"/>
        </w:rPr>
        <w:t>人</w:t>
      </w:r>
      <w:r>
        <w:rPr>
          <w:rFonts w:hint="eastAsia" w:eastAsia="宋体"/>
          <w:bCs/>
          <w:color w:val="auto"/>
          <w:sz w:val="24"/>
          <w:highlight w:val="none"/>
          <w:lang w:eastAsia="zh-CN"/>
        </w:rPr>
        <w:t>为中小企业</w:t>
      </w:r>
      <w:r>
        <w:rPr>
          <w:rFonts w:hint="eastAsia" w:eastAsia="宋体"/>
          <w:bCs/>
          <w:color w:val="auto"/>
          <w:sz w:val="24"/>
          <w:highlight w:val="none"/>
          <w:lang w:val="en-US" w:eastAsia="zh-CN"/>
        </w:rPr>
        <w:t>享受中小企业扶持政策的</w:t>
      </w:r>
      <w:r>
        <w:rPr>
          <w:rFonts w:hint="eastAsia" w:eastAsia="宋体"/>
          <w:bCs/>
          <w:color w:val="auto"/>
          <w:sz w:val="24"/>
          <w:highlight w:val="none"/>
          <w:lang w:eastAsia="zh-CN"/>
        </w:rPr>
        <w:t>，其“中小企业声明函”随中标结果同时公告。中标</w:t>
      </w:r>
      <w:r>
        <w:rPr>
          <w:rFonts w:hint="eastAsia" w:eastAsia="宋体"/>
          <w:bCs/>
          <w:color w:val="auto"/>
          <w:sz w:val="24"/>
          <w:highlight w:val="none"/>
          <w:lang w:val="en-US" w:eastAsia="zh-CN"/>
        </w:rPr>
        <w:t>人</w:t>
      </w:r>
      <w:r>
        <w:rPr>
          <w:rFonts w:hint="eastAsia" w:eastAsia="宋体"/>
          <w:bCs/>
          <w:color w:val="auto"/>
          <w:sz w:val="24"/>
          <w:highlight w:val="none"/>
          <w:lang w:eastAsia="zh-CN"/>
        </w:rPr>
        <w:t>为残疾人福利性单位的，其“残疾人福利性单位声明函”随中标结果同时公告。</w:t>
      </w:r>
    </w:p>
    <w:p w14:paraId="284DD9EA">
      <w:pPr>
        <w:pStyle w:val="37"/>
        <w:keepNext w:val="0"/>
        <w:keepLines w:val="0"/>
        <w:pageBreakBefore w:val="0"/>
        <w:widowControl w:val="0"/>
        <w:kinsoku/>
        <w:overflowPunct/>
        <w:topLinePunct w:val="0"/>
        <w:autoSpaceDE/>
        <w:autoSpaceDN/>
        <w:bidi w:val="0"/>
        <w:adjustRightInd/>
        <w:textAlignment w:val="auto"/>
        <w:rPr>
          <w:rFonts w:hint="eastAsia" w:ascii="宋体" w:hAnsi="宋体" w:eastAsia="宋体"/>
          <w:bCs/>
          <w:color w:val="auto"/>
          <w:sz w:val="24"/>
          <w:highlight w:val="none"/>
        </w:rPr>
      </w:pPr>
      <w:r>
        <w:rPr>
          <w:rFonts w:hint="eastAsia" w:ascii="宋体" w:hAnsi="宋体" w:eastAsia="宋体"/>
          <w:bCs/>
          <w:color w:val="auto"/>
          <w:sz w:val="24"/>
          <w:highlight w:val="none"/>
          <w:lang w:val="en-US" w:eastAsia="zh-CN"/>
        </w:rPr>
        <w:t>31.3</w:t>
      </w:r>
      <w:r>
        <w:rPr>
          <w:rFonts w:hint="eastAsia" w:ascii="宋体" w:hAnsi="宋体" w:eastAsia="宋体"/>
          <w:bCs/>
          <w:color w:val="auto"/>
          <w:sz w:val="24"/>
          <w:highlight w:val="none"/>
        </w:rPr>
        <w:t>项目采购采用最低评标价法的，公告中标结果时同时公告因落实政府采购政策等原因进行价格扣除后中标</w:t>
      </w:r>
      <w:r>
        <w:rPr>
          <w:rFonts w:hint="eastAsia" w:ascii="宋体" w:hAnsi="宋体" w:eastAsia="宋体"/>
          <w:bCs/>
          <w:color w:val="auto"/>
          <w:sz w:val="24"/>
          <w:highlight w:val="none"/>
          <w:lang w:val="en-US" w:eastAsia="zh-CN"/>
        </w:rPr>
        <w:t>人</w:t>
      </w:r>
      <w:r>
        <w:rPr>
          <w:rFonts w:hint="eastAsia" w:ascii="宋体" w:hAnsi="宋体" w:eastAsia="宋体"/>
          <w:bCs/>
          <w:color w:val="auto"/>
          <w:sz w:val="24"/>
          <w:highlight w:val="none"/>
        </w:rPr>
        <w:t>的评审报价；项目采购采用综合评分法的，公告中标结果时同时公告中标</w:t>
      </w:r>
      <w:r>
        <w:rPr>
          <w:rFonts w:hint="eastAsia" w:ascii="宋体" w:hAnsi="宋体" w:eastAsia="宋体"/>
          <w:bCs/>
          <w:color w:val="auto"/>
          <w:sz w:val="24"/>
          <w:highlight w:val="none"/>
          <w:lang w:val="en-US" w:eastAsia="zh-CN"/>
        </w:rPr>
        <w:t>供应商</w:t>
      </w:r>
      <w:r>
        <w:rPr>
          <w:rFonts w:hint="eastAsia" w:ascii="宋体" w:hAnsi="宋体" w:eastAsia="宋体"/>
          <w:bCs/>
          <w:color w:val="auto"/>
          <w:sz w:val="24"/>
          <w:highlight w:val="none"/>
        </w:rPr>
        <w:t>的评审总得分。</w:t>
      </w:r>
    </w:p>
    <w:p w14:paraId="24E8EB4D">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10" w:name="_Toc163492862"/>
      <w:bookmarkStart w:id="211" w:name="_Toc140132795"/>
      <w:r>
        <w:rPr>
          <w:rFonts w:hint="eastAsia" w:ascii="宋体" w:hAnsi="宋体" w:eastAsia="宋体" w:cs="宋体"/>
          <w:b/>
          <w:bCs/>
          <w:color w:val="auto"/>
          <w:kern w:val="2"/>
          <w:sz w:val="24"/>
          <w:szCs w:val="28"/>
          <w:highlight w:val="none"/>
          <w:lang w:val="en-US" w:eastAsia="zh-CN" w:bidi="ar-SA"/>
        </w:rPr>
        <w:t>32.中标通知</w:t>
      </w:r>
      <w:bookmarkEnd w:id="210"/>
      <w:bookmarkEnd w:id="211"/>
    </w:p>
    <w:p w14:paraId="41D33E18">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2</w:t>
      </w:r>
      <w:r>
        <w:rPr>
          <w:rFonts w:hint="eastAsia" w:eastAsia="宋体"/>
          <w:color w:val="auto"/>
          <w:sz w:val="24"/>
          <w:highlight w:val="none"/>
        </w:rPr>
        <w:t>.1采购人和采购代理机构以书面形式向中标人发出中标通知书，同时将招标结果通知未中标的投标人。对未通过资格审查的投标人，应当告知其未通过的原因；采用综合评分法评审的，还应当告知未中标人本人的评审得分与排序。</w:t>
      </w:r>
    </w:p>
    <w:p w14:paraId="67E9F9A5">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32.2中标通知书对采购人和中标人均具有法律效力。中标通知书发出后，采购人改变中标结果的，或者中标人放弃中标项目的，应当依法承担法律责任。</w:t>
      </w:r>
    </w:p>
    <w:p w14:paraId="004C264E">
      <w:pPr>
        <w:pStyle w:val="5"/>
        <w:keepNext w:val="0"/>
        <w:keepLines w:val="0"/>
        <w:pageBreakBefore w:val="0"/>
        <w:widowControl w:val="0"/>
        <w:numPr>
          <w:ilvl w:val="0"/>
          <w:numId w:val="0"/>
        </w:numPr>
        <w:kinsoku/>
        <w:wordWrap/>
        <w:overflowPunct/>
        <w:topLinePunct w:val="0"/>
        <w:autoSpaceDE/>
        <w:autoSpaceDN/>
        <w:bidi w:val="0"/>
        <w:adjustRightInd/>
        <w:snapToGrid/>
        <w:spacing w:before="180" w:after="180" w:line="240" w:lineRule="auto"/>
        <w:ind w:left="420" w:leftChars="0" w:hanging="420" w:firstLineChars="0"/>
        <w:textAlignment w:val="auto"/>
        <w:rPr>
          <w:rFonts w:hint="eastAsia" w:ascii="宋体" w:hAnsi="宋体" w:eastAsia="宋体" w:cs="宋体"/>
          <w:b/>
          <w:bCs/>
          <w:color w:val="auto"/>
          <w:kern w:val="2"/>
          <w:sz w:val="24"/>
          <w:szCs w:val="32"/>
          <w:highlight w:val="none"/>
          <w:lang w:val="en-US" w:eastAsia="zh-CN" w:bidi="ar-SA"/>
        </w:rPr>
      </w:pPr>
      <w:bookmarkStart w:id="212" w:name="_Toc163492863"/>
      <w:r>
        <w:rPr>
          <w:rFonts w:hint="eastAsia" w:ascii="宋体" w:hAnsi="宋体" w:eastAsia="宋体" w:cs="宋体"/>
          <w:b/>
          <w:bCs/>
          <w:color w:val="auto"/>
          <w:kern w:val="2"/>
          <w:sz w:val="24"/>
          <w:szCs w:val="32"/>
          <w:highlight w:val="none"/>
          <w:lang w:val="en-US" w:eastAsia="zh-CN" w:bidi="ar-SA"/>
        </w:rPr>
        <w:t>（九）签订</w:t>
      </w:r>
      <w:bookmarkStart w:id="213" w:name="_Toc140132796"/>
      <w:bookmarkStart w:id="214" w:name="_Toc155185880"/>
      <w:r>
        <w:rPr>
          <w:rFonts w:hint="eastAsia" w:ascii="宋体" w:hAnsi="宋体" w:eastAsia="宋体" w:cs="宋体"/>
          <w:b/>
          <w:bCs/>
          <w:color w:val="auto"/>
          <w:kern w:val="2"/>
          <w:sz w:val="24"/>
          <w:szCs w:val="32"/>
          <w:highlight w:val="none"/>
          <w:lang w:val="en-US" w:eastAsia="zh-CN" w:bidi="ar-SA"/>
        </w:rPr>
        <w:t>合同</w:t>
      </w:r>
      <w:bookmarkEnd w:id="212"/>
      <w:bookmarkEnd w:id="213"/>
      <w:bookmarkEnd w:id="214"/>
    </w:p>
    <w:p w14:paraId="547E6B99">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15" w:name="_Toc140132797"/>
      <w:bookmarkStart w:id="216" w:name="_Toc163492864"/>
      <w:r>
        <w:rPr>
          <w:rFonts w:hint="eastAsia" w:ascii="宋体" w:hAnsi="宋体" w:eastAsia="宋体" w:cs="宋体"/>
          <w:b/>
          <w:bCs/>
          <w:color w:val="auto"/>
          <w:kern w:val="2"/>
          <w:sz w:val="24"/>
          <w:szCs w:val="28"/>
          <w:highlight w:val="none"/>
          <w:lang w:val="en-US" w:eastAsia="zh-CN" w:bidi="ar-SA"/>
        </w:rPr>
        <w:t>33.履约保证金</w:t>
      </w:r>
      <w:bookmarkEnd w:id="215"/>
      <w:bookmarkEnd w:id="216"/>
    </w:p>
    <w:p w14:paraId="77717F01">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3</w:t>
      </w:r>
      <w:r>
        <w:rPr>
          <w:rFonts w:hint="eastAsia" w:eastAsia="宋体"/>
          <w:color w:val="auto"/>
          <w:sz w:val="24"/>
          <w:highlight w:val="none"/>
        </w:rPr>
        <w:t>.1在签订合同前，中标人应按“投标人须知前附表”规定的金额、担保形式和采购人认可的履约担保格式向采购人提交履约保证金。</w:t>
      </w:r>
    </w:p>
    <w:p w14:paraId="73BC7DAF">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3</w:t>
      </w:r>
      <w:r>
        <w:rPr>
          <w:rFonts w:hint="eastAsia" w:eastAsia="宋体"/>
          <w:color w:val="auto"/>
          <w:sz w:val="24"/>
          <w:highlight w:val="none"/>
        </w:rPr>
        <w:t>.2中标人不能按本章第</w:t>
      </w:r>
      <w:r>
        <w:rPr>
          <w:rFonts w:eastAsia="宋体"/>
          <w:color w:val="auto"/>
          <w:sz w:val="24"/>
          <w:highlight w:val="none"/>
        </w:rPr>
        <w:t>3</w:t>
      </w:r>
      <w:r>
        <w:rPr>
          <w:rFonts w:hint="eastAsia" w:eastAsia="宋体"/>
          <w:color w:val="auto"/>
          <w:sz w:val="24"/>
          <w:highlight w:val="none"/>
          <w:lang w:val="en-US" w:eastAsia="zh-CN"/>
        </w:rPr>
        <w:t>3</w:t>
      </w:r>
      <w:r>
        <w:rPr>
          <w:rFonts w:hint="eastAsia" w:eastAsia="宋体"/>
          <w:color w:val="auto"/>
          <w:sz w:val="24"/>
          <w:highlight w:val="none"/>
        </w:rPr>
        <w:t>.1项要求提交履约担保的，视为放弃中标，给采购人造成损失的，中标人还应当承担民事责任。</w:t>
      </w:r>
    </w:p>
    <w:p w14:paraId="4B3DD6F8">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17" w:name="_Toc140132798"/>
      <w:bookmarkStart w:id="218" w:name="_Toc163492865"/>
      <w:r>
        <w:rPr>
          <w:rFonts w:hint="eastAsia" w:ascii="宋体" w:hAnsi="宋体" w:eastAsia="宋体" w:cs="宋体"/>
          <w:b/>
          <w:bCs/>
          <w:color w:val="auto"/>
          <w:kern w:val="2"/>
          <w:sz w:val="24"/>
          <w:szCs w:val="28"/>
          <w:highlight w:val="none"/>
          <w:lang w:val="en-US" w:eastAsia="zh-CN" w:bidi="ar-SA"/>
        </w:rPr>
        <w:t>34.签订合同</w:t>
      </w:r>
      <w:bookmarkEnd w:id="217"/>
      <w:bookmarkEnd w:id="218"/>
    </w:p>
    <w:p w14:paraId="77507EBB">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4</w:t>
      </w:r>
      <w:r>
        <w:rPr>
          <w:rFonts w:hint="eastAsia" w:eastAsia="宋体"/>
          <w:color w:val="auto"/>
          <w:sz w:val="24"/>
          <w:highlight w:val="none"/>
        </w:rPr>
        <w:t>.1 采购人和中标人应当自中标通知书发出之日起</w:t>
      </w:r>
      <w:r>
        <w:rPr>
          <w:rFonts w:hint="eastAsia" w:eastAsia="宋体"/>
          <w:color w:val="auto"/>
          <w:sz w:val="24"/>
          <w:highlight w:val="none"/>
          <w:lang w:val="en-US" w:eastAsia="zh-CN"/>
        </w:rPr>
        <w:t>25</w:t>
      </w:r>
      <w:r>
        <w:rPr>
          <w:rFonts w:hint="eastAsia" w:eastAsia="宋体"/>
          <w:color w:val="auto"/>
          <w:sz w:val="24"/>
          <w:highlight w:val="none"/>
        </w:rPr>
        <w:t>天内，根据招标文件和中标人的投标文件订立书面合同。</w:t>
      </w:r>
      <w:r>
        <w:rPr>
          <w:rFonts w:hint="eastAsia" w:ascii="宋体" w:hAnsi="宋体" w:eastAsia="宋体"/>
          <w:color w:val="auto"/>
          <w:sz w:val="24"/>
          <w:highlight w:val="none"/>
        </w:rPr>
        <w:t>采购人因不可抗力原因迟延签订合同的，应当自不可抗力事由消除之日起7日内完成合同签订事宜。</w:t>
      </w:r>
      <w:r>
        <w:rPr>
          <w:rFonts w:hint="eastAsia" w:eastAsia="宋体"/>
          <w:color w:val="auto"/>
          <w:sz w:val="24"/>
          <w:highlight w:val="none"/>
        </w:rPr>
        <w:t>所签订的合同不得对招标文件和中标人投标文件作实质性修改。中标人无正当理由拒签合同，给采购人造成损失的，中标人还应当承担民事责任。</w:t>
      </w:r>
    </w:p>
    <w:p w14:paraId="72CF4FDD">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34.2 中标人拒绝与采购人签订合同的，采购人可以按照评标报告推荐的中标候选人名单排序，确定下一候选人为中标人，也可以重新开展政府采购活动。</w:t>
      </w:r>
    </w:p>
    <w:p w14:paraId="0D3421B6">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4</w:t>
      </w:r>
      <w:r>
        <w:rPr>
          <w:rFonts w:hint="eastAsia" w:eastAsia="宋体"/>
          <w:color w:val="auto"/>
          <w:sz w:val="24"/>
          <w:highlight w:val="none"/>
        </w:rPr>
        <w:t>.</w:t>
      </w:r>
      <w:r>
        <w:rPr>
          <w:rFonts w:hint="eastAsia" w:eastAsia="宋体"/>
          <w:color w:val="auto"/>
          <w:sz w:val="24"/>
          <w:highlight w:val="none"/>
          <w:lang w:val="en-US" w:eastAsia="zh-CN"/>
        </w:rPr>
        <w:t>3</w:t>
      </w:r>
      <w:r>
        <w:rPr>
          <w:rFonts w:hint="eastAsia" w:eastAsia="宋体"/>
          <w:color w:val="auto"/>
          <w:sz w:val="24"/>
          <w:highlight w:val="none"/>
        </w:rPr>
        <w:t xml:space="preserve"> 采购人和中标人不得向对方提出任何不合理的要求，作为签订合同的条件，双方不得私下订立背离合同实质性内容的协议。</w:t>
      </w:r>
    </w:p>
    <w:p w14:paraId="5551DDAE">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34.4 联合体中标的，联合体各方应当共同与采购人签订合同，就采购合同约定的事项向采购人承担连带责任。</w:t>
      </w:r>
    </w:p>
    <w:p w14:paraId="2BA187E8">
      <w:pPr>
        <w:pStyle w:val="37"/>
        <w:keepNext w:val="0"/>
        <w:keepLines w:val="0"/>
        <w:pageBreakBefore w:val="0"/>
        <w:widowControl w:val="0"/>
        <w:kinsoku/>
        <w:overflowPunct/>
        <w:topLinePunct w:val="0"/>
        <w:autoSpaceDE/>
        <w:autoSpaceDN/>
        <w:bidi w:val="0"/>
        <w:adjustRightInd/>
        <w:textAlignment w:val="auto"/>
        <w:rPr>
          <w:rFonts w:hint="eastAsia" w:eastAsia="宋体"/>
          <w:b/>
          <w:bCs/>
          <w:color w:val="auto"/>
          <w:sz w:val="24"/>
          <w:highlight w:val="none"/>
          <w:lang w:val="en-US" w:eastAsia="zh-CN"/>
        </w:rPr>
      </w:pPr>
      <w:r>
        <w:rPr>
          <w:rFonts w:hint="eastAsia" w:eastAsia="宋体"/>
          <w:color w:val="auto"/>
          <w:sz w:val="24"/>
          <w:highlight w:val="none"/>
          <w:lang w:val="en-US" w:eastAsia="zh-CN"/>
        </w:rPr>
        <w:t>34.5 本项目的非主体、非关键性工作是否允许分包，见“投标人须知前附表”。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eastAsia="宋体"/>
          <w:b/>
          <w:bCs/>
          <w:color w:val="auto"/>
          <w:sz w:val="24"/>
          <w:highlight w:val="none"/>
          <w:lang w:val="en-US" w:eastAsia="zh-CN"/>
        </w:rPr>
        <w:t>投标无效</w:t>
      </w:r>
      <w:r>
        <w:rPr>
          <w:rFonts w:hint="eastAsia" w:eastAsia="宋体"/>
          <w:color w:val="auto"/>
          <w:sz w:val="24"/>
          <w:highlight w:val="none"/>
          <w:lang w:val="en-US" w:eastAsia="zh-CN"/>
        </w:rPr>
        <w:t>。中标人就采购项目和分包项目向采购人负责，分包供应商就分包项目承担责任。</w:t>
      </w:r>
      <w:r>
        <w:rPr>
          <w:rFonts w:hint="eastAsia" w:eastAsia="宋体"/>
          <w:b/>
          <w:bCs/>
          <w:color w:val="auto"/>
          <w:sz w:val="24"/>
          <w:highlight w:val="none"/>
          <w:lang w:val="en-US" w:eastAsia="zh-CN"/>
        </w:rPr>
        <w:t>政府采购合同不能转包。</w:t>
      </w:r>
    </w:p>
    <w:p w14:paraId="13D12B87">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4</w:t>
      </w:r>
      <w:r>
        <w:rPr>
          <w:rFonts w:hint="eastAsia" w:eastAsia="宋体"/>
          <w:color w:val="auto"/>
          <w:sz w:val="24"/>
          <w:highlight w:val="none"/>
        </w:rPr>
        <w:t>.</w:t>
      </w:r>
      <w:r>
        <w:rPr>
          <w:rFonts w:hint="eastAsia" w:eastAsia="宋体"/>
          <w:color w:val="auto"/>
          <w:sz w:val="24"/>
          <w:highlight w:val="none"/>
          <w:lang w:val="en-US" w:eastAsia="zh-CN"/>
        </w:rPr>
        <w:t>6</w:t>
      </w:r>
      <w:r>
        <w:rPr>
          <w:rFonts w:hint="eastAsia" w:eastAsia="宋体"/>
          <w:color w:val="auto"/>
          <w:sz w:val="24"/>
          <w:highlight w:val="none"/>
        </w:rPr>
        <w:t>采购合同履行中，采购人需追加与合同标的相同的</w:t>
      </w:r>
      <w:r>
        <w:rPr>
          <w:rFonts w:hint="eastAsia" w:eastAsia="宋体"/>
          <w:color w:val="auto"/>
          <w:sz w:val="24"/>
          <w:highlight w:val="none"/>
          <w:lang w:val="en-US" w:eastAsia="zh-CN"/>
        </w:rPr>
        <w:t>货物、工程或者服务</w:t>
      </w:r>
      <w:r>
        <w:rPr>
          <w:rFonts w:hint="eastAsia" w:eastAsia="宋体"/>
          <w:color w:val="auto"/>
          <w:sz w:val="24"/>
          <w:highlight w:val="none"/>
        </w:rPr>
        <w:t>的，在不改变合同其他条款的前提下，可以与中标人协商签订补充合同，但所有补充合同的采购金额不得超过原合同采购金额的百分之十。</w:t>
      </w:r>
    </w:p>
    <w:p w14:paraId="259D0E8B">
      <w:pPr>
        <w:pStyle w:val="37"/>
        <w:keepNext w:val="0"/>
        <w:keepLines w:val="0"/>
        <w:pageBreakBefore w:val="0"/>
        <w:widowControl w:val="0"/>
        <w:kinsoku/>
        <w:overflowPunct/>
        <w:topLinePunct w:val="0"/>
        <w:autoSpaceDE/>
        <w:autoSpaceDN/>
        <w:bidi w:val="0"/>
        <w:adjustRightInd/>
        <w:textAlignment w:val="auto"/>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34.7 采购人应于签订合同之日起2个工作日内在政采云平台备案公示。</w:t>
      </w:r>
    </w:p>
    <w:p w14:paraId="12490EB6">
      <w:pPr>
        <w:pStyle w:val="5"/>
        <w:keepNext w:val="0"/>
        <w:keepLines w:val="0"/>
        <w:pageBreakBefore w:val="0"/>
        <w:widowControl w:val="0"/>
        <w:numPr>
          <w:ilvl w:val="0"/>
          <w:numId w:val="0"/>
        </w:numPr>
        <w:kinsoku/>
        <w:wordWrap/>
        <w:overflowPunct/>
        <w:topLinePunct w:val="0"/>
        <w:autoSpaceDE/>
        <w:autoSpaceDN/>
        <w:bidi w:val="0"/>
        <w:adjustRightInd/>
        <w:snapToGrid/>
        <w:spacing w:before="180" w:after="180" w:line="240" w:lineRule="auto"/>
        <w:ind w:left="420" w:leftChars="0" w:hanging="420" w:firstLineChars="0"/>
        <w:textAlignment w:val="auto"/>
        <w:rPr>
          <w:rFonts w:hint="eastAsia" w:ascii="宋体" w:hAnsi="宋体" w:eastAsia="宋体" w:cs="宋体"/>
          <w:b/>
          <w:bCs/>
          <w:color w:val="auto"/>
          <w:kern w:val="2"/>
          <w:sz w:val="24"/>
          <w:szCs w:val="32"/>
          <w:highlight w:val="none"/>
          <w:lang w:val="en-US" w:eastAsia="zh-CN" w:bidi="ar-SA"/>
        </w:rPr>
      </w:pPr>
      <w:bookmarkStart w:id="219" w:name="_Toc140132799"/>
      <w:bookmarkStart w:id="220" w:name="_Toc163492866"/>
      <w:bookmarkStart w:id="221" w:name="_Toc155185881"/>
      <w:r>
        <w:rPr>
          <w:rFonts w:hint="eastAsia" w:ascii="宋体" w:hAnsi="宋体" w:eastAsia="宋体" w:cs="宋体"/>
          <w:b/>
          <w:bCs/>
          <w:color w:val="auto"/>
          <w:kern w:val="2"/>
          <w:sz w:val="24"/>
          <w:szCs w:val="32"/>
          <w:highlight w:val="none"/>
          <w:lang w:val="en-US" w:eastAsia="zh-CN" w:bidi="ar-SA"/>
        </w:rPr>
        <w:t>（十）质疑和投诉</w:t>
      </w:r>
      <w:bookmarkEnd w:id="219"/>
      <w:bookmarkEnd w:id="220"/>
      <w:bookmarkEnd w:id="221"/>
    </w:p>
    <w:p w14:paraId="23BE6A9F">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22" w:name="_Toc140132800"/>
      <w:bookmarkStart w:id="223" w:name="_Toc163492867"/>
      <w:r>
        <w:rPr>
          <w:rFonts w:hint="eastAsia" w:ascii="宋体" w:hAnsi="宋体" w:eastAsia="宋体" w:cs="宋体"/>
          <w:b/>
          <w:bCs/>
          <w:color w:val="auto"/>
          <w:kern w:val="2"/>
          <w:sz w:val="24"/>
          <w:szCs w:val="28"/>
          <w:highlight w:val="none"/>
          <w:lang w:val="en-US" w:eastAsia="zh-CN" w:bidi="ar-SA"/>
        </w:rPr>
        <w:t>35.质疑</w:t>
      </w:r>
      <w:bookmarkEnd w:id="222"/>
      <w:bookmarkEnd w:id="223"/>
    </w:p>
    <w:p w14:paraId="097AA162">
      <w:pPr>
        <w:pStyle w:val="37"/>
        <w:keepNext w:val="0"/>
        <w:keepLines w:val="0"/>
        <w:pageBreakBefore w:val="0"/>
        <w:widowControl w:val="0"/>
        <w:kinsoku/>
        <w:overflowPunct/>
        <w:topLinePunct w:val="0"/>
        <w:autoSpaceDE/>
        <w:autoSpaceDN/>
        <w:bidi w:val="0"/>
        <w:adjustRightInd/>
        <w:textAlignment w:val="auto"/>
        <w:rPr>
          <w:rFonts w:hint="default" w:eastAsia="宋体"/>
          <w:color w:val="auto"/>
          <w:sz w:val="24"/>
          <w:highlight w:val="none"/>
          <w:lang w:val="en-US" w:eastAsia="zh-CN"/>
        </w:rPr>
      </w:pPr>
      <w:r>
        <w:rPr>
          <w:rFonts w:eastAsia="宋体"/>
          <w:color w:val="auto"/>
          <w:sz w:val="24"/>
          <w:highlight w:val="none"/>
        </w:rPr>
        <w:t>3</w:t>
      </w:r>
      <w:r>
        <w:rPr>
          <w:rFonts w:hint="eastAsia" w:eastAsia="宋体"/>
          <w:color w:val="auto"/>
          <w:sz w:val="24"/>
          <w:highlight w:val="none"/>
          <w:lang w:val="en-US" w:eastAsia="zh-CN"/>
        </w:rPr>
        <w:t>5</w:t>
      </w:r>
      <w:r>
        <w:rPr>
          <w:rFonts w:hint="eastAsia" w:eastAsia="宋体"/>
          <w:color w:val="auto"/>
          <w:sz w:val="24"/>
          <w:highlight w:val="none"/>
        </w:rPr>
        <w:t>.1供应商认为采购文件、采购过程、中标结果使自己的权益受到损害的，可以在知道或者应知其权益受到损害之日起7个工作日内，以书面形式向采购人、采购代理机构提出质疑</w:t>
      </w:r>
      <w:r>
        <w:rPr>
          <w:rFonts w:hint="eastAsia" w:eastAsia="宋体"/>
          <w:color w:val="auto"/>
          <w:sz w:val="24"/>
          <w:highlight w:val="none"/>
          <w:lang w:eastAsia="zh-CN"/>
        </w:rPr>
        <w:t>，</w:t>
      </w:r>
      <w:r>
        <w:rPr>
          <w:rFonts w:hint="eastAsia" w:eastAsia="宋体"/>
          <w:color w:val="auto"/>
          <w:sz w:val="24"/>
          <w:highlight w:val="none"/>
          <w:lang w:val="en-US" w:eastAsia="zh-CN"/>
        </w:rPr>
        <w:t>详见“投标人须知前附表”</w:t>
      </w:r>
      <w:r>
        <w:rPr>
          <w:rFonts w:hint="eastAsia" w:eastAsia="宋体"/>
          <w:color w:val="auto"/>
          <w:sz w:val="24"/>
          <w:highlight w:val="none"/>
        </w:rPr>
        <w:t>。供应商在法定质疑期内一次性提出针对同一采购程序环节的质疑。</w:t>
      </w:r>
    </w:p>
    <w:p w14:paraId="35972B93">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color w:val="auto"/>
          <w:sz w:val="24"/>
          <w:highlight w:val="none"/>
        </w:rPr>
        <w:t>3</w:t>
      </w:r>
      <w:r>
        <w:rPr>
          <w:rFonts w:hint="eastAsia" w:eastAsia="宋体"/>
          <w:color w:val="auto"/>
          <w:sz w:val="24"/>
          <w:highlight w:val="none"/>
          <w:lang w:val="en-US" w:eastAsia="zh-CN"/>
        </w:rPr>
        <w:t>5</w:t>
      </w:r>
      <w:r>
        <w:rPr>
          <w:rFonts w:hint="eastAsia" w:eastAsia="宋体"/>
          <w:color w:val="auto"/>
          <w:sz w:val="24"/>
          <w:highlight w:val="none"/>
        </w:rPr>
        <w:t>.2提出质疑的供应商（以下简称质疑供应商）应当是参与所质疑项目采购活动的供应商。</w:t>
      </w:r>
    </w:p>
    <w:p w14:paraId="6503DC74">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lang w:val="en-US" w:eastAsia="zh-CN"/>
        </w:rPr>
        <w:t>35.3</w:t>
      </w:r>
      <w:r>
        <w:rPr>
          <w:rFonts w:hint="eastAsia" w:eastAsia="宋体"/>
          <w:color w:val="auto"/>
          <w:sz w:val="24"/>
          <w:highlight w:val="none"/>
        </w:rPr>
        <w:t>潜在供应商已依法获取其可质疑的采购文件的，可以对该文件提出质疑。对采购文件提出质疑的，应当在获取采购文件或者采购文件公告期限届满之日起7个工作日内提出。</w:t>
      </w:r>
    </w:p>
    <w:p w14:paraId="7A916D67">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lang w:val="en-US" w:eastAsia="zh-CN"/>
        </w:rPr>
        <w:t>35.4</w:t>
      </w:r>
      <w:r>
        <w:rPr>
          <w:rFonts w:hint="eastAsia" w:eastAsia="宋体"/>
          <w:color w:val="auto"/>
          <w:sz w:val="24"/>
          <w:highlight w:val="none"/>
        </w:rPr>
        <w:t>供应商提出质疑应当提交质疑函和必要的证明材料。质疑函应当包括下列内容：</w:t>
      </w:r>
    </w:p>
    <w:p w14:paraId="57C1F480">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1</w:t>
      </w:r>
      <w:r>
        <w:rPr>
          <w:rFonts w:hint="eastAsia" w:eastAsia="宋体"/>
          <w:color w:val="auto"/>
          <w:sz w:val="24"/>
          <w:highlight w:val="none"/>
        </w:rPr>
        <w:t>）供应商的姓名或者名称、地址、邮编、联系人及联系电话；</w:t>
      </w:r>
    </w:p>
    <w:p w14:paraId="2B1F4E61">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2</w:t>
      </w:r>
      <w:r>
        <w:rPr>
          <w:rFonts w:hint="eastAsia" w:eastAsia="宋体"/>
          <w:color w:val="auto"/>
          <w:sz w:val="24"/>
          <w:highlight w:val="none"/>
        </w:rPr>
        <w:t>）质疑项目的名称、</w:t>
      </w:r>
      <w:r>
        <w:rPr>
          <w:rFonts w:hint="eastAsia" w:eastAsia="宋体"/>
          <w:color w:val="auto"/>
          <w:sz w:val="24"/>
          <w:highlight w:val="none"/>
          <w:lang w:val="en-US" w:eastAsia="zh-CN"/>
        </w:rPr>
        <w:t>项目</w:t>
      </w:r>
      <w:r>
        <w:rPr>
          <w:rFonts w:hint="eastAsia" w:eastAsia="宋体"/>
          <w:color w:val="auto"/>
          <w:sz w:val="24"/>
          <w:highlight w:val="none"/>
        </w:rPr>
        <w:t>编号</w:t>
      </w:r>
      <w:r>
        <w:rPr>
          <w:rFonts w:hint="eastAsia" w:eastAsia="宋体"/>
          <w:color w:val="auto"/>
          <w:sz w:val="24"/>
          <w:highlight w:val="none"/>
          <w:lang w:val="en-US" w:eastAsia="zh-CN"/>
        </w:rPr>
        <w:t>/包号</w:t>
      </w:r>
      <w:r>
        <w:rPr>
          <w:rFonts w:hint="eastAsia" w:eastAsia="宋体"/>
          <w:color w:val="auto"/>
          <w:sz w:val="24"/>
          <w:highlight w:val="none"/>
        </w:rPr>
        <w:t>；</w:t>
      </w:r>
    </w:p>
    <w:p w14:paraId="1AA8BB74">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3</w:t>
      </w:r>
      <w:r>
        <w:rPr>
          <w:rFonts w:hint="eastAsia" w:eastAsia="宋体"/>
          <w:color w:val="auto"/>
          <w:sz w:val="24"/>
          <w:highlight w:val="none"/>
        </w:rPr>
        <w:t>）具体、明确的质疑事项和与质疑事项相关的请求；</w:t>
      </w:r>
    </w:p>
    <w:p w14:paraId="6456E8B1">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4</w:t>
      </w:r>
      <w:r>
        <w:rPr>
          <w:rFonts w:hint="eastAsia" w:eastAsia="宋体"/>
          <w:color w:val="auto"/>
          <w:sz w:val="24"/>
          <w:highlight w:val="none"/>
        </w:rPr>
        <w:t>）事实依据；</w:t>
      </w:r>
    </w:p>
    <w:p w14:paraId="4D032ABB">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5</w:t>
      </w:r>
      <w:r>
        <w:rPr>
          <w:rFonts w:hint="eastAsia" w:eastAsia="宋体"/>
          <w:color w:val="auto"/>
          <w:sz w:val="24"/>
          <w:highlight w:val="none"/>
        </w:rPr>
        <w:t>）必要的法律依据；</w:t>
      </w:r>
    </w:p>
    <w:p w14:paraId="2E14DE4D">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6</w:t>
      </w:r>
      <w:r>
        <w:rPr>
          <w:rFonts w:hint="eastAsia" w:eastAsia="宋体"/>
          <w:color w:val="auto"/>
          <w:sz w:val="24"/>
          <w:highlight w:val="none"/>
        </w:rPr>
        <w:t>）提出质疑的日期。</w:t>
      </w:r>
    </w:p>
    <w:p w14:paraId="553B627B">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供应商为自然人的，应当由本人签字；供应商为法人或者其他组织的，应当由法定代表人、主要负责人，或者其授权代表签字或者盖章，并加盖公章。</w:t>
      </w:r>
    </w:p>
    <w:p w14:paraId="5F1352A8">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color w:val="auto"/>
          <w:sz w:val="24"/>
          <w:highlight w:val="none"/>
        </w:rPr>
        <w:t>3</w:t>
      </w:r>
      <w:r>
        <w:rPr>
          <w:rFonts w:hint="eastAsia" w:eastAsia="宋体"/>
          <w:color w:val="auto"/>
          <w:sz w:val="24"/>
          <w:highlight w:val="none"/>
          <w:lang w:val="en-US" w:eastAsia="zh-CN"/>
        </w:rPr>
        <w:t>5</w:t>
      </w:r>
      <w:r>
        <w:rPr>
          <w:rFonts w:hint="eastAsia" w:eastAsia="宋体"/>
          <w:color w:val="auto"/>
          <w:sz w:val="24"/>
          <w:highlight w:val="none"/>
        </w:rPr>
        <w:t>.5质疑函不符合上述要求的，采购人或代理机构应书面告知具体事项，质疑人应当按要求进行修改或补充，并在质疑有效期限内提交。</w:t>
      </w:r>
    </w:p>
    <w:p w14:paraId="4A4B9243">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rPr>
      </w:pPr>
      <w:r>
        <w:rPr>
          <w:rFonts w:hint="eastAsia" w:eastAsia="宋体"/>
          <w:snapToGrid w:val="0"/>
          <w:color w:val="auto"/>
          <w:sz w:val="24"/>
          <w:highlight w:val="none"/>
        </w:rPr>
        <w:t>3</w:t>
      </w:r>
      <w:r>
        <w:rPr>
          <w:rFonts w:hint="eastAsia" w:eastAsia="宋体"/>
          <w:snapToGrid w:val="0"/>
          <w:color w:val="auto"/>
          <w:sz w:val="24"/>
          <w:highlight w:val="none"/>
          <w:lang w:val="en-US" w:eastAsia="zh-CN"/>
        </w:rPr>
        <w:t>5</w:t>
      </w:r>
      <w:r>
        <w:rPr>
          <w:rFonts w:hint="eastAsia" w:eastAsia="宋体"/>
          <w:snapToGrid w:val="0"/>
          <w:color w:val="auto"/>
          <w:sz w:val="24"/>
          <w:highlight w:val="none"/>
        </w:rPr>
        <w:t>.</w:t>
      </w:r>
      <w:r>
        <w:rPr>
          <w:rFonts w:hint="eastAsia" w:eastAsia="宋体"/>
          <w:snapToGrid w:val="0"/>
          <w:color w:val="auto"/>
          <w:sz w:val="24"/>
          <w:highlight w:val="none"/>
          <w:lang w:val="en-US" w:eastAsia="zh-CN"/>
        </w:rPr>
        <w:t>6</w:t>
      </w:r>
      <w:r>
        <w:rPr>
          <w:rFonts w:hint="eastAsia" w:eastAsia="宋体"/>
          <w:snapToGrid w:val="0"/>
          <w:color w:val="auto"/>
          <w:sz w:val="24"/>
          <w:highlight w:val="none"/>
        </w:rPr>
        <w:t>投标人进行虚假和恶意</w:t>
      </w:r>
      <w:r>
        <w:rPr>
          <w:rFonts w:hint="eastAsia" w:eastAsia="宋体"/>
          <w:snapToGrid w:val="0"/>
          <w:color w:val="auto"/>
          <w:sz w:val="24"/>
          <w:highlight w:val="none"/>
          <w:lang w:val="en-US" w:eastAsia="zh-CN"/>
        </w:rPr>
        <w:t>质疑投诉</w:t>
      </w:r>
      <w:r>
        <w:rPr>
          <w:rFonts w:hint="eastAsia" w:eastAsia="宋体"/>
          <w:snapToGrid w:val="0"/>
          <w:color w:val="auto"/>
          <w:sz w:val="24"/>
          <w:highlight w:val="none"/>
        </w:rPr>
        <w:t>的，采购代理机构将提请有关部门将其列入不良记录名单，在一至三年内禁止参加政府采购活动，并将处理决定在相关政府采购媒体上公布。</w:t>
      </w:r>
    </w:p>
    <w:p w14:paraId="3E72DE8B">
      <w:pPr>
        <w:pStyle w:val="37"/>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35.7</w:t>
      </w:r>
      <w:r>
        <w:rPr>
          <w:rFonts w:hint="eastAsia" w:eastAsia="宋体"/>
          <w:color w:val="auto"/>
          <w:sz w:val="24"/>
          <w:highlight w:val="none"/>
        </w:rPr>
        <w:t>质疑函</w:t>
      </w:r>
      <w:r>
        <w:rPr>
          <w:rFonts w:hint="eastAsia" w:eastAsia="宋体"/>
          <w:color w:val="auto"/>
          <w:sz w:val="24"/>
          <w:highlight w:val="none"/>
          <w:lang w:val="en-US" w:eastAsia="zh-CN"/>
        </w:rPr>
        <w:t>应当使用中文，并采用财政部门制定的范本。</w:t>
      </w:r>
    </w:p>
    <w:p w14:paraId="57BB856E">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24" w:name="_Toc163492868"/>
      <w:bookmarkStart w:id="225" w:name="_Toc140132801"/>
      <w:r>
        <w:rPr>
          <w:rFonts w:hint="eastAsia" w:ascii="宋体" w:hAnsi="宋体" w:eastAsia="宋体" w:cs="宋体"/>
          <w:b/>
          <w:bCs/>
          <w:color w:val="auto"/>
          <w:kern w:val="2"/>
          <w:sz w:val="24"/>
          <w:szCs w:val="28"/>
          <w:highlight w:val="none"/>
          <w:lang w:val="en-US" w:eastAsia="zh-CN" w:bidi="ar-SA"/>
        </w:rPr>
        <w:t>36.质疑答复</w:t>
      </w:r>
      <w:bookmarkEnd w:id="224"/>
      <w:bookmarkEnd w:id="225"/>
    </w:p>
    <w:p w14:paraId="43D7F91D">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color w:val="auto"/>
          <w:sz w:val="24"/>
          <w:highlight w:val="none"/>
        </w:rPr>
        <w:t>3</w:t>
      </w:r>
      <w:r>
        <w:rPr>
          <w:rFonts w:hint="eastAsia" w:eastAsia="宋体"/>
          <w:color w:val="auto"/>
          <w:sz w:val="24"/>
          <w:highlight w:val="none"/>
          <w:lang w:val="en-US" w:eastAsia="zh-CN"/>
        </w:rPr>
        <w:t>6</w:t>
      </w:r>
      <w:r>
        <w:rPr>
          <w:rFonts w:hint="eastAsia" w:eastAsia="宋体"/>
          <w:color w:val="auto"/>
          <w:sz w:val="24"/>
          <w:highlight w:val="none"/>
        </w:rPr>
        <w:t>.1采购人、采购代理机构不得拒收质疑供应商在法定质疑期内发出的质疑函，应当在收到质疑函后7个工作日内作出答复，并以书面形式通知质疑供应商和其他有关供应商。</w:t>
      </w:r>
    </w:p>
    <w:p w14:paraId="6776834F">
      <w:pPr>
        <w:pStyle w:val="37"/>
        <w:keepNext w:val="0"/>
        <w:keepLines w:val="0"/>
        <w:pageBreakBefore w:val="0"/>
        <w:widowControl w:val="0"/>
        <w:kinsoku/>
        <w:overflowPunct/>
        <w:topLinePunct w:val="0"/>
        <w:autoSpaceDE/>
        <w:autoSpaceDN/>
        <w:bidi w:val="0"/>
        <w:adjustRightInd/>
        <w:textAlignment w:val="auto"/>
        <w:rPr>
          <w:rFonts w:hint="default" w:eastAsia="宋体"/>
          <w:color w:val="auto"/>
          <w:sz w:val="24"/>
          <w:highlight w:val="none"/>
          <w:lang w:val="en-US" w:eastAsia="zh-CN"/>
        </w:rPr>
      </w:pPr>
      <w:r>
        <w:rPr>
          <w:rFonts w:hint="eastAsia" w:eastAsia="宋体"/>
          <w:color w:val="auto"/>
          <w:sz w:val="24"/>
          <w:highlight w:val="none"/>
          <w:lang w:val="en-US" w:eastAsia="zh-CN"/>
        </w:rPr>
        <w:t>36.2供应商对评审过程、中标结果提出质疑的，采购人、采购代理机构可以组织原评标委员会协助答复质疑。</w:t>
      </w:r>
    </w:p>
    <w:p w14:paraId="14E02AAA">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bookmarkStart w:id="226" w:name="_Toc163492869"/>
      <w:bookmarkStart w:id="227" w:name="_Toc140132802"/>
      <w:r>
        <w:rPr>
          <w:rFonts w:hint="eastAsia" w:eastAsia="宋体"/>
          <w:color w:val="auto"/>
          <w:sz w:val="24"/>
          <w:highlight w:val="none"/>
          <w:lang w:val="zh-CN" w:eastAsia="zh-CN"/>
        </w:rPr>
        <w:t>质疑答复应当包括下列内容：</w:t>
      </w:r>
    </w:p>
    <w:p w14:paraId="457CAA68">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w:t>
      </w:r>
      <w:r>
        <w:rPr>
          <w:rFonts w:hint="eastAsia" w:eastAsia="宋体"/>
          <w:color w:val="auto"/>
          <w:sz w:val="24"/>
          <w:highlight w:val="none"/>
          <w:lang w:val="en-US" w:eastAsia="zh-CN"/>
        </w:rPr>
        <w:t>1</w:t>
      </w:r>
      <w:r>
        <w:rPr>
          <w:rFonts w:hint="eastAsia" w:eastAsia="宋体"/>
          <w:color w:val="auto"/>
          <w:sz w:val="24"/>
          <w:highlight w:val="none"/>
          <w:lang w:val="zh-CN" w:eastAsia="zh-CN"/>
        </w:rPr>
        <w:t>）质疑供应商的姓名或者名称；</w:t>
      </w:r>
    </w:p>
    <w:p w14:paraId="462FCFC0">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w:t>
      </w:r>
      <w:r>
        <w:rPr>
          <w:rFonts w:hint="eastAsia" w:eastAsia="宋体"/>
          <w:color w:val="auto"/>
          <w:sz w:val="24"/>
          <w:highlight w:val="none"/>
          <w:lang w:val="en-US" w:eastAsia="zh-CN"/>
        </w:rPr>
        <w:t>2</w:t>
      </w:r>
      <w:r>
        <w:rPr>
          <w:rFonts w:hint="eastAsia" w:eastAsia="宋体"/>
          <w:color w:val="auto"/>
          <w:sz w:val="24"/>
          <w:highlight w:val="none"/>
          <w:lang w:val="zh-CN" w:eastAsia="zh-CN"/>
        </w:rPr>
        <w:t>）收到质疑函的日期、质疑项目名称及</w:t>
      </w:r>
      <w:r>
        <w:rPr>
          <w:rFonts w:hint="eastAsia" w:eastAsia="宋体"/>
          <w:color w:val="auto"/>
          <w:sz w:val="24"/>
          <w:highlight w:val="none"/>
          <w:lang w:val="en-US" w:eastAsia="zh-CN"/>
        </w:rPr>
        <w:t>项目</w:t>
      </w:r>
      <w:r>
        <w:rPr>
          <w:rFonts w:hint="eastAsia" w:eastAsia="宋体"/>
          <w:color w:val="auto"/>
          <w:sz w:val="24"/>
          <w:highlight w:val="none"/>
          <w:lang w:val="zh-CN" w:eastAsia="zh-CN"/>
        </w:rPr>
        <w:t>编号/包号；</w:t>
      </w:r>
    </w:p>
    <w:p w14:paraId="18D72157">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w:t>
      </w:r>
      <w:r>
        <w:rPr>
          <w:rFonts w:hint="eastAsia" w:eastAsia="宋体"/>
          <w:color w:val="auto"/>
          <w:sz w:val="24"/>
          <w:highlight w:val="none"/>
          <w:lang w:val="en-US" w:eastAsia="zh-CN"/>
        </w:rPr>
        <w:t>3</w:t>
      </w:r>
      <w:r>
        <w:rPr>
          <w:rFonts w:hint="eastAsia" w:eastAsia="宋体"/>
          <w:color w:val="auto"/>
          <w:sz w:val="24"/>
          <w:highlight w:val="none"/>
          <w:lang w:val="zh-CN" w:eastAsia="zh-CN"/>
        </w:rPr>
        <w:t>）质疑事项、质疑答复的具体内容、事实依据和法律依据；</w:t>
      </w:r>
    </w:p>
    <w:p w14:paraId="416368F5">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w:t>
      </w:r>
      <w:r>
        <w:rPr>
          <w:rFonts w:hint="eastAsia" w:eastAsia="宋体"/>
          <w:color w:val="auto"/>
          <w:sz w:val="24"/>
          <w:highlight w:val="none"/>
          <w:lang w:val="en-US" w:eastAsia="zh-CN"/>
        </w:rPr>
        <w:t>4</w:t>
      </w:r>
      <w:r>
        <w:rPr>
          <w:rFonts w:hint="eastAsia" w:eastAsia="宋体"/>
          <w:color w:val="auto"/>
          <w:sz w:val="24"/>
          <w:highlight w:val="none"/>
          <w:lang w:val="zh-CN" w:eastAsia="zh-CN"/>
        </w:rPr>
        <w:t>）告知质疑供应商依法投诉的权利；</w:t>
      </w:r>
    </w:p>
    <w:p w14:paraId="36EE7969">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w:t>
      </w:r>
      <w:r>
        <w:rPr>
          <w:rFonts w:hint="eastAsia" w:eastAsia="宋体"/>
          <w:color w:val="auto"/>
          <w:sz w:val="24"/>
          <w:highlight w:val="none"/>
          <w:lang w:val="en-US" w:eastAsia="zh-CN"/>
        </w:rPr>
        <w:t>5</w:t>
      </w:r>
      <w:r>
        <w:rPr>
          <w:rFonts w:hint="eastAsia" w:eastAsia="宋体"/>
          <w:color w:val="auto"/>
          <w:sz w:val="24"/>
          <w:highlight w:val="none"/>
          <w:lang w:val="zh-CN" w:eastAsia="zh-CN"/>
        </w:rPr>
        <w:t>）质疑答复人名称；</w:t>
      </w:r>
    </w:p>
    <w:p w14:paraId="7E632C0C">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w:t>
      </w:r>
      <w:r>
        <w:rPr>
          <w:rFonts w:hint="eastAsia" w:eastAsia="宋体"/>
          <w:color w:val="auto"/>
          <w:sz w:val="24"/>
          <w:highlight w:val="none"/>
          <w:lang w:val="en-US" w:eastAsia="zh-CN"/>
        </w:rPr>
        <w:t>6</w:t>
      </w:r>
      <w:r>
        <w:rPr>
          <w:rFonts w:hint="eastAsia" w:eastAsia="宋体"/>
          <w:color w:val="auto"/>
          <w:sz w:val="24"/>
          <w:highlight w:val="none"/>
          <w:lang w:val="zh-CN" w:eastAsia="zh-CN"/>
        </w:rPr>
        <w:t>）答复质疑的日期。</w:t>
      </w:r>
    </w:p>
    <w:p w14:paraId="56A5E1E9">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质疑答复的内容不得涉及商业秘密。</w:t>
      </w:r>
    </w:p>
    <w:p w14:paraId="6D6B407C">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r>
        <w:rPr>
          <w:rFonts w:hint="eastAsia" w:ascii="宋体" w:hAnsi="宋体" w:eastAsia="宋体" w:cs="宋体"/>
          <w:b/>
          <w:bCs/>
          <w:color w:val="auto"/>
          <w:kern w:val="2"/>
          <w:sz w:val="24"/>
          <w:szCs w:val="28"/>
          <w:highlight w:val="none"/>
          <w:lang w:val="en-US" w:eastAsia="zh-CN" w:bidi="ar-SA"/>
        </w:rPr>
        <w:t>37.投诉</w:t>
      </w:r>
      <w:bookmarkEnd w:id="226"/>
      <w:bookmarkEnd w:id="227"/>
    </w:p>
    <w:p w14:paraId="5BD0CD3B">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lang w:val="en-US" w:eastAsia="zh-CN"/>
        </w:rPr>
        <w:t>37.1</w:t>
      </w:r>
      <w:r>
        <w:rPr>
          <w:rFonts w:hint="eastAsia" w:eastAsia="宋体"/>
          <w:color w:val="auto"/>
          <w:sz w:val="24"/>
          <w:highlight w:val="none"/>
        </w:rPr>
        <w:t>质疑供应商对采购人、采购代理机构的答复不满意，或者采购人、采购代理机构未在规定时间内作出答复的，可以在答复期满后15个工作日内向</w:t>
      </w:r>
      <w:r>
        <w:rPr>
          <w:rFonts w:hint="eastAsia" w:eastAsia="宋体"/>
          <w:color w:val="auto"/>
          <w:sz w:val="24"/>
          <w:highlight w:val="none"/>
          <w:lang w:val="en-US" w:eastAsia="zh-CN"/>
        </w:rPr>
        <w:t>同级政府采购监督管理部门</w:t>
      </w:r>
      <w:r>
        <w:rPr>
          <w:rFonts w:hint="eastAsia" w:eastAsia="宋体"/>
          <w:color w:val="auto"/>
          <w:sz w:val="24"/>
          <w:highlight w:val="none"/>
        </w:rPr>
        <w:t>提起投诉。</w:t>
      </w:r>
    </w:p>
    <w:p w14:paraId="348027D2">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lang w:val="en-US" w:eastAsia="zh-CN"/>
        </w:rPr>
        <w:t>37.2</w:t>
      </w:r>
      <w:r>
        <w:rPr>
          <w:rFonts w:hint="eastAsia" w:eastAsia="宋体"/>
          <w:color w:val="auto"/>
          <w:sz w:val="24"/>
          <w:highlight w:val="none"/>
        </w:rPr>
        <w:t>投诉人投诉时,应当提交投诉书和必要的证明材料，并按照被投诉采购人、采购代理机构（以下简称被投诉人）和与投诉事项有关的供应商数量提供投诉书的副本。投诉书应当包括下列内容：</w:t>
      </w:r>
    </w:p>
    <w:p w14:paraId="057A5A91">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1</w:t>
      </w:r>
      <w:r>
        <w:rPr>
          <w:rFonts w:hint="eastAsia" w:eastAsia="宋体"/>
          <w:color w:val="auto"/>
          <w:sz w:val="24"/>
          <w:highlight w:val="none"/>
        </w:rPr>
        <w:t>）投诉人和被投诉人的姓名或者名称、通讯地址、邮编、联系人及联系电话；</w:t>
      </w:r>
    </w:p>
    <w:p w14:paraId="4B753851">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2</w:t>
      </w:r>
      <w:r>
        <w:rPr>
          <w:rFonts w:hint="eastAsia" w:eastAsia="宋体"/>
          <w:color w:val="auto"/>
          <w:sz w:val="24"/>
          <w:highlight w:val="none"/>
        </w:rPr>
        <w:t>）质疑和质疑答复情况说明及相关证明材料；</w:t>
      </w:r>
    </w:p>
    <w:p w14:paraId="086B0607">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3</w:t>
      </w:r>
      <w:r>
        <w:rPr>
          <w:rFonts w:hint="eastAsia" w:eastAsia="宋体"/>
          <w:color w:val="auto"/>
          <w:sz w:val="24"/>
          <w:highlight w:val="none"/>
        </w:rPr>
        <w:t>）具体、明确的投诉事项和与投诉事项相关的投诉请求；</w:t>
      </w:r>
    </w:p>
    <w:p w14:paraId="78BC80FD">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4</w:t>
      </w:r>
      <w:r>
        <w:rPr>
          <w:rFonts w:hint="eastAsia" w:eastAsia="宋体"/>
          <w:color w:val="auto"/>
          <w:sz w:val="24"/>
          <w:highlight w:val="none"/>
        </w:rPr>
        <w:t>）事实依据；</w:t>
      </w:r>
    </w:p>
    <w:p w14:paraId="2AD666C0">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5</w:t>
      </w:r>
      <w:r>
        <w:rPr>
          <w:rFonts w:hint="eastAsia" w:eastAsia="宋体"/>
          <w:color w:val="auto"/>
          <w:sz w:val="24"/>
          <w:highlight w:val="none"/>
        </w:rPr>
        <w:t>）法律依据；</w:t>
      </w:r>
    </w:p>
    <w:p w14:paraId="28B1919B">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6</w:t>
      </w:r>
      <w:r>
        <w:rPr>
          <w:rFonts w:hint="eastAsia" w:eastAsia="宋体"/>
          <w:color w:val="auto"/>
          <w:sz w:val="24"/>
          <w:highlight w:val="none"/>
        </w:rPr>
        <w:t>）提起投诉的日期。</w:t>
      </w:r>
    </w:p>
    <w:p w14:paraId="29B1C185">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投诉人为自然人的，应当由本人签字；投诉人为法人或者其他组织的，应当由法定代表人、主要负责人，或者其授权代表签字或者盖章，并加盖公章。</w:t>
      </w:r>
    </w:p>
    <w:p w14:paraId="2A3BCE0B">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lang w:val="en-US" w:eastAsia="zh-CN"/>
        </w:rPr>
        <w:t>37.3</w:t>
      </w:r>
      <w:r>
        <w:rPr>
          <w:rFonts w:hint="eastAsia" w:eastAsia="宋体"/>
          <w:color w:val="auto"/>
          <w:sz w:val="24"/>
          <w:highlight w:val="none"/>
        </w:rPr>
        <w:t>供应商</w:t>
      </w:r>
      <w:r>
        <w:rPr>
          <w:rFonts w:hint="eastAsia" w:eastAsia="宋体"/>
          <w:color w:val="auto"/>
          <w:sz w:val="24"/>
          <w:highlight w:val="none"/>
          <w:lang w:val="en-US" w:eastAsia="zh-CN"/>
        </w:rPr>
        <w:t>质疑、</w:t>
      </w:r>
      <w:r>
        <w:rPr>
          <w:rFonts w:hint="eastAsia" w:eastAsia="宋体"/>
          <w:color w:val="auto"/>
          <w:sz w:val="24"/>
          <w:highlight w:val="none"/>
        </w:rPr>
        <w:t>投诉</w:t>
      </w:r>
      <w:r>
        <w:rPr>
          <w:rFonts w:hint="eastAsia" w:eastAsia="宋体"/>
          <w:color w:val="auto"/>
          <w:sz w:val="24"/>
          <w:highlight w:val="none"/>
          <w:lang w:val="en-US" w:eastAsia="zh-CN"/>
        </w:rPr>
        <w:t>应当有明确的请求和必要的证明材料</w:t>
      </w:r>
      <w:r>
        <w:rPr>
          <w:rFonts w:hint="eastAsia" w:eastAsia="宋体"/>
          <w:color w:val="auto"/>
          <w:sz w:val="24"/>
          <w:highlight w:val="none"/>
          <w:lang w:eastAsia="zh-CN"/>
        </w:rPr>
        <w:t>。</w:t>
      </w:r>
      <w:r>
        <w:rPr>
          <w:rFonts w:hint="eastAsia" w:eastAsia="宋体"/>
          <w:color w:val="auto"/>
          <w:sz w:val="24"/>
          <w:highlight w:val="none"/>
        </w:rPr>
        <w:t>供应商投诉的事项不得超出</w:t>
      </w:r>
      <w:r>
        <w:rPr>
          <w:rFonts w:hint="eastAsia" w:eastAsia="宋体"/>
          <w:color w:val="auto"/>
          <w:sz w:val="24"/>
          <w:highlight w:val="none"/>
          <w:lang w:val="en-US" w:eastAsia="zh-CN"/>
        </w:rPr>
        <w:t>已</w:t>
      </w:r>
      <w:r>
        <w:rPr>
          <w:rFonts w:hint="eastAsia" w:eastAsia="宋体"/>
          <w:color w:val="auto"/>
          <w:sz w:val="24"/>
          <w:highlight w:val="none"/>
        </w:rPr>
        <w:t>质疑事项的范围，但基于质疑答复内容提出的投诉事项除外。</w:t>
      </w:r>
    </w:p>
    <w:p w14:paraId="4A2CC2E9">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snapToGrid w:val="0"/>
          <w:color w:val="auto"/>
          <w:sz w:val="24"/>
          <w:highlight w:val="none"/>
          <w:lang w:val="en-US" w:eastAsia="zh-CN"/>
        </w:rPr>
        <w:t>37.4</w:t>
      </w:r>
      <w:r>
        <w:rPr>
          <w:rFonts w:hint="eastAsia" w:eastAsia="宋体"/>
          <w:color w:val="auto"/>
          <w:sz w:val="24"/>
          <w:highlight w:val="none"/>
          <w:lang w:val="en-US" w:eastAsia="zh-CN"/>
        </w:rPr>
        <w:t>投诉书应当使用中文，并采用财政部门制定的范本。</w:t>
      </w:r>
    </w:p>
    <w:p w14:paraId="076E00EB">
      <w:pPr>
        <w:pStyle w:val="5"/>
        <w:keepNext w:val="0"/>
        <w:keepLines w:val="0"/>
        <w:pageBreakBefore w:val="0"/>
        <w:widowControl w:val="0"/>
        <w:numPr>
          <w:ilvl w:val="0"/>
          <w:numId w:val="0"/>
        </w:numPr>
        <w:kinsoku/>
        <w:wordWrap/>
        <w:overflowPunct/>
        <w:topLinePunct w:val="0"/>
        <w:autoSpaceDE/>
        <w:autoSpaceDN/>
        <w:bidi w:val="0"/>
        <w:adjustRightInd/>
        <w:snapToGrid/>
        <w:spacing w:before="180" w:after="180" w:line="240" w:lineRule="auto"/>
        <w:ind w:left="420" w:leftChars="0" w:hanging="420" w:firstLineChars="0"/>
        <w:textAlignment w:val="auto"/>
        <w:rPr>
          <w:rFonts w:hint="eastAsia" w:ascii="宋体" w:hAnsi="宋体" w:eastAsia="宋体" w:cs="宋体"/>
          <w:b/>
          <w:bCs/>
          <w:color w:val="auto"/>
          <w:kern w:val="2"/>
          <w:sz w:val="24"/>
          <w:szCs w:val="32"/>
          <w:highlight w:val="none"/>
          <w:lang w:val="en-US" w:eastAsia="zh-CN" w:bidi="ar-SA"/>
        </w:rPr>
      </w:pPr>
      <w:bookmarkStart w:id="228" w:name="_Toc140132803"/>
      <w:bookmarkStart w:id="229" w:name="_Toc163492870"/>
      <w:bookmarkStart w:id="230" w:name="_Toc155185882"/>
      <w:r>
        <w:rPr>
          <w:rFonts w:hint="eastAsia" w:ascii="宋体" w:hAnsi="宋体" w:eastAsia="宋体" w:cs="宋体"/>
          <w:b/>
          <w:bCs/>
          <w:color w:val="auto"/>
          <w:kern w:val="2"/>
          <w:sz w:val="24"/>
          <w:szCs w:val="32"/>
          <w:highlight w:val="none"/>
          <w:lang w:val="en-US" w:eastAsia="zh-CN" w:bidi="ar-SA"/>
        </w:rPr>
        <w:t>（十一）采购代理服务费</w:t>
      </w:r>
      <w:bookmarkEnd w:id="228"/>
      <w:bookmarkEnd w:id="229"/>
      <w:bookmarkEnd w:id="230"/>
    </w:p>
    <w:p w14:paraId="3EF5B76A">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31" w:name="_Toc140132804"/>
      <w:bookmarkStart w:id="232" w:name="_Toc163492871"/>
      <w:r>
        <w:rPr>
          <w:rFonts w:hint="eastAsia" w:ascii="宋体" w:hAnsi="宋体" w:eastAsia="宋体" w:cs="宋体"/>
          <w:b/>
          <w:bCs/>
          <w:color w:val="auto"/>
          <w:kern w:val="2"/>
          <w:sz w:val="24"/>
          <w:szCs w:val="28"/>
          <w:highlight w:val="none"/>
          <w:lang w:val="en-US" w:eastAsia="zh-CN" w:bidi="ar-SA"/>
        </w:rPr>
        <w:t>38.收取方式和标准</w:t>
      </w:r>
      <w:bookmarkEnd w:id="231"/>
      <w:bookmarkEnd w:id="232"/>
    </w:p>
    <w:p w14:paraId="0FDD9E25">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8</w:t>
      </w:r>
      <w:r>
        <w:rPr>
          <w:rFonts w:hint="eastAsia" w:eastAsia="宋体"/>
          <w:color w:val="auto"/>
          <w:sz w:val="24"/>
          <w:highlight w:val="none"/>
        </w:rPr>
        <w:t>.1采购代理机构按“投标人须知前附表”规定的方式和标准收取采购代理服务费。</w:t>
      </w:r>
    </w:p>
    <w:p w14:paraId="3ED844E1">
      <w:pPr>
        <w:pStyle w:val="5"/>
        <w:keepNext w:val="0"/>
        <w:keepLines w:val="0"/>
        <w:pageBreakBefore w:val="0"/>
        <w:widowControl w:val="0"/>
        <w:numPr>
          <w:ilvl w:val="0"/>
          <w:numId w:val="0"/>
        </w:numPr>
        <w:kinsoku/>
        <w:wordWrap/>
        <w:overflowPunct/>
        <w:topLinePunct w:val="0"/>
        <w:autoSpaceDE/>
        <w:autoSpaceDN/>
        <w:bidi w:val="0"/>
        <w:adjustRightInd/>
        <w:snapToGrid/>
        <w:spacing w:before="180" w:after="180" w:line="240" w:lineRule="auto"/>
        <w:ind w:left="420" w:leftChars="0" w:hanging="420" w:firstLineChars="0"/>
        <w:textAlignment w:val="auto"/>
        <w:rPr>
          <w:rFonts w:hint="eastAsia" w:ascii="宋体" w:hAnsi="宋体" w:eastAsia="宋体" w:cs="宋体"/>
          <w:b/>
          <w:bCs/>
          <w:color w:val="auto"/>
          <w:kern w:val="2"/>
          <w:sz w:val="24"/>
          <w:szCs w:val="32"/>
          <w:highlight w:val="none"/>
          <w:lang w:val="en-US" w:eastAsia="zh-CN" w:bidi="ar-SA"/>
        </w:rPr>
      </w:pPr>
      <w:bookmarkStart w:id="233" w:name="_Toc163492872"/>
      <w:bookmarkStart w:id="234" w:name="_Toc140132805"/>
      <w:bookmarkStart w:id="235" w:name="_Toc155185883"/>
      <w:r>
        <w:rPr>
          <w:rFonts w:hint="eastAsia" w:ascii="宋体" w:hAnsi="宋体" w:eastAsia="宋体" w:cs="宋体"/>
          <w:b/>
          <w:bCs/>
          <w:color w:val="auto"/>
          <w:kern w:val="2"/>
          <w:sz w:val="24"/>
          <w:szCs w:val="32"/>
          <w:highlight w:val="none"/>
          <w:lang w:val="en-US" w:eastAsia="zh-CN" w:bidi="ar-SA"/>
        </w:rPr>
        <w:t>（十二）无效投标和废标</w:t>
      </w:r>
      <w:bookmarkEnd w:id="233"/>
      <w:bookmarkEnd w:id="234"/>
      <w:bookmarkEnd w:id="235"/>
    </w:p>
    <w:p w14:paraId="25869235">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36" w:name="_Toc140132806"/>
      <w:bookmarkStart w:id="237" w:name="_Toc163492873"/>
      <w:r>
        <w:rPr>
          <w:rFonts w:hint="eastAsia" w:ascii="宋体" w:hAnsi="宋体" w:eastAsia="宋体" w:cs="宋体"/>
          <w:b/>
          <w:bCs/>
          <w:color w:val="auto"/>
          <w:kern w:val="2"/>
          <w:sz w:val="24"/>
          <w:szCs w:val="28"/>
          <w:highlight w:val="none"/>
          <w:lang w:val="en-US" w:eastAsia="zh-CN" w:bidi="ar-SA"/>
        </w:rPr>
        <w:t>39.无效投标</w:t>
      </w:r>
      <w:bookmarkEnd w:id="236"/>
      <w:bookmarkEnd w:id="237"/>
    </w:p>
    <w:p w14:paraId="0EBD1306">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lang w:val="en-US" w:eastAsia="zh-CN"/>
        </w:rPr>
        <w:t>39</w:t>
      </w:r>
      <w:r>
        <w:rPr>
          <w:rFonts w:hint="eastAsia" w:eastAsia="宋体"/>
          <w:color w:val="auto"/>
          <w:sz w:val="24"/>
          <w:highlight w:val="none"/>
        </w:rPr>
        <w:t>.1投标文件存在“第四章</w:t>
      </w:r>
      <w:r>
        <w:rPr>
          <w:rFonts w:hint="eastAsia" w:eastAsia="宋体"/>
          <w:color w:val="auto"/>
          <w:sz w:val="24"/>
          <w:highlight w:val="none"/>
          <w:lang w:val="en-US" w:eastAsia="zh-CN"/>
        </w:rPr>
        <w:t xml:space="preserve"> </w:t>
      </w:r>
      <w:r>
        <w:rPr>
          <w:rFonts w:hint="eastAsia" w:eastAsia="宋体"/>
          <w:color w:val="auto"/>
          <w:sz w:val="24"/>
          <w:highlight w:val="none"/>
        </w:rPr>
        <w:t>资格审查”、“第五章</w:t>
      </w:r>
      <w:r>
        <w:rPr>
          <w:rFonts w:hint="eastAsia" w:eastAsia="宋体"/>
          <w:color w:val="auto"/>
          <w:sz w:val="24"/>
          <w:highlight w:val="none"/>
          <w:lang w:val="en-US" w:eastAsia="zh-CN"/>
        </w:rPr>
        <w:t xml:space="preserve"> </w:t>
      </w:r>
      <w:r>
        <w:rPr>
          <w:rFonts w:hint="eastAsia" w:eastAsia="宋体"/>
          <w:color w:val="auto"/>
          <w:sz w:val="24"/>
          <w:highlight w:val="none"/>
        </w:rPr>
        <w:t>评标</w:t>
      </w:r>
      <w:r>
        <w:rPr>
          <w:rFonts w:hint="eastAsia" w:eastAsia="宋体"/>
          <w:color w:val="auto"/>
          <w:sz w:val="24"/>
          <w:highlight w:val="none"/>
          <w:lang w:val="en-US" w:eastAsia="zh-CN"/>
        </w:rPr>
        <w:t>方</w:t>
      </w:r>
      <w:r>
        <w:rPr>
          <w:rFonts w:hint="eastAsia" w:eastAsia="宋体"/>
          <w:color w:val="auto"/>
          <w:sz w:val="24"/>
          <w:highlight w:val="none"/>
        </w:rPr>
        <w:t>法及标准”</w:t>
      </w:r>
      <w:r>
        <w:rPr>
          <w:rFonts w:hint="eastAsia" w:eastAsia="宋体"/>
          <w:color w:val="auto"/>
          <w:sz w:val="24"/>
          <w:highlight w:val="none"/>
          <w:lang w:val="en-US" w:eastAsia="zh-CN"/>
        </w:rPr>
        <w:t>及本招标文件</w:t>
      </w:r>
      <w:r>
        <w:rPr>
          <w:rFonts w:hint="eastAsia" w:eastAsia="宋体"/>
          <w:color w:val="auto"/>
          <w:sz w:val="24"/>
          <w:highlight w:val="none"/>
        </w:rPr>
        <w:t>规定的投标无效情形的，其</w:t>
      </w:r>
      <w:r>
        <w:rPr>
          <w:rFonts w:hint="eastAsia" w:eastAsia="宋体"/>
          <w:b/>
          <w:bCs/>
          <w:color w:val="auto"/>
          <w:sz w:val="24"/>
          <w:highlight w:val="none"/>
        </w:rPr>
        <w:t>投标无效</w:t>
      </w:r>
      <w:r>
        <w:rPr>
          <w:rFonts w:hint="eastAsia" w:eastAsia="宋体"/>
          <w:color w:val="auto"/>
          <w:sz w:val="24"/>
          <w:highlight w:val="none"/>
        </w:rPr>
        <w:t>。</w:t>
      </w:r>
    </w:p>
    <w:p w14:paraId="7306E47B">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38" w:name="_Toc140132807"/>
      <w:bookmarkStart w:id="239" w:name="_Toc163492874"/>
      <w:r>
        <w:rPr>
          <w:rFonts w:hint="eastAsia" w:ascii="宋体" w:hAnsi="宋体" w:eastAsia="宋体" w:cs="宋体"/>
          <w:b/>
          <w:bCs/>
          <w:color w:val="auto"/>
          <w:kern w:val="2"/>
          <w:sz w:val="24"/>
          <w:szCs w:val="28"/>
          <w:highlight w:val="none"/>
          <w:lang w:val="en-US" w:eastAsia="zh-CN" w:bidi="ar-SA"/>
        </w:rPr>
        <w:t>40.废标</w:t>
      </w:r>
      <w:bookmarkEnd w:id="238"/>
      <w:bookmarkEnd w:id="239"/>
    </w:p>
    <w:p w14:paraId="5BFCDD79">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eastAsia="zh-CN"/>
        </w:rPr>
      </w:pPr>
      <w:r>
        <w:rPr>
          <w:rFonts w:eastAsia="宋体"/>
          <w:color w:val="auto"/>
          <w:sz w:val="24"/>
          <w:highlight w:val="none"/>
        </w:rPr>
        <w:t>4</w:t>
      </w:r>
      <w:r>
        <w:rPr>
          <w:rFonts w:hint="eastAsia" w:eastAsia="宋体"/>
          <w:color w:val="auto"/>
          <w:sz w:val="24"/>
          <w:highlight w:val="none"/>
          <w:lang w:val="en-US" w:eastAsia="zh-CN"/>
        </w:rPr>
        <w:t>0</w:t>
      </w:r>
      <w:r>
        <w:rPr>
          <w:rFonts w:hint="eastAsia" w:eastAsia="宋体"/>
          <w:color w:val="auto"/>
          <w:sz w:val="24"/>
          <w:highlight w:val="none"/>
        </w:rPr>
        <w:t>.1在招标采购中出现有“第五章</w:t>
      </w:r>
      <w:r>
        <w:rPr>
          <w:rFonts w:hint="eastAsia" w:eastAsia="宋体"/>
          <w:color w:val="auto"/>
          <w:sz w:val="24"/>
          <w:highlight w:val="none"/>
          <w:lang w:val="en-US" w:eastAsia="zh-CN"/>
        </w:rPr>
        <w:t xml:space="preserve"> </w:t>
      </w:r>
      <w:r>
        <w:rPr>
          <w:rFonts w:hint="eastAsia" w:eastAsia="宋体"/>
          <w:color w:val="auto"/>
          <w:sz w:val="24"/>
          <w:highlight w:val="none"/>
        </w:rPr>
        <w:t>评标</w:t>
      </w:r>
      <w:r>
        <w:rPr>
          <w:rFonts w:hint="eastAsia" w:eastAsia="宋体"/>
          <w:color w:val="auto"/>
          <w:sz w:val="24"/>
          <w:highlight w:val="none"/>
          <w:lang w:val="en-US" w:eastAsia="zh-CN"/>
        </w:rPr>
        <w:t>方</w:t>
      </w:r>
      <w:r>
        <w:rPr>
          <w:rFonts w:hint="eastAsia" w:eastAsia="宋体"/>
          <w:color w:val="auto"/>
          <w:sz w:val="24"/>
          <w:highlight w:val="none"/>
        </w:rPr>
        <w:t>法及标准”</w:t>
      </w:r>
      <w:r>
        <w:rPr>
          <w:rFonts w:hint="eastAsia" w:eastAsia="宋体"/>
          <w:color w:val="auto"/>
          <w:sz w:val="24"/>
          <w:highlight w:val="none"/>
          <w:lang w:val="en-US" w:eastAsia="zh-CN"/>
        </w:rPr>
        <w:t>及本招标文件</w:t>
      </w:r>
      <w:r>
        <w:rPr>
          <w:rFonts w:hint="eastAsia" w:eastAsia="宋体"/>
          <w:color w:val="auto"/>
          <w:sz w:val="24"/>
          <w:highlight w:val="none"/>
        </w:rPr>
        <w:t>规定的废标情形的，应予以</w:t>
      </w:r>
      <w:r>
        <w:rPr>
          <w:rFonts w:hint="eastAsia" w:eastAsia="宋体"/>
          <w:b/>
          <w:bCs/>
          <w:color w:val="auto"/>
          <w:sz w:val="24"/>
          <w:highlight w:val="none"/>
        </w:rPr>
        <w:t>废标</w:t>
      </w:r>
      <w:r>
        <w:rPr>
          <w:rFonts w:hint="eastAsia" w:eastAsia="宋体"/>
          <w:color w:val="auto"/>
          <w:sz w:val="24"/>
          <w:highlight w:val="none"/>
          <w:lang w:eastAsia="zh-CN"/>
        </w:rPr>
        <w:t>。</w:t>
      </w:r>
    </w:p>
    <w:p w14:paraId="0C4DEC92">
      <w:pPr>
        <w:pStyle w:val="5"/>
        <w:keepNext w:val="0"/>
        <w:keepLines w:val="0"/>
        <w:pageBreakBefore w:val="0"/>
        <w:widowControl w:val="0"/>
        <w:numPr>
          <w:ilvl w:val="0"/>
          <w:numId w:val="0"/>
        </w:numPr>
        <w:kinsoku/>
        <w:wordWrap/>
        <w:overflowPunct/>
        <w:topLinePunct w:val="0"/>
        <w:autoSpaceDE/>
        <w:autoSpaceDN/>
        <w:bidi w:val="0"/>
        <w:adjustRightInd/>
        <w:snapToGrid/>
        <w:spacing w:before="180" w:after="180" w:line="240" w:lineRule="auto"/>
        <w:ind w:left="420" w:leftChars="0" w:hanging="420" w:firstLineChars="0"/>
        <w:textAlignment w:val="auto"/>
        <w:rPr>
          <w:rFonts w:hint="eastAsia" w:ascii="宋体" w:hAnsi="宋体" w:eastAsia="宋体" w:cs="宋体"/>
          <w:b/>
          <w:bCs/>
          <w:color w:val="auto"/>
          <w:kern w:val="2"/>
          <w:sz w:val="24"/>
          <w:szCs w:val="32"/>
          <w:highlight w:val="none"/>
          <w:lang w:val="en-US" w:eastAsia="zh-CN" w:bidi="ar-SA"/>
        </w:rPr>
      </w:pPr>
      <w:bookmarkStart w:id="240" w:name="_Toc163492875"/>
      <w:bookmarkStart w:id="241" w:name="_Toc140132766"/>
      <w:bookmarkStart w:id="242" w:name="_Toc155185884"/>
      <w:bookmarkStart w:id="243" w:name="_Toc140132808"/>
      <w:r>
        <w:rPr>
          <w:rFonts w:hint="eastAsia" w:ascii="宋体" w:hAnsi="宋体" w:eastAsia="宋体" w:cs="宋体"/>
          <w:b/>
          <w:bCs/>
          <w:color w:val="auto"/>
          <w:kern w:val="2"/>
          <w:sz w:val="24"/>
          <w:szCs w:val="32"/>
          <w:highlight w:val="none"/>
          <w:lang w:val="en-US" w:eastAsia="zh-CN" w:bidi="ar-SA"/>
        </w:rPr>
        <w:t>（十三）落实政府采购政策</w:t>
      </w:r>
      <w:bookmarkEnd w:id="240"/>
      <w:bookmarkEnd w:id="241"/>
      <w:r>
        <w:rPr>
          <w:rFonts w:hint="eastAsia" w:ascii="宋体" w:hAnsi="宋体" w:eastAsia="宋体" w:cs="宋体"/>
          <w:b/>
          <w:bCs/>
          <w:color w:val="auto"/>
          <w:kern w:val="2"/>
          <w:sz w:val="24"/>
          <w:szCs w:val="32"/>
          <w:highlight w:val="none"/>
          <w:lang w:val="en-US" w:eastAsia="zh-CN" w:bidi="ar-SA"/>
        </w:rPr>
        <w:t>（包括但不限于下列具体政策要求）</w:t>
      </w:r>
    </w:p>
    <w:p w14:paraId="5800BCE0">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44" w:name="_Toc163492876"/>
      <w:r>
        <w:rPr>
          <w:rFonts w:hint="eastAsia" w:ascii="宋体" w:hAnsi="宋体" w:eastAsia="宋体" w:cs="宋体"/>
          <w:b/>
          <w:bCs/>
          <w:color w:val="auto"/>
          <w:kern w:val="2"/>
          <w:sz w:val="24"/>
          <w:szCs w:val="28"/>
          <w:highlight w:val="none"/>
          <w:lang w:val="en-US" w:eastAsia="zh-CN" w:bidi="ar-SA"/>
        </w:rPr>
        <w:t>41.支持国产和进口产品审批</w:t>
      </w:r>
      <w:bookmarkEnd w:id="244"/>
    </w:p>
    <w:p w14:paraId="26D924DD">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rPr>
      </w:pPr>
      <w:r>
        <w:rPr>
          <w:rFonts w:eastAsia="宋体"/>
          <w:snapToGrid w:val="0"/>
          <w:color w:val="auto"/>
          <w:sz w:val="24"/>
          <w:highlight w:val="none"/>
        </w:rPr>
        <w:t>4</w:t>
      </w:r>
      <w:r>
        <w:rPr>
          <w:rFonts w:hint="eastAsia" w:eastAsia="宋体"/>
          <w:snapToGrid w:val="0"/>
          <w:color w:val="auto"/>
          <w:sz w:val="24"/>
          <w:highlight w:val="none"/>
          <w:lang w:val="en-US" w:eastAsia="zh-CN"/>
        </w:rPr>
        <w:t>1</w:t>
      </w:r>
      <w:r>
        <w:rPr>
          <w:rFonts w:hint="eastAsia" w:eastAsia="宋体"/>
          <w:snapToGrid w:val="0"/>
          <w:color w:val="auto"/>
          <w:sz w:val="24"/>
          <w:highlight w:val="none"/>
        </w:rPr>
        <w:t>.1除“投标人须知前附表”另有规定外，政府采购应当采购本国</w:t>
      </w:r>
      <w:r>
        <w:rPr>
          <w:rFonts w:hint="eastAsia" w:eastAsia="宋体"/>
          <w:snapToGrid w:val="0"/>
          <w:color w:val="auto"/>
          <w:sz w:val="24"/>
          <w:highlight w:val="none"/>
          <w:lang w:val="en-US" w:eastAsia="zh-CN"/>
        </w:rPr>
        <w:t>货物、工程和服务</w:t>
      </w:r>
      <w:r>
        <w:rPr>
          <w:rFonts w:hint="eastAsia" w:eastAsia="宋体"/>
          <w:snapToGrid w:val="0"/>
          <w:color w:val="auto"/>
          <w:sz w:val="24"/>
          <w:highlight w:val="none"/>
        </w:rPr>
        <w:t>，确需采购进口产品的，采购人应当按照</w:t>
      </w:r>
      <w:r>
        <w:rPr>
          <w:rFonts w:hint="eastAsia" w:eastAsia="宋体"/>
          <w:snapToGrid w:val="0"/>
          <w:color w:val="auto"/>
          <w:sz w:val="24"/>
          <w:highlight w:val="none"/>
          <w:lang w:val="en-US" w:eastAsia="zh-CN"/>
        </w:rPr>
        <w:t>《政府采购进口产品管理办法》（财库〔2007〕119 号文）、</w:t>
      </w:r>
      <w:r>
        <w:rPr>
          <w:rFonts w:hint="eastAsia" w:eastAsia="宋体"/>
          <w:snapToGrid w:val="0"/>
          <w:color w:val="auto"/>
          <w:sz w:val="24"/>
          <w:highlight w:val="none"/>
        </w:rPr>
        <w:t>《关于政府采购进口产品管理有关问题的通知》（财办库〔</w:t>
      </w:r>
      <w:r>
        <w:rPr>
          <w:rFonts w:eastAsia="宋体"/>
          <w:snapToGrid w:val="0"/>
          <w:color w:val="auto"/>
          <w:sz w:val="24"/>
          <w:highlight w:val="none"/>
        </w:rPr>
        <w:t>2008〕248号）规定执行（进口产品审批制，科研院所监管部门另有规定的从其规定）。</w:t>
      </w:r>
      <w:r>
        <w:rPr>
          <w:rFonts w:hint="eastAsia" w:eastAsia="宋体"/>
          <w:snapToGrid w:val="0"/>
          <w:color w:val="auto"/>
          <w:sz w:val="24"/>
          <w:highlight w:val="none"/>
        </w:rPr>
        <w:t>项目若涉及采购进口产品的，具体要求详见“第三章</w:t>
      </w:r>
      <w:r>
        <w:rPr>
          <w:rFonts w:eastAsia="宋体"/>
          <w:snapToGrid w:val="0"/>
          <w:color w:val="auto"/>
          <w:sz w:val="24"/>
          <w:highlight w:val="none"/>
        </w:rPr>
        <w:t xml:space="preserve"> 采购需求”</w:t>
      </w:r>
      <w:r>
        <w:rPr>
          <w:rFonts w:hint="eastAsia" w:eastAsia="宋体"/>
          <w:snapToGrid w:val="0"/>
          <w:color w:val="auto"/>
          <w:sz w:val="24"/>
          <w:highlight w:val="none"/>
        </w:rPr>
        <w:t>。</w:t>
      </w:r>
    </w:p>
    <w:p w14:paraId="201F13F9">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 xml:space="preserve">41.2进口产品指通过中国海关报关验放进入中国境内且产自关境外的产品，包括已经进入中国境内的进口产品。 </w:t>
      </w:r>
    </w:p>
    <w:p w14:paraId="0C404CE2">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41.3若采购需求中写明允许采购进口产品，投标人应保证所投产品可履行合法报通关手续进入中国关境内。</w:t>
      </w:r>
    </w:p>
    <w:p w14:paraId="50A8DE9A">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41.4若采购需求中未写明允许采购进口产品，如投标人所投产品为进口产品，其投标将被认定为</w:t>
      </w:r>
      <w:r>
        <w:rPr>
          <w:rFonts w:hint="eastAsia" w:eastAsia="宋体"/>
          <w:b/>
          <w:bCs/>
          <w:snapToGrid w:val="0"/>
          <w:color w:val="auto"/>
          <w:sz w:val="24"/>
          <w:highlight w:val="none"/>
          <w:lang w:val="en-US" w:eastAsia="zh-CN"/>
        </w:rPr>
        <w:t>投标无效</w:t>
      </w:r>
      <w:r>
        <w:rPr>
          <w:rFonts w:hint="eastAsia" w:eastAsia="宋体"/>
          <w:snapToGrid w:val="0"/>
          <w:color w:val="auto"/>
          <w:sz w:val="24"/>
          <w:highlight w:val="none"/>
          <w:lang w:val="en-US" w:eastAsia="zh-CN"/>
        </w:rPr>
        <w:t>。</w:t>
      </w:r>
    </w:p>
    <w:p w14:paraId="6764F885">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45" w:name="_Toc163492877"/>
      <w:r>
        <w:rPr>
          <w:rFonts w:hint="eastAsia" w:ascii="宋体" w:hAnsi="宋体" w:eastAsia="宋体" w:cs="宋体"/>
          <w:b/>
          <w:bCs/>
          <w:color w:val="auto"/>
          <w:kern w:val="2"/>
          <w:sz w:val="24"/>
          <w:szCs w:val="28"/>
          <w:highlight w:val="none"/>
          <w:lang w:val="en-US" w:eastAsia="zh-CN" w:bidi="ar-SA"/>
        </w:rPr>
        <w:t>42.中小企业、监狱企业及残疾人福利性单位</w:t>
      </w:r>
      <w:bookmarkEnd w:id="245"/>
    </w:p>
    <w:p w14:paraId="6CF3C244">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eastAsia" w:eastAsia="宋体"/>
          <w:snapToGrid w:val="0"/>
          <w:color w:val="auto"/>
          <w:sz w:val="24"/>
          <w:highlight w:val="none"/>
        </w:rPr>
        <w:t>.</w:t>
      </w:r>
      <w:r>
        <w:rPr>
          <w:rFonts w:hint="eastAsia" w:eastAsia="宋体"/>
          <w:snapToGrid w:val="0"/>
          <w:color w:val="auto"/>
          <w:sz w:val="24"/>
          <w:highlight w:val="none"/>
          <w:lang w:val="en-US" w:eastAsia="zh-CN"/>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Pr>
          <w:rFonts w:hint="default" w:eastAsia="宋体"/>
          <w:snapToGrid w:val="0"/>
          <w:color w:val="auto"/>
          <w:sz w:val="24"/>
          <w:highlight w:val="none"/>
          <w:lang w:val="en-US" w:eastAsia="zh-CN"/>
        </w:rPr>
        <w:t>2022</w:t>
      </w: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 xml:space="preserve">19 </w:t>
      </w:r>
      <w:r>
        <w:rPr>
          <w:rFonts w:hint="eastAsia" w:eastAsia="宋体"/>
          <w:snapToGrid w:val="0"/>
          <w:color w:val="auto"/>
          <w:sz w:val="24"/>
          <w:highlight w:val="none"/>
          <w:lang w:val="en-US" w:eastAsia="zh-CN"/>
        </w:rPr>
        <w:t>号）、《政府采购促进中小企业发展管理办法》（财库〔</w:t>
      </w:r>
      <w:r>
        <w:rPr>
          <w:rFonts w:hint="default" w:eastAsia="宋体"/>
          <w:snapToGrid w:val="0"/>
          <w:color w:val="auto"/>
          <w:sz w:val="24"/>
          <w:highlight w:val="none"/>
          <w:lang w:val="en-US" w:eastAsia="zh-CN"/>
        </w:rPr>
        <w:t>2020</w:t>
      </w: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 xml:space="preserve">46 </w:t>
      </w:r>
      <w:r>
        <w:rPr>
          <w:rFonts w:hint="eastAsia" w:eastAsia="宋体"/>
          <w:snapToGrid w:val="0"/>
          <w:color w:val="auto"/>
          <w:sz w:val="24"/>
          <w:highlight w:val="none"/>
          <w:lang w:val="en-US" w:eastAsia="zh-CN"/>
        </w:rPr>
        <w:t>号）、《关于印发中小企业划型标准规定的通知》（工信部联企业〔</w:t>
      </w:r>
      <w:r>
        <w:rPr>
          <w:rFonts w:hint="default" w:eastAsia="宋体"/>
          <w:snapToGrid w:val="0"/>
          <w:color w:val="auto"/>
          <w:sz w:val="24"/>
          <w:highlight w:val="none"/>
          <w:lang w:val="en-US" w:eastAsia="zh-CN"/>
        </w:rPr>
        <w:t>2011</w:t>
      </w: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 xml:space="preserve">300 </w:t>
      </w:r>
      <w:r>
        <w:rPr>
          <w:rFonts w:hint="eastAsia" w:eastAsia="宋体"/>
          <w:snapToGrid w:val="0"/>
          <w:color w:val="auto"/>
          <w:sz w:val="24"/>
          <w:highlight w:val="none"/>
          <w:lang w:val="en-US" w:eastAsia="zh-CN"/>
        </w:rPr>
        <w:t xml:space="preserve">号）、《金融业企业划型标准规定》（〔2015〕309 号）等国务院批准的中小企业划分标准执行。 </w:t>
      </w:r>
    </w:p>
    <w:p w14:paraId="775C3158">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eastAsia" w:eastAsia="宋体"/>
          <w:snapToGrid w:val="0"/>
          <w:color w:val="auto"/>
          <w:sz w:val="24"/>
          <w:highlight w:val="none"/>
        </w:rPr>
        <w:t>.</w:t>
      </w:r>
      <w:r>
        <w:rPr>
          <w:rFonts w:hint="eastAsia" w:eastAsia="宋体"/>
          <w:snapToGrid w:val="0"/>
          <w:color w:val="auto"/>
          <w:sz w:val="24"/>
          <w:highlight w:val="none"/>
          <w:lang w:val="en-US" w:eastAsia="zh-CN"/>
        </w:rPr>
        <w:t>2</w:t>
      </w:r>
      <w:r>
        <w:rPr>
          <w:rFonts w:hint="eastAsia" w:eastAsia="宋体"/>
          <w:snapToGrid w:val="0"/>
          <w:color w:val="auto"/>
          <w:sz w:val="24"/>
          <w:highlight w:val="none"/>
        </w:rPr>
        <w:t>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司法部关于政府采购支持监狱企业发展有关问题的通知》（财库〔2014〕68号）、《关于促进残疾人就业政府采购政策的通知》（财库〔2017〕141号）的规定，本项目供应商如</w:t>
      </w:r>
      <w:r>
        <w:rPr>
          <w:rFonts w:hint="eastAsia" w:eastAsia="宋体"/>
          <w:snapToGrid w:val="0"/>
          <w:color w:val="auto"/>
          <w:sz w:val="24"/>
          <w:highlight w:val="none"/>
          <w:lang w:eastAsia="zh-CN"/>
        </w:rPr>
        <w:t>需享受中小企业相关政策的，且</w:t>
      </w:r>
      <w:r>
        <w:rPr>
          <w:rFonts w:hint="eastAsia" w:eastAsia="宋体"/>
          <w:snapToGrid w:val="0"/>
          <w:color w:val="auto"/>
          <w:sz w:val="24"/>
          <w:highlight w:val="none"/>
        </w:rPr>
        <w:t>符合上述文件规定的，</w:t>
      </w:r>
      <w:r>
        <w:rPr>
          <w:rFonts w:hint="eastAsia" w:eastAsia="宋体"/>
          <w:snapToGrid w:val="0"/>
          <w:color w:val="auto"/>
          <w:sz w:val="24"/>
          <w:highlight w:val="none"/>
          <w:lang w:eastAsia="zh-CN"/>
        </w:rPr>
        <w:t>应按本</w:t>
      </w:r>
      <w:r>
        <w:rPr>
          <w:rFonts w:hint="eastAsia" w:eastAsia="宋体"/>
          <w:snapToGrid w:val="0"/>
          <w:color w:val="auto"/>
          <w:sz w:val="24"/>
          <w:highlight w:val="none"/>
          <w:lang w:val="en-US" w:eastAsia="zh-CN"/>
        </w:rPr>
        <w:t>招标</w:t>
      </w:r>
      <w:r>
        <w:rPr>
          <w:rFonts w:hint="eastAsia" w:eastAsia="宋体"/>
          <w:snapToGrid w:val="0"/>
          <w:color w:val="auto"/>
          <w:sz w:val="24"/>
          <w:highlight w:val="none"/>
          <w:lang w:eastAsia="zh-CN"/>
        </w:rPr>
        <w:t>文件规定格式</w:t>
      </w:r>
      <w:r>
        <w:rPr>
          <w:rFonts w:hint="eastAsia" w:eastAsia="宋体"/>
          <w:snapToGrid w:val="0"/>
          <w:color w:val="auto"/>
          <w:sz w:val="24"/>
          <w:highlight w:val="none"/>
        </w:rPr>
        <w:t>提供</w:t>
      </w:r>
      <w:r>
        <w:rPr>
          <w:rFonts w:hint="eastAsia" w:eastAsia="宋体"/>
          <w:snapToGrid w:val="0"/>
          <w:color w:val="auto"/>
          <w:sz w:val="24"/>
          <w:highlight w:val="none"/>
          <w:lang w:eastAsia="zh-CN"/>
        </w:rPr>
        <w:t>“</w:t>
      </w:r>
      <w:r>
        <w:rPr>
          <w:rFonts w:hint="eastAsia" w:eastAsia="宋体"/>
          <w:snapToGrid w:val="0"/>
          <w:color w:val="auto"/>
          <w:sz w:val="24"/>
          <w:highlight w:val="none"/>
        </w:rPr>
        <w:t>中小企业声明函</w:t>
      </w:r>
      <w:r>
        <w:rPr>
          <w:rFonts w:hint="eastAsia" w:eastAsia="宋体"/>
          <w:snapToGrid w:val="0"/>
          <w:color w:val="auto"/>
          <w:sz w:val="24"/>
          <w:highlight w:val="none"/>
          <w:lang w:eastAsia="zh-CN"/>
        </w:rPr>
        <w:t>”</w:t>
      </w:r>
      <w:r>
        <w:rPr>
          <w:rFonts w:hint="eastAsia" w:eastAsia="宋体"/>
          <w:snapToGrid w:val="0"/>
          <w:color w:val="auto"/>
          <w:sz w:val="24"/>
          <w:highlight w:val="none"/>
          <w:lang w:val="en-US" w:eastAsia="zh-CN"/>
        </w:rPr>
        <w:t>或“</w:t>
      </w:r>
      <w:r>
        <w:rPr>
          <w:rFonts w:hint="eastAsia" w:eastAsia="宋体"/>
          <w:snapToGrid w:val="0"/>
          <w:color w:val="auto"/>
          <w:sz w:val="24"/>
          <w:highlight w:val="none"/>
        </w:rPr>
        <w:t>监狱企业证明文件</w:t>
      </w:r>
      <w:r>
        <w:rPr>
          <w:rFonts w:hint="eastAsia" w:eastAsia="宋体"/>
          <w:snapToGrid w:val="0"/>
          <w:color w:val="auto"/>
          <w:sz w:val="24"/>
          <w:highlight w:val="none"/>
          <w:lang w:eastAsia="zh-CN"/>
        </w:rPr>
        <w:t>”</w:t>
      </w:r>
      <w:r>
        <w:rPr>
          <w:rFonts w:hint="eastAsia" w:eastAsia="宋体"/>
          <w:snapToGrid w:val="0"/>
          <w:color w:val="auto"/>
          <w:sz w:val="24"/>
          <w:highlight w:val="none"/>
          <w:lang w:val="en-US" w:eastAsia="zh-CN"/>
        </w:rPr>
        <w:t>或</w:t>
      </w:r>
      <w:r>
        <w:rPr>
          <w:rFonts w:hint="eastAsia" w:eastAsia="宋体"/>
          <w:snapToGrid w:val="0"/>
          <w:color w:val="auto"/>
          <w:sz w:val="24"/>
          <w:highlight w:val="none"/>
          <w:lang w:eastAsia="zh-CN"/>
        </w:rPr>
        <w:t>“</w:t>
      </w:r>
      <w:r>
        <w:rPr>
          <w:rFonts w:hint="eastAsia" w:eastAsia="宋体"/>
          <w:snapToGrid w:val="0"/>
          <w:color w:val="auto"/>
          <w:sz w:val="24"/>
          <w:highlight w:val="none"/>
        </w:rPr>
        <w:t>残疾人福利性单位声明函</w:t>
      </w:r>
      <w:r>
        <w:rPr>
          <w:rFonts w:hint="eastAsia" w:eastAsia="宋体"/>
          <w:snapToGrid w:val="0"/>
          <w:color w:val="auto"/>
          <w:sz w:val="24"/>
          <w:highlight w:val="none"/>
          <w:lang w:eastAsia="zh-CN"/>
        </w:rPr>
        <w:t>”</w:t>
      </w:r>
      <w:r>
        <w:rPr>
          <w:rFonts w:hint="eastAsia" w:eastAsia="宋体"/>
          <w:snapToGrid w:val="0"/>
          <w:color w:val="auto"/>
          <w:sz w:val="24"/>
          <w:highlight w:val="none"/>
        </w:rPr>
        <w:t>，评审时，</w:t>
      </w:r>
      <w:r>
        <w:rPr>
          <w:rFonts w:hint="eastAsia" w:eastAsia="宋体"/>
          <w:snapToGrid w:val="0"/>
          <w:color w:val="auto"/>
          <w:sz w:val="24"/>
          <w:highlight w:val="none"/>
          <w:lang w:val="en-US" w:eastAsia="zh-CN"/>
        </w:rPr>
        <w:t>评标委员会</w:t>
      </w:r>
      <w:r>
        <w:rPr>
          <w:rFonts w:hint="eastAsia" w:eastAsia="宋体"/>
          <w:snapToGrid w:val="0"/>
          <w:color w:val="auto"/>
          <w:sz w:val="24"/>
          <w:highlight w:val="none"/>
        </w:rPr>
        <w:t>将依据</w:t>
      </w:r>
      <w:r>
        <w:rPr>
          <w:rFonts w:hint="eastAsia" w:eastAsia="宋体"/>
          <w:snapToGrid w:val="0"/>
          <w:color w:val="auto"/>
          <w:sz w:val="24"/>
          <w:highlight w:val="none"/>
          <w:lang w:eastAsia="zh-CN"/>
        </w:rPr>
        <w:t>本</w:t>
      </w:r>
      <w:r>
        <w:rPr>
          <w:rFonts w:hint="eastAsia" w:eastAsia="宋体"/>
          <w:snapToGrid w:val="0"/>
          <w:color w:val="auto"/>
          <w:sz w:val="24"/>
          <w:highlight w:val="none"/>
          <w:lang w:val="en-US" w:eastAsia="zh-CN"/>
        </w:rPr>
        <w:t>招标</w:t>
      </w:r>
      <w:r>
        <w:rPr>
          <w:rFonts w:hint="eastAsia" w:eastAsia="宋体"/>
          <w:snapToGrid w:val="0"/>
          <w:color w:val="auto"/>
          <w:sz w:val="24"/>
          <w:highlight w:val="none"/>
          <w:lang w:eastAsia="zh-CN"/>
        </w:rPr>
        <w:t>文件</w:t>
      </w:r>
      <w:r>
        <w:rPr>
          <w:rFonts w:hint="eastAsia" w:eastAsia="宋体"/>
          <w:snapToGrid w:val="0"/>
          <w:color w:val="auto"/>
          <w:sz w:val="24"/>
          <w:highlight w:val="none"/>
        </w:rPr>
        <w:t>“</w:t>
      </w:r>
      <w:r>
        <w:rPr>
          <w:rFonts w:hint="eastAsia" w:eastAsia="宋体"/>
          <w:snapToGrid w:val="0"/>
          <w:color w:val="auto"/>
          <w:sz w:val="24"/>
          <w:highlight w:val="none"/>
          <w:lang w:val="en-US" w:eastAsia="zh-CN"/>
        </w:rPr>
        <w:t>投标人</w:t>
      </w:r>
      <w:r>
        <w:rPr>
          <w:rFonts w:hint="eastAsia" w:eastAsia="宋体"/>
          <w:snapToGrid w:val="0"/>
          <w:color w:val="auto"/>
          <w:sz w:val="24"/>
          <w:highlight w:val="none"/>
        </w:rPr>
        <w:t>须知前附表”规定的报价扣除比例，对供应商报价进行价格扣除，用扣除后的价格参与评审</w:t>
      </w:r>
      <w:r>
        <w:rPr>
          <w:rFonts w:hint="eastAsia" w:eastAsia="宋体"/>
          <w:snapToGrid w:val="0"/>
          <w:color w:val="auto"/>
          <w:sz w:val="24"/>
          <w:highlight w:val="none"/>
          <w:lang w:eastAsia="zh-CN"/>
        </w:rPr>
        <w:t>；</w:t>
      </w:r>
      <w:r>
        <w:rPr>
          <w:rFonts w:hint="eastAsia" w:eastAsia="宋体"/>
          <w:snapToGrid w:val="0"/>
          <w:color w:val="auto"/>
          <w:sz w:val="24"/>
          <w:highlight w:val="none"/>
          <w:lang w:val="en-US" w:eastAsia="zh-CN"/>
        </w:rPr>
        <w:t>招标</w:t>
      </w:r>
      <w:r>
        <w:rPr>
          <w:rFonts w:hint="eastAsia" w:eastAsia="宋体"/>
          <w:snapToGrid w:val="0"/>
          <w:color w:val="auto"/>
          <w:sz w:val="24"/>
          <w:highlight w:val="none"/>
          <w:lang w:eastAsia="zh-CN"/>
        </w:rPr>
        <w:t>公告中明确项目专门面向中小企业采购的，“</w:t>
      </w:r>
      <w:r>
        <w:rPr>
          <w:rFonts w:hint="eastAsia" w:eastAsia="宋体"/>
          <w:snapToGrid w:val="0"/>
          <w:color w:val="auto"/>
          <w:sz w:val="24"/>
          <w:highlight w:val="none"/>
        </w:rPr>
        <w:t>中小企业声明函</w:t>
      </w:r>
      <w:r>
        <w:rPr>
          <w:rFonts w:hint="eastAsia" w:eastAsia="宋体"/>
          <w:snapToGrid w:val="0"/>
          <w:color w:val="auto"/>
          <w:sz w:val="24"/>
          <w:highlight w:val="none"/>
          <w:lang w:eastAsia="zh-CN"/>
        </w:rPr>
        <w:t>”为资格要求文件，</w:t>
      </w:r>
      <w:r>
        <w:rPr>
          <w:rFonts w:hint="eastAsia" w:eastAsia="宋体"/>
          <w:snapToGrid w:val="0"/>
          <w:color w:val="auto"/>
          <w:sz w:val="24"/>
          <w:highlight w:val="none"/>
        </w:rPr>
        <w:t>供应商</w:t>
      </w:r>
      <w:r>
        <w:rPr>
          <w:rFonts w:hint="eastAsia" w:eastAsia="宋体"/>
          <w:snapToGrid w:val="0"/>
          <w:color w:val="auto"/>
          <w:sz w:val="24"/>
          <w:highlight w:val="none"/>
          <w:lang w:eastAsia="zh-CN"/>
        </w:rPr>
        <w:t>参与</w:t>
      </w:r>
      <w:r>
        <w:rPr>
          <w:rFonts w:hint="eastAsia" w:eastAsia="宋体"/>
          <w:snapToGrid w:val="0"/>
          <w:color w:val="auto"/>
          <w:sz w:val="24"/>
          <w:highlight w:val="none"/>
          <w:lang w:val="en-US" w:eastAsia="zh-CN"/>
        </w:rPr>
        <w:t>投标</w:t>
      </w:r>
      <w:r>
        <w:rPr>
          <w:rFonts w:hint="eastAsia" w:eastAsia="宋体"/>
          <w:snapToGrid w:val="0"/>
          <w:color w:val="auto"/>
          <w:sz w:val="24"/>
          <w:highlight w:val="none"/>
          <w:lang w:eastAsia="zh-CN"/>
        </w:rPr>
        <w:t>须按本</w:t>
      </w:r>
      <w:r>
        <w:rPr>
          <w:rFonts w:hint="eastAsia" w:eastAsia="宋体"/>
          <w:snapToGrid w:val="0"/>
          <w:color w:val="auto"/>
          <w:sz w:val="24"/>
          <w:highlight w:val="none"/>
          <w:lang w:val="en-US" w:eastAsia="zh-CN"/>
        </w:rPr>
        <w:t>招标</w:t>
      </w:r>
      <w:r>
        <w:rPr>
          <w:rFonts w:hint="eastAsia" w:eastAsia="宋体"/>
          <w:snapToGrid w:val="0"/>
          <w:color w:val="auto"/>
          <w:sz w:val="24"/>
          <w:highlight w:val="none"/>
          <w:lang w:eastAsia="zh-CN"/>
        </w:rPr>
        <w:t>文件规定格式</w:t>
      </w:r>
      <w:r>
        <w:rPr>
          <w:rFonts w:hint="eastAsia" w:eastAsia="宋体"/>
          <w:snapToGrid w:val="0"/>
          <w:color w:val="auto"/>
          <w:sz w:val="24"/>
          <w:highlight w:val="none"/>
        </w:rPr>
        <w:t>提供</w:t>
      </w:r>
      <w:r>
        <w:rPr>
          <w:rFonts w:hint="eastAsia" w:eastAsia="宋体"/>
          <w:snapToGrid w:val="0"/>
          <w:color w:val="auto"/>
          <w:sz w:val="24"/>
          <w:highlight w:val="none"/>
          <w:lang w:eastAsia="zh-CN"/>
        </w:rPr>
        <w:t>“</w:t>
      </w:r>
      <w:r>
        <w:rPr>
          <w:rFonts w:hint="eastAsia" w:eastAsia="宋体"/>
          <w:snapToGrid w:val="0"/>
          <w:color w:val="auto"/>
          <w:sz w:val="24"/>
          <w:highlight w:val="none"/>
        </w:rPr>
        <w:t>中小企业声明函</w:t>
      </w:r>
      <w:r>
        <w:rPr>
          <w:rFonts w:hint="eastAsia" w:eastAsia="宋体"/>
          <w:snapToGrid w:val="0"/>
          <w:color w:val="auto"/>
          <w:sz w:val="24"/>
          <w:highlight w:val="none"/>
          <w:lang w:eastAsia="zh-CN"/>
        </w:rPr>
        <w:t>”</w:t>
      </w:r>
      <w:r>
        <w:rPr>
          <w:rFonts w:hint="eastAsia" w:eastAsia="宋体"/>
          <w:snapToGrid w:val="0"/>
          <w:color w:val="auto"/>
          <w:sz w:val="24"/>
          <w:highlight w:val="none"/>
          <w:lang w:val="en-US" w:eastAsia="zh-CN"/>
        </w:rPr>
        <w:t>或“</w:t>
      </w:r>
      <w:r>
        <w:rPr>
          <w:rFonts w:hint="eastAsia" w:eastAsia="宋体"/>
          <w:snapToGrid w:val="0"/>
          <w:color w:val="auto"/>
          <w:sz w:val="24"/>
          <w:highlight w:val="none"/>
        </w:rPr>
        <w:t>监狱企业证明文件</w:t>
      </w:r>
      <w:r>
        <w:rPr>
          <w:rFonts w:hint="eastAsia" w:eastAsia="宋体"/>
          <w:snapToGrid w:val="0"/>
          <w:color w:val="auto"/>
          <w:sz w:val="24"/>
          <w:highlight w:val="none"/>
          <w:lang w:eastAsia="zh-CN"/>
        </w:rPr>
        <w:t>”</w:t>
      </w:r>
      <w:r>
        <w:rPr>
          <w:rFonts w:hint="eastAsia" w:eastAsia="宋体"/>
          <w:snapToGrid w:val="0"/>
          <w:color w:val="auto"/>
          <w:sz w:val="24"/>
          <w:highlight w:val="none"/>
          <w:lang w:val="en-US" w:eastAsia="zh-CN"/>
        </w:rPr>
        <w:t>或</w:t>
      </w:r>
      <w:r>
        <w:rPr>
          <w:rFonts w:hint="eastAsia" w:eastAsia="宋体"/>
          <w:snapToGrid w:val="0"/>
          <w:color w:val="auto"/>
          <w:sz w:val="24"/>
          <w:highlight w:val="none"/>
          <w:lang w:eastAsia="zh-CN"/>
        </w:rPr>
        <w:t>“</w:t>
      </w:r>
      <w:r>
        <w:rPr>
          <w:rFonts w:hint="eastAsia" w:eastAsia="宋体"/>
          <w:snapToGrid w:val="0"/>
          <w:color w:val="auto"/>
          <w:sz w:val="24"/>
          <w:highlight w:val="none"/>
        </w:rPr>
        <w:t>残疾人福利性单位声明函</w:t>
      </w:r>
      <w:r>
        <w:rPr>
          <w:rFonts w:hint="eastAsia" w:eastAsia="宋体"/>
          <w:snapToGrid w:val="0"/>
          <w:color w:val="auto"/>
          <w:sz w:val="24"/>
          <w:highlight w:val="none"/>
          <w:lang w:eastAsia="zh-CN"/>
        </w:rPr>
        <w:t>”等作为资格证明文件。</w:t>
      </w:r>
      <w:r>
        <w:rPr>
          <w:rFonts w:hint="eastAsia" w:eastAsia="宋体"/>
          <w:snapToGrid w:val="0"/>
          <w:color w:val="auto"/>
          <w:sz w:val="24"/>
          <w:highlight w:val="none"/>
          <w:lang w:val="en-US" w:eastAsia="zh-CN"/>
        </w:rPr>
        <w:t xml:space="preserve"> </w:t>
      </w:r>
    </w:p>
    <w:p w14:paraId="743E5E0E">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3</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 xml:space="preserve">投标人提供的货物、工程或者服务符合下列情形的，享受中小企业扶持政策： </w:t>
      </w:r>
    </w:p>
    <w:p w14:paraId="07E7A00A">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1</w:t>
      </w:r>
      <w:r>
        <w:rPr>
          <w:rFonts w:hint="eastAsia" w:eastAsia="宋体"/>
          <w:snapToGrid w:val="0"/>
          <w:color w:val="auto"/>
          <w:sz w:val="24"/>
          <w:highlight w:val="none"/>
          <w:lang w:val="en-US" w:eastAsia="zh-CN"/>
        </w:rPr>
        <w:t xml:space="preserve">）在货物采购项目中，货物由中小企业制造，即货物由中小企业生产且使用该中小企业商号或者注册商标； </w:t>
      </w:r>
    </w:p>
    <w:p w14:paraId="128FB5A1">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2</w:t>
      </w:r>
      <w:r>
        <w:rPr>
          <w:rFonts w:hint="eastAsia" w:eastAsia="宋体"/>
          <w:snapToGrid w:val="0"/>
          <w:color w:val="auto"/>
          <w:sz w:val="24"/>
          <w:highlight w:val="none"/>
          <w:lang w:val="en-US" w:eastAsia="zh-CN"/>
        </w:rPr>
        <w:t xml:space="preserve">）在工程采购项目中，工程由中小企业承建，即工程施工单位为中小企业； </w:t>
      </w:r>
    </w:p>
    <w:p w14:paraId="4557B965">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3</w:t>
      </w:r>
      <w:r>
        <w:rPr>
          <w:rFonts w:hint="eastAsia" w:eastAsia="宋体"/>
          <w:snapToGrid w:val="0"/>
          <w:color w:val="auto"/>
          <w:sz w:val="24"/>
          <w:highlight w:val="none"/>
          <w:lang w:val="en-US" w:eastAsia="zh-CN"/>
        </w:rPr>
        <w:t>）在服务采购项目中，服务由中小企业承接，即提供服务的人员为中小企业依照《中华人民共和国劳动合同法》订立劳动合同的从业人员。</w:t>
      </w:r>
    </w:p>
    <w:p w14:paraId="5C38B69F">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eastAsia="宋体"/>
          <w:snapToGrid w:val="0"/>
          <w:color w:val="auto"/>
          <w:sz w:val="24"/>
          <w:highlight w:val="none"/>
          <w:lang w:val="en-US" w:eastAsia="zh-CN"/>
        </w:rPr>
        <w:t>.</w:t>
      </w:r>
      <w:r>
        <w:rPr>
          <w:rFonts w:hint="eastAsia" w:eastAsia="宋体"/>
          <w:snapToGrid w:val="0"/>
          <w:color w:val="auto"/>
          <w:sz w:val="24"/>
          <w:highlight w:val="none"/>
          <w:lang w:val="en-US" w:eastAsia="zh-CN"/>
        </w:rPr>
        <w:t>4</w:t>
      </w:r>
      <w:r>
        <w:rPr>
          <w:rFonts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 xml:space="preserve">在货物采购项目中，投标人提供的货物既有中小企业制造货物，也有大型企业制造货物的，不享受中小企业扶持政策。 </w:t>
      </w:r>
    </w:p>
    <w:p w14:paraId="0B6C9A16">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5</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 xml:space="preserve">以联合体形式参加政府采购活动，联合体各方均为中小企业的，联合体视同中小企业。其中，联合体各方均为小微企业的，联合体视同小微企业。  </w:t>
      </w:r>
    </w:p>
    <w:p w14:paraId="589A89E3">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6</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 xml:space="preserve">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1EF9D90B">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 xml:space="preserve">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p>
    <w:p w14:paraId="2EADF7DB">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.1 </w:t>
      </w:r>
      <w:r>
        <w:rPr>
          <w:rFonts w:hint="eastAsia" w:eastAsia="宋体"/>
          <w:snapToGrid w:val="0"/>
          <w:color w:val="auto"/>
          <w:sz w:val="24"/>
          <w:highlight w:val="none"/>
          <w:lang w:val="en-US" w:eastAsia="zh-CN"/>
        </w:rPr>
        <w:t xml:space="preserve">安置的残疾人占本单位在职职工人数的比例不低于 </w:t>
      </w:r>
      <w:r>
        <w:rPr>
          <w:rFonts w:hint="default" w:eastAsia="宋体"/>
          <w:snapToGrid w:val="0"/>
          <w:color w:val="auto"/>
          <w:sz w:val="24"/>
          <w:highlight w:val="none"/>
          <w:lang w:val="en-US" w:eastAsia="zh-CN"/>
        </w:rPr>
        <w:t xml:space="preserve">25% </w:t>
      </w:r>
      <w:r>
        <w:rPr>
          <w:rFonts w:hint="eastAsia" w:eastAsia="宋体"/>
          <w:snapToGrid w:val="0"/>
          <w:color w:val="auto"/>
          <w:sz w:val="24"/>
          <w:highlight w:val="none"/>
          <w:lang w:val="en-US" w:eastAsia="zh-CN"/>
        </w:rPr>
        <w:t xml:space="preserve">（含 </w:t>
      </w:r>
      <w:r>
        <w:rPr>
          <w:rFonts w:hint="default" w:eastAsia="宋体"/>
          <w:snapToGrid w:val="0"/>
          <w:color w:val="auto"/>
          <w:sz w:val="24"/>
          <w:highlight w:val="none"/>
          <w:lang w:val="en-US" w:eastAsia="zh-CN"/>
        </w:rPr>
        <w:t>25%</w:t>
      </w:r>
      <w:r>
        <w:rPr>
          <w:rFonts w:hint="eastAsia" w:eastAsia="宋体"/>
          <w:snapToGrid w:val="0"/>
          <w:color w:val="auto"/>
          <w:sz w:val="24"/>
          <w:highlight w:val="none"/>
          <w:lang w:val="en-US" w:eastAsia="zh-CN"/>
        </w:rPr>
        <w:t xml:space="preserve">），并且安置的残疾人人数不少于 </w:t>
      </w:r>
      <w:r>
        <w:rPr>
          <w:rFonts w:hint="default" w:eastAsia="宋体"/>
          <w:snapToGrid w:val="0"/>
          <w:color w:val="auto"/>
          <w:sz w:val="24"/>
          <w:highlight w:val="none"/>
          <w:lang w:val="en-US" w:eastAsia="zh-CN"/>
        </w:rPr>
        <w:t xml:space="preserve">10 </w:t>
      </w:r>
      <w:r>
        <w:rPr>
          <w:rFonts w:hint="eastAsia" w:eastAsia="宋体"/>
          <w:snapToGrid w:val="0"/>
          <w:color w:val="auto"/>
          <w:sz w:val="24"/>
          <w:highlight w:val="none"/>
          <w:lang w:val="en-US" w:eastAsia="zh-CN"/>
        </w:rPr>
        <w:t xml:space="preserve">人（含 </w:t>
      </w:r>
      <w:r>
        <w:rPr>
          <w:rFonts w:hint="default" w:eastAsia="宋体"/>
          <w:snapToGrid w:val="0"/>
          <w:color w:val="auto"/>
          <w:sz w:val="24"/>
          <w:highlight w:val="none"/>
          <w:lang w:val="en-US" w:eastAsia="zh-CN"/>
        </w:rPr>
        <w:t>10</w:t>
      </w:r>
      <w:r>
        <w:rPr>
          <w:rFonts w:hint="eastAsia" w:eastAsia="宋体"/>
          <w:snapToGrid w:val="0"/>
          <w:color w:val="auto"/>
          <w:sz w:val="24"/>
          <w:highlight w:val="none"/>
          <w:lang w:val="en-US" w:eastAsia="zh-CN"/>
        </w:rPr>
        <w:t xml:space="preserve">人）； </w:t>
      </w:r>
    </w:p>
    <w:p w14:paraId="5B128E6C">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.2 </w:t>
      </w:r>
      <w:r>
        <w:rPr>
          <w:rFonts w:hint="eastAsia" w:eastAsia="宋体"/>
          <w:snapToGrid w:val="0"/>
          <w:color w:val="auto"/>
          <w:sz w:val="24"/>
          <w:highlight w:val="none"/>
          <w:lang w:val="en-US" w:eastAsia="zh-CN"/>
        </w:rPr>
        <w:t xml:space="preserve">依法与安置的每位残疾人签订了1年以上（含1年）的劳动合同或服务协议； </w:t>
      </w:r>
    </w:p>
    <w:p w14:paraId="750299D4">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.3 </w:t>
      </w:r>
      <w:r>
        <w:rPr>
          <w:rFonts w:hint="eastAsia" w:eastAsia="宋体"/>
          <w:snapToGrid w:val="0"/>
          <w:color w:val="auto"/>
          <w:sz w:val="24"/>
          <w:highlight w:val="none"/>
          <w:lang w:val="en-US" w:eastAsia="zh-CN"/>
        </w:rPr>
        <w:t xml:space="preserve">为安置的每位残疾人按月足额缴纳了基本养老保险、基本医疗保险、失业保险、工伤保险和生育保险等社会保险费； </w:t>
      </w:r>
    </w:p>
    <w:p w14:paraId="5494926D">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.4 </w:t>
      </w:r>
      <w:r>
        <w:rPr>
          <w:rFonts w:hint="eastAsia" w:eastAsia="宋体"/>
          <w:snapToGrid w:val="0"/>
          <w:color w:val="auto"/>
          <w:sz w:val="24"/>
          <w:highlight w:val="none"/>
          <w:lang w:val="en-US" w:eastAsia="zh-CN"/>
        </w:rPr>
        <w:t xml:space="preserve">通过银行等金融机构向安置的每位残疾人，按月支付了不低于单位所在区县适用的经省级人民政府批准的月最低工资标准的工资； </w:t>
      </w:r>
    </w:p>
    <w:p w14:paraId="6AD696D2">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.5 </w:t>
      </w:r>
      <w:r>
        <w:rPr>
          <w:rFonts w:hint="eastAsia" w:eastAsia="宋体"/>
          <w:snapToGrid w:val="0"/>
          <w:color w:val="auto"/>
          <w:sz w:val="24"/>
          <w:highlight w:val="none"/>
          <w:lang w:val="en-US" w:eastAsia="zh-CN"/>
        </w:rPr>
        <w:t xml:space="preserve">提供本单位制造的货物、承担的工程或者服务（以下简称产品），或者提供其他残疾人福利性单位制造的货物（不包括使用非残疾人福利性单位注册商标的货物）； </w:t>
      </w:r>
    </w:p>
    <w:p w14:paraId="6F6930A8">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.6 </w:t>
      </w:r>
      <w:r>
        <w:rPr>
          <w:rFonts w:hint="eastAsia" w:eastAsia="宋体"/>
          <w:snapToGrid w:val="0"/>
          <w:color w:val="auto"/>
          <w:sz w:val="24"/>
          <w:highlight w:val="none"/>
          <w:lang w:val="en-US" w:eastAsia="zh-CN"/>
        </w:rPr>
        <w:t>前款所称残疾人是指法定劳动年龄内，持有《中华人民共和国残疾人证》或者《中华人民共和国残疾军人证（</w:t>
      </w:r>
      <w:r>
        <w:rPr>
          <w:rFonts w:eastAsia="宋体"/>
          <w:snapToGrid w:val="0"/>
          <w:color w:val="auto"/>
          <w:sz w:val="24"/>
          <w:highlight w:val="none"/>
          <w:lang w:val="en-US" w:eastAsia="zh-CN"/>
        </w:rPr>
        <w:t xml:space="preserve">1 </w:t>
      </w:r>
      <w:r>
        <w:rPr>
          <w:rFonts w:hint="eastAsia" w:eastAsia="宋体"/>
          <w:snapToGrid w:val="0"/>
          <w:color w:val="auto"/>
          <w:sz w:val="24"/>
          <w:highlight w:val="none"/>
          <w:lang w:val="en-US" w:eastAsia="zh-CN"/>
        </w:rPr>
        <w:t xml:space="preserve">至 </w:t>
      </w:r>
      <w:r>
        <w:rPr>
          <w:rFonts w:hint="default" w:eastAsia="宋体"/>
          <w:snapToGrid w:val="0"/>
          <w:color w:val="auto"/>
          <w:sz w:val="24"/>
          <w:highlight w:val="none"/>
          <w:lang w:val="en-US" w:eastAsia="zh-CN"/>
        </w:rPr>
        <w:t xml:space="preserve">8 </w:t>
      </w:r>
      <w:r>
        <w:rPr>
          <w:rFonts w:hint="eastAsia" w:eastAsia="宋体"/>
          <w:snapToGrid w:val="0"/>
          <w:color w:val="auto"/>
          <w:sz w:val="24"/>
          <w:highlight w:val="none"/>
          <w:lang w:val="en-US" w:eastAsia="zh-CN"/>
        </w:rPr>
        <w:t xml:space="preserve">级）》的自然人，包括具有劳动条件和劳动意愿的精神残疾人。在职职工人数是指与残疾人福利性单位建立劳动关系并依法签订劳动合同或服务协议的雇员人数。 </w:t>
      </w:r>
    </w:p>
    <w:p w14:paraId="50A69BFA">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8</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本项目是否专门面向中小企业预留采购份额见“第一章 招标公告”。    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9</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采购标的对应的中小企业划分标准所属行业见“投标人须知前附表”。    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10</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小微企业价格评审优惠的政策调整：见“投标人须知前附表”及“第五章 评标方法及标准”。</w:t>
      </w:r>
    </w:p>
    <w:p w14:paraId="17DD5FF7">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46" w:name="_Toc163492878"/>
      <w:r>
        <w:rPr>
          <w:rFonts w:hint="eastAsia" w:ascii="宋体" w:hAnsi="宋体" w:eastAsia="宋体" w:cs="宋体"/>
          <w:b/>
          <w:bCs/>
          <w:color w:val="auto"/>
          <w:kern w:val="2"/>
          <w:sz w:val="24"/>
          <w:szCs w:val="28"/>
          <w:highlight w:val="none"/>
          <w:lang w:val="en-US" w:eastAsia="zh-CN" w:bidi="ar-SA"/>
        </w:rPr>
        <w:t>43.政府采购节能产品、环境标志产品</w:t>
      </w:r>
      <w:bookmarkEnd w:id="246"/>
    </w:p>
    <w:p w14:paraId="741E7E7A">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43</w:t>
      </w:r>
      <w:r>
        <w:rPr>
          <w:rFonts w:eastAsia="宋体"/>
          <w:snapToGrid w:val="0"/>
          <w:color w:val="auto"/>
          <w:sz w:val="24"/>
          <w:highlight w:val="none"/>
          <w:lang w:val="en-US" w:eastAsia="zh-CN"/>
        </w:rPr>
        <w:t xml:space="preserve">.1 </w:t>
      </w:r>
      <w:r>
        <w:rPr>
          <w:rFonts w:hint="eastAsia" w:eastAsia="宋体"/>
          <w:snapToGrid w:val="0"/>
          <w:color w:val="auto"/>
          <w:sz w:val="24"/>
          <w:highlight w:val="none"/>
          <w:lang w:val="en-US"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关于政府采购节能产品、环境标志产品的相关规定依据《关于调整优化节能产品、环境标志产品政府采购执行机制的通知》（财库〔</w:t>
      </w:r>
      <w:r>
        <w:rPr>
          <w:rFonts w:hint="default" w:eastAsia="宋体"/>
          <w:snapToGrid w:val="0"/>
          <w:color w:val="auto"/>
          <w:sz w:val="24"/>
          <w:highlight w:val="none"/>
          <w:lang w:val="en-US" w:eastAsia="zh-CN"/>
        </w:rPr>
        <w:t>2019</w:t>
      </w: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 xml:space="preserve">9 </w:t>
      </w:r>
      <w:r>
        <w:rPr>
          <w:rFonts w:hint="eastAsia" w:eastAsia="宋体"/>
          <w:snapToGrid w:val="0"/>
          <w:color w:val="auto"/>
          <w:sz w:val="24"/>
          <w:highlight w:val="none"/>
          <w:lang w:val="en-US" w:eastAsia="zh-CN"/>
        </w:rPr>
        <w:t>号）、《关于印发环境标志产品政府采购品目清单的通知》（财库〔2019〕18号）、《关于印发节能产品政府采购品目清单的通知》（财库〔2019〕19号）的规定。</w:t>
      </w:r>
    </w:p>
    <w:p w14:paraId="2EC4C51A">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43</w:t>
      </w:r>
      <w:r>
        <w:rPr>
          <w:rFonts w:hint="default" w:eastAsia="宋体"/>
          <w:snapToGrid w:val="0"/>
          <w:color w:val="auto"/>
          <w:sz w:val="24"/>
          <w:highlight w:val="none"/>
          <w:lang w:val="en-US" w:eastAsia="zh-CN"/>
        </w:rPr>
        <w:t xml:space="preserve">.2 </w:t>
      </w:r>
      <w:r>
        <w:rPr>
          <w:rFonts w:hint="eastAsia" w:eastAsia="宋体"/>
          <w:snapToGrid w:val="0"/>
          <w:color w:val="auto"/>
          <w:sz w:val="24"/>
          <w:highlight w:val="none"/>
          <w:lang w:val="en-US" w:eastAsia="zh-CN"/>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 </w:t>
      </w:r>
    </w:p>
    <w:p w14:paraId="25CFE0EE">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43</w:t>
      </w:r>
      <w:r>
        <w:rPr>
          <w:rFonts w:hint="default" w:eastAsia="宋体"/>
          <w:snapToGrid w:val="0"/>
          <w:color w:val="auto"/>
          <w:sz w:val="24"/>
          <w:highlight w:val="none"/>
          <w:lang w:val="en-US" w:eastAsia="zh-CN"/>
        </w:rPr>
        <w:t xml:space="preserve">.3 </w:t>
      </w:r>
      <w:r>
        <w:rPr>
          <w:rFonts w:hint="eastAsia" w:eastAsia="宋体"/>
          <w:snapToGrid w:val="0"/>
          <w:color w:val="auto"/>
          <w:sz w:val="24"/>
          <w:highlight w:val="none"/>
          <w:lang w:val="en-US" w:eastAsia="zh-CN"/>
        </w:rPr>
        <w:t>如本项目采购产品属于实施政府强制采购品目清单范围的节能产品，则投标人所报产品必须获得国家确定的认证机构出具的、处于有效期之内的节能产品认证证书，否则</w:t>
      </w:r>
      <w:r>
        <w:rPr>
          <w:rFonts w:hint="eastAsia" w:eastAsia="宋体"/>
          <w:b/>
          <w:bCs/>
          <w:snapToGrid w:val="0"/>
          <w:color w:val="auto"/>
          <w:sz w:val="24"/>
          <w:highlight w:val="none"/>
          <w:lang w:val="en-US" w:eastAsia="zh-CN"/>
        </w:rPr>
        <w:t>投标无效</w:t>
      </w:r>
      <w:r>
        <w:rPr>
          <w:rFonts w:hint="eastAsia" w:eastAsia="宋体"/>
          <w:snapToGrid w:val="0"/>
          <w:color w:val="auto"/>
          <w:sz w:val="24"/>
          <w:highlight w:val="none"/>
          <w:lang w:val="en-US" w:eastAsia="zh-CN"/>
        </w:rPr>
        <w:t xml:space="preserve">。 </w:t>
      </w:r>
    </w:p>
    <w:p w14:paraId="04E599F1">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43</w:t>
      </w:r>
      <w:r>
        <w:rPr>
          <w:rFonts w:hint="default" w:eastAsia="宋体"/>
          <w:snapToGrid w:val="0"/>
          <w:color w:val="auto"/>
          <w:sz w:val="24"/>
          <w:highlight w:val="none"/>
          <w:lang w:val="en-US" w:eastAsia="zh-CN"/>
        </w:rPr>
        <w:t xml:space="preserve">.4 </w:t>
      </w:r>
      <w:r>
        <w:rPr>
          <w:rFonts w:hint="eastAsia" w:eastAsia="宋体"/>
          <w:snapToGrid w:val="0"/>
          <w:color w:val="auto"/>
          <w:sz w:val="24"/>
          <w:highlight w:val="none"/>
          <w:lang w:val="en-US" w:eastAsia="zh-CN"/>
        </w:rPr>
        <w:t>非政府强制采购的节能产品或环境标志产品，依据品目清单和认证证书实施政府优先采购。优先采购的具体规定见“第五章 评标方法及标准”（如涉及）。</w:t>
      </w:r>
    </w:p>
    <w:p w14:paraId="51B3D928">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snapToGrid w:val="0"/>
          <w:color w:val="auto"/>
          <w:sz w:val="24"/>
          <w:highlight w:val="none"/>
          <w:lang w:val="en-US" w:eastAsia="zh-CN"/>
        </w:rPr>
        <w:t xml:space="preserve">43.5 </w:t>
      </w:r>
      <w:r>
        <w:rPr>
          <w:rFonts w:hint="eastAsia" w:eastAsia="宋体"/>
          <w:snapToGrid w:val="0"/>
          <w:color w:val="auto"/>
          <w:sz w:val="24"/>
          <w:highlight w:val="none"/>
        </w:rPr>
        <w:t>投标人所投产品如属于节能产品政府采购品目清单、环境标志产品政府采购品目清单范围的，须提供国家确定的认证机构出具的、处于有效期内的产品认证证书，认证证书的产品型号与所投产品不一致的，视为未提供。属于政府强制采购产品的，</w:t>
      </w:r>
      <w:r>
        <w:rPr>
          <w:rFonts w:eastAsia="宋体"/>
          <w:snapToGrid w:val="0"/>
          <w:color w:val="auto"/>
          <w:sz w:val="24"/>
          <w:highlight w:val="none"/>
        </w:rPr>
        <w:t>已作为投标时强制性要求不再</w:t>
      </w:r>
      <w:r>
        <w:rPr>
          <w:rFonts w:hint="eastAsia" w:eastAsia="宋体"/>
          <w:snapToGrid w:val="0"/>
          <w:color w:val="auto"/>
          <w:sz w:val="24"/>
          <w:highlight w:val="none"/>
        </w:rPr>
        <w:t>给予</w:t>
      </w:r>
      <w:r>
        <w:rPr>
          <w:rFonts w:hint="eastAsia" w:eastAsia="宋体"/>
          <w:snapToGrid w:val="0"/>
          <w:color w:val="auto"/>
          <w:sz w:val="24"/>
          <w:highlight w:val="none"/>
          <w:lang w:val="en-US" w:eastAsia="zh-CN"/>
        </w:rPr>
        <w:t>评审优惠</w:t>
      </w:r>
      <w:r>
        <w:rPr>
          <w:rFonts w:hint="eastAsia" w:eastAsia="宋体"/>
          <w:snapToGrid w:val="0"/>
          <w:color w:val="auto"/>
          <w:sz w:val="24"/>
          <w:highlight w:val="none"/>
        </w:rPr>
        <w:t>，未提供认证证书的视为</w:t>
      </w:r>
      <w:r>
        <w:rPr>
          <w:rFonts w:hint="eastAsia" w:eastAsia="宋体"/>
          <w:b/>
          <w:bCs/>
          <w:snapToGrid w:val="0"/>
          <w:color w:val="auto"/>
          <w:sz w:val="24"/>
          <w:highlight w:val="none"/>
          <w:lang w:val="en-US" w:eastAsia="zh-CN"/>
        </w:rPr>
        <w:t>投标</w:t>
      </w:r>
      <w:r>
        <w:rPr>
          <w:rFonts w:hint="eastAsia" w:eastAsia="宋体"/>
          <w:b/>
          <w:bCs/>
          <w:snapToGrid w:val="0"/>
          <w:color w:val="auto"/>
          <w:sz w:val="24"/>
          <w:highlight w:val="none"/>
        </w:rPr>
        <w:t>无效</w:t>
      </w:r>
      <w:r>
        <w:rPr>
          <w:rFonts w:hint="eastAsia" w:eastAsia="宋体"/>
          <w:snapToGrid w:val="0"/>
          <w:color w:val="auto"/>
          <w:sz w:val="24"/>
          <w:highlight w:val="none"/>
        </w:rPr>
        <w:t>。属于</w:t>
      </w:r>
      <w:r>
        <w:rPr>
          <w:rFonts w:hint="eastAsia" w:eastAsia="宋体"/>
          <w:snapToGrid w:val="0"/>
          <w:color w:val="auto"/>
          <w:sz w:val="24"/>
          <w:highlight w:val="none"/>
          <w:lang w:val="en-US" w:eastAsia="zh-CN"/>
        </w:rPr>
        <w:t>优先采购</w:t>
      </w:r>
      <w:r>
        <w:rPr>
          <w:rFonts w:hint="eastAsia" w:eastAsia="宋体"/>
          <w:snapToGrid w:val="0"/>
          <w:color w:val="auto"/>
          <w:sz w:val="24"/>
          <w:highlight w:val="none"/>
        </w:rPr>
        <w:t>节能产品政府采购品目清单、环境标志产品政府采购品目清单</w:t>
      </w:r>
      <w:r>
        <w:rPr>
          <w:rFonts w:hint="eastAsia" w:eastAsia="宋体"/>
          <w:snapToGrid w:val="0"/>
          <w:color w:val="auto"/>
          <w:sz w:val="24"/>
          <w:highlight w:val="none"/>
          <w:lang w:eastAsia="zh-CN"/>
        </w:rPr>
        <w:t>、</w:t>
      </w:r>
      <w:r>
        <w:rPr>
          <w:rFonts w:hint="eastAsia" w:eastAsia="宋体"/>
          <w:snapToGrid w:val="0"/>
          <w:color w:val="auto"/>
          <w:sz w:val="24"/>
          <w:highlight w:val="none"/>
          <w:lang w:val="en-US" w:eastAsia="zh-CN"/>
        </w:rPr>
        <w:t>创新产品</w:t>
      </w:r>
      <w:r>
        <w:rPr>
          <w:rFonts w:hint="eastAsia" w:eastAsia="宋体"/>
          <w:snapToGrid w:val="0"/>
          <w:color w:val="auto"/>
          <w:sz w:val="24"/>
          <w:highlight w:val="none"/>
        </w:rPr>
        <w:t>范围的，按照“</w:t>
      </w:r>
      <w:r>
        <w:rPr>
          <w:rFonts w:hint="eastAsia" w:eastAsia="宋体"/>
          <w:color w:val="auto"/>
          <w:sz w:val="24"/>
          <w:highlight w:val="none"/>
          <w:lang w:val="en-US" w:eastAsia="zh-CN"/>
        </w:rPr>
        <w:t>第五章 评标方法及标准</w:t>
      </w:r>
      <w:r>
        <w:rPr>
          <w:rFonts w:hint="eastAsia" w:eastAsia="宋体"/>
          <w:snapToGrid w:val="0"/>
          <w:color w:val="auto"/>
          <w:sz w:val="24"/>
          <w:highlight w:val="none"/>
        </w:rPr>
        <w:t>”中相关规定</w:t>
      </w:r>
      <w:r>
        <w:rPr>
          <w:rFonts w:hint="eastAsia" w:eastAsia="宋体"/>
          <w:color w:val="auto"/>
          <w:sz w:val="24"/>
          <w:highlight w:val="none"/>
          <w:lang w:val="en-US" w:eastAsia="zh-CN"/>
        </w:rPr>
        <w:t>在评审时给予优惠，具体详见</w:t>
      </w:r>
      <w:r>
        <w:rPr>
          <w:rFonts w:hint="eastAsia" w:eastAsia="宋体"/>
          <w:snapToGrid w:val="0"/>
          <w:color w:val="auto"/>
          <w:sz w:val="24"/>
          <w:highlight w:val="none"/>
          <w:lang w:val="en-US" w:eastAsia="zh-CN"/>
        </w:rPr>
        <w:t>“投标人须知前附表”及</w:t>
      </w:r>
      <w:r>
        <w:rPr>
          <w:rFonts w:hint="eastAsia" w:eastAsia="宋体"/>
          <w:color w:val="auto"/>
          <w:sz w:val="24"/>
          <w:highlight w:val="none"/>
          <w:lang w:val="en-US" w:eastAsia="zh-CN"/>
        </w:rPr>
        <w:t>“第五章 评标方法及标准”</w:t>
      </w:r>
      <w:r>
        <w:rPr>
          <w:rFonts w:hint="eastAsia" w:eastAsia="宋体"/>
          <w:color w:val="auto"/>
          <w:sz w:val="24"/>
          <w:highlight w:val="none"/>
        </w:rPr>
        <w:t>。</w:t>
      </w:r>
    </w:p>
    <w:p w14:paraId="5F04C72A">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default" w:ascii="宋体" w:hAnsi="宋体" w:eastAsia="宋体" w:cs="宋体"/>
          <w:b/>
          <w:bCs/>
          <w:color w:val="auto"/>
          <w:kern w:val="2"/>
          <w:sz w:val="24"/>
          <w:szCs w:val="28"/>
          <w:highlight w:val="none"/>
          <w:lang w:val="en-US" w:eastAsia="zh-CN" w:bidi="ar-SA"/>
        </w:rPr>
      </w:pPr>
      <w:bookmarkStart w:id="247" w:name="_Toc163492879"/>
      <w:r>
        <w:rPr>
          <w:rFonts w:hint="eastAsia" w:ascii="宋体" w:hAnsi="宋体" w:eastAsia="宋体" w:cs="宋体"/>
          <w:b/>
          <w:bCs/>
          <w:color w:val="auto"/>
          <w:kern w:val="2"/>
          <w:sz w:val="24"/>
          <w:szCs w:val="28"/>
          <w:highlight w:val="none"/>
          <w:lang w:val="en-US" w:eastAsia="zh-CN" w:bidi="ar-SA"/>
        </w:rPr>
        <w:t xml:space="preserve">44.正版软件  </w:t>
      </w:r>
    </w:p>
    <w:p w14:paraId="415973C1">
      <w:pPr>
        <w:pStyle w:val="37"/>
        <w:keepNext w:val="0"/>
        <w:keepLines w:val="0"/>
        <w:pageBreakBefore w:val="0"/>
        <w:widowControl w:val="0"/>
        <w:kinsoku/>
        <w:overflowPunct/>
        <w:topLinePunct w:val="0"/>
        <w:autoSpaceDE/>
        <w:autoSpaceDN/>
        <w:bidi w:val="0"/>
        <w:adjustRightInd/>
        <w:snapToGri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44.1 依据《财政部 国家发展改革委 信息产业部关于印发无线局域网产品政府采购实施意见的通知》（财库〔</w:t>
      </w:r>
      <w:r>
        <w:rPr>
          <w:rFonts w:hint="default" w:eastAsia="宋体"/>
          <w:snapToGrid w:val="0"/>
          <w:color w:val="auto"/>
          <w:sz w:val="24"/>
          <w:highlight w:val="none"/>
          <w:lang w:val="en-US" w:eastAsia="zh-CN"/>
        </w:rPr>
        <w:t>2005</w:t>
      </w: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 xml:space="preserve">366 </w:t>
      </w:r>
      <w:r>
        <w:rPr>
          <w:rFonts w:hint="eastAsia" w:eastAsia="宋体"/>
          <w:snapToGrid w:val="0"/>
          <w:color w:val="auto"/>
          <w:sz w:val="24"/>
          <w:highlight w:val="none"/>
          <w:lang w:val="en-US" w:eastAsia="zh-CN"/>
        </w:rPr>
        <w:t>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eastAsia="宋体"/>
          <w:b/>
          <w:bCs/>
          <w:snapToGrid w:val="0"/>
          <w:color w:val="auto"/>
          <w:sz w:val="24"/>
          <w:highlight w:val="none"/>
          <w:lang w:val="en-US" w:eastAsia="zh-CN"/>
        </w:rPr>
        <w:t>投标无效</w:t>
      </w:r>
      <w:r>
        <w:rPr>
          <w:rFonts w:hint="eastAsia" w:eastAsia="宋体"/>
          <w:snapToGrid w:val="0"/>
          <w:color w:val="auto"/>
          <w:sz w:val="24"/>
          <w:highlight w:val="none"/>
          <w:lang w:val="en-US" w:eastAsia="zh-CN"/>
        </w:rPr>
        <w:t xml:space="preserve">。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 </w:t>
      </w:r>
    </w:p>
    <w:p w14:paraId="7504E407">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44.2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号）、《国务院办公厅关于印发政府机关使用正版软件管理办法的通知》国办发〔2013〕88号。</w:t>
      </w:r>
    </w:p>
    <w:p w14:paraId="139B1CB1">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default" w:ascii="宋体" w:hAnsi="宋体" w:eastAsia="宋体" w:cs="宋体"/>
          <w:b/>
          <w:bCs/>
          <w:color w:val="auto"/>
          <w:kern w:val="2"/>
          <w:sz w:val="24"/>
          <w:szCs w:val="28"/>
          <w:highlight w:val="none"/>
          <w:lang w:val="en-US" w:eastAsia="zh-CN" w:bidi="ar-SA"/>
        </w:rPr>
      </w:pPr>
      <w:r>
        <w:rPr>
          <w:rFonts w:hint="eastAsia" w:ascii="宋体" w:hAnsi="宋体" w:eastAsia="宋体" w:cs="宋体"/>
          <w:b/>
          <w:bCs/>
          <w:color w:val="auto"/>
          <w:kern w:val="2"/>
          <w:sz w:val="24"/>
          <w:szCs w:val="28"/>
          <w:highlight w:val="none"/>
          <w:lang w:val="en-US" w:eastAsia="zh-CN" w:bidi="ar-SA"/>
        </w:rPr>
        <w:t xml:space="preserve">45.网络安全专用产品   </w:t>
      </w:r>
    </w:p>
    <w:p w14:paraId="13C08773">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45.1本项目中如涉及网络关键设备或网络安全专用产品的，应严格执行国家互联网信息办公室、工业和信息化部、公安部、财政部和国家认证认可监督管理委员会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采购人、中标(成交)人双方签订合同及验收环节，应包含上述网络安全要求的条款。</w:t>
      </w:r>
    </w:p>
    <w:p w14:paraId="575DAF11">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 xml:space="preserve">45.2本项目中如涉及国家强制性产品认证证书（CCC 认证证书）、电信设备进网许可证、无线电发射设备核准证等市场准入类资质的，应严格执行国家相关法律法规的要求。采购人、中标(成交)人双方签订合同及验收环节，应包含上述市场准入类资质要求的条款。 </w:t>
      </w:r>
    </w:p>
    <w:p w14:paraId="567E703D">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default" w:ascii="宋体" w:hAnsi="宋体" w:eastAsia="宋体" w:cs="宋体"/>
          <w:b/>
          <w:bCs/>
          <w:color w:val="auto"/>
          <w:kern w:val="2"/>
          <w:sz w:val="24"/>
          <w:szCs w:val="28"/>
          <w:highlight w:val="none"/>
          <w:lang w:val="en-US" w:eastAsia="zh-CN" w:bidi="ar-SA"/>
        </w:rPr>
      </w:pPr>
      <w:r>
        <w:rPr>
          <w:rFonts w:hint="eastAsia" w:ascii="宋体" w:hAnsi="宋体" w:eastAsia="宋体" w:cs="宋体"/>
          <w:b/>
          <w:bCs/>
          <w:color w:val="auto"/>
          <w:kern w:val="2"/>
          <w:sz w:val="24"/>
          <w:szCs w:val="28"/>
          <w:highlight w:val="none"/>
          <w:lang w:val="en-US" w:eastAsia="zh-CN" w:bidi="ar-SA"/>
        </w:rPr>
        <w:t xml:space="preserve">46.采购需求标准   </w:t>
      </w:r>
    </w:p>
    <w:p w14:paraId="77C63652">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 xml:space="preserve">46.1 商品包装、快递包装政府采购需求标准（试行） </w:t>
      </w:r>
    </w:p>
    <w:p w14:paraId="3DA94789">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 xml:space="preserve">为助力打好污染防治攻坚战，推广使用绿色包装，根据财政部关于印发《商品包装政府采购需求标准（试行）》、《快递包装政府采购需求标准（试行）》的通知（财办库〔2020〕123 号），本项目如涉及商品包装和快递包装的，则其具体要求见第三章《采购需求》。 </w:t>
      </w:r>
    </w:p>
    <w:p w14:paraId="27B020C7">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 xml:space="preserve">46.2 绿色数据中心政府采购需求标准（试行） </w:t>
      </w:r>
    </w:p>
    <w:p w14:paraId="16173830">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 xml:space="preserve">为加快数据中心绿色转型，根据财政部 生态环境部 工业和信息化部关于印发《绿色数据中心政府采购需求标准（试行）》的通知（财库〔2023〕7 号），本项目如涉及绿色数据中心，则具体要求见第三章《采购需求》。 </w:t>
      </w:r>
    </w:p>
    <w:p w14:paraId="752FA939">
      <w:pPr>
        <w:pStyle w:val="37"/>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46.3台式计算机政府采购需求标准</w:t>
      </w:r>
    </w:p>
    <w:p w14:paraId="3830872B">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为提高台式计算机政府采购需求管理的科学化、规范化水平，进一步落实政府采购公平竞争原则，优化营商环境，营造良好的产业生态，财政部 工业和信息化部关于印发《台式计算机政府采购需求标准（2023年版）》的通知（财库〔2023〕29号），本项目如涉及台式计算机采购，则具体要求见第三章《采购需求》。</w:t>
      </w:r>
    </w:p>
    <w:p w14:paraId="3E8B3153">
      <w:pPr>
        <w:pStyle w:val="37"/>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46.4便携式计算机政府采购需求标准</w:t>
      </w:r>
    </w:p>
    <w:p w14:paraId="2DDABA79">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为提高便携式计算机政府采购需求管理的科学化、规范化水平，进一步落实政府采购公平竞争原则，优化营商环境，营造良好的产业生态，财政部 工业和信息化部关于印发《便携式计算机政府采购需求标准（2023年版）》的通知（财库〔2023〕30号），本项目如涉及便携式计算机采购，则具体要求见第三章《采购需求》。</w:t>
      </w:r>
    </w:p>
    <w:p w14:paraId="385FE90A">
      <w:pPr>
        <w:pStyle w:val="37"/>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46.5一体式计算机政府采购需求标准</w:t>
      </w:r>
    </w:p>
    <w:p w14:paraId="30E81396">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为提高一体式计算机政府采购需求管理的科学化、规范化水平，进一步落实政府采购公平竞争原则，优化营商环境，营造良好的产业生态，财政部 工业和信息化部关于印发《一体式计算机政府采购需求标准（2023年版）》的通知（财库〔2023〕31号），本项目如涉及一体式计算机采购，则具体要求见第三章《采购需求》。</w:t>
      </w:r>
    </w:p>
    <w:p w14:paraId="07FD3B31">
      <w:pPr>
        <w:pStyle w:val="37"/>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46.6工作站政府采购需求标准</w:t>
      </w:r>
    </w:p>
    <w:p w14:paraId="23F8A15A">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为提高工作站政府采购需求管理的科学化、规范化水平，进一步落实政府采购公平竞争原则，优化营商环境，营造良好的产业生态，财政部 工业和信息化部关于印发《工作站政府采购需求标准（2023年版）》的通知（财库〔2023〕32号），本项目如涉及工作站采购，则具体要求见第三章《采购需求》。</w:t>
      </w:r>
    </w:p>
    <w:p w14:paraId="6FE6E6D6">
      <w:pPr>
        <w:pStyle w:val="37"/>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46.7通用服务器政府采购需求标准</w:t>
      </w:r>
    </w:p>
    <w:p w14:paraId="2DC5EFFC">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为提高通用服务器政府采购需求管理的科学化、规范化水平，进一步落实政府采购公平竞争原则，优化营商环境，营造良好的产业生态，财政部 工业和信息化部关于印发《通用服务器政府采购需求标准（2023年版）》的通知（财库〔2023〕33号），本项目如涉及通用服务器采购，则具体要求见第三章《采购需求》。</w:t>
      </w:r>
    </w:p>
    <w:p w14:paraId="5822E475">
      <w:pPr>
        <w:pStyle w:val="37"/>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46.8操作系统政府采购需求标准</w:t>
      </w:r>
    </w:p>
    <w:p w14:paraId="0C0F87EE">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为提高操作系统政府采购需求管理的科学化、规范化水平，进一步落实政府采购公平竞争原则，优化营商环境，营造良好的产业生态，财政部 工业和信息化部关于印发《操作系统政府采购需求标准（2023年版）》的通知（财库〔2023〕34号），本项目如涉及操作系统采购，则具体要求见第三章《采购需求》。</w:t>
      </w:r>
    </w:p>
    <w:p w14:paraId="1177BDB0">
      <w:pPr>
        <w:pStyle w:val="37"/>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46.9数据库政府采购需求标准</w:t>
      </w:r>
    </w:p>
    <w:p w14:paraId="45BE4E61">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为提高数据库政府采购需求管理的科学化、规范化水平，进一步落实政府采购公平竞争原则，优化营商环境，营造良好的产业生态，财政部 工业和信息化部关于印发《数据库政府采购需求标准（2023年版）》的通知（财库〔2023〕35号），本项目如涉及数据库采购，则具体要求见第三章《采购需求》。</w:t>
      </w:r>
    </w:p>
    <w:p w14:paraId="116745F5">
      <w:pPr>
        <w:pStyle w:val="37"/>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46.10物业管理服务政府采购需求标准（办公场所类）（试行）</w:t>
      </w:r>
    </w:p>
    <w:p w14:paraId="0169F247">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贯彻落实中央全面深化改革委员会审议通过的《深化政府采购制度改革方案》有关要求，推动政府采购需求标准建设，财政部办公厅关于印发《物业管理服务政府采购需求标准（办公场所类）（试行）》的通知（财办库〔2024〕113号），本项目如涉及物业管理服务采购，则具体要求见第三章《采购需求》。</w:t>
      </w:r>
    </w:p>
    <w:p w14:paraId="07C1DA2C">
      <w:pPr>
        <w:pStyle w:val="5"/>
        <w:keepNext w:val="0"/>
        <w:keepLines w:val="0"/>
        <w:pageBreakBefore w:val="0"/>
        <w:widowControl w:val="0"/>
        <w:numPr>
          <w:ilvl w:val="0"/>
          <w:numId w:val="0"/>
        </w:numPr>
        <w:kinsoku/>
        <w:wordWrap/>
        <w:overflowPunct/>
        <w:topLinePunct w:val="0"/>
        <w:autoSpaceDE/>
        <w:autoSpaceDN/>
        <w:bidi w:val="0"/>
        <w:adjustRightInd/>
        <w:snapToGrid/>
        <w:spacing w:before="180" w:after="180" w:line="240" w:lineRule="auto"/>
        <w:ind w:left="420" w:leftChars="0" w:hanging="420" w:firstLineChars="0"/>
        <w:textAlignment w:val="auto"/>
        <w:rPr>
          <w:rFonts w:hint="eastAsia" w:ascii="宋体" w:hAnsi="宋体" w:eastAsia="宋体" w:cs="宋体"/>
          <w:b/>
          <w:bCs/>
          <w:color w:val="auto"/>
          <w:kern w:val="2"/>
          <w:sz w:val="24"/>
          <w:szCs w:val="32"/>
          <w:highlight w:val="none"/>
          <w:lang w:val="en-US" w:eastAsia="zh-CN" w:bidi="ar-SA"/>
        </w:rPr>
      </w:pPr>
      <w:r>
        <w:rPr>
          <w:rFonts w:hint="eastAsia" w:ascii="宋体" w:hAnsi="宋体" w:eastAsia="宋体" w:cs="宋体"/>
          <w:b/>
          <w:bCs/>
          <w:color w:val="auto"/>
          <w:kern w:val="2"/>
          <w:sz w:val="24"/>
          <w:szCs w:val="32"/>
          <w:highlight w:val="none"/>
          <w:lang w:val="en-US" w:eastAsia="zh-CN" w:bidi="ar-SA"/>
        </w:rPr>
        <w:t>（十四）政府采购合同融资政策</w:t>
      </w:r>
      <w:bookmarkEnd w:id="242"/>
      <w:bookmarkEnd w:id="243"/>
      <w:bookmarkEnd w:id="247"/>
    </w:p>
    <w:p w14:paraId="7CF32745">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48" w:name="_Toc163492880"/>
      <w:r>
        <w:rPr>
          <w:rFonts w:hint="eastAsia" w:ascii="宋体" w:hAnsi="宋体" w:eastAsia="宋体" w:cs="宋体"/>
          <w:b/>
          <w:bCs/>
          <w:color w:val="auto"/>
          <w:kern w:val="2"/>
          <w:sz w:val="24"/>
          <w:szCs w:val="28"/>
          <w:highlight w:val="none"/>
          <w:lang w:val="en-US" w:eastAsia="zh-CN" w:bidi="ar-SA"/>
        </w:rPr>
        <w:t>47.政府采购合同融资政策</w:t>
      </w:r>
      <w:bookmarkEnd w:id="248"/>
    </w:p>
    <w:p w14:paraId="2F908697">
      <w:pPr>
        <w:pStyle w:val="37"/>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4</w:t>
      </w:r>
      <w:r>
        <w:rPr>
          <w:rFonts w:hint="eastAsia" w:eastAsia="宋体"/>
          <w:color w:val="auto"/>
          <w:sz w:val="24"/>
          <w:highlight w:val="none"/>
          <w:lang w:val="en-US" w:eastAsia="zh-CN"/>
        </w:rPr>
        <w:t>7</w:t>
      </w:r>
      <w:r>
        <w:rPr>
          <w:rFonts w:eastAsia="宋体"/>
          <w:color w:val="auto"/>
          <w:sz w:val="24"/>
          <w:highlight w:val="none"/>
        </w:rPr>
        <w:t>.</w:t>
      </w:r>
      <w:r>
        <w:rPr>
          <w:rFonts w:hint="eastAsia" w:eastAsia="宋体"/>
          <w:color w:val="auto"/>
          <w:sz w:val="24"/>
          <w:highlight w:val="none"/>
        </w:rPr>
        <w:t>1政府采购合同融资政策：见投标人须知前附表。</w:t>
      </w:r>
    </w:p>
    <w:p w14:paraId="198FC626">
      <w:pPr>
        <w:pStyle w:val="5"/>
        <w:keepNext w:val="0"/>
        <w:keepLines w:val="0"/>
        <w:pageBreakBefore w:val="0"/>
        <w:widowControl w:val="0"/>
        <w:numPr>
          <w:ilvl w:val="0"/>
          <w:numId w:val="0"/>
        </w:numPr>
        <w:kinsoku/>
        <w:wordWrap/>
        <w:overflowPunct/>
        <w:topLinePunct w:val="0"/>
        <w:autoSpaceDE/>
        <w:autoSpaceDN/>
        <w:bidi w:val="0"/>
        <w:adjustRightInd/>
        <w:snapToGrid/>
        <w:spacing w:before="180" w:after="180" w:line="240" w:lineRule="auto"/>
        <w:ind w:left="420" w:leftChars="0" w:hanging="420" w:firstLineChars="0"/>
        <w:textAlignment w:val="auto"/>
        <w:rPr>
          <w:rFonts w:hint="eastAsia" w:ascii="宋体" w:hAnsi="宋体" w:eastAsia="宋体" w:cs="宋体"/>
          <w:b/>
          <w:bCs/>
          <w:color w:val="auto"/>
          <w:kern w:val="2"/>
          <w:sz w:val="24"/>
          <w:szCs w:val="32"/>
          <w:highlight w:val="none"/>
          <w:lang w:val="en-US" w:eastAsia="zh-CN" w:bidi="ar-SA"/>
        </w:rPr>
      </w:pPr>
      <w:bookmarkStart w:id="249" w:name="_Toc163492881"/>
      <w:r>
        <w:rPr>
          <w:rFonts w:hint="eastAsia" w:ascii="宋体" w:hAnsi="宋体" w:eastAsia="宋体" w:cs="宋体"/>
          <w:b/>
          <w:bCs/>
          <w:color w:val="auto"/>
          <w:kern w:val="2"/>
          <w:sz w:val="24"/>
          <w:szCs w:val="32"/>
          <w:highlight w:val="none"/>
          <w:lang w:val="en-US" w:eastAsia="zh-CN" w:bidi="ar-SA"/>
        </w:rPr>
        <w:t>（十五）其他</w:t>
      </w:r>
      <w:bookmarkEnd w:id="249"/>
    </w:p>
    <w:p w14:paraId="370F802C">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50" w:name="_Toc163492882"/>
      <w:r>
        <w:rPr>
          <w:rFonts w:hint="eastAsia" w:ascii="宋体" w:hAnsi="宋体" w:eastAsia="宋体" w:cs="宋体"/>
          <w:b/>
          <w:bCs/>
          <w:color w:val="auto"/>
          <w:kern w:val="2"/>
          <w:sz w:val="24"/>
          <w:szCs w:val="28"/>
          <w:highlight w:val="none"/>
          <w:lang w:val="en-US" w:eastAsia="zh-CN" w:bidi="ar-SA"/>
        </w:rPr>
        <w:t>48.需要补充的其他内容</w:t>
      </w:r>
      <w:bookmarkEnd w:id="250"/>
    </w:p>
    <w:p w14:paraId="32516407">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4</w:t>
      </w:r>
      <w:r>
        <w:rPr>
          <w:rFonts w:hint="eastAsia" w:eastAsia="宋体"/>
          <w:color w:val="auto"/>
          <w:sz w:val="24"/>
          <w:highlight w:val="none"/>
          <w:lang w:val="en-US" w:eastAsia="zh-CN"/>
        </w:rPr>
        <w:t>8</w:t>
      </w:r>
      <w:r>
        <w:rPr>
          <w:rFonts w:eastAsia="宋体"/>
          <w:color w:val="auto"/>
          <w:sz w:val="24"/>
          <w:highlight w:val="none"/>
        </w:rPr>
        <w:t>.1</w:t>
      </w:r>
      <w:r>
        <w:rPr>
          <w:rFonts w:hint="eastAsia" w:eastAsia="宋体"/>
          <w:color w:val="auto"/>
          <w:sz w:val="24"/>
          <w:highlight w:val="none"/>
        </w:rPr>
        <w:t>需要补充的其他内容：见投标人须知前附表。</w:t>
      </w:r>
    </w:p>
    <w:p w14:paraId="1BD29CBA">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51" w:name="_Toc155185886"/>
      <w:bookmarkStart w:id="252" w:name="_Toc140132810"/>
      <w:bookmarkStart w:id="253" w:name="_Toc163492883"/>
      <w:r>
        <w:rPr>
          <w:rFonts w:hint="eastAsia" w:ascii="宋体" w:hAnsi="宋体" w:eastAsia="宋体" w:cs="宋体"/>
          <w:b/>
          <w:bCs/>
          <w:color w:val="auto"/>
          <w:kern w:val="2"/>
          <w:sz w:val="24"/>
          <w:szCs w:val="28"/>
          <w:highlight w:val="none"/>
          <w:lang w:val="en-US" w:eastAsia="zh-CN" w:bidi="ar-SA"/>
        </w:rPr>
        <w:t>49.适用法律</w:t>
      </w:r>
      <w:bookmarkEnd w:id="251"/>
      <w:bookmarkEnd w:id="252"/>
      <w:bookmarkEnd w:id="253"/>
    </w:p>
    <w:p w14:paraId="0953B8AD">
      <w:pPr>
        <w:pStyle w:val="37"/>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49</w:t>
      </w:r>
      <w:r>
        <w:rPr>
          <w:rFonts w:eastAsia="宋体"/>
          <w:snapToGrid w:val="0"/>
          <w:color w:val="auto"/>
          <w:sz w:val="24"/>
          <w:highlight w:val="none"/>
        </w:rPr>
        <w:t>.1</w:t>
      </w:r>
      <w:r>
        <w:rPr>
          <w:rFonts w:hint="eastAsia" w:eastAsia="宋体"/>
          <w:snapToGrid w:val="0"/>
          <w:color w:val="auto"/>
          <w:sz w:val="24"/>
          <w:highlight w:val="none"/>
        </w:rPr>
        <w:t>采购人、采购代理机构及投标人的一切采购活动均适用《中华人民共和国政府采购法》、《中华人民共和国政府采购法实施条例》、《政府采购货物和服务招标投标管理办法》（财政部令第87号）及相关法律法规。</w:t>
      </w:r>
    </w:p>
    <w:p w14:paraId="6AD32247">
      <w:pPr>
        <w:pStyle w:val="37"/>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snapToGrid w:val="0"/>
          <w:color w:val="auto"/>
          <w:sz w:val="24"/>
          <w:highlight w:val="none"/>
          <w:lang w:val="en-US" w:eastAsia="zh-CN"/>
        </w:rPr>
        <w:t>49</w:t>
      </w:r>
      <w:r>
        <w:rPr>
          <w:rFonts w:eastAsia="宋体"/>
          <w:snapToGrid w:val="0"/>
          <w:color w:val="auto"/>
          <w:sz w:val="24"/>
          <w:highlight w:val="none"/>
        </w:rPr>
        <w:t>.2</w:t>
      </w:r>
      <w:r>
        <w:rPr>
          <w:rFonts w:hint="eastAsia" w:eastAsia="宋体"/>
          <w:snapToGrid w:val="0"/>
          <w:color w:val="auto"/>
          <w:sz w:val="24"/>
          <w:highlight w:val="none"/>
        </w:rPr>
        <w:t>政府采购合同的履行、违约责任和解决争议的方法等适用《中华人民共和国民法典》。</w:t>
      </w:r>
    </w:p>
    <w:p w14:paraId="468836B9">
      <w:pPr>
        <w:pStyle w:val="6"/>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54" w:name="_Toc155185887"/>
      <w:bookmarkStart w:id="255" w:name="_Toc163492884"/>
      <w:r>
        <w:rPr>
          <w:rFonts w:hint="eastAsia" w:ascii="宋体" w:hAnsi="宋体" w:eastAsia="宋体" w:cs="宋体"/>
          <w:b/>
          <w:bCs/>
          <w:color w:val="auto"/>
          <w:kern w:val="2"/>
          <w:sz w:val="24"/>
          <w:szCs w:val="28"/>
          <w:highlight w:val="none"/>
          <w:lang w:val="en-US" w:eastAsia="zh-CN" w:bidi="ar-SA"/>
        </w:rPr>
        <w:t>50.解释权</w:t>
      </w:r>
      <w:bookmarkEnd w:id="254"/>
      <w:bookmarkEnd w:id="255"/>
    </w:p>
    <w:p w14:paraId="5C6D27F8">
      <w:pPr>
        <w:pStyle w:val="37"/>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rPr>
      </w:pPr>
      <w:r>
        <w:rPr>
          <w:rFonts w:hint="eastAsia" w:eastAsia="宋体"/>
          <w:snapToGrid w:val="0"/>
          <w:color w:val="auto"/>
          <w:sz w:val="24"/>
          <w:highlight w:val="none"/>
          <w:lang w:val="en-US" w:eastAsia="zh-CN"/>
        </w:rPr>
        <w:t>50</w:t>
      </w:r>
      <w:r>
        <w:rPr>
          <w:rFonts w:eastAsia="宋体"/>
          <w:snapToGrid w:val="0"/>
          <w:color w:val="auto"/>
          <w:sz w:val="24"/>
          <w:highlight w:val="none"/>
        </w:rPr>
        <w:t>.</w:t>
      </w:r>
      <w:r>
        <w:rPr>
          <w:rFonts w:hint="eastAsia" w:eastAsia="宋体"/>
          <w:snapToGrid w:val="0"/>
          <w:color w:val="auto"/>
          <w:sz w:val="24"/>
          <w:highlight w:val="none"/>
        </w:rPr>
        <w:t>1本招标文件最终解释权归采购人或采购代理机构所有。</w:t>
      </w:r>
    </w:p>
    <w:p w14:paraId="57F4529F">
      <w:pPr>
        <w:rPr>
          <w:rFonts w:hint="eastAsia" w:ascii="宋体" w:hAnsi="宋体" w:eastAsia="宋体" w:cs="宋体"/>
          <w:b/>
          <w:bCs/>
          <w:color w:val="auto"/>
          <w:kern w:val="44"/>
          <w:sz w:val="36"/>
          <w:szCs w:val="36"/>
          <w:highlight w:val="none"/>
          <w:lang w:val="en-US" w:eastAsia="zh-CN" w:bidi="ar-SA"/>
        </w:rPr>
      </w:pPr>
      <w:bookmarkStart w:id="256" w:name="_Toc155185888"/>
      <w:bookmarkStart w:id="257" w:name="_Toc163492885"/>
      <w:r>
        <w:rPr>
          <w:rFonts w:hint="eastAsia" w:ascii="宋体" w:hAnsi="宋体" w:eastAsia="宋体" w:cs="宋体"/>
          <w:b/>
          <w:bCs/>
          <w:color w:val="auto"/>
          <w:kern w:val="44"/>
          <w:sz w:val="36"/>
          <w:szCs w:val="36"/>
          <w:highlight w:val="none"/>
          <w:lang w:val="en-US" w:eastAsia="zh-CN" w:bidi="ar-SA"/>
        </w:rPr>
        <w:br w:type="page"/>
      </w:r>
    </w:p>
    <w:p w14:paraId="415535AF">
      <w:pPr>
        <w:pStyle w:val="3"/>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258" w:name="_Toc26416"/>
      <w:r>
        <w:rPr>
          <w:rFonts w:hint="eastAsia" w:eastAsia="宋体" w:cs="宋体"/>
          <w:b/>
          <w:bCs/>
          <w:color w:val="auto"/>
          <w:kern w:val="44"/>
          <w:sz w:val="36"/>
          <w:szCs w:val="36"/>
          <w:highlight w:val="none"/>
          <w:lang w:val="en-US" w:eastAsia="zh-CN" w:bidi="ar-SA"/>
        </w:rPr>
        <w:t xml:space="preserve">第三章 </w:t>
      </w:r>
      <w:r>
        <w:rPr>
          <w:rFonts w:hint="eastAsia" w:ascii="宋体" w:hAnsi="宋体" w:eastAsia="宋体" w:cs="宋体"/>
          <w:b/>
          <w:bCs/>
          <w:color w:val="auto"/>
          <w:kern w:val="44"/>
          <w:sz w:val="36"/>
          <w:szCs w:val="36"/>
          <w:highlight w:val="none"/>
          <w:lang w:val="en-US" w:eastAsia="zh-CN" w:bidi="ar-SA"/>
        </w:rPr>
        <w:t>采购需求</w:t>
      </w:r>
      <w:bookmarkEnd w:id="256"/>
      <w:bookmarkEnd w:id="257"/>
      <w:bookmarkEnd w:id="258"/>
      <w:bookmarkStart w:id="259" w:name="_Toc40974240"/>
      <w:bookmarkStart w:id="260" w:name="_Toc9591"/>
      <w:bookmarkStart w:id="261" w:name="_Toc163492886"/>
      <w:bookmarkStart w:id="262" w:name="_Toc155185889"/>
      <w:bookmarkStart w:id="263" w:name="_Toc140132812"/>
    </w:p>
    <w:p w14:paraId="47A993CD">
      <w:pPr>
        <w:pStyle w:val="3"/>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Chars="0"/>
        <w:jc w:val="center"/>
        <w:textAlignment w:val="auto"/>
        <w:rPr>
          <w:rFonts w:hint="eastAsia" w:ascii="宋体" w:hAnsi="宋体" w:eastAsia="宋体" w:cs="宋体"/>
          <w:b/>
          <w:bCs/>
          <w:color w:val="auto"/>
          <w:kern w:val="44"/>
          <w:sz w:val="36"/>
          <w:szCs w:val="36"/>
          <w:highlight w:val="none"/>
          <w:lang w:val="en-US" w:eastAsia="zh-CN" w:bidi="ar-SA"/>
        </w:rPr>
      </w:pPr>
      <w:bookmarkStart w:id="264" w:name="_Toc21780"/>
      <w:r>
        <w:rPr>
          <w:rFonts w:hint="eastAsia" w:ascii="宋体" w:hAnsi="宋体" w:eastAsia="宋体" w:cs="宋体"/>
          <w:b/>
          <w:bCs/>
          <w:color w:val="auto"/>
          <w:kern w:val="44"/>
          <w:sz w:val="36"/>
          <w:szCs w:val="36"/>
          <w:highlight w:val="none"/>
          <w:lang w:val="en-US" w:eastAsia="zh-CN" w:bidi="ar-SA"/>
        </w:rPr>
        <w:t>项目</w:t>
      </w:r>
      <w:bookmarkEnd w:id="259"/>
      <w:r>
        <w:rPr>
          <w:rFonts w:hint="eastAsia" w:ascii="宋体" w:hAnsi="宋体" w:eastAsia="宋体" w:cs="宋体"/>
          <w:b/>
          <w:bCs/>
          <w:color w:val="auto"/>
          <w:kern w:val="44"/>
          <w:sz w:val="36"/>
          <w:szCs w:val="36"/>
          <w:highlight w:val="none"/>
          <w:lang w:val="en-US" w:eastAsia="zh-CN" w:bidi="ar-SA"/>
        </w:rPr>
        <w:t>概述</w:t>
      </w:r>
      <w:bookmarkEnd w:id="260"/>
      <w:bookmarkEnd w:id="264"/>
    </w:p>
    <w:p w14:paraId="1427B394">
      <w:pPr>
        <w:spacing w:line="360" w:lineRule="auto"/>
        <w:ind w:firstLine="480" w:firstLineChars="200"/>
        <w:rPr>
          <w:rFonts w:hint="eastAsia" w:ascii="宋体" w:hAnsi="宋体" w:eastAsia="宋体" w:cs="宋体"/>
          <w:sz w:val="24"/>
          <w:szCs w:val="24"/>
        </w:rPr>
      </w:pPr>
      <w:r>
        <w:rPr>
          <w:rFonts w:hint="eastAsia" w:cs="宋体"/>
          <w:sz w:val="24"/>
          <w:szCs w:val="24"/>
          <w:highlight w:val="none"/>
          <w:lang w:val="en-US" w:eastAsia="zh-CN"/>
        </w:rPr>
        <w:t>1.</w:t>
      </w:r>
      <w:r>
        <w:rPr>
          <w:rFonts w:hint="eastAsia" w:ascii="宋体" w:hAnsi="宋体" w:eastAsia="宋体" w:cs="宋体"/>
          <w:sz w:val="24"/>
          <w:szCs w:val="24"/>
          <w:highlight w:val="none"/>
          <w:lang w:val="en-US" w:eastAsia="zh-CN"/>
        </w:rPr>
        <w:t>为推进交通管理大模型智能化应用，拟建设“道路交通安全风险地图系统”。定制开发路网结构全息画像、道路隐患排查和治理、交通风险实时预警、交通事故分析研判、交通风险预测等应用，以地图系统为基础，建立某区域交通路网图，实现一图呈现。系统在公安网云平台部署，采购国产GPU服务器1台、定制软件1套。</w:t>
      </w:r>
      <w:r>
        <w:rPr>
          <w:rFonts w:hint="eastAsia" w:ascii="宋体" w:hAnsi="宋体" w:eastAsia="宋体" w:cs="宋体"/>
          <w:sz w:val="24"/>
          <w:szCs w:val="24"/>
          <w:lang w:val="en-US" w:eastAsia="zh-CN"/>
        </w:rPr>
        <w:t>提供覆盖高速路、国省干道、城市道路的全路网交通安全风险地图服务，包括城市路网结构监测分析、动态事故诱因分析、预警预测服务及相应的研判分析报告等，通过深入挖掘数据中隐藏的趋势性、源头性、根本性问题，为推进决策指挥与警务实战的有效衔接，变被动预防为主动管理、变事后处置为事前干预提供有力的支撑，全面赋能交通安全管理与安全防控，有效防控较大道路交通事故及重特大道路交通事故，助力推进事故预防“减量控大”工作。应用重点体现在交通安全运行态势监测、多尺度交通安全风险研判分析与预警、警力等资源配置优化与智能执法管理、交通监管与综合服务等方面。</w:t>
      </w:r>
    </w:p>
    <w:p w14:paraId="2B5DECD4">
      <w:pPr>
        <w:bidi w:val="0"/>
        <w:spacing w:line="360" w:lineRule="auto"/>
        <w:ind w:firstLine="484" w:firstLineChars="202"/>
        <w:rPr>
          <w:rFonts w:hint="eastAsia" w:ascii="宋体" w:hAnsi="宋体" w:eastAsia="宋体" w:cs="宋体"/>
          <w:sz w:val="24"/>
          <w:szCs w:val="24"/>
        </w:rPr>
      </w:pPr>
      <w:r>
        <w:rPr>
          <w:rFonts w:hint="eastAsia" w:cs="宋体"/>
          <w:sz w:val="24"/>
          <w:szCs w:val="24"/>
          <w:lang w:val="en-US" w:eastAsia="zh-CN"/>
        </w:rPr>
        <w:t>2.</w:t>
      </w:r>
      <w:r>
        <w:rPr>
          <w:rFonts w:hint="eastAsia" w:ascii="宋体" w:hAnsi="宋体" w:eastAsia="宋体" w:cs="宋体"/>
          <w:sz w:val="24"/>
          <w:szCs w:val="24"/>
          <w:lang w:val="en-US" w:eastAsia="zh-CN"/>
        </w:rPr>
        <w:t>通过定制化系统功能，</w:t>
      </w:r>
      <w:r>
        <w:rPr>
          <w:rFonts w:hint="eastAsia" w:ascii="宋体" w:hAnsi="宋体" w:eastAsia="宋体" w:cs="宋体"/>
          <w:sz w:val="24"/>
          <w:szCs w:val="24"/>
        </w:rPr>
        <w:t>从事故发生的根源出来，融合路网、路况、事故、违法、天气等信息后，建立安全风险评估模型，对高速路、国省道、城市道路全路网进行安全风险评估，生成交通安全风险地图，对不安全路段进行原因分析，明确对不同车型的风险路段，辅助交警制定大型货车、危险车辆的安全行驶路线管控措施，推给两客一危等重点车辆管理企业。从道路因素、气象因素着手，全面分析道路特征、气象灾情对交通安全的影响程度，实时掌握特定时段、特定地点可能发生特定灾情的风险等级，并拓宽信息推送、发布渠道，实现安全风险的早发现、早提醒、早应对。排查拥堵和安全隐患节点，重点交通节点需要安排警力值守，为警力安排提供参考。服务交警进行安全隐患路段重点监控与治理。实现隐患“智能识别—精准分析—动态治理—效果评估”全生命周期管理，将AI大模型与交通安全风险防控平台深度整合应用，高效构建本地化AI大模型知识库，进行针对性模型训练。借助自然语言处理技术，实现数据查询与结果解析智能化，快速准确排查各种道路病害隐患、重点区域、临水临崖路段、事故多发点段、城乡结合部未达标路段。并依据用户多样化指令，迅速产出详尽且精确的输出结果报告。</w:t>
      </w:r>
    </w:p>
    <w:p w14:paraId="74918697">
      <w:pPr>
        <w:bidi w:val="0"/>
        <w:spacing w:line="360" w:lineRule="auto"/>
        <w:ind w:firstLine="487" w:firstLineChars="202"/>
        <w:rPr>
          <w:rFonts w:hint="eastAsia" w:ascii="宋体" w:hAnsi="宋体" w:eastAsia="宋体" w:cs="宋体"/>
          <w:sz w:val="24"/>
          <w:szCs w:val="24"/>
        </w:rPr>
      </w:pPr>
      <w:r>
        <w:rPr>
          <w:rFonts w:hint="eastAsia" w:cs="宋体"/>
          <w:b/>
          <w:bCs/>
          <w:sz w:val="24"/>
          <w:szCs w:val="24"/>
          <w:lang w:val="en-US" w:eastAsia="zh-CN"/>
        </w:rPr>
        <w:t>3.</w:t>
      </w:r>
      <w:r>
        <w:rPr>
          <w:rFonts w:hint="eastAsia" w:ascii="宋体" w:hAnsi="宋体" w:eastAsia="宋体" w:cs="宋体"/>
          <w:b/>
          <w:bCs/>
          <w:sz w:val="24"/>
          <w:szCs w:val="24"/>
        </w:rPr>
        <w:t>融合多源数据支撑，提升分析的有效性、合理性</w:t>
      </w:r>
      <w:r>
        <w:rPr>
          <w:rFonts w:hint="eastAsia" w:ascii="宋体" w:hAnsi="宋体" w:eastAsia="宋体" w:cs="宋体"/>
          <w:b/>
          <w:bCs/>
          <w:sz w:val="24"/>
          <w:szCs w:val="24"/>
          <w:lang w:eastAsia="zh-CN"/>
        </w:rPr>
        <w:t>。</w:t>
      </w:r>
      <w:r>
        <w:rPr>
          <w:rFonts w:hint="eastAsia" w:ascii="宋体" w:hAnsi="宋体" w:eastAsia="宋体" w:cs="宋体"/>
          <w:sz w:val="24"/>
          <w:szCs w:val="24"/>
        </w:rPr>
        <w:t>事故诱因纳入路网数据、路况数据、天气数据、道路事故数据等多源数据，为分析的有效性合理性奠定良好的数据基础。</w:t>
      </w:r>
    </w:p>
    <w:p w14:paraId="778E6E0B">
      <w:pPr>
        <w:bidi w:val="0"/>
        <w:spacing w:line="360" w:lineRule="auto"/>
        <w:ind w:firstLine="487" w:firstLineChars="202"/>
        <w:rPr>
          <w:rFonts w:hint="eastAsia" w:ascii="宋体" w:hAnsi="宋体" w:eastAsia="宋体" w:cs="宋体"/>
          <w:sz w:val="24"/>
          <w:szCs w:val="24"/>
        </w:rPr>
      </w:pPr>
      <w:r>
        <w:rPr>
          <w:rFonts w:hint="eastAsia" w:cs="宋体"/>
          <w:b/>
          <w:bCs/>
          <w:sz w:val="24"/>
          <w:szCs w:val="24"/>
          <w:lang w:val="en-US" w:eastAsia="zh-CN"/>
        </w:rPr>
        <w:t>4.</w:t>
      </w:r>
      <w:r>
        <w:rPr>
          <w:rFonts w:hint="eastAsia" w:ascii="宋体" w:hAnsi="宋体" w:eastAsia="宋体" w:cs="宋体"/>
          <w:b/>
          <w:bCs/>
          <w:sz w:val="24"/>
          <w:szCs w:val="24"/>
        </w:rPr>
        <w:t>充分挖掘事故特征，分析事故诱因，达到减少事故发生的目的。</w:t>
      </w:r>
      <w:r>
        <w:rPr>
          <w:rFonts w:hint="eastAsia" w:ascii="宋体" w:hAnsi="宋体" w:eastAsia="宋体" w:cs="宋体"/>
          <w:sz w:val="24"/>
          <w:szCs w:val="24"/>
        </w:rPr>
        <w:t>交通安全风险预测预警基于历史事故数据，通过对历史事故进行不同粒度、不同时间维度、不同空间维度的分析研判，得出全市交通事故多发地、多发时段，可视化呈现事故的时空分布，发现事故规律，分析事故诱因，为交警进行事故预防、警力部署提供支持，以达到预防交通事故、减少交通事故发生的目的。</w:t>
      </w:r>
    </w:p>
    <w:p w14:paraId="1825C5DE">
      <w:pPr>
        <w:bidi w:val="0"/>
        <w:spacing w:line="360" w:lineRule="auto"/>
        <w:ind w:firstLine="487" w:firstLineChars="202"/>
        <w:rPr>
          <w:rFonts w:hint="eastAsia" w:ascii="宋体" w:hAnsi="宋体" w:eastAsia="宋体" w:cs="宋体"/>
          <w:sz w:val="24"/>
          <w:szCs w:val="24"/>
        </w:rPr>
      </w:pPr>
      <w:r>
        <w:rPr>
          <w:rFonts w:hint="eastAsia" w:cs="宋体"/>
          <w:b/>
          <w:bCs/>
          <w:sz w:val="24"/>
          <w:szCs w:val="24"/>
          <w:lang w:val="en-US" w:eastAsia="zh-CN"/>
        </w:rPr>
        <w:t>5.</w:t>
      </w:r>
      <w:r>
        <w:rPr>
          <w:rFonts w:hint="eastAsia" w:ascii="宋体" w:hAnsi="宋体" w:eastAsia="宋体" w:cs="宋体"/>
          <w:b/>
          <w:bCs/>
          <w:sz w:val="24"/>
          <w:szCs w:val="24"/>
        </w:rPr>
        <w:t>建立道路安全风险地图实时监测预警、预测预警机制，满足安全防控业务需求</w:t>
      </w:r>
      <w:r>
        <w:rPr>
          <w:rFonts w:hint="eastAsia" w:ascii="宋体" w:hAnsi="宋体" w:eastAsia="宋体" w:cs="宋体"/>
          <w:b/>
          <w:bCs/>
          <w:sz w:val="24"/>
          <w:szCs w:val="24"/>
          <w:lang w:eastAsia="zh-CN"/>
        </w:rPr>
        <w:t>。</w:t>
      </w:r>
      <w:r>
        <w:rPr>
          <w:rFonts w:hint="eastAsia" w:ascii="宋体" w:hAnsi="宋体" w:eastAsia="宋体" w:cs="宋体"/>
          <w:sz w:val="24"/>
          <w:szCs w:val="24"/>
        </w:rPr>
        <w:t>研究覆盖</w:t>
      </w:r>
      <w:r>
        <w:rPr>
          <w:rFonts w:hint="eastAsia" w:ascii="宋体" w:hAnsi="宋体" w:eastAsia="宋体" w:cs="宋体"/>
          <w:sz w:val="24"/>
          <w:szCs w:val="24"/>
          <w:lang w:val="en-US" w:eastAsia="zh-CN"/>
        </w:rPr>
        <w:t>辖区</w:t>
      </w:r>
      <w:r>
        <w:rPr>
          <w:rFonts w:hint="eastAsia" w:ascii="宋体" w:hAnsi="宋体" w:eastAsia="宋体" w:cs="宋体"/>
          <w:sz w:val="24"/>
          <w:szCs w:val="24"/>
        </w:rPr>
        <w:t>路网和高速公路网，从静态路网结构分析到动态安全态势分析，基于多指标对道路级安全风险实现历史分析、实时监控、预测预警，更符合行业业务需求。</w:t>
      </w:r>
    </w:p>
    <w:p w14:paraId="05E6E0D5">
      <w:pPr>
        <w:bidi w:val="0"/>
        <w:spacing w:line="360" w:lineRule="auto"/>
        <w:ind w:firstLine="487" w:firstLineChars="202"/>
        <w:rPr>
          <w:rFonts w:hint="eastAsia" w:ascii="宋体" w:hAnsi="宋体" w:eastAsia="宋体" w:cs="宋体"/>
          <w:sz w:val="24"/>
          <w:szCs w:val="24"/>
          <w:lang w:val="en-US" w:eastAsia="zh-CN"/>
        </w:rPr>
      </w:pPr>
      <w:r>
        <w:rPr>
          <w:rFonts w:hint="eastAsia" w:cs="宋体"/>
          <w:b/>
          <w:bCs/>
          <w:sz w:val="24"/>
          <w:szCs w:val="24"/>
          <w:lang w:val="en-US" w:eastAsia="zh-CN"/>
        </w:rPr>
        <w:t>6.</w:t>
      </w:r>
      <w:r>
        <w:rPr>
          <w:rFonts w:hint="eastAsia" w:ascii="宋体" w:hAnsi="宋体" w:eastAsia="宋体" w:cs="宋体"/>
          <w:b/>
          <w:bCs/>
          <w:sz w:val="24"/>
          <w:szCs w:val="24"/>
        </w:rPr>
        <w:t>强化交通信息服务能力，实现多渠道信息发布。</w:t>
      </w:r>
      <w:r>
        <w:rPr>
          <w:rFonts w:hint="eastAsia" w:ascii="宋体" w:hAnsi="宋体" w:eastAsia="宋体" w:cs="宋体"/>
          <w:sz w:val="24"/>
          <w:szCs w:val="24"/>
        </w:rPr>
        <w:t>针对交通提醒信息覆盖面不广、针对性弱的问题，通过拓宽信息推送、发布渠道，将安全预警信息及时推送到路面情报板、可变限速设备、声光警示设施以及互联网导航地图，扩大交通气象风险预警信息覆盖面，全面强化交通信息服务能力。</w:t>
      </w:r>
    </w:p>
    <w:p w14:paraId="51F84150">
      <w:pPr>
        <w:pStyle w:val="3"/>
        <w:rPr>
          <w:rFonts w:hint="eastAsia" w:ascii="宋体" w:hAnsi="宋体" w:eastAsia="宋体" w:cs="宋体"/>
          <w:sz w:val="24"/>
          <w:szCs w:val="24"/>
        </w:rPr>
      </w:pPr>
      <w:bookmarkStart w:id="265" w:name="_Toc30287"/>
      <w:bookmarkStart w:id="266" w:name="_Toc13314"/>
      <w:r>
        <w:rPr>
          <w:rFonts w:hint="eastAsia" w:ascii="宋体" w:hAnsi="宋体" w:eastAsia="宋体" w:cs="宋体"/>
          <w:sz w:val="24"/>
          <w:szCs w:val="24"/>
        </w:rPr>
        <w:t>总体设计与技术要求</w:t>
      </w:r>
      <w:bookmarkEnd w:id="265"/>
      <w:bookmarkEnd w:id="266"/>
    </w:p>
    <w:p w14:paraId="00AF4A54">
      <w:pPr>
        <w:bidi w:val="0"/>
        <w:spacing w:line="360" w:lineRule="auto"/>
        <w:ind w:firstLine="484" w:firstLineChars="202"/>
        <w:rPr>
          <w:rFonts w:hint="eastAsia" w:ascii="宋体" w:hAnsi="宋体" w:eastAsia="宋体" w:cs="宋体"/>
          <w:sz w:val="24"/>
          <w:szCs w:val="24"/>
        </w:rPr>
      </w:pPr>
      <w:r>
        <w:rPr>
          <w:rFonts w:hint="eastAsia" w:cs="宋体"/>
          <w:sz w:val="24"/>
          <w:szCs w:val="24"/>
          <w:lang w:val="en-US" w:eastAsia="zh-CN"/>
        </w:rPr>
        <w:t>1.</w:t>
      </w:r>
      <w:r>
        <w:rPr>
          <w:rFonts w:hint="eastAsia" w:ascii="宋体" w:hAnsi="宋体" w:eastAsia="宋体" w:cs="宋体"/>
          <w:sz w:val="24"/>
          <w:szCs w:val="24"/>
        </w:rPr>
        <w:t>主要实现路网画像刻画、隐患排查、风险监测预警、事故研判等，包括</w:t>
      </w:r>
      <w:r>
        <w:rPr>
          <w:rFonts w:hint="eastAsia" w:ascii="宋体" w:hAnsi="宋体" w:eastAsia="宋体" w:cs="宋体"/>
          <w:sz w:val="24"/>
          <w:szCs w:val="24"/>
          <w:lang w:val="en-US" w:eastAsia="zh-CN"/>
        </w:rPr>
        <w:t>道路</w:t>
      </w:r>
      <w:r>
        <w:rPr>
          <w:rFonts w:hint="eastAsia" w:ascii="宋体" w:hAnsi="宋体" w:eastAsia="宋体" w:cs="宋体"/>
          <w:sz w:val="24"/>
          <w:szCs w:val="24"/>
        </w:rPr>
        <w:t>线形隐患点识别、行车条件隐患点识别、隐患路段识别、隐患致因分析、隐患路段画像、风险路段实时预警、预警路段统计分析、事故时空特征分析、事故多发路段统计等</w:t>
      </w:r>
      <w:r>
        <w:rPr>
          <w:rFonts w:hint="eastAsia" w:ascii="宋体" w:hAnsi="宋体" w:eastAsia="宋体" w:cs="宋体"/>
          <w:sz w:val="24"/>
          <w:szCs w:val="24"/>
          <w:lang w:eastAsia="zh-CN"/>
        </w:rPr>
        <w:t>。</w:t>
      </w:r>
    </w:p>
    <w:p w14:paraId="2425FC8D">
      <w:pPr>
        <w:pStyle w:val="5"/>
        <w:bidi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系统</w:t>
      </w:r>
      <w:r>
        <w:rPr>
          <w:rFonts w:hint="eastAsia" w:ascii="宋体" w:hAnsi="宋体" w:eastAsia="宋体" w:cs="宋体"/>
          <w:sz w:val="24"/>
          <w:szCs w:val="24"/>
        </w:rPr>
        <w:t>功能</w:t>
      </w:r>
      <w:r>
        <w:rPr>
          <w:rFonts w:hint="eastAsia" w:ascii="宋体" w:hAnsi="宋体" w:eastAsia="宋体" w:cs="宋体"/>
          <w:sz w:val="24"/>
          <w:szCs w:val="24"/>
          <w:lang w:val="en-US" w:eastAsia="zh-CN"/>
        </w:rPr>
        <w:t>要求</w:t>
      </w:r>
    </w:p>
    <w:p w14:paraId="4018349B">
      <w:pPr>
        <w:pStyle w:val="6"/>
        <w:pageBreakBefore w:val="0"/>
        <w:widowControl w:val="0"/>
        <w:kinsoku/>
        <w:wordWrap/>
        <w:overflowPunct/>
        <w:topLinePunct w:val="0"/>
        <w:autoSpaceDE/>
        <w:autoSpaceDN/>
        <w:bidi w:val="0"/>
        <w:adjustRightInd/>
        <w:snapToGrid/>
        <w:ind w:firstLine="482" w:firstLineChars="200"/>
        <w:jc w:val="both"/>
        <w:textAlignment w:val="auto"/>
        <w:rPr>
          <w:rFonts w:hint="eastAsia" w:ascii="宋体" w:hAnsi="宋体" w:eastAsia="宋体" w:cs="宋体"/>
          <w:sz w:val="24"/>
          <w:szCs w:val="24"/>
        </w:rPr>
      </w:pPr>
      <w:bookmarkStart w:id="267" w:name="_Toc195796680"/>
      <w:r>
        <w:rPr>
          <w:rFonts w:hint="eastAsia" w:ascii="宋体" w:hAnsi="宋体" w:eastAsia="宋体" w:cs="宋体"/>
          <w:sz w:val="24"/>
          <w:szCs w:val="24"/>
          <w:lang w:val="en-US" w:eastAsia="zh-CN"/>
        </w:rPr>
        <w:t>1.某区域</w:t>
      </w:r>
      <w:r>
        <w:rPr>
          <w:rFonts w:hint="eastAsia" w:ascii="宋体" w:hAnsi="宋体" w:eastAsia="宋体" w:cs="宋体"/>
          <w:sz w:val="24"/>
          <w:szCs w:val="24"/>
        </w:rPr>
        <w:t>专用图层建设</w:t>
      </w:r>
    </w:p>
    <w:p w14:paraId="27AA58E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本项目基于地理信息数据（GIS）构建专题路网图层，实现：</w:t>
      </w:r>
    </w:p>
    <w:p w14:paraId="15D1645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兵-师-垦三级行政辖区的可视化划分</w:t>
      </w:r>
      <w:r>
        <w:rPr>
          <w:rFonts w:hint="eastAsia" w:ascii="宋体" w:hAnsi="宋体" w:eastAsia="宋体" w:cs="宋体"/>
          <w:sz w:val="24"/>
          <w:szCs w:val="24"/>
          <w:lang w:eastAsia="zh-CN"/>
        </w:rPr>
        <w:t>；</w:t>
      </w:r>
    </w:p>
    <w:p w14:paraId="25D5075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道路等级（G/S/X/C级）的标准化符号体系</w:t>
      </w:r>
      <w:r>
        <w:rPr>
          <w:rFonts w:hint="eastAsia" w:ascii="宋体" w:hAnsi="宋体" w:eastAsia="宋体" w:cs="宋体"/>
          <w:sz w:val="24"/>
          <w:szCs w:val="24"/>
          <w:lang w:eastAsia="zh-CN"/>
        </w:rPr>
        <w:t>；</w:t>
      </w:r>
    </w:p>
    <w:p w14:paraId="77F8DA25">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交通流量、事故热点等动态数据的叠加分析</w:t>
      </w:r>
      <w:r>
        <w:rPr>
          <w:rFonts w:hint="eastAsia" w:ascii="宋体" w:hAnsi="宋体" w:eastAsia="宋体" w:cs="宋体"/>
          <w:sz w:val="24"/>
          <w:szCs w:val="24"/>
          <w:lang w:eastAsia="zh-CN"/>
        </w:rPr>
        <w:t>。</w:t>
      </w:r>
    </w:p>
    <w:p w14:paraId="020FFD33">
      <w:pPr>
        <w:pStyle w:val="7"/>
        <w:pageBreakBefore w:val="0"/>
        <w:widowControl w:val="0"/>
        <w:numPr>
          <w:ilvl w:val="0"/>
          <w:numId w:val="0"/>
        </w:numPr>
        <w:tabs>
          <w:tab w:val="clear" w:pos="780"/>
        </w:tabs>
        <w:kinsoku/>
        <w:wordWrap/>
        <w:overflowPunct/>
        <w:topLinePunct w:val="0"/>
        <w:autoSpaceDE/>
        <w:autoSpaceDN/>
        <w:bidi w:val="0"/>
        <w:adjustRightInd/>
        <w:snapToGrid/>
        <w:ind w:firstLine="482" w:firstLineChars="200"/>
        <w:jc w:val="both"/>
        <w:textAlignment w:val="auto"/>
        <w:rPr>
          <w:rFonts w:hint="eastAsia" w:ascii="宋体" w:hAnsi="宋体" w:eastAsia="宋体" w:cs="宋体"/>
          <w:sz w:val="24"/>
          <w:szCs w:val="24"/>
        </w:rPr>
      </w:pPr>
      <w:r>
        <w:rPr>
          <w:rFonts w:hint="eastAsia" w:ascii="宋体" w:hAnsi="宋体" w:eastAsia="宋体" w:cs="宋体"/>
          <w:b/>
          <w:bCs/>
          <w:kern w:val="0"/>
          <w:sz w:val="24"/>
          <w:szCs w:val="24"/>
          <w:lang w:val="zh-CN" w:eastAsia="zh-CN" w:bidi="zh-CN"/>
        </w:rPr>
        <w:t>1.</w:t>
      </w:r>
      <w:r>
        <w:rPr>
          <w:rFonts w:hint="eastAsia" w:ascii="宋体" w:hAnsi="宋体" w:eastAsia="宋体" w:cs="宋体"/>
          <w:sz w:val="24"/>
          <w:szCs w:val="24"/>
          <w:lang w:val="en-US" w:eastAsia="zh-CN"/>
        </w:rPr>
        <w:t>1</w:t>
      </w:r>
      <w:r>
        <w:rPr>
          <w:rFonts w:hint="eastAsia" w:ascii="宋体" w:hAnsi="宋体" w:eastAsia="宋体" w:cs="宋体"/>
          <w:sz w:val="24"/>
          <w:szCs w:val="24"/>
        </w:rPr>
        <w:t>数据体系构建</w:t>
      </w:r>
    </w:p>
    <w:p w14:paraId="2FBF4B5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辖区路网数据：整合14个师级行政区矢量边界叠加全国路网数据（高速/国道/省道/县道），实现</w:t>
      </w:r>
      <w:r>
        <w:rPr>
          <w:rFonts w:hint="eastAsia" w:ascii="宋体" w:hAnsi="宋体" w:eastAsia="宋体" w:cs="宋体"/>
          <w:sz w:val="24"/>
          <w:szCs w:val="24"/>
          <w:lang w:val="en-US" w:eastAsia="zh-CN"/>
        </w:rPr>
        <w:t>自有的</w:t>
      </w:r>
      <w:r>
        <w:rPr>
          <w:rFonts w:hint="eastAsia" w:ascii="宋体" w:hAnsi="宋体" w:eastAsia="宋体" w:cs="宋体"/>
          <w:sz w:val="24"/>
          <w:szCs w:val="24"/>
        </w:rPr>
        <w:t>下辖行政区内3000余块飞地路网数据分层分级全量提取，路网数据按行政级别筛选划分应用。为兵师垦三级交管业务开展提供技术路网数据支撑。</w:t>
      </w:r>
    </w:p>
    <w:p w14:paraId="32A2A6B4">
      <w:pPr>
        <w:pStyle w:val="7"/>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1.2</w:t>
      </w:r>
      <w:r>
        <w:rPr>
          <w:rFonts w:hint="eastAsia" w:ascii="宋体" w:hAnsi="宋体" w:eastAsia="宋体" w:cs="宋体"/>
          <w:bCs/>
          <w:sz w:val="24"/>
          <w:szCs w:val="24"/>
        </w:rPr>
        <w:t>数据建设</w:t>
      </w:r>
    </w:p>
    <w:p w14:paraId="59299F5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行政区边界及基础地理信息数据：协调兵团本级PGIS数据</w:t>
      </w:r>
    </w:p>
    <w:p w14:paraId="0A6DB54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包含精细化属性路网数据</w:t>
      </w:r>
      <w:r>
        <w:rPr>
          <w:rFonts w:hint="eastAsia" w:ascii="宋体" w:hAnsi="宋体" w:eastAsia="宋体" w:cs="宋体"/>
          <w:sz w:val="24"/>
          <w:szCs w:val="24"/>
          <w:lang w:val="en-US" w:eastAsia="zh-CN"/>
        </w:rPr>
        <w:t>和ADAS数据：本项目建设单位提供对应数据服务。</w:t>
      </w:r>
    </w:p>
    <w:p w14:paraId="70F7D253">
      <w:pPr>
        <w:pStyle w:val="7"/>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1.3</w:t>
      </w:r>
      <w:r>
        <w:rPr>
          <w:rFonts w:hint="eastAsia" w:ascii="宋体" w:hAnsi="宋体" w:eastAsia="宋体" w:cs="宋体"/>
          <w:bCs/>
          <w:sz w:val="24"/>
          <w:szCs w:val="24"/>
        </w:rPr>
        <w:t>专用图层功能实现</w:t>
      </w:r>
    </w:p>
    <w:p w14:paraId="64C5869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实现多图层开关控制功能，确保多图层内容能够迅速呈现。用户可率和精确度。此外，支持图层的叠加显示功能，以便用户更清晰地理解根据实际需求，精确选择并展示所需图层，从而提升交管业务处理的效各图层之间的空间关系，为决策分析提供坚实的数据支持。构建道路属性快速检索功能，使用户能够依据道路等级、道路名称等属性，迅速进行信息筛选和查询，得以高效地查阅所需道路属性的详尽资料，为交通管理部门在执行任务、规划路线或开展专题业务分析时，提供精确的数据支持。</w:t>
      </w:r>
      <w:r>
        <w:rPr>
          <w:rFonts w:hint="eastAsia" w:ascii="宋体" w:hAnsi="宋体" w:eastAsia="宋体" w:cs="宋体"/>
          <w:sz w:val="24"/>
          <w:szCs w:val="24"/>
        </w:rPr>
        <w:t>不同等级辖区事故、违法等数据筛选并支持落图、自动匹配事故点所属一线交</w:t>
      </w:r>
      <w:r>
        <w:rPr>
          <w:rFonts w:hint="eastAsia" w:ascii="宋体" w:hAnsi="宋体" w:eastAsia="宋体" w:cs="宋体"/>
          <w:sz w:val="24"/>
          <w:szCs w:val="24"/>
          <w:lang w:val="en-US" w:eastAsia="zh-CN"/>
        </w:rPr>
        <w:t>管</w:t>
      </w:r>
      <w:r>
        <w:rPr>
          <w:rFonts w:hint="eastAsia" w:ascii="宋体" w:hAnsi="宋体" w:eastAsia="宋体" w:cs="宋体"/>
          <w:sz w:val="24"/>
          <w:szCs w:val="24"/>
        </w:rPr>
        <w:t>大队、支持按兵、师、垦等行政辖区生成事故发生率等专题数据进行辖区筛选生成报表</w:t>
      </w:r>
    </w:p>
    <w:p w14:paraId="06026AC2">
      <w:pPr>
        <w:pStyle w:val="6"/>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大屏总览</w:t>
      </w:r>
    </w:p>
    <w:p w14:paraId="3F27964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路网里程概述：基于基础数据及计算结果数据，对高速里程、事故多发路段里程、隐患路段里程进行统计展示</w:t>
      </w:r>
    </w:p>
    <w:p w14:paraId="3D15959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路网静态画像：对匝道与主路不匹配点、交织区长度过小、急弯、陡坡、易发生急加速路段、易发生急减速路段数量及占比进行统计展示</w:t>
      </w:r>
    </w:p>
    <w:p w14:paraId="75BAE56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隐患统计分析：展示不同等级隐患里程统计，根据区域隐患里程统计结果，列出重大级隐患里程TOP5区域，根据隐患因子的权重计算结果，列出高风险隐患因子TOP5</w:t>
      </w:r>
    </w:p>
    <w:p w14:paraId="0952DF4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实时预警风险路段TOP10：统计展示预警路段里程总数，展示实时预警风险路段TOP10</w:t>
      </w:r>
    </w:p>
    <w:p w14:paraId="3ED7107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事故多发地排行榜：分析六合一数据库，进行数据对接整理，对近不同时间段不同类型事故多发地里程进行统计展示，展示事故多发地里程TOP5城市</w:t>
      </w:r>
    </w:p>
    <w:p w14:paraId="5805459B">
      <w:pPr>
        <w:pStyle w:val="6"/>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AI智能全息画像</w:t>
      </w:r>
      <w:bookmarkEnd w:id="267"/>
    </w:p>
    <w:p w14:paraId="5CBDD36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AI大模型深度剖析导致城市道路安全问题的根源性原因，为科学治理城市交通难题、提升城市交通现代化治理水平、分析城市路网结构现状情况提供路网优化建议，从而降低风险隐患。路网结构评估从路网的拓扑结构出发，客观描绘城市道路网的连通程度、道路的匹配程度以及节点的通达程度，从道路设计、道路交通规划的方面洞察城市道路的症结和制约因素，从城市道路基础条件的改进发力，助力新时期城市交通的治理和发展。</w:t>
      </w:r>
    </w:p>
    <w:p w14:paraId="49E8C4A8">
      <w:pPr>
        <w:pStyle w:val="7"/>
        <w:pageBreakBefore w:val="0"/>
        <w:widowControl w:val="0"/>
        <w:numPr>
          <w:ilvl w:val="0"/>
          <w:numId w:val="0"/>
        </w:numPr>
        <w:tabs>
          <w:tab w:val="clear" w:pos="780"/>
        </w:tabs>
        <w:kinsoku/>
        <w:wordWrap/>
        <w:overflowPunct/>
        <w:topLinePunct w:val="0"/>
        <w:autoSpaceDE/>
        <w:autoSpaceDN/>
        <w:bidi w:val="0"/>
        <w:adjustRightInd/>
        <w:snapToGrid/>
        <w:ind w:firstLine="482"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3.1</w:t>
      </w:r>
      <w:r>
        <w:rPr>
          <w:rFonts w:hint="eastAsia" w:ascii="宋体" w:hAnsi="宋体" w:eastAsia="宋体" w:cs="宋体"/>
          <w:bCs/>
          <w:sz w:val="24"/>
          <w:szCs w:val="24"/>
        </w:rPr>
        <w:t>静态数据治理</w:t>
      </w:r>
    </w:p>
    <w:p w14:paraId="3C4C946C">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基于路段数据识别出平面交叉口、接入口、快速路出入口和断头路。通过梳理道路等级和道路车道数判断道路位阶值，计算路口位阶差。从交叉口节点、道路结构匹配、路网联通三个方面评价城市路网发展情况。</w:t>
      </w:r>
    </w:p>
    <w:p w14:paraId="0EB94D80">
      <w:pPr>
        <w:pStyle w:val="7"/>
        <w:pageBreakBefore w:val="0"/>
        <w:widowControl w:val="0"/>
        <w:numPr>
          <w:ilvl w:val="0"/>
          <w:numId w:val="0"/>
        </w:numPr>
        <w:tabs>
          <w:tab w:val="clear" w:pos="780"/>
        </w:tabs>
        <w:kinsoku/>
        <w:wordWrap/>
        <w:overflowPunct/>
        <w:topLinePunct w:val="0"/>
        <w:autoSpaceDE/>
        <w:autoSpaceDN/>
        <w:bidi w:val="0"/>
        <w:adjustRightInd/>
        <w:snapToGrid/>
        <w:ind w:firstLine="482" w:firstLineChars="200"/>
        <w:jc w:val="left"/>
        <w:textAlignment w:val="auto"/>
        <w:rPr>
          <w:rFonts w:hint="eastAsia" w:ascii="宋体" w:hAnsi="宋体" w:eastAsia="宋体" w:cs="宋体"/>
          <w:bCs/>
          <w:sz w:val="24"/>
          <w:szCs w:val="24"/>
        </w:rPr>
      </w:pPr>
      <w:r>
        <w:rPr>
          <w:rFonts w:hint="eastAsia" w:ascii="宋体" w:hAnsi="宋体" w:eastAsia="宋体" w:cs="宋体"/>
          <w:b/>
          <w:bCs/>
          <w:kern w:val="0"/>
          <w:sz w:val="24"/>
          <w:szCs w:val="24"/>
          <w:lang w:val="zh-CN" w:eastAsia="zh-CN" w:bidi="zh-CN"/>
        </w:rPr>
        <w:t>3.</w:t>
      </w:r>
      <w:r>
        <w:rPr>
          <w:rFonts w:hint="eastAsia" w:ascii="宋体" w:hAnsi="宋体" w:eastAsia="宋体" w:cs="宋体"/>
          <w:b/>
          <w:bCs/>
          <w:kern w:val="0"/>
          <w:sz w:val="24"/>
          <w:szCs w:val="24"/>
          <w:lang w:val="en-US" w:eastAsia="zh-CN" w:bidi="zh-CN"/>
        </w:rPr>
        <w:t>2</w:t>
      </w:r>
      <w:r>
        <w:rPr>
          <w:rFonts w:hint="eastAsia" w:ascii="宋体" w:hAnsi="宋体" w:eastAsia="宋体" w:cs="宋体"/>
          <w:bCs/>
          <w:sz w:val="24"/>
          <w:szCs w:val="24"/>
        </w:rPr>
        <w:t>路网结构风险点识别</w:t>
      </w:r>
    </w:p>
    <w:p w14:paraId="1F7E37F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路网结构风险点识别按照“点、线、面”依次分析路网结构特征。</w:t>
      </w:r>
    </w:p>
    <w:p w14:paraId="6A85FB2D">
      <w:pPr>
        <w:pStyle w:val="7"/>
        <w:pageBreakBefore w:val="0"/>
        <w:widowControl w:val="0"/>
        <w:numPr>
          <w:ilvl w:val="0"/>
          <w:numId w:val="0"/>
        </w:numPr>
        <w:tabs>
          <w:tab w:val="clear" w:pos="780"/>
        </w:tabs>
        <w:kinsoku/>
        <w:wordWrap/>
        <w:overflowPunct/>
        <w:topLinePunct w:val="0"/>
        <w:autoSpaceDE/>
        <w:autoSpaceDN/>
        <w:bidi w:val="0"/>
        <w:adjustRightInd/>
        <w:snapToGrid/>
        <w:ind w:firstLine="482"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3.3</w:t>
      </w:r>
      <w:r>
        <w:rPr>
          <w:rFonts w:hint="eastAsia" w:ascii="宋体" w:hAnsi="宋体" w:eastAsia="宋体" w:cs="宋体"/>
          <w:bCs/>
          <w:sz w:val="24"/>
          <w:szCs w:val="24"/>
        </w:rPr>
        <w:t>路网结构风险点统计分析</w:t>
      </w:r>
    </w:p>
    <w:p w14:paraId="3D6EF23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城市整体路网的角度出发，宏观的评价城市交通特点，统计分析各形态交叉口数量占比、异形交叉口数量占比、各位阶差交叉口数量占比、位阶差较大交叉口数量占比、各位阶差接入口数量占比、位阶差较大接入口数量占比、快速路出入口间距合规比、百公里断头路数量等。</w:t>
      </w:r>
    </w:p>
    <w:p w14:paraId="337D9AAC">
      <w:pPr>
        <w:pStyle w:val="7"/>
        <w:pageBreakBefore w:val="0"/>
        <w:widowControl w:val="0"/>
        <w:numPr>
          <w:ilvl w:val="0"/>
          <w:numId w:val="0"/>
        </w:numPr>
        <w:tabs>
          <w:tab w:val="clear" w:pos="780"/>
        </w:tabs>
        <w:kinsoku/>
        <w:wordWrap/>
        <w:overflowPunct/>
        <w:topLinePunct w:val="0"/>
        <w:autoSpaceDE/>
        <w:autoSpaceDN/>
        <w:bidi w:val="0"/>
        <w:adjustRightInd/>
        <w:snapToGrid/>
        <w:ind w:firstLine="482"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3.4</w:t>
      </w:r>
      <w:r>
        <w:rPr>
          <w:rFonts w:hint="eastAsia" w:ascii="宋体" w:hAnsi="宋体" w:eastAsia="宋体" w:cs="宋体"/>
          <w:bCs/>
          <w:sz w:val="24"/>
          <w:szCs w:val="24"/>
        </w:rPr>
        <w:t>路网结构评估报告</w:t>
      </w:r>
    </w:p>
    <w:p w14:paraId="72F87AB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路网结构评估报告是评价城市整体路网结构发展现状的研究报告，宏观评价城市路网结构特点，将城市道路网的合理性问题量化检验。</w:t>
      </w:r>
    </w:p>
    <w:p w14:paraId="635C38A9">
      <w:pPr>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kern w:val="0"/>
          <w:sz w:val="24"/>
          <w:szCs w:val="24"/>
          <w:lang w:val="en-US" w:eastAsia="zh-CN" w:bidi="zh-CN"/>
        </w:rPr>
      </w:pPr>
      <w:r>
        <w:rPr>
          <w:rFonts w:hint="eastAsia" w:ascii="宋体" w:hAnsi="宋体" w:eastAsia="宋体" w:cs="宋体"/>
          <w:b/>
          <w:bCs/>
          <w:kern w:val="0"/>
          <w:sz w:val="24"/>
          <w:szCs w:val="24"/>
          <w:lang w:val="en-US" w:eastAsia="zh-CN" w:bidi="zh-CN"/>
        </w:rPr>
        <w:t>3.5图层目录</w:t>
      </w:r>
    </w:p>
    <w:p w14:paraId="2B87EBB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基于静态数据治理结果，获取</w:t>
      </w:r>
      <w:r>
        <w:rPr>
          <w:rFonts w:hint="eastAsia" w:ascii="宋体" w:hAnsi="宋体" w:eastAsia="宋体" w:cs="宋体"/>
          <w:sz w:val="24"/>
          <w:szCs w:val="24"/>
          <w:lang w:val="en-US" w:eastAsia="zh-CN"/>
        </w:rPr>
        <w:t>城市</w:t>
      </w:r>
      <w:r>
        <w:rPr>
          <w:rFonts w:hint="eastAsia" w:ascii="宋体" w:hAnsi="宋体" w:eastAsia="宋体" w:cs="宋体"/>
          <w:sz w:val="24"/>
          <w:szCs w:val="24"/>
        </w:rPr>
        <w:t>路网中平面线性、纵面线性、横断面设置、行车条件、交叉口及开口设置等图层相关数据信息，展示</w:t>
      </w:r>
      <w:r>
        <w:rPr>
          <w:rFonts w:hint="eastAsia" w:ascii="宋体" w:hAnsi="宋体" w:eastAsia="宋体" w:cs="宋体"/>
          <w:sz w:val="24"/>
          <w:szCs w:val="24"/>
          <w:lang w:val="en-US" w:eastAsia="zh-CN"/>
        </w:rPr>
        <w:t>城市路</w:t>
      </w:r>
      <w:r>
        <w:rPr>
          <w:rFonts w:hint="eastAsia" w:ascii="宋体" w:hAnsi="宋体" w:eastAsia="宋体" w:cs="宋体"/>
          <w:sz w:val="24"/>
          <w:szCs w:val="24"/>
        </w:rPr>
        <w:t>网中各图层及指标统计。</w:t>
      </w:r>
    </w:p>
    <w:p w14:paraId="0C0F9EAB">
      <w:pPr>
        <w:pStyle w:val="6"/>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sz w:val="24"/>
          <w:szCs w:val="24"/>
        </w:rPr>
      </w:pPr>
      <w:bookmarkStart w:id="268" w:name="_Toc195796681"/>
      <w:r>
        <w:rPr>
          <w:rFonts w:hint="eastAsia" w:ascii="宋体" w:hAnsi="宋体" w:eastAsia="宋体" w:cs="宋体"/>
          <w:sz w:val="24"/>
          <w:szCs w:val="24"/>
          <w:lang w:val="en-US" w:eastAsia="zh-CN"/>
        </w:rPr>
        <w:t>4.</w:t>
      </w:r>
      <w:r>
        <w:rPr>
          <w:rFonts w:hint="eastAsia" w:ascii="宋体" w:hAnsi="宋体" w:eastAsia="宋体" w:cs="宋体"/>
          <w:sz w:val="24"/>
          <w:szCs w:val="24"/>
        </w:rPr>
        <w:t>智能化隐患采集</w:t>
      </w:r>
      <w:bookmarkEnd w:id="268"/>
    </w:p>
    <w:p w14:paraId="63BD7EC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隐患采集</w:t>
      </w:r>
      <w:bookmarkStart w:id="269" w:name="_Hlk141722722"/>
      <w:r>
        <w:rPr>
          <w:rFonts w:hint="eastAsia" w:ascii="宋体" w:hAnsi="宋体" w:eastAsia="宋体" w:cs="宋体"/>
          <w:sz w:val="24"/>
          <w:szCs w:val="24"/>
        </w:rPr>
        <w:t>一方面基于地图矢量数据静态智能识别道路风险隐患点；另一方面通过车端实现道路设施、道路设备的智能化采集，利用AI技术、视频识别技术、语义融合差分算法、识别要素定位算法、要素与地图关联算法、静态指标前后固定距离线形算法、隐患因子识别算法、隐患因子关联规则挖掘算法等，获取道路警告标志、禁止标志、指示标志、指路标志、告示标志信息，同时结合路网结构分析结果，建立标志缺失识别算法、标志数量不合理算法，自动识别道路标志标牌隐患。基于大模型的多模态能力，快速有效识别出城市道路隐患，赋能于交警部门隐患排查治理工作，辅助交警自动识别、定期排查道路隐患，提高隐患排查效能</w:t>
      </w:r>
      <w:bookmarkEnd w:id="269"/>
      <w:r>
        <w:rPr>
          <w:rFonts w:hint="eastAsia" w:ascii="宋体" w:hAnsi="宋体" w:eastAsia="宋体" w:cs="宋体"/>
          <w:sz w:val="24"/>
          <w:szCs w:val="24"/>
        </w:rPr>
        <w:t>，通过对道路隐患全流程跟踪、信息化管理，提高隐患处置效率、降低事故风险，构建公众安全、顺畅、有序的出行环境，不断提高群众出行安全感、获得感和满意度。</w:t>
      </w:r>
    </w:p>
    <w:p w14:paraId="1D898C2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rPr>
        <w:t>隐患采集模块</w:t>
      </w:r>
      <w:r>
        <w:rPr>
          <w:rFonts w:hint="eastAsia" w:ascii="宋体" w:hAnsi="宋体" w:eastAsia="宋体" w:cs="宋体"/>
          <w:sz w:val="24"/>
          <w:szCs w:val="24"/>
        </w:rPr>
        <w:t>包括采集道路筛选、道路基本信息、道路沿线设备、道路隐患、历史事故五个功能模块。同时支持道路隐患图层、历史事故图层、路网结构图层、沿线设施图层、沿线设备图层勾选。道路</w:t>
      </w:r>
      <w:r>
        <w:rPr>
          <w:rFonts w:hint="eastAsia" w:ascii="宋体" w:hAnsi="宋体" w:eastAsia="宋体" w:cs="宋体"/>
          <w:sz w:val="24"/>
          <w:szCs w:val="24"/>
          <w:lang w:val="en-US" w:eastAsia="zh-CN"/>
        </w:rPr>
        <w:t>智能</w:t>
      </w:r>
      <w:r>
        <w:rPr>
          <w:rFonts w:hint="eastAsia" w:ascii="宋体" w:hAnsi="宋体" w:eastAsia="宋体" w:cs="宋体"/>
          <w:sz w:val="24"/>
          <w:szCs w:val="24"/>
        </w:rPr>
        <w:t>巡检</w:t>
      </w:r>
      <w:r>
        <w:rPr>
          <w:rFonts w:hint="eastAsia" w:ascii="宋体" w:hAnsi="宋体" w:eastAsia="宋体" w:cs="宋体"/>
          <w:sz w:val="24"/>
          <w:szCs w:val="24"/>
          <w:lang w:val="en-US" w:eastAsia="zh-CN"/>
        </w:rPr>
        <w:t>应</w:t>
      </w:r>
      <w:r>
        <w:rPr>
          <w:rFonts w:hint="eastAsia" w:ascii="宋体" w:hAnsi="宋体" w:eastAsia="宋体" w:cs="宋体"/>
          <w:sz w:val="24"/>
          <w:szCs w:val="24"/>
        </w:rPr>
        <w:t>包括</w:t>
      </w:r>
      <w:r>
        <w:rPr>
          <w:rFonts w:hint="eastAsia" w:ascii="宋体" w:hAnsi="宋体" w:eastAsia="宋体" w:cs="宋体"/>
          <w:sz w:val="24"/>
          <w:szCs w:val="24"/>
          <w:lang w:val="en-US" w:eastAsia="zh-CN"/>
        </w:rPr>
        <w:t>以下能力</w:t>
      </w:r>
      <w:r>
        <w:rPr>
          <w:rFonts w:hint="eastAsia" w:ascii="宋体" w:hAnsi="宋体" w:eastAsia="宋体" w:cs="宋体"/>
          <w:sz w:val="24"/>
          <w:szCs w:val="24"/>
        </w:rPr>
        <w:t>：交安设施隐患、路面病害、沿线设施损坏、资产类要素等进行识别。</w:t>
      </w:r>
    </w:p>
    <w:p w14:paraId="6656D26D">
      <w:pPr>
        <w:pStyle w:val="6"/>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sz w:val="24"/>
          <w:szCs w:val="24"/>
        </w:rPr>
      </w:pPr>
      <w:bookmarkStart w:id="270" w:name="_Toc195796682"/>
      <w:r>
        <w:rPr>
          <w:rFonts w:hint="eastAsia" w:ascii="宋体" w:hAnsi="宋体" w:eastAsia="宋体" w:cs="宋体"/>
          <w:sz w:val="24"/>
          <w:szCs w:val="24"/>
          <w:lang w:val="en-US" w:eastAsia="zh-CN"/>
        </w:rPr>
        <w:t>5.</w:t>
      </w:r>
      <w:r>
        <w:rPr>
          <w:rFonts w:hint="eastAsia" w:ascii="宋体" w:hAnsi="宋体" w:eastAsia="宋体" w:cs="宋体"/>
          <w:sz w:val="24"/>
          <w:szCs w:val="24"/>
        </w:rPr>
        <w:t>隐患排查智能模型构建</w:t>
      </w:r>
      <w:bookmarkEnd w:id="270"/>
    </w:p>
    <w:p w14:paraId="4CD1718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构建智能模型，按照属地管理、分级负责、谁主管谁负责的原则，及时发现并排除事故隐患，为有效预防和减少交通事故，保障公路安全畅通和人民群众生命财产安全提供保障。通过模型为交管部门制订安全风险检查计划，并提供隐患清单管理、隐患排查管理、隐患治理管理、隐患督办管理、隐患信息管理等闭环管理功能。实现隐患从清单整理、日常排查、隐患上报、隐患治理、结果反馈的全生命周期管理。</w:t>
      </w:r>
    </w:p>
    <w:p w14:paraId="45E4E560">
      <w:pPr>
        <w:pStyle w:val="7"/>
        <w:pageBreakBefore w:val="0"/>
        <w:widowControl w:val="0"/>
        <w:numPr>
          <w:ilvl w:val="0"/>
          <w:numId w:val="0"/>
        </w:numPr>
        <w:tabs>
          <w:tab w:val="clear" w:pos="780"/>
        </w:tabs>
        <w:kinsoku/>
        <w:wordWrap/>
        <w:overflowPunct/>
        <w:topLinePunct w:val="0"/>
        <w:autoSpaceDE/>
        <w:autoSpaceDN/>
        <w:bidi w:val="0"/>
        <w:adjustRightInd/>
        <w:snapToGrid/>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5.1</w:t>
      </w:r>
      <w:r>
        <w:rPr>
          <w:rFonts w:hint="eastAsia" w:ascii="宋体" w:hAnsi="宋体" w:eastAsia="宋体" w:cs="宋体"/>
          <w:sz w:val="24"/>
          <w:szCs w:val="24"/>
        </w:rPr>
        <w:t>隐患路段分析</w:t>
      </w:r>
    </w:p>
    <w:p w14:paraId="22645BA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依据行业相关标准规范依据，通过对隐患路段各类相关数据进行分析，通过</w:t>
      </w:r>
      <w:r>
        <w:rPr>
          <w:rFonts w:hint="eastAsia" w:ascii="宋体" w:hAnsi="宋体" w:eastAsia="宋体" w:cs="宋体"/>
          <w:sz w:val="24"/>
          <w:szCs w:val="24"/>
          <w:lang w:val="en-US" w:eastAsia="zh-CN"/>
        </w:rPr>
        <w:t>智能</w:t>
      </w:r>
      <w:r>
        <w:rPr>
          <w:rFonts w:hint="eastAsia" w:ascii="宋体" w:hAnsi="宋体" w:eastAsia="宋体" w:cs="宋体"/>
          <w:sz w:val="24"/>
          <w:szCs w:val="24"/>
        </w:rPr>
        <w:t>模型进行数据统计，展示所有隐患路段，并以列表形式展示。</w:t>
      </w:r>
    </w:p>
    <w:p w14:paraId="4EE8C55A">
      <w:pPr>
        <w:pStyle w:val="7"/>
        <w:pageBreakBefore w:val="0"/>
        <w:widowControl w:val="0"/>
        <w:numPr>
          <w:ilvl w:val="0"/>
          <w:numId w:val="0"/>
        </w:numPr>
        <w:tabs>
          <w:tab w:val="clear" w:pos="780"/>
        </w:tabs>
        <w:kinsoku/>
        <w:wordWrap/>
        <w:overflowPunct/>
        <w:topLinePunct w:val="0"/>
        <w:autoSpaceDE/>
        <w:autoSpaceDN/>
        <w:bidi w:val="0"/>
        <w:adjustRightInd/>
        <w:snapToGrid/>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5.2</w:t>
      </w:r>
      <w:r>
        <w:rPr>
          <w:rFonts w:hint="eastAsia" w:ascii="宋体" w:hAnsi="宋体" w:eastAsia="宋体" w:cs="宋体"/>
          <w:sz w:val="24"/>
          <w:szCs w:val="24"/>
        </w:rPr>
        <w:t>隐患治理管理</w:t>
      </w:r>
    </w:p>
    <w:p w14:paraId="71C595D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为责任部门对隐患问题的整改工作、跟踪复查提供治理方案的制定、治理方案审核、治理落实反馈功能，并对隐患的治理情况进行统计分析。</w:t>
      </w:r>
    </w:p>
    <w:p w14:paraId="394A10FA">
      <w:pPr>
        <w:pStyle w:val="7"/>
        <w:pageBreakBefore w:val="0"/>
        <w:widowControl w:val="0"/>
        <w:numPr>
          <w:ilvl w:val="0"/>
          <w:numId w:val="0"/>
        </w:numPr>
        <w:tabs>
          <w:tab w:val="clear" w:pos="780"/>
        </w:tabs>
        <w:kinsoku/>
        <w:wordWrap/>
        <w:overflowPunct/>
        <w:topLinePunct w:val="0"/>
        <w:autoSpaceDE/>
        <w:autoSpaceDN/>
        <w:bidi w:val="0"/>
        <w:adjustRightInd/>
        <w:snapToGrid/>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5.3</w:t>
      </w:r>
      <w:r>
        <w:rPr>
          <w:rFonts w:hint="eastAsia" w:ascii="宋体" w:hAnsi="宋体" w:eastAsia="宋体" w:cs="宋体"/>
          <w:sz w:val="24"/>
          <w:szCs w:val="24"/>
        </w:rPr>
        <w:t>隐患信息管理</w:t>
      </w:r>
    </w:p>
    <w:p w14:paraId="4CC9AE8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提供排查情况汇总、隐患情况汇总、提醒及预警功能，统一记录对应级别权限内的隐患信息，为支队大队中队在巡查执法检查过程中发现的隐患信息进行统计分析</w:t>
      </w:r>
      <w:r>
        <w:rPr>
          <w:rFonts w:hint="eastAsia" w:ascii="宋体" w:hAnsi="宋体" w:eastAsia="宋体" w:cs="宋体"/>
          <w:sz w:val="24"/>
          <w:szCs w:val="24"/>
          <w:lang w:eastAsia="zh-CN"/>
        </w:rPr>
        <w:t>。</w:t>
      </w:r>
    </w:p>
    <w:p w14:paraId="23D9FDB4">
      <w:pPr>
        <w:pStyle w:val="6"/>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sz w:val="24"/>
          <w:szCs w:val="24"/>
        </w:rPr>
      </w:pPr>
      <w:bookmarkStart w:id="271" w:name="_Toc195796683"/>
      <w:r>
        <w:rPr>
          <w:rFonts w:hint="eastAsia" w:ascii="宋体" w:hAnsi="宋体" w:eastAsia="宋体" w:cs="宋体"/>
          <w:sz w:val="24"/>
          <w:szCs w:val="24"/>
          <w:lang w:val="en-US" w:eastAsia="zh-CN"/>
        </w:rPr>
        <w:t>6.</w:t>
      </w:r>
      <w:r>
        <w:rPr>
          <w:rFonts w:hint="eastAsia" w:ascii="宋体" w:hAnsi="宋体" w:eastAsia="宋体" w:cs="宋体"/>
          <w:sz w:val="24"/>
          <w:szCs w:val="24"/>
        </w:rPr>
        <w:t>动态实时监测预警</w:t>
      </w:r>
      <w:bookmarkEnd w:id="271"/>
    </w:p>
    <w:p w14:paraId="6FF4623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基于实时天气数据、实时路况数据、静态路网结构特征以及交通事故数据，建立安全风险预警模型，提供综合风险指数、风险等级的诱因排名，以及具体的静态指标、气象、道路事件及路况的详细信息。</w:t>
      </w:r>
      <w:r>
        <w:rPr>
          <w:rFonts w:hint="eastAsia" w:ascii="宋体" w:hAnsi="宋体" w:eastAsia="宋体" w:cs="宋体"/>
          <w:sz w:val="24"/>
          <w:szCs w:val="24"/>
          <w:lang w:val="en-US" w:eastAsia="zh-CN"/>
        </w:rPr>
        <w:t>分级</w:t>
      </w:r>
      <w:r>
        <w:rPr>
          <w:rFonts w:hint="eastAsia" w:ascii="宋体" w:hAnsi="宋体" w:eastAsia="宋体" w:cs="宋体"/>
          <w:sz w:val="24"/>
          <w:szCs w:val="24"/>
        </w:rPr>
        <w:t>统计路网实时预警里程</w:t>
      </w:r>
      <w:r>
        <w:rPr>
          <w:rFonts w:hint="eastAsia" w:ascii="宋体" w:hAnsi="宋体" w:eastAsia="宋体" w:cs="宋体"/>
          <w:sz w:val="24"/>
          <w:szCs w:val="24"/>
          <w:lang w:eastAsia="zh-CN"/>
        </w:rPr>
        <w:t>，</w:t>
      </w:r>
      <w:r>
        <w:rPr>
          <w:rFonts w:hint="eastAsia" w:ascii="宋体" w:hAnsi="宋体" w:eastAsia="宋体" w:cs="宋体"/>
          <w:sz w:val="24"/>
          <w:szCs w:val="24"/>
        </w:rPr>
        <w:t>从线形结构、POI点位、常发拥堵路段以及常发速度突变点4个方面监测预警路段1km范围内的路网结构，辅助交警认知预警路段周边路网特征。对预警路段进行深度剖析</w:t>
      </w:r>
      <w:r>
        <w:rPr>
          <w:rFonts w:hint="eastAsia" w:ascii="宋体" w:hAnsi="宋体" w:eastAsia="宋体" w:cs="宋体"/>
          <w:sz w:val="24"/>
          <w:szCs w:val="24"/>
          <w:lang w:eastAsia="zh-CN"/>
        </w:rPr>
        <w:t>，</w:t>
      </w:r>
      <w:r>
        <w:rPr>
          <w:rFonts w:hint="eastAsia" w:ascii="宋体" w:hAnsi="宋体" w:eastAsia="宋体" w:cs="宋体"/>
          <w:sz w:val="24"/>
          <w:szCs w:val="24"/>
        </w:rPr>
        <w:t>识别预警路段风险因子</w:t>
      </w:r>
      <w:r>
        <w:rPr>
          <w:rFonts w:hint="eastAsia" w:ascii="宋体" w:hAnsi="宋体" w:eastAsia="宋体" w:cs="宋体"/>
          <w:sz w:val="24"/>
          <w:szCs w:val="24"/>
          <w:lang w:eastAsia="zh-CN"/>
        </w:rPr>
        <w:t>，</w:t>
      </w:r>
      <w:r>
        <w:rPr>
          <w:rFonts w:hint="eastAsia" w:ascii="宋体" w:hAnsi="宋体" w:eastAsia="宋体" w:cs="宋体"/>
          <w:sz w:val="24"/>
          <w:szCs w:val="24"/>
        </w:rPr>
        <w:t>输出各个风险因子的排名，直观展示各个诱因因子与事故多发路段的空间关联情况。提供预警路段详情及诱因分析排名，以及具体的静态指标、气象、道路事件及路况的详细信息。从而辅助提前感知风险，制定预案，降低道路安全风险。</w:t>
      </w:r>
    </w:p>
    <w:p w14:paraId="29E1A735">
      <w:pPr>
        <w:pStyle w:val="6"/>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sz w:val="24"/>
          <w:szCs w:val="24"/>
        </w:rPr>
      </w:pPr>
      <w:bookmarkStart w:id="272" w:name="_Toc195796684"/>
      <w:r>
        <w:rPr>
          <w:rFonts w:hint="eastAsia" w:ascii="宋体" w:hAnsi="宋体" w:eastAsia="宋体" w:cs="宋体"/>
          <w:sz w:val="24"/>
          <w:szCs w:val="24"/>
          <w:lang w:val="en-US" w:eastAsia="zh-CN"/>
        </w:rPr>
        <w:t>7.</w:t>
      </w:r>
      <w:r>
        <w:rPr>
          <w:rFonts w:hint="eastAsia" w:ascii="宋体" w:hAnsi="宋体" w:eastAsia="宋体" w:cs="宋体"/>
          <w:sz w:val="24"/>
          <w:szCs w:val="24"/>
        </w:rPr>
        <w:t>智能化事故深度研判</w:t>
      </w:r>
      <w:bookmarkEnd w:id="272"/>
    </w:p>
    <w:p w14:paraId="3D75A76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基于</w:t>
      </w:r>
      <w:r>
        <w:rPr>
          <w:rFonts w:hint="eastAsia" w:ascii="宋体" w:hAnsi="宋体" w:eastAsia="宋体" w:cs="宋体"/>
          <w:sz w:val="24"/>
          <w:szCs w:val="24"/>
          <w:lang w:val="en-US" w:eastAsia="zh-CN"/>
        </w:rPr>
        <w:t>智能模型</w:t>
      </w:r>
      <w:r>
        <w:rPr>
          <w:rFonts w:hint="eastAsia" w:ascii="宋体" w:hAnsi="宋体" w:eastAsia="宋体" w:cs="宋体"/>
          <w:sz w:val="24"/>
          <w:szCs w:val="24"/>
        </w:rPr>
        <w:t>对数据智能化筛选分析能力，对历史事故数据识别事故多发地，建立事故诱因判别模型对事故多发地进行深度分析，从静态特征切入，对于事故多发影响因子进行分析。实现交管部门对自身业务数据的高质量应用。</w:t>
      </w:r>
      <w:r>
        <w:rPr>
          <w:rFonts w:hint="eastAsia" w:ascii="宋体" w:hAnsi="宋体" w:eastAsia="宋体" w:cs="宋体"/>
          <w:sz w:val="24"/>
          <w:szCs w:val="24"/>
          <w:lang w:val="en-US" w:eastAsia="zh-CN"/>
        </w:rPr>
        <w:t>包括但不限于</w:t>
      </w:r>
      <w:r>
        <w:rPr>
          <w:rFonts w:hint="eastAsia" w:ascii="宋体" w:hAnsi="宋体" w:eastAsia="宋体" w:cs="宋体"/>
          <w:sz w:val="24"/>
          <w:szCs w:val="24"/>
        </w:rPr>
        <w:t>限速变化点、隧道、桥梁、车道数变化点等与交通事故结合研判形成有高可操作性的研判思路分析，为交警部门从事故源头逐步降低事故发生概率与事故严重程度提供决策依据。同时在多维度分析结果完成后利用</w:t>
      </w:r>
      <w:r>
        <w:rPr>
          <w:rFonts w:hint="eastAsia" w:ascii="宋体" w:hAnsi="宋体" w:eastAsia="宋体" w:cs="宋体"/>
          <w:sz w:val="24"/>
          <w:szCs w:val="24"/>
          <w:lang w:val="en-US" w:eastAsia="zh-CN"/>
        </w:rPr>
        <w:t>智能</w:t>
      </w:r>
      <w:r>
        <w:rPr>
          <w:rFonts w:hint="eastAsia" w:ascii="宋体" w:hAnsi="宋体" w:eastAsia="宋体" w:cs="宋体"/>
          <w:sz w:val="24"/>
          <w:szCs w:val="24"/>
        </w:rPr>
        <w:t>文档生成能力</w:t>
      </w:r>
      <w:r>
        <w:rPr>
          <w:rFonts w:hint="eastAsia" w:ascii="宋体" w:hAnsi="宋体" w:eastAsia="宋体" w:cs="宋体"/>
          <w:sz w:val="24"/>
          <w:szCs w:val="24"/>
          <w:lang w:eastAsia="zh-CN"/>
        </w:rPr>
        <w:t>，</w:t>
      </w:r>
      <w:r>
        <w:rPr>
          <w:rFonts w:hint="eastAsia" w:ascii="宋体" w:hAnsi="宋体" w:eastAsia="宋体" w:cs="宋体"/>
          <w:sz w:val="24"/>
          <w:szCs w:val="24"/>
        </w:rPr>
        <w:t>实现事故隐患点的多维度分析报告，按照业务要求模版自动化生成初版报告，业务人员在报告中进行结合实际业务现实情况的修改调整</w:t>
      </w:r>
      <w:r>
        <w:rPr>
          <w:rFonts w:hint="eastAsia" w:ascii="宋体" w:hAnsi="宋体" w:eastAsia="宋体" w:cs="宋体"/>
          <w:sz w:val="24"/>
          <w:szCs w:val="24"/>
          <w:lang w:eastAsia="zh-CN"/>
        </w:rPr>
        <w:t>。</w:t>
      </w:r>
    </w:p>
    <w:p w14:paraId="729F6C33">
      <w:pPr>
        <w:pStyle w:val="6"/>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8.智能模型</w:t>
      </w:r>
      <w:r>
        <w:rPr>
          <w:rFonts w:hint="eastAsia" w:ascii="宋体" w:hAnsi="宋体" w:eastAsia="宋体" w:cs="宋体"/>
          <w:sz w:val="24"/>
          <w:szCs w:val="24"/>
        </w:rPr>
        <w:t>部署</w:t>
      </w:r>
    </w:p>
    <w:p w14:paraId="0492E6D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基于智能模型本地化部署，定制</w:t>
      </w:r>
      <w:r>
        <w:rPr>
          <w:rFonts w:hint="eastAsia" w:ascii="宋体" w:hAnsi="宋体" w:eastAsia="宋体" w:cs="宋体"/>
          <w:sz w:val="24"/>
          <w:szCs w:val="24"/>
          <w:lang w:val="en-US" w:eastAsia="zh-CN"/>
        </w:rPr>
        <w:t>交通管理行业</w:t>
      </w:r>
      <w:r>
        <w:rPr>
          <w:rFonts w:hint="eastAsia" w:ascii="宋体" w:hAnsi="宋体" w:eastAsia="宋体" w:cs="宋体"/>
          <w:sz w:val="24"/>
          <w:szCs w:val="24"/>
        </w:rPr>
        <w:t>大模型训练，包括数据预处理、数据清洗、数据标注、模型框架优化、分布式训练等部署优化措施，实现模型学习机制搭建及模型训练能力。</w:t>
      </w:r>
    </w:p>
    <w:p w14:paraId="2450478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通过地图数据和前端设备视频CV能力进行隐患采集排查进行隐患采集排查模型训练。使用CV识别模型，验证静态数据或视频采集数据中隐患识别精度及准确率</w:t>
      </w:r>
      <w:r>
        <w:rPr>
          <w:rFonts w:hint="eastAsia" w:ascii="宋体" w:hAnsi="宋体" w:eastAsia="宋体" w:cs="宋体"/>
          <w:sz w:val="24"/>
          <w:szCs w:val="24"/>
          <w:lang w:eastAsia="zh-CN"/>
        </w:rPr>
        <w:t>。</w:t>
      </w:r>
      <w:r>
        <w:rPr>
          <w:rFonts w:hint="eastAsia" w:ascii="宋体" w:hAnsi="宋体" w:eastAsia="宋体" w:cs="宋体"/>
          <w:sz w:val="24"/>
          <w:szCs w:val="24"/>
        </w:rPr>
        <w:t>针对CV识别采集时对应车辆定位信息，将视频中检测到的视频位置与电子地图坐标关联，实现轨迹追踪，并结合电子地图进行问题设施设备点位上图，对问题资产要素进行查看管理。</w:t>
      </w:r>
    </w:p>
    <w:p w14:paraId="3F9E8C8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依托路网数据、ADAS数据等静态信息，以及实时路况数据、天气事件数据等动态信息，再结合历史事故数据和</w:t>
      </w:r>
      <w:r>
        <w:rPr>
          <w:rFonts w:hint="eastAsia" w:ascii="宋体" w:hAnsi="宋体" w:eastAsia="宋体" w:cs="宋体"/>
          <w:sz w:val="24"/>
          <w:szCs w:val="24"/>
          <w:lang w:val="en-US" w:eastAsia="zh-CN"/>
        </w:rPr>
        <w:t>综合应用平台</w:t>
      </w:r>
      <w:r>
        <w:rPr>
          <w:rFonts w:hint="eastAsia" w:ascii="宋体" w:hAnsi="宋体" w:eastAsia="宋体" w:cs="宋体"/>
          <w:sz w:val="24"/>
          <w:szCs w:val="24"/>
        </w:rPr>
        <w:t>业务数据，通过</w:t>
      </w:r>
      <w:r>
        <w:rPr>
          <w:rFonts w:hint="eastAsia" w:ascii="宋体" w:hAnsi="宋体" w:eastAsia="宋体" w:cs="宋体"/>
          <w:sz w:val="24"/>
          <w:szCs w:val="24"/>
          <w:lang w:val="en-US" w:eastAsia="zh-CN"/>
        </w:rPr>
        <w:t>智能</w:t>
      </w:r>
      <w:r>
        <w:rPr>
          <w:rFonts w:hint="eastAsia" w:ascii="宋体" w:hAnsi="宋体" w:eastAsia="宋体" w:cs="宋体"/>
          <w:sz w:val="24"/>
          <w:szCs w:val="24"/>
        </w:rPr>
        <w:t>模型算法进行综合分析，最终输出精准结果。</w:t>
      </w:r>
    </w:p>
    <w:p w14:paraId="387ED868">
      <w:pPr>
        <w:pStyle w:val="6"/>
        <w:bidi w:val="0"/>
        <w:jc w:val="center"/>
        <w:rPr>
          <w:rFonts w:hint="eastAsia" w:ascii="宋体" w:hAnsi="宋体" w:eastAsia="宋体" w:cs="宋体"/>
          <w:sz w:val="24"/>
          <w:szCs w:val="24"/>
        </w:rPr>
      </w:pPr>
      <w:r>
        <w:rPr>
          <w:rFonts w:hint="eastAsia" w:ascii="宋体" w:hAnsi="宋体" w:eastAsia="宋体" w:cs="宋体"/>
          <w:sz w:val="24"/>
          <w:szCs w:val="24"/>
        </w:rPr>
        <w:t>安全设计</w:t>
      </w:r>
    </w:p>
    <w:p w14:paraId="4B72284D">
      <w:pPr>
        <w:spacing w:line="360" w:lineRule="auto"/>
        <w:ind w:firstLine="484" w:firstLineChars="202"/>
        <w:rPr>
          <w:rFonts w:hint="eastAsia" w:ascii="宋体" w:hAnsi="宋体" w:eastAsia="宋体" w:cs="宋体"/>
          <w:sz w:val="24"/>
          <w:szCs w:val="24"/>
        </w:rPr>
      </w:pPr>
      <w:r>
        <w:rPr>
          <w:rFonts w:hint="eastAsia" w:cs="宋体"/>
          <w:sz w:val="24"/>
          <w:szCs w:val="24"/>
          <w:lang w:val="en-US" w:eastAsia="zh-CN"/>
        </w:rPr>
        <w:t>1.</w:t>
      </w:r>
      <w:r>
        <w:rPr>
          <w:rFonts w:hint="eastAsia" w:ascii="宋体" w:hAnsi="宋体" w:eastAsia="宋体" w:cs="宋体"/>
          <w:sz w:val="24"/>
          <w:szCs w:val="24"/>
        </w:rPr>
        <w:t>根据《公安交通管理信息系统安全防范体系建设规范》要求，对交通管理信息系统相关的硬件平台环境、网络环境、软件平台环境、应用系统软件等内容进行安全设计。重点针对数据安全访问、系统设计安全、安全审计监控、数据安全备份等环节，强化安全技术措施应用。本项目建设信息系统应当符合《计算机信息系统安全保护条例》（国务院令147号）、《信息安全等级保护管理办法》（公通字〔2007〕43号）、《信息安全技术 网络安全等级保护基本要求》（GB/T 22239-2019）、《信息安全技术 信息系统密码应用基本要求》（GB/T 39786-2021）等文件规定，参照网络安全等级保护三级开展安全设计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本次项目利用</w:t>
      </w:r>
      <w:r>
        <w:rPr>
          <w:rFonts w:hint="eastAsia" w:ascii="宋体" w:hAnsi="宋体" w:eastAsia="宋体" w:cs="宋体"/>
          <w:color w:val="auto"/>
          <w:sz w:val="24"/>
          <w:szCs w:val="24"/>
          <w:highlight w:val="none"/>
          <w:lang w:val="en-US" w:eastAsia="zh-CN"/>
        </w:rPr>
        <w:t>建设单位现有数据库与存储。</w:t>
      </w:r>
    </w:p>
    <w:p w14:paraId="2DFEDF13">
      <w:pPr>
        <w:keepNext/>
        <w:keepLines/>
        <w:widowControl w:val="0"/>
        <w:numPr>
          <w:ilvl w:val="0"/>
          <w:numId w:val="0"/>
        </w:numPr>
        <w:spacing w:line="360" w:lineRule="auto"/>
        <w:ind w:left="566" w:leftChars="0"/>
        <w:jc w:val="center"/>
        <w:outlineLvl w:val="1"/>
        <w:rPr>
          <w:rFonts w:hint="eastAsia" w:ascii="宋体" w:hAnsi="宋体" w:eastAsia="宋体" w:cs="宋体"/>
          <w:b/>
          <w:bCs/>
          <w:kern w:val="2"/>
          <w:sz w:val="24"/>
          <w:szCs w:val="24"/>
          <w:highlight w:val="none"/>
          <w:lang w:val="en-US" w:eastAsia="zh-CN" w:bidi="ar-SA"/>
        </w:rPr>
      </w:pPr>
      <w:bookmarkStart w:id="273" w:name="_Toc7168"/>
      <w:bookmarkStart w:id="274" w:name="_Toc14104"/>
      <w:r>
        <w:rPr>
          <w:rFonts w:hint="eastAsia" w:ascii="宋体" w:hAnsi="宋体" w:eastAsia="宋体" w:cs="宋体"/>
          <w:b/>
          <w:bCs/>
          <w:kern w:val="2"/>
          <w:sz w:val="24"/>
          <w:szCs w:val="24"/>
          <w:highlight w:val="none"/>
          <w:lang w:val="en-US" w:eastAsia="zh-CN" w:bidi="ar-SA"/>
        </w:rPr>
        <w:t>验收、售后服务与技术要求</w:t>
      </w:r>
      <w:bookmarkEnd w:id="273"/>
      <w:bookmarkEnd w:id="274"/>
    </w:p>
    <w:p w14:paraId="0D35C150">
      <w:pPr>
        <w:spacing w:line="360" w:lineRule="auto"/>
        <w:ind w:firstLine="484" w:firstLineChars="20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lang w:val="en-US" w:eastAsia="zh-CN"/>
        </w:rPr>
        <w:t>本项目中标单位需承诺项目终验交付之日起提供5年及以上的售后维护服务，服务包括但不限于以下内容：提供7×24小时电话报障受理服务，1小时内给予响应，2小时内到达现场，故障处置时间不超过24小时。</w:t>
      </w:r>
    </w:p>
    <w:p w14:paraId="7B0B128B">
      <w:pPr>
        <w:pStyle w:val="12"/>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SA"/>
        </w:rPr>
        <w:t>2.需承诺</w:t>
      </w:r>
      <w:r>
        <w:rPr>
          <w:rFonts w:hint="eastAsia" w:ascii="宋体" w:hAnsi="宋体" w:eastAsia="宋体" w:cs="宋体"/>
          <w:kern w:val="2"/>
          <w:sz w:val="24"/>
          <w:szCs w:val="24"/>
          <w:lang w:val="en-US" w:eastAsia="zh-CN" w:bidi="ar-SA"/>
        </w:rPr>
        <w:t>提供全部软件的版本升级及调优服务，系统漏洞处置服务。根据上级单位文件要求，调整和优化软件的功能、参数、业务流程。根据信息安全相关要求，接入统一身份认证、日志审计、数据库审计、安全监管系统等信息安全管理系统，对接建设单位综合应用平台</w:t>
      </w:r>
      <w:r>
        <w:rPr>
          <w:rFonts w:hint="eastAsia" w:ascii="宋体" w:hAnsi="宋体" w:eastAsia="宋体" w:cs="宋体"/>
          <w:kern w:val="2"/>
          <w:sz w:val="24"/>
          <w:szCs w:val="24"/>
          <w:highlight w:val="none"/>
          <w:lang w:val="en-US" w:eastAsia="zh-CN" w:bidi="ar-SA"/>
        </w:rPr>
        <w:t>。以上工作包含在本项目投标报价中，不得额外向采购人收取费用。</w:t>
      </w:r>
    </w:p>
    <w:p w14:paraId="20138E23">
      <w:pPr>
        <w:spacing w:line="360" w:lineRule="auto"/>
        <w:ind w:firstLine="484" w:firstLineChars="202"/>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3.需</w:t>
      </w:r>
      <w:r>
        <w:rPr>
          <w:rFonts w:hint="eastAsia" w:ascii="宋体" w:hAnsi="宋体" w:eastAsia="宋体" w:cs="宋体"/>
          <w:sz w:val="24"/>
          <w:szCs w:val="24"/>
          <w:lang w:val="en-US" w:eastAsia="zh-CN"/>
        </w:rPr>
        <w:t>承诺所提供的硬件设备仅限于现场维修或更换，其中存储和网络部件出现故障后，实行坏件不返还措施。</w:t>
      </w:r>
    </w:p>
    <w:p w14:paraId="3AF827B2">
      <w:pPr>
        <w:spacing w:line="360" w:lineRule="auto"/>
        <w:ind w:firstLine="484" w:firstLineChars="20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为贯彻落实《中华人民共和国网络安全法》、《关于加快国产化进程的指导意见》等工作要求，本次项目建设涉及的硬件设备、系统软件、应用软件等应当使用国产化产品。系统软件应当具有自主知识产权或著作权、无知识产权纠纷、具备二次开发能力的产品。应用软件要适配国产操作系统和硬件环境能够与芯片、服务器、操作系统等主流厂商的产品全栈兼容支持主流的技术开发架构，如微服务、分布式技术等，支持统一的接口适配。</w:t>
      </w:r>
    </w:p>
    <w:p w14:paraId="2F7A3E6C">
      <w:pPr>
        <w:spacing w:line="360" w:lineRule="auto"/>
        <w:ind w:firstLine="484" w:firstLineChars="202"/>
        <w:rPr>
          <w:rFonts w:hint="eastAsia" w:ascii="宋体" w:hAnsi="宋体" w:eastAsia="宋体" w:cs="宋体"/>
          <w:sz w:val="24"/>
          <w:szCs w:val="24"/>
          <w:lang w:val="en-US" w:eastAsia="zh-CN"/>
        </w:rPr>
      </w:pPr>
    </w:p>
    <w:p w14:paraId="071E28B3">
      <w:pPr>
        <w:spacing w:line="360" w:lineRule="auto"/>
        <w:ind w:firstLine="646" w:firstLineChars="202"/>
        <w:rPr>
          <w:rFonts w:hint="default" w:ascii="仿宋_GB2312" w:hAnsi="仿宋_GB2312" w:eastAsia="仿宋_GB2312" w:cs="Times New Roman"/>
          <w:sz w:val="32"/>
          <w:szCs w:val="28"/>
          <w:lang w:val="en-US" w:eastAsia="zh-CN"/>
        </w:rPr>
      </w:pPr>
    </w:p>
    <w:p w14:paraId="2D71C8B7">
      <w:pPr>
        <w:pStyle w:val="3"/>
        <w:jc w:val="center"/>
        <w:rPr>
          <w:rFonts w:hint="default" w:eastAsia="黑体" w:cs="Times New Roman"/>
          <w:szCs w:val="32"/>
          <w:lang w:val="en-US" w:eastAsia="zh-CN"/>
        </w:rPr>
      </w:pPr>
      <w:bookmarkStart w:id="275" w:name="_Toc16679"/>
      <w:r>
        <w:rPr>
          <w:rFonts w:hint="eastAsia" w:cs="Times New Roman"/>
          <w:szCs w:val="32"/>
          <w:lang w:val="en-US" w:eastAsia="zh-CN"/>
        </w:rPr>
        <w:t>采购清单</w:t>
      </w:r>
      <w:bookmarkEnd w:id="275"/>
    </w:p>
    <w:tbl>
      <w:tblPr>
        <w:tblStyle w:val="30"/>
        <w:tblW w:w="494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7"/>
        <w:gridCol w:w="1278"/>
        <w:gridCol w:w="3999"/>
        <w:gridCol w:w="1089"/>
        <w:gridCol w:w="1463"/>
      </w:tblGrid>
      <w:tr w14:paraId="24892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6" w:hRule="atLeast"/>
          <w:tblHeader/>
        </w:trPr>
        <w:tc>
          <w:tcPr>
            <w:tcW w:w="354" w:type="pct"/>
            <w:tcBorders>
              <w:top w:val="single" w:color="000000" w:sz="4" w:space="0"/>
              <w:left w:val="single" w:color="000000" w:sz="4" w:space="0"/>
              <w:bottom w:val="single" w:color="000000" w:sz="4" w:space="0"/>
              <w:right w:val="single" w:color="000000" w:sz="4" w:space="0"/>
            </w:tcBorders>
            <w:noWrap w:val="0"/>
            <w:vAlign w:val="center"/>
          </w:tcPr>
          <w:p w14:paraId="34CA55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14:paraId="02E66B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设备及软件名称 </w:t>
            </w:r>
          </w:p>
        </w:tc>
        <w:tc>
          <w:tcPr>
            <w:tcW w:w="2373" w:type="pct"/>
            <w:tcBorders>
              <w:top w:val="single" w:color="000000" w:sz="4" w:space="0"/>
              <w:left w:val="single" w:color="000000" w:sz="4" w:space="0"/>
              <w:bottom w:val="single" w:color="000000" w:sz="4" w:space="0"/>
              <w:right w:val="single" w:color="000000" w:sz="4" w:space="0"/>
            </w:tcBorders>
            <w:noWrap w:val="0"/>
            <w:vAlign w:val="center"/>
          </w:tcPr>
          <w:p w14:paraId="0A352D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主要性能指标</w:t>
            </w:r>
          </w:p>
        </w:tc>
        <w:tc>
          <w:tcPr>
            <w:tcW w:w="646" w:type="pct"/>
            <w:tcBorders>
              <w:top w:val="single" w:color="000000" w:sz="4" w:space="0"/>
              <w:left w:val="single" w:color="000000" w:sz="4" w:space="0"/>
              <w:bottom w:val="single" w:color="000000" w:sz="4" w:space="0"/>
              <w:right w:val="single" w:color="000000" w:sz="4" w:space="0"/>
            </w:tcBorders>
            <w:noWrap w:val="0"/>
            <w:vAlign w:val="center"/>
          </w:tcPr>
          <w:p w14:paraId="132AEE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14:paraId="3440B7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2172F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54" w:type="pct"/>
            <w:tcBorders>
              <w:top w:val="single" w:color="000000" w:sz="4" w:space="0"/>
              <w:left w:val="single" w:color="000000" w:sz="4" w:space="0"/>
              <w:bottom w:val="single" w:color="000000" w:sz="4" w:space="0"/>
              <w:right w:val="single" w:color="000000" w:sz="4" w:space="0"/>
            </w:tcBorders>
            <w:noWrap w:val="0"/>
            <w:vAlign w:val="top"/>
          </w:tcPr>
          <w:p w14:paraId="65C6BB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758" w:type="pct"/>
            <w:tcBorders>
              <w:top w:val="single" w:color="000000" w:sz="4" w:space="0"/>
              <w:left w:val="single" w:color="000000" w:sz="4" w:space="0"/>
              <w:bottom w:val="single" w:color="000000" w:sz="4" w:space="0"/>
              <w:right w:val="single" w:color="000000" w:sz="4" w:space="0"/>
            </w:tcBorders>
            <w:noWrap w:val="0"/>
            <w:vAlign w:val="top"/>
          </w:tcPr>
          <w:p w14:paraId="2D402A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硬件设备</w:t>
            </w:r>
          </w:p>
        </w:tc>
        <w:tc>
          <w:tcPr>
            <w:tcW w:w="2373" w:type="pct"/>
            <w:tcBorders>
              <w:top w:val="single" w:color="000000" w:sz="4" w:space="0"/>
              <w:left w:val="single" w:color="000000" w:sz="4" w:space="0"/>
              <w:bottom w:val="single" w:color="000000" w:sz="4" w:space="0"/>
              <w:right w:val="single" w:color="000000" w:sz="4" w:space="0"/>
            </w:tcBorders>
            <w:noWrap w:val="0"/>
            <w:vAlign w:val="top"/>
          </w:tcPr>
          <w:p w14:paraId="524C885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646" w:type="pct"/>
            <w:tcBorders>
              <w:top w:val="single" w:color="000000" w:sz="4" w:space="0"/>
              <w:left w:val="single" w:color="000000" w:sz="4" w:space="0"/>
              <w:bottom w:val="single" w:color="000000" w:sz="4" w:space="0"/>
              <w:right w:val="single" w:color="000000" w:sz="4" w:space="0"/>
            </w:tcBorders>
            <w:noWrap w:val="0"/>
            <w:vAlign w:val="center"/>
          </w:tcPr>
          <w:p w14:paraId="47FC034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14:paraId="1C16AA0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4709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354" w:type="pct"/>
            <w:tcBorders>
              <w:top w:val="single" w:color="000000" w:sz="4" w:space="0"/>
              <w:left w:val="single" w:color="000000" w:sz="4" w:space="0"/>
              <w:bottom w:val="single" w:color="000000" w:sz="4" w:space="0"/>
              <w:right w:val="single" w:color="000000" w:sz="4" w:space="0"/>
            </w:tcBorders>
            <w:noWrap w:val="0"/>
            <w:vAlign w:val="center"/>
          </w:tcPr>
          <w:p w14:paraId="0AB15D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14:paraId="371E4B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w:t>
            </w:r>
          </w:p>
        </w:tc>
        <w:tc>
          <w:tcPr>
            <w:tcW w:w="2373" w:type="pct"/>
            <w:tcBorders>
              <w:top w:val="single" w:color="000000" w:sz="4" w:space="0"/>
              <w:left w:val="single" w:color="000000" w:sz="4" w:space="0"/>
              <w:bottom w:val="single" w:color="000000" w:sz="4" w:space="0"/>
              <w:right w:val="single" w:color="000000" w:sz="4" w:space="0"/>
            </w:tcBorders>
            <w:noWrap w:val="0"/>
            <w:vAlign w:val="top"/>
          </w:tcPr>
          <w:p w14:paraId="0423C1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1、处理器: ≥4颗处理器，单颗CPU物理核数≥48核，单颗CPU物理基准主频≥2.6GHz；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2、内存: 配置容量≥16*32G DDR4；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3、硬盘: 配置≥2*1TB NVMe SSD；配置≥8*1TB SATA HDD；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4、Raid卡: 配置磁盘阵列卡，支持RAID 0,1,5,6,10,50,60（带超级电容）；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网卡: 配置≥4*10GE（含光模块）；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6、GPU卡：配置≥8块 GPU卡，单卡算力≥320T FLOPS（FP16），单卡内存≥64GB。</w:t>
            </w:r>
          </w:p>
        </w:tc>
        <w:tc>
          <w:tcPr>
            <w:tcW w:w="646" w:type="pct"/>
            <w:tcBorders>
              <w:top w:val="single" w:color="000000" w:sz="4" w:space="0"/>
              <w:left w:val="single" w:color="000000" w:sz="4" w:space="0"/>
              <w:bottom w:val="single" w:color="000000" w:sz="4" w:space="0"/>
              <w:right w:val="single" w:color="000000" w:sz="4" w:space="0"/>
            </w:tcBorders>
            <w:noWrap w:val="0"/>
            <w:vAlign w:val="center"/>
          </w:tcPr>
          <w:p w14:paraId="5F73D5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14:paraId="47F969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r>
      <w:tr w14:paraId="46F2B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noWrap w:val="0"/>
            <w:vAlign w:val="top"/>
          </w:tcPr>
          <w:p w14:paraId="2E9503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758" w:type="pct"/>
            <w:tcBorders>
              <w:top w:val="single" w:color="000000" w:sz="4" w:space="0"/>
              <w:left w:val="single" w:color="000000" w:sz="4" w:space="0"/>
              <w:bottom w:val="single" w:color="000000" w:sz="4" w:space="0"/>
              <w:right w:val="single" w:color="000000" w:sz="4" w:space="0"/>
            </w:tcBorders>
            <w:noWrap w:val="0"/>
            <w:vAlign w:val="top"/>
          </w:tcPr>
          <w:p w14:paraId="2ADFB8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软件</w:t>
            </w:r>
          </w:p>
        </w:tc>
        <w:tc>
          <w:tcPr>
            <w:tcW w:w="2373" w:type="pct"/>
            <w:tcBorders>
              <w:top w:val="single" w:color="000000" w:sz="4" w:space="0"/>
              <w:left w:val="single" w:color="000000" w:sz="4" w:space="0"/>
              <w:bottom w:val="single" w:color="000000" w:sz="4" w:space="0"/>
              <w:right w:val="single" w:color="000000" w:sz="4" w:space="0"/>
            </w:tcBorders>
            <w:noWrap w:val="0"/>
            <w:vAlign w:val="top"/>
          </w:tcPr>
          <w:p w14:paraId="6B651A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646" w:type="pct"/>
            <w:tcBorders>
              <w:top w:val="single" w:color="000000" w:sz="4" w:space="0"/>
              <w:left w:val="single" w:color="000000" w:sz="4" w:space="0"/>
              <w:bottom w:val="single" w:color="000000" w:sz="4" w:space="0"/>
              <w:right w:val="single" w:color="000000" w:sz="4" w:space="0"/>
            </w:tcBorders>
            <w:noWrap w:val="0"/>
            <w:vAlign w:val="center"/>
          </w:tcPr>
          <w:p w14:paraId="1368E9C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868" w:type="pct"/>
            <w:tcBorders>
              <w:top w:val="single" w:color="000000" w:sz="4" w:space="0"/>
              <w:left w:val="single" w:color="000000" w:sz="4" w:space="0"/>
              <w:bottom w:val="single" w:color="000000" w:sz="4" w:space="0"/>
              <w:right w:val="single" w:color="000000" w:sz="4" w:space="0"/>
            </w:tcBorders>
            <w:noWrap w:val="0"/>
            <w:vAlign w:val="center"/>
          </w:tcPr>
          <w:p w14:paraId="1B1BF81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4B7B3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54" w:type="pct"/>
            <w:tcBorders>
              <w:top w:val="single" w:color="000000" w:sz="4" w:space="0"/>
              <w:left w:val="single" w:color="000000" w:sz="4" w:space="0"/>
              <w:bottom w:val="single" w:color="000000" w:sz="4" w:space="0"/>
              <w:right w:val="single" w:color="000000" w:sz="4" w:space="0"/>
            </w:tcBorders>
            <w:noWrap w:val="0"/>
            <w:vAlign w:val="center"/>
          </w:tcPr>
          <w:p w14:paraId="107FA6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58" w:type="pct"/>
            <w:tcBorders>
              <w:top w:val="single" w:color="000000" w:sz="4" w:space="0"/>
              <w:left w:val="single" w:color="000000" w:sz="4" w:space="0"/>
              <w:bottom w:val="single" w:color="000000" w:sz="4" w:space="0"/>
              <w:right w:val="single" w:color="000000" w:sz="4" w:space="0"/>
            </w:tcBorders>
            <w:noWrap w:val="0"/>
            <w:vAlign w:val="center"/>
          </w:tcPr>
          <w:p w14:paraId="024640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道路交通安全风险地图系统</w:t>
            </w:r>
          </w:p>
        </w:tc>
        <w:tc>
          <w:tcPr>
            <w:tcW w:w="2373" w:type="pct"/>
            <w:tcBorders>
              <w:top w:val="single" w:color="000000" w:sz="4" w:space="0"/>
              <w:left w:val="single" w:color="000000" w:sz="4" w:space="0"/>
              <w:bottom w:val="single" w:color="000000" w:sz="4" w:space="0"/>
              <w:right w:val="single" w:color="000000" w:sz="4" w:space="0"/>
            </w:tcBorders>
            <w:noWrap w:val="0"/>
            <w:vAlign w:val="top"/>
          </w:tcPr>
          <w:p w14:paraId="71F583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含兵团公安交警交管专用图层建设、大屏总览、AI智能全息画像、智能化隐患采集、隐患排查智能模型构建、动态实时监测预警、AI智能化事故深度研判、智能模型安装部署、隐患模型训练等功能</w:t>
            </w:r>
          </w:p>
        </w:tc>
        <w:tc>
          <w:tcPr>
            <w:tcW w:w="646" w:type="pct"/>
            <w:tcBorders>
              <w:top w:val="single" w:color="000000" w:sz="4" w:space="0"/>
              <w:left w:val="single" w:color="000000" w:sz="4" w:space="0"/>
              <w:bottom w:val="single" w:color="000000" w:sz="4" w:space="0"/>
              <w:right w:val="single" w:color="000000" w:sz="4" w:space="0"/>
            </w:tcBorders>
            <w:noWrap w:val="0"/>
            <w:vAlign w:val="center"/>
          </w:tcPr>
          <w:p w14:paraId="0AF141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套</w:t>
            </w:r>
          </w:p>
        </w:tc>
        <w:tc>
          <w:tcPr>
            <w:tcW w:w="868" w:type="pct"/>
            <w:tcBorders>
              <w:top w:val="single" w:color="000000" w:sz="4" w:space="0"/>
              <w:left w:val="single" w:color="000000" w:sz="4" w:space="0"/>
              <w:bottom w:val="single" w:color="000000" w:sz="4" w:space="0"/>
              <w:right w:val="single" w:color="000000" w:sz="4" w:space="0"/>
            </w:tcBorders>
            <w:noWrap w:val="0"/>
            <w:vAlign w:val="center"/>
          </w:tcPr>
          <w:p w14:paraId="0FAEDE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r>
    </w:tbl>
    <w:p w14:paraId="3ECFD4B2">
      <w:pPr>
        <w:spacing w:line="360" w:lineRule="auto"/>
        <w:ind w:firstLine="484" w:firstLineChars="202"/>
        <w:rPr>
          <w:rFonts w:hint="eastAsia" w:ascii="宋体" w:hAnsi="宋体" w:eastAsia="宋体" w:cs="宋体"/>
          <w:sz w:val="24"/>
          <w:szCs w:val="24"/>
        </w:rPr>
      </w:pPr>
    </w:p>
    <w:p w14:paraId="72E2E435">
      <w:pPr>
        <w:pStyle w:val="20"/>
        <w:rPr>
          <w:rFonts w:hint="eastAsia" w:ascii="宋体" w:hAnsi="宋体" w:eastAsia="宋体"/>
          <w:b/>
          <w:bCs/>
          <w:snapToGrid w:val="0"/>
          <w:color w:val="auto"/>
          <w:sz w:val="24"/>
          <w:szCs w:val="24"/>
          <w:highlight w:val="none"/>
          <w:lang w:val="en-US" w:eastAsia="zh-CN"/>
        </w:rPr>
      </w:pPr>
    </w:p>
    <w:p w14:paraId="4A96713E">
      <w:pPr>
        <w:pStyle w:val="20"/>
        <w:rPr>
          <w:rFonts w:hint="eastAsia" w:ascii="宋体" w:hAnsi="宋体" w:eastAsia="宋体"/>
          <w:b/>
          <w:bCs/>
          <w:snapToGrid w:val="0"/>
          <w:color w:val="auto"/>
          <w:sz w:val="24"/>
          <w:szCs w:val="24"/>
          <w:highlight w:val="none"/>
          <w:lang w:val="en-US" w:eastAsia="zh-CN"/>
        </w:rPr>
      </w:pPr>
    </w:p>
    <w:p w14:paraId="5ACF1927">
      <w:pPr>
        <w:pStyle w:val="20"/>
        <w:rPr>
          <w:rFonts w:hint="eastAsia" w:ascii="宋体" w:hAnsi="宋体" w:eastAsia="宋体"/>
          <w:b/>
          <w:bCs/>
          <w:snapToGrid w:val="0"/>
          <w:color w:val="auto"/>
          <w:sz w:val="24"/>
          <w:szCs w:val="24"/>
          <w:highlight w:val="none"/>
          <w:lang w:val="en-US" w:eastAsia="zh-CN"/>
        </w:rPr>
      </w:pPr>
    </w:p>
    <w:p w14:paraId="03BABE06">
      <w:pPr>
        <w:pStyle w:val="20"/>
        <w:rPr>
          <w:rFonts w:hint="eastAsia" w:ascii="宋体" w:hAnsi="宋体" w:eastAsia="宋体"/>
          <w:b/>
          <w:bCs/>
          <w:snapToGrid w:val="0"/>
          <w:color w:val="auto"/>
          <w:sz w:val="24"/>
          <w:szCs w:val="24"/>
          <w:highlight w:val="none"/>
          <w:lang w:val="en-US" w:eastAsia="zh-CN"/>
        </w:rPr>
      </w:pPr>
    </w:p>
    <w:p w14:paraId="127A927C">
      <w:pPr>
        <w:pStyle w:val="20"/>
        <w:rPr>
          <w:rFonts w:hint="eastAsia" w:ascii="宋体" w:hAnsi="宋体" w:eastAsia="宋体"/>
          <w:b/>
          <w:bCs/>
          <w:snapToGrid w:val="0"/>
          <w:color w:val="auto"/>
          <w:sz w:val="24"/>
          <w:szCs w:val="24"/>
          <w:highlight w:val="none"/>
          <w:lang w:val="en-US" w:eastAsia="zh-CN"/>
        </w:rPr>
      </w:pPr>
    </w:p>
    <w:p w14:paraId="4A16D747">
      <w:pPr>
        <w:pStyle w:val="20"/>
        <w:rPr>
          <w:rFonts w:hint="eastAsia" w:ascii="宋体" w:hAnsi="宋体" w:eastAsia="宋体"/>
          <w:b/>
          <w:bCs/>
          <w:snapToGrid w:val="0"/>
          <w:color w:val="auto"/>
          <w:sz w:val="24"/>
          <w:szCs w:val="24"/>
          <w:highlight w:val="none"/>
          <w:lang w:val="en-US" w:eastAsia="zh-CN"/>
        </w:rPr>
      </w:pPr>
    </w:p>
    <w:p w14:paraId="77237888">
      <w:pPr>
        <w:pStyle w:val="20"/>
        <w:rPr>
          <w:rFonts w:hint="eastAsia" w:ascii="宋体" w:hAnsi="宋体" w:eastAsia="宋体"/>
          <w:b/>
          <w:bCs/>
          <w:snapToGrid w:val="0"/>
          <w:color w:val="auto"/>
          <w:sz w:val="24"/>
          <w:szCs w:val="24"/>
          <w:highlight w:val="none"/>
          <w:lang w:val="en-US" w:eastAsia="zh-CN"/>
        </w:rPr>
      </w:pPr>
    </w:p>
    <w:p w14:paraId="1BADCF97">
      <w:pPr>
        <w:pStyle w:val="14"/>
        <w:numPr>
          <w:ilvl w:val="0"/>
          <w:numId w:val="4"/>
        </w:numP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商务要求</w:t>
      </w:r>
    </w:p>
    <w:p w14:paraId="513A87C0">
      <w:pPr>
        <w:rPr>
          <w:rFonts w:hint="eastAsia"/>
          <w:lang w:val="en-US" w:eastAsia="zh-CN"/>
        </w:rPr>
      </w:pPr>
    </w:p>
    <w:p w14:paraId="2CA61A6A">
      <w:pPr>
        <w:pStyle w:val="14"/>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交货地址：</w:t>
      </w:r>
      <w:r>
        <w:rPr>
          <w:rFonts w:hint="eastAsia" w:ascii="宋体" w:hAnsi="宋体" w:eastAsia="宋体" w:cs="宋体"/>
          <w:sz w:val="24"/>
          <w:szCs w:val="24"/>
          <w:lang w:val="en-US" w:eastAsia="zh-CN"/>
        </w:rPr>
        <w:t>具体以签订合同为准</w:t>
      </w:r>
    </w:p>
    <w:p w14:paraId="342AA289">
      <w:pPr>
        <w:pStyle w:val="14"/>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报价要求：</w:t>
      </w:r>
      <w:r>
        <w:rPr>
          <w:rFonts w:hint="eastAsia" w:ascii="宋体" w:hAnsi="宋体" w:eastAsia="宋体" w:cs="宋体"/>
          <w:sz w:val="24"/>
          <w:szCs w:val="24"/>
          <w:lang w:val="en-US" w:eastAsia="zh-CN"/>
        </w:rPr>
        <w:t>总价报价</w:t>
      </w:r>
    </w:p>
    <w:p w14:paraId="4910BA29">
      <w:pPr>
        <w:pStyle w:val="14"/>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sectPr>
          <w:headerReference r:id="rId7" w:type="default"/>
          <w:footerReference r:id="rId8" w:type="default"/>
          <w:pgSz w:w="11906" w:h="16838"/>
          <w:pgMar w:top="1440" w:right="1797" w:bottom="1440" w:left="1797" w:header="851" w:footer="992" w:gutter="0"/>
          <w:pgNumType w:start="1"/>
          <w:cols w:space="720" w:num="1"/>
          <w:docGrid w:linePitch="326" w:charSpace="0"/>
        </w:sectPr>
      </w:pPr>
      <w:r>
        <w:rPr>
          <w:rFonts w:hint="eastAsia" w:ascii="宋体" w:hAnsi="宋体" w:eastAsia="宋体" w:cs="宋体"/>
          <w:b/>
          <w:bCs/>
          <w:sz w:val="24"/>
          <w:szCs w:val="24"/>
          <w:lang w:val="en-US" w:eastAsia="zh-CN"/>
        </w:rPr>
        <w:t>付款条件：</w:t>
      </w:r>
      <w:r>
        <w:rPr>
          <w:rFonts w:hint="eastAsia" w:ascii="宋体" w:hAnsi="宋体" w:eastAsia="宋体" w:cs="宋体"/>
          <w:sz w:val="24"/>
          <w:szCs w:val="24"/>
          <w:lang w:val="en-US" w:eastAsia="zh-CN"/>
        </w:rPr>
        <w:t>合同签订后30个日历日内，支付合同总价的50%；货到后经采购人验收合格且供应商向采购人提供合同总价的3%的银行保函（有效期为验收合格之日起1年）后，30个日历日内采购人向供应商支付总合同总价50%。银行保函待保修期满后若货物无质量问题的，该银行保函自动失效，供应商可取回该保函原件。</w:t>
      </w:r>
    </w:p>
    <w:bookmarkEnd w:id="261"/>
    <w:bookmarkEnd w:id="262"/>
    <w:bookmarkEnd w:id="263"/>
    <w:p w14:paraId="11B227F7">
      <w:pPr>
        <w:pStyle w:val="3"/>
        <w:keepNext/>
        <w:keepLines/>
        <w:pageBreakBefore w:val="0"/>
        <w:widowControl w:val="0"/>
        <w:numPr>
          <w:ilvl w:val="0"/>
          <w:numId w:val="0"/>
        </w:numPr>
        <w:kinsoku/>
        <w:wordWrap/>
        <w:overflowPunct/>
        <w:topLinePunct w:val="0"/>
        <w:autoSpaceDE/>
        <w:autoSpaceDN/>
        <w:bidi w:val="0"/>
        <w:adjustRightInd/>
        <w:snapToGrid/>
        <w:spacing w:before="100" w:after="10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276" w:name="_Toc163492892"/>
      <w:bookmarkStart w:id="277" w:name="_Toc155185895"/>
      <w:bookmarkStart w:id="278" w:name="_Toc20537"/>
      <w:r>
        <w:rPr>
          <w:rFonts w:hint="eastAsia" w:ascii="宋体" w:hAnsi="宋体" w:eastAsia="宋体" w:cs="宋体"/>
          <w:b/>
          <w:bCs/>
          <w:color w:val="auto"/>
          <w:kern w:val="44"/>
          <w:sz w:val="36"/>
          <w:szCs w:val="36"/>
          <w:highlight w:val="none"/>
          <w:lang w:val="en-US" w:eastAsia="zh-CN" w:bidi="ar-SA"/>
        </w:rPr>
        <w:t>第四章 资格审查</w:t>
      </w:r>
      <w:bookmarkEnd w:id="276"/>
      <w:bookmarkEnd w:id="277"/>
      <w:bookmarkEnd w:id="278"/>
    </w:p>
    <w:p w14:paraId="2133133E">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color w:val="auto"/>
          <w:sz w:val="28"/>
          <w:szCs w:val="28"/>
          <w:highlight w:val="none"/>
          <w:lang w:val="zh-CN" w:eastAsia="zh-CN"/>
        </w:rPr>
      </w:pPr>
      <w:bookmarkStart w:id="279" w:name="_Toc9651"/>
      <w:r>
        <w:rPr>
          <w:rFonts w:hint="eastAsia"/>
          <w:color w:val="auto"/>
          <w:sz w:val="28"/>
          <w:szCs w:val="28"/>
          <w:highlight w:val="none"/>
          <w:lang w:val="en-US" w:eastAsia="zh-CN"/>
        </w:rPr>
        <w:t>一、资格审查程序</w:t>
      </w:r>
      <w:bookmarkEnd w:id="279"/>
      <w:r>
        <w:rPr>
          <w:rFonts w:hint="eastAsia"/>
          <w:color w:val="auto"/>
          <w:sz w:val="28"/>
          <w:szCs w:val="28"/>
          <w:highlight w:val="none"/>
          <w:lang w:val="en-US" w:eastAsia="zh-CN"/>
        </w:rPr>
        <w:t xml:space="preserve"> </w:t>
      </w:r>
    </w:p>
    <w:p w14:paraId="4E4090D3">
      <w:pPr>
        <w:pStyle w:val="37"/>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 开标结束后，采购人或采购代理机构将根据《资格审查要求》中的规定，对投标人进行资格审查，并形成资格审查结果。 </w:t>
      </w:r>
    </w:p>
    <w:p w14:paraId="62799CDE">
      <w:pPr>
        <w:pStyle w:val="37"/>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 投标人《资格证明文件》有任何一项不符合《资格审查要求》的，资格审查不合格，其</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 xml:space="preserve">。 </w:t>
      </w:r>
    </w:p>
    <w:p w14:paraId="37E914D8">
      <w:pPr>
        <w:pStyle w:val="37"/>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 资格审查合格的投标人不足 3 家的，不进行评标。 </w:t>
      </w:r>
    </w:p>
    <w:p w14:paraId="1720E868">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color w:val="auto"/>
          <w:sz w:val="24"/>
          <w:szCs w:val="24"/>
          <w:highlight w:val="none"/>
          <w:lang w:val="en-US" w:eastAsia="zh-CN"/>
        </w:rPr>
      </w:pPr>
      <w:bookmarkStart w:id="280" w:name="_Toc15844"/>
      <w:r>
        <w:rPr>
          <w:rFonts w:hint="eastAsia" w:ascii="宋体" w:hAnsi="宋体" w:eastAsia="宋体" w:cs="宋体"/>
          <w:color w:val="auto"/>
          <w:sz w:val="24"/>
          <w:szCs w:val="24"/>
          <w:highlight w:val="none"/>
          <w:lang w:val="en-US" w:eastAsia="zh-CN"/>
        </w:rPr>
        <w:t>二、资格审查要求</w:t>
      </w:r>
      <w:bookmarkEnd w:id="280"/>
      <w:r>
        <w:rPr>
          <w:rFonts w:hint="eastAsia" w:ascii="宋体" w:hAnsi="宋体" w:eastAsia="宋体" w:cs="宋体"/>
          <w:color w:val="auto"/>
          <w:sz w:val="24"/>
          <w:szCs w:val="24"/>
          <w:highlight w:val="none"/>
          <w:lang w:val="en-US" w:eastAsia="zh-CN"/>
        </w:rPr>
        <w:t xml:space="preserve"> </w:t>
      </w:r>
    </w:p>
    <w:tbl>
      <w:tblPr>
        <w:tblStyle w:val="30"/>
        <w:tblW w:w="54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22"/>
        <w:gridCol w:w="1872"/>
        <w:gridCol w:w="5165"/>
        <w:gridCol w:w="1500"/>
      </w:tblGrid>
      <w:tr w14:paraId="4C40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39" w:type="pct"/>
            <w:shd w:val="clear" w:color="auto" w:fill="D8D8D8" w:themeFill="background1" w:themeFillShade="D9"/>
            <w:vAlign w:val="center"/>
          </w:tcPr>
          <w:p w14:paraId="31F150F3">
            <w:pPr>
              <w:pStyle w:val="49"/>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000" w:type="pct"/>
            <w:shd w:val="clear" w:color="auto" w:fill="D8D8D8" w:themeFill="background1" w:themeFillShade="D9"/>
            <w:vAlign w:val="center"/>
          </w:tcPr>
          <w:p w14:paraId="29694278">
            <w:pPr>
              <w:pStyle w:val="49"/>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审查因素</w:t>
            </w:r>
          </w:p>
        </w:tc>
        <w:tc>
          <w:tcPr>
            <w:tcW w:w="2759" w:type="pct"/>
            <w:shd w:val="clear" w:color="auto" w:fill="D8D8D8" w:themeFill="background1" w:themeFillShade="D9"/>
            <w:vAlign w:val="center"/>
          </w:tcPr>
          <w:p w14:paraId="635BC09B">
            <w:pPr>
              <w:pStyle w:val="49"/>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审查内容</w:t>
            </w:r>
          </w:p>
        </w:tc>
        <w:tc>
          <w:tcPr>
            <w:tcW w:w="801" w:type="pct"/>
            <w:shd w:val="clear" w:color="auto" w:fill="D8D8D8" w:themeFill="background1" w:themeFillShade="D9"/>
            <w:vAlign w:val="center"/>
          </w:tcPr>
          <w:p w14:paraId="6075A15A">
            <w:pPr>
              <w:pStyle w:val="49"/>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格式要求</w:t>
            </w:r>
          </w:p>
        </w:tc>
      </w:tr>
      <w:tr w14:paraId="6969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80" w:hRule="atLeast"/>
          <w:jc w:val="center"/>
        </w:trPr>
        <w:tc>
          <w:tcPr>
            <w:tcW w:w="439" w:type="pct"/>
            <w:shd w:val="clear" w:color="auto" w:fill="FFFFFF" w:themeFill="background1"/>
            <w:vAlign w:val="center"/>
          </w:tcPr>
          <w:p w14:paraId="636EB3B4">
            <w:pPr>
              <w:pStyle w:val="49"/>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1000" w:type="pct"/>
            <w:shd w:val="clear" w:color="auto" w:fill="FFFFFF" w:themeFill="background1"/>
            <w:vAlign w:val="center"/>
          </w:tcPr>
          <w:p w14:paraId="267C1675">
            <w:pPr>
              <w:pStyle w:val="49"/>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满足《政府采购 </w:t>
            </w:r>
          </w:p>
          <w:p w14:paraId="58A237A7">
            <w:pPr>
              <w:pStyle w:val="49"/>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法》第二十二条 </w:t>
            </w:r>
          </w:p>
          <w:p w14:paraId="4DBD5590">
            <w:pPr>
              <w:pStyle w:val="49"/>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规定</w:t>
            </w:r>
          </w:p>
        </w:tc>
        <w:tc>
          <w:tcPr>
            <w:tcW w:w="2759" w:type="pct"/>
            <w:shd w:val="clear" w:color="auto" w:fill="FFFFFF" w:themeFill="background1"/>
            <w:vAlign w:val="center"/>
          </w:tcPr>
          <w:p w14:paraId="215E0855">
            <w:pPr>
              <w:pStyle w:val="49"/>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具体规定见“第一章 招标公告”</w:t>
            </w:r>
          </w:p>
        </w:tc>
        <w:tc>
          <w:tcPr>
            <w:tcW w:w="801" w:type="pct"/>
            <w:shd w:val="clear" w:color="auto" w:fill="FFFFFF" w:themeFill="background1"/>
            <w:vAlign w:val="center"/>
          </w:tcPr>
          <w:p w14:paraId="24AF5599">
            <w:pPr>
              <w:pStyle w:val="49"/>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highlight w:val="none"/>
              </w:rPr>
            </w:pPr>
          </w:p>
        </w:tc>
      </w:tr>
      <w:tr w14:paraId="26E7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39" w:type="pct"/>
            <w:shd w:val="clear" w:color="auto" w:fill="FFFFFF" w:themeFill="background1"/>
            <w:vAlign w:val="center"/>
          </w:tcPr>
          <w:p w14:paraId="1AF8CF7F">
            <w:pPr>
              <w:pStyle w:val="49"/>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1-1</w:t>
            </w:r>
          </w:p>
        </w:tc>
        <w:tc>
          <w:tcPr>
            <w:tcW w:w="1000" w:type="pct"/>
            <w:shd w:val="clear" w:color="auto" w:fill="FFFFFF" w:themeFill="background1"/>
            <w:vAlign w:val="center"/>
          </w:tcPr>
          <w:p w14:paraId="055CD5DC">
            <w:pPr>
              <w:pStyle w:val="49"/>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营业执照等证明文件</w:t>
            </w:r>
          </w:p>
        </w:tc>
        <w:tc>
          <w:tcPr>
            <w:tcW w:w="2759" w:type="pct"/>
            <w:shd w:val="clear" w:color="auto" w:fill="FFFFFF" w:themeFill="background1"/>
            <w:vAlign w:val="center"/>
          </w:tcPr>
          <w:p w14:paraId="7DB1C26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kern w:val="0"/>
                <w:sz w:val="24"/>
                <w:szCs w:val="24"/>
                <w:highlight w:val="none"/>
                <w:lang w:val="en-US" w:eastAsia="zh-CN" w:bidi="ar"/>
              </w:rPr>
              <w:t xml:space="preserve">投标人为企业（包括合伙企业）的，应提供有效的“营业执照”； </w:t>
            </w:r>
          </w:p>
          <w:p w14:paraId="693E34B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kern w:val="0"/>
                <w:sz w:val="24"/>
                <w:szCs w:val="24"/>
                <w:highlight w:val="none"/>
                <w:lang w:val="en-US" w:eastAsia="zh-CN" w:bidi="ar"/>
              </w:rPr>
              <w:t xml:space="preserve">投标人为事业单位的，应提供有效的“事业单位法人证书” ； </w:t>
            </w:r>
          </w:p>
          <w:p w14:paraId="0BB3751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kern w:val="0"/>
                <w:sz w:val="24"/>
                <w:szCs w:val="24"/>
                <w:highlight w:val="none"/>
                <w:lang w:val="en-US" w:eastAsia="zh-CN" w:bidi="ar"/>
              </w:rPr>
              <w:t xml:space="preserve">投标人是非企业机构的，应提供有效的“执业许可证”、“登记证书”等证明文件； </w:t>
            </w:r>
          </w:p>
          <w:p w14:paraId="0667B6C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kern w:val="0"/>
                <w:sz w:val="24"/>
                <w:szCs w:val="24"/>
                <w:highlight w:val="none"/>
                <w:lang w:val="en-US" w:eastAsia="zh-CN" w:bidi="ar"/>
              </w:rPr>
              <w:t xml:space="preserve">投标人是个体工商户的，应提供有效的“个体工商户营业执照”； </w:t>
            </w:r>
          </w:p>
          <w:p w14:paraId="3CB6034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bidi="ar"/>
              </w:rPr>
              <w:t>投标人是自然人的，应提供有效的自然人身份证明。</w:t>
            </w:r>
          </w:p>
        </w:tc>
        <w:tc>
          <w:tcPr>
            <w:tcW w:w="801" w:type="pct"/>
            <w:shd w:val="clear" w:color="auto" w:fill="FFFFFF" w:themeFill="background1"/>
            <w:vAlign w:val="center"/>
          </w:tcPr>
          <w:p w14:paraId="60CD4B8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提供证明文件的电子件或电子证照</w:t>
            </w:r>
          </w:p>
        </w:tc>
      </w:tr>
      <w:tr w14:paraId="5486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36" w:hRule="atLeast"/>
          <w:jc w:val="center"/>
        </w:trPr>
        <w:tc>
          <w:tcPr>
            <w:tcW w:w="439" w:type="pct"/>
            <w:shd w:val="clear" w:color="auto" w:fill="FFFFFF" w:themeFill="background1"/>
            <w:vAlign w:val="center"/>
          </w:tcPr>
          <w:p w14:paraId="1B6B10C6">
            <w:pPr>
              <w:pStyle w:val="49"/>
              <w:keepNext w:val="0"/>
              <w:keepLines w:val="0"/>
              <w:pageBreakBefore w:val="0"/>
              <w:kinsoku/>
              <w:wordWrap/>
              <w:overflowPunct/>
              <w:topLinePunct w:val="0"/>
              <w:autoSpaceDE/>
              <w:autoSpaceDN/>
              <w:bidi w:val="0"/>
              <w:adjustRightInd/>
              <w:snapToGrid/>
              <w:jc w:val="center"/>
              <w:textAlignment w:val="auto"/>
              <w:rPr>
                <w:rFonts w:hint="default"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1-2</w:t>
            </w:r>
          </w:p>
        </w:tc>
        <w:tc>
          <w:tcPr>
            <w:tcW w:w="1000" w:type="pct"/>
            <w:shd w:val="clear" w:color="auto" w:fill="FFFFFF" w:themeFill="background1"/>
            <w:vAlign w:val="center"/>
          </w:tcPr>
          <w:p w14:paraId="1BD0E12D">
            <w:pPr>
              <w:pStyle w:val="49"/>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投标人信用承诺函</w:t>
            </w:r>
          </w:p>
        </w:tc>
        <w:tc>
          <w:tcPr>
            <w:tcW w:w="2759" w:type="pct"/>
            <w:shd w:val="clear" w:color="auto" w:fill="FFFFFF" w:themeFill="background1"/>
            <w:vAlign w:val="center"/>
          </w:tcPr>
          <w:p w14:paraId="041E784F">
            <w:pPr>
              <w:pStyle w:val="49"/>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提供了符合招标文件要求的《兵团政府采购供应商信用承诺函》。</w:t>
            </w:r>
          </w:p>
        </w:tc>
        <w:tc>
          <w:tcPr>
            <w:tcW w:w="801" w:type="pct"/>
            <w:shd w:val="clear" w:color="auto" w:fill="FFFFFF" w:themeFill="background1"/>
            <w:vAlign w:val="center"/>
          </w:tcPr>
          <w:p w14:paraId="1422A2B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格式见《第七章 投标文件格式》</w:t>
            </w:r>
          </w:p>
        </w:tc>
      </w:tr>
      <w:tr w14:paraId="0881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712" w:hRule="atLeast"/>
          <w:jc w:val="center"/>
        </w:trPr>
        <w:tc>
          <w:tcPr>
            <w:tcW w:w="439" w:type="pct"/>
            <w:shd w:val="clear" w:color="auto" w:fill="FFFFFF" w:themeFill="background1"/>
            <w:vAlign w:val="center"/>
          </w:tcPr>
          <w:p w14:paraId="0A4E48AD">
            <w:pPr>
              <w:pStyle w:val="49"/>
              <w:keepNext w:val="0"/>
              <w:keepLines w:val="0"/>
              <w:pageBreakBefore w:val="0"/>
              <w:kinsoku/>
              <w:wordWrap/>
              <w:overflowPunct/>
              <w:topLinePunct w:val="0"/>
              <w:autoSpaceDE/>
              <w:autoSpaceDN/>
              <w:bidi w:val="0"/>
              <w:adjustRightInd/>
              <w:snapToGrid/>
              <w:jc w:val="center"/>
              <w:textAlignment w:val="auto"/>
              <w:rPr>
                <w:rFonts w:hint="default"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1-3</w:t>
            </w:r>
          </w:p>
        </w:tc>
        <w:tc>
          <w:tcPr>
            <w:tcW w:w="1000" w:type="pct"/>
            <w:shd w:val="clear" w:color="auto" w:fill="FFFFFF" w:themeFill="background1"/>
            <w:vAlign w:val="center"/>
          </w:tcPr>
          <w:p w14:paraId="6F347850">
            <w:pPr>
              <w:pStyle w:val="49"/>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投标人信用记录</w:t>
            </w:r>
          </w:p>
        </w:tc>
        <w:tc>
          <w:tcPr>
            <w:tcW w:w="2759" w:type="pct"/>
            <w:shd w:val="clear" w:color="auto" w:fill="FFFFFF" w:themeFill="background1"/>
            <w:vAlign w:val="center"/>
          </w:tcPr>
          <w:p w14:paraId="747BCCCD">
            <w:pPr>
              <w:pStyle w:val="49"/>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 xml:space="preserve">查询渠道：信用中国网站和中国政府采购网（ </w:t>
            </w:r>
          </w:p>
          <w:p w14:paraId="4D80C076">
            <w:pPr>
              <w:pStyle w:val="49"/>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6"/>
                <w:sz w:val="24"/>
                <w:szCs w:val="24"/>
                <w:highlight w:val="none"/>
                <w:lang w:val="en-US" w:eastAsia="zh-CN"/>
              </w:rPr>
              <w:t>www.creditchina.gov.cn 、www.ccgp.gov.cn）；</w:t>
            </w:r>
            <w:r>
              <w:rPr>
                <w:rFonts w:hint="eastAsia" w:ascii="宋体" w:hAnsi="宋体" w:eastAsia="宋体" w:cs="宋体"/>
                <w:color w:val="auto"/>
                <w:sz w:val="24"/>
                <w:szCs w:val="24"/>
                <w:highlight w:val="none"/>
                <w:lang w:val="en-US" w:eastAsia="zh-CN"/>
              </w:rPr>
              <w:t xml:space="preserve"> </w:t>
            </w:r>
          </w:p>
          <w:p w14:paraId="496D1252">
            <w:pPr>
              <w:pStyle w:val="49"/>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截止时点：投标截止时间以后、资格审查阶段采购人或采购代理机构的实际查询时间； </w:t>
            </w:r>
          </w:p>
          <w:p w14:paraId="2F28F46E">
            <w:pPr>
              <w:pStyle w:val="49"/>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信用信息查询记录和证据留存具体方式：查询结果网页打印页作为查询记录和证据，与其他采购文件一并保存； </w:t>
            </w:r>
          </w:p>
          <w:p w14:paraId="1A0058F5">
            <w:pPr>
              <w:pStyle w:val="49"/>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6"/>
                <w:sz w:val="24"/>
                <w:szCs w:val="24"/>
                <w:highlight w:val="none"/>
                <w:lang w:val="en-US" w:eastAsia="zh-CN"/>
              </w:rPr>
              <w:t>信用信息的使用原则：经认定的被列入失信被执行人、重大税收违法失信主体、政府采购严重违法失信行为记录名单的投标人，其</w:t>
            </w:r>
            <w:r>
              <w:rPr>
                <w:rFonts w:hint="eastAsia" w:ascii="宋体" w:hAnsi="宋体" w:eastAsia="宋体" w:cs="宋体"/>
                <w:b/>
                <w:bCs/>
                <w:color w:val="auto"/>
                <w:spacing w:val="-6"/>
                <w:sz w:val="24"/>
                <w:szCs w:val="24"/>
                <w:highlight w:val="none"/>
                <w:lang w:val="en-US" w:eastAsia="zh-CN"/>
              </w:rPr>
              <w:t>投标无效</w:t>
            </w:r>
            <w:r>
              <w:rPr>
                <w:rFonts w:hint="eastAsia" w:ascii="宋体" w:hAnsi="宋体" w:eastAsia="宋体" w:cs="宋体"/>
                <w:color w:val="auto"/>
                <w:spacing w:val="-6"/>
                <w:sz w:val="24"/>
                <w:szCs w:val="24"/>
                <w:highlight w:val="none"/>
                <w:lang w:val="en-US" w:eastAsia="zh-CN"/>
              </w:rPr>
              <w:t>。联合体形式投标的，联合体成员存在不良信用记录，视同联合体存在不良信用记录。</w:t>
            </w:r>
          </w:p>
        </w:tc>
        <w:tc>
          <w:tcPr>
            <w:tcW w:w="801" w:type="pct"/>
            <w:shd w:val="clear" w:color="auto" w:fill="FFFFFF" w:themeFill="background1"/>
            <w:vAlign w:val="center"/>
          </w:tcPr>
          <w:p w14:paraId="41CEE03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无须投标人提供，由采购人或采购代理机构查询。</w:t>
            </w:r>
          </w:p>
          <w:p w14:paraId="0D14032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p>
        </w:tc>
      </w:tr>
      <w:tr w14:paraId="7DDB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44" w:hRule="atLeast"/>
          <w:jc w:val="center"/>
        </w:trPr>
        <w:tc>
          <w:tcPr>
            <w:tcW w:w="439" w:type="pct"/>
            <w:shd w:val="clear" w:color="auto" w:fill="FFFFFF" w:themeFill="background1"/>
            <w:vAlign w:val="center"/>
          </w:tcPr>
          <w:p w14:paraId="330FEA22">
            <w:pPr>
              <w:pStyle w:val="49"/>
              <w:keepNext w:val="0"/>
              <w:keepLines w:val="0"/>
              <w:pageBreakBefore w:val="0"/>
              <w:kinsoku/>
              <w:wordWrap/>
              <w:overflowPunct/>
              <w:topLinePunct w:val="0"/>
              <w:autoSpaceDE/>
              <w:autoSpaceDN/>
              <w:bidi w:val="0"/>
              <w:adjustRightInd/>
              <w:snapToGrid/>
              <w:jc w:val="center"/>
              <w:textAlignment w:val="auto"/>
              <w:rPr>
                <w:rFonts w:hint="default"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1-4</w:t>
            </w:r>
          </w:p>
        </w:tc>
        <w:tc>
          <w:tcPr>
            <w:tcW w:w="1000" w:type="pct"/>
            <w:shd w:val="clear" w:color="auto" w:fill="FFFFFF" w:themeFill="background1"/>
            <w:vAlign w:val="center"/>
          </w:tcPr>
          <w:p w14:paraId="60F45FA7">
            <w:pPr>
              <w:pStyle w:val="49"/>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法律、行政法规规定的其他条件</w:t>
            </w:r>
          </w:p>
        </w:tc>
        <w:tc>
          <w:tcPr>
            <w:tcW w:w="2759" w:type="pct"/>
            <w:shd w:val="clear" w:color="auto" w:fill="FFFFFF" w:themeFill="background1"/>
            <w:vAlign w:val="center"/>
          </w:tcPr>
          <w:p w14:paraId="2B64265B">
            <w:pPr>
              <w:pStyle w:val="49"/>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法律、行政法规规定的其他条件</w:t>
            </w:r>
          </w:p>
        </w:tc>
        <w:tc>
          <w:tcPr>
            <w:tcW w:w="801" w:type="pct"/>
            <w:shd w:val="clear" w:color="auto" w:fill="FFFFFF" w:themeFill="background1"/>
            <w:vAlign w:val="center"/>
          </w:tcPr>
          <w:p w14:paraId="0ACC3285">
            <w:pPr>
              <w:pStyle w:val="49"/>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rPr>
            </w:pPr>
          </w:p>
        </w:tc>
      </w:tr>
      <w:tr w14:paraId="3753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92" w:hRule="atLeast"/>
          <w:jc w:val="center"/>
        </w:trPr>
        <w:tc>
          <w:tcPr>
            <w:tcW w:w="439" w:type="pct"/>
            <w:shd w:val="clear" w:color="auto" w:fill="FFFFFF" w:themeFill="background1"/>
            <w:vAlign w:val="center"/>
          </w:tcPr>
          <w:p w14:paraId="35001BC1">
            <w:pPr>
              <w:pStyle w:val="49"/>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2</w:t>
            </w:r>
          </w:p>
        </w:tc>
        <w:tc>
          <w:tcPr>
            <w:tcW w:w="1000" w:type="pct"/>
            <w:shd w:val="clear" w:color="auto" w:fill="FFFFFF" w:themeFill="background1"/>
            <w:vAlign w:val="center"/>
          </w:tcPr>
          <w:p w14:paraId="33B8D761">
            <w:pPr>
              <w:pStyle w:val="49"/>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中小企业证明文件</w:t>
            </w:r>
          </w:p>
        </w:tc>
        <w:tc>
          <w:tcPr>
            <w:tcW w:w="2759" w:type="pct"/>
            <w:shd w:val="clear" w:color="auto" w:fill="FFFFFF" w:themeFill="background1"/>
            <w:vAlign w:val="center"/>
          </w:tcPr>
          <w:p w14:paraId="363BBCE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1、投标人单独投标的，应提供“中小企业声明函”或“残疾人福利性单位声明函”或由省级以上监狱管理局、戒毒管理局（含新疆生产建设兵团）出具的属于监狱企业的证明文件。 </w:t>
            </w:r>
          </w:p>
          <w:p w14:paraId="48EEE38E">
            <w:pPr>
              <w:pStyle w:val="49"/>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kern w:val="0"/>
                <w:sz w:val="24"/>
                <w:szCs w:val="24"/>
                <w:highlight w:val="none"/>
                <w:lang w:val="en-US" w:eastAsia="zh-CN" w:bidi="ar"/>
              </w:rPr>
            </w:pPr>
          </w:p>
        </w:tc>
        <w:tc>
          <w:tcPr>
            <w:tcW w:w="801" w:type="pct"/>
            <w:shd w:val="clear" w:color="auto" w:fill="FFFFFF" w:themeFill="background1"/>
            <w:vAlign w:val="center"/>
          </w:tcPr>
          <w:p w14:paraId="0DDB66C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格式见《第七章 投标文件格式》</w:t>
            </w:r>
          </w:p>
        </w:tc>
      </w:tr>
      <w:tr w14:paraId="7D71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80" w:hRule="atLeast"/>
          <w:jc w:val="center"/>
        </w:trPr>
        <w:tc>
          <w:tcPr>
            <w:tcW w:w="439" w:type="pct"/>
            <w:shd w:val="clear" w:color="auto" w:fill="FFFFFF" w:themeFill="background1"/>
            <w:vAlign w:val="center"/>
          </w:tcPr>
          <w:p w14:paraId="1D042B53">
            <w:pPr>
              <w:pStyle w:val="49"/>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3</w:t>
            </w:r>
          </w:p>
        </w:tc>
        <w:tc>
          <w:tcPr>
            <w:tcW w:w="1000" w:type="pct"/>
            <w:shd w:val="clear" w:color="auto" w:fill="FFFFFF" w:themeFill="background1"/>
            <w:vAlign w:val="center"/>
          </w:tcPr>
          <w:p w14:paraId="193A54A9">
            <w:pPr>
              <w:pStyle w:val="49"/>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本项目特定资格要求</w:t>
            </w:r>
          </w:p>
        </w:tc>
        <w:tc>
          <w:tcPr>
            <w:tcW w:w="2759" w:type="pct"/>
            <w:shd w:val="clear" w:color="auto" w:fill="FFFFFF" w:themeFill="background1"/>
            <w:vAlign w:val="center"/>
          </w:tcPr>
          <w:p w14:paraId="33E32190">
            <w:pPr>
              <w:pStyle w:val="49"/>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c>
          <w:tcPr>
            <w:tcW w:w="801" w:type="pct"/>
            <w:shd w:val="clear" w:color="auto" w:fill="FFFFFF" w:themeFill="background1"/>
            <w:vAlign w:val="center"/>
          </w:tcPr>
          <w:p w14:paraId="73C95705">
            <w:pPr>
              <w:pStyle w:val="49"/>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w:t>
            </w:r>
          </w:p>
        </w:tc>
      </w:tr>
    </w:tbl>
    <w:p w14:paraId="75823E1B">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 </w:t>
      </w:r>
    </w:p>
    <w:p w14:paraId="3CB9CD2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w:t>
      </w:r>
    </w:p>
    <w:p w14:paraId="62925F0D">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11F7C22E">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6ED59EF4">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65DBE5EE">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119951C1">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2E2E8A2D">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7F3ED112">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2076B1F6">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0E9E3B17">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319C387B">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36A1D682">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33434E33">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617DEE48">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3B7BB78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w:t>
      </w:r>
    </w:p>
    <w:p w14:paraId="03B38563">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07FBDA93">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21B53EAD">
      <w:pPr>
        <w:pStyle w:val="3"/>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281" w:name="_Toc155185903"/>
      <w:bookmarkStart w:id="282" w:name="_Toc163492899"/>
      <w:bookmarkStart w:id="283" w:name="_Toc2404"/>
      <w:r>
        <w:rPr>
          <w:rFonts w:hint="eastAsia" w:ascii="宋体" w:hAnsi="宋体" w:eastAsia="宋体" w:cs="宋体"/>
          <w:b/>
          <w:bCs/>
          <w:color w:val="auto"/>
          <w:kern w:val="44"/>
          <w:sz w:val="36"/>
          <w:szCs w:val="36"/>
          <w:highlight w:val="none"/>
          <w:lang w:val="en-US" w:eastAsia="zh-CN" w:bidi="ar-SA"/>
        </w:rPr>
        <w:t>第五章 评标方法</w:t>
      </w:r>
      <w:bookmarkEnd w:id="281"/>
      <w:r>
        <w:rPr>
          <w:rFonts w:hint="eastAsia" w:ascii="宋体" w:hAnsi="宋体" w:eastAsia="宋体" w:cs="宋体"/>
          <w:b/>
          <w:bCs/>
          <w:color w:val="auto"/>
          <w:kern w:val="44"/>
          <w:sz w:val="36"/>
          <w:szCs w:val="36"/>
          <w:highlight w:val="none"/>
          <w:lang w:val="en-US" w:eastAsia="zh-CN" w:bidi="ar-SA"/>
        </w:rPr>
        <w:t>及标准</w:t>
      </w:r>
      <w:bookmarkEnd w:id="282"/>
      <w:r>
        <w:rPr>
          <w:rFonts w:hint="eastAsia" w:ascii="宋体" w:hAnsi="宋体" w:eastAsia="宋体" w:cs="宋体"/>
          <w:b/>
          <w:bCs/>
          <w:color w:val="auto"/>
          <w:kern w:val="44"/>
          <w:sz w:val="36"/>
          <w:szCs w:val="36"/>
          <w:highlight w:val="none"/>
          <w:lang w:val="en-US" w:eastAsia="zh-CN" w:bidi="ar-SA"/>
        </w:rPr>
        <w:t>(综合评分法)</w:t>
      </w:r>
      <w:bookmarkEnd w:id="283"/>
    </w:p>
    <w:p w14:paraId="2BB6F8A4">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根据《中华人民共和国政府采购法》及其实施条例、《政府采购货物和服务招标投标管理办法》</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相关法律法规确定以下评标</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法及标准。</w:t>
      </w:r>
    </w:p>
    <w:p w14:paraId="040C2DF7">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zh-CN" w:eastAsia="zh-CN"/>
        </w:rPr>
      </w:pPr>
      <w:bookmarkStart w:id="284" w:name="_Toc163492900"/>
      <w:bookmarkStart w:id="285" w:name="_Toc4314"/>
      <w:bookmarkStart w:id="286" w:name="_Toc278891606"/>
      <w:bookmarkStart w:id="287" w:name="_Toc109899484"/>
      <w:bookmarkStart w:id="288" w:name="_Toc155185905"/>
      <w:bookmarkStart w:id="289" w:name="_Toc272247709"/>
      <w:bookmarkStart w:id="290" w:name="_Toc109900322"/>
      <w:bookmarkStart w:id="291" w:name="_Toc511894518"/>
      <w:bookmarkStart w:id="292" w:name="_Toc61280402"/>
      <w:bookmarkStart w:id="293" w:name="_Toc494561962"/>
      <w:bookmarkStart w:id="294" w:name="_Toc140132826"/>
      <w:bookmarkStart w:id="295" w:name="_Toc109899903"/>
      <w:r>
        <w:rPr>
          <w:rFonts w:hint="eastAsia" w:ascii="宋体" w:hAnsi="宋体" w:eastAsia="宋体" w:cs="宋体"/>
          <w:color w:val="auto"/>
          <w:sz w:val="28"/>
          <w:szCs w:val="28"/>
          <w:highlight w:val="none"/>
          <w:lang w:val="zh-CN" w:eastAsia="zh-CN"/>
        </w:rPr>
        <w:t>一、评标</w:t>
      </w:r>
      <w:r>
        <w:rPr>
          <w:rFonts w:hint="eastAsia" w:ascii="宋体" w:hAnsi="宋体" w:eastAsia="宋体" w:cs="宋体"/>
          <w:color w:val="auto"/>
          <w:sz w:val="28"/>
          <w:szCs w:val="28"/>
          <w:highlight w:val="none"/>
          <w:lang w:val="en-US" w:eastAsia="zh-CN"/>
        </w:rPr>
        <w:t>方</w:t>
      </w:r>
      <w:r>
        <w:rPr>
          <w:rFonts w:hint="eastAsia" w:ascii="宋体" w:hAnsi="宋体" w:eastAsia="宋体" w:cs="宋体"/>
          <w:color w:val="auto"/>
          <w:sz w:val="28"/>
          <w:szCs w:val="28"/>
          <w:highlight w:val="none"/>
          <w:lang w:val="zh-CN" w:eastAsia="zh-CN"/>
        </w:rPr>
        <w:t>法</w:t>
      </w:r>
      <w:bookmarkEnd w:id="284"/>
      <w:bookmarkEnd w:id="285"/>
    </w:p>
    <w:p w14:paraId="40F9AE81">
      <w:pPr>
        <w:pStyle w:val="37"/>
        <w:rPr>
          <w:color w:val="auto"/>
          <w:highlight w:val="none"/>
        </w:rPr>
      </w:pPr>
      <w:r>
        <w:rPr>
          <w:rFonts w:hint="eastAsia"/>
          <w:color w:val="auto"/>
          <w:highlight w:val="none"/>
        </w:rPr>
        <w:t>1.</w:t>
      </w:r>
      <w:r>
        <w:rPr>
          <w:rFonts w:hint="eastAsia"/>
          <w:b/>
          <w:bCs/>
          <w:color w:val="auto"/>
          <w:highlight w:val="none"/>
        </w:rPr>
        <w:t>本项目采用综合评分法</w:t>
      </w:r>
      <w:r>
        <w:rPr>
          <w:rFonts w:hint="eastAsia"/>
          <w:color w:val="auto"/>
          <w:highlight w:val="none"/>
        </w:rPr>
        <w:t>。综合评分法，是指投标文件满足招标文件全部实质性要求，且按照评审因素的量化指标评审得分最高的投标人为中标候选人的评标方法。</w:t>
      </w:r>
    </w:p>
    <w:p w14:paraId="5EC2DCA1">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zh-CN" w:eastAsia="zh-CN"/>
        </w:rPr>
      </w:pPr>
      <w:bookmarkStart w:id="296" w:name="_Toc2569"/>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lang w:val="zh-CN" w:eastAsia="zh-CN"/>
        </w:rPr>
        <w:t>、评标程序</w:t>
      </w:r>
      <w:bookmarkEnd w:id="296"/>
    </w:p>
    <w:p w14:paraId="2CEA851A">
      <w:pPr>
        <w:pStyle w:val="5"/>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（一）符合性审查</w:t>
      </w:r>
    </w:p>
    <w:p w14:paraId="0D55CFD2">
      <w:pPr>
        <w:pStyle w:val="37"/>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评标委员会应当对</w:t>
      </w:r>
      <w:r>
        <w:rPr>
          <w:rFonts w:hint="eastAsia" w:ascii="宋体" w:hAnsi="宋体" w:eastAsia="宋体" w:cs="宋体"/>
          <w:color w:val="auto"/>
          <w:sz w:val="24"/>
          <w:szCs w:val="24"/>
          <w:highlight w:val="none"/>
          <w:lang w:val="en-US" w:eastAsia="zh-CN"/>
        </w:rPr>
        <w:t>通过</w:t>
      </w:r>
      <w:r>
        <w:rPr>
          <w:rFonts w:hint="eastAsia" w:ascii="宋体" w:hAnsi="宋体" w:eastAsia="宋体" w:cs="宋体"/>
          <w:color w:val="auto"/>
          <w:sz w:val="24"/>
          <w:szCs w:val="24"/>
          <w:highlight w:val="none"/>
        </w:rPr>
        <w:t>资格</w:t>
      </w:r>
      <w:r>
        <w:rPr>
          <w:rFonts w:hint="eastAsia" w:ascii="宋体" w:hAnsi="宋体" w:eastAsia="宋体" w:cs="宋体"/>
          <w:color w:val="auto"/>
          <w:sz w:val="24"/>
          <w:szCs w:val="24"/>
          <w:highlight w:val="none"/>
          <w:lang w:val="en-US" w:eastAsia="zh-CN"/>
        </w:rPr>
        <w:t>审查</w:t>
      </w:r>
      <w:r>
        <w:rPr>
          <w:rFonts w:hint="eastAsia" w:ascii="宋体" w:hAnsi="宋体" w:eastAsia="宋体" w:cs="宋体"/>
          <w:color w:val="auto"/>
          <w:sz w:val="24"/>
          <w:szCs w:val="24"/>
          <w:highlight w:val="none"/>
        </w:rPr>
        <w:t>的投标人的投标文件进行符合性审查，以确定其是否满足招标文件的实质性要求。投标人必须通过符合性审查的全部评审指标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不满足招标文件的实质性要求的，</w:t>
      </w:r>
      <w:r>
        <w:rPr>
          <w:rFonts w:hint="eastAsia" w:ascii="宋体" w:hAnsi="宋体" w:eastAsia="宋体" w:cs="宋体"/>
          <w:color w:val="auto"/>
          <w:sz w:val="24"/>
          <w:szCs w:val="24"/>
          <w:highlight w:val="none"/>
          <w:lang w:val="en-US" w:eastAsia="zh-CN"/>
        </w:rPr>
        <w:t>其</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具体内容详</w:t>
      </w:r>
      <w:r>
        <w:rPr>
          <w:rFonts w:hint="eastAsia" w:ascii="宋体" w:hAnsi="宋体" w:eastAsia="宋体" w:cs="宋体"/>
          <w:color w:val="auto"/>
          <w:sz w:val="24"/>
          <w:szCs w:val="24"/>
          <w:highlight w:val="none"/>
          <w:lang w:val="zh-CN"/>
        </w:rPr>
        <w:t>本章“</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val="zh-CN"/>
        </w:rPr>
        <w:t>、评标标准”中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val="zh-CN"/>
        </w:rPr>
        <w:t>“（一）符合性审查”。</w:t>
      </w:r>
    </w:p>
    <w:p w14:paraId="4E726315">
      <w:pPr>
        <w:pStyle w:val="37"/>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通过</w:t>
      </w:r>
      <w:r>
        <w:rPr>
          <w:rFonts w:hint="eastAsia" w:ascii="宋体" w:hAnsi="宋体" w:eastAsia="宋体" w:cs="宋体"/>
          <w:color w:val="auto"/>
          <w:sz w:val="24"/>
          <w:szCs w:val="24"/>
          <w:highlight w:val="none"/>
        </w:rPr>
        <w:t>符合性审查</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有效</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不足3家的应当终止采购活动，发布项目终止公告并说明原因，重新开展采购活动。</w:t>
      </w:r>
    </w:p>
    <w:p w14:paraId="34580356">
      <w:pPr>
        <w:pStyle w:val="5"/>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297" w:name="_Toc102116178"/>
      <w:bookmarkStart w:id="298" w:name="_Toc102114946"/>
      <w:bookmarkStart w:id="299" w:name="_Toc102119879"/>
      <w:bookmarkStart w:id="300" w:name="_Toc102116048"/>
      <w:bookmarkStart w:id="301" w:name="_Toc102056244"/>
      <w:bookmarkStart w:id="302" w:name="_Toc155185907"/>
      <w:bookmarkStart w:id="303" w:name="_Toc102057744"/>
      <w:bookmarkStart w:id="304" w:name="_Toc163492903"/>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zh-CN" w:eastAsia="zh-CN" w:bidi="ar-SA"/>
        </w:rPr>
        <w:t>）投标文件澄清</w:t>
      </w:r>
      <w:bookmarkEnd w:id="297"/>
      <w:bookmarkEnd w:id="298"/>
      <w:bookmarkEnd w:id="299"/>
      <w:bookmarkEnd w:id="300"/>
      <w:bookmarkEnd w:id="301"/>
      <w:bookmarkEnd w:id="302"/>
      <w:bookmarkEnd w:id="303"/>
      <w:r>
        <w:rPr>
          <w:rFonts w:hint="eastAsia" w:ascii="宋体" w:hAnsi="宋体" w:eastAsia="宋体" w:cs="宋体"/>
          <w:b/>
          <w:bCs/>
          <w:color w:val="auto"/>
          <w:kern w:val="2"/>
          <w:sz w:val="24"/>
          <w:szCs w:val="24"/>
          <w:highlight w:val="none"/>
          <w:lang w:val="zh-CN" w:eastAsia="zh-CN" w:bidi="ar-SA"/>
        </w:rPr>
        <w:t>及修正</w:t>
      </w:r>
      <w:bookmarkEnd w:id="304"/>
    </w:p>
    <w:p w14:paraId="0EC9197C">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.评标期间，对于投标文件中含义不明确、同类问题表述不一致或者有明显文字和计算错误的内容需要投标人作出必要的澄清、说明或者补正的，评标委员会应当在</w:t>
      </w:r>
      <w:r>
        <w:rPr>
          <w:rFonts w:hint="eastAsia" w:ascii="宋体" w:hAnsi="宋体" w:eastAsia="宋体" w:cs="宋体"/>
          <w:color w:val="auto"/>
          <w:sz w:val="24"/>
          <w:szCs w:val="24"/>
          <w:highlight w:val="none"/>
          <w:lang w:val="en-US" w:eastAsia="zh-CN"/>
        </w:rPr>
        <w:t>政采云平台评标</w:t>
      </w:r>
      <w:r>
        <w:rPr>
          <w:rFonts w:hint="eastAsia" w:ascii="宋体" w:hAnsi="宋体" w:eastAsia="宋体" w:cs="宋体"/>
          <w:color w:val="auto"/>
          <w:sz w:val="24"/>
          <w:szCs w:val="24"/>
          <w:highlight w:val="none"/>
        </w:rPr>
        <w:t>系统中以书面形式要求投标人作出必要的澄清、说明或者补正。</w:t>
      </w:r>
    </w:p>
    <w:p w14:paraId="079329DA">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.投标人应按照评标委员会要求在规定时间内作出澄清、说明或者补正，澄清、说明或者补正不得超出投标文件的范围或者改变投标文件的实质性内容。</w:t>
      </w:r>
    </w:p>
    <w:p w14:paraId="591A6455">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.投标人的澄清、说明或者补正是其投标文件的有效组成部分，澄清、说明或者补正应当在</w:t>
      </w:r>
      <w:r>
        <w:rPr>
          <w:rFonts w:hint="eastAsia" w:ascii="宋体" w:hAnsi="宋体" w:eastAsia="宋体" w:cs="宋体"/>
          <w:color w:val="auto"/>
          <w:sz w:val="24"/>
          <w:szCs w:val="24"/>
          <w:highlight w:val="none"/>
          <w:lang w:val="en-US" w:eastAsia="zh-CN"/>
        </w:rPr>
        <w:t>政采云平台评标</w:t>
      </w:r>
      <w:r>
        <w:rPr>
          <w:rFonts w:hint="eastAsia" w:ascii="宋体" w:hAnsi="宋体" w:eastAsia="宋体" w:cs="宋体"/>
          <w:color w:val="auto"/>
          <w:sz w:val="24"/>
          <w:szCs w:val="24"/>
          <w:highlight w:val="none"/>
        </w:rPr>
        <w:t>系统中加盖电子印章后提交。</w:t>
      </w:r>
    </w:p>
    <w:p w14:paraId="3B466024">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.报价合理性说明：评标委员会认为投标人的报价明显低于其他通过符合性审查投标人的报价，有可能影响</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质量或者不能诚信履约的，</w:t>
      </w:r>
      <w:r>
        <w:rPr>
          <w:rFonts w:hint="eastAsia" w:ascii="宋体" w:hAnsi="宋体" w:eastAsia="宋体" w:cs="宋体"/>
          <w:color w:val="auto"/>
          <w:sz w:val="24"/>
          <w:szCs w:val="24"/>
          <w:highlight w:val="none"/>
          <w:lang w:val="en-US" w:eastAsia="zh-CN"/>
        </w:rPr>
        <w:t>应当</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en-US" w:eastAsia="zh-CN"/>
        </w:rPr>
        <w:t>该投标人</w:t>
      </w:r>
      <w:r>
        <w:rPr>
          <w:rFonts w:hint="eastAsia" w:ascii="宋体" w:hAnsi="宋体" w:eastAsia="宋体" w:cs="宋体"/>
          <w:color w:val="auto"/>
          <w:sz w:val="24"/>
          <w:szCs w:val="24"/>
          <w:highlight w:val="none"/>
        </w:rPr>
        <w:t>在合理的时间内提供说明，必要时提交相关证明材料；</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rPr>
        <w:t>投标人不能证明其报价合理性的，评标委员</w:t>
      </w:r>
      <w:r>
        <w:rPr>
          <w:rFonts w:hint="eastAsia" w:ascii="宋体" w:hAnsi="宋体" w:eastAsia="宋体" w:cs="宋体"/>
          <w:color w:val="auto"/>
          <w:sz w:val="24"/>
          <w:szCs w:val="24"/>
          <w:highlight w:val="none"/>
          <w:lang w:val="en-US" w:eastAsia="zh-CN"/>
        </w:rPr>
        <w:t>会应当</w:t>
      </w:r>
      <w:r>
        <w:rPr>
          <w:rFonts w:hint="eastAsia" w:ascii="宋体" w:hAnsi="宋体" w:eastAsia="宋体" w:cs="宋体"/>
          <w:color w:val="auto"/>
          <w:sz w:val="24"/>
          <w:szCs w:val="24"/>
          <w:highlight w:val="none"/>
        </w:rPr>
        <w:t>将其作</w:t>
      </w:r>
      <w:r>
        <w:rPr>
          <w:rFonts w:hint="eastAsia" w:ascii="宋体" w:hAnsi="宋体" w:eastAsia="宋体" w:cs="宋体"/>
          <w:b/>
          <w:bCs/>
          <w:color w:val="auto"/>
          <w:sz w:val="24"/>
          <w:szCs w:val="24"/>
          <w:highlight w:val="none"/>
        </w:rPr>
        <w:t>无效投标</w:t>
      </w:r>
      <w:r>
        <w:rPr>
          <w:rFonts w:hint="eastAsia" w:ascii="宋体" w:hAnsi="宋体" w:eastAsia="宋体" w:cs="宋体"/>
          <w:color w:val="auto"/>
          <w:sz w:val="24"/>
          <w:szCs w:val="24"/>
          <w:highlight w:val="none"/>
        </w:rPr>
        <w:t>处理。</w:t>
      </w:r>
    </w:p>
    <w:p w14:paraId="4FD6345C">
      <w:pPr>
        <w:pStyle w:val="37"/>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w:t>
      </w:r>
    </w:p>
    <w:p w14:paraId="015D7E7F">
      <w:pPr>
        <w:pStyle w:val="37"/>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8.投标文件报价出现前后不一致的，除招标文件另有规定外，按照下列规定修正：</w:t>
      </w:r>
    </w:p>
    <w:p w14:paraId="4D967018">
      <w:pPr>
        <w:pStyle w:val="37"/>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8.1投标文件中开标一览表（报价表）内容与投标文件中相应内容不一致的，以开标一览表（报价表）为准；</w:t>
      </w:r>
    </w:p>
    <w:p w14:paraId="657B9F51">
      <w:pPr>
        <w:pStyle w:val="37"/>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8.2大写金额和小写金额不一致的，以大写金额为准；</w:t>
      </w:r>
    </w:p>
    <w:p w14:paraId="628E9D79">
      <w:pPr>
        <w:pStyle w:val="37"/>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8.3单价金额小数点或者百分比有明显错位的，以开标一览表的总价为准，并修改单价；</w:t>
      </w:r>
    </w:p>
    <w:p w14:paraId="3D45997F">
      <w:pPr>
        <w:pStyle w:val="37"/>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8.4总价金额与按单价汇总金额不一致的，以单价金额计算结果为准。</w:t>
      </w:r>
    </w:p>
    <w:p w14:paraId="4E5FFFFF">
      <w:pPr>
        <w:pStyle w:val="37"/>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同时出现两种以上不一致的，按照8.1—8.4的顺序修正。修正后的报价采用书面形式，并加盖公章，或者由法定代表人或其授权的代表签字，经投标人确认后产生约束力，投标人不确认的，其</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w:t>
      </w:r>
    </w:p>
    <w:p w14:paraId="33748C4F">
      <w:pPr>
        <w:pStyle w:val="5"/>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zh-CN" w:eastAsia="zh-CN" w:bidi="ar-SA"/>
        </w:rPr>
        <w:t>）比较与评价</w:t>
      </w:r>
    </w:p>
    <w:p w14:paraId="2BE6ECB2">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评标委员会应当按照招标文件中规定的评标方法和标准，对符合性审查合格的投标文件进行商务和技术评</w:t>
      </w:r>
      <w:r>
        <w:rPr>
          <w:rFonts w:hint="eastAsia" w:ascii="宋体" w:hAnsi="宋体" w:eastAsia="宋体" w:cs="宋体"/>
          <w:color w:val="auto"/>
          <w:sz w:val="24"/>
          <w:szCs w:val="24"/>
          <w:highlight w:val="none"/>
          <w:lang w:val="en-US" w:eastAsia="zh-CN"/>
        </w:rPr>
        <w:t>估</w:t>
      </w:r>
      <w:r>
        <w:rPr>
          <w:rFonts w:hint="eastAsia" w:ascii="宋体" w:hAnsi="宋体" w:eastAsia="宋体" w:cs="宋体"/>
          <w:color w:val="auto"/>
          <w:sz w:val="24"/>
          <w:szCs w:val="24"/>
          <w:highlight w:val="none"/>
        </w:rPr>
        <w:t>，综合比较与评价</w:t>
      </w:r>
      <w:r>
        <w:rPr>
          <w:rFonts w:hint="eastAsia" w:ascii="宋体" w:hAnsi="宋体" w:eastAsia="宋体" w:cs="宋体"/>
          <w:color w:val="auto"/>
          <w:sz w:val="24"/>
          <w:szCs w:val="24"/>
          <w:highlight w:val="none"/>
          <w:lang w:val="en-US" w:eastAsia="zh-CN"/>
        </w:rPr>
        <w:t>；未通过符合性审查的投标文件不得进入比较与评价</w:t>
      </w:r>
      <w:r>
        <w:rPr>
          <w:rFonts w:hint="eastAsia" w:ascii="宋体" w:hAnsi="宋体" w:eastAsia="宋体" w:cs="宋体"/>
          <w:color w:val="auto"/>
          <w:sz w:val="24"/>
          <w:szCs w:val="24"/>
          <w:highlight w:val="none"/>
        </w:rPr>
        <w:t>。评审因素包括投标报价、商务技术以及落实政府采购政策。评审因素及标准见本章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评</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635A5086">
      <w:pPr>
        <w:pStyle w:val="37"/>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10.相同品牌处理原则</w:t>
      </w:r>
    </w:p>
    <w:p w14:paraId="7EDACD8A">
      <w:pPr>
        <w:pStyle w:val="37"/>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.1单一产品采购（或非单一产品采购中的核心产品），提供相同品牌产品且通过资格审查、符合性审查的不同投标人参加同一合同项下投标的，按一家投标人计算。</w:t>
      </w:r>
    </w:p>
    <w:p w14:paraId="6B4B1667">
      <w:pPr>
        <w:pStyle w:val="37"/>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.2非单一产品采购项目，采购人应当根据采购项目技术构成、产品价格比重等合理确定</w:t>
      </w:r>
      <w:r>
        <w:rPr>
          <w:rFonts w:hint="eastAsia" w:ascii="宋体" w:hAnsi="宋体" w:eastAsia="宋体" w:cs="宋体"/>
          <w:color w:val="auto"/>
          <w:sz w:val="24"/>
          <w:szCs w:val="24"/>
          <w:highlight w:val="none"/>
          <w:lang w:eastAsia="zh-CN"/>
        </w:rPr>
        <w:t>核心产品</w:t>
      </w:r>
      <w:r>
        <w:rPr>
          <w:rFonts w:hint="eastAsia" w:ascii="宋体" w:hAnsi="宋体" w:eastAsia="宋体" w:cs="宋体"/>
          <w:color w:val="auto"/>
          <w:sz w:val="24"/>
          <w:szCs w:val="24"/>
          <w:highlight w:val="none"/>
        </w:rPr>
        <w:t>（采购清单中作“与核心产品相同〈或同一〉品牌”实质性要求的产品，视为</w:t>
      </w:r>
      <w:r>
        <w:rPr>
          <w:rFonts w:hint="eastAsia" w:ascii="宋体" w:hAnsi="宋体" w:eastAsia="宋体" w:cs="宋体"/>
          <w:color w:val="auto"/>
          <w:sz w:val="24"/>
          <w:szCs w:val="24"/>
          <w:highlight w:val="none"/>
          <w:lang w:eastAsia="zh-CN"/>
        </w:rPr>
        <w:t>核心产品</w:t>
      </w:r>
      <w:r>
        <w:rPr>
          <w:rFonts w:hint="eastAsia" w:ascii="宋体" w:hAnsi="宋体" w:eastAsia="宋体" w:cs="宋体"/>
          <w:color w:val="auto"/>
          <w:sz w:val="24"/>
          <w:szCs w:val="24"/>
          <w:highlight w:val="none"/>
        </w:rPr>
        <w:t>），并以“核心产品”在“投标人须知前附表”中载明，评审时按前款规定处理。</w:t>
      </w:r>
    </w:p>
    <w:p w14:paraId="384D833B">
      <w:pPr>
        <w:pStyle w:val="37"/>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.3有效投标品牌不足3家的应按</w:t>
      </w:r>
      <w:r>
        <w:rPr>
          <w:rFonts w:hint="eastAsia" w:ascii="宋体" w:hAnsi="宋体" w:eastAsia="宋体" w:cs="宋体"/>
          <w:b/>
          <w:bCs/>
          <w:color w:val="auto"/>
          <w:sz w:val="24"/>
          <w:szCs w:val="24"/>
          <w:highlight w:val="none"/>
        </w:rPr>
        <w:t>废标</w:t>
      </w:r>
      <w:r>
        <w:rPr>
          <w:rFonts w:hint="eastAsia" w:ascii="宋体" w:hAnsi="宋体" w:eastAsia="宋体" w:cs="宋体"/>
          <w:color w:val="auto"/>
          <w:sz w:val="24"/>
          <w:szCs w:val="24"/>
          <w:highlight w:val="none"/>
        </w:rPr>
        <w:t>处理。</w:t>
      </w:r>
    </w:p>
    <w:p w14:paraId="7C54BD9F">
      <w:pPr>
        <w:pStyle w:val="5"/>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四</w:t>
      </w:r>
      <w:r>
        <w:rPr>
          <w:rFonts w:hint="eastAsia" w:ascii="宋体" w:hAnsi="宋体" w:eastAsia="宋体" w:cs="宋体"/>
          <w:b/>
          <w:bCs/>
          <w:color w:val="auto"/>
          <w:kern w:val="2"/>
          <w:sz w:val="24"/>
          <w:szCs w:val="24"/>
          <w:highlight w:val="none"/>
          <w:lang w:val="zh-CN" w:eastAsia="zh-CN" w:bidi="ar-SA"/>
        </w:rPr>
        <w:t>）报价评审</w:t>
      </w:r>
    </w:p>
    <w:p w14:paraId="21874171">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投标报价评审</w:t>
      </w:r>
    </w:p>
    <w:p w14:paraId="266BD854">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货物项目的价格分值占总分值的比重不得低于30%。执行国家统一定价标准和采用固定价格采购的项目，其价格不列为评审因素。</w:t>
      </w:r>
      <w:r>
        <w:rPr>
          <w:rFonts w:hint="eastAsia" w:ascii="宋体" w:hAnsi="宋体" w:eastAsia="宋体" w:cs="宋体"/>
          <w:color w:val="auto"/>
          <w:sz w:val="24"/>
          <w:szCs w:val="24"/>
          <w:highlight w:val="none"/>
        </w:rPr>
        <w:t>价格分应当采用低价优先法计算，即满足招标文件要求且投标价格最低的投标报价为评标基准价，其价格分为满分。其他投标人的价格分统一按照下列公式计算：</w:t>
      </w:r>
    </w:p>
    <w:p w14:paraId="2D86B7AD">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投标报价得分=(评标基准价／投标报价)×价格分值</w:t>
      </w:r>
    </w:p>
    <w:p w14:paraId="0CCB2E48">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14E623B0">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2</w:t>
      </w:r>
      <w:r>
        <w:rPr>
          <w:rFonts w:hint="eastAsia" w:ascii="宋体" w:hAnsi="宋体" w:eastAsia="宋体" w:cs="宋体"/>
          <w:iCs/>
          <w:color w:val="auto"/>
          <w:spacing w:val="-6"/>
          <w:sz w:val="24"/>
          <w:szCs w:val="24"/>
          <w:highlight w:val="none"/>
        </w:rPr>
        <w:t>除算术修正和落实政府采购政策的价格扣除外，不对投标报价进行调整；</w:t>
      </w:r>
    </w:p>
    <w:p w14:paraId="6DDDADCE">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3价格</w:t>
      </w:r>
      <w:r>
        <w:rPr>
          <w:rFonts w:hint="eastAsia" w:ascii="宋体" w:hAnsi="宋体" w:eastAsia="宋体" w:cs="宋体"/>
          <w:color w:val="auto"/>
          <w:sz w:val="24"/>
          <w:szCs w:val="24"/>
          <w:highlight w:val="none"/>
          <w:lang w:eastAsia="zh-CN"/>
        </w:rPr>
        <w:t>分值</w:t>
      </w:r>
      <w:r>
        <w:rPr>
          <w:rFonts w:hint="eastAsia" w:ascii="宋体" w:hAnsi="宋体" w:eastAsia="宋体" w:cs="宋体"/>
          <w:color w:val="auto"/>
          <w:sz w:val="24"/>
          <w:szCs w:val="24"/>
          <w:highlight w:val="none"/>
        </w:rPr>
        <w:t>见本章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评</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30866637">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.政府采购政策评审</w:t>
      </w:r>
    </w:p>
    <w:p w14:paraId="7D57744F">
      <w:pPr>
        <w:pStyle w:val="37"/>
        <w:numPr>
          <w:ilvl w:val="0"/>
          <w:numId w:val="0"/>
        </w:num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.1非专门面向中小企业的采购项目或采购包，对符合规定的小微企业（</w:t>
      </w:r>
      <w:r>
        <w:rPr>
          <w:rFonts w:hint="eastAsia" w:ascii="宋体" w:hAnsi="宋体" w:eastAsia="宋体" w:cs="宋体"/>
          <w:color w:val="auto"/>
          <w:sz w:val="24"/>
          <w:szCs w:val="24"/>
          <w:highlight w:val="none"/>
          <w:lang w:val="en-US" w:eastAsia="zh-CN"/>
        </w:rPr>
        <w:t>含</w:t>
      </w:r>
      <w:r>
        <w:rPr>
          <w:rFonts w:hint="eastAsia" w:ascii="宋体" w:hAnsi="宋体" w:eastAsia="宋体" w:cs="宋体"/>
          <w:color w:val="auto"/>
          <w:sz w:val="24"/>
          <w:szCs w:val="24"/>
          <w:highlight w:val="none"/>
        </w:rPr>
        <w:t>监狱企业、残疾人福利性单位、联合体各方均为小微企业的联合体、符合小微企业划分标准的个体工商户视同小微企业）报价按照本招标文件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投标人须知前附表”中的规定扣除，对小微企业中的监狱企业、残疾人福利性单位的报价按照本</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须知前附表”中的规定扣除，用扣除后的价格</w:t>
      </w:r>
      <w:r>
        <w:rPr>
          <w:rFonts w:hint="eastAsia" w:cs="宋体"/>
          <w:color w:val="auto"/>
          <w:sz w:val="24"/>
          <w:szCs w:val="24"/>
          <w:highlight w:val="none"/>
          <w:lang w:val="en-US" w:eastAsia="zh-CN"/>
        </w:rPr>
        <w:t>参与</w:t>
      </w:r>
      <w:r>
        <w:rPr>
          <w:rFonts w:hint="eastAsia" w:ascii="宋体" w:hAnsi="宋体" w:eastAsia="宋体" w:cs="宋体"/>
          <w:color w:val="auto"/>
          <w:sz w:val="24"/>
          <w:szCs w:val="24"/>
          <w:highlight w:val="none"/>
        </w:rPr>
        <w:t>评审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采购产品纳入创新产品应用示范推荐目录内企业、采购产品获得节能产品或环境标志产品认证证书</w:t>
      </w:r>
      <w:r>
        <w:rPr>
          <w:rFonts w:hint="eastAsia" w:cs="宋体"/>
          <w:color w:val="auto"/>
          <w:sz w:val="24"/>
          <w:szCs w:val="24"/>
          <w:highlight w:val="none"/>
          <w:lang w:val="en-US" w:eastAsia="zh-CN"/>
        </w:rPr>
        <w:t>的投标人</w:t>
      </w:r>
      <w:r>
        <w:rPr>
          <w:rFonts w:hint="eastAsia" w:ascii="宋体" w:hAnsi="宋体" w:eastAsia="宋体" w:cs="宋体"/>
          <w:color w:val="auto"/>
          <w:sz w:val="24"/>
          <w:szCs w:val="24"/>
          <w:highlight w:val="none"/>
        </w:rPr>
        <w:t>按照本</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须知前附表”中的规定</w:t>
      </w:r>
      <w:r>
        <w:rPr>
          <w:rFonts w:hint="eastAsia" w:cs="宋体"/>
          <w:color w:val="auto"/>
          <w:sz w:val="24"/>
          <w:szCs w:val="24"/>
          <w:highlight w:val="none"/>
          <w:lang w:val="en-US" w:eastAsia="zh-CN"/>
        </w:rPr>
        <w:t>给予评审优惠</w:t>
      </w:r>
      <w:r>
        <w:rPr>
          <w:rFonts w:hint="eastAsia" w:ascii="宋体" w:hAnsi="宋体" w:eastAsia="宋体" w:cs="宋体"/>
          <w:color w:val="auto"/>
          <w:sz w:val="24"/>
          <w:szCs w:val="24"/>
          <w:highlight w:val="none"/>
          <w:lang w:eastAsia="zh-CN"/>
        </w:rPr>
        <w:t>。</w:t>
      </w:r>
    </w:p>
    <w:p w14:paraId="1E5F4E03">
      <w:pPr>
        <w:pStyle w:val="37"/>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rPr>
        <w:t>参加政府采购活动的小微企业（含节能环保、创新产品企业）未提供“中小企业声明函”的；监狱企业未提供“监狱企业证明文件”的；残疾人福利性单位未提供“残疾人福利性单位声明函”的；不得享受相应的价格扣除优惠。组成联合体或者接受分包的小微企业与联合体内其他企业、分包企业之间存在直接控股、管理关系的，不得享受价格扣除优惠。</w:t>
      </w:r>
      <w:r>
        <w:rPr>
          <w:rFonts w:hint="eastAsia" w:ascii="宋体" w:hAnsi="宋体" w:eastAsia="宋体" w:cs="宋体"/>
          <w:color w:val="auto"/>
          <w:sz w:val="24"/>
          <w:szCs w:val="24"/>
          <w:highlight w:val="none"/>
          <w:lang w:val="en-US" w:eastAsia="zh-CN"/>
        </w:rPr>
        <w:t>若供应商同时属于小型或微型企业、监狱企业、残疾人福利性单位 中的两种及以上，将不重复享受小微企业价格扣减的优惠政策。</w:t>
      </w:r>
    </w:p>
    <w:p w14:paraId="1A495953">
      <w:pPr>
        <w:pStyle w:val="37"/>
        <w:numPr>
          <w:ilvl w:val="0"/>
          <w:numId w:val="0"/>
        </w:numPr>
        <w:shd w:val="clear" w:color="auto" w:fill="FFFFFF" w:themeFill="background1"/>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组成联合体或者接受分包的小微企业与联合体内其他企业、分包企业之间存在直接控股、管理关系的，不享受价格扣除优惠政策。</w:t>
      </w:r>
    </w:p>
    <w:p w14:paraId="74F2F1A2">
      <w:pPr>
        <w:pStyle w:val="37"/>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价格扣除比例对小型企业和微型企业同等对待，不作区分。</w:t>
      </w:r>
    </w:p>
    <w:p w14:paraId="71DD10A8">
      <w:pPr>
        <w:pStyle w:val="37"/>
        <w:rPr>
          <w:rFonts w:hint="eastAsia" w:ascii="宋体" w:hAnsi="宋体" w:eastAsia="宋体" w:cs="宋体"/>
          <w:color w:val="auto"/>
          <w:sz w:val="24"/>
          <w:szCs w:val="24"/>
          <w:highlight w:val="none"/>
        </w:rPr>
      </w:pPr>
      <w:r>
        <w:rPr>
          <w:rFonts w:hint="eastAsia" w:ascii="宋体" w:hAnsi="宋体" w:eastAsia="宋体" w:cs="宋体"/>
          <w:iCs/>
          <w:color w:val="auto"/>
          <w:kern w:val="2"/>
          <w:sz w:val="24"/>
          <w:szCs w:val="24"/>
          <w:highlight w:val="none"/>
          <w:shd w:val="clear" w:fill="FFFFFF" w:themeFill="background1"/>
          <w:lang w:val="en-US" w:eastAsia="zh-CN" w:bidi="ar-SA"/>
        </w:rPr>
        <w:t>12.</w:t>
      </w:r>
      <w:r>
        <w:rPr>
          <w:rFonts w:hint="eastAsia" w:ascii="宋体" w:hAnsi="宋体" w:eastAsia="宋体" w:cs="宋体"/>
          <w:iCs/>
          <w:color w:val="auto"/>
          <w:kern w:val="2"/>
          <w:sz w:val="24"/>
          <w:szCs w:val="24"/>
          <w:highlight w:val="none"/>
          <w:shd w:val="clear" w:fill="FFFFFF" w:themeFill="background1"/>
          <w:lang w:val="zh-CN" w:eastAsia="zh-CN" w:bidi="ar-SA"/>
        </w:rPr>
        <w:t>3</w:t>
      </w:r>
      <w:r>
        <w:rPr>
          <w:rFonts w:hint="eastAsia" w:ascii="宋体" w:hAnsi="宋体" w:eastAsia="宋体" w:cs="宋体"/>
          <w:color w:val="auto"/>
          <w:sz w:val="24"/>
          <w:szCs w:val="24"/>
          <w:highlight w:val="none"/>
        </w:rPr>
        <w:t>专门面向中小企业、预留部分采购份额面向中小企业采购的项目或采购包，评审时不再进行价格扣除。</w:t>
      </w:r>
    </w:p>
    <w:p w14:paraId="3874ED83">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12.4</w:t>
      </w:r>
      <w:r>
        <w:rPr>
          <w:rFonts w:hint="eastAsia" w:ascii="宋体" w:hAnsi="宋体" w:eastAsia="宋体" w:cs="宋体"/>
          <w:color w:val="auto"/>
          <w:sz w:val="24"/>
          <w:szCs w:val="24"/>
          <w:highlight w:val="none"/>
        </w:rPr>
        <w:t>对于未预留份额专门面向中小企业的政府采购项目，以及预留份额政府采购项目中的非预留部分标项，对小型和微型企业的投标报价给予10%-20%的扣除，用扣除后的价格参与评审。接受大中型企业与小微企业组成联合体或者允许大中型企业向一家或者多家小微企业分包的政府采购项目，对于联合</w:t>
      </w:r>
      <w:r>
        <w:rPr>
          <w:rFonts w:hint="eastAsia" w:ascii="宋体" w:hAnsi="宋体" w:eastAsia="宋体" w:cs="宋体"/>
          <w:color w:val="auto"/>
          <w:sz w:val="24"/>
          <w:szCs w:val="24"/>
          <w:highlight w:val="none"/>
          <w:lang w:val="en-US" w:eastAsia="zh-CN"/>
        </w:rPr>
        <w:t>体</w:t>
      </w:r>
      <w:r>
        <w:rPr>
          <w:rFonts w:hint="eastAsia" w:ascii="宋体" w:hAnsi="宋体" w:eastAsia="宋体" w:cs="宋体"/>
          <w:color w:val="auto"/>
          <w:sz w:val="24"/>
          <w:szCs w:val="24"/>
          <w:highlight w:val="none"/>
        </w:rPr>
        <w:t>协议</w:t>
      </w:r>
      <w:r>
        <w:rPr>
          <w:rFonts w:hint="eastAsia" w:ascii="宋体" w:hAnsi="宋体" w:eastAsia="宋体" w:cs="宋体"/>
          <w:color w:val="auto"/>
          <w:sz w:val="24"/>
          <w:szCs w:val="24"/>
          <w:highlight w:val="none"/>
          <w:lang w:val="en-US" w:eastAsia="zh-CN"/>
        </w:rPr>
        <w:t>书</w:t>
      </w:r>
      <w:r>
        <w:rPr>
          <w:rFonts w:hint="eastAsia" w:ascii="宋体" w:hAnsi="宋体" w:eastAsia="宋体" w:cs="宋体"/>
          <w:color w:val="auto"/>
          <w:sz w:val="24"/>
          <w:szCs w:val="24"/>
          <w:highlight w:val="none"/>
        </w:rPr>
        <w:t>或者分包意向协议</w:t>
      </w:r>
      <w:r>
        <w:rPr>
          <w:rFonts w:hint="eastAsia" w:ascii="宋体" w:hAnsi="宋体" w:eastAsia="宋体" w:cs="宋体"/>
          <w:color w:val="auto"/>
          <w:sz w:val="24"/>
          <w:szCs w:val="24"/>
          <w:highlight w:val="none"/>
          <w:lang w:val="en-US" w:eastAsia="zh-CN"/>
        </w:rPr>
        <w:t>书</w:t>
      </w:r>
      <w:r>
        <w:rPr>
          <w:rFonts w:hint="eastAsia" w:ascii="宋体" w:hAnsi="宋体" w:eastAsia="宋体" w:cs="宋体"/>
          <w:color w:val="auto"/>
          <w:sz w:val="24"/>
          <w:szCs w:val="24"/>
          <w:highlight w:val="none"/>
        </w:rPr>
        <w:t>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48FFFDB">
      <w:pPr>
        <w:pStyle w:val="5"/>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b/>
          <w:bCs/>
          <w:color w:val="auto"/>
          <w:kern w:val="2"/>
          <w:sz w:val="24"/>
          <w:szCs w:val="24"/>
          <w:highlight w:val="none"/>
          <w:lang w:val="zh-CN" w:eastAsia="zh-CN" w:bidi="ar-SA"/>
        </w:rPr>
        <w:t>）评标得分及复核</w:t>
      </w:r>
    </w:p>
    <w:p w14:paraId="073A56A5">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评标过程中，各项分值一般精确到小数点后两位，评标得分应为商务评分、技术评分、报价评分之和。评标委员会各成员应汇总每个投标人的得分。</w:t>
      </w:r>
    </w:p>
    <w:p w14:paraId="0BE80DC7">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iCs/>
          <w:color w:val="auto"/>
          <w:spacing w:val="-6"/>
          <w:sz w:val="24"/>
          <w:szCs w:val="24"/>
          <w:highlight w:val="none"/>
        </w:rPr>
        <w:t>评标结果汇总完成后，采购代理机构应对评标结果进行复核。经复核发现存在以下情形之一的，评标委员会应当当场修改评标结果，并在评标报告中记载：</w:t>
      </w:r>
    </w:p>
    <w:p w14:paraId="427128F3">
      <w:pPr>
        <w:pStyle w:val="37"/>
        <w:numPr>
          <w:ilvl w:val="0"/>
          <w:numId w:val="0"/>
        </w:numPr>
        <w:ind w:left="900" w:leftChars="0" w:hanging="420" w:firstLineChars="0"/>
        <w:rPr>
          <w:rFonts w:hint="eastAsia" w:ascii="宋体" w:hAnsi="宋体" w:eastAsia="宋体" w:cs="宋体"/>
          <w:color w:val="auto"/>
          <w:sz w:val="24"/>
          <w:szCs w:val="24"/>
          <w:highlight w:val="none"/>
        </w:rPr>
      </w:pPr>
      <w:r>
        <w:rPr>
          <w:rFonts w:hint="eastAsia" w:ascii="宋体" w:hAnsi="宋体" w:eastAsia="宋体" w:cs="宋体"/>
          <w:iCs/>
          <w:color w:val="auto"/>
          <w:kern w:val="2"/>
          <w:sz w:val="24"/>
          <w:szCs w:val="24"/>
          <w:highlight w:val="none"/>
          <w:shd w:val="clear" w:fill="FFFFFF" w:themeFill="background1"/>
          <w:lang w:val="en-US" w:eastAsia="zh-CN" w:bidi="ar-SA"/>
        </w:rPr>
        <w:t>14.1</w:t>
      </w:r>
      <w:r>
        <w:rPr>
          <w:rFonts w:hint="eastAsia" w:ascii="宋体" w:hAnsi="宋体" w:eastAsia="宋体" w:cs="宋体"/>
          <w:color w:val="auto"/>
          <w:sz w:val="24"/>
          <w:szCs w:val="24"/>
          <w:highlight w:val="none"/>
        </w:rPr>
        <w:t>分值汇总计算错误的；</w:t>
      </w:r>
    </w:p>
    <w:p w14:paraId="4404F7B4">
      <w:pPr>
        <w:pStyle w:val="37"/>
        <w:numPr>
          <w:ilvl w:val="0"/>
          <w:numId w:val="0"/>
        </w:numPr>
        <w:ind w:left="900" w:leftChars="0" w:hanging="420" w:firstLineChars="0"/>
        <w:rPr>
          <w:rFonts w:hint="eastAsia" w:ascii="宋体" w:hAnsi="宋体" w:eastAsia="宋体" w:cs="宋体"/>
          <w:color w:val="auto"/>
          <w:sz w:val="24"/>
          <w:szCs w:val="24"/>
          <w:highlight w:val="none"/>
        </w:rPr>
      </w:pPr>
      <w:r>
        <w:rPr>
          <w:rFonts w:hint="eastAsia" w:ascii="宋体" w:hAnsi="宋体" w:eastAsia="宋体" w:cs="宋体"/>
          <w:iCs/>
          <w:color w:val="auto"/>
          <w:kern w:val="2"/>
          <w:sz w:val="24"/>
          <w:szCs w:val="24"/>
          <w:highlight w:val="none"/>
          <w:shd w:val="clear" w:fill="FFFFFF" w:themeFill="background1"/>
          <w:lang w:val="en-US" w:eastAsia="zh-CN" w:bidi="ar-SA"/>
        </w:rPr>
        <w:t>14.2</w:t>
      </w:r>
      <w:r>
        <w:rPr>
          <w:rFonts w:hint="eastAsia" w:ascii="宋体" w:hAnsi="宋体" w:eastAsia="宋体" w:cs="宋体"/>
          <w:color w:val="auto"/>
          <w:sz w:val="24"/>
          <w:szCs w:val="24"/>
          <w:highlight w:val="none"/>
        </w:rPr>
        <w:t>分项评分超出评分标准范围的；</w:t>
      </w:r>
    </w:p>
    <w:p w14:paraId="18150CA8">
      <w:pPr>
        <w:pStyle w:val="37"/>
        <w:numPr>
          <w:ilvl w:val="0"/>
          <w:numId w:val="0"/>
        </w:numPr>
        <w:ind w:left="900" w:leftChars="0" w:hanging="420" w:firstLineChars="0"/>
        <w:rPr>
          <w:rFonts w:hint="eastAsia" w:ascii="宋体" w:hAnsi="宋体" w:eastAsia="宋体" w:cs="宋体"/>
          <w:color w:val="auto"/>
          <w:sz w:val="24"/>
          <w:szCs w:val="24"/>
          <w:highlight w:val="none"/>
        </w:rPr>
      </w:pPr>
      <w:r>
        <w:rPr>
          <w:rFonts w:hint="eastAsia" w:ascii="宋体" w:hAnsi="宋体" w:eastAsia="宋体" w:cs="宋体"/>
          <w:iCs/>
          <w:color w:val="auto"/>
          <w:kern w:val="2"/>
          <w:sz w:val="24"/>
          <w:szCs w:val="24"/>
          <w:highlight w:val="none"/>
          <w:shd w:val="clear" w:fill="FFFFFF" w:themeFill="background1"/>
          <w:lang w:val="en-US" w:eastAsia="zh-CN" w:bidi="ar-SA"/>
        </w:rPr>
        <w:t>14.3</w:t>
      </w:r>
      <w:r>
        <w:rPr>
          <w:rFonts w:hint="eastAsia" w:ascii="宋体" w:hAnsi="宋体" w:eastAsia="宋体" w:cs="宋体"/>
          <w:color w:val="auto"/>
          <w:sz w:val="24"/>
          <w:szCs w:val="24"/>
          <w:highlight w:val="none"/>
        </w:rPr>
        <w:t>评标委员会成员对客观评审因素评分不一致的；</w:t>
      </w:r>
    </w:p>
    <w:p w14:paraId="6BFAB3DA">
      <w:pPr>
        <w:pStyle w:val="37"/>
        <w:numPr>
          <w:ilvl w:val="0"/>
          <w:numId w:val="0"/>
        </w:numPr>
        <w:ind w:left="900" w:leftChars="0" w:hanging="420" w:firstLineChars="0"/>
        <w:rPr>
          <w:rFonts w:hint="eastAsia" w:ascii="宋体" w:hAnsi="宋体" w:eastAsia="宋体" w:cs="宋体"/>
          <w:color w:val="auto"/>
          <w:sz w:val="24"/>
          <w:szCs w:val="24"/>
          <w:highlight w:val="none"/>
        </w:rPr>
      </w:pPr>
      <w:r>
        <w:rPr>
          <w:rFonts w:hint="eastAsia" w:ascii="宋体" w:hAnsi="宋体" w:eastAsia="宋体" w:cs="宋体"/>
          <w:iCs/>
          <w:color w:val="auto"/>
          <w:kern w:val="2"/>
          <w:sz w:val="24"/>
          <w:szCs w:val="24"/>
          <w:highlight w:val="none"/>
          <w:shd w:val="clear" w:fill="FFFFFF" w:themeFill="background1"/>
          <w:lang w:val="en-US" w:eastAsia="zh-CN" w:bidi="ar-SA"/>
        </w:rPr>
        <w:t>14.4</w:t>
      </w:r>
      <w:r>
        <w:rPr>
          <w:rFonts w:hint="eastAsia" w:ascii="宋体" w:hAnsi="宋体" w:eastAsia="宋体" w:cs="宋体"/>
          <w:color w:val="auto"/>
          <w:sz w:val="24"/>
          <w:szCs w:val="24"/>
          <w:highlight w:val="none"/>
        </w:rPr>
        <w:t>经评标委员会认定评分畸高、畸低的。</w:t>
      </w:r>
    </w:p>
    <w:p w14:paraId="0FD26D1C">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各投标人的最终得分为评标委员会所有成员对各投标人评标得分汇总后的算术平均值。</w:t>
      </w:r>
    </w:p>
    <w:p w14:paraId="1FD846A7">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15.1除资格性检查认定错误、分值汇总计算错误、分项评分超出评分标准范围、客观分评分不一致、经评标委员会一致认定评分畸高、畸低的情形外，采购人或者采购代理机构不得以任何理由组织重新评审。采购人、采购代理机构发现评标委员会未按照招标文件规定的评审标准进行评审的，应当重新开展采购活动，并同时书面报告本级财政部门。</w:t>
      </w:r>
    </w:p>
    <w:p w14:paraId="125C5D08">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15.2采购人或者采购代理机构不得通过对样品进行检测、对投标人进行考察等方式改变评审结果。</w:t>
      </w:r>
    </w:p>
    <w:p w14:paraId="5AB9E04E">
      <w:pPr>
        <w:pStyle w:val="5"/>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zh-CN" w:eastAsia="zh-CN" w:bidi="ar-SA"/>
        </w:rPr>
        <w:t>）排序与推荐</w:t>
      </w:r>
    </w:p>
    <w:p w14:paraId="514ADBD8">
      <w:pPr>
        <w:pStyle w:val="37"/>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按技术指标优劣顺序排列。</w:t>
      </w:r>
    </w:p>
    <w:p w14:paraId="7B12FA4F">
      <w:pPr>
        <w:pStyle w:val="37"/>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招标文件未规定的采取随机抽取方式确定，其他同品牌投标人不作为中标候选人。</w:t>
      </w:r>
    </w:p>
    <w:p w14:paraId="3B1F6C1A">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18.中标候选人推荐家数详见“投标人须知前附表”。</w:t>
      </w:r>
    </w:p>
    <w:p w14:paraId="1F98E10E">
      <w:pPr>
        <w:pStyle w:val="5"/>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七</w:t>
      </w:r>
      <w:r>
        <w:rPr>
          <w:rFonts w:hint="eastAsia" w:ascii="宋体" w:hAnsi="宋体" w:eastAsia="宋体" w:cs="宋体"/>
          <w:b/>
          <w:bCs/>
          <w:color w:val="auto"/>
          <w:kern w:val="2"/>
          <w:sz w:val="24"/>
          <w:szCs w:val="24"/>
          <w:highlight w:val="none"/>
          <w:lang w:val="zh-CN" w:eastAsia="zh-CN" w:bidi="ar-SA"/>
        </w:rPr>
        <w:t>）编写评标报告</w:t>
      </w:r>
    </w:p>
    <w:p w14:paraId="3576CABA">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评标委员会根据全体评标成员签字的原始评标记录和评标结果编写评标报告。评标委员会应当在评标报告上签名，对自己的评审意见承担法律责任。评标委员会成员对需要共同认定的事项存在争议的，应当按照少数服从多数的原则作出结论。持不同意见的评标委员会成员应当在评标报告上签署不同意见，并说明理由，否则视为同意评标报告。</w:t>
      </w:r>
    </w:p>
    <w:p w14:paraId="29512443">
      <w:pPr>
        <w:pStyle w:val="5"/>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305" w:name="_Toc102114919"/>
      <w:bookmarkStart w:id="306" w:name="_Toc102056217"/>
      <w:bookmarkStart w:id="307" w:name="_Toc102057717"/>
      <w:bookmarkStart w:id="308" w:name="_Toc163492906"/>
      <w:bookmarkStart w:id="309" w:name="_Toc102116021"/>
      <w:bookmarkStart w:id="310" w:name="_Toc102119852"/>
      <w:bookmarkStart w:id="311" w:name="_Toc102116151"/>
      <w:bookmarkStart w:id="312" w:name="_Toc155185913"/>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八</w:t>
      </w:r>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投标无效及</w:t>
      </w:r>
      <w:r>
        <w:rPr>
          <w:rFonts w:hint="eastAsia" w:ascii="宋体" w:hAnsi="宋体" w:eastAsia="宋体" w:cs="宋体"/>
          <w:b/>
          <w:bCs/>
          <w:color w:val="auto"/>
          <w:kern w:val="2"/>
          <w:sz w:val="24"/>
          <w:szCs w:val="24"/>
          <w:highlight w:val="none"/>
          <w:lang w:val="zh-CN" w:eastAsia="zh-CN" w:bidi="ar-SA"/>
        </w:rPr>
        <w:t>应予废标的情形</w:t>
      </w:r>
      <w:bookmarkEnd w:id="305"/>
      <w:bookmarkEnd w:id="306"/>
      <w:bookmarkEnd w:id="307"/>
      <w:bookmarkEnd w:id="308"/>
      <w:bookmarkEnd w:id="309"/>
      <w:bookmarkEnd w:id="310"/>
      <w:bookmarkEnd w:id="311"/>
      <w:bookmarkEnd w:id="312"/>
    </w:p>
    <w:p w14:paraId="38B935D1">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20.投标人存在下列情形之一的，</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w:t>
      </w:r>
    </w:p>
    <w:p w14:paraId="5C1B2C98">
      <w:pPr>
        <w:pStyle w:val="37"/>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不具备《中华人民共和国政府采购法》第二十二条规定条件</w:t>
      </w:r>
      <w:r>
        <w:rPr>
          <w:rFonts w:hint="eastAsia" w:ascii="宋体" w:hAnsi="宋体" w:eastAsia="宋体" w:cs="宋体"/>
          <w:color w:val="auto"/>
          <w:sz w:val="24"/>
          <w:szCs w:val="24"/>
          <w:highlight w:val="none"/>
          <w:lang w:val="en-US" w:eastAsia="zh-CN"/>
        </w:rPr>
        <w:t>；</w:t>
      </w:r>
    </w:p>
    <w:p w14:paraId="15C939E8">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rPr>
        <w:t>投标文件未按招标文件要求签署、盖章的</w:t>
      </w:r>
      <w:r>
        <w:rPr>
          <w:rFonts w:hint="eastAsia" w:ascii="宋体" w:hAnsi="宋体" w:eastAsia="宋体" w:cs="宋体"/>
          <w:color w:val="auto"/>
          <w:sz w:val="24"/>
          <w:szCs w:val="24"/>
          <w:highlight w:val="none"/>
          <w:lang w:val="en-US" w:eastAsia="zh-CN"/>
        </w:rPr>
        <w:t>；</w:t>
      </w:r>
    </w:p>
    <w:p w14:paraId="0A936FC6">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3</w:t>
      </w:r>
      <w:r>
        <w:rPr>
          <w:rFonts w:hint="eastAsia" w:ascii="宋体" w:hAnsi="宋体" w:eastAsia="宋体" w:cs="宋体"/>
          <w:color w:val="auto"/>
          <w:sz w:val="24"/>
          <w:szCs w:val="24"/>
          <w:highlight w:val="none"/>
          <w:lang w:val="en-US" w:eastAsia="zh-CN"/>
        </w:rPr>
        <w:t>不具备招标文件中规定的资格要求的（投标人未提供有效资格文件的，视为投标人不具备招标文件中规定的资格要求）；</w:t>
      </w:r>
    </w:p>
    <w:p w14:paraId="0C68E355">
      <w:pPr>
        <w:pStyle w:val="37"/>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4</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文件提供虚假材料的</w:t>
      </w:r>
      <w:r>
        <w:rPr>
          <w:rFonts w:hint="eastAsia" w:ascii="宋体" w:hAnsi="宋体" w:eastAsia="宋体" w:cs="宋体"/>
          <w:color w:val="auto"/>
          <w:sz w:val="24"/>
          <w:szCs w:val="24"/>
          <w:highlight w:val="none"/>
          <w:lang w:val="en-US" w:eastAsia="zh-CN"/>
        </w:rPr>
        <w:t>；</w:t>
      </w:r>
    </w:p>
    <w:p w14:paraId="3FDAE166">
      <w:pPr>
        <w:pStyle w:val="37"/>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5</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文件不满足</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eastAsia="zh-CN"/>
        </w:rPr>
        <w:t>文件中标注“★”号的实质性条款（或指标）要求的</w:t>
      </w:r>
      <w:r>
        <w:rPr>
          <w:rFonts w:hint="eastAsia" w:ascii="宋体" w:hAnsi="宋体" w:eastAsia="宋体" w:cs="宋体"/>
          <w:color w:val="auto"/>
          <w:sz w:val="24"/>
          <w:szCs w:val="24"/>
          <w:highlight w:val="none"/>
          <w:lang w:val="en-US" w:eastAsia="zh-CN"/>
        </w:rPr>
        <w:t>；</w:t>
      </w:r>
    </w:p>
    <w:p w14:paraId="2C5FC304">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6</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报价超过招标文件中规定的最高限价或者预算金额的</w:t>
      </w:r>
      <w:r>
        <w:rPr>
          <w:rFonts w:hint="eastAsia" w:ascii="宋体" w:hAnsi="宋体" w:eastAsia="宋体" w:cs="宋体"/>
          <w:color w:val="auto"/>
          <w:sz w:val="24"/>
          <w:szCs w:val="24"/>
          <w:highlight w:val="none"/>
          <w:lang w:val="en-US" w:eastAsia="zh-CN"/>
        </w:rPr>
        <w:t>；</w:t>
      </w:r>
    </w:p>
    <w:p w14:paraId="6FC2A54F">
      <w:pPr>
        <w:pStyle w:val="37"/>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7联合体的供应商未提交各方共同签署的</w:t>
      </w:r>
      <w:r>
        <w:rPr>
          <w:rFonts w:hint="eastAsia" w:ascii="宋体" w:hAnsi="宋体" w:eastAsia="宋体" w:cs="宋体"/>
          <w:color w:val="auto"/>
          <w:sz w:val="24"/>
          <w:szCs w:val="24"/>
          <w:highlight w:val="none"/>
          <w:lang w:val="en-US" w:eastAsia="zh-CN"/>
        </w:rPr>
        <w:t>联合体</w:t>
      </w:r>
      <w:r>
        <w:rPr>
          <w:rFonts w:hint="eastAsia" w:ascii="宋体" w:hAnsi="宋体" w:eastAsia="宋体" w:cs="宋体"/>
          <w:color w:val="auto"/>
          <w:sz w:val="24"/>
          <w:szCs w:val="24"/>
          <w:highlight w:val="none"/>
          <w:lang w:val="zh-CN" w:eastAsia="zh-CN"/>
        </w:rPr>
        <w:t>协议</w:t>
      </w:r>
      <w:r>
        <w:rPr>
          <w:rFonts w:hint="eastAsia" w:ascii="宋体" w:hAnsi="宋体" w:eastAsia="宋体" w:cs="宋体"/>
          <w:color w:val="auto"/>
          <w:sz w:val="24"/>
          <w:szCs w:val="24"/>
          <w:highlight w:val="none"/>
          <w:lang w:val="en-US" w:eastAsia="zh-CN"/>
        </w:rPr>
        <w:t>的；</w:t>
      </w:r>
    </w:p>
    <w:p w14:paraId="4D1E7850">
      <w:pPr>
        <w:pStyle w:val="37"/>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8</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未按</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eastAsia="zh-CN"/>
        </w:rPr>
        <w:t>文件</w:t>
      </w:r>
      <w:r>
        <w:rPr>
          <w:rFonts w:hint="eastAsia" w:ascii="宋体" w:hAnsi="宋体" w:eastAsia="宋体" w:cs="宋体"/>
          <w:color w:val="auto"/>
          <w:sz w:val="24"/>
          <w:szCs w:val="24"/>
          <w:highlight w:val="none"/>
          <w:lang w:val="en-US" w:eastAsia="zh-CN"/>
        </w:rPr>
        <w:t>的规定</w:t>
      </w:r>
      <w:r>
        <w:rPr>
          <w:rFonts w:hint="eastAsia" w:ascii="宋体" w:hAnsi="宋体" w:eastAsia="宋体" w:cs="宋体"/>
          <w:color w:val="auto"/>
          <w:sz w:val="24"/>
          <w:szCs w:val="24"/>
          <w:highlight w:val="none"/>
          <w:lang w:val="zh-CN" w:eastAsia="zh-CN"/>
        </w:rPr>
        <w:t>交纳投标保证金</w:t>
      </w:r>
      <w:r>
        <w:rPr>
          <w:rFonts w:hint="eastAsia" w:ascii="宋体" w:hAnsi="宋体" w:eastAsia="宋体" w:cs="宋体"/>
          <w:color w:val="auto"/>
          <w:sz w:val="24"/>
          <w:szCs w:val="24"/>
          <w:highlight w:val="none"/>
          <w:lang w:val="en-US" w:eastAsia="zh-CN"/>
        </w:rPr>
        <w:t>的；</w:t>
      </w:r>
    </w:p>
    <w:p w14:paraId="149A35CB">
      <w:pPr>
        <w:pStyle w:val="37"/>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9评审期间,</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没有按评标委员会的要求提交经授权代表签字的澄清、说明、补正或改变了</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文件的实质性内容</w:t>
      </w:r>
      <w:r>
        <w:rPr>
          <w:rFonts w:hint="eastAsia" w:ascii="宋体" w:hAnsi="宋体" w:eastAsia="宋体" w:cs="宋体"/>
          <w:color w:val="auto"/>
          <w:sz w:val="24"/>
          <w:szCs w:val="24"/>
          <w:highlight w:val="none"/>
          <w:lang w:val="en-US" w:eastAsia="zh-CN"/>
        </w:rPr>
        <w:t>的；</w:t>
      </w:r>
    </w:p>
    <w:p w14:paraId="19EFB935">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10</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对采购人、采购代理机构、评标委员会及其工作人员施加影响,有碍公平、公正</w:t>
      </w:r>
      <w:r>
        <w:rPr>
          <w:rFonts w:hint="eastAsia" w:ascii="宋体" w:hAnsi="宋体" w:eastAsia="宋体" w:cs="宋体"/>
          <w:color w:val="auto"/>
          <w:sz w:val="24"/>
          <w:szCs w:val="24"/>
          <w:highlight w:val="none"/>
          <w:lang w:val="en-US" w:eastAsia="zh-CN"/>
        </w:rPr>
        <w:t>的；</w:t>
      </w:r>
    </w:p>
    <w:p w14:paraId="3A6B2386">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20.11投标文件含有采购人不能接受的附加条件的；</w:t>
      </w:r>
    </w:p>
    <w:p w14:paraId="3764E979">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法律、法规、规章规定属于</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无效的其他情形。</w:t>
      </w:r>
    </w:p>
    <w:p w14:paraId="601D7976">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21.有下列情形之一的，视为投标人串通投标，其</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w:t>
      </w:r>
    </w:p>
    <w:p w14:paraId="0BD50610">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21.1不同投标人的投标文件由同一单位或者个人编制；</w:t>
      </w:r>
    </w:p>
    <w:p w14:paraId="31815558">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21.2不同投标人委托同一单位或者个人办理投标事宜；</w:t>
      </w:r>
    </w:p>
    <w:p w14:paraId="3AD20378">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21.3不同投标人的投标文件载明的项目管理成员或者联系人员为同一人；</w:t>
      </w:r>
    </w:p>
    <w:p w14:paraId="3F168EA2">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21.4不同投标人的投标文件异常一致或者投标报价呈规律性差异；</w:t>
      </w:r>
    </w:p>
    <w:p w14:paraId="634E7939">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21.5不同投标人的投标文件相互混装；</w:t>
      </w:r>
    </w:p>
    <w:p w14:paraId="3B078CE3">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21.6不同投标人的投标保证金从同一单位或者个人的账户转出；</w:t>
      </w:r>
    </w:p>
    <w:p w14:paraId="749F838F">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21.7</w:t>
      </w:r>
      <w:r>
        <w:rPr>
          <w:rFonts w:hint="eastAsia" w:ascii="宋体" w:hAnsi="宋体" w:eastAsia="宋体" w:cs="宋体"/>
          <w:color w:val="auto"/>
          <w:sz w:val="24"/>
          <w:szCs w:val="24"/>
          <w:highlight w:val="none"/>
          <w:lang w:val="zh-CN" w:eastAsia="zh-CN"/>
        </w:rPr>
        <w:t>不同投标人使用同一电脑（机器特征值一致：如MAC地址等）或使用同一电子密钥，编制或上传电子投标文件</w:t>
      </w:r>
      <w:r>
        <w:rPr>
          <w:rFonts w:hint="eastAsia" w:ascii="宋体" w:hAnsi="宋体" w:eastAsia="宋体" w:cs="宋体"/>
          <w:color w:val="auto"/>
          <w:sz w:val="24"/>
          <w:szCs w:val="24"/>
          <w:highlight w:val="none"/>
          <w:lang w:val="en-US" w:eastAsia="zh-CN"/>
        </w:rPr>
        <w:t>；</w:t>
      </w:r>
    </w:p>
    <w:p w14:paraId="2A1BC50E">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21.8法律、法规、规章规定属于投标人串通投标的其他情形</w:t>
      </w:r>
      <w:r>
        <w:rPr>
          <w:rFonts w:hint="eastAsia" w:ascii="宋体" w:hAnsi="宋体" w:eastAsia="宋体" w:cs="宋体"/>
          <w:color w:val="auto"/>
          <w:sz w:val="24"/>
          <w:szCs w:val="24"/>
          <w:highlight w:val="none"/>
          <w:lang w:val="zh-CN" w:eastAsia="zh-CN"/>
        </w:rPr>
        <w:t>。</w:t>
      </w:r>
    </w:p>
    <w:p w14:paraId="737FAF06">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.根据《中华人民共和国政府采购法》第三十六条之规定，在招标采购过程中，出现下列情形之一的，应予</w:t>
      </w:r>
      <w:r>
        <w:rPr>
          <w:rFonts w:hint="eastAsia" w:ascii="宋体" w:hAnsi="宋体" w:eastAsia="宋体" w:cs="宋体"/>
          <w:b/>
          <w:bCs/>
          <w:color w:val="auto"/>
          <w:sz w:val="24"/>
          <w:szCs w:val="24"/>
          <w:highlight w:val="none"/>
        </w:rPr>
        <w:t>废标</w:t>
      </w:r>
      <w:r>
        <w:rPr>
          <w:rFonts w:hint="eastAsia" w:ascii="宋体" w:hAnsi="宋体" w:eastAsia="宋体" w:cs="宋体"/>
          <w:color w:val="auto"/>
          <w:sz w:val="24"/>
          <w:szCs w:val="24"/>
          <w:highlight w:val="none"/>
        </w:rPr>
        <w:t>：</w:t>
      </w:r>
    </w:p>
    <w:p w14:paraId="2C92042A">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.1符合专业条件的供应商或者对招标文件作实质响应的供应商不足3家的；</w:t>
      </w:r>
    </w:p>
    <w:p w14:paraId="34ECD7A2">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.2出现影响采购公正的违法、违规行为的；</w:t>
      </w:r>
    </w:p>
    <w:p w14:paraId="55223AA1">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.3投标人的报价均超过了采购预算，采购人不能支付的；</w:t>
      </w:r>
    </w:p>
    <w:p w14:paraId="7E486B60">
      <w:pPr>
        <w:pStyle w:val="3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.4因重大变故，采购任务取消的</w:t>
      </w:r>
      <w:r>
        <w:rPr>
          <w:rFonts w:hint="eastAsia" w:ascii="宋体" w:hAnsi="宋体" w:eastAsia="宋体" w:cs="宋体"/>
          <w:color w:val="auto"/>
          <w:sz w:val="24"/>
          <w:szCs w:val="24"/>
          <w:highlight w:val="none"/>
          <w:lang w:val="en-US" w:eastAsia="zh-CN"/>
        </w:rPr>
        <w:t>；</w:t>
      </w:r>
    </w:p>
    <w:p w14:paraId="42948BC7">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22.5 </w:t>
      </w:r>
      <w:r>
        <w:rPr>
          <w:rFonts w:hint="eastAsia" w:ascii="宋体" w:hAnsi="宋体" w:eastAsia="宋体" w:cs="宋体"/>
          <w:color w:val="auto"/>
          <w:sz w:val="24"/>
          <w:szCs w:val="24"/>
          <w:highlight w:val="none"/>
        </w:rPr>
        <w:t>法律、法规、规章规定属于</w:t>
      </w:r>
      <w:r>
        <w:rPr>
          <w:rFonts w:hint="eastAsia" w:ascii="宋体" w:hAnsi="宋体" w:eastAsia="宋体" w:cs="宋体"/>
          <w:color w:val="auto"/>
          <w:sz w:val="24"/>
          <w:szCs w:val="24"/>
          <w:highlight w:val="none"/>
          <w:lang w:val="en-US" w:eastAsia="zh-CN"/>
        </w:rPr>
        <w:t>废标</w:t>
      </w:r>
      <w:r>
        <w:rPr>
          <w:rFonts w:hint="eastAsia" w:ascii="宋体" w:hAnsi="宋体" w:eastAsia="宋体" w:cs="宋体"/>
          <w:color w:val="auto"/>
          <w:sz w:val="24"/>
          <w:szCs w:val="24"/>
          <w:highlight w:val="none"/>
        </w:rPr>
        <w:t>的其他情形。</w:t>
      </w:r>
    </w:p>
    <w:p w14:paraId="3EE39131">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废标后，采购人应当将废标理由通知所有投标人。</w:t>
      </w:r>
    </w:p>
    <w:p w14:paraId="05AB6DCD">
      <w:pPr>
        <w:pStyle w:val="5"/>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313" w:name="_Toc163492907"/>
      <w:bookmarkStart w:id="314" w:name="_Toc102056218"/>
      <w:bookmarkStart w:id="315" w:name="_Toc102116022"/>
      <w:bookmarkStart w:id="316" w:name="_Toc102116152"/>
      <w:bookmarkStart w:id="317" w:name="_Toc102057718"/>
      <w:bookmarkStart w:id="318" w:name="_Toc102114920"/>
      <w:bookmarkStart w:id="319" w:name="_Toc155185914"/>
      <w:bookmarkStart w:id="320" w:name="_Toc102119853"/>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九</w:t>
      </w:r>
      <w:r>
        <w:rPr>
          <w:rFonts w:hint="eastAsia" w:ascii="宋体" w:hAnsi="宋体" w:eastAsia="宋体" w:cs="宋体"/>
          <w:b/>
          <w:bCs/>
          <w:color w:val="auto"/>
          <w:kern w:val="2"/>
          <w:sz w:val="24"/>
          <w:szCs w:val="24"/>
          <w:highlight w:val="none"/>
          <w:lang w:val="zh-CN" w:eastAsia="zh-CN" w:bidi="ar-SA"/>
        </w:rPr>
        <w:t>）停止评标的情形</w:t>
      </w:r>
      <w:bookmarkEnd w:id="313"/>
      <w:bookmarkEnd w:id="314"/>
      <w:bookmarkEnd w:id="315"/>
      <w:bookmarkEnd w:id="316"/>
      <w:bookmarkEnd w:id="317"/>
      <w:bookmarkEnd w:id="318"/>
      <w:bookmarkEnd w:id="319"/>
      <w:bookmarkEnd w:id="320"/>
    </w:p>
    <w:p w14:paraId="190044DE">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CDB1955">
      <w:pPr>
        <w:pStyle w:val="5"/>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十</w:t>
      </w:r>
      <w:r>
        <w:rPr>
          <w:rFonts w:hint="eastAsia" w:ascii="宋体" w:hAnsi="宋体" w:eastAsia="宋体" w:cs="宋体"/>
          <w:b/>
          <w:bCs/>
          <w:color w:val="auto"/>
          <w:kern w:val="2"/>
          <w:sz w:val="24"/>
          <w:szCs w:val="24"/>
          <w:highlight w:val="none"/>
          <w:lang w:val="zh-CN" w:eastAsia="zh-CN" w:bidi="ar-SA"/>
        </w:rPr>
        <w:t>）重新开展采购</w:t>
      </w:r>
    </w:p>
    <w:p w14:paraId="461B653A">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第七十一条、第七十二条规定的违法行为之一，影响或者可能影响中标结果的，依照下列规定处理：</w:t>
      </w:r>
    </w:p>
    <w:p w14:paraId="7AA5C7C3">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.1未确定中标供应商的，终止本次政府采购活动，重新开展政府采购活动。</w:t>
      </w:r>
    </w:p>
    <w:p w14:paraId="3A794890">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.2已确定中标供应商但尚未签订政府采购合同的，中标结果无效，从合格的中标候选人中另行确定中标供应商；没有合格的中标候选人的，重新开展政府采购活动。</w:t>
      </w:r>
    </w:p>
    <w:p w14:paraId="595100CC">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.3政府采购合同已签订但尚未履行的，撤销合同，从合格的中标候选人中另行确定中标供应商；没有合格的中标候选人的，重新开展政府采购活动。</w:t>
      </w:r>
    </w:p>
    <w:p w14:paraId="45E078B1">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.4政府采购合同已经履行，给采购人、供应商造成损失的，由责任人承担赔偿责任。</w:t>
      </w:r>
    </w:p>
    <w:p w14:paraId="43A428E9">
      <w:pPr>
        <w:pStyle w:val="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.5政府采购当事人有其他违反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中华人民共和国政府采购法实施条例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等法律法规规定的行为，经改正后仍然影响或者可能影响中标结果或者依法被认定为中标无效的，依照</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.4规定处理。</w:t>
      </w:r>
    </w:p>
    <w:bookmarkEnd w:id="286"/>
    <w:bookmarkEnd w:id="287"/>
    <w:bookmarkEnd w:id="288"/>
    <w:bookmarkEnd w:id="289"/>
    <w:bookmarkEnd w:id="290"/>
    <w:bookmarkEnd w:id="291"/>
    <w:bookmarkEnd w:id="292"/>
    <w:bookmarkEnd w:id="293"/>
    <w:bookmarkEnd w:id="294"/>
    <w:bookmarkEnd w:id="295"/>
    <w:p w14:paraId="6AD5E432">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default" w:ascii="宋体" w:hAnsi="宋体" w:eastAsia="宋体" w:cs="宋体"/>
          <w:color w:val="auto"/>
          <w:sz w:val="28"/>
          <w:szCs w:val="28"/>
          <w:highlight w:val="none"/>
          <w:lang w:val="en-US" w:eastAsia="zh-CN"/>
        </w:rPr>
      </w:pPr>
      <w:bookmarkStart w:id="321" w:name="_Toc18295"/>
      <w:r>
        <w:rPr>
          <w:rFonts w:hint="eastAsia" w:ascii="宋体" w:hAnsi="宋体" w:eastAsia="宋体" w:cs="宋体"/>
          <w:color w:val="auto"/>
          <w:sz w:val="28"/>
          <w:szCs w:val="28"/>
          <w:highlight w:val="none"/>
          <w:lang w:val="zh-CN" w:eastAsia="zh-CN"/>
        </w:rPr>
        <w:t>三、评标</w:t>
      </w:r>
      <w:r>
        <w:rPr>
          <w:rFonts w:hint="eastAsia" w:ascii="宋体" w:hAnsi="宋体" w:eastAsia="宋体" w:cs="宋体"/>
          <w:color w:val="auto"/>
          <w:sz w:val="28"/>
          <w:szCs w:val="28"/>
          <w:highlight w:val="none"/>
          <w:lang w:val="en-US" w:eastAsia="zh-CN"/>
        </w:rPr>
        <w:t>其他要求</w:t>
      </w:r>
      <w:bookmarkEnd w:id="321"/>
    </w:p>
    <w:p w14:paraId="32B5EED4">
      <w:pPr>
        <w:pStyle w:val="4"/>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en-US" w:eastAsia="zh-CN"/>
        </w:rPr>
      </w:pPr>
      <w:bookmarkStart w:id="322" w:name="_Toc155185915"/>
      <w:bookmarkStart w:id="323" w:name="_Toc163492908"/>
    </w:p>
    <w:p w14:paraId="2D5D2532">
      <w:pPr>
        <w:pStyle w:val="4"/>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en-US" w:eastAsia="zh-CN"/>
        </w:rPr>
      </w:pPr>
    </w:p>
    <w:p w14:paraId="42E9B2C3">
      <w:pPr>
        <w:pStyle w:val="4"/>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en-US" w:eastAsia="zh-CN"/>
        </w:rPr>
      </w:pPr>
    </w:p>
    <w:p w14:paraId="4D3415E5">
      <w:pPr>
        <w:pStyle w:val="4"/>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zh-CN" w:eastAsia="zh-CN"/>
        </w:rPr>
      </w:pPr>
      <w:bookmarkStart w:id="324" w:name="_Toc19761"/>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lang w:val="zh-CN" w:eastAsia="zh-CN"/>
        </w:rPr>
        <w:t>、评标标准</w:t>
      </w:r>
      <w:bookmarkEnd w:id="322"/>
      <w:bookmarkEnd w:id="323"/>
      <w:bookmarkEnd w:id="324"/>
    </w:p>
    <w:p w14:paraId="6FC1DEBE">
      <w:pPr>
        <w:pStyle w:val="5"/>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325" w:name="_Toc163492909"/>
      <w:r>
        <w:rPr>
          <w:rFonts w:hint="eastAsia" w:ascii="宋体" w:hAnsi="宋体" w:eastAsia="宋体" w:cs="宋体"/>
          <w:b/>
          <w:bCs/>
          <w:color w:val="auto"/>
          <w:kern w:val="2"/>
          <w:sz w:val="24"/>
          <w:szCs w:val="24"/>
          <w:highlight w:val="none"/>
          <w:lang w:val="zh-CN" w:eastAsia="zh-CN" w:bidi="ar-SA"/>
        </w:rPr>
        <w:t>（一）符合性审查表</w:t>
      </w:r>
      <w:bookmarkEnd w:id="325"/>
    </w:p>
    <w:tbl>
      <w:tblPr>
        <w:tblStyle w:val="30"/>
        <w:tblW w:w="5514" w:type="pct"/>
        <w:tblInd w:w="-3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3"/>
        <w:gridCol w:w="1579"/>
        <w:gridCol w:w="5678"/>
        <w:gridCol w:w="729"/>
        <w:gridCol w:w="919"/>
      </w:tblGrid>
      <w:tr w14:paraId="6867D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262" w:type="pct"/>
            <w:vMerge w:val="restart"/>
            <w:shd w:val="clear" w:color="auto" w:fill="D8D8D8" w:themeFill="background1" w:themeFillShade="D9"/>
            <w:vAlign w:val="center"/>
          </w:tcPr>
          <w:p w14:paraId="3B188FC3">
            <w:pPr>
              <w:pStyle w:val="49"/>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序号</w:t>
            </w:r>
          </w:p>
        </w:tc>
        <w:tc>
          <w:tcPr>
            <w:tcW w:w="840" w:type="pct"/>
            <w:vMerge w:val="restart"/>
            <w:shd w:val="clear" w:color="auto" w:fill="D8D8D8" w:themeFill="background1" w:themeFillShade="D9"/>
            <w:vAlign w:val="center"/>
          </w:tcPr>
          <w:p w14:paraId="316B5F87">
            <w:pPr>
              <w:pStyle w:val="49"/>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审查项名称</w:t>
            </w:r>
          </w:p>
        </w:tc>
        <w:tc>
          <w:tcPr>
            <w:tcW w:w="3020" w:type="pct"/>
            <w:vMerge w:val="restart"/>
            <w:shd w:val="clear" w:color="auto" w:fill="D8D8D8" w:themeFill="background1" w:themeFillShade="D9"/>
            <w:vAlign w:val="center"/>
          </w:tcPr>
          <w:p w14:paraId="44B32FDC">
            <w:pPr>
              <w:pStyle w:val="49"/>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审查内容</w:t>
            </w:r>
          </w:p>
        </w:tc>
        <w:tc>
          <w:tcPr>
            <w:tcW w:w="877" w:type="pct"/>
            <w:gridSpan w:val="2"/>
            <w:shd w:val="clear" w:color="auto" w:fill="D8D8D8" w:themeFill="background1" w:themeFillShade="D9"/>
            <w:vAlign w:val="center"/>
          </w:tcPr>
          <w:p w14:paraId="2724C461">
            <w:pPr>
              <w:pStyle w:val="49"/>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审查结果</w:t>
            </w:r>
          </w:p>
        </w:tc>
      </w:tr>
      <w:tr w14:paraId="6963B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262" w:type="pct"/>
            <w:vMerge w:val="continue"/>
            <w:shd w:val="clear" w:color="auto" w:fill="D8D8D8" w:themeFill="background1" w:themeFillShade="D9"/>
            <w:vAlign w:val="center"/>
          </w:tcPr>
          <w:p w14:paraId="1859AA86">
            <w:pPr>
              <w:pStyle w:val="49"/>
              <w:jc w:val="center"/>
              <w:rPr>
                <w:rFonts w:hint="eastAsia" w:ascii="宋体" w:hAnsi="宋体" w:eastAsia="宋体" w:cs="宋体"/>
                <w:b/>
                <w:bCs/>
                <w:color w:val="auto"/>
                <w:sz w:val="24"/>
                <w:szCs w:val="24"/>
                <w:highlight w:val="none"/>
                <w:lang w:val="zh-CN"/>
              </w:rPr>
            </w:pPr>
          </w:p>
        </w:tc>
        <w:tc>
          <w:tcPr>
            <w:tcW w:w="840" w:type="pct"/>
            <w:vMerge w:val="continue"/>
            <w:shd w:val="clear" w:color="auto" w:fill="D8D8D8" w:themeFill="background1" w:themeFillShade="D9"/>
            <w:vAlign w:val="center"/>
          </w:tcPr>
          <w:p w14:paraId="51EF0565">
            <w:pPr>
              <w:pStyle w:val="49"/>
              <w:jc w:val="center"/>
              <w:rPr>
                <w:rFonts w:hint="eastAsia" w:ascii="宋体" w:hAnsi="宋体" w:eastAsia="宋体" w:cs="宋体"/>
                <w:b/>
                <w:bCs/>
                <w:color w:val="auto"/>
                <w:sz w:val="24"/>
                <w:szCs w:val="24"/>
                <w:highlight w:val="none"/>
                <w:lang w:val="zh-CN"/>
              </w:rPr>
            </w:pPr>
          </w:p>
        </w:tc>
        <w:tc>
          <w:tcPr>
            <w:tcW w:w="3020" w:type="pct"/>
            <w:vMerge w:val="continue"/>
            <w:shd w:val="clear" w:color="auto" w:fill="D8D8D8" w:themeFill="background1" w:themeFillShade="D9"/>
            <w:vAlign w:val="center"/>
          </w:tcPr>
          <w:p w14:paraId="2128C077">
            <w:pPr>
              <w:pStyle w:val="49"/>
              <w:jc w:val="center"/>
              <w:rPr>
                <w:rFonts w:hint="eastAsia" w:ascii="宋体" w:hAnsi="宋体" w:eastAsia="宋体" w:cs="宋体"/>
                <w:b/>
                <w:bCs/>
                <w:color w:val="auto"/>
                <w:sz w:val="24"/>
                <w:szCs w:val="24"/>
                <w:highlight w:val="none"/>
                <w:lang w:val="zh-CN"/>
              </w:rPr>
            </w:pPr>
          </w:p>
        </w:tc>
        <w:tc>
          <w:tcPr>
            <w:tcW w:w="388" w:type="pct"/>
            <w:shd w:val="clear" w:color="auto" w:fill="D8D8D8" w:themeFill="background1" w:themeFillShade="D9"/>
            <w:vAlign w:val="center"/>
          </w:tcPr>
          <w:p w14:paraId="0CAA21D7">
            <w:pPr>
              <w:pStyle w:val="49"/>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符合</w:t>
            </w:r>
          </w:p>
        </w:tc>
        <w:tc>
          <w:tcPr>
            <w:tcW w:w="488" w:type="pct"/>
            <w:shd w:val="clear" w:color="auto" w:fill="D8D8D8" w:themeFill="background1" w:themeFillShade="D9"/>
            <w:vAlign w:val="center"/>
          </w:tcPr>
          <w:p w14:paraId="15D1F439">
            <w:pPr>
              <w:pStyle w:val="49"/>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不符合</w:t>
            </w:r>
          </w:p>
        </w:tc>
      </w:tr>
      <w:tr w14:paraId="233AF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62" w:type="pct"/>
            <w:shd w:val="clear" w:color="auto" w:fill="auto"/>
            <w:vAlign w:val="center"/>
          </w:tcPr>
          <w:p w14:paraId="4A515C07">
            <w:pPr>
              <w:pStyle w:val="49"/>
              <w:numPr>
                <w:ilvl w:val="0"/>
                <w:numId w:val="0"/>
              </w:numPr>
              <w:ind w:left="420" w:leftChars="0" w:hanging="420" w:firstLineChars="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kern w:val="2"/>
                <w:sz w:val="24"/>
                <w:szCs w:val="24"/>
                <w:highlight w:val="none"/>
                <w:lang w:val="zh-CN" w:eastAsia="zh-CN" w:bidi="ar-SA"/>
              </w:rPr>
              <w:t>1</w:t>
            </w:r>
          </w:p>
        </w:tc>
        <w:tc>
          <w:tcPr>
            <w:tcW w:w="840" w:type="pct"/>
            <w:vAlign w:val="center"/>
          </w:tcPr>
          <w:p w14:paraId="5E0E3062">
            <w:pPr>
              <w:pStyle w:val="4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投标文件</w:t>
            </w:r>
            <w:r>
              <w:rPr>
                <w:rFonts w:hint="eastAsia" w:ascii="宋体" w:hAnsi="宋体" w:eastAsia="宋体" w:cs="宋体"/>
                <w:color w:val="auto"/>
                <w:sz w:val="24"/>
                <w:szCs w:val="24"/>
                <w:highlight w:val="none"/>
              </w:rPr>
              <w:t>签署</w:t>
            </w:r>
          </w:p>
        </w:tc>
        <w:tc>
          <w:tcPr>
            <w:tcW w:w="3020" w:type="pct"/>
            <w:shd w:val="clear" w:color="auto" w:fill="auto"/>
            <w:vAlign w:val="center"/>
          </w:tcPr>
          <w:p w14:paraId="0FA4ED80">
            <w:pPr>
              <w:pStyle w:val="4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投标文件按招标文件要求签署、盖章的</w:t>
            </w:r>
          </w:p>
        </w:tc>
        <w:tc>
          <w:tcPr>
            <w:tcW w:w="388" w:type="pct"/>
            <w:shd w:val="clear" w:color="auto" w:fill="auto"/>
            <w:vAlign w:val="center"/>
          </w:tcPr>
          <w:p w14:paraId="1E1F1EB1">
            <w:pPr>
              <w:pStyle w:val="49"/>
              <w:rPr>
                <w:rFonts w:hint="eastAsia" w:ascii="宋体" w:hAnsi="宋体" w:eastAsia="宋体" w:cs="宋体"/>
                <w:color w:val="auto"/>
                <w:sz w:val="24"/>
                <w:szCs w:val="24"/>
                <w:highlight w:val="none"/>
                <w:lang w:val="zh-CN"/>
              </w:rPr>
            </w:pPr>
          </w:p>
        </w:tc>
        <w:tc>
          <w:tcPr>
            <w:tcW w:w="488" w:type="pct"/>
            <w:shd w:val="clear" w:color="auto" w:fill="auto"/>
            <w:vAlign w:val="center"/>
          </w:tcPr>
          <w:p w14:paraId="35325BAA">
            <w:pPr>
              <w:pStyle w:val="49"/>
              <w:rPr>
                <w:rFonts w:hint="eastAsia" w:ascii="宋体" w:hAnsi="宋体" w:eastAsia="宋体" w:cs="宋体"/>
                <w:color w:val="auto"/>
                <w:sz w:val="24"/>
                <w:szCs w:val="24"/>
                <w:highlight w:val="none"/>
                <w:lang w:val="zh-CN"/>
              </w:rPr>
            </w:pPr>
          </w:p>
        </w:tc>
      </w:tr>
      <w:tr w14:paraId="3F170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atLeast"/>
        </w:trPr>
        <w:tc>
          <w:tcPr>
            <w:tcW w:w="262" w:type="pct"/>
            <w:shd w:val="clear" w:color="auto" w:fill="auto"/>
            <w:vAlign w:val="center"/>
          </w:tcPr>
          <w:p w14:paraId="5B53A43D">
            <w:pPr>
              <w:pStyle w:val="49"/>
              <w:numPr>
                <w:ilvl w:val="0"/>
                <w:numId w:val="0"/>
              </w:numPr>
              <w:ind w:left="420" w:leftChars="0" w:hanging="42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2</w:t>
            </w:r>
          </w:p>
        </w:tc>
        <w:tc>
          <w:tcPr>
            <w:tcW w:w="840" w:type="pct"/>
            <w:shd w:val="clear" w:color="auto" w:fill="auto"/>
            <w:vAlign w:val="center"/>
          </w:tcPr>
          <w:p w14:paraId="54DD2E09">
            <w:pPr>
              <w:pStyle w:val="49"/>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rPr>
              <w:t>实质性要求</w:t>
            </w:r>
          </w:p>
        </w:tc>
        <w:tc>
          <w:tcPr>
            <w:tcW w:w="3020" w:type="pct"/>
            <w:shd w:val="clear" w:color="auto" w:fill="auto"/>
            <w:vAlign w:val="center"/>
          </w:tcPr>
          <w:p w14:paraId="3A663F07">
            <w:pPr>
              <w:pStyle w:val="49"/>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文件满足</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eastAsia="zh-CN"/>
              </w:rPr>
              <w:t>文件中标注“★”号的实质性条款（或指标）要求的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具体详见</w:t>
            </w:r>
            <w:r>
              <w:rPr>
                <w:rFonts w:hint="eastAsia" w:ascii="宋体" w:hAnsi="宋体" w:eastAsia="宋体" w:cs="宋体"/>
                <w:color w:val="auto"/>
                <w:sz w:val="24"/>
                <w:szCs w:val="24"/>
                <w:highlight w:val="none"/>
                <w:lang w:val="zh-CN"/>
              </w:rPr>
              <w:t>“实质性响应一览表”</w:t>
            </w:r>
          </w:p>
        </w:tc>
        <w:tc>
          <w:tcPr>
            <w:tcW w:w="388" w:type="pct"/>
            <w:shd w:val="clear" w:color="auto" w:fill="auto"/>
            <w:vAlign w:val="center"/>
          </w:tcPr>
          <w:p w14:paraId="3F83CD9C">
            <w:pPr>
              <w:pStyle w:val="49"/>
              <w:rPr>
                <w:rFonts w:hint="eastAsia" w:ascii="宋体" w:hAnsi="宋体" w:eastAsia="宋体" w:cs="宋体"/>
                <w:color w:val="auto"/>
                <w:sz w:val="24"/>
                <w:szCs w:val="24"/>
                <w:highlight w:val="none"/>
                <w:lang w:val="zh-CN"/>
              </w:rPr>
            </w:pPr>
          </w:p>
        </w:tc>
        <w:tc>
          <w:tcPr>
            <w:tcW w:w="488" w:type="pct"/>
            <w:shd w:val="clear" w:color="auto" w:fill="auto"/>
            <w:vAlign w:val="center"/>
          </w:tcPr>
          <w:p w14:paraId="53C654A1">
            <w:pPr>
              <w:pStyle w:val="49"/>
              <w:rPr>
                <w:rFonts w:hint="eastAsia" w:ascii="宋体" w:hAnsi="宋体" w:eastAsia="宋体" w:cs="宋体"/>
                <w:color w:val="auto"/>
                <w:sz w:val="24"/>
                <w:szCs w:val="24"/>
                <w:highlight w:val="none"/>
                <w:lang w:val="zh-CN"/>
              </w:rPr>
            </w:pPr>
          </w:p>
        </w:tc>
      </w:tr>
      <w:tr w14:paraId="49890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262" w:type="pct"/>
            <w:shd w:val="clear" w:color="auto" w:fill="auto"/>
            <w:vAlign w:val="center"/>
          </w:tcPr>
          <w:p w14:paraId="122BA4D1">
            <w:pPr>
              <w:pStyle w:val="49"/>
              <w:numPr>
                <w:ilvl w:val="0"/>
                <w:numId w:val="0"/>
              </w:numPr>
              <w:ind w:left="420" w:leftChars="0" w:hanging="42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3</w:t>
            </w:r>
          </w:p>
        </w:tc>
        <w:tc>
          <w:tcPr>
            <w:tcW w:w="840" w:type="pct"/>
            <w:vAlign w:val="center"/>
          </w:tcPr>
          <w:p w14:paraId="0ABAB0FD">
            <w:pPr>
              <w:pStyle w:val="4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w:t>
            </w:r>
          </w:p>
        </w:tc>
        <w:tc>
          <w:tcPr>
            <w:tcW w:w="3020" w:type="pct"/>
            <w:shd w:val="clear" w:color="auto" w:fill="auto"/>
            <w:vAlign w:val="center"/>
          </w:tcPr>
          <w:p w14:paraId="3039222D">
            <w:pPr>
              <w:pStyle w:val="4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投标人报价未超过招标文件中规定的最高限价或者预算金额的</w:t>
            </w:r>
          </w:p>
        </w:tc>
        <w:tc>
          <w:tcPr>
            <w:tcW w:w="388" w:type="pct"/>
            <w:shd w:val="clear" w:color="auto" w:fill="auto"/>
            <w:vAlign w:val="center"/>
          </w:tcPr>
          <w:p w14:paraId="45596CE1">
            <w:pPr>
              <w:pStyle w:val="49"/>
              <w:rPr>
                <w:rFonts w:hint="eastAsia" w:ascii="宋体" w:hAnsi="宋体" w:eastAsia="宋体" w:cs="宋体"/>
                <w:color w:val="auto"/>
                <w:sz w:val="24"/>
                <w:szCs w:val="24"/>
                <w:highlight w:val="none"/>
                <w:lang w:val="zh-CN"/>
              </w:rPr>
            </w:pPr>
          </w:p>
        </w:tc>
        <w:tc>
          <w:tcPr>
            <w:tcW w:w="488" w:type="pct"/>
            <w:shd w:val="clear" w:color="auto" w:fill="auto"/>
            <w:vAlign w:val="center"/>
          </w:tcPr>
          <w:p w14:paraId="11E76B6F">
            <w:pPr>
              <w:pStyle w:val="49"/>
              <w:rPr>
                <w:rFonts w:hint="eastAsia" w:ascii="宋体" w:hAnsi="宋体" w:eastAsia="宋体" w:cs="宋体"/>
                <w:color w:val="auto"/>
                <w:sz w:val="24"/>
                <w:szCs w:val="24"/>
                <w:highlight w:val="none"/>
                <w:lang w:val="zh-CN"/>
              </w:rPr>
            </w:pPr>
          </w:p>
        </w:tc>
      </w:tr>
      <w:tr w14:paraId="63842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262" w:type="pct"/>
            <w:shd w:val="clear" w:color="auto" w:fill="auto"/>
            <w:vAlign w:val="center"/>
          </w:tcPr>
          <w:p w14:paraId="1C0BF26C">
            <w:pPr>
              <w:pStyle w:val="49"/>
              <w:numPr>
                <w:ilvl w:val="0"/>
                <w:numId w:val="0"/>
              </w:numPr>
              <w:ind w:left="420" w:leftChars="0" w:hanging="42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4</w:t>
            </w:r>
          </w:p>
        </w:tc>
        <w:tc>
          <w:tcPr>
            <w:tcW w:w="840" w:type="pct"/>
            <w:vAlign w:val="center"/>
          </w:tcPr>
          <w:p w14:paraId="49C30112">
            <w:pPr>
              <w:pStyle w:val="4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虚假材料</w:t>
            </w:r>
          </w:p>
        </w:tc>
        <w:tc>
          <w:tcPr>
            <w:tcW w:w="3020" w:type="pct"/>
            <w:shd w:val="clear" w:color="auto" w:fill="auto"/>
            <w:vAlign w:val="center"/>
          </w:tcPr>
          <w:p w14:paraId="150A9DA0">
            <w:pPr>
              <w:pStyle w:val="49"/>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文件</w:t>
            </w:r>
            <w:r>
              <w:rPr>
                <w:rFonts w:hint="eastAsia" w:ascii="宋体" w:hAnsi="宋体" w:eastAsia="宋体" w:cs="宋体"/>
                <w:color w:val="auto"/>
                <w:sz w:val="24"/>
                <w:szCs w:val="24"/>
                <w:highlight w:val="none"/>
                <w:lang w:val="en-US" w:eastAsia="zh-CN"/>
              </w:rPr>
              <w:t>未</w:t>
            </w:r>
            <w:r>
              <w:rPr>
                <w:rFonts w:hint="eastAsia" w:ascii="宋体" w:hAnsi="宋体" w:eastAsia="宋体" w:cs="宋体"/>
                <w:color w:val="auto"/>
                <w:sz w:val="24"/>
                <w:szCs w:val="24"/>
                <w:highlight w:val="none"/>
                <w:lang w:val="zh-CN" w:eastAsia="zh-CN"/>
              </w:rPr>
              <w:t>提供虚假材料的</w:t>
            </w:r>
          </w:p>
        </w:tc>
        <w:tc>
          <w:tcPr>
            <w:tcW w:w="388" w:type="pct"/>
            <w:shd w:val="clear" w:color="auto" w:fill="auto"/>
            <w:vAlign w:val="center"/>
          </w:tcPr>
          <w:p w14:paraId="36B10A12">
            <w:pPr>
              <w:pStyle w:val="49"/>
              <w:rPr>
                <w:rFonts w:hint="eastAsia" w:ascii="宋体" w:hAnsi="宋体" w:eastAsia="宋体" w:cs="宋体"/>
                <w:color w:val="auto"/>
                <w:sz w:val="24"/>
                <w:szCs w:val="24"/>
                <w:highlight w:val="none"/>
                <w:lang w:val="zh-CN"/>
              </w:rPr>
            </w:pPr>
          </w:p>
        </w:tc>
        <w:tc>
          <w:tcPr>
            <w:tcW w:w="488" w:type="pct"/>
            <w:shd w:val="clear" w:color="auto" w:fill="auto"/>
            <w:vAlign w:val="center"/>
          </w:tcPr>
          <w:p w14:paraId="5008BBC1">
            <w:pPr>
              <w:pStyle w:val="49"/>
              <w:rPr>
                <w:rFonts w:hint="eastAsia" w:ascii="宋体" w:hAnsi="宋体" w:eastAsia="宋体" w:cs="宋体"/>
                <w:color w:val="auto"/>
                <w:sz w:val="24"/>
                <w:szCs w:val="24"/>
                <w:highlight w:val="none"/>
                <w:lang w:val="zh-CN"/>
              </w:rPr>
            </w:pPr>
          </w:p>
        </w:tc>
      </w:tr>
      <w:tr w14:paraId="1BD3D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trPr>
        <w:tc>
          <w:tcPr>
            <w:tcW w:w="262" w:type="pct"/>
            <w:shd w:val="clear" w:color="auto" w:fill="auto"/>
            <w:vAlign w:val="center"/>
          </w:tcPr>
          <w:p w14:paraId="14B70D86">
            <w:pPr>
              <w:pStyle w:val="49"/>
              <w:numPr>
                <w:ilvl w:val="0"/>
                <w:numId w:val="0"/>
              </w:numPr>
              <w:ind w:left="420" w:leftChars="0" w:hanging="42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5</w:t>
            </w:r>
          </w:p>
        </w:tc>
        <w:tc>
          <w:tcPr>
            <w:tcW w:w="840" w:type="pct"/>
            <w:vAlign w:val="center"/>
          </w:tcPr>
          <w:p w14:paraId="225F10E6">
            <w:pPr>
              <w:pStyle w:val="4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联合体</w:t>
            </w:r>
          </w:p>
        </w:tc>
        <w:tc>
          <w:tcPr>
            <w:tcW w:w="3020" w:type="pct"/>
            <w:shd w:val="clear" w:color="auto" w:fill="auto"/>
            <w:vAlign w:val="center"/>
          </w:tcPr>
          <w:p w14:paraId="05C0F1EF">
            <w:pPr>
              <w:pStyle w:val="4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eastAsia="zh-CN"/>
              </w:rPr>
              <w:t>联合体的供应商提交</w:t>
            </w:r>
            <w:r>
              <w:rPr>
                <w:rFonts w:hint="eastAsia" w:ascii="宋体" w:hAnsi="宋体" w:eastAsia="宋体" w:cs="宋体"/>
                <w:color w:val="auto"/>
                <w:sz w:val="24"/>
                <w:szCs w:val="24"/>
                <w:highlight w:val="none"/>
                <w:lang w:val="en-US" w:eastAsia="zh-CN"/>
              </w:rPr>
              <w:t>了</w:t>
            </w:r>
            <w:r>
              <w:rPr>
                <w:rFonts w:hint="eastAsia" w:ascii="宋体" w:hAnsi="宋体" w:eastAsia="宋体" w:cs="宋体"/>
                <w:color w:val="auto"/>
                <w:sz w:val="24"/>
                <w:szCs w:val="24"/>
                <w:highlight w:val="none"/>
                <w:lang w:val="zh-CN" w:eastAsia="zh-CN"/>
              </w:rPr>
              <w:t>各方共同签署的联合体协议的【</w:t>
            </w:r>
            <w:r>
              <w:rPr>
                <w:rFonts w:hint="eastAsia" w:ascii="宋体" w:hAnsi="宋体" w:eastAsia="宋体" w:cs="宋体"/>
                <w:color w:val="auto"/>
                <w:sz w:val="24"/>
                <w:szCs w:val="24"/>
                <w:highlight w:val="none"/>
                <w:lang w:val="en-US" w:eastAsia="zh-CN"/>
              </w:rPr>
              <w:t>如允许联合体投标的</w:t>
            </w:r>
            <w:r>
              <w:rPr>
                <w:rFonts w:hint="eastAsia" w:ascii="宋体" w:hAnsi="宋体" w:eastAsia="宋体" w:cs="宋体"/>
                <w:color w:val="auto"/>
                <w:sz w:val="24"/>
                <w:szCs w:val="24"/>
                <w:highlight w:val="none"/>
                <w:lang w:val="zh-CN" w:eastAsia="zh-CN"/>
              </w:rPr>
              <w:t>】</w:t>
            </w:r>
          </w:p>
        </w:tc>
        <w:tc>
          <w:tcPr>
            <w:tcW w:w="388" w:type="pct"/>
            <w:shd w:val="clear" w:color="auto" w:fill="auto"/>
            <w:vAlign w:val="center"/>
          </w:tcPr>
          <w:p w14:paraId="38FADABF">
            <w:pPr>
              <w:pStyle w:val="49"/>
              <w:rPr>
                <w:rFonts w:hint="eastAsia" w:ascii="宋体" w:hAnsi="宋体" w:eastAsia="宋体" w:cs="宋体"/>
                <w:color w:val="auto"/>
                <w:sz w:val="24"/>
                <w:szCs w:val="24"/>
                <w:highlight w:val="none"/>
                <w:lang w:val="zh-CN"/>
              </w:rPr>
            </w:pPr>
          </w:p>
        </w:tc>
        <w:tc>
          <w:tcPr>
            <w:tcW w:w="488" w:type="pct"/>
            <w:shd w:val="clear" w:color="auto" w:fill="auto"/>
            <w:vAlign w:val="center"/>
          </w:tcPr>
          <w:p w14:paraId="5A6008DC">
            <w:pPr>
              <w:pStyle w:val="49"/>
              <w:rPr>
                <w:rFonts w:hint="eastAsia" w:ascii="宋体" w:hAnsi="宋体" w:eastAsia="宋体" w:cs="宋体"/>
                <w:color w:val="auto"/>
                <w:sz w:val="24"/>
                <w:szCs w:val="24"/>
                <w:highlight w:val="none"/>
                <w:lang w:val="zh-CN"/>
              </w:rPr>
            </w:pPr>
          </w:p>
        </w:tc>
      </w:tr>
      <w:tr w14:paraId="7A54D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262" w:type="pct"/>
            <w:shd w:val="clear" w:color="auto" w:fill="auto"/>
            <w:vAlign w:val="center"/>
          </w:tcPr>
          <w:p w14:paraId="5DF7405B">
            <w:pPr>
              <w:pStyle w:val="49"/>
              <w:numPr>
                <w:ilvl w:val="0"/>
                <w:numId w:val="0"/>
              </w:numPr>
              <w:ind w:left="420" w:leftChars="0" w:hanging="42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6</w:t>
            </w:r>
          </w:p>
        </w:tc>
        <w:tc>
          <w:tcPr>
            <w:tcW w:w="840" w:type="pct"/>
            <w:vAlign w:val="center"/>
          </w:tcPr>
          <w:p w14:paraId="3CB15A1D">
            <w:pPr>
              <w:pStyle w:val="4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w:t>
            </w:r>
          </w:p>
        </w:tc>
        <w:tc>
          <w:tcPr>
            <w:tcW w:w="3020" w:type="pct"/>
            <w:shd w:val="clear" w:color="auto" w:fill="auto"/>
            <w:vAlign w:val="center"/>
          </w:tcPr>
          <w:p w14:paraId="0EF49674">
            <w:pPr>
              <w:pStyle w:val="49"/>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投标人按招标文件的规定交纳投标保证金的</w:t>
            </w:r>
          </w:p>
        </w:tc>
        <w:tc>
          <w:tcPr>
            <w:tcW w:w="388" w:type="pct"/>
            <w:shd w:val="clear" w:color="auto" w:fill="auto"/>
            <w:vAlign w:val="center"/>
          </w:tcPr>
          <w:p w14:paraId="37F2653A">
            <w:pPr>
              <w:pStyle w:val="49"/>
              <w:rPr>
                <w:rFonts w:hint="eastAsia" w:ascii="宋体" w:hAnsi="宋体" w:eastAsia="宋体" w:cs="宋体"/>
                <w:color w:val="auto"/>
                <w:sz w:val="24"/>
                <w:szCs w:val="24"/>
                <w:highlight w:val="none"/>
                <w:lang w:val="zh-CN"/>
              </w:rPr>
            </w:pPr>
          </w:p>
        </w:tc>
        <w:tc>
          <w:tcPr>
            <w:tcW w:w="488" w:type="pct"/>
            <w:shd w:val="clear" w:color="auto" w:fill="auto"/>
            <w:vAlign w:val="center"/>
          </w:tcPr>
          <w:p w14:paraId="1E4AED58">
            <w:pPr>
              <w:pStyle w:val="49"/>
              <w:rPr>
                <w:rFonts w:hint="eastAsia" w:ascii="宋体" w:hAnsi="宋体" w:eastAsia="宋体" w:cs="宋体"/>
                <w:color w:val="auto"/>
                <w:sz w:val="24"/>
                <w:szCs w:val="24"/>
                <w:highlight w:val="none"/>
                <w:lang w:val="zh-CN"/>
              </w:rPr>
            </w:pPr>
          </w:p>
        </w:tc>
      </w:tr>
      <w:tr w14:paraId="7044E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trPr>
        <w:tc>
          <w:tcPr>
            <w:tcW w:w="262" w:type="pct"/>
            <w:shd w:val="clear" w:color="auto" w:fill="auto"/>
            <w:vAlign w:val="center"/>
          </w:tcPr>
          <w:p w14:paraId="115CB80E">
            <w:pPr>
              <w:pStyle w:val="49"/>
              <w:numPr>
                <w:ilvl w:val="0"/>
                <w:numId w:val="0"/>
              </w:numPr>
              <w:ind w:left="0" w:lef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7</w:t>
            </w:r>
          </w:p>
        </w:tc>
        <w:tc>
          <w:tcPr>
            <w:tcW w:w="840" w:type="pct"/>
            <w:vAlign w:val="center"/>
          </w:tcPr>
          <w:p w14:paraId="5E0526C0">
            <w:pPr>
              <w:pStyle w:val="4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投标文件的澄清、说明、补正</w:t>
            </w:r>
          </w:p>
        </w:tc>
        <w:tc>
          <w:tcPr>
            <w:tcW w:w="3020" w:type="pct"/>
            <w:shd w:val="clear" w:color="auto" w:fill="auto"/>
            <w:vAlign w:val="center"/>
          </w:tcPr>
          <w:p w14:paraId="69951688">
            <w:pPr>
              <w:pStyle w:val="49"/>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eastAsia="zh-CN"/>
              </w:rPr>
              <w:t>评审期间,</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按评标委员会的要求提交经授权代表签字的澄清、说明、补正或</w:t>
            </w:r>
            <w:r>
              <w:rPr>
                <w:rFonts w:hint="eastAsia" w:ascii="宋体" w:hAnsi="宋体" w:eastAsia="宋体" w:cs="宋体"/>
                <w:color w:val="auto"/>
                <w:sz w:val="24"/>
                <w:szCs w:val="24"/>
                <w:highlight w:val="none"/>
                <w:lang w:val="en-US" w:eastAsia="zh-CN"/>
              </w:rPr>
              <w:t>未</w:t>
            </w:r>
            <w:r>
              <w:rPr>
                <w:rFonts w:hint="eastAsia" w:ascii="宋体" w:hAnsi="宋体" w:eastAsia="宋体" w:cs="宋体"/>
                <w:color w:val="auto"/>
                <w:sz w:val="24"/>
                <w:szCs w:val="24"/>
                <w:highlight w:val="none"/>
                <w:lang w:val="zh-CN" w:eastAsia="zh-CN"/>
              </w:rPr>
              <w:t>改变</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文件的实质性内容</w:t>
            </w:r>
          </w:p>
        </w:tc>
        <w:tc>
          <w:tcPr>
            <w:tcW w:w="388" w:type="pct"/>
            <w:shd w:val="clear" w:color="auto" w:fill="auto"/>
            <w:vAlign w:val="center"/>
          </w:tcPr>
          <w:p w14:paraId="17DF499B">
            <w:pPr>
              <w:pStyle w:val="49"/>
              <w:rPr>
                <w:rFonts w:hint="eastAsia" w:ascii="宋体" w:hAnsi="宋体" w:eastAsia="宋体" w:cs="宋体"/>
                <w:color w:val="auto"/>
                <w:sz w:val="24"/>
                <w:szCs w:val="24"/>
                <w:highlight w:val="none"/>
                <w:lang w:val="zh-CN"/>
              </w:rPr>
            </w:pPr>
          </w:p>
        </w:tc>
        <w:tc>
          <w:tcPr>
            <w:tcW w:w="488" w:type="pct"/>
            <w:shd w:val="clear" w:color="auto" w:fill="auto"/>
            <w:vAlign w:val="center"/>
          </w:tcPr>
          <w:p w14:paraId="7B15EF49">
            <w:pPr>
              <w:pStyle w:val="49"/>
              <w:rPr>
                <w:rFonts w:hint="eastAsia" w:ascii="宋体" w:hAnsi="宋体" w:eastAsia="宋体" w:cs="宋体"/>
                <w:color w:val="auto"/>
                <w:sz w:val="24"/>
                <w:szCs w:val="24"/>
                <w:highlight w:val="none"/>
                <w:lang w:val="zh-CN"/>
              </w:rPr>
            </w:pPr>
          </w:p>
        </w:tc>
      </w:tr>
      <w:tr w14:paraId="5AEED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trPr>
        <w:tc>
          <w:tcPr>
            <w:tcW w:w="262" w:type="pct"/>
            <w:shd w:val="clear" w:color="auto" w:fill="auto"/>
            <w:vAlign w:val="center"/>
          </w:tcPr>
          <w:p w14:paraId="54575570">
            <w:pPr>
              <w:pStyle w:val="49"/>
              <w:numPr>
                <w:ilvl w:val="0"/>
                <w:numId w:val="0"/>
              </w:numPr>
              <w:ind w:left="420" w:leftChars="0" w:hanging="42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8</w:t>
            </w:r>
          </w:p>
        </w:tc>
        <w:tc>
          <w:tcPr>
            <w:tcW w:w="840" w:type="pct"/>
            <w:vAlign w:val="center"/>
          </w:tcPr>
          <w:p w14:paraId="7CFE2454">
            <w:pPr>
              <w:pStyle w:val="4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投标人影响评标</w:t>
            </w:r>
          </w:p>
        </w:tc>
        <w:tc>
          <w:tcPr>
            <w:tcW w:w="3020" w:type="pct"/>
            <w:shd w:val="clear" w:color="auto" w:fill="auto"/>
            <w:vAlign w:val="center"/>
          </w:tcPr>
          <w:p w14:paraId="1AFF6E69">
            <w:pPr>
              <w:pStyle w:val="4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对采购人、采购代理机构、评标委员会及其工作人员</w:t>
            </w:r>
            <w:r>
              <w:rPr>
                <w:rFonts w:hint="eastAsia" w:ascii="宋体" w:hAnsi="宋体" w:eastAsia="宋体" w:cs="宋体"/>
                <w:color w:val="auto"/>
                <w:sz w:val="24"/>
                <w:szCs w:val="24"/>
                <w:highlight w:val="none"/>
                <w:lang w:val="en-US" w:eastAsia="zh-CN"/>
              </w:rPr>
              <w:t>未</w:t>
            </w:r>
            <w:r>
              <w:rPr>
                <w:rFonts w:hint="eastAsia" w:ascii="宋体" w:hAnsi="宋体" w:eastAsia="宋体" w:cs="宋体"/>
                <w:color w:val="auto"/>
                <w:sz w:val="24"/>
                <w:szCs w:val="24"/>
                <w:highlight w:val="none"/>
                <w:lang w:val="zh-CN" w:eastAsia="zh-CN"/>
              </w:rPr>
              <w:t>施加影响,</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lang w:val="zh-CN" w:eastAsia="zh-CN"/>
              </w:rPr>
              <w:t>有碍公平、公正</w:t>
            </w:r>
            <w:r>
              <w:rPr>
                <w:rFonts w:hint="eastAsia" w:ascii="宋体" w:hAnsi="宋体" w:eastAsia="宋体" w:cs="宋体"/>
                <w:color w:val="auto"/>
                <w:sz w:val="24"/>
                <w:szCs w:val="24"/>
                <w:highlight w:val="none"/>
                <w:lang w:val="en-US" w:eastAsia="zh-CN"/>
              </w:rPr>
              <w:t>的</w:t>
            </w:r>
          </w:p>
        </w:tc>
        <w:tc>
          <w:tcPr>
            <w:tcW w:w="388" w:type="pct"/>
            <w:shd w:val="clear" w:color="auto" w:fill="auto"/>
            <w:vAlign w:val="center"/>
          </w:tcPr>
          <w:p w14:paraId="6E7B9E6F">
            <w:pPr>
              <w:pStyle w:val="49"/>
              <w:rPr>
                <w:rFonts w:hint="eastAsia" w:ascii="宋体" w:hAnsi="宋体" w:eastAsia="宋体" w:cs="宋体"/>
                <w:color w:val="auto"/>
                <w:sz w:val="24"/>
                <w:szCs w:val="24"/>
                <w:highlight w:val="none"/>
                <w:lang w:val="zh-CN"/>
              </w:rPr>
            </w:pPr>
          </w:p>
        </w:tc>
        <w:tc>
          <w:tcPr>
            <w:tcW w:w="488" w:type="pct"/>
            <w:shd w:val="clear" w:color="auto" w:fill="auto"/>
            <w:vAlign w:val="center"/>
          </w:tcPr>
          <w:p w14:paraId="5E9FCB3A">
            <w:pPr>
              <w:pStyle w:val="49"/>
              <w:rPr>
                <w:rFonts w:hint="eastAsia" w:ascii="宋体" w:hAnsi="宋体" w:eastAsia="宋体" w:cs="宋体"/>
                <w:color w:val="auto"/>
                <w:sz w:val="24"/>
                <w:szCs w:val="24"/>
                <w:highlight w:val="none"/>
                <w:lang w:val="zh-CN"/>
              </w:rPr>
            </w:pPr>
          </w:p>
        </w:tc>
      </w:tr>
      <w:tr w14:paraId="0F96D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262" w:type="pct"/>
            <w:shd w:val="clear" w:color="auto" w:fill="auto"/>
            <w:vAlign w:val="center"/>
          </w:tcPr>
          <w:p w14:paraId="6F2212DB">
            <w:pPr>
              <w:pStyle w:val="49"/>
              <w:numPr>
                <w:ilvl w:val="0"/>
                <w:numId w:val="0"/>
              </w:numPr>
              <w:ind w:left="420" w:leftChars="0" w:hanging="42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p>
        </w:tc>
        <w:tc>
          <w:tcPr>
            <w:tcW w:w="840" w:type="pct"/>
            <w:vAlign w:val="center"/>
          </w:tcPr>
          <w:p w14:paraId="5065E06D">
            <w:pPr>
              <w:pStyle w:val="4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围标串标情形</w:t>
            </w:r>
          </w:p>
        </w:tc>
        <w:tc>
          <w:tcPr>
            <w:tcW w:w="3020" w:type="pct"/>
            <w:shd w:val="clear" w:color="auto" w:fill="auto"/>
            <w:vAlign w:val="center"/>
          </w:tcPr>
          <w:p w14:paraId="77FBE461">
            <w:pPr>
              <w:pStyle w:val="4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没有</w:t>
            </w:r>
            <w:r>
              <w:rPr>
                <w:rFonts w:hint="eastAsia" w:ascii="宋体" w:hAnsi="宋体" w:eastAsia="宋体" w:cs="宋体"/>
                <w:color w:val="auto"/>
                <w:sz w:val="24"/>
                <w:szCs w:val="24"/>
                <w:highlight w:val="none"/>
                <w:lang w:val="zh-CN" w:eastAsia="zh-CN"/>
              </w:rPr>
              <w:t>“第五章 评标方法及标准”</w:t>
            </w:r>
            <w:r>
              <w:rPr>
                <w:rFonts w:hint="eastAsia" w:ascii="宋体" w:hAnsi="宋体" w:eastAsia="宋体" w:cs="宋体"/>
                <w:color w:val="auto"/>
                <w:sz w:val="24"/>
                <w:szCs w:val="24"/>
                <w:highlight w:val="none"/>
                <w:lang w:val="en-US" w:eastAsia="zh-CN"/>
              </w:rPr>
              <w:t>第21条情形之一的</w:t>
            </w:r>
          </w:p>
        </w:tc>
        <w:tc>
          <w:tcPr>
            <w:tcW w:w="388" w:type="pct"/>
            <w:shd w:val="clear" w:color="auto" w:fill="auto"/>
            <w:vAlign w:val="center"/>
          </w:tcPr>
          <w:p w14:paraId="79393C8F">
            <w:pPr>
              <w:pStyle w:val="49"/>
              <w:rPr>
                <w:rFonts w:hint="eastAsia" w:ascii="宋体" w:hAnsi="宋体" w:eastAsia="宋体" w:cs="宋体"/>
                <w:color w:val="auto"/>
                <w:sz w:val="24"/>
                <w:szCs w:val="24"/>
                <w:highlight w:val="none"/>
                <w:lang w:val="zh-CN"/>
              </w:rPr>
            </w:pPr>
          </w:p>
        </w:tc>
        <w:tc>
          <w:tcPr>
            <w:tcW w:w="488" w:type="pct"/>
            <w:shd w:val="clear" w:color="auto" w:fill="auto"/>
            <w:vAlign w:val="center"/>
          </w:tcPr>
          <w:p w14:paraId="77FEE600">
            <w:pPr>
              <w:pStyle w:val="49"/>
              <w:rPr>
                <w:rFonts w:hint="eastAsia" w:ascii="宋体" w:hAnsi="宋体" w:eastAsia="宋体" w:cs="宋体"/>
                <w:color w:val="auto"/>
                <w:sz w:val="24"/>
                <w:szCs w:val="24"/>
                <w:highlight w:val="none"/>
                <w:lang w:val="zh-CN"/>
              </w:rPr>
            </w:pPr>
          </w:p>
        </w:tc>
      </w:tr>
      <w:tr w14:paraId="35AAC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262" w:type="pct"/>
            <w:shd w:val="clear" w:color="auto" w:fill="auto"/>
            <w:vAlign w:val="center"/>
          </w:tcPr>
          <w:p w14:paraId="332BD4A6">
            <w:pPr>
              <w:pStyle w:val="49"/>
              <w:numPr>
                <w:ilvl w:val="0"/>
                <w:numId w:val="0"/>
              </w:numPr>
              <w:ind w:left="420" w:leftChars="0" w:hanging="42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840" w:type="pct"/>
            <w:vAlign w:val="center"/>
          </w:tcPr>
          <w:p w14:paraId="56EEFE7E">
            <w:pPr>
              <w:pStyle w:val="4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附加条件</w:t>
            </w:r>
          </w:p>
        </w:tc>
        <w:tc>
          <w:tcPr>
            <w:tcW w:w="3020" w:type="pct"/>
            <w:shd w:val="clear" w:color="auto" w:fill="auto"/>
            <w:vAlign w:val="center"/>
          </w:tcPr>
          <w:p w14:paraId="618DB2FB">
            <w:pPr>
              <w:pStyle w:val="4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投标文件没有采购人不能接受的附加条件的</w:t>
            </w:r>
          </w:p>
        </w:tc>
        <w:tc>
          <w:tcPr>
            <w:tcW w:w="388" w:type="pct"/>
            <w:shd w:val="clear" w:color="auto" w:fill="auto"/>
            <w:vAlign w:val="center"/>
          </w:tcPr>
          <w:p w14:paraId="36C2A679">
            <w:pPr>
              <w:pStyle w:val="49"/>
              <w:rPr>
                <w:rFonts w:hint="eastAsia" w:ascii="宋体" w:hAnsi="宋体" w:eastAsia="宋体" w:cs="宋体"/>
                <w:color w:val="auto"/>
                <w:sz w:val="24"/>
                <w:szCs w:val="24"/>
                <w:highlight w:val="none"/>
                <w:lang w:val="zh-CN"/>
              </w:rPr>
            </w:pPr>
          </w:p>
        </w:tc>
        <w:tc>
          <w:tcPr>
            <w:tcW w:w="488" w:type="pct"/>
            <w:shd w:val="clear" w:color="auto" w:fill="auto"/>
            <w:vAlign w:val="center"/>
          </w:tcPr>
          <w:p w14:paraId="73E4201A">
            <w:pPr>
              <w:pStyle w:val="49"/>
              <w:rPr>
                <w:rFonts w:hint="eastAsia" w:ascii="宋体" w:hAnsi="宋体" w:eastAsia="宋体" w:cs="宋体"/>
                <w:color w:val="auto"/>
                <w:sz w:val="24"/>
                <w:szCs w:val="24"/>
                <w:highlight w:val="none"/>
                <w:lang w:val="zh-CN"/>
              </w:rPr>
            </w:pPr>
          </w:p>
        </w:tc>
      </w:tr>
      <w:tr w14:paraId="16675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262" w:type="pct"/>
            <w:shd w:val="clear" w:color="auto" w:fill="auto"/>
            <w:vAlign w:val="center"/>
          </w:tcPr>
          <w:p w14:paraId="33CCA145">
            <w:pPr>
              <w:pStyle w:val="49"/>
              <w:numPr>
                <w:ilvl w:val="0"/>
                <w:numId w:val="0"/>
              </w:numPr>
              <w:ind w:left="420" w:leftChars="0" w:hanging="42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w:t>
            </w:r>
          </w:p>
        </w:tc>
        <w:tc>
          <w:tcPr>
            <w:tcW w:w="840" w:type="pct"/>
            <w:vAlign w:val="center"/>
          </w:tcPr>
          <w:p w14:paraId="56857957">
            <w:pPr>
              <w:pStyle w:val="4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其他无效情形</w:t>
            </w:r>
          </w:p>
        </w:tc>
        <w:tc>
          <w:tcPr>
            <w:tcW w:w="3020" w:type="pct"/>
            <w:shd w:val="clear" w:color="auto" w:fill="auto"/>
            <w:vAlign w:val="center"/>
          </w:tcPr>
          <w:p w14:paraId="2D4FAC27">
            <w:pPr>
              <w:pStyle w:val="4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没有</w:t>
            </w:r>
            <w:r>
              <w:rPr>
                <w:rFonts w:hint="eastAsia" w:ascii="宋体" w:hAnsi="宋体" w:eastAsia="宋体" w:cs="宋体"/>
                <w:color w:val="auto"/>
                <w:sz w:val="24"/>
                <w:szCs w:val="24"/>
                <w:highlight w:val="none"/>
                <w:lang w:val="zh-CN" w:eastAsia="zh-CN"/>
              </w:rPr>
              <w:t>法律、法规、规章规定属于</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无效的其他情形。</w:t>
            </w:r>
          </w:p>
        </w:tc>
        <w:tc>
          <w:tcPr>
            <w:tcW w:w="388" w:type="pct"/>
            <w:shd w:val="clear" w:color="auto" w:fill="auto"/>
            <w:vAlign w:val="center"/>
          </w:tcPr>
          <w:p w14:paraId="1AF34C22">
            <w:pPr>
              <w:pStyle w:val="49"/>
              <w:rPr>
                <w:rFonts w:hint="eastAsia" w:ascii="宋体" w:hAnsi="宋体" w:eastAsia="宋体" w:cs="宋体"/>
                <w:color w:val="auto"/>
                <w:sz w:val="24"/>
                <w:szCs w:val="24"/>
                <w:highlight w:val="none"/>
                <w:lang w:val="zh-CN"/>
              </w:rPr>
            </w:pPr>
          </w:p>
        </w:tc>
        <w:tc>
          <w:tcPr>
            <w:tcW w:w="488" w:type="pct"/>
            <w:shd w:val="clear" w:color="auto" w:fill="auto"/>
            <w:vAlign w:val="center"/>
          </w:tcPr>
          <w:p w14:paraId="1DBF61E6">
            <w:pPr>
              <w:pStyle w:val="49"/>
              <w:rPr>
                <w:rFonts w:hint="eastAsia" w:ascii="宋体" w:hAnsi="宋体" w:eastAsia="宋体" w:cs="宋体"/>
                <w:color w:val="auto"/>
                <w:sz w:val="24"/>
                <w:szCs w:val="24"/>
                <w:highlight w:val="none"/>
                <w:lang w:val="zh-CN"/>
              </w:rPr>
            </w:pPr>
          </w:p>
        </w:tc>
      </w:tr>
      <w:tr w14:paraId="322EE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262" w:type="pct"/>
            <w:shd w:val="clear" w:color="auto" w:fill="auto"/>
            <w:vAlign w:val="center"/>
          </w:tcPr>
          <w:p w14:paraId="3E384818">
            <w:pPr>
              <w:pStyle w:val="49"/>
              <w:numPr>
                <w:ilvl w:val="0"/>
                <w:numId w:val="0"/>
              </w:numPr>
              <w:ind w:left="420" w:leftChars="0" w:hanging="420" w:firstLineChars="0"/>
              <w:jc w:val="center"/>
              <w:rPr>
                <w:rFonts w:hint="eastAsia" w:ascii="宋体" w:hAnsi="宋体" w:eastAsia="宋体" w:cs="宋体"/>
                <w:color w:val="auto"/>
                <w:kern w:val="2"/>
                <w:sz w:val="24"/>
                <w:szCs w:val="24"/>
                <w:highlight w:val="none"/>
                <w:lang w:val="en-US" w:eastAsia="zh-CN" w:bidi="ar-SA"/>
              </w:rPr>
            </w:pPr>
          </w:p>
        </w:tc>
        <w:tc>
          <w:tcPr>
            <w:tcW w:w="840" w:type="pct"/>
            <w:vAlign w:val="center"/>
          </w:tcPr>
          <w:p w14:paraId="6239A0C3">
            <w:pPr>
              <w:pStyle w:val="4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p>
        </w:tc>
        <w:tc>
          <w:tcPr>
            <w:tcW w:w="3020" w:type="pct"/>
            <w:shd w:val="clear" w:color="auto" w:fill="auto"/>
            <w:vAlign w:val="center"/>
          </w:tcPr>
          <w:p w14:paraId="39E79281">
            <w:pPr>
              <w:pStyle w:val="49"/>
              <w:rPr>
                <w:rFonts w:hint="eastAsia" w:ascii="宋体" w:hAnsi="宋体" w:eastAsia="宋体" w:cs="宋体"/>
                <w:color w:val="auto"/>
                <w:sz w:val="24"/>
                <w:szCs w:val="24"/>
                <w:highlight w:val="none"/>
                <w:lang w:val="zh-CN" w:eastAsia="zh-CN"/>
              </w:rPr>
            </w:pPr>
          </w:p>
        </w:tc>
        <w:tc>
          <w:tcPr>
            <w:tcW w:w="388" w:type="pct"/>
            <w:shd w:val="clear" w:color="auto" w:fill="auto"/>
            <w:vAlign w:val="center"/>
          </w:tcPr>
          <w:p w14:paraId="2808B5A7">
            <w:pPr>
              <w:pStyle w:val="49"/>
              <w:rPr>
                <w:rFonts w:hint="eastAsia" w:ascii="宋体" w:hAnsi="宋体" w:eastAsia="宋体" w:cs="宋体"/>
                <w:color w:val="auto"/>
                <w:sz w:val="24"/>
                <w:szCs w:val="24"/>
                <w:highlight w:val="none"/>
                <w:lang w:val="zh-CN"/>
              </w:rPr>
            </w:pPr>
          </w:p>
        </w:tc>
        <w:tc>
          <w:tcPr>
            <w:tcW w:w="488" w:type="pct"/>
            <w:shd w:val="clear" w:color="auto" w:fill="auto"/>
            <w:vAlign w:val="center"/>
          </w:tcPr>
          <w:p w14:paraId="466A1D46">
            <w:pPr>
              <w:pStyle w:val="49"/>
              <w:rPr>
                <w:rFonts w:hint="eastAsia" w:ascii="宋体" w:hAnsi="宋体" w:eastAsia="宋体" w:cs="宋体"/>
                <w:color w:val="auto"/>
                <w:sz w:val="24"/>
                <w:szCs w:val="24"/>
                <w:highlight w:val="none"/>
                <w:lang w:val="zh-CN"/>
              </w:rPr>
            </w:pPr>
          </w:p>
        </w:tc>
      </w:tr>
    </w:tbl>
    <w:p w14:paraId="1E0763ED">
      <w:pPr>
        <w:shd w:val="clear" w:color="auto" w:fill="FFFFFF"/>
        <w:tabs>
          <w:tab w:val="left" w:pos="3045"/>
        </w:tabs>
        <w:autoSpaceDE w:val="0"/>
        <w:autoSpaceDN w:val="0"/>
        <w:adjustRightInd w:val="0"/>
        <w:snapToGrid w:val="0"/>
        <w:spacing w:line="360" w:lineRule="exact"/>
        <w:rPr>
          <w:rFonts w:hint="eastAsia" w:ascii="宋体" w:hAnsi="宋体" w:cs="宋体"/>
          <w:b/>
          <w:color w:val="auto"/>
          <w:sz w:val="24"/>
          <w:highlight w:val="none"/>
        </w:rPr>
      </w:pPr>
    </w:p>
    <w:p w14:paraId="01436FB4">
      <w:pPr>
        <w:shd w:val="clear" w:color="auto" w:fill="FFFFFF"/>
        <w:tabs>
          <w:tab w:val="left" w:pos="3045"/>
        </w:tabs>
        <w:autoSpaceDE w:val="0"/>
        <w:autoSpaceDN w:val="0"/>
        <w:adjustRightInd w:val="0"/>
        <w:snapToGrid w:val="0"/>
        <w:spacing w:line="360" w:lineRule="exact"/>
        <w:rPr>
          <w:rFonts w:hint="eastAsia" w:ascii="宋体" w:hAnsi="宋体" w:cs="宋体"/>
          <w:b/>
          <w:color w:val="auto"/>
          <w:sz w:val="24"/>
          <w:highlight w:val="none"/>
        </w:rPr>
      </w:pPr>
    </w:p>
    <w:p w14:paraId="229FF1AF">
      <w:pPr>
        <w:shd w:val="clear" w:color="auto" w:fill="FFFFFF"/>
        <w:tabs>
          <w:tab w:val="left" w:pos="3045"/>
        </w:tabs>
        <w:autoSpaceDE w:val="0"/>
        <w:autoSpaceDN w:val="0"/>
        <w:adjustRightInd w:val="0"/>
        <w:snapToGrid w:val="0"/>
        <w:spacing w:line="360" w:lineRule="exact"/>
        <w:rPr>
          <w:rFonts w:hint="eastAsia" w:ascii="宋体" w:hAnsi="宋体" w:cs="宋体"/>
          <w:b/>
          <w:color w:val="auto"/>
          <w:sz w:val="24"/>
          <w:highlight w:val="none"/>
        </w:rPr>
      </w:pPr>
    </w:p>
    <w:p w14:paraId="565A14AF">
      <w:pPr>
        <w:shd w:val="clear" w:color="auto" w:fill="FFFFFF"/>
        <w:tabs>
          <w:tab w:val="left" w:pos="3045"/>
        </w:tabs>
        <w:autoSpaceDE w:val="0"/>
        <w:autoSpaceDN w:val="0"/>
        <w:adjustRightInd w:val="0"/>
        <w:snapToGrid w:val="0"/>
        <w:spacing w:line="360" w:lineRule="exact"/>
        <w:rPr>
          <w:rFonts w:hint="eastAsia" w:ascii="宋体" w:hAnsi="宋体" w:cs="宋体"/>
          <w:b/>
          <w:color w:val="auto"/>
          <w:sz w:val="24"/>
          <w:szCs w:val="24"/>
          <w:highlight w:val="none"/>
        </w:rPr>
      </w:pPr>
    </w:p>
    <w:p w14:paraId="3DB6FBF5">
      <w:pPr>
        <w:shd w:val="clear" w:color="auto" w:fill="FFFFFF"/>
        <w:tabs>
          <w:tab w:val="left" w:pos="3045"/>
        </w:tabs>
        <w:autoSpaceDE w:val="0"/>
        <w:autoSpaceDN w:val="0"/>
        <w:adjustRightInd w:val="0"/>
        <w:snapToGrid w:val="0"/>
        <w:spacing w:line="360" w:lineRule="exact"/>
        <w:rPr>
          <w:rFonts w:hint="eastAsia"/>
          <w:color w:val="auto"/>
          <w:sz w:val="24"/>
          <w:szCs w:val="24"/>
          <w:highlight w:val="none"/>
        </w:rPr>
      </w:pPr>
      <w:r>
        <w:rPr>
          <w:rFonts w:hint="eastAsia" w:ascii="宋体" w:hAnsi="宋体" w:cs="宋体"/>
          <w:b/>
          <w:color w:val="auto"/>
          <w:sz w:val="24"/>
          <w:szCs w:val="24"/>
          <w:highlight w:val="none"/>
        </w:rPr>
        <w:t>符合</w:t>
      </w:r>
      <w:r>
        <w:rPr>
          <w:rFonts w:hint="eastAsia" w:ascii="宋体" w:hAnsi="宋体" w:cs="宋体"/>
          <w:b/>
          <w:color w:val="auto"/>
          <w:sz w:val="24"/>
          <w:szCs w:val="24"/>
          <w:highlight w:val="none"/>
          <w:lang w:eastAsia="zh-CN"/>
        </w:rPr>
        <w:t>性</w:t>
      </w:r>
      <w:r>
        <w:rPr>
          <w:rFonts w:hint="eastAsia" w:cs="宋体"/>
          <w:b/>
          <w:color w:val="auto"/>
          <w:sz w:val="24"/>
          <w:szCs w:val="24"/>
          <w:highlight w:val="none"/>
          <w:lang w:val="en-US" w:eastAsia="zh-CN"/>
        </w:rPr>
        <w:t>审查表-</w:t>
      </w:r>
      <w:r>
        <w:rPr>
          <w:rFonts w:hint="eastAsia" w:ascii="宋体" w:hAnsi="宋体" w:cs="宋体"/>
          <w:b/>
          <w:color w:val="auto"/>
          <w:sz w:val="24"/>
          <w:szCs w:val="24"/>
          <w:highlight w:val="none"/>
        </w:rPr>
        <w:t>附表</w:t>
      </w:r>
    </w:p>
    <w:p w14:paraId="70584E38">
      <w:pPr>
        <w:pStyle w:val="5"/>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jc w:val="center"/>
        <w:textAlignment w:val="auto"/>
        <w:rPr>
          <w:rFonts w:hint="eastAsia" w:ascii="宋体" w:hAnsi="宋体" w:eastAsia="宋体" w:cstheme="minorBidi"/>
          <w:b/>
          <w:bCs/>
          <w:color w:val="auto"/>
          <w:kern w:val="2"/>
          <w:sz w:val="28"/>
          <w:szCs w:val="28"/>
          <w:highlight w:val="none"/>
          <w:lang w:val="zh-CN" w:eastAsia="zh-CN" w:bidi="ar-SA"/>
        </w:rPr>
      </w:pPr>
      <w:r>
        <w:rPr>
          <w:rFonts w:hint="eastAsia" w:ascii="宋体" w:hAnsi="宋体" w:eastAsia="宋体" w:cstheme="minorBidi"/>
          <w:b/>
          <w:bCs/>
          <w:color w:val="auto"/>
          <w:kern w:val="2"/>
          <w:sz w:val="28"/>
          <w:szCs w:val="28"/>
          <w:highlight w:val="none"/>
          <w:lang w:val="zh-CN" w:eastAsia="zh-CN" w:bidi="ar-SA"/>
        </w:rPr>
        <w:t>实质性响应一览表</w:t>
      </w:r>
    </w:p>
    <w:p w14:paraId="7DFD9111">
      <w:pPr>
        <w:shd w:val="clear" w:color="auto" w:fill="FFFFFF"/>
        <w:tabs>
          <w:tab w:val="left" w:pos="3045"/>
        </w:tabs>
        <w:autoSpaceDE w:val="0"/>
        <w:autoSpaceDN w:val="0"/>
        <w:adjustRightInd w:val="0"/>
        <w:snapToGrid w:val="0"/>
        <w:spacing w:line="360" w:lineRule="exact"/>
        <w:jc w:val="center"/>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w:t>
      </w:r>
      <w:r>
        <w:rPr>
          <w:rFonts w:hint="eastAsia" w:cs="宋体"/>
          <w:b w:val="0"/>
          <w:bCs/>
          <w:color w:val="auto"/>
          <w:sz w:val="24"/>
          <w:szCs w:val="24"/>
          <w:highlight w:val="none"/>
          <w:lang w:val="en-US" w:eastAsia="zh-CN"/>
        </w:rPr>
        <w:t>投标人</w:t>
      </w:r>
      <w:r>
        <w:rPr>
          <w:rFonts w:hint="eastAsia" w:ascii="宋体" w:hAnsi="宋体" w:cs="宋体"/>
          <w:b w:val="0"/>
          <w:bCs/>
          <w:color w:val="auto"/>
          <w:sz w:val="24"/>
          <w:szCs w:val="24"/>
          <w:highlight w:val="none"/>
        </w:rPr>
        <w:t>须对本附表所有内容逐条响应且无负偏离，否则</w:t>
      </w:r>
      <w:r>
        <w:rPr>
          <w:rFonts w:hint="eastAsia" w:cs="宋体"/>
          <w:b w:val="0"/>
          <w:bCs/>
          <w:color w:val="auto"/>
          <w:sz w:val="24"/>
          <w:szCs w:val="24"/>
          <w:highlight w:val="none"/>
          <w:lang w:val="en-US" w:eastAsia="zh-CN"/>
        </w:rPr>
        <w:t>其</w:t>
      </w:r>
      <w:r>
        <w:rPr>
          <w:rFonts w:hint="eastAsia" w:ascii="宋体" w:hAnsi="宋体" w:cs="宋体"/>
          <w:b/>
          <w:bCs w:val="0"/>
          <w:color w:val="auto"/>
          <w:sz w:val="24"/>
          <w:szCs w:val="24"/>
          <w:highlight w:val="none"/>
        </w:rPr>
        <w:t>投标无效</w:t>
      </w:r>
      <w:r>
        <w:rPr>
          <w:rFonts w:hint="eastAsia" w:ascii="宋体" w:hAnsi="宋体" w:cs="宋体"/>
          <w:b w:val="0"/>
          <w:bCs/>
          <w:color w:val="auto"/>
          <w:sz w:val="24"/>
          <w:szCs w:val="24"/>
          <w:highlight w:val="none"/>
        </w:rPr>
        <w:t>）</w:t>
      </w:r>
    </w:p>
    <w:p w14:paraId="212CF784">
      <w:pPr>
        <w:pStyle w:val="2"/>
        <w:rPr>
          <w:rFonts w:hint="eastAsia" w:ascii="宋体" w:hAnsi="宋体" w:cs="宋体"/>
          <w:color w:val="auto"/>
          <w:sz w:val="24"/>
          <w:szCs w:val="24"/>
          <w:highlight w:val="none"/>
        </w:rPr>
      </w:pPr>
    </w:p>
    <w:tbl>
      <w:tblPr>
        <w:tblStyle w:val="30"/>
        <w:tblW w:w="5435" w:type="pct"/>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1992"/>
        <w:gridCol w:w="4259"/>
        <w:gridCol w:w="1873"/>
        <w:gridCol w:w="732"/>
      </w:tblGrid>
      <w:tr w14:paraId="098C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0" w:type="pct"/>
            <w:vMerge w:val="restart"/>
            <w:noWrap w:val="0"/>
            <w:vAlign w:val="center"/>
          </w:tcPr>
          <w:p w14:paraId="7CE32AA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373" w:type="pct"/>
            <w:gridSpan w:val="2"/>
            <w:noWrap w:val="0"/>
            <w:vAlign w:val="center"/>
          </w:tcPr>
          <w:p w14:paraId="01AF850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招标文件要求的实质性响应内容</w:t>
            </w:r>
          </w:p>
        </w:tc>
        <w:tc>
          <w:tcPr>
            <w:tcW w:w="1010" w:type="pct"/>
            <w:vMerge w:val="restart"/>
            <w:noWrap w:val="0"/>
            <w:vAlign w:val="center"/>
          </w:tcPr>
          <w:p w14:paraId="2428BDFD">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投标文件响应</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具体内容</w:t>
            </w:r>
          </w:p>
        </w:tc>
        <w:tc>
          <w:tcPr>
            <w:tcW w:w="395" w:type="pct"/>
            <w:vMerge w:val="restart"/>
            <w:noWrap w:val="0"/>
            <w:vAlign w:val="center"/>
          </w:tcPr>
          <w:p w14:paraId="2BD3180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F6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20" w:type="pct"/>
            <w:vMerge w:val="continue"/>
            <w:noWrap w:val="0"/>
            <w:vAlign w:val="center"/>
          </w:tcPr>
          <w:p w14:paraId="03EF406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p>
        </w:tc>
        <w:tc>
          <w:tcPr>
            <w:tcW w:w="1075" w:type="pct"/>
            <w:shd w:val="clear" w:color="auto" w:fill="auto"/>
            <w:noWrap w:val="0"/>
            <w:vAlign w:val="center"/>
          </w:tcPr>
          <w:p w14:paraId="5FC570A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实质性要求</w:t>
            </w:r>
          </w:p>
        </w:tc>
        <w:tc>
          <w:tcPr>
            <w:tcW w:w="2298" w:type="pct"/>
            <w:shd w:val="clear" w:color="auto" w:fill="auto"/>
            <w:noWrap w:val="0"/>
            <w:vAlign w:val="center"/>
          </w:tcPr>
          <w:p w14:paraId="19DBCA5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招标文件中的规定</w:t>
            </w:r>
          </w:p>
        </w:tc>
        <w:tc>
          <w:tcPr>
            <w:tcW w:w="1010" w:type="pct"/>
            <w:vMerge w:val="continue"/>
            <w:noWrap w:val="0"/>
            <w:vAlign w:val="center"/>
          </w:tcPr>
          <w:p w14:paraId="6263BFD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p>
        </w:tc>
        <w:tc>
          <w:tcPr>
            <w:tcW w:w="395" w:type="pct"/>
            <w:vMerge w:val="continue"/>
            <w:noWrap w:val="0"/>
            <w:vAlign w:val="center"/>
          </w:tcPr>
          <w:p w14:paraId="1B799351">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p>
        </w:tc>
      </w:tr>
      <w:tr w14:paraId="0E72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220" w:type="pct"/>
            <w:noWrap w:val="0"/>
            <w:vAlign w:val="center"/>
          </w:tcPr>
          <w:p w14:paraId="7ECA8034">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75" w:type="pct"/>
            <w:shd w:val="clear" w:color="auto" w:fill="auto"/>
            <w:noWrap w:val="0"/>
            <w:vAlign w:val="center"/>
          </w:tcPr>
          <w:p w14:paraId="62642515">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投标有效期</w:t>
            </w:r>
          </w:p>
        </w:tc>
        <w:tc>
          <w:tcPr>
            <w:tcW w:w="2298" w:type="pct"/>
            <w:shd w:val="clear" w:color="auto" w:fill="auto"/>
            <w:noWrap w:val="0"/>
            <w:vAlign w:val="center"/>
          </w:tcPr>
          <w:p w14:paraId="3517C392">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招标文件“第二章投标须知”关于投标有效期的规定</w:t>
            </w:r>
          </w:p>
        </w:tc>
        <w:tc>
          <w:tcPr>
            <w:tcW w:w="1010" w:type="pct"/>
            <w:noWrap w:val="0"/>
            <w:vAlign w:val="center"/>
          </w:tcPr>
          <w:p w14:paraId="3F7DA8EA">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投标人在</w:t>
            </w:r>
            <w:r>
              <w:rPr>
                <w:rFonts w:hint="eastAsia" w:ascii="宋体" w:hAnsi="宋体" w:eastAsia="宋体" w:cs="宋体"/>
                <w:color w:val="auto"/>
                <w:sz w:val="24"/>
                <w:szCs w:val="24"/>
                <w:highlight w:val="none"/>
              </w:rPr>
              <w:t>此处填写</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文件的相关内容</w:t>
            </w:r>
            <w:r>
              <w:rPr>
                <w:rFonts w:hint="eastAsia" w:ascii="宋体" w:hAnsi="宋体" w:eastAsia="宋体" w:cs="宋体"/>
                <w:color w:val="auto"/>
                <w:sz w:val="24"/>
                <w:szCs w:val="24"/>
                <w:highlight w:val="none"/>
                <w:lang w:eastAsia="zh-CN"/>
              </w:rPr>
              <w:t>】</w:t>
            </w:r>
          </w:p>
        </w:tc>
        <w:tc>
          <w:tcPr>
            <w:tcW w:w="395" w:type="pct"/>
            <w:noWrap w:val="0"/>
            <w:vAlign w:val="center"/>
          </w:tcPr>
          <w:p w14:paraId="729A3125">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671C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20" w:type="pct"/>
            <w:noWrap w:val="0"/>
            <w:vAlign w:val="center"/>
          </w:tcPr>
          <w:p w14:paraId="79561691">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75" w:type="pct"/>
            <w:shd w:val="clear" w:color="auto" w:fill="auto"/>
            <w:noWrap w:val="0"/>
            <w:vAlign w:val="center"/>
          </w:tcPr>
          <w:p w14:paraId="7FB35A2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rPr>
              <w:t>……</w:t>
            </w:r>
          </w:p>
        </w:tc>
        <w:tc>
          <w:tcPr>
            <w:tcW w:w="2298" w:type="pct"/>
            <w:shd w:val="clear" w:color="auto" w:fill="auto"/>
            <w:noWrap w:val="0"/>
            <w:vAlign w:val="center"/>
          </w:tcPr>
          <w:p w14:paraId="119C002B">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1010" w:type="pct"/>
            <w:noWrap w:val="0"/>
            <w:vAlign w:val="center"/>
          </w:tcPr>
          <w:p w14:paraId="5BB89004">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395" w:type="pct"/>
            <w:noWrap w:val="0"/>
            <w:vAlign w:val="center"/>
          </w:tcPr>
          <w:p w14:paraId="0E4E117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3505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20" w:type="pct"/>
            <w:shd w:val="clear" w:color="auto" w:fill="auto"/>
            <w:noWrap w:val="0"/>
            <w:vAlign w:val="center"/>
          </w:tcPr>
          <w:p w14:paraId="7D5DC93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1075" w:type="pct"/>
            <w:shd w:val="clear" w:color="auto" w:fill="auto"/>
            <w:noWrap w:val="0"/>
            <w:vAlign w:val="center"/>
          </w:tcPr>
          <w:p w14:paraId="505EE26A">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rPr>
              <w:t>……</w:t>
            </w:r>
          </w:p>
        </w:tc>
        <w:tc>
          <w:tcPr>
            <w:tcW w:w="2298" w:type="pct"/>
            <w:shd w:val="clear" w:color="auto" w:fill="auto"/>
            <w:noWrap w:val="0"/>
            <w:vAlign w:val="center"/>
          </w:tcPr>
          <w:p w14:paraId="324EF1FF">
            <w:pPr>
              <w:pStyle w:val="49"/>
              <w:rPr>
                <w:rFonts w:hint="eastAsia" w:ascii="宋体" w:hAnsi="宋体" w:eastAsia="宋体" w:cs="宋体"/>
                <w:color w:val="auto"/>
                <w:kern w:val="2"/>
                <w:sz w:val="24"/>
                <w:szCs w:val="24"/>
                <w:highlight w:val="none"/>
                <w:lang w:val="en-US" w:eastAsia="zh-CN" w:bidi="ar-SA"/>
              </w:rPr>
            </w:pPr>
          </w:p>
        </w:tc>
        <w:tc>
          <w:tcPr>
            <w:tcW w:w="1010" w:type="pct"/>
            <w:noWrap w:val="0"/>
            <w:vAlign w:val="center"/>
          </w:tcPr>
          <w:p w14:paraId="042BD647">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395" w:type="pct"/>
            <w:noWrap w:val="0"/>
            <w:vAlign w:val="center"/>
          </w:tcPr>
          <w:p w14:paraId="458E18AF">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0126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20" w:type="pct"/>
            <w:shd w:val="clear" w:color="auto" w:fill="auto"/>
            <w:noWrap w:val="0"/>
            <w:vAlign w:val="center"/>
          </w:tcPr>
          <w:p w14:paraId="24A010C1">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1075" w:type="pct"/>
            <w:shd w:val="clear" w:color="auto" w:fill="auto"/>
            <w:noWrap w:val="0"/>
            <w:vAlign w:val="center"/>
          </w:tcPr>
          <w:p w14:paraId="127FA675">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rPr>
              <w:t>……</w:t>
            </w:r>
          </w:p>
        </w:tc>
        <w:tc>
          <w:tcPr>
            <w:tcW w:w="2298" w:type="pct"/>
            <w:shd w:val="clear" w:color="auto" w:fill="auto"/>
            <w:noWrap w:val="0"/>
            <w:vAlign w:val="center"/>
          </w:tcPr>
          <w:p w14:paraId="723D0D7F">
            <w:pPr>
              <w:pStyle w:val="49"/>
              <w:rPr>
                <w:rFonts w:hint="eastAsia" w:ascii="宋体" w:hAnsi="宋体" w:eastAsia="宋体" w:cs="宋体"/>
                <w:color w:val="auto"/>
                <w:kern w:val="2"/>
                <w:sz w:val="24"/>
                <w:szCs w:val="24"/>
                <w:highlight w:val="none"/>
                <w:lang w:val="en-US" w:eastAsia="zh-CN" w:bidi="ar-SA"/>
              </w:rPr>
            </w:pPr>
          </w:p>
        </w:tc>
        <w:tc>
          <w:tcPr>
            <w:tcW w:w="1010" w:type="pct"/>
            <w:noWrap w:val="0"/>
            <w:vAlign w:val="center"/>
          </w:tcPr>
          <w:p w14:paraId="6E29F276">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395" w:type="pct"/>
            <w:noWrap w:val="0"/>
            <w:vAlign w:val="center"/>
          </w:tcPr>
          <w:p w14:paraId="63A4B6FE">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188F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20" w:type="pct"/>
            <w:shd w:val="clear" w:color="auto" w:fill="auto"/>
            <w:noWrap w:val="0"/>
            <w:vAlign w:val="center"/>
          </w:tcPr>
          <w:p w14:paraId="7D889D64">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075" w:type="pct"/>
            <w:noWrap w:val="0"/>
            <w:vAlign w:val="center"/>
          </w:tcPr>
          <w:p w14:paraId="1BACABE2">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p>
        </w:tc>
        <w:tc>
          <w:tcPr>
            <w:tcW w:w="2298" w:type="pct"/>
            <w:noWrap w:val="0"/>
            <w:vAlign w:val="center"/>
          </w:tcPr>
          <w:p w14:paraId="6AF4E488">
            <w:pPr>
              <w:pStyle w:val="73"/>
              <w:keepNext w:val="0"/>
              <w:keepLines w:val="0"/>
              <w:pageBreakBefore w:val="0"/>
              <w:widowControl w:val="0"/>
              <w:shd w:val="clear" w:color="auto" w:fill="FFFFFF"/>
              <w:kinsoku/>
              <w:wordWrap/>
              <w:overflowPunct/>
              <w:topLinePunct w:val="0"/>
              <w:bidi w:val="0"/>
              <w:adjustRightInd/>
              <w:snapToGrid/>
              <w:spacing w:line="360" w:lineRule="exact"/>
              <w:ind w:firstLine="0" w:firstLineChars="0"/>
              <w:textAlignment w:val="auto"/>
              <w:rPr>
                <w:rFonts w:hint="eastAsia" w:ascii="宋体" w:hAnsi="宋体" w:eastAsia="宋体" w:cs="宋体"/>
                <w:color w:val="auto"/>
                <w:kern w:val="0"/>
                <w:sz w:val="24"/>
                <w:szCs w:val="24"/>
                <w:highlight w:val="none"/>
                <w:lang w:val="en-US" w:eastAsia="zh-CN" w:bidi="ar-SA"/>
              </w:rPr>
            </w:pPr>
          </w:p>
        </w:tc>
        <w:tc>
          <w:tcPr>
            <w:tcW w:w="1010" w:type="pct"/>
            <w:noWrap w:val="0"/>
            <w:vAlign w:val="center"/>
          </w:tcPr>
          <w:p w14:paraId="5791DDF3">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395" w:type="pct"/>
            <w:noWrap w:val="0"/>
            <w:vAlign w:val="center"/>
          </w:tcPr>
          <w:p w14:paraId="4FAB1392">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7D82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20" w:type="pct"/>
            <w:shd w:val="clear" w:color="auto" w:fill="auto"/>
            <w:noWrap w:val="0"/>
            <w:vAlign w:val="center"/>
          </w:tcPr>
          <w:p w14:paraId="1D658F7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075" w:type="pct"/>
            <w:noWrap w:val="0"/>
            <w:vAlign w:val="center"/>
          </w:tcPr>
          <w:p w14:paraId="76B2B25F">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p>
        </w:tc>
        <w:tc>
          <w:tcPr>
            <w:tcW w:w="2298" w:type="pct"/>
            <w:noWrap w:val="0"/>
            <w:vAlign w:val="center"/>
          </w:tcPr>
          <w:p w14:paraId="080CF7F9">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1010" w:type="pct"/>
            <w:noWrap w:val="0"/>
            <w:vAlign w:val="center"/>
          </w:tcPr>
          <w:p w14:paraId="404E91E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395" w:type="pct"/>
            <w:noWrap w:val="0"/>
            <w:vAlign w:val="center"/>
          </w:tcPr>
          <w:p w14:paraId="4B03ECB7">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581EA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20" w:type="pct"/>
            <w:shd w:val="clear" w:color="auto" w:fill="auto"/>
            <w:noWrap w:val="0"/>
            <w:vAlign w:val="center"/>
          </w:tcPr>
          <w:p w14:paraId="2A12EC9F">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1075" w:type="pct"/>
            <w:noWrap w:val="0"/>
            <w:vAlign w:val="center"/>
          </w:tcPr>
          <w:p w14:paraId="0BFE6DF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p>
        </w:tc>
        <w:tc>
          <w:tcPr>
            <w:tcW w:w="2298" w:type="pct"/>
            <w:noWrap w:val="0"/>
            <w:vAlign w:val="center"/>
          </w:tcPr>
          <w:p w14:paraId="70263471">
            <w:pPr>
              <w:keepNext w:val="0"/>
              <w:keepLines w:val="0"/>
              <w:pageBreakBefore w:val="0"/>
              <w:widowControl w:val="0"/>
              <w:shd w:val="clear" w:color="auto" w:fill="FFFFFF"/>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4"/>
                <w:szCs w:val="24"/>
                <w:highlight w:val="none"/>
                <w:lang w:val="en-US" w:eastAsia="zh-CN"/>
              </w:rPr>
            </w:pPr>
          </w:p>
        </w:tc>
        <w:tc>
          <w:tcPr>
            <w:tcW w:w="1010" w:type="pct"/>
            <w:noWrap w:val="0"/>
            <w:vAlign w:val="center"/>
          </w:tcPr>
          <w:p w14:paraId="7D8F15D3">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395" w:type="pct"/>
            <w:noWrap w:val="0"/>
            <w:vAlign w:val="center"/>
          </w:tcPr>
          <w:p w14:paraId="4F0FDAA9">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409E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20" w:type="pct"/>
            <w:noWrap w:val="0"/>
            <w:vAlign w:val="center"/>
          </w:tcPr>
          <w:p w14:paraId="225EEE9F">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lang w:val="en-US" w:eastAsia="zh-CN"/>
              </w:rPr>
            </w:pPr>
          </w:p>
        </w:tc>
        <w:tc>
          <w:tcPr>
            <w:tcW w:w="1075" w:type="pct"/>
            <w:shd w:val="clear" w:color="auto" w:fill="auto"/>
            <w:noWrap w:val="0"/>
            <w:vAlign w:val="center"/>
          </w:tcPr>
          <w:p w14:paraId="4AA81257">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w:t>
            </w:r>
          </w:p>
        </w:tc>
        <w:tc>
          <w:tcPr>
            <w:tcW w:w="2298" w:type="pct"/>
            <w:noWrap w:val="0"/>
            <w:vAlign w:val="center"/>
          </w:tcPr>
          <w:p w14:paraId="5D3B3A0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p>
        </w:tc>
        <w:tc>
          <w:tcPr>
            <w:tcW w:w="1010" w:type="pct"/>
            <w:noWrap w:val="0"/>
            <w:vAlign w:val="center"/>
          </w:tcPr>
          <w:p w14:paraId="22A79CB5">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395" w:type="pct"/>
            <w:noWrap w:val="0"/>
            <w:vAlign w:val="center"/>
          </w:tcPr>
          <w:p w14:paraId="1D5F24CB">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bl>
    <w:p w14:paraId="6F75215A">
      <w:pPr>
        <w:rPr>
          <w:rFonts w:hint="eastAsia"/>
          <w:b/>
          <w:bCs/>
          <w:color w:val="auto"/>
          <w:sz w:val="24"/>
          <w:szCs w:val="24"/>
          <w:highlight w:val="none"/>
          <w:lang w:val="en-US" w:eastAsia="zh-CN"/>
        </w:rPr>
      </w:pPr>
    </w:p>
    <w:p w14:paraId="73C7580B">
      <w:pPr>
        <w:rPr>
          <w:rFonts w:hint="default" w:eastAsia="宋体"/>
          <w:b/>
          <w:bCs/>
          <w:color w:val="auto"/>
          <w:sz w:val="24"/>
          <w:szCs w:val="24"/>
          <w:highlight w:val="none"/>
          <w:lang w:val="en-US" w:eastAsia="zh-CN"/>
        </w:rPr>
      </w:pPr>
      <w:r>
        <w:rPr>
          <w:rFonts w:hint="eastAsia"/>
          <w:b/>
          <w:bCs/>
          <w:color w:val="auto"/>
          <w:sz w:val="24"/>
          <w:szCs w:val="24"/>
          <w:highlight w:val="none"/>
          <w:lang w:val="en-US" w:eastAsia="zh-CN"/>
        </w:rPr>
        <w:t>注：“实质性响应一览表”中的内容为参考，可根据项目情况自行设置。</w:t>
      </w:r>
    </w:p>
    <w:p w14:paraId="48517D6B">
      <w:pPr>
        <w:shd w:val="clear" w:color="auto" w:fill="FFFFFF"/>
        <w:tabs>
          <w:tab w:val="left" w:pos="3045"/>
        </w:tabs>
        <w:autoSpaceDE w:val="0"/>
        <w:autoSpaceDN w:val="0"/>
        <w:adjustRightInd w:val="0"/>
        <w:snapToGrid w:val="0"/>
        <w:spacing w:line="360" w:lineRule="exact"/>
        <w:rPr>
          <w:rFonts w:hint="eastAsia" w:ascii="宋体" w:hAnsi="宋体" w:eastAsia="宋体" w:cstheme="minorBidi"/>
          <w:b/>
          <w:bCs/>
          <w:color w:val="auto"/>
          <w:kern w:val="2"/>
          <w:sz w:val="24"/>
          <w:szCs w:val="24"/>
          <w:highlight w:val="none"/>
          <w:lang w:val="zh-CN" w:eastAsia="zh-CN" w:bidi="ar-SA"/>
        </w:rPr>
      </w:pPr>
      <w:bookmarkStart w:id="326" w:name="_Toc155185917"/>
      <w:bookmarkStart w:id="327" w:name="_Toc163492910"/>
      <w:r>
        <w:rPr>
          <w:rFonts w:hint="eastAsia" w:ascii="宋体" w:hAnsi="宋体" w:eastAsia="宋体" w:cstheme="minorBidi"/>
          <w:b/>
          <w:bCs/>
          <w:color w:val="auto"/>
          <w:kern w:val="2"/>
          <w:sz w:val="24"/>
          <w:szCs w:val="24"/>
          <w:highlight w:val="none"/>
          <w:lang w:val="zh-CN" w:eastAsia="zh-CN" w:bidi="ar-SA"/>
        </w:rPr>
        <w:br w:type="page"/>
      </w:r>
    </w:p>
    <w:p w14:paraId="3FE0903E">
      <w:pPr>
        <w:pStyle w:val="5"/>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（二）评分标准</w:t>
      </w:r>
      <w:bookmarkEnd w:id="326"/>
      <w:bookmarkEnd w:id="327"/>
    </w:p>
    <w:p w14:paraId="06EEC6BD">
      <w:pPr>
        <w:rPr>
          <w:rFonts w:hint="default"/>
          <w:b/>
          <w:bCs/>
          <w:color w:val="auto"/>
          <w:sz w:val="24"/>
          <w:szCs w:val="24"/>
          <w:highlight w:val="none"/>
          <w:lang w:val="en-US" w:eastAsia="zh-CN"/>
        </w:rPr>
      </w:pPr>
      <w:r>
        <w:rPr>
          <w:rFonts w:hint="eastAsia"/>
          <w:b/>
          <w:bCs/>
          <w:color w:val="auto"/>
          <w:sz w:val="24"/>
          <w:szCs w:val="24"/>
          <w:highlight w:val="none"/>
          <w:lang w:val="en-US" w:eastAsia="zh-CN"/>
        </w:rPr>
        <w:t>注：以下评标分项根据项目实际情况可自行设置。</w:t>
      </w:r>
    </w:p>
    <w:tbl>
      <w:tblPr>
        <w:tblStyle w:val="30"/>
        <w:tblW w:w="5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576"/>
        <w:gridCol w:w="1000"/>
        <w:gridCol w:w="6037"/>
      </w:tblGrid>
      <w:tr w14:paraId="5175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15" w:type="pct"/>
            <w:shd w:val="clear" w:color="auto" w:fill="D8D8D8" w:themeFill="background1" w:themeFillShade="D9"/>
            <w:vAlign w:val="center"/>
          </w:tcPr>
          <w:p w14:paraId="4924CA4E">
            <w:pPr>
              <w:pStyle w:val="49"/>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评标项目</w:t>
            </w:r>
          </w:p>
        </w:tc>
        <w:tc>
          <w:tcPr>
            <w:tcW w:w="838" w:type="pct"/>
            <w:shd w:val="clear" w:color="auto" w:fill="D8D8D8" w:themeFill="background1" w:themeFillShade="D9"/>
            <w:vAlign w:val="center"/>
          </w:tcPr>
          <w:p w14:paraId="7A3DCB70">
            <w:pPr>
              <w:pStyle w:val="49"/>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评标分项</w:t>
            </w:r>
          </w:p>
        </w:tc>
        <w:tc>
          <w:tcPr>
            <w:tcW w:w="532" w:type="pct"/>
            <w:shd w:val="clear" w:color="auto" w:fill="D8D8D8" w:themeFill="background1" w:themeFillShade="D9"/>
            <w:vAlign w:val="center"/>
          </w:tcPr>
          <w:p w14:paraId="65B86E0D">
            <w:pPr>
              <w:pStyle w:val="49"/>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3213" w:type="pct"/>
            <w:shd w:val="clear" w:color="auto" w:fill="D8D8D8" w:themeFill="background1" w:themeFillShade="D9"/>
            <w:vAlign w:val="center"/>
          </w:tcPr>
          <w:p w14:paraId="467A385D">
            <w:pPr>
              <w:pStyle w:val="49"/>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子项目及分值</w:t>
            </w:r>
          </w:p>
        </w:tc>
      </w:tr>
      <w:tr w14:paraId="497D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jc w:val="center"/>
        </w:trPr>
        <w:tc>
          <w:tcPr>
            <w:tcW w:w="415" w:type="pct"/>
            <w:vAlign w:val="center"/>
          </w:tcPr>
          <w:p w14:paraId="3C480381">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价格部分</w:t>
            </w:r>
          </w:p>
          <w:p w14:paraId="375F38AD">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838" w:type="pct"/>
            <w:tcBorders>
              <w:bottom w:val="single" w:color="auto" w:sz="4" w:space="0"/>
            </w:tcBorders>
            <w:vAlign w:val="center"/>
          </w:tcPr>
          <w:p w14:paraId="4D31CF31">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532" w:type="pct"/>
            <w:vAlign w:val="center"/>
          </w:tcPr>
          <w:p w14:paraId="318A84CC">
            <w:pPr>
              <w:pStyle w:val="49"/>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30分</w:t>
            </w:r>
          </w:p>
        </w:tc>
        <w:tc>
          <w:tcPr>
            <w:tcW w:w="3213" w:type="pct"/>
            <w:vAlign w:val="center"/>
          </w:tcPr>
          <w:p w14:paraId="76A28B05">
            <w:pPr>
              <w:pStyle w:val="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满足招标文件要求且投标价格最低的投标报价为评标基准价，其价格分为满分。其他投标人的价格分统一按照下列公式计算：</w:t>
            </w:r>
          </w:p>
          <w:p w14:paraId="62C0AA09">
            <w:pPr>
              <w:pStyle w:val="4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投标报价得分=（评标基准价／投标报价)×价格</w:t>
            </w:r>
            <w:r>
              <w:rPr>
                <w:rFonts w:hint="eastAsia" w:ascii="宋体" w:hAnsi="宋体" w:eastAsia="宋体" w:cs="宋体"/>
                <w:color w:val="auto"/>
                <w:sz w:val="24"/>
                <w:szCs w:val="24"/>
                <w:highlight w:val="none"/>
                <w:lang w:eastAsia="zh-CN"/>
              </w:rPr>
              <w:t>分值</w:t>
            </w:r>
          </w:p>
          <w:p w14:paraId="2D3A1974">
            <w:pPr>
              <w:pStyle w:val="49"/>
              <w:rPr>
                <w:rFonts w:hint="eastAsia" w:ascii="宋体" w:hAnsi="宋体" w:eastAsia="宋体" w:cs="宋体"/>
                <w:b/>
                <w:bCs/>
                <w:color w:val="auto"/>
                <w:sz w:val="24"/>
                <w:szCs w:val="24"/>
                <w:highlight w:val="none"/>
              </w:rPr>
            </w:pPr>
          </w:p>
          <w:p w14:paraId="201E7F07">
            <w:pPr>
              <w:pStyle w:val="4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备注</w:t>
            </w: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投标人须知</w:t>
            </w:r>
            <w:r>
              <w:rPr>
                <w:rFonts w:hint="eastAsia" w:ascii="宋体" w:hAnsi="宋体" w:eastAsia="宋体" w:cs="宋体"/>
                <w:color w:val="auto"/>
                <w:sz w:val="24"/>
                <w:szCs w:val="24"/>
                <w:highlight w:val="none"/>
                <w:lang w:val="en-US" w:eastAsia="zh-CN"/>
              </w:rPr>
              <w:t>前附表”</w:t>
            </w:r>
            <w:r>
              <w:rPr>
                <w:rFonts w:hint="eastAsia" w:ascii="宋体" w:hAnsi="宋体" w:eastAsia="宋体" w:cs="宋体"/>
                <w:color w:val="auto"/>
                <w:sz w:val="24"/>
                <w:szCs w:val="24"/>
                <w:highlight w:val="none"/>
              </w:rPr>
              <w:t>中价格扣除规定的，在评审时予以价格扣除，用扣除后的价格参与评审。</w:t>
            </w:r>
          </w:p>
        </w:tc>
      </w:tr>
      <w:tr w14:paraId="2794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15" w:type="pct"/>
            <w:vMerge w:val="restart"/>
            <w:vAlign w:val="center"/>
          </w:tcPr>
          <w:p w14:paraId="052C663E">
            <w:pPr>
              <w:pStyle w:val="49"/>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商务部分（20分）</w:t>
            </w:r>
          </w:p>
        </w:tc>
        <w:tc>
          <w:tcPr>
            <w:tcW w:w="838" w:type="pct"/>
            <w:tcBorders>
              <w:top w:val="single" w:color="auto" w:sz="4" w:space="0"/>
            </w:tcBorders>
            <w:vAlign w:val="center"/>
          </w:tcPr>
          <w:p w14:paraId="460AF2C5">
            <w:pPr>
              <w:pStyle w:val="49"/>
              <w:jc w:val="center"/>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企业</w:t>
            </w:r>
            <w:r>
              <w:rPr>
                <w:rFonts w:hint="eastAsia" w:ascii="宋体" w:hAnsi="宋体" w:eastAsia="宋体" w:cs="宋体"/>
                <w:color w:val="auto"/>
                <w:sz w:val="24"/>
                <w:szCs w:val="24"/>
                <w:highlight w:val="none"/>
              </w:rPr>
              <w:t>能力</w:t>
            </w:r>
          </w:p>
        </w:tc>
        <w:tc>
          <w:tcPr>
            <w:tcW w:w="532" w:type="pct"/>
            <w:vAlign w:val="center"/>
          </w:tcPr>
          <w:p w14:paraId="628FC415">
            <w:pPr>
              <w:pStyle w:val="49"/>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tc>
        <w:tc>
          <w:tcPr>
            <w:tcW w:w="3213" w:type="pct"/>
            <w:vAlign w:val="center"/>
          </w:tcPr>
          <w:p w14:paraId="1CAA3B77">
            <w:pPr>
              <w:pStyle w:val="49"/>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lang w:val="en-US" w:eastAsia="zh-CN"/>
              </w:rPr>
              <w:t>近三年（2023年1月1日至今）类似项目业绩，有一项得2分，本项满分</w:t>
            </w: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分。【证明材料：提供合同关键页（含但仅限于合同首页、项目内容、签字盖章页）并加盖供应商公章，不提供不得分。】</w:t>
            </w:r>
          </w:p>
          <w:p w14:paraId="00AC8BA6">
            <w:pPr>
              <w:pStyle w:val="49"/>
              <w:numPr>
                <w:ilvl w:val="0"/>
                <w:numId w:val="0"/>
              </w:numPr>
              <w:rPr>
                <w:rFonts w:hint="default" w:ascii="宋体" w:hAnsi="宋体" w:eastAsia="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企业具备甲级测绘资质。2分</w:t>
            </w:r>
          </w:p>
          <w:p w14:paraId="5F640083">
            <w:pPr>
              <w:pStyle w:val="49"/>
              <w:numPr>
                <w:ilvl w:val="0"/>
                <w:numId w:val="0"/>
              </w:numPr>
              <w:rPr>
                <w:rFonts w:hint="default" w:ascii="宋体" w:hAnsi="宋体" w:eastAsia="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3、</w:t>
            </w:r>
            <w:r>
              <w:rPr>
                <w:rFonts w:hint="default" w:ascii="宋体" w:hAnsi="宋体" w:eastAsia="宋体" w:cs="宋体"/>
                <w:color w:val="auto"/>
                <w:sz w:val="24"/>
                <w:szCs w:val="24"/>
                <w:highlight w:val="none"/>
                <w:lang w:val="en-US" w:eastAsia="zh-CN"/>
              </w:rPr>
              <w:t>供应商应具备成熟信息系统项目管理能力</w:t>
            </w:r>
            <w:r>
              <w:rPr>
                <w:rFonts w:hint="eastAsia"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具备质量管理体系认证证书(IS09001)</w:t>
            </w:r>
            <w:r>
              <w:rPr>
                <w:rFonts w:hint="eastAsia"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具备证书得2分，不具备不得分，共计2分。</w:t>
            </w:r>
          </w:p>
        </w:tc>
      </w:tr>
      <w:tr w14:paraId="05A34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15" w:type="pct"/>
            <w:vMerge w:val="continue"/>
            <w:vAlign w:val="center"/>
          </w:tcPr>
          <w:p w14:paraId="4B58E164">
            <w:pPr>
              <w:pStyle w:val="49"/>
              <w:jc w:val="center"/>
              <w:rPr>
                <w:rFonts w:hint="eastAsia" w:ascii="宋体" w:hAnsi="宋体" w:eastAsia="宋体" w:cs="宋体"/>
                <w:color w:val="auto"/>
                <w:sz w:val="24"/>
                <w:szCs w:val="24"/>
                <w:highlight w:val="none"/>
              </w:rPr>
            </w:pPr>
          </w:p>
        </w:tc>
        <w:tc>
          <w:tcPr>
            <w:tcW w:w="838" w:type="pct"/>
            <w:tcBorders>
              <w:top w:val="single" w:color="auto" w:sz="4" w:space="0"/>
            </w:tcBorders>
            <w:vAlign w:val="center"/>
          </w:tcPr>
          <w:p w14:paraId="6B9EB51E">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项目参与人员</w:t>
            </w:r>
          </w:p>
        </w:tc>
        <w:tc>
          <w:tcPr>
            <w:tcW w:w="532" w:type="pct"/>
            <w:vAlign w:val="center"/>
          </w:tcPr>
          <w:p w14:paraId="5CC6F5C7">
            <w:pPr>
              <w:pStyle w:val="49"/>
              <w:jc w:val="center"/>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tc>
        <w:tc>
          <w:tcPr>
            <w:tcW w:w="3213" w:type="pct"/>
            <w:vAlign w:val="center"/>
          </w:tcPr>
          <w:p w14:paraId="0785B748">
            <w:pPr>
              <w:pStyle w:val="49"/>
              <w:rPr>
                <w:rFonts w:hint="eastAsia" w:cs="宋体"/>
                <w:color w:val="auto"/>
                <w:sz w:val="24"/>
                <w:szCs w:val="24"/>
                <w:highlight w:val="none"/>
                <w:lang w:val="en-US" w:eastAsia="zh-CN"/>
              </w:rPr>
            </w:pPr>
            <w:r>
              <w:rPr>
                <w:rFonts w:hint="eastAsia" w:cs="宋体"/>
                <w:color w:val="auto"/>
                <w:sz w:val="24"/>
                <w:szCs w:val="24"/>
                <w:highlight w:val="none"/>
                <w:lang w:val="en-US" w:eastAsia="zh-CN"/>
              </w:rPr>
              <w:t>本项目为定制化业务系统技术服务，为达到高质量高标准业务开发要求，需配置以下项目团队，并满足核心负责人技术资格能力，项目组成员专业完备综合能力强，合计10分：</w:t>
            </w:r>
          </w:p>
          <w:p w14:paraId="028EE1DD">
            <w:pPr>
              <w:pStyle w:val="49"/>
              <w:numPr>
                <w:ilvl w:val="0"/>
                <w:numId w:val="0"/>
              </w:numPr>
              <w:rPr>
                <w:rFonts w:hint="eastAsia" w:cs="宋体"/>
                <w:color w:val="auto"/>
                <w:sz w:val="24"/>
                <w:szCs w:val="24"/>
                <w:highlight w:val="none"/>
                <w:lang w:val="en-US" w:eastAsia="zh-CN"/>
              </w:rPr>
            </w:pPr>
            <w:r>
              <w:rPr>
                <w:rFonts w:hint="eastAsia" w:cs="宋体"/>
                <w:color w:val="auto"/>
                <w:kern w:val="2"/>
                <w:sz w:val="24"/>
                <w:szCs w:val="24"/>
                <w:lang w:val="en-US" w:eastAsia="zh-CN" w:bidi="ar-SA"/>
              </w:rPr>
              <w:t>1、项目实施团队成员至少5名，系统分析师1人、系统架构设计师1人、系统集成项目管理工程师1人、测绘专业中级及以上职称2人(含中级），且不得重复。满足得10分，每少一人扣2分，不提供不得分。须提供持证人员相关证书复印件（身份证、学历证书</w:t>
            </w:r>
            <w:bookmarkStart w:id="457" w:name="_GoBack"/>
            <w:bookmarkEnd w:id="457"/>
            <w:r>
              <w:rPr>
                <w:rFonts w:hint="eastAsia" w:cs="宋体"/>
                <w:color w:val="auto"/>
                <w:kern w:val="2"/>
                <w:sz w:val="24"/>
                <w:szCs w:val="24"/>
                <w:lang w:val="en-US" w:eastAsia="zh-CN" w:bidi="ar-SA"/>
              </w:rPr>
              <w:t>、劳动合同复印件）等资料，有效证明实施人员关系。未提供不得分。</w:t>
            </w:r>
          </w:p>
        </w:tc>
      </w:tr>
      <w:tr w14:paraId="105D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jc w:val="center"/>
        </w:trPr>
        <w:tc>
          <w:tcPr>
            <w:tcW w:w="415" w:type="pct"/>
            <w:vMerge w:val="restart"/>
            <w:vAlign w:val="center"/>
          </w:tcPr>
          <w:p w14:paraId="009533AC">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p>
          <w:p w14:paraId="3C5A6CF4">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50</w:t>
            </w:r>
            <w:r>
              <w:rPr>
                <w:rFonts w:hint="eastAsia" w:ascii="宋体" w:hAnsi="宋体" w:eastAsia="宋体" w:cs="宋体"/>
                <w:color w:val="auto"/>
                <w:sz w:val="24"/>
                <w:szCs w:val="24"/>
                <w:highlight w:val="none"/>
              </w:rPr>
              <w:t>分）</w:t>
            </w:r>
          </w:p>
        </w:tc>
        <w:tc>
          <w:tcPr>
            <w:tcW w:w="838" w:type="pct"/>
            <w:tcBorders>
              <w:top w:val="single" w:color="auto" w:sz="4" w:space="0"/>
            </w:tcBorders>
            <w:vAlign w:val="center"/>
          </w:tcPr>
          <w:p w14:paraId="1ECFDBB7">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技术方案</w:t>
            </w:r>
          </w:p>
        </w:tc>
        <w:tc>
          <w:tcPr>
            <w:tcW w:w="532" w:type="pct"/>
            <w:vAlign w:val="center"/>
          </w:tcPr>
          <w:p w14:paraId="35C961A9">
            <w:pPr>
              <w:pStyle w:val="49"/>
              <w:jc w:val="center"/>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分</w:t>
            </w:r>
          </w:p>
        </w:tc>
        <w:tc>
          <w:tcPr>
            <w:tcW w:w="3213" w:type="pct"/>
            <w:vAlign w:val="center"/>
          </w:tcPr>
          <w:p w14:paraId="3ABDF6ED">
            <w:pPr>
              <w:pStyle w:val="49"/>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项目总体方案</w:t>
            </w:r>
            <w:r>
              <w:rPr>
                <w:rFonts w:hint="eastAsia" w:cs="宋体"/>
                <w:color w:val="auto"/>
                <w:sz w:val="24"/>
                <w:szCs w:val="24"/>
                <w:highlight w:val="none"/>
                <w:lang w:eastAsia="zh-CN"/>
              </w:rPr>
              <w:t>、</w:t>
            </w:r>
            <w:r>
              <w:rPr>
                <w:rFonts w:hint="eastAsia" w:cs="宋体"/>
                <w:color w:val="auto"/>
                <w:sz w:val="24"/>
                <w:szCs w:val="24"/>
                <w:highlight w:val="none"/>
                <w:lang w:val="en-US" w:eastAsia="zh-CN"/>
              </w:rPr>
              <w:t>系统架构、信息资源分析、信息安全设计、数据库设计、接口设计、标准规范设计、测绘方案</w:t>
            </w:r>
            <w:r>
              <w:rPr>
                <w:rFonts w:hint="eastAsia" w:ascii="宋体" w:hAnsi="宋体" w:eastAsia="宋体" w:cs="宋体"/>
                <w:color w:val="auto"/>
                <w:sz w:val="24"/>
                <w:szCs w:val="24"/>
                <w:highlight w:val="none"/>
              </w:rPr>
              <w:t>等内容，内容能够充分满足项目需求的得</w:t>
            </w:r>
            <w:r>
              <w:rPr>
                <w:rFonts w:hint="eastAsia" w:cs="宋体"/>
                <w:color w:val="auto"/>
                <w:sz w:val="24"/>
                <w:szCs w:val="24"/>
                <w:highlight w:val="none"/>
                <w:lang w:val="en-US" w:eastAsia="zh-CN"/>
              </w:rPr>
              <w:t>20</w:t>
            </w:r>
            <w:r>
              <w:rPr>
                <w:rFonts w:hint="eastAsia" w:ascii="宋体" w:hAnsi="宋体" w:eastAsia="宋体" w:cs="宋体"/>
                <w:color w:val="auto"/>
                <w:sz w:val="24"/>
                <w:szCs w:val="24"/>
                <w:highlight w:val="none"/>
              </w:rPr>
              <w:t>分，每有一项缺</w:t>
            </w:r>
            <w:r>
              <w:rPr>
                <w:rFonts w:hint="eastAsia" w:cs="宋体"/>
                <w:color w:val="auto"/>
                <w:sz w:val="24"/>
                <w:szCs w:val="24"/>
                <w:highlight w:val="none"/>
                <w:lang w:val="en-US" w:eastAsia="zh-CN"/>
              </w:rPr>
              <w:t>2.5</w:t>
            </w:r>
            <w:r>
              <w:rPr>
                <w:rFonts w:hint="eastAsia" w:ascii="宋体" w:hAnsi="宋体" w:eastAsia="宋体" w:cs="宋体"/>
                <w:color w:val="auto"/>
                <w:sz w:val="24"/>
                <w:szCs w:val="24"/>
                <w:highlight w:val="none"/>
              </w:rPr>
              <w:t>项扣分，每项内容里每有一处内容不符合项目实际需求或存在缺陷的扣</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分，扣完为止。</w:t>
            </w:r>
          </w:p>
          <w:p w14:paraId="3A6C1CD5">
            <w:pPr>
              <w:pStyle w:val="49"/>
              <w:rPr>
                <w:rFonts w:hint="default" w:ascii="宋体" w:hAnsi="宋体" w:eastAsia="宋体" w:cs="宋体"/>
                <w:color w:val="auto"/>
                <w:sz w:val="24"/>
                <w:szCs w:val="24"/>
                <w:highlight w:val="none"/>
                <w:lang w:val="en-US"/>
              </w:rPr>
            </w:pPr>
            <w:r>
              <w:rPr>
                <w:rFonts w:hint="eastAsia" w:cs="宋体"/>
                <w:color w:val="auto"/>
                <w:sz w:val="24"/>
                <w:szCs w:val="24"/>
                <w:highlight w:val="none"/>
                <w:lang w:val="en-US" w:eastAsia="zh-CN"/>
              </w:rPr>
              <w:t>2、软件功能设计，</w:t>
            </w:r>
            <w:r>
              <w:rPr>
                <w:rFonts w:hint="eastAsia" w:ascii="宋体" w:hAnsi="宋体" w:eastAsia="宋体" w:cs="宋体"/>
                <w:color w:val="auto"/>
                <w:sz w:val="24"/>
                <w:szCs w:val="24"/>
                <w:highlight w:val="none"/>
              </w:rPr>
              <w:t>内容能够充分满足项目需求的得</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分，内容里每有一处不符合项目实际需求或存在缺陷的扣</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分，扣完为止。</w:t>
            </w:r>
          </w:p>
          <w:p w14:paraId="5050357A">
            <w:pPr>
              <w:pStyle w:val="4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w:t>
            </w:r>
            <w:r>
              <w:rPr>
                <w:rFonts w:hint="eastAsia" w:cs="宋体"/>
                <w:b/>
                <w:bCs/>
                <w:color w:val="auto"/>
                <w:sz w:val="24"/>
                <w:szCs w:val="24"/>
                <w:highlight w:val="none"/>
                <w:lang w:eastAsia="zh-CN"/>
              </w:rPr>
              <w:t>：</w:t>
            </w:r>
            <w:r>
              <w:rPr>
                <w:rFonts w:hint="eastAsia" w:ascii="宋体" w:hAnsi="宋体" w:eastAsia="宋体" w:cs="宋体"/>
                <w:color w:val="auto"/>
                <w:sz w:val="24"/>
                <w:szCs w:val="24"/>
                <w:highlight w:val="none"/>
              </w:rPr>
              <w:t>缺陷是指</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存在不适用项目实际情况的情形、凭空编造、内容前后不一致、前后逻辑错误、涉及的规范及标准错误、地点区域错误、内容遗漏</w:t>
            </w:r>
            <w:r>
              <w:rPr>
                <w:rFonts w:hint="eastAsia" w:cs="宋体"/>
                <w:color w:val="auto"/>
                <w:sz w:val="24"/>
                <w:szCs w:val="24"/>
                <w:highlight w:val="none"/>
                <w:lang w:val="en-US" w:eastAsia="zh-CN"/>
              </w:rPr>
              <w:t>或不完整</w:t>
            </w:r>
            <w:r>
              <w:rPr>
                <w:rFonts w:hint="eastAsia" w:ascii="宋体" w:hAnsi="宋体" w:eastAsia="宋体" w:cs="宋体"/>
                <w:color w:val="auto"/>
                <w:sz w:val="24"/>
                <w:szCs w:val="24"/>
                <w:highlight w:val="none"/>
              </w:rPr>
              <w:t>、不符合采购需求等。</w:t>
            </w:r>
          </w:p>
        </w:tc>
      </w:tr>
      <w:tr w14:paraId="6058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jc w:val="center"/>
        </w:trPr>
        <w:tc>
          <w:tcPr>
            <w:tcW w:w="415" w:type="pct"/>
            <w:vMerge w:val="continue"/>
            <w:vAlign w:val="center"/>
          </w:tcPr>
          <w:p w14:paraId="237D5BE2">
            <w:pPr>
              <w:pStyle w:val="49"/>
              <w:jc w:val="center"/>
              <w:rPr>
                <w:rFonts w:hint="eastAsia" w:ascii="宋体" w:hAnsi="宋体" w:eastAsia="宋体" w:cs="宋体"/>
                <w:color w:val="auto"/>
                <w:sz w:val="24"/>
                <w:szCs w:val="24"/>
                <w:highlight w:val="none"/>
              </w:rPr>
            </w:pPr>
          </w:p>
        </w:tc>
        <w:tc>
          <w:tcPr>
            <w:tcW w:w="838" w:type="pct"/>
            <w:tcBorders>
              <w:top w:val="single" w:color="auto" w:sz="4" w:space="0"/>
            </w:tcBorders>
            <w:vAlign w:val="center"/>
          </w:tcPr>
          <w:p w14:paraId="22201CBF">
            <w:pPr>
              <w:pStyle w:val="49"/>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组织方案</w:t>
            </w:r>
          </w:p>
        </w:tc>
        <w:tc>
          <w:tcPr>
            <w:tcW w:w="532" w:type="pct"/>
            <w:vAlign w:val="center"/>
          </w:tcPr>
          <w:p w14:paraId="33697CED">
            <w:pPr>
              <w:pStyle w:val="49"/>
              <w:jc w:val="center"/>
              <w:rPr>
                <w:rFonts w:hint="default" w:cs="宋体"/>
                <w:color w:val="auto"/>
                <w:sz w:val="24"/>
                <w:szCs w:val="24"/>
                <w:highlight w:val="none"/>
                <w:lang w:val="en-US" w:eastAsia="zh-CN"/>
              </w:rPr>
            </w:pPr>
            <w:r>
              <w:rPr>
                <w:rFonts w:hint="eastAsia" w:cs="宋体"/>
                <w:color w:val="auto"/>
                <w:sz w:val="24"/>
                <w:szCs w:val="24"/>
                <w:highlight w:val="none"/>
                <w:lang w:val="en-US" w:eastAsia="zh-CN"/>
              </w:rPr>
              <w:t>15分</w:t>
            </w:r>
          </w:p>
        </w:tc>
        <w:tc>
          <w:tcPr>
            <w:tcW w:w="3213" w:type="pct"/>
            <w:vAlign w:val="center"/>
          </w:tcPr>
          <w:p w14:paraId="193B2902">
            <w:pPr>
              <w:pStyle w:val="49"/>
              <w:numPr>
                <w:ilvl w:val="0"/>
                <w:numId w:val="5"/>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机构配备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包含①机构设置②职能运行方案③内部管理职责</w:t>
            </w:r>
            <w:r>
              <w:rPr>
                <w:rFonts w:hint="eastAsia" w:ascii="宋体" w:hAnsi="宋体" w:eastAsia="宋体" w:cs="宋体"/>
                <w:color w:val="auto"/>
                <w:sz w:val="24"/>
                <w:szCs w:val="24"/>
                <w:highlight w:val="none"/>
                <w:lang w:eastAsia="zh-CN"/>
              </w:rPr>
              <w:t>。</w:t>
            </w:r>
          </w:p>
          <w:p w14:paraId="579F3DC7">
            <w:pPr>
              <w:pStyle w:val="49"/>
              <w:numPr>
                <w:ilvl w:val="0"/>
                <w:numId w:val="5"/>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进度安排。包含①进度计划表②实施步骤③各阶段人员配置④进度保障措施（包含风险管理）</w:t>
            </w:r>
          </w:p>
          <w:p w14:paraId="1004E47E">
            <w:pPr>
              <w:pStyle w:val="49"/>
              <w:numPr>
                <w:ilvl w:val="0"/>
                <w:numId w:val="5"/>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保密措施。包含</w:t>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en-US" w:eastAsia="zh-CN"/>
              </w:rPr>
              <w:t>保密制度</w:t>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en-US" w:eastAsia="zh-CN"/>
              </w:rPr>
              <w:t>项目参与人员背景审查</w:t>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val="en-US" w:eastAsia="zh-CN"/>
              </w:rPr>
              <w:t>保密监督措施和保密培训安排。</w:t>
            </w:r>
          </w:p>
          <w:p w14:paraId="5D5BD97D">
            <w:pPr>
              <w:pStyle w:val="49"/>
              <w:numPr>
                <w:ilvl w:val="0"/>
                <w:numId w:val="5"/>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应急安排。包含</w:t>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en-US" w:eastAsia="zh-CN"/>
              </w:rPr>
              <w:t>应急机构及培训演练</w:t>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en-US" w:eastAsia="zh-CN"/>
              </w:rPr>
              <w:t>风险辨识及分级响应流程</w:t>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val="en-US" w:eastAsia="zh-CN"/>
              </w:rPr>
              <w:t>处置措施级资源保障（人员、设备等）。</w:t>
            </w:r>
          </w:p>
          <w:p w14:paraId="5E751DA5">
            <w:pPr>
              <w:pStyle w:val="49"/>
              <w:numPr>
                <w:ilvl w:val="0"/>
                <w:numId w:val="5"/>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质量保障措施。包含</w:t>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en-US" w:eastAsia="zh-CN"/>
              </w:rPr>
              <w:t>软件保障措施</w:t>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en-US" w:eastAsia="zh-CN"/>
              </w:rPr>
              <w:t>硬件保障措施。</w:t>
            </w:r>
          </w:p>
          <w:p w14:paraId="5EBD9EF2">
            <w:pPr>
              <w:pStyle w:val="49"/>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color w:val="auto"/>
                <w:sz w:val="24"/>
                <w:szCs w:val="24"/>
                <w:highlight w:val="none"/>
              </w:rPr>
              <w:t>内容完整，能够充分满足项目需求的得</w:t>
            </w:r>
            <w:r>
              <w:rPr>
                <w:rFonts w:hint="eastAsia" w:cs="宋体"/>
                <w:color w:val="auto"/>
                <w:sz w:val="24"/>
                <w:szCs w:val="24"/>
                <w:highlight w:val="none"/>
                <w:lang w:val="en-US" w:eastAsia="zh-CN"/>
              </w:rPr>
              <w:t>15</w:t>
            </w:r>
            <w:r>
              <w:rPr>
                <w:rFonts w:hint="eastAsia" w:ascii="宋体" w:hAnsi="宋体" w:eastAsia="宋体" w:cs="宋体"/>
                <w:color w:val="auto"/>
                <w:sz w:val="24"/>
                <w:szCs w:val="24"/>
                <w:highlight w:val="none"/>
              </w:rPr>
              <w:t>分，每有一项缺项扣</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分，每项内容里每有一处内容不符合项目实际需求或存在缺陷的的扣</w:t>
            </w:r>
            <w:r>
              <w:rPr>
                <w:rFonts w:hint="eastAsia" w:cs="宋体"/>
                <w:color w:val="auto"/>
                <w:sz w:val="24"/>
                <w:szCs w:val="24"/>
                <w:highlight w:val="none"/>
                <w:lang w:val="en-US" w:eastAsia="zh-CN"/>
              </w:rPr>
              <w:t>0.5</w:t>
            </w:r>
            <w:r>
              <w:rPr>
                <w:rFonts w:hint="eastAsia" w:ascii="宋体" w:hAnsi="宋体" w:eastAsia="宋体" w:cs="宋体"/>
                <w:color w:val="auto"/>
                <w:sz w:val="24"/>
                <w:szCs w:val="24"/>
                <w:highlight w:val="none"/>
              </w:rPr>
              <w:t>分，扣完为止。</w:t>
            </w:r>
          </w:p>
          <w:p w14:paraId="2B131EBF">
            <w:pPr>
              <w:pStyle w:val="4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r>
              <w:rPr>
                <w:rFonts w:hint="eastAsia" w:cs="宋体"/>
                <w:b/>
                <w:bCs/>
                <w:color w:val="auto"/>
                <w:sz w:val="24"/>
                <w:szCs w:val="24"/>
                <w:highlight w:val="none"/>
                <w:lang w:eastAsia="zh-CN"/>
              </w:rPr>
              <w:t>：</w:t>
            </w:r>
            <w:r>
              <w:rPr>
                <w:rFonts w:hint="eastAsia" w:ascii="宋体" w:hAnsi="宋体" w:eastAsia="宋体" w:cs="宋体"/>
                <w:color w:val="auto"/>
                <w:sz w:val="24"/>
                <w:szCs w:val="24"/>
                <w:highlight w:val="none"/>
              </w:rPr>
              <w:t>缺陷是指</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存在不适用项目实际情况的情形、凭空编造、内容前后不一致、前后逻辑错误、涉及的规范及标准错误、地点区域错误、内容遗漏</w:t>
            </w:r>
            <w:r>
              <w:rPr>
                <w:rFonts w:hint="eastAsia" w:cs="宋体"/>
                <w:color w:val="auto"/>
                <w:sz w:val="24"/>
                <w:szCs w:val="24"/>
                <w:highlight w:val="none"/>
                <w:lang w:val="en-US" w:eastAsia="zh-CN"/>
              </w:rPr>
              <w:t>或不完整</w:t>
            </w:r>
            <w:r>
              <w:rPr>
                <w:rFonts w:hint="eastAsia" w:ascii="宋体" w:hAnsi="宋体" w:eastAsia="宋体" w:cs="宋体"/>
                <w:color w:val="auto"/>
                <w:sz w:val="24"/>
                <w:szCs w:val="24"/>
                <w:highlight w:val="none"/>
              </w:rPr>
              <w:t>、不符合采购需求等。</w:t>
            </w:r>
          </w:p>
        </w:tc>
      </w:tr>
      <w:tr w14:paraId="61BA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15" w:type="pct"/>
            <w:vAlign w:val="center"/>
          </w:tcPr>
          <w:p w14:paraId="0EB6625C">
            <w:pPr>
              <w:pStyle w:val="49"/>
              <w:jc w:val="center"/>
              <w:rPr>
                <w:rFonts w:hint="eastAsia" w:ascii="宋体" w:hAnsi="宋体" w:eastAsia="宋体" w:cs="宋体"/>
                <w:color w:val="auto"/>
                <w:sz w:val="24"/>
                <w:szCs w:val="24"/>
                <w:highlight w:val="none"/>
              </w:rPr>
            </w:pPr>
          </w:p>
        </w:tc>
        <w:tc>
          <w:tcPr>
            <w:tcW w:w="838" w:type="pct"/>
            <w:vAlign w:val="center"/>
          </w:tcPr>
          <w:p w14:paraId="601CF5F3">
            <w:pPr>
              <w:pStyle w:val="49"/>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服务方案</w:t>
            </w:r>
          </w:p>
        </w:tc>
        <w:tc>
          <w:tcPr>
            <w:tcW w:w="532" w:type="pct"/>
            <w:vAlign w:val="center"/>
          </w:tcPr>
          <w:p w14:paraId="70157F6E">
            <w:pPr>
              <w:pStyle w:val="49"/>
              <w:jc w:val="center"/>
              <w:rPr>
                <w:rFonts w:hint="default" w:cs="宋体"/>
                <w:color w:val="auto"/>
                <w:sz w:val="24"/>
                <w:szCs w:val="24"/>
                <w:highlight w:val="none"/>
                <w:lang w:val="en-US" w:eastAsia="zh-CN"/>
              </w:rPr>
            </w:pPr>
            <w:r>
              <w:rPr>
                <w:rFonts w:hint="eastAsia" w:cs="宋体"/>
                <w:color w:val="auto"/>
                <w:sz w:val="24"/>
                <w:szCs w:val="24"/>
                <w:highlight w:val="none"/>
                <w:lang w:val="en-US" w:eastAsia="zh-CN"/>
              </w:rPr>
              <w:t>10分</w:t>
            </w:r>
          </w:p>
        </w:tc>
        <w:tc>
          <w:tcPr>
            <w:tcW w:w="3213" w:type="pct"/>
            <w:vAlign w:val="center"/>
          </w:tcPr>
          <w:p w14:paraId="098D7745">
            <w:pPr>
              <w:pStyle w:val="49"/>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（1）质保期内服务措施。服务机构设置，保障措施，响应时间及问题处理措施； </w:t>
            </w:r>
          </w:p>
          <w:p w14:paraId="3D79122C">
            <w:pPr>
              <w:pStyle w:val="49"/>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（2）质保期外服务措施。服务人员配备方案，主要服务内容和收费标准，服务承诺；</w:t>
            </w:r>
          </w:p>
          <w:p w14:paraId="273ED05B">
            <w:pPr>
              <w:pStyle w:val="49"/>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（3）巡检和维护措施。巡检人员及周期安排，巡检结果输出文件，维护实施方案； </w:t>
            </w:r>
          </w:p>
          <w:p w14:paraId="5971C7B6">
            <w:pPr>
              <w:pStyle w:val="49"/>
              <w:numPr>
                <w:ilvl w:val="0"/>
                <w:numId w:val="0"/>
              </w:num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（4）信息安全措施；</w:t>
            </w:r>
          </w:p>
          <w:p w14:paraId="2D4139C4">
            <w:pPr>
              <w:pStyle w:val="49"/>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color w:val="auto"/>
                <w:sz w:val="24"/>
                <w:szCs w:val="24"/>
                <w:highlight w:val="none"/>
              </w:rPr>
              <w:t>内容完整，能够充分满足项目需求的得</w:t>
            </w: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rPr>
              <w:t>分，每有一项缺项扣</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分，每项内容里每有一处内容不符合项目实际需求或存在缺陷的的扣</w:t>
            </w:r>
            <w:r>
              <w:rPr>
                <w:rFonts w:hint="eastAsia" w:cs="宋体"/>
                <w:color w:val="auto"/>
                <w:sz w:val="24"/>
                <w:szCs w:val="24"/>
                <w:highlight w:val="none"/>
                <w:lang w:val="en-US" w:eastAsia="zh-CN"/>
              </w:rPr>
              <w:t>0.5</w:t>
            </w:r>
            <w:r>
              <w:rPr>
                <w:rFonts w:hint="eastAsia" w:ascii="宋体" w:hAnsi="宋体" w:eastAsia="宋体" w:cs="宋体"/>
                <w:color w:val="auto"/>
                <w:sz w:val="24"/>
                <w:szCs w:val="24"/>
                <w:highlight w:val="none"/>
              </w:rPr>
              <w:t>分，扣完为止。</w:t>
            </w:r>
          </w:p>
          <w:p w14:paraId="507833A5">
            <w:pPr>
              <w:pStyle w:val="49"/>
              <w:rPr>
                <w:rFonts w:hint="eastAsia" w:cs="宋体"/>
                <w:b/>
                <w:bCs/>
                <w:color w:val="auto"/>
                <w:sz w:val="24"/>
                <w:szCs w:val="24"/>
                <w:highlight w:val="none"/>
                <w:lang w:val="en-US" w:eastAsia="zh-CN"/>
              </w:rPr>
            </w:pPr>
            <w:r>
              <w:rPr>
                <w:rFonts w:hint="eastAsia" w:ascii="宋体" w:hAnsi="宋体" w:eastAsia="宋体" w:cs="宋体"/>
                <w:b/>
                <w:bCs/>
                <w:color w:val="auto"/>
                <w:sz w:val="24"/>
                <w:szCs w:val="24"/>
                <w:highlight w:val="none"/>
              </w:rPr>
              <w:t>注</w:t>
            </w:r>
            <w:r>
              <w:rPr>
                <w:rFonts w:hint="eastAsia" w:cs="宋体"/>
                <w:b/>
                <w:bCs/>
                <w:color w:val="auto"/>
                <w:sz w:val="24"/>
                <w:szCs w:val="24"/>
                <w:highlight w:val="none"/>
                <w:lang w:eastAsia="zh-CN"/>
              </w:rPr>
              <w:t>：</w:t>
            </w:r>
            <w:r>
              <w:rPr>
                <w:rFonts w:hint="eastAsia" w:ascii="宋体" w:hAnsi="宋体" w:eastAsia="宋体" w:cs="宋体"/>
                <w:color w:val="auto"/>
                <w:sz w:val="24"/>
                <w:szCs w:val="24"/>
                <w:highlight w:val="none"/>
              </w:rPr>
              <w:t>缺陷是指</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存在不适用项目实际情况的情形、凭空编造、内容前后不一致、前后逻辑错误、涉及的规范及标准错误、地点区域错误、内容遗漏</w:t>
            </w:r>
            <w:r>
              <w:rPr>
                <w:rFonts w:hint="eastAsia" w:cs="宋体"/>
                <w:color w:val="auto"/>
                <w:sz w:val="24"/>
                <w:szCs w:val="24"/>
                <w:highlight w:val="none"/>
                <w:lang w:val="en-US" w:eastAsia="zh-CN"/>
              </w:rPr>
              <w:t>或不完整</w:t>
            </w:r>
            <w:r>
              <w:rPr>
                <w:rFonts w:hint="eastAsia" w:ascii="宋体" w:hAnsi="宋体" w:eastAsia="宋体" w:cs="宋体"/>
                <w:color w:val="auto"/>
                <w:sz w:val="24"/>
                <w:szCs w:val="24"/>
                <w:highlight w:val="none"/>
              </w:rPr>
              <w:t>、不符合采购需求等。</w:t>
            </w:r>
          </w:p>
        </w:tc>
      </w:tr>
      <w:tr w14:paraId="1078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254" w:type="pct"/>
            <w:gridSpan w:val="2"/>
            <w:vAlign w:val="center"/>
          </w:tcPr>
          <w:p w14:paraId="1F1436FF">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532" w:type="pct"/>
            <w:tcBorders>
              <w:bottom w:val="single" w:color="auto" w:sz="4" w:space="0"/>
            </w:tcBorders>
            <w:vAlign w:val="center"/>
          </w:tcPr>
          <w:p w14:paraId="2C7F1184">
            <w:pPr>
              <w:pStyle w:val="49"/>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=SUM(ABOVE)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分</w:t>
            </w:r>
          </w:p>
        </w:tc>
        <w:tc>
          <w:tcPr>
            <w:tcW w:w="3213" w:type="pct"/>
            <w:tcBorders>
              <w:bottom w:val="single" w:color="auto" w:sz="4" w:space="0"/>
            </w:tcBorders>
            <w:vAlign w:val="center"/>
          </w:tcPr>
          <w:p w14:paraId="7EBD69F8">
            <w:pPr>
              <w:pStyle w:val="49"/>
              <w:rPr>
                <w:rFonts w:hint="eastAsia" w:ascii="宋体" w:hAnsi="宋体" w:eastAsia="宋体" w:cs="宋体"/>
                <w:color w:val="auto"/>
                <w:sz w:val="24"/>
                <w:szCs w:val="24"/>
                <w:highlight w:val="none"/>
              </w:rPr>
            </w:pPr>
          </w:p>
        </w:tc>
      </w:tr>
    </w:tbl>
    <w:p w14:paraId="0DEE66CB">
      <w:pPr>
        <w:pStyle w:val="37"/>
        <w:rPr>
          <w:rFonts w:hint="eastAsia"/>
          <w:color w:val="auto"/>
          <w:highlight w:val="none"/>
        </w:rPr>
      </w:pPr>
    </w:p>
    <w:p w14:paraId="3F00E0F5">
      <w:pPr>
        <w:pStyle w:val="37"/>
        <w:rPr>
          <w:rFonts w:hint="eastAsia"/>
          <w:color w:val="auto"/>
          <w:highlight w:val="none"/>
        </w:rPr>
      </w:pPr>
    </w:p>
    <w:p w14:paraId="45AB52AB">
      <w:pPr>
        <w:pStyle w:val="37"/>
        <w:rPr>
          <w:rFonts w:hint="eastAsia"/>
          <w:color w:val="auto"/>
          <w:highlight w:val="none"/>
        </w:rPr>
      </w:pPr>
    </w:p>
    <w:p w14:paraId="1F09558C">
      <w:pPr>
        <w:pStyle w:val="37"/>
        <w:rPr>
          <w:rFonts w:hint="eastAsia"/>
          <w:color w:val="auto"/>
          <w:highlight w:val="none"/>
        </w:rPr>
      </w:pPr>
    </w:p>
    <w:p w14:paraId="0158E98A">
      <w:pPr>
        <w:pStyle w:val="37"/>
        <w:rPr>
          <w:rFonts w:hint="eastAsia"/>
          <w:color w:val="auto"/>
          <w:highlight w:val="none"/>
        </w:rPr>
      </w:pPr>
    </w:p>
    <w:p w14:paraId="5EB16705">
      <w:pPr>
        <w:pStyle w:val="37"/>
        <w:rPr>
          <w:rFonts w:hint="eastAsia"/>
          <w:color w:val="auto"/>
          <w:highlight w:val="none"/>
        </w:rPr>
      </w:pPr>
    </w:p>
    <w:p w14:paraId="224DD824">
      <w:pPr>
        <w:pStyle w:val="37"/>
        <w:rPr>
          <w:rFonts w:hint="eastAsia"/>
          <w:color w:val="auto"/>
          <w:highlight w:val="none"/>
        </w:rPr>
      </w:pPr>
    </w:p>
    <w:p w14:paraId="1A5B99E4">
      <w:pPr>
        <w:pStyle w:val="37"/>
        <w:rPr>
          <w:rFonts w:hint="eastAsia"/>
          <w:color w:val="auto"/>
          <w:highlight w:val="none"/>
        </w:rPr>
      </w:pPr>
    </w:p>
    <w:p w14:paraId="54C87150">
      <w:pPr>
        <w:pStyle w:val="3"/>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zh-CN" w:eastAsia="zh-CN" w:bidi="ar-SA"/>
        </w:rPr>
      </w:pPr>
      <w:bookmarkStart w:id="328" w:name="_Toc155185918"/>
      <w:bookmarkStart w:id="329" w:name="_Toc163492912"/>
      <w:bookmarkStart w:id="330" w:name="_Toc5927"/>
      <w:r>
        <w:rPr>
          <w:rFonts w:hint="eastAsia" w:ascii="宋体" w:hAnsi="宋体" w:eastAsia="宋体" w:cs="宋体"/>
          <w:b/>
          <w:bCs/>
          <w:color w:val="auto"/>
          <w:kern w:val="44"/>
          <w:sz w:val="36"/>
          <w:szCs w:val="36"/>
          <w:highlight w:val="none"/>
          <w:lang w:val="zh-CN" w:eastAsia="zh-CN" w:bidi="ar-SA"/>
        </w:rPr>
        <w:t>第六章 合同</w:t>
      </w:r>
      <w:bookmarkEnd w:id="328"/>
      <w:r>
        <w:rPr>
          <w:rFonts w:hint="eastAsia" w:ascii="宋体" w:hAnsi="宋体" w:eastAsia="宋体" w:cs="宋体"/>
          <w:b/>
          <w:bCs/>
          <w:color w:val="auto"/>
          <w:kern w:val="44"/>
          <w:sz w:val="36"/>
          <w:szCs w:val="36"/>
          <w:highlight w:val="none"/>
          <w:lang w:val="zh-CN" w:eastAsia="zh-CN" w:bidi="ar-SA"/>
        </w:rPr>
        <w:t>草案</w:t>
      </w:r>
      <w:bookmarkEnd w:id="329"/>
      <w:bookmarkEnd w:id="330"/>
    </w:p>
    <w:p w14:paraId="290EAE22">
      <w:pPr>
        <w:rPr>
          <w:color w:val="auto"/>
          <w:highlight w:val="none"/>
          <w:lang w:val="zh-CN"/>
        </w:rPr>
      </w:pPr>
    </w:p>
    <w:p w14:paraId="586945FF">
      <w:pPr>
        <w:spacing w:line="480" w:lineRule="auto"/>
        <w:jc w:val="center"/>
        <w:outlineLvl w:val="1"/>
        <w:rPr>
          <w:rFonts w:hint="eastAsia" w:ascii="仿宋" w:hAnsi="仿宋" w:eastAsia="仿宋" w:cs="仿宋"/>
          <w:b/>
          <w:bCs/>
          <w:i w:val="0"/>
          <w:iCs w:val="0"/>
          <w:color w:val="auto"/>
          <w:spacing w:val="-20"/>
          <w:kern w:val="44"/>
          <w:sz w:val="44"/>
          <w:szCs w:val="44"/>
          <w:highlight w:val="none"/>
          <w:lang w:val="en-US" w:eastAsia="zh-CN" w:bidi="ar-SA"/>
        </w:rPr>
      </w:pPr>
      <w:bookmarkStart w:id="331" w:name="_Toc400"/>
      <w:bookmarkStart w:id="332" w:name="_Toc3714"/>
      <w:bookmarkStart w:id="333" w:name="_Toc10309"/>
      <w:r>
        <w:rPr>
          <w:rFonts w:hint="eastAsia" w:ascii="仿宋" w:hAnsi="仿宋" w:eastAsia="仿宋" w:cs="仿宋"/>
          <w:b/>
          <w:bCs/>
          <w:i w:val="0"/>
          <w:iCs w:val="0"/>
          <w:color w:val="auto"/>
          <w:spacing w:val="-20"/>
          <w:kern w:val="44"/>
          <w:sz w:val="44"/>
          <w:szCs w:val="44"/>
          <w:highlight w:val="none"/>
          <w:lang w:val="en-US" w:eastAsia="zh-CN" w:bidi="ar-SA"/>
        </w:rPr>
        <w:t>政府采购合同参考范本</w:t>
      </w:r>
      <w:bookmarkEnd w:id="331"/>
      <w:bookmarkEnd w:id="332"/>
      <w:bookmarkEnd w:id="333"/>
    </w:p>
    <w:p w14:paraId="4E7B43E1">
      <w:pPr>
        <w:spacing w:line="480" w:lineRule="auto"/>
        <w:jc w:val="center"/>
        <w:rPr>
          <w:rFonts w:hint="eastAsia" w:ascii="仿宋" w:hAnsi="仿宋" w:eastAsia="仿宋" w:cs="仿宋"/>
          <w:b/>
          <w:i w:val="0"/>
          <w:iCs w:val="0"/>
          <w:color w:val="auto"/>
          <w:sz w:val="24"/>
          <w:szCs w:val="24"/>
          <w:highlight w:val="none"/>
        </w:rPr>
      </w:pPr>
    </w:p>
    <w:p w14:paraId="64765D52">
      <w:pPr>
        <w:spacing w:line="480" w:lineRule="auto"/>
        <w:jc w:val="center"/>
        <w:rPr>
          <w:rFonts w:hint="eastAsia" w:ascii="仿宋" w:hAnsi="仿宋" w:eastAsia="仿宋" w:cs="仿宋"/>
          <w:b/>
          <w:i w:val="0"/>
          <w:iCs w:val="0"/>
          <w:color w:val="auto"/>
          <w:sz w:val="24"/>
          <w:szCs w:val="24"/>
          <w:highlight w:val="none"/>
        </w:rPr>
      </w:pPr>
    </w:p>
    <w:p w14:paraId="78EA753E">
      <w:pPr>
        <w:spacing w:line="360" w:lineRule="auto"/>
        <w:jc w:val="center"/>
        <w:outlineLvl w:val="1"/>
        <w:rPr>
          <w:rFonts w:hint="eastAsia" w:ascii="仿宋" w:hAnsi="仿宋" w:eastAsia="仿宋" w:cs="仿宋"/>
          <w:b/>
          <w:i w:val="0"/>
          <w:iCs w:val="0"/>
          <w:color w:val="auto"/>
          <w:sz w:val="32"/>
          <w:szCs w:val="32"/>
          <w:highlight w:val="none"/>
        </w:rPr>
      </w:pPr>
      <w:bookmarkStart w:id="334" w:name="_Toc2449"/>
      <w:bookmarkStart w:id="335" w:name="_Toc17774"/>
      <w:bookmarkStart w:id="336" w:name="_Toc22800"/>
      <w:bookmarkStart w:id="337" w:name="_Toc26268"/>
      <w:r>
        <w:rPr>
          <w:rFonts w:hint="eastAsia" w:ascii="仿宋" w:hAnsi="仿宋" w:eastAsia="仿宋" w:cs="仿宋"/>
          <w:b/>
          <w:i w:val="0"/>
          <w:iCs w:val="0"/>
          <w:color w:val="auto"/>
          <w:sz w:val="36"/>
          <w:szCs w:val="36"/>
          <w:highlight w:val="none"/>
        </w:rPr>
        <w:t>第一部分 合同书</w:t>
      </w:r>
      <w:bookmarkEnd w:id="334"/>
      <w:bookmarkEnd w:id="335"/>
      <w:bookmarkEnd w:id="336"/>
      <w:bookmarkEnd w:id="337"/>
    </w:p>
    <w:p w14:paraId="6E9726E4">
      <w:pPr>
        <w:spacing w:line="480" w:lineRule="auto"/>
        <w:jc w:val="center"/>
        <w:rPr>
          <w:rFonts w:hint="eastAsia" w:ascii="仿宋" w:hAnsi="仿宋" w:eastAsia="仿宋" w:cs="仿宋"/>
          <w:b/>
          <w:i w:val="0"/>
          <w:iCs w:val="0"/>
          <w:color w:val="auto"/>
          <w:sz w:val="24"/>
          <w:szCs w:val="24"/>
          <w:highlight w:val="none"/>
        </w:rPr>
      </w:pPr>
    </w:p>
    <w:p w14:paraId="450EAA9B">
      <w:pPr>
        <w:pStyle w:val="14"/>
        <w:rPr>
          <w:rFonts w:hint="eastAsia" w:ascii="仿宋" w:hAnsi="仿宋" w:eastAsia="仿宋" w:cs="仿宋"/>
          <w:i w:val="0"/>
          <w:iCs w:val="0"/>
          <w:color w:val="auto"/>
          <w:highlight w:val="none"/>
        </w:rPr>
      </w:pPr>
    </w:p>
    <w:p w14:paraId="52A0F1EF">
      <w:pPr>
        <w:pStyle w:val="14"/>
        <w:rPr>
          <w:rFonts w:hint="eastAsia" w:ascii="仿宋" w:hAnsi="仿宋" w:eastAsia="仿宋" w:cs="仿宋"/>
          <w:i w:val="0"/>
          <w:iCs w:val="0"/>
          <w:color w:val="auto"/>
          <w:highlight w:val="none"/>
        </w:rPr>
      </w:pPr>
    </w:p>
    <w:p w14:paraId="7F9B0310">
      <w:pPr>
        <w:spacing w:before="120" w:line="480" w:lineRule="auto"/>
        <w:ind w:left="96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项目名称：</w:t>
      </w:r>
      <w:r>
        <w:rPr>
          <w:rFonts w:hint="eastAsia" w:ascii="宋体" w:hAnsi="宋体" w:eastAsia="宋体" w:cs="宋体"/>
          <w:i w:val="0"/>
          <w:iCs w:val="0"/>
          <w:color w:val="auto"/>
          <w:sz w:val="24"/>
          <w:szCs w:val="24"/>
          <w:highlight w:val="none"/>
          <w:u w:val="single"/>
          <w:lang w:val="en-US" w:eastAsia="zh-CN"/>
        </w:rPr>
        <w:t>道路交通安全风险地图系统建设项目</w:t>
      </w:r>
      <w:r>
        <w:rPr>
          <w:rFonts w:hint="eastAsia" w:ascii="宋体" w:hAnsi="宋体" w:eastAsia="宋体" w:cs="宋体"/>
          <w:i w:val="0"/>
          <w:iCs w:val="0"/>
          <w:color w:val="auto"/>
          <w:sz w:val="24"/>
          <w:szCs w:val="24"/>
          <w:highlight w:val="none"/>
        </w:rPr>
        <w:t>（分包项目须填写完整的分包号及分包名称）</w:t>
      </w:r>
    </w:p>
    <w:p w14:paraId="3DA6F395">
      <w:pPr>
        <w:spacing w:before="120" w:line="480" w:lineRule="auto"/>
        <w:ind w:left="96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项目编号</w:t>
      </w:r>
      <w:r>
        <w:rPr>
          <w:rFonts w:hint="eastAsia" w:ascii="宋体" w:hAnsi="宋体" w:eastAsia="宋体" w:cs="宋体"/>
          <w:i w:val="0"/>
          <w:iCs w:val="0"/>
          <w:color w:val="auto"/>
          <w:sz w:val="24"/>
          <w:szCs w:val="24"/>
          <w:highlight w:val="none"/>
          <w:lang w:val="en-US" w:eastAsia="zh-CN"/>
        </w:rPr>
        <w:t>/包号</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14:paraId="35C192BA">
      <w:pPr>
        <w:spacing w:before="120" w:line="480" w:lineRule="auto"/>
        <w:ind w:left="96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甲方（采购人）：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新疆生产建设兵团某单位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14:paraId="5A8D717D">
      <w:pPr>
        <w:spacing w:before="120" w:line="480" w:lineRule="auto"/>
        <w:ind w:left="96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乙方（</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14:paraId="372552E2">
      <w:pPr>
        <w:spacing w:before="120" w:line="480" w:lineRule="auto"/>
        <w:ind w:firstLine="960" w:firstLineChars="40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签订地：</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新疆乌鲁木齐市天山区光明路106号  </w:t>
      </w:r>
      <w:r>
        <w:rPr>
          <w:rFonts w:hint="eastAsia" w:ascii="宋体" w:hAnsi="宋体" w:eastAsia="宋体" w:cs="宋体"/>
          <w:i w:val="0"/>
          <w:iCs w:val="0"/>
          <w:color w:val="auto"/>
          <w:sz w:val="24"/>
          <w:szCs w:val="24"/>
          <w:highlight w:val="none"/>
          <w:u w:val="single"/>
        </w:rPr>
        <w:t xml:space="preserve">    </w:t>
      </w:r>
    </w:p>
    <w:p w14:paraId="2CC9D3B2">
      <w:pPr>
        <w:spacing w:before="120" w:line="480" w:lineRule="auto"/>
        <w:ind w:firstLine="960" w:firstLineChars="4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签订日期：</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日</w:t>
      </w:r>
    </w:p>
    <w:p w14:paraId="3EA9242F">
      <w:pPr>
        <w:widowControl/>
        <w:jc w:val="left"/>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br w:type="page"/>
      </w:r>
    </w:p>
    <w:p w14:paraId="12533894">
      <w:pPr>
        <w:keepNext w:val="0"/>
        <w:keepLines w:val="0"/>
        <w:pageBreakBefore w:val="0"/>
        <w:widowControl w:val="0"/>
        <w:kinsoku/>
        <w:wordWrap/>
        <w:overflowPunct/>
        <w:topLinePunct w:val="0"/>
        <w:autoSpaceDE/>
        <w:autoSpaceDN/>
        <w:bidi w:val="0"/>
        <w:adjustRightInd/>
        <w:snapToGrid/>
        <w:spacing w:line="336" w:lineRule="auto"/>
        <w:ind w:firstLine="437"/>
        <w:textAlignment w:val="auto"/>
        <w:rPr>
          <w:rFonts w:hint="eastAsia" w:ascii="宋体" w:hAnsi="宋体" w:eastAsia="宋体" w:cs="宋体"/>
          <w:i w:val="0"/>
          <w:iCs w:val="0"/>
          <w:color w:val="auto"/>
          <w:sz w:val="24"/>
          <w:szCs w:val="24"/>
          <w:highlight w:val="none"/>
        </w:rPr>
      </w:pPr>
      <w:r>
        <w:rPr>
          <w:rFonts w:hint="eastAsia" w:ascii="仿宋" w:hAnsi="仿宋" w:eastAsia="仿宋" w:cs="仿宋"/>
          <w:i w:val="0"/>
          <w:iCs w:val="0"/>
          <w:color w:val="auto"/>
          <w:sz w:val="24"/>
          <w:highlight w:val="none"/>
          <w:u w:val="single"/>
          <w:lang w:val="en-US" w:eastAsia="zh-CN"/>
        </w:rPr>
        <w:t xml:space="preserve">  </w:t>
      </w:r>
      <w:r>
        <w:rPr>
          <w:rFonts w:hint="eastAsia" w:ascii="宋体" w:hAnsi="宋体" w:eastAsia="宋体" w:cs="宋体"/>
          <w:i w:val="0"/>
          <w:iCs w:val="0"/>
          <w:color w:val="auto"/>
          <w:sz w:val="24"/>
          <w:szCs w:val="24"/>
          <w:highlight w:val="none"/>
          <w:u w:val="single"/>
          <w:lang w:val="en-US" w:eastAsia="zh-CN"/>
        </w:rPr>
        <w:t xml:space="preserve"> 新疆生产建设兵团某单位   </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zh-CN"/>
        </w:rPr>
        <w:t>以下简称：甲方</w:t>
      </w:r>
      <w:r>
        <w:rPr>
          <w:rFonts w:hint="eastAsia" w:ascii="宋体" w:hAnsi="宋体" w:eastAsia="宋体" w:cs="宋体"/>
          <w:i w:val="0"/>
          <w:iCs w:val="0"/>
          <w:color w:val="auto"/>
          <w:sz w:val="24"/>
          <w:szCs w:val="24"/>
          <w:highlight w:val="none"/>
        </w:rPr>
        <w:t>）通过</w:t>
      </w:r>
      <w:r>
        <w:rPr>
          <w:rFonts w:hint="eastAsia" w:ascii="宋体" w:hAnsi="宋体" w:eastAsia="宋体" w:cs="宋体"/>
          <w:i w:val="0"/>
          <w:iCs w:val="0"/>
          <w:color w:val="auto"/>
          <w:sz w:val="24"/>
          <w:szCs w:val="24"/>
          <w:highlight w:val="none"/>
          <w:u w:val="single"/>
          <w:lang w:val="en-US" w:eastAsia="zh-CN"/>
        </w:rPr>
        <w:t xml:space="preserve"> 新疆世纪星工程咨询有限公司 </w:t>
      </w:r>
      <w:r>
        <w:rPr>
          <w:rFonts w:hint="eastAsia" w:ascii="宋体" w:hAnsi="宋体" w:eastAsia="宋体" w:cs="宋体"/>
          <w:i w:val="0"/>
          <w:iCs w:val="0"/>
          <w:color w:val="auto"/>
          <w:sz w:val="24"/>
          <w:szCs w:val="24"/>
          <w:highlight w:val="none"/>
        </w:rPr>
        <w:t>组织的</w:t>
      </w:r>
      <w:r>
        <w:rPr>
          <w:rFonts w:hint="eastAsia" w:ascii="宋体" w:hAnsi="宋体" w:eastAsia="宋体" w:cs="宋体"/>
          <w:i w:val="0"/>
          <w:iCs w:val="0"/>
          <w:color w:val="auto"/>
          <w:sz w:val="24"/>
          <w:szCs w:val="24"/>
          <w:highlight w:val="none"/>
          <w:u w:val="single"/>
          <w:lang w:val="en-US" w:eastAsia="zh-CN"/>
        </w:rPr>
        <w:t>公开招标</w:t>
      </w:r>
      <w:r>
        <w:rPr>
          <w:rFonts w:hint="eastAsia" w:ascii="宋体" w:hAnsi="宋体" w:eastAsia="宋体" w:cs="宋体"/>
          <w:i w:val="0"/>
          <w:iCs w:val="0"/>
          <w:color w:val="auto"/>
          <w:sz w:val="24"/>
          <w:szCs w:val="24"/>
          <w:highlight w:val="none"/>
        </w:rPr>
        <w:t>方式采购活动，经</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评</w:t>
      </w:r>
      <w:r>
        <w:rPr>
          <w:rFonts w:hint="eastAsia" w:ascii="宋体" w:hAnsi="宋体" w:eastAsia="宋体" w:cs="宋体"/>
          <w:i w:val="0"/>
          <w:iCs w:val="0"/>
          <w:color w:val="auto"/>
          <w:sz w:val="24"/>
          <w:szCs w:val="24"/>
          <w:highlight w:val="none"/>
          <w:u w:val="single"/>
          <w:lang w:val="en-US" w:eastAsia="zh-CN"/>
        </w:rPr>
        <w:t xml:space="preserve">审小组  </w:t>
      </w:r>
      <w:r>
        <w:rPr>
          <w:rFonts w:hint="eastAsia" w:ascii="宋体" w:hAnsi="宋体" w:eastAsia="宋体" w:cs="宋体"/>
          <w:i w:val="0"/>
          <w:iCs w:val="0"/>
          <w:color w:val="auto"/>
          <w:sz w:val="24"/>
          <w:szCs w:val="24"/>
          <w:highlight w:val="none"/>
        </w:rPr>
        <w:t>评定，</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zh-CN"/>
        </w:rPr>
        <w:t>以下简称：乙方</w:t>
      </w:r>
      <w:r>
        <w:rPr>
          <w:rFonts w:hint="eastAsia" w:ascii="宋体" w:hAnsi="宋体" w:eastAsia="宋体" w:cs="宋体"/>
          <w:i w:val="0"/>
          <w:iCs w:val="0"/>
          <w:color w:val="auto"/>
          <w:sz w:val="24"/>
          <w:szCs w:val="24"/>
          <w:highlight w:val="none"/>
        </w:rPr>
        <w:t>）为本项目</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rPr>
        <w:t>人，现按照采购文件确定的事项签订本合同。</w:t>
      </w:r>
    </w:p>
    <w:p w14:paraId="18284C5F">
      <w:pPr>
        <w:keepNext w:val="0"/>
        <w:keepLines w:val="0"/>
        <w:pageBreakBefore w:val="0"/>
        <w:widowControl w:val="0"/>
        <w:kinsoku/>
        <w:wordWrap/>
        <w:overflowPunct/>
        <w:topLinePunct w:val="0"/>
        <w:autoSpaceDE/>
        <w:autoSpaceDN/>
        <w:bidi w:val="0"/>
        <w:adjustRightInd/>
        <w:snapToGrid/>
        <w:spacing w:line="336" w:lineRule="auto"/>
        <w:ind w:firstLine="437"/>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6AA80418">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338" w:name="_Toc24059"/>
      <w:bookmarkStart w:id="339" w:name="_Toc9411"/>
      <w:bookmarkStart w:id="340" w:name="_Toc2232"/>
      <w:bookmarkStart w:id="341" w:name="_Toc3029"/>
      <w:bookmarkStart w:id="342" w:name="_Toc8364"/>
      <w:r>
        <w:rPr>
          <w:rFonts w:hint="eastAsia" w:ascii="宋体" w:hAnsi="宋体" w:eastAsia="宋体" w:cs="宋体"/>
          <w:b/>
          <w:bCs/>
          <w:i w:val="0"/>
          <w:iCs w:val="0"/>
          <w:color w:val="auto"/>
          <w:sz w:val="24"/>
          <w:szCs w:val="24"/>
          <w:highlight w:val="none"/>
          <w:lang w:val="zh-CN"/>
        </w:rPr>
        <w:t>1.1 合同组成部分</w:t>
      </w:r>
      <w:bookmarkEnd w:id="338"/>
      <w:bookmarkEnd w:id="339"/>
      <w:bookmarkEnd w:id="340"/>
      <w:bookmarkEnd w:id="341"/>
      <w:bookmarkEnd w:id="342"/>
    </w:p>
    <w:p w14:paraId="2DACB12B">
      <w:pPr>
        <w:keepNext w:val="0"/>
        <w:keepLines w:val="0"/>
        <w:pageBreakBefore w:val="0"/>
        <w:widowControl w:val="0"/>
        <w:kinsoku/>
        <w:wordWrap/>
        <w:overflowPunct/>
        <w:topLinePunct w:val="0"/>
        <w:autoSpaceDE/>
        <w:autoSpaceDN/>
        <w:bidi w:val="0"/>
        <w:adjustRightInd/>
        <w:snapToGrid/>
        <w:spacing w:line="336" w:lineRule="auto"/>
        <w:ind w:firstLine="437"/>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63C49FCF">
      <w:pPr>
        <w:keepNext w:val="0"/>
        <w:keepLines w:val="0"/>
        <w:pageBreakBefore w:val="0"/>
        <w:widowControl w:val="0"/>
        <w:kinsoku/>
        <w:wordWrap/>
        <w:overflowPunct/>
        <w:topLinePunct w:val="0"/>
        <w:autoSpaceDE/>
        <w:autoSpaceDN/>
        <w:bidi w:val="0"/>
        <w:adjustRightInd/>
        <w:snapToGrid/>
        <w:spacing w:line="336" w:lineRule="auto"/>
        <w:ind w:firstLine="437"/>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1.1.1本合同及其补充合同、变更协议；</w:t>
      </w:r>
    </w:p>
    <w:p w14:paraId="6009ACDA">
      <w:pPr>
        <w:keepNext w:val="0"/>
        <w:keepLines w:val="0"/>
        <w:pageBreakBefore w:val="0"/>
        <w:widowControl w:val="0"/>
        <w:kinsoku/>
        <w:wordWrap/>
        <w:overflowPunct/>
        <w:topLinePunct w:val="0"/>
        <w:autoSpaceDE/>
        <w:autoSpaceDN/>
        <w:bidi w:val="0"/>
        <w:adjustRightInd/>
        <w:snapToGrid/>
        <w:spacing w:line="336" w:lineRule="auto"/>
        <w:ind w:firstLine="437"/>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1.1.2</w:t>
      </w:r>
      <w:r>
        <w:rPr>
          <w:rFonts w:hint="eastAsia" w:ascii="宋体" w:hAnsi="宋体" w:eastAsia="宋体" w:cs="宋体"/>
          <w:i w:val="0"/>
          <w:iCs w:val="0"/>
          <w:color w:val="auto"/>
          <w:sz w:val="24"/>
          <w:szCs w:val="24"/>
          <w:highlight w:val="none"/>
          <w:lang w:val="en-US" w:eastAsia="zh-CN"/>
        </w:rPr>
        <w:t>成交</w:t>
      </w:r>
      <w:r>
        <w:rPr>
          <w:rFonts w:hint="eastAsia" w:ascii="宋体" w:hAnsi="宋体" w:eastAsia="宋体" w:cs="宋体"/>
          <w:i w:val="0"/>
          <w:iCs w:val="0"/>
          <w:color w:val="auto"/>
          <w:sz w:val="24"/>
          <w:szCs w:val="24"/>
          <w:highlight w:val="none"/>
          <w:lang w:val="zh-CN"/>
        </w:rPr>
        <w:t>通知书；</w:t>
      </w:r>
    </w:p>
    <w:p w14:paraId="0E1AC3B7">
      <w:pPr>
        <w:keepNext w:val="0"/>
        <w:keepLines w:val="0"/>
        <w:pageBreakBefore w:val="0"/>
        <w:widowControl w:val="0"/>
        <w:kinsoku/>
        <w:wordWrap/>
        <w:overflowPunct/>
        <w:topLinePunct w:val="0"/>
        <w:autoSpaceDE/>
        <w:autoSpaceDN/>
        <w:bidi w:val="0"/>
        <w:adjustRightInd/>
        <w:snapToGrid/>
        <w:spacing w:line="336" w:lineRule="auto"/>
        <w:ind w:firstLine="437"/>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1.1.3</w:t>
      </w:r>
      <w:r>
        <w:rPr>
          <w:rFonts w:hint="eastAsia" w:ascii="宋体" w:hAnsi="宋体" w:eastAsia="宋体" w:cs="宋体"/>
          <w:i w:val="0"/>
          <w:iCs w:val="0"/>
          <w:color w:val="auto"/>
          <w:sz w:val="24"/>
          <w:szCs w:val="24"/>
          <w:highlight w:val="none"/>
          <w:lang w:val="en-US" w:eastAsia="zh-CN"/>
        </w:rPr>
        <w:t>响应</w:t>
      </w:r>
      <w:r>
        <w:rPr>
          <w:rFonts w:hint="eastAsia" w:ascii="宋体" w:hAnsi="宋体" w:eastAsia="宋体" w:cs="宋体"/>
          <w:i w:val="0"/>
          <w:iCs w:val="0"/>
          <w:color w:val="auto"/>
          <w:sz w:val="24"/>
          <w:szCs w:val="24"/>
          <w:highlight w:val="none"/>
          <w:lang w:val="zh-CN"/>
        </w:rPr>
        <w:t>文件（含澄清或者说明文件）；</w:t>
      </w:r>
    </w:p>
    <w:p w14:paraId="03203737">
      <w:pPr>
        <w:keepNext w:val="0"/>
        <w:keepLines w:val="0"/>
        <w:pageBreakBefore w:val="0"/>
        <w:widowControl w:val="0"/>
        <w:kinsoku/>
        <w:wordWrap/>
        <w:overflowPunct/>
        <w:topLinePunct w:val="0"/>
        <w:autoSpaceDE/>
        <w:autoSpaceDN/>
        <w:bidi w:val="0"/>
        <w:adjustRightInd/>
        <w:snapToGrid/>
        <w:spacing w:line="336" w:lineRule="auto"/>
        <w:ind w:firstLine="437"/>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1.1.4</w:t>
      </w:r>
      <w:r>
        <w:rPr>
          <w:rFonts w:hint="eastAsia" w:ascii="宋体" w:hAnsi="宋体" w:eastAsia="宋体" w:cs="宋体"/>
          <w:i w:val="0"/>
          <w:iCs w:val="0"/>
          <w:color w:val="auto"/>
          <w:sz w:val="24"/>
          <w:szCs w:val="24"/>
          <w:highlight w:val="none"/>
          <w:lang w:val="en-US" w:eastAsia="zh-CN"/>
        </w:rPr>
        <w:t>公开招标</w:t>
      </w:r>
      <w:r>
        <w:rPr>
          <w:rFonts w:hint="eastAsia" w:ascii="宋体" w:hAnsi="宋体" w:eastAsia="宋体" w:cs="宋体"/>
          <w:i w:val="0"/>
          <w:iCs w:val="0"/>
          <w:color w:val="auto"/>
          <w:sz w:val="24"/>
          <w:szCs w:val="24"/>
          <w:highlight w:val="none"/>
          <w:lang w:val="zh-CN"/>
        </w:rPr>
        <w:t>文件（含澄清或者修改文件）；</w:t>
      </w:r>
    </w:p>
    <w:p w14:paraId="5446CB91">
      <w:pPr>
        <w:keepNext w:val="0"/>
        <w:keepLines w:val="0"/>
        <w:pageBreakBefore w:val="0"/>
        <w:widowControl w:val="0"/>
        <w:kinsoku/>
        <w:wordWrap/>
        <w:overflowPunct/>
        <w:topLinePunct w:val="0"/>
        <w:autoSpaceDE/>
        <w:autoSpaceDN/>
        <w:bidi w:val="0"/>
        <w:adjustRightInd/>
        <w:snapToGrid/>
        <w:spacing w:line="336" w:lineRule="auto"/>
        <w:ind w:firstLine="437"/>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1.1.5其他相关采购文件。</w:t>
      </w:r>
    </w:p>
    <w:p w14:paraId="228F44CE">
      <w:pPr>
        <w:spacing w:line="360" w:lineRule="auto"/>
        <w:ind w:firstLine="437"/>
        <w:outlineLvl w:val="2"/>
        <w:rPr>
          <w:rFonts w:hint="eastAsia" w:ascii="宋体" w:hAnsi="宋体" w:eastAsia="宋体" w:cs="宋体"/>
          <w:b/>
          <w:bCs/>
          <w:i w:val="0"/>
          <w:iCs w:val="0"/>
          <w:color w:val="auto"/>
          <w:sz w:val="24"/>
          <w:szCs w:val="24"/>
          <w:highlight w:val="none"/>
          <w:lang w:val="en-US" w:eastAsia="zh-CN"/>
        </w:rPr>
      </w:pPr>
      <w:bookmarkStart w:id="343" w:name="_Toc3392"/>
      <w:bookmarkStart w:id="344" w:name="_Toc786"/>
      <w:bookmarkStart w:id="345" w:name="_Toc18585"/>
      <w:bookmarkStart w:id="346" w:name="_Toc22185"/>
      <w:bookmarkStart w:id="347" w:name="_Toc6311"/>
      <w:bookmarkStart w:id="348" w:name="_Toc2918"/>
      <w:bookmarkStart w:id="349" w:name="_Toc6773"/>
      <w:r>
        <w:rPr>
          <w:rFonts w:hint="eastAsia" w:ascii="宋体" w:hAnsi="宋体" w:eastAsia="宋体" w:cs="宋体"/>
          <w:b/>
          <w:bCs/>
          <w:i w:val="0"/>
          <w:iCs w:val="0"/>
          <w:color w:val="auto"/>
          <w:sz w:val="24"/>
          <w:szCs w:val="24"/>
          <w:highlight w:val="none"/>
          <w:lang w:val="zh-CN"/>
        </w:rPr>
        <w:t xml:space="preserve">1.2 </w:t>
      </w:r>
      <w:bookmarkEnd w:id="343"/>
      <w:bookmarkEnd w:id="344"/>
      <w:bookmarkEnd w:id="345"/>
      <w:bookmarkEnd w:id="346"/>
      <w:bookmarkEnd w:id="347"/>
      <w:bookmarkEnd w:id="348"/>
      <w:bookmarkEnd w:id="349"/>
      <w:r>
        <w:rPr>
          <w:rFonts w:hint="eastAsia" w:ascii="宋体" w:hAnsi="宋体" w:eastAsia="宋体" w:cs="宋体"/>
          <w:b/>
          <w:bCs/>
          <w:i w:val="0"/>
          <w:iCs w:val="0"/>
          <w:color w:val="auto"/>
          <w:sz w:val="24"/>
          <w:szCs w:val="24"/>
          <w:highlight w:val="none"/>
          <w:lang w:val="en-US" w:eastAsia="zh-CN"/>
        </w:rPr>
        <w:t>采购项目</w:t>
      </w:r>
    </w:p>
    <w:p w14:paraId="0FDE318B">
      <w:pPr>
        <w:spacing w:line="360" w:lineRule="auto"/>
        <w:ind w:firstLine="435"/>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1.2.1名称：</w:t>
      </w:r>
      <w:r>
        <w:rPr>
          <w:rFonts w:hint="eastAsia" w:ascii="宋体" w:hAnsi="宋体" w:eastAsia="宋体" w:cs="宋体"/>
          <w:i w:val="0"/>
          <w:iCs w:val="0"/>
          <w:color w:val="auto"/>
          <w:sz w:val="24"/>
          <w:szCs w:val="24"/>
          <w:highlight w:val="none"/>
          <w:u w:val="single"/>
        </w:rPr>
        <w:t xml:space="preserve"> 道路交通安全风险地图系统建设项目  </w:t>
      </w:r>
      <w:r>
        <w:rPr>
          <w:rFonts w:hint="eastAsia" w:ascii="宋体" w:hAnsi="宋体" w:eastAsia="宋体" w:cs="宋体"/>
          <w:i w:val="0"/>
          <w:iCs w:val="0"/>
          <w:color w:val="auto"/>
          <w:sz w:val="24"/>
          <w:szCs w:val="24"/>
          <w:highlight w:val="none"/>
        </w:rPr>
        <w:t>；</w:t>
      </w:r>
    </w:p>
    <w:p w14:paraId="32B111A5">
      <w:pPr>
        <w:spacing w:line="360" w:lineRule="auto"/>
        <w:ind w:firstLine="435"/>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1.2.2内容：</w:t>
      </w:r>
      <w:r>
        <w:rPr>
          <w:rFonts w:hint="eastAsia" w:ascii="宋体" w:hAnsi="宋体" w:eastAsia="宋体" w:cs="宋体"/>
          <w:i w:val="0"/>
          <w:iCs w:val="0"/>
          <w:color w:val="auto"/>
          <w:sz w:val="24"/>
          <w:szCs w:val="24"/>
          <w:highlight w:val="none"/>
          <w:u w:val="single"/>
        </w:rPr>
        <w:t xml:space="preserve"> 采购国产服务器1台、定制软件1套。 </w:t>
      </w:r>
      <w:r>
        <w:rPr>
          <w:rFonts w:hint="eastAsia" w:ascii="宋体" w:hAnsi="宋体" w:eastAsia="宋体" w:cs="宋体"/>
          <w:i w:val="0"/>
          <w:iCs w:val="0"/>
          <w:color w:val="auto"/>
          <w:sz w:val="24"/>
          <w:szCs w:val="24"/>
          <w:highlight w:val="none"/>
        </w:rPr>
        <w:t>；</w:t>
      </w:r>
    </w:p>
    <w:p w14:paraId="4D04201A">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350" w:name="_Toc21551"/>
      <w:bookmarkStart w:id="351" w:name="_Toc21631"/>
      <w:bookmarkStart w:id="352" w:name="_Toc23292"/>
      <w:bookmarkStart w:id="353" w:name="_Toc17906"/>
      <w:bookmarkStart w:id="354" w:name="_Toc10679"/>
      <w:r>
        <w:rPr>
          <w:rFonts w:hint="eastAsia" w:ascii="宋体" w:hAnsi="宋体" w:eastAsia="宋体" w:cs="宋体"/>
          <w:b/>
          <w:bCs/>
          <w:i w:val="0"/>
          <w:iCs w:val="0"/>
          <w:color w:val="auto"/>
          <w:sz w:val="24"/>
          <w:szCs w:val="24"/>
          <w:highlight w:val="none"/>
          <w:lang w:val="zh-CN"/>
        </w:rPr>
        <w:t>1.3 价款</w:t>
      </w:r>
      <w:bookmarkEnd w:id="350"/>
      <w:bookmarkEnd w:id="351"/>
      <w:bookmarkEnd w:id="352"/>
      <w:bookmarkEnd w:id="353"/>
      <w:bookmarkEnd w:id="354"/>
    </w:p>
    <w:p w14:paraId="56190305">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本合同总价为：￥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元（大写：人民币</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元）。</w:t>
      </w:r>
    </w:p>
    <w:p w14:paraId="1AFE8155">
      <w:pPr>
        <w:spacing w:line="360" w:lineRule="auto"/>
        <w:ind w:firstLine="435"/>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分项价格：</w:t>
      </w:r>
    </w:p>
    <w:tbl>
      <w:tblPr>
        <w:tblStyle w:val="30"/>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3000"/>
      </w:tblGrid>
      <w:tr w14:paraId="0AD0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7" w:type="dxa"/>
            <w:vAlign w:val="center"/>
          </w:tcPr>
          <w:p w14:paraId="7EFCFC9E">
            <w:pPr>
              <w:jc w:val="center"/>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序号</w:t>
            </w:r>
          </w:p>
        </w:tc>
        <w:tc>
          <w:tcPr>
            <w:tcW w:w="4316" w:type="dxa"/>
            <w:vAlign w:val="center"/>
          </w:tcPr>
          <w:p w14:paraId="2A86A533">
            <w:pPr>
              <w:ind w:firstLine="20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分项名称</w:t>
            </w:r>
          </w:p>
        </w:tc>
        <w:tc>
          <w:tcPr>
            <w:tcW w:w="3000" w:type="dxa"/>
            <w:vAlign w:val="center"/>
          </w:tcPr>
          <w:p w14:paraId="67863864">
            <w:pPr>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分项价格</w:t>
            </w:r>
          </w:p>
        </w:tc>
      </w:tr>
      <w:tr w14:paraId="05D6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57" w:type="dxa"/>
          </w:tcPr>
          <w:p w14:paraId="487B8CF0">
            <w:pPr>
              <w:jc w:val="center"/>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1</w:t>
            </w:r>
          </w:p>
        </w:tc>
        <w:tc>
          <w:tcPr>
            <w:tcW w:w="4316" w:type="dxa"/>
            <w:vAlign w:val="center"/>
          </w:tcPr>
          <w:p w14:paraId="2209DC0A">
            <w:pPr>
              <w:ind w:firstLine="200"/>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服务器</w:t>
            </w:r>
          </w:p>
        </w:tc>
        <w:tc>
          <w:tcPr>
            <w:tcW w:w="3000" w:type="dxa"/>
            <w:vAlign w:val="center"/>
          </w:tcPr>
          <w:p w14:paraId="6BA9507A">
            <w:pPr>
              <w:ind w:firstLine="200"/>
              <w:jc w:val="center"/>
              <w:rPr>
                <w:rFonts w:hint="eastAsia" w:ascii="宋体" w:hAnsi="宋体" w:eastAsia="宋体" w:cs="宋体"/>
                <w:i w:val="0"/>
                <w:iCs w:val="0"/>
                <w:color w:val="auto"/>
                <w:sz w:val="24"/>
                <w:szCs w:val="24"/>
                <w:highlight w:val="none"/>
              </w:rPr>
            </w:pPr>
          </w:p>
        </w:tc>
      </w:tr>
      <w:tr w14:paraId="54EE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7" w:type="dxa"/>
          </w:tcPr>
          <w:p w14:paraId="69A13DD6">
            <w:pPr>
              <w:jc w:val="center"/>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2</w:t>
            </w:r>
          </w:p>
        </w:tc>
        <w:tc>
          <w:tcPr>
            <w:tcW w:w="4316" w:type="dxa"/>
            <w:vAlign w:val="center"/>
          </w:tcPr>
          <w:p w14:paraId="042A0561">
            <w:pPr>
              <w:ind w:firstLine="200"/>
              <w:jc w:val="center"/>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定制软件</w:t>
            </w:r>
          </w:p>
        </w:tc>
        <w:tc>
          <w:tcPr>
            <w:tcW w:w="3000" w:type="dxa"/>
            <w:vAlign w:val="center"/>
          </w:tcPr>
          <w:p w14:paraId="3FE04458">
            <w:pPr>
              <w:ind w:firstLine="200"/>
              <w:jc w:val="center"/>
              <w:rPr>
                <w:rFonts w:hint="eastAsia" w:ascii="宋体" w:hAnsi="宋体" w:eastAsia="宋体" w:cs="宋体"/>
                <w:i w:val="0"/>
                <w:iCs w:val="0"/>
                <w:color w:val="auto"/>
                <w:sz w:val="24"/>
                <w:szCs w:val="24"/>
                <w:highlight w:val="none"/>
              </w:rPr>
            </w:pPr>
          </w:p>
        </w:tc>
      </w:tr>
      <w:tr w14:paraId="34DAD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73" w:type="dxa"/>
            <w:gridSpan w:val="2"/>
            <w:vAlign w:val="center"/>
          </w:tcPr>
          <w:p w14:paraId="0128D140">
            <w:pPr>
              <w:ind w:firstLine="20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总价</w:t>
            </w:r>
          </w:p>
        </w:tc>
        <w:tc>
          <w:tcPr>
            <w:tcW w:w="3000" w:type="dxa"/>
            <w:vAlign w:val="center"/>
          </w:tcPr>
          <w:p w14:paraId="51824B9B">
            <w:pPr>
              <w:ind w:firstLine="200"/>
              <w:jc w:val="center"/>
              <w:rPr>
                <w:rFonts w:hint="eastAsia" w:ascii="宋体" w:hAnsi="宋体" w:eastAsia="宋体" w:cs="宋体"/>
                <w:i w:val="0"/>
                <w:iCs w:val="0"/>
                <w:color w:val="auto"/>
                <w:sz w:val="24"/>
                <w:szCs w:val="24"/>
                <w:highlight w:val="none"/>
              </w:rPr>
            </w:pPr>
          </w:p>
        </w:tc>
      </w:tr>
    </w:tbl>
    <w:p w14:paraId="2915B022">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355" w:name="_Toc10340"/>
      <w:bookmarkStart w:id="356" w:name="_Toc26749"/>
      <w:bookmarkStart w:id="357" w:name="_Toc22618"/>
      <w:bookmarkStart w:id="358" w:name="_Toc11209"/>
      <w:bookmarkStart w:id="359" w:name="_Toc1814"/>
      <w:r>
        <w:rPr>
          <w:rFonts w:hint="eastAsia" w:ascii="宋体" w:hAnsi="宋体" w:eastAsia="宋体" w:cs="宋体"/>
          <w:b/>
          <w:bCs/>
          <w:i w:val="0"/>
          <w:iCs w:val="0"/>
          <w:color w:val="auto"/>
          <w:sz w:val="24"/>
          <w:szCs w:val="24"/>
          <w:highlight w:val="none"/>
          <w:lang w:val="zh-CN"/>
        </w:rPr>
        <w:t>1.4 付款方式和发票开具方式</w:t>
      </w:r>
      <w:bookmarkEnd w:id="355"/>
      <w:bookmarkEnd w:id="356"/>
      <w:bookmarkEnd w:id="357"/>
      <w:bookmarkEnd w:id="358"/>
      <w:bookmarkEnd w:id="359"/>
    </w:p>
    <w:p w14:paraId="5CBEDBE0">
      <w:pPr>
        <w:spacing w:line="360" w:lineRule="auto"/>
        <w:ind w:firstLine="435"/>
        <w:rPr>
          <w:rFonts w:hint="eastAsia" w:ascii="宋体" w:hAnsi="宋体" w:eastAsia="宋体" w:cs="宋体"/>
          <w:i w:val="0"/>
          <w:iCs w:val="0"/>
          <w:color w:val="auto"/>
          <w:sz w:val="24"/>
          <w:szCs w:val="24"/>
          <w:highlight w:val="none"/>
          <w:u w:val="single"/>
          <w:lang w:eastAsia="zh-CN"/>
        </w:rPr>
      </w:pPr>
      <w:r>
        <w:rPr>
          <w:rFonts w:hint="eastAsia" w:ascii="宋体" w:hAnsi="宋体" w:eastAsia="宋体" w:cs="宋体"/>
          <w:i w:val="0"/>
          <w:iCs w:val="0"/>
          <w:color w:val="auto"/>
          <w:sz w:val="24"/>
          <w:szCs w:val="24"/>
          <w:highlight w:val="none"/>
        </w:rPr>
        <w:t>1.4.1付款方式：</w:t>
      </w:r>
      <w:r>
        <w:rPr>
          <w:rFonts w:hint="eastAsia" w:ascii="宋体" w:hAnsi="宋体" w:eastAsia="宋体" w:cs="宋体"/>
          <w:i w:val="0"/>
          <w:iCs w:val="0"/>
          <w:color w:val="auto"/>
          <w:sz w:val="24"/>
          <w:szCs w:val="24"/>
          <w:highlight w:val="none"/>
          <w:u w:val="single"/>
        </w:rPr>
        <w:t>合同签订后30个日历日内，支付合同总价的50%；货到后经采购人验收合格且供应商向采购人提供合同总价的3%的银行保函（有效期为验收合格之日起1年）后，30个日历日内采购人向供应商支付总合同总价50%。银行保函待保修期满后若货物无质量问题的，该银行保函自动失效，供应商可取回该保函原件。</w:t>
      </w:r>
    </w:p>
    <w:p w14:paraId="7A2814F5">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1.4.2发票开具方式：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乙方应在甲方发起支付流程前提供与支付金额相等的项目发票，发票必须符合我国税收法律规定的发票标准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3EE2E9C5">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360" w:name="_Toc32071"/>
      <w:bookmarkStart w:id="361" w:name="_Toc28125"/>
      <w:bookmarkStart w:id="362" w:name="_Toc26833"/>
      <w:bookmarkStart w:id="363" w:name="_Toc2846"/>
      <w:bookmarkStart w:id="364" w:name="_Toc19304"/>
      <w:r>
        <w:rPr>
          <w:rFonts w:hint="eastAsia" w:ascii="宋体" w:hAnsi="宋体" w:eastAsia="宋体" w:cs="宋体"/>
          <w:b/>
          <w:bCs/>
          <w:i w:val="0"/>
          <w:iCs w:val="0"/>
          <w:color w:val="auto"/>
          <w:sz w:val="24"/>
          <w:szCs w:val="24"/>
          <w:highlight w:val="none"/>
          <w:lang w:val="zh-CN"/>
        </w:rPr>
        <w:t>1.5 服务地点和方式</w:t>
      </w:r>
      <w:bookmarkEnd w:id="360"/>
      <w:bookmarkEnd w:id="361"/>
      <w:bookmarkEnd w:id="362"/>
      <w:bookmarkEnd w:id="363"/>
      <w:bookmarkEnd w:id="364"/>
    </w:p>
    <w:p w14:paraId="15F919F7">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1.5.2服务地点：</w:t>
      </w:r>
      <w:r>
        <w:rPr>
          <w:rFonts w:hint="eastAsia" w:ascii="宋体" w:hAnsi="宋体" w:eastAsia="宋体" w:cs="宋体"/>
          <w:i w:val="0"/>
          <w:iCs w:val="0"/>
          <w:color w:val="auto"/>
          <w:sz w:val="24"/>
          <w:szCs w:val="24"/>
          <w:highlight w:val="none"/>
          <w:u w:val="single"/>
          <w:lang w:val="en-US" w:eastAsia="zh-CN"/>
        </w:rPr>
        <w:t xml:space="preserve">     乌鲁木齐市头屯河区五一农场某单位办公区      </w:t>
      </w:r>
      <w:r>
        <w:rPr>
          <w:rFonts w:hint="eastAsia" w:ascii="宋体" w:hAnsi="宋体" w:eastAsia="宋体" w:cs="宋体"/>
          <w:i w:val="0"/>
          <w:iCs w:val="0"/>
          <w:color w:val="auto"/>
          <w:sz w:val="24"/>
          <w:szCs w:val="24"/>
          <w:highlight w:val="none"/>
        </w:rPr>
        <w:t>；</w:t>
      </w:r>
    </w:p>
    <w:p w14:paraId="00FA99ED">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1.5.3服务方式：</w:t>
      </w:r>
      <w:r>
        <w:rPr>
          <w:rFonts w:hint="eastAsia" w:ascii="宋体" w:hAnsi="宋体" w:eastAsia="宋体" w:cs="宋体"/>
          <w:i w:val="0"/>
          <w:iCs w:val="0"/>
          <w:color w:val="auto"/>
          <w:sz w:val="24"/>
          <w:szCs w:val="24"/>
          <w:highlight w:val="none"/>
          <w:u w:val="single"/>
          <w:lang w:val="en-US" w:eastAsia="zh-CN"/>
        </w:rPr>
        <w:t xml:space="preserve">               现场服务、技术支持</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0D909617">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365" w:name="_Toc19554"/>
      <w:bookmarkStart w:id="366" w:name="_Toc24085"/>
      <w:bookmarkStart w:id="367" w:name="_Toc27250"/>
      <w:bookmarkStart w:id="368" w:name="_Toc14399"/>
      <w:bookmarkStart w:id="369" w:name="_Toc21423"/>
      <w:r>
        <w:rPr>
          <w:rFonts w:hint="eastAsia" w:ascii="宋体" w:hAnsi="宋体" w:eastAsia="宋体" w:cs="宋体"/>
          <w:b/>
          <w:bCs/>
          <w:i w:val="0"/>
          <w:iCs w:val="0"/>
          <w:color w:val="auto"/>
          <w:sz w:val="24"/>
          <w:szCs w:val="24"/>
          <w:highlight w:val="none"/>
          <w:lang w:val="zh-CN"/>
        </w:rPr>
        <w:t>1.6 违约责任</w:t>
      </w:r>
      <w:bookmarkEnd w:id="365"/>
      <w:bookmarkEnd w:id="366"/>
      <w:bookmarkEnd w:id="367"/>
      <w:bookmarkEnd w:id="368"/>
      <w:bookmarkEnd w:id="369"/>
    </w:p>
    <w:p w14:paraId="48FB39A1">
      <w:pPr>
        <w:keepNext w:val="0"/>
        <w:keepLines w:val="0"/>
        <w:pageBreakBefore w:val="0"/>
        <w:widowControl w:val="0"/>
        <w:kinsoku/>
        <w:wordWrap/>
        <w:overflowPunct/>
        <w:topLinePunct w:val="0"/>
        <w:autoSpaceDE/>
        <w:autoSpaceDN/>
        <w:bidi w:val="0"/>
        <w:adjustRightInd/>
        <w:snapToGrid/>
        <w:spacing w:line="336" w:lineRule="auto"/>
        <w:ind w:firstLine="435"/>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1</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%计算，最高限额为本合同总价的</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20</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%；迟延履行的违约金计算数额达到前述最高限额之日起，甲方有权在要求乙方支付违约金的同时，书面通知乙方解除本合同；</w:t>
      </w:r>
    </w:p>
    <w:p w14:paraId="655948A3">
      <w:pPr>
        <w:keepNext w:val="0"/>
        <w:keepLines w:val="0"/>
        <w:pageBreakBefore w:val="0"/>
        <w:widowControl w:val="0"/>
        <w:kinsoku/>
        <w:wordWrap/>
        <w:overflowPunct/>
        <w:topLinePunct w:val="0"/>
        <w:autoSpaceDE/>
        <w:autoSpaceDN/>
        <w:bidi w:val="0"/>
        <w:adjustRightInd/>
        <w:snapToGrid/>
        <w:spacing w:line="336" w:lineRule="auto"/>
        <w:ind w:firstLine="435"/>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1.6.2除不可抗力外，如果甲方没有按照本合同约定的付款方式付款，那么乙方可要求甲方支付违约金，违约金按每迟延付款一日的应付而未付款的</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1</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%计算，最高限额为本合同总价的</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20</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%；迟延付款的违约金计算数额达到前述最高限额之日起，乙方有权在要求甲方支付违约金的同时，书面通知甲方解除本合同；</w:t>
      </w:r>
    </w:p>
    <w:p w14:paraId="5D832FD4">
      <w:pPr>
        <w:keepNext w:val="0"/>
        <w:keepLines w:val="0"/>
        <w:pageBreakBefore w:val="0"/>
        <w:widowControl w:val="0"/>
        <w:kinsoku/>
        <w:wordWrap/>
        <w:overflowPunct/>
        <w:topLinePunct w:val="0"/>
        <w:autoSpaceDE/>
        <w:autoSpaceDN/>
        <w:bidi w:val="0"/>
        <w:adjustRightInd/>
        <w:snapToGrid/>
        <w:spacing w:line="336" w:lineRule="auto"/>
        <w:ind w:firstLine="435"/>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9C567CE">
      <w:pPr>
        <w:keepNext w:val="0"/>
        <w:keepLines w:val="0"/>
        <w:pageBreakBefore w:val="0"/>
        <w:widowControl w:val="0"/>
        <w:kinsoku/>
        <w:wordWrap/>
        <w:overflowPunct/>
        <w:topLinePunct w:val="0"/>
        <w:autoSpaceDE/>
        <w:autoSpaceDN/>
        <w:bidi w:val="0"/>
        <w:adjustRightInd/>
        <w:snapToGrid/>
        <w:spacing w:line="336" w:lineRule="auto"/>
        <w:ind w:firstLine="435"/>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0B1CD43">
      <w:pPr>
        <w:keepNext w:val="0"/>
        <w:keepLines w:val="0"/>
        <w:pageBreakBefore w:val="0"/>
        <w:widowControl w:val="0"/>
        <w:kinsoku/>
        <w:wordWrap/>
        <w:overflowPunct/>
        <w:topLinePunct w:val="0"/>
        <w:autoSpaceDE/>
        <w:autoSpaceDN/>
        <w:bidi w:val="0"/>
        <w:adjustRightInd/>
        <w:snapToGrid/>
        <w:spacing w:line="336" w:lineRule="auto"/>
        <w:ind w:firstLine="43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2B36817">
      <w:pPr>
        <w:keepNext w:val="0"/>
        <w:keepLines w:val="0"/>
        <w:pageBreakBefore w:val="0"/>
        <w:widowControl w:val="0"/>
        <w:kinsoku/>
        <w:wordWrap/>
        <w:overflowPunct/>
        <w:topLinePunct w:val="0"/>
        <w:autoSpaceDE/>
        <w:autoSpaceDN/>
        <w:bidi w:val="0"/>
        <w:adjustRightInd/>
        <w:snapToGrid/>
        <w:spacing w:line="336" w:lineRule="auto"/>
        <w:ind w:firstLine="43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66E4B940">
      <w:pPr>
        <w:keepNext w:val="0"/>
        <w:keepLines w:val="0"/>
        <w:pageBreakBefore w:val="0"/>
        <w:widowControl w:val="0"/>
        <w:kinsoku/>
        <w:wordWrap/>
        <w:overflowPunct/>
        <w:topLinePunct w:val="0"/>
        <w:autoSpaceDE/>
        <w:autoSpaceDN/>
        <w:bidi w:val="0"/>
        <w:adjustRightInd/>
        <w:snapToGrid/>
        <w:spacing w:line="336" w:lineRule="auto"/>
        <w:ind w:firstLine="43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1.6.7因甲方未按合同约定支付价款、未按合同约定受领标的物、擅自解除合同</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26F93B2F">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370" w:name="_Toc32730"/>
      <w:bookmarkStart w:id="371" w:name="_Toc15583"/>
      <w:bookmarkStart w:id="372" w:name="_Toc31764"/>
      <w:bookmarkStart w:id="373" w:name="_Toc16021"/>
      <w:bookmarkStart w:id="374" w:name="_Toc28375"/>
      <w:r>
        <w:rPr>
          <w:rFonts w:hint="eastAsia" w:ascii="宋体" w:hAnsi="宋体" w:eastAsia="宋体" w:cs="宋体"/>
          <w:b/>
          <w:bCs/>
          <w:i w:val="0"/>
          <w:iCs w:val="0"/>
          <w:color w:val="auto"/>
          <w:sz w:val="24"/>
          <w:szCs w:val="24"/>
          <w:highlight w:val="none"/>
          <w:lang w:val="zh-CN"/>
        </w:rPr>
        <w:t>1.7 合同争议的解决</w:t>
      </w:r>
      <w:bookmarkEnd w:id="370"/>
      <w:bookmarkEnd w:id="371"/>
      <w:bookmarkEnd w:id="372"/>
      <w:bookmarkEnd w:id="373"/>
      <w:bookmarkEnd w:id="374"/>
    </w:p>
    <w:p w14:paraId="0F915D9F">
      <w:pPr>
        <w:keepNext w:val="0"/>
        <w:keepLines w:val="0"/>
        <w:pageBreakBefore w:val="0"/>
        <w:widowControl w:val="0"/>
        <w:kinsoku/>
        <w:wordWrap/>
        <w:overflowPunct/>
        <w:topLinePunct w:val="0"/>
        <w:autoSpaceDE/>
        <w:autoSpaceDN/>
        <w:bidi w:val="0"/>
        <w:adjustRightInd/>
        <w:snapToGrid/>
        <w:spacing w:line="336" w:lineRule="auto"/>
        <w:ind w:firstLine="43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1.7.2</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种方式解决：</w:t>
      </w:r>
    </w:p>
    <w:p w14:paraId="2DD7D2FE">
      <w:pPr>
        <w:keepNext w:val="0"/>
        <w:keepLines w:val="0"/>
        <w:pageBreakBefore w:val="0"/>
        <w:widowControl w:val="0"/>
        <w:kinsoku/>
        <w:wordWrap/>
        <w:overflowPunct/>
        <w:topLinePunct w:val="0"/>
        <w:autoSpaceDE/>
        <w:autoSpaceDN/>
        <w:bidi w:val="0"/>
        <w:adjustRightInd/>
        <w:snapToGrid/>
        <w:spacing w:line="336" w:lineRule="auto"/>
        <w:ind w:firstLine="43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1.7.1将争议提交</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仲裁委员会依申请仲裁时其现行有效的仲裁规则裁决；</w:t>
      </w:r>
    </w:p>
    <w:p w14:paraId="55336F29">
      <w:pPr>
        <w:keepNext w:val="0"/>
        <w:keepLines w:val="0"/>
        <w:pageBreakBefore w:val="0"/>
        <w:widowControl w:val="0"/>
        <w:kinsoku/>
        <w:wordWrap/>
        <w:overflowPunct/>
        <w:topLinePunct w:val="0"/>
        <w:autoSpaceDE/>
        <w:autoSpaceDN/>
        <w:bidi w:val="0"/>
        <w:adjustRightInd/>
        <w:snapToGrid/>
        <w:spacing w:line="336" w:lineRule="auto"/>
        <w:ind w:firstLine="437"/>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1.7.2向</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乌鲁木齐市中级</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人民法院起诉。</w:t>
      </w:r>
    </w:p>
    <w:p w14:paraId="2613BC26">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375" w:name="_Toc15322"/>
      <w:bookmarkStart w:id="376" w:name="_Toc11173"/>
      <w:bookmarkStart w:id="377" w:name="_Toc7245"/>
      <w:bookmarkStart w:id="378" w:name="_Toc27401"/>
      <w:bookmarkStart w:id="379" w:name="_Toc18193"/>
      <w:r>
        <w:rPr>
          <w:rFonts w:hint="eastAsia" w:ascii="宋体" w:hAnsi="宋体" w:eastAsia="宋体" w:cs="宋体"/>
          <w:b/>
          <w:bCs/>
          <w:i w:val="0"/>
          <w:iCs w:val="0"/>
          <w:color w:val="auto"/>
          <w:sz w:val="24"/>
          <w:szCs w:val="24"/>
          <w:highlight w:val="none"/>
          <w:lang w:val="zh-CN"/>
        </w:rPr>
        <w:t>1.8 合同生效</w:t>
      </w:r>
      <w:bookmarkEnd w:id="375"/>
      <w:bookmarkEnd w:id="376"/>
      <w:bookmarkEnd w:id="377"/>
      <w:bookmarkEnd w:id="378"/>
      <w:bookmarkEnd w:id="379"/>
    </w:p>
    <w:p w14:paraId="4138384E">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本合同自双方当事人盖章时生效。</w:t>
      </w:r>
    </w:p>
    <w:p w14:paraId="2AE61AD7">
      <w:pPr>
        <w:autoSpaceDE w:val="0"/>
        <w:autoSpaceDN w:val="0"/>
        <w:adjustRightInd w:val="0"/>
        <w:spacing w:line="560" w:lineRule="exact"/>
        <w:rPr>
          <w:rFonts w:hint="eastAsia" w:ascii="宋体" w:hAnsi="宋体" w:eastAsia="宋体" w:cs="宋体"/>
          <w:i w:val="0"/>
          <w:iCs w:val="0"/>
          <w:color w:val="auto"/>
          <w:sz w:val="24"/>
          <w:szCs w:val="24"/>
          <w:highlight w:val="none"/>
          <w:lang w:val="zh-CN"/>
        </w:rPr>
      </w:pPr>
    </w:p>
    <w:p w14:paraId="3DA3A45A">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Cs/>
          <w:i w:val="0"/>
          <w:iCs w:val="0"/>
          <w:color w:val="auto"/>
          <w:sz w:val="24"/>
          <w:szCs w:val="24"/>
          <w:highlight w:val="none"/>
          <w:lang w:val="zh-CN"/>
        </w:rPr>
      </w:pPr>
      <w:r>
        <w:rPr>
          <w:rFonts w:hint="eastAsia" w:ascii="宋体" w:hAnsi="宋体" w:eastAsia="宋体" w:cs="宋体"/>
          <w:bCs/>
          <w:i w:val="0"/>
          <w:iCs w:val="0"/>
          <w:color w:val="auto"/>
          <w:sz w:val="24"/>
          <w:szCs w:val="24"/>
          <w:highlight w:val="none"/>
          <w:lang w:val="zh-CN"/>
        </w:rPr>
        <w:t>甲    方：</w:t>
      </w:r>
      <w:r>
        <w:rPr>
          <w:rFonts w:hint="eastAsia" w:ascii="宋体" w:hAnsi="宋体" w:eastAsia="宋体" w:cs="宋体"/>
          <w:bCs/>
          <w:i w:val="0"/>
          <w:iCs w:val="0"/>
          <w:color w:val="auto"/>
          <w:sz w:val="24"/>
          <w:szCs w:val="24"/>
          <w:highlight w:val="none"/>
          <w:u w:val="single"/>
          <w:lang w:val="zh-CN"/>
        </w:rPr>
        <w:t xml:space="preserve">    （单位盖章）     </w:t>
      </w:r>
      <w:r>
        <w:rPr>
          <w:rFonts w:hint="eastAsia" w:ascii="宋体" w:hAnsi="宋体" w:eastAsia="宋体" w:cs="宋体"/>
          <w:bCs/>
          <w:i w:val="0"/>
          <w:iCs w:val="0"/>
          <w:color w:val="auto"/>
          <w:sz w:val="24"/>
          <w:szCs w:val="24"/>
          <w:highlight w:val="none"/>
          <w:lang w:val="zh-CN"/>
        </w:rPr>
        <w:t xml:space="preserve">          乙方：</w:t>
      </w:r>
      <w:r>
        <w:rPr>
          <w:rFonts w:hint="eastAsia" w:ascii="宋体" w:hAnsi="宋体" w:eastAsia="宋体" w:cs="宋体"/>
          <w:bCs/>
          <w:i w:val="0"/>
          <w:iCs w:val="0"/>
          <w:color w:val="auto"/>
          <w:sz w:val="24"/>
          <w:szCs w:val="24"/>
          <w:highlight w:val="none"/>
          <w:u w:val="single"/>
          <w:lang w:val="zh-CN"/>
        </w:rPr>
        <w:t xml:space="preserve">    （单位盖章）     </w:t>
      </w:r>
    </w:p>
    <w:p w14:paraId="0C70E74E">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法定代表人                               法定代表人</w:t>
      </w:r>
    </w:p>
    <w:p w14:paraId="397C01A7">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i w:val="0"/>
          <w:iCs w:val="0"/>
          <w:color w:val="auto"/>
          <w:sz w:val="24"/>
          <w:szCs w:val="24"/>
          <w:highlight w:val="none"/>
          <w:lang w:val="zh-CN"/>
        </w:rPr>
      </w:pPr>
      <w:r>
        <w:rPr>
          <w:rFonts w:hint="eastAsia" w:ascii="宋体" w:hAnsi="宋体" w:eastAsia="宋体" w:cs="宋体"/>
          <w:i w:val="0"/>
          <w:iCs w:val="0"/>
          <w:color w:val="auto"/>
          <w:sz w:val="24"/>
          <w:szCs w:val="24"/>
          <w:highlight w:val="none"/>
          <w:lang w:val="zh-CN"/>
        </w:rPr>
        <w:t>或授权代表（签字）：                      或授权代表（签字）：</w:t>
      </w:r>
    </w:p>
    <w:p w14:paraId="0EC584BD">
      <w:pPr>
        <w:keepNext w:val="0"/>
        <w:keepLines w:val="0"/>
        <w:pageBreakBefore w:val="0"/>
        <w:widowControl/>
        <w:kinsoku/>
        <w:wordWrap/>
        <w:overflowPunct/>
        <w:topLinePunct w:val="0"/>
        <w:bidi w:val="0"/>
        <w:snapToGrid/>
        <w:spacing w:line="500" w:lineRule="exact"/>
        <w:jc w:val="left"/>
        <w:textAlignment w:val="auto"/>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时间：</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年</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月</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日               时间：</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年</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月</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日</w:t>
      </w:r>
    </w:p>
    <w:p w14:paraId="5288AA71">
      <w:pPr>
        <w:keepNext w:val="0"/>
        <w:keepLines w:val="0"/>
        <w:pageBreakBefore w:val="0"/>
        <w:kinsoku/>
        <w:wordWrap/>
        <w:overflowPunct/>
        <w:topLinePunct w:val="0"/>
        <w:bidi w:val="0"/>
        <w:snapToGrid/>
        <w:spacing w:line="5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bookmarkStart w:id="380" w:name="_Hlk110099149"/>
      <w:r>
        <w:rPr>
          <w:rFonts w:hint="eastAsia" w:ascii="宋体" w:hAnsi="宋体" w:eastAsia="宋体" w:cs="宋体"/>
          <w:i w:val="0"/>
          <w:iCs w:val="0"/>
          <w:color w:val="auto"/>
          <w:sz w:val="24"/>
          <w:szCs w:val="24"/>
          <w:highlight w:val="none"/>
        </w:rPr>
        <w:t>乙方账户信息</w:t>
      </w:r>
    </w:p>
    <w:p w14:paraId="6EE96B20">
      <w:pPr>
        <w:keepNext w:val="0"/>
        <w:keepLines w:val="0"/>
        <w:pageBreakBefore w:val="0"/>
        <w:kinsoku/>
        <w:wordWrap/>
        <w:overflowPunct/>
        <w:topLinePunct w:val="0"/>
        <w:bidi w:val="0"/>
        <w:snapToGrid/>
        <w:spacing w:line="5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户名：</w:t>
      </w:r>
      <w:r>
        <w:rPr>
          <w:rFonts w:hint="eastAsia" w:ascii="宋体" w:hAnsi="宋体" w:eastAsia="宋体" w:cs="宋体"/>
          <w:i w:val="0"/>
          <w:iCs w:val="0"/>
          <w:color w:val="auto"/>
          <w:sz w:val="24"/>
          <w:szCs w:val="24"/>
          <w:highlight w:val="none"/>
          <w:u w:val="single"/>
        </w:rPr>
        <w:t xml:space="preserve">            </w:t>
      </w:r>
    </w:p>
    <w:p w14:paraId="2A8D6EE7">
      <w:pPr>
        <w:keepNext w:val="0"/>
        <w:keepLines w:val="0"/>
        <w:pageBreakBefore w:val="0"/>
        <w:kinsoku/>
        <w:wordWrap/>
        <w:overflowPunct/>
        <w:topLinePunct w:val="0"/>
        <w:bidi w:val="0"/>
        <w:snapToGrid/>
        <w:spacing w:line="50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账号：</w:t>
      </w:r>
      <w:r>
        <w:rPr>
          <w:rFonts w:hint="eastAsia" w:ascii="宋体" w:hAnsi="宋体" w:eastAsia="宋体" w:cs="宋体"/>
          <w:i w:val="0"/>
          <w:iCs w:val="0"/>
          <w:color w:val="auto"/>
          <w:sz w:val="24"/>
          <w:szCs w:val="24"/>
          <w:highlight w:val="none"/>
          <w:u w:val="single"/>
        </w:rPr>
        <w:t xml:space="preserve">            </w:t>
      </w:r>
    </w:p>
    <w:p w14:paraId="7360A251">
      <w:pPr>
        <w:keepNext w:val="0"/>
        <w:keepLines w:val="0"/>
        <w:pageBreakBefore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rPr>
        <w:t xml:space="preserve">                                         开户银行：</w:t>
      </w:r>
      <w:r>
        <w:rPr>
          <w:rFonts w:hint="eastAsia" w:ascii="宋体" w:hAnsi="宋体" w:eastAsia="宋体" w:cs="宋体"/>
          <w:i w:val="0"/>
          <w:iCs w:val="0"/>
          <w:color w:val="auto"/>
          <w:sz w:val="24"/>
          <w:szCs w:val="24"/>
          <w:highlight w:val="none"/>
          <w:u w:val="single"/>
        </w:rPr>
        <w:t xml:space="preserve">        </w:t>
      </w:r>
      <w:bookmarkEnd w:id="380"/>
    </w:p>
    <w:p w14:paraId="59C8CB5D">
      <w:pPr>
        <w:rPr>
          <w:color w:val="auto"/>
          <w:highlight w:val="none"/>
          <w:lang w:val="zh-CN"/>
        </w:rPr>
      </w:pPr>
    </w:p>
    <w:p w14:paraId="19932A4E">
      <w:pPr>
        <w:rPr>
          <w:color w:val="auto"/>
          <w:highlight w:val="none"/>
          <w:lang w:val="zh-CN"/>
        </w:rPr>
      </w:pPr>
    </w:p>
    <w:p w14:paraId="427F84D2">
      <w:pPr>
        <w:pStyle w:val="4"/>
        <w:rPr>
          <w:color w:val="auto"/>
          <w:highlight w:val="none"/>
          <w:lang w:val="zh-CN"/>
        </w:rPr>
      </w:pPr>
    </w:p>
    <w:p w14:paraId="04A53194">
      <w:pPr>
        <w:rPr>
          <w:color w:val="auto"/>
          <w:highlight w:val="none"/>
          <w:lang w:val="zh-CN"/>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557A8F2F">
      <w:pPr>
        <w:pStyle w:val="3"/>
        <w:keepNext/>
        <w:keepLines/>
        <w:pageBreakBefore w:val="0"/>
        <w:widowControl w:val="0"/>
        <w:numPr>
          <w:ilvl w:val="0"/>
          <w:numId w:val="0"/>
        </w:numPr>
        <w:kinsoku/>
        <w:wordWrap/>
        <w:overflowPunct/>
        <w:topLinePunct w:val="0"/>
        <w:autoSpaceDE/>
        <w:autoSpaceDN/>
        <w:bidi w:val="0"/>
        <w:adjustRightInd/>
        <w:snapToGrid/>
        <w:spacing w:before="100" w:after="90" w:line="360" w:lineRule="auto"/>
        <w:ind w:left="420" w:leftChars="0" w:hanging="420" w:firstLineChars="0"/>
        <w:textAlignment w:val="auto"/>
        <w:rPr>
          <w:rFonts w:hint="eastAsia" w:ascii="宋体" w:hAnsi="宋体" w:eastAsia="黑体" w:cstheme="minorBidi"/>
          <w:b/>
          <w:bCs/>
          <w:color w:val="auto"/>
          <w:kern w:val="44"/>
          <w:sz w:val="44"/>
          <w:szCs w:val="44"/>
          <w:highlight w:val="none"/>
          <w:lang w:val="en-US" w:eastAsia="zh-CN" w:bidi="ar-SA"/>
        </w:rPr>
      </w:pPr>
      <w:bookmarkStart w:id="381" w:name="_Toc155185919"/>
      <w:bookmarkStart w:id="382" w:name="_Toc163492913"/>
    </w:p>
    <w:p w14:paraId="72D513E7">
      <w:pPr>
        <w:pStyle w:val="3"/>
        <w:keepNext/>
        <w:keepLines/>
        <w:pageBreakBefore w:val="0"/>
        <w:widowControl w:val="0"/>
        <w:numPr>
          <w:ilvl w:val="0"/>
          <w:numId w:val="0"/>
        </w:numPr>
        <w:kinsoku/>
        <w:wordWrap/>
        <w:overflowPunct/>
        <w:topLinePunct w:val="0"/>
        <w:autoSpaceDE/>
        <w:autoSpaceDN/>
        <w:bidi w:val="0"/>
        <w:adjustRightInd/>
        <w:snapToGrid/>
        <w:spacing w:before="100" w:after="90" w:line="360" w:lineRule="auto"/>
        <w:ind w:left="420" w:leftChars="0" w:hanging="420" w:firstLineChars="0"/>
        <w:textAlignment w:val="auto"/>
        <w:rPr>
          <w:rFonts w:hint="eastAsia" w:ascii="宋体" w:hAnsi="宋体" w:eastAsia="黑体" w:cstheme="minorBidi"/>
          <w:b/>
          <w:bCs/>
          <w:color w:val="auto"/>
          <w:kern w:val="44"/>
          <w:sz w:val="44"/>
          <w:szCs w:val="44"/>
          <w:highlight w:val="none"/>
          <w:lang w:val="en-US" w:eastAsia="zh-CN" w:bidi="ar-SA"/>
        </w:rPr>
      </w:pPr>
    </w:p>
    <w:p w14:paraId="5CAF3138">
      <w:pPr>
        <w:pStyle w:val="3"/>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383" w:name="_Toc23159"/>
      <w:r>
        <w:rPr>
          <w:rFonts w:hint="eastAsia" w:ascii="宋体" w:hAnsi="宋体" w:eastAsia="宋体" w:cs="宋体"/>
          <w:b/>
          <w:bCs/>
          <w:color w:val="auto"/>
          <w:kern w:val="44"/>
          <w:sz w:val="36"/>
          <w:szCs w:val="36"/>
          <w:highlight w:val="none"/>
          <w:lang w:val="en-US" w:eastAsia="zh-CN" w:bidi="ar-SA"/>
        </w:rPr>
        <w:t>第七章 投标文件格式</w:t>
      </w:r>
      <w:bookmarkEnd w:id="381"/>
      <w:bookmarkEnd w:id="382"/>
      <w:bookmarkEnd w:id="383"/>
    </w:p>
    <w:p w14:paraId="20B1063D">
      <w:pPr>
        <w:ind w:left="240" w:leftChars="100" w:firstLine="480" w:firstLineChars="200"/>
        <w:rPr>
          <w:rFonts w:cs="仿宋_GB2312"/>
          <w:color w:val="auto"/>
          <w:szCs w:val="24"/>
          <w:highlight w:val="none"/>
        </w:rPr>
      </w:pPr>
    </w:p>
    <w:p w14:paraId="29D44C55">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244DD0F1">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09EDECB5">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75F9B001">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12E1D158">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E6822E5">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2CA045B">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3893E9FD">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95452EF">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0AA66CC1">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369FA17D">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572E3CAE">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5565C3EB">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07DA079A">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E15166A">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3A9983C">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748F8DEC">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F52A8AF">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2FC05CF">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761F2B5A">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599474F0">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5390F1A2">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A93A46C">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3C290983">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155D68F1">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1025489F">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308F138C">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2CDCE37B">
      <w:pPr>
        <w:ind w:firstLine="480" w:firstLineChars="200"/>
        <w:rPr>
          <w:rFonts w:hint="eastAsia" w:cs="仿宋_GB2312"/>
          <w:color w:val="auto"/>
          <w:szCs w:val="24"/>
          <w:highlight w:val="none"/>
          <w:lang w:val="zh-CN"/>
        </w:rPr>
      </w:pPr>
      <w:bookmarkStart w:id="384" w:name="_Toc163492937"/>
    </w:p>
    <w:p w14:paraId="2D9E98AD">
      <w:pPr>
        <w:ind w:firstLine="480" w:firstLineChars="200"/>
        <w:rPr>
          <w:rFonts w:hint="eastAsia" w:cs="仿宋_GB2312"/>
          <w:color w:val="auto"/>
          <w:szCs w:val="24"/>
          <w:highlight w:val="none"/>
          <w:lang w:val="zh-CN"/>
        </w:rPr>
      </w:pPr>
    </w:p>
    <w:p w14:paraId="3D40132F">
      <w:pPr>
        <w:ind w:firstLine="480" w:firstLineChars="200"/>
        <w:rPr>
          <w:rFonts w:hint="eastAsia" w:cs="仿宋_GB2312"/>
          <w:color w:val="auto"/>
          <w:szCs w:val="24"/>
          <w:highlight w:val="none"/>
          <w:lang w:val="zh-CN"/>
        </w:rPr>
      </w:pPr>
    </w:p>
    <w:p w14:paraId="6DC90E3C">
      <w:pPr>
        <w:ind w:firstLine="480" w:firstLineChars="200"/>
        <w:rPr>
          <w:rFonts w:cs="仿宋_GB2312"/>
          <w:color w:val="auto"/>
          <w:szCs w:val="24"/>
          <w:highlight w:val="none"/>
          <w:lang w:val="zh-CN"/>
        </w:rPr>
      </w:pPr>
      <w:r>
        <w:rPr>
          <w:rFonts w:hint="eastAsia" w:cs="仿宋_GB2312"/>
          <w:color w:val="auto"/>
          <w:szCs w:val="24"/>
          <w:highlight w:val="none"/>
          <w:lang w:val="zh-CN"/>
        </w:rPr>
        <w:t>封面：</w:t>
      </w:r>
    </w:p>
    <w:p w14:paraId="202803F7">
      <w:pPr>
        <w:autoSpaceDE w:val="0"/>
        <w:autoSpaceDN w:val="0"/>
        <w:adjustRightInd w:val="0"/>
        <w:rPr>
          <w:color w:val="auto"/>
          <w:sz w:val="21"/>
          <w:szCs w:val="24"/>
          <w:highlight w:val="none"/>
        </w:rPr>
      </w:pPr>
    </w:p>
    <w:p w14:paraId="73B11C8A">
      <w:pPr>
        <w:autoSpaceDE w:val="0"/>
        <w:autoSpaceDN w:val="0"/>
        <w:adjustRightInd w:val="0"/>
        <w:rPr>
          <w:color w:val="auto"/>
          <w:sz w:val="21"/>
          <w:szCs w:val="24"/>
          <w:highlight w:val="none"/>
        </w:rPr>
      </w:pPr>
    </w:p>
    <w:p w14:paraId="36DF3F4E">
      <w:pPr>
        <w:autoSpaceDE w:val="0"/>
        <w:autoSpaceDN w:val="0"/>
        <w:adjustRightInd w:val="0"/>
        <w:jc w:val="center"/>
        <w:rPr>
          <w:color w:val="auto"/>
          <w:sz w:val="21"/>
          <w:szCs w:val="24"/>
          <w:highlight w:val="none"/>
        </w:rPr>
      </w:pPr>
    </w:p>
    <w:p w14:paraId="336E03FA">
      <w:pPr>
        <w:autoSpaceDE w:val="0"/>
        <w:autoSpaceDN w:val="0"/>
        <w:adjustRightInd w:val="0"/>
        <w:jc w:val="center"/>
        <w:rPr>
          <w:b/>
          <w:color w:val="auto"/>
          <w:sz w:val="84"/>
          <w:szCs w:val="84"/>
          <w:highlight w:val="none"/>
        </w:rPr>
      </w:pPr>
      <w:r>
        <w:rPr>
          <w:rFonts w:hint="eastAsia"/>
          <w:b/>
          <w:color w:val="auto"/>
          <w:sz w:val="84"/>
          <w:szCs w:val="84"/>
          <w:highlight w:val="none"/>
        </w:rPr>
        <w:t>投 标 文 件</w:t>
      </w:r>
    </w:p>
    <w:p w14:paraId="0D217A8D">
      <w:pPr>
        <w:autoSpaceDE w:val="0"/>
        <w:autoSpaceDN w:val="0"/>
        <w:adjustRightInd w:val="0"/>
        <w:jc w:val="center"/>
        <w:rPr>
          <w:b/>
          <w:color w:val="auto"/>
          <w:sz w:val="56"/>
          <w:szCs w:val="56"/>
          <w:highlight w:val="none"/>
        </w:rPr>
      </w:pPr>
      <w:r>
        <w:rPr>
          <w:rFonts w:hint="eastAsia"/>
          <w:b/>
          <w:color w:val="auto"/>
          <w:sz w:val="56"/>
          <w:szCs w:val="56"/>
          <w:highlight w:val="none"/>
        </w:rPr>
        <w:t>资格证明文件</w:t>
      </w:r>
    </w:p>
    <w:p w14:paraId="3713B9EF">
      <w:pPr>
        <w:autoSpaceDE w:val="0"/>
        <w:autoSpaceDN w:val="0"/>
        <w:adjustRightInd w:val="0"/>
        <w:rPr>
          <w:b/>
          <w:bCs/>
          <w:color w:val="auto"/>
          <w:sz w:val="22"/>
          <w:highlight w:val="none"/>
        </w:rPr>
      </w:pPr>
    </w:p>
    <w:p w14:paraId="4C95B1E8">
      <w:pPr>
        <w:autoSpaceDE w:val="0"/>
        <w:autoSpaceDN w:val="0"/>
        <w:adjustRightInd w:val="0"/>
        <w:rPr>
          <w:color w:val="auto"/>
          <w:sz w:val="21"/>
          <w:szCs w:val="21"/>
          <w:highlight w:val="none"/>
        </w:rPr>
      </w:pPr>
    </w:p>
    <w:p w14:paraId="4A15B7B6">
      <w:pPr>
        <w:pStyle w:val="4"/>
        <w:rPr>
          <w:color w:val="auto"/>
          <w:highlight w:val="none"/>
        </w:rPr>
      </w:pPr>
    </w:p>
    <w:p w14:paraId="6D2F1984">
      <w:pPr>
        <w:autoSpaceDE w:val="0"/>
        <w:autoSpaceDN w:val="0"/>
        <w:adjustRightInd w:val="0"/>
        <w:rPr>
          <w:color w:val="auto"/>
          <w:sz w:val="21"/>
          <w:szCs w:val="21"/>
          <w:highlight w:val="none"/>
        </w:rPr>
      </w:pPr>
    </w:p>
    <w:p w14:paraId="13936900">
      <w:pPr>
        <w:autoSpaceDE w:val="0"/>
        <w:autoSpaceDN w:val="0"/>
        <w:adjustRightInd w:val="0"/>
        <w:rPr>
          <w:color w:val="auto"/>
          <w:sz w:val="21"/>
          <w:szCs w:val="21"/>
          <w:highlight w:val="none"/>
        </w:rPr>
      </w:pPr>
    </w:p>
    <w:p w14:paraId="7F8AB2C1">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24FB0392">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6B06112D">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4720DE04">
      <w:pPr>
        <w:ind w:left="840" w:firstLine="420"/>
        <w:rPr>
          <w:b/>
          <w:bCs/>
          <w:color w:val="auto"/>
          <w:sz w:val="28"/>
          <w:szCs w:val="28"/>
          <w:highlight w:val="none"/>
        </w:rPr>
      </w:pPr>
    </w:p>
    <w:p w14:paraId="5D0DC607">
      <w:pPr>
        <w:ind w:left="840" w:firstLine="420"/>
        <w:rPr>
          <w:b/>
          <w:bCs/>
          <w:color w:val="auto"/>
          <w:sz w:val="28"/>
          <w:szCs w:val="28"/>
          <w:highlight w:val="none"/>
        </w:rPr>
      </w:pPr>
    </w:p>
    <w:p w14:paraId="306FCCBF">
      <w:pPr>
        <w:ind w:left="840" w:firstLine="420"/>
        <w:rPr>
          <w:b/>
          <w:bCs/>
          <w:color w:val="auto"/>
          <w:sz w:val="28"/>
          <w:szCs w:val="28"/>
          <w:highlight w:val="none"/>
        </w:rPr>
      </w:pPr>
    </w:p>
    <w:p w14:paraId="22CE1A9B">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6447D651">
      <w:pPr>
        <w:rPr>
          <w:color w:val="auto"/>
          <w:highlight w:val="none"/>
          <w:lang w:val="zh-CN"/>
        </w:rPr>
      </w:pPr>
      <w:r>
        <w:rPr>
          <w:color w:val="auto"/>
          <w:highlight w:val="none"/>
          <w:lang w:val="zh-CN"/>
        </w:rPr>
        <w:br w:type="page"/>
      </w:r>
    </w:p>
    <w:p w14:paraId="6DBE2CDA">
      <w:pPr>
        <w:rPr>
          <w:color w:val="auto"/>
          <w:highlight w:val="none"/>
          <w:lang w:val="zh-CN"/>
        </w:rPr>
      </w:pPr>
    </w:p>
    <w:p w14:paraId="215FC2E3">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en-US" w:eastAsia="zh-CN" w:bidi="ar-SA"/>
        </w:rPr>
      </w:pPr>
      <w:bookmarkStart w:id="385" w:name="_Toc9847"/>
      <w:bookmarkStart w:id="386" w:name="_Toc155185927"/>
      <w:bookmarkStart w:id="387" w:name="_Toc163492921"/>
      <w:r>
        <w:rPr>
          <w:rFonts w:hint="eastAsia" w:eastAsia="宋体" w:asciiTheme="majorHAnsi" w:hAnsiTheme="majorHAnsi" w:cstheme="majorBidi"/>
          <w:b/>
          <w:bCs/>
          <w:color w:val="auto"/>
          <w:kern w:val="2"/>
          <w:sz w:val="28"/>
          <w:szCs w:val="28"/>
          <w:highlight w:val="none"/>
          <w:lang w:val="en-US" w:eastAsia="zh-CN" w:bidi="ar-SA"/>
        </w:rPr>
        <w:t>一、满足《中华人民共和国政府采购法》第二十二条规定</w:t>
      </w:r>
      <w:bookmarkEnd w:id="385"/>
    </w:p>
    <w:bookmarkEnd w:id="386"/>
    <w:bookmarkEnd w:id="387"/>
    <w:p w14:paraId="61960CA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kern w:val="2"/>
          <w:sz w:val="24"/>
          <w:szCs w:val="24"/>
          <w:highlight w:val="none"/>
          <w:lang w:val="en-US" w:eastAsia="zh-CN" w:bidi="ar-SA"/>
        </w:rPr>
      </w:pPr>
      <w:bookmarkStart w:id="388" w:name="_Toc163492922"/>
      <w:bookmarkStart w:id="389" w:name="_Toc155185928"/>
      <w:r>
        <w:rPr>
          <w:rFonts w:hint="eastAsia" w:ascii="宋体" w:hAnsi="宋体" w:eastAsia="宋体" w:cs="宋体"/>
          <w:b/>
          <w:bCs/>
          <w:color w:val="auto"/>
          <w:kern w:val="2"/>
          <w:sz w:val="24"/>
          <w:szCs w:val="24"/>
          <w:highlight w:val="none"/>
          <w:lang w:val="en-US" w:eastAsia="zh-CN" w:bidi="ar-SA"/>
        </w:rPr>
        <w:t>（一）法人、其他组织或者自然人的证明文件</w:t>
      </w:r>
    </w:p>
    <w:p w14:paraId="6E9D20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1、投标人</w:t>
      </w:r>
      <w:r>
        <w:rPr>
          <w:rFonts w:hint="eastAsia" w:ascii="宋体" w:hAnsi="宋体" w:eastAsia="宋体" w:cs="宋体"/>
          <w:b w:val="0"/>
          <w:bCs w:val="0"/>
          <w:color w:val="auto"/>
          <w:kern w:val="0"/>
          <w:sz w:val="24"/>
          <w:szCs w:val="24"/>
          <w:highlight w:val="none"/>
          <w:lang w:val="en-US" w:eastAsia="zh-CN"/>
        </w:rPr>
        <w:t>为企业（包括合伙企业）的，应提供有效的“营业执照”；</w:t>
      </w:r>
    </w:p>
    <w:p w14:paraId="420A9C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2、投标人</w:t>
      </w:r>
      <w:r>
        <w:rPr>
          <w:rFonts w:hint="eastAsia" w:ascii="宋体" w:hAnsi="宋体" w:eastAsia="宋体" w:cs="宋体"/>
          <w:b w:val="0"/>
          <w:bCs w:val="0"/>
          <w:color w:val="auto"/>
          <w:kern w:val="0"/>
          <w:sz w:val="24"/>
          <w:szCs w:val="24"/>
          <w:highlight w:val="none"/>
          <w:lang w:val="en-US" w:eastAsia="zh-CN"/>
        </w:rPr>
        <w:t>为事业单位的，应提供有效的“事业单位法人证书”；</w:t>
      </w:r>
    </w:p>
    <w:p w14:paraId="30B265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3、投标人</w:t>
      </w:r>
      <w:r>
        <w:rPr>
          <w:rFonts w:hint="eastAsia" w:ascii="宋体" w:hAnsi="宋体" w:eastAsia="宋体" w:cs="宋体"/>
          <w:b w:val="0"/>
          <w:bCs w:val="0"/>
          <w:color w:val="auto"/>
          <w:kern w:val="0"/>
          <w:sz w:val="24"/>
          <w:szCs w:val="24"/>
          <w:highlight w:val="none"/>
          <w:lang w:val="en-US" w:eastAsia="zh-CN"/>
        </w:rPr>
        <w:t>为非企业机构的，应提供有效的“执业许可证”、“登记证书”等证明文件；</w:t>
      </w:r>
    </w:p>
    <w:p w14:paraId="4FDE64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4、投标人</w:t>
      </w:r>
      <w:r>
        <w:rPr>
          <w:rFonts w:hint="eastAsia" w:ascii="宋体" w:hAnsi="宋体" w:eastAsia="宋体" w:cs="宋体"/>
          <w:b w:val="0"/>
          <w:bCs w:val="0"/>
          <w:color w:val="auto"/>
          <w:kern w:val="0"/>
          <w:sz w:val="24"/>
          <w:szCs w:val="24"/>
          <w:highlight w:val="none"/>
          <w:lang w:val="en-US" w:eastAsia="zh-CN"/>
        </w:rPr>
        <w:t>是个体工商户的，应提供有效的“个体工商户营业执照”；</w:t>
      </w:r>
    </w:p>
    <w:p w14:paraId="1DE16B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5、投标人</w:t>
      </w:r>
      <w:r>
        <w:rPr>
          <w:rFonts w:hint="eastAsia" w:ascii="宋体" w:hAnsi="宋体" w:eastAsia="宋体" w:cs="宋体"/>
          <w:b w:val="0"/>
          <w:bCs w:val="0"/>
          <w:color w:val="auto"/>
          <w:kern w:val="0"/>
          <w:sz w:val="24"/>
          <w:szCs w:val="24"/>
          <w:highlight w:val="none"/>
          <w:lang w:val="en-US" w:eastAsia="zh-CN"/>
        </w:rPr>
        <w:t>是自然人的，应提供有效的自然人身份证明。</w:t>
      </w:r>
    </w:p>
    <w:p w14:paraId="77687B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p>
    <w:p w14:paraId="128F3677">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br w:type="page"/>
      </w:r>
    </w:p>
    <w:bookmarkEnd w:id="388"/>
    <w:bookmarkEnd w:id="389"/>
    <w:p w14:paraId="69A95AD2">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0" w:leftChars="0" w:firstLine="0" w:firstLineChars="0"/>
        <w:textAlignment w:val="auto"/>
        <w:rPr>
          <w:rFonts w:hint="eastAsia" w:eastAsia="宋体" w:cstheme="majorBidi"/>
          <w:b/>
          <w:bCs/>
          <w:color w:val="auto"/>
          <w:kern w:val="2"/>
          <w:sz w:val="24"/>
          <w:szCs w:val="24"/>
          <w:highlight w:val="none"/>
          <w:lang w:val="en-US" w:eastAsia="zh-CN" w:bidi="ar-SA"/>
        </w:rPr>
      </w:pPr>
      <w:bookmarkStart w:id="390" w:name="_Toc16010"/>
      <w:bookmarkStart w:id="391" w:name="_Toc28463"/>
      <w:r>
        <w:rPr>
          <w:rFonts w:hint="eastAsia" w:eastAsia="宋体" w:cstheme="majorBidi"/>
          <w:b/>
          <w:bCs/>
          <w:color w:val="auto"/>
          <w:kern w:val="2"/>
          <w:sz w:val="24"/>
          <w:szCs w:val="24"/>
          <w:highlight w:val="none"/>
          <w:lang w:val="en-US" w:eastAsia="zh-CN" w:bidi="ar-SA"/>
        </w:rPr>
        <w:t>（二）兵团政府采购供应商信用承诺函</w:t>
      </w:r>
      <w:bookmarkEnd w:id="390"/>
      <w:bookmarkEnd w:id="391"/>
    </w:p>
    <w:p w14:paraId="149786FB">
      <w:pPr>
        <w:spacing w:line="56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单位名称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自然人姓名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48FFA3C0">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身份证号码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7DA4A26F">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负责人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2565F5FE">
      <w:pPr>
        <w:spacing w:line="560" w:lineRule="exact"/>
        <w:ind w:firstLine="480" w:firstLineChars="200"/>
        <w:rPr>
          <w:rFonts w:hint="eastAsia" w:ascii="宋体" w:hAnsi="宋体" w:eastAsia="宋体" w:cs="宋体"/>
          <w:color w:val="auto"/>
          <w:kern w:val="0"/>
          <w:sz w:val="24"/>
          <w:szCs w:val="24"/>
          <w:highlight w:val="none"/>
        </w:rPr>
      </w:pPr>
    </w:p>
    <w:p w14:paraId="39CDD6B5">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我单位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自愿参加本次政府采购活动，严格遵守《中华人民共和国政府采购法》及相关法律法规，坚守公开、公平、公正和诚实信用等原则，依法诚信经营，并郑重承诺：    </w:t>
      </w:r>
    </w:p>
    <w:p w14:paraId="15BD2674">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一、我单位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符合《中华人民共和国政府采购法》第二十二条规定：</w:t>
      </w:r>
    </w:p>
    <w:p w14:paraId="3218A359">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一</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具有独立承担民事责任的能力;</w:t>
      </w:r>
    </w:p>
    <w:p w14:paraId="036C60EA">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rPr>
        <w:t>具有良好的商业信誉和健全的财务会计制度;</w:t>
      </w:r>
    </w:p>
    <w:p w14:paraId="32BE9145">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（三）</w:t>
      </w:r>
      <w:r>
        <w:rPr>
          <w:rFonts w:hint="eastAsia" w:ascii="宋体" w:hAnsi="宋体" w:eastAsia="宋体" w:cs="宋体"/>
          <w:color w:val="auto"/>
          <w:kern w:val="0"/>
          <w:sz w:val="24"/>
          <w:szCs w:val="24"/>
          <w:highlight w:val="none"/>
        </w:rPr>
        <w:t>具有履行合同所必需的设备和专业技术能力;</w:t>
      </w:r>
    </w:p>
    <w:p w14:paraId="5C988BD2">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rPr>
        <w:t>有依法缴纳税收和社会保障资金的良好记录;</w:t>
      </w:r>
    </w:p>
    <w:p w14:paraId="64311F89">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（五）</w:t>
      </w:r>
      <w:r>
        <w:rPr>
          <w:rFonts w:hint="eastAsia" w:ascii="宋体" w:hAnsi="宋体" w:eastAsia="宋体" w:cs="宋体"/>
          <w:color w:val="auto"/>
          <w:kern w:val="0"/>
          <w:sz w:val="24"/>
          <w:szCs w:val="24"/>
          <w:highlight w:val="none"/>
        </w:rPr>
        <w:t>参加政府采购活动前三年内，在经营活动中没有重大违法记录;</w:t>
      </w:r>
    </w:p>
    <w:p w14:paraId="09591AFC">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（六）</w:t>
      </w:r>
      <w:r>
        <w:rPr>
          <w:rFonts w:hint="eastAsia" w:ascii="宋体" w:hAnsi="宋体" w:eastAsia="宋体" w:cs="宋体"/>
          <w:color w:val="auto"/>
          <w:kern w:val="0"/>
          <w:sz w:val="24"/>
          <w:szCs w:val="24"/>
          <w:highlight w:val="none"/>
        </w:rPr>
        <w:t>符合法律、行政法规规定的其他条件。</w:t>
      </w:r>
    </w:p>
    <w:p w14:paraId="1BA808C2">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二、我单位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未被列入严重违法失信名单、失信被执行人</w:t>
      </w:r>
      <w:r>
        <w:rPr>
          <w:rFonts w:hint="eastAsia" w:ascii="宋体" w:hAnsi="宋体" w:eastAsia="宋体" w:cs="宋体"/>
          <w:color w:val="auto"/>
          <w:kern w:val="0"/>
          <w:sz w:val="24"/>
          <w:szCs w:val="24"/>
          <w:highlight w:val="none"/>
          <w:lang w:eastAsia="zh-CN"/>
        </w:rPr>
        <w:t>名单</w:t>
      </w:r>
      <w:r>
        <w:rPr>
          <w:rFonts w:hint="eastAsia" w:ascii="宋体" w:hAnsi="宋体" w:eastAsia="宋体" w:cs="宋体"/>
          <w:color w:val="auto"/>
          <w:kern w:val="0"/>
          <w:sz w:val="24"/>
          <w:szCs w:val="24"/>
          <w:highlight w:val="none"/>
        </w:rPr>
        <w:t>、重大税收违法失信主体、政府采购严重违法失信行为记录名</w:t>
      </w:r>
      <w:r>
        <w:rPr>
          <w:rFonts w:hint="eastAsia" w:ascii="宋体" w:hAnsi="宋体" w:eastAsia="宋体" w:cs="宋体"/>
          <w:color w:val="auto"/>
          <w:kern w:val="0"/>
          <w:sz w:val="24"/>
          <w:szCs w:val="24"/>
          <w:highlight w:val="none"/>
          <w:lang w:eastAsia="zh-CN"/>
        </w:rPr>
        <w:t>单</w:t>
      </w:r>
      <w:r>
        <w:rPr>
          <w:rFonts w:hint="eastAsia" w:ascii="宋体" w:hAnsi="宋体" w:eastAsia="宋体" w:cs="宋体"/>
          <w:color w:val="auto"/>
          <w:kern w:val="0"/>
          <w:sz w:val="24"/>
          <w:szCs w:val="24"/>
          <w:highlight w:val="none"/>
        </w:rPr>
        <w:t>。</w:t>
      </w:r>
    </w:p>
    <w:p w14:paraId="70127B20">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三、如果本公司（本人）有幸中标（成交），在合同签订之前，采购单位有权要求本公司（本人）提供资格证明材料原件进行核验。</w:t>
      </w:r>
    </w:p>
    <w:p w14:paraId="32445A77">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四、我单位</w:t>
      </w:r>
      <w:r>
        <w:rPr>
          <w:rFonts w:hint="eastAsia" w:ascii="宋体" w:hAnsi="宋体" w:eastAsia="宋体" w:cs="宋体"/>
          <w:color w:val="auto"/>
          <w:kern w:val="0"/>
          <w:sz w:val="24"/>
          <w:szCs w:val="24"/>
          <w:highlight w:val="none"/>
          <w:lang w:eastAsia="zh-CN"/>
        </w:rPr>
        <w:t>（本人）</w:t>
      </w:r>
      <w:r>
        <w:rPr>
          <w:rFonts w:hint="eastAsia" w:ascii="宋体" w:hAnsi="宋体" w:eastAsia="宋体" w:cs="宋体"/>
          <w:color w:val="auto"/>
          <w:kern w:val="0"/>
          <w:sz w:val="24"/>
          <w:szCs w:val="24"/>
          <w:highlight w:val="none"/>
        </w:rPr>
        <w:t>保证上述承诺事项的真实性。如有弄虚作假或其他违法违规行为，自愿按照规定将违背承诺行为作为失信行为记录到社会信用信息平台，并视同为“提供虚假材料谋取中标、成交”按照《</w:t>
      </w:r>
      <w:r>
        <w:rPr>
          <w:rFonts w:hint="eastAsia"/>
          <w:color w:val="auto"/>
          <w:highlight w:val="none"/>
        </w:rPr>
        <w:t>中华人民共和国政府采购法</w:t>
      </w:r>
      <w:r>
        <w:rPr>
          <w:rFonts w:hint="eastAsia" w:ascii="宋体" w:hAnsi="宋体" w:eastAsia="宋体" w:cs="宋体"/>
          <w:color w:val="auto"/>
          <w:kern w:val="0"/>
          <w:sz w:val="24"/>
          <w:szCs w:val="24"/>
          <w:highlight w:val="none"/>
        </w:rPr>
        <w:t>》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57CE52DB">
      <w:pPr>
        <w:spacing w:line="560" w:lineRule="exact"/>
        <w:rPr>
          <w:rFonts w:hint="eastAsia" w:ascii="宋体" w:hAnsi="宋体" w:eastAsia="宋体" w:cs="宋体"/>
          <w:color w:val="auto"/>
          <w:kern w:val="0"/>
          <w:sz w:val="24"/>
          <w:szCs w:val="24"/>
          <w:highlight w:val="none"/>
        </w:rPr>
      </w:pPr>
    </w:p>
    <w:p w14:paraId="5883D10C">
      <w:pPr>
        <w:spacing w:line="560" w:lineRule="exact"/>
        <w:rPr>
          <w:rFonts w:hint="eastAsia" w:ascii="宋体" w:hAnsi="宋体" w:eastAsia="宋体" w:cs="宋体"/>
          <w:color w:val="auto"/>
          <w:kern w:val="0"/>
          <w:sz w:val="24"/>
          <w:szCs w:val="24"/>
          <w:highlight w:val="none"/>
        </w:rPr>
      </w:pPr>
    </w:p>
    <w:p w14:paraId="02066849">
      <w:pPr>
        <w:spacing w:line="560" w:lineRule="exact"/>
        <w:rPr>
          <w:rFonts w:hint="eastAsia" w:ascii="宋体" w:hAnsi="宋体" w:eastAsia="宋体" w:cs="宋体"/>
          <w:color w:val="auto"/>
          <w:kern w:val="0"/>
          <w:sz w:val="24"/>
          <w:szCs w:val="24"/>
          <w:highlight w:val="none"/>
        </w:rPr>
      </w:pPr>
      <w:r>
        <w:rPr>
          <w:rFonts w:hint="eastAsia" w:cs="宋体"/>
          <w:color w:val="auto"/>
          <w:kern w:val="0"/>
          <w:sz w:val="24"/>
          <w:szCs w:val="24"/>
          <w:highlight w:val="none"/>
          <w:lang w:val="en-US" w:eastAsia="zh-CN"/>
        </w:rPr>
        <w:t>供应商名称</w:t>
      </w:r>
      <w:r>
        <w:rPr>
          <w:rFonts w:hint="eastAsia" w:ascii="宋体" w:hAnsi="宋体" w:eastAsia="宋体" w:cs="宋体"/>
          <w:color w:val="auto"/>
          <w:kern w:val="0"/>
          <w:sz w:val="24"/>
          <w:szCs w:val="24"/>
          <w:highlight w:val="none"/>
          <w:lang w:eastAsia="zh-CN"/>
        </w:rPr>
        <w:t>（</w:t>
      </w:r>
      <w:r>
        <w:rPr>
          <w:rFonts w:hint="eastAsia" w:cs="宋体"/>
          <w:color w:val="auto"/>
          <w:kern w:val="0"/>
          <w:sz w:val="24"/>
          <w:szCs w:val="24"/>
          <w:highlight w:val="none"/>
          <w:lang w:eastAsia="zh-CN"/>
        </w:rPr>
        <w:t>公章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3FCFFDCC">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负责人</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本人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或授权代表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rPr>
        <w:t>：</w:t>
      </w:r>
    </w:p>
    <w:p w14:paraId="510A1256">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14:paraId="1F4E790D">
      <w:pPr>
        <w:widowControl/>
        <w:spacing w:line="560" w:lineRule="exact"/>
        <w:ind w:firstLine="630"/>
        <w:jc w:val="left"/>
        <w:rPr>
          <w:rFonts w:hint="eastAsia" w:ascii="宋体" w:hAnsi="宋体" w:eastAsia="宋体" w:cs="宋体"/>
          <w:color w:val="auto"/>
          <w:kern w:val="0"/>
          <w:sz w:val="24"/>
          <w:szCs w:val="24"/>
          <w:highlight w:val="none"/>
        </w:rPr>
      </w:pPr>
    </w:p>
    <w:p w14:paraId="5F400CB9">
      <w:pPr>
        <w:rPr>
          <w:rFonts w:hint="eastAsia"/>
          <w:color w:val="auto"/>
          <w:szCs w:val="32"/>
          <w:highlight w:val="none"/>
        </w:rPr>
      </w:pPr>
      <w:r>
        <w:rPr>
          <w:rFonts w:ascii="Arial" w:hAnsi="Arial" w:cs="Arial"/>
          <w:color w:val="auto"/>
          <w:szCs w:val="21"/>
          <w:highlight w:val="none"/>
        </w:rPr>
        <w:br w:type="page"/>
      </w:r>
      <w:bookmarkStart w:id="392" w:name="_Hlk101169080"/>
    </w:p>
    <w:bookmarkEnd w:id="392"/>
    <w:p w14:paraId="674386CF">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en-US" w:eastAsia="zh-CN" w:bidi="ar-SA"/>
        </w:rPr>
      </w:pPr>
      <w:bookmarkStart w:id="393" w:name="_Toc163492926"/>
      <w:bookmarkStart w:id="394" w:name="_Toc155185932"/>
      <w:bookmarkStart w:id="395" w:name="_Toc25739"/>
      <w:r>
        <w:rPr>
          <w:rFonts w:hint="eastAsia" w:cstheme="majorBidi"/>
          <w:b/>
          <w:bCs/>
          <w:color w:val="auto"/>
          <w:kern w:val="2"/>
          <w:sz w:val="28"/>
          <w:szCs w:val="28"/>
          <w:highlight w:val="none"/>
          <w:lang w:val="en-US" w:eastAsia="zh-CN" w:bidi="ar-SA"/>
        </w:rPr>
        <w:t>二</w:t>
      </w:r>
      <w:r>
        <w:rPr>
          <w:rFonts w:hint="eastAsia" w:eastAsia="宋体" w:asciiTheme="majorHAnsi" w:hAnsiTheme="majorHAnsi" w:cstheme="majorBidi"/>
          <w:b/>
          <w:bCs/>
          <w:color w:val="auto"/>
          <w:kern w:val="2"/>
          <w:sz w:val="28"/>
          <w:szCs w:val="28"/>
          <w:highlight w:val="none"/>
          <w:lang w:val="en-US" w:eastAsia="zh-CN" w:bidi="ar-SA"/>
        </w:rPr>
        <w:t>、</w:t>
      </w:r>
      <w:bookmarkEnd w:id="393"/>
      <w:bookmarkEnd w:id="394"/>
      <w:r>
        <w:rPr>
          <w:rFonts w:hint="eastAsia" w:eastAsia="宋体" w:asciiTheme="majorHAnsi" w:hAnsiTheme="majorHAnsi" w:cstheme="majorBidi"/>
          <w:b/>
          <w:bCs/>
          <w:color w:val="auto"/>
          <w:kern w:val="2"/>
          <w:sz w:val="28"/>
          <w:szCs w:val="28"/>
          <w:highlight w:val="none"/>
          <w:lang w:val="en-US" w:eastAsia="zh-CN" w:bidi="ar-SA"/>
        </w:rPr>
        <w:t>落实政府采购政策相关证明文件</w:t>
      </w:r>
      <w:bookmarkEnd w:id="384"/>
      <w:bookmarkEnd w:id="395"/>
    </w:p>
    <w:p w14:paraId="41716825">
      <w:pPr>
        <w:pStyle w:val="5"/>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96" w:name="_Toc163492938"/>
      <w:r>
        <w:rPr>
          <w:rFonts w:hint="eastAsia" w:ascii="宋体" w:hAnsi="宋体" w:eastAsia="宋体" w:cs="宋体"/>
          <w:b/>
          <w:bCs/>
          <w:color w:val="auto"/>
          <w:kern w:val="2"/>
          <w:sz w:val="24"/>
          <w:szCs w:val="24"/>
          <w:highlight w:val="none"/>
          <w:lang w:val="en-US" w:eastAsia="zh-CN" w:bidi="ar-SA"/>
        </w:rPr>
        <w:t>（一）节能环保产品清单及证明材料</w:t>
      </w:r>
      <w:r>
        <w:rPr>
          <w:rFonts w:hint="eastAsia" w:ascii="宋体" w:hAnsi="宋体" w:eastAsia="宋体" w:cs="宋体"/>
          <w:b w:val="0"/>
          <w:bCs w:val="0"/>
          <w:color w:val="auto"/>
          <w:kern w:val="2"/>
          <w:sz w:val="24"/>
          <w:szCs w:val="24"/>
          <w:highlight w:val="none"/>
          <w:lang w:val="en-US" w:eastAsia="zh-CN" w:bidi="ar-SA"/>
        </w:rPr>
        <w:t>【如适用】</w:t>
      </w:r>
      <w:bookmarkEnd w:id="396"/>
    </w:p>
    <w:p w14:paraId="641C9B9A">
      <w:pPr>
        <w:spacing w:line="30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/包号</w:t>
      </w:r>
      <w:r>
        <w:rPr>
          <w:rFonts w:hint="eastAsia" w:ascii="宋体" w:hAnsi="宋体" w:eastAsia="宋体" w:cs="宋体"/>
          <w:color w:val="auto"/>
          <w:sz w:val="24"/>
          <w:szCs w:val="24"/>
          <w:highlight w:val="none"/>
        </w:rPr>
        <w:t>：</w:t>
      </w:r>
    </w:p>
    <w:p w14:paraId="47803A74">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节能产品</w:t>
      </w:r>
    </w:p>
    <w:tbl>
      <w:tblPr>
        <w:tblStyle w:val="3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57"/>
        <w:gridCol w:w="1147"/>
        <w:gridCol w:w="972"/>
        <w:gridCol w:w="792"/>
        <w:gridCol w:w="696"/>
        <w:gridCol w:w="648"/>
        <w:gridCol w:w="1128"/>
        <w:gridCol w:w="1224"/>
        <w:gridCol w:w="1582"/>
      </w:tblGrid>
      <w:tr w14:paraId="3291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272F949B">
            <w:pPr>
              <w:pStyle w:val="49"/>
              <w:jc w:val="center"/>
              <w:rPr>
                <w:color w:val="auto"/>
                <w:sz w:val="21"/>
                <w:szCs w:val="21"/>
                <w:highlight w:val="none"/>
              </w:rPr>
            </w:pPr>
            <w:r>
              <w:rPr>
                <w:rFonts w:hint="eastAsia"/>
                <w:color w:val="auto"/>
                <w:sz w:val="21"/>
                <w:szCs w:val="21"/>
                <w:highlight w:val="none"/>
              </w:rPr>
              <w:t>序号</w:t>
            </w:r>
          </w:p>
        </w:tc>
        <w:tc>
          <w:tcPr>
            <w:tcW w:w="1147" w:type="dxa"/>
            <w:tcBorders>
              <w:top w:val="single" w:color="auto" w:sz="4" w:space="0"/>
              <w:left w:val="single" w:color="auto" w:sz="4" w:space="0"/>
              <w:bottom w:val="single" w:color="auto" w:sz="4" w:space="0"/>
              <w:right w:val="single" w:color="auto" w:sz="4" w:space="0"/>
            </w:tcBorders>
            <w:vAlign w:val="center"/>
          </w:tcPr>
          <w:p w14:paraId="40FC7763">
            <w:pPr>
              <w:pStyle w:val="49"/>
              <w:jc w:val="center"/>
              <w:rPr>
                <w:color w:val="auto"/>
                <w:sz w:val="21"/>
                <w:szCs w:val="21"/>
                <w:highlight w:val="none"/>
              </w:rPr>
            </w:pPr>
            <w:r>
              <w:rPr>
                <w:rFonts w:hint="eastAsia"/>
                <w:color w:val="auto"/>
                <w:sz w:val="21"/>
                <w:szCs w:val="21"/>
                <w:highlight w:val="none"/>
              </w:rPr>
              <w:t>设备名称</w:t>
            </w:r>
          </w:p>
        </w:tc>
        <w:tc>
          <w:tcPr>
            <w:tcW w:w="972" w:type="dxa"/>
            <w:tcBorders>
              <w:top w:val="single" w:color="auto" w:sz="4" w:space="0"/>
              <w:left w:val="single" w:color="auto" w:sz="4" w:space="0"/>
              <w:bottom w:val="single" w:color="auto" w:sz="4" w:space="0"/>
              <w:right w:val="single" w:color="auto" w:sz="4" w:space="0"/>
            </w:tcBorders>
            <w:vAlign w:val="center"/>
          </w:tcPr>
          <w:p w14:paraId="3633BCC6">
            <w:pPr>
              <w:pStyle w:val="49"/>
              <w:jc w:val="center"/>
              <w:rPr>
                <w:color w:val="auto"/>
                <w:sz w:val="21"/>
                <w:szCs w:val="21"/>
                <w:highlight w:val="none"/>
              </w:rPr>
            </w:pPr>
            <w:r>
              <w:rPr>
                <w:rFonts w:hint="eastAsia"/>
                <w:color w:val="auto"/>
                <w:sz w:val="21"/>
                <w:szCs w:val="21"/>
                <w:highlight w:val="none"/>
              </w:rPr>
              <w:t>制造商名称</w:t>
            </w:r>
          </w:p>
        </w:tc>
        <w:tc>
          <w:tcPr>
            <w:tcW w:w="792" w:type="dxa"/>
            <w:tcBorders>
              <w:top w:val="single" w:color="auto" w:sz="4" w:space="0"/>
              <w:left w:val="single" w:color="auto" w:sz="4" w:space="0"/>
              <w:bottom w:val="single" w:color="auto" w:sz="4" w:space="0"/>
              <w:right w:val="single" w:color="auto" w:sz="4" w:space="0"/>
            </w:tcBorders>
            <w:vAlign w:val="center"/>
          </w:tcPr>
          <w:p w14:paraId="7E976350">
            <w:pPr>
              <w:pStyle w:val="49"/>
              <w:jc w:val="center"/>
              <w:rPr>
                <w:color w:val="auto"/>
                <w:sz w:val="21"/>
                <w:szCs w:val="21"/>
                <w:highlight w:val="none"/>
              </w:rPr>
            </w:pPr>
            <w:r>
              <w:rPr>
                <w:rFonts w:hint="eastAsia"/>
                <w:color w:val="auto"/>
                <w:sz w:val="21"/>
                <w:szCs w:val="21"/>
                <w:highlight w:val="none"/>
              </w:rPr>
              <w:t>品牌</w:t>
            </w:r>
          </w:p>
        </w:tc>
        <w:tc>
          <w:tcPr>
            <w:tcW w:w="696" w:type="dxa"/>
            <w:tcBorders>
              <w:top w:val="single" w:color="auto" w:sz="4" w:space="0"/>
              <w:left w:val="single" w:color="auto" w:sz="4" w:space="0"/>
              <w:bottom w:val="single" w:color="auto" w:sz="4" w:space="0"/>
              <w:right w:val="single" w:color="auto" w:sz="4" w:space="0"/>
            </w:tcBorders>
            <w:vAlign w:val="center"/>
          </w:tcPr>
          <w:p w14:paraId="17DFEC52">
            <w:pPr>
              <w:pStyle w:val="49"/>
              <w:jc w:val="center"/>
              <w:rPr>
                <w:color w:val="auto"/>
                <w:sz w:val="21"/>
                <w:szCs w:val="21"/>
                <w:highlight w:val="none"/>
              </w:rPr>
            </w:pPr>
            <w:r>
              <w:rPr>
                <w:rFonts w:hint="eastAsia"/>
                <w:color w:val="auto"/>
                <w:sz w:val="21"/>
                <w:szCs w:val="21"/>
                <w:highlight w:val="none"/>
              </w:rPr>
              <w:t>型号</w:t>
            </w:r>
          </w:p>
        </w:tc>
        <w:tc>
          <w:tcPr>
            <w:tcW w:w="648" w:type="dxa"/>
            <w:tcBorders>
              <w:top w:val="single" w:color="auto" w:sz="4" w:space="0"/>
              <w:left w:val="single" w:color="auto" w:sz="4" w:space="0"/>
              <w:bottom w:val="single" w:color="auto" w:sz="4" w:space="0"/>
              <w:right w:val="single" w:color="auto" w:sz="4" w:space="0"/>
            </w:tcBorders>
            <w:vAlign w:val="center"/>
          </w:tcPr>
          <w:p w14:paraId="53A14857">
            <w:pPr>
              <w:pStyle w:val="49"/>
              <w:jc w:val="center"/>
              <w:rPr>
                <w:color w:val="auto"/>
                <w:sz w:val="21"/>
                <w:szCs w:val="21"/>
                <w:highlight w:val="none"/>
              </w:rPr>
            </w:pPr>
            <w:r>
              <w:rPr>
                <w:rFonts w:hint="eastAsia"/>
                <w:color w:val="auto"/>
                <w:sz w:val="21"/>
                <w:szCs w:val="21"/>
                <w:highlight w:val="none"/>
              </w:rPr>
              <w:t>数量</w:t>
            </w:r>
          </w:p>
        </w:tc>
        <w:tc>
          <w:tcPr>
            <w:tcW w:w="1128" w:type="dxa"/>
            <w:tcBorders>
              <w:top w:val="single" w:color="auto" w:sz="4" w:space="0"/>
              <w:left w:val="single" w:color="auto" w:sz="4" w:space="0"/>
              <w:bottom w:val="single" w:color="auto" w:sz="4" w:space="0"/>
              <w:right w:val="single" w:color="auto" w:sz="4" w:space="0"/>
            </w:tcBorders>
            <w:vAlign w:val="center"/>
          </w:tcPr>
          <w:p w14:paraId="3D34C27C">
            <w:pPr>
              <w:pStyle w:val="49"/>
              <w:jc w:val="center"/>
              <w:rPr>
                <w:color w:val="auto"/>
                <w:sz w:val="21"/>
                <w:szCs w:val="21"/>
                <w:highlight w:val="none"/>
              </w:rPr>
            </w:pPr>
            <w:r>
              <w:rPr>
                <w:rFonts w:hint="eastAsia"/>
                <w:color w:val="auto"/>
                <w:sz w:val="21"/>
                <w:szCs w:val="21"/>
                <w:highlight w:val="none"/>
              </w:rPr>
              <w:t>单价</w:t>
            </w:r>
          </w:p>
          <w:p w14:paraId="13DCA98A">
            <w:pPr>
              <w:pStyle w:val="49"/>
              <w:jc w:val="center"/>
              <w:rPr>
                <w:color w:val="auto"/>
                <w:sz w:val="21"/>
                <w:szCs w:val="21"/>
                <w:highlight w:val="none"/>
              </w:rPr>
            </w:pPr>
            <w:r>
              <w:rPr>
                <w:rFonts w:hint="eastAsia"/>
                <w:color w:val="auto"/>
                <w:sz w:val="21"/>
                <w:szCs w:val="21"/>
                <w:highlight w:val="none"/>
              </w:rPr>
              <w:t>（万元）</w:t>
            </w:r>
          </w:p>
        </w:tc>
        <w:tc>
          <w:tcPr>
            <w:tcW w:w="1224" w:type="dxa"/>
            <w:tcBorders>
              <w:top w:val="single" w:color="auto" w:sz="4" w:space="0"/>
              <w:left w:val="single" w:color="auto" w:sz="4" w:space="0"/>
              <w:bottom w:val="single" w:color="auto" w:sz="4" w:space="0"/>
              <w:right w:val="single" w:color="auto" w:sz="4" w:space="0"/>
            </w:tcBorders>
            <w:vAlign w:val="center"/>
          </w:tcPr>
          <w:p w14:paraId="7B58FD30">
            <w:pPr>
              <w:pStyle w:val="49"/>
              <w:jc w:val="center"/>
              <w:rPr>
                <w:color w:val="auto"/>
                <w:sz w:val="21"/>
                <w:szCs w:val="21"/>
                <w:highlight w:val="none"/>
              </w:rPr>
            </w:pPr>
            <w:r>
              <w:rPr>
                <w:rFonts w:hint="eastAsia"/>
                <w:color w:val="auto"/>
                <w:sz w:val="21"/>
                <w:szCs w:val="21"/>
                <w:highlight w:val="none"/>
              </w:rPr>
              <w:t>总价</w:t>
            </w:r>
          </w:p>
          <w:p w14:paraId="2B8D01D4">
            <w:pPr>
              <w:pStyle w:val="49"/>
              <w:jc w:val="center"/>
              <w:rPr>
                <w:color w:val="auto"/>
                <w:sz w:val="21"/>
                <w:szCs w:val="21"/>
                <w:highlight w:val="none"/>
              </w:rPr>
            </w:pPr>
            <w:r>
              <w:rPr>
                <w:rFonts w:hint="eastAsia"/>
                <w:color w:val="auto"/>
                <w:sz w:val="21"/>
                <w:szCs w:val="21"/>
                <w:highlight w:val="none"/>
              </w:rPr>
              <w:t>（万元）</w:t>
            </w:r>
          </w:p>
        </w:tc>
        <w:tc>
          <w:tcPr>
            <w:tcW w:w="1582" w:type="dxa"/>
            <w:tcBorders>
              <w:top w:val="single" w:color="auto" w:sz="4" w:space="0"/>
              <w:left w:val="single" w:color="auto" w:sz="4" w:space="0"/>
              <w:bottom w:val="single" w:color="auto" w:sz="4" w:space="0"/>
              <w:right w:val="single" w:color="auto" w:sz="4" w:space="0"/>
            </w:tcBorders>
            <w:vAlign w:val="center"/>
          </w:tcPr>
          <w:p w14:paraId="04FBA906">
            <w:pPr>
              <w:pStyle w:val="49"/>
              <w:jc w:val="center"/>
              <w:rPr>
                <w:color w:val="auto"/>
                <w:sz w:val="21"/>
                <w:szCs w:val="21"/>
                <w:highlight w:val="none"/>
              </w:rPr>
            </w:pPr>
            <w:r>
              <w:rPr>
                <w:rFonts w:hint="eastAsia"/>
                <w:color w:val="auto"/>
                <w:sz w:val="21"/>
                <w:szCs w:val="21"/>
                <w:highlight w:val="none"/>
              </w:rPr>
              <w:t>属强制采购或优先采购</w:t>
            </w:r>
          </w:p>
        </w:tc>
      </w:tr>
      <w:tr w14:paraId="0B7A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3062F6E4">
            <w:pPr>
              <w:pStyle w:val="49"/>
              <w:numPr>
                <w:ilvl w:val="0"/>
                <w:numId w:val="6"/>
              </w:numPr>
              <w:jc w:val="center"/>
              <w:rPr>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40150CC3">
            <w:pPr>
              <w:pStyle w:val="49"/>
              <w:jc w:val="center"/>
              <w:rPr>
                <w:color w:val="auto"/>
                <w:sz w:val="21"/>
                <w:szCs w:val="21"/>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13B14BA8">
            <w:pPr>
              <w:pStyle w:val="49"/>
              <w:jc w:val="center"/>
              <w:rPr>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608F47C0">
            <w:pPr>
              <w:pStyle w:val="49"/>
              <w:jc w:val="center"/>
              <w:rPr>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24405E13">
            <w:pPr>
              <w:pStyle w:val="49"/>
              <w:jc w:val="center"/>
              <w:rPr>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13F13E44">
            <w:pPr>
              <w:pStyle w:val="49"/>
              <w:jc w:val="center"/>
              <w:rPr>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48B5DB96">
            <w:pPr>
              <w:pStyle w:val="49"/>
              <w:jc w:val="center"/>
              <w:rPr>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6B625590">
            <w:pPr>
              <w:pStyle w:val="49"/>
              <w:jc w:val="center"/>
              <w:rPr>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1E92B067">
            <w:pPr>
              <w:pStyle w:val="49"/>
              <w:jc w:val="center"/>
              <w:rPr>
                <w:color w:val="auto"/>
                <w:sz w:val="21"/>
                <w:szCs w:val="21"/>
                <w:highlight w:val="none"/>
              </w:rPr>
            </w:pPr>
          </w:p>
        </w:tc>
      </w:tr>
      <w:tr w14:paraId="0E72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33194D91">
            <w:pPr>
              <w:pStyle w:val="49"/>
              <w:numPr>
                <w:ilvl w:val="0"/>
                <w:numId w:val="6"/>
              </w:numPr>
              <w:jc w:val="center"/>
              <w:rPr>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19339E9C">
            <w:pPr>
              <w:pStyle w:val="49"/>
              <w:jc w:val="center"/>
              <w:rPr>
                <w:color w:val="auto"/>
                <w:sz w:val="21"/>
                <w:szCs w:val="21"/>
                <w:highlight w:val="none"/>
              </w:rPr>
            </w:pPr>
          </w:p>
        </w:tc>
        <w:tc>
          <w:tcPr>
            <w:tcW w:w="972" w:type="dxa"/>
            <w:tcBorders>
              <w:top w:val="single" w:color="auto" w:sz="4" w:space="0"/>
              <w:left w:val="single" w:color="auto" w:sz="4" w:space="0"/>
              <w:bottom w:val="single" w:color="auto" w:sz="4" w:space="0"/>
              <w:right w:val="single" w:color="auto" w:sz="4" w:space="0"/>
            </w:tcBorders>
            <w:vAlign w:val="center"/>
          </w:tcPr>
          <w:p w14:paraId="6588A5D6">
            <w:pPr>
              <w:pStyle w:val="49"/>
              <w:jc w:val="center"/>
              <w:rPr>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3487ED51">
            <w:pPr>
              <w:pStyle w:val="49"/>
              <w:jc w:val="center"/>
              <w:rPr>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5BED723B">
            <w:pPr>
              <w:pStyle w:val="49"/>
              <w:jc w:val="center"/>
              <w:rPr>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29FD1D1D">
            <w:pPr>
              <w:pStyle w:val="49"/>
              <w:jc w:val="center"/>
              <w:rPr>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07077735">
            <w:pPr>
              <w:pStyle w:val="49"/>
              <w:jc w:val="center"/>
              <w:rPr>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5509E830">
            <w:pPr>
              <w:pStyle w:val="49"/>
              <w:jc w:val="center"/>
              <w:rPr>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23F870C5">
            <w:pPr>
              <w:pStyle w:val="49"/>
              <w:jc w:val="center"/>
              <w:rPr>
                <w:color w:val="auto"/>
                <w:sz w:val="21"/>
                <w:szCs w:val="21"/>
                <w:highlight w:val="none"/>
              </w:rPr>
            </w:pPr>
          </w:p>
        </w:tc>
      </w:tr>
      <w:tr w14:paraId="34C02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2D699565">
            <w:pPr>
              <w:pStyle w:val="49"/>
              <w:numPr>
                <w:ilvl w:val="0"/>
                <w:numId w:val="6"/>
              </w:numPr>
              <w:jc w:val="center"/>
              <w:rPr>
                <w:color w:val="auto"/>
                <w:sz w:val="21"/>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5597DB33">
            <w:pPr>
              <w:pStyle w:val="49"/>
              <w:jc w:val="center"/>
              <w:rPr>
                <w:color w:val="auto"/>
                <w:sz w:val="21"/>
                <w:szCs w:val="21"/>
                <w:highlight w:val="none"/>
              </w:rPr>
            </w:pPr>
            <w:r>
              <w:rPr>
                <w:color w:val="auto"/>
                <w:sz w:val="21"/>
                <w:szCs w:val="21"/>
                <w:highlight w:val="none"/>
              </w:rPr>
              <w:t>……</w:t>
            </w:r>
          </w:p>
        </w:tc>
        <w:tc>
          <w:tcPr>
            <w:tcW w:w="972" w:type="dxa"/>
            <w:tcBorders>
              <w:top w:val="single" w:color="auto" w:sz="4" w:space="0"/>
              <w:left w:val="single" w:color="auto" w:sz="4" w:space="0"/>
              <w:bottom w:val="single" w:color="auto" w:sz="4" w:space="0"/>
              <w:right w:val="single" w:color="auto" w:sz="4" w:space="0"/>
            </w:tcBorders>
            <w:vAlign w:val="center"/>
          </w:tcPr>
          <w:p w14:paraId="05F43678">
            <w:pPr>
              <w:pStyle w:val="49"/>
              <w:jc w:val="center"/>
              <w:rPr>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16995ABF">
            <w:pPr>
              <w:pStyle w:val="49"/>
              <w:jc w:val="center"/>
              <w:rPr>
                <w:color w:val="auto"/>
                <w:sz w:val="21"/>
                <w:szCs w:val="21"/>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0FADCDC4">
            <w:pPr>
              <w:pStyle w:val="49"/>
              <w:jc w:val="center"/>
              <w:rPr>
                <w:color w:val="auto"/>
                <w:sz w:val="21"/>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076DB47F">
            <w:pPr>
              <w:pStyle w:val="49"/>
              <w:jc w:val="center"/>
              <w:rPr>
                <w:color w:val="auto"/>
                <w:sz w:val="21"/>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31B52845">
            <w:pPr>
              <w:pStyle w:val="49"/>
              <w:jc w:val="center"/>
              <w:rPr>
                <w:color w:val="auto"/>
                <w:sz w:val="21"/>
                <w:szCs w:val="21"/>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14:paraId="45544B80">
            <w:pPr>
              <w:pStyle w:val="49"/>
              <w:jc w:val="center"/>
              <w:rPr>
                <w:color w:val="auto"/>
                <w:sz w:val="21"/>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71E6D10A">
            <w:pPr>
              <w:pStyle w:val="49"/>
              <w:jc w:val="center"/>
              <w:rPr>
                <w:color w:val="auto"/>
                <w:sz w:val="21"/>
                <w:szCs w:val="21"/>
                <w:highlight w:val="none"/>
              </w:rPr>
            </w:pPr>
          </w:p>
        </w:tc>
      </w:tr>
    </w:tbl>
    <w:p w14:paraId="69FC8255">
      <w:pPr>
        <w:spacing w:line="300" w:lineRule="auto"/>
        <w:rPr>
          <w:rFonts w:ascii="Arial" w:hAnsi="Arial" w:cs="Arial"/>
          <w:color w:val="auto"/>
          <w:szCs w:val="21"/>
          <w:highlight w:val="none"/>
        </w:rPr>
      </w:pPr>
    </w:p>
    <w:p w14:paraId="690A0756">
      <w:pPr>
        <w:spacing w:line="30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环保产品</w:t>
      </w:r>
    </w:p>
    <w:tbl>
      <w:tblPr>
        <w:tblStyle w:val="3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6"/>
        <w:gridCol w:w="1140"/>
        <w:gridCol w:w="1272"/>
        <w:gridCol w:w="816"/>
        <w:gridCol w:w="816"/>
        <w:gridCol w:w="1032"/>
        <w:gridCol w:w="1380"/>
        <w:gridCol w:w="1714"/>
      </w:tblGrid>
      <w:tr w14:paraId="2A8D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77E4A95E">
            <w:pPr>
              <w:pStyle w:val="49"/>
              <w:jc w:val="center"/>
              <w:rPr>
                <w:color w:val="auto"/>
                <w:sz w:val="21"/>
                <w:szCs w:val="21"/>
                <w:highlight w:val="none"/>
              </w:rPr>
            </w:pPr>
            <w:r>
              <w:rPr>
                <w:rFonts w:hint="eastAsia"/>
                <w:color w:val="auto"/>
                <w:sz w:val="21"/>
                <w:szCs w:val="21"/>
                <w:highlight w:val="none"/>
              </w:rPr>
              <w:t>序号</w:t>
            </w:r>
          </w:p>
        </w:tc>
        <w:tc>
          <w:tcPr>
            <w:tcW w:w="1140" w:type="dxa"/>
            <w:tcBorders>
              <w:top w:val="single" w:color="auto" w:sz="4" w:space="0"/>
              <w:left w:val="single" w:color="auto" w:sz="4" w:space="0"/>
              <w:bottom w:val="single" w:color="auto" w:sz="4" w:space="0"/>
              <w:right w:val="single" w:color="auto" w:sz="4" w:space="0"/>
            </w:tcBorders>
            <w:vAlign w:val="center"/>
          </w:tcPr>
          <w:p w14:paraId="6AA91FB1">
            <w:pPr>
              <w:pStyle w:val="49"/>
              <w:jc w:val="center"/>
              <w:rPr>
                <w:color w:val="auto"/>
                <w:sz w:val="21"/>
                <w:szCs w:val="21"/>
                <w:highlight w:val="none"/>
              </w:rPr>
            </w:pPr>
            <w:r>
              <w:rPr>
                <w:rFonts w:hint="eastAsia"/>
                <w:color w:val="auto"/>
                <w:sz w:val="21"/>
                <w:szCs w:val="21"/>
                <w:highlight w:val="none"/>
              </w:rPr>
              <w:t>设备名称</w:t>
            </w:r>
          </w:p>
        </w:tc>
        <w:tc>
          <w:tcPr>
            <w:tcW w:w="1272" w:type="dxa"/>
            <w:tcBorders>
              <w:top w:val="single" w:color="auto" w:sz="4" w:space="0"/>
              <w:left w:val="single" w:color="auto" w:sz="4" w:space="0"/>
              <w:bottom w:val="single" w:color="auto" w:sz="4" w:space="0"/>
              <w:right w:val="single" w:color="auto" w:sz="4" w:space="0"/>
            </w:tcBorders>
            <w:vAlign w:val="center"/>
          </w:tcPr>
          <w:p w14:paraId="67EAA52F">
            <w:pPr>
              <w:pStyle w:val="49"/>
              <w:jc w:val="center"/>
              <w:rPr>
                <w:color w:val="auto"/>
                <w:sz w:val="21"/>
                <w:szCs w:val="21"/>
                <w:highlight w:val="none"/>
              </w:rPr>
            </w:pPr>
            <w:r>
              <w:rPr>
                <w:rFonts w:hint="eastAsia"/>
                <w:color w:val="auto"/>
                <w:sz w:val="21"/>
                <w:szCs w:val="21"/>
                <w:highlight w:val="none"/>
              </w:rPr>
              <w:t>制造商</w:t>
            </w:r>
          </w:p>
          <w:p w14:paraId="5B3863C9">
            <w:pPr>
              <w:pStyle w:val="49"/>
              <w:jc w:val="center"/>
              <w:rPr>
                <w:color w:val="auto"/>
                <w:sz w:val="21"/>
                <w:szCs w:val="21"/>
                <w:highlight w:val="none"/>
              </w:rPr>
            </w:pPr>
            <w:r>
              <w:rPr>
                <w:rFonts w:hint="eastAsia"/>
                <w:color w:val="auto"/>
                <w:sz w:val="21"/>
                <w:szCs w:val="21"/>
                <w:highlight w:val="none"/>
              </w:rPr>
              <w:t>名称</w:t>
            </w:r>
          </w:p>
        </w:tc>
        <w:tc>
          <w:tcPr>
            <w:tcW w:w="816" w:type="dxa"/>
            <w:tcBorders>
              <w:top w:val="single" w:color="auto" w:sz="4" w:space="0"/>
              <w:left w:val="single" w:color="auto" w:sz="4" w:space="0"/>
              <w:bottom w:val="single" w:color="auto" w:sz="4" w:space="0"/>
              <w:right w:val="single" w:color="auto" w:sz="4" w:space="0"/>
            </w:tcBorders>
            <w:vAlign w:val="center"/>
          </w:tcPr>
          <w:p w14:paraId="2D914167">
            <w:pPr>
              <w:pStyle w:val="49"/>
              <w:jc w:val="center"/>
              <w:rPr>
                <w:color w:val="auto"/>
                <w:sz w:val="21"/>
                <w:szCs w:val="21"/>
                <w:highlight w:val="none"/>
              </w:rPr>
            </w:pPr>
            <w:r>
              <w:rPr>
                <w:rFonts w:hint="eastAsia"/>
                <w:color w:val="auto"/>
                <w:sz w:val="21"/>
                <w:szCs w:val="21"/>
                <w:highlight w:val="none"/>
              </w:rPr>
              <w:t>品牌</w:t>
            </w:r>
          </w:p>
        </w:tc>
        <w:tc>
          <w:tcPr>
            <w:tcW w:w="816" w:type="dxa"/>
            <w:tcBorders>
              <w:top w:val="single" w:color="auto" w:sz="4" w:space="0"/>
              <w:left w:val="single" w:color="auto" w:sz="4" w:space="0"/>
              <w:bottom w:val="single" w:color="auto" w:sz="4" w:space="0"/>
              <w:right w:val="single" w:color="auto" w:sz="4" w:space="0"/>
            </w:tcBorders>
            <w:vAlign w:val="center"/>
          </w:tcPr>
          <w:p w14:paraId="17525B5A">
            <w:pPr>
              <w:pStyle w:val="49"/>
              <w:jc w:val="center"/>
              <w:rPr>
                <w:color w:val="auto"/>
                <w:sz w:val="21"/>
                <w:szCs w:val="21"/>
                <w:highlight w:val="none"/>
              </w:rPr>
            </w:pPr>
            <w:r>
              <w:rPr>
                <w:rFonts w:hint="eastAsia"/>
                <w:color w:val="auto"/>
                <w:sz w:val="21"/>
                <w:szCs w:val="21"/>
                <w:highlight w:val="none"/>
              </w:rPr>
              <w:t>型号</w:t>
            </w:r>
          </w:p>
        </w:tc>
        <w:tc>
          <w:tcPr>
            <w:tcW w:w="1032" w:type="dxa"/>
            <w:tcBorders>
              <w:top w:val="single" w:color="auto" w:sz="4" w:space="0"/>
              <w:left w:val="single" w:color="auto" w:sz="4" w:space="0"/>
              <w:bottom w:val="single" w:color="auto" w:sz="4" w:space="0"/>
              <w:right w:val="single" w:color="auto" w:sz="4" w:space="0"/>
            </w:tcBorders>
            <w:vAlign w:val="center"/>
          </w:tcPr>
          <w:p w14:paraId="14090041">
            <w:pPr>
              <w:pStyle w:val="49"/>
              <w:jc w:val="center"/>
              <w:rPr>
                <w:color w:val="auto"/>
                <w:sz w:val="21"/>
                <w:szCs w:val="21"/>
                <w:highlight w:val="none"/>
              </w:rPr>
            </w:pPr>
            <w:r>
              <w:rPr>
                <w:rFonts w:hint="eastAsia"/>
                <w:color w:val="auto"/>
                <w:sz w:val="21"/>
                <w:szCs w:val="21"/>
                <w:highlight w:val="none"/>
              </w:rPr>
              <w:t>数量</w:t>
            </w:r>
          </w:p>
        </w:tc>
        <w:tc>
          <w:tcPr>
            <w:tcW w:w="1380" w:type="dxa"/>
            <w:tcBorders>
              <w:top w:val="single" w:color="auto" w:sz="4" w:space="0"/>
              <w:left w:val="single" w:color="auto" w:sz="4" w:space="0"/>
              <w:bottom w:val="single" w:color="auto" w:sz="4" w:space="0"/>
              <w:right w:val="single" w:color="auto" w:sz="4" w:space="0"/>
            </w:tcBorders>
            <w:vAlign w:val="center"/>
          </w:tcPr>
          <w:p w14:paraId="2B9678EA">
            <w:pPr>
              <w:pStyle w:val="49"/>
              <w:jc w:val="center"/>
              <w:rPr>
                <w:color w:val="auto"/>
                <w:sz w:val="21"/>
                <w:szCs w:val="21"/>
                <w:highlight w:val="none"/>
              </w:rPr>
            </w:pPr>
            <w:r>
              <w:rPr>
                <w:rFonts w:hint="eastAsia"/>
                <w:color w:val="auto"/>
                <w:sz w:val="21"/>
                <w:szCs w:val="21"/>
                <w:highlight w:val="none"/>
              </w:rPr>
              <w:t>单价</w:t>
            </w:r>
          </w:p>
          <w:p w14:paraId="6E63CBD3">
            <w:pPr>
              <w:pStyle w:val="49"/>
              <w:jc w:val="center"/>
              <w:rPr>
                <w:color w:val="auto"/>
                <w:sz w:val="21"/>
                <w:szCs w:val="21"/>
                <w:highlight w:val="none"/>
              </w:rPr>
            </w:pPr>
            <w:r>
              <w:rPr>
                <w:rFonts w:hint="eastAsia"/>
                <w:color w:val="auto"/>
                <w:sz w:val="21"/>
                <w:szCs w:val="21"/>
                <w:highlight w:val="none"/>
              </w:rPr>
              <w:t>（万元）</w:t>
            </w:r>
          </w:p>
        </w:tc>
        <w:tc>
          <w:tcPr>
            <w:tcW w:w="1714" w:type="dxa"/>
            <w:tcBorders>
              <w:top w:val="single" w:color="auto" w:sz="4" w:space="0"/>
              <w:left w:val="single" w:color="auto" w:sz="4" w:space="0"/>
              <w:bottom w:val="single" w:color="auto" w:sz="4" w:space="0"/>
              <w:right w:val="single" w:color="auto" w:sz="4" w:space="0"/>
            </w:tcBorders>
            <w:vAlign w:val="center"/>
          </w:tcPr>
          <w:p w14:paraId="26EF66A1">
            <w:pPr>
              <w:pStyle w:val="49"/>
              <w:jc w:val="center"/>
              <w:rPr>
                <w:color w:val="auto"/>
                <w:sz w:val="21"/>
                <w:szCs w:val="21"/>
                <w:highlight w:val="none"/>
              </w:rPr>
            </w:pPr>
            <w:r>
              <w:rPr>
                <w:rFonts w:hint="eastAsia"/>
                <w:color w:val="auto"/>
                <w:sz w:val="21"/>
                <w:szCs w:val="21"/>
                <w:highlight w:val="none"/>
              </w:rPr>
              <w:t>总价</w:t>
            </w:r>
          </w:p>
          <w:p w14:paraId="1881B9EC">
            <w:pPr>
              <w:pStyle w:val="49"/>
              <w:jc w:val="center"/>
              <w:rPr>
                <w:color w:val="auto"/>
                <w:sz w:val="21"/>
                <w:szCs w:val="21"/>
                <w:highlight w:val="none"/>
              </w:rPr>
            </w:pPr>
            <w:r>
              <w:rPr>
                <w:rFonts w:hint="eastAsia"/>
                <w:color w:val="auto"/>
                <w:sz w:val="21"/>
                <w:szCs w:val="21"/>
                <w:highlight w:val="none"/>
              </w:rPr>
              <w:t>（万元）</w:t>
            </w:r>
          </w:p>
        </w:tc>
      </w:tr>
      <w:tr w14:paraId="5F47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08E36FE7">
            <w:pPr>
              <w:pStyle w:val="49"/>
              <w:numPr>
                <w:ilvl w:val="0"/>
                <w:numId w:val="7"/>
              </w:numPr>
              <w:jc w:val="center"/>
              <w:rPr>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1A20E62A">
            <w:pPr>
              <w:pStyle w:val="49"/>
              <w:jc w:val="center"/>
              <w:rPr>
                <w:color w:val="auto"/>
                <w:sz w:val="21"/>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22CDEC64">
            <w:pPr>
              <w:pStyle w:val="49"/>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138AE6B2">
            <w:pPr>
              <w:pStyle w:val="49"/>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30C76BF9">
            <w:pPr>
              <w:pStyle w:val="49"/>
              <w:jc w:val="center"/>
              <w:rPr>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4B09EBD6">
            <w:pPr>
              <w:pStyle w:val="49"/>
              <w:jc w:val="center"/>
              <w:rPr>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3251BCE0">
            <w:pPr>
              <w:pStyle w:val="49"/>
              <w:jc w:val="center"/>
              <w:rPr>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05694893">
            <w:pPr>
              <w:pStyle w:val="49"/>
              <w:jc w:val="center"/>
              <w:rPr>
                <w:color w:val="auto"/>
                <w:sz w:val="21"/>
                <w:szCs w:val="21"/>
                <w:highlight w:val="none"/>
              </w:rPr>
            </w:pPr>
          </w:p>
        </w:tc>
      </w:tr>
      <w:tr w14:paraId="6A99C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18EBBE11">
            <w:pPr>
              <w:pStyle w:val="49"/>
              <w:numPr>
                <w:ilvl w:val="0"/>
                <w:numId w:val="7"/>
              </w:numPr>
              <w:jc w:val="center"/>
              <w:rPr>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7A771DE4">
            <w:pPr>
              <w:pStyle w:val="49"/>
              <w:jc w:val="center"/>
              <w:rPr>
                <w:color w:val="auto"/>
                <w:sz w:val="21"/>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0F663DA6">
            <w:pPr>
              <w:pStyle w:val="49"/>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2FCE4627">
            <w:pPr>
              <w:pStyle w:val="49"/>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1E80F2A5">
            <w:pPr>
              <w:pStyle w:val="49"/>
              <w:jc w:val="center"/>
              <w:rPr>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5493FC86">
            <w:pPr>
              <w:pStyle w:val="49"/>
              <w:jc w:val="center"/>
              <w:rPr>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3C2160F0">
            <w:pPr>
              <w:pStyle w:val="49"/>
              <w:jc w:val="center"/>
              <w:rPr>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7238DDC0">
            <w:pPr>
              <w:pStyle w:val="49"/>
              <w:jc w:val="center"/>
              <w:rPr>
                <w:color w:val="auto"/>
                <w:sz w:val="21"/>
                <w:szCs w:val="21"/>
                <w:highlight w:val="none"/>
              </w:rPr>
            </w:pPr>
          </w:p>
        </w:tc>
      </w:tr>
      <w:tr w14:paraId="24B6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6C90CD05">
            <w:pPr>
              <w:pStyle w:val="49"/>
              <w:numPr>
                <w:ilvl w:val="0"/>
                <w:numId w:val="7"/>
              </w:numPr>
              <w:jc w:val="center"/>
              <w:rPr>
                <w:color w:val="auto"/>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728A1074">
            <w:pPr>
              <w:pStyle w:val="49"/>
              <w:jc w:val="center"/>
              <w:rPr>
                <w:color w:val="auto"/>
                <w:sz w:val="21"/>
                <w:szCs w:val="21"/>
                <w:highlight w:val="none"/>
              </w:rPr>
            </w:pPr>
            <w:r>
              <w:rPr>
                <w:color w:val="auto"/>
                <w:sz w:val="21"/>
                <w:szCs w:val="21"/>
                <w:highlight w:val="none"/>
              </w:rPr>
              <w:t>……</w:t>
            </w:r>
          </w:p>
        </w:tc>
        <w:tc>
          <w:tcPr>
            <w:tcW w:w="1272" w:type="dxa"/>
            <w:tcBorders>
              <w:top w:val="single" w:color="auto" w:sz="4" w:space="0"/>
              <w:left w:val="single" w:color="auto" w:sz="4" w:space="0"/>
              <w:bottom w:val="single" w:color="auto" w:sz="4" w:space="0"/>
              <w:right w:val="single" w:color="auto" w:sz="4" w:space="0"/>
            </w:tcBorders>
            <w:vAlign w:val="center"/>
          </w:tcPr>
          <w:p w14:paraId="47CBFD42">
            <w:pPr>
              <w:pStyle w:val="49"/>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52A3673E">
            <w:pPr>
              <w:pStyle w:val="49"/>
              <w:jc w:val="center"/>
              <w:rPr>
                <w:color w:val="auto"/>
                <w:sz w:val="21"/>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14:paraId="03112494">
            <w:pPr>
              <w:pStyle w:val="49"/>
              <w:jc w:val="center"/>
              <w:rPr>
                <w:color w:val="auto"/>
                <w:sz w:val="21"/>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1FF974A1">
            <w:pPr>
              <w:pStyle w:val="49"/>
              <w:jc w:val="center"/>
              <w:rPr>
                <w:color w:val="auto"/>
                <w:sz w:val="21"/>
                <w:szCs w:val="21"/>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57425C45">
            <w:pPr>
              <w:pStyle w:val="49"/>
              <w:jc w:val="center"/>
              <w:rPr>
                <w:color w:val="auto"/>
                <w:sz w:val="21"/>
                <w:szCs w:val="21"/>
                <w:highlight w:val="none"/>
              </w:rPr>
            </w:pPr>
          </w:p>
        </w:tc>
        <w:tc>
          <w:tcPr>
            <w:tcW w:w="1714" w:type="dxa"/>
            <w:tcBorders>
              <w:top w:val="single" w:color="auto" w:sz="4" w:space="0"/>
              <w:left w:val="single" w:color="auto" w:sz="4" w:space="0"/>
              <w:bottom w:val="single" w:color="auto" w:sz="4" w:space="0"/>
              <w:right w:val="single" w:color="auto" w:sz="4" w:space="0"/>
            </w:tcBorders>
            <w:vAlign w:val="center"/>
          </w:tcPr>
          <w:p w14:paraId="31F5DC44">
            <w:pPr>
              <w:pStyle w:val="49"/>
              <w:jc w:val="center"/>
              <w:rPr>
                <w:color w:val="auto"/>
                <w:sz w:val="21"/>
                <w:szCs w:val="21"/>
                <w:highlight w:val="none"/>
              </w:rPr>
            </w:pPr>
          </w:p>
        </w:tc>
      </w:tr>
    </w:tbl>
    <w:p w14:paraId="7D386FE8">
      <w:pPr>
        <w:spacing w:line="300" w:lineRule="auto"/>
        <w:rPr>
          <w:rFonts w:ascii="Arial" w:hAnsi="Arial" w:cs="Arial"/>
          <w:color w:val="auto"/>
          <w:szCs w:val="21"/>
          <w:highlight w:val="none"/>
        </w:rPr>
      </w:pPr>
    </w:p>
    <w:p w14:paraId="606E5A08">
      <w:pPr>
        <w:rPr>
          <w:rFonts w:ascii="Arial" w:hAnsi="Arial" w:cs="Arial"/>
          <w:b/>
          <w:color w:val="auto"/>
          <w:sz w:val="21"/>
          <w:szCs w:val="21"/>
          <w:highlight w:val="none"/>
        </w:rPr>
      </w:pPr>
      <w:r>
        <w:rPr>
          <w:rFonts w:hint="eastAsia" w:ascii="Arial" w:hAnsi="Arial" w:cs="Arial"/>
          <w:b/>
          <w:color w:val="auto"/>
          <w:sz w:val="21"/>
          <w:szCs w:val="21"/>
          <w:highlight w:val="none"/>
        </w:rPr>
        <w:t>特别说明：投标人应将所投产品中节能、环保产品分别列入上表中，并按本招标文件</w:t>
      </w:r>
      <w:r>
        <w:rPr>
          <w:rFonts w:hint="eastAsia" w:ascii="Arial" w:hAnsi="Arial" w:cs="Arial"/>
          <w:b/>
          <w:color w:val="auto"/>
          <w:sz w:val="21"/>
          <w:szCs w:val="21"/>
          <w:highlight w:val="none"/>
          <w:lang w:val="en-US" w:eastAsia="zh-CN"/>
        </w:rPr>
        <w:t>“</w:t>
      </w:r>
      <w:r>
        <w:rPr>
          <w:rFonts w:hint="eastAsia" w:ascii="Arial" w:hAnsi="Arial" w:cs="Arial"/>
          <w:b/>
          <w:color w:val="auto"/>
          <w:sz w:val="21"/>
          <w:szCs w:val="21"/>
          <w:highlight w:val="none"/>
        </w:rPr>
        <w:t>第二章</w:t>
      </w:r>
      <w:r>
        <w:rPr>
          <w:rFonts w:hint="eastAsia" w:ascii="Arial" w:hAnsi="Arial" w:cs="Arial"/>
          <w:b/>
          <w:color w:val="auto"/>
          <w:sz w:val="21"/>
          <w:szCs w:val="21"/>
          <w:highlight w:val="none"/>
          <w:lang w:val="en-US" w:eastAsia="zh-CN"/>
        </w:rPr>
        <w:t>投标人须知”</w:t>
      </w:r>
      <w:r>
        <w:rPr>
          <w:rFonts w:hint="eastAsia" w:ascii="Arial" w:hAnsi="Arial" w:cs="Arial"/>
          <w:b/>
          <w:color w:val="auto"/>
          <w:sz w:val="21"/>
          <w:szCs w:val="21"/>
          <w:highlight w:val="none"/>
        </w:rPr>
        <w:t>提供相关证明材料，未填写本表或未提供有效认证证书</w:t>
      </w:r>
      <w:r>
        <w:rPr>
          <w:rFonts w:ascii="Arial" w:hAnsi="Arial" w:cs="Arial"/>
          <w:b/>
          <w:color w:val="auto"/>
          <w:sz w:val="21"/>
          <w:szCs w:val="21"/>
          <w:highlight w:val="none"/>
        </w:rPr>
        <w:t>的</w:t>
      </w:r>
      <w:r>
        <w:rPr>
          <w:rFonts w:hint="eastAsia" w:ascii="Arial" w:hAnsi="Arial" w:cs="Arial"/>
          <w:b/>
          <w:color w:val="auto"/>
          <w:sz w:val="21"/>
          <w:szCs w:val="21"/>
          <w:highlight w:val="none"/>
        </w:rPr>
        <w:t>不给予</w:t>
      </w:r>
      <w:r>
        <w:rPr>
          <w:rFonts w:hint="eastAsia" w:ascii="Arial" w:hAnsi="Arial" w:cs="Arial"/>
          <w:b/>
          <w:color w:val="auto"/>
          <w:sz w:val="21"/>
          <w:szCs w:val="21"/>
          <w:highlight w:val="none"/>
          <w:lang w:val="en-US" w:eastAsia="zh-CN"/>
        </w:rPr>
        <w:t>评审优惠</w:t>
      </w:r>
      <w:r>
        <w:rPr>
          <w:rFonts w:hint="eastAsia" w:ascii="Arial" w:hAnsi="Arial" w:cs="Arial"/>
          <w:b/>
          <w:color w:val="auto"/>
          <w:sz w:val="21"/>
          <w:szCs w:val="21"/>
          <w:highlight w:val="none"/>
        </w:rPr>
        <w:t>。</w:t>
      </w:r>
    </w:p>
    <w:p w14:paraId="675C9164">
      <w:pPr>
        <w:spacing w:line="300" w:lineRule="auto"/>
        <w:rPr>
          <w:rFonts w:ascii="Arial" w:hAnsi="Arial" w:cs="Arial"/>
          <w:color w:val="auto"/>
          <w:szCs w:val="21"/>
          <w:highlight w:val="none"/>
        </w:rPr>
      </w:pPr>
    </w:p>
    <w:p w14:paraId="402F965E">
      <w:pPr>
        <w:spacing w:line="300" w:lineRule="auto"/>
        <w:rPr>
          <w:rFonts w:ascii="Arial" w:hAnsi="Arial" w:cs="Arial"/>
          <w:color w:val="auto"/>
          <w:szCs w:val="21"/>
          <w:highlight w:val="none"/>
        </w:rPr>
      </w:pPr>
      <w:r>
        <w:rPr>
          <w:rFonts w:ascii="Arial" w:hAnsi="Arial" w:cs="Arial"/>
          <w:color w:val="auto"/>
          <w:szCs w:val="21"/>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p>
    <w:p w14:paraId="3068A70D">
      <w:pPr>
        <w:rPr>
          <w:rFonts w:ascii="Arial" w:hAnsi="Arial" w:cs="Arial"/>
          <w:color w:val="auto"/>
          <w:szCs w:val="21"/>
          <w:highlight w:val="none"/>
        </w:rPr>
      </w:pPr>
      <w:r>
        <w:rPr>
          <w:rFonts w:ascii="Arial" w:hAnsi="Arial" w:cs="Arial"/>
          <w:color w:val="auto"/>
          <w:szCs w:val="21"/>
          <w:highlight w:val="none"/>
        </w:rPr>
        <w:t>日期：</w:t>
      </w:r>
    </w:p>
    <w:p w14:paraId="70617D68">
      <w:pPr>
        <w:rPr>
          <w:rFonts w:ascii="Arial" w:hAnsi="Arial" w:cs="Arial"/>
          <w:color w:val="auto"/>
          <w:szCs w:val="21"/>
          <w:highlight w:val="none"/>
        </w:rPr>
      </w:pPr>
      <w:r>
        <w:rPr>
          <w:rFonts w:ascii="Arial" w:hAnsi="Arial" w:cs="Arial"/>
          <w:color w:val="auto"/>
          <w:szCs w:val="21"/>
          <w:highlight w:val="none"/>
        </w:rPr>
        <w:br w:type="page"/>
      </w:r>
    </w:p>
    <w:p w14:paraId="606B2EA5">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theme="minorBidi"/>
          <w:b/>
          <w:bCs/>
          <w:color w:val="auto"/>
          <w:kern w:val="2"/>
          <w:sz w:val="24"/>
          <w:szCs w:val="24"/>
          <w:highlight w:val="none"/>
          <w:lang w:val="en-US" w:eastAsia="zh-CN" w:bidi="ar-SA"/>
        </w:rPr>
      </w:pPr>
      <w:bookmarkStart w:id="397" w:name="_Toc163492939"/>
      <w:r>
        <w:rPr>
          <w:rFonts w:hint="eastAsia" w:ascii="宋体" w:hAnsi="宋体" w:eastAsia="宋体" w:cstheme="minorBidi"/>
          <w:b/>
          <w:bCs/>
          <w:color w:val="auto"/>
          <w:kern w:val="2"/>
          <w:sz w:val="24"/>
          <w:szCs w:val="24"/>
          <w:highlight w:val="none"/>
          <w:lang w:val="en-US" w:eastAsia="zh-CN" w:bidi="ar-SA"/>
        </w:rPr>
        <w:t>（二）中小企业声明函</w:t>
      </w:r>
      <w:r>
        <w:rPr>
          <w:rFonts w:hint="eastAsia" w:ascii="宋体" w:hAnsi="宋体" w:eastAsia="宋体" w:cstheme="minorBidi"/>
          <w:b w:val="0"/>
          <w:bCs w:val="0"/>
          <w:color w:val="auto"/>
          <w:kern w:val="2"/>
          <w:sz w:val="24"/>
          <w:szCs w:val="24"/>
          <w:highlight w:val="none"/>
          <w:lang w:val="en-US" w:eastAsia="zh-CN" w:bidi="ar-SA"/>
        </w:rPr>
        <w:t>【</w:t>
      </w:r>
      <w:r>
        <w:rPr>
          <w:rFonts w:hint="eastAsia" w:cstheme="minorBidi"/>
          <w:b w:val="0"/>
          <w:bCs w:val="0"/>
          <w:i w:val="0"/>
          <w:iCs w:val="0"/>
          <w:color w:val="auto"/>
          <w:kern w:val="2"/>
          <w:sz w:val="24"/>
          <w:szCs w:val="24"/>
          <w:highlight w:val="none"/>
          <w:lang w:val="en-US" w:eastAsia="zh-CN" w:bidi="ar-SA"/>
        </w:rPr>
        <w:t>如专门面向中小企业采购的项目，此函可放于此处，否则，应后置于“其他资格证明文件”</w:t>
      </w:r>
      <w:r>
        <w:rPr>
          <w:rFonts w:hint="eastAsia" w:ascii="宋体" w:hAnsi="宋体" w:eastAsia="宋体" w:cstheme="minorBidi"/>
          <w:b w:val="0"/>
          <w:bCs w:val="0"/>
          <w:color w:val="auto"/>
          <w:kern w:val="2"/>
          <w:sz w:val="24"/>
          <w:szCs w:val="24"/>
          <w:highlight w:val="none"/>
          <w:lang w:val="en-US" w:eastAsia="zh-CN" w:bidi="ar-SA"/>
        </w:rPr>
        <w:t>】</w:t>
      </w:r>
      <w:bookmarkEnd w:id="397"/>
    </w:p>
    <w:p w14:paraId="7A518507">
      <w:pPr>
        <w:pStyle w:val="39"/>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0" w:leftChars="0" w:hanging="420" w:firstLineChars="0"/>
        <w:jc w:val="center"/>
        <w:textAlignment w:val="auto"/>
        <w:rPr>
          <w:rFonts w:hint="eastAsia"/>
          <w:b/>
          <w:bCs/>
          <w:color w:val="auto"/>
          <w:sz w:val="32"/>
          <w:szCs w:val="32"/>
          <w:highlight w:val="none"/>
        </w:rPr>
      </w:pPr>
    </w:p>
    <w:p w14:paraId="760F43E1">
      <w:pPr>
        <w:pStyle w:val="39"/>
        <w:numPr>
          <w:ilvl w:val="0"/>
          <w:numId w:val="0"/>
        </w:numPr>
        <w:ind w:left="420" w:leftChars="0" w:hanging="420" w:firstLineChars="0"/>
        <w:jc w:val="center"/>
        <w:rPr>
          <w:b/>
          <w:bCs/>
          <w:color w:val="auto"/>
          <w:sz w:val="32"/>
          <w:szCs w:val="32"/>
          <w:highlight w:val="none"/>
        </w:rPr>
      </w:pPr>
      <w:r>
        <w:rPr>
          <w:rFonts w:hint="eastAsia"/>
          <w:b/>
          <w:bCs/>
          <w:color w:val="auto"/>
          <w:sz w:val="32"/>
          <w:szCs w:val="32"/>
          <w:highlight w:val="none"/>
        </w:rPr>
        <w:t>中小企业声明函</w:t>
      </w:r>
    </w:p>
    <w:p w14:paraId="78BC1CF1">
      <w:pPr>
        <w:ind w:firstLine="504" w:firstLineChars="200"/>
        <w:rPr>
          <w:rFonts w:cs="宋体"/>
          <w:color w:val="auto"/>
          <w:spacing w:val="6"/>
          <w:szCs w:val="24"/>
          <w:highlight w:val="none"/>
        </w:rPr>
      </w:pPr>
      <w:r>
        <w:rPr>
          <w:rFonts w:hint="eastAsia" w:cs="宋体"/>
          <w:color w:val="auto"/>
          <w:spacing w:val="6"/>
          <w:szCs w:val="24"/>
          <w:highlight w:val="none"/>
        </w:rPr>
        <w:t>本公司（联合体）郑重声明，根据《政府采购促进中小企业发展管理办法》（财库﹝2020﹞46 号）的规定，本公司（联合体）参加</w:t>
      </w:r>
      <w:r>
        <w:rPr>
          <w:rFonts w:hint="eastAsia" w:cs="宋体"/>
          <w:color w:val="auto"/>
          <w:spacing w:val="6"/>
          <w:szCs w:val="24"/>
          <w:highlight w:val="none"/>
          <w:u w:val="single"/>
        </w:rPr>
        <w:t xml:space="preserve"> （单位名称）</w:t>
      </w:r>
      <w:r>
        <w:rPr>
          <w:rFonts w:hint="eastAsia" w:cs="宋体"/>
          <w:color w:val="auto"/>
          <w:spacing w:val="6"/>
          <w:szCs w:val="24"/>
          <w:highlight w:val="none"/>
        </w:rPr>
        <w:t xml:space="preserve"> 的</w:t>
      </w:r>
      <w:r>
        <w:rPr>
          <w:rFonts w:hint="eastAsia" w:cs="宋体"/>
          <w:color w:val="auto"/>
          <w:spacing w:val="6"/>
          <w:szCs w:val="24"/>
          <w:highlight w:val="none"/>
          <w:u w:val="single"/>
        </w:rPr>
        <w:t xml:space="preserve"> （项目名称） </w:t>
      </w:r>
      <w:r>
        <w:rPr>
          <w:rFonts w:hint="eastAsia" w:cs="宋体"/>
          <w:color w:val="auto"/>
          <w:spacing w:val="6"/>
          <w:szCs w:val="24"/>
          <w:highlight w:val="none"/>
        </w:rPr>
        <w:t>采购活动，提供的货物全部由符合政策要求的中小企业制造。相关企业（含联合体中的中小企业、签订分包意向协议的中小企业）的具体情况如下：</w:t>
      </w:r>
    </w:p>
    <w:p w14:paraId="5FCC96F1">
      <w:pPr>
        <w:ind w:firstLine="504" w:firstLineChars="200"/>
        <w:rPr>
          <w:rFonts w:cs="宋体"/>
          <w:color w:val="auto"/>
          <w:spacing w:val="6"/>
          <w:szCs w:val="24"/>
          <w:highlight w:val="none"/>
        </w:rPr>
      </w:pPr>
      <w:r>
        <w:rPr>
          <w:rFonts w:hint="eastAsia" w:cs="宋体"/>
          <w:color w:val="auto"/>
          <w:spacing w:val="6"/>
          <w:szCs w:val="24"/>
          <w:highlight w:val="none"/>
        </w:rPr>
        <w:t>1.</w:t>
      </w:r>
      <w:r>
        <w:rPr>
          <w:rFonts w:hint="eastAsia" w:cs="宋体"/>
          <w:color w:val="auto"/>
          <w:spacing w:val="6"/>
          <w:szCs w:val="24"/>
          <w:highlight w:val="none"/>
          <w:u w:val="single"/>
        </w:rPr>
        <w:t xml:space="preserve"> （标的名称） </w:t>
      </w:r>
      <w:r>
        <w:rPr>
          <w:rFonts w:hint="eastAsia" w:cs="宋体"/>
          <w:color w:val="auto"/>
          <w:spacing w:val="6"/>
          <w:szCs w:val="24"/>
          <w:highlight w:val="none"/>
        </w:rPr>
        <w:t>，属于</w:t>
      </w:r>
      <w:r>
        <w:rPr>
          <w:rFonts w:hint="eastAsia" w:cs="宋体"/>
          <w:color w:val="auto"/>
          <w:spacing w:val="6"/>
          <w:szCs w:val="24"/>
          <w:highlight w:val="none"/>
          <w:u w:val="single"/>
        </w:rPr>
        <w:t xml:space="preserve"> （采购文件中明确的所属行业）</w:t>
      </w:r>
      <w:r>
        <w:rPr>
          <w:rFonts w:hint="eastAsia" w:cs="宋体"/>
          <w:color w:val="auto"/>
          <w:spacing w:val="6"/>
          <w:szCs w:val="24"/>
          <w:highlight w:val="none"/>
        </w:rPr>
        <w:t>行业 ；制造商为</w:t>
      </w:r>
      <w:r>
        <w:rPr>
          <w:rFonts w:hint="eastAsia" w:cs="宋体"/>
          <w:color w:val="auto"/>
          <w:spacing w:val="6"/>
          <w:szCs w:val="24"/>
          <w:highlight w:val="none"/>
          <w:u w:val="single"/>
        </w:rPr>
        <w:t xml:space="preserve"> （企业名称） </w:t>
      </w:r>
      <w:r>
        <w:rPr>
          <w:rFonts w:hint="eastAsia" w:cs="宋体"/>
          <w:color w:val="auto"/>
          <w:spacing w:val="6"/>
          <w:szCs w:val="24"/>
          <w:highlight w:val="none"/>
        </w:rPr>
        <w:t>，从业人员</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人，营业收入为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万元，资产总额为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万元，属于</w:t>
      </w:r>
      <w:r>
        <w:rPr>
          <w:rFonts w:hint="eastAsia" w:cs="宋体"/>
          <w:color w:val="auto"/>
          <w:spacing w:val="6"/>
          <w:szCs w:val="24"/>
          <w:highlight w:val="none"/>
          <w:u w:val="single"/>
        </w:rPr>
        <w:t xml:space="preserve"> （中型企业、小型企业、微型企业）</w:t>
      </w:r>
      <w:r>
        <w:rPr>
          <w:rFonts w:hint="eastAsia" w:cs="宋体"/>
          <w:color w:val="auto"/>
          <w:spacing w:val="6"/>
          <w:szCs w:val="24"/>
          <w:highlight w:val="none"/>
        </w:rPr>
        <w:t>；</w:t>
      </w:r>
    </w:p>
    <w:p w14:paraId="1D01E102">
      <w:pPr>
        <w:ind w:firstLine="504" w:firstLineChars="200"/>
        <w:rPr>
          <w:rFonts w:cs="宋体"/>
          <w:color w:val="auto"/>
          <w:spacing w:val="6"/>
          <w:szCs w:val="24"/>
          <w:highlight w:val="none"/>
        </w:rPr>
      </w:pPr>
      <w:r>
        <w:rPr>
          <w:rFonts w:hint="eastAsia" w:cs="宋体"/>
          <w:color w:val="auto"/>
          <w:spacing w:val="6"/>
          <w:szCs w:val="24"/>
          <w:highlight w:val="none"/>
        </w:rPr>
        <w:t>2.</w:t>
      </w:r>
      <w:r>
        <w:rPr>
          <w:rFonts w:hint="eastAsia" w:cs="宋体"/>
          <w:color w:val="auto"/>
          <w:spacing w:val="6"/>
          <w:szCs w:val="24"/>
          <w:highlight w:val="none"/>
          <w:u w:val="single"/>
        </w:rPr>
        <w:t xml:space="preserve"> （标的名称） </w:t>
      </w:r>
      <w:r>
        <w:rPr>
          <w:rFonts w:hint="eastAsia" w:cs="宋体"/>
          <w:color w:val="auto"/>
          <w:spacing w:val="6"/>
          <w:szCs w:val="24"/>
          <w:highlight w:val="none"/>
        </w:rPr>
        <w:t>，属于</w:t>
      </w:r>
      <w:r>
        <w:rPr>
          <w:rFonts w:hint="eastAsia" w:cs="宋体"/>
          <w:color w:val="auto"/>
          <w:spacing w:val="6"/>
          <w:szCs w:val="24"/>
          <w:highlight w:val="none"/>
          <w:u w:val="single"/>
        </w:rPr>
        <w:t xml:space="preserve"> （采购文件中明确的所属行业）</w:t>
      </w:r>
      <w:r>
        <w:rPr>
          <w:rFonts w:hint="eastAsia" w:cs="宋体"/>
          <w:color w:val="auto"/>
          <w:spacing w:val="6"/>
          <w:szCs w:val="24"/>
          <w:highlight w:val="none"/>
        </w:rPr>
        <w:t>行业 ；制造商为</w:t>
      </w:r>
      <w:r>
        <w:rPr>
          <w:rFonts w:hint="eastAsia" w:cs="宋体"/>
          <w:color w:val="auto"/>
          <w:spacing w:val="6"/>
          <w:szCs w:val="24"/>
          <w:highlight w:val="none"/>
          <w:u w:val="single"/>
        </w:rPr>
        <w:t xml:space="preserve"> （企业名称） </w:t>
      </w:r>
      <w:r>
        <w:rPr>
          <w:rFonts w:hint="eastAsia" w:cs="宋体"/>
          <w:color w:val="auto"/>
          <w:spacing w:val="6"/>
          <w:szCs w:val="24"/>
          <w:highlight w:val="none"/>
        </w:rPr>
        <w:t>，从业人员</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人，营业收入为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万元，资产总额为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万元，属于</w:t>
      </w:r>
      <w:r>
        <w:rPr>
          <w:rFonts w:hint="eastAsia" w:cs="宋体"/>
          <w:color w:val="auto"/>
          <w:spacing w:val="6"/>
          <w:szCs w:val="24"/>
          <w:highlight w:val="none"/>
          <w:u w:val="single"/>
        </w:rPr>
        <w:t xml:space="preserve"> （中型企业、小型企业、微型企业）</w:t>
      </w:r>
      <w:r>
        <w:rPr>
          <w:rFonts w:hint="eastAsia" w:cs="宋体"/>
          <w:color w:val="auto"/>
          <w:spacing w:val="6"/>
          <w:szCs w:val="24"/>
          <w:highlight w:val="none"/>
        </w:rPr>
        <w:t>；</w:t>
      </w:r>
    </w:p>
    <w:p w14:paraId="7CB1DD8C">
      <w:pPr>
        <w:ind w:firstLine="504" w:firstLineChars="200"/>
        <w:rPr>
          <w:rFonts w:cs="宋体"/>
          <w:color w:val="auto"/>
          <w:spacing w:val="6"/>
          <w:szCs w:val="24"/>
          <w:highlight w:val="none"/>
        </w:rPr>
      </w:pPr>
      <w:r>
        <w:rPr>
          <w:rFonts w:hint="eastAsia" w:cs="宋体"/>
          <w:color w:val="auto"/>
          <w:spacing w:val="6"/>
          <w:szCs w:val="24"/>
          <w:highlight w:val="none"/>
        </w:rPr>
        <w:t>……</w:t>
      </w:r>
    </w:p>
    <w:p w14:paraId="776FE44A">
      <w:pPr>
        <w:ind w:firstLine="504" w:firstLineChars="200"/>
        <w:rPr>
          <w:rFonts w:cs="宋体"/>
          <w:color w:val="auto"/>
          <w:spacing w:val="6"/>
          <w:szCs w:val="24"/>
          <w:highlight w:val="none"/>
        </w:rPr>
      </w:pPr>
      <w:r>
        <w:rPr>
          <w:rFonts w:hint="eastAsia" w:cs="宋体"/>
          <w:color w:val="auto"/>
          <w:spacing w:val="6"/>
          <w:szCs w:val="24"/>
          <w:highlight w:val="none"/>
        </w:rPr>
        <w:t>以上企业，不属于大企业的分支机构，不存在控股股东为大企业的情形，也不存在与大企业的负责人为同一人的情形。</w:t>
      </w:r>
    </w:p>
    <w:p w14:paraId="3A720EA2">
      <w:pPr>
        <w:ind w:firstLine="504" w:firstLineChars="200"/>
        <w:rPr>
          <w:rFonts w:cs="宋体"/>
          <w:color w:val="auto"/>
          <w:spacing w:val="6"/>
          <w:szCs w:val="24"/>
          <w:highlight w:val="none"/>
        </w:rPr>
      </w:pPr>
      <w:r>
        <w:rPr>
          <w:rFonts w:hint="eastAsia" w:cs="宋体"/>
          <w:color w:val="auto"/>
          <w:spacing w:val="6"/>
          <w:szCs w:val="24"/>
          <w:highlight w:val="none"/>
        </w:rPr>
        <w:t>本企业对上述声明内容的真实性负责。如有虚假，将依法承担相应责任。</w:t>
      </w:r>
    </w:p>
    <w:p w14:paraId="5A6D844B">
      <w:pPr>
        <w:ind w:right="1008" w:firstLine="4788" w:firstLineChars="1900"/>
        <w:rPr>
          <w:rFonts w:cs="宋体"/>
          <w:color w:val="auto"/>
          <w:spacing w:val="6"/>
          <w:szCs w:val="24"/>
          <w:highlight w:val="none"/>
        </w:rPr>
      </w:pPr>
    </w:p>
    <w:p w14:paraId="165AEE2D">
      <w:pPr>
        <w:ind w:right="1008" w:firstLine="4284" w:firstLineChars="1700"/>
        <w:rPr>
          <w:rFonts w:cs="宋体"/>
          <w:color w:val="auto"/>
          <w:spacing w:val="6"/>
          <w:szCs w:val="24"/>
          <w:highlight w:val="none"/>
        </w:rPr>
      </w:pPr>
      <w:r>
        <w:rPr>
          <w:rFonts w:hint="eastAsia" w:cs="宋体"/>
          <w:color w:val="auto"/>
          <w:spacing w:val="6"/>
          <w:szCs w:val="24"/>
          <w:highlight w:val="none"/>
          <w:lang w:val="en-US" w:eastAsia="zh-CN"/>
        </w:rPr>
        <w:t>投标人</w:t>
      </w:r>
      <w:r>
        <w:rPr>
          <w:rFonts w:hint="eastAsia" w:cs="宋体"/>
          <w:color w:val="auto"/>
          <w:spacing w:val="6"/>
          <w:szCs w:val="24"/>
          <w:highlight w:val="none"/>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cs="宋体"/>
          <w:color w:val="auto"/>
          <w:spacing w:val="6"/>
          <w:szCs w:val="24"/>
          <w:highlight w:val="none"/>
        </w:rPr>
        <w:t>：</w:t>
      </w:r>
    </w:p>
    <w:p w14:paraId="5183E380">
      <w:pPr>
        <w:ind w:right="1008" w:firstLine="4284" w:firstLineChars="1700"/>
        <w:rPr>
          <w:rFonts w:hint="default" w:eastAsia="宋体" w:cs="宋体"/>
          <w:color w:val="auto"/>
          <w:spacing w:val="6"/>
          <w:szCs w:val="24"/>
          <w:highlight w:val="none"/>
          <w:lang w:val="en-US" w:eastAsia="zh-CN"/>
        </w:rPr>
      </w:pPr>
      <w:r>
        <w:rPr>
          <w:rFonts w:hint="eastAsia" w:cs="宋体"/>
          <w:color w:val="auto"/>
          <w:spacing w:val="6"/>
          <w:szCs w:val="24"/>
          <w:highlight w:val="none"/>
        </w:rPr>
        <w:t>日期：</w:t>
      </w:r>
      <w:r>
        <w:rPr>
          <w:rFonts w:hint="eastAsia" w:cs="宋体"/>
          <w:color w:val="auto"/>
          <w:spacing w:val="6"/>
          <w:szCs w:val="24"/>
          <w:highlight w:val="none"/>
          <w:lang w:val="en-US" w:eastAsia="zh-CN"/>
        </w:rPr>
        <w:t xml:space="preserve">   年  月  日</w:t>
      </w:r>
    </w:p>
    <w:p w14:paraId="7BA8C73B">
      <w:pPr>
        <w:ind w:firstLine="504" w:firstLineChars="200"/>
        <w:rPr>
          <w:rFonts w:cs="宋体"/>
          <w:color w:val="auto"/>
          <w:spacing w:val="6"/>
          <w:szCs w:val="24"/>
          <w:highlight w:val="none"/>
        </w:rPr>
      </w:pPr>
    </w:p>
    <w:p w14:paraId="748B4DD4">
      <w:pPr>
        <w:rPr>
          <w:rFonts w:hint="default" w:cs="宋体"/>
          <w:b/>
          <w:bCs/>
          <w:color w:val="auto"/>
          <w:spacing w:val="6"/>
          <w:sz w:val="21"/>
          <w:szCs w:val="21"/>
          <w:highlight w:val="none"/>
          <w:lang w:val="en-US" w:eastAsia="zh-CN"/>
        </w:rPr>
      </w:pPr>
      <w:r>
        <w:rPr>
          <w:rFonts w:hint="eastAsia" w:cs="宋体"/>
          <w:b/>
          <w:bCs/>
          <w:color w:val="auto"/>
          <w:spacing w:val="6"/>
          <w:sz w:val="21"/>
          <w:szCs w:val="21"/>
          <w:highlight w:val="none"/>
        </w:rPr>
        <w:t>说明：</w:t>
      </w:r>
      <w:r>
        <w:rPr>
          <w:rFonts w:hint="eastAsia" w:cs="宋体"/>
          <w:b/>
          <w:bCs/>
          <w:color w:val="auto"/>
          <w:spacing w:val="6"/>
          <w:sz w:val="21"/>
          <w:szCs w:val="21"/>
          <w:highlight w:val="none"/>
          <w:lang w:val="en-US" w:eastAsia="zh-CN"/>
        </w:rPr>
        <w:t>1.重要提示：供应商应仔细阅读本函附件1关于</w:t>
      </w:r>
      <w:r>
        <w:rPr>
          <w:rFonts w:hint="eastAsia" w:cs="宋体"/>
          <w:color w:val="auto"/>
          <w:spacing w:val="-6"/>
          <w:kern w:val="0"/>
          <w:sz w:val="21"/>
          <w:szCs w:val="21"/>
          <w:highlight w:val="none"/>
          <w:lang w:val="en-US" w:eastAsia="zh-CN" w:bidi="ar"/>
        </w:rPr>
        <w:t>“</w:t>
      </w:r>
      <w:r>
        <w:rPr>
          <w:rFonts w:hint="eastAsia" w:cs="宋体"/>
          <w:b/>
          <w:bCs/>
          <w:color w:val="auto"/>
          <w:spacing w:val="6"/>
          <w:sz w:val="21"/>
          <w:szCs w:val="21"/>
          <w:highlight w:val="none"/>
          <w:lang w:val="en-US" w:eastAsia="zh-CN"/>
        </w:rPr>
        <w:t>中小企业声明函”的填写要求及提交要求，否则，因填写或提交等产生的一切不利后果，须自行承担。</w:t>
      </w:r>
    </w:p>
    <w:p w14:paraId="126DF3AF">
      <w:pPr>
        <w:ind w:firstLine="668" w:firstLineChars="300"/>
        <w:rPr>
          <w:rFonts w:cs="宋体"/>
          <w:color w:val="auto"/>
          <w:spacing w:val="6"/>
          <w:sz w:val="21"/>
          <w:szCs w:val="21"/>
          <w:highlight w:val="none"/>
        </w:rPr>
      </w:pPr>
      <w:r>
        <w:rPr>
          <w:rFonts w:hint="eastAsia" w:cs="宋体"/>
          <w:b/>
          <w:bCs/>
          <w:color w:val="auto"/>
          <w:spacing w:val="6"/>
          <w:sz w:val="21"/>
          <w:szCs w:val="21"/>
          <w:highlight w:val="none"/>
          <w:lang w:val="en-US" w:eastAsia="zh-CN"/>
        </w:rPr>
        <w:t>2.</w:t>
      </w:r>
      <w:r>
        <w:rPr>
          <w:rFonts w:hint="eastAsia" w:cs="宋体"/>
          <w:color w:val="auto"/>
          <w:spacing w:val="6"/>
          <w:sz w:val="21"/>
          <w:szCs w:val="21"/>
          <w:highlight w:val="none"/>
        </w:rPr>
        <w:t>从业人员、营业收入、资产总额填报上一年度数据，无上一年度数据的新成立企业可不填报。</w:t>
      </w:r>
    </w:p>
    <w:p w14:paraId="54C60C6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color w:val="auto"/>
          <w:highlight w:val="none"/>
          <w:lang w:val="en-US" w:eastAsia="zh-CN"/>
        </w:rPr>
      </w:pPr>
    </w:p>
    <w:p w14:paraId="44B8976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color w:val="auto"/>
          <w:highlight w:val="none"/>
          <w:lang w:val="en-US" w:eastAsia="zh-CN"/>
        </w:rPr>
      </w:pPr>
    </w:p>
    <w:p w14:paraId="7665769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color w:val="auto"/>
          <w:highlight w:val="none"/>
          <w:lang w:val="en-US" w:eastAsia="zh-CN"/>
        </w:rPr>
      </w:pPr>
    </w:p>
    <w:p w14:paraId="3EAEDF6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color w:val="auto"/>
          <w:highlight w:val="none"/>
          <w:lang w:val="en-US" w:eastAsia="zh-CN"/>
        </w:rPr>
      </w:pPr>
    </w:p>
    <w:p w14:paraId="00376C3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color w:val="auto"/>
          <w:highlight w:val="none"/>
          <w:lang w:val="en-US" w:eastAsia="zh-CN"/>
        </w:rPr>
      </w:pPr>
      <w:r>
        <w:rPr>
          <w:rFonts w:hint="eastAsia"/>
          <w:b/>
          <w:bCs/>
          <w:color w:val="auto"/>
          <w:highlight w:val="none"/>
          <w:lang w:val="en-US" w:eastAsia="zh-CN"/>
        </w:rPr>
        <w:t xml:space="preserve">附件1 </w:t>
      </w:r>
    </w:p>
    <w:p w14:paraId="1B7EF9B9">
      <w:pPr>
        <w:keepNext w:val="0"/>
        <w:keepLines w:val="0"/>
        <w:widowControl/>
        <w:suppressLineNumbers w:val="0"/>
        <w:ind w:firstLine="562" w:firstLineChars="200"/>
        <w:jc w:val="left"/>
        <w:rPr>
          <w:rStyle w:val="33"/>
          <w:rFonts w:hint="eastAsia" w:ascii="宋体" w:hAnsi="宋体" w:eastAsia="宋体" w:cs="宋体"/>
          <w:color w:val="auto"/>
          <w:kern w:val="0"/>
          <w:sz w:val="28"/>
          <w:szCs w:val="28"/>
          <w:highlight w:val="none"/>
          <w:lang w:val="en-US" w:eastAsia="zh-CN" w:bidi="ar"/>
        </w:rPr>
      </w:pPr>
    </w:p>
    <w:p w14:paraId="2B5549A9">
      <w:pPr>
        <w:keepNext w:val="0"/>
        <w:keepLines w:val="0"/>
        <w:widowControl/>
        <w:suppressLineNumbers w:val="0"/>
        <w:ind w:firstLine="482" w:firstLineChars="200"/>
        <w:jc w:val="left"/>
        <w:rPr>
          <w:rStyle w:val="33"/>
          <w:rFonts w:hint="eastAsia" w:ascii="宋体" w:hAnsi="宋体" w:eastAsia="宋体" w:cs="宋体"/>
          <w:color w:val="auto"/>
          <w:kern w:val="0"/>
          <w:sz w:val="24"/>
          <w:szCs w:val="24"/>
          <w:highlight w:val="none"/>
          <w:lang w:val="en-US" w:eastAsia="zh-CN" w:bidi="ar"/>
        </w:rPr>
      </w:pPr>
      <w:r>
        <w:rPr>
          <w:rStyle w:val="33"/>
          <w:rFonts w:hint="eastAsia" w:ascii="宋体" w:hAnsi="宋体" w:eastAsia="宋体" w:cs="宋体"/>
          <w:color w:val="auto"/>
          <w:kern w:val="0"/>
          <w:sz w:val="24"/>
          <w:szCs w:val="24"/>
          <w:highlight w:val="none"/>
          <w:lang w:val="en-US" w:eastAsia="zh-CN" w:bidi="ar"/>
        </w:rPr>
        <w:t>（一）关于</w:t>
      </w:r>
      <w:r>
        <w:rPr>
          <w:rStyle w:val="33"/>
          <w:rFonts w:hint="eastAsia" w:cs="宋体"/>
          <w:color w:val="auto"/>
          <w:kern w:val="0"/>
          <w:sz w:val="24"/>
          <w:szCs w:val="24"/>
          <w:highlight w:val="none"/>
          <w:lang w:val="en-US" w:eastAsia="zh-CN" w:bidi="ar"/>
        </w:rPr>
        <w:t>“</w:t>
      </w:r>
      <w:r>
        <w:rPr>
          <w:rStyle w:val="33"/>
          <w:rFonts w:hint="eastAsia" w:ascii="宋体" w:hAnsi="宋体" w:eastAsia="宋体" w:cs="宋体"/>
          <w:color w:val="auto"/>
          <w:kern w:val="0"/>
          <w:sz w:val="24"/>
          <w:szCs w:val="24"/>
          <w:highlight w:val="none"/>
          <w:lang w:val="en-US" w:eastAsia="zh-CN" w:bidi="ar"/>
        </w:rPr>
        <w:t>中小企业声明函</w:t>
      </w:r>
      <w:r>
        <w:rPr>
          <w:rStyle w:val="33"/>
          <w:rFonts w:hint="eastAsia" w:cs="宋体"/>
          <w:color w:val="auto"/>
          <w:kern w:val="0"/>
          <w:sz w:val="24"/>
          <w:szCs w:val="24"/>
          <w:highlight w:val="none"/>
          <w:lang w:val="en-US" w:eastAsia="zh-CN" w:bidi="ar"/>
        </w:rPr>
        <w:t>”</w:t>
      </w:r>
      <w:r>
        <w:rPr>
          <w:rStyle w:val="33"/>
          <w:rFonts w:hint="eastAsia" w:ascii="宋体" w:hAnsi="宋体" w:eastAsia="宋体" w:cs="宋体"/>
          <w:color w:val="auto"/>
          <w:kern w:val="0"/>
          <w:sz w:val="24"/>
          <w:szCs w:val="24"/>
          <w:highlight w:val="none"/>
          <w:lang w:val="en-US" w:eastAsia="zh-CN" w:bidi="ar"/>
        </w:rPr>
        <w:t>的填写要求</w:t>
      </w:r>
    </w:p>
    <w:p w14:paraId="6BC4DFB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中小企业声明函</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具体填写要求如下：</w:t>
      </w:r>
    </w:p>
    <w:p w14:paraId="414BDE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1.“单位名称”应填写采购人名称。</w:t>
      </w:r>
    </w:p>
    <w:p w14:paraId="3C11145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02B61C1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29C8232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4.“采购文件中明确的所属行业”应填写采购文件中明确的采购标的所属行业，并应确保与采购标的涉及的货物制造商/服务承接商/工程承建商（根据项目属性确定）本身的所属行业保持一致。</w:t>
      </w:r>
    </w:p>
    <w:p w14:paraId="634D661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3941B3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3C9C37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5.“企业名称”应填写投标（响应）的货物制造商/服务承接商/工程承建商（根据项目属性确定）。</w:t>
      </w:r>
    </w:p>
    <w:p w14:paraId="1A04AFA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对于分包方式面向中小企业采购的项目，“企业名称”应填写分包部分采购标的对应的货物制造商/服务承接商/工程承建商（根据项目属性确定）。</w:t>
      </w:r>
    </w:p>
    <w:p w14:paraId="67D0083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对于以联合体方式面向中小企业采购的项目，“企业名称”应填写联合体中中小企业承担采购标的对应的货物制造商/服务承接商/工程承建商（根据项目属性确定）。</w:t>
      </w:r>
    </w:p>
    <w:p w14:paraId="47482C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6.从业人员、资产总额指标以上年度末数据为依据，营业收入指标以上年度累计数据为依据。无上年度数据的新成立企业可不填报。</w:t>
      </w:r>
    </w:p>
    <w:p w14:paraId="417BBF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中型企业/小型企业/微型企业”部分，供应商应依据企业上年度从业人员、营业收入、资产总额等指标，按照《中小企业划型标准规定》（工信部联企业〔2011〕300号）、《金融业企业划型标准规定》（银发〔2015〕309号），判断</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中小企业声明函</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载明的货物制造商/服务承接商/工程承建商（根据项目属性确定）是否属于采购文件所属行业的中型企业/小型企业/微型企业。</w:t>
      </w:r>
    </w:p>
    <w:p w14:paraId="0A3DD53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7BA9439A">
      <w:pPr>
        <w:keepNext w:val="0"/>
        <w:keepLines w:val="0"/>
        <w:widowControl/>
        <w:suppressLineNumbers w:val="0"/>
        <w:ind w:firstLine="482" w:firstLineChars="200"/>
        <w:jc w:val="left"/>
        <w:rPr>
          <w:rStyle w:val="33"/>
          <w:rFonts w:hint="eastAsia" w:ascii="宋体" w:hAnsi="宋体" w:eastAsia="宋体" w:cs="宋体"/>
          <w:color w:val="auto"/>
          <w:kern w:val="0"/>
          <w:sz w:val="24"/>
          <w:szCs w:val="24"/>
          <w:highlight w:val="none"/>
          <w:lang w:val="en-US" w:eastAsia="zh-CN" w:bidi="ar"/>
        </w:rPr>
      </w:pPr>
      <w:r>
        <w:rPr>
          <w:rStyle w:val="33"/>
          <w:rFonts w:hint="eastAsia" w:ascii="宋体" w:hAnsi="宋体" w:eastAsia="宋体" w:cs="宋体"/>
          <w:color w:val="auto"/>
          <w:kern w:val="0"/>
          <w:sz w:val="24"/>
          <w:szCs w:val="24"/>
          <w:highlight w:val="none"/>
          <w:lang w:val="en-US" w:eastAsia="zh-CN" w:bidi="ar"/>
        </w:rPr>
        <w:t>（二）关于</w:t>
      </w:r>
      <w:r>
        <w:rPr>
          <w:rStyle w:val="33"/>
          <w:rFonts w:hint="eastAsia" w:cs="宋体"/>
          <w:color w:val="auto"/>
          <w:kern w:val="0"/>
          <w:sz w:val="24"/>
          <w:szCs w:val="24"/>
          <w:highlight w:val="none"/>
          <w:lang w:val="en-US" w:eastAsia="zh-CN" w:bidi="ar"/>
        </w:rPr>
        <w:t>“</w:t>
      </w:r>
      <w:r>
        <w:rPr>
          <w:rStyle w:val="33"/>
          <w:rFonts w:hint="eastAsia" w:ascii="宋体" w:hAnsi="宋体" w:eastAsia="宋体" w:cs="宋体"/>
          <w:color w:val="auto"/>
          <w:kern w:val="0"/>
          <w:sz w:val="24"/>
          <w:szCs w:val="24"/>
          <w:highlight w:val="none"/>
          <w:lang w:val="en-US" w:eastAsia="zh-CN" w:bidi="ar"/>
        </w:rPr>
        <w:t>中小企业声明函</w:t>
      </w:r>
      <w:r>
        <w:rPr>
          <w:rStyle w:val="33"/>
          <w:rFonts w:hint="eastAsia" w:cs="宋体"/>
          <w:color w:val="auto"/>
          <w:kern w:val="0"/>
          <w:sz w:val="24"/>
          <w:szCs w:val="24"/>
          <w:highlight w:val="none"/>
          <w:lang w:val="en-US" w:eastAsia="zh-CN" w:bidi="ar"/>
        </w:rPr>
        <w:t>”</w:t>
      </w:r>
      <w:r>
        <w:rPr>
          <w:rStyle w:val="33"/>
          <w:rFonts w:hint="eastAsia" w:ascii="宋体" w:hAnsi="宋体" w:eastAsia="宋体" w:cs="宋体"/>
          <w:color w:val="auto"/>
          <w:kern w:val="0"/>
          <w:sz w:val="24"/>
          <w:szCs w:val="24"/>
          <w:highlight w:val="none"/>
          <w:lang w:val="en-US" w:eastAsia="zh-CN" w:bidi="ar"/>
        </w:rPr>
        <w:t>的提交要求</w:t>
      </w:r>
    </w:p>
    <w:p w14:paraId="5F29A0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1.投标（响应）供应商对</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中小企业声明函</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的真实性负责。投标（响应）供应商应当核实投标（响应）的货物制造商/服务承接商/工程承建商（根据项目属性确定）的相关信息，如对相关信息了解不充分，或者不能确定相关信息真实、准确的，不建议出具</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中小企业声明函</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w:t>
      </w:r>
    </w:p>
    <w:p w14:paraId="49FFD35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2.鼓励供应商在投标（响应）时一并提供对货物制造商、服务承接商、工程承建商相关信息的核实核验情况以及其他佐证材料。</w:t>
      </w:r>
    </w:p>
    <w:p w14:paraId="15483C2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3.如供应商提供的</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中小企业声明函</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存在按采购文件所属行业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E224C04">
      <w:pPr>
        <w:rPr>
          <w:rFonts w:cs="宋体"/>
          <w:color w:val="auto"/>
          <w:spacing w:val="6"/>
          <w:sz w:val="21"/>
          <w:szCs w:val="21"/>
          <w:highlight w:val="none"/>
        </w:rPr>
      </w:pPr>
    </w:p>
    <w:p w14:paraId="511B2BB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bCs/>
          <w:color w:val="auto"/>
          <w:highlight w:val="none"/>
          <w:lang w:val="en-US" w:eastAsia="zh-CN"/>
        </w:rPr>
      </w:pPr>
      <w:r>
        <w:rPr>
          <w:rFonts w:hint="eastAsia"/>
          <w:b/>
          <w:bCs/>
          <w:color w:val="auto"/>
          <w:highlight w:val="none"/>
          <w:lang w:val="en-US" w:eastAsia="zh-CN"/>
        </w:rPr>
        <w:t>附件2：</w:t>
      </w:r>
    </w:p>
    <w:p w14:paraId="39036397">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关于印发中小企业划型标准规定的通知</w:t>
      </w:r>
    </w:p>
    <w:p w14:paraId="7A2004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3"/>
          <w:rFonts w:hint="eastAsia" w:ascii="宋体" w:hAnsi="宋体" w:eastAsia="宋体" w:cs="宋体"/>
          <w:b w:val="0"/>
          <w:color w:val="auto"/>
          <w:sz w:val="24"/>
          <w:szCs w:val="24"/>
          <w:highlight w:val="none"/>
        </w:rPr>
      </w:pPr>
      <w:r>
        <w:rPr>
          <w:rStyle w:val="33"/>
          <w:rFonts w:hint="eastAsia" w:ascii="宋体" w:hAnsi="宋体" w:eastAsia="宋体" w:cs="宋体"/>
          <w:b w:val="0"/>
          <w:color w:val="auto"/>
          <w:sz w:val="24"/>
          <w:szCs w:val="24"/>
          <w:highlight w:val="none"/>
        </w:rPr>
        <w:t>工信部联企业〔2011〕300号</w:t>
      </w:r>
    </w:p>
    <w:p w14:paraId="0E959B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3"/>
          <w:rFonts w:hint="eastAsia" w:ascii="宋体" w:hAnsi="宋体" w:eastAsia="宋体" w:cs="宋体"/>
          <w:b w:val="0"/>
          <w:color w:val="auto"/>
          <w:sz w:val="24"/>
          <w:szCs w:val="24"/>
          <w:highlight w:val="none"/>
        </w:rPr>
      </w:pPr>
    </w:p>
    <w:p w14:paraId="289C59A7">
      <w:pPr>
        <w:keepNext w:val="0"/>
        <w:keepLines w:val="0"/>
        <w:pageBreakBefore w:val="0"/>
        <w:widowControl w:val="0"/>
        <w:kinsoku/>
        <w:wordWrap/>
        <w:overflowPunct/>
        <w:topLinePunct w:val="0"/>
        <w:autoSpaceDE/>
        <w:autoSpaceDN/>
        <w:bidi w:val="0"/>
        <w:adjustRightInd/>
        <w:snapToGrid/>
        <w:spacing w:line="360" w:lineRule="exact"/>
        <w:textAlignment w:val="auto"/>
        <w:rPr>
          <w:rStyle w:val="33"/>
          <w:rFonts w:hint="eastAsia" w:ascii="宋体" w:hAnsi="宋体" w:eastAsia="宋体" w:cs="宋体"/>
          <w:b w:val="0"/>
          <w:color w:val="auto"/>
          <w:sz w:val="24"/>
          <w:szCs w:val="24"/>
          <w:highlight w:val="none"/>
        </w:rPr>
      </w:pPr>
      <w:r>
        <w:rPr>
          <w:rStyle w:val="33"/>
          <w:rFonts w:hint="eastAsia" w:ascii="宋体" w:hAnsi="宋体" w:eastAsia="宋体" w:cs="宋体"/>
          <w:b w:val="0"/>
          <w:color w:val="auto"/>
          <w:sz w:val="24"/>
          <w:szCs w:val="24"/>
          <w:highlight w:val="none"/>
        </w:rPr>
        <w:t>各省、自治区、直辖市人民政府，国务院各部委、各直属机构及有关单位：</w:t>
      </w:r>
    </w:p>
    <w:p w14:paraId="11AACCD7">
      <w:pPr>
        <w:keepNext w:val="0"/>
        <w:keepLines w:val="0"/>
        <w:pageBreakBefore w:val="0"/>
        <w:widowControl w:val="0"/>
        <w:kinsoku/>
        <w:wordWrap/>
        <w:overflowPunct/>
        <w:topLinePunct w:val="0"/>
        <w:autoSpaceDE/>
        <w:autoSpaceDN/>
        <w:bidi w:val="0"/>
        <w:adjustRightInd/>
        <w:snapToGrid/>
        <w:spacing w:line="36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9C30634">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工业和信息化部　国家统计局</w:t>
      </w:r>
    </w:p>
    <w:p w14:paraId="5C55A29B">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国家发展和改革委员会　财政部</w:t>
      </w:r>
    </w:p>
    <w:p w14:paraId="6F52758A">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二○一一年六月十八日</w:t>
      </w:r>
    </w:p>
    <w:p w14:paraId="75F0B3C6">
      <w:pPr>
        <w:keepNext w:val="0"/>
        <w:keepLines w:val="0"/>
        <w:pageBreakBefore w:val="0"/>
        <w:widowControl w:val="0"/>
        <w:kinsoku/>
        <w:wordWrap/>
        <w:overflowPunct/>
        <w:topLinePunct w:val="0"/>
        <w:autoSpaceDE/>
        <w:autoSpaceDN/>
        <w:bidi w:val="0"/>
        <w:adjustRightInd/>
        <w:snapToGrid/>
        <w:spacing w:line="36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xml:space="preserve"> </w:t>
      </w:r>
    </w:p>
    <w:p w14:paraId="3E2FDB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33"/>
          <w:rFonts w:hint="eastAsia" w:ascii="宋体" w:hAnsi="宋体" w:eastAsia="宋体" w:cs="宋体"/>
          <w:b/>
          <w:bCs w:val="0"/>
          <w:color w:val="auto"/>
          <w:sz w:val="28"/>
          <w:szCs w:val="28"/>
          <w:highlight w:val="none"/>
        </w:rPr>
      </w:pPr>
      <w:r>
        <w:rPr>
          <w:rStyle w:val="33"/>
          <w:rFonts w:hint="eastAsia" w:ascii="宋体" w:hAnsi="宋体" w:eastAsia="宋体" w:cs="宋体"/>
          <w:b/>
          <w:bCs w:val="0"/>
          <w:color w:val="auto"/>
          <w:sz w:val="28"/>
          <w:szCs w:val="28"/>
          <w:highlight w:val="none"/>
        </w:rPr>
        <w:t>中小企业划型标准规定</w:t>
      </w:r>
    </w:p>
    <w:p w14:paraId="7440C465">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一、根据《中华人民共和国中小企业促进法》和《国务院关于进一步促进中小企业发展的若干意见》(国发〔2009〕36号)，制定本规定。</w:t>
      </w:r>
    </w:p>
    <w:p w14:paraId="507AD261">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二、中小企业划分为中型、小型、微型三种类型，具体标准根据企业从业人员、营业收入、资产总额等指标，结合行业特点制定。</w:t>
      </w:r>
    </w:p>
    <w:p w14:paraId="58A39619">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F5AE90D">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四、各行业划型标准为：</w:t>
      </w:r>
    </w:p>
    <w:p w14:paraId="6B4E2D0C">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79E2F5AC">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AA582AE">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21D138B">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17EB3B7">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FEB118A">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514A6D2">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EFCEC98">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D4D3E4D">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462725">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37CBAA6">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10AAA96">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EC394A7">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1121D1E">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6AB8718">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0881398">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（十六）其他未列明行业。从业人员300人以下的为中小微型企业。其中，从业人员100人及以上的为中型企业；从业人员10人及以上的为小型企业；从业人员10人以下的为微型企业。　　</w:t>
      </w:r>
    </w:p>
    <w:p w14:paraId="509B953B">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五、企业类型的划分以统计部门的统计数据为依据。</w:t>
      </w:r>
    </w:p>
    <w:p w14:paraId="77228C0D">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六、本规定适用于在中华人民共和国境内依法设立的各类所有制和各种组织形式的企业。个体工商户和本规定以外的行业，参照本规定进行划型。</w:t>
      </w:r>
    </w:p>
    <w:p w14:paraId="5F4BB8EA">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0450AEC1">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八、本规定由工业和信息化部、国家统计局会同有关部门根据《国民经济行业分类》修订情况和企业发展变化情况适时修订。</w:t>
      </w:r>
    </w:p>
    <w:p w14:paraId="69D789A4">
      <w:pPr>
        <w:keepNext w:val="0"/>
        <w:keepLines w:val="0"/>
        <w:pageBreakBefore w:val="0"/>
        <w:widowControl w:val="0"/>
        <w:kinsoku/>
        <w:wordWrap/>
        <w:overflowPunct/>
        <w:topLinePunct w:val="0"/>
        <w:autoSpaceDE/>
        <w:autoSpaceDN/>
        <w:bidi w:val="0"/>
        <w:adjustRightInd/>
        <w:snapToGrid/>
        <w:spacing w:line="40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九、本规定由工业和信息化部、国家统计局会同有关部门负责解释。</w:t>
      </w:r>
    </w:p>
    <w:p w14:paraId="4299A031">
      <w:pPr>
        <w:keepNext w:val="0"/>
        <w:keepLines w:val="0"/>
        <w:pageBreakBefore w:val="0"/>
        <w:widowControl w:val="0"/>
        <w:kinsoku/>
        <w:wordWrap/>
        <w:overflowPunct/>
        <w:topLinePunct w:val="0"/>
        <w:autoSpaceDE/>
        <w:autoSpaceDN/>
        <w:bidi w:val="0"/>
        <w:adjustRightInd/>
        <w:snapToGrid/>
        <w:spacing w:line="400" w:lineRule="exact"/>
        <w:textAlignment w:val="auto"/>
        <w:rPr>
          <w:rFonts w:cs="宋体"/>
          <w:color w:val="auto"/>
          <w:spacing w:val="6"/>
          <w:sz w:val="21"/>
          <w:szCs w:val="21"/>
          <w:highlight w:val="none"/>
        </w:rPr>
      </w:pPr>
      <w:r>
        <w:rPr>
          <w:rStyle w:val="33"/>
          <w:rFonts w:hint="eastAsia" w:ascii="宋体" w:hAnsi="宋体" w:eastAsia="宋体" w:cs="宋体"/>
          <w:b w:val="0"/>
          <w:bCs w:val="0"/>
          <w:color w:val="auto"/>
          <w:sz w:val="24"/>
          <w:szCs w:val="24"/>
          <w:highlight w:val="none"/>
        </w:rPr>
        <w:t>十、本规定自发布之日起执行，原国家经贸委、原国家计委、财政部和国家统计局2003年颁布的《中小企业标准暂行规定》同时废止。</w:t>
      </w:r>
    </w:p>
    <w:p w14:paraId="2CABEDA6">
      <w:pPr>
        <w:rPr>
          <w:rFonts w:cs="宋体"/>
          <w:color w:val="auto"/>
          <w:spacing w:val="6"/>
          <w:sz w:val="21"/>
          <w:szCs w:val="21"/>
          <w:highlight w:val="none"/>
        </w:rPr>
      </w:pPr>
    </w:p>
    <w:p w14:paraId="69E3A359">
      <w:pPr>
        <w:rPr>
          <w:rFonts w:cs="宋体"/>
          <w:color w:val="auto"/>
          <w:spacing w:val="6"/>
          <w:sz w:val="21"/>
          <w:szCs w:val="21"/>
          <w:highlight w:val="none"/>
        </w:rPr>
      </w:pPr>
    </w:p>
    <w:p w14:paraId="2DA82083">
      <w:pPr>
        <w:rPr>
          <w:rFonts w:cs="宋体"/>
          <w:color w:val="auto"/>
          <w:spacing w:val="6"/>
          <w:sz w:val="21"/>
          <w:szCs w:val="21"/>
          <w:highlight w:val="none"/>
        </w:rPr>
      </w:pPr>
    </w:p>
    <w:p w14:paraId="1140213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bCs/>
          <w:color w:val="auto"/>
          <w:highlight w:val="none"/>
          <w:lang w:val="en-US" w:eastAsia="zh-CN"/>
        </w:rPr>
      </w:pPr>
      <w:r>
        <w:rPr>
          <w:rFonts w:hint="eastAsia"/>
          <w:b/>
          <w:bCs/>
          <w:color w:val="auto"/>
          <w:highlight w:val="none"/>
          <w:lang w:val="en-US" w:eastAsia="zh-CN"/>
        </w:rPr>
        <w:t>附件3：</w:t>
      </w:r>
    </w:p>
    <w:p w14:paraId="69CF5111">
      <w:pPr>
        <w:rPr>
          <w:rFonts w:hint="eastAsia" w:cs="宋体"/>
          <w:color w:val="auto"/>
          <w:spacing w:val="6"/>
          <w:sz w:val="21"/>
          <w:szCs w:val="21"/>
          <w:highlight w:val="none"/>
        </w:rPr>
      </w:pPr>
    </w:p>
    <w:p w14:paraId="1C50A461">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关于印发《金融业企业划型标准规定》的通知</w:t>
      </w:r>
    </w:p>
    <w:p w14:paraId="2EC1ECF3">
      <w:pPr>
        <w:jc w:val="center"/>
        <w:rPr>
          <w:rStyle w:val="33"/>
          <w:rFonts w:hint="eastAsia" w:ascii="宋体" w:hAnsi="宋体" w:eastAsia="宋体" w:cs="宋体"/>
          <w:b w:val="0"/>
          <w:color w:val="auto"/>
          <w:sz w:val="24"/>
          <w:szCs w:val="24"/>
          <w:highlight w:val="none"/>
        </w:rPr>
      </w:pPr>
      <w:r>
        <w:rPr>
          <w:rStyle w:val="33"/>
          <w:rFonts w:hint="eastAsia" w:ascii="宋体" w:hAnsi="宋体" w:eastAsia="宋体" w:cs="宋体"/>
          <w:b w:val="0"/>
          <w:color w:val="auto"/>
          <w:sz w:val="24"/>
          <w:szCs w:val="24"/>
          <w:highlight w:val="none"/>
        </w:rPr>
        <w:t>银发〔2015〕309号</w:t>
      </w:r>
    </w:p>
    <w:p w14:paraId="6EBA1AEF">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经国务院同意，现印发给你们，请遵照执行。</w:t>
      </w:r>
    </w:p>
    <w:p w14:paraId="12B6BFCB">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请人民银行上海总部，各分行、营业管理部、省会（首府）城市中心支行、副省级城市中心支行会同所在省（区、市）银监局、证监局、保监局、统计局将本通知联合转发至辖内相关机构。</w:t>
      </w:r>
    </w:p>
    <w:p w14:paraId="53F6A9E3">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3"/>
          <w:rFonts w:hint="eastAsia" w:ascii="宋体" w:hAnsi="宋体" w:eastAsia="宋体" w:cs="宋体"/>
          <w:b w:val="0"/>
          <w:bCs w:val="0"/>
          <w:color w:val="auto"/>
          <w:sz w:val="24"/>
          <w:szCs w:val="24"/>
          <w:highlight w:val="none"/>
        </w:rPr>
      </w:pPr>
    </w:p>
    <w:p w14:paraId="5AE5F476">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附件：金融业企业划型标准规定</w:t>
      </w:r>
    </w:p>
    <w:p w14:paraId="575D4BF4">
      <w:pPr>
        <w:keepNext w:val="0"/>
        <w:keepLines w:val="0"/>
        <w:pageBreakBefore w:val="0"/>
        <w:widowControl w:val="0"/>
        <w:kinsoku/>
        <w:wordWrap/>
        <w:overflowPunct/>
        <w:topLinePunct w:val="0"/>
        <w:autoSpaceDE/>
        <w:autoSpaceDN/>
        <w:bidi w:val="0"/>
        <w:adjustRightInd/>
        <w:snapToGrid/>
        <w:spacing w:line="460" w:lineRule="exact"/>
        <w:textAlignment w:val="auto"/>
        <w:rPr>
          <w:rStyle w:val="33"/>
          <w:rFonts w:hint="eastAsia" w:ascii="宋体" w:hAnsi="宋体" w:eastAsia="宋体" w:cs="宋体"/>
          <w:b w:val="0"/>
          <w:bCs w:val="0"/>
          <w:color w:val="auto"/>
          <w:sz w:val="24"/>
          <w:szCs w:val="24"/>
          <w:highlight w:val="none"/>
        </w:rPr>
      </w:pPr>
      <w:r>
        <w:rPr>
          <w:rFonts w:hint="eastAsia" w:cs="宋体"/>
          <w:color w:val="auto"/>
          <w:spacing w:val="6"/>
          <w:sz w:val="24"/>
          <w:szCs w:val="24"/>
          <w:highlight w:val="none"/>
        </w:rPr>
        <w:t>                                      </w:t>
      </w:r>
      <w:r>
        <w:rPr>
          <w:rStyle w:val="33"/>
          <w:rFonts w:hint="eastAsia" w:ascii="宋体" w:hAnsi="宋体" w:eastAsia="宋体" w:cs="宋体"/>
          <w:b w:val="0"/>
          <w:bCs w:val="0"/>
          <w:color w:val="auto"/>
          <w:sz w:val="24"/>
          <w:szCs w:val="24"/>
          <w:highlight w:val="none"/>
        </w:rPr>
        <w:t>       </w:t>
      </w:r>
      <w:r>
        <w:rPr>
          <w:rStyle w:val="33"/>
          <w:rFonts w:hint="eastAsia" w:cs="宋体"/>
          <w:b w:val="0"/>
          <w:bCs w:val="0"/>
          <w:color w:val="auto"/>
          <w:sz w:val="24"/>
          <w:szCs w:val="24"/>
          <w:highlight w:val="none"/>
          <w:lang w:val="en-US" w:eastAsia="zh-CN"/>
        </w:rPr>
        <w:t xml:space="preserve">                            </w:t>
      </w:r>
      <w:r>
        <w:rPr>
          <w:rStyle w:val="33"/>
          <w:rFonts w:hint="eastAsia" w:ascii="宋体" w:hAnsi="宋体" w:eastAsia="宋体" w:cs="宋体"/>
          <w:b w:val="0"/>
          <w:bCs w:val="0"/>
          <w:color w:val="auto"/>
          <w:sz w:val="24"/>
          <w:szCs w:val="24"/>
          <w:highlight w:val="none"/>
        </w:rPr>
        <w:t>中国人民银行</w:t>
      </w:r>
    </w:p>
    <w:p w14:paraId="0E162F05">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中国银行业监督管理委员会</w:t>
      </w:r>
    </w:p>
    <w:p w14:paraId="644A820C">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中国证券监督管理委员会</w:t>
      </w:r>
    </w:p>
    <w:p w14:paraId="13427FED">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中国保险监督管理委员会</w:t>
      </w:r>
    </w:p>
    <w:p w14:paraId="189E390E">
      <w:pPr>
        <w:keepNext w:val="0"/>
        <w:keepLines w:val="0"/>
        <w:pageBreakBefore w:val="0"/>
        <w:widowControl w:val="0"/>
        <w:kinsoku/>
        <w:wordWrap/>
        <w:overflowPunct/>
        <w:topLinePunct w:val="0"/>
        <w:autoSpaceDE/>
        <w:autoSpaceDN/>
        <w:bidi w:val="0"/>
        <w:adjustRightInd/>
        <w:snapToGrid/>
        <w:spacing w:line="460" w:lineRule="exact"/>
        <w:ind w:firstLine="2160" w:firstLineChars="900"/>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中华人民共和国国家统计局</w:t>
      </w:r>
    </w:p>
    <w:p w14:paraId="35EB1163">
      <w:pPr>
        <w:keepNext w:val="0"/>
        <w:keepLines w:val="0"/>
        <w:pageBreakBefore w:val="0"/>
        <w:widowControl w:val="0"/>
        <w:kinsoku/>
        <w:wordWrap/>
        <w:overflowPunct/>
        <w:topLinePunct w:val="0"/>
        <w:autoSpaceDE/>
        <w:autoSpaceDN/>
        <w:bidi w:val="0"/>
        <w:adjustRightInd/>
        <w:snapToGrid/>
        <w:spacing w:line="460" w:lineRule="exact"/>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                                                     </w:t>
      </w:r>
      <w:r>
        <w:rPr>
          <w:rStyle w:val="33"/>
          <w:rFonts w:hint="eastAsia" w:cs="宋体"/>
          <w:b w:val="0"/>
          <w:bCs w:val="0"/>
          <w:color w:val="auto"/>
          <w:sz w:val="24"/>
          <w:szCs w:val="24"/>
          <w:highlight w:val="none"/>
          <w:lang w:val="en-US" w:eastAsia="zh-CN"/>
        </w:rPr>
        <w:t xml:space="preserve">     </w:t>
      </w:r>
      <w:r>
        <w:rPr>
          <w:rStyle w:val="33"/>
          <w:rFonts w:hint="eastAsia" w:ascii="宋体" w:hAnsi="宋体" w:eastAsia="宋体" w:cs="宋体"/>
          <w:b w:val="0"/>
          <w:bCs w:val="0"/>
          <w:color w:val="auto"/>
          <w:sz w:val="24"/>
          <w:szCs w:val="24"/>
          <w:highlight w:val="none"/>
        </w:rPr>
        <w:t> 2015年9月28日</w:t>
      </w:r>
    </w:p>
    <w:p w14:paraId="2D875BF0">
      <w:pPr>
        <w:rPr>
          <w:rFonts w:hint="eastAsia" w:cs="宋体"/>
          <w:color w:val="auto"/>
          <w:spacing w:val="6"/>
          <w:sz w:val="21"/>
          <w:szCs w:val="21"/>
          <w:highlight w:val="none"/>
        </w:rPr>
      </w:pPr>
    </w:p>
    <w:p w14:paraId="3D3E2F07">
      <w:pPr>
        <w:rPr>
          <w:rFonts w:hint="eastAsia" w:cs="宋体"/>
          <w:color w:val="auto"/>
          <w:spacing w:val="6"/>
          <w:sz w:val="21"/>
          <w:szCs w:val="21"/>
          <w:highlight w:val="none"/>
          <w:lang w:val="en-US" w:eastAsia="zh-CN"/>
        </w:rPr>
      </w:pPr>
    </w:p>
    <w:p w14:paraId="7D55D2C4">
      <w:pPr>
        <w:rPr>
          <w:rFonts w:hint="eastAsia" w:cs="宋体"/>
          <w:color w:val="auto"/>
          <w:spacing w:val="6"/>
          <w:sz w:val="21"/>
          <w:szCs w:val="21"/>
          <w:highlight w:val="none"/>
          <w:lang w:val="en-US" w:eastAsia="zh-CN"/>
        </w:rPr>
      </w:pPr>
    </w:p>
    <w:p w14:paraId="535B7B3C">
      <w:pPr>
        <w:rPr>
          <w:rFonts w:hint="eastAsia" w:cs="宋体"/>
          <w:color w:val="auto"/>
          <w:spacing w:val="6"/>
          <w:sz w:val="21"/>
          <w:szCs w:val="21"/>
          <w:highlight w:val="none"/>
          <w:lang w:val="en-US" w:eastAsia="zh-CN"/>
        </w:rPr>
      </w:pPr>
    </w:p>
    <w:p w14:paraId="0003DA46">
      <w:pPr>
        <w:rPr>
          <w:rFonts w:hint="eastAsia" w:cs="宋体"/>
          <w:color w:val="auto"/>
          <w:spacing w:val="6"/>
          <w:sz w:val="21"/>
          <w:szCs w:val="21"/>
          <w:highlight w:val="none"/>
          <w:lang w:val="en-US" w:eastAsia="zh-CN"/>
        </w:rPr>
      </w:pPr>
    </w:p>
    <w:p w14:paraId="2EB5298D">
      <w:pPr>
        <w:rPr>
          <w:rFonts w:hint="eastAsia" w:cs="宋体"/>
          <w:color w:val="auto"/>
          <w:spacing w:val="6"/>
          <w:sz w:val="21"/>
          <w:szCs w:val="21"/>
          <w:highlight w:val="none"/>
          <w:lang w:val="en-US" w:eastAsia="zh-CN"/>
        </w:rPr>
      </w:pPr>
    </w:p>
    <w:p w14:paraId="4E7B262E">
      <w:pPr>
        <w:rPr>
          <w:rFonts w:hint="eastAsia" w:cs="宋体"/>
          <w:color w:val="auto"/>
          <w:spacing w:val="6"/>
          <w:sz w:val="21"/>
          <w:szCs w:val="21"/>
          <w:highlight w:val="none"/>
        </w:rPr>
      </w:pPr>
      <w:r>
        <w:rPr>
          <w:rFonts w:hint="eastAsia" w:cs="宋体"/>
          <w:color w:val="auto"/>
          <w:spacing w:val="6"/>
          <w:sz w:val="21"/>
          <w:szCs w:val="21"/>
          <w:highlight w:val="none"/>
          <w:lang w:val="en-US" w:eastAsia="zh-CN"/>
        </w:rPr>
        <w:t>附件</w:t>
      </w:r>
      <w:r>
        <w:rPr>
          <w:rFonts w:hint="eastAsia" w:cs="宋体"/>
          <w:color w:val="auto"/>
          <w:spacing w:val="6"/>
          <w:sz w:val="21"/>
          <w:szCs w:val="21"/>
          <w:highlight w:val="none"/>
        </w:rPr>
        <w:t>              </w:t>
      </w:r>
    </w:p>
    <w:p w14:paraId="23A68F67">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金融业企业划型标准规定</w:t>
      </w:r>
    </w:p>
    <w:p w14:paraId="35BCA7B1">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一、根据《中华人民共和国中小企业促进法》、《国务院关于进一步促进中小企业发展的若干意见》（国发〔2009〕36号）和《国务院办公厅关于金融支持小微企业发展的实施意见》（国办发〔2013〕87号），制定本规定。</w:t>
      </w:r>
    </w:p>
    <w:p w14:paraId="465CF45A">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二、适用范围。本规定适用于从事《国民经济行业分类》（GB/T4754-2011）中J门类（金融业）活动的企业。</w:t>
      </w:r>
    </w:p>
    <w:p w14:paraId="777FDD5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0292D97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四、划型标准指标。采用一个完整会计年度中四个季度末法人并表口径的资产总额（信托公司为信托资产）平均值作为划型指标，该指标以监管部门数据为准。</w:t>
      </w:r>
    </w:p>
    <w:p w14:paraId="3BF83806">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五、指标标准值。依据指标标准值，将各类金融业企业划分为大、中、小、微四个规模类型，中型企业标准上限及以上的为大型企业。</w:t>
      </w:r>
    </w:p>
    <w:p w14:paraId="7425771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（一）银行业存款类金融机构。资产总额40000亿元以下的为中小微型企业。其中，资产总额5000亿元及以上的为中型企业，资产总额50亿元及以上的为小型企业，资产总额50亿元以下的为微型企业。</w:t>
      </w:r>
    </w:p>
    <w:p w14:paraId="6C9C1B6A">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（二）银行业非存款类金融机构。资产总额1000亿元以下的为中小微企业。其中，资产总额200亿元及以上的为中型企业，资产总额50亿元及以上的为小型企业，资产总额50亿元以下的为微型企业。</w:t>
      </w:r>
    </w:p>
    <w:p w14:paraId="192CC4C7">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（三）贷款公司、小额贷款公司及典当行。资产总额1000亿元以下的为中小微型企业。其中，资产总额200亿元及以上的为中型企业，资产总额50亿元及以上的为小型企业，资产总额50亿元以下的为微型企业。</w:t>
      </w:r>
    </w:p>
    <w:p w14:paraId="2B49DF9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（四）证券业金融机构。资产总额1000亿元以下的为中小微型企业。其中，资产总额100亿元及以上的为中型企业，资产总额10亿元及以上的为小型企业，资产总额10亿元以下的为微型企业。</w:t>
      </w:r>
    </w:p>
    <w:p w14:paraId="0D837DC3">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（五）保险业金融机构。资产总额5000亿元以下的为中小微型企业。其中，资产总额400亿元及以上的为中型企业，资产总额20亿元及以上的为小型企业，资产总额20亿元以下的为微型企业。</w:t>
      </w:r>
    </w:p>
    <w:p w14:paraId="266F6F91">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（六）信托公司。信托资产1000亿元以下的为中小微型企业。其中，信托资产400亿元及以上的为中型企业，信托资产20亿元及以上的为小型企业，信托资产20亿元以下的为微型企业。</w:t>
      </w:r>
    </w:p>
    <w:p w14:paraId="2D1B4E7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（七）金融控股公司。资产总额40000亿元以下的为中小微企业。其中，资产总额5000亿元及以上的为中型企业，资产总额50亿元及以上的为小型企业，资产总额50亿元以下的为微型企业。、</w:t>
      </w:r>
    </w:p>
    <w:p w14:paraId="0E5BB8B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lang w:eastAsia="zh-CN"/>
        </w:rPr>
      </w:pPr>
      <w:r>
        <w:rPr>
          <w:rStyle w:val="33"/>
          <w:rFonts w:hint="eastAsia" w:ascii="宋体" w:hAnsi="宋体" w:eastAsia="宋体" w:cs="宋体"/>
          <w:b w:val="0"/>
          <w:bCs w:val="0"/>
          <w:color w:val="auto"/>
          <w:sz w:val="24"/>
          <w:szCs w:val="24"/>
          <w:highlight w:val="none"/>
        </w:rPr>
        <w:t>(八)除贷款公司、小额贷款公司、典当行以外的其他金融机构。资产总额1000亿元以下的为中小微型企业。其中，资产总额200亿元及以上的为中型企业，资产总额50亿元及以上的为小型企业，资产总额50亿元以下的为微型企业</w:t>
      </w:r>
      <w:r>
        <w:rPr>
          <w:rStyle w:val="33"/>
          <w:rFonts w:hint="eastAsia" w:cs="宋体"/>
          <w:b w:val="0"/>
          <w:bCs w:val="0"/>
          <w:color w:val="auto"/>
          <w:sz w:val="24"/>
          <w:szCs w:val="24"/>
          <w:highlight w:val="none"/>
          <w:lang w:eastAsia="zh-CN"/>
        </w:rPr>
        <w:t>。</w:t>
      </w:r>
    </w:p>
    <w:p w14:paraId="32994D2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加相应的字段模块。经过认定的金融业企业在系统中进行规模登记</w:t>
      </w:r>
      <w:r>
        <w:rPr>
          <w:rStyle w:val="33"/>
          <w:rFonts w:hint="eastAsia" w:cs="宋体"/>
          <w:b w:val="0"/>
          <w:bCs w:val="0"/>
          <w:color w:val="auto"/>
          <w:sz w:val="24"/>
          <w:szCs w:val="24"/>
          <w:highlight w:val="none"/>
          <w:lang w:eastAsia="zh-CN"/>
        </w:rPr>
        <w:t>，</w:t>
      </w:r>
      <w:r>
        <w:rPr>
          <w:rStyle w:val="33"/>
          <w:rFonts w:hint="eastAsia" w:ascii="宋体" w:hAnsi="宋体" w:eastAsia="宋体" w:cs="宋体"/>
          <w:b w:val="0"/>
          <w:bCs w:val="0"/>
          <w:color w:val="auto"/>
          <w:sz w:val="24"/>
          <w:szCs w:val="24"/>
          <w:highlight w:val="none"/>
        </w:rPr>
        <w:t>方便政府部门和社会各界查询使用。</w:t>
      </w:r>
    </w:p>
    <w:p w14:paraId="034C4839">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七、标准值的评估和调整。金融业企业划型标准工作组每五年对划型标准值受经济发展与通货膨胀等因素的影响程度进行评估和调整。</w:t>
      </w:r>
    </w:p>
    <w:p w14:paraId="01F56FF4">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lang w:eastAsia="zh-CN"/>
        </w:rPr>
      </w:pPr>
      <w:r>
        <w:rPr>
          <w:rStyle w:val="33"/>
          <w:rFonts w:hint="eastAsia" w:ascii="宋体" w:hAnsi="宋体" w:eastAsia="宋体" w:cs="宋体"/>
          <w:b w:val="0"/>
          <w:bCs w:val="0"/>
          <w:color w:val="auto"/>
          <w:sz w:val="24"/>
          <w:szCs w:val="24"/>
          <w:highlight w:val="none"/>
        </w:rPr>
        <w:t>八、本规定的中型金融业企业标准上限即为大型金融业企业下限。国务院有关部门据此进行相关数据的统计分析，不得制定与本规定不一致的金融业企业划型标准</w:t>
      </w:r>
      <w:r>
        <w:rPr>
          <w:rStyle w:val="33"/>
          <w:rFonts w:hint="eastAsia" w:cs="宋体"/>
          <w:b w:val="0"/>
          <w:bCs w:val="0"/>
          <w:color w:val="auto"/>
          <w:sz w:val="24"/>
          <w:szCs w:val="24"/>
          <w:highlight w:val="none"/>
          <w:lang w:eastAsia="zh-CN"/>
        </w:rPr>
        <w:t>。</w:t>
      </w:r>
    </w:p>
    <w:p w14:paraId="62B89F5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lang w:eastAsia="zh-CN"/>
        </w:rPr>
      </w:pPr>
      <w:r>
        <w:rPr>
          <w:rStyle w:val="33"/>
          <w:rFonts w:hint="eastAsia" w:ascii="宋体" w:hAnsi="宋体" w:eastAsia="宋体" w:cs="宋体"/>
          <w:b w:val="0"/>
          <w:bCs w:val="0"/>
          <w:color w:val="auto"/>
          <w:sz w:val="24"/>
          <w:szCs w:val="24"/>
          <w:highlight w:val="none"/>
        </w:rPr>
        <w:t>九、融资担保公司参照本规定中“除贷款公司、小额贷款公司、典当行以外的其他金融机构”标准划型</w:t>
      </w:r>
      <w:r>
        <w:rPr>
          <w:rStyle w:val="33"/>
          <w:rFonts w:hint="eastAsia" w:cs="宋体"/>
          <w:b w:val="0"/>
          <w:bCs w:val="0"/>
          <w:color w:val="auto"/>
          <w:sz w:val="24"/>
          <w:szCs w:val="24"/>
          <w:highlight w:val="none"/>
          <w:lang w:eastAsia="zh-CN"/>
        </w:rPr>
        <w:t>。</w:t>
      </w:r>
    </w:p>
    <w:p w14:paraId="5562FAB9">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十、本规定由人民银行会同银监会、证监会、保监会和统计局负责解释。</w:t>
      </w:r>
    </w:p>
    <w:p w14:paraId="0CD76B78">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lang w:eastAsia="zh-CN"/>
        </w:rPr>
      </w:pPr>
      <w:r>
        <w:rPr>
          <w:rStyle w:val="33"/>
          <w:rFonts w:hint="eastAsia" w:ascii="宋体" w:hAnsi="宋体" w:eastAsia="宋体" w:cs="宋体"/>
          <w:b w:val="0"/>
          <w:bCs w:val="0"/>
          <w:color w:val="auto"/>
          <w:sz w:val="24"/>
          <w:szCs w:val="24"/>
          <w:highlight w:val="none"/>
        </w:rPr>
        <w:t>十一、本规定自发布之日起实施</w:t>
      </w:r>
      <w:r>
        <w:rPr>
          <w:rStyle w:val="33"/>
          <w:rFonts w:hint="eastAsia" w:cs="宋体"/>
          <w:b w:val="0"/>
          <w:bCs w:val="0"/>
          <w:color w:val="auto"/>
          <w:sz w:val="24"/>
          <w:szCs w:val="24"/>
          <w:highlight w:val="none"/>
          <w:lang w:eastAsia="zh-CN"/>
        </w:rPr>
        <w:t>。</w:t>
      </w:r>
    </w:p>
    <w:p w14:paraId="5DAE7F9E">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p>
    <w:p w14:paraId="13D9865C">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3"/>
          <w:rFonts w:hint="eastAsia" w:ascii="宋体" w:hAnsi="宋体" w:eastAsia="宋体" w:cs="宋体"/>
          <w:b w:val="0"/>
          <w:bCs w:val="0"/>
          <w:color w:val="auto"/>
          <w:sz w:val="24"/>
          <w:szCs w:val="24"/>
          <w:highlight w:val="none"/>
        </w:rPr>
      </w:pPr>
      <w:r>
        <w:rPr>
          <w:rStyle w:val="33"/>
          <w:rFonts w:hint="eastAsia" w:ascii="宋体" w:hAnsi="宋体" w:eastAsia="宋体" w:cs="宋体"/>
          <w:b w:val="0"/>
          <w:bCs w:val="0"/>
          <w:color w:val="auto"/>
          <w:sz w:val="24"/>
          <w:szCs w:val="24"/>
          <w:highlight w:val="none"/>
        </w:rPr>
        <w:t>附:金融业企业划型标准</w:t>
      </w:r>
    </w:p>
    <w:p w14:paraId="4CB94869">
      <w:pPr>
        <w:rPr>
          <w:rFonts w:cs="宋体"/>
          <w:color w:val="auto"/>
          <w:spacing w:val="6"/>
          <w:sz w:val="21"/>
          <w:szCs w:val="21"/>
          <w:highlight w:val="none"/>
        </w:rPr>
      </w:pPr>
    </w:p>
    <w:p w14:paraId="018058A8">
      <w:pPr>
        <w:rPr>
          <w:rFonts w:hint="eastAsia" w:cs="宋体"/>
          <w:color w:val="auto"/>
          <w:spacing w:val="6"/>
          <w:sz w:val="24"/>
          <w:szCs w:val="24"/>
          <w:highlight w:val="none"/>
          <w:lang w:val="en-US" w:eastAsia="zh-CN"/>
        </w:rPr>
      </w:pPr>
    </w:p>
    <w:p w14:paraId="5023B69E">
      <w:pPr>
        <w:rPr>
          <w:rFonts w:hint="eastAsia" w:cs="宋体"/>
          <w:color w:val="auto"/>
          <w:spacing w:val="6"/>
          <w:sz w:val="24"/>
          <w:szCs w:val="24"/>
          <w:highlight w:val="none"/>
          <w:lang w:val="en-US" w:eastAsia="zh-CN"/>
        </w:rPr>
      </w:pPr>
    </w:p>
    <w:p w14:paraId="5F7D4B83">
      <w:pPr>
        <w:rPr>
          <w:rFonts w:hint="eastAsia" w:cs="宋体"/>
          <w:color w:val="auto"/>
          <w:spacing w:val="6"/>
          <w:sz w:val="24"/>
          <w:szCs w:val="24"/>
          <w:highlight w:val="none"/>
          <w:lang w:val="en-US" w:eastAsia="zh-CN"/>
        </w:rPr>
      </w:pPr>
    </w:p>
    <w:p w14:paraId="20B74F82">
      <w:pPr>
        <w:rPr>
          <w:rFonts w:hint="eastAsia" w:cs="宋体"/>
          <w:color w:val="auto"/>
          <w:spacing w:val="6"/>
          <w:sz w:val="24"/>
          <w:szCs w:val="24"/>
          <w:highlight w:val="none"/>
          <w:lang w:val="en-US" w:eastAsia="zh-CN"/>
        </w:rPr>
      </w:pPr>
    </w:p>
    <w:p w14:paraId="2C0B2223">
      <w:pPr>
        <w:rPr>
          <w:rFonts w:hint="eastAsia" w:cs="宋体"/>
          <w:color w:val="auto"/>
          <w:spacing w:val="6"/>
          <w:sz w:val="24"/>
          <w:szCs w:val="24"/>
          <w:highlight w:val="none"/>
          <w:lang w:val="en-US" w:eastAsia="zh-CN"/>
        </w:rPr>
      </w:pPr>
    </w:p>
    <w:p w14:paraId="31F0A2C8">
      <w:pPr>
        <w:rPr>
          <w:rFonts w:hint="eastAsia" w:cs="宋体"/>
          <w:color w:val="auto"/>
          <w:spacing w:val="6"/>
          <w:sz w:val="24"/>
          <w:szCs w:val="24"/>
          <w:highlight w:val="none"/>
          <w:lang w:val="en-US" w:eastAsia="zh-CN"/>
        </w:rPr>
      </w:pPr>
    </w:p>
    <w:p w14:paraId="70123D58">
      <w:pPr>
        <w:rPr>
          <w:rFonts w:hint="eastAsia" w:cs="宋体"/>
          <w:color w:val="auto"/>
          <w:spacing w:val="6"/>
          <w:sz w:val="24"/>
          <w:szCs w:val="24"/>
          <w:highlight w:val="none"/>
          <w:lang w:val="en-US" w:eastAsia="zh-CN"/>
        </w:rPr>
      </w:pPr>
      <w:r>
        <w:rPr>
          <w:rFonts w:hint="eastAsia" w:cs="宋体"/>
          <w:color w:val="auto"/>
          <w:spacing w:val="6"/>
          <w:sz w:val="24"/>
          <w:szCs w:val="24"/>
          <w:highlight w:val="none"/>
          <w:lang w:val="en-US" w:eastAsia="zh-CN"/>
        </w:rPr>
        <w:t>附</w:t>
      </w:r>
    </w:p>
    <w:p w14:paraId="7EB97DB1">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金融业企业划型标准</w:t>
      </w:r>
    </w:p>
    <w:tbl>
      <w:tblPr>
        <w:tblStyle w:val="31"/>
        <w:tblW w:w="8498"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168"/>
        <w:gridCol w:w="1817"/>
        <w:gridCol w:w="1143"/>
        <w:gridCol w:w="3251"/>
      </w:tblGrid>
      <w:tr w14:paraId="26CB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287" w:type="dxa"/>
            <w:gridSpan w:val="2"/>
            <w:vAlign w:val="center"/>
          </w:tcPr>
          <w:p w14:paraId="25F9841A">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行业</w:t>
            </w:r>
          </w:p>
        </w:tc>
        <w:tc>
          <w:tcPr>
            <w:tcW w:w="1817" w:type="dxa"/>
            <w:vAlign w:val="center"/>
          </w:tcPr>
          <w:p w14:paraId="3B4008BC">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类别</w:t>
            </w:r>
          </w:p>
        </w:tc>
        <w:tc>
          <w:tcPr>
            <w:tcW w:w="1143" w:type="dxa"/>
            <w:vAlign w:val="center"/>
          </w:tcPr>
          <w:p w14:paraId="199F0882">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类型</w:t>
            </w:r>
          </w:p>
        </w:tc>
        <w:tc>
          <w:tcPr>
            <w:tcW w:w="3251" w:type="dxa"/>
            <w:vAlign w:val="center"/>
          </w:tcPr>
          <w:p w14:paraId="715E5C3B">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资产总额</w:t>
            </w:r>
          </w:p>
        </w:tc>
      </w:tr>
      <w:tr w14:paraId="471A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1233504D">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货币金融服务</w:t>
            </w:r>
          </w:p>
        </w:tc>
        <w:tc>
          <w:tcPr>
            <w:tcW w:w="1168" w:type="dxa"/>
            <w:vMerge w:val="restart"/>
            <w:vAlign w:val="center"/>
          </w:tcPr>
          <w:p w14:paraId="4350DE89">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货币银行服务</w:t>
            </w:r>
          </w:p>
        </w:tc>
        <w:tc>
          <w:tcPr>
            <w:tcW w:w="1817" w:type="dxa"/>
            <w:vMerge w:val="restart"/>
            <w:vAlign w:val="center"/>
          </w:tcPr>
          <w:p w14:paraId="6D5CDA82">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银行业存款类金融机构</w:t>
            </w:r>
          </w:p>
        </w:tc>
        <w:tc>
          <w:tcPr>
            <w:tcW w:w="1143" w:type="dxa"/>
            <w:vAlign w:val="center"/>
          </w:tcPr>
          <w:p w14:paraId="18DA8CED">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中型</w:t>
            </w:r>
          </w:p>
        </w:tc>
        <w:tc>
          <w:tcPr>
            <w:tcW w:w="3251" w:type="dxa"/>
            <w:vAlign w:val="center"/>
          </w:tcPr>
          <w:p w14:paraId="6553EDDF">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5000亿元（含）至40000亿元</w:t>
            </w:r>
          </w:p>
        </w:tc>
      </w:tr>
      <w:tr w14:paraId="7DDC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5D803A9">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45CFC2BC">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392AD96A">
            <w:pPr>
              <w:spacing w:line="240" w:lineRule="auto"/>
              <w:jc w:val="both"/>
              <w:rPr>
                <w:rFonts w:hint="eastAsia" w:ascii="宋体" w:hAnsi="宋体" w:eastAsia="宋体" w:cs="宋体"/>
                <w:color w:val="auto"/>
                <w:spacing w:val="6"/>
                <w:sz w:val="21"/>
                <w:szCs w:val="21"/>
                <w:highlight w:val="none"/>
                <w:vertAlign w:val="baseline"/>
              </w:rPr>
            </w:pPr>
          </w:p>
        </w:tc>
        <w:tc>
          <w:tcPr>
            <w:tcW w:w="1143" w:type="dxa"/>
            <w:vAlign w:val="center"/>
          </w:tcPr>
          <w:p w14:paraId="146F4352">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0C955763">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50亿元（含）至5000亿元</w:t>
            </w:r>
          </w:p>
        </w:tc>
      </w:tr>
      <w:tr w14:paraId="7382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44DEC46">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147E3A4E">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543C1290">
            <w:pPr>
              <w:spacing w:line="240" w:lineRule="auto"/>
              <w:jc w:val="both"/>
              <w:rPr>
                <w:rFonts w:hint="eastAsia" w:ascii="宋体" w:hAnsi="宋体" w:eastAsia="宋体" w:cs="宋体"/>
                <w:color w:val="auto"/>
                <w:spacing w:val="6"/>
                <w:sz w:val="21"/>
                <w:szCs w:val="21"/>
                <w:highlight w:val="none"/>
                <w:vertAlign w:val="baseline"/>
              </w:rPr>
            </w:pPr>
          </w:p>
        </w:tc>
        <w:tc>
          <w:tcPr>
            <w:tcW w:w="1143" w:type="dxa"/>
            <w:vAlign w:val="center"/>
          </w:tcPr>
          <w:p w14:paraId="0A8569B9">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微型</w:t>
            </w:r>
          </w:p>
        </w:tc>
        <w:tc>
          <w:tcPr>
            <w:tcW w:w="3251" w:type="dxa"/>
            <w:vAlign w:val="center"/>
          </w:tcPr>
          <w:p w14:paraId="29C9E0F4">
            <w:pPr>
              <w:spacing w:line="240" w:lineRule="auto"/>
              <w:jc w:val="center"/>
              <w:rPr>
                <w:rFonts w:hint="eastAsia" w:ascii="宋体" w:hAnsi="宋体" w:eastAsia="宋体" w:cs="宋体"/>
                <w:color w:val="auto"/>
                <w:spacing w:val="6"/>
                <w:sz w:val="21"/>
                <w:szCs w:val="21"/>
                <w:highlight w:val="none"/>
                <w:vertAlign w:val="baseline"/>
                <w:lang w:val="en-US"/>
              </w:rPr>
            </w:pPr>
            <w:r>
              <w:rPr>
                <w:rFonts w:hint="eastAsia" w:ascii="宋体" w:hAnsi="宋体" w:eastAsia="宋体" w:cs="宋体"/>
                <w:color w:val="auto"/>
                <w:spacing w:val="6"/>
                <w:sz w:val="21"/>
                <w:szCs w:val="21"/>
                <w:highlight w:val="none"/>
                <w:vertAlign w:val="baseline"/>
                <w:lang w:val="en-US" w:eastAsia="zh-CN"/>
              </w:rPr>
              <w:t>50亿元以下</w:t>
            </w:r>
          </w:p>
        </w:tc>
      </w:tr>
      <w:tr w14:paraId="1C15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2A12E1E">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restart"/>
            <w:vAlign w:val="center"/>
          </w:tcPr>
          <w:p w14:paraId="56574B6D">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非货币银行服务</w:t>
            </w:r>
          </w:p>
        </w:tc>
        <w:tc>
          <w:tcPr>
            <w:tcW w:w="1817" w:type="dxa"/>
            <w:vMerge w:val="restart"/>
            <w:vAlign w:val="center"/>
          </w:tcPr>
          <w:p w14:paraId="7DD2F497">
            <w:pPr>
              <w:spacing w:line="240" w:lineRule="auto"/>
              <w:jc w:val="both"/>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lang w:val="en-US" w:eastAsia="zh-CN"/>
              </w:rPr>
              <w:t>银行业非存款类金融机构</w:t>
            </w:r>
          </w:p>
        </w:tc>
        <w:tc>
          <w:tcPr>
            <w:tcW w:w="1143" w:type="dxa"/>
            <w:shd w:val="clear" w:color="auto" w:fill="auto"/>
            <w:vAlign w:val="center"/>
          </w:tcPr>
          <w:p w14:paraId="46609FB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288F5BE5">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200亿元（含）至1000亿元</w:t>
            </w:r>
          </w:p>
        </w:tc>
      </w:tr>
      <w:tr w14:paraId="29DE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40CFE49B">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1EF9025F">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6CC015F9">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0699B1D7">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56E78EC6">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50亿元（含）至200亿元</w:t>
            </w:r>
          </w:p>
        </w:tc>
      </w:tr>
      <w:tr w14:paraId="0CA5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EE674B4">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217EDCC4">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DEB5E22">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24E9D4A7">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vAlign w:val="center"/>
          </w:tcPr>
          <w:p w14:paraId="00D701CA">
            <w:pPr>
              <w:spacing w:line="240" w:lineRule="auto"/>
              <w:jc w:val="center"/>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lang w:val="en-US" w:eastAsia="zh-CN"/>
              </w:rPr>
              <w:t>50亿元以下</w:t>
            </w:r>
          </w:p>
        </w:tc>
      </w:tr>
      <w:tr w14:paraId="4B53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D041F7C">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295688AF">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restart"/>
            <w:vAlign w:val="center"/>
          </w:tcPr>
          <w:p w14:paraId="2420EBEF">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贷款公司、小额贷款公司及典当行</w:t>
            </w:r>
          </w:p>
        </w:tc>
        <w:tc>
          <w:tcPr>
            <w:tcW w:w="1143" w:type="dxa"/>
            <w:shd w:val="clear" w:color="auto" w:fill="auto"/>
            <w:vAlign w:val="center"/>
          </w:tcPr>
          <w:p w14:paraId="705DE846">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007BBC2E">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200亿元（含）至1000亿元</w:t>
            </w:r>
          </w:p>
        </w:tc>
      </w:tr>
      <w:tr w14:paraId="39E6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180FDC1">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078270CB">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0CBA7696">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2EA1A43D">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220FC05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50亿元（含）至200亿元</w:t>
            </w:r>
          </w:p>
        </w:tc>
      </w:tr>
      <w:tr w14:paraId="7A6B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C9F23C9">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693061F1">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241FB1E">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6076913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03E9BD7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50亿元以下</w:t>
            </w:r>
          </w:p>
        </w:tc>
      </w:tr>
      <w:tr w14:paraId="10E7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3A884F55">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资本市场服务</w:t>
            </w:r>
          </w:p>
        </w:tc>
        <w:tc>
          <w:tcPr>
            <w:tcW w:w="1817" w:type="dxa"/>
            <w:vMerge w:val="restart"/>
            <w:vAlign w:val="center"/>
          </w:tcPr>
          <w:p w14:paraId="6E78CF81">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证券业金融机构</w:t>
            </w:r>
          </w:p>
        </w:tc>
        <w:tc>
          <w:tcPr>
            <w:tcW w:w="1143" w:type="dxa"/>
            <w:shd w:val="clear" w:color="auto" w:fill="auto"/>
            <w:vAlign w:val="center"/>
          </w:tcPr>
          <w:p w14:paraId="0414261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4444928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100亿元（含）至1000亿元</w:t>
            </w:r>
          </w:p>
        </w:tc>
      </w:tr>
      <w:tr w14:paraId="0F1C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3B06C7E">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59421CAF">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54B5A7F4">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1A9C4DFF">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10亿元（含）至100亿元</w:t>
            </w:r>
          </w:p>
        </w:tc>
      </w:tr>
      <w:tr w14:paraId="01E7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65FECCF">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ADD78C9">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60F7AF91">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43D0131F">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10亿元以下</w:t>
            </w:r>
          </w:p>
        </w:tc>
      </w:tr>
      <w:tr w14:paraId="3314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7FAED341">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保险业</w:t>
            </w:r>
          </w:p>
        </w:tc>
        <w:tc>
          <w:tcPr>
            <w:tcW w:w="1817" w:type="dxa"/>
            <w:vMerge w:val="restart"/>
            <w:vAlign w:val="center"/>
          </w:tcPr>
          <w:p w14:paraId="73A1B699">
            <w:pPr>
              <w:spacing w:line="240" w:lineRule="auto"/>
              <w:jc w:val="both"/>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lang w:val="en-US" w:eastAsia="zh-CN"/>
              </w:rPr>
              <w:t>保险业金融机构</w:t>
            </w:r>
          </w:p>
        </w:tc>
        <w:tc>
          <w:tcPr>
            <w:tcW w:w="1143" w:type="dxa"/>
            <w:shd w:val="clear" w:color="auto" w:fill="auto"/>
            <w:vAlign w:val="center"/>
          </w:tcPr>
          <w:p w14:paraId="7046BDEC">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41B9BB44">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400亿元（含）至5000亿元</w:t>
            </w:r>
          </w:p>
        </w:tc>
      </w:tr>
      <w:tr w14:paraId="386F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8C86132">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62ACF5AB">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361981C2">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7F195A7E">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20亿元（含）至400亿元</w:t>
            </w:r>
          </w:p>
        </w:tc>
      </w:tr>
      <w:tr w14:paraId="1336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7051FBA8">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1A95E01E">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5DD1435F">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19F4DBB0">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20亿元以下</w:t>
            </w:r>
          </w:p>
        </w:tc>
      </w:tr>
      <w:tr w14:paraId="1B38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6A4EBA5D">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其他金融业</w:t>
            </w:r>
          </w:p>
        </w:tc>
        <w:tc>
          <w:tcPr>
            <w:tcW w:w="1168" w:type="dxa"/>
            <w:vMerge w:val="restart"/>
            <w:vAlign w:val="center"/>
          </w:tcPr>
          <w:p w14:paraId="741CF031">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金融信托与管理服务</w:t>
            </w:r>
          </w:p>
        </w:tc>
        <w:tc>
          <w:tcPr>
            <w:tcW w:w="1817" w:type="dxa"/>
            <w:vMerge w:val="restart"/>
            <w:vAlign w:val="center"/>
          </w:tcPr>
          <w:p w14:paraId="70836B6C">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信托公司</w:t>
            </w:r>
          </w:p>
        </w:tc>
        <w:tc>
          <w:tcPr>
            <w:tcW w:w="1143" w:type="dxa"/>
            <w:shd w:val="clear" w:color="auto" w:fill="auto"/>
            <w:vAlign w:val="center"/>
          </w:tcPr>
          <w:p w14:paraId="03C999A9">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0C96EED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400亿元（含）至1000亿元</w:t>
            </w:r>
          </w:p>
        </w:tc>
      </w:tr>
      <w:tr w14:paraId="394A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338E5D4F">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2343FC29">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EB960A0">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6D76C176">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0E689FD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20亿元（含）至400亿元</w:t>
            </w:r>
          </w:p>
        </w:tc>
      </w:tr>
      <w:tr w14:paraId="3E94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71E32AA3">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441AB74F">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15F254D">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160C098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33182E4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20亿元以下</w:t>
            </w:r>
          </w:p>
        </w:tc>
      </w:tr>
      <w:tr w14:paraId="61CA0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0A3463AD">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restart"/>
            <w:vAlign w:val="center"/>
          </w:tcPr>
          <w:p w14:paraId="65B75359">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控股公司服务</w:t>
            </w:r>
          </w:p>
        </w:tc>
        <w:tc>
          <w:tcPr>
            <w:tcW w:w="1817" w:type="dxa"/>
            <w:vMerge w:val="restart"/>
            <w:vAlign w:val="center"/>
          </w:tcPr>
          <w:p w14:paraId="5AA3A788">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金融控股公司</w:t>
            </w:r>
          </w:p>
        </w:tc>
        <w:tc>
          <w:tcPr>
            <w:tcW w:w="1143" w:type="dxa"/>
            <w:shd w:val="clear" w:color="auto" w:fill="auto"/>
            <w:vAlign w:val="center"/>
          </w:tcPr>
          <w:p w14:paraId="6A34EBF4">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2863D8FC">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5000亿元（含）至40000亿元</w:t>
            </w:r>
          </w:p>
        </w:tc>
      </w:tr>
      <w:tr w14:paraId="61EE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57F9BDD8">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774A5596">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658174A6">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43D84EB3">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434D1F52">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50亿元（含）至5000亿元</w:t>
            </w:r>
          </w:p>
        </w:tc>
      </w:tr>
      <w:tr w14:paraId="245B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88472CC">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4DB4D286">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2B6EDD2">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472A904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1FC344B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50亿元以下</w:t>
            </w:r>
          </w:p>
        </w:tc>
      </w:tr>
      <w:tr w14:paraId="3F9E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19" w:type="dxa"/>
            <w:vMerge w:val="continue"/>
            <w:vAlign w:val="center"/>
          </w:tcPr>
          <w:p w14:paraId="046E9137">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restart"/>
            <w:vAlign w:val="center"/>
          </w:tcPr>
          <w:p w14:paraId="10B14656">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其他未包括的金融业</w:t>
            </w:r>
          </w:p>
        </w:tc>
        <w:tc>
          <w:tcPr>
            <w:tcW w:w="1817" w:type="dxa"/>
            <w:vMerge w:val="restart"/>
            <w:vAlign w:val="center"/>
          </w:tcPr>
          <w:p w14:paraId="3E665F4F">
            <w:pPr>
              <w:spacing w:line="240" w:lineRule="auto"/>
              <w:jc w:val="both"/>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rPr>
              <w:t>除贷款公司、小额贷款公司、典当行以外的其他金融机构</w:t>
            </w:r>
          </w:p>
        </w:tc>
        <w:tc>
          <w:tcPr>
            <w:tcW w:w="1143" w:type="dxa"/>
            <w:shd w:val="clear" w:color="auto" w:fill="auto"/>
            <w:vAlign w:val="center"/>
          </w:tcPr>
          <w:p w14:paraId="00510279">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6033F5D6">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200亿元（含）至1000亿元</w:t>
            </w:r>
          </w:p>
        </w:tc>
      </w:tr>
      <w:tr w14:paraId="34EB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19" w:type="dxa"/>
            <w:vMerge w:val="continue"/>
          </w:tcPr>
          <w:p w14:paraId="04848A28">
            <w:pPr>
              <w:spacing w:line="240" w:lineRule="auto"/>
              <w:rPr>
                <w:rFonts w:hint="eastAsia" w:ascii="宋体" w:hAnsi="宋体" w:eastAsia="宋体" w:cs="宋体"/>
                <w:color w:val="auto"/>
                <w:spacing w:val="6"/>
                <w:sz w:val="21"/>
                <w:szCs w:val="21"/>
                <w:highlight w:val="none"/>
                <w:vertAlign w:val="baseline"/>
              </w:rPr>
            </w:pPr>
          </w:p>
        </w:tc>
        <w:tc>
          <w:tcPr>
            <w:tcW w:w="1168" w:type="dxa"/>
            <w:vMerge w:val="continue"/>
          </w:tcPr>
          <w:p w14:paraId="2F2E72F9">
            <w:pPr>
              <w:spacing w:line="240" w:lineRule="auto"/>
              <w:rPr>
                <w:rFonts w:hint="eastAsia" w:ascii="宋体" w:hAnsi="宋体" w:eastAsia="宋体" w:cs="宋体"/>
                <w:color w:val="auto"/>
                <w:spacing w:val="6"/>
                <w:sz w:val="21"/>
                <w:szCs w:val="21"/>
                <w:highlight w:val="none"/>
                <w:vertAlign w:val="baseline"/>
              </w:rPr>
            </w:pPr>
          </w:p>
        </w:tc>
        <w:tc>
          <w:tcPr>
            <w:tcW w:w="1817" w:type="dxa"/>
            <w:vMerge w:val="continue"/>
          </w:tcPr>
          <w:p w14:paraId="179DE2D0">
            <w:pPr>
              <w:spacing w:line="240" w:lineRule="auto"/>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1E62333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12916BB7">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50亿元（含）至200亿元</w:t>
            </w:r>
          </w:p>
        </w:tc>
      </w:tr>
      <w:tr w14:paraId="6DDC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19" w:type="dxa"/>
            <w:vMerge w:val="continue"/>
          </w:tcPr>
          <w:p w14:paraId="0F1E7A7B">
            <w:pPr>
              <w:spacing w:line="240" w:lineRule="auto"/>
              <w:rPr>
                <w:rFonts w:hint="eastAsia" w:ascii="宋体" w:hAnsi="宋体" w:eastAsia="宋体" w:cs="宋体"/>
                <w:color w:val="auto"/>
                <w:spacing w:val="6"/>
                <w:sz w:val="21"/>
                <w:szCs w:val="21"/>
                <w:highlight w:val="none"/>
                <w:vertAlign w:val="baseline"/>
              </w:rPr>
            </w:pPr>
          </w:p>
        </w:tc>
        <w:tc>
          <w:tcPr>
            <w:tcW w:w="1168" w:type="dxa"/>
            <w:vMerge w:val="continue"/>
          </w:tcPr>
          <w:p w14:paraId="08010151">
            <w:pPr>
              <w:spacing w:line="240" w:lineRule="auto"/>
              <w:rPr>
                <w:rFonts w:hint="eastAsia" w:ascii="宋体" w:hAnsi="宋体" w:eastAsia="宋体" w:cs="宋体"/>
                <w:color w:val="auto"/>
                <w:spacing w:val="6"/>
                <w:sz w:val="21"/>
                <w:szCs w:val="21"/>
                <w:highlight w:val="none"/>
                <w:vertAlign w:val="baseline"/>
              </w:rPr>
            </w:pPr>
          </w:p>
        </w:tc>
        <w:tc>
          <w:tcPr>
            <w:tcW w:w="1817" w:type="dxa"/>
            <w:vMerge w:val="continue"/>
          </w:tcPr>
          <w:p w14:paraId="71A393FF">
            <w:pPr>
              <w:spacing w:line="240" w:lineRule="auto"/>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668714F1">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1913FA3F">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50亿元以下</w:t>
            </w:r>
          </w:p>
        </w:tc>
      </w:tr>
    </w:tbl>
    <w:p w14:paraId="5BCE9D64">
      <w:pPr>
        <w:rPr>
          <w:rFonts w:cs="宋体"/>
          <w:color w:val="auto"/>
          <w:spacing w:val="6"/>
          <w:sz w:val="21"/>
          <w:szCs w:val="21"/>
          <w:highlight w:val="none"/>
        </w:rPr>
      </w:pPr>
      <w:r>
        <w:rPr>
          <w:rFonts w:cs="宋体"/>
          <w:color w:val="auto"/>
          <w:spacing w:val="6"/>
          <w:sz w:val="21"/>
          <w:szCs w:val="21"/>
          <w:highlight w:val="none"/>
        </w:rPr>
        <w:br w:type="page"/>
      </w:r>
    </w:p>
    <w:p w14:paraId="5C97BC7A">
      <w:pPr>
        <w:pStyle w:val="1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Cs/>
          <w:color w:val="auto"/>
          <w:sz w:val="36"/>
          <w:szCs w:val="36"/>
          <w:highlight w:val="none"/>
          <w:lang w:val="en-US" w:eastAsia="zh-CN"/>
        </w:rPr>
      </w:pPr>
      <w:bookmarkStart w:id="398" w:name="_Toc163492940"/>
    </w:p>
    <w:p w14:paraId="0711552D">
      <w:pPr>
        <w:pStyle w:val="5"/>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color w:val="auto"/>
          <w:kern w:val="2"/>
          <w:sz w:val="24"/>
          <w:szCs w:val="24"/>
          <w:highlight w:val="none"/>
          <w:lang w:val="en-US" w:eastAsia="zh-CN" w:bidi="ar-SA"/>
        </w:rPr>
      </w:pPr>
      <w:r>
        <w:rPr>
          <w:rFonts w:hint="eastAsia" w:ascii="宋体" w:hAnsi="宋体" w:eastAsia="宋体" w:cstheme="minorBidi"/>
          <w:b/>
          <w:bCs/>
          <w:color w:val="auto"/>
          <w:kern w:val="2"/>
          <w:sz w:val="24"/>
          <w:szCs w:val="24"/>
          <w:highlight w:val="none"/>
          <w:lang w:val="en-US" w:eastAsia="zh-CN" w:bidi="ar-SA"/>
        </w:rPr>
        <w:t>（三）监狱企业证明文件</w:t>
      </w:r>
      <w:r>
        <w:rPr>
          <w:rFonts w:hint="eastAsia" w:ascii="宋体" w:hAnsi="宋体" w:eastAsia="宋体" w:cstheme="minorBidi"/>
          <w:b w:val="0"/>
          <w:bCs w:val="0"/>
          <w:color w:val="auto"/>
          <w:kern w:val="2"/>
          <w:sz w:val="24"/>
          <w:szCs w:val="24"/>
          <w:highlight w:val="none"/>
          <w:lang w:val="en-US" w:eastAsia="zh-CN" w:bidi="ar-SA"/>
        </w:rPr>
        <w:t>【如适用】</w:t>
      </w:r>
      <w:bookmarkEnd w:id="398"/>
    </w:p>
    <w:p w14:paraId="744F56E2">
      <w:pPr>
        <w:rPr>
          <w:rFonts w:cs="仿宋_GB2312"/>
          <w:b/>
          <w:color w:val="auto"/>
          <w:sz w:val="28"/>
          <w:szCs w:val="28"/>
          <w:highlight w:val="none"/>
        </w:rPr>
      </w:pPr>
    </w:p>
    <w:p w14:paraId="23D1BFCD">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【监狱企业应当提供由省级及以上监狱管理局、戒毒管理局（含新疆生产建设兵团）出具的监狱企业的证明文件，格式</w:t>
      </w:r>
      <w:r>
        <w:rPr>
          <w:rFonts w:hint="eastAsia" w:ascii="宋体" w:hAnsi="宋体" w:eastAsia="宋体" w:cs="宋体"/>
          <w:color w:val="auto"/>
          <w:sz w:val="24"/>
          <w:szCs w:val="24"/>
          <w:highlight w:val="none"/>
          <w:lang w:val="en-US" w:eastAsia="zh-CN"/>
        </w:rPr>
        <w:t>如下</w:t>
      </w:r>
      <w:r>
        <w:rPr>
          <w:rFonts w:hint="eastAsia" w:ascii="宋体" w:hAnsi="宋体" w:eastAsia="宋体" w:cs="宋体"/>
          <w:color w:val="auto"/>
          <w:sz w:val="24"/>
          <w:szCs w:val="24"/>
          <w:highlight w:val="none"/>
        </w:rPr>
        <w:t>】。</w:t>
      </w:r>
    </w:p>
    <w:p w14:paraId="75238DB1">
      <w:pPr>
        <w:pStyle w:val="18"/>
        <w:spacing w:line="360" w:lineRule="auto"/>
        <w:jc w:val="center"/>
        <w:rPr>
          <w:rFonts w:hint="eastAsia" w:ascii="宋体" w:hAnsi="宋体" w:eastAsia="宋体" w:cs="宋体"/>
          <w:b/>
          <w:bCs w:val="0"/>
          <w:color w:val="auto"/>
          <w:sz w:val="32"/>
          <w:szCs w:val="32"/>
          <w:highlight w:val="none"/>
        </w:rPr>
      </w:pPr>
    </w:p>
    <w:p w14:paraId="3EAA5E2A">
      <w:pPr>
        <w:pStyle w:val="18"/>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监狱企业证明函</w:t>
      </w:r>
    </w:p>
    <w:p w14:paraId="73EFA9C1">
      <w:pPr>
        <w:spacing w:line="360" w:lineRule="auto"/>
        <w:rPr>
          <w:rFonts w:hint="eastAsia" w:ascii="仿宋_GB2312" w:hAnsi="仿宋_GB2312" w:eastAsia="仿宋_GB2312" w:cs="仿宋_GB2312"/>
          <w:color w:val="auto"/>
          <w:sz w:val="32"/>
          <w:szCs w:val="32"/>
          <w:highlight w:val="none"/>
        </w:rPr>
      </w:pPr>
    </w:p>
    <w:p w14:paraId="7E6FDB37">
      <w:pPr>
        <w:ind w:firstLine="504"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本公司郑重声明，根据财政部、司法部《关于政府采购支持监狱企业发展有关问题的通知》（财库</w:t>
      </w:r>
      <w:r>
        <w:rPr>
          <w:rFonts w:hint="eastAsia" w:ascii="宋体" w:hAnsi="宋体" w:eastAsia="宋体" w:cs="宋体"/>
          <w:color w:val="auto"/>
          <w:spacing w:val="6"/>
          <w:szCs w:val="24"/>
          <w:highlight w:val="none"/>
          <w:lang w:eastAsia="zh-CN"/>
        </w:rPr>
        <w:t>〔</w:t>
      </w:r>
      <w:r>
        <w:rPr>
          <w:rFonts w:hint="eastAsia" w:ascii="宋体" w:hAnsi="宋体" w:eastAsia="宋体" w:cs="宋体"/>
          <w:color w:val="auto"/>
          <w:spacing w:val="6"/>
          <w:szCs w:val="24"/>
          <w:highlight w:val="none"/>
        </w:rPr>
        <w:t>2014</w:t>
      </w:r>
      <w:r>
        <w:rPr>
          <w:rFonts w:hint="eastAsia" w:ascii="宋体" w:hAnsi="宋体" w:eastAsia="宋体" w:cs="宋体"/>
          <w:color w:val="auto"/>
          <w:spacing w:val="6"/>
          <w:szCs w:val="24"/>
          <w:highlight w:val="none"/>
          <w:lang w:eastAsia="zh-CN"/>
        </w:rPr>
        <w:t>〕</w:t>
      </w:r>
      <w:r>
        <w:rPr>
          <w:rFonts w:hint="eastAsia" w:ascii="宋体" w:hAnsi="宋体" w:eastAsia="宋体" w:cs="宋体"/>
          <w:color w:val="auto"/>
          <w:spacing w:val="6"/>
          <w:szCs w:val="24"/>
          <w:highlight w:val="none"/>
        </w:rPr>
        <w:t>68号）的规定，本公司为监狱企业。</w:t>
      </w:r>
    </w:p>
    <w:p w14:paraId="3C2CE4C6">
      <w:pPr>
        <w:spacing w:line="360" w:lineRule="auto"/>
        <w:rPr>
          <w:rFonts w:hint="eastAsia" w:ascii="宋体" w:hAnsi="宋体" w:eastAsia="宋体" w:cs="宋体"/>
          <w:color w:val="auto"/>
          <w:sz w:val="24"/>
          <w:szCs w:val="24"/>
          <w:highlight w:val="none"/>
        </w:rPr>
      </w:pPr>
    </w:p>
    <w:p w14:paraId="25406F97">
      <w:pPr>
        <w:ind w:firstLine="4440" w:firstLineChars="1850"/>
        <w:rPr>
          <w:rFonts w:hint="eastAsia" w:ascii="宋体" w:hAnsi="宋体" w:eastAsia="宋体" w:cs="宋体"/>
          <w:color w:val="auto"/>
          <w:sz w:val="24"/>
          <w:szCs w:val="24"/>
          <w:highlight w:val="none"/>
        </w:rPr>
      </w:pPr>
    </w:p>
    <w:p w14:paraId="44FF352C">
      <w:pPr>
        <w:ind w:firstLine="4440" w:firstLineChars="1850"/>
        <w:rPr>
          <w:rFonts w:hint="eastAsia" w:ascii="宋体" w:hAnsi="宋体" w:eastAsia="宋体" w:cs="宋体"/>
          <w:color w:val="auto"/>
          <w:sz w:val="24"/>
          <w:szCs w:val="24"/>
          <w:highlight w:val="none"/>
        </w:rPr>
      </w:pPr>
    </w:p>
    <w:p w14:paraId="0841D36F">
      <w:pPr>
        <w:ind w:right="1008" w:firstLine="4284" w:firstLineChars="17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投标人</w:t>
      </w:r>
      <w:r>
        <w:rPr>
          <w:rFonts w:hint="eastAsia" w:ascii="宋体" w:hAnsi="宋体" w:eastAsia="宋体" w:cs="宋体"/>
          <w:color w:val="auto"/>
          <w:spacing w:val="6"/>
          <w:sz w:val="24"/>
          <w:szCs w:val="24"/>
          <w:highlight w:val="none"/>
        </w:rPr>
        <w:t>名称</w:t>
      </w:r>
      <w:r>
        <w:rPr>
          <w:rFonts w:hint="eastAsia" w:ascii="宋体" w:hAnsi="宋体" w:eastAsia="宋体" w:cs="宋体"/>
          <w:color w:val="auto"/>
          <w:szCs w:val="24"/>
          <w:highlight w:val="none"/>
          <w:lang w:eastAsia="zh-CN"/>
        </w:rPr>
        <w:t>（</w:t>
      </w:r>
      <w:r>
        <w:rPr>
          <w:rFonts w:hint="eastAsia" w:ascii="宋体" w:hAnsi="宋体" w:eastAsia="宋体"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highlight w:val="none"/>
          <w:lang w:val="zh-CN"/>
        </w:rPr>
        <w:t>)</w:t>
      </w:r>
      <w:r>
        <w:rPr>
          <w:rFonts w:hint="eastAsia" w:ascii="宋体" w:hAnsi="宋体" w:eastAsia="宋体" w:cs="宋体"/>
          <w:color w:val="auto"/>
          <w:spacing w:val="6"/>
          <w:sz w:val="24"/>
          <w:szCs w:val="24"/>
          <w:highlight w:val="none"/>
        </w:rPr>
        <w:t>：</w:t>
      </w:r>
    </w:p>
    <w:p w14:paraId="3678CEA7">
      <w:pPr>
        <w:ind w:right="1008" w:firstLine="4284" w:firstLineChars="17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rPr>
        <w:t>日期：</w:t>
      </w:r>
      <w:r>
        <w:rPr>
          <w:rFonts w:hint="eastAsia" w:ascii="宋体" w:hAnsi="宋体" w:eastAsia="宋体" w:cs="宋体"/>
          <w:color w:val="auto"/>
          <w:spacing w:val="6"/>
          <w:sz w:val="24"/>
          <w:szCs w:val="24"/>
          <w:highlight w:val="none"/>
          <w:lang w:val="en-US" w:eastAsia="zh-CN"/>
        </w:rPr>
        <w:t xml:space="preserve">   年  月  日</w:t>
      </w:r>
    </w:p>
    <w:p w14:paraId="75D11779">
      <w:pPr>
        <w:spacing w:line="360" w:lineRule="auto"/>
        <w:ind w:firstLine="240" w:firstLineChars="100"/>
        <w:rPr>
          <w:rFonts w:hint="eastAsia" w:ascii="宋体" w:hAnsi="宋体" w:eastAsia="宋体" w:cs="宋体"/>
          <w:color w:val="auto"/>
          <w:sz w:val="24"/>
          <w:szCs w:val="24"/>
          <w:highlight w:val="none"/>
        </w:rPr>
      </w:pPr>
    </w:p>
    <w:p w14:paraId="7B8735C9">
      <w:pPr>
        <w:spacing w:line="360" w:lineRule="auto"/>
        <w:ind w:firstLine="240" w:firstLineChars="100"/>
        <w:rPr>
          <w:rFonts w:hint="eastAsia" w:ascii="宋体" w:hAnsi="宋体" w:eastAsia="宋体" w:cs="宋体"/>
          <w:color w:val="auto"/>
          <w:sz w:val="24"/>
          <w:szCs w:val="24"/>
          <w:highlight w:val="none"/>
        </w:rPr>
      </w:pPr>
    </w:p>
    <w:p w14:paraId="32722C7E">
      <w:pPr>
        <w:spacing w:line="360" w:lineRule="auto"/>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省级以上监狱管理局、戒毒管理局</w:t>
      </w:r>
    </w:p>
    <w:p w14:paraId="20204BC0">
      <w:pPr>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（含新疆生产建设兵团）</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szCs w:val="24"/>
          <w:highlight w:val="none"/>
          <w:lang w:eastAsia="zh-CN"/>
        </w:rPr>
        <w:t>盖章</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szCs w:val="24"/>
          <w:highlight w:val="none"/>
        </w:rPr>
        <w:t xml:space="preserve">：  </w:t>
      </w:r>
    </w:p>
    <w:p w14:paraId="4A414B41">
      <w:pPr>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pacing w:val="6"/>
          <w:sz w:val="24"/>
          <w:szCs w:val="24"/>
          <w:highlight w:val="none"/>
          <w:lang w:val="en-US" w:eastAsia="zh-CN"/>
        </w:rPr>
        <w:t xml:space="preserve">   年  月  日</w:t>
      </w:r>
    </w:p>
    <w:p w14:paraId="028B0253">
      <w:pPr>
        <w:spacing w:line="360" w:lineRule="auto"/>
        <w:ind w:firstLine="240" w:firstLineChars="100"/>
        <w:rPr>
          <w:rFonts w:hint="eastAsia" w:ascii="宋体" w:hAnsi="宋体" w:eastAsia="宋体" w:cs="宋体"/>
          <w:color w:val="auto"/>
          <w:sz w:val="24"/>
          <w:szCs w:val="24"/>
          <w:highlight w:val="none"/>
        </w:rPr>
      </w:pPr>
    </w:p>
    <w:p w14:paraId="4A20867A">
      <w:pPr>
        <w:spacing w:line="360" w:lineRule="auto"/>
        <w:ind w:firstLine="4000" w:firstLineChars="1250"/>
        <w:rPr>
          <w:rFonts w:hint="eastAsia" w:ascii="仿宋_GB2312" w:hAnsi="仿宋_GB2312" w:eastAsia="仿宋_GB2312" w:cs="仿宋_GB2312"/>
          <w:color w:val="auto"/>
          <w:sz w:val="32"/>
          <w:szCs w:val="32"/>
          <w:highlight w:val="none"/>
        </w:rPr>
      </w:pPr>
    </w:p>
    <w:p w14:paraId="206A9633">
      <w:pPr>
        <w:spacing w:line="360" w:lineRule="auto"/>
        <w:rPr>
          <w:rFonts w:hint="eastAsia" w:ascii="仿宋_GB2312" w:hAnsi="仿宋_GB2312" w:eastAsia="仿宋_GB2312" w:cs="仿宋_GB2312"/>
          <w:color w:val="auto"/>
          <w:sz w:val="32"/>
          <w:szCs w:val="32"/>
          <w:highlight w:val="none"/>
        </w:rPr>
      </w:pPr>
    </w:p>
    <w:p w14:paraId="283F77FC">
      <w:pPr>
        <w:widowControl/>
        <w:spacing w:before="100" w:beforeAutospacing="1" w:after="100" w:afterAutospacing="1"/>
        <w:rPr>
          <w:rFonts w:ascii="Arial" w:hAnsi="Arial" w:cs="Arial"/>
          <w:color w:val="auto"/>
          <w:sz w:val="21"/>
          <w:szCs w:val="21"/>
          <w:highlight w:val="none"/>
        </w:rPr>
      </w:pPr>
    </w:p>
    <w:p w14:paraId="3ACDD48E">
      <w:pPr>
        <w:widowControl/>
        <w:spacing w:before="100" w:beforeAutospacing="1" w:after="100" w:afterAutospacing="1"/>
        <w:rPr>
          <w:rFonts w:ascii="Arial" w:hAnsi="Arial" w:cs="Arial"/>
          <w:color w:val="auto"/>
          <w:sz w:val="21"/>
          <w:szCs w:val="21"/>
          <w:highlight w:val="none"/>
        </w:rPr>
      </w:pPr>
    </w:p>
    <w:p w14:paraId="22F7A202">
      <w:pPr>
        <w:widowControl/>
        <w:spacing w:before="100" w:beforeAutospacing="1" w:after="100" w:afterAutospacing="1"/>
        <w:rPr>
          <w:rFonts w:ascii="Arial" w:hAnsi="Arial" w:cs="Arial"/>
          <w:color w:val="auto"/>
          <w:sz w:val="21"/>
          <w:szCs w:val="21"/>
          <w:highlight w:val="none"/>
        </w:rPr>
      </w:pPr>
    </w:p>
    <w:p w14:paraId="2AA0844D">
      <w:pPr>
        <w:pStyle w:val="5"/>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color w:val="auto"/>
          <w:kern w:val="2"/>
          <w:sz w:val="24"/>
          <w:szCs w:val="24"/>
          <w:highlight w:val="none"/>
          <w:lang w:val="en-US" w:eastAsia="zh-CN" w:bidi="ar-SA"/>
        </w:rPr>
      </w:pPr>
      <w:bookmarkStart w:id="399" w:name="_Toc163492941"/>
    </w:p>
    <w:p w14:paraId="05E6EFA2">
      <w:pPr>
        <w:pStyle w:val="5"/>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color w:val="auto"/>
          <w:kern w:val="2"/>
          <w:sz w:val="24"/>
          <w:szCs w:val="24"/>
          <w:highlight w:val="none"/>
          <w:lang w:val="en-US" w:eastAsia="zh-CN" w:bidi="ar-SA"/>
        </w:rPr>
      </w:pPr>
      <w:r>
        <w:rPr>
          <w:rFonts w:hint="eastAsia" w:ascii="宋体" w:hAnsi="宋体" w:eastAsia="宋体" w:cstheme="minorBidi"/>
          <w:b/>
          <w:bCs/>
          <w:color w:val="auto"/>
          <w:kern w:val="2"/>
          <w:sz w:val="24"/>
          <w:szCs w:val="24"/>
          <w:highlight w:val="none"/>
          <w:lang w:val="en-US" w:eastAsia="zh-CN" w:bidi="ar-SA"/>
        </w:rPr>
        <w:t>（四）残疾人福利性单位声明函</w:t>
      </w:r>
      <w:r>
        <w:rPr>
          <w:rFonts w:hint="eastAsia" w:ascii="宋体" w:hAnsi="宋体" w:eastAsia="宋体" w:cstheme="minorBidi"/>
          <w:b w:val="0"/>
          <w:bCs w:val="0"/>
          <w:color w:val="auto"/>
          <w:kern w:val="2"/>
          <w:sz w:val="24"/>
          <w:szCs w:val="24"/>
          <w:highlight w:val="none"/>
          <w:lang w:val="en-US" w:eastAsia="zh-CN" w:bidi="ar-SA"/>
        </w:rPr>
        <w:t>【如适用】</w:t>
      </w:r>
      <w:bookmarkEnd w:id="399"/>
    </w:p>
    <w:p w14:paraId="0EAC9468">
      <w:pPr>
        <w:pStyle w:val="39"/>
        <w:numPr>
          <w:ilvl w:val="0"/>
          <w:numId w:val="0"/>
        </w:numPr>
        <w:ind w:left="420" w:leftChars="0" w:hanging="420" w:firstLineChars="0"/>
        <w:jc w:val="center"/>
        <w:rPr>
          <w:rFonts w:hint="eastAsia"/>
          <w:b/>
          <w:bCs/>
          <w:color w:val="auto"/>
          <w:sz w:val="32"/>
          <w:szCs w:val="32"/>
          <w:highlight w:val="none"/>
        </w:rPr>
      </w:pPr>
    </w:p>
    <w:p w14:paraId="091B47EA">
      <w:pPr>
        <w:pStyle w:val="39"/>
        <w:numPr>
          <w:ilvl w:val="0"/>
          <w:numId w:val="0"/>
        </w:numPr>
        <w:ind w:left="420" w:leftChars="0" w:hanging="420" w:firstLineChars="0"/>
        <w:jc w:val="center"/>
        <w:rPr>
          <w:b/>
          <w:bCs/>
          <w:color w:val="auto"/>
          <w:sz w:val="32"/>
          <w:szCs w:val="32"/>
          <w:highlight w:val="none"/>
        </w:rPr>
      </w:pPr>
      <w:r>
        <w:rPr>
          <w:rFonts w:hint="eastAsia"/>
          <w:b/>
          <w:bCs/>
          <w:color w:val="auto"/>
          <w:sz w:val="32"/>
          <w:szCs w:val="32"/>
          <w:highlight w:val="none"/>
        </w:rPr>
        <w:t>残疾人福利性单位声明函</w:t>
      </w:r>
    </w:p>
    <w:p w14:paraId="28D13EE8">
      <w:pPr>
        <w:wordWrap w:val="0"/>
        <w:ind w:firstLine="480" w:firstLineChars="200"/>
        <w:rPr>
          <w:rFonts w:hint="eastAsia"/>
          <w:color w:val="auto"/>
          <w:szCs w:val="24"/>
          <w:highlight w:val="none"/>
        </w:rPr>
      </w:pPr>
    </w:p>
    <w:p w14:paraId="2B2B6A0A">
      <w:pPr>
        <w:wordWrap w:val="0"/>
        <w:ind w:firstLine="480" w:firstLineChars="200"/>
        <w:rPr>
          <w:i w:val="0"/>
          <w:iCs w:val="0"/>
          <w:color w:val="auto"/>
          <w:szCs w:val="24"/>
          <w:highlight w:val="none"/>
        </w:rPr>
      </w:pPr>
      <w:r>
        <w:rPr>
          <w:rFonts w:hint="eastAsia"/>
          <w:i w:val="0"/>
          <w:iCs w:val="0"/>
          <w:color w:val="auto"/>
          <w:szCs w:val="24"/>
          <w:highlight w:val="none"/>
        </w:rPr>
        <w:t>本公司（联合体）郑重声明，根据《财政部 民政部 中国残疾人联合会关于促进残疾人就业政府采购政策的通知》（财库〔2017〕141号）的规定，本公司（联合体）参加</w:t>
      </w:r>
      <w:r>
        <w:rPr>
          <w:rFonts w:hint="eastAsia"/>
          <w:i w:val="0"/>
          <w:iCs w:val="0"/>
          <w:color w:val="auto"/>
          <w:szCs w:val="24"/>
          <w:highlight w:val="none"/>
          <w:u w:val="single"/>
        </w:rPr>
        <w:t xml:space="preserve"> （单位名称） </w:t>
      </w:r>
      <w:r>
        <w:rPr>
          <w:rFonts w:hint="eastAsia"/>
          <w:i w:val="0"/>
          <w:iCs w:val="0"/>
          <w:color w:val="auto"/>
          <w:szCs w:val="24"/>
          <w:highlight w:val="none"/>
        </w:rPr>
        <w:t>的</w:t>
      </w:r>
      <w:r>
        <w:rPr>
          <w:rFonts w:hint="eastAsia"/>
          <w:i w:val="0"/>
          <w:iCs w:val="0"/>
          <w:color w:val="auto"/>
          <w:szCs w:val="24"/>
          <w:highlight w:val="none"/>
          <w:u w:val="single"/>
        </w:rPr>
        <w:t xml:space="preserve"> （项目名称） </w:t>
      </w:r>
      <w:r>
        <w:rPr>
          <w:rFonts w:hint="eastAsia"/>
          <w:i w:val="0"/>
          <w:iCs w:val="0"/>
          <w:color w:val="auto"/>
          <w:szCs w:val="24"/>
          <w:highlight w:val="none"/>
        </w:rPr>
        <w:t>采购活动，提供的货物</w:t>
      </w:r>
      <w:r>
        <w:rPr>
          <w:rFonts w:hint="eastAsia"/>
          <w:b/>
          <w:i w:val="0"/>
          <w:iCs w:val="0"/>
          <w:color w:val="auto"/>
          <w:szCs w:val="24"/>
          <w:highlight w:val="none"/>
        </w:rPr>
        <w:t>全部由</w:t>
      </w:r>
      <w:r>
        <w:rPr>
          <w:rFonts w:hint="eastAsia"/>
          <w:i w:val="0"/>
          <w:iCs w:val="0"/>
          <w:color w:val="auto"/>
          <w:szCs w:val="24"/>
          <w:highlight w:val="none"/>
        </w:rPr>
        <w:t>符合政策要求的</w:t>
      </w:r>
      <w:r>
        <w:rPr>
          <w:rFonts w:hint="eastAsia"/>
          <w:b/>
          <w:i w:val="0"/>
          <w:iCs w:val="0"/>
          <w:color w:val="auto"/>
          <w:szCs w:val="24"/>
          <w:highlight w:val="none"/>
        </w:rPr>
        <w:t>残疾人福利性单位制造</w:t>
      </w:r>
      <w:r>
        <w:rPr>
          <w:rFonts w:hint="eastAsia"/>
          <w:i w:val="0"/>
          <w:iCs w:val="0"/>
          <w:color w:val="auto"/>
          <w:szCs w:val="24"/>
          <w:highlight w:val="none"/>
        </w:rPr>
        <w:t>。相关企业（含联合体中的残疾人福利性单位、签订分包意向协议</w:t>
      </w:r>
      <w:r>
        <w:rPr>
          <w:rFonts w:hint="eastAsia"/>
          <w:i w:val="0"/>
          <w:iCs w:val="0"/>
          <w:color w:val="auto"/>
          <w:szCs w:val="24"/>
          <w:highlight w:val="none"/>
          <w:lang w:val="en-US" w:eastAsia="zh-CN"/>
        </w:rPr>
        <w:t>书</w:t>
      </w:r>
      <w:r>
        <w:rPr>
          <w:rFonts w:hint="eastAsia"/>
          <w:i w:val="0"/>
          <w:iCs w:val="0"/>
          <w:color w:val="auto"/>
          <w:szCs w:val="24"/>
          <w:highlight w:val="none"/>
        </w:rPr>
        <w:t>的残疾人福利性单位）的具体情况如下：</w:t>
      </w:r>
    </w:p>
    <w:p w14:paraId="2B0D31AB">
      <w:pPr>
        <w:wordWrap w:val="0"/>
        <w:ind w:firstLine="480" w:firstLineChars="200"/>
        <w:rPr>
          <w:i w:val="0"/>
          <w:iCs w:val="0"/>
          <w:color w:val="auto"/>
          <w:szCs w:val="24"/>
          <w:highlight w:val="none"/>
        </w:rPr>
      </w:pPr>
      <w:r>
        <w:rPr>
          <w:rFonts w:hint="eastAsia"/>
          <w:i w:val="0"/>
          <w:iCs w:val="0"/>
          <w:color w:val="auto"/>
          <w:szCs w:val="24"/>
          <w:highlight w:val="none"/>
        </w:rPr>
        <w:t>1.</w:t>
      </w:r>
      <w:r>
        <w:rPr>
          <w:rFonts w:hint="eastAsia"/>
          <w:i w:val="0"/>
          <w:iCs w:val="0"/>
          <w:color w:val="auto"/>
          <w:szCs w:val="24"/>
          <w:highlight w:val="none"/>
          <w:u w:val="single"/>
        </w:rPr>
        <w:t xml:space="preserve"> （标的名称） </w:t>
      </w:r>
      <w:r>
        <w:rPr>
          <w:rFonts w:hint="eastAsia"/>
          <w:i w:val="0"/>
          <w:iCs w:val="0"/>
          <w:color w:val="auto"/>
          <w:szCs w:val="24"/>
          <w:highlight w:val="none"/>
        </w:rPr>
        <w:t xml:space="preserve">，制造商为 </w:t>
      </w:r>
      <w:r>
        <w:rPr>
          <w:i w:val="0"/>
          <w:iCs w:val="0"/>
          <w:color w:val="auto"/>
          <w:szCs w:val="24"/>
          <w:highlight w:val="none"/>
          <w:u w:val="single"/>
        </w:rPr>
        <w:t xml:space="preserve">  </w:t>
      </w:r>
      <w:r>
        <w:rPr>
          <w:rFonts w:hint="eastAsia"/>
          <w:i w:val="0"/>
          <w:iCs w:val="0"/>
          <w:color w:val="auto"/>
          <w:szCs w:val="24"/>
          <w:highlight w:val="none"/>
          <w:u w:val="single"/>
        </w:rPr>
        <w:t xml:space="preserve">（企业名称） </w:t>
      </w:r>
      <w:r>
        <w:rPr>
          <w:rFonts w:hint="eastAsia"/>
          <w:i w:val="0"/>
          <w:iCs w:val="0"/>
          <w:color w:val="auto"/>
          <w:szCs w:val="24"/>
          <w:highlight w:val="none"/>
        </w:rPr>
        <w:t>，属于残疾人福利性单位；</w:t>
      </w:r>
    </w:p>
    <w:p w14:paraId="138F8FD5">
      <w:pPr>
        <w:wordWrap w:val="0"/>
        <w:ind w:firstLine="480" w:firstLineChars="200"/>
        <w:rPr>
          <w:i w:val="0"/>
          <w:iCs w:val="0"/>
          <w:color w:val="auto"/>
          <w:szCs w:val="24"/>
          <w:highlight w:val="none"/>
        </w:rPr>
      </w:pPr>
      <w:r>
        <w:rPr>
          <w:rFonts w:hint="eastAsia"/>
          <w:i w:val="0"/>
          <w:iCs w:val="0"/>
          <w:color w:val="auto"/>
          <w:szCs w:val="24"/>
          <w:highlight w:val="none"/>
        </w:rPr>
        <w:t xml:space="preserve">2. </w:t>
      </w:r>
      <w:r>
        <w:rPr>
          <w:rFonts w:hint="eastAsia"/>
          <w:i w:val="0"/>
          <w:iCs w:val="0"/>
          <w:color w:val="auto"/>
          <w:szCs w:val="24"/>
          <w:highlight w:val="none"/>
          <w:u w:val="single"/>
        </w:rPr>
        <w:t xml:space="preserve">（标的名称） </w:t>
      </w:r>
      <w:r>
        <w:rPr>
          <w:rFonts w:hint="eastAsia"/>
          <w:i w:val="0"/>
          <w:iCs w:val="0"/>
          <w:color w:val="auto"/>
          <w:szCs w:val="24"/>
          <w:highlight w:val="none"/>
        </w:rPr>
        <w:t xml:space="preserve">，制造商为 </w:t>
      </w:r>
      <w:r>
        <w:rPr>
          <w:i w:val="0"/>
          <w:iCs w:val="0"/>
          <w:color w:val="auto"/>
          <w:szCs w:val="24"/>
          <w:highlight w:val="none"/>
          <w:u w:val="single"/>
        </w:rPr>
        <w:t xml:space="preserve">  </w:t>
      </w:r>
      <w:r>
        <w:rPr>
          <w:rFonts w:hint="eastAsia"/>
          <w:i w:val="0"/>
          <w:iCs w:val="0"/>
          <w:color w:val="auto"/>
          <w:szCs w:val="24"/>
          <w:highlight w:val="none"/>
          <w:u w:val="single"/>
        </w:rPr>
        <w:t xml:space="preserve">（企业名称） </w:t>
      </w:r>
      <w:r>
        <w:rPr>
          <w:rFonts w:hint="eastAsia"/>
          <w:i w:val="0"/>
          <w:iCs w:val="0"/>
          <w:color w:val="auto"/>
          <w:szCs w:val="24"/>
          <w:highlight w:val="none"/>
        </w:rPr>
        <w:t>，属于残疾人福利性单位；</w:t>
      </w:r>
    </w:p>
    <w:p w14:paraId="7FB12063">
      <w:pPr>
        <w:wordWrap w:val="0"/>
        <w:ind w:firstLine="480" w:firstLineChars="200"/>
        <w:rPr>
          <w:i w:val="0"/>
          <w:iCs w:val="0"/>
          <w:color w:val="auto"/>
          <w:szCs w:val="24"/>
          <w:highlight w:val="none"/>
        </w:rPr>
      </w:pPr>
      <w:r>
        <w:rPr>
          <w:rFonts w:hint="eastAsia"/>
          <w:i w:val="0"/>
          <w:iCs w:val="0"/>
          <w:color w:val="auto"/>
          <w:szCs w:val="24"/>
          <w:highlight w:val="none"/>
        </w:rPr>
        <w:t>……</w:t>
      </w:r>
    </w:p>
    <w:p w14:paraId="7B8F3287">
      <w:pPr>
        <w:wordWrap w:val="0"/>
        <w:ind w:firstLine="480" w:firstLineChars="200"/>
        <w:rPr>
          <w:i w:val="0"/>
          <w:iCs w:val="0"/>
          <w:color w:val="auto"/>
          <w:szCs w:val="24"/>
          <w:highlight w:val="none"/>
        </w:rPr>
      </w:pPr>
      <w:r>
        <w:rPr>
          <w:rFonts w:hint="eastAsia"/>
          <w:i w:val="0"/>
          <w:iCs w:val="0"/>
          <w:color w:val="auto"/>
          <w:szCs w:val="24"/>
          <w:highlight w:val="none"/>
        </w:rPr>
        <w:t>以上企业，不属于大企业的分支机构，不存在控股股东为大企业的情形，也不存在与大企业的负责人为同一人的情形。</w:t>
      </w:r>
    </w:p>
    <w:p w14:paraId="18EB7223">
      <w:pPr>
        <w:wordWrap w:val="0"/>
        <w:ind w:left="1087" w:leftChars="200" w:hanging="607" w:hangingChars="253"/>
        <w:rPr>
          <w:i w:val="0"/>
          <w:iCs w:val="0"/>
          <w:color w:val="auto"/>
          <w:szCs w:val="24"/>
          <w:highlight w:val="none"/>
        </w:rPr>
      </w:pPr>
      <w:r>
        <w:rPr>
          <w:rFonts w:hint="eastAsia"/>
          <w:i w:val="0"/>
          <w:iCs w:val="0"/>
          <w:color w:val="auto"/>
          <w:szCs w:val="24"/>
          <w:highlight w:val="none"/>
        </w:rPr>
        <w:t>本企业对上述声明内容的真实性负责。如有虚假，将依法承担相应责任。</w:t>
      </w:r>
    </w:p>
    <w:p w14:paraId="44C7A080">
      <w:pPr>
        <w:wordWrap w:val="0"/>
        <w:ind w:left="1091" w:hanging="1091" w:hangingChars="453"/>
        <w:rPr>
          <w:b/>
          <w:bCs/>
          <w:i w:val="0"/>
          <w:iCs w:val="0"/>
          <w:color w:val="auto"/>
          <w:szCs w:val="24"/>
          <w:highlight w:val="none"/>
        </w:rPr>
      </w:pPr>
    </w:p>
    <w:p w14:paraId="43523196">
      <w:pPr>
        <w:wordWrap w:val="0"/>
        <w:ind w:left="1091" w:hanging="1091" w:hangingChars="453"/>
        <w:rPr>
          <w:bCs/>
          <w:i w:val="0"/>
          <w:iCs w:val="0"/>
          <w:color w:val="auto"/>
          <w:szCs w:val="24"/>
          <w:highlight w:val="none"/>
        </w:rPr>
      </w:pPr>
      <w:r>
        <w:rPr>
          <w:rFonts w:hint="eastAsia"/>
          <w:b/>
          <w:bCs/>
          <w:i w:val="0"/>
          <w:iCs w:val="0"/>
          <w:color w:val="auto"/>
          <w:szCs w:val="24"/>
          <w:highlight w:val="none"/>
        </w:rPr>
        <w:t>说明：</w:t>
      </w:r>
      <w:r>
        <w:rPr>
          <w:rFonts w:hint="eastAsia"/>
          <w:bCs/>
          <w:i w:val="0"/>
          <w:iCs w:val="0"/>
          <w:color w:val="auto"/>
          <w:szCs w:val="24"/>
          <w:highlight w:val="none"/>
        </w:rPr>
        <w:t>1、</w:t>
      </w:r>
      <w:r>
        <w:rPr>
          <w:rFonts w:hint="eastAsia"/>
          <w:bCs/>
          <w:i w:val="0"/>
          <w:iCs w:val="0"/>
          <w:color w:val="auto"/>
          <w:szCs w:val="21"/>
          <w:highlight w:val="none"/>
          <w:lang w:val="zh-CN"/>
        </w:rPr>
        <w:t>货物应当全部由符合政策要求的残疾人福利性单位生产且使用该残疾人福利性单位商号或注册商标（与代理商或投标人无关）；应当严格按上述格式及内容进行填写（应当明确每个标的的生产企业类型及相关数据），否则导致的后果由投标人自行承担；</w:t>
      </w:r>
    </w:p>
    <w:p w14:paraId="2288B711">
      <w:pPr>
        <w:wordWrap w:val="0"/>
        <w:ind w:left="1087" w:hanging="1087" w:hangingChars="453"/>
        <w:rPr>
          <w:rFonts w:cs="Courier New"/>
          <w:color w:val="auto"/>
          <w:szCs w:val="21"/>
          <w:highlight w:val="none"/>
        </w:rPr>
      </w:pPr>
      <w:r>
        <w:rPr>
          <w:rFonts w:hint="eastAsia"/>
          <w:bCs/>
          <w:i w:val="0"/>
          <w:iCs w:val="0"/>
          <w:color w:val="auto"/>
          <w:szCs w:val="21"/>
          <w:highlight w:val="none"/>
          <w:lang w:val="zh-CN"/>
        </w:rPr>
        <w:t xml:space="preserve">      2、</w:t>
      </w:r>
      <w:r>
        <w:rPr>
          <w:rFonts w:hint="eastAsia" w:cs="Courier New"/>
          <w:i w:val="0"/>
          <w:iCs w:val="0"/>
          <w:color w:val="auto"/>
          <w:szCs w:val="21"/>
          <w:highlight w:val="none"/>
        </w:rPr>
        <w:t>以联合体形式参加的，应</w:t>
      </w:r>
      <w:r>
        <w:rPr>
          <w:rFonts w:hint="eastAsia"/>
          <w:bCs/>
          <w:i w:val="0"/>
          <w:iCs w:val="0"/>
          <w:color w:val="auto"/>
          <w:szCs w:val="21"/>
          <w:highlight w:val="none"/>
          <w:lang w:val="zh-CN"/>
        </w:rPr>
        <w:t>当</w:t>
      </w:r>
      <w:r>
        <w:rPr>
          <w:rFonts w:hint="eastAsia" w:cs="Courier New"/>
          <w:i w:val="0"/>
          <w:iCs w:val="0"/>
          <w:color w:val="auto"/>
          <w:szCs w:val="21"/>
          <w:highlight w:val="none"/>
        </w:rPr>
        <w:t>由联合体各方盖章。</w:t>
      </w:r>
    </w:p>
    <w:p w14:paraId="71983F83">
      <w:pPr>
        <w:wordWrap w:val="0"/>
        <w:spacing w:before="100" w:beforeAutospacing="1" w:after="100" w:afterAutospacing="1"/>
        <w:ind w:firstLine="3316" w:firstLineChars="1382"/>
        <w:rPr>
          <w:bCs/>
          <w:color w:val="auto"/>
          <w:szCs w:val="21"/>
          <w:highlight w:val="none"/>
          <w:lang w:val="zh-CN"/>
        </w:rPr>
      </w:pPr>
      <w:r>
        <w:rPr>
          <w:rFonts w:hint="eastAsia"/>
          <w:bCs/>
          <w:color w:val="auto"/>
          <w:szCs w:val="21"/>
          <w:highlight w:val="none"/>
          <w:lang w:val="zh-CN"/>
        </w:rPr>
        <w:t>投标人</w:t>
      </w:r>
      <w:r>
        <w:rPr>
          <w:rFonts w:hint="eastAsia"/>
          <w:bCs/>
          <w:color w:val="auto"/>
          <w:szCs w:val="21"/>
          <w:highlight w:val="none"/>
          <w:lang w:val="en-US" w:eastAsia="zh-CN"/>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bCs/>
          <w:color w:val="auto"/>
          <w:szCs w:val="21"/>
          <w:highlight w:val="none"/>
          <w:lang w:val="zh-CN"/>
        </w:rPr>
        <w:t>：</w:t>
      </w:r>
      <w:r>
        <w:rPr>
          <w:rFonts w:hint="eastAsia"/>
          <w:bCs/>
          <w:color w:val="auto"/>
          <w:szCs w:val="21"/>
          <w:highlight w:val="none"/>
          <w:u w:val="single"/>
          <w:lang w:val="zh-CN"/>
        </w:rPr>
        <w:t xml:space="preserve">              </w:t>
      </w:r>
    </w:p>
    <w:p w14:paraId="3A972AC9">
      <w:pPr>
        <w:wordWrap w:val="0"/>
        <w:spacing w:before="100" w:beforeAutospacing="1" w:after="100" w:afterAutospacing="1"/>
        <w:ind w:firstLine="3316" w:firstLineChars="1382"/>
        <w:rPr>
          <w:color w:val="auto"/>
          <w:highlight w:val="none"/>
        </w:rPr>
      </w:pPr>
      <w:r>
        <w:rPr>
          <w:rFonts w:hint="eastAsia"/>
          <w:color w:val="auto"/>
          <w:szCs w:val="24"/>
          <w:highlight w:val="none"/>
        </w:rPr>
        <w:t>日</w:t>
      </w:r>
      <w:r>
        <w:rPr>
          <w:color w:val="auto"/>
          <w:szCs w:val="24"/>
          <w:highlight w:val="none"/>
        </w:rPr>
        <w:t xml:space="preserve">  </w:t>
      </w:r>
      <w:r>
        <w:rPr>
          <w:rFonts w:hint="eastAsia"/>
          <w:color w:val="auto"/>
          <w:szCs w:val="24"/>
          <w:highlight w:val="none"/>
        </w:rPr>
        <w:t>期：</w:t>
      </w:r>
      <w:r>
        <w:rPr>
          <w:bCs/>
          <w:color w:val="auto"/>
          <w:szCs w:val="24"/>
          <w:highlight w:val="none"/>
          <w:u w:val="single"/>
        </w:rPr>
        <w:t xml:space="preserve">                         </w:t>
      </w:r>
    </w:p>
    <w:p w14:paraId="6F5F8DCA">
      <w:pPr>
        <w:ind w:left="4620" w:firstLine="281" w:firstLineChars="100"/>
        <w:rPr>
          <w:rFonts w:cs="仿宋_GB2312"/>
          <w:b/>
          <w:color w:val="auto"/>
          <w:sz w:val="28"/>
          <w:szCs w:val="28"/>
          <w:highlight w:val="none"/>
        </w:rPr>
      </w:pPr>
    </w:p>
    <w:p w14:paraId="7BDD1A80">
      <w:pPr>
        <w:rPr>
          <w:color w:val="auto"/>
          <w:highlight w:val="none"/>
        </w:rPr>
      </w:pPr>
      <w:r>
        <w:rPr>
          <w:color w:val="auto"/>
          <w:highlight w:val="none"/>
        </w:rPr>
        <w:br w:type="page"/>
      </w:r>
    </w:p>
    <w:p w14:paraId="4044E1FE">
      <w:pPr>
        <w:pStyle w:val="5"/>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color w:val="auto"/>
          <w:kern w:val="2"/>
          <w:sz w:val="24"/>
          <w:szCs w:val="24"/>
          <w:highlight w:val="none"/>
          <w:lang w:val="en-US" w:eastAsia="zh-CN" w:bidi="ar-SA"/>
        </w:rPr>
      </w:pPr>
      <w:bookmarkStart w:id="400" w:name="_Toc163492942"/>
    </w:p>
    <w:p w14:paraId="4B9EE2D8">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cstheme="majorBidi"/>
          <w:b/>
          <w:bCs/>
          <w:color w:val="auto"/>
          <w:kern w:val="2"/>
          <w:sz w:val="28"/>
          <w:szCs w:val="28"/>
          <w:highlight w:val="none"/>
          <w:lang w:val="en-US" w:eastAsia="zh-CN" w:bidi="ar-SA"/>
        </w:rPr>
      </w:pPr>
      <w:bookmarkStart w:id="401" w:name="_Toc21726"/>
      <w:r>
        <w:rPr>
          <w:rFonts w:hint="eastAsia" w:cstheme="majorBidi"/>
          <w:b/>
          <w:bCs/>
          <w:color w:val="auto"/>
          <w:kern w:val="2"/>
          <w:sz w:val="28"/>
          <w:szCs w:val="28"/>
          <w:highlight w:val="none"/>
          <w:lang w:val="en-US" w:eastAsia="zh-CN" w:bidi="ar-SA"/>
        </w:rPr>
        <w:t>三、不参与围标串标承诺书</w:t>
      </w:r>
      <w:bookmarkEnd w:id="401"/>
    </w:p>
    <w:p w14:paraId="70D7F20B">
      <w:pPr>
        <w:pStyle w:val="4"/>
        <w:keepNext/>
        <w:keepLines/>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eastAsia="宋体" w:asciiTheme="majorHAnsi" w:hAnsiTheme="majorHAnsi" w:cstheme="majorBidi"/>
          <w:b/>
          <w:bCs/>
          <w:color w:val="auto"/>
          <w:kern w:val="2"/>
          <w:sz w:val="32"/>
          <w:szCs w:val="32"/>
          <w:highlight w:val="none"/>
          <w:lang w:val="en-US" w:eastAsia="zh-CN" w:bidi="ar-SA"/>
        </w:rPr>
      </w:pPr>
    </w:p>
    <w:p w14:paraId="75FF23AC">
      <w:pPr>
        <w:jc w:val="center"/>
        <w:rPr>
          <w:rFonts w:hint="eastAsia"/>
          <w:color w:val="auto"/>
          <w:highlight w:val="none"/>
          <w:lang w:val="en-US" w:eastAsia="zh-CN"/>
        </w:rPr>
      </w:pPr>
      <w:r>
        <w:rPr>
          <w:rFonts w:hint="eastAsia" w:cstheme="majorBidi"/>
          <w:b/>
          <w:bCs/>
          <w:color w:val="auto"/>
          <w:kern w:val="2"/>
          <w:sz w:val="32"/>
          <w:szCs w:val="32"/>
          <w:highlight w:val="none"/>
          <w:lang w:val="en-US" w:eastAsia="zh-CN" w:bidi="ar-SA"/>
        </w:rPr>
        <w:t>不参与围标串标承诺书</w:t>
      </w:r>
    </w:p>
    <w:p w14:paraId="6B233C07">
      <w:pPr>
        <w:rPr>
          <w:rFonts w:hint="eastAsia"/>
          <w:color w:val="auto"/>
          <w:highlight w:val="none"/>
          <w:lang w:val="en-US" w:eastAsia="zh-CN"/>
        </w:rPr>
      </w:pPr>
      <w:r>
        <w:rPr>
          <w:rFonts w:hint="eastAsia"/>
          <w:color w:val="auto"/>
          <w:highlight w:val="none"/>
          <w:lang w:val="en-US" w:eastAsia="zh-CN"/>
        </w:rPr>
        <w:t>  </w:t>
      </w:r>
    </w:p>
    <w:p w14:paraId="1ACC5C3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r>
        <w:rPr>
          <w:rFonts w:hint="eastAsia"/>
          <w:color w:val="auto"/>
          <w:highlight w:val="none"/>
          <w:lang w:val="en-US" w:eastAsia="zh-CN"/>
        </w:rPr>
        <w:t>本人作为经授权的投标人代表,清楚知晓我单位本项目投标活动,对以下事项作出承诺：</w:t>
      </w:r>
    </w:p>
    <w:p w14:paraId="398E608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p>
    <w:p w14:paraId="26BB11E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r>
        <w:rPr>
          <w:rFonts w:hint="eastAsia"/>
          <w:color w:val="auto"/>
          <w:highlight w:val="none"/>
          <w:lang w:val="en-US" w:eastAsia="zh-CN"/>
        </w:rPr>
        <w:t>一、我单位和我本人遵循公开透明、公平竞争、公正和诚实信用的原则,依法依规参与本项目竞标。</w:t>
      </w:r>
    </w:p>
    <w:p w14:paraId="10BBFC5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r>
        <w:rPr>
          <w:rFonts w:hint="eastAsia"/>
          <w:color w:val="auto"/>
          <w:highlight w:val="none"/>
          <w:lang w:val="en-US" w:eastAsia="zh-CN"/>
        </w:rPr>
        <w:t>二、我单位和我本人在本项目政府采购投标活动中,未参与围标串标。</w:t>
      </w:r>
    </w:p>
    <w:p w14:paraId="1A7E347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r>
        <w:rPr>
          <w:rFonts w:hint="eastAsia"/>
          <w:color w:val="auto"/>
          <w:highlight w:val="none"/>
          <w:lang w:val="en-US" w:eastAsia="zh-CN"/>
        </w:rPr>
        <w:t>三、我单位如被查实在本项目政府采购投标活动中存在围标串标的，递交投标文件行为作为实施串通投标违法行为的关键环节,由我单位及法定代表人承担相应的法律责任，接受相应行政处罚和失信惩戒。</w:t>
      </w:r>
    </w:p>
    <w:p w14:paraId="29E3C848">
      <w:pPr>
        <w:pStyle w:val="14"/>
        <w:rPr>
          <w:rFonts w:hint="eastAsia"/>
          <w:color w:val="auto"/>
          <w:highlight w:val="none"/>
          <w:lang w:val="en-US" w:eastAsia="zh-CN"/>
        </w:rPr>
      </w:pPr>
    </w:p>
    <w:p w14:paraId="39CB3E48">
      <w:pPr>
        <w:spacing w:line="560" w:lineRule="exact"/>
        <w:rPr>
          <w:rFonts w:hint="eastAsia" w:ascii="宋体" w:hAnsi="宋体" w:eastAsia="宋体" w:cs="宋体"/>
          <w:color w:val="auto"/>
          <w:kern w:val="0"/>
          <w:sz w:val="24"/>
          <w:szCs w:val="24"/>
          <w:highlight w:val="none"/>
        </w:rPr>
      </w:pPr>
    </w:p>
    <w:p w14:paraId="19648C53">
      <w:pPr>
        <w:spacing w:line="560" w:lineRule="exact"/>
        <w:rPr>
          <w:rFonts w:hint="eastAsia" w:ascii="宋体" w:hAnsi="宋体" w:eastAsia="宋体" w:cs="宋体"/>
          <w:color w:val="auto"/>
          <w:kern w:val="0"/>
          <w:sz w:val="24"/>
          <w:szCs w:val="24"/>
          <w:highlight w:val="none"/>
        </w:rPr>
      </w:pPr>
      <w:r>
        <w:rPr>
          <w:rFonts w:hint="eastAsia" w:cs="宋体"/>
          <w:color w:val="auto"/>
          <w:kern w:val="0"/>
          <w:sz w:val="24"/>
          <w:szCs w:val="24"/>
          <w:highlight w:val="none"/>
          <w:lang w:val="en-US" w:eastAsia="zh-CN"/>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szCs w:val="24"/>
          <w:highlight w:val="none"/>
        </w:rPr>
        <w:t>：</w:t>
      </w:r>
    </w:p>
    <w:p w14:paraId="2CCE383A">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负责人</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本人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或授权代表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rPr>
        <w:t>：</w:t>
      </w:r>
    </w:p>
    <w:p w14:paraId="692B3277">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14:paraId="13DA43E0">
      <w:pPr>
        <w:widowControl/>
        <w:spacing w:line="560" w:lineRule="exact"/>
        <w:ind w:firstLine="630"/>
        <w:jc w:val="left"/>
        <w:rPr>
          <w:rFonts w:hint="eastAsia" w:ascii="宋体" w:hAnsi="宋体" w:eastAsia="宋体" w:cs="宋体"/>
          <w:color w:val="auto"/>
          <w:kern w:val="0"/>
          <w:sz w:val="24"/>
          <w:szCs w:val="24"/>
          <w:highlight w:val="none"/>
        </w:rPr>
      </w:pPr>
    </w:p>
    <w:p w14:paraId="7CD72A88">
      <w:pPr>
        <w:pStyle w:val="14"/>
        <w:rPr>
          <w:rFonts w:hint="eastAsia"/>
          <w:color w:val="auto"/>
          <w:highlight w:val="none"/>
          <w:lang w:val="en-US" w:eastAsia="zh-CN"/>
        </w:rPr>
      </w:pPr>
    </w:p>
    <w:p w14:paraId="6FC519D1">
      <w:pPr>
        <w:pStyle w:val="14"/>
        <w:rPr>
          <w:rFonts w:hint="eastAsia"/>
          <w:color w:val="auto"/>
          <w:highlight w:val="none"/>
          <w:lang w:val="en-US" w:eastAsia="zh-CN"/>
        </w:rPr>
      </w:pPr>
    </w:p>
    <w:p w14:paraId="7500053D">
      <w:pPr>
        <w:pStyle w:val="14"/>
        <w:rPr>
          <w:rFonts w:hint="eastAsia"/>
          <w:color w:val="auto"/>
          <w:highlight w:val="none"/>
          <w:lang w:val="en-US" w:eastAsia="zh-CN"/>
        </w:rPr>
      </w:pPr>
    </w:p>
    <w:p w14:paraId="5BF64493">
      <w:pPr>
        <w:pStyle w:val="14"/>
        <w:rPr>
          <w:rFonts w:hint="eastAsia"/>
          <w:color w:val="auto"/>
          <w:highlight w:val="none"/>
          <w:lang w:val="en-US" w:eastAsia="zh-CN"/>
        </w:rPr>
      </w:pPr>
    </w:p>
    <w:p w14:paraId="5CA01A8B">
      <w:pPr>
        <w:pStyle w:val="14"/>
        <w:rPr>
          <w:rFonts w:hint="eastAsia"/>
          <w:color w:val="auto"/>
          <w:highlight w:val="none"/>
          <w:lang w:val="en-US" w:eastAsia="zh-CN"/>
        </w:rPr>
      </w:pPr>
    </w:p>
    <w:p w14:paraId="029F743D">
      <w:pPr>
        <w:pStyle w:val="14"/>
        <w:rPr>
          <w:rFonts w:hint="eastAsia"/>
          <w:color w:val="auto"/>
          <w:highlight w:val="none"/>
          <w:lang w:val="en-US" w:eastAsia="zh-CN"/>
        </w:rPr>
      </w:pPr>
    </w:p>
    <w:p w14:paraId="41587146">
      <w:pPr>
        <w:pStyle w:val="14"/>
        <w:rPr>
          <w:rFonts w:hint="eastAsia"/>
          <w:color w:val="auto"/>
          <w:highlight w:val="none"/>
          <w:lang w:val="en-US" w:eastAsia="zh-CN"/>
        </w:rPr>
      </w:pPr>
    </w:p>
    <w:p w14:paraId="34406338">
      <w:pPr>
        <w:pStyle w:val="14"/>
        <w:rPr>
          <w:rFonts w:hint="eastAsia"/>
          <w:color w:val="auto"/>
          <w:highlight w:val="none"/>
          <w:lang w:val="en-US" w:eastAsia="zh-CN"/>
        </w:rPr>
      </w:pPr>
    </w:p>
    <w:p w14:paraId="13DEAFB3">
      <w:pPr>
        <w:pStyle w:val="5"/>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color w:val="auto"/>
          <w:kern w:val="2"/>
          <w:sz w:val="24"/>
          <w:szCs w:val="24"/>
          <w:highlight w:val="none"/>
          <w:lang w:val="en-US" w:eastAsia="zh-CN" w:bidi="ar-SA"/>
        </w:rPr>
      </w:pPr>
    </w:p>
    <w:p w14:paraId="30C8D33E">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zh-CN" w:eastAsia="zh-CN" w:bidi="ar-SA"/>
        </w:rPr>
      </w:pPr>
      <w:bookmarkStart w:id="402" w:name="_Toc5600"/>
      <w:r>
        <w:rPr>
          <w:rFonts w:hint="eastAsia" w:cstheme="majorBidi"/>
          <w:b/>
          <w:bCs/>
          <w:color w:val="auto"/>
          <w:kern w:val="2"/>
          <w:sz w:val="28"/>
          <w:szCs w:val="28"/>
          <w:highlight w:val="none"/>
          <w:lang w:val="en-US" w:eastAsia="zh-CN" w:bidi="ar-SA"/>
        </w:rPr>
        <w:t>四</w:t>
      </w:r>
      <w:r>
        <w:rPr>
          <w:rFonts w:hint="eastAsia" w:eastAsia="宋体" w:asciiTheme="majorHAnsi" w:hAnsiTheme="majorHAnsi" w:cstheme="majorBidi"/>
          <w:b/>
          <w:bCs/>
          <w:color w:val="auto"/>
          <w:kern w:val="2"/>
          <w:sz w:val="28"/>
          <w:szCs w:val="28"/>
          <w:highlight w:val="none"/>
          <w:lang w:val="en-US" w:eastAsia="zh-CN" w:bidi="ar-SA"/>
        </w:rPr>
        <w:t>、</w:t>
      </w:r>
      <w:bookmarkEnd w:id="400"/>
      <w:r>
        <w:rPr>
          <w:rFonts w:hint="eastAsia" w:eastAsia="宋体" w:asciiTheme="majorHAnsi" w:hAnsiTheme="majorHAnsi" w:cstheme="majorBidi"/>
          <w:b/>
          <w:bCs/>
          <w:color w:val="auto"/>
          <w:kern w:val="2"/>
          <w:sz w:val="28"/>
          <w:szCs w:val="28"/>
          <w:highlight w:val="none"/>
          <w:lang w:val="zh-CN" w:eastAsia="zh-CN" w:bidi="ar-SA"/>
        </w:rPr>
        <w:t>其他资格证明文件</w:t>
      </w:r>
      <w:bookmarkEnd w:id="402"/>
    </w:p>
    <w:p w14:paraId="0C24F0AE">
      <w:pPr>
        <w:pStyle w:val="37"/>
        <w:rPr>
          <w:rFonts w:hint="eastAsia"/>
          <w:color w:val="auto"/>
          <w:highlight w:val="none"/>
        </w:rPr>
      </w:pPr>
      <w:r>
        <w:rPr>
          <w:rFonts w:hint="eastAsia" w:cs="Courier New"/>
          <w:color w:val="auto"/>
          <w:szCs w:val="24"/>
          <w:highlight w:val="none"/>
        </w:rPr>
        <w:t>投标人认为需提供的其它相关资格证明材料</w:t>
      </w:r>
    </w:p>
    <w:p w14:paraId="7C2C3E83">
      <w:pPr>
        <w:pStyle w:val="37"/>
        <w:rPr>
          <w:rFonts w:hint="eastAsia"/>
          <w:color w:val="auto"/>
          <w:highlight w:val="none"/>
        </w:rPr>
      </w:pPr>
    </w:p>
    <w:p w14:paraId="58A36194">
      <w:pPr>
        <w:pStyle w:val="37"/>
        <w:rPr>
          <w:rFonts w:hint="eastAsia"/>
          <w:color w:val="auto"/>
          <w:highlight w:val="none"/>
        </w:rPr>
      </w:pPr>
    </w:p>
    <w:p w14:paraId="3553B395">
      <w:pPr>
        <w:pStyle w:val="37"/>
        <w:rPr>
          <w:rFonts w:hint="eastAsia"/>
          <w:color w:val="auto"/>
          <w:highlight w:val="none"/>
        </w:rPr>
      </w:pPr>
    </w:p>
    <w:p w14:paraId="49D404FC">
      <w:pPr>
        <w:pStyle w:val="37"/>
        <w:rPr>
          <w:rFonts w:hint="eastAsia"/>
          <w:color w:val="auto"/>
          <w:highlight w:val="none"/>
        </w:rPr>
      </w:pPr>
    </w:p>
    <w:p w14:paraId="4B98E4B6">
      <w:pPr>
        <w:pStyle w:val="37"/>
        <w:rPr>
          <w:rFonts w:hint="eastAsia"/>
          <w:color w:val="auto"/>
          <w:highlight w:val="none"/>
        </w:rPr>
      </w:pPr>
    </w:p>
    <w:p w14:paraId="737FEDD3">
      <w:pPr>
        <w:pStyle w:val="37"/>
        <w:rPr>
          <w:rFonts w:hint="eastAsia"/>
          <w:color w:val="auto"/>
          <w:highlight w:val="none"/>
        </w:rPr>
      </w:pPr>
    </w:p>
    <w:p w14:paraId="1C876135">
      <w:pPr>
        <w:pStyle w:val="37"/>
        <w:rPr>
          <w:rFonts w:hint="eastAsia"/>
          <w:color w:val="auto"/>
          <w:highlight w:val="none"/>
        </w:rPr>
      </w:pPr>
    </w:p>
    <w:p w14:paraId="7E85C842">
      <w:pPr>
        <w:pStyle w:val="37"/>
        <w:rPr>
          <w:rFonts w:hint="eastAsia"/>
          <w:color w:val="auto"/>
          <w:highlight w:val="none"/>
        </w:rPr>
      </w:pPr>
    </w:p>
    <w:p w14:paraId="4CBE3B0D">
      <w:pPr>
        <w:pStyle w:val="37"/>
        <w:rPr>
          <w:rFonts w:hint="eastAsia"/>
          <w:color w:val="auto"/>
          <w:highlight w:val="none"/>
        </w:rPr>
      </w:pPr>
    </w:p>
    <w:p w14:paraId="2E6E451F">
      <w:pPr>
        <w:pStyle w:val="37"/>
        <w:rPr>
          <w:rFonts w:hint="eastAsia"/>
          <w:color w:val="auto"/>
          <w:highlight w:val="none"/>
        </w:rPr>
      </w:pPr>
    </w:p>
    <w:p w14:paraId="38DC2C55">
      <w:pPr>
        <w:pStyle w:val="37"/>
        <w:rPr>
          <w:rFonts w:hint="eastAsia"/>
          <w:color w:val="auto"/>
          <w:highlight w:val="none"/>
        </w:rPr>
      </w:pPr>
    </w:p>
    <w:p w14:paraId="04DAFD3C">
      <w:pPr>
        <w:pStyle w:val="37"/>
        <w:rPr>
          <w:rFonts w:hint="eastAsia"/>
          <w:color w:val="auto"/>
          <w:highlight w:val="none"/>
        </w:rPr>
      </w:pPr>
    </w:p>
    <w:p w14:paraId="51E24CDC">
      <w:pPr>
        <w:pStyle w:val="37"/>
        <w:rPr>
          <w:rFonts w:hint="eastAsia"/>
          <w:color w:val="auto"/>
          <w:highlight w:val="none"/>
        </w:rPr>
      </w:pPr>
    </w:p>
    <w:p w14:paraId="1AC1942E">
      <w:pPr>
        <w:pStyle w:val="37"/>
        <w:rPr>
          <w:rFonts w:hint="eastAsia"/>
          <w:color w:val="auto"/>
          <w:highlight w:val="none"/>
        </w:rPr>
      </w:pPr>
    </w:p>
    <w:p w14:paraId="4722E259">
      <w:pPr>
        <w:pStyle w:val="37"/>
        <w:rPr>
          <w:rFonts w:hint="eastAsia"/>
          <w:color w:val="auto"/>
          <w:highlight w:val="none"/>
        </w:rPr>
      </w:pPr>
    </w:p>
    <w:p w14:paraId="07033BD3">
      <w:pPr>
        <w:pStyle w:val="37"/>
        <w:rPr>
          <w:rFonts w:hint="eastAsia"/>
          <w:color w:val="auto"/>
          <w:highlight w:val="none"/>
        </w:rPr>
      </w:pPr>
    </w:p>
    <w:p w14:paraId="6E1D094D">
      <w:pPr>
        <w:pStyle w:val="37"/>
        <w:rPr>
          <w:rFonts w:hint="eastAsia"/>
          <w:color w:val="auto"/>
          <w:highlight w:val="none"/>
        </w:rPr>
      </w:pPr>
    </w:p>
    <w:p w14:paraId="23B0DB54">
      <w:pPr>
        <w:pStyle w:val="37"/>
        <w:rPr>
          <w:rFonts w:hint="eastAsia"/>
          <w:color w:val="auto"/>
          <w:highlight w:val="none"/>
        </w:rPr>
      </w:pPr>
    </w:p>
    <w:p w14:paraId="07159DF6">
      <w:pPr>
        <w:pStyle w:val="37"/>
        <w:rPr>
          <w:rFonts w:hint="eastAsia"/>
          <w:color w:val="auto"/>
          <w:highlight w:val="none"/>
        </w:rPr>
      </w:pPr>
    </w:p>
    <w:p w14:paraId="44B3A5AA">
      <w:pPr>
        <w:pStyle w:val="37"/>
        <w:rPr>
          <w:rFonts w:hint="eastAsia"/>
          <w:color w:val="auto"/>
          <w:highlight w:val="none"/>
        </w:rPr>
      </w:pPr>
    </w:p>
    <w:p w14:paraId="05BB178A">
      <w:pPr>
        <w:pStyle w:val="37"/>
        <w:rPr>
          <w:rFonts w:hint="eastAsia"/>
          <w:color w:val="auto"/>
          <w:highlight w:val="none"/>
        </w:rPr>
      </w:pPr>
    </w:p>
    <w:p w14:paraId="0E7980AB">
      <w:pPr>
        <w:pStyle w:val="37"/>
        <w:rPr>
          <w:rFonts w:hint="eastAsia"/>
          <w:color w:val="auto"/>
          <w:highlight w:val="none"/>
        </w:rPr>
      </w:pPr>
    </w:p>
    <w:p w14:paraId="5A09B930">
      <w:pPr>
        <w:pStyle w:val="37"/>
        <w:rPr>
          <w:rFonts w:hint="eastAsia"/>
          <w:color w:val="auto"/>
          <w:highlight w:val="none"/>
        </w:rPr>
      </w:pPr>
    </w:p>
    <w:p w14:paraId="3FB1F62E">
      <w:pPr>
        <w:pStyle w:val="37"/>
        <w:rPr>
          <w:rFonts w:hint="eastAsia"/>
          <w:color w:val="auto"/>
          <w:highlight w:val="none"/>
        </w:rPr>
      </w:pPr>
    </w:p>
    <w:p w14:paraId="69D25AC1">
      <w:pPr>
        <w:pStyle w:val="37"/>
        <w:rPr>
          <w:rFonts w:hint="eastAsia"/>
          <w:color w:val="auto"/>
          <w:highlight w:val="none"/>
        </w:rPr>
      </w:pPr>
    </w:p>
    <w:p w14:paraId="3E9AC4C9">
      <w:pPr>
        <w:pStyle w:val="37"/>
        <w:rPr>
          <w:rFonts w:hint="eastAsia"/>
          <w:color w:val="auto"/>
          <w:highlight w:val="none"/>
        </w:rPr>
      </w:pPr>
    </w:p>
    <w:p w14:paraId="04384634">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0582944">
      <w:pPr>
        <w:ind w:firstLine="480" w:firstLineChars="200"/>
        <w:rPr>
          <w:rFonts w:cs="仿宋_GB2312"/>
          <w:color w:val="auto"/>
          <w:szCs w:val="24"/>
          <w:highlight w:val="none"/>
          <w:lang w:val="zh-CN"/>
        </w:rPr>
      </w:pPr>
      <w:r>
        <w:rPr>
          <w:rFonts w:hint="eastAsia" w:cs="仿宋_GB2312"/>
          <w:color w:val="auto"/>
          <w:szCs w:val="24"/>
          <w:highlight w:val="none"/>
          <w:lang w:val="zh-CN"/>
        </w:rPr>
        <w:t>封面：</w:t>
      </w:r>
    </w:p>
    <w:p w14:paraId="4D1553A3">
      <w:pPr>
        <w:autoSpaceDE w:val="0"/>
        <w:autoSpaceDN w:val="0"/>
        <w:adjustRightInd w:val="0"/>
        <w:rPr>
          <w:color w:val="auto"/>
          <w:sz w:val="21"/>
          <w:szCs w:val="24"/>
          <w:highlight w:val="none"/>
        </w:rPr>
      </w:pPr>
    </w:p>
    <w:p w14:paraId="4625D57D">
      <w:pPr>
        <w:autoSpaceDE w:val="0"/>
        <w:autoSpaceDN w:val="0"/>
        <w:adjustRightInd w:val="0"/>
        <w:rPr>
          <w:color w:val="auto"/>
          <w:sz w:val="21"/>
          <w:szCs w:val="24"/>
          <w:highlight w:val="none"/>
        </w:rPr>
      </w:pPr>
    </w:p>
    <w:p w14:paraId="426BCEA1">
      <w:pPr>
        <w:autoSpaceDE w:val="0"/>
        <w:autoSpaceDN w:val="0"/>
        <w:adjustRightInd w:val="0"/>
        <w:jc w:val="center"/>
        <w:rPr>
          <w:color w:val="auto"/>
          <w:sz w:val="21"/>
          <w:szCs w:val="24"/>
          <w:highlight w:val="none"/>
        </w:rPr>
      </w:pPr>
    </w:p>
    <w:p w14:paraId="3902644C">
      <w:pPr>
        <w:autoSpaceDE w:val="0"/>
        <w:autoSpaceDN w:val="0"/>
        <w:adjustRightInd w:val="0"/>
        <w:jc w:val="center"/>
        <w:rPr>
          <w:b/>
          <w:color w:val="auto"/>
          <w:sz w:val="84"/>
          <w:szCs w:val="84"/>
          <w:highlight w:val="none"/>
        </w:rPr>
      </w:pPr>
      <w:r>
        <w:rPr>
          <w:rFonts w:hint="eastAsia"/>
          <w:b/>
          <w:color w:val="auto"/>
          <w:sz w:val="84"/>
          <w:szCs w:val="84"/>
          <w:highlight w:val="none"/>
        </w:rPr>
        <w:t>投 标 文 件</w:t>
      </w:r>
    </w:p>
    <w:p w14:paraId="5B89FC04">
      <w:pPr>
        <w:autoSpaceDE w:val="0"/>
        <w:autoSpaceDN w:val="0"/>
        <w:adjustRightInd w:val="0"/>
        <w:jc w:val="center"/>
        <w:rPr>
          <w:rFonts w:hint="eastAsia"/>
          <w:b/>
          <w:color w:val="auto"/>
          <w:sz w:val="56"/>
          <w:szCs w:val="56"/>
          <w:highlight w:val="none"/>
          <w:lang w:val="en-US" w:eastAsia="zh-CN"/>
        </w:rPr>
      </w:pPr>
      <w:r>
        <w:rPr>
          <w:rFonts w:hint="eastAsia"/>
          <w:b/>
          <w:color w:val="auto"/>
          <w:sz w:val="56"/>
          <w:szCs w:val="56"/>
          <w:highlight w:val="none"/>
          <w:lang w:val="en-US" w:eastAsia="zh-CN"/>
        </w:rPr>
        <w:t>报价文件</w:t>
      </w:r>
    </w:p>
    <w:p w14:paraId="5531C7E5">
      <w:pPr>
        <w:autoSpaceDE w:val="0"/>
        <w:autoSpaceDN w:val="0"/>
        <w:adjustRightInd w:val="0"/>
        <w:jc w:val="center"/>
        <w:rPr>
          <w:rFonts w:hint="eastAsia" w:eastAsia="宋体"/>
          <w:color w:val="auto"/>
          <w:sz w:val="36"/>
          <w:szCs w:val="36"/>
          <w:highlight w:val="none"/>
          <w:lang w:eastAsia="zh-CN"/>
        </w:rPr>
      </w:pPr>
      <w:r>
        <w:rPr>
          <w:rFonts w:hint="eastAsia"/>
          <w:color w:val="auto"/>
          <w:sz w:val="36"/>
          <w:szCs w:val="36"/>
          <w:highlight w:val="none"/>
          <w:lang w:val="en-US" w:eastAsia="zh-CN"/>
        </w:rPr>
        <w:t>（第XX包</w:t>
      </w:r>
      <w:r>
        <w:rPr>
          <w:rFonts w:hint="eastAsia"/>
          <w:color w:val="auto"/>
          <w:sz w:val="36"/>
          <w:szCs w:val="36"/>
          <w:highlight w:val="none"/>
          <w:lang w:eastAsia="zh-CN"/>
        </w:rPr>
        <w:t>）【</w:t>
      </w:r>
      <w:r>
        <w:rPr>
          <w:rFonts w:hint="eastAsia"/>
          <w:color w:val="auto"/>
          <w:sz w:val="36"/>
          <w:szCs w:val="36"/>
          <w:highlight w:val="none"/>
          <w:lang w:val="en-US" w:eastAsia="zh-CN"/>
        </w:rPr>
        <w:t>如不分包，请删去本行</w:t>
      </w:r>
      <w:r>
        <w:rPr>
          <w:rFonts w:hint="eastAsia"/>
          <w:color w:val="auto"/>
          <w:sz w:val="36"/>
          <w:szCs w:val="36"/>
          <w:highlight w:val="none"/>
          <w:lang w:eastAsia="zh-CN"/>
        </w:rPr>
        <w:t>】</w:t>
      </w:r>
    </w:p>
    <w:p w14:paraId="054E0C81">
      <w:pPr>
        <w:pStyle w:val="4"/>
        <w:rPr>
          <w:color w:val="auto"/>
          <w:sz w:val="21"/>
          <w:szCs w:val="21"/>
          <w:highlight w:val="none"/>
        </w:rPr>
      </w:pPr>
    </w:p>
    <w:p w14:paraId="425E1EDC">
      <w:pPr>
        <w:rPr>
          <w:color w:val="auto"/>
          <w:sz w:val="21"/>
          <w:szCs w:val="21"/>
          <w:highlight w:val="none"/>
        </w:rPr>
      </w:pPr>
    </w:p>
    <w:p w14:paraId="5FFD5616">
      <w:pPr>
        <w:rPr>
          <w:color w:val="auto"/>
          <w:highlight w:val="none"/>
        </w:rPr>
      </w:pPr>
    </w:p>
    <w:p w14:paraId="0338FA55">
      <w:pPr>
        <w:autoSpaceDE w:val="0"/>
        <w:autoSpaceDN w:val="0"/>
        <w:adjustRightInd w:val="0"/>
        <w:rPr>
          <w:color w:val="auto"/>
          <w:sz w:val="21"/>
          <w:szCs w:val="21"/>
          <w:highlight w:val="none"/>
        </w:rPr>
      </w:pPr>
    </w:p>
    <w:p w14:paraId="336C0AE3">
      <w:pPr>
        <w:autoSpaceDE w:val="0"/>
        <w:autoSpaceDN w:val="0"/>
        <w:adjustRightInd w:val="0"/>
        <w:rPr>
          <w:color w:val="auto"/>
          <w:sz w:val="21"/>
          <w:szCs w:val="21"/>
          <w:highlight w:val="none"/>
        </w:rPr>
      </w:pPr>
    </w:p>
    <w:p w14:paraId="6F475132">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0173F70E">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101680F9">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13B6644C">
      <w:pPr>
        <w:ind w:left="840" w:firstLine="420"/>
        <w:rPr>
          <w:b/>
          <w:bCs/>
          <w:color w:val="auto"/>
          <w:sz w:val="28"/>
          <w:szCs w:val="28"/>
          <w:highlight w:val="none"/>
        </w:rPr>
      </w:pPr>
    </w:p>
    <w:p w14:paraId="5776D25B">
      <w:pPr>
        <w:ind w:left="840" w:firstLine="420"/>
        <w:rPr>
          <w:b/>
          <w:bCs/>
          <w:color w:val="auto"/>
          <w:sz w:val="28"/>
          <w:szCs w:val="28"/>
          <w:highlight w:val="none"/>
        </w:rPr>
      </w:pPr>
    </w:p>
    <w:p w14:paraId="153E0B10">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2B025C97">
      <w:pPr>
        <w:rPr>
          <w:color w:val="auto"/>
          <w:highlight w:val="none"/>
          <w:lang w:val="zh-CN"/>
        </w:rPr>
      </w:pPr>
      <w:r>
        <w:rPr>
          <w:color w:val="auto"/>
          <w:highlight w:val="none"/>
          <w:lang w:val="zh-CN"/>
        </w:rPr>
        <w:br w:type="page"/>
      </w:r>
    </w:p>
    <w:p w14:paraId="5A6B7717">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color w:val="auto"/>
          <w:kern w:val="2"/>
          <w:sz w:val="32"/>
          <w:szCs w:val="32"/>
          <w:highlight w:val="none"/>
          <w:lang w:val="en-US" w:eastAsia="zh-CN" w:bidi="ar-SA"/>
        </w:rPr>
      </w:pPr>
    </w:p>
    <w:p w14:paraId="730DA0BC">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color w:val="auto"/>
          <w:kern w:val="2"/>
          <w:sz w:val="32"/>
          <w:szCs w:val="32"/>
          <w:highlight w:val="none"/>
          <w:lang w:val="en-US" w:eastAsia="zh-CN" w:bidi="ar-SA"/>
        </w:rPr>
      </w:pPr>
      <w:bookmarkStart w:id="403" w:name="_Toc21339"/>
      <w:r>
        <w:rPr>
          <w:rFonts w:hint="eastAsia" w:cstheme="majorBidi"/>
          <w:b/>
          <w:bCs/>
          <w:color w:val="auto"/>
          <w:kern w:val="2"/>
          <w:sz w:val="32"/>
          <w:szCs w:val="32"/>
          <w:highlight w:val="none"/>
          <w:lang w:val="en-US" w:eastAsia="zh-CN" w:bidi="ar-SA"/>
        </w:rPr>
        <w:t>一、开标一览表</w:t>
      </w:r>
      <w:bookmarkEnd w:id="403"/>
    </w:p>
    <w:p w14:paraId="2AB3D72A">
      <w:pPr>
        <w:spacing w:line="300" w:lineRule="auto"/>
        <w:rPr>
          <w:rFonts w:cs="仿宋_GB2312"/>
          <w:color w:val="auto"/>
          <w:szCs w:val="24"/>
          <w:highlight w:val="none"/>
        </w:rPr>
      </w:pPr>
    </w:p>
    <w:p w14:paraId="599D3A7B">
      <w:pPr>
        <w:rPr>
          <w:b w:val="0"/>
          <w:bCs/>
          <w:color w:val="auto"/>
          <w:szCs w:val="21"/>
          <w:highlight w:val="none"/>
          <w:lang w:val="zh-CN"/>
        </w:rPr>
      </w:pPr>
      <w:r>
        <w:rPr>
          <w:rFonts w:hint="eastAsia"/>
          <w:b w:val="0"/>
          <w:bCs/>
          <w:color w:val="auto"/>
          <w:szCs w:val="21"/>
          <w:highlight w:val="none"/>
          <w:lang w:val="zh-CN"/>
        </w:rPr>
        <w:t>项目名称：</w:t>
      </w:r>
      <w:r>
        <w:rPr>
          <w:rFonts w:hint="eastAsia"/>
          <w:b w:val="0"/>
          <w:bCs/>
          <w:color w:val="auto"/>
          <w:szCs w:val="21"/>
          <w:highlight w:val="none"/>
          <w:u w:val="single"/>
          <w:lang w:val="zh-CN"/>
        </w:rPr>
        <w:t xml:space="preserve">                     </w:t>
      </w:r>
    </w:p>
    <w:p w14:paraId="0CABFDF4">
      <w:pPr>
        <w:rPr>
          <w:b w:val="0"/>
          <w:bCs/>
          <w:color w:val="auto"/>
          <w:szCs w:val="21"/>
          <w:highlight w:val="none"/>
          <w:u w:val="single"/>
          <w:lang w:val="zh-CN"/>
        </w:rPr>
      </w:pPr>
      <w:r>
        <w:rPr>
          <w:rFonts w:hint="eastAsia"/>
          <w:b w:val="0"/>
          <w:bCs/>
          <w:color w:val="auto"/>
          <w:szCs w:val="21"/>
          <w:highlight w:val="none"/>
          <w:lang w:val="zh-CN"/>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b w:val="0"/>
          <w:bCs/>
          <w:color w:val="auto"/>
          <w:szCs w:val="21"/>
          <w:highlight w:val="none"/>
          <w:u w:val="single"/>
          <w:lang w:val="zh-CN"/>
        </w:rPr>
        <w:t xml:space="preserve">                </w:t>
      </w:r>
    </w:p>
    <w:tbl>
      <w:tblPr>
        <w:tblStyle w:val="30"/>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5F27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68B46E6E">
            <w:pPr>
              <w:widowControl/>
              <w:autoSpaceDE w:val="0"/>
              <w:autoSpaceDN w:val="0"/>
              <w:spacing w:line="240" w:lineRule="auto"/>
              <w:jc w:val="center"/>
              <w:textAlignment w:val="bottom"/>
              <w:rPr>
                <w:color w:val="auto"/>
                <w:sz w:val="24"/>
                <w:szCs w:val="24"/>
                <w:highlight w:val="none"/>
              </w:rPr>
            </w:pPr>
            <w:r>
              <w:rPr>
                <w:rFonts w:hint="eastAsia"/>
                <w:color w:val="auto"/>
                <w:sz w:val="24"/>
                <w:szCs w:val="24"/>
                <w:highlight w:val="none"/>
              </w:rPr>
              <w:t>序号</w:t>
            </w:r>
          </w:p>
        </w:tc>
        <w:tc>
          <w:tcPr>
            <w:tcW w:w="2352" w:type="dxa"/>
            <w:vAlign w:val="center"/>
          </w:tcPr>
          <w:p w14:paraId="5D10FF2E">
            <w:pPr>
              <w:widowControl/>
              <w:autoSpaceDE w:val="0"/>
              <w:autoSpaceDN w:val="0"/>
              <w:spacing w:line="240" w:lineRule="auto"/>
              <w:ind w:left="851" w:hanging="851"/>
              <w:jc w:val="center"/>
              <w:textAlignment w:val="bottom"/>
              <w:rPr>
                <w:color w:val="auto"/>
                <w:sz w:val="24"/>
                <w:szCs w:val="24"/>
                <w:highlight w:val="none"/>
              </w:rPr>
            </w:pPr>
            <w:r>
              <w:rPr>
                <w:rFonts w:hint="eastAsia"/>
                <w:color w:val="auto"/>
                <w:sz w:val="24"/>
                <w:szCs w:val="24"/>
                <w:highlight w:val="none"/>
              </w:rPr>
              <w:t>投标报价</w:t>
            </w:r>
          </w:p>
        </w:tc>
        <w:tc>
          <w:tcPr>
            <w:tcW w:w="2161" w:type="dxa"/>
            <w:vAlign w:val="center"/>
          </w:tcPr>
          <w:p w14:paraId="48CC1886">
            <w:pPr>
              <w:widowControl/>
              <w:autoSpaceDE w:val="0"/>
              <w:autoSpaceDN w:val="0"/>
              <w:spacing w:line="240" w:lineRule="auto"/>
              <w:ind w:left="851" w:hanging="851"/>
              <w:jc w:val="center"/>
              <w:textAlignment w:val="bottom"/>
              <w:rPr>
                <w:color w:val="auto"/>
                <w:sz w:val="24"/>
                <w:szCs w:val="24"/>
                <w:highlight w:val="none"/>
              </w:rPr>
            </w:pPr>
            <w:r>
              <w:rPr>
                <w:rFonts w:hint="eastAsia"/>
                <w:color w:val="auto"/>
                <w:sz w:val="24"/>
                <w:szCs w:val="24"/>
                <w:highlight w:val="none"/>
              </w:rPr>
              <w:t>交货期限</w:t>
            </w:r>
          </w:p>
        </w:tc>
        <w:tc>
          <w:tcPr>
            <w:tcW w:w="2611" w:type="dxa"/>
            <w:vAlign w:val="center"/>
          </w:tcPr>
          <w:p w14:paraId="620875ED">
            <w:pPr>
              <w:widowControl/>
              <w:autoSpaceDE w:val="0"/>
              <w:autoSpaceDN w:val="0"/>
              <w:spacing w:line="240" w:lineRule="auto"/>
              <w:jc w:val="center"/>
              <w:textAlignment w:val="bottom"/>
              <w:rPr>
                <w:color w:val="auto"/>
                <w:sz w:val="24"/>
                <w:szCs w:val="24"/>
                <w:highlight w:val="none"/>
              </w:rPr>
            </w:pPr>
            <w:r>
              <w:rPr>
                <w:rFonts w:hint="eastAsia"/>
                <w:color w:val="auto"/>
                <w:sz w:val="24"/>
                <w:szCs w:val="24"/>
                <w:highlight w:val="none"/>
              </w:rPr>
              <w:t>备注（如有）</w:t>
            </w:r>
          </w:p>
        </w:tc>
      </w:tr>
      <w:tr w14:paraId="1B09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73431128">
            <w:pPr>
              <w:widowControl/>
              <w:autoSpaceDE w:val="0"/>
              <w:autoSpaceDN w:val="0"/>
              <w:spacing w:line="240" w:lineRule="auto"/>
              <w:ind w:left="851" w:hanging="851"/>
              <w:jc w:val="center"/>
              <w:textAlignment w:val="bottom"/>
              <w:rPr>
                <w:rFonts w:hint="eastAsia"/>
                <w:color w:val="auto"/>
                <w:sz w:val="24"/>
                <w:szCs w:val="24"/>
                <w:highlight w:val="none"/>
              </w:rPr>
            </w:pPr>
          </w:p>
        </w:tc>
        <w:tc>
          <w:tcPr>
            <w:tcW w:w="2352" w:type="dxa"/>
            <w:vAlign w:val="center"/>
          </w:tcPr>
          <w:p w14:paraId="45A40F19">
            <w:pPr>
              <w:widowControl/>
              <w:shd w:val="clear"/>
              <w:autoSpaceDE w:val="0"/>
              <w:autoSpaceDN w:val="0"/>
              <w:spacing w:line="240" w:lineRule="auto"/>
              <w:ind w:left="851" w:hanging="851"/>
              <w:jc w:val="both"/>
              <w:textAlignment w:val="bottom"/>
              <w:rPr>
                <w:rFonts w:hint="eastAsia"/>
                <w:color w:val="auto"/>
                <w:sz w:val="24"/>
                <w:szCs w:val="24"/>
                <w:highlight w:val="none"/>
                <w:lang w:val="en-US" w:eastAsia="zh-CN"/>
              </w:rPr>
            </w:pPr>
            <w:r>
              <w:rPr>
                <w:rFonts w:hint="eastAsia"/>
                <w:color w:val="auto"/>
                <w:sz w:val="24"/>
                <w:szCs w:val="24"/>
                <w:highlight w:val="none"/>
                <w:lang w:val="en-US" w:eastAsia="zh-CN"/>
              </w:rPr>
              <w:t>小写：</w:t>
            </w:r>
          </w:p>
          <w:p w14:paraId="11F7915D">
            <w:pPr>
              <w:widowControl/>
              <w:shd w:val="clear"/>
              <w:autoSpaceDE w:val="0"/>
              <w:autoSpaceDN w:val="0"/>
              <w:spacing w:line="240" w:lineRule="auto"/>
              <w:ind w:left="851" w:hanging="851"/>
              <w:jc w:val="both"/>
              <w:textAlignment w:val="bottom"/>
              <w:rPr>
                <w:rFonts w:hint="default"/>
                <w:color w:val="auto"/>
                <w:sz w:val="24"/>
                <w:szCs w:val="24"/>
                <w:highlight w:val="none"/>
                <w:lang w:val="en-US" w:eastAsia="zh-CN"/>
              </w:rPr>
            </w:pPr>
            <w:r>
              <w:rPr>
                <w:rFonts w:hint="eastAsia"/>
                <w:color w:val="auto"/>
                <w:sz w:val="24"/>
                <w:szCs w:val="24"/>
                <w:highlight w:val="none"/>
                <w:lang w:val="en-US" w:eastAsia="zh-CN"/>
              </w:rPr>
              <w:t>大写：</w:t>
            </w:r>
          </w:p>
        </w:tc>
        <w:tc>
          <w:tcPr>
            <w:tcW w:w="2161" w:type="dxa"/>
            <w:vAlign w:val="center"/>
          </w:tcPr>
          <w:p w14:paraId="3409D243">
            <w:pPr>
              <w:widowControl/>
              <w:autoSpaceDE w:val="0"/>
              <w:autoSpaceDN w:val="0"/>
              <w:spacing w:line="240" w:lineRule="auto"/>
              <w:ind w:left="851" w:hanging="851"/>
              <w:jc w:val="center"/>
              <w:textAlignment w:val="bottom"/>
              <w:rPr>
                <w:rFonts w:hint="eastAsia"/>
                <w:color w:val="auto"/>
                <w:sz w:val="24"/>
                <w:szCs w:val="24"/>
                <w:highlight w:val="none"/>
              </w:rPr>
            </w:pPr>
          </w:p>
        </w:tc>
        <w:tc>
          <w:tcPr>
            <w:tcW w:w="2611" w:type="dxa"/>
            <w:vAlign w:val="center"/>
          </w:tcPr>
          <w:p w14:paraId="35602B49">
            <w:pPr>
              <w:widowControl/>
              <w:autoSpaceDE w:val="0"/>
              <w:autoSpaceDN w:val="0"/>
              <w:spacing w:line="240" w:lineRule="auto"/>
              <w:ind w:left="851" w:hanging="851"/>
              <w:jc w:val="center"/>
              <w:textAlignment w:val="bottom"/>
              <w:rPr>
                <w:rFonts w:hint="eastAsia"/>
                <w:color w:val="auto"/>
                <w:sz w:val="24"/>
                <w:szCs w:val="24"/>
                <w:highlight w:val="none"/>
              </w:rPr>
            </w:pPr>
          </w:p>
        </w:tc>
      </w:tr>
    </w:tbl>
    <w:p w14:paraId="486E37D7">
      <w:pPr>
        <w:spacing w:line="300" w:lineRule="auto"/>
        <w:rPr>
          <w:rFonts w:ascii="Arial" w:hAnsi="Arial" w:cs="Arial"/>
          <w:color w:val="auto"/>
          <w:szCs w:val="21"/>
          <w:highlight w:val="none"/>
          <w:u w:val="single"/>
        </w:rPr>
      </w:pPr>
    </w:p>
    <w:p w14:paraId="0270EFB4">
      <w:pPr>
        <w:spacing w:line="300" w:lineRule="auto"/>
        <w:rPr>
          <w:rFonts w:ascii="Arial" w:hAnsi="Arial" w:cs="Arial"/>
          <w:color w:val="auto"/>
          <w:szCs w:val="21"/>
          <w:highlight w:val="none"/>
        </w:rPr>
      </w:pPr>
      <w:r>
        <w:rPr>
          <w:rFonts w:ascii="Arial" w:hAnsi="Arial" w:cs="Arial"/>
          <w:color w:val="auto"/>
          <w:szCs w:val="21"/>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p>
    <w:p w14:paraId="6302F8A6">
      <w:pPr>
        <w:spacing w:line="300" w:lineRule="auto"/>
        <w:rPr>
          <w:rFonts w:ascii="Arial" w:hAnsi="Arial" w:cs="Arial"/>
          <w:color w:val="auto"/>
          <w:szCs w:val="21"/>
          <w:highlight w:val="none"/>
          <w:u w:val="single"/>
        </w:rPr>
      </w:pPr>
      <w:r>
        <w:rPr>
          <w:rFonts w:ascii="Arial" w:hAnsi="Arial" w:cs="Arial"/>
          <w:color w:val="auto"/>
          <w:szCs w:val="21"/>
          <w:highlight w:val="none"/>
        </w:rPr>
        <w:t>日期：</w:t>
      </w:r>
    </w:p>
    <w:p w14:paraId="722CC087">
      <w:pPr>
        <w:rPr>
          <w:rFonts w:cs="Arial"/>
          <w:color w:val="auto"/>
          <w:szCs w:val="24"/>
          <w:highlight w:val="none"/>
        </w:rPr>
      </w:pPr>
    </w:p>
    <w:p w14:paraId="21BB3A26">
      <w:pPr>
        <w:pStyle w:val="14"/>
        <w:rPr>
          <w:rFonts w:cs="Arial"/>
          <w:color w:val="auto"/>
          <w:szCs w:val="24"/>
          <w:highlight w:val="none"/>
        </w:rPr>
      </w:pPr>
    </w:p>
    <w:p w14:paraId="4C551945">
      <w:pPr>
        <w:pStyle w:val="14"/>
        <w:rPr>
          <w:rFonts w:cs="Arial"/>
          <w:color w:val="auto"/>
          <w:szCs w:val="24"/>
          <w:highlight w:val="none"/>
        </w:rPr>
      </w:pPr>
    </w:p>
    <w:p w14:paraId="09ACCEBB">
      <w:pPr>
        <w:pStyle w:val="14"/>
        <w:rPr>
          <w:rFonts w:cs="Arial"/>
          <w:color w:val="auto"/>
          <w:szCs w:val="24"/>
          <w:highlight w:val="none"/>
        </w:rPr>
      </w:pPr>
    </w:p>
    <w:p w14:paraId="54CAC625">
      <w:pPr>
        <w:pStyle w:val="14"/>
        <w:rPr>
          <w:rFonts w:cs="Arial"/>
          <w:color w:val="auto"/>
          <w:szCs w:val="24"/>
          <w:highlight w:val="none"/>
        </w:rPr>
      </w:pPr>
    </w:p>
    <w:p w14:paraId="5D119674">
      <w:pPr>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注：</w:t>
      </w:r>
    </w:p>
    <w:p w14:paraId="7BF32ACE">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1.此表用于开标唱标之用。</w:t>
      </w:r>
    </w:p>
    <w:p w14:paraId="7C885789">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2.表中投标报价即为优惠后报价，并作为评审及定标依据。任何有选择或有条件的投标报价，或者表中某一包填写多个报价，均为无效报价。</w:t>
      </w:r>
    </w:p>
    <w:p w14:paraId="68588FF0">
      <w:pPr>
        <w:pStyle w:val="14"/>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.表中大写与小写不一致的，以大写为准。</w:t>
      </w:r>
    </w:p>
    <w:p w14:paraId="4D6E4C40">
      <w:pPr>
        <w:pStyle w:val="14"/>
        <w:ind w:firstLine="480" w:firstLineChars="200"/>
        <w:rPr>
          <w:rFonts w:hint="eastAsia" w:ascii="宋体" w:hAnsi="宋体" w:eastAsia="宋体" w:cs="宋体"/>
          <w:color w:val="auto"/>
          <w:sz w:val="24"/>
          <w:szCs w:val="24"/>
          <w:highlight w:val="none"/>
        </w:rPr>
      </w:pPr>
    </w:p>
    <w:p w14:paraId="5E0B168A">
      <w:pPr>
        <w:pStyle w:val="14"/>
        <w:ind w:firstLine="480" w:firstLineChars="200"/>
        <w:rPr>
          <w:rFonts w:hint="eastAsia" w:ascii="宋体" w:hAnsi="宋体" w:eastAsia="宋体" w:cs="宋体"/>
          <w:color w:val="auto"/>
          <w:sz w:val="24"/>
          <w:szCs w:val="24"/>
          <w:highlight w:val="none"/>
        </w:rPr>
      </w:pPr>
    </w:p>
    <w:p w14:paraId="050DEE08">
      <w:pPr>
        <w:pStyle w:val="14"/>
        <w:ind w:firstLine="480" w:firstLineChars="200"/>
        <w:rPr>
          <w:rFonts w:hint="eastAsia" w:ascii="宋体" w:hAnsi="宋体" w:eastAsia="宋体" w:cs="宋体"/>
          <w:color w:val="auto"/>
          <w:sz w:val="24"/>
          <w:szCs w:val="24"/>
          <w:highlight w:val="none"/>
        </w:rPr>
      </w:pPr>
    </w:p>
    <w:p w14:paraId="455BA4BD">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color w:val="auto"/>
          <w:kern w:val="2"/>
          <w:sz w:val="32"/>
          <w:szCs w:val="32"/>
          <w:highlight w:val="none"/>
          <w:lang w:val="en-US" w:eastAsia="zh-CN" w:bidi="ar-SA"/>
        </w:rPr>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7B2B178E">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color w:val="auto"/>
          <w:kern w:val="2"/>
          <w:sz w:val="32"/>
          <w:szCs w:val="32"/>
          <w:highlight w:val="none"/>
          <w:lang w:val="en-US" w:eastAsia="zh-CN" w:bidi="ar-SA"/>
        </w:rPr>
      </w:pPr>
      <w:bookmarkStart w:id="404" w:name="_Toc13851"/>
      <w:r>
        <w:rPr>
          <w:rFonts w:hint="eastAsia" w:cstheme="majorBidi"/>
          <w:b/>
          <w:bCs/>
          <w:color w:val="auto"/>
          <w:kern w:val="2"/>
          <w:sz w:val="32"/>
          <w:szCs w:val="32"/>
          <w:highlight w:val="none"/>
          <w:lang w:val="en-US" w:eastAsia="zh-CN" w:bidi="ar-SA"/>
        </w:rPr>
        <w:t>二、分项报价表</w:t>
      </w:r>
      <w:bookmarkEnd w:id="404"/>
    </w:p>
    <w:p w14:paraId="3C0402CB">
      <w:pPr>
        <w:rPr>
          <w:b w:val="0"/>
          <w:bCs/>
          <w:color w:val="auto"/>
          <w:szCs w:val="21"/>
          <w:highlight w:val="none"/>
          <w:lang w:val="zh-CN"/>
        </w:rPr>
      </w:pPr>
      <w:r>
        <w:rPr>
          <w:rFonts w:hint="eastAsia"/>
          <w:b w:val="0"/>
          <w:bCs/>
          <w:color w:val="auto"/>
          <w:szCs w:val="21"/>
          <w:highlight w:val="none"/>
          <w:lang w:val="zh-CN"/>
        </w:rPr>
        <w:t>项目名称：</w:t>
      </w:r>
      <w:r>
        <w:rPr>
          <w:rFonts w:hint="eastAsia"/>
          <w:b w:val="0"/>
          <w:bCs/>
          <w:color w:val="auto"/>
          <w:szCs w:val="21"/>
          <w:highlight w:val="none"/>
          <w:u w:val="single"/>
          <w:lang w:val="zh-CN"/>
        </w:rPr>
        <w:t xml:space="preserve">                  </w:t>
      </w:r>
      <w:r>
        <w:rPr>
          <w:rFonts w:hint="eastAsia"/>
          <w:b w:val="0"/>
          <w:bCs/>
          <w:color w:val="auto"/>
          <w:szCs w:val="21"/>
          <w:highlight w:val="none"/>
          <w:u w:val="single"/>
          <w:lang w:val="en-US" w:eastAsia="zh-CN"/>
        </w:rPr>
        <w:t xml:space="preserve">     </w:t>
      </w:r>
      <w:r>
        <w:rPr>
          <w:rFonts w:hint="eastAsia"/>
          <w:b w:val="0"/>
          <w:bCs/>
          <w:color w:val="auto"/>
          <w:szCs w:val="21"/>
          <w:highlight w:val="none"/>
          <w:u w:val="single"/>
          <w:lang w:val="zh-CN"/>
        </w:rPr>
        <w:t xml:space="preserve">   </w:t>
      </w:r>
    </w:p>
    <w:p w14:paraId="5456D210">
      <w:pPr>
        <w:rPr>
          <w:rFonts w:hint="eastAsia"/>
          <w:b w:val="0"/>
          <w:bCs/>
          <w:color w:val="auto"/>
          <w:szCs w:val="21"/>
          <w:highlight w:val="none"/>
          <w:u w:val="single"/>
          <w:lang w:val="zh-CN"/>
        </w:rPr>
      </w:pPr>
      <w:r>
        <w:rPr>
          <w:rFonts w:hint="eastAsia"/>
          <w:b w:val="0"/>
          <w:bCs/>
          <w:color w:val="auto"/>
          <w:szCs w:val="21"/>
          <w:highlight w:val="none"/>
          <w:lang w:val="zh-CN"/>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b w:val="0"/>
          <w:bCs/>
          <w:color w:val="auto"/>
          <w:szCs w:val="21"/>
          <w:highlight w:val="none"/>
          <w:u w:val="single"/>
          <w:lang w:val="zh-CN"/>
        </w:rPr>
        <w:t xml:space="preserve">                     </w:t>
      </w:r>
      <w:r>
        <w:rPr>
          <w:rFonts w:hint="eastAsia"/>
          <w:b w:val="0"/>
          <w:bCs/>
          <w:color w:val="auto"/>
          <w:szCs w:val="21"/>
          <w:highlight w:val="none"/>
          <w:lang w:val="zh-CN"/>
        </w:rPr>
        <w:t xml:space="preserve">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066"/>
        <w:gridCol w:w="1067"/>
        <w:gridCol w:w="1040"/>
        <w:gridCol w:w="1383"/>
        <w:gridCol w:w="1008"/>
        <w:gridCol w:w="1464"/>
        <w:gridCol w:w="1025"/>
        <w:gridCol w:w="863"/>
        <w:gridCol w:w="1324"/>
        <w:gridCol w:w="1026"/>
        <w:gridCol w:w="923"/>
        <w:gridCol w:w="1091"/>
      </w:tblGrid>
      <w:tr w14:paraId="3310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14:paraId="2D51E3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kern w:val="2"/>
                <w:sz w:val="21"/>
                <w:szCs w:val="21"/>
                <w:highlight w:val="none"/>
              </w:rPr>
              <w:t>序号</w:t>
            </w:r>
          </w:p>
        </w:tc>
        <w:tc>
          <w:tcPr>
            <w:tcW w:w="1066" w:type="dxa"/>
            <w:vAlign w:val="center"/>
          </w:tcPr>
          <w:p w14:paraId="31DAB9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分项</w:t>
            </w:r>
            <w:r>
              <w:rPr>
                <w:rFonts w:hint="eastAsia" w:ascii="宋体" w:hAnsi="宋体" w:eastAsia="宋体" w:cs="宋体"/>
                <w:b w:val="0"/>
                <w:bCs/>
                <w:color w:val="auto"/>
                <w:sz w:val="21"/>
                <w:szCs w:val="21"/>
                <w:highlight w:val="none"/>
              </w:rPr>
              <w:t>名称</w:t>
            </w:r>
          </w:p>
        </w:tc>
        <w:tc>
          <w:tcPr>
            <w:tcW w:w="1067" w:type="dxa"/>
            <w:vAlign w:val="center"/>
          </w:tcPr>
          <w:p w14:paraId="1FEEAE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制造商</w:t>
            </w:r>
          </w:p>
        </w:tc>
        <w:tc>
          <w:tcPr>
            <w:tcW w:w="1040" w:type="dxa"/>
            <w:vAlign w:val="center"/>
          </w:tcPr>
          <w:p w14:paraId="264DED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产地/国别</w:t>
            </w:r>
          </w:p>
        </w:tc>
        <w:tc>
          <w:tcPr>
            <w:tcW w:w="1383" w:type="dxa"/>
            <w:vAlign w:val="center"/>
          </w:tcPr>
          <w:p w14:paraId="64AC8B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制造商</w:t>
            </w:r>
          </w:p>
          <w:p w14:paraId="09B31A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统一社会信用代码</w:t>
            </w:r>
          </w:p>
        </w:tc>
        <w:tc>
          <w:tcPr>
            <w:tcW w:w="1008" w:type="dxa"/>
            <w:vAlign w:val="center"/>
          </w:tcPr>
          <w:p w14:paraId="7A390D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制造商规模</w:t>
            </w:r>
          </w:p>
        </w:tc>
        <w:tc>
          <w:tcPr>
            <w:tcW w:w="1464" w:type="dxa"/>
            <w:vAlign w:val="center"/>
          </w:tcPr>
          <w:p w14:paraId="3A9B2D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en-US"/>
              </w:rPr>
            </w:pPr>
            <w:r>
              <w:rPr>
                <w:rFonts w:hint="eastAsia" w:ascii="宋体" w:hAnsi="宋体" w:eastAsia="宋体" w:cs="宋体"/>
                <w:b w:val="0"/>
                <w:bCs/>
                <w:color w:val="auto"/>
                <w:sz w:val="21"/>
                <w:szCs w:val="21"/>
                <w:highlight w:val="none"/>
                <w:lang w:val="en-US" w:eastAsia="zh-CN"/>
              </w:rPr>
              <w:t>制造商实际控制人性别</w:t>
            </w:r>
          </w:p>
        </w:tc>
        <w:tc>
          <w:tcPr>
            <w:tcW w:w="1025" w:type="dxa"/>
            <w:vAlign w:val="center"/>
          </w:tcPr>
          <w:p w14:paraId="37BD30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外商投资类型</w:t>
            </w:r>
          </w:p>
        </w:tc>
        <w:tc>
          <w:tcPr>
            <w:tcW w:w="863" w:type="dxa"/>
            <w:vAlign w:val="center"/>
          </w:tcPr>
          <w:p w14:paraId="60D081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品牌</w:t>
            </w:r>
          </w:p>
        </w:tc>
        <w:tc>
          <w:tcPr>
            <w:tcW w:w="1324" w:type="dxa"/>
            <w:vAlign w:val="center"/>
          </w:tcPr>
          <w:p w14:paraId="6B3AFB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规格、</w:t>
            </w:r>
            <w:r>
              <w:rPr>
                <w:rFonts w:hint="eastAsia" w:ascii="宋体" w:hAnsi="宋体" w:eastAsia="宋体" w:cs="宋体"/>
                <w:b w:val="0"/>
                <w:bCs/>
                <w:color w:val="auto"/>
                <w:sz w:val="21"/>
                <w:szCs w:val="21"/>
                <w:highlight w:val="none"/>
              </w:rPr>
              <w:t>型号</w:t>
            </w:r>
          </w:p>
        </w:tc>
        <w:tc>
          <w:tcPr>
            <w:tcW w:w="1026" w:type="dxa"/>
            <w:vAlign w:val="center"/>
          </w:tcPr>
          <w:p w14:paraId="45014B84">
            <w:pPr>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单价</w:t>
            </w:r>
          </w:p>
          <w:p w14:paraId="145DF2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（元）</w:t>
            </w:r>
          </w:p>
        </w:tc>
        <w:tc>
          <w:tcPr>
            <w:tcW w:w="923" w:type="dxa"/>
            <w:vAlign w:val="center"/>
          </w:tcPr>
          <w:p w14:paraId="3BCEDF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数量</w:t>
            </w:r>
          </w:p>
        </w:tc>
        <w:tc>
          <w:tcPr>
            <w:tcW w:w="1091" w:type="dxa"/>
            <w:vAlign w:val="center"/>
          </w:tcPr>
          <w:p w14:paraId="577D0E39">
            <w:pPr>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合价</w:t>
            </w:r>
          </w:p>
          <w:p w14:paraId="2EC37A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（元）</w:t>
            </w:r>
          </w:p>
        </w:tc>
      </w:tr>
      <w:tr w14:paraId="3DDD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14:paraId="76007496">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w:t>
            </w:r>
          </w:p>
        </w:tc>
        <w:tc>
          <w:tcPr>
            <w:tcW w:w="1066" w:type="dxa"/>
            <w:vAlign w:val="center"/>
          </w:tcPr>
          <w:p w14:paraId="5185A0F8">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440761B0">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2042EBA7">
            <w:pPr>
              <w:jc w:val="center"/>
              <w:rPr>
                <w:rFonts w:hint="eastAsia" w:ascii="宋体" w:hAnsi="宋体" w:eastAsia="宋体" w:cs="宋体"/>
                <w:b w:val="0"/>
                <w:bCs/>
                <w:color w:val="auto"/>
                <w:sz w:val="21"/>
                <w:szCs w:val="21"/>
                <w:highlight w:val="none"/>
                <w:u w:val="none"/>
                <w:vertAlign w:val="baseline"/>
                <w:lang w:val="zh-CN"/>
              </w:rPr>
            </w:pPr>
          </w:p>
        </w:tc>
        <w:tc>
          <w:tcPr>
            <w:tcW w:w="1383" w:type="dxa"/>
            <w:vAlign w:val="center"/>
          </w:tcPr>
          <w:p w14:paraId="74B97F46">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339AD079">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0CB6EDE3">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2B5545C8">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58D4443B">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38890D30">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50753003">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722E72FF">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1F020DC5">
            <w:pPr>
              <w:jc w:val="center"/>
              <w:rPr>
                <w:rFonts w:hint="eastAsia" w:ascii="宋体" w:hAnsi="宋体" w:eastAsia="宋体" w:cs="宋体"/>
                <w:b w:val="0"/>
                <w:bCs/>
                <w:color w:val="auto"/>
                <w:sz w:val="21"/>
                <w:szCs w:val="21"/>
                <w:highlight w:val="none"/>
                <w:u w:val="none"/>
                <w:vertAlign w:val="baseline"/>
                <w:lang w:val="zh-CN"/>
              </w:rPr>
            </w:pPr>
          </w:p>
        </w:tc>
      </w:tr>
      <w:tr w14:paraId="327B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14:paraId="2DA2FC9F">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2</w:t>
            </w:r>
          </w:p>
        </w:tc>
        <w:tc>
          <w:tcPr>
            <w:tcW w:w="1066" w:type="dxa"/>
            <w:vAlign w:val="center"/>
          </w:tcPr>
          <w:p w14:paraId="022E3F12">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3FFF5518">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0C93B94B">
            <w:pPr>
              <w:jc w:val="center"/>
              <w:rPr>
                <w:rFonts w:hint="eastAsia" w:ascii="宋体" w:hAnsi="宋体" w:eastAsia="宋体" w:cs="宋体"/>
                <w:b w:val="0"/>
                <w:bCs/>
                <w:color w:val="auto"/>
                <w:sz w:val="21"/>
                <w:szCs w:val="21"/>
                <w:highlight w:val="none"/>
                <w:u w:val="none"/>
                <w:vertAlign w:val="baseline"/>
                <w:lang w:val="zh-CN"/>
              </w:rPr>
            </w:pPr>
          </w:p>
        </w:tc>
        <w:tc>
          <w:tcPr>
            <w:tcW w:w="1383" w:type="dxa"/>
            <w:vAlign w:val="center"/>
          </w:tcPr>
          <w:p w14:paraId="43F08D28">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4F7A043B">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2BA9D216">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0E652E37">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22025CB6">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62DDA3C2">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703F39B0">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454AC89A">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3DE3EDC9">
            <w:pPr>
              <w:jc w:val="center"/>
              <w:rPr>
                <w:rFonts w:hint="eastAsia" w:ascii="宋体" w:hAnsi="宋体" w:eastAsia="宋体" w:cs="宋体"/>
                <w:b w:val="0"/>
                <w:bCs/>
                <w:color w:val="auto"/>
                <w:sz w:val="21"/>
                <w:szCs w:val="21"/>
                <w:highlight w:val="none"/>
                <w:u w:val="none"/>
                <w:vertAlign w:val="baseline"/>
                <w:lang w:val="zh-CN"/>
              </w:rPr>
            </w:pPr>
          </w:p>
        </w:tc>
      </w:tr>
      <w:tr w14:paraId="338F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14:paraId="288DC270">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3</w:t>
            </w:r>
          </w:p>
        </w:tc>
        <w:tc>
          <w:tcPr>
            <w:tcW w:w="1066" w:type="dxa"/>
            <w:vAlign w:val="center"/>
          </w:tcPr>
          <w:p w14:paraId="296B3553">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11A9BFBA">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6D34AAEE">
            <w:pPr>
              <w:jc w:val="center"/>
              <w:rPr>
                <w:rFonts w:hint="eastAsia" w:ascii="宋体" w:hAnsi="宋体" w:eastAsia="宋体" w:cs="宋体"/>
                <w:b w:val="0"/>
                <w:bCs/>
                <w:color w:val="auto"/>
                <w:sz w:val="21"/>
                <w:szCs w:val="21"/>
                <w:highlight w:val="none"/>
                <w:u w:val="none"/>
                <w:vertAlign w:val="baseline"/>
                <w:lang w:val="zh-CN"/>
              </w:rPr>
            </w:pPr>
          </w:p>
        </w:tc>
        <w:tc>
          <w:tcPr>
            <w:tcW w:w="1383" w:type="dxa"/>
            <w:vAlign w:val="center"/>
          </w:tcPr>
          <w:p w14:paraId="1895811B">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5C049FB4">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1EEF0947">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7778CA91">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4765FF03">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1030805C">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03FD13FA">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16B2BB13">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568E139E">
            <w:pPr>
              <w:jc w:val="center"/>
              <w:rPr>
                <w:rFonts w:hint="eastAsia" w:ascii="宋体" w:hAnsi="宋体" w:eastAsia="宋体" w:cs="宋体"/>
                <w:b w:val="0"/>
                <w:bCs/>
                <w:color w:val="auto"/>
                <w:sz w:val="21"/>
                <w:szCs w:val="21"/>
                <w:highlight w:val="none"/>
                <w:u w:val="none"/>
                <w:vertAlign w:val="baseline"/>
                <w:lang w:val="zh-CN"/>
              </w:rPr>
            </w:pPr>
          </w:p>
        </w:tc>
      </w:tr>
      <w:tr w14:paraId="1A2C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14:paraId="4B0C62D3">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4</w:t>
            </w:r>
          </w:p>
        </w:tc>
        <w:tc>
          <w:tcPr>
            <w:tcW w:w="1066" w:type="dxa"/>
            <w:vAlign w:val="center"/>
          </w:tcPr>
          <w:p w14:paraId="78D63140">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36FCE407">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7B685A3F">
            <w:pPr>
              <w:jc w:val="center"/>
              <w:rPr>
                <w:rFonts w:hint="eastAsia" w:ascii="宋体" w:hAnsi="宋体" w:eastAsia="宋体" w:cs="宋体"/>
                <w:b w:val="0"/>
                <w:bCs/>
                <w:color w:val="auto"/>
                <w:sz w:val="21"/>
                <w:szCs w:val="21"/>
                <w:highlight w:val="none"/>
                <w:u w:val="none"/>
                <w:vertAlign w:val="baseline"/>
                <w:lang w:val="zh-CN"/>
              </w:rPr>
            </w:pPr>
          </w:p>
        </w:tc>
        <w:tc>
          <w:tcPr>
            <w:tcW w:w="1383" w:type="dxa"/>
            <w:vAlign w:val="center"/>
          </w:tcPr>
          <w:p w14:paraId="737DC40C">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6DC3F2EB">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04B80A38">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7E28DCD6">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4E72731F">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781A2EB9">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427EE9F9">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12B42903">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69FF26F0">
            <w:pPr>
              <w:jc w:val="center"/>
              <w:rPr>
                <w:rFonts w:hint="eastAsia" w:ascii="宋体" w:hAnsi="宋体" w:eastAsia="宋体" w:cs="宋体"/>
                <w:b w:val="0"/>
                <w:bCs/>
                <w:color w:val="auto"/>
                <w:sz w:val="21"/>
                <w:szCs w:val="21"/>
                <w:highlight w:val="none"/>
                <w:u w:val="none"/>
                <w:vertAlign w:val="baseline"/>
                <w:lang w:val="zh-CN"/>
              </w:rPr>
            </w:pPr>
          </w:p>
        </w:tc>
      </w:tr>
      <w:tr w14:paraId="49E74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14:paraId="4442CB85">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5</w:t>
            </w:r>
          </w:p>
        </w:tc>
        <w:tc>
          <w:tcPr>
            <w:tcW w:w="1066" w:type="dxa"/>
            <w:vAlign w:val="center"/>
          </w:tcPr>
          <w:p w14:paraId="679234AE">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1677FA79">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73FE1D76">
            <w:pPr>
              <w:jc w:val="center"/>
              <w:rPr>
                <w:rFonts w:hint="eastAsia" w:ascii="宋体" w:hAnsi="宋体" w:eastAsia="宋体" w:cs="宋体"/>
                <w:b w:val="0"/>
                <w:bCs/>
                <w:color w:val="auto"/>
                <w:sz w:val="21"/>
                <w:szCs w:val="21"/>
                <w:highlight w:val="none"/>
                <w:u w:val="none"/>
                <w:vertAlign w:val="baseline"/>
                <w:lang w:val="zh-CN"/>
              </w:rPr>
            </w:pPr>
          </w:p>
        </w:tc>
        <w:tc>
          <w:tcPr>
            <w:tcW w:w="1383" w:type="dxa"/>
            <w:vAlign w:val="center"/>
          </w:tcPr>
          <w:p w14:paraId="61CBC7D1">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6A301C20">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04151E12">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4252EDFA">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0C1A4B6F">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42FC6DBD">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2F3F1C2B">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7843F507">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5011D80F">
            <w:pPr>
              <w:jc w:val="center"/>
              <w:rPr>
                <w:rFonts w:hint="eastAsia" w:ascii="宋体" w:hAnsi="宋体" w:eastAsia="宋体" w:cs="宋体"/>
                <w:b w:val="0"/>
                <w:bCs/>
                <w:color w:val="auto"/>
                <w:sz w:val="21"/>
                <w:szCs w:val="21"/>
                <w:highlight w:val="none"/>
                <w:u w:val="none"/>
                <w:vertAlign w:val="baseline"/>
                <w:lang w:val="zh-CN"/>
              </w:rPr>
            </w:pPr>
          </w:p>
        </w:tc>
      </w:tr>
      <w:tr w14:paraId="0995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14:paraId="60BE0365">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6</w:t>
            </w:r>
          </w:p>
        </w:tc>
        <w:tc>
          <w:tcPr>
            <w:tcW w:w="1066" w:type="dxa"/>
            <w:vAlign w:val="center"/>
          </w:tcPr>
          <w:p w14:paraId="6D8BCB32">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517AD61C">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000621DE">
            <w:pPr>
              <w:jc w:val="center"/>
              <w:rPr>
                <w:rFonts w:hint="eastAsia" w:ascii="宋体" w:hAnsi="宋体" w:eastAsia="宋体" w:cs="宋体"/>
                <w:b w:val="0"/>
                <w:bCs/>
                <w:color w:val="auto"/>
                <w:sz w:val="21"/>
                <w:szCs w:val="21"/>
                <w:highlight w:val="none"/>
                <w:u w:val="none"/>
                <w:vertAlign w:val="baseline"/>
                <w:lang w:val="zh-CN"/>
              </w:rPr>
            </w:pPr>
          </w:p>
        </w:tc>
        <w:tc>
          <w:tcPr>
            <w:tcW w:w="1383" w:type="dxa"/>
            <w:vAlign w:val="center"/>
          </w:tcPr>
          <w:p w14:paraId="62068598">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7CAA6800">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45ABB011">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30B8B0A5">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4202EE98">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7256613A">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5EF22610">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60FE5997">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11199F0C">
            <w:pPr>
              <w:jc w:val="center"/>
              <w:rPr>
                <w:rFonts w:hint="eastAsia" w:ascii="宋体" w:hAnsi="宋体" w:eastAsia="宋体" w:cs="宋体"/>
                <w:b w:val="0"/>
                <w:bCs/>
                <w:color w:val="auto"/>
                <w:sz w:val="21"/>
                <w:szCs w:val="21"/>
                <w:highlight w:val="none"/>
                <w:u w:val="none"/>
                <w:vertAlign w:val="baseline"/>
                <w:lang w:val="zh-CN"/>
              </w:rPr>
            </w:pPr>
          </w:p>
        </w:tc>
      </w:tr>
      <w:tr w14:paraId="24D4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14:paraId="0CA1058F">
            <w:pPr>
              <w:jc w:val="center"/>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u w:val="none"/>
                <w:vertAlign w:val="baseline"/>
                <w:lang w:val="zh-CN"/>
              </w:rPr>
              <w:t>…</w:t>
            </w:r>
          </w:p>
        </w:tc>
        <w:tc>
          <w:tcPr>
            <w:tcW w:w="1066" w:type="dxa"/>
            <w:vAlign w:val="center"/>
          </w:tcPr>
          <w:p w14:paraId="07D6C3C7">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54762713">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6008D212">
            <w:pPr>
              <w:jc w:val="center"/>
              <w:rPr>
                <w:rFonts w:hint="eastAsia" w:ascii="宋体" w:hAnsi="宋体" w:eastAsia="宋体" w:cs="宋体"/>
                <w:b w:val="0"/>
                <w:bCs/>
                <w:color w:val="auto"/>
                <w:sz w:val="21"/>
                <w:szCs w:val="21"/>
                <w:highlight w:val="none"/>
                <w:u w:val="none"/>
                <w:vertAlign w:val="baseline"/>
                <w:lang w:val="zh-CN"/>
              </w:rPr>
            </w:pPr>
          </w:p>
        </w:tc>
        <w:tc>
          <w:tcPr>
            <w:tcW w:w="1383" w:type="dxa"/>
            <w:vAlign w:val="center"/>
          </w:tcPr>
          <w:p w14:paraId="7BB3E714">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4B0014E9">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53F16430">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2BF5155B">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30E0F0AA">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77514C69">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3C51E7DE">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1C3D14DE">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7C3AA4BD">
            <w:pPr>
              <w:jc w:val="center"/>
              <w:rPr>
                <w:rFonts w:hint="eastAsia" w:ascii="宋体" w:hAnsi="宋体" w:eastAsia="宋体" w:cs="宋体"/>
                <w:b w:val="0"/>
                <w:bCs/>
                <w:color w:val="auto"/>
                <w:sz w:val="21"/>
                <w:szCs w:val="21"/>
                <w:highlight w:val="none"/>
                <w:u w:val="none"/>
                <w:vertAlign w:val="baseline"/>
                <w:lang w:val="zh-CN"/>
              </w:rPr>
            </w:pPr>
          </w:p>
        </w:tc>
      </w:tr>
      <w:tr w14:paraId="0C8A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3" w:type="dxa"/>
            <w:gridSpan w:val="12"/>
            <w:vAlign w:val="center"/>
          </w:tcPr>
          <w:p w14:paraId="66A2BE18">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总价</w:t>
            </w:r>
            <w:r>
              <w:rPr>
                <w:rFonts w:hint="eastAsia" w:ascii="宋体" w:hAnsi="宋体" w:eastAsia="宋体" w:cs="宋体"/>
                <w:b w:val="0"/>
                <w:bCs/>
                <w:color w:val="auto"/>
                <w:sz w:val="21"/>
                <w:szCs w:val="21"/>
                <w:highlight w:val="none"/>
              </w:rPr>
              <w:t>（元）</w:t>
            </w:r>
          </w:p>
        </w:tc>
        <w:tc>
          <w:tcPr>
            <w:tcW w:w="1091" w:type="dxa"/>
            <w:vAlign w:val="center"/>
          </w:tcPr>
          <w:p w14:paraId="6386598F">
            <w:pPr>
              <w:jc w:val="center"/>
              <w:rPr>
                <w:rFonts w:hint="eastAsia" w:ascii="宋体" w:hAnsi="宋体" w:eastAsia="宋体" w:cs="宋体"/>
                <w:b w:val="0"/>
                <w:bCs/>
                <w:color w:val="auto"/>
                <w:sz w:val="21"/>
                <w:szCs w:val="21"/>
                <w:highlight w:val="none"/>
                <w:u w:val="none"/>
                <w:vertAlign w:val="baseline"/>
                <w:lang w:val="zh-CN"/>
              </w:rPr>
            </w:pPr>
          </w:p>
        </w:tc>
      </w:tr>
    </w:tbl>
    <w:p w14:paraId="3B42EAA5">
      <w:pPr>
        <w:spacing w:line="300" w:lineRule="auto"/>
        <w:rPr>
          <w:rFonts w:ascii="Arial" w:hAnsi="Arial" w:cs="Arial"/>
          <w:color w:val="auto"/>
          <w:szCs w:val="21"/>
          <w:highlight w:val="none"/>
        </w:rPr>
      </w:pPr>
    </w:p>
    <w:p w14:paraId="51101AF7">
      <w:pPr>
        <w:spacing w:line="300" w:lineRule="auto"/>
        <w:rPr>
          <w:rFonts w:ascii="Arial" w:hAnsi="Arial" w:cs="Arial"/>
          <w:color w:val="auto"/>
          <w:szCs w:val="21"/>
          <w:highlight w:val="none"/>
        </w:rPr>
      </w:pPr>
      <w:r>
        <w:rPr>
          <w:rFonts w:ascii="Arial" w:hAnsi="Arial" w:cs="Arial"/>
          <w:color w:val="auto"/>
          <w:szCs w:val="21"/>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p>
    <w:p w14:paraId="2F327AC4">
      <w:pPr>
        <w:spacing w:line="300" w:lineRule="auto"/>
        <w:rPr>
          <w:rFonts w:ascii="Arial" w:hAnsi="Arial" w:cs="Arial"/>
          <w:color w:val="auto"/>
          <w:szCs w:val="21"/>
          <w:highlight w:val="none"/>
        </w:rPr>
      </w:pPr>
      <w:r>
        <w:rPr>
          <w:rFonts w:ascii="Arial" w:hAnsi="Arial" w:cs="Arial"/>
          <w:color w:val="auto"/>
          <w:szCs w:val="21"/>
          <w:highlight w:val="none"/>
        </w:rPr>
        <w:t>日期：</w:t>
      </w:r>
    </w:p>
    <w:p w14:paraId="14EB6496">
      <w:pPr>
        <w:spacing w:line="300" w:lineRule="auto"/>
        <w:rPr>
          <w:rFonts w:hint="eastAsia" w:ascii="宋体" w:hAnsi="宋体" w:eastAsia="宋体" w:cs="宋体"/>
          <w:color w:val="auto"/>
          <w:sz w:val="24"/>
          <w:szCs w:val="24"/>
          <w:highlight w:val="none"/>
        </w:rPr>
      </w:pPr>
    </w:p>
    <w:p w14:paraId="2BD20AC0">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eastAsia="zh-CN"/>
        </w:rPr>
        <w:t>注：</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按照本表填写的</w:t>
      </w:r>
      <w:r>
        <w:rPr>
          <w:rFonts w:hint="eastAsia" w:cs="宋体"/>
          <w:color w:val="auto"/>
          <w:sz w:val="21"/>
          <w:szCs w:val="21"/>
          <w:highlight w:val="none"/>
          <w:lang w:val="en-US" w:eastAsia="zh-CN"/>
        </w:rPr>
        <w:t>总</w:t>
      </w:r>
      <w:r>
        <w:rPr>
          <w:rFonts w:hint="default" w:ascii="宋体" w:hAnsi="宋体" w:eastAsia="宋体" w:cs="宋体"/>
          <w:color w:val="auto"/>
          <w:sz w:val="21"/>
          <w:szCs w:val="21"/>
          <w:highlight w:val="none"/>
          <w:lang w:val="en-US" w:eastAsia="zh-CN"/>
        </w:rPr>
        <w:t>价填写到</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开标</w:t>
      </w:r>
      <w:r>
        <w:rPr>
          <w:rFonts w:hint="eastAsia" w:ascii="宋体" w:hAnsi="宋体" w:eastAsia="宋体" w:cs="宋体"/>
          <w:color w:val="auto"/>
          <w:sz w:val="21"/>
          <w:szCs w:val="21"/>
          <w:highlight w:val="none"/>
          <w:lang w:val="en-US" w:eastAsia="zh-CN"/>
        </w:rPr>
        <w:t>一览表”</w:t>
      </w:r>
      <w:r>
        <w:rPr>
          <w:rFonts w:hint="default" w:ascii="宋体" w:hAnsi="宋体" w:eastAsia="宋体" w:cs="宋体"/>
          <w:color w:val="auto"/>
          <w:sz w:val="21"/>
          <w:szCs w:val="21"/>
          <w:highlight w:val="none"/>
          <w:lang w:val="en-US" w:eastAsia="zh-CN"/>
        </w:rPr>
        <w:t>中对应的</w:t>
      </w:r>
      <w:r>
        <w:rPr>
          <w:rFonts w:hint="eastAsia" w:cs="宋体"/>
          <w:color w:val="auto"/>
          <w:sz w:val="21"/>
          <w:szCs w:val="21"/>
          <w:highlight w:val="none"/>
          <w:lang w:val="en-US" w:eastAsia="zh-CN"/>
        </w:rPr>
        <w:t>“投标报价”</w:t>
      </w:r>
      <w:r>
        <w:rPr>
          <w:rFonts w:hint="default" w:ascii="宋体" w:hAnsi="宋体" w:eastAsia="宋体" w:cs="宋体"/>
          <w:color w:val="auto"/>
          <w:sz w:val="21"/>
          <w:szCs w:val="21"/>
          <w:highlight w:val="none"/>
          <w:lang w:val="en-US" w:eastAsia="zh-CN"/>
        </w:rPr>
        <w:t>栏中。</w:t>
      </w:r>
    </w:p>
    <w:p w14:paraId="6B43AF2E">
      <w:pPr>
        <w:spacing w:line="360" w:lineRule="auto"/>
        <w:ind w:firstLine="420" w:firstLineChars="20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.表中所列货物为对应本项目需求的全部货物及所需附件购置费、包装费、运输费、人工费、保险费、安装调试费、各种税费、资料费、售后服务费及完成项目应有的全部费用。如有漏项或缺项，</w:t>
      </w:r>
      <w:r>
        <w:rPr>
          <w:rFonts w:hint="eastAsia" w:cs="宋体"/>
          <w:color w:val="auto"/>
          <w:sz w:val="21"/>
          <w:szCs w:val="21"/>
          <w:highlight w:val="none"/>
          <w:lang w:val="en-US" w:eastAsia="zh-CN"/>
        </w:rPr>
        <w:t>投标人</w:t>
      </w:r>
      <w:r>
        <w:rPr>
          <w:rFonts w:hint="eastAsia" w:ascii="宋体" w:hAnsi="宋体" w:eastAsia="宋体" w:cs="宋体"/>
          <w:color w:val="auto"/>
          <w:sz w:val="21"/>
          <w:szCs w:val="21"/>
          <w:highlight w:val="none"/>
        </w:rPr>
        <w:t>承担全部责任。</w:t>
      </w:r>
    </w:p>
    <w:p w14:paraId="06F958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.表中须明确列出所投产品的</w:t>
      </w:r>
      <w:r>
        <w:rPr>
          <w:rFonts w:hint="eastAsia" w:cs="宋体"/>
          <w:color w:val="auto"/>
          <w:sz w:val="21"/>
          <w:szCs w:val="21"/>
          <w:highlight w:val="none"/>
          <w:lang w:val="en-US" w:eastAsia="zh-CN"/>
        </w:rPr>
        <w:t>分项</w:t>
      </w:r>
      <w:r>
        <w:rPr>
          <w:rFonts w:hint="eastAsia" w:ascii="宋体" w:hAnsi="宋体" w:eastAsia="宋体" w:cs="宋体"/>
          <w:color w:val="auto"/>
          <w:sz w:val="21"/>
          <w:szCs w:val="21"/>
          <w:highlight w:val="none"/>
        </w:rPr>
        <w:t>名称、</w:t>
      </w:r>
      <w:r>
        <w:rPr>
          <w:rFonts w:hint="eastAsia" w:cs="宋体"/>
          <w:color w:val="auto"/>
          <w:sz w:val="21"/>
          <w:szCs w:val="21"/>
          <w:highlight w:val="none"/>
          <w:lang w:val="en-US" w:eastAsia="zh-CN"/>
        </w:rPr>
        <w:t>制造商、</w:t>
      </w:r>
      <w:r>
        <w:rPr>
          <w:rFonts w:hint="eastAsia" w:cs="宋体"/>
          <w:b w:val="0"/>
          <w:bCs/>
          <w:color w:val="auto"/>
          <w:sz w:val="21"/>
          <w:szCs w:val="21"/>
          <w:highlight w:val="none"/>
          <w:lang w:val="en-US" w:eastAsia="zh-CN"/>
        </w:rPr>
        <w:t>产地/国别、</w:t>
      </w:r>
      <w:r>
        <w:rPr>
          <w:rFonts w:hint="eastAsia" w:ascii="宋体" w:hAnsi="宋体" w:eastAsia="宋体" w:cs="宋体"/>
          <w:b w:val="0"/>
          <w:bCs/>
          <w:color w:val="auto"/>
          <w:sz w:val="21"/>
          <w:szCs w:val="21"/>
          <w:highlight w:val="none"/>
          <w:lang w:val="en-US" w:eastAsia="zh-CN"/>
        </w:rPr>
        <w:t>制造商统一社会信用代码</w:t>
      </w:r>
      <w:r>
        <w:rPr>
          <w:rFonts w:hint="eastAsia"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制造商规模</w:t>
      </w:r>
      <w:r>
        <w:rPr>
          <w:rFonts w:hint="eastAsia" w:cs="宋体"/>
          <w:b w:val="0"/>
          <w:bCs/>
          <w:color w:val="auto"/>
          <w:sz w:val="21"/>
          <w:szCs w:val="21"/>
          <w:highlight w:val="none"/>
          <w:lang w:val="en-US" w:eastAsia="zh-CN"/>
        </w:rPr>
        <w:t>、制造商所属性别、外商投资类型、</w:t>
      </w:r>
      <w:r>
        <w:rPr>
          <w:rFonts w:hint="eastAsia" w:ascii="宋体" w:hAnsi="宋体" w:eastAsia="宋体" w:cs="宋体"/>
          <w:color w:val="auto"/>
          <w:sz w:val="21"/>
          <w:szCs w:val="21"/>
          <w:highlight w:val="none"/>
        </w:rPr>
        <w:t>品牌、</w:t>
      </w:r>
      <w:r>
        <w:rPr>
          <w:rFonts w:hint="eastAsia" w:cs="宋体"/>
          <w:color w:val="auto"/>
          <w:sz w:val="21"/>
          <w:szCs w:val="21"/>
          <w:highlight w:val="none"/>
          <w:lang w:eastAsia="zh-CN"/>
        </w:rPr>
        <w:t>规格、</w:t>
      </w:r>
      <w:r>
        <w:rPr>
          <w:rFonts w:hint="eastAsia" w:ascii="宋体" w:hAnsi="宋体" w:eastAsia="宋体" w:cs="宋体"/>
          <w:color w:val="auto"/>
          <w:sz w:val="21"/>
          <w:szCs w:val="21"/>
          <w:highlight w:val="none"/>
        </w:rPr>
        <w:t>型号、</w:t>
      </w:r>
      <w:r>
        <w:rPr>
          <w:rFonts w:hint="eastAsia" w:cs="宋体"/>
          <w:color w:val="auto"/>
          <w:sz w:val="21"/>
          <w:szCs w:val="21"/>
          <w:highlight w:val="none"/>
          <w:lang w:eastAsia="zh-CN"/>
        </w:rPr>
        <w:t>单价、数量、</w:t>
      </w:r>
      <w:r>
        <w:rPr>
          <w:rFonts w:hint="eastAsia" w:cs="宋体"/>
          <w:color w:val="auto"/>
          <w:sz w:val="21"/>
          <w:szCs w:val="21"/>
          <w:highlight w:val="none"/>
          <w:lang w:val="en-US" w:eastAsia="zh-CN"/>
        </w:rPr>
        <w:t>合价等</w:t>
      </w:r>
      <w:r>
        <w:rPr>
          <w:rFonts w:hint="eastAsia" w:ascii="宋体" w:hAnsi="宋体" w:eastAsia="宋体" w:cs="宋体"/>
          <w:color w:val="auto"/>
          <w:sz w:val="21"/>
          <w:szCs w:val="21"/>
          <w:highlight w:val="none"/>
        </w:rPr>
        <w:t>，否则可能导致</w:t>
      </w:r>
      <w:r>
        <w:rPr>
          <w:rFonts w:hint="eastAsia" w:ascii="宋体" w:hAnsi="宋体" w:eastAsia="宋体" w:cs="宋体"/>
          <w:b/>
          <w:bCs/>
          <w:color w:val="auto"/>
          <w:sz w:val="21"/>
          <w:szCs w:val="21"/>
          <w:highlight w:val="none"/>
        </w:rPr>
        <w:t>响应无效</w:t>
      </w:r>
      <w:r>
        <w:rPr>
          <w:rFonts w:hint="eastAsia" w:ascii="宋体" w:hAnsi="宋体" w:eastAsia="宋体" w:cs="宋体"/>
          <w:color w:val="auto"/>
          <w:sz w:val="21"/>
          <w:szCs w:val="21"/>
          <w:highlight w:val="none"/>
        </w:rPr>
        <w:t>。</w:t>
      </w:r>
    </w:p>
    <w:p w14:paraId="66C30DF1">
      <w:pPr>
        <w:keepNext w:val="0"/>
        <w:keepLines w:val="0"/>
        <w:widowControl/>
        <w:suppressLineNumbers w:val="0"/>
        <w:jc w:val="left"/>
        <w:rPr>
          <w:rFonts w:hint="eastAsia" w:ascii="宋体" w:hAnsi="宋体" w:eastAsia="宋体" w:cs="宋体"/>
          <w:b/>
          <w:bCs/>
          <w:i w:val="0"/>
          <w:iCs w:val="0"/>
          <w:color w:val="auto"/>
          <w:kern w:val="0"/>
          <w:sz w:val="21"/>
          <w:szCs w:val="21"/>
          <w:highlight w:val="none"/>
          <w:lang w:val="en-US" w:eastAsia="zh-CN" w:bidi="ar"/>
        </w:rPr>
      </w:pPr>
    </w:p>
    <w:p w14:paraId="561842FA">
      <w:pPr>
        <w:keepNext w:val="0"/>
        <w:keepLines w:val="0"/>
        <w:widowControl/>
        <w:suppressLineNumbers w:val="0"/>
        <w:jc w:val="left"/>
        <w:rPr>
          <w:rFonts w:hint="eastAsia" w:ascii="宋体" w:hAnsi="宋体" w:eastAsia="宋体" w:cs="宋体"/>
          <w:b w:val="0"/>
          <w:bCs w:val="0"/>
          <w:i w:val="0"/>
          <w:iCs w:val="0"/>
          <w:color w:val="auto"/>
          <w:kern w:val="0"/>
          <w:sz w:val="21"/>
          <w:szCs w:val="21"/>
          <w:highlight w:val="none"/>
          <w:lang w:val="en-US" w:eastAsia="zh-CN" w:bidi="ar"/>
        </w:rPr>
      </w:pPr>
      <w:r>
        <w:rPr>
          <w:rFonts w:hint="eastAsia" w:ascii="宋体" w:hAnsi="宋体" w:eastAsia="宋体" w:cs="宋体"/>
          <w:b/>
          <w:bCs/>
          <w:i w:val="0"/>
          <w:iCs w:val="0"/>
          <w:color w:val="auto"/>
          <w:kern w:val="0"/>
          <w:sz w:val="21"/>
          <w:szCs w:val="21"/>
          <w:highlight w:val="none"/>
          <w:lang w:val="en-US" w:eastAsia="zh-CN" w:bidi="ar"/>
        </w:rPr>
        <w:t>填写说明：</w:t>
      </w:r>
      <w:r>
        <w:rPr>
          <w:rFonts w:hint="eastAsia" w:ascii="宋体" w:hAnsi="宋体" w:eastAsia="宋体" w:cs="宋体"/>
          <w:b w:val="0"/>
          <w:bCs w:val="0"/>
          <w:i w:val="0"/>
          <w:iCs w:val="0"/>
          <w:color w:val="auto"/>
          <w:kern w:val="0"/>
          <w:sz w:val="21"/>
          <w:szCs w:val="21"/>
          <w:highlight w:val="none"/>
          <w:lang w:val="en-US" w:eastAsia="zh-CN" w:bidi="ar"/>
        </w:rPr>
        <w:t>1、</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制造商规模</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请填写“大型”、“中型”、“小型”、“微型”或“其他”，且不应与《中小企业声明函》或《拟分包情况说明》中内容矛盾。</w:t>
      </w:r>
    </w:p>
    <w:p w14:paraId="6D411982">
      <w:pPr>
        <w:keepNext w:val="0"/>
        <w:keepLines w:val="0"/>
        <w:widowControl/>
        <w:suppressLineNumbers w:val="0"/>
        <w:ind w:firstLine="1050" w:firstLineChars="500"/>
        <w:jc w:val="left"/>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bidi="ar"/>
        </w:rPr>
        <w:t>2、</w:t>
      </w:r>
      <w:r>
        <w:rPr>
          <w:rFonts w:hint="eastAsia" w:cs="宋体"/>
          <w:b w:val="0"/>
          <w:bCs w:val="0"/>
          <w:i w:val="0"/>
          <w:iCs w:val="0"/>
          <w:color w:val="auto"/>
          <w:kern w:val="0"/>
          <w:sz w:val="21"/>
          <w:szCs w:val="21"/>
          <w:highlight w:val="none"/>
          <w:lang w:val="en-US" w:eastAsia="zh-CN" w:bidi="ar"/>
        </w:rPr>
        <w:t>“制造</w:t>
      </w:r>
      <w:r>
        <w:rPr>
          <w:rFonts w:hint="eastAsia" w:ascii="宋体" w:hAnsi="宋体" w:eastAsia="宋体" w:cs="宋体"/>
          <w:b w:val="0"/>
          <w:bCs w:val="0"/>
          <w:i w:val="0"/>
          <w:iCs w:val="0"/>
          <w:color w:val="auto"/>
          <w:kern w:val="0"/>
          <w:sz w:val="21"/>
          <w:szCs w:val="21"/>
          <w:highlight w:val="none"/>
          <w:lang w:val="en-US" w:eastAsia="zh-CN" w:bidi="ar"/>
        </w:rPr>
        <w:t>商实际控制人性别</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按</w:t>
      </w:r>
      <w:r>
        <w:rPr>
          <w:rFonts w:hint="eastAsia" w:cs="宋体"/>
          <w:b w:val="0"/>
          <w:bCs w:val="0"/>
          <w:i w:val="0"/>
          <w:iCs w:val="0"/>
          <w:color w:val="auto"/>
          <w:kern w:val="0"/>
          <w:sz w:val="21"/>
          <w:szCs w:val="21"/>
          <w:highlight w:val="none"/>
          <w:lang w:val="en-US" w:eastAsia="zh-CN" w:bidi="ar"/>
        </w:rPr>
        <w:t>制造</w:t>
      </w:r>
      <w:r>
        <w:rPr>
          <w:rFonts w:hint="eastAsia" w:ascii="宋体" w:hAnsi="宋体" w:eastAsia="宋体" w:cs="宋体"/>
          <w:b w:val="0"/>
          <w:bCs w:val="0"/>
          <w:i w:val="0"/>
          <w:iCs w:val="0"/>
          <w:color w:val="auto"/>
          <w:kern w:val="0"/>
          <w:sz w:val="21"/>
          <w:szCs w:val="21"/>
          <w:highlight w:val="none"/>
          <w:lang w:val="en-US" w:eastAsia="zh-CN" w:bidi="ar"/>
        </w:rPr>
        <w:t>商实际控制人性别划分请填写“男”或“女”，指拥有</w:t>
      </w:r>
      <w:r>
        <w:rPr>
          <w:rFonts w:hint="eastAsia" w:cs="宋体"/>
          <w:b w:val="0"/>
          <w:bCs w:val="0"/>
          <w:i w:val="0"/>
          <w:iCs w:val="0"/>
          <w:color w:val="auto"/>
          <w:kern w:val="0"/>
          <w:sz w:val="21"/>
          <w:szCs w:val="21"/>
          <w:highlight w:val="none"/>
          <w:lang w:val="en-US" w:eastAsia="zh-CN" w:bidi="ar"/>
        </w:rPr>
        <w:t>制造商</w:t>
      </w:r>
      <w:r>
        <w:rPr>
          <w:rFonts w:hint="eastAsia" w:ascii="宋体" w:hAnsi="宋体" w:eastAsia="宋体" w:cs="宋体"/>
          <w:b w:val="0"/>
          <w:bCs w:val="0"/>
          <w:i w:val="0"/>
          <w:iCs w:val="0"/>
          <w:color w:val="auto"/>
          <w:kern w:val="0"/>
          <w:sz w:val="21"/>
          <w:szCs w:val="21"/>
          <w:highlight w:val="none"/>
          <w:lang w:val="en-US" w:eastAsia="zh-CN" w:bidi="ar"/>
        </w:rPr>
        <w:t xml:space="preserve"> 51%以上绝对所有权的性别；绝对所有权拥有者可以是一个人，也可以是多人合计计算。 </w:t>
      </w:r>
    </w:p>
    <w:p w14:paraId="67B455A8">
      <w:pPr>
        <w:spacing w:line="300" w:lineRule="auto"/>
        <w:ind w:firstLine="1050" w:firstLineChars="500"/>
        <w:rPr>
          <w:rFonts w:hint="eastAsia" w:ascii="宋体" w:hAnsi="宋体" w:eastAsia="宋体" w:cs="宋体"/>
          <w:color w:val="auto"/>
          <w:sz w:val="21"/>
          <w:szCs w:val="21"/>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rtlGutter w:val="0"/>
          <w:docGrid w:type="lines" w:linePitch="332" w:charSpace="0"/>
        </w:sectPr>
      </w:pPr>
      <w:r>
        <w:rPr>
          <w:rFonts w:hint="eastAsia" w:ascii="宋体" w:hAnsi="宋体" w:eastAsia="宋体" w:cs="宋体"/>
          <w:b w:val="0"/>
          <w:bCs w:val="0"/>
          <w:i w:val="0"/>
          <w:iCs w:val="0"/>
          <w:color w:val="auto"/>
          <w:kern w:val="0"/>
          <w:sz w:val="21"/>
          <w:szCs w:val="21"/>
          <w:highlight w:val="none"/>
          <w:lang w:val="en-US" w:eastAsia="zh-CN" w:bidi="ar"/>
        </w:rPr>
        <w:t>3、</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外商投资类型</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请填写“外商单独投资”、“外商部分投资”或“内资”。</w:t>
      </w:r>
    </w:p>
    <w:p w14:paraId="4A59D451">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1810CE8">
      <w:pPr>
        <w:ind w:firstLine="480" w:firstLineChars="200"/>
        <w:rPr>
          <w:rFonts w:cs="仿宋_GB2312"/>
          <w:color w:val="auto"/>
          <w:szCs w:val="24"/>
          <w:highlight w:val="none"/>
          <w:lang w:val="zh-CN"/>
        </w:rPr>
      </w:pPr>
      <w:r>
        <w:rPr>
          <w:rFonts w:hint="eastAsia" w:cs="仿宋_GB2312"/>
          <w:color w:val="auto"/>
          <w:szCs w:val="24"/>
          <w:highlight w:val="none"/>
          <w:lang w:val="zh-CN"/>
        </w:rPr>
        <w:t>封面：</w:t>
      </w:r>
    </w:p>
    <w:p w14:paraId="62869EA6">
      <w:pPr>
        <w:autoSpaceDE w:val="0"/>
        <w:autoSpaceDN w:val="0"/>
        <w:adjustRightInd w:val="0"/>
        <w:rPr>
          <w:color w:val="auto"/>
          <w:sz w:val="21"/>
          <w:szCs w:val="24"/>
          <w:highlight w:val="none"/>
        </w:rPr>
      </w:pPr>
    </w:p>
    <w:p w14:paraId="5B0902B7">
      <w:pPr>
        <w:autoSpaceDE w:val="0"/>
        <w:autoSpaceDN w:val="0"/>
        <w:adjustRightInd w:val="0"/>
        <w:rPr>
          <w:color w:val="auto"/>
          <w:sz w:val="21"/>
          <w:szCs w:val="24"/>
          <w:highlight w:val="none"/>
        </w:rPr>
      </w:pPr>
    </w:p>
    <w:p w14:paraId="5A04F91B">
      <w:pPr>
        <w:autoSpaceDE w:val="0"/>
        <w:autoSpaceDN w:val="0"/>
        <w:adjustRightInd w:val="0"/>
        <w:jc w:val="center"/>
        <w:rPr>
          <w:color w:val="auto"/>
          <w:sz w:val="21"/>
          <w:szCs w:val="24"/>
          <w:highlight w:val="none"/>
        </w:rPr>
      </w:pPr>
    </w:p>
    <w:p w14:paraId="47D22CDA">
      <w:pPr>
        <w:autoSpaceDE w:val="0"/>
        <w:autoSpaceDN w:val="0"/>
        <w:adjustRightInd w:val="0"/>
        <w:jc w:val="center"/>
        <w:rPr>
          <w:b/>
          <w:color w:val="auto"/>
          <w:sz w:val="84"/>
          <w:szCs w:val="84"/>
          <w:highlight w:val="none"/>
        </w:rPr>
      </w:pPr>
      <w:r>
        <w:rPr>
          <w:rFonts w:hint="eastAsia"/>
          <w:b/>
          <w:color w:val="auto"/>
          <w:sz w:val="84"/>
          <w:szCs w:val="84"/>
          <w:highlight w:val="none"/>
        </w:rPr>
        <w:t>投 标 文 件</w:t>
      </w:r>
    </w:p>
    <w:p w14:paraId="2059EAAA">
      <w:pPr>
        <w:autoSpaceDE w:val="0"/>
        <w:autoSpaceDN w:val="0"/>
        <w:adjustRightInd w:val="0"/>
        <w:jc w:val="center"/>
        <w:rPr>
          <w:rFonts w:hint="eastAsia"/>
          <w:b/>
          <w:color w:val="auto"/>
          <w:sz w:val="56"/>
          <w:szCs w:val="56"/>
          <w:highlight w:val="none"/>
          <w:lang w:val="en-US" w:eastAsia="zh-CN"/>
        </w:rPr>
      </w:pPr>
      <w:r>
        <w:rPr>
          <w:rFonts w:hint="eastAsia"/>
          <w:b/>
          <w:color w:val="auto"/>
          <w:sz w:val="56"/>
          <w:szCs w:val="56"/>
          <w:highlight w:val="none"/>
          <w:lang w:val="en-US" w:eastAsia="zh-CN"/>
        </w:rPr>
        <w:t>商务技术文件</w:t>
      </w:r>
    </w:p>
    <w:p w14:paraId="691967E0">
      <w:pPr>
        <w:autoSpaceDE w:val="0"/>
        <w:autoSpaceDN w:val="0"/>
        <w:adjustRightInd w:val="0"/>
        <w:jc w:val="center"/>
        <w:rPr>
          <w:rFonts w:hint="eastAsia" w:eastAsia="宋体"/>
          <w:color w:val="auto"/>
          <w:sz w:val="36"/>
          <w:szCs w:val="36"/>
          <w:highlight w:val="none"/>
          <w:lang w:eastAsia="zh-CN"/>
        </w:rPr>
      </w:pPr>
      <w:r>
        <w:rPr>
          <w:rFonts w:hint="eastAsia"/>
          <w:color w:val="auto"/>
          <w:sz w:val="36"/>
          <w:szCs w:val="36"/>
          <w:highlight w:val="none"/>
          <w:lang w:val="en-US" w:eastAsia="zh-CN"/>
        </w:rPr>
        <w:t>（第XX包</w:t>
      </w:r>
      <w:r>
        <w:rPr>
          <w:rFonts w:hint="eastAsia"/>
          <w:color w:val="auto"/>
          <w:sz w:val="36"/>
          <w:szCs w:val="36"/>
          <w:highlight w:val="none"/>
          <w:lang w:eastAsia="zh-CN"/>
        </w:rPr>
        <w:t>）【</w:t>
      </w:r>
      <w:r>
        <w:rPr>
          <w:rFonts w:hint="eastAsia"/>
          <w:color w:val="auto"/>
          <w:sz w:val="36"/>
          <w:szCs w:val="36"/>
          <w:highlight w:val="none"/>
          <w:lang w:val="en-US" w:eastAsia="zh-CN"/>
        </w:rPr>
        <w:t>如不分包，请删去本行</w:t>
      </w:r>
      <w:r>
        <w:rPr>
          <w:rFonts w:hint="eastAsia"/>
          <w:color w:val="auto"/>
          <w:sz w:val="36"/>
          <w:szCs w:val="36"/>
          <w:highlight w:val="none"/>
          <w:lang w:eastAsia="zh-CN"/>
        </w:rPr>
        <w:t>】</w:t>
      </w:r>
    </w:p>
    <w:p w14:paraId="039027FC">
      <w:pPr>
        <w:pStyle w:val="4"/>
        <w:rPr>
          <w:color w:val="auto"/>
          <w:sz w:val="21"/>
          <w:szCs w:val="21"/>
          <w:highlight w:val="none"/>
        </w:rPr>
      </w:pPr>
    </w:p>
    <w:p w14:paraId="1B35F1EE">
      <w:pPr>
        <w:rPr>
          <w:color w:val="auto"/>
          <w:sz w:val="21"/>
          <w:szCs w:val="21"/>
          <w:highlight w:val="none"/>
        </w:rPr>
      </w:pPr>
    </w:p>
    <w:p w14:paraId="54B78BF7">
      <w:pPr>
        <w:rPr>
          <w:color w:val="auto"/>
          <w:highlight w:val="none"/>
        </w:rPr>
      </w:pPr>
    </w:p>
    <w:p w14:paraId="44CE1222">
      <w:pPr>
        <w:autoSpaceDE w:val="0"/>
        <w:autoSpaceDN w:val="0"/>
        <w:adjustRightInd w:val="0"/>
        <w:rPr>
          <w:color w:val="auto"/>
          <w:sz w:val="21"/>
          <w:szCs w:val="21"/>
          <w:highlight w:val="none"/>
        </w:rPr>
      </w:pPr>
    </w:p>
    <w:p w14:paraId="7AA0A974">
      <w:pPr>
        <w:autoSpaceDE w:val="0"/>
        <w:autoSpaceDN w:val="0"/>
        <w:adjustRightInd w:val="0"/>
        <w:rPr>
          <w:color w:val="auto"/>
          <w:sz w:val="21"/>
          <w:szCs w:val="21"/>
          <w:highlight w:val="none"/>
        </w:rPr>
      </w:pPr>
    </w:p>
    <w:p w14:paraId="037029E5">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0538909E">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6D86FB53">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02BCF110">
      <w:pPr>
        <w:ind w:left="420" w:leftChars="175"/>
        <w:rPr>
          <w:rFonts w:ascii="黑体" w:hAnsi="黑体" w:eastAsia="黑体"/>
          <w:color w:val="auto"/>
          <w:sz w:val="32"/>
          <w:szCs w:val="32"/>
          <w:highlight w:val="none"/>
        </w:rPr>
      </w:pPr>
    </w:p>
    <w:p w14:paraId="2EF2CC50">
      <w:pPr>
        <w:ind w:left="840" w:firstLine="420"/>
        <w:rPr>
          <w:b/>
          <w:bCs/>
          <w:color w:val="auto"/>
          <w:sz w:val="28"/>
          <w:szCs w:val="28"/>
          <w:highlight w:val="none"/>
        </w:rPr>
      </w:pPr>
    </w:p>
    <w:p w14:paraId="2451F1DE">
      <w:pPr>
        <w:ind w:left="840" w:firstLine="420"/>
        <w:rPr>
          <w:b/>
          <w:bCs/>
          <w:color w:val="auto"/>
          <w:sz w:val="28"/>
          <w:szCs w:val="28"/>
          <w:highlight w:val="none"/>
        </w:rPr>
      </w:pPr>
    </w:p>
    <w:p w14:paraId="5B12266F">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C2AEB63">
      <w:pPr>
        <w:rPr>
          <w:color w:val="auto"/>
          <w:highlight w:val="none"/>
          <w:lang w:val="zh-CN"/>
        </w:rPr>
      </w:pPr>
      <w:r>
        <w:rPr>
          <w:color w:val="auto"/>
          <w:highlight w:val="none"/>
          <w:lang w:val="zh-CN"/>
        </w:rPr>
        <w:br w:type="page"/>
      </w:r>
    </w:p>
    <w:p w14:paraId="374BEE88">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405" w:name="_Toc109900327"/>
      <w:bookmarkStart w:id="406" w:name="_Toc3577"/>
      <w:bookmarkStart w:id="407" w:name="_Toc109899908"/>
      <w:bookmarkStart w:id="408" w:name="_Toc140132831"/>
      <w:bookmarkStart w:id="409" w:name="_Toc163492915"/>
      <w:bookmarkStart w:id="410" w:name="_Toc25402"/>
      <w:bookmarkStart w:id="411" w:name="_Toc109899489"/>
      <w:bookmarkStart w:id="412" w:name="_Toc155185921"/>
      <w:bookmarkStart w:id="413" w:name="_Toc9782"/>
      <w:r>
        <w:rPr>
          <w:rFonts w:hint="eastAsia" w:eastAsia="宋体" w:asciiTheme="majorHAnsi" w:hAnsiTheme="majorHAnsi" w:cstheme="majorBidi"/>
          <w:b/>
          <w:bCs/>
          <w:color w:val="auto"/>
          <w:kern w:val="2"/>
          <w:sz w:val="32"/>
          <w:szCs w:val="32"/>
          <w:highlight w:val="none"/>
          <w:lang w:val="en-US" w:eastAsia="zh-CN" w:bidi="ar-SA"/>
        </w:rPr>
        <w:t>一、投标函</w:t>
      </w:r>
      <w:bookmarkEnd w:id="405"/>
      <w:bookmarkEnd w:id="406"/>
      <w:bookmarkEnd w:id="407"/>
      <w:bookmarkEnd w:id="408"/>
      <w:bookmarkEnd w:id="409"/>
      <w:bookmarkEnd w:id="410"/>
      <w:bookmarkEnd w:id="411"/>
      <w:bookmarkEnd w:id="412"/>
      <w:bookmarkEnd w:id="413"/>
    </w:p>
    <w:p w14:paraId="0ABD9EA3">
      <w:pPr>
        <w:rPr>
          <w:color w:val="auto"/>
          <w:sz w:val="24"/>
          <w:szCs w:val="24"/>
          <w:highlight w:val="none"/>
        </w:rPr>
      </w:pPr>
      <w:r>
        <w:rPr>
          <w:rFonts w:hint="eastAsia"/>
          <w:color w:val="auto"/>
          <w:sz w:val="24"/>
          <w:szCs w:val="24"/>
          <w:highlight w:val="none"/>
        </w:rPr>
        <w:t>致：（采购人）</w:t>
      </w:r>
    </w:p>
    <w:p w14:paraId="35C4266A">
      <w:pPr>
        <w:ind w:firstLine="480" w:firstLineChars="200"/>
        <w:rPr>
          <w:rFonts w:cs="仿宋_GB2312"/>
          <w:b/>
          <w:bCs/>
          <w:color w:val="auto"/>
          <w:sz w:val="24"/>
          <w:szCs w:val="24"/>
          <w:highlight w:val="none"/>
        </w:rPr>
      </w:pPr>
      <w:r>
        <w:rPr>
          <w:rFonts w:hint="eastAsia" w:cs="仿宋_GB2312"/>
          <w:color w:val="auto"/>
          <w:sz w:val="24"/>
          <w:szCs w:val="24"/>
          <w:highlight w:val="none"/>
        </w:rPr>
        <w:t>根据贵方</w:t>
      </w:r>
      <w:r>
        <w:rPr>
          <w:rFonts w:hint="eastAsia" w:cs="仿宋_GB2312"/>
          <w:color w:val="auto"/>
          <w:sz w:val="24"/>
          <w:szCs w:val="24"/>
          <w:highlight w:val="none"/>
          <w:u w:val="single"/>
        </w:rPr>
        <w:t>（项目名称）（项目编号</w:t>
      </w:r>
      <w:r>
        <w:rPr>
          <w:rFonts w:hint="eastAsia" w:cs="仿宋_GB2312"/>
          <w:color w:val="auto"/>
          <w:sz w:val="24"/>
          <w:szCs w:val="24"/>
          <w:highlight w:val="none"/>
          <w:u w:val="single"/>
          <w:lang w:val="en-US" w:eastAsia="zh-CN"/>
        </w:rPr>
        <w:t>/包号</w:t>
      </w:r>
      <w:r>
        <w:rPr>
          <w:rFonts w:hint="eastAsia" w:cs="仿宋_GB2312"/>
          <w:color w:val="auto"/>
          <w:sz w:val="24"/>
          <w:szCs w:val="24"/>
          <w:highlight w:val="none"/>
          <w:u w:val="single"/>
        </w:rPr>
        <w:t>）</w:t>
      </w:r>
      <w:r>
        <w:rPr>
          <w:rFonts w:hint="eastAsia" w:cs="仿宋_GB2312"/>
          <w:color w:val="auto"/>
          <w:sz w:val="24"/>
          <w:szCs w:val="24"/>
          <w:highlight w:val="none"/>
          <w:lang w:val="en-US" w:eastAsia="zh-CN"/>
        </w:rPr>
        <w:t>项目</w:t>
      </w:r>
      <w:r>
        <w:rPr>
          <w:rFonts w:hint="eastAsia" w:cs="仿宋_GB2312"/>
          <w:color w:val="auto"/>
          <w:sz w:val="24"/>
          <w:szCs w:val="24"/>
          <w:highlight w:val="none"/>
        </w:rPr>
        <w:t>的</w:t>
      </w:r>
      <w:r>
        <w:rPr>
          <w:rFonts w:hint="eastAsia" w:cs="仿宋_GB2312"/>
          <w:color w:val="auto"/>
          <w:sz w:val="24"/>
          <w:szCs w:val="24"/>
          <w:highlight w:val="none"/>
          <w:lang w:val="en-US" w:eastAsia="zh-CN"/>
        </w:rPr>
        <w:t>招标公告</w:t>
      </w:r>
      <w:r>
        <w:rPr>
          <w:rFonts w:hint="eastAsia" w:cs="仿宋_GB2312"/>
          <w:color w:val="auto"/>
          <w:sz w:val="24"/>
          <w:szCs w:val="24"/>
          <w:highlight w:val="none"/>
        </w:rPr>
        <w:t>，签字代表</w:t>
      </w:r>
      <w:r>
        <w:rPr>
          <w:rFonts w:hint="eastAsia" w:cs="仿宋_GB2312"/>
          <w:color w:val="auto"/>
          <w:sz w:val="24"/>
          <w:szCs w:val="24"/>
          <w:highlight w:val="none"/>
          <w:u w:val="single"/>
        </w:rPr>
        <w:t>（姓名、职务）</w:t>
      </w:r>
      <w:r>
        <w:rPr>
          <w:rFonts w:hint="eastAsia" w:cs="仿宋_GB2312"/>
          <w:color w:val="auto"/>
          <w:sz w:val="24"/>
          <w:szCs w:val="24"/>
          <w:highlight w:val="none"/>
        </w:rPr>
        <w:t>经正式授权并代表投标人</w:t>
      </w:r>
      <w:r>
        <w:rPr>
          <w:rFonts w:hint="eastAsia" w:cs="仿宋_GB2312"/>
          <w:color w:val="auto"/>
          <w:sz w:val="24"/>
          <w:szCs w:val="24"/>
          <w:highlight w:val="none"/>
          <w:u w:val="single"/>
        </w:rPr>
        <w:t>（投标人名称、地址）</w:t>
      </w:r>
      <w:r>
        <w:rPr>
          <w:rFonts w:hint="eastAsia" w:cs="仿宋_GB2312"/>
          <w:color w:val="auto"/>
          <w:sz w:val="24"/>
          <w:szCs w:val="24"/>
          <w:highlight w:val="none"/>
        </w:rPr>
        <w:t>提交下述文件</w:t>
      </w:r>
      <w:r>
        <w:rPr>
          <w:rFonts w:hint="eastAsia" w:cs="仿宋_GB2312"/>
          <w:b/>
          <w:bCs/>
          <w:color w:val="auto"/>
          <w:sz w:val="24"/>
          <w:szCs w:val="24"/>
          <w:highlight w:val="none"/>
        </w:rPr>
        <w:t>：</w:t>
      </w:r>
    </w:p>
    <w:p w14:paraId="21BBF032">
      <w:pPr>
        <w:numPr>
          <w:ilvl w:val="0"/>
          <w:numId w:val="0"/>
        </w:numPr>
        <w:spacing w:line="324" w:lineRule="auto"/>
        <w:ind w:firstLine="480" w:firstLineChars="200"/>
        <w:jc w:val="both"/>
        <w:rPr>
          <w:rFonts w:cs="Arial"/>
          <w:color w:val="auto"/>
          <w:sz w:val="24"/>
          <w:szCs w:val="24"/>
          <w:highlight w:val="none"/>
        </w:rPr>
      </w:pPr>
      <w:r>
        <w:rPr>
          <w:rFonts w:hint="eastAsia" w:ascii="宋体" w:hAnsi="宋体" w:eastAsia="宋体" w:cs="Arial"/>
          <w:color w:val="auto"/>
          <w:kern w:val="2"/>
          <w:sz w:val="24"/>
          <w:szCs w:val="24"/>
          <w:highlight w:val="none"/>
          <w:lang w:val="en-US" w:eastAsia="zh-CN" w:bidi="ar-SA"/>
        </w:rPr>
        <w:t>1.</w:t>
      </w:r>
      <w:r>
        <w:rPr>
          <w:rFonts w:hint="eastAsia" w:cs="Arial"/>
          <w:color w:val="auto"/>
          <w:sz w:val="24"/>
          <w:szCs w:val="24"/>
          <w:highlight w:val="none"/>
        </w:rPr>
        <w:t>资格</w:t>
      </w:r>
      <w:r>
        <w:rPr>
          <w:rFonts w:hint="eastAsia" w:cs="Arial"/>
          <w:color w:val="auto"/>
          <w:sz w:val="24"/>
          <w:szCs w:val="24"/>
          <w:highlight w:val="none"/>
          <w:lang w:val="en-US" w:eastAsia="zh-CN"/>
        </w:rPr>
        <w:t>证明</w:t>
      </w:r>
      <w:r>
        <w:rPr>
          <w:rFonts w:hint="eastAsia" w:cs="Arial"/>
          <w:color w:val="auto"/>
          <w:sz w:val="24"/>
          <w:szCs w:val="24"/>
          <w:highlight w:val="none"/>
        </w:rPr>
        <w:t>文件</w:t>
      </w:r>
      <w:r>
        <w:rPr>
          <w:rFonts w:cs="Arial"/>
          <w:color w:val="auto"/>
          <w:sz w:val="24"/>
          <w:szCs w:val="24"/>
          <w:highlight w:val="none"/>
        </w:rPr>
        <w:t>；</w:t>
      </w:r>
    </w:p>
    <w:p w14:paraId="0A0EA079">
      <w:pPr>
        <w:numPr>
          <w:ilvl w:val="0"/>
          <w:numId w:val="0"/>
        </w:numPr>
        <w:spacing w:line="324" w:lineRule="auto"/>
        <w:ind w:firstLine="480" w:firstLineChars="200"/>
        <w:jc w:val="both"/>
        <w:rPr>
          <w:rFonts w:cs="Arial"/>
          <w:color w:val="auto"/>
          <w:sz w:val="24"/>
          <w:szCs w:val="24"/>
          <w:highlight w:val="none"/>
        </w:rPr>
      </w:pPr>
      <w:r>
        <w:rPr>
          <w:rFonts w:hint="eastAsia" w:ascii="宋体" w:hAnsi="宋体" w:eastAsia="宋体" w:cs="Arial"/>
          <w:color w:val="auto"/>
          <w:kern w:val="2"/>
          <w:sz w:val="24"/>
          <w:szCs w:val="24"/>
          <w:highlight w:val="none"/>
          <w:lang w:val="en-US" w:eastAsia="zh-CN" w:bidi="ar-SA"/>
        </w:rPr>
        <w:t>2.</w:t>
      </w:r>
      <w:r>
        <w:rPr>
          <w:rFonts w:hint="eastAsia" w:cs="Arial"/>
          <w:color w:val="auto"/>
          <w:sz w:val="24"/>
          <w:szCs w:val="24"/>
          <w:highlight w:val="none"/>
        </w:rPr>
        <w:t>投标报价</w:t>
      </w:r>
      <w:r>
        <w:rPr>
          <w:rFonts w:cs="Arial"/>
          <w:color w:val="auto"/>
          <w:sz w:val="24"/>
          <w:szCs w:val="24"/>
          <w:highlight w:val="none"/>
        </w:rPr>
        <w:t>文件</w:t>
      </w:r>
      <w:r>
        <w:rPr>
          <w:rFonts w:hint="eastAsia" w:cs="Arial"/>
          <w:color w:val="auto"/>
          <w:sz w:val="24"/>
          <w:szCs w:val="24"/>
          <w:highlight w:val="none"/>
        </w:rPr>
        <w:t>；</w:t>
      </w:r>
    </w:p>
    <w:p w14:paraId="7C008F28">
      <w:pPr>
        <w:numPr>
          <w:ilvl w:val="0"/>
          <w:numId w:val="0"/>
        </w:numPr>
        <w:spacing w:line="324" w:lineRule="auto"/>
        <w:ind w:firstLine="480" w:firstLineChars="200"/>
        <w:jc w:val="both"/>
        <w:rPr>
          <w:rFonts w:cs="Arial"/>
          <w:color w:val="auto"/>
          <w:sz w:val="24"/>
          <w:szCs w:val="24"/>
          <w:highlight w:val="none"/>
        </w:rPr>
      </w:pPr>
      <w:r>
        <w:rPr>
          <w:rFonts w:hint="eastAsia" w:ascii="宋体" w:hAnsi="宋体" w:eastAsia="宋体" w:cs="Arial"/>
          <w:color w:val="auto"/>
          <w:kern w:val="2"/>
          <w:sz w:val="24"/>
          <w:szCs w:val="24"/>
          <w:highlight w:val="none"/>
          <w:lang w:val="en-US" w:eastAsia="zh-CN" w:bidi="ar-SA"/>
        </w:rPr>
        <w:t>3.</w:t>
      </w:r>
      <w:r>
        <w:rPr>
          <w:rFonts w:hint="eastAsia" w:cs="Arial"/>
          <w:color w:val="auto"/>
          <w:sz w:val="24"/>
          <w:szCs w:val="24"/>
          <w:highlight w:val="none"/>
          <w:lang w:val="en-US" w:eastAsia="zh-CN"/>
        </w:rPr>
        <w:t>商务技术</w:t>
      </w:r>
      <w:r>
        <w:rPr>
          <w:rFonts w:hint="eastAsia" w:cs="Arial"/>
          <w:color w:val="auto"/>
          <w:sz w:val="24"/>
          <w:szCs w:val="24"/>
          <w:highlight w:val="none"/>
        </w:rPr>
        <w:t>文件</w:t>
      </w:r>
      <w:r>
        <w:rPr>
          <w:rFonts w:cs="Arial"/>
          <w:color w:val="auto"/>
          <w:sz w:val="24"/>
          <w:szCs w:val="24"/>
          <w:highlight w:val="none"/>
        </w:rPr>
        <w:t>。</w:t>
      </w:r>
    </w:p>
    <w:p w14:paraId="2038C573">
      <w:pPr>
        <w:spacing w:line="324" w:lineRule="auto"/>
        <w:ind w:firstLine="480" w:firstLineChars="200"/>
        <w:rPr>
          <w:rFonts w:cs="Arial"/>
          <w:color w:val="auto"/>
          <w:sz w:val="24"/>
          <w:szCs w:val="24"/>
          <w:highlight w:val="none"/>
        </w:rPr>
      </w:pPr>
      <w:r>
        <w:rPr>
          <w:rFonts w:cs="Arial"/>
          <w:color w:val="auto"/>
          <w:sz w:val="24"/>
          <w:szCs w:val="24"/>
          <w:highlight w:val="none"/>
        </w:rPr>
        <w:t>根据此函，签字代表宣布同意如下：</w:t>
      </w:r>
    </w:p>
    <w:p w14:paraId="7021F257">
      <w:pPr>
        <w:numPr>
          <w:ilvl w:val="0"/>
          <w:numId w:val="0"/>
        </w:numPr>
        <w:spacing w:line="324" w:lineRule="auto"/>
        <w:ind w:firstLine="480" w:firstLineChars="200"/>
        <w:jc w:val="both"/>
        <w:rPr>
          <w:rFonts w:cs="Arial"/>
          <w:color w:val="auto"/>
          <w:sz w:val="24"/>
          <w:szCs w:val="24"/>
          <w:highlight w:val="none"/>
        </w:rPr>
      </w:pPr>
      <w:r>
        <w:rPr>
          <w:rFonts w:hint="eastAsia" w:ascii="宋体" w:hAnsi="宋体" w:eastAsia="宋体" w:cs="Arial"/>
          <w:color w:val="auto"/>
          <w:kern w:val="2"/>
          <w:sz w:val="24"/>
          <w:szCs w:val="24"/>
          <w:highlight w:val="none"/>
          <w:lang w:val="en-US" w:eastAsia="zh-CN" w:bidi="ar-SA"/>
        </w:rPr>
        <w:t>1.</w:t>
      </w:r>
      <w:r>
        <w:rPr>
          <w:rFonts w:cs="Arial"/>
          <w:color w:val="auto"/>
          <w:sz w:val="24"/>
          <w:szCs w:val="24"/>
          <w:highlight w:val="none"/>
        </w:rPr>
        <w:t>所附投标价格表中规定的应提交和交付的</w:t>
      </w:r>
      <w:r>
        <w:rPr>
          <w:rFonts w:hint="eastAsia" w:cs="Arial"/>
          <w:color w:val="auto"/>
          <w:sz w:val="24"/>
          <w:szCs w:val="24"/>
          <w:highlight w:val="none"/>
        </w:rPr>
        <w:t>货物</w:t>
      </w:r>
      <w:r>
        <w:rPr>
          <w:rFonts w:cs="Arial"/>
          <w:color w:val="auto"/>
          <w:sz w:val="24"/>
          <w:szCs w:val="24"/>
          <w:highlight w:val="none"/>
        </w:rPr>
        <w:t>和</w:t>
      </w:r>
      <w:r>
        <w:rPr>
          <w:rFonts w:hint="eastAsia" w:cs="Arial"/>
          <w:color w:val="auto"/>
          <w:sz w:val="24"/>
          <w:szCs w:val="24"/>
          <w:highlight w:val="none"/>
          <w:lang w:val="en-US" w:eastAsia="zh-CN"/>
        </w:rPr>
        <w:t>相关</w:t>
      </w:r>
      <w:r>
        <w:rPr>
          <w:rFonts w:cs="Arial"/>
          <w:color w:val="auto"/>
          <w:sz w:val="24"/>
          <w:szCs w:val="24"/>
          <w:highlight w:val="none"/>
        </w:rPr>
        <w:t>服务</w:t>
      </w:r>
      <w:r>
        <w:rPr>
          <w:rFonts w:hint="eastAsia" w:cs="Arial"/>
          <w:color w:val="auto"/>
          <w:sz w:val="24"/>
          <w:szCs w:val="24"/>
          <w:highlight w:val="none"/>
        </w:rPr>
        <w:t>（如有）</w:t>
      </w:r>
      <w:r>
        <w:rPr>
          <w:rFonts w:cs="Arial"/>
          <w:color w:val="auto"/>
          <w:sz w:val="24"/>
          <w:szCs w:val="24"/>
          <w:highlight w:val="none"/>
        </w:rPr>
        <w:t>的</w:t>
      </w:r>
      <w:r>
        <w:rPr>
          <w:rFonts w:hint="eastAsia" w:cs="Arial"/>
          <w:color w:val="auto"/>
          <w:sz w:val="24"/>
          <w:szCs w:val="24"/>
          <w:highlight w:val="none"/>
        </w:rPr>
        <w:t>投标报价</w:t>
      </w:r>
      <w:r>
        <w:rPr>
          <w:rFonts w:cs="Arial"/>
          <w:color w:val="auto"/>
          <w:sz w:val="24"/>
          <w:szCs w:val="24"/>
          <w:highlight w:val="none"/>
        </w:rPr>
        <w:t>为</w:t>
      </w:r>
      <w:r>
        <w:rPr>
          <w:rFonts w:hint="eastAsia" w:cs="Arial"/>
          <w:color w:val="auto"/>
          <w:sz w:val="24"/>
          <w:szCs w:val="24"/>
          <w:highlight w:val="none"/>
        </w:rPr>
        <w:t xml:space="preserve"> </w:t>
      </w:r>
      <w:r>
        <w:rPr>
          <w:rFonts w:hint="eastAsia" w:cs="Arial"/>
          <w:color w:val="auto"/>
          <w:sz w:val="24"/>
          <w:szCs w:val="24"/>
          <w:highlight w:val="none"/>
          <w:u w:val="single"/>
        </w:rPr>
        <w:t xml:space="preserve">                  </w:t>
      </w:r>
      <w:r>
        <w:rPr>
          <w:rFonts w:cs="Arial"/>
          <w:color w:val="auto"/>
          <w:sz w:val="24"/>
          <w:szCs w:val="24"/>
          <w:highlight w:val="none"/>
        </w:rPr>
        <w:t>。</w:t>
      </w:r>
    </w:p>
    <w:p w14:paraId="3FF1B405">
      <w:pPr>
        <w:numPr>
          <w:ilvl w:val="0"/>
          <w:numId w:val="0"/>
        </w:numPr>
        <w:spacing w:line="324" w:lineRule="auto"/>
        <w:ind w:firstLine="480" w:firstLineChars="200"/>
        <w:jc w:val="both"/>
        <w:rPr>
          <w:rFonts w:cs="Arial"/>
          <w:color w:val="auto"/>
          <w:sz w:val="24"/>
          <w:szCs w:val="24"/>
          <w:highlight w:val="none"/>
        </w:rPr>
      </w:pPr>
      <w:r>
        <w:rPr>
          <w:rFonts w:hint="eastAsia" w:ascii="宋体" w:hAnsi="宋体" w:eastAsia="宋体" w:cs="Arial"/>
          <w:color w:val="auto"/>
          <w:kern w:val="2"/>
          <w:sz w:val="24"/>
          <w:szCs w:val="24"/>
          <w:highlight w:val="none"/>
          <w:lang w:val="en-US" w:eastAsia="zh-CN" w:bidi="ar-SA"/>
        </w:rPr>
        <w:t>2.</w:t>
      </w:r>
      <w:r>
        <w:rPr>
          <w:rFonts w:hint="eastAsia" w:cs="Arial"/>
          <w:color w:val="auto"/>
          <w:sz w:val="24"/>
          <w:szCs w:val="24"/>
          <w:highlight w:val="none"/>
        </w:rPr>
        <w:t>我方</w:t>
      </w:r>
      <w:r>
        <w:rPr>
          <w:rFonts w:cs="Arial"/>
          <w:color w:val="auto"/>
          <w:sz w:val="24"/>
          <w:szCs w:val="24"/>
          <w:highlight w:val="none"/>
        </w:rPr>
        <w:t>将按招标文件的规定履行合同责任和义务。</w:t>
      </w:r>
    </w:p>
    <w:p w14:paraId="464D767C">
      <w:pPr>
        <w:numPr>
          <w:ilvl w:val="0"/>
          <w:numId w:val="0"/>
        </w:numPr>
        <w:spacing w:line="324" w:lineRule="auto"/>
        <w:ind w:firstLine="480" w:firstLineChars="200"/>
        <w:jc w:val="both"/>
        <w:rPr>
          <w:rFonts w:cs="Arial"/>
          <w:color w:val="auto"/>
          <w:sz w:val="24"/>
          <w:szCs w:val="24"/>
          <w:highlight w:val="none"/>
        </w:rPr>
      </w:pPr>
      <w:r>
        <w:rPr>
          <w:rFonts w:hint="eastAsia" w:ascii="宋体" w:hAnsi="宋体" w:eastAsia="宋体" w:cs="Arial"/>
          <w:color w:val="auto"/>
          <w:kern w:val="2"/>
          <w:sz w:val="24"/>
          <w:szCs w:val="24"/>
          <w:highlight w:val="none"/>
          <w:lang w:val="en-US" w:eastAsia="zh-CN" w:bidi="ar-SA"/>
        </w:rPr>
        <w:t>3.</w:t>
      </w:r>
      <w:r>
        <w:rPr>
          <w:rFonts w:hint="eastAsia" w:cs="Arial"/>
          <w:color w:val="auto"/>
          <w:sz w:val="24"/>
          <w:szCs w:val="24"/>
          <w:highlight w:val="none"/>
        </w:rPr>
        <w:t>我方</w:t>
      </w:r>
      <w:r>
        <w:rPr>
          <w:rFonts w:cs="Arial"/>
          <w:color w:val="auto"/>
          <w:sz w:val="24"/>
          <w:szCs w:val="24"/>
          <w:highlight w:val="none"/>
        </w:rPr>
        <w:t>已详细审查全部招标文件，包括第</w:t>
      </w:r>
      <w:r>
        <w:rPr>
          <w:rFonts w:cs="Arial"/>
          <w:i w:val="0"/>
          <w:iCs/>
          <w:color w:val="auto"/>
          <w:sz w:val="24"/>
          <w:szCs w:val="24"/>
          <w:highlight w:val="none"/>
          <w:u w:val="single"/>
        </w:rPr>
        <w:t>（编号、补遗书）（如果有的话）</w:t>
      </w:r>
      <w:r>
        <w:rPr>
          <w:rFonts w:cs="Arial"/>
          <w:color w:val="auto"/>
          <w:sz w:val="24"/>
          <w:szCs w:val="24"/>
          <w:highlight w:val="none"/>
        </w:rPr>
        <w:t>。我</w:t>
      </w:r>
      <w:r>
        <w:rPr>
          <w:rFonts w:hint="eastAsia" w:cs="Arial"/>
          <w:color w:val="auto"/>
          <w:sz w:val="24"/>
          <w:szCs w:val="24"/>
          <w:highlight w:val="none"/>
        </w:rPr>
        <w:t>方</w:t>
      </w:r>
      <w:r>
        <w:rPr>
          <w:rFonts w:cs="Arial"/>
          <w:color w:val="auto"/>
          <w:sz w:val="24"/>
          <w:szCs w:val="24"/>
          <w:highlight w:val="none"/>
        </w:rPr>
        <w:t>完全理解并同意放弃对这方面有不明及误解的权力。</w:t>
      </w:r>
    </w:p>
    <w:p w14:paraId="70CAE828">
      <w:pPr>
        <w:numPr>
          <w:ilvl w:val="0"/>
          <w:numId w:val="0"/>
        </w:numPr>
        <w:spacing w:line="324" w:lineRule="auto"/>
        <w:ind w:firstLine="480" w:firstLineChars="200"/>
        <w:jc w:val="both"/>
        <w:rPr>
          <w:rFonts w:cs="Arial"/>
          <w:color w:val="auto"/>
          <w:sz w:val="24"/>
          <w:szCs w:val="24"/>
          <w:highlight w:val="none"/>
        </w:rPr>
      </w:pPr>
      <w:r>
        <w:rPr>
          <w:rFonts w:hint="eastAsia" w:ascii="宋体" w:hAnsi="宋体" w:eastAsia="宋体" w:cs="Arial"/>
          <w:color w:val="auto"/>
          <w:kern w:val="2"/>
          <w:sz w:val="24"/>
          <w:szCs w:val="24"/>
          <w:highlight w:val="none"/>
          <w:lang w:val="en-US" w:eastAsia="zh-CN" w:bidi="ar-SA"/>
        </w:rPr>
        <w:t>4.</w:t>
      </w:r>
      <w:r>
        <w:rPr>
          <w:rFonts w:hint="eastAsia" w:cs="Arial"/>
          <w:color w:val="auto"/>
          <w:sz w:val="24"/>
          <w:szCs w:val="24"/>
          <w:highlight w:val="none"/>
        </w:rPr>
        <w:t>投标有效期为自提交投标文件的截止之日起</w:t>
      </w:r>
      <w:r>
        <w:rPr>
          <w:rFonts w:hint="eastAsia" w:cs="Arial"/>
          <w:i/>
          <w:color w:val="auto"/>
          <w:sz w:val="24"/>
          <w:szCs w:val="24"/>
          <w:highlight w:val="none"/>
          <w:u w:val="single"/>
        </w:rPr>
        <w:t xml:space="preserve"> </w:t>
      </w:r>
      <w:r>
        <w:rPr>
          <w:rFonts w:hint="eastAsia" w:cs="Arial"/>
          <w:i w:val="0"/>
          <w:iCs/>
          <w:color w:val="auto"/>
          <w:sz w:val="24"/>
          <w:szCs w:val="24"/>
          <w:highlight w:val="none"/>
          <w:u w:val="single"/>
        </w:rPr>
        <w:t>（由投标人填写）</w:t>
      </w:r>
      <w:r>
        <w:rPr>
          <w:rFonts w:cs="Arial"/>
          <w:color w:val="auto"/>
          <w:sz w:val="24"/>
          <w:szCs w:val="24"/>
          <w:highlight w:val="none"/>
        </w:rPr>
        <w:t>个日历天。</w:t>
      </w:r>
    </w:p>
    <w:p w14:paraId="52EDF2A7">
      <w:pPr>
        <w:numPr>
          <w:ilvl w:val="0"/>
          <w:numId w:val="0"/>
        </w:numPr>
        <w:spacing w:line="324" w:lineRule="auto"/>
        <w:ind w:firstLine="480" w:firstLineChars="200"/>
        <w:jc w:val="both"/>
        <w:rPr>
          <w:rFonts w:cs="Arial"/>
          <w:color w:val="auto"/>
          <w:sz w:val="24"/>
          <w:szCs w:val="24"/>
          <w:highlight w:val="none"/>
        </w:rPr>
      </w:pPr>
      <w:r>
        <w:rPr>
          <w:rFonts w:hint="eastAsia" w:ascii="宋体" w:hAnsi="宋体" w:eastAsia="宋体" w:cs="Arial"/>
          <w:color w:val="auto"/>
          <w:kern w:val="2"/>
          <w:sz w:val="24"/>
          <w:szCs w:val="24"/>
          <w:highlight w:val="none"/>
          <w:lang w:val="en-US" w:eastAsia="zh-CN" w:bidi="ar-SA"/>
        </w:rPr>
        <w:t>5.</w:t>
      </w:r>
      <w:r>
        <w:rPr>
          <w:rFonts w:hint="eastAsia" w:cs="Arial"/>
          <w:color w:val="auto"/>
          <w:sz w:val="24"/>
          <w:szCs w:val="24"/>
          <w:highlight w:val="none"/>
        </w:rPr>
        <w:t>我方</w:t>
      </w:r>
      <w:r>
        <w:rPr>
          <w:rFonts w:cs="Arial"/>
          <w:color w:val="auto"/>
          <w:sz w:val="24"/>
          <w:szCs w:val="24"/>
          <w:highlight w:val="none"/>
        </w:rPr>
        <w:t>同意提供按照贵方</w:t>
      </w:r>
      <w:r>
        <w:rPr>
          <w:rFonts w:hint="eastAsia" w:cs="Arial"/>
          <w:color w:val="auto"/>
          <w:sz w:val="24"/>
          <w:szCs w:val="24"/>
          <w:highlight w:val="none"/>
          <w:lang w:val="en-US" w:eastAsia="zh-CN"/>
        </w:rPr>
        <w:t>招标</w:t>
      </w:r>
      <w:r>
        <w:rPr>
          <w:rFonts w:hint="eastAsia" w:cs="Arial"/>
          <w:color w:val="auto"/>
          <w:sz w:val="24"/>
          <w:szCs w:val="24"/>
          <w:highlight w:val="none"/>
        </w:rPr>
        <w:t>文件</w:t>
      </w:r>
      <w:r>
        <w:rPr>
          <w:rFonts w:cs="Arial"/>
          <w:color w:val="auto"/>
          <w:sz w:val="24"/>
          <w:szCs w:val="24"/>
          <w:highlight w:val="none"/>
        </w:rPr>
        <w:t>要求的与投标有关的一切数据或资料，</w:t>
      </w:r>
      <w:r>
        <w:rPr>
          <w:rFonts w:hint="eastAsia" w:cs="Arial"/>
          <w:color w:val="auto"/>
          <w:sz w:val="24"/>
          <w:szCs w:val="24"/>
          <w:highlight w:val="none"/>
        </w:rPr>
        <w:t>采用综合评分法时，我方</w:t>
      </w:r>
      <w:r>
        <w:rPr>
          <w:rFonts w:cs="Arial"/>
          <w:color w:val="auto"/>
          <w:sz w:val="24"/>
          <w:szCs w:val="24"/>
          <w:highlight w:val="none"/>
        </w:rPr>
        <w:t>完全理解贵方不一定接受最低价的投标。</w:t>
      </w:r>
    </w:p>
    <w:p w14:paraId="3CF5A666">
      <w:pPr>
        <w:numPr>
          <w:ilvl w:val="0"/>
          <w:numId w:val="0"/>
        </w:numPr>
        <w:spacing w:line="324" w:lineRule="auto"/>
        <w:ind w:firstLine="480" w:firstLineChars="200"/>
        <w:jc w:val="both"/>
        <w:rPr>
          <w:rFonts w:cs="Arial"/>
          <w:color w:val="auto"/>
          <w:sz w:val="24"/>
          <w:szCs w:val="24"/>
          <w:highlight w:val="none"/>
        </w:rPr>
      </w:pPr>
      <w:r>
        <w:rPr>
          <w:rFonts w:hint="eastAsia" w:ascii="宋体" w:hAnsi="宋体" w:eastAsia="宋体" w:cs="Arial"/>
          <w:color w:val="auto"/>
          <w:kern w:val="2"/>
          <w:sz w:val="24"/>
          <w:szCs w:val="24"/>
          <w:highlight w:val="none"/>
          <w:lang w:val="en-US" w:eastAsia="zh-CN" w:bidi="ar-SA"/>
        </w:rPr>
        <w:t>6.</w:t>
      </w:r>
      <w:r>
        <w:rPr>
          <w:rFonts w:hint="eastAsia" w:cs="Arial"/>
          <w:color w:val="auto"/>
          <w:sz w:val="24"/>
          <w:szCs w:val="24"/>
          <w:highlight w:val="none"/>
        </w:rPr>
        <w:t>本项目如由中标人支付采购代理服务费，我方同意按投标人须知前附表中规定向采购代理机构支付采购代理服务费。</w:t>
      </w:r>
    </w:p>
    <w:p w14:paraId="6A150207">
      <w:pPr>
        <w:numPr>
          <w:ilvl w:val="0"/>
          <w:numId w:val="0"/>
        </w:numPr>
        <w:snapToGrid w:val="0"/>
        <w:spacing w:line="324" w:lineRule="auto"/>
        <w:ind w:firstLine="480" w:firstLineChars="200"/>
        <w:jc w:val="both"/>
        <w:rPr>
          <w:rFonts w:cs="Arial"/>
          <w:color w:val="auto"/>
          <w:sz w:val="24"/>
          <w:szCs w:val="24"/>
          <w:highlight w:val="none"/>
        </w:rPr>
      </w:pPr>
      <w:r>
        <w:rPr>
          <w:rFonts w:hint="eastAsia" w:ascii="宋体" w:hAnsi="宋体" w:eastAsia="宋体" w:cs="Arial"/>
          <w:color w:val="auto"/>
          <w:kern w:val="2"/>
          <w:sz w:val="24"/>
          <w:szCs w:val="24"/>
          <w:highlight w:val="none"/>
          <w:lang w:val="en-US" w:eastAsia="zh-CN" w:bidi="ar-SA"/>
        </w:rPr>
        <w:t>7.</w:t>
      </w:r>
      <w:r>
        <w:rPr>
          <w:rFonts w:hint="eastAsia" w:cs="Arial"/>
          <w:color w:val="auto"/>
          <w:sz w:val="24"/>
          <w:szCs w:val="24"/>
          <w:highlight w:val="none"/>
        </w:rPr>
        <w:t>重要声明：</w:t>
      </w:r>
    </w:p>
    <w:p w14:paraId="40AFB77A">
      <w:pPr>
        <w:snapToGrid w:val="0"/>
        <w:spacing w:line="324" w:lineRule="auto"/>
        <w:ind w:firstLine="480" w:firstLineChars="200"/>
        <w:rPr>
          <w:color w:val="auto"/>
          <w:sz w:val="24"/>
          <w:szCs w:val="24"/>
          <w:highlight w:val="none"/>
        </w:rPr>
      </w:pPr>
      <w:r>
        <w:rPr>
          <w:rFonts w:hint="eastAsia"/>
          <w:color w:val="auto"/>
          <w:sz w:val="24"/>
          <w:szCs w:val="24"/>
          <w:highlight w:val="none"/>
        </w:rPr>
        <w:t>1）与我方单位负责人为同一人的其他单位名称：</w:t>
      </w:r>
    </w:p>
    <w:p w14:paraId="409D2F71">
      <w:pPr>
        <w:snapToGrid w:val="0"/>
        <w:spacing w:line="324" w:lineRule="auto"/>
        <w:ind w:left="456" w:leftChars="190" w:firstLine="355" w:firstLineChars="148"/>
        <w:rPr>
          <w:i w:val="0"/>
          <w:iCs/>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rPr>
        <w:t>无；</w:t>
      </w:r>
      <w:r>
        <w:rPr>
          <w:rFonts w:hint="eastAsia"/>
          <w:color w:val="auto"/>
          <w:sz w:val="24"/>
          <w:szCs w:val="24"/>
          <w:highlight w:val="none"/>
          <w:lang w:eastAsia="zh-CN"/>
        </w:rPr>
        <w:t>□</w:t>
      </w:r>
      <w:r>
        <w:rPr>
          <w:rFonts w:hint="eastAsia"/>
          <w:color w:val="auto"/>
          <w:sz w:val="24"/>
          <w:szCs w:val="24"/>
          <w:highlight w:val="none"/>
        </w:rPr>
        <w:t>有，具体单位名称为：</w:t>
      </w:r>
      <w:r>
        <w:rPr>
          <w:rFonts w:hint="eastAsia" w:cs="Arial"/>
          <w:i w:val="0"/>
          <w:iCs/>
          <w:color w:val="auto"/>
          <w:sz w:val="24"/>
          <w:szCs w:val="24"/>
          <w:highlight w:val="none"/>
          <w:u w:val="single"/>
        </w:rPr>
        <w:t>（由投标人如实填写）</w:t>
      </w:r>
      <w:r>
        <w:rPr>
          <w:rFonts w:hint="eastAsia"/>
          <w:i w:val="0"/>
          <w:iCs/>
          <w:color w:val="auto"/>
          <w:sz w:val="24"/>
          <w:szCs w:val="24"/>
          <w:highlight w:val="none"/>
        </w:rPr>
        <w:t>。</w:t>
      </w:r>
    </w:p>
    <w:p w14:paraId="0B2F52C6">
      <w:pPr>
        <w:snapToGrid w:val="0"/>
        <w:spacing w:line="324" w:lineRule="auto"/>
        <w:ind w:firstLine="480" w:firstLineChars="200"/>
        <w:rPr>
          <w:i w:val="0"/>
          <w:iCs/>
          <w:color w:val="auto"/>
          <w:sz w:val="24"/>
          <w:szCs w:val="24"/>
          <w:highlight w:val="none"/>
        </w:rPr>
      </w:pPr>
      <w:r>
        <w:rPr>
          <w:rFonts w:hint="eastAsia"/>
          <w:i w:val="0"/>
          <w:iCs/>
          <w:color w:val="auto"/>
          <w:sz w:val="24"/>
          <w:szCs w:val="24"/>
          <w:highlight w:val="none"/>
        </w:rPr>
        <w:t>2）与我方存在控股、管理关系的其他单位的名称：</w:t>
      </w:r>
    </w:p>
    <w:p w14:paraId="3BE8BBB8">
      <w:pPr>
        <w:snapToGrid w:val="0"/>
        <w:spacing w:line="324" w:lineRule="auto"/>
        <w:ind w:left="456" w:leftChars="190" w:firstLine="355" w:firstLineChars="148"/>
        <w:rPr>
          <w:color w:val="auto"/>
          <w:sz w:val="24"/>
          <w:szCs w:val="24"/>
          <w:highlight w:val="none"/>
        </w:rPr>
      </w:pPr>
      <w:r>
        <w:rPr>
          <w:rFonts w:hint="eastAsia"/>
          <w:i w:val="0"/>
          <w:iCs/>
          <w:color w:val="auto"/>
          <w:sz w:val="24"/>
          <w:szCs w:val="24"/>
          <w:highlight w:val="none"/>
          <w:lang w:eastAsia="zh-CN"/>
        </w:rPr>
        <w:t>□</w:t>
      </w:r>
      <w:r>
        <w:rPr>
          <w:rFonts w:hint="eastAsia"/>
          <w:i w:val="0"/>
          <w:iCs/>
          <w:color w:val="auto"/>
          <w:sz w:val="24"/>
          <w:szCs w:val="24"/>
          <w:highlight w:val="none"/>
        </w:rPr>
        <w:t xml:space="preserve">无；□有，具体单位名称为： </w:t>
      </w:r>
      <w:r>
        <w:rPr>
          <w:rFonts w:hint="eastAsia" w:cs="Arial"/>
          <w:i w:val="0"/>
          <w:iCs/>
          <w:color w:val="auto"/>
          <w:sz w:val="24"/>
          <w:szCs w:val="24"/>
          <w:highlight w:val="none"/>
          <w:u w:val="single"/>
        </w:rPr>
        <w:t>（由投标人如实填写）</w:t>
      </w:r>
      <w:r>
        <w:rPr>
          <w:rFonts w:hint="eastAsia"/>
          <w:color w:val="auto"/>
          <w:sz w:val="24"/>
          <w:szCs w:val="24"/>
          <w:highlight w:val="none"/>
        </w:rPr>
        <w:t>。</w:t>
      </w:r>
    </w:p>
    <w:p w14:paraId="1103F8A2">
      <w:pPr>
        <w:snapToGrid w:val="0"/>
        <w:spacing w:line="324" w:lineRule="auto"/>
        <w:ind w:firstLine="480" w:firstLineChars="200"/>
        <w:rPr>
          <w:color w:val="auto"/>
          <w:sz w:val="24"/>
          <w:szCs w:val="24"/>
          <w:highlight w:val="none"/>
        </w:rPr>
      </w:pPr>
      <w:r>
        <w:rPr>
          <w:rFonts w:hint="eastAsia"/>
          <w:color w:val="auto"/>
          <w:sz w:val="24"/>
          <w:szCs w:val="24"/>
          <w:highlight w:val="none"/>
        </w:rPr>
        <w:t>3）参与本项目采购活动前，是否为本项目前期准备提供过整体设计、规范编制或者项目管理、监理、检测等服务：</w:t>
      </w:r>
    </w:p>
    <w:p w14:paraId="73BE978C">
      <w:pPr>
        <w:snapToGrid w:val="0"/>
        <w:spacing w:line="324" w:lineRule="auto"/>
        <w:ind w:left="456" w:leftChars="190" w:firstLine="355" w:firstLineChars="148"/>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rPr>
        <w:t>无；□有，已提供的具体服务内容为：</w:t>
      </w:r>
      <w:r>
        <w:rPr>
          <w:rFonts w:hint="eastAsia"/>
          <w:i w:val="0"/>
          <w:iCs w:val="0"/>
          <w:color w:val="auto"/>
          <w:sz w:val="24"/>
          <w:szCs w:val="24"/>
          <w:highlight w:val="none"/>
        </w:rPr>
        <w:t xml:space="preserve"> </w:t>
      </w:r>
      <w:r>
        <w:rPr>
          <w:rFonts w:hint="eastAsia" w:cs="Arial"/>
          <w:i w:val="0"/>
          <w:iCs w:val="0"/>
          <w:color w:val="auto"/>
          <w:sz w:val="24"/>
          <w:szCs w:val="24"/>
          <w:highlight w:val="none"/>
          <w:u w:val="single"/>
        </w:rPr>
        <w:t>（由投标人如实填写）</w:t>
      </w:r>
      <w:r>
        <w:rPr>
          <w:rFonts w:hint="eastAsia"/>
          <w:color w:val="auto"/>
          <w:sz w:val="24"/>
          <w:szCs w:val="24"/>
          <w:highlight w:val="none"/>
        </w:rPr>
        <w:t>。</w:t>
      </w:r>
    </w:p>
    <w:p w14:paraId="4FC84088">
      <w:pPr>
        <w:spacing w:line="324" w:lineRule="auto"/>
        <w:ind w:firstLine="480" w:firstLineChars="200"/>
        <w:rPr>
          <w:color w:val="auto"/>
          <w:sz w:val="24"/>
          <w:szCs w:val="24"/>
          <w:highlight w:val="none"/>
        </w:rPr>
      </w:pPr>
      <w:r>
        <w:rPr>
          <w:rFonts w:hint="eastAsia"/>
          <w:color w:val="auto"/>
          <w:sz w:val="24"/>
          <w:szCs w:val="24"/>
          <w:highlight w:val="none"/>
        </w:rPr>
        <w:t>（备注：以上</w:t>
      </w:r>
      <w:r>
        <w:rPr>
          <w:color w:val="auto"/>
          <w:sz w:val="24"/>
          <w:szCs w:val="24"/>
          <w:highlight w:val="none"/>
        </w:rPr>
        <w:t>3</w:t>
      </w:r>
      <w:r>
        <w:rPr>
          <w:rFonts w:hint="eastAsia"/>
          <w:color w:val="auto"/>
          <w:sz w:val="24"/>
          <w:szCs w:val="24"/>
          <w:highlight w:val="none"/>
        </w:rPr>
        <w:t>项声明，必须如实选择，选中项用</w:t>
      </w:r>
      <w:r>
        <w:rPr>
          <w:rFonts w:hint="eastAsia"/>
          <w:color w:val="auto"/>
          <w:sz w:val="24"/>
          <w:szCs w:val="24"/>
          <w:highlight w:val="none"/>
          <w:lang w:eastAsia="zh-CN"/>
        </w:rPr>
        <w:t>☑</w:t>
      </w:r>
      <w:r>
        <w:rPr>
          <w:rFonts w:hint="eastAsia"/>
          <w:color w:val="auto"/>
          <w:sz w:val="24"/>
          <w:szCs w:val="24"/>
          <w:highlight w:val="none"/>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19A44DC4">
      <w:pPr>
        <w:snapToGrid w:val="0"/>
        <w:spacing w:line="324" w:lineRule="auto"/>
        <w:ind w:firstLine="480" w:firstLineChars="200"/>
        <w:rPr>
          <w:color w:val="auto"/>
          <w:sz w:val="24"/>
          <w:szCs w:val="24"/>
          <w:highlight w:val="none"/>
        </w:rPr>
      </w:pPr>
      <w:r>
        <w:rPr>
          <w:rFonts w:hint="eastAsia"/>
          <w:color w:val="auto"/>
          <w:sz w:val="24"/>
          <w:szCs w:val="24"/>
          <w:highlight w:val="none"/>
        </w:rPr>
        <w:t>4）我方在本投标文件中所提供的全部资料均真实有效，我方承诺对其真实性负责并承担相应后果。</w:t>
      </w:r>
    </w:p>
    <w:p w14:paraId="5FB2607B">
      <w:pPr>
        <w:snapToGrid w:val="0"/>
        <w:spacing w:line="324" w:lineRule="auto"/>
        <w:ind w:firstLine="480" w:firstLineChars="200"/>
        <w:rPr>
          <w:color w:val="auto"/>
          <w:sz w:val="24"/>
          <w:szCs w:val="24"/>
          <w:highlight w:val="none"/>
        </w:rPr>
      </w:pPr>
      <w:r>
        <w:rPr>
          <w:rFonts w:hint="eastAsia"/>
          <w:color w:val="auto"/>
          <w:sz w:val="24"/>
          <w:szCs w:val="24"/>
          <w:highlight w:val="none"/>
        </w:rPr>
        <w:t>5）</w:t>
      </w:r>
      <w:bookmarkStart w:id="414" w:name="_Hlk161604053"/>
      <w:r>
        <w:rPr>
          <w:rFonts w:hint="eastAsia"/>
          <w:color w:val="auto"/>
          <w:sz w:val="24"/>
          <w:szCs w:val="24"/>
          <w:highlight w:val="none"/>
        </w:rPr>
        <w:t>我方承诺本《投标函》的签章对本投标文件全部内容具有约束力并承担法律责任。</w:t>
      </w:r>
      <w:bookmarkEnd w:id="414"/>
    </w:p>
    <w:p w14:paraId="2A195747">
      <w:pPr>
        <w:spacing w:line="300" w:lineRule="auto"/>
        <w:rPr>
          <w:rFonts w:cs="Arial"/>
          <w:color w:val="auto"/>
          <w:sz w:val="24"/>
          <w:szCs w:val="24"/>
          <w:highlight w:val="none"/>
        </w:rPr>
      </w:pPr>
    </w:p>
    <w:p w14:paraId="3F664789">
      <w:pPr>
        <w:spacing w:line="300" w:lineRule="auto"/>
        <w:rPr>
          <w:rFonts w:cs="Arial"/>
          <w:color w:val="auto"/>
          <w:sz w:val="24"/>
          <w:szCs w:val="24"/>
          <w:highlight w:val="none"/>
        </w:rPr>
      </w:pPr>
    </w:p>
    <w:p w14:paraId="6C365FF0">
      <w:pPr>
        <w:spacing w:line="300" w:lineRule="auto"/>
        <w:rPr>
          <w:rFonts w:cs="Arial"/>
          <w:color w:val="auto"/>
          <w:sz w:val="24"/>
          <w:szCs w:val="24"/>
          <w:highlight w:val="none"/>
        </w:rPr>
      </w:pPr>
    </w:p>
    <w:p w14:paraId="448666AB">
      <w:pPr>
        <w:autoSpaceDE w:val="0"/>
        <w:autoSpaceDN w:val="0"/>
        <w:adjustRightInd w:val="0"/>
        <w:snapToGrid w:val="0"/>
        <w:ind w:firstLine="480" w:firstLineChars="200"/>
        <w:rPr>
          <w:rFonts w:hint="eastAsia" w:ascii="宋体" w:hAnsi="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bidi="ar"/>
        </w:rPr>
        <w:t>投标人名称</w:t>
      </w:r>
      <w:r>
        <w:rPr>
          <w:rFonts w:hint="eastAsia" w:cs="仿宋_GB2312"/>
          <w:color w:val="auto"/>
          <w:sz w:val="24"/>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szCs w:val="24"/>
          <w:highlight w:val="none"/>
          <w:lang w:val="zh-CN"/>
        </w:rPr>
        <w:t>)：</w:t>
      </w:r>
    </w:p>
    <w:p w14:paraId="1186FA25">
      <w:pPr>
        <w:autoSpaceDE w:val="0"/>
        <w:autoSpaceDN w:val="0"/>
        <w:adjustRightInd w:val="0"/>
        <w:snapToGrid w:val="0"/>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法定代表人或授权代表（签字或印章）：</w:t>
      </w:r>
    </w:p>
    <w:p w14:paraId="4CCC9D16">
      <w:pPr>
        <w:autoSpaceDE w:val="0"/>
        <w:autoSpaceDN w:val="0"/>
        <w:adjustRightInd w:val="0"/>
        <w:snapToGrid w:val="0"/>
        <w:ind w:firstLine="480" w:firstLineChars="200"/>
        <w:rPr>
          <w:rFonts w:cs="宋体"/>
          <w:color w:val="auto"/>
          <w:sz w:val="24"/>
          <w:szCs w:val="24"/>
          <w:highlight w:val="none"/>
        </w:rPr>
      </w:pPr>
      <w:r>
        <w:rPr>
          <w:rFonts w:hint="eastAsia" w:cs="宋体"/>
          <w:color w:val="auto"/>
          <w:sz w:val="24"/>
          <w:szCs w:val="24"/>
          <w:highlight w:val="none"/>
        </w:rPr>
        <w:t>通  讯  地  址：</w:t>
      </w:r>
    </w:p>
    <w:p w14:paraId="268281DA">
      <w:pPr>
        <w:autoSpaceDE w:val="0"/>
        <w:autoSpaceDN w:val="0"/>
        <w:adjustRightInd w:val="0"/>
        <w:snapToGrid w:val="0"/>
        <w:ind w:firstLine="480" w:firstLineChars="200"/>
        <w:rPr>
          <w:rFonts w:cs="宋体"/>
          <w:color w:val="auto"/>
          <w:sz w:val="24"/>
          <w:szCs w:val="24"/>
          <w:highlight w:val="none"/>
        </w:rPr>
      </w:pPr>
      <w:r>
        <w:rPr>
          <w:rFonts w:hint="eastAsia" w:cs="宋体"/>
          <w:color w:val="auto"/>
          <w:sz w:val="24"/>
          <w:szCs w:val="24"/>
          <w:highlight w:val="none"/>
        </w:rPr>
        <w:t xml:space="preserve">传       </w:t>
      </w:r>
      <w:r>
        <w:rPr>
          <w:rFonts w:cs="宋体"/>
          <w:color w:val="auto"/>
          <w:sz w:val="24"/>
          <w:szCs w:val="24"/>
          <w:highlight w:val="none"/>
        </w:rPr>
        <w:t xml:space="preserve">   </w:t>
      </w:r>
      <w:r>
        <w:rPr>
          <w:rFonts w:hint="eastAsia" w:cs="宋体"/>
          <w:color w:val="auto"/>
          <w:sz w:val="24"/>
          <w:szCs w:val="24"/>
          <w:highlight w:val="none"/>
        </w:rPr>
        <w:t>真：</w:t>
      </w:r>
    </w:p>
    <w:p w14:paraId="0A396883">
      <w:pPr>
        <w:autoSpaceDE w:val="0"/>
        <w:autoSpaceDN w:val="0"/>
        <w:adjustRightInd w:val="0"/>
        <w:snapToGrid w:val="0"/>
        <w:ind w:firstLine="480" w:firstLineChars="200"/>
        <w:rPr>
          <w:rFonts w:cs="宋体"/>
          <w:color w:val="auto"/>
          <w:sz w:val="24"/>
          <w:szCs w:val="24"/>
          <w:highlight w:val="none"/>
        </w:rPr>
      </w:pPr>
      <w:r>
        <w:rPr>
          <w:rFonts w:hint="eastAsia" w:cs="宋体"/>
          <w:color w:val="auto"/>
          <w:sz w:val="24"/>
          <w:szCs w:val="24"/>
          <w:highlight w:val="none"/>
        </w:rPr>
        <w:t>电          话：</w:t>
      </w:r>
    </w:p>
    <w:p w14:paraId="63C92097">
      <w:pPr>
        <w:ind w:firstLine="480" w:firstLineChars="200"/>
        <w:rPr>
          <w:rFonts w:cs="Arial"/>
          <w:color w:val="auto"/>
          <w:sz w:val="24"/>
          <w:szCs w:val="24"/>
          <w:highlight w:val="none"/>
        </w:rPr>
      </w:pPr>
      <w:r>
        <w:rPr>
          <w:rFonts w:hint="eastAsia" w:cs="宋体"/>
          <w:color w:val="auto"/>
          <w:sz w:val="24"/>
          <w:szCs w:val="24"/>
          <w:highlight w:val="none"/>
        </w:rPr>
        <w:t xml:space="preserve">日     </w:t>
      </w:r>
      <w:r>
        <w:rPr>
          <w:rFonts w:cs="宋体"/>
          <w:color w:val="auto"/>
          <w:sz w:val="24"/>
          <w:szCs w:val="24"/>
          <w:highlight w:val="none"/>
        </w:rPr>
        <w:t xml:space="preserve">  </w:t>
      </w:r>
      <w:r>
        <w:rPr>
          <w:rFonts w:hint="eastAsia" w:cs="宋体"/>
          <w:color w:val="auto"/>
          <w:sz w:val="24"/>
          <w:szCs w:val="24"/>
          <w:highlight w:val="none"/>
        </w:rPr>
        <w:t xml:space="preserve">    期：</w:t>
      </w:r>
    </w:p>
    <w:p w14:paraId="6674502E">
      <w:pPr>
        <w:rPr>
          <w:rFonts w:cs="Arial"/>
          <w:color w:val="auto"/>
          <w:sz w:val="24"/>
          <w:szCs w:val="24"/>
          <w:highlight w:val="none"/>
          <w:u w:val="single"/>
        </w:rPr>
      </w:pPr>
    </w:p>
    <w:p w14:paraId="478BFBB8">
      <w:pPr>
        <w:rPr>
          <w:rFonts w:cs="Arial"/>
          <w:color w:val="auto"/>
          <w:szCs w:val="24"/>
          <w:highlight w:val="none"/>
          <w:u w:val="single"/>
        </w:rPr>
      </w:pPr>
      <w:r>
        <w:rPr>
          <w:rFonts w:cs="Arial"/>
          <w:color w:val="auto"/>
          <w:szCs w:val="24"/>
          <w:highlight w:val="none"/>
          <w:u w:val="single"/>
        </w:rPr>
        <w:br w:type="page"/>
      </w:r>
    </w:p>
    <w:p w14:paraId="24B4BD65">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415" w:name="_Toc155185924"/>
      <w:bookmarkStart w:id="416" w:name="_Toc163492918"/>
      <w:bookmarkStart w:id="417" w:name="_Toc3844"/>
      <w:r>
        <w:rPr>
          <w:rFonts w:hint="eastAsia" w:cstheme="majorBidi"/>
          <w:b/>
          <w:bCs/>
          <w:color w:val="auto"/>
          <w:kern w:val="2"/>
          <w:sz w:val="32"/>
          <w:szCs w:val="32"/>
          <w:highlight w:val="none"/>
          <w:lang w:val="en-US" w:eastAsia="zh-CN" w:bidi="ar-SA"/>
        </w:rPr>
        <w:t>二</w:t>
      </w:r>
      <w:r>
        <w:rPr>
          <w:rFonts w:hint="eastAsia" w:eastAsia="宋体" w:asciiTheme="majorHAnsi" w:hAnsiTheme="majorHAnsi" w:cstheme="majorBidi"/>
          <w:b/>
          <w:bCs/>
          <w:color w:val="auto"/>
          <w:kern w:val="2"/>
          <w:sz w:val="32"/>
          <w:szCs w:val="32"/>
          <w:highlight w:val="none"/>
          <w:lang w:val="en-US" w:eastAsia="zh-CN" w:bidi="ar-SA"/>
        </w:rPr>
        <w:t>、法定代表人（单位负责人）身份证明</w:t>
      </w:r>
      <w:bookmarkEnd w:id="415"/>
      <w:bookmarkEnd w:id="416"/>
      <w:bookmarkEnd w:id="417"/>
    </w:p>
    <w:p w14:paraId="46CF1AA3">
      <w:pPr>
        <w:spacing w:line="480" w:lineRule="auto"/>
        <w:ind w:firstLine="480" w:firstLineChars="200"/>
        <w:rPr>
          <w:rFonts w:hint="eastAsia" w:cs="仿宋_GB2312"/>
          <w:color w:val="auto"/>
          <w:sz w:val="24"/>
          <w:szCs w:val="24"/>
          <w:highlight w:val="none"/>
        </w:rPr>
      </w:pPr>
      <w:r>
        <w:rPr>
          <w:rFonts w:hint="eastAsia" w:cs="仿宋_GB2312"/>
          <w:color w:val="auto"/>
          <w:sz w:val="24"/>
          <w:szCs w:val="24"/>
          <w:highlight w:val="none"/>
          <w:lang w:val="en-US" w:eastAsia="zh-CN"/>
        </w:rPr>
        <w:t xml:space="preserve">致：（采购人或采购代理机构） </w:t>
      </w:r>
    </w:p>
    <w:p w14:paraId="3DE52D6F">
      <w:pPr>
        <w:spacing w:line="480" w:lineRule="auto"/>
        <w:ind w:firstLine="960" w:firstLineChars="400"/>
        <w:rPr>
          <w:rFonts w:hint="eastAsia" w:cs="仿宋_GB2312"/>
          <w:color w:val="auto"/>
          <w:sz w:val="24"/>
          <w:szCs w:val="24"/>
          <w:highlight w:val="none"/>
        </w:rPr>
      </w:pPr>
      <w:r>
        <w:rPr>
          <w:rFonts w:hint="eastAsia" w:cs="仿宋_GB2312"/>
          <w:color w:val="auto"/>
          <w:sz w:val="24"/>
          <w:szCs w:val="24"/>
          <w:highlight w:val="none"/>
          <w:lang w:val="en-US" w:eastAsia="zh-CN"/>
        </w:rPr>
        <w:t xml:space="preserve">兹证明， </w:t>
      </w:r>
    </w:p>
    <w:p w14:paraId="1D36B9E0">
      <w:pPr>
        <w:spacing w:line="480" w:lineRule="auto"/>
        <w:ind w:firstLine="480" w:firstLineChars="200"/>
        <w:rPr>
          <w:rFonts w:hint="eastAsia" w:cs="仿宋_GB2312"/>
          <w:color w:val="auto"/>
          <w:sz w:val="24"/>
          <w:szCs w:val="24"/>
          <w:highlight w:val="none"/>
        </w:rPr>
      </w:pPr>
      <w:r>
        <w:rPr>
          <w:rFonts w:hint="eastAsia" w:cs="仿宋_GB2312"/>
          <w:color w:val="auto"/>
          <w:sz w:val="24"/>
          <w:szCs w:val="24"/>
          <w:highlight w:val="none"/>
          <w:lang w:val="en-US" w:eastAsia="zh-CN"/>
        </w:rPr>
        <w:t xml:space="preserve">姓名：____性别：____年龄：____职务：____ </w:t>
      </w:r>
    </w:p>
    <w:p w14:paraId="38746EB6">
      <w:pPr>
        <w:spacing w:line="480" w:lineRule="auto"/>
        <w:ind w:firstLine="480" w:firstLineChars="200"/>
        <w:rPr>
          <w:rFonts w:hint="eastAsia" w:cs="仿宋_GB2312"/>
          <w:color w:val="auto"/>
          <w:sz w:val="24"/>
          <w:szCs w:val="24"/>
          <w:highlight w:val="none"/>
        </w:rPr>
      </w:pPr>
      <w:r>
        <w:rPr>
          <w:rFonts w:hint="eastAsia" w:cs="仿宋_GB2312"/>
          <w:color w:val="auto"/>
          <w:sz w:val="24"/>
          <w:szCs w:val="24"/>
          <w:highlight w:val="none"/>
          <w:lang w:val="en-US" w:eastAsia="zh-CN"/>
        </w:rPr>
        <w:t xml:space="preserve">系 </w:t>
      </w:r>
      <w:r>
        <w:rPr>
          <w:rFonts w:hint="eastAsia" w:cs="仿宋_GB2312"/>
          <w:color w:val="auto"/>
          <w:sz w:val="24"/>
          <w:szCs w:val="24"/>
          <w:highlight w:val="none"/>
          <w:u w:val="single"/>
          <w:lang w:val="en-US" w:eastAsia="zh-CN"/>
        </w:rPr>
        <w:t xml:space="preserve">            </w:t>
      </w:r>
      <w:r>
        <w:rPr>
          <w:rFonts w:hint="eastAsia" w:cs="仿宋_GB2312"/>
          <w:color w:val="auto"/>
          <w:sz w:val="24"/>
          <w:szCs w:val="24"/>
          <w:highlight w:val="none"/>
          <w:lang w:val="en-US" w:eastAsia="zh-CN"/>
        </w:rPr>
        <w:t xml:space="preserve">（投标人名称）的法定代表人（单位负责人）。 </w:t>
      </w:r>
    </w:p>
    <w:p w14:paraId="3B002BC6">
      <w:pPr>
        <w:spacing w:line="480" w:lineRule="auto"/>
        <w:ind w:firstLine="480" w:firstLineChars="200"/>
        <w:rPr>
          <w:rFonts w:hint="eastAsia" w:cs="仿宋_GB2312"/>
          <w:color w:val="auto"/>
          <w:sz w:val="24"/>
          <w:szCs w:val="24"/>
          <w:highlight w:val="none"/>
        </w:rPr>
      </w:pPr>
      <w:r>
        <w:rPr>
          <w:rFonts w:hint="eastAsia" w:cs="仿宋_GB2312"/>
          <w:color w:val="auto"/>
          <w:sz w:val="24"/>
          <w:szCs w:val="24"/>
          <w:highlight w:val="none"/>
          <w:lang w:val="en-US" w:eastAsia="zh-CN"/>
        </w:rPr>
        <w:t xml:space="preserve">附：法定代表人（单位负责人）身份证、护照等身份证明文件电子件： </w:t>
      </w:r>
    </w:p>
    <w:p w14:paraId="60A8C36F">
      <w:pPr>
        <w:spacing w:line="480" w:lineRule="auto"/>
        <w:ind w:firstLine="480" w:firstLineChars="200"/>
        <w:rPr>
          <w:rFonts w:cs="仿宋_GB2312"/>
          <w:color w:val="auto"/>
          <w:sz w:val="24"/>
          <w:szCs w:val="24"/>
          <w:highlight w:val="none"/>
        </w:rPr>
      </w:pPr>
    </w:p>
    <w:p w14:paraId="473563CD">
      <w:pPr>
        <w:rPr>
          <w:rFonts w:cs="Arial"/>
          <w:color w:val="auto"/>
          <w:sz w:val="24"/>
          <w:szCs w:val="24"/>
          <w:highlight w:val="none"/>
        </w:rPr>
      </w:pPr>
    </w:p>
    <w:tbl>
      <w:tblPr>
        <w:tblStyle w:val="30"/>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2D4F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4B7B7E19">
            <w:pPr>
              <w:rPr>
                <w:rFonts w:cs="Arial"/>
                <w:color w:val="auto"/>
                <w:sz w:val="24"/>
                <w:szCs w:val="24"/>
                <w:highlight w:val="none"/>
              </w:rPr>
            </w:pPr>
          </w:p>
        </w:tc>
      </w:tr>
    </w:tbl>
    <w:p w14:paraId="76B5C725">
      <w:pPr>
        <w:ind w:firstLine="840" w:firstLineChars="350"/>
        <w:jc w:val="center"/>
        <w:rPr>
          <w:rFonts w:cs="Arial"/>
          <w:color w:val="auto"/>
          <w:sz w:val="24"/>
          <w:szCs w:val="24"/>
          <w:highlight w:val="none"/>
        </w:rPr>
      </w:pPr>
    </w:p>
    <w:p w14:paraId="4AD74708">
      <w:pPr>
        <w:keepNext w:val="0"/>
        <w:keepLines w:val="0"/>
        <w:widowControl/>
        <w:suppressLineNumbers w:val="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投标人名称</w:t>
      </w:r>
      <w:r>
        <w:rPr>
          <w:rFonts w:hint="eastAsia" w:cs="仿宋_GB2312"/>
          <w:color w:val="auto"/>
          <w:sz w:val="24"/>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en-US" w:eastAsia="zh-CN" w:bidi="ar"/>
        </w:rPr>
        <w:t>：</w:t>
      </w:r>
      <w:r>
        <w:rPr>
          <w:rFonts w:ascii="DejaVuSans" w:hAnsi="DejaVuSans" w:eastAsia="DejaVuSans" w:cs="DejaVuSans"/>
          <w:color w:val="auto"/>
          <w:kern w:val="0"/>
          <w:sz w:val="24"/>
          <w:szCs w:val="24"/>
          <w:highlight w:val="none"/>
          <w:lang w:val="en-US" w:eastAsia="zh-CN" w:bidi="ar"/>
        </w:rPr>
        <w:t xml:space="preserve">________________ </w:t>
      </w:r>
    </w:p>
    <w:p w14:paraId="364A1245">
      <w:pPr>
        <w:keepNext w:val="0"/>
        <w:keepLines w:val="0"/>
        <w:widowControl/>
        <w:suppressLineNumbers w:val="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法定代表人（单位负责人）（签字或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lang w:val="en-US" w:eastAsia="zh-CN" w:bidi="ar"/>
        </w:rPr>
        <w:t>）：</w:t>
      </w:r>
      <w:r>
        <w:rPr>
          <w:rFonts w:hint="default" w:ascii="DejaVuSans" w:hAnsi="DejaVuSans" w:eastAsia="DejaVuSans" w:cs="DejaVuSans"/>
          <w:color w:val="auto"/>
          <w:kern w:val="0"/>
          <w:sz w:val="24"/>
          <w:szCs w:val="24"/>
          <w:highlight w:val="none"/>
          <w:lang w:val="en-US" w:eastAsia="zh-CN" w:bidi="ar"/>
        </w:rPr>
        <w:t xml:space="preserve">_______ </w:t>
      </w:r>
    </w:p>
    <w:p w14:paraId="10B3C29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7239FE13">
      <w:pPr>
        <w:keepNext w:val="0"/>
        <w:keepLines w:val="0"/>
        <w:widowControl/>
        <w:suppressLineNumbers w:val="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日期：</w:t>
      </w:r>
      <w:r>
        <w:rPr>
          <w:rFonts w:hint="default" w:ascii="DejaVuSans" w:hAnsi="DejaVuSans" w:eastAsia="DejaVuSans" w:cs="DejaVuSans"/>
          <w:color w:val="auto"/>
          <w:kern w:val="0"/>
          <w:sz w:val="24"/>
          <w:szCs w:val="24"/>
          <w:highlight w:val="none"/>
          <w:lang w:val="en-US" w:eastAsia="zh-CN" w:bidi="ar"/>
        </w:rPr>
        <w:t>_____</w:t>
      </w:r>
      <w:r>
        <w:rPr>
          <w:rFonts w:hint="eastAsia" w:ascii="宋体" w:hAnsi="宋体" w:eastAsia="宋体" w:cs="宋体"/>
          <w:color w:val="auto"/>
          <w:kern w:val="0"/>
          <w:sz w:val="24"/>
          <w:szCs w:val="24"/>
          <w:highlight w:val="none"/>
          <w:lang w:val="en-US" w:eastAsia="zh-CN" w:bidi="ar"/>
        </w:rPr>
        <w:t>年</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月</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日</w:t>
      </w:r>
    </w:p>
    <w:p w14:paraId="6948CD78">
      <w:pPr>
        <w:rPr>
          <w:b/>
          <w:color w:val="auto"/>
          <w:sz w:val="28"/>
          <w:szCs w:val="28"/>
          <w:highlight w:val="none"/>
        </w:rPr>
      </w:pPr>
    </w:p>
    <w:p w14:paraId="04FDD702">
      <w:pPr>
        <w:rPr>
          <w:b/>
          <w:color w:val="auto"/>
          <w:sz w:val="28"/>
          <w:szCs w:val="28"/>
          <w:highlight w:val="none"/>
        </w:rPr>
      </w:pPr>
      <w:r>
        <w:rPr>
          <w:b/>
          <w:color w:val="auto"/>
          <w:sz w:val="28"/>
          <w:szCs w:val="28"/>
          <w:highlight w:val="none"/>
        </w:rPr>
        <w:br w:type="page"/>
      </w:r>
    </w:p>
    <w:p w14:paraId="0EEE8A23">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418" w:name="_Toc163492919"/>
      <w:bookmarkStart w:id="419" w:name="_Toc155185925"/>
      <w:bookmarkStart w:id="420" w:name="_Toc25259"/>
      <w:r>
        <w:rPr>
          <w:rFonts w:hint="eastAsia" w:cstheme="majorBidi"/>
          <w:b/>
          <w:bCs/>
          <w:color w:val="auto"/>
          <w:kern w:val="2"/>
          <w:sz w:val="32"/>
          <w:szCs w:val="32"/>
          <w:highlight w:val="none"/>
          <w:lang w:val="en-US" w:eastAsia="zh-CN" w:bidi="ar-SA"/>
        </w:rPr>
        <w:t>三</w:t>
      </w:r>
      <w:r>
        <w:rPr>
          <w:rFonts w:hint="eastAsia" w:eastAsia="宋体" w:asciiTheme="majorHAnsi" w:hAnsiTheme="majorHAnsi" w:cstheme="majorBidi"/>
          <w:b/>
          <w:bCs/>
          <w:color w:val="auto"/>
          <w:kern w:val="2"/>
          <w:sz w:val="32"/>
          <w:szCs w:val="32"/>
          <w:highlight w:val="none"/>
          <w:lang w:val="en-US" w:eastAsia="zh-CN" w:bidi="ar-SA"/>
        </w:rPr>
        <w:t>、授权委托书</w:t>
      </w:r>
      <w:bookmarkEnd w:id="418"/>
      <w:bookmarkEnd w:id="419"/>
      <w:bookmarkEnd w:id="420"/>
    </w:p>
    <w:p w14:paraId="593F068D">
      <w:pPr>
        <w:ind w:firstLine="480" w:firstLineChars="200"/>
        <w:rPr>
          <w:rFonts w:cs="仿宋_GB2312"/>
          <w:color w:val="auto"/>
          <w:sz w:val="24"/>
          <w:szCs w:val="24"/>
          <w:highlight w:val="none"/>
        </w:rPr>
      </w:pPr>
      <w:r>
        <w:rPr>
          <w:rFonts w:hint="eastAsia" w:cs="仿宋_GB2312"/>
          <w:color w:val="auto"/>
          <w:sz w:val="24"/>
          <w:szCs w:val="24"/>
          <w:highlight w:val="none"/>
        </w:rPr>
        <w:t>本人</w:t>
      </w:r>
      <w:r>
        <w:rPr>
          <w:rFonts w:cs="仿宋_GB2312"/>
          <w:color w:val="auto"/>
          <w:sz w:val="24"/>
          <w:szCs w:val="24"/>
          <w:highlight w:val="none"/>
          <w:u w:val="single"/>
        </w:rPr>
        <w:t xml:space="preserve">     </w:t>
      </w:r>
      <w:r>
        <w:rPr>
          <w:rFonts w:hint="eastAsia" w:cs="仿宋_GB2312"/>
          <w:color w:val="auto"/>
          <w:sz w:val="24"/>
          <w:szCs w:val="24"/>
          <w:highlight w:val="none"/>
          <w:u w:val="none"/>
        </w:rPr>
        <w:t>（姓名）</w:t>
      </w:r>
      <w:r>
        <w:rPr>
          <w:rFonts w:hint="eastAsia" w:cs="仿宋_GB2312"/>
          <w:color w:val="auto"/>
          <w:sz w:val="24"/>
          <w:szCs w:val="24"/>
          <w:highlight w:val="none"/>
        </w:rPr>
        <w:t>系</w:t>
      </w:r>
      <w:r>
        <w:rPr>
          <w:rFonts w:hint="eastAsia" w:cs="仿宋_GB2312"/>
          <w:color w:val="auto"/>
          <w:sz w:val="24"/>
          <w:szCs w:val="24"/>
          <w:highlight w:val="none"/>
          <w:u w:val="single"/>
        </w:rPr>
        <w:t xml:space="preserve">   </w:t>
      </w:r>
      <w:r>
        <w:rPr>
          <w:rFonts w:hint="eastAsia" w:cs="仿宋_GB2312"/>
          <w:color w:val="auto"/>
          <w:sz w:val="24"/>
          <w:szCs w:val="24"/>
          <w:highlight w:val="none"/>
          <w:u w:val="single"/>
          <w:lang w:val="en-US" w:eastAsia="zh-CN"/>
        </w:rPr>
        <w:t xml:space="preserve">     </w:t>
      </w:r>
      <w:r>
        <w:rPr>
          <w:rFonts w:hint="eastAsia" w:cs="仿宋_GB2312"/>
          <w:color w:val="auto"/>
          <w:sz w:val="24"/>
          <w:szCs w:val="24"/>
          <w:highlight w:val="none"/>
          <w:u w:val="single"/>
        </w:rPr>
        <w:t xml:space="preserve">  </w:t>
      </w:r>
      <w:r>
        <w:rPr>
          <w:rFonts w:hint="eastAsia" w:cs="仿宋_GB2312"/>
          <w:color w:val="auto"/>
          <w:sz w:val="24"/>
          <w:szCs w:val="24"/>
          <w:highlight w:val="none"/>
          <w:u w:val="none"/>
        </w:rPr>
        <w:t>（投标人名称）</w:t>
      </w:r>
      <w:r>
        <w:rPr>
          <w:rFonts w:hint="eastAsia" w:cs="仿宋_GB2312"/>
          <w:color w:val="auto"/>
          <w:sz w:val="24"/>
          <w:szCs w:val="24"/>
          <w:highlight w:val="none"/>
        </w:rPr>
        <w:t>的法定代表人</w:t>
      </w:r>
      <w:r>
        <w:rPr>
          <w:rFonts w:hint="eastAsia"/>
          <w:color w:val="auto"/>
          <w:sz w:val="24"/>
          <w:szCs w:val="24"/>
          <w:highlight w:val="none"/>
        </w:rPr>
        <w:t>（</w:t>
      </w:r>
      <w:r>
        <w:rPr>
          <w:rFonts w:hint="eastAsia"/>
          <w:color w:val="auto"/>
          <w:sz w:val="24"/>
          <w:szCs w:val="24"/>
          <w:highlight w:val="none"/>
          <w:lang w:val="en-US" w:eastAsia="zh-CN"/>
        </w:rPr>
        <w:t>单位</w:t>
      </w:r>
      <w:r>
        <w:rPr>
          <w:rFonts w:hint="eastAsia"/>
          <w:color w:val="auto"/>
          <w:sz w:val="24"/>
          <w:szCs w:val="24"/>
          <w:highlight w:val="none"/>
        </w:rPr>
        <w:t>负责人）</w:t>
      </w:r>
      <w:r>
        <w:rPr>
          <w:rFonts w:hint="eastAsia" w:cs="仿宋_GB2312"/>
          <w:color w:val="auto"/>
          <w:sz w:val="24"/>
          <w:szCs w:val="24"/>
          <w:highlight w:val="none"/>
        </w:rPr>
        <w:t>，现委托</w:t>
      </w:r>
      <w:r>
        <w:rPr>
          <w:rFonts w:hint="eastAsia" w:cs="仿宋_GB2312"/>
          <w:color w:val="auto"/>
          <w:sz w:val="24"/>
          <w:szCs w:val="24"/>
          <w:highlight w:val="none"/>
          <w:u w:val="single"/>
        </w:rPr>
        <w:t xml:space="preserve">     </w:t>
      </w:r>
      <w:r>
        <w:rPr>
          <w:rFonts w:hint="eastAsia" w:cs="仿宋_GB2312"/>
          <w:color w:val="auto"/>
          <w:sz w:val="24"/>
          <w:szCs w:val="24"/>
          <w:highlight w:val="none"/>
        </w:rPr>
        <w:t>（姓名）为我方代理人。代理人根据授权，以我方名义签署、澄清</w:t>
      </w:r>
      <w:r>
        <w:rPr>
          <w:rFonts w:hint="eastAsia" w:cs="仿宋_GB2312"/>
          <w:color w:val="auto"/>
          <w:sz w:val="24"/>
          <w:szCs w:val="24"/>
          <w:highlight w:val="none"/>
          <w:lang w:val="en-US" w:eastAsia="zh-CN"/>
        </w:rPr>
        <w:t>确认</w:t>
      </w:r>
      <w:r>
        <w:rPr>
          <w:rFonts w:hint="eastAsia" w:cs="仿宋_GB2312"/>
          <w:color w:val="auto"/>
          <w:sz w:val="24"/>
          <w:szCs w:val="24"/>
          <w:highlight w:val="none"/>
        </w:rPr>
        <w:t>、说明、补正、递交、撤回、修改</w:t>
      </w:r>
      <w:r>
        <w:rPr>
          <w:rFonts w:hint="eastAsia" w:cs="仿宋_GB2312"/>
          <w:color w:val="auto"/>
          <w:sz w:val="24"/>
          <w:szCs w:val="24"/>
          <w:highlight w:val="none"/>
          <w:u w:val="single"/>
        </w:rPr>
        <w:t xml:space="preserve">   </w:t>
      </w:r>
      <w:r>
        <w:rPr>
          <w:rFonts w:hint="eastAsia" w:cs="仿宋_GB2312"/>
          <w:color w:val="auto"/>
          <w:sz w:val="24"/>
          <w:szCs w:val="24"/>
          <w:highlight w:val="none"/>
          <w:u w:val="single"/>
          <w:lang w:val="en-US" w:eastAsia="zh-CN"/>
        </w:rPr>
        <w:t xml:space="preserve">      </w:t>
      </w:r>
      <w:r>
        <w:rPr>
          <w:rFonts w:hint="eastAsia" w:cs="仿宋_GB2312"/>
          <w:color w:val="auto"/>
          <w:sz w:val="24"/>
          <w:szCs w:val="24"/>
          <w:highlight w:val="none"/>
          <w:u w:val="single"/>
        </w:rPr>
        <w:t xml:space="preserve">  </w:t>
      </w:r>
      <w:r>
        <w:rPr>
          <w:rFonts w:hint="eastAsia" w:cs="仿宋_GB2312"/>
          <w:color w:val="auto"/>
          <w:sz w:val="24"/>
          <w:szCs w:val="24"/>
          <w:highlight w:val="none"/>
        </w:rPr>
        <w:t>（项目名称）投标文件、签订合同和处理有关事宜，其法律后果由我方承担。</w:t>
      </w:r>
    </w:p>
    <w:p w14:paraId="56B80D1C">
      <w:pPr>
        <w:ind w:firstLine="480" w:firstLineChars="200"/>
        <w:rPr>
          <w:rFonts w:hint="eastAsia" w:cs="仿宋_GB2312"/>
          <w:color w:val="auto"/>
          <w:sz w:val="24"/>
          <w:szCs w:val="24"/>
          <w:highlight w:val="none"/>
        </w:rPr>
      </w:pPr>
      <w:r>
        <w:rPr>
          <w:rFonts w:hint="eastAsia" w:cs="仿宋_GB2312"/>
          <w:color w:val="auto"/>
          <w:sz w:val="24"/>
          <w:szCs w:val="24"/>
          <w:highlight w:val="none"/>
        </w:rPr>
        <w:t>委托期限：</w:t>
      </w:r>
      <w:r>
        <w:rPr>
          <w:rFonts w:hint="eastAsia" w:cs="仿宋_GB2312"/>
          <w:color w:val="auto"/>
          <w:sz w:val="24"/>
          <w:szCs w:val="24"/>
          <w:highlight w:val="none"/>
          <w:lang w:val="en-US" w:eastAsia="zh-CN"/>
        </w:rPr>
        <w:t>自本授权委托书签署之日起至投标有效期届满之日止。</w:t>
      </w:r>
    </w:p>
    <w:p w14:paraId="0A605ABE">
      <w:pPr>
        <w:ind w:firstLine="480" w:firstLineChars="200"/>
        <w:rPr>
          <w:rFonts w:cs="仿宋_GB2312"/>
          <w:color w:val="auto"/>
          <w:sz w:val="24"/>
          <w:szCs w:val="24"/>
          <w:highlight w:val="none"/>
        </w:rPr>
      </w:pPr>
      <w:r>
        <w:rPr>
          <w:rFonts w:hint="eastAsia" w:cs="仿宋_GB2312"/>
          <w:color w:val="auto"/>
          <w:sz w:val="24"/>
          <w:szCs w:val="24"/>
          <w:highlight w:val="none"/>
        </w:rPr>
        <w:t>代理人无转委托权。</w:t>
      </w:r>
    </w:p>
    <w:p w14:paraId="03C5EAD4">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cs="仿宋_GB2312"/>
          <w:color w:val="auto"/>
          <w:sz w:val="24"/>
          <w:szCs w:val="24"/>
          <w:highlight w:val="none"/>
        </w:rPr>
      </w:pPr>
    </w:p>
    <w:p w14:paraId="27333291">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投标人名称</w:t>
      </w:r>
      <w:r>
        <w:rPr>
          <w:rFonts w:hint="eastAsia" w:cs="仿宋_GB2312"/>
          <w:color w:val="auto"/>
          <w:sz w:val="24"/>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en-US" w:eastAsia="zh-CN" w:bidi="ar"/>
        </w:rPr>
        <w:t>：</w:t>
      </w:r>
      <w:r>
        <w:rPr>
          <w:rFonts w:ascii="DejaVuSans" w:hAnsi="DejaVuSans" w:eastAsia="DejaVuSans" w:cs="DejaVuSans"/>
          <w:color w:val="auto"/>
          <w:kern w:val="0"/>
          <w:sz w:val="24"/>
          <w:szCs w:val="24"/>
          <w:highlight w:val="none"/>
          <w:lang w:val="en-US" w:eastAsia="zh-CN" w:bidi="ar"/>
        </w:rPr>
        <w:t xml:space="preserve">________________ </w:t>
      </w:r>
    </w:p>
    <w:p w14:paraId="4CD5B2EF">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法定代表人（单位负责人）（签字或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en-US" w:eastAsia="zh-CN" w:bidi="ar"/>
        </w:rPr>
        <w:t>：</w:t>
      </w:r>
      <w:r>
        <w:rPr>
          <w:rFonts w:hint="default" w:ascii="DejaVuSans" w:hAnsi="DejaVuSans" w:eastAsia="DejaVuSans" w:cs="DejaVuSans"/>
          <w:color w:val="auto"/>
          <w:kern w:val="0"/>
          <w:sz w:val="24"/>
          <w:szCs w:val="24"/>
          <w:highlight w:val="none"/>
          <w:lang w:val="en-US" w:eastAsia="zh-CN" w:bidi="ar"/>
        </w:rPr>
        <w:t xml:space="preserve">________________ </w:t>
      </w:r>
    </w:p>
    <w:p w14:paraId="77AA3C36">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委托代理人（签字或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en-US" w:eastAsia="zh-CN" w:bidi="ar"/>
        </w:rPr>
        <w:t>：</w:t>
      </w:r>
      <w:r>
        <w:rPr>
          <w:rFonts w:hint="default" w:ascii="DejaVuSans" w:hAnsi="DejaVuSans" w:eastAsia="DejaVuSans" w:cs="DejaVuSans"/>
          <w:color w:val="auto"/>
          <w:kern w:val="0"/>
          <w:sz w:val="24"/>
          <w:szCs w:val="24"/>
          <w:highlight w:val="none"/>
          <w:lang w:val="en-US" w:eastAsia="zh-CN" w:bidi="ar"/>
        </w:rPr>
        <w:t xml:space="preserve">________________ </w:t>
      </w:r>
      <w:r>
        <w:rPr>
          <w:rFonts w:hint="eastAsia" w:ascii="DejaVuSans" w:hAnsi="DejaVuSans" w:eastAsia="DejaVuSans" w:cs="DejaVuSans"/>
          <w:color w:val="auto"/>
          <w:kern w:val="0"/>
          <w:sz w:val="24"/>
          <w:szCs w:val="24"/>
          <w:highlight w:val="none"/>
          <w:lang w:val="en-US" w:eastAsia="zh-CN" w:bidi="ar"/>
        </w:rPr>
        <w:t xml:space="preserve">   联系电话：</w:t>
      </w:r>
      <w:r>
        <w:rPr>
          <w:rFonts w:hint="default" w:ascii="DejaVuSans" w:hAnsi="DejaVuSans" w:eastAsia="DejaVuSans" w:cs="DejaVuSans"/>
          <w:color w:val="auto"/>
          <w:kern w:val="0"/>
          <w:sz w:val="24"/>
          <w:szCs w:val="24"/>
          <w:highlight w:val="none"/>
          <w:lang w:val="en-US" w:eastAsia="zh-CN" w:bidi="ar"/>
        </w:rPr>
        <w:t>________</w:t>
      </w:r>
    </w:p>
    <w:p w14:paraId="4FD66B47">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日期：</w:t>
      </w:r>
      <w:r>
        <w:rPr>
          <w:rFonts w:hint="default" w:ascii="DejaVuSans" w:hAnsi="DejaVuSans" w:eastAsia="DejaVuSans" w:cs="DejaVuSans"/>
          <w:color w:val="auto"/>
          <w:kern w:val="0"/>
          <w:sz w:val="24"/>
          <w:szCs w:val="24"/>
          <w:highlight w:val="none"/>
          <w:lang w:val="en-US" w:eastAsia="zh-CN" w:bidi="ar"/>
        </w:rPr>
        <w:t>_____</w:t>
      </w:r>
      <w:r>
        <w:rPr>
          <w:rFonts w:hint="eastAsia" w:ascii="宋体" w:hAnsi="宋体" w:eastAsia="宋体" w:cs="宋体"/>
          <w:color w:val="auto"/>
          <w:kern w:val="0"/>
          <w:sz w:val="24"/>
          <w:szCs w:val="24"/>
          <w:highlight w:val="none"/>
          <w:lang w:val="en-US" w:eastAsia="zh-CN" w:bidi="ar"/>
        </w:rPr>
        <w:t>年</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月</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 xml:space="preserve">日 </w:t>
      </w:r>
    </w:p>
    <w:p w14:paraId="0D7E210D">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cs="仿宋_GB2312"/>
          <w:color w:val="auto"/>
          <w:sz w:val="24"/>
          <w:szCs w:val="24"/>
          <w:highlight w:val="none"/>
          <w:lang w:val="en-US" w:eastAsia="zh-CN"/>
        </w:rPr>
      </w:pPr>
    </w:p>
    <w:p w14:paraId="7CE346A7">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附：法定代表人及委托代理人身份证明文件电子件： </w:t>
      </w:r>
    </w:p>
    <w:tbl>
      <w:tblPr>
        <w:tblStyle w:val="30"/>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6A57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8527" w:type="dxa"/>
          </w:tcPr>
          <w:p w14:paraId="66EBC6FA">
            <w:pPr>
              <w:rPr>
                <w:rFonts w:cs="Arial"/>
                <w:color w:val="auto"/>
                <w:sz w:val="24"/>
                <w:szCs w:val="24"/>
                <w:highlight w:val="none"/>
              </w:rPr>
            </w:pPr>
          </w:p>
        </w:tc>
      </w:tr>
    </w:tbl>
    <w:p w14:paraId="003FC2D7">
      <w:pPr>
        <w:ind w:firstLine="480" w:firstLineChars="200"/>
        <w:rPr>
          <w:rFonts w:hint="eastAsia" w:cs="仿宋_GB2312"/>
          <w:color w:val="auto"/>
          <w:sz w:val="24"/>
          <w:szCs w:val="24"/>
          <w:highlight w:val="none"/>
        </w:rPr>
      </w:pPr>
      <w:r>
        <w:rPr>
          <w:rFonts w:hint="eastAsia" w:cs="仿宋_GB2312"/>
          <w:color w:val="auto"/>
          <w:sz w:val="24"/>
          <w:szCs w:val="24"/>
          <w:highlight w:val="none"/>
          <w:lang w:val="en-US" w:eastAsia="zh-CN"/>
        </w:rPr>
        <w:t xml:space="preserve">说明： </w:t>
      </w:r>
    </w:p>
    <w:p w14:paraId="6A6FAC65">
      <w:pPr>
        <w:ind w:firstLine="480" w:firstLineChars="200"/>
        <w:rPr>
          <w:rFonts w:hint="eastAsia" w:cs="仿宋_GB2312"/>
          <w:color w:val="auto"/>
          <w:sz w:val="24"/>
          <w:szCs w:val="24"/>
          <w:highlight w:val="none"/>
        </w:rPr>
      </w:pPr>
      <w:r>
        <w:rPr>
          <w:rFonts w:hint="eastAsia" w:cs="仿宋_GB2312"/>
          <w:color w:val="auto"/>
          <w:sz w:val="24"/>
          <w:szCs w:val="24"/>
          <w:highlight w:val="none"/>
          <w:lang w:val="en-US" w:eastAsia="zh-CN"/>
        </w:rPr>
        <w:t xml:space="preserve">1.若投标人为事业单位或其他组织或分支机构，则法定代表人（单位负责人）处的签署人可为单位负责人。 </w:t>
      </w:r>
    </w:p>
    <w:p w14:paraId="7579C425">
      <w:pPr>
        <w:ind w:firstLine="480" w:firstLineChars="200"/>
        <w:rPr>
          <w:rFonts w:hint="eastAsia" w:cs="仿宋_GB2312"/>
          <w:color w:val="auto"/>
          <w:sz w:val="24"/>
          <w:szCs w:val="24"/>
          <w:highlight w:val="none"/>
        </w:rPr>
      </w:pPr>
      <w:r>
        <w:rPr>
          <w:rFonts w:hint="default" w:cs="仿宋_GB2312"/>
          <w:color w:val="auto"/>
          <w:sz w:val="24"/>
          <w:szCs w:val="24"/>
          <w:highlight w:val="none"/>
          <w:lang w:val="en-US" w:eastAsia="zh-CN"/>
        </w:rPr>
        <w:t>2.</w:t>
      </w:r>
      <w:r>
        <w:rPr>
          <w:rFonts w:hint="eastAsia" w:cs="仿宋_GB2312"/>
          <w:color w:val="auto"/>
          <w:sz w:val="24"/>
          <w:szCs w:val="24"/>
          <w:highlight w:val="none"/>
          <w:lang w:val="en-US" w:eastAsia="zh-CN"/>
        </w:rPr>
        <w:t xml:space="preserve">若投标文件中签字之处均为法定代表人（单位负责人）本人签署，则可不提供本《授权委托书》，但须提供《法定代表人（单位负责人）身份证明》。 </w:t>
      </w:r>
    </w:p>
    <w:p w14:paraId="7D81952A">
      <w:pPr>
        <w:ind w:firstLine="480" w:firstLineChars="200"/>
        <w:rPr>
          <w:rFonts w:hint="eastAsia" w:cs="仿宋_GB2312"/>
          <w:color w:val="auto"/>
          <w:sz w:val="24"/>
          <w:szCs w:val="24"/>
          <w:highlight w:val="none"/>
        </w:rPr>
      </w:pPr>
      <w:r>
        <w:rPr>
          <w:rFonts w:hint="default" w:cs="仿宋_GB2312"/>
          <w:color w:val="auto"/>
          <w:sz w:val="24"/>
          <w:szCs w:val="24"/>
          <w:highlight w:val="none"/>
          <w:lang w:val="en-US" w:eastAsia="zh-CN"/>
        </w:rPr>
        <w:t>3.</w:t>
      </w:r>
      <w:r>
        <w:rPr>
          <w:rFonts w:hint="eastAsia" w:cs="仿宋_GB2312"/>
          <w:color w:val="auto"/>
          <w:sz w:val="24"/>
          <w:szCs w:val="24"/>
          <w:highlight w:val="none"/>
          <w:lang w:val="en-US" w:eastAsia="zh-CN"/>
        </w:rPr>
        <w:t xml:space="preserve">投标人为自然人的情形，可不提供本《授权委托书》。 </w:t>
      </w:r>
    </w:p>
    <w:p w14:paraId="16E91B57">
      <w:pPr>
        <w:ind w:firstLine="480" w:firstLineChars="200"/>
        <w:rPr>
          <w:rFonts w:hint="eastAsia" w:cs="仿宋_GB2312"/>
          <w:color w:val="auto"/>
          <w:sz w:val="24"/>
          <w:szCs w:val="24"/>
          <w:highlight w:val="none"/>
        </w:rPr>
      </w:pPr>
      <w:r>
        <w:rPr>
          <w:rFonts w:hint="default" w:cs="仿宋_GB2312"/>
          <w:color w:val="auto"/>
          <w:sz w:val="24"/>
          <w:szCs w:val="24"/>
          <w:highlight w:val="none"/>
          <w:lang w:val="en-US" w:eastAsia="zh-CN"/>
        </w:rPr>
        <w:t>4.</w:t>
      </w:r>
      <w:r>
        <w:rPr>
          <w:rFonts w:hint="eastAsia" w:cs="仿宋_GB2312"/>
          <w:color w:val="auto"/>
          <w:sz w:val="24"/>
          <w:szCs w:val="24"/>
          <w:highlight w:val="none"/>
          <w:lang w:val="en-US" w:eastAsia="zh-CN"/>
        </w:rPr>
        <w:t>投标人应随本《授权委托书》同时提供法定代表人（单位负责人）及委托代理人的有效的身份证、护照等身份证明文件电子件。提供身份证的，应同时提供身份证</w:t>
      </w:r>
      <w:r>
        <w:rPr>
          <w:rFonts w:hint="eastAsia" w:cs="仿宋_GB2312"/>
          <w:b/>
          <w:bCs/>
          <w:color w:val="auto"/>
          <w:sz w:val="24"/>
          <w:szCs w:val="24"/>
          <w:highlight w:val="none"/>
          <w:lang w:val="en-US" w:eastAsia="zh-CN"/>
        </w:rPr>
        <w:t>双面</w:t>
      </w:r>
      <w:r>
        <w:rPr>
          <w:rFonts w:hint="eastAsia" w:cs="仿宋_GB2312"/>
          <w:color w:val="auto"/>
          <w:sz w:val="24"/>
          <w:szCs w:val="24"/>
          <w:highlight w:val="none"/>
          <w:lang w:val="en-US" w:eastAsia="zh-CN"/>
        </w:rPr>
        <w:t>电子件。</w:t>
      </w:r>
    </w:p>
    <w:p w14:paraId="0B2EBA16">
      <w:pPr>
        <w:rPr>
          <w:color w:val="auto"/>
          <w:sz w:val="24"/>
          <w:szCs w:val="24"/>
          <w:highlight w:val="none"/>
        </w:rPr>
      </w:pPr>
      <w:r>
        <w:rPr>
          <w:color w:val="auto"/>
          <w:sz w:val="24"/>
          <w:szCs w:val="24"/>
          <w:highlight w:val="none"/>
        </w:rPr>
        <w:br w:type="page"/>
      </w:r>
    </w:p>
    <w:p w14:paraId="117D25C9">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421" w:name="_Toc155185934"/>
      <w:bookmarkStart w:id="422" w:name="_Toc163492928"/>
      <w:bookmarkStart w:id="423" w:name="_Toc20787"/>
      <w:r>
        <w:rPr>
          <w:rFonts w:hint="eastAsia" w:cstheme="majorBidi"/>
          <w:b/>
          <w:bCs/>
          <w:color w:val="auto"/>
          <w:kern w:val="2"/>
          <w:sz w:val="32"/>
          <w:szCs w:val="32"/>
          <w:highlight w:val="none"/>
          <w:lang w:val="en-US" w:eastAsia="zh-CN" w:bidi="ar-SA"/>
        </w:rPr>
        <w:t>四</w:t>
      </w:r>
      <w:r>
        <w:rPr>
          <w:rFonts w:hint="eastAsia" w:eastAsia="宋体" w:asciiTheme="majorHAnsi" w:hAnsiTheme="majorHAnsi" w:cstheme="majorBidi"/>
          <w:b/>
          <w:bCs/>
          <w:color w:val="auto"/>
          <w:kern w:val="2"/>
          <w:sz w:val="32"/>
          <w:szCs w:val="32"/>
          <w:highlight w:val="none"/>
          <w:lang w:val="en-US" w:eastAsia="zh-CN" w:bidi="ar-SA"/>
        </w:rPr>
        <w:t>、</w:t>
      </w:r>
      <w:bookmarkEnd w:id="421"/>
      <w:bookmarkEnd w:id="422"/>
      <w:bookmarkStart w:id="424" w:name="_Toc163492929"/>
      <w:r>
        <w:rPr>
          <w:rFonts w:hint="eastAsia" w:eastAsia="宋体" w:asciiTheme="majorHAnsi" w:hAnsiTheme="majorHAnsi" w:cstheme="majorBidi"/>
          <w:b/>
          <w:bCs/>
          <w:color w:val="auto"/>
          <w:kern w:val="2"/>
          <w:sz w:val="32"/>
          <w:szCs w:val="32"/>
          <w:highlight w:val="none"/>
          <w:lang w:val="zh-CN" w:eastAsia="zh-CN" w:bidi="ar-SA"/>
        </w:rPr>
        <w:t>政府采购</w:t>
      </w:r>
      <w:r>
        <w:rPr>
          <w:rFonts w:hint="eastAsia" w:cstheme="majorBidi"/>
          <w:b/>
          <w:bCs/>
          <w:color w:val="auto"/>
          <w:kern w:val="2"/>
          <w:sz w:val="32"/>
          <w:szCs w:val="32"/>
          <w:highlight w:val="none"/>
          <w:lang w:val="en-US" w:eastAsia="zh-CN" w:bidi="ar-SA"/>
        </w:rPr>
        <w:t>投标人</w:t>
      </w:r>
      <w:r>
        <w:rPr>
          <w:rFonts w:hint="eastAsia" w:eastAsia="宋体" w:asciiTheme="majorHAnsi" w:hAnsiTheme="majorHAnsi" w:cstheme="majorBidi"/>
          <w:b/>
          <w:bCs/>
          <w:color w:val="auto"/>
          <w:kern w:val="2"/>
          <w:sz w:val="32"/>
          <w:szCs w:val="32"/>
          <w:highlight w:val="none"/>
          <w:lang w:val="zh-CN" w:eastAsia="zh-CN" w:bidi="ar-SA"/>
        </w:rPr>
        <w:t>廉洁自律承诺书</w:t>
      </w:r>
      <w:bookmarkEnd w:id="423"/>
    </w:p>
    <w:p w14:paraId="2AB445CF">
      <w:pPr>
        <w:pStyle w:val="14"/>
        <w:rPr>
          <w:color w:val="auto"/>
          <w:sz w:val="24"/>
          <w:szCs w:val="24"/>
          <w:highlight w:val="none"/>
        </w:rPr>
      </w:pPr>
    </w:p>
    <w:p w14:paraId="2CE177B4">
      <w:pPr>
        <w:snapToGrid w:val="0"/>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rPr>
        <w:t>（采购人）、（采购代理机构）</w:t>
      </w:r>
      <w:r>
        <w:rPr>
          <w:rFonts w:hint="eastAsia" w:ascii="宋体" w:hAnsi="宋体" w:cs="宋体"/>
          <w:color w:val="auto"/>
          <w:kern w:val="0"/>
          <w:sz w:val="24"/>
          <w:szCs w:val="24"/>
          <w:highlight w:val="none"/>
          <w:lang w:val="zh-CN"/>
        </w:rPr>
        <w:t>：</w:t>
      </w:r>
    </w:p>
    <w:p w14:paraId="2139BFB4">
      <w:pPr>
        <w:autoSpaceDE w:val="0"/>
        <w:autoSpaceDN w:val="0"/>
        <w:spacing w:line="360" w:lineRule="auto"/>
        <w:ind w:left="2" w:leftChars="1" w:firstLine="480" w:firstLineChars="2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我单位响应你</w:t>
      </w:r>
      <w:r>
        <w:rPr>
          <w:rFonts w:hint="eastAsia" w:ascii="宋体" w:hAnsi="宋体" w:cs="宋体"/>
          <w:color w:val="auto"/>
          <w:sz w:val="24"/>
          <w:szCs w:val="24"/>
          <w:highlight w:val="none"/>
        </w:rPr>
        <w:t>单位</w:t>
      </w:r>
      <w:r>
        <w:rPr>
          <w:rFonts w:hint="eastAsia" w:ascii="宋体" w:hAnsi="宋体" w:cs="宋体"/>
          <w:color w:val="auto"/>
          <w:kern w:val="0"/>
          <w:sz w:val="24"/>
          <w:szCs w:val="24"/>
          <w:highlight w:val="none"/>
          <w:lang w:val="zh-CN"/>
        </w:rPr>
        <w:t>项目招标</w:t>
      </w:r>
      <w:r>
        <w:rPr>
          <w:rFonts w:hint="eastAsia" w:ascii="宋体" w:hAnsi="宋体" w:cs="宋体"/>
          <w:color w:val="auto"/>
          <w:kern w:val="0"/>
          <w:sz w:val="24"/>
          <w:szCs w:val="24"/>
          <w:highlight w:val="none"/>
          <w:lang w:val="en-US" w:eastAsia="zh-CN"/>
        </w:rPr>
        <w:t>文件</w:t>
      </w:r>
      <w:r>
        <w:rPr>
          <w:rFonts w:hint="eastAsia" w:ascii="宋体" w:hAnsi="宋体" w:cs="宋体"/>
          <w:color w:val="auto"/>
          <w:kern w:val="0"/>
          <w:sz w:val="24"/>
          <w:szCs w:val="24"/>
          <w:highlight w:val="none"/>
          <w:lang w:val="zh-CN"/>
        </w:rPr>
        <w:t>要求参加投标。在这次投标过程中和中标后，我们将严格遵守国家法律法规要求，并郑重承诺：</w:t>
      </w:r>
    </w:p>
    <w:p w14:paraId="2B87D13C">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一、不向项目有关人员及部门赠送礼金礼物、有价证券、回扣以及中介费、介绍费、咨询费等好处费； </w:t>
      </w:r>
    </w:p>
    <w:p w14:paraId="063D62B4">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二、不为项目有关人员及部门报销应由你方单位或个人支付的费用； </w:t>
      </w:r>
    </w:p>
    <w:p w14:paraId="5ADDE615">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三、不向项目有关人员及部门提供有可能影响公正的宴请和健身娱乐等活动；</w:t>
      </w:r>
    </w:p>
    <w:p w14:paraId="6B70337F">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四、不为项目有关人员及部门出国（境）、旅游等提供方便；</w:t>
      </w:r>
    </w:p>
    <w:p w14:paraId="6421E616">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五、不为项目有关人员个人装修住房、婚丧嫁娶、配偶子女工作安排等提供好处；</w:t>
      </w:r>
    </w:p>
    <w:p w14:paraId="663761CE">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六、严格遵守《中华人民共和国政府采购法》《中华人民共和国政府采购法</w:t>
      </w:r>
      <w:r>
        <w:rPr>
          <w:rFonts w:hint="eastAsia" w:cs="宋体"/>
          <w:color w:val="auto"/>
          <w:kern w:val="0"/>
          <w:sz w:val="24"/>
          <w:szCs w:val="24"/>
          <w:highlight w:val="none"/>
          <w:lang w:val="en-US" w:eastAsia="zh-CN"/>
        </w:rPr>
        <w:t>实施条例</w:t>
      </w:r>
      <w:r>
        <w:rPr>
          <w:rFonts w:hint="eastAsia" w:ascii="宋体" w:hAnsi="宋体" w:cs="宋体"/>
          <w:color w:val="auto"/>
          <w:kern w:val="0"/>
          <w:sz w:val="24"/>
          <w:szCs w:val="24"/>
          <w:highlight w:val="none"/>
          <w:lang w:val="zh-CN"/>
        </w:rPr>
        <w:t xml:space="preserve">》《中华人民共和国民法典》等法律法规，诚实守信，合法经营，坚决抵制各种违法违纪行为。 </w:t>
      </w:r>
    </w:p>
    <w:p w14:paraId="5C8FD2B8">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如违反上述承诺，你单位有权立即取消我单位投标、中标或在建项目的建设资格，有权拒绝我单位在一定时期内进入你单位进行项目建设或其他经营活动，并通报</w:t>
      </w:r>
      <w:r>
        <w:rPr>
          <w:rFonts w:hint="eastAsia" w:cs="宋体"/>
          <w:color w:val="auto"/>
          <w:kern w:val="0"/>
          <w:sz w:val="24"/>
          <w:szCs w:val="24"/>
          <w:highlight w:val="none"/>
          <w:lang w:val="en-US" w:eastAsia="zh-CN"/>
        </w:rPr>
        <w:t>兵团</w:t>
      </w:r>
      <w:r>
        <w:rPr>
          <w:rFonts w:hint="eastAsia" w:ascii="宋体" w:hAnsi="宋体" w:cs="宋体"/>
          <w:color w:val="auto"/>
          <w:kern w:val="0"/>
          <w:sz w:val="24"/>
          <w:szCs w:val="24"/>
          <w:highlight w:val="none"/>
          <w:lang w:val="zh-CN"/>
        </w:rPr>
        <w:t>财政局。由此引起的相应损失均由我单位承担。</w:t>
      </w:r>
    </w:p>
    <w:p w14:paraId="5E22ECB4">
      <w:pPr>
        <w:autoSpaceDE w:val="0"/>
        <w:autoSpaceDN w:val="0"/>
        <w:spacing w:line="360" w:lineRule="auto"/>
        <w:ind w:left="2"/>
        <w:jc w:val="left"/>
        <w:rPr>
          <w:rFonts w:ascii="宋体" w:hAnsi="宋体" w:cs="宋体"/>
          <w:color w:val="auto"/>
          <w:kern w:val="0"/>
          <w:sz w:val="24"/>
          <w:szCs w:val="24"/>
          <w:highlight w:val="none"/>
          <w:lang w:val="zh-CN"/>
        </w:rPr>
      </w:pPr>
    </w:p>
    <w:p w14:paraId="0914ACDE">
      <w:pPr>
        <w:autoSpaceDE w:val="0"/>
        <w:autoSpaceDN w:val="0"/>
        <w:spacing w:line="360" w:lineRule="auto"/>
        <w:ind w:left="2"/>
        <w:jc w:val="left"/>
        <w:rPr>
          <w:rFonts w:ascii="宋体" w:hAnsi="宋体" w:cs="宋体"/>
          <w:color w:val="auto"/>
          <w:kern w:val="0"/>
          <w:sz w:val="24"/>
          <w:szCs w:val="24"/>
          <w:highlight w:val="none"/>
          <w:lang w:val="zh-CN"/>
        </w:rPr>
      </w:pPr>
    </w:p>
    <w:p w14:paraId="02E01AF0">
      <w:pPr>
        <w:autoSpaceDE w:val="0"/>
        <w:autoSpaceDN w:val="0"/>
        <w:spacing w:line="360" w:lineRule="auto"/>
        <w:ind w:left="2"/>
        <w:jc w:val="left"/>
        <w:rPr>
          <w:rFonts w:ascii="宋体" w:hAnsi="宋体" w:cs="宋体"/>
          <w:color w:val="auto"/>
          <w:kern w:val="0"/>
          <w:sz w:val="24"/>
          <w:szCs w:val="24"/>
          <w:highlight w:val="none"/>
          <w:lang w:val="zh-CN"/>
        </w:rPr>
      </w:pPr>
    </w:p>
    <w:p w14:paraId="3EA46769">
      <w:pPr>
        <w:autoSpaceDE w:val="0"/>
        <w:autoSpaceDN w:val="0"/>
        <w:spacing w:line="360" w:lineRule="auto"/>
        <w:ind w:left="2" w:leftChars="1" w:right="1120" w:firstLine="4560" w:firstLineChars="19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投标人名称</w:t>
      </w:r>
      <w:r>
        <w:rPr>
          <w:rFonts w:hint="eastAsia" w:cs="仿宋_GB2312"/>
          <w:color w:val="auto"/>
          <w:sz w:val="24"/>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szCs w:val="24"/>
          <w:highlight w:val="none"/>
          <w:lang w:val="zh-CN"/>
        </w:rPr>
        <w:t xml:space="preserve">)：                                                                                                                                                                                                               </w:t>
      </w:r>
    </w:p>
    <w:p w14:paraId="0FD8A2DC">
      <w:pPr>
        <w:ind w:firstLine="4560" w:firstLineChars="1900"/>
        <w:rPr>
          <w:rFonts w:hint="eastAsia" w:eastAsia="宋体" w:asciiTheme="majorHAnsi" w:hAnsiTheme="majorHAnsi" w:cstheme="majorBidi"/>
          <w:b/>
          <w:bCs/>
          <w:color w:val="auto"/>
          <w:kern w:val="2"/>
          <w:sz w:val="24"/>
          <w:szCs w:val="24"/>
          <w:highlight w:val="none"/>
          <w:lang w:val="en-US" w:eastAsia="zh-CN" w:bidi="ar-SA"/>
        </w:rPr>
      </w:pPr>
      <w:r>
        <w:rPr>
          <w:rFonts w:hint="eastAsia" w:ascii="宋体" w:hAnsi="宋体" w:cs="宋体"/>
          <w:color w:val="auto"/>
          <w:kern w:val="0"/>
          <w:sz w:val="24"/>
          <w:szCs w:val="24"/>
          <w:highlight w:val="none"/>
          <w:lang w:val="zh-CN"/>
        </w:rPr>
        <w:t>日期</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 xml:space="preserve">   年   月   日</w:t>
      </w:r>
    </w:p>
    <w:p w14:paraId="5AA40BF9">
      <w:pPr>
        <w:rPr>
          <w:rFonts w:hint="eastAsia" w:eastAsia="宋体" w:asciiTheme="majorHAnsi" w:hAnsiTheme="majorHAnsi" w:cstheme="majorBidi"/>
          <w:b/>
          <w:bCs/>
          <w:color w:val="auto"/>
          <w:kern w:val="2"/>
          <w:sz w:val="24"/>
          <w:szCs w:val="24"/>
          <w:highlight w:val="none"/>
          <w:lang w:val="en-US" w:eastAsia="zh-CN" w:bidi="ar-SA"/>
        </w:rPr>
      </w:pPr>
    </w:p>
    <w:p w14:paraId="2917743B">
      <w:pPr>
        <w:pStyle w:val="14"/>
        <w:rPr>
          <w:rFonts w:hint="eastAsia" w:eastAsia="宋体" w:asciiTheme="majorHAnsi" w:hAnsiTheme="majorHAnsi" w:cstheme="majorBidi"/>
          <w:b/>
          <w:bCs/>
          <w:color w:val="auto"/>
          <w:kern w:val="2"/>
          <w:sz w:val="24"/>
          <w:szCs w:val="24"/>
          <w:highlight w:val="none"/>
          <w:lang w:val="en-US" w:eastAsia="zh-CN" w:bidi="ar-SA"/>
        </w:rPr>
      </w:pPr>
    </w:p>
    <w:p w14:paraId="2CC927CA">
      <w:pPr>
        <w:pStyle w:val="14"/>
        <w:rPr>
          <w:rFonts w:hint="eastAsia" w:eastAsia="宋体" w:asciiTheme="majorHAnsi" w:hAnsiTheme="majorHAnsi" w:cstheme="majorBidi"/>
          <w:b/>
          <w:bCs/>
          <w:color w:val="auto"/>
          <w:kern w:val="2"/>
          <w:sz w:val="24"/>
          <w:szCs w:val="24"/>
          <w:highlight w:val="none"/>
          <w:lang w:val="en-US" w:eastAsia="zh-CN" w:bidi="ar-SA"/>
        </w:rPr>
      </w:pPr>
    </w:p>
    <w:p w14:paraId="18FDCDE0">
      <w:pPr>
        <w:pStyle w:val="14"/>
        <w:rPr>
          <w:rFonts w:hint="eastAsia" w:eastAsia="宋体" w:asciiTheme="majorHAnsi" w:hAnsiTheme="majorHAnsi" w:cstheme="majorBidi"/>
          <w:b/>
          <w:bCs/>
          <w:color w:val="auto"/>
          <w:kern w:val="2"/>
          <w:sz w:val="24"/>
          <w:szCs w:val="24"/>
          <w:highlight w:val="none"/>
          <w:lang w:val="en-US" w:eastAsia="zh-CN" w:bidi="ar-SA"/>
        </w:rPr>
      </w:pPr>
    </w:p>
    <w:p w14:paraId="74E8B7C7">
      <w:pPr>
        <w:pStyle w:val="5"/>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jc w:val="center"/>
        <w:textAlignment w:val="auto"/>
        <w:rPr>
          <w:rFonts w:hint="default" w:ascii="宋体" w:hAnsi="宋体" w:eastAsia="宋体" w:cstheme="minorBidi"/>
          <w:b/>
          <w:bCs/>
          <w:color w:val="auto"/>
          <w:kern w:val="2"/>
          <w:sz w:val="30"/>
          <w:szCs w:val="32"/>
          <w:highlight w:val="none"/>
          <w:lang w:val="en-US" w:eastAsia="zh-CN" w:bidi="ar-SA"/>
        </w:rPr>
      </w:pPr>
      <w:r>
        <w:rPr>
          <w:rFonts w:hint="eastAsia" w:eastAsia="宋体" w:asciiTheme="majorHAnsi" w:hAnsiTheme="majorHAnsi" w:cstheme="majorBidi"/>
          <w:b/>
          <w:bCs/>
          <w:color w:val="auto"/>
          <w:kern w:val="2"/>
          <w:sz w:val="32"/>
          <w:szCs w:val="32"/>
          <w:highlight w:val="none"/>
          <w:lang w:val="en-US" w:eastAsia="zh-CN" w:bidi="ar-SA"/>
        </w:rPr>
        <w:t>五、</w:t>
      </w:r>
      <w:r>
        <w:rPr>
          <w:rFonts w:hint="eastAsia" w:eastAsia="宋体" w:asciiTheme="majorHAnsi" w:hAnsiTheme="majorHAnsi" w:cstheme="majorBidi"/>
          <w:b/>
          <w:bCs/>
          <w:color w:val="auto"/>
          <w:kern w:val="2"/>
          <w:sz w:val="32"/>
          <w:szCs w:val="32"/>
          <w:highlight w:val="none"/>
          <w:lang w:val="zh-CN" w:eastAsia="zh-CN" w:bidi="ar-SA"/>
        </w:rPr>
        <w:t>实质性响应一览表</w:t>
      </w:r>
      <w:r>
        <w:rPr>
          <w:rFonts w:hint="eastAsia" w:ascii="宋体" w:hAnsi="宋体" w:eastAsia="宋体" w:cstheme="minorBidi"/>
          <w:b/>
          <w:bCs/>
          <w:color w:val="auto"/>
          <w:kern w:val="2"/>
          <w:sz w:val="30"/>
          <w:szCs w:val="32"/>
          <w:highlight w:val="none"/>
          <w:lang w:val="zh-CN" w:eastAsia="zh-CN" w:bidi="ar-SA"/>
        </w:rPr>
        <w:t>【</w:t>
      </w:r>
      <w:r>
        <w:rPr>
          <w:rFonts w:hint="eastAsia" w:ascii="宋体" w:hAnsi="宋体" w:eastAsia="宋体" w:cstheme="minorBidi"/>
          <w:b/>
          <w:bCs/>
          <w:color w:val="auto"/>
          <w:kern w:val="2"/>
          <w:sz w:val="30"/>
          <w:szCs w:val="32"/>
          <w:highlight w:val="none"/>
          <w:lang w:val="en-US" w:eastAsia="zh-CN" w:bidi="ar-SA"/>
        </w:rPr>
        <w:t>本表须与第五章的一致】</w:t>
      </w:r>
    </w:p>
    <w:p w14:paraId="3FC7E450">
      <w:pPr>
        <w:shd w:val="clear" w:color="auto" w:fill="FFFFFF"/>
        <w:tabs>
          <w:tab w:val="left" w:pos="3045"/>
        </w:tabs>
        <w:autoSpaceDE w:val="0"/>
        <w:autoSpaceDN w:val="0"/>
        <w:adjustRightInd w:val="0"/>
        <w:snapToGrid w:val="0"/>
        <w:spacing w:line="360" w:lineRule="exact"/>
        <w:jc w:val="center"/>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w:t>
      </w:r>
      <w:r>
        <w:rPr>
          <w:rFonts w:hint="eastAsia" w:cs="宋体"/>
          <w:b w:val="0"/>
          <w:bCs/>
          <w:color w:val="auto"/>
          <w:sz w:val="24"/>
          <w:szCs w:val="24"/>
          <w:highlight w:val="none"/>
          <w:lang w:val="en-US" w:eastAsia="zh-CN"/>
        </w:rPr>
        <w:t>投标人</w:t>
      </w:r>
      <w:r>
        <w:rPr>
          <w:rFonts w:hint="eastAsia" w:ascii="宋体" w:hAnsi="宋体" w:cs="宋体"/>
          <w:b w:val="0"/>
          <w:bCs/>
          <w:color w:val="auto"/>
          <w:sz w:val="24"/>
          <w:szCs w:val="24"/>
          <w:highlight w:val="none"/>
        </w:rPr>
        <w:t>须对本附表所有内容逐条响应且无负偏离，否则</w:t>
      </w:r>
      <w:r>
        <w:rPr>
          <w:rFonts w:hint="eastAsia" w:cs="宋体"/>
          <w:b w:val="0"/>
          <w:bCs/>
          <w:color w:val="auto"/>
          <w:sz w:val="24"/>
          <w:szCs w:val="24"/>
          <w:highlight w:val="none"/>
          <w:lang w:val="en-US" w:eastAsia="zh-CN"/>
        </w:rPr>
        <w:t>其</w:t>
      </w:r>
      <w:r>
        <w:rPr>
          <w:rFonts w:hint="eastAsia" w:ascii="宋体" w:hAnsi="宋体" w:cs="宋体"/>
          <w:b/>
          <w:bCs w:val="0"/>
          <w:color w:val="auto"/>
          <w:sz w:val="24"/>
          <w:szCs w:val="24"/>
          <w:highlight w:val="none"/>
        </w:rPr>
        <w:t>投标无效</w:t>
      </w:r>
      <w:r>
        <w:rPr>
          <w:rFonts w:hint="eastAsia" w:ascii="宋体" w:hAnsi="宋体" w:cs="宋体"/>
          <w:b w:val="0"/>
          <w:bCs/>
          <w:color w:val="auto"/>
          <w:sz w:val="24"/>
          <w:szCs w:val="24"/>
          <w:highlight w:val="none"/>
        </w:rPr>
        <w:t>）</w:t>
      </w:r>
    </w:p>
    <w:p w14:paraId="3B3C031E">
      <w:pPr>
        <w:pStyle w:val="2"/>
        <w:rPr>
          <w:rFonts w:hint="eastAsia" w:ascii="宋体" w:hAnsi="宋体" w:cs="宋体"/>
          <w:color w:val="auto"/>
          <w:sz w:val="24"/>
          <w:szCs w:val="24"/>
          <w:highlight w:val="none"/>
        </w:rPr>
      </w:pPr>
    </w:p>
    <w:tbl>
      <w:tblPr>
        <w:tblStyle w:val="30"/>
        <w:tblW w:w="5294" w:type="pct"/>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1992"/>
        <w:gridCol w:w="3744"/>
        <w:gridCol w:w="1956"/>
        <w:gridCol w:w="924"/>
      </w:tblGrid>
      <w:tr w14:paraId="2EF5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26" w:type="pct"/>
            <w:vMerge w:val="restart"/>
            <w:noWrap w:val="0"/>
            <w:vAlign w:val="center"/>
          </w:tcPr>
          <w:p w14:paraId="101C805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78" w:type="pct"/>
            <w:gridSpan w:val="2"/>
            <w:noWrap w:val="0"/>
            <w:vAlign w:val="center"/>
          </w:tcPr>
          <w:p w14:paraId="02D6053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文件要求的实质性响应内容</w:t>
            </w:r>
          </w:p>
        </w:tc>
        <w:tc>
          <w:tcPr>
            <w:tcW w:w="1083" w:type="pct"/>
            <w:vMerge w:val="restart"/>
            <w:noWrap w:val="0"/>
            <w:vAlign w:val="center"/>
          </w:tcPr>
          <w:p w14:paraId="56144F2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投标文件响应</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具体内容</w:t>
            </w:r>
          </w:p>
        </w:tc>
        <w:tc>
          <w:tcPr>
            <w:tcW w:w="511" w:type="pct"/>
            <w:vMerge w:val="restart"/>
            <w:noWrap w:val="0"/>
            <w:vAlign w:val="center"/>
          </w:tcPr>
          <w:p w14:paraId="3D4BAC2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8FB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26" w:type="pct"/>
            <w:vMerge w:val="continue"/>
            <w:noWrap w:val="0"/>
            <w:vAlign w:val="center"/>
          </w:tcPr>
          <w:p w14:paraId="61353542">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p>
        </w:tc>
        <w:tc>
          <w:tcPr>
            <w:tcW w:w="1103" w:type="pct"/>
            <w:noWrap w:val="0"/>
            <w:vAlign w:val="center"/>
          </w:tcPr>
          <w:p w14:paraId="6B0E164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实质性要求</w:t>
            </w:r>
          </w:p>
        </w:tc>
        <w:tc>
          <w:tcPr>
            <w:tcW w:w="2074" w:type="pct"/>
            <w:noWrap w:val="0"/>
            <w:vAlign w:val="center"/>
          </w:tcPr>
          <w:p w14:paraId="3466A6A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招标文件中的规定</w:t>
            </w:r>
          </w:p>
        </w:tc>
        <w:tc>
          <w:tcPr>
            <w:tcW w:w="1083" w:type="pct"/>
            <w:vMerge w:val="continue"/>
            <w:noWrap w:val="0"/>
            <w:vAlign w:val="center"/>
          </w:tcPr>
          <w:p w14:paraId="230A57B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p>
        </w:tc>
        <w:tc>
          <w:tcPr>
            <w:tcW w:w="511" w:type="pct"/>
            <w:vMerge w:val="continue"/>
            <w:noWrap w:val="0"/>
            <w:vAlign w:val="center"/>
          </w:tcPr>
          <w:p w14:paraId="1401563E">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p>
        </w:tc>
      </w:tr>
      <w:tr w14:paraId="0FCF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noWrap w:val="0"/>
            <w:vAlign w:val="center"/>
          </w:tcPr>
          <w:p w14:paraId="5D4136A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03" w:type="pct"/>
            <w:shd w:val="clear" w:color="auto" w:fill="auto"/>
            <w:noWrap w:val="0"/>
            <w:vAlign w:val="center"/>
          </w:tcPr>
          <w:p w14:paraId="11E3D909">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2074" w:type="pct"/>
            <w:shd w:val="clear" w:color="auto" w:fill="auto"/>
            <w:noWrap w:val="0"/>
            <w:vAlign w:val="center"/>
          </w:tcPr>
          <w:p w14:paraId="2D62742B">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1E4B729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2ED2EBD7">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29B1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noWrap w:val="0"/>
            <w:vAlign w:val="center"/>
          </w:tcPr>
          <w:p w14:paraId="708A3B9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03" w:type="pct"/>
            <w:shd w:val="clear" w:color="auto" w:fill="auto"/>
            <w:noWrap w:val="0"/>
            <w:vAlign w:val="center"/>
          </w:tcPr>
          <w:p w14:paraId="7DC773B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2074" w:type="pct"/>
            <w:shd w:val="clear" w:color="auto" w:fill="auto"/>
            <w:noWrap w:val="0"/>
            <w:vAlign w:val="center"/>
          </w:tcPr>
          <w:p w14:paraId="011D967C">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58F62CE4">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194CC2D3">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547B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6A2DB15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1103" w:type="pct"/>
            <w:shd w:val="clear" w:color="auto" w:fill="auto"/>
            <w:noWrap w:val="0"/>
            <w:vAlign w:val="center"/>
          </w:tcPr>
          <w:p w14:paraId="46BFE239">
            <w:pPr>
              <w:pStyle w:val="49"/>
              <w:rPr>
                <w:rFonts w:hint="eastAsia" w:ascii="宋体" w:hAnsi="宋体" w:eastAsia="宋体" w:cs="宋体"/>
                <w:color w:val="auto"/>
                <w:kern w:val="2"/>
                <w:sz w:val="24"/>
                <w:szCs w:val="24"/>
                <w:highlight w:val="none"/>
                <w:lang w:val="en-US" w:eastAsia="zh-CN" w:bidi="ar-SA"/>
              </w:rPr>
            </w:pPr>
          </w:p>
        </w:tc>
        <w:tc>
          <w:tcPr>
            <w:tcW w:w="2074" w:type="pct"/>
            <w:shd w:val="clear" w:color="auto" w:fill="auto"/>
            <w:noWrap w:val="0"/>
            <w:vAlign w:val="center"/>
          </w:tcPr>
          <w:p w14:paraId="486ABA85">
            <w:pPr>
              <w:pStyle w:val="49"/>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59491DC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1511A2D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5B87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12289F6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1103" w:type="pct"/>
            <w:shd w:val="clear" w:color="auto" w:fill="auto"/>
            <w:noWrap w:val="0"/>
            <w:vAlign w:val="center"/>
          </w:tcPr>
          <w:p w14:paraId="1D3E0310">
            <w:pPr>
              <w:pStyle w:val="49"/>
              <w:rPr>
                <w:rFonts w:hint="eastAsia" w:ascii="宋体" w:hAnsi="宋体" w:eastAsia="宋体" w:cs="宋体"/>
                <w:color w:val="auto"/>
                <w:kern w:val="2"/>
                <w:sz w:val="24"/>
                <w:szCs w:val="24"/>
                <w:highlight w:val="none"/>
                <w:lang w:val="en-US" w:eastAsia="zh-CN" w:bidi="ar-SA"/>
              </w:rPr>
            </w:pPr>
          </w:p>
        </w:tc>
        <w:tc>
          <w:tcPr>
            <w:tcW w:w="2074" w:type="pct"/>
            <w:shd w:val="clear" w:color="auto" w:fill="auto"/>
            <w:noWrap w:val="0"/>
            <w:vAlign w:val="center"/>
          </w:tcPr>
          <w:p w14:paraId="281089E1">
            <w:pPr>
              <w:pStyle w:val="49"/>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6CCA3E7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0A8FC1EC">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70A7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2" w:hRule="atLeast"/>
        </w:trPr>
        <w:tc>
          <w:tcPr>
            <w:tcW w:w="226" w:type="pct"/>
            <w:shd w:val="clear" w:color="auto" w:fill="auto"/>
            <w:noWrap w:val="0"/>
            <w:vAlign w:val="center"/>
          </w:tcPr>
          <w:p w14:paraId="36B59CD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103" w:type="pct"/>
            <w:noWrap w:val="0"/>
            <w:vAlign w:val="center"/>
          </w:tcPr>
          <w:p w14:paraId="43A0BEF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p>
        </w:tc>
        <w:tc>
          <w:tcPr>
            <w:tcW w:w="2074" w:type="pct"/>
            <w:noWrap w:val="0"/>
            <w:vAlign w:val="center"/>
          </w:tcPr>
          <w:p w14:paraId="310F1D1A">
            <w:pPr>
              <w:pStyle w:val="73"/>
              <w:keepNext w:val="0"/>
              <w:keepLines w:val="0"/>
              <w:pageBreakBefore w:val="0"/>
              <w:widowControl w:val="0"/>
              <w:shd w:val="clear" w:color="auto" w:fill="FFFFFF"/>
              <w:kinsoku/>
              <w:wordWrap/>
              <w:overflowPunct/>
              <w:topLinePunct w:val="0"/>
              <w:bidi w:val="0"/>
              <w:adjustRightInd/>
              <w:snapToGrid/>
              <w:spacing w:line="360" w:lineRule="exact"/>
              <w:ind w:firstLine="0" w:firstLineChars="0"/>
              <w:textAlignment w:val="auto"/>
              <w:rPr>
                <w:rFonts w:hint="eastAsia" w:ascii="宋体" w:hAnsi="宋体" w:eastAsia="宋体" w:cs="宋体"/>
                <w:color w:val="auto"/>
                <w:kern w:val="0"/>
                <w:sz w:val="24"/>
                <w:szCs w:val="24"/>
                <w:highlight w:val="none"/>
                <w:lang w:val="en-US" w:eastAsia="zh-CN" w:bidi="ar-SA"/>
              </w:rPr>
            </w:pPr>
          </w:p>
        </w:tc>
        <w:tc>
          <w:tcPr>
            <w:tcW w:w="1083" w:type="pct"/>
            <w:noWrap w:val="0"/>
            <w:vAlign w:val="center"/>
          </w:tcPr>
          <w:p w14:paraId="492A3FE6">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7AFD0B5E">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366B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0C145DE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103" w:type="pct"/>
            <w:noWrap w:val="0"/>
            <w:vAlign w:val="center"/>
          </w:tcPr>
          <w:p w14:paraId="24DF7F3A">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p>
        </w:tc>
        <w:tc>
          <w:tcPr>
            <w:tcW w:w="2074" w:type="pct"/>
            <w:noWrap w:val="0"/>
            <w:vAlign w:val="center"/>
          </w:tcPr>
          <w:p w14:paraId="5482D5FB">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24D82CE2">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190A3A2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2E09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2F26FC6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1103" w:type="pct"/>
            <w:noWrap w:val="0"/>
            <w:vAlign w:val="center"/>
          </w:tcPr>
          <w:p w14:paraId="7BD1DFF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p>
        </w:tc>
        <w:tc>
          <w:tcPr>
            <w:tcW w:w="2074" w:type="pct"/>
            <w:noWrap w:val="0"/>
            <w:vAlign w:val="center"/>
          </w:tcPr>
          <w:p w14:paraId="0998D7BE">
            <w:pPr>
              <w:keepNext w:val="0"/>
              <w:keepLines w:val="0"/>
              <w:pageBreakBefore w:val="0"/>
              <w:widowControl w:val="0"/>
              <w:shd w:val="clear" w:color="auto" w:fill="FFFFFF"/>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4"/>
                <w:szCs w:val="24"/>
                <w:highlight w:val="none"/>
                <w:lang w:val="en-US" w:eastAsia="zh-CN"/>
              </w:rPr>
            </w:pPr>
          </w:p>
        </w:tc>
        <w:tc>
          <w:tcPr>
            <w:tcW w:w="1083" w:type="pct"/>
            <w:noWrap w:val="0"/>
            <w:vAlign w:val="center"/>
          </w:tcPr>
          <w:p w14:paraId="4CB9861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015D30C8">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5EA1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noWrap w:val="0"/>
            <w:vAlign w:val="center"/>
          </w:tcPr>
          <w:p w14:paraId="4ED2BCC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lang w:val="en-US" w:eastAsia="zh-CN"/>
              </w:rPr>
            </w:pPr>
          </w:p>
        </w:tc>
        <w:tc>
          <w:tcPr>
            <w:tcW w:w="1103" w:type="pct"/>
            <w:shd w:val="clear" w:color="auto" w:fill="auto"/>
            <w:noWrap w:val="0"/>
            <w:vAlign w:val="center"/>
          </w:tcPr>
          <w:p w14:paraId="28BAA9A6">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w:t>
            </w:r>
          </w:p>
        </w:tc>
        <w:tc>
          <w:tcPr>
            <w:tcW w:w="2074" w:type="pct"/>
            <w:noWrap w:val="0"/>
            <w:vAlign w:val="center"/>
          </w:tcPr>
          <w:p w14:paraId="6246E5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p>
        </w:tc>
        <w:tc>
          <w:tcPr>
            <w:tcW w:w="1083" w:type="pct"/>
            <w:noWrap w:val="0"/>
            <w:vAlign w:val="center"/>
          </w:tcPr>
          <w:p w14:paraId="1853010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796ECCFA">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bl>
    <w:p w14:paraId="1BAA11F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宋体" w:asciiTheme="majorHAnsi" w:hAnsiTheme="majorHAnsi" w:cstheme="majorBidi"/>
          <w:b/>
          <w:bCs/>
          <w:color w:val="auto"/>
          <w:kern w:val="2"/>
          <w:sz w:val="24"/>
          <w:szCs w:val="24"/>
          <w:highlight w:val="none"/>
          <w:lang w:val="en-US" w:eastAsia="zh-CN" w:bidi="ar-SA"/>
        </w:rPr>
      </w:pPr>
    </w:p>
    <w:p w14:paraId="61F3D6B1">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color w:val="auto"/>
          <w:kern w:val="2"/>
          <w:sz w:val="32"/>
          <w:szCs w:val="32"/>
          <w:highlight w:val="none"/>
          <w:lang w:val="en-US" w:eastAsia="zh-CN" w:bidi="ar-SA"/>
        </w:rPr>
      </w:pPr>
    </w:p>
    <w:p w14:paraId="01639337">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color w:val="auto"/>
          <w:kern w:val="2"/>
          <w:sz w:val="32"/>
          <w:szCs w:val="32"/>
          <w:highlight w:val="none"/>
          <w:lang w:val="en-US" w:eastAsia="zh-CN" w:bidi="ar-SA"/>
        </w:rPr>
      </w:pPr>
    </w:p>
    <w:p w14:paraId="626EF50E">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425" w:name="_Toc19990"/>
      <w:r>
        <w:rPr>
          <w:rFonts w:hint="eastAsia" w:cstheme="majorBidi"/>
          <w:b/>
          <w:bCs/>
          <w:color w:val="auto"/>
          <w:kern w:val="2"/>
          <w:sz w:val="32"/>
          <w:szCs w:val="32"/>
          <w:highlight w:val="none"/>
          <w:lang w:val="en-US" w:eastAsia="zh-CN" w:bidi="ar-SA"/>
        </w:rPr>
        <w:t>六</w:t>
      </w:r>
      <w:r>
        <w:rPr>
          <w:rFonts w:hint="eastAsia" w:eastAsia="宋体" w:asciiTheme="majorHAnsi" w:hAnsiTheme="majorHAnsi" w:cstheme="majorBidi"/>
          <w:b/>
          <w:bCs/>
          <w:color w:val="auto"/>
          <w:kern w:val="2"/>
          <w:sz w:val="32"/>
          <w:szCs w:val="32"/>
          <w:highlight w:val="none"/>
          <w:lang w:val="en-US" w:eastAsia="zh-CN" w:bidi="ar-SA"/>
        </w:rPr>
        <w:t>、商务响应偏离表</w:t>
      </w:r>
      <w:bookmarkEnd w:id="424"/>
      <w:bookmarkEnd w:id="425"/>
    </w:p>
    <w:p w14:paraId="21AF32D6">
      <w:pPr>
        <w:rPr>
          <w:rFonts w:cs="仿宋_GB2312"/>
          <w:color w:val="auto"/>
          <w:sz w:val="24"/>
          <w:szCs w:val="24"/>
          <w:highlight w:val="none"/>
        </w:rPr>
      </w:pPr>
      <w:r>
        <w:rPr>
          <w:rFonts w:hint="eastAsia" w:cs="仿宋_GB2312"/>
          <w:color w:val="auto"/>
          <w:sz w:val="24"/>
          <w:szCs w:val="24"/>
          <w:highlight w:val="none"/>
        </w:rPr>
        <w:t xml:space="preserve">项目名称：                                         </w:t>
      </w:r>
    </w:p>
    <w:p w14:paraId="0424C095">
      <w:pPr>
        <w:rPr>
          <w:rFonts w:cs="仿宋_GB2312"/>
          <w:color w:val="auto"/>
          <w:sz w:val="24"/>
          <w:szCs w:val="24"/>
          <w:highlight w:val="none"/>
        </w:rPr>
      </w:pPr>
      <w:r>
        <w:rPr>
          <w:rFonts w:hint="eastAsia" w:cs="仿宋_GB2312"/>
          <w:color w:val="auto"/>
          <w:sz w:val="24"/>
          <w:szCs w:val="24"/>
          <w:highlight w:val="none"/>
        </w:rPr>
        <w:t>项目编号</w:t>
      </w:r>
      <w:r>
        <w:rPr>
          <w:rFonts w:hint="eastAsia"/>
          <w:b w:val="0"/>
          <w:bCs/>
          <w:color w:val="auto"/>
          <w:sz w:val="24"/>
          <w:szCs w:val="24"/>
          <w:highlight w:val="none"/>
          <w:lang w:val="en-US" w:eastAsia="zh-CN"/>
        </w:rPr>
        <w:t>/</w:t>
      </w:r>
      <w:r>
        <w:rPr>
          <w:rFonts w:hint="eastAsia"/>
          <w:b w:val="0"/>
          <w:bCs/>
          <w:color w:val="auto"/>
          <w:sz w:val="24"/>
          <w:szCs w:val="24"/>
          <w:highlight w:val="none"/>
          <w:lang w:val="zh-CN"/>
        </w:rPr>
        <w:t>包号</w:t>
      </w:r>
      <w:r>
        <w:rPr>
          <w:rFonts w:hint="eastAsia" w:cs="仿宋_GB2312"/>
          <w:color w:val="auto"/>
          <w:sz w:val="24"/>
          <w:szCs w:val="24"/>
          <w:highlight w:val="none"/>
        </w:rPr>
        <w:t xml:space="preserve">：        </w:t>
      </w:r>
    </w:p>
    <w:tbl>
      <w:tblPr>
        <w:tblStyle w:val="30"/>
        <w:tblW w:w="50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394"/>
        <w:gridCol w:w="1720"/>
        <w:gridCol w:w="1871"/>
        <w:gridCol w:w="1871"/>
      </w:tblGrid>
      <w:tr w14:paraId="16BE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20" w:type="pct"/>
            <w:vAlign w:val="center"/>
          </w:tcPr>
          <w:p w14:paraId="1A4BE3A9">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95" w:type="pct"/>
            <w:vAlign w:val="center"/>
          </w:tcPr>
          <w:p w14:paraId="7CB83CD6">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招标文件的商务条款</w:t>
            </w:r>
          </w:p>
        </w:tc>
        <w:tc>
          <w:tcPr>
            <w:tcW w:w="1002" w:type="pct"/>
            <w:vAlign w:val="center"/>
          </w:tcPr>
          <w:p w14:paraId="55A47B57">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投标文件的响应内容</w:t>
            </w:r>
          </w:p>
        </w:tc>
        <w:tc>
          <w:tcPr>
            <w:tcW w:w="1090" w:type="pct"/>
            <w:vAlign w:val="center"/>
          </w:tcPr>
          <w:p w14:paraId="2572E859">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响应情况</w:t>
            </w:r>
          </w:p>
        </w:tc>
        <w:tc>
          <w:tcPr>
            <w:tcW w:w="1090" w:type="pct"/>
            <w:vAlign w:val="center"/>
          </w:tcPr>
          <w:p w14:paraId="7884F206">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说明及索引</w:t>
            </w:r>
          </w:p>
        </w:tc>
      </w:tr>
      <w:tr w14:paraId="0728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156411A">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95" w:type="pct"/>
            <w:vAlign w:val="center"/>
          </w:tcPr>
          <w:p w14:paraId="34566CA0">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02" w:type="pct"/>
            <w:vAlign w:val="center"/>
          </w:tcPr>
          <w:p w14:paraId="1C6482B4">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90" w:type="pct"/>
            <w:vAlign w:val="center"/>
          </w:tcPr>
          <w:p w14:paraId="1BBD0417">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响应/偏离</w:t>
            </w:r>
          </w:p>
        </w:tc>
        <w:tc>
          <w:tcPr>
            <w:tcW w:w="1090" w:type="pct"/>
            <w:vAlign w:val="center"/>
          </w:tcPr>
          <w:p w14:paraId="1A90E39C">
            <w:pPr>
              <w:pStyle w:val="49"/>
              <w:jc w:val="center"/>
              <w:rPr>
                <w:rFonts w:hint="eastAsia" w:ascii="宋体" w:hAnsi="宋体" w:eastAsia="宋体" w:cs="宋体"/>
                <w:color w:val="auto"/>
                <w:sz w:val="24"/>
                <w:szCs w:val="24"/>
                <w:highlight w:val="none"/>
              </w:rPr>
            </w:pPr>
          </w:p>
        </w:tc>
      </w:tr>
      <w:tr w14:paraId="7C83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5821036">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95" w:type="pct"/>
            <w:vAlign w:val="center"/>
          </w:tcPr>
          <w:p w14:paraId="2A717A55">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02" w:type="pct"/>
            <w:vAlign w:val="center"/>
          </w:tcPr>
          <w:p w14:paraId="20EC7575">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90" w:type="pct"/>
            <w:vAlign w:val="center"/>
          </w:tcPr>
          <w:p w14:paraId="5923E58D">
            <w:pPr>
              <w:pStyle w:val="49"/>
              <w:jc w:val="center"/>
              <w:rPr>
                <w:rFonts w:hint="eastAsia" w:ascii="宋体" w:hAnsi="宋体" w:eastAsia="宋体" w:cs="宋体"/>
                <w:color w:val="auto"/>
                <w:sz w:val="24"/>
                <w:szCs w:val="24"/>
                <w:highlight w:val="none"/>
              </w:rPr>
            </w:pPr>
          </w:p>
        </w:tc>
        <w:tc>
          <w:tcPr>
            <w:tcW w:w="1090" w:type="pct"/>
            <w:vAlign w:val="center"/>
          </w:tcPr>
          <w:p w14:paraId="59C2C317">
            <w:pPr>
              <w:pStyle w:val="49"/>
              <w:jc w:val="center"/>
              <w:rPr>
                <w:rFonts w:hint="eastAsia" w:ascii="宋体" w:hAnsi="宋体" w:eastAsia="宋体" w:cs="宋体"/>
                <w:color w:val="auto"/>
                <w:sz w:val="24"/>
                <w:szCs w:val="24"/>
                <w:highlight w:val="none"/>
              </w:rPr>
            </w:pPr>
          </w:p>
        </w:tc>
      </w:tr>
      <w:tr w14:paraId="6435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6D563CA4">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95" w:type="pct"/>
            <w:vAlign w:val="center"/>
          </w:tcPr>
          <w:p w14:paraId="595245DB">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02" w:type="pct"/>
            <w:vAlign w:val="center"/>
          </w:tcPr>
          <w:p w14:paraId="0A16B4B6">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90" w:type="pct"/>
            <w:vAlign w:val="center"/>
          </w:tcPr>
          <w:p w14:paraId="58535F72">
            <w:pPr>
              <w:pStyle w:val="49"/>
              <w:jc w:val="center"/>
              <w:rPr>
                <w:rFonts w:hint="eastAsia" w:ascii="宋体" w:hAnsi="宋体" w:eastAsia="宋体" w:cs="宋体"/>
                <w:color w:val="auto"/>
                <w:sz w:val="24"/>
                <w:szCs w:val="24"/>
                <w:highlight w:val="none"/>
              </w:rPr>
            </w:pPr>
          </w:p>
        </w:tc>
        <w:tc>
          <w:tcPr>
            <w:tcW w:w="1090" w:type="pct"/>
            <w:vAlign w:val="center"/>
          </w:tcPr>
          <w:p w14:paraId="50AB520B">
            <w:pPr>
              <w:pStyle w:val="49"/>
              <w:jc w:val="center"/>
              <w:rPr>
                <w:rFonts w:hint="eastAsia" w:ascii="宋体" w:hAnsi="宋体" w:eastAsia="宋体" w:cs="宋体"/>
                <w:color w:val="auto"/>
                <w:sz w:val="24"/>
                <w:szCs w:val="24"/>
                <w:highlight w:val="none"/>
              </w:rPr>
            </w:pPr>
          </w:p>
        </w:tc>
      </w:tr>
      <w:tr w14:paraId="669E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74127D5E">
            <w:pPr>
              <w:pStyle w:val="49"/>
              <w:jc w:val="center"/>
              <w:rPr>
                <w:rFonts w:hint="eastAsia" w:ascii="宋体" w:hAnsi="宋体" w:eastAsia="宋体" w:cs="宋体"/>
                <w:color w:val="auto"/>
                <w:sz w:val="24"/>
                <w:szCs w:val="24"/>
                <w:highlight w:val="none"/>
              </w:rPr>
            </w:pPr>
          </w:p>
        </w:tc>
        <w:tc>
          <w:tcPr>
            <w:tcW w:w="1395" w:type="pct"/>
            <w:vAlign w:val="center"/>
          </w:tcPr>
          <w:p w14:paraId="14968038">
            <w:pPr>
              <w:pStyle w:val="49"/>
              <w:jc w:val="center"/>
              <w:rPr>
                <w:rFonts w:hint="eastAsia" w:ascii="宋体" w:hAnsi="宋体" w:eastAsia="宋体" w:cs="宋体"/>
                <w:color w:val="auto"/>
                <w:sz w:val="24"/>
                <w:szCs w:val="24"/>
                <w:highlight w:val="none"/>
              </w:rPr>
            </w:pPr>
          </w:p>
        </w:tc>
        <w:tc>
          <w:tcPr>
            <w:tcW w:w="1002" w:type="pct"/>
            <w:vAlign w:val="center"/>
          </w:tcPr>
          <w:p w14:paraId="10A6B59E">
            <w:pPr>
              <w:pStyle w:val="49"/>
              <w:jc w:val="center"/>
              <w:rPr>
                <w:rFonts w:hint="eastAsia" w:ascii="宋体" w:hAnsi="宋体" w:eastAsia="宋体" w:cs="宋体"/>
                <w:color w:val="auto"/>
                <w:sz w:val="24"/>
                <w:szCs w:val="24"/>
                <w:highlight w:val="none"/>
              </w:rPr>
            </w:pPr>
          </w:p>
        </w:tc>
        <w:tc>
          <w:tcPr>
            <w:tcW w:w="1090" w:type="pct"/>
            <w:vAlign w:val="center"/>
          </w:tcPr>
          <w:p w14:paraId="61702DF6">
            <w:pPr>
              <w:pStyle w:val="49"/>
              <w:jc w:val="center"/>
              <w:rPr>
                <w:rFonts w:hint="eastAsia" w:ascii="宋体" w:hAnsi="宋体" w:eastAsia="宋体" w:cs="宋体"/>
                <w:color w:val="auto"/>
                <w:sz w:val="24"/>
                <w:szCs w:val="24"/>
                <w:highlight w:val="none"/>
              </w:rPr>
            </w:pPr>
          </w:p>
        </w:tc>
        <w:tc>
          <w:tcPr>
            <w:tcW w:w="1090" w:type="pct"/>
            <w:vAlign w:val="center"/>
          </w:tcPr>
          <w:p w14:paraId="0CC18FC2">
            <w:pPr>
              <w:pStyle w:val="49"/>
              <w:jc w:val="center"/>
              <w:rPr>
                <w:rFonts w:hint="eastAsia" w:ascii="宋体" w:hAnsi="宋体" w:eastAsia="宋体" w:cs="宋体"/>
                <w:color w:val="auto"/>
                <w:sz w:val="24"/>
                <w:szCs w:val="24"/>
                <w:highlight w:val="none"/>
              </w:rPr>
            </w:pPr>
          </w:p>
        </w:tc>
      </w:tr>
      <w:tr w14:paraId="57F3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4561F269">
            <w:pPr>
              <w:pStyle w:val="49"/>
              <w:jc w:val="center"/>
              <w:rPr>
                <w:rFonts w:hint="eastAsia" w:ascii="宋体" w:hAnsi="宋体" w:eastAsia="宋体" w:cs="宋体"/>
                <w:color w:val="auto"/>
                <w:sz w:val="24"/>
                <w:szCs w:val="24"/>
                <w:highlight w:val="none"/>
              </w:rPr>
            </w:pPr>
          </w:p>
        </w:tc>
        <w:tc>
          <w:tcPr>
            <w:tcW w:w="1395" w:type="pct"/>
            <w:vAlign w:val="center"/>
          </w:tcPr>
          <w:p w14:paraId="5DDD9937">
            <w:pPr>
              <w:pStyle w:val="49"/>
              <w:jc w:val="center"/>
              <w:rPr>
                <w:rFonts w:hint="eastAsia" w:ascii="宋体" w:hAnsi="宋体" w:eastAsia="宋体" w:cs="宋体"/>
                <w:color w:val="auto"/>
                <w:sz w:val="24"/>
                <w:szCs w:val="24"/>
                <w:highlight w:val="none"/>
              </w:rPr>
            </w:pPr>
          </w:p>
        </w:tc>
        <w:tc>
          <w:tcPr>
            <w:tcW w:w="1002" w:type="pct"/>
            <w:vAlign w:val="center"/>
          </w:tcPr>
          <w:p w14:paraId="0B29A018">
            <w:pPr>
              <w:pStyle w:val="49"/>
              <w:jc w:val="center"/>
              <w:rPr>
                <w:rFonts w:hint="eastAsia" w:ascii="宋体" w:hAnsi="宋体" w:eastAsia="宋体" w:cs="宋体"/>
                <w:color w:val="auto"/>
                <w:sz w:val="24"/>
                <w:szCs w:val="24"/>
                <w:highlight w:val="none"/>
              </w:rPr>
            </w:pPr>
          </w:p>
        </w:tc>
        <w:tc>
          <w:tcPr>
            <w:tcW w:w="1090" w:type="pct"/>
            <w:vAlign w:val="center"/>
          </w:tcPr>
          <w:p w14:paraId="1FA693DE">
            <w:pPr>
              <w:pStyle w:val="49"/>
              <w:jc w:val="center"/>
              <w:rPr>
                <w:rFonts w:hint="eastAsia" w:ascii="宋体" w:hAnsi="宋体" w:eastAsia="宋体" w:cs="宋体"/>
                <w:color w:val="auto"/>
                <w:sz w:val="24"/>
                <w:szCs w:val="24"/>
                <w:highlight w:val="none"/>
              </w:rPr>
            </w:pPr>
          </w:p>
        </w:tc>
        <w:tc>
          <w:tcPr>
            <w:tcW w:w="1090" w:type="pct"/>
            <w:vAlign w:val="center"/>
          </w:tcPr>
          <w:p w14:paraId="3D633AB6">
            <w:pPr>
              <w:pStyle w:val="49"/>
              <w:jc w:val="center"/>
              <w:rPr>
                <w:rFonts w:hint="eastAsia" w:ascii="宋体" w:hAnsi="宋体" w:eastAsia="宋体" w:cs="宋体"/>
                <w:color w:val="auto"/>
                <w:sz w:val="24"/>
                <w:szCs w:val="24"/>
                <w:highlight w:val="none"/>
              </w:rPr>
            </w:pPr>
          </w:p>
        </w:tc>
      </w:tr>
      <w:tr w14:paraId="1244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59A5171A">
            <w:pPr>
              <w:pStyle w:val="49"/>
              <w:jc w:val="center"/>
              <w:rPr>
                <w:rFonts w:hint="eastAsia" w:ascii="宋体" w:hAnsi="宋体" w:eastAsia="宋体" w:cs="宋体"/>
                <w:color w:val="auto"/>
                <w:sz w:val="24"/>
                <w:szCs w:val="24"/>
                <w:highlight w:val="none"/>
              </w:rPr>
            </w:pPr>
          </w:p>
        </w:tc>
        <w:tc>
          <w:tcPr>
            <w:tcW w:w="1395" w:type="pct"/>
            <w:vAlign w:val="center"/>
          </w:tcPr>
          <w:p w14:paraId="014A297F">
            <w:pPr>
              <w:pStyle w:val="49"/>
              <w:jc w:val="center"/>
              <w:rPr>
                <w:rFonts w:hint="eastAsia" w:ascii="宋体" w:hAnsi="宋体" w:eastAsia="宋体" w:cs="宋体"/>
                <w:color w:val="auto"/>
                <w:sz w:val="24"/>
                <w:szCs w:val="24"/>
                <w:highlight w:val="none"/>
              </w:rPr>
            </w:pPr>
          </w:p>
        </w:tc>
        <w:tc>
          <w:tcPr>
            <w:tcW w:w="1002" w:type="pct"/>
            <w:vAlign w:val="center"/>
          </w:tcPr>
          <w:p w14:paraId="51467013">
            <w:pPr>
              <w:pStyle w:val="49"/>
              <w:jc w:val="center"/>
              <w:rPr>
                <w:rFonts w:hint="eastAsia" w:ascii="宋体" w:hAnsi="宋体" w:eastAsia="宋体" w:cs="宋体"/>
                <w:color w:val="auto"/>
                <w:sz w:val="24"/>
                <w:szCs w:val="24"/>
                <w:highlight w:val="none"/>
              </w:rPr>
            </w:pPr>
          </w:p>
        </w:tc>
        <w:tc>
          <w:tcPr>
            <w:tcW w:w="1090" w:type="pct"/>
            <w:vAlign w:val="center"/>
          </w:tcPr>
          <w:p w14:paraId="011E40CA">
            <w:pPr>
              <w:pStyle w:val="49"/>
              <w:jc w:val="center"/>
              <w:rPr>
                <w:rFonts w:hint="eastAsia" w:ascii="宋体" w:hAnsi="宋体" w:eastAsia="宋体" w:cs="宋体"/>
                <w:color w:val="auto"/>
                <w:sz w:val="24"/>
                <w:szCs w:val="24"/>
                <w:highlight w:val="none"/>
              </w:rPr>
            </w:pPr>
          </w:p>
        </w:tc>
        <w:tc>
          <w:tcPr>
            <w:tcW w:w="1090" w:type="pct"/>
            <w:vAlign w:val="center"/>
          </w:tcPr>
          <w:p w14:paraId="7062C313">
            <w:pPr>
              <w:pStyle w:val="49"/>
              <w:jc w:val="center"/>
              <w:rPr>
                <w:rFonts w:hint="eastAsia" w:ascii="宋体" w:hAnsi="宋体" w:eastAsia="宋体" w:cs="宋体"/>
                <w:color w:val="auto"/>
                <w:sz w:val="24"/>
                <w:szCs w:val="24"/>
                <w:highlight w:val="none"/>
              </w:rPr>
            </w:pPr>
          </w:p>
        </w:tc>
      </w:tr>
      <w:tr w14:paraId="7994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0B6F410">
            <w:pPr>
              <w:pStyle w:val="49"/>
              <w:jc w:val="center"/>
              <w:rPr>
                <w:rFonts w:hint="eastAsia" w:ascii="宋体" w:hAnsi="宋体" w:eastAsia="宋体" w:cs="宋体"/>
                <w:color w:val="auto"/>
                <w:sz w:val="24"/>
                <w:szCs w:val="24"/>
                <w:highlight w:val="none"/>
              </w:rPr>
            </w:pPr>
          </w:p>
        </w:tc>
        <w:tc>
          <w:tcPr>
            <w:tcW w:w="1395" w:type="pct"/>
            <w:vAlign w:val="center"/>
          </w:tcPr>
          <w:p w14:paraId="010A1BB0">
            <w:pPr>
              <w:pStyle w:val="49"/>
              <w:jc w:val="center"/>
              <w:rPr>
                <w:rFonts w:hint="eastAsia" w:ascii="宋体" w:hAnsi="宋体" w:eastAsia="宋体" w:cs="宋体"/>
                <w:color w:val="auto"/>
                <w:sz w:val="24"/>
                <w:szCs w:val="24"/>
                <w:highlight w:val="none"/>
              </w:rPr>
            </w:pPr>
          </w:p>
        </w:tc>
        <w:tc>
          <w:tcPr>
            <w:tcW w:w="1002" w:type="pct"/>
            <w:vAlign w:val="center"/>
          </w:tcPr>
          <w:p w14:paraId="1EE22C75">
            <w:pPr>
              <w:pStyle w:val="49"/>
              <w:jc w:val="center"/>
              <w:rPr>
                <w:rFonts w:hint="eastAsia" w:ascii="宋体" w:hAnsi="宋体" w:eastAsia="宋体" w:cs="宋体"/>
                <w:color w:val="auto"/>
                <w:sz w:val="24"/>
                <w:szCs w:val="24"/>
                <w:highlight w:val="none"/>
              </w:rPr>
            </w:pPr>
          </w:p>
        </w:tc>
        <w:tc>
          <w:tcPr>
            <w:tcW w:w="1090" w:type="pct"/>
            <w:vAlign w:val="center"/>
          </w:tcPr>
          <w:p w14:paraId="3C86F2CC">
            <w:pPr>
              <w:pStyle w:val="49"/>
              <w:jc w:val="center"/>
              <w:rPr>
                <w:rFonts w:hint="eastAsia" w:ascii="宋体" w:hAnsi="宋体" w:eastAsia="宋体" w:cs="宋体"/>
                <w:color w:val="auto"/>
                <w:sz w:val="24"/>
                <w:szCs w:val="24"/>
                <w:highlight w:val="none"/>
              </w:rPr>
            </w:pPr>
          </w:p>
        </w:tc>
        <w:tc>
          <w:tcPr>
            <w:tcW w:w="1090" w:type="pct"/>
            <w:vAlign w:val="center"/>
          </w:tcPr>
          <w:p w14:paraId="515EA04E">
            <w:pPr>
              <w:pStyle w:val="49"/>
              <w:jc w:val="center"/>
              <w:rPr>
                <w:rFonts w:hint="eastAsia" w:ascii="宋体" w:hAnsi="宋体" w:eastAsia="宋体" w:cs="宋体"/>
                <w:color w:val="auto"/>
                <w:sz w:val="24"/>
                <w:szCs w:val="24"/>
                <w:highlight w:val="none"/>
              </w:rPr>
            </w:pPr>
          </w:p>
        </w:tc>
      </w:tr>
      <w:tr w14:paraId="2D75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7EFA1E0">
            <w:pPr>
              <w:pStyle w:val="49"/>
              <w:jc w:val="center"/>
              <w:rPr>
                <w:rFonts w:hint="eastAsia" w:ascii="宋体" w:hAnsi="宋体" w:eastAsia="宋体" w:cs="宋体"/>
                <w:color w:val="auto"/>
                <w:sz w:val="24"/>
                <w:szCs w:val="24"/>
                <w:highlight w:val="none"/>
              </w:rPr>
            </w:pPr>
          </w:p>
        </w:tc>
        <w:tc>
          <w:tcPr>
            <w:tcW w:w="1395" w:type="pct"/>
            <w:vAlign w:val="center"/>
          </w:tcPr>
          <w:p w14:paraId="1C7A6406">
            <w:pPr>
              <w:pStyle w:val="49"/>
              <w:jc w:val="center"/>
              <w:rPr>
                <w:rFonts w:hint="eastAsia" w:ascii="宋体" w:hAnsi="宋体" w:eastAsia="宋体" w:cs="宋体"/>
                <w:color w:val="auto"/>
                <w:sz w:val="24"/>
                <w:szCs w:val="24"/>
                <w:highlight w:val="none"/>
              </w:rPr>
            </w:pPr>
          </w:p>
        </w:tc>
        <w:tc>
          <w:tcPr>
            <w:tcW w:w="1002" w:type="pct"/>
            <w:vAlign w:val="center"/>
          </w:tcPr>
          <w:p w14:paraId="7F774DAF">
            <w:pPr>
              <w:pStyle w:val="49"/>
              <w:jc w:val="center"/>
              <w:rPr>
                <w:rFonts w:hint="eastAsia" w:ascii="宋体" w:hAnsi="宋体" w:eastAsia="宋体" w:cs="宋体"/>
                <w:color w:val="auto"/>
                <w:sz w:val="24"/>
                <w:szCs w:val="24"/>
                <w:highlight w:val="none"/>
              </w:rPr>
            </w:pPr>
          </w:p>
        </w:tc>
        <w:tc>
          <w:tcPr>
            <w:tcW w:w="1090" w:type="pct"/>
            <w:vAlign w:val="center"/>
          </w:tcPr>
          <w:p w14:paraId="66A55C54">
            <w:pPr>
              <w:pStyle w:val="49"/>
              <w:jc w:val="center"/>
              <w:rPr>
                <w:rFonts w:hint="eastAsia" w:ascii="宋体" w:hAnsi="宋体" w:eastAsia="宋体" w:cs="宋体"/>
                <w:color w:val="auto"/>
                <w:sz w:val="24"/>
                <w:szCs w:val="24"/>
                <w:highlight w:val="none"/>
              </w:rPr>
            </w:pPr>
          </w:p>
        </w:tc>
        <w:tc>
          <w:tcPr>
            <w:tcW w:w="1090" w:type="pct"/>
            <w:vAlign w:val="center"/>
          </w:tcPr>
          <w:p w14:paraId="6FC3A7DB">
            <w:pPr>
              <w:pStyle w:val="49"/>
              <w:jc w:val="center"/>
              <w:rPr>
                <w:rFonts w:hint="eastAsia" w:ascii="宋体" w:hAnsi="宋体" w:eastAsia="宋体" w:cs="宋体"/>
                <w:color w:val="auto"/>
                <w:sz w:val="24"/>
                <w:szCs w:val="24"/>
                <w:highlight w:val="none"/>
              </w:rPr>
            </w:pPr>
          </w:p>
        </w:tc>
      </w:tr>
      <w:tr w14:paraId="322E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E27F183">
            <w:pPr>
              <w:pStyle w:val="49"/>
              <w:jc w:val="center"/>
              <w:rPr>
                <w:rFonts w:hint="eastAsia" w:ascii="宋体" w:hAnsi="宋体" w:eastAsia="宋体" w:cs="宋体"/>
                <w:color w:val="auto"/>
                <w:sz w:val="24"/>
                <w:szCs w:val="24"/>
                <w:highlight w:val="none"/>
              </w:rPr>
            </w:pPr>
          </w:p>
        </w:tc>
        <w:tc>
          <w:tcPr>
            <w:tcW w:w="1395" w:type="pct"/>
            <w:vAlign w:val="center"/>
          </w:tcPr>
          <w:p w14:paraId="199507E1">
            <w:pPr>
              <w:pStyle w:val="49"/>
              <w:jc w:val="center"/>
              <w:rPr>
                <w:rFonts w:hint="eastAsia" w:ascii="宋体" w:hAnsi="宋体" w:eastAsia="宋体" w:cs="宋体"/>
                <w:color w:val="auto"/>
                <w:sz w:val="24"/>
                <w:szCs w:val="24"/>
                <w:highlight w:val="none"/>
              </w:rPr>
            </w:pPr>
          </w:p>
        </w:tc>
        <w:tc>
          <w:tcPr>
            <w:tcW w:w="1002" w:type="pct"/>
            <w:vAlign w:val="center"/>
          </w:tcPr>
          <w:p w14:paraId="6691FD82">
            <w:pPr>
              <w:pStyle w:val="49"/>
              <w:jc w:val="center"/>
              <w:rPr>
                <w:rFonts w:hint="eastAsia" w:ascii="宋体" w:hAnsi="宋体" w:eastAsia="宋体" w:cs="宋体"/>
                <w:color w:val="auto"/>
                <w:sz w:val="24"/>
                <w:szCs w:val="24"/>
                <w:highlight w:val="none"/>
              </w:rPr>
            </w:pPr>
          </w:p>
        </w:tc>
        <w:tc>
          <w:tcPr>
            <w:tcW w:w="1090" w:type="pct"/>
            <w:vAlign w:val="center"/>
          </w:tcPr>
          <w:p w14:paraId="6E35002B">
            <w:pPr>
              <w:pStyle w:val="49"/>
              <w:jc w:val="center"/>
              <w:rPr>
                <w:rFonts w:hint="eastAsia" w:ascii="宋体" w:hAnsi="宋体" w:eastAsia="宋体" w:cs="宋体"/>
                <w:color w:val="auto"/>
                <w:sz w:val="24"/>
                <w:szCs w:val="24"/>
                <w:highlight w:val="none"/>
              </w:rPr>
            </w:pPr>
          </w:p>
        </w:tc>
        <w:tc>
          <w:tcPr>
            <w:tcW w:w="1090" w:type="pct"/>
            <w:vAlign w:val="center"/>
          </w:tcPr>
          <w:p w14:paraId="69818ED1">
            <w:pPr>
              <w:pStyle w:val="49"/>
              <w:jc w:val="center"/>
              <w:rPr>
                <w:rFonts w:hint="eastAsia" w:ascii="宋体" w:hAnsi="宋体" w:eastAsia="宋体" w:cs="宋体"/>
                <w:color w:val="auto"/>
                <w:sz w:val="24"/>
                <w:szCs w:val="24"/>
                <w:highlight w:val="none"/>
              </w:rPr>
            </w:pPr>
          </w:p>
        </w:tc>
      </w:tr>
      <w:tr w14:paraId="79F3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0" w:type="pct"/>
            <w:vAlign w:val="center"/>
          </w:tcPr>
          <w:p w14:paraId="71E185D4">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395" w:type="pct"/>
            <w:vAlign w:val="center"/>
          </w:tcPr>
          <w:p w14:paraId="6324A49D">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02" w:type="pct"/>
            <w:vAlign w:val="center"/>
          </w:tcPr>
          <w:p w14:paraId="0EE83785">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90" w:type="pct"/>
            <w:vAlign w:val="center"/>
          </w:tcPr>
          <w:p w14:paraId="7A24BB2D">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90" w:type="pct"/>
            <w:vAlign w:val="center"/>
          </w:tcPr>
          <w:p w14:paraId="7CC08218">
            <w:pPr>
              <w:pStyle w:val="49"/>
              <w:jc w:val="center"/>
              <w:rPr>
                <w:rFonts w:hint="eastAsia" w:ascii="宋体" w:hAnsi="宋体" w:eastAsia="宋体" w:cs="宋体"/>
                <w:color w:val="auto"/>
                <w:sz w:val="24"/>
                <w:szCs w:val="24"/>
                <w:highlight w:val="none"/>
              </w:rPr>
            </w:pPr>
          </w:p>
        </w:tc>
      </w:tr>
    </w:tbl>
    <w:p w14:paraId="5516D2ED">
      <w:pPr>
        <w:ind w:firstLine="480" w:firstLineChars="200"/>
        <w:rPr>
          <w:rFonts w:hint="eastAsia" w:cs="仿宋_GB2312"/>
          <w:color w:val="auto"/>
          <w:sz w:val="24"/>
          <w:szCs w:val="24"/>
          <w:highlight w:val="none"/>
        </w:rPr>
      </w:pPr>
    </w:p>
    <w:p w14:paraId="5CB06622">
      <w:pPr>
        <w:ind w:firstLine="480" w:firstLineChars="200"/>
        <w:rPr>
          <w:rFonts w:cs="仿宋_GB2312"/>
          <w:color w:val="auto"/>
          <w:sz w:val="24"/>
          <w:szCs w:val="24"/>
          <w:highlight w:val="none"/>
        </w:rPr>
      </w:pPr>
    </w:p>
    <w:p w14:paraId="2E8083B6">
      <w:pPr>
        <w:ind w:firstLine="480" w:firstLineChars="200"/>
        <w:rPr>
          <w:rFonts w:cs="仿宋_GB2312"/>
          <w:color w:val="auto"/>
          <w:sz w:val="24"/>
          <w:szCs w:val="24"/>
          <w:highlight w:val="none"/>
        </w:rPr>
      </w:pPr>
      <w:r>
        <w:rPr>
          <w:rFonts w:hint="eastAsia" w:cs="仿宋_GB2312"/>
          <w:color w:val="auto"/>
          <w:sz w:val="24"/>
          <w:szCs w:val="24"/>
          <w:highlight w:val="none"/>
        </w:rPr>
        <w:t>投标人名称</w:t>
      </w:r>
      <w:r>
        <w:rPr>
          <w:rFonts w:hint="eastAsia" w:cs="仿宋_GB2312"/>
          <w:color w:val="auto"/>
          <w:sz w:val="24"/>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szCs w:val="24"/>
          <w:highlight w:val="none"/>
          <w:lang w:val="zh-CN"/>
        </w:rPr>
        <w:t>)</w:t>
      </w:r>
      <w:r>
        <w:rPr>
          <w:rFonts w:hint="eastAsia" w:cs="仿宋_GB2312"/>
          <w:color w:val="auto"/>
          <w:sz w:val="24"/>
          <w:szCs w:val="24"/>
          <w:highlight w:val="none"/>
        </w:rPr>
        <w:t>：</w:t>
      </w:r>
      <w:r>
        <w:rPr>
          <w:rFonts w:cs="仿宋_GB2312"/>
          <w:color w:val="auto"/>
          <w:sz w:val="24"/>
          <w:szCs w:val="24"/>
          <w:highlight w:val="none"/>
        </w:rPr>
        <w:t xml:space="preserve"> </w:t>
      </w:r>
    </w:p>
    <w:p w14:paraId="77655944">
      <w:pPr>
        <w:ind w:firstLine="420"/>
        <w:rPr>
          <w:rFonts w:cs="仿宋_GB2312"/>
          <w:color w:val="auto"/>
          <w:sz w:val="24"/>
          <w:szCs w:val="24"/>
          <w:highlight w:val="none"/>
        </w:rPr>
      </w:pPr>
      <w:r>
        <w:rPr>
          <w:rFonts w:hint="eastAsia" w:cs="仿宋_GB2312"/>
          <w:color w:val="auto"/>
          <w:sz w:val="24"/>
          <w:szCs w:val="24"/>
          <w:highlight w:val="none"/>
        </w:rPr>
        <w:t>日      期：</w:t>
      </w:r>
    </w:p>
    <w:p w14:paraId="62D3AA4F">
      <w:pPr>
        <w:ind w:firstLine="480" w:firstLineChars="200"/>
        <w:rPr>
          <w:rFonts w:hint="eastAsia" w:cs="仿宋_GB2312"/>
          <w:color w:val="auto"/>
          <w:sz w:val="24"/>
          <w:szCs w:val="24"/>
          <w:highlight w:val="none"/>
        </w:rPr>
      </w:pPr>
    </w:p>
    <w:p w14:paraId="3F428C59">
      <w:pPr>
        <w:ind w:firstLine="480" w:firstLineChars="200"/>
        <w:rPr>
          <w:rFonts w:cs="仿宋_GB2312"/>
          <w:color w:val="auto"/>
          <w:sz w:val="24"/>
          <w:szCs w:val="24"/>
          <w:highlight w:val="none"/>
        </w:rPr>
      </w:pPr>
      <w:r>
        <w:rPr>
          <w:rFonts w:hint="eastAsia" w:cs="仿宋_GB2312"/>
          <w:color w:val="auto"/>
          <w:sz w:val="24"/>
          <w:szCs w:val="24"/>
          <w:highlight w:val="none"/>
        </w:rPr>
        <w:t>注：投标人应按照招标文件“第三章 采购需求”</w:t>
      </w:r>
      <w:r>
        <w:rPr>
          <w:rFonts w:hint="eastAsia" w:cs="仿宋_GB2312"/>
          <w:color w:val="auto"/>
          <w:sz w:val="24"/>
          <w:szCs w:val="24"/>
          <w:highlight w:val="none"/>
          <w:lang w:val="en-US" w:eastAsia="zh-CN"/>
        </w:rPr>
        <w:t>中的商务要求</w:t>
      </w:r>
      <w:r>
        <w:rPr>
          <w:rFonts w:hint="eastAsia" w:cs="仿宋_GB2312"/>
          <w:color w:val="auto"/>
          <w:sz w:val="24"/>
          <w:szCs w:val="24"/>
          <w:highlight w:val="none"/>
        </w:rPr>
        <w:t>填写</w:t>
      </w:r>
      <w:r>
        <w:rPr>
          <w:rFonts w:hint="eastAsia" w:cs="仿宋_GB2312"/>
          <w:color w:val="auto"/>
          <w:sz w:val="24"/>
          <w:szCs w:val="24"/>
          <w:highlight w:val="none"/>
          <w:lang w:eastAsia="zh-CN"/>
        </w:rPr>
        <w:t>：</w:t>
      </w:r>
    </w:p>
    <w:p w14:paraId="16749689">
      <w:pPr>
        <w:ind w:firstLine="480" w:firstLineChars="200"/>
        <w:rPr>
          <w:rFonts w:hint="eastAsia" w:cs="仿宋_GB2312"/>
          <w:color w:val="auto"/>
          <w:sz w:val="24"/>
          <w:szCs w:val="24"/>
          <w:highlight w:val="none"/>
        </w:rPr>
      </w:pPr>
      <w:r>
        <w:rPr>
          <w:rFonts w:hint="eastAsia" w:cs="仿宋_GB2312"/>
          <w:color w:val="auto"/>
          <w:sz w:val="24"/>
          <w:szCs w:val="24"/>
          <w:highlight w:val="none"/>
          <w:lang w:val="en-US" w:eastAsia="zh-CN"/>
        </w:rPr>
        <w:t xml:space="preserve">1.“招标文件的商务条款”栏应详细列明招标文件中的商务要求。 </w:t>
      </w:r>
    </w:p>
    <w:p w14:paraId="5CB91061">
      <w:pPr>
        <w:ind w:firstLine="480" w:firstLineChars="200"/>
        <w:rPr>
          <w:rFonts w:hint="eastAsia" w:cs="仿宋_GB2312"/>
          <w:color w:val="auto"/>
          <w:sz w:val="24"/>
          <w:szCs w:val="24"/>
          <w:highlight w:val="none"/>
        </w:rPr>
      </w:pPr>
      <w:r>
        <w:rPr>
          <w:rFonts w:hint="eastAsia" w:cs="仿宋_GB2312"/>
          <w:color w:val="auto"/>
          <w:sz w:val="24"/>
          <w:szCs w:val="24"/>
          <w:highlight w:val="none"/>
          <w:lang w:val="en-US" w:eastAsia="zh-CN"/>
        </w:rPr>
        <w:t>2.“投标文件的响应内容”栏填写投标人对招标文件提出的商务条款作出的明确响应，并列明具体响应数值或内容，只注明符合、满足等无具体内容表述的，将视为未实质性满足招标文件要求</w:t>
      </w:r>
      <w:r>
        <w:rPr>
          <w:rFonts w:hint="default" w:cs="仿宋_GB2312"/>
          <w:color w:val="auto"/>
          <w:sz w:val="24"/>
          <w:szCs w:val="24"/>
          <w:highlight w:val="none"/>
          <w:lang w:val="en-US" w:eastAsia="zh-CN"/>
        </w:rPr>
        <w:t>，</w:t>
      </w:r>
      <w:r>
        <w:rPr>
          <w:rFonts w:hint="eastAsia" w:cs="仿宋_GB2312"/>
          <w:b/>
          <w:bCs/>
          <w:color w:val="auto"/>
          <w:sz w:val="24"/>
          <w:szCs w:val="24"/>
          <w:highlight w:val="none"/>
          <w:lang w:val="en-US" w:eastAsia="zh-CN"/>
        </w:rPr>
        <w:t>投标</w:t>
      </w:r>
      <w:r>
        <w:rPr>
          <w:rFonts w:hint="default" w:cs="仿宋_GB2312"/>
          <w:b/>
          <w:bCs/>
          <w:color w:val="auto"/>
          <w:sz w:val="24"/>
          <w:szCs w:val="24"/>
          <w:highlight w:val="none"/>
          <w:lang w:val="en-US" w:eastAsia="zh-CN"/>
        </w:rPr>
        <w:t>无效</w:t>
      </w:r>
      <w:r>
        <w:rPr>
          <w:rFonts w:hint="eastAsia" w:cs="仿宋_GB2312"/>
          <w:color w:val="auto"/>
          <w:sz w:val="24"/>
          <w:szCs w:val="24"/>
          <w:highlight w:val="none"/>
          <w:lang w:val="en-US" w:eastAsia="zh-CN"/>
        </w:rPr>
        <w:t xml:space="preserve">。 </w:t>
      </w:r>
    </w:p>
    <w:p w14:paraId="0F350247">
      <w:pPr>
        <w:ind w:firstLine="480" w:firstLineChars="200"/>
        <w:rPr>
          <w:rFonts w:hint="eastAsia" w:cs="仿宋_GB2312"/>
          <w:color w:val="auto"/>
          <w:sz w:val="24"/>
          <w:szCs w:val="24"/>
          <w:highlight w:val="none"/>
        </w:rPr>
      </w:pPr>
      <w:r>
        <w:rPr>
          <w:rFonts w:hint="eastAsia" w:cs="仿宋_GB2312"/>
          <w:color w:val="auto"/>
          <w:sz w:val="24"/>
          <w:szCs w:val="24"/>
          <w:highlight w:val="none"/>
          <w:lang w:val="en-US" w:eastAsia="zh-CN"/>
        </w:rPr>
        <w:t xml:space="preserve">3.“响应情况”栏应据实填写“响应”、“正偏离”或“负偏离”。 </w:t>
      </w:r>
    </w:p>
    <w:p w14:paraId="5B002B53">
      <w:pPr>
        <w:ind w:firstLine="480" w:firstLineChars="200"/>
        <w:rPr>
          <w:rFonts w:hint="eastAsia" w:cs="仿宋_GB2312"/>
          <w:color w:val="auto"/>
          <w:sz w:val="24"/>
          <w:szCs w:val="24"/>
          <w:highlight w:val="none"/>
        </w:rPr>
      </w:pPr>
      <w:r>
        <w:rPr>
          <w:rFonts w:hint="eastAsia" w:cs="仿宋_GB2312"/>
          <w:color w:val="auto"/>
          <w:sz w:val="24"/>
          <w:szCs w:val="24"/>
          <w:highlight w:val="none"/>
          <w:lang w:val="en-US" w:eastAsia="zh-CN"/>
        </w:rPr>
        <w:t>4.“说明及索引”栏可填写偏离情况的具体说明及索引。</w:t>
      </w:r>
    </w:p>
    <w:p w14:paraId="59273B30">
      <w:pPr>
        <w:ind w:firstLine="480" w:firstLineChars="200"/>
        <w:rPr>
          <w:rFonts w:hint="eastAsia" w:cs="仿宋_GB2312"/>
          <w:color w:val="auto"/>
          <w:sz w:val="24"/>
          <w:szCs w:val="24"/>
          <w:highlight w:val="none"/>
          <w:lang w:val="en-US" w:eastAsia="zh-CN"/>
        </w:rPr>
      </w:pPr>
      <w:r>
        <w:rPr>
          <w:rFonts w:hint="eastAsia" w:cs="仿宋_GB2312"/>
          <w:color w:val="auto"/>
          <w:sz w:val="24"/>
          <w:szCs w:val="24"/>
          <w:highlight w:val="none"/>
          <w:lang w:val="en-US" w:eastAsia="zh-CN"/>
        </w:rPr>
        <w:t>5.对招标文件中的所有商务要求，除本表所列明的所有偏离外，均视作供应商</w:t>
      </w:r>
      <w:r>
        <w:rPr>
          <w:rFonts w:hint="default" w:cs="仿宋_GB2312"/>
          <w:color w:val="auto"/>
          <w:sz w:val="24"/>
          <w:szCs w:val="24"/>
          <w:highlight w:val="none"/>
          <w:lang w:val="en-US" w:eastAsia="zh-CN"/>
        </w:rPr>
        <w:t>已对之理解和响应。此表中若无任何文字说明，内容为空白的，</w:t>
      </w:r>
      <w:r>
        <w:rPr>
          <w:rFonts w:hint="default" w:cs="仿宋_GB2312"/>
          <w:b/>
          <w:bCs/>
          <w:color w:val="auto"/>
          <w:sz w:val="24"/>
          <w:szCs w:val="24"/>
          <w:highlight w:val="none"/>
          <w:lang w:val="en-US" w:eastAsia="zh-CN"/>
        </w:rPr>
        <w:t>投标无效</w:t>
      </w:r>
      <w:r>
        <w:rPr>
          <w:rFonts w:hint="default" w:cs="仿宋_GB2312"/>
          <w:color w:val="auto"/>
          <w:sz w:val="24"/>
          <w:szCs w:val="24"/>
          <w:highlight w:val="none"/>
          <w:lang w:val="en-US" w:eastAsia="zh-CN"/>
        </w:rPr>
        <w:t>。</w:t>
      </w:r>
    </w:p>
    <w:p w14:paraId="598C43A6">
      <w:pPr>
        <w:ind w:firstLine="420"/>
        <w:rPr>
          <w:rFonts w:cs="仿宋_GB2312"/>
          <w:color w:val="auto"/>
          <w:szCs w:val="24"/>
          <w:highlight w:val="none"/>
        </w:rPr>
      </w:pPr>
      <w:r>
        <w:rPr>
          <w:rFonts w:cs="仿宋_GB2312"/>
          <w:color w:val="auto"/>
          <w:szCs w:val="24"/>
          <w:highlight w:val="none"/>
        </w:rPr>
        <w:br w:type="page"/>
      </w:r>
    </w:p>
    <w:p w14:paraId="3BEF2E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宋体" w:asciiTheme="majorHAnsi" w:hAnsiTheme="majorHAnsi" w:cstheme="majorBidi"/>
          <w:b/>
          <w:bCs/>
          <w:color w:val="auto"/>
          <w:kern w:val="2"/>
          <w:sz w:val="28"/>
          <w:szCs w:val="28"/>
          <w:highlight w:val="none"/>
          <w:lang w:val="en-US" w:eastAsia="zh-CN" w:bidi="ar-SA"/>
        </w:rPr>
      </w:pPr>
      <w:bookmarkStart w:id="426" w:name="_Toc163492930"/>
    </w:p>
    <w:p w14:paraId="287724FC">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427" w:name="_Toc12077"/>
      <w:r>
        <w:rPr>
          <w:rFonts w:hint="eastAsia" w:cstheme="majorBidi"/>
          <w:b/>
          <w:bCs/>
          <w:color w:val="auto"/>
          <w:kern w:val="2"/>
          <w:sz w:val="32"/>
          <w:szCs w:val="32"/>
          <w:highlight w:val="none"/>
          <w:lang w:val="en-US" w:eastAsia="zh-CN" w:bidi="ar-SA"/>
        </w:rPr>
        <w:t>七</w:t>
      </w:r>
      <w:r>
        <w:rPr>
          <w:rFonts w:hint="eastAsia" w:eastAsia="宋体" w:asciiTheme="majorHAnsi" w:hAnsiTheme="majorHAnsi" w:cstheme="majorBidi"/>
          <w:b/>
          <w:bCs/>
          <w:color w:val="auto"/>
          <w:kern w:val="2"/>
          <w:sz w:val="32"/>
          <w:szCs w:val="32"/>
          <w:highlight w:val="none"/>
          <w:lang w:val="en-US" w:eastAsia="zh-CN" w:bidi="ar-SA"/>
        </w:rPr>
        <w:t>、业绩证明文件</w:t>
      </w:r>
      <w:bookmarkEnd w:id="426"/>
      <w:bookmarkEnd w:id="427"/>
    </w:p>
    <w:p w14:paraId="4541380C">
      <w:pPr>
        <w:rPr>
          <w:rFonts w:cs="仿宋_GB2312"/>
          <w:color w:val="auto"/>
          <w:sz w:val="24"/>
          <w:szCs w:val="24"/>
          <w:highlight w:val="none"/>
        </w:rPr>
      </w:pPr>
      <w:r>
        <w:rPr>
          <w:rFonts w:cs="Arial"/>
          <w:bCs/>
          <w:color w:val="auto"/>
          <w:sz w:val="24"/>
          <w:szCs w:val="24"/>
          <w:highlight w:val="none"/>
        </w:rPr>
        <w:fldChar w:fldCharType="begin"/>
      </w:r>
      <w:r>
        <w:rPr>
          <w:rFonts w:cs="Arial"/>
          <w:bCs/>
          <w:color w:val="auto"/>
          <w:sz w:val="24"/>
          <w:szCs w:val="24"/>
          <w:highlight w:val="none"/>
        </w:rPr>
        <w:instrText xml:space="preserve"> LINK Word.Document.8 "D:\\音乐厅\\4通用设备\\招标文件\\音乐厅空调设备招标文件v1.0.doc" "OLE_LINK8" \r  \* MERGEFORMAT </w:instrText>
      </w:r>
      <w:r>
        <w:rPr>
          <w:rFonts w:cs="Arial"/>
          <w:bCs/>
          <w:color w:val="auto"/>
          <w:sz w:val="24"/>
          <w:szCs w:val="24"/>
          <w:highlight w:val="none"/>
        </w:rPr>
        <w:fldChar w:fldCharType="separate"/>
      </w:r>
      <w:r>
        <w:rPr>
          <w:rFonts w:hint="eastAsia" w:cs="仿宋_GB2312"/>
          <w:color w:val="auto"/>
          <w:sz w:val="24"/>
          <w:szCs w:val="24"/>
          <w:highlight w:val="none"/>
        </w:rPr>
        <w:t xml:space="preserve">项目名称：                                         </w:t>
      </w:r>
    </w:p>
    <w:p w14:paraId="159B24BA">
      <w:pPr>
        <w:rPr>
          <w:rFonts w:cs="Arial"/>
          <w:bCs/>
          <w:color w:val="auto"/>
          <w:sz w:val="24"/>
          <w:szCs w:val="24"/>
          <w:highlight w:val="none"/>
        </w:rPr>
      </w:pPr>
      <w:r>
        <w:rPr>
          <w:rFonts w:hint="eastAsia" w:cs="仿宋_GB2312"/>
          <w:color w:val="auto"/>
          <w:sz w:val="24"/>
          <w:szCs w:val="24"/>
          <w:highlight w:val="none"/>
        </w:rPr>
        <w:t>项目编号</w:t>
      </w:r>
      <w:r>
        <w:rPr>
          <w:rFonts w:hint="eastAsia"/>
          <w:b w:val="0"/>
          <w:bCs/>
          <w:color w:val="auto"/>
          <w:sz w:val="24"/>
          <w:szCs w:val="24"/>
          <w:highlight w:val="none"/>
          <w:lang w:val="en-US" w:eastAsia="zh-CN"/>
        </w:rPr>
        <w:t>/</w:t>
      </w:r>
      <w:r>
        <w:rPr>
          <w:rFonts w:hint="eastAsia"/>
          <w:b w:val="0"/>
          <w:bCs/>
          <w:color w:val="auto"/>
          <w:sz w:val="24"/>
          <w:szCs w:val="24"/>
          <w:highlight w:val="none"/>
          <w:lang w:val="zh-CN"/>
        </w:rPr>
        <w:t>包号</w:t>
      </w:r>
      <w:r>
        <w:rPr>
          <w:rFonts w:hint="eastAsia" w:cs="仿宋_GB2312"/>
          <w:color w:val="auto"/>
          <w:sz w:val="24"/>
          <w:szCs w:val="24"/>
          <w:highlight w:val="none"/>
        </w:rPr>
        <w:t xml:space="preserve">：      </w:t>
      </w:r>
      <w:r>
        <w:rPr>
          <w:rFonts w:cs="Arial"/>
          <w:bCs/>
          <w:color w:val="auto"/>
          <w:sz w:val="24"/>
          <w:szCs w:val="24"/>
          <w:highlight w:val="none"/>
        </w:rPr>
        <w:fldChar w:fldCharType="end"/>
      </w:r>
    </w:p>
    <w:tbl>
      <w:tblPr>
        <w:tblStyle w:val="30"/>
        <w:tblW w:w="9072"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560"/>
        <w:gridCol w:w="1248"/>
        <w:gridCol w:w="1560"/>
        <w:gridCol w:w="1344"/>
        <w:gridCol w:w="1525"/>
        <w:gridCol w:w="1091"/>
      </w:tblGrid>
      <w:tr w14:paraId="387D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4E9572F9">
            <w:pPr>
              <w:jc w:val="center"/>
              <w:rPr>
                <w:rFonts w:hint="eastAsia" w:ascii="宋体" w:hAnsi="宋体" w:eastAsia="宋体" w:cs="宋体"/>
                <w:color w:val="auto"/>
                <w:sz w:val="24"/>
                <w:szCs w:val="24"/>
                <w:highlight w:val="none"/>
              </w:rPr>
            </w:pPr>
            <w:bookmarkStart w:id="428" w:name="_Hlk46779239"/>
            <w:r>
              <w:rPr>
                <w:rFonts w:hint="eastAsia" w:ascii="宋体" w:hAnsi="宋体" w:eastAsia="宋体" w:cs="宋体"/>
                <w:color w:val="auto"/>
                <w:sz w:val="24"/>
                <w:szCs w:val="24"/>
                <w:highlight w:val="none"/>
              </w:rPr>
              <w:t>序号</w:t>
            </w:r>
          </w:p>
        </w:tc>
        <w:tc>
          <w:tcPr>
            <w:tcW w:w="1560" w:type="dxa"/>
            <w:shd w:val="clear" w:color="auto" w:fill="auto"/>
            <w:vAlign w:val="center"/>
          </w:tcPr>
          <w:p w14:paraId="51F55A40">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项目名称</w:t>
            </w:r>
          </w:p>
        </w:tc>
        <w:tc>
          <w:tcPr>
            <w:tcW w:w="1248" w:type="dxa"/>
            <w:shd w:val="clear" w:color="auto" w:fill="auto"/>
            <w:vAlign w:val="center"/>
          </w:tcPr>
          <w:p w14:paraId="4D5C38D5">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标的</w:t>
            </w:r>
            <w:r>
              <w:rPr>
                <w:rFonts w:hint="eastAsia" w:ascii="宋体" w:hAnsi="宋体" w:eastAsia="宋体" w:cs="宋体"/>
                <w:color w:val="auto"/>
                <w:sz w:val="24"/>
                <w:szCs w:val="24"/>
                <w:highlight w:val="none"/>
              </w:rPr>
              <w:t>内容</w:t>
            </w:r>
          </w:p>
        </w:tc>
        <w:tc>
          <w:tcPr>
            <w:tcW w:w="1560" w:type="dxa"/>
            <w:shd w:val="clear" w:color="auto" w:fill="auto"/>
            <w:vAlign w:val="center"/>
          </w:tcPr>
          <w:p w14:paraId="69717F2A">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名称</w:t>
            </w:r>
          </w:p>
        </w:tc>
        <w:tc>
          <w:tcPr>
            <w:tcW w:w="1344" w:type="dxa"/>
            <w:shd w:val="clear" w:color="auto" w:fill="auto"/>
            <w:vAlign w:val="center"/>
          </w:tcPr>
          <w:p w14:paraId="57C35070">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中标（成交）金额</w:t>
            </w:r>
          </w:p>
        </w:tc>
        <w:tc>
          <w:tcPr>
            <w:tcW w:w="1525" w:type="dxa"/>
            <w:shd w:val="clear" w:color="auto" w:fill="auto"/>
            <w:vAlign w:val="center"/>
          </w:tcPr>
          <w:p w14:paraId="01352CB9">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采购合同签订时间</w:t>
            </w:r>
          </w:p>
        </w:tc>
        <w:tc>
          <w:tcPr>
            <w:tcW w:w="1091" w:type="dxa"/>
            <w:vAlign w:val="center"/>
          </w:tcPr>
          <w:p w14:paraId="2DA424BF">
            <w:pPr>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备注</w:t>
            </w:r>
          </w:p>
        </w:tc>
      </w:tr>
      <w:tr w14:paraId="2595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27508E8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60" w:type="dxa"/>
            <w:vAlign w:val="center"/>
          </w:tcPr>
          <w:p w14:paraId="27562AF7">
            <w:pPr>
              <w:rPr>
                <w:rFonts w:hint="eastAsia" w:ascii="宋体" w:hAnsi="宋体" w:eastAsia="宋体" w:cs="宋体"/>
                <w:color w:val="auto"/>
                <w:sz w:val="24"/>
                <w:szCs w:val="24"/>
                <w:highlight w:val="none"/>
              </w:rPr>
            </w:pPr>
          </w:p>
        </w:tc>
        <w:tc>
          <w:tcPr>
            <w:tcW w:w="1248" w:type="dxa"/>
            <w:vAlign w:val="center"/>
          </w:tcPr>
          <w:p w14:paraId="02799269">
            <w:pPr>
              <w:rPr>
                <w:rFonts w:hint="eastAsia" w:ascii="宋体" w:hAnsi="宋体" w:eastAsia="宋体" w:cs="宋体"/>
                <w:color w:val="auto"/>
                <w:sz w:val="24"/>
                <w:szCs w:val="24"/>
                <w:highlight w:val="none"/>
              </w:rPr>
            </w:pPr>
          </w:p>
        </w:tc>
        <w:tc>
          <w:tcPr>
            <w:tcW w:w="1560" w:type="dxa"/>
            <w:vAlign w:val="center"/>
          </w:tcPr>
          <w:p w14:paraId="6449ADDF">
            <w:pPr>
              <w:rPr>
                <w:rFonts w:hint="eastAsia" w:ascii="宋体" w:hAnsi="宋体" w:eastAsia="宋体" w:cs="宋体"/>
                <w:color w:val="auto"/>
                <w:sz w:val="24"/>
                <w:szCs w:val="24"/>
                <w:highlight w:val="none"/>
              </w:rPr>
            </w:pPr>
          </w:p>
        </w:tc>
        <w:tc>
          <w:tcPr>
            <w:tcW w:w="1344" w:type="dxa"/>
            <w:vAlign w:val="center"/>
          </w:tcPr>
          <w:p w14:paraId="183C0714">
            <w:pPr>
              <w:rPr>
                <w:rFonts w:hint="eastAsia" w:ascii="宋体" w:hAnsi="宋体" w:eastAsia="宋体" w:cs="宋体"/>
                <w:color w:val="auto"/>
                <w:sz w:val="24"/>
                <w:szCs w:val="24"/>
                <w:highlight w:val="none"/>
              </w:rPr>
            </w:pPr>
          </w:p>
        </w:tc>
        <w:tc>
          <w:tcPr>
            <w:tcW w:w="1525" w:type="dxa"/>
            <w:vAlign w:val="center"/>
          </w:tcPr>
          <w:p w14:paraId="4A8D26BB">
            <w:pPr>
              <w:rPr>
                <w:rFonts w:hint="eastAsia" w:ascii="宋体" w:hAnsi="宋体" w:eastAsia="宋体" w:cs="宋体"/>
                <w:color w:val="auto"/>
                <w:sz w:val="24"/>
                <w:szCs w:val="24"/>
                <w:highlight w:val="none"/>
              </w:rPr>
            </w:pPr>
          </w:p>
        </w:tc>
        <w:tc>
          <w:tcPr>
            <w:tcW w:w="1091" w:type="dxa"/>
            <w:vAlign w:val="center"/>
          </w:tcPr>
          <w:p w14:paraId="09D0936A">
            <w:pPr>
              <w:rPr>
                <w:rFonts w:hint="eastAsia" w:ascii="宋体" w:hAnsi="宋体" w:eastAsia="宋体" w:cs="宋体"/>
                <w:color w:val="auto"/>
                <w:sz w:val="24"/>
                <w:szCs w:val="24"/>
                <w:highlight w:val="none"/>
              </w:rPr>
            </w:pPr>
          </w:p>
        </w:tc>
      </w:tr>
      <w:tr w14:paraId="7936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4A21BB3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60" w:type="dxa"/>
            <w:vAlign w:val="center"/>
          </w:tcPr>
          <w:p w14:paraId="7CA4B3F3">
            <w:pPr>
              <w:rPr>
                <w:rFonts w:hint="eastAsia" w:ascii="宋体" w:hAnsi="宋体" w:eastAsia="宋体" w:cs="宋体"/>
                <w:color w:val="auto"/>
                <w:sz w:val="24"/>
                <w:szCs w:val="24"/>
                <w:highlight w:val="none"/>
              </w:rPr>
            </w:pPr>
          </w:p>
        </w:tc>
        <w:tc>
          <w:tcPr>
            <w:tcW w:w="1248" w:type="dxa"/>
            <w:vAlign w:val="center"/>
          </w:tcPr>
          <w:p w14:paraId="59CCECB1">
            <w:pPr>
              <w:rPr>
                <w:rFonts w:hint="eastAsia" w:ascii="宋体" w:hAnsi="宋体" w:eastAsia="宋体" w:cs="宋体"/>
                <w:color w:val="auto"/>
                <w:sz w:val="24"/>
                <w:szCs w:val="24"/>
                <w:highlight w:val="none"/>
              </w:rPr>
            </w:pPr>
          </w:p>
        </w:tc>
        <w:tc>
          <w:tcPr>
            <w:tcW w:w="1560" w:type="dxa"/>
            <w:vAlign w:val="center"/>
          </w:tcPr>
          <w:p w14:paraId="4E8043C4">
            <w:pPr>
              <w:rPr>
                <w:rFonts w:hint="eastAsia" w:ascii="宋体" w:hAnsi="宋体" w:eastAsia="宋体" w:cs="宋体"/>
                <w:color w:val="auto"/>
                <w:sz w:val="24"/>
                <w:szCs w:val="24"/>
                <w:highlight w:val="none"/>
              </w:rPr>
            </w:pPr>
          </w:p>
        </w:tc>
        <w:tc>
          <w:tcPr>
            <w:tcW w:w="1344" w:type="dxa"/>
            <w:vAlign w:val="center"/>
          </w:tcPr>
          <w:p w14:paraId="2E195778">
            <w:pPr>
              <w:rPr>
                <w:rFonts w:hint="eastAsia" w:ascii="宋体" w:hAnsi="宋体" w:eastAsia="宋体" w:cs="宋体"/>
                <w:color w:val="auto"/>
                <w:sz w:val="24"/>
                <w:szCs w:val="24"/>
                <w:highlight w:val="none"/>
              </w:rPr>
            </w:pPr>
          </w:p>
        </w:tc>
        <w:tc>
          <w:tcPr>
            <w:tcW w:w="1525" w:type="dxa"/>
            <w:vAlign w:val="center"/>
          </w:tcPr>
          <w:p w14:paraId="3DDF15B1">
            <w:pPr>
              <w:rPr>
                <w:rFonts w:hint="eastAsia" w:ascii="宋体" w:hAnsi="宋体" w:eastAsia="宋体" w:cs="宋体"/>
                <w:color w:val="auto"/>
                <w:sz w:val="24"/>
                <w:szCs w:val="24"/>
                <w:highlight w:val="none"/>
              </w:rPr>
            </w:pPr>
          </w:p>
        </w:tc>
        <w:tc>
          <w:tcPr>
            <w:tcW w:w="1091" w:type="dxa"/>
            <w:vAlign w:val="center"/>
          </w:tcPr>
          <w:p w14:paraId="185645D3">
            <w:pPr>
              <w:rPr>
                <w:rFonts w:hint="eastAsia" w:ascii="宋体" w:hAnsi="宋体" w:eastAsia="宋体" w:cs="宋体"/>
                <w:color w:val="auto"/>
                <w:sz w:val="24"/>
                <w:szCs w:val="24"/>
                <w:highlight w:val="none"/>
              </w:rPr>
            </w:pPr>
          </w:p>
        </w:tc>
      </w:tr>
      <w:tr w14:paraId="624A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4428D32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60" w:type="dxa"/>
            <w:vAlign w:val="center"/>
          </w:tcPr>
          <w:p w14:paraId="46AEF6AC">
            <w:pPr>
              <w:rPr>
                <w:rFonts w:hint="eastAsia" w:ascii="宋体" w:hAnsi="宋体" w:eastAsia="宋体" w:cs="宋体"/>
                <w:color w:val="auto"/>
                <w:sz w:val="24"/>
                <w:szCs w:val="24"/>
                <w:highlight w:val="none"/>
              </w:rPr>
            </w:pPr>
          </w:p>
        </w:tc>
        <w:tc>
          <w:tcPr>
            <w:tcW w:w="1248" w:type="dxa"/>
            <w:vAlign w:val="center"/>
          </w:tcPr>
          <w:p w14:paraId="601B0208">
            <w:pPr>
              <w:rPr>
                <w:rFonts w:hint="eastAsia" w:ascii="宋体" w:hAnsi="宋体" w:eastAsia="宋体" w:cs="宋体"/>
                <w:color w:val="auto"/>
                <w:sz w:val="24"/>
                <w:szCs w:val="24"/>
                <w:highlight w:val="none"/>
              </w:rPr>
            </w:pPr>
          </w:p>
        </w:tc>
        <w:tc>
          <w:tcPr>
            <w:tcW w:w="1560" w:type="dxa"/>
            <w:vAlign w:val="center"/>
          </w:tcPr>
          <w:p w14:paraId="56885EE6">
            <w:pPr>
              <w:rPr>
                <w:rFonts w:hint="eastAsia" w:ascii="宋体" w:hAnsi="宋体" w:eastAsia="宋体" w:cs="宋体"/>
                <w:color w:val="auto"/>
                <w:sz w:val="24"/>
                <w:szCs w:val="24"/>
                <w:highlight w:val="none"/>
              </w:rPr>
            </w:pPr>
          </w:p>
        </w:tc>
        <w:tc>
          <w:tcPr>
            <w:tcW w:w="1344" w:type="dxa"/>
            <w:vAlign w:val="center"/>
          </w:tcPr>
          <w:p w14:paraId="00552B19">
            <w:pPr>
              <w:rPr>
                <w:rFonts w:hint="eastAsia" w:ascii="宋体" w:hAnsi="宋体" w:eastAsia="宋体" w:cs="宋体"/>
                <w:color w:val="auto"/>
                <w:sz w:val="24"/>
                <w:szCs w:val="24"/>
                <w:highlight w:val="none"/>
              </w:rPr>
            </w:pPr>
          </w:p>
        </w:tc>
        <w:tc>
          <w:tcPr>
            <w:tcW w:w="1525" w:type="dxa"/>
            <w:vAlign w:val="center"/>
          </w:tcPr>
          <w:p w14:paraId="38FE3D5D">
            <w:pPr>
              <w:rPr>
                <w:rFonts w:hint="eastAsia" w:ascii="宋体" w:hAnsi="宋体" w:eastAsia="宋体" w:cs="宋体"/>
                <w:color w:val="auto"/>
                <w:sz w:val="24"/>
                <w:szCs w:val="24"/>
                <w:highlight w:val="none"/>
              </w:rPr>
            </w:pPr>
          </w:p>
        </w:tc>
        <w:tc>
          <w:tcPr>
            <w:tcW w:w="1091" w:type="dxa"/>
            <w:vAlign w:val="center"/>
          </w:tcPr>
          <w:p w14:paraId="20173386">
            <w:pPr>
              <w:rPr>
                <w:rFonts w:hint="eastAsia" w:ascii="宋体" w:hAnsi="宋体" w:eastAsia="宋体" w:cs="宋体"/>
                <w:color w:val="auto"/>
                <w:sz w:val="24"/>
                <w:szCs w:val="24"/>
                <w:highlight w:val="none"/>
              </w:rPr>
            </w:pPr>
          </w:p>
        </w:tc>
      </w:tr>
      <w:tr w14:paraId="45C0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7D25913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560" w:type="dxa"/>
            <w:vAlign w:val="center"/>
          </w:tcPr>
          <w:p w14:paraId="12629B54">
            <w:pPr>
              <w:rPr>
                <w:rFonts w:hint="eastAsia" w:ascii="宋体" w:hAnsi="宋体" w:eastAsia="宋体" w:cs="宋体"/>
                <w:color w:val="auto"/>
                <w:sz w:val="24"/>
                <w:szCs w:val="24"/>
                <w:highlight w:val="none"/>
              </w:rPr>
            </w:pPr>
          </w:p>
        </w:tc>
        <w:tc>
          <w:tcPr>
            <w:tcW w:w="1248" w:type="dxa"/>
            <w:vAlign w:val="center"/>
          </w:tcPr>
          <w:p w14:paraId="278EE304">
            <w:pPr>
              <w:rPr>
                <w:rFonts w:hint="eastAsia" w:ascii="宋体" w:hAnsi="宋体" w:eastAsia="宋体" w:cs="宋体"/>
                <w:color w:val="auto"/>
                <w:sz w:val="24"/>
                <w:szCs w:val="24"/>
                <w:highlight w:val="none"/>
              </w:rPr>
            </w:pPr>
          </w:p>
        </w:tc>
        <w:tc>
          <w:tcPr>
            <w:tcW w:w="1560" w:type="dxa"/>
            <w:vAlign w:val="center"/>
          </w:tcPr>
          <w:p w14:paraId="502FE2B6">
            <w:pPr>
              <w:rPr>
                <w:rFonts w:hint="eastAsia" w:ascii="宋体" w:hAnsi="宋体" w:eastAsia="宋体" w:cs="宋体"/>
                <w:color w:val="auto"/>
                <w:sz w:val="24"/>
                <w:szCs w:val="24"/>
                <w:highlight w:val="none"/>
              </w:rPr>
            </w:pPr>
          </w:p>
        </w:tc>
        <w:tc>
          <w:tcPr>
            <w:tcW w:w="1344" w:type="dxa"/>
            <w:vAlign w:val="center"/>
          </w:tcPr>
          <w:p w14:paraId="44F7BE63">
            <w:pPr>
              <w:rPr>
                <w:rFonts w:hint="eastAsia" w:ascii="宋体" w:hAnsi="宋体" w:eastAsia="宋体" w:cs="宋体"/>
                <w:color w:val="auto"/>
                <w:sz w:val="24"/>
                <w:szCs w:val="24"/>
                <w:highlight w:val="none"/>
              </w:rPr>
            </w:pPr>
          </w:p>
        </w:tc>
        <w:tc>
          <w:tcPr>
            <w:tcW w:w="1525" w:type="dxa"/>
            <w:vAlign w:val="center"/>
          </w:tcPr>
          <w:p w14:paraId="5208210B">
            <w:pPr>
              <w:rPr>
                <w:rFonts w:hint="eastAsia" w:ascii="宋体" w:hAnsi="宋体" w:eastAsia="宋体" w:cs="宋体"/>
                <w:color w:val="auto"/>
                <w:sz w:val="24"/>
                <w:szCs w:val="24"/>
                <w:highlight w:val="none"/>
              </w:rPr>
            </w:pPr>
          </w:p>
        </w:tc>
        <w:tc>
          <w:tcPr>
            <w:tcW w:w="1091" w:type="dxa"/>
            <w:vAlign w:val="center"/>
          </w:tcPr>
          <w:p w14:paraId="7EC41624">
            <w:pPr>
              <w:rPr>
                <w:rFonts w:hint="eastAsia" w:ascii="宋体" w:hAnsi="宋体" w:eastAsia="宋体" w:cs="宋体"/>
                <w:color w:val="auto"/>
                <w:sz w:val="24"/>
                <w:szCs w:val="24"/>
                <w:highlight w:val="none"/>
              </w:rPr>
            </w:pPr>
          </w:p>
        </w:tc>
      </w:tr>
      <w:tr w14:paraId="6F11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1FCCAE3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560" w:type="dxa"/>
            <w:vAlign w:val="center"/>
          </w:tcPr>
          <w:p w14:paraId="1728B663">
            <w:pPr>
              <w:rPr>
                <w:rFonts w:hint="eastAsia" w:ascii="宋体" w:hAnsi="宋体" w:eastAsia="宋体" w:cs="宋体"/>
                <w:color w:val="auto"/>
                <w:sz w:val="24"/>
                <w:szCs w:val="24"/>
                <w:highlight w:val="none"/>
              </w:rPr>
            </w:pPr>
          </w:p>
        </w:tc>
        <w:tc>
          <w:tcPr>
            <w:tcW w:w="1248" w:type="dxa"/>
            <w:vAlign w:val="center"/>
          </w:tcPr>
          <w:p w14:paraId="5B701B38">
            <w:pPr>
              <w:rPr>
                <w:rFonts w:hint="eastAsia" w:ascii="宋体" w:hAnsi="宋体" w:eastAsia="宋体" w:cs="宋体"/>
                <w:color w:val="auto"/>
                <w:sz w:val="24"/>
                <w:szCs w:val="24"/>
                <w:highlight w:val="none"/>
              </w:rPr>
            </w:pPr>
          </w:p>
        </w:tc>
        <w:tc>
          <w:tcPr>
            <w:tcW w:w="1560" w:type="dxa"/>
            <w:vAlign w:val="center"/>
          </w:tcPr>
          <w:p w14:paraId="0BFD5658">
            <w:pPr>
              <w:rPr>
                <w:rFonts w:hint="eastAsia" w:ascii="宋体" w:hAnsi="宋体" w:eastAsia="宋体" w:cs="宋体"/>
                <w:color w:val="auto"/>
                <w:sz w:val="24"/>
                <w:szCs w:val="24"/>
                <w:highlight w:val="none"/>
              </w:rPr>
            </w:pPr>
          </w:p>
        </w:tc>
        <w:tc>
          <w:tcPr>
            <w:tcW w:w="1344" w:type="dxa"/>
            <w:vAlign w:val="center"/>
          </w:tcPr>
          <w:p w14:paraId="56955758">
            <w:pPr>
              <w:rPr>
                <w:rFonts w:hint="eastAsia" w:ascii="宋体" w:hAnsi="宋体" w:eastAsia="宋体" w:cs="宋体"/>
                <w:color w:val="auto"/>
                <w:sz w:val="24"/>
                <w:szCs w:val="24"/>
                <w:highlight w:val="none"/>
              </w:rPr>
            </w:pPr>
          </w:p>
        </w:tc>
        <w:tc>
          <w:tcPr>
            <w:tcW w:w="1525" w:type="dxa"/>
            <w:vAlign w:val="center"/>
          </w:tcPr>
          <w:p w14:paraId="0E461DD3">
            <w:pPr>
              <w:rPr>
                <w:rFonts w:hint="eastAsia" w:ascii="宋体" w:hAnsi="宋体" w:eastAsia="宋体" w:cs="宋体"/>
                <w:color w:val="auto"/>
                <w:sz w:val="24"/>
                <w:szCs w:val="24"/>
                <w:highlight w:val="none"/>
              </w:rPr>
            </w:pPr>
          </w:p>
        </w:tc>
        <w:tc>
          <w:tcPr>
            <w:tcW w:w="1091" w:type="dxa"/>
            <w:vAlign w:val="center"/>
          </w:tcPr>
          <w:p w14:paraId="5804A0BF">
            <w:pPr>
              <w:rPr>
                <w:rFonts w:hint="eastAsia" w:ascii="宋体" w:hAnsi="宋体" w:eastAsia="宋体" w:cs="宋体"/>
                <w:color w:val="auto"/>
                <w:sz w:val="24"/>
                <w:szCs w:val="24"/>
                <w:highlight w:val="none"/>
              </w:rPr>
            </w:pPr>
          </w:p>
        </w:tc>
      </w:tr>
      <w:tr w14:paraId="3BC2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44" w:type="dxa"/>
            <w:vAlign w:val="center"/>
          </w:tcPr>
          <w:p w14:paraId="433A34E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560" w:type="dxa"/>
            <w:vAlign w:val="center"/>
          </w:tcPr>
          <w:p w14:paraId="5D94CAA1">
            <w:pPr>
              <w:rPr>
                <w:rFonts w:hint="eastAsia" w:ascii="宋体" w:hAnsi="宋体" w:eastAsia="宋体" w:cs="宋体"/>
                <w:color w:val="auto"/>
                <w:sz w:val="24"/>
                <w:szCs w:val="24"/>
                <w:highlight w:val="none"/>
              </w:rPr>
            </w:pPr>
          </w:p>
        </w:tc>
        <w:tc>
          <w:tcPr>
            <w:tcW w:w="1248" w:type="dxa"/>
            <w:vAlign w:val="center"/>
          </w:tcPr>
          <w:p w14:paraId="48AC7386">
            <w:pPr>
              <w:rPr>
                <w:rFonts w:hint="eastAsia" w:ascii="宋体" w:hAnsi="宋体" w:eastAsia="宋体" w:cs="宋体"/>
                <w:color w:val="auto"/>
                <w:sz w:val="24"/>
                <w:szCs w:val="24"/>
                <w:highlight w:val="none"/>
              </w:rPr>
            </w:pPr>
          </w:p>
        </w:tc>
        <w:tc>
          <w:tcPr>
            <w:tcW w:w="1560" w:type="dxa"/>
            <w:vAlign w:val="center"/>
          </w:tcPr>
          <w:p w14:paraId="20172F35">
            <w:pPr>
              <w:rPr>
                <w:rFonts w:hint="eastAsia" w:ascii="宋体" w:hAnsi="宋体" w:eastAsia="宋体" w:cs="宋体"/>
                <w:color w:val="auto"/>
                <w:sz w:val="24"/>
                <w:szCs w:val="24"/>
                <w:highlight w:val="none"/>
              </w:rPr>
            </w:pPr>
          </w:p>
        </w:tc>
        <w:tc>
          <w:tcPr>
            <w:tcW w:w="1344" w:type="dxa"/>
            <w:vAlign w:val="center"/>
          </w:tcPr>
          <w:p w14:paraId="75CF74D1">
            <w:pPr>
              <w:rPr>
                <w:rFonts w:hint="eastAsia" w:ascii="宋体" w:hAnsi="宋体" w:eastAsia="宋体" w:cs="宋体"/>
                <w:color w:val="auto"/>
                <w:sz w:val="24"/>
                <w:szCs w:val="24"/>
                <w:highlight w:val="none"/>
              </w:rPr>
            </w:pPr>
          </w:p>
        </w:tc>
        <w:tc>
          <w:tcPr>
            <w:tcW w:w="1525" w:type="dxa"/>
            <w:vAlign w:val="center"/>
          </w:tcPr>
          <w:p w14:paraId="4A3F6BEC">
            <w:pPr>
              <w:rPr>
                <w:rFonts w:hint="eastAsia" w:ascii="宋体" w:hAnsi="宋体" w:eastAsia="宋体" w:cs="宋体"/>
                <w:color w:val="auto"/>
                <w:sz w:val="24"/>
                <w:szCs w:val="24"/>
                <w:highlight w:val="none"/>
              </w:rPr>
            </w:pPr>
          </w:p>
        </w:tc>
        <w:tc>
          <w:tcPr>
            <w:tcW w:w="1091" w:type="dxa"/>
            <w:vAlign w:val="center"/>
          </w:tcPr>
          <w:p w14:paraId="52BCFD5F">
            <w:pPr>
              <w:rPr>
                <w:rFonts w:hint="eastAsia" w:ascii="宋体" w:hAnsi="宋体" w:eastAsia="宋体" w:cs="宋体"/>
                <w:color w:val="auto"/>
                <w:sz w:val="24"/>
                <w:szCs w:val="24"/>
                <w:highlight w:val="none"/>
              </w:rPr>
            </w:pPr>
          </w:p>
        </w:tc>
      </w:tr>
      <w:bookmarkEnd w:id="428"/>
    </w:tbl>
    <w:p w14:paraId="05F32EC7">
      <w:pPr>
        <w:rPr>
          <w:rFonts w:hint="eastAsia" w:cs="仿宋_GB2312"/>
          <w:color w:val="auto"/>
          <w:sz w:val="24"/>
          <w:szCs w:val="24"/>
          <w:highlight w:val="none"/>
        </w:rPr>
      </w:pPr>
    </w:p>
    <w:p w14:paraId="58FF379C">
      <w:pPr>
        <w:rPr>
          <w:rFonts w:cs="仿宋_GB2312"/>
          <w:color w:val="auto"/>
          <w:sz w:val="24"/>
          <w:szCs w:val="24"/>
          <w:highlight w:val="none"/>
        </w:rPr>
      </w:pPr>
      <w:r>
        <w:rPr>
          <w:rFonts w:hint="eastAsia" w:cs="仿宋_GB2312"/>
          <w:color w:val="auto"/>
          <w:sz w:val="24"/>
          <w:szCs w:val="24"/>
          <w:highlight w:val="none"/>
        </w:rPr>
        <w:t>注：投标人须按</w:t>
      </w:r>
      <w:r>
        <w:rPr>
          <w:rFonts w:hint="eastAsia" w:cs="仿宋_GB2312"/>
          <w:color w:val="auto"/>
          <w:sz w:val="24"/>
          <w:szCs w:val="24"/>
          <w:highlight w:val="none"/>
          <w:lang w:val="en-US" w:eastAsia="zh-CN"/>
        </w:rPr>
        <w:t>相关要求</w:t>
      </w:r>
      <w:r>
        <w:rPr>
          <w:rFonts w:hint="eastAsia" w:cs="仿宋_GB2312"/>
          <w:color w:val="auto"/>
          <w:sz w:val="24"/>
          <w:szCs w:val="24"/>
          <w:highlight w:val="none"/>
        </w:rPr>
        <w:t>提供相应的</w:t>
      </w:r>
      <w:r>
        <w:rPr>
          <w:rFonts w:hint="eastAsia" w:cs="仿宋_GB2312"/>
          <w:color w:val="auto"/>
          <w:sz w:val="24"/>
          <w:szCs w:val="24"/>
          <w:highlight w:val="none"/>
          <w:lang w:val="en-US" w:eastAsia="zh-CN"/>
        </w:rPr>
        <w:t>中标（成交）通知书、采购合同等</w:t>
      </w:r>
      <w:r>
        <w:rPr>
          <w:rFonts w:hint="eastAsia" w:cs="仿宋_GB2312"/>
          <w:color w:val="auto"/>
          <w:sz w:val="24"/>
          <w:szCs w:val="24"/>
          <w:highlight w:val="none"/>
        </w:rPr>
        <w:t>业绩证明资料。</w:t>
      </w:r>
    </w:p>
    <w:p w14:paraId="5DB99613">
      <w:pPr>
        <w:widowControl/>
        <w:spacing w:before="100" w:beforeAutospacing="1" w:after="100" w:afterAutospacing="1"/>
        <w:rPr>
          <w:rFonts w:cs="Arial"/>
          <w:color w:val="auto"/>
          <w:sz w:val="24"/>
          <w:szCs w:val="24"/>
          <w:highlight w:val="none"/>
        </w:rPr>
      </w:pPr>
    </w:p>
    <w:p w14:paraId="68FCBA1E">
      <w:pPr>
        <w:ind w:firstLine="480" w:firstLineChars="200"/>
        <w:rPr>
          <w:rFonts w:cs="仿宋_GB2312"/>
          <w:color w:val="auto"/>
          <w:sz w:val="24"/>
          <w:szCs w:val="24"/>
          <w:highlight w:val="none"/>
        </w:rPr>
      </w:pPr>
      <w:r>
        <w:rPr>
          <w:rFonts w:hint="eastAsia" w:cs="仿宋_GB2312"/>
          <w:color w:val="auto"/>
          <w:sz w:val="24"/>
          <w:szCs w:val="24"/>
          <w:highlight w:val="none"/>
        </w:rPr>
        <w:t>投标人名称</w:t>
      </w:r>
      <w:r>
        <w:rPr>
          <w:rFonts w:hint="eastAsia" w:cs="仿宋_GB2312"/>
          <w:color w:val="auto"/>
          <w:sz w:val="24"/>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szCs w:val="24"/>
          <w:highlight w:val="none"/>
          <w:lang w:val="zh-CN"/>
        </w:rPr>
        <w:t>)</w:t>
      </w:r>
      <w:r>
        <w:rPr>
          <w:rFonts w:hint="eastAsia" w:cs="仿宋_GB2312"/>
          <w:color w:val="auto"/>
          <w:sz w:val="24"/>
          <w:szCs w:val="24"/>
          <w:highlight w:val="none"/>
        </w:rPr>
        <w:t>：</w:t>
      </w:r>
      <w:r>
        <w:rPr>
          <w:rFonts w:cs="仿宋_GB2312"/>
          <w:color w:val="auto"/>
          <w:sz w:val="24"/>
          <w:szCs w:val="24"/>
          <w:highlight w:val="none"/>
        </w:rPr>
        <w:t xml:space="preserve"> </w:t>
      </w:r>
    </w:p>
    <w:p w14:paraId="360811C8">
      <w:pPr>
        <w:ind w:firstLine="420"/>
        <w:rPr>
          <w:rFonts w:cs="仿宋_GB2312"/>
          <w:color w:val="auto"/>
          <w:sz w:val="24"/>
          <w:szCs w:val="24"/>
          <w:highlight w:val="none"/>
        </w:rPr>
      </w:pPr>
      <w:r>
        <w:rPr>
          <w:rFonts w:hint="eastAsia" w:cs="仿宋_GB2312"/>
          <w:color w:val="auto"/>
          <w:sz w:val="24"/>
          <w:szCs w:val="24"/>
          <w:highlight w:val="none"/>
        </w:rPr>
        <w:t>日      期：</w:t>
      </w:r>
    </w:p>
    <w:p w14:paraId="095105C8">
      <w:pPr>
        <w:ind w:firstLine="420"/>
        <w:rPr>
          <w:rFonts w:cs="仿宋_GB2312"/>
          <w:color w:val="auto"/>
          <w:szCs w:val="24"/>
          <w:highlight w:val="none"/>
        </w:rPr>
      </w:pPr>
      <w:r>
        <w:rPr>
          <w:rFonts w:cs="仿宋_GB2312"/>
          <w:color w:val="auto"/>
          <w:szCs w:val="24"/>
          <w:highlight w:val="none"/>
        </w:rPr>
        <w:br w:type="page"/>
      </w:r>
    </w:p>
    <w:p w14:paraId="4E924C81">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429" w:name="_Toc163492931"/>
      <w:bookmarkStart w:id="430" w:name="_Toc12565"/>
      <w:r>
        <w:rPr>
          <w:rFonts w:hint="eastAsia" w:cstheme="majorBidi"/>
          <w:b/>
          <w:bCs/>
          <w:color w:val="auto"/>
          <w:kern w:val="2"/>
          <w:sz w:val="32"/>
          <w:szCs w:val="32"/>
          <w:highlight w:val="none"/>
          <w:lang w:val="en-US" w:eastAsia="zh-CN" w:bidi="ar-SA"/>
        </w:rPr>
        <w:t>八</w:t>
      </w:r>
      <w:r>
        <w:rPr>
          <w:rFonts w:hint="eastAsia" w:eastAsia="宋体" w:asciiTheme="majorHAnsi" w:hAnsiTheme="majorHAnsi" w:cstheme="majorBidi"/>
          <w:b/>
          <w:bCs/>
          <w:color w:val="auto"/>
          <w:kern w:val="2"/>
          <w:sz w:val="32"/>
          <w:szCs w:val="32"/>
          <w:highlight w:val="none"/>
          <w:lang w:val="en-US" w:eastAsia="zh-CN" w:bidi="ar-SA"/>
        </w:rPr>
        <w:t>、拟派项目团队</w:t>
      </w:r>
      <w:bookmarkEnd w:id="429"/>
      <w:bookmarkEnd w:id="430"/>
    </w:p>
    <w:tbl>
      <w:tblPr>
        <w:tblStyle w:val="30"/>
        <w:tblW w:w="9252" w:type="dxa"/>
        <w:tblInd w:w="-4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267"/>
        <w:gridCol w:w="1296"/>
        <w:gridCol w:w="1080"/>
        <w:gridCol w:w="804"/>
        <w:gridCol w:w="1860"/>
        <w:gridCol w:w="1356"/>
        <w:gridCol w:w="816"/>
      </w:tblGrid>
      <w:tr w14:paraId="377CE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773" w:type="dxa"/>
            <w:vAlign w:val="center"/>
          </w:tcPr>
          <w:p w14:paraId="6B0F7825">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67" w:type="dxa"/>
            <w:vAlign w:val="center"/>
          </w:tcPr>
          <w:p w14:paraId="1096055A">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团队成员</w:t>
            </w:r>
          </w:p>
          <w:p w14:paraId="09FA2F86">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296" w:type="dxa"/>
            <w:tcBorders>
              <w:right w:val="single" w:color="auto" w:sz="4" w:space="0"/>
            </w:tcBorders>
            <w:vAlign w:val="center"/>
          </w:tcPr>
          <w:p w14:paraId="4D802FFD">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工作单位</w:t>
            </w:r>
          </w:p>
        </w:tc>
        <w:tc>
          <w:tcPr>
            <w:tcW w:w="1080" w:type="dxa"/>
            <w:tcBorders>
              <w:left w:val="single" w:color="auto" w:sz="4" w:space="0"/>
            </w:tcBorders>
            <w:vAlign w:val="center"/>
          </w:tcPr>
          <w:p w14:paraId="3116E3D2">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p>
        </w:tc>
        <w:tc>
          <w:tcPr>
            <w:tcW w:w="804" w:type="dxa"/>
            <w:tcBorders>
              <w:left w:val="single" w:color="auto" w:sz="4" w:space="0"/>
            </w:tcBorders>
            <w:vAlign w:val="center"/>
          </w:tcPr>
          <w:p w14:paraId="1115941F">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860" w:type="dxa"/>
            <w:vAlign w:val="center"/>
          </w:tcPr>
          <w:p w14:paraId="57503923">
            <w:pPr>
              <w:pStyle w:val="49"/>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注册证书（岗位证书）名称及编号</w:t>
            </w:r>
          </w:p>
        </w:tc>
        <w:tc>
          <w:tcPr>
            <w:tcW w:w="1356" w:type="dxa"/>
            <w:vAlign w:val="center"/>
          </w:tcPr>
          <w:p w14:paraId="422D7D9F">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在团队中职务（岗位）</w:t>
            </w:r>
          </w:p>
        </w:tc>
        <w:tc>
          <w:tcPr>
            <w:tcW w:w="816" w:type="dxa"/>
            <w:vAlign w:val="center"/>
          </w:tcPr>
          <w:p w14:paraId="79229F16">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自有/外聘</w:t>
            </w:r>
          </w:p>
        </w:tc>
      </w:tr>
      <w:tr w14:paraId="34A62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239BDB40">
            <w:pPr>
              <w:pStyle w:val="49"/>
              <w:jc w:val="center"/>
              <w:rPr>
                <w:rFonts w:hint="eastAsia" w:ascii="宋体" w:hAnsi="宋体" w:eastAsia="宋体" w:cs="宋体"/>
                <w:color w:val="auto"/>
                <w:sz w:val="24"/>
                <w:szCs w:val="24"/>
                <w:highlight w:val="none"/>
              </w:rPr>
            </w:pPr>
            <w:bookmarkStart w:id="431" w:name="_Toc99533292"/>
            <w:bookmarkStart w:id="432" w:name="_Toc100090784"/>
            <w:r>
              <w:rPr>
                <w:rFonts w:hint="eastAsia" w:ascii="宋体" w:hAnsi="宋体" w:eastAsia="宋体" w:cs="宋体"/>
                <w:color w:val="auto"/>
                <w:sz w:val="24"/>
                <w:szCs w:val="24"/>
                <w:highlight w:val="none"/>
              </w:rPr>
              <w:t>1</w:t>
            </w:r>
            <w:bookmarkEnd w:id="431"/>
            <w:bookmarkEnd w:id="432"/>
          </w:p>
        </w:tc>
        <w:tc>
          <w:tcPr>
            <w:tcW w:w="1267" w:type="dxa"/>
            <w:vAlign w:val="center"/>
          </w:tcPr>
          <w:p w14:paraId="04D72608">
            <w:pPr>
              <w:pStyle w:val="49"/>
              <w:jc w:val="center"/>
              <w:rPr>
                <w:rFonts w:hint="eastAsia" w:ascii="宋体" w:hAnsi="宋体" w:eastAsia="宋体" w:cs="宋体"/>
                <w:color w:val="auto"/>
                <w:sz w:val="24"/>
                <w:szCs w:val="24"/>
                <w:highlight w:val="none"/>
              </w:rPr>
            </w:pPr>
          </w:p>
        </w:tc>
        <w:tc>
          <w:tcPr>
            <w:tcW w:w="1296" w:type="dxa"/>
            <w:tcBorders>
              <w:right w:val="single" w:color="auto" w:sz="4" w:space="0"/>
            </w:tcBorders>
            <w:vAlign w:val="center"/>
          </w:tcPr>
          <w:p w14:paraId="7C735158">
            <w:pPr>
              <w:pStyle w:val="49"/>
              <w:jc w:val="center"/>
              <w:rPr>
                <w:rFonts w:hint="eastAsia" w:ascii="宋体" w:hAnsi="宋体" w:eastAsia="宋体" w:cs="宋体"/>
                <w:color w:val="auto"/>
                <w:sz w:val="24"/>
                <w:szCs w:val="24"/>
                <w:highlight w:val="none"/>
              </w:rPr>
            </w:pPr>
          </w:p>
        </w:tc>
        <w:tc>
          <w:tcPr>
            <w:tcW w:w="1080" w:type="dxa"/>
            <w:tcBorders>
              <w:left w:val="single" w:color="auto" w:sz="4" w:space="0"/>
            </w:tcBorders>
            <w:vAlign w:val="center"/>
          </w:tcPr>
          <w:p w14:paraId="0EF6F977">
            <w:pPr>
              <w:pStyle w:val="49"/>
              <w:jc w:val="center"/>
              <w:rPr>
                <w:rFonts w:hint="eastAsia" w:ascii="宋体" w:hAnsi="宋体" w:eastAsia="宋体" w:cs="宋体"/>
                <w:color w:val="auto"/>
                <w:sz w:val="24"/>
                <w:szCs w:val="24"/>
                <w:highlight w:val="none"/>
              </w:rPr>
            </w:pPr>
          </w:p>
        </w:tc>
        <w:tc>
          <w:tcPr>
            <w:tcW w:w="804" w:type="dxa"/>
            <w:tcBorders>
              <w:left w:val="single" w:color="auto" w:sz="4" w:space="0"/>
            </w:tcBorders>
            <w:vAlign w:val="center"/>
          </w:tcPr>
          <w:p w14:paraId="3483447B">
            <w:pPr>
              <w:pStyle w:val="49"/>
              <w:jc w:val="center"/>
              <w:rPr>
                <w:rFonts w:hint="eastAsia" w:ascii="宋体" w:hAnsi="宋体" w:eastAsia="宋体" w:cs="宋体"/>
                <w:color w:val="auto"/>
                <w:sz w:val="24"/>
                <w:szCs w:val="24"/>
                <w:highlight w:val="none"/>
              </w:rPr>
            </w:pPr>
          </w:p>
        </w:tc>
        <w:tc>
          <w:tcPr>
            <w:tcW w:w="1860" w:type="dxa"/>
            <w:vAlign w:val="center"/>
          </w:tcPr>
          <w:p w14:paraId="7F355EC3">
            <w:pPr>
              <w:pStyle w:val="49"/>
              <w:jc w:val="center"/>
              <w:rPr>
                <w:rFonts w:hint="eastAsia" w:ascii="宋体" w:hAnsi="宋体" w:eastAsia="宋体" w:cs="宋体"/>
                <w:color w:val="auto"/>
                <w:sz w:val="24"/>
                <w:szCs w:val="24"/>
                <w:highlight w:val="none"/>
              </w:rPr>
            </w:pPr>
          </w:p>
        </w:tc>
        <w:tc>
          <w:tcPr>
            <w:tcW w:w="1356" w:type="dxa"/>
            <w:vAlign w:val="center"/>
          </w:tcPr>
          <w:p w14:paraId="2148FD62">
            <w:pPr>
              <w:pStyle w:val="49"/>
              <w:jc w:val="center"/>
              <w:rPr>
                <w:rFonts w:hint="eastAsia" w:ascii="宋体" w:hAnsi="宋体" w:eastAsia="宋体" w:cs="宋体"/>
                <w:color w:val="auto"/>
                <w:sz w:val="24"/>
                <w:szCs w:val="24"/>
                <w:highlight w:val="none"/>
              </w:rPr>
            </w:pPr>
          </w:p>
        </w:tc>
        <w:tc>
          <w:tcPr>
            <w:tcW w:w="816" w:type="dxa"/>
            <w:vAlign w:val="center"/>
          </w:tcPr>
          <w:p w14:paraId="30F5864D">
            <w:pPr>
              <w:pStyle w:val="49"/>
              <w:jc w:val="center"/>
              <w:rPr>
                <w:rFonts w:hint="eastAsia" w:ascii="宋体" w:hAnsi="宋体" w:eastAsia="宋体" w:cs="宋体"/>
                <w:color w:val="auto"/>
                <w:sz w:val="24"/>
                <w:szCs w:val="24"/>
                <w:highlight w:val="none"/>
              </w:rPr>
            </w:pPr>
          </w:p>
        </w:tc>
      </w:tr>
      <w:tr w14:paraId="19E49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47F12C5C">
            <w:pPr>
              <w:pStyle w:val="49"/>
              <w:jc w:val="center"/>
              <w:rPr>
                <w:rFonts w:hint="eastAsia" w:ascii="宋体" w:hAnsi="宋体" w:eastAsia="宋体" w:cs="宋体"/>
                <w:color w:val="auto"/>
                <w:sz w:val="24"/>
                <w:szCs w:val="24"/>
                <w:highlight w:val="none"/>
              </w:rPr>
            </w:pPr>
            <w:bookmarkStart w:id="433" w:name="_Toc99533293"/>
            <w:bookmarkStart w:id="434" w:name="_Toc100090785"/>
            <w:r>
              <w:rPr>
                <w:rFonts w:hint="eastAsia" w:ascii="宋体" w:hAnsi="宋体" w:eastAsia="宋体" w:cs="宋体"/>
                <w:color w:val="auto"/>
                <w:sz w:val="24"/>
                <w:szCs w:val="24"/>
                <w:highlight w:val="none"/>
              </w:rPr>
              <w:t>2</w:t>
            </w:r>
            <w:bookmarkEnd w:id="433"/>
            <w:bookmarkEnd w:id="434"/>
          </w:p>
        </w:tc>
        <w:tc>
          <w:tcPr>
            <w:tcW w:w="1267" w:type="dxa"/>
            <w:vAlign w:val="center"/>
          </w:tcPr>
          <w:p w14:paraId="3AE14FF6">
            <w:pPr>
              <w:pStyle w:val="49"/>
              <w:jc w:val="center"/>
              <w:rPr>
                <w:rFonts w:hint="eastAsia" w:ascii="宋体" w:hAnsi="宋体" w:eastAsia="宋体" w:cs="宋体"/>
                <w:color w:val="auto"/>
                <w:sz w:val="24"/>
                <w:szCs w:val="24"/>
                <w:highlight w:val="none"/>
              </w:rPr>
            </w:pPr>
          </w:p>
        </w:tc>
        <w:tc>
          <w:tcPr>
            <w:tcW w:w="1296" w:type="dxa"/>
            <w:tcBorders>
              <w:right w:val="single" w:color="auto" w:sz="4" w:space="0"/>
            </w:tcBorders>
            <w:vAlign w:val="center"/>
          </w:tcPr>
          <w:p w14:paraId="06FFE829">
            <w:pPr>
              <w:pStyle w:val="49"/>
              <w:jc w:val="center"/>
              <w:rPr>
                <w:rFonts w:hint="eastAsia" w:ascii="宋体" w:hAnsi="宋体" w:eastAsia="宋体" w:cs="宋体"/>
                <w:color w:val="auto"/>
                <w:sz w:val="24"/>
                <w:szCs w:val="24"/>
                <w:highlight w:val="none"/>
              </w:rPr>
            </w:pPr>
          </w:p>
        </w:tc>
        <w:tc>
          <w:tcPr>
            <w:tcW w:w="1080" w:type="dxa"/>
            <w:tcBorders>
              <w:left w:val="single" w:color="auto" w:sz="4" w:space="0"/>
            </w:tcBorders>
            <w:vAlign w:val="center"/>
          </w:tcPr>
          <w:p w14:paraId="1A33E450">
            <w:pPr>
              <w:pStyle w:val="49"/>
              <w:jc w:val="center"/>
              <w:rPr>
                <w:rFonts w:hint="eastAsia" w:ascii="宋体" w:hAnsi="宋体" w:eastAsia="宋体" w:cs="宋体"/>
                <w:color w:val="auto"/>
                <w:sz w:val="24"/>
                <w:szCs w:val="24"/>
                <w:highlight w:val="none"/>
              </w:rPr>
            </w:pPr>
          </w:p>
        </w:tc>
        <w:tc>
          <w:tcPr>
            <w:tcW w:w="804" w:type="dxa"/>
            <w:tcBorders>
              <w:left w:val="single" w:color="auto" w:sz="4" w:space="0"/>
            </w:tcBorders>
            <w:vAlign w:val="center"/>
          </w:tcPr>
          <w:p w14:paraId="476ECD82">
            <w:pPr>
              <w:pStyle w:val="49"/>
              <w:jc w:val="center"/>
              <w:rPr>
                <w:rFonts w:hint="eastAsia" w:ascii="宋体" w:hAnsi="宋体" w:eastAsia="宋体" w:cs="宋体"/>
                <w:color w:val="auto"/>
                <w:sz w:val="24"/>
                <w:szCs w:val="24"/>
                <w:highlight w:val="none"/>
              </w:rPr>
            </w:pPr>
          </w:p>
        </w:tc>
        <w:tc>
          <w:tcPr>
            <w:tcW w:w="1860" w:type="dxa"/>
            <w:vAlign w:val="center"/>
          </w:tcPr>
          <w:p w14:paraId="390E678F">
            <w:pPr>
              <w:pStyle w:val="49"/>
              <w:jc w:val="center"/>
              <w:rPr>
                <w:rFonts w:hint="eastAsia" w:ascii="宋体" w:hAnsi="宋体" w:eastAsia="宋体" w:cs="宋体"/>
                <w:color w:val="auto"/>
                <w:sz w:val="24"/>
                <w:szCs w:val="24"/>
                <w:highlight w:val="none"/>
              </w:rPr>
            </w:pPr>
          </w:p>
        </w:tc>
        <w:tc>
          <w:tcPr>
            <w:tcW w:w="1356" w:type="dxa"/>
            <w:vAlign w:val="center"/>
          </w:tcPr>
          <w:p w14:paraId="77E48E09">
            <w:pPr>
              <w:pStyle w:val="49"/>
              <w:jc w:val="center"/>
              <w:rPr>
                <w:rFonts w:hint="eastAsia" w:ascii="宋体" w:hAnsi="宋体" w:eastAsia="宋体" w:cs="宋体"/>
                <w:color w:val="auto"/>
                <w:sz w:val="24"/>
                <w:szCs w:val="24"/>
                <w:highlight w:val="none"/>
              </w:rPr>
            </w:pPr>
          </w:p>
        </w:tc>
        <w:tc>
          <w:tcPr>
            <w:tcW w:w="816" w:type="dxa"/>
            <w:vAlign w:val="center"/>
          </w:tcPr>
          <w:p w14:paraId="3D8C0BFB">
            <w:pPr>
              <w:pStyle w:val="49"/>
              <w:jc w:val="center"/>
              <w:rPr>
                <w:rFonts w:hint="eastAsia" w:ascii="宋体" w:hAnsi="宋体" w:eastAsia="宋体" w:cs="宋体"/>
                <w:color w:val="auto"/>
                <w:sz w:val="24"/>
                <w:szCs w:val="24"/>
                <w:highlight w:val="none"/>
              </w:rPr>
            </w:pPr>
          </w:p>
        </w:tc>
      </w:tr>
      <w:tr w14:paraId="5F5E2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0824241E">
            <w:pPr>
              <w:pStyle w:val="49"/>
              <w:jc w:val="center"/>
              <w:rPr>
                <w:rFonts w:hint="eastAsia" w:ascii="宋体" w:hAnsi="宋体" w:eastAsia="宋体" w:cs="宋体"/>
                <w:color w:val="auto"/>
                <w:sz w:val="24"/>
                <w:szCs w:val="24"/>
                <w:highlight w:val="none"/>
              </w:rPr>
            </w:pPr>
            <w:bookmarkStart w:id="435" w:name="_Toc100090786"/>
            <w:bookmarkStart w:id="436" w:name="_Toc99533294"/>
            <w:r>
              <w:rPr>
                <w:rFonts w:hint="eastAsia" w:ascii="宋体" w:hAnsi="宋体" w:eastAsia="宋体" w:cs="宋体"/>
                <w:color w:val="auto"/>
                <w:sz w:val="24"/>
                <w:szCs w:val="24"/>
                <w:highlight w:val="none"/>
              </w:rPr>
              <w:t>3</w:t>
            </w:r>
            <w:bookmarkEnd w:id="435"/>
            <w:bookmarkEnd w:id="436"/>
          </w:p>
        </w:tc>
        <w:tc>
          <w:tcPr>
            <w:tcW w:w="1267" w:type="dxa"/>
            <w:vAlign w:val="center"/>
          </w:tcPr>
          <w:p w14:paraId="19C12411">
            <w:pPr>
              <w:pStyle w:val="49"/>
              <w:jc w:val="center"/>
              <w:rPr>
                <w:rFonts w:hint="eastAsia" w:ascii="宋体" w:hAnsi="宋体" w:eastAsia="宋体" w:cs="宋体"/>
                <w:color w:val="auto"/>
                <w:sz w:val="24"/>
                <w:szCs w:val="24"/>
                <w:highlight w:val="none"/>
              </w:rPr>
            </w:pPr>
          </w:p>
        </w:tc>
        <w:tc>
          <w:tcPr>
            <w:tcW w:w="1296" w:type="dxa"/>
            <w:tcBorders>
              <w:right w:val="single" w:color="auto" w:sz="4" w:space="0"/>
            </w:tcBorders>
            <w:vAlign w:val="center"/>
          </w:tcPr>
          <w:p w14:paraId="1E33B914">
            <w:pPr>
              <w:pStyle w:val="49"/>
              <w:jc w:val="center"/>
              <w:rPr>
                <w:rFonts w:hint="eastAsia" w:ascii="宋体" w:hAnsi="宋体" w:eastAsia="宋体" w:cs="宋体"/>
                <w:color w:val="auto"/>
                <w:sz w:val="24"/>
                <w:szCs w:val="24"/>
                <w:highlight w:val="none"/>
              </w:rPr>
            </w:pPr>
          </w:p>
        </w:tc>
        <w:tc>
          <w:tcPr>
            <w:tcW w:w="1080" w:type="dxa"/>
            <w:tcBorders>
              <w:left w:val="single" w:color="auto" w:sz="4" w:space="0"/>
            </w:tcBorders>
            <w:vAlign w:val="center"/>
          </w:tcPr>
          <w:p w14:paraId="70C10384">
            <w:pPr>
              <w:pStyle w:val="49"/>
              <w:jc w:val="center"/>
              <w:rPr>
                <w:rFonts w:hint="eastAsia" w:ascii="宋体" w:hAnsi="宋体" w:eastAsia="宋体" w:cs="宋体"/>
                <w:color w:val="auto"/>
                <w:sz w:val="24"/>
                <w:szCs w:val="24"/>
                <w:highlight w:val="none"/>
              </w:rPr>
            </w:pPr>
          </w:p>
        </w:tc>
        <w:tc>
          <w:tcPr>
            <w:tcW w:w="804" w:type="dxa"/>
            <w:tcBorders>
              <w:left w:val="single" w:color="auto" w:sz="4" w:space="0"/>
            </w:tcBorders>
            <w:vAlign w:val="center"/>
          </w:tcPr>
          <w:p w14:paraId="657B47D5">
            <w:pPr>
              <w:pStyle w:val="49"/>
              <w:jc w:val="center"/>
              <w:rPr>
                <w:rFonts w:hint="eastAsia" w:ascii="宋体" w:hAnsi="宋体" w:eastAsia="宋体" w:cs="宋体"/>
                <w:color w:val="auto"/>
                <w:sz w:val="24"/>
                <w:szCs w:val="24"/>
                <w:highlight w:val="none"/>
              </w:rPr>
            </w:pPr>
          </w:p>
        </w:tc>
        <w:tc>
          <w:tcPr>
            <w:tcW w:w="1860" w:type="dxa"/>
            <w:vAlign w:val="center"/>
          </w:tcPr>
          <w:p w14:paraId="3F31D2CD">
            <w:pPr>
              <w:pStyle w:val="49"/>
              <w:jc w:val="center"/>
              <w:rPr>
                <w:rFonts w:hint="eastAsia" w:ascii="宋体" w:hAnsi="宋体" w:eastAsia="宋体" w:cs="宋体"/>
                <w:color w:val="auto"/>
                <w:sz w:val="24"/>
                <w:szCs w:val="24"/>
                <w:highlight w:val="none"/>
              </w:rPr>
            </w:pPr>
          </w:p>
        </w:tc>
        <w:tc>
          <w:tcPr>
            <w:tcW w:w="1356" w:type="dxa"/>
            <w:vAlign w:val="center"/>
          </w:tcPr>
          <w:p w14:paraId="107FDE9E">
            <w:pPr>
              <w:pStyle w:val="49"/>
              <w:jc w:val="center"/>
              <w:rPr>
                <w:rFonts w:hint="eastAsia" w:ascii="宋体" w:hAnsi="宋体" w:eastAsia="宋体" w:cs="宋体"/>
                <w:color w:val="auto"/>
                <w:sz w:val="24"/>
                <w:szCs w:val="24"/>
                <w:highlight w:val="none"/>
              </w:rPr>
            </w:pPr>
          </w:p>
        </w:tc>
        <w:tc>
          <w:tcPr>
            <w:tcW w:w="816" w:type="dxa"/>
            <w:vAlign w:val="center"/>
          </w:tcPr>
          <w:p w14:paraId="0ED9D4FB">
            <w:pPr>
              <w:pStyle w:val="49"/>
              <w:jc w:val="center"/>
              <w:rPr>
                <w:rFonts w:hint="eastAsia" w:ascii="宋体" w:hAnsi="宋体" w:eastAsia="宋体" w:cs="宋体"/>
                <w:color w:val="auto"/>
                <w:sz w:val="24"/>
                <w:szCs w:val="24"/>
                <w:highlight w:val="none"/>
              </w:rPr>
            </w:pPr>
          </w:p>
        </w:tc>
      </w:tr>
      <w:tr w14:paraId="72391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329A399B">
            <w:pPr>
              <w:pStyle w:val="49"/>
              <w:jc w:val="center"/>
              <w:rPr>
                <w:rFonts w:hint="eastAsia" w:ascii="宋体" w:hAnsi="宋体" w:eastAsia="宋体" w:cs="宋体"/>
                <w:color w:val="auto"/>
                <w:sz w:val="24"/>
                <w:szCs w:val="24"/>
                <w:highlight w:val="none"/>
              </w:rPr>
            </w:pPr>
            <w:bookmarkStart w:id="437" w:name="_Toc100090787"/>
            <w:bookmarkStart w:id="438" w:name="_Toc99533295"/>
            <w:r>
              <w:rPr>
                <w:rFonts w:hint="eastAsia" w:ascii="宋体" w:hAnsi="宋体" w:eastAsia="宋体" w:cs="宋体"/>
                <w:color w:val="auto"/>
                <w:sz w:val="24"/>
                <w:szCs w:val="24"/>
                <w:highlight w:val="none"/>
              </w:rPr>
              <w:t>4</w:t>
            </w:r>
            <w:bookmarkEnd w:id="437"/>
            <w:bookmarkEnd w:id="438"/>
          </w:p>
        </w:tc>
        <w:tc>
          <w:tcPr>
            <w:tcW w:w="1267" w:type="dxa"/>
            <w:vAlign w:val="center"/>
          </w:tcPr>
          <w:p w14:paraId="42DE0F63">
            <w:pPr>
              <w:pStyle w:val="49"/>
              <w:jc w:val="center"/>
              <w:rPr>
                <w:rFonts w:hint="eastAsia" w:ascii="宋体" w:hAnsi="宋体" w:eastAsia="宋体" w:cs="宋体"/>
                <w:color w:val="auto"/>
                <w:sz w:val="24"/>
                <w:szCs w:val="24"/>
                <w:highlight w:val="none"/>
              </w:rPr>
            </w:pPr>
          </w:p>
        </w:tc>
        <w:tc>
          <w:tcPr>
            <w:tcW w:w="1296" w:type="dxa"/>
            <w:tcBorders>
              <w:right w:val="single" w:color="auto" w:sz="4" w:space="0"/>
            </w:tcBorders>
            <w:vAlign w:val="center"/>
          </w:tcPr>
          <w:p w14:paraId="3CA0809C">
            <w:pPr>
              <w:pStyle w:val="49"/>
              <w:jc w:val="center"/>
              <w:rPr>
                <w:rFonts w:hint="eastAsia" w:ascii="宋体" w:hAnsi="宋体" w:eastAsia="宋体" w:cs="宋体"/>
                <w:color w:val="auto"/>
                <w:sz w:val="24"/>
                <w:szCs w:val="24"/>
                <w:highlight w:val="none"/>
              </w:rPr>
            </w:pPr>
          </w:p>
        </w:tc>
        <w:tc>
          <w:tcPr>
            <w:tcW w:w="1080" w:type="dxa"/>
            <w:tcBorders>
              <w:left w:val="single" w:color="auto" w:sz="4" w:space="0"/>
            </w:tcBorders>
            <w:vAlign w:val="center"/>
          </w:tcPr>
          <w:p w14:paraId="6D63F4E6">
            <w:pPr>
              <w:pStyle w:val="49"/>
              <w:jc w:val="center"/>
              <w:rPr>
                <w:rFonts w:hint="eastAsia" w:ascii="宋体" w:hAnsi="宋体" w:eastAsia="宋体" w:cs="宋体"/>
                <w:color w:val="auto"/>
                <w:sz w:val="24"/>
                <w:szCs w:val="24"/>
                <w:highlight w:val="none"/>
              </w:rPr>
            </w:pPr>
          </w:p>
        </w:tc>
        <w:tc>
          <w:tcPr>
            <w:tcW w:w="804" w:type="dxa"/>
            <w:tcBorders>
              <w:left w:val="single" w:color="auto" w:sz="4" w:space="0"/>
            </w:tcBorders>
            <w:vAlign w:val="center"/>
          </w:tcPr>
          <w:p w14:paraId="496384D0">
            <w:pPr>
              <w:pStyle w:val="49"/>
              <w:jc w:val="center"/>
              <w:rPr>
                <w:rFonts w:hint="eastAsia" w:ascii="宋体" w:hAnsi="宋体" w:eastAsia="宋体" w:cs="宋体"/>
                <w:color w:val="auto"/>
                <w:sz w:val="24"/>
                <w:szCs w:val="24"/>
                <w:highlight w:val="none"/>
              </w:rPr>
            </w:pPr>
          </w:p>
        </w:tc>
        <w:tc>
          <w:tcPr>
            <w:tcW w:w="1860" w:type="dxa"/>
            <w:vAlign w:val="center"/>
          </w:tcPr>
          <w:p w14:paraId="068007BF">
            <w:pPr>
              <w:pStyle w:val="49"/>
              <w:jc w:val="center"/>
              <w:rPr>
                <w:rFonts w:hint="eastAsia" w:ascii="宋体" w:hAnsi="宋体" w:eastAsia="宋体" w:cs="宋体"/>
                <w:color w:val="auto"/>
                <w:sz w:val="24"/>
                <w:szCs w:val="24"/>
                <w:highlight w:val="none"/>
              </w:rPr>
            </w:pPr>
          </w:p>
        </w:tc>
        <w:tc>
          <w:tcPr>
            <w:tcW w:w="1356" w:type="dxa"/>
            <w:vAlign w:val="center"/>
          </w:tcPr>
          <w:p w14:paraId="7A6D63FA">
            <w:pPr>
              <w:pStyle w:val="49"/>
              <w:jc w:val="center"/>
              <w:rPr>
                <w:rFonts w:hint="eastAsia" w:ascii="宋体" w:hAnsi="宋体" w:eastAsia="宋体" w:cs="宋体"/>
                <w:color w:val="auto"/>
                <w:sz w:val="24"/>
                <w:szCs w:val="24"/>
                <w:highlight w:val="none"/>
              </w:rPr>
            </w:pPr>
          </w:p>
        </w:tc>
        <w:tc>
          <w:tcPr>
            <w:tcW w:w="816" w:type="dxa"/>
            <w:vAlign w:val="center"/>
          </w:tcPr>
          <w:p w14:paraId="01F1E6DB">
            <w:pPr>
              <w:pStyle w:val="49"/>
              <w:jc w:val="center"/>
              <w:rPr>
                <w:rFonts w:hint="eastAsia" w:ascii="宋体" w:hAnsi="宋体" w:eastAsia="宋体" w:cs="宋体"/>
                <w:color w:val="auto"/>
                <w:sz w:val="24"/>
                <w:szCs w:val="24"/>
                <w:highlight w:val="none"/>
              </w:rPr>
            </w:pPr>
          </w:p>
        </w:tc>
      </w:tr>
      <w:tr w14:paraId="67CF6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1FE3797">
            <w:pPr>
              <w:pStyle w:val="49"/>
              <w:jc w:val="center"/>
              <w:rPr>
                <w:rFonts w:hint="eastAsia" w:ascii="宋体" w:hAnsi="宋体" w:eastAsia="宋体" w:cs="宋体"/>
                <w:color w:val="auto"/>
                <w:sz w:val="24"/>
                <w:szCs w:val="24"/>
                <w:highlight w:val="none"/>
              </w:rPr>
            </w:pPr>
            <w:bookmarkStart w:id="439" w:name="_Toc100090788"/>
            <w:bookmarkStart w:id="440" w:name="_Toc99533296"/>
            <w:r>
              <w:rPr>
                <w:rFonts w:hint="eastAsia" w:ascii="宋体" w:hAnsi="宋体" w:eastAsia="宋体" w:cs="宋体"/>
                <w:color w:val="auto"/>
                <w:sz w:val="24"/>
                <w:szCs w:val="24"/>
                <w:highlight w:val="none"/>
              </w:rPr>
              <w:t>5</w:t>
            </w:r>
            <w:bookmarkEnd w:id="439"/>
            <w:bookmarkEnd w:id="440"/>
          </w:p>
        </w:tc>
        <w:tc>
          <w:tcPr>
            <w:tcW w:w="1267" w:type="dxa"/>
            <w:vAlign w:val="center"/>
          </w:tcPr>
          <w:p w14:paraId="3241008C">
            <w:pPr>
              <w:pStyle w:val="49"/>
              <w:jc w:val="center"/>
              <w:rPr>
                <w:rFonts w:hint="eastAsia" w:ascii="宋体" w:hAnsi="宋体" w:eastAsia="宋体" w:cs="宋体"/>
                <w:color w:val="auto"/>
                <w:sz w:val="24"/>
                <w:szCs w:val="24"/>
                <w:highlight w:val="none"/>
              </w:rPr>
            </w:pPr>
          </w:p>
        </w:tc>
        <w:tc>
          <w:tcPr>
            <w:tcW w:w="1296" w:type="dxa"/>
            <w:tcBorders>
              <w:right w:val="single" w:color="auto" w:sz="4" w:space="0"/>
            </w:tcBorders>
            <w:vAlign w:val="center"/>
          </w:tcPr>
          <w:p w14:paraId="3999E45B">
            <w:pPr>
              <w:pStyle w:val="49"/>
              <w:jc w:val="center"/>
              <w:rPr>
                <w:rFonts w:hint="eastAsia" w:ascii="宋体" w:hAnsi="宋体" w:eastAsia="宋体" w:cs="宋体"/>
                <w:color w:val="auto"/>
                <w:sz w:val="24"/>
                <w:szCs w:val="24"/>
                <w:highlight w:val="none"/>
              </w:rPr>
            </w:pPr>
          </w:p>
        </w:tc>
        <w:tc>
          <w:tcPr>
            <w:tcW w:w="1080" w:type="dxa"/>
            <w:tcBorders>
              <w:left w:val="single" w:color="auto" w:sz="4" w:space="0"/>
            </w:tcBorders>
            <w:vAlign w:val="center"/>
          </w:tcPr>
          <w:p w14:paraId="64009478">
            <w:pPr>
              <w:pStyle w:val="49"/>
              <w:jc w:val="center"/>
              <w:rPr>
                <w:rFonts w:hint="eastAsia" w:ascii="宋体" w:hAnsi="宋体" w:eastAsia="宋体" w:cs="宋体"/>
                <w:color w:val="auto"/>
                <w:sz w:val="24"/>
                <w:szCs w:val="24"/>
                <w:highlight w:val="none"/>
              </w:rPr>
            </w:pPr>
          </w:p>
        </w:tc>
        <w:tc>
          <w:tcPr>
            <w:tcW w:w="804" w:type="dxa"/>
            <w:tcBorders>
              <w:left w:val="single" w:color="auto" w:sz="4" w:space="0"/>
            </w:tcBorders>
            <w:vAlign w:val="center"/>
          </w:tcPr>
          <w:p w14:paraId="75153765">
            <w:pPr>
              <w:pStyle w:val="49"/>
              <w:jc w:val="center"/>
              <w:rPr>
                <w:rFonts w:hint="eastAsia" w:ascii="宋体" w:hAnsi="宋体" w:eastAsia="宋体" w:cs="宋体"/>
                <w:color w:val="auto"/>
                <w:sz w:val="24"/>
                <w:szCs w:val="24"/>
                <w:highlight w:val="none"/>
              </w:rPr>
            </w:pPr>
          </w:p>
        </w:tc>
        <w:tc>
          <w:tcPr>
            <w:tcW w:w="1860" w:type="dxa"/>
            <w:vAlign w:val="center"/>
          </w:tcPr>
          <w:p w14:paraId="12AB49C0">
            <w:pPr>
              <w:pStyle w:val="49"/>
              <w:jc w:val="center"/>
              <w:rPr>
                <w:rFonts w:hint="eastAsia" w:ascii="宋体" w:hAnsi="宋体" w:eastAsia="宋体" w:cs="宋体"/>
                <w:color w:val="auto"/>
                <w:sz w:val="24"/>
                <w:szCs w:val="24"/>
                <w:highlight w:val="none"/>
              </w:rPr>
            </w:pPr>
          </w:p>
        </w:tc>
        <w:tc>
          <w:tcPr>
            <w:tcW w:w="1356" w:type="dxa"/>
            <w:vAlign w:val="center"/>
          </w:tcPr>
          <w:p w14:paraId="3943C72A">
            <w:pPr>
              <w:pStyle w:val="49"/>
              <w:jc w:val="center"/>
              <w:rPr>
                <w:rFonts w:hint="eastAsia" w:ascii="宋体" w:hAnsi="宋体" w:eastAsia="宋体" w:cs="宋体"/>
                <w:color w:val="auto"/>
                <w:sz w:val="24"/>
                <w:szCs w:val="24"/>
                <w:highlight w:val="none"/>
              </w:rPr>
            </w:pPr>
          </w:p>
        </w:tc>
        <w:tc>
          <w:tcPr>
            <w:tcW w:w="816" w:type="dxa"/>
            <w:vAlign w:val="center"/>
          </w:tcPr>
          <w:p w14:paraId="5FBE7410">
            <w:pPr>
              <w:pStyle w:val="49"/>
              <w:jc w:val="center"/>
              <w:rPr>
                <w:rFonts w:hint="eastAsia" w:ascii="宋体" w:hAnsi="宋体" w:eastAsia="宋体" w:cs="宋体"/>
                <w:color w:val="auto"/>
                <w:sz w:val="24"/>
                <w:szCs w:val="24"/>
                <w:highlight w:val="none"/>
              </w:rPr>
            </w:pPr>
          </w:p>
        </w:tc>
      </w:tr>
      <w:tr w14:paraId="053F8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07DED61F">
            <w:pPr>
              <w:pStyle w:val="49"/>
              <w:jc w:val="center"/>
              <w:rPr>
                <w:rFonts w:hint="eastAsia" w:ascii="宋体" w:hAnsi="宋体" w:eastAsia="宋体" w:cs="宋体"/>
                <w:color w:val="auto"/>
                <w:sz w:val="24"/>
                <w:szCs w:val="24"/>
                <w:highlight w:val="none"/>
              </w:rPr>
            </w:pPr>
            <w:bookmarkStart w:id="441" w:name="_Toc100090789"/>
            <w:bookmarkStart w:id="442" w:name="_Toc99533297"/>
            <w:r>
              <w:rPr>
                <w:rFonts w:hint="eastAsia" w:ascii="宋体" w:hAnsi="宋体" w:eastAsia="宋体" w:cs="宋体"/>
                <w:color w:val="auto"/>
                <w:sz w:val="24"/>
                <w:szCs w:val="24"/>
                <w:highlight w:val="none"/>
              </w:rPr>
              <w:t>6</w:t>
            </w:r>
            <w:bookmarkEnd w:id="441"/>
            <w:bookmarkEnd w:id="442"/>
          </w:p>
        </w:tc>
        <w:tc>
          <w:tcPr>
            <w:tcW w:w="1267" w:type="dxa"/>
            <w:vAlign w:val="center"/>
          </w:tcPr>
          <w:p w14:paraId="40527E11">
            <w:pPr>
              <w:pStyle w:val="49"/>
              <w:jc w:val="center"/>
              <w:rPr>
                <w:rFonts w:hint="eastAsia" w:ascii="宋体" w:hAnsi="宋体" w:eastAsia="宋体" w:cs="宋体"/>
                <w:color w:val="auto"/>
                <w:sz w:val="24"/>
                <w:szCs w:val="24"/>
                <w:highlight w:val="none"/>
              </w:rPr>
            </w:pPr>
          </w:p>
        </w:tc>
        <w:tc>
          <w:tcPr>
            <w:tcW w:w="1296" w:type="dxa"/>
            <w:tcBorders>
              <w:right w:val="single" w:color="auto" w:sz="4" w:space="0"/>
            </w:tcBorders>
            <w:vAlign w:val="center"/>
          </w:tcPr>
          <w:p w14:paraId="16947C68">
            <w:pPr>
              <w:pStyle w:val="49"/>
              <w:jc w:val="center"/>
              <w:rPr>
                <w:rFonts w:hint="eastAsia" w:ascii="宋体" w:hAnsi="宋体" w:eastAsia="宋体" w:cs="宋体"/>
                <w:color w:val="auto"/>
                <w:sz w:val="24"/>
                <w:szCs w:val="24"/>
                <w:highlight w:val="none"/>
              </w:rPr>
            </w:pPr>
          </w:p>
        </w:tc>
        <w:tc>
          <w:tcPr>
            <w:tcW w:w="1080" w:type="dxa"/>
            <w:tcBorders>
              <w:left w:val="single" w:color="auto" w:sz="4" w:space="0"/>
            </w:tcBorders>
            <w:vAlign w:val="center"/>
          </w:tcPr>
          <w:p w14:paraId="1666B8AD">
            <w:pPr>
              <w:pStyle w:val="49"/>
              <w:jc w:val="center"/>
              <w:rPr>
                <w:rFonts w:hint="eastAsia" w:ascii="宋体" w:hAnsi="宋体" w:eastAsia="宋体" w:cs="宋体"/>
                <w:color w:val="auto"/>
                <w:sz w:val="24"/>
                <w:szCs w:val="24"/>
                <w:highlight w:val="none"/>
              </w:rPr>
            </w:pPr>
          </w:p>
        </w:tc>
        <w:tc>
          <w:tcPr>
            <w:tcW w:w="804" w:type="dxa"/>
            <w:tcBorders>
              <w:left w:val="single" w:color="auto" w:sz="4" w:space="0"/>
            </w:tcBorders>
            <w:vAlign w:val="center"/>
          </w:tcPr>
          <w:p w14:paraId="45256EB9">
            <w:pPr>
              <w:pStyle w:val="49"/>
              <w:jc w:val="center"/>
              <w:rPr>
                <w:rFonts w:hint="eastAsia" w:ascii="宋体" w:hAnsi="宋体" w:eastAsia="宋体" w:cs="宋体"/>
                <w:color w:val="auto"/>
                <w:sz w:val="24"/>
                <w:szCs w:val="24"/>
                <w:highlight w:val="none"/>
              </w:rPr>
            </w:pPr>
          </w:p>
        </w:tc>
        <w:tc>
          <w:tcPr>
            <w:tcW w:w="1860" w:type="dxa"/>
            <w:vAlign w:val="center"/>
          </w:tcPr>
          <w:p w14:paraId="51ADEB68">
            <w:pPr>
              <w:pStyle w:val="49"/>
              <w:jc w:val="center"/>
              <w:rPr>
                <w:rFonts w:hint="eastAsia" w:ascii="宋体" w:hAnsi="宋体" w:eastAsia="宋体" w:cs="宋体"/>
                <w:color w:val="auto"/>
                <w:sz w:val="24"/>
                <w:szCs w:val="24"/>
                <w:highlight w:val="none"/>
              </w:rPr>
            </w:pPr>
          </w:p>
        </w:tc>
        <w:tc>
          <w:tcPr>
            <w:tcW w:w="1356" w:type="dxa"/>
            <w:vAlign w:val="center"/>
          </w:tcPr>
          <w:p w14:paraId="6FF03D95">
            <w:pPr>
              <w:pStyle w:val="49"/>
              <w:jc w:val="center"/>
              <w:rPr>
                <w:rFonts w:hint="eastAsia" w:ascii="宋体" w:hAnsi="宋体" w:eastAsia="宋体" w:cs="宋体"/>
                <w:color w:val="auto"/>
                <w:sz w:val="24"/>
                <w:szCs w:val="24"/>
                <w:highlight w:val="none"/>
              </w:rPr>
            </w:pPr>
          </w:p>
        </w:tc>
        <w:tc>
          <w:tcPr>
            <w:tcW w:w="816" w:type="dxa"/>
            <w:vAlign w:val="center"/>
          </w:tcPr>
          <w:p w14:paraId="4EF8AB8A">
            <w:pPr>
              <w:pStyle w:val="49"/>
              <w:jc w:val="center"/>
              <w:rPr>
                <w:rFonts w:hint="eastAsia" w:ascii="宋体" w:hAnsi="宋体" w:eastAsia="宋体" w:cs="宋体"/>
                <w:color w:val="auto"/>
                <w:sz w:val="24"/>
                <w:szCs w:val="24"/>
                <w:highlight w:val="none"/>
              </w:rPr>
            </w:pPr>
          </w:p>
        </w:tc>
      </w:tr>
      <w:tr w14:paraId="661CA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AA4734C">
            <w:pPr>
              <w:pStyle w:val="49"/>
              <w:jc w:val="center"/>
              <w:rPr>
                <w:rFonts w:hint="eastAsia" w:ascii="宋体" w:hAnsi="宋体" w:eastAsia="宋体" w:cs="宋体"/>
                <w:color w:val="auto"/>
                <w:sz w:val="24"/>
                <w:szCs w:val="24"/>
                <w:highlight w:val="none"/>
              </w:rPr>
            </w:pPr>
            <w:bookmarkStart w:id="443" w:name="_Toc100090790"/>
            <w:bookmarkStart w:id="444" w:name="_Toc99533298"/>
            <w:r>
              <w:rPr>
                <w:rFonts w:hint="eastAsia" w:ascii="宋体" w:hAnsi="宋体" w:eastAsia="宋体" w:cs="宋体"/>
                <w:color w:val="auto"/>
                <w:sz w:val="24"/>
                <w:szCs w:val="24"/>
                <w:highlight w:val="none"/>
              </w:rPr>
              <w:t>7</w:t>
            </w:r>
            <w:bookmarkEnd w:id="443"/>
            <w:bookmarkEnd w:id="444"/>
          </w:p>
        </w:tc>
        <w:tc>
          <w:tcPr>
            <w:tcW w:w="1267" w:type="dxa"/>
            <w:vAlign w:val="center"/>
          </w:tcPr>
          <w:p w14:paraId="3F3B684D">
            <w:pPr>
              <w:pStyle w:val="49"/>
              <w:jc w:val="center"/>
              <w:rPr>
                <w:rFonts w:hint="eastAsia" w:ascii="宋体" w:hAnsi="宋体" w:eastAsia="宋体" w:cs="宋体"/>
                <w:color w:val="auto"/>
                <w:sz w:val="24"/>
                <w:szCs w:val="24"/>
                <w:highlight w:val="none"/>
              </w:rPr>
            </w:pPr>
          </w:p>
        </w:tc>
        <w:tc>
          <w:tcPr>
            <w:tcW w:w="1296" w:type="dxa"/>
            <w:tcBorders>
              <w:right w:val="single" w:color="auto" w:sz="4" w:space="0"/>
            </w:tcBorders>
            <w:vAlign w:val="center"/>
          </w:tcPr>
          <w:p w14:paraId="78032A99">
            <w:pPr>
              <w:pStyle w:val="49"/>
              <w:jc w:val="center"/>
              <w:rPr>
                <w:rFonts w:hint="eastAsia" w:ascii="宋体" w:hAnsi="宋体" w:eastAsia="宋体" w:cs="宋体"/>
                <w:color w:val="auto"/>
                <w:sz w:val="24"/>
                <w:szCs w:val="24"/>
                <w:highlight w:val="none"/>
              </w:rPr>
            </w:pPr>
          </w:p>
        </w:tc>
        <w:tc>
          <w:tcPr>
            <w:tcW w:w="1080" w:type="dxa"/>
            <w:tcBorders>
              <w:left w:val="single" w:color="auto" w:sz="4" w:space="0"/>
            </w:tcBorders>
            <w:vAlign w:val="center"/>
          </w:tcPr>
          <w:p w14:paraId="601AE572">
            <w:pPr>
              <w:pStyle w:val="49"/>
              <w:jc w:val="center"/>
              <w:rPr>
                <w:rFonts w:hint="eastAsia" w:ascii="宋体" w:hAnsi="宋体" w:eastAsia="宋体" w:cs="宋体"/>
                <w:color w:val="auto"/>
                <w:sz w:val="24"/>
                <w:szCs w:val="24"/>
                <w:highlight w:val="none"/>
              </w:rPr>
            </w:pPr>
          </w:p>
        </w:tc>
        <w:tc>
          <w:tcPr>
            <w:tcW w:w="804" w:type="dxa"/>
            <w:tcBorders>
              <w:left w:val="single" w:color="auto" w:sz="4" w:space="0"/>
            </w:tcBorders>
            <w:vAlign w:val="center"/>
          </w:tcPr>
          <w:p w14:paraId="01172C19">
            <w:pPr>
              <w:pStyle w:val="49"/>
              <w:jc w:val="center"/>
              <w:rPr>
                <w:rFonts w:hint="eastAsia" w:ascii="宋体" w:hAnsi="宋体" w:eastAsia="宋体" w:cs="宋体"/>
                <w:color w:val="auto"/>
                <w:sz w:val="24"/>
                <w:szCs w:val="24"/>
                <w:highlight w:val="none"/>
              </w:rPr>
            </w:pPr>
          </w:p>
        </w:tc>
        <w:tc>
          <w:tcPr>
            <w:tcW w:w="1860" w:type="dxa"/>
            <w:vAlign w:val="center"/>
          </w:tcPr>
          <w:p w14:paraId="7E9B2A2D">
            <w:pPr>
              <w:pStyle w:val="49"/>
              <w:jc w:val="center"/>
              <w:rPr>
                <w:rFonts w:hint="eastAsia" w:ascii="宋体" w:hAnsi="宋体" w:eastAsia="宋体" w:cs="宋体"/>
                <w:color w:val="auto"/>
                <w:sz w:val="24"/>
                <w:szCs w:val="24"/>
                <w:highlight w:val="none"/>
              </w:rPr>
            </w:pPr>
          </w:p>
        </w:tc>
        <w:tc>
          <w:tcPr>
            <w:tcW w:w="1356" w:type="dxa"/>
            <w:vAlign w:val="center"/>
          </w:tcPr>
          <w:p w14:paraId="5FBF328E">
            <w:pPr>
              <w:pStyle w:val="49"/>
              <w:jc w:val="center"/>
              <w:rPr>
                <w:rFonts w:hint="eastAsia" w:ascii="宋体" w:hAnsi="宋体" w:eastAsia="宋体" w:cs="宋体"/>
                <w:color w:val="auto"/>
                <w:sz w:val="24"/>
                <w:szCs w:val="24"/>
                <w:highlight w:val="none"/>
              </w:rPr>
            </w:pPr>
          </w:p>
        </w:tc>
        <w:tc>
          <w:tcPr>
            <w:tcW w:w="816" w:type="dxa"/>
            <w:vAlign w:val="center"/>
          </w:tcPr>
          <w:p w14:paraId="718DD530">
            <w:pPr>
              <w:pStyle w:val="49"/>
              <w:jc w:val="center"/>
              <w:rPr>
                <w:rFonts w:hint="eastAsia" w:ascii="宋体" w:hAnsi="宋体" w:eastAsia="宋体" w:cs="宋体"/>
                <w:color w:val="auto"/>
                <w:sz w:val="24"/>
                <w:szCs w:val="24"/>
                <w:highlight w:val="none"/>
              </w:rPr>
            </w:pPr>
          </w:p>
        </w:tc>
      </w:tr>
      <w:tr w14:paraId="5E0A6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03F7F8C">
            <w:pPr>
              <w:pStyle w:val="49"/>
              <w:jc w:val="center"/>
              <w:rPr>
                <w:rFonts w:hint="eastAsia" w:ascii="宋体" w:hAnsi="宋体" w:eastAsia="宋体" w:cs="宋体"/>
                <w:color w:val="auto"/>
                <w:sz w:val="24"/>
                <w:szCs w:val="24"/>
                <w:highlight w:val="none"/>
              </w:rPr>
            </w:pPr>
            <w:bookmarkStart w:id="445" w:name="_Toc100090791"/>
            <w:bookmarkStart w:id="446" w:name="_Toc99533299"/>
            <w:r>
              <w:rPr>
                <w:rFonts w:hint="eastAsia" w:ascii="宋体" w:hAnsi="宋体" w:eastAsia="宋体" w:cs="宋体"/>
                <w:color w:val="auto"/>
                <w:sz w:val="24"/>
                <w:szCs w:val="24"/>
                <w:highlight w:val="none"/>
              </w:rPr>
              <w:t>8</w:t>
            </w:r>
            <w:bookmarkEnd w:id="445"/>
            <w:bookmarkEnd w:id="446"/>
          </w:p>
        </w:tc>
        <w:tc>
          <w:tcPr>
            <w:tcW w:w="1267" w:type="dxa"/>
            <w:vAlign w:val="center"/>
          </w:tcPr>
          <w:p w14:paraId="20BD29D0">
            <w:pPr>
              <w:pStyle w:val="49"/>
              <w:jc w:val="center"/>
              <w:rPr>
                <w:rFonts w:hint="eastAsia" w:ascii="宋体" w:hAnsi="宋体" w:eastAsia="宋体" w:cs="宋体"/>
                <w:color w:val="auto"/>
                <w:sz w:val="24"/>
                <w:szCs w:val="24"/>
                <w:highlight w:val="none"/>
              </w:rPr>
            </w:pPr>
          </w:p>
        </w:tc>
        <w:tc>
          <w:tcPr>
            <w:tcW w:w="1296" w:type="dxa"/>
            <w:tcBorders>
              <w:right w:val="single" w:color="auto" w:sz="4" w:space="0"/>
            </w:tcBorders>
            <w:vAlign w:val="center"/>
          </w:tcPr>
          <w:p w14:paraId="7C9D455C">
            <w:pPr>
              <w:pStyle w:val="49"/>
              <w:jc w:val="center"/>
              <w:rPr>
                <w:rFonts w:hint="eastAsia" w:ascii="宋体" w:hAnsi="宋体" w:eastAsia="宋体" w:cs="宋体"/>
                <w:color w:val="auto"/>
                <w:sz w:val="24"/>
                <w:szCs w:val="24"/>
                <w:highlight w:val="none"/>
              </w:rPr>
            </w:pPr>
          </w:p>
        </w:tc>
        <w:tc>
          <w:tcPr>
            <w:tcW w:w="1080" w:type="dxa"/>
            <w:tcBorders>
              <w:left w:val="single" w:color="auto" w:sz="4" w:space="0"/>
            </w:tcBorders>
            <w:vAlign w:val="center"/>
          </w:tcPr>
          <w:p w14:paraId="3548599B">
            <w:pPr>
              <w:pStyle w:val="49"/>
              <w:jc w:val="center"/>
              <w:rPr>
                <w:rFonts w:hint="eastAsia" w:ascii="宋体" w:hAnsi="宋体" w:eastAsia="宋体" w:cs="宋体"/>
                <w:color w:val="auto"/>
                <w:sz w:val="24"/>
                <w:szCs w:val="24"/>
                <w:highlight w:val="none"/>
              </w:rPr>
            </w:pPr>
          </w:p>
        </w:tc>
        <w:tc>
          <w:tcPr>
            <w:tcW w:w="804" w:type="dxa"/>
            <w:tcBorders>
              <w:left w:val="single" w:color="auto" w:sz="4" w:space="0"/>
            </w:tcBorders>
            <w:vAlign w:val="center"/>
          </w:tcPr>
          <w:p w14:paraId="2842C962">
            <w:pPr>
              <w:pStyle w:val="49"/>
              <w:jc w:val="center"/>
              <w:rPr>
                <w:rFonts w:hint="eastAsia" w:ascii="宋体" w:hAnsi="宋体" w:eastAsia="宋体" w:cs="宋体"/>
                <w:color w:val="auto"/>
                <w:sz w:val="24"/>
                <w:szCs w:val="24"/>
                <w:highlight w:val="none"/>
              </w:rPr>
            </w:pPr>
          </w:p>
        </w:tc>
        <w:tc>
          <w:tcPr>
            <w:tcW w:w="1860" w:type="dxa"/>
            <w:vAlign w:val="center"/>
          </w:tcPr>
          <w:p w14:paraId="292DF220">
            <w:pPr>
              <w:pStyle w:val="49"/>
              <w:jc w:val="center"/>
              <w:rPr>
                <w:rFonts w:hint="eastAsia" w:ascii="宋体" w:hAnsi="宋体" w:eastAsia="宋体" w:cs="宋体"/>
                <w:color w:val="auto"/>
                <w:sz w:val="24"/>
                <w:szCs w:val="24"/>
                <w:highlight w:val="none"/>
              </w:rPr>
            </w:pPr>
          </w:p>
        </w:tc>
        <w:tc>
          <w:tcPr>
            <w:tcW w:w="1356" w:type="dxa"/>
            <w:vAlign w:val="center"/>
          </w:tcPr>
          <w:p w14:paraId="7107F6B0">
            <w:pPr>
              <w:pStyle w:val="49"/>
              <w:jc w:val="center"/>
              <w:rPr>
                <w:rFonts w:hint="eastAsia" w:ascii="宋体" w:hAnsi="宋体" w:eastAsia="宋体" w:cs="宋体"/>
                <w:color w:val="auto"/>
                <w:sz w:val="24"/>
                <w:szCs w:val="24"/>
                <w:highlight w:val="none"/>
              </w:rPr>
            </w:pPr>
          </w:p>
        </w:tc>
        <w:tc>
          <w:tcPr>
            <w:tcW w:w="816" w:type="dxa"/>
            <w:vAlign w:val="center"/>
          </w:tcPr>
          <w:p w14:paraId="247AF589">
            <w:pPr>
              <w:pStyle w:val="49"/>
              <w:jc w:val="center"/>
              <w:rPr>
                <w:rFonts w:hint="eastAsia" w:ascii="宋体" w:hAnsi="宋体" w:eastAsia="宋体" w:cs="宋体"/>
                <w:color w:val="auto"/>
                <w:sz w:val="24"/>
                <w:szCs w:val="24"/>
                <w:highlight w:val="none"/>
              </w:rPr>
            </w:pPr>
          </w:p>
        </w:tc>
      </w:tr>
      <w:tr w14:paraId="17D5B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4F7A90D9">
            <w:pPr>
              <w:pStyle w:val="49"/>
              <w:jc w:val="center"/>
              <w:rPr>
                <w:rFonts w:hint="eastAsia" w:ascii="宋体" w:hAnsi="宋体" w:eastAsia="宋体" w:cs="宋体"/>
                <w:color w:val="auto"/>
                <w:sz w:val="24"/>
                <w:szCs w:val="24"/>
                <w:highlight w:val="none"/>
              </w:rPr>
            </w:pPr>
            <w:bookmarkStart w:id="447" w:name="_Toc100090792"/>
            <w:bookmarkStart w:id="448" w:name="_Toc99533300"/>
            <w:r>
              <w:rPr>
                <w:rFonts w:hint="eastAsia" w:ascii="宋体" w:hAnsi="宋体" w:eastAsia="宋体" w:cs="宋体"/>
                <w:color w:val="auto"/>
                <w:sz w:val="24"/>
                <w:szCs w:val="24"/>
                <w:highlight w:val="none"/>
              </w:rPr>
              <w:t>9</w:t>
            </w:r>
            <w:bookmarkEnd w:id="447"/>
            <w:bookmarkEnd w:id="448"/>
          </w:p>
        </w:tc>
        <w:tc>
          <w:tcPr>
            <w:tcW w:w="1267" w:type="dxa"/>
            <w:vAlign w:val="center"/>
          </w:tcPr>
          <w:p w14:paraId="6C5090EC">
            <w:pPr>
              <w:pStyle w:val="49"/>
              <w:jc w:val="center"/>
              <w:rPr>
                <w:rFonts w:hint="eastAsia" w:ascii="宋体" w:hAnsi="宋体" w:eastAsia="宋体" w:cs="宋体"/>
                <w:color w:val="auto"/>
                <w:sz w:val="24"/>
                <w:szCs w:val="24"/>
                <w:highlight w:val="none"/>
              </w:rPr>
            </w:pPr>
          </w:p>
        </w:tc>
        <w:tc>
          <w:tcPr>
            <w:tcW w:w="1296" w:type="dxa"/>
            <w:tcBorders>
              <w:right w:val="single" w:color="auto" w:sz="4" w:space="0"/>
            </w:tcBorders>
            <w:vAlign w:val="center"/>
          </w:tcPr>
          <w:p w14:paraId="32CD2ADB">
            <w:pPr>
              <w:pStyle w:val="49"/>
              <w:jc w:val="center"/>
              <w:rPr>
                <w:rFonts w:hint="eastAsia" w:ascii="宋体" w:hAnsi="宋体" w:eastAsia="宋体" w:cs="宋体"/>
                <w:color w:val="auto"/>
                <w:sz w:val="24"/>
                <w:szCs w:val="24"/>
                <w:highlight w:val="none"/>
              </w:rPr>
            </w:pPr>
          </w:p>
        </w:tc>
        <w:tc>
          <w:tcPr>
            <w:tcW w:w="1080" w:type="dxa"/>
            <w:tcBorders>
              <w:left w:val="single" w:color="auto" w:sz="4" w:space="0"/>
            </w:tcBorders>
            <w:vAlign w:val="center"/>
          </w:tcPr>
          <w:p w14:paraId="0DD9EDDC">
            <w:pPr>
              <w:pStyle w:val="49"/>
              <w:jc w:val="center"/>
              <w:rPr>
                <w:rFonts w:hint="eastAsia" w:ascii="宋体" w:hAnsi="宋体" w:eastAsia="宋体" w:cs="宋体"/>
                <w:color w:val="auto"/>
                <w:sz w:val="24"/>
                <w:szCs w:val="24"/>
                <w:highlight w:val="none"/>
              </w:rPr>
            </w:pPr>
          </w:p>
        </w:tc>
        <w:tc>
          <w:tcPr>
            <w:tcW w:w="804" w:type="dxa"/>
            <w:tcBorders>
              <w:left w:val="single" w:color="auto" w:sz="4" w:space="0"/>
            </w:tcBorders>
            <w:vAlign w:val="center"/>
          </w:tcPr>
          <w:p w14:paraId="05650614">
            <w:pPr>
              <w:pStyle w:val="49"/>
              <w:jc w:val="center"/>
              <w:rPr>
                <w:rFonts w:hint="eastAsia" w:ascii="宋体" w:hAnsi="宋体" w:eastAsia="宋体" w:cs="宋体"/>
                <w:color w:val="auto"/>
                <w:sz w:val="24"/>
                <w:szCs w:val="24"/>
                <w:highlight w:val="none"/>
              </w:rPr>
            </w:pPr>
          </w:p>
        </w:tc>
        <w:tc>
          <w:tcPr>
            <w:tcW w:w="1860" w:type="dxa"/>
            <w:vAlign w:val="center"/>
          </w:tcPr>
          <w:p w14:paraId="337B4053">
            <w:pPr>
              <w:pStyle w:val="49"/>
              <w:jc w:val="center"/>
              <w:rPr>
                <w:rFonts w:hint="eastAsia" w:ascii="宋体" w:hAnsi="宋体" w:eastAsia="宋体" w:cs="宋体"/>
                <w:color w:val="auto"/>
                <w:sz w:val="24"/>
                <w:szCs w:val="24"/>
                <w:highlight w:val="none"/>
              </w:rPr>
            </w:pPr>
          </w:p>
        </w:tc>
        <w:tc>
          <w:tcPr>
            <w:tcW w:w="1356" w:type="dxa"/>
            <w:vAlign w:val="center"/>
          </w:tcPr>
          <w:p w14:paraId="6968EA5F">
            <w:pPr>
              <w:pStyle w:val="49"/>
              <w:jc w:val="center"/>
              <w:rPr>
                <w:rFonts w:hint="eastAsia" w:ascii="宋体" w:hAnsi="宋体" w:eastAsia="宋体" w:cs="宋体"/>
                <w:color w:val="auto"/>
                <w:sz w:val="24"/>
                <w:szCs w:val="24"/>
                <w:highlight w:val="none"/>
              </w:rPr>
            </w:pPr>
          </w:p>
        </w:tc>
        <w:tc>
          <w:tcPr>
            <w:tcW w:w="816" w:type="dxa"/>
            <w:vAlign w:val="center"/>
          </w:tcPr>
          <w:p w14:paraId="45D99552">
            <w:pPr>
              <w:pStyle w:val="49"/>
              <w:jc w:val="center"/>
              <w:rPr>
                <w:rFonts w:hint="eastAsia" w:ascii="宋体" w:hAnsi="宋体" w:eastAsia="宋体" w:cs="宋体"/>
                <w:color w:val="auto"/>
                <w:sz w:val="24"/>
                <w:szCs w:val="24"/>
                <w:highlight w:val="none"/>
              </w:rPr>
            </w:pPr>
          </w:p>
        </w:tc>
      </w:tr>
      <w:tr w14:paraId="5F497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773" w:type="dxa"/>
            <w:vAlign w:val="center"/>
          </w:tcPr>
          <w:p w14:paraId="406250BE">
            <w:pPr>
              <w:pStyle w:val="49"/>
              <w:jc w:val="center"/>
              <w:rPr>
                <w:rFonts w:hint="eastAsia" w:ascii="宋体" w:hAnsi="宋体" w:eastAsia="宋体" w:cs="宋体"/>
                <w:color w:val="auto"/>
                <w:sz w:val="24"/>
                <w:szCs w:val="24"/>
                <w:highlight w:val="none"/>
              </w:rPr>
            </w:pPr>
            <w:bookmarkStart w:id="449" w:name="_Toc100090793"/>
            <w:bookmarkStart w:id="450" w:name="_Toc99533301"/>
            <w:r>
              <w:rPr>
                <w:rFonts w:hint="eastAsia" w:ascii="宋体" w:hAnsi="宋体" w:eastAsia="宋体" w:cs="宋体"/>
                <w:color w:val="auto"/>
                <w:sz w:val="24"/>
                <w:szCs w:val="24"/>
                <w:highlight w:val="none"/>
              </w:rPr>
              <w:t>10</w:t>
            </w:r>
            <w:bookmarkEnd w:id="449"/>
            <w:bookmarkEnd w:id="450"/>
          </w:p>
        </w:tc>
        <w:tc>
          <w:tcPr>
            <w:tcW w:w="1267" w:type="dxa"/>
            <w:vAlign w:val="center"/>
          </w:tcPr>
          <w:p w14:paraId="0D84E205">
            <w:pPr>
              <w:pStyle w:val="49"/>
              <w:jc w:val="center"/>
              <w:rPr>
                <w:rFonts w:hint="eastAsia" w:ascii="宋体" w:hAnsi="宋体" w:eastAsia="宋体" w:cs="宋体"/>
                <w:color w:val="auto"/>
                <w:sz w:val="24"/>
                <w:szCs w:val="24"/>
                <w:highlight w:val="none"/>
              </w:rPr>
            </w:pPr>
          </w:p>
        </w:tc>
        <w:tc>
          <w:tcPr>
            <w:tcW w:w="1296" w:type="dxa"/>
            <w:tcBorders>
              <w:right w:val="single" w:color="auto" w:sz="4" w:space="0"/>
            </w:tcBorders>
            <w:vAlign w:val="center"/>
          </w:tcPr>
          <w:p w14:paraId="79F36313">
            <w:pPr>
              <w:pStyle w:val="49"/>
              <w:jc w:val="center"/>
              <w:rPr>
                <w:rFonts w:hint="eastAsia" w:ascii="宋体" w:hAnsi="宋体" w:eastAsia="宋体" w:cs="宋体"/>
                <w:color w:val="auto"/>
                <w:sz w:val="24"/>
                <w:szCs w:val="24"/>
                <w:highlight w:val="none"/>
              </w:rPr>
            </w:pPr>
          </w:p>
        </w:tc>
        <w:tc>
          <w:tcPr>
            <w:tcW w:w="1080" w:type="dxa"/>
            <w:tcBorders>
              <w:left w:val="single" w:color="auto" w:sz="4" w:space="0"/>
            </w:tcBorders>
            <w:vAlign w:val="center"/>
          </w:tcPr>
          <w:p w14:paraId="193C6909">
            <w:pPr>
              <w:pStyle w:val="49"/>
              <w:jc w:val="center"/>
              <w:rPr>
                <w:rFonts w:hint="eastAsia" w:ascii="宋体" w:hAnsi="宋体" w:eastAsia="宋体" w:cs="宋体"/>
                <w:color w:val="auto"/>
                <w:sz w:val="24"/>
                <w:szCs w:val="24"/>
                <w:highlight w:val="none"/>
              </w:rPr>
            </w:pPr>
          </w:p>
        </w:tc>
        <w:tc>
          <w:tcPr>
            <w:tcW w:w="804" w:type="dxa"/>
            <w:tcBorders>
              <w:left w:val="single" w:color="auto" w:sz="4" w:space="0"/>
            </w:tcBorders>
            <w:vAlign w:val="center"/>
          </w:tcPr>
          <w:p w14:paraId="6C34049E">
            <w:pPr>
              <w:pStyle w:val="49"/>
              <w:jc w:val="center"/>
              <w:rPr>
                <w:rFonts w:hint="eastAsia" w:ascii="宋体" w:hAnsi="宋体" w:eastAsia="宋体" w:cs="宋体"/>
                <w:color w:val="auto"/>
                <w:sz w:val="24"/>
                <w:szCs w:val="24"/>
                <w:highlight w:val="none"/>
              </w:rPr>
            </w:pPr>
          </w:p>
        </w:tc>
        <w:tc>
          <w:tcPr>
            <w:tcW w:w="1860" w:type="dxa"/>
            <w:vAlign w:val="center"/>
          </w:tcPr>
          <w:p w14:paraId="7790D037">
            <w:pPr>
              <w:pStyle w:val="49"/>
              <w:jc w:val="center"/>
              <w:rPr>
                <w:rFonts w:hint="eastAsia" w:ascii="宋体" w:hAnsi="宋体" w:eastAsia="宋体" w:cs="宋体"/>
                <w:color w:val="auto"/>
                <w:sz w:val="24"/>
                <w:szCs w:val="24"/>
                <w:highlight w:val="none"/>
              </w:rPr>
            </w:pPr>
          </w:p>
        </w:tc>
        <w:tc>
          <w:tcPr>
            <w:tcW w:w="1356" w:type="dxa"/>
            <w:vAlign w:val="center"/>
          </w:tcPr>
          <w:p w14:paraId="292E64B7">
            <w:pPr>
              <w:pStyle w:val="49"/>
              <w:jc w:val="center"/>
              <w:rPr>
                <w:rFonts w:hint="eastAsia" w:ascii="宋体" w:hAnsi="宋体" w:eastAsia="宋体" w:cs="宋体"/>
                <w:color w:val="auto"/>
                <w:sz w:val="24"/>
                <w:szCs w:val="24"/>
                <w:highlight w:val="none"/>
              </w:rPr>
            </w:pPr>
          </w:p>
        </w:tc>
        <w:tc>
          <w:tcPr>
            <w:tcW w:w="816" w:type="dxa"/>
            <w:vAlign w:val="center"/>
          </w:tcPr>
          <w:p w14:paraId="77E1C162">
            <w:pPr>
              <w:pStyle w:val="49"/>
              <w:jc w:val="center"/>
              <w:rPr>
                <w:rFonts w:hint="eastAsia" w:ascii="宋体" w:hAnsi="宋体" w:eastAsia="宋体" w:cs="宋体"/>
                <w:color w:val="auto"/>
                <w:sz w:val="24"/>
                <w:szCs w:val="24"/>
                <w:highlight w:val="none"/>
              </w:rPr>
            </w:pPr>
          </w:p>
        </w:tc>
      </w:tr>
    </w:tbl>
    <w:p w14:paraId="3CBF9299">
      <w:pPr>
        <w:rPr>
          <w:rFonts w:hint="eastAsia" w:cs="仿宋_GB2312"/>
          <w:color w:val="auto"/>
          <w:sz w:val="24"/>
          <w:szCs w:val="24"/>
          <w:highlight w:val="none"/>
          <w:lang w:val="en-US" w:eastAsia="zh-CN"/>
        </w:rPr>
      </w:pPr>
    </w:p>
    <w:p w14:paraId="1EAF0062">
      <w:pPr>
        <w:rPr>
          <w:rFonts w:hint="default" w:cs="仿宋_GB2312"/>
          <w:color w:val="auto"/>
          <w:sz w:val="24"/>
          <w:szCs w:val="24"/>
          <w:highlight w:val="none"/>
          <w:lang w:val="en-US"/>
        </w:rPr>
      </w:pPr>
      <w:r>
        <w:rPr>
          <w:rFonts w:hint="eastAsia" w:cs="仿宋_GB2312"/>
          <w:color w:val="auto"/>
          <w:sz w:val="24"/>
          <w:szCs w:val="24"/>
          <w:highlight w:val="none"/>
          <w:lang w:val="en-US" w:eastAsia="zh-CN"/>
        </w:rPr>
        <w:t>注：按招标文件要求在本表后附相关人员证书。</w:t>
      </w:r>
    </w:p>
    <w:p w14:paraId="3B621572">
      <w:pPr>
        <w:ind w:firstLine="480" w:firstLineChars="200"/>
        <w:rPr>
          <w:rFonts w:hint="eastAsia" w:cs="仿宋_GB2312"/>
          <w:color w:val="auto"/>
          <w:sz w:val="24"/>
          <w:szCs w:val="24"/>
          <w:highlight w:val="none"/>
          <w:lang w:val="en-US" w:eastAsia="zh-CN"/>
        </w:rPr>
      </w:pPr>
    </w:p>
    <w:p w14:paraId="178B25F9">
      <w:pPr>
        <w:ind w:firstLine="480" w:firstLineChars="200"/>
        <w:rPr>
          <w:rFonts w:hint="eastAsia" w:cs="仿宋_GB2312"/>
          <w:color w:val="auto"/>
          <w:sz w:val="24"/>
          <w:szCs w:val="24"/>
          <w:highlight w:val="none"/>
          <w:lang w:val="en-US" w:eastAsia="zh-CN"/>
        </w:rPr>
      </w:pPr>
      <w:r>
        <w:rPr>
          <w:rFonts w:hint="eastAsia" w:cs="仿宋_GB2312"/>
          <w:color w:val="auto"/>
          <w:sz w:val="24"/>
          <w:szCs w:val="24"/>
          <w:highlight w:val="none"/>
          <w:lang w:val="en-US" w:eastAsia="zh-CN"/>
        </w:rPr>
        <w:t xml:space="preserve">说明： </w:t>
      </w:r>
    </w:p>
    <w:p w14:paraId="442D33DF">
      <w:pPr>
        <w:ind w:firstLine="480" w:firstLineChars="200"/>
        <w:rPr>
          <w:rFonts w:hint="eastAsia" w:cs="仿宋_GB2312"/>
          <w:color w:val="auto"/>
          <w:sz w:val="24"/>
          <w:szCs w:val="24"/>
          <w:highlight w:val="none"/>
        </w:rPr>
      </w:pPr>
      <w:r>
        <w:rPr>
          <w:rFonts w:hint="eastAsia" w:cs="仿宋_GB2312"/>
          <w:color w:val="auto"/>
          <w:sz w:val="24"/>
          <w:szCs w:val="24"/>
          <w:highlight w:val="none"/>
          <w:lang w:val="en-US" w:eastAsia="zh-CN"/>
        </w:rPr>
        <w:t xml:space="preserve">1.“在团队中职务（岗位）”栏应包括但不限于：项目负责人、项目联系人、项目服务人员或技术人员等。 </w:t>
      </w:r>
    </w:p>
    <w:p w14:paraId="4DC17E9A">
      <w:pPr>
        <w:ind w:firstLine="480" w:firstLineChars="200"/>
        <w:rPr>
          <w:rFonts w:hint="eastAsia" w:cs="仿宋_GB2312"/>
          <w:color w:val="auto"/>
          <w:sz w:val="24"/>
          <w:szCs w:val="24"/>
          <w:highlight w:val="none"/>
        </w:rPr>
      </w:pPr>
      <w:r>
        <w:rPr>
          <w:rFonts w:hint="eastAsia" w:cs="仿宋_GB2312"/>
          <w:color w:val="auto"/>
          <w:sz w:val="24"/>
          <w:szCs w:val="24"/>
          <w:highlight w:val="none"/>
          <w:lang w:val="en-US" w:eastAsia="zh-CN"/>
        </w:rPr>
        <w:t>2.如投标人中标，须按本表项目组成人员操作，不得随意更换。</w:t>
      </w:r>
    </w:p>
    <w:p w14:paraId="285371E7">
      <w:pPr>
        <w:rPr>
          <w:color w:val="auto"/>
          <w:highlight w:val="none"/>
        </w:rPr>
      </w:pPr>
    </w:p>
    <w:p w14:paraId="51ED7B0D">
      <w:pPr>
        <w:rPr>
          <w:color w:val="auto"/>
          <w:highlight w:val="none"/>
        </w:rPr>
      </w:pPr>
      <w:r>
        <w:rPr>
          <w:color w:val="auto"/>
          <w:highlight w:val="none"/>
        </w:rPr>
        <w:br w:type="page"/>
      </w:r>
    </w:p>
    <w:p w14:paraId="1358285E">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451" w:name="_Toc163492934"/>
      <w:bookmarkStart w:id="452" w:name="_Toc30337"/>
      <w:r>
        <w:rPr>
          <w:rFonts w:hint="eastAsia" w:cstheme="majorBidi"/>
          <w:b/>
          <w:bCs/>
          <w:color w:val="auto"/>
          <w:kern w:val="2"/>
          <w:sz w:val="32"/>
          <w:szCs w:val="32"/>
          <w:highlight w:val="none"/>
          <w:lang w:val="en-US" w:eastAsia="zh-CN" w:bidi="ar-SA"/>
        </w:rPr>
        <w:t>九</w:t>
      </w:r>
      <w:r>
        <w:rPr>
          <w:rFonts w:hint="eastAsia" w:eastAsia="宋体" w:asciiTheme="majorHAnsi" w:hAnsiTheme="majorHAnsi" w:cstheme="majorBidi"/>
          <w:b/>
          <w:bCs/>
          <w:color w:val="auto"/>
          <w:kern w:val="2"/>
          <w:sz w:val="32"/>
          <w:szCs w:val="32"/>
          <w:highlight w:val="none"/>
          <w:lang w:val="en-US" w:eastAsia="zh-CN" w:bidi="ar-SA"/>
        </w:rPr>
        <w:t>、技术响应偏离表</w:t>
      </w:r>
      <w:bookmarkEnd w:id="451"/>
      <w:bookmarkEnd w:id="452"/>
    </w:p>
    <w:p w14:paraId="7EE50E6A">
      <w:pPr>
        <w:rPr>
          <w:rFonts w:cs="仿宋_GB2312"/>
          <w:color w:val="auto"/>
          <w:sz w:val="24"/>
          <w:szCs w:val="24"/>
          <w:highlight w:val="none"/>
        </w:rPr>
      </w:pPr>
      <w:r>
        <w:rPr>
          <w:rFonts w:hint="eastAsia" w:cs="仿宋_GB2312"/>
          <w:color w:val="auto"/>
          <w:sz w:val="24"/>
          <w:szCs w:val="24"/>
          <w:highlight w:val="none"/>
        </w:rPr>
        <w:t xml:space="preserve">项目名称：                                         </w:t>
      </w:r>
    </w:p>
    <w:p w14:paraId="10CF1BE4">
      <w:pPr>
        <w:rPr>
          <w:rFonts w:cs="仿宋_GB2312"/>
          <w:color w:val="auto"/>
          <w:sz w:val="24"/>
          <w:szCs w:val="24"/>
          <w:highlight w:val="none"/>
        </w:rPr>
      </w:pPr>
      <w:r>
        <w:rPr>
          <w:rFonts w:hint="eastAsia" w:cs="仿宋_GB2312"/>
          <w:color w:val="auto"/>
          <w:sz w:val="24"/>
          <w:szCs w:val="24"/>
          <w:highlight w:val="none"/>
        </w:rPr>
        <w:t>项目编号</w:t>
      </w:r>
      <w:r>
        <w:rPr>
          <w:rFonts w:hint="eastAsia"/>
          <w:b w:val="0"/>
          <w:bCs/>
          <w:color w:val="auto"/>
          <w:sz w:val="24"/>
          <w:szCs w:val="24"/>
          <w:highlight w:val="none"/>
          <w:lang w:val="en-US" w:eastAsia="zh-CN"/>
        </w:rPr>
        <w:t>/</w:t>
      </w:r>
      <w:r>
        <w:rPr>
          <w:rFonts w:hint="eastAsia"/>
          <w:b w:val="0"/>
          <w:bCs/>
          <w:color w:val="auto"/>
          <w:sz w:val="24"/>
          <w:szCs w:val="24"/>
          <w:highlight w:val="none"/>
          <w:lang w:val="zh-CN"/>
        </w:rPr>
        <w:t>包号</w:t>
      </w:r>
      <w:r>
        <w:rPr>
          <w:rFonts w:hint="eastAsia" w:cs="仿宋_GB2312"/>
          <w:color w:val="auto"/>
          <w:sz w:val="24"/>
          <w:szCs w:val="24"/>
          <w:highlight w:val="none"/>
        </w:rPr>
        <w:t xml:space="preserve">：         </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974"/>
        <w:gridCol w:w="1757"/>
        <w:gridCol w:w="2156"/>
        <w:gridCol w:w="1936"/>
      </w:tblGrid>
      <w:tr w14:paraId="23CC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5" w:type="pct"/>
            <w:vAlign w:val="center"/>
          </w:tcPr>
          <w:p w14:paraId="5F892E53">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59" w:type="pct"/>
            <w:vAlign w:val="center"/>
          </w:tcPr>
          <w:p w14:paraId="48E48677">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招标文件技术</w:t>
            </w:r>
          </w:p>
          <w:p w14:paraId="0C5608DB">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要求条款</w:t>
            </w:r>
          </w:p>
        </w:tc>
        <w:tc>
          <w:tcPr>
            <w:tcW w:w="1031" w:type="pct"/>
            <w:vAlign w:val="center"/>
          </w:tcPr>
          <w:p w14:paraId="0B845CF1">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投标文件内容</w:t>
            </w:r>
          </w:p>
          <w:p w14:paraId="4F79E073">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对应简述</w:t>
            </w:r>
          </w:p>
        </w:tc>
        <w:tc>
          <w:tcPr>
            <w:tcW w:w="1265" w:type="pct"/>
            <w:vAlign w:val="center"/>
          </w:tcPr>
          <w:p w14:paraId="4AB4E9C3">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响应情况</w:t>
            </w:r>
          </w:p>
        </w:tc>
        <w:tc>
          <w:tcPr>
            <w:tcW w:w="1136" w:type="pct"/>
            <w:vAlign w:val="center"/>
          </w:tcPr>
          <w:p w14:paraId="09D725B9">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证明资料</w:t>
            </w:r>
            <w:r>
              <w:rPr>
                <w:rFonts w:hint="eastAsia" w:ascii="宋体" w:hAnsi="宋体" w:eastAsia="宋体" w:cs="宋体"/>
                <w:color w:val="auto"/>
                <w:sz w:val="24"/>
                <w:szCs w:val="24"/>
                <w:highlight w:val="none"/>
              </w:rPr>
              <w:t>及索引</w:t>
            </w:r>
          </w:p>
        </w:tc>
      </w:tr>
      <w:tr w14:paraId="39EC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5" w:type="pct"/>
            <w:vAlign w:val="center"/>
          </w:tcPr>
          <w:p w14:paraId="29950C57">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59" w:type="pct"/>
            <w:vAlign w:val="center"/>
          </w:tcPr>
          <w:p w14:paraId="69B288A0">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31" w:type="pct"/>
            <w:vAlign w:val="center"/>
          </w:tcPr>
          <w:p w14:paraId="0E04AD72">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65" w:type="pct"/>
            <w:vAlign w:val="center"/>
          </w:tcPr>
          <w:p w14:paraId="585AEA1C">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响应/正偏离/负偏离</w:t>
            </w:r>
          </w:p>
        </w:tc>
        <w:tc>
          <w:tcPr>
            <w:tcW w:w="1136" w:type="pct"/>
            <w:vAlign w:val="center"/>
          </w:tcPr>
          <w:p w14:paraId="02D97874">
            <w:pPr>
              <w:pStyle w:val="49"/>
              <w:jc w:val="center"/>
              <w:rPr>
                <w:rFonts w:hint="eastAsia" w:ascii="宋体" w:hAnsi="宋体" w:eastAsia="宋体" w:cs="宋体"/>
                <w:color w:val="auto"/>
                <w:sz w:val="24"/>
                <w:szCs w:val="24"/>
                <w:highlight w:val="none"/>
              </w:rPr>
            </w:pPr>
          </w:p>
        </w:tc>
      </w:tr>
      <w:tr w14:paraId="4EC6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5" w:type="pct"/>
            <w:vAlign w:val="center"/>
          </w:tcPr>
          <w:p w14:paraId="195B6778">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59" w:type="pct"/>
            <w:vAlign w:val="center"/>
          </w:tcPr>
          <w:p w14:paraId="30E52A7F">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31" w:type="pct"/>
            <w:vAlign w:val="center"/>
          </w:tcPr>
          <w:p w14:paraId="29A6C1E1">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65" w:type="pct"/>
            <w:vAlign w:val="center"/>
          </w:tcPr>
          <w:p w14:paraId="5D92E460">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响应/正偏离/负偏离</w:t>
            </w:r>
          </w:p>
        </w:tc>
        <w:tc>
          <w:tcPr>
            <w:tcW w:w="1136" w:type="pct"/>
            <w:vAlign w:val="center"/>
          </w:tcPr>
          <w:p w14:paraId="63E16449">
            <w:pPr>
              <w:pStyle w:val="49"/>
              <w:jc w:val="center"/>
              <w:rPr>
                <w:rFonts w:hint="eastAsia" w:ascii="宋体" w:hAnsi="宋体" w:eastAsia="宋体" w:cs="宋体"/>
                <w:color w:val="auto"/>
                <w:sz w:val="24"/>
                <w:szCs w:val="24"/>
                <w:highlight w:val="none"/>
              </w:rPr>
            </w:pPr>
          </w:p>
        </w:tc>
      </w:tr>
      <w:tr w14:paraId="0C00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5" w:type="pct"/>
            <w:shd w:val="clear" w:color="auto" w:fill="auto"/>
            <w:vAlign w:val="center"/>
          </w:tcPr>
          <w:p w14:paraId="4C45FE18">
            <w:pPr>
              <w:pStyle w:val="49"/>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159" w:type="pct"/>
            <w:shd w:val="clear" w:color="auto" w:fill="auto"/>
            <w:vAlign w:val="center"/>
          </w:tcPr>
          <w:p w14:paraId="6D1DD644">
            <w:pPr>
              <w:pStyle w:val="49"/>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p>
        </w:tc>
        <w:tc>
          <w:tcPr>
            <w:tcW w:w="1031" w:type="pct"/>
            <w:shd w:val="clear" w:color="auto" w:fill="auto"/>
            <w:vAlign w:val="center"/>
          </w:tcPr>
          <w:p w14:paraId="2982168B">
            <w:pPr>
              <w:pStyle w:val="49"/>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p>
        </w:tc>
        <w:tc>
          <w:tcPr>
            <w:tcW w:w="1265" w:type="pct"/>
            <w:shd w:val="clear" w:color="auto" w:fill="auto"/>
            <w:vAlign w:val="center"/>
          </w:tcPr>
          <w:p w14:paraId="78EC7D09">
            <w:pPr>
              <w:pStyle w:val="49"/>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响应/正偏离/负偏离</w:t>
            </w:r>
          </w:p>
        </w:tc>
        <w:tc>
          <w:tcPr>
            <w:tcW w:w="1136" w:type="pct"/>
            <w:vAlign w:val="center"/>
          </w:tcPr>
          <w:p w14:paraId="46369488">
            <w:pPr>
              <w:pStyle w:val="49"/>
              <w:jc w:val="center"/>
              <w:rPr>
                <w:rFonts w:hint="eastAsia" w:ascii="宋体" w:hAnsi="宋体" w:eastAsia="宋体" w:cs="宋体"/>
                <w:color w:val="auto"/>
                <w:sz w:val="24"/>
                <w:szCs w:val="24"/>
                <w:highlight w:val="none"/>
              </w:rPr>
            </w:pPr>
          </w:p>
        </w:tc>
      </w:tr>
      <w:tr w14:paraId="28C8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5" w:type="pct"/>
            <w:vAlign w:val="center"/>
          </w:tcPr>
          <w:p w14:paraId="43874C19">
            <w:pPr>
              <w:pStyle w:val="49"/>
              <w:jc w:val="center"/>
              <w:rPr>
                <w:rFonts w:hint="eastAsia" w:ascii="宋体" w:hAnsi="宋体" w:eastAsia="宋体" w:cs="宋体"/>
                <w:color w:val="auto"/>
                <w:sz w:val="24"/>
                <w:szCs w:val="24"/>
                <w:highlight w:val="none"/>
              </w:rPr>
            </w:pPr>
          </w:p>
        </w:tc>
        <w:tc>
          <w:tcPr>
            <w:tcW w:w="1159" w:type="pct"/>
            <w:vAlign w:val="center"/>
          </w:tcPr>
          <w:p w14:paraId="529041E2">
            <w:pPr>
              <w:pStyle w:val="49"/>
              <w:jc w:val="center"/>
              <w:rPr>
                <w:rFonts w:hint="eastAsia" w:ascii="宋体" w:hAnsi="宋体" w:eastAsia="宋体" w:cs="宋体"/>
                <w:color w:val="auto"/>
                <w:sz w:val="24"/>
                <w:szCs w:val="24"/>
                <w:highlight w:val="none"/>
              </w:rPr>
            </w:pPr>
          </w:p>
        </w:tc>
        <w:tc>
          <w:tcPr>
            <w:tcW w:w="1031" w:type="pct"/>
            <w:vAlign w:val="center"/>
          </w:tcPr>
          <w:p w14:paraId="301E476D">
            <w:pPr>
              <w:pStyle w:val="49"/>
              <w:jc w:val="center"/>
              <w:rPr>
                <w:rFonts w:hint="eastAsia" w:ascii="宋体" w:hAnsi="宋体" w:eastAsia="宋体" w:cs="宋体"/>
                <w:color w:val="auto"/>
                <w:sz w:val="24"/>
                <w:szCs w:val="24"/>
                <w:highlight w:val="none"/>
              </w:rPr>
            </w:pPr>
          </w:p>
        </w:tc>
        <w:tc>
          <w:tcPr>
            <w:tcW w:w="1265" w:type="pct"/>
            <w:vAlign w:val="center"/>
          </w:tcPr>
          <w:p w14:paraId="06F8AED7">
            <w:pPr>
              <w:pStyle w:val="49"/>
              <w:jc w:val="center"/>
              <w:rPr>
                <w:rFonts w:hint="eastAsia" w:ascii="宋体" w:hAnsi="宋体" w:eastAsia="宋体" w:cs="宋体"/>
                <w:color w:val="auto"/>
                <w:sz w:val="24"/>
                <w:szCs w:val="24"/>
                <w:highlight w:val="none"/>
              </w:rPr>
            </w:pPr>
          </w:p>
        </w:tc>
        <w:tc>
          <w:tcPr>
            <w:tcW w:w="1136" w:type="pct"/>
            <w:vAlign w:val="center"/>
          </w:tcPr>
          <w:p w14:paraId="0CE9DF45">
            <w:pPr>
              <w:pStyle w:val="49"/>
              <w:jc w:val="center"/>
              <w:rPr>
                <w:rFonts w:hint="eastAsia" w:ascii="宋体" w:hAnsi="宋体" w:eastAsia="宋体" w:cs="宋体"/>
                <w:color w:val="auto"/>
                <w:sz w:val="24"/>
                <w:szCs w:val="24"/>
                <w:highlight w:val="none"/>
              </w:rPr>
            </w:pPr>
          </w:p>
        </w:tc>
      </w:tr>
      <w:tr w14:paraId="7291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5" w:type="pct"/>
            <w:vAlign w:val="center"/>
          </w:tcPr>
          <w:p w14:paraId="41433E5C">
            <w:pPr>
              <w:pStyle w:val="49"/>
              <w:jc w:val="center"/>
              <w:rPr>
                <w:rFonts w:hint="eastAsia" w:ascii="宋体" w:hAnsi="宋体" w:eastAsia="宋体" w:cs="宋体"/>
                <w:color w:val="auto"/>
                <w:sz w:val="24"/>
                <w:szCs w:val="24"/>
                <w:highlight w:val="none"/>
              </w:rPr>
            </w:pPr>
          </w:p>
        </w:tc>
        <w:tc>
          <w:tcPr>
            <w:tcW w:w="1159" w:type="pct"/>
            <w:vAlign w:val="center"/>
          </w:tcPr>
          <w:p w14:paraId="77107295">
            <w:pPr>
              <w:pStyle w:val="49"/>
              <w:jc w:val="center"/>
              <w:rPr>
                <w:rFonts w:hint="eastAsia" w:ascii="宋体" w:hAnsi="宋体" w:eastAsia="宋体" w:cs="宋体"/>
                <w:color w:val="auto"/>
                <w:sz w:val="24"/>
                <w:szCs w:val="24"/>
                <w:highlight w:val="none"/>
              </w:rPr>
            </w:pPr>
          </w:p>
        </w:tc>
        <w:tc>
          <w:tcPr>
            <w:tcW w:w="1031" w:type="pct"/>
            <w:vAlign w:val="center"/>
          </w:tcPr>
          <w:p w14:paraId="4D01D78E">
            <w:pPr>
              <w:pStyle w:val="49"/>
              <w:jc w:val="center"/>
              <w:rPr>
                <w:rFonts w:hint="eastAsia" w:ascii="宋体" w:hAnsi="宋体" w:eastAsia="宋体" w:cs="宋体"/>
                <w:color w:val="auto"/>
                <w:sz w:val="24"/>
                <w:szCs w:val="24"/>
                <w:highlight w:val="none"/>
              </w:rPr>
            </w:pPr>
          </w:p>
        </w:tc>
        <w:tc>
          <w:tcPr>
            <w:tcW w:w="1265" w:type="pct"/>
            <w:vAlign w:val="center"/>
          </w:tcPr>
          <w:p w14:paraId="6D546857">
            <w:pPr>
              <w:pStyle w:val="49"/>
              <w:jc w:val="center"/>
              <w:rPr>
                <w:rFonts w:hint="eastAsia" w:ascii="宋体" w:hAnsi="宋体" w:eastAsia="宋体" w:cs="宋体"/>
                <w:color w:val="auto"/>
                <w:sz w:val="24"/>
                <w:szCs w:val="24"/>
                <w:highlight w:val="none"/>
              </w:rPr>
            </w:pPr>
          </w:p>
        </w:tc>
        <w:tc>
          <w:tcPr>
            <w:tcW w:w="1136" w:type="pct"/>
            <w:vAlign w:val="center"/>
          </w:tcPr>
          <w:p w14:paraId="2E1B7D0B">
            <w:pPr>
              <w:pStyle w:val="49"/>
              <w:jc w:val="center"/>
              <w:rPr>
                <w:rFonts w:hint="eastAsia" w:ascii="宋体" w:hAnsi="宋体" w:eastAsia="宋体" w:cs="宋体"/>
                <w:color w:val="auto"/>
                <w:sz w:val="24"/>
                <w:szCs w:val="24"/>
                <w:highlight w:val="none"/>
              </w:rPr>
            </w:pPr>
          </w:p>
        </w:tc>
      </w:tr>
      <w:tr w14:paraId="39F8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5" w:type="pct"/>
            <w:vAlign w:val="center"/>
          </w:tcPr>
          <w:p w14:paraId="6AF16AFE">
            <w:pPr>
              <w:pStyle w:val="49"/>
              <w:jc w:val="center"/>
              <w:rPr>
                <w:rFonts w:hint="eastAsia" w:ascii="宋体" w:hAnsi="宋体" w:eastAsia="宋体" w:cs="宋体"/>
                <w:color w:val="auto"/>
                <w:sz w:val="24"/>
                <w:szCs w:val="24"/>
                <w:highlight w:val="none"/>
              </w:rPr>
            </w:pPr>
          </w:p>
        </w:tc>
        <w:tc>
          <w:tcPr>
            <w:tcW w:w="1159" w:type="pct"/>
            <w:vAlign w:val="center"/>
          </w:tcPr>
          <w:p w14:paraId="5C7E043B">
            <w:pPr>
              <w:pStyle w:val="49"/>
              <w:jc w:val="center"/>
              <w:rPr>
                <w:rFonts w:hint="eastAsia" w:ascii="宋体" w:hAnsi="宋体" w:eastAsia="宋体" w:cs="宋体"/>
                <w:color w:val="auto"/>
                <w:sz w:val="24"/>
                <w:szCs w:val="24"/>
                <w:highlight w:val="none"/>
              </w:rPr>
            </w:pPr>
          </w:p>
        </w:tc>
        <w:tc>
          <w:tcPr>
            <w:tcW w:w="1031" w:type="pct"/>
            <w:vAlign w:val="center"/>
          </w:tcPr>
          <w:p w14:paraId="64166C7A">
            <w:pPr>
              <w:pStyle w:val="49"/>
              <w:jc w:val="center"/>
              <w:rPr>
                <w:rFonts w:hint="eastAsia" w:ascii="宋体" w:hAnsi="宋体" w:eastAsia="宋体" w:cs="宋体"/>
                <w:color w:val="auto"/>
                <w:sz w:val="24"/>
                <w:szCs w:val="24"/>
                <w:highlight w:val="none"/>
              </w:rPr>
            </w:pPr>
          </w:p>
        </w:tc>
        <w:tc>
          <w:tcPr>
            <w:tcW w:w="1265" w:type="pct"/>
            <w:vAlign w:val="center"/>
          </w:tcPr>
          <w:p w14:paraId="2817CCE5">
            <w:pPr>
              <w:pStyle w:val="49"/>
              <w:jc w:val="center"/>
              <w:rPr>
                <w:rFonts w:hint="eastAsia" w:ascii="宋体" w:hAnsi="宋体" w:eastAsia="宋体" w:cs="宋体"/>
                <w:color w:val="auto"/>
                <w:sz w:val="24"/>
                <w:szCs w:val="24"/>
                <w:highlight w:val="none"/>
              </w:rPr>
            </w:pPr>
          </w:p>
        </w:tc>
        <w:tc>
          <w:tcPr>
            <w:tcW w:w="1136" w:type="pct"/>
            <w:vAlign w:val="center"/>
          </w:tcPr>
          <w:p w14:paraId="184E3F96">
            <w:pPr>
              <w:pStyle w:val="49"/>
              <w:jc w:val="center"/>
              <w:rPr>
                <w:rFonts w:hint="eastAsia" w:ascii="宋体" w:hAnsi="宋体" w:eastAsia="宋体" w:cs="宋体"/>
                <w:color w:val="auto"/>
                <w:sz w:val="24"/>
                <w:szCs w:val="24"/>
                <w:highlight w:val="none"/>
              </w:rPr>
            </w:pPr>
          </w:p>
        </w:tc>
      </w:tr>
      <w:tr w14:paraId="4BD9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5" w:type="pct"/>
            <w:vAlign w:val="center"/>
          </w:tcPr>
          <w:p w14:paraId="5DBDBE11">
            <w:pPr>
              <w:pStyle w:val="49"/>
              <w:jc w:val="center"/>
              <w:rPr>
                <w:rFonts w:hint="eastAsia" w:ascii="宋体" w:hAnsi="宋体" w:eastAsia="宋体" w:cs="宋体"/>
                <w:color w:val="auto"/>
                <w:sz w:val="24"/>
                <w:szCs w:val="24"/>
                <w:highlight w:val="none"/>
              </w:rPr>
            </w:pPr>
          </w:p>
        </w:tc>
        <w:tc>
          <w:tcPr>
            <w:tcW w:w="1159" w:type="pct"/>
            <w:vAlign w:val="center"/>
          </w:tcPr>
          <w:p w14:paraId="1F11A7BE">
            <w:pPr>
              <w:pStyle w:val="49"/>
              <w:jc w:val="center"/>
              <w:rPr>
                <w:rFonts w:hint="eastAsia" w:ascii="宋体" w:hAnsi="宋体" w:eastAsia="宋体" w:cs="宋体"/>
                <w:color w:val="auto"/>
                <w:sz w:val="24"/>
                <w:szCs w:val="24"/>
                <w:highlight w:val="none"/>
              </w:rPr>
            </w:pPr>
          </w:p>
        </w:tc>
        <w:tc>
          <w:tcPr>
            <w:tcW w:w="1031" w:type="pct"/>
            <w:vAlign w:val="center"/>
          </w:tcPr>
          <w:p w14:paraId="09342B6E">
            <w:pPr>
              <w:pStyle w:val="49"/>
              <w:jc w:val="center"/>
              <w:rPr>
                <w:rFonts w:hint="eastAsia" w:ascii="宋体" w:hAnsi="宋体" w:eastAsia="宋体" w:cs="宋体"/>
                <w:color w:val="auto"/>
                <w:sz w:val="24"/>
                <w:szCs w:val="24"/>
                <w:highlight w:val="none"/>
              </w:rPr>
            </w:pPr>
          </w:p>
        </w:tc>
        <w:tc>
          <w:tcPr>
            <w:tcW w:w="1265" w:type="pct"/>
            <w:vAlign w:val="center"/>
          </w:tcPr>
          <w:p w14:paraId="6742B646">
            <w:pPr>
              <w:pStyle w:val="49"/>
              <w:jc w:val="center"/>
              <w:rPr>
                <w:rFonts w:hint="eastAsia" w:ascii="宋体" w:hAnsi="宋体" w:eastAsia="宋体" w:cs="宋体"/>
                <w:color w:val="auto"/>
                <w:sz w:val="24"/>
                <w:szCs w:val="24"/>
                <w:highlight w:val="none"/>
              </w:rPr>
            </w:pPr>
          </w:p>
        </w:tc>
        <w:tc>
          <w:tcPr>
            <w:tcW w:w="1136" w:type="pct"/>
            <w:vAlign w:val="center"/>
          </w:tcPr>
          <w:p w14:paraId="4C72FCC2">
            <w:pPr>
              <w:pStyle w:val="49"/>
              <w:jc w:val="center"/>
              <w:rPr>
                <w:rFonts w:hint="eastAsia" w:ascii="宋体" w:hAnsi="宋体" w:eastAsia="宋体" w:cs="宋体"/>
                <w:color w:val="auto"/>
                <w:sz w:val="24"/>
                <w:szCs w:val="24"/>
                <w:highlight w:val="none"/>
              </w:rPr>
            </w:pPr>
          </w:p>
        </w:tc>
      </w:tr>
      <w:tr w14:paraId="2669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05" w:type="pct"/>
            <w:vAlign w:val="center"/>
          </w:tcPr>
          <w:p w14:paraId="0D811F11">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59" w:type="pct"/>
            <w:vAlign w:val="center"/>
          </w:tcPr>
          <w:p w14:paraId="7D0AF02A">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31" w:type="pct"/>
            <w:vAlign w:val="center"/>
          </w:tcPr>
          <w:p w14:paraId="6EC8C4F3">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65" w:type="pct"/>
            <w:vAlign w:val="center"/>
          </w:tcPr>
          <w:p w14:paraId="59EB3DF9">
            <w:pPr>
              <w:pStyle w:val="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36" w:type="pct"/>
            <w:vAlign w:val="center"/>
          </w:tcPr>
          <w:p w14:paraId="1BF96619">
            <w:pPr>
              <w:pStyle w:val="49"/>
              <w:jc w:val="center"/>
              <w:rPr>
                <w:rFonts w:hint="eastAsia" w:ascii="宋体" w:hAnsi="宋体" w:eastAsia="宋体" w:cs="宋体"/>
                <w:color w:val="auto"/>
                <w:sz w:val="24"/>
                <w:szCs w:val="24"/>
                <w:highlight w:val="none"/>
              </w:rPr>
            </w:pPr>
          </w:p>
        </w:tc>
      </w:tr>
    </w:tbl>
    <w:p w14:paraId="12AEBD40">
      <w:pPr>
        <w:ind w:firstLine="480" w:firstLineChars="200"/>
        <w:rPr>
          <w:rFonts w:cs="仿宋_GB2312"/>
          <w:color w:val="auto"/>
          <w:sz w:val="24"/>
          <w:szCs w:val="24"/>
          <w:highlight w:val="none"/>
        </w:rPr>
      </w:pPr>
    </w:p>
    <w:p w14:paraId="53059121">
      <w:pPr>
        <w:ind w:firstLine="480" w:firstLineChars="200"/>
        <w:rPr>
          <w:rFonts w:cs="仿宋_GB2312"/>
          <w:color w:val="auto"/>
          <w:sz w:val="24"/>
          <w:szCs w:val="24"/>
          <w:highlight w:val="none"/>
        </w:rPr>
      </w:pPr>
      <w:r>
        <w:rPr>
          <w:rFonts w:hint="eastAsia" w:cs="仿宋_GB2312"/>
          <w:color w:val="auto"/>
          <w:sz w:val="24"/>
          <w:szCs w:val="24"/>
          <w:highlight w:val="none"/>
        </w:rPr>
        <w:t>投标人名称</w:t>
      </w:r>
      <w:r>
        <w:rPr>
          <w:rFonts w:hint="eastAsia" w:cs="仿宋_GB2312"/>
          <w:color w:val="auto"/>
          <w:sz w:val="24"/>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szCs w:val="24"/>
          <w:highlight w:val="none"/>
          <w:lang w:val="zh-CN"/>
        </w:rPr>
        <w:t>)</w:t>
      </w:r>
      <w:r>
        <w:rPr>
          <w:rFonts w:hint="eastAsia" w:cs="仿宋_GB2312"/>
          <w:color w:val="auto"/>
          <w:sz w:val="24"/>
          <w:szCs w:val="24"/>
          <w:highlight w:val="none"/>
        </w:rPr>
        <w:t>：</w:t>
      </w:r>
    </w:p>
    <w:p w14:paraId="27EF6D84">
      <w:pPr>
        <w:ind w:firstLine="420"/>
        <w:rPr>
          <w:rFonts w:cs="仿宋_GB2312"/>
          <w:color w:val="auto"/>
          <w:sz w:val="24"/>
          <w:szCs w:val="24"/>
          <w:highlight w:val="none"/>
        </w:rPr>
      </w:pPr>
      <w:r>
        <w:rPr>
          <w:rFonts w:hint="eastAsia" w:cs="仿宋_GB2312"/>
          <w:color w:val="auto"/>
          <w:sz w:val="24"/>
          <w:szCs w:val="24"/>
          <w:highlight w:val="none"/>
        </w:rPr>
        <w:t>日      期：</w:t>
      </w:r>
    </w:p>
    <w:p w14:paraId="34FA0C9E">
      <w:pPr>
        <w:ind w:firstLine="420"/>
        <w:rPr>
          <w:rFonts w:hint="eastAsia" w:cs="仿宋_GB2312"/>
          <w:color w:val="auto"/>
          <w:sz w:val="24"/>
          <w:szCs w:val="24"/>
          <w:highlight w:val="none"/>
          <w:lang w:val="en-US" w:eastAsia="zh-CN"/>
        </w:rPr>
      </w:pPr>
    </w:p>
    <w:p w14:paraId="695CF979">
      <w:pPr>
        <w:ind w:firstLine="480" w:firstLineChars="200"/>
        <w:rPr>
          <w:rFonts w:cs="仿宋_GB2312"/>
          <w:color w:val="auto"/>
          <w:sz w:val="24"/>
          <w:szCs w:val="24"/>
          <w:highlight w:val="none"/>
        </w:rPr>
      </w:pPr>
      <w:r>
        <w:rPr>
          <w:rFonts w:hint="eastAsia" w:cs="仿宋_GB2312"/>
          <w:color w:val="auto"/>
          <w:sz w:val="24"/>
          <w:szCs w:val="24"/>
          <w:highlight w:val="none"/>
        </w:rPr>
        <w:t>注：投标人应按照招标文件“第三章 采购需求”</w:t>
      </w:r>
      <w:r>
        <w:rPr>
          <w:rFonts w:hint="eastAsia" w:cs="仿宋_GB2312"/>
          <w:color w:val="auto"/>
          <w:sz w:val="24"/>
          <w:szCs w:val="24"/>
          <w:highlight w:val="none"/>
          <w:lang w:val="en-US" w:eastAsia="zh-CN"/>
        </w:rPr>
        <w:t>中的技术要求</w:t>
      </w:r>
      <w:r>
        <w:rPr>
          <w:rFonts w:hint="eastAsia" w:cs="仿宋_GB2312"/>
          <w:color w:val="auto"/>
          <w:sz w:val="24"/>
          <w:szCs w:val="24"/>
          <w:highlight w:val="none"/>
        </w:rPr>
        <w:t>填写</w:t>
      </w:r>
      <w:r>
        <w:rPr>
          <w:rFonts w:hint="eastAsia" w:cs="仿宋_GB2312"/>
          <w:color w:val="auto"/>
          <w:sz w:val="24"/>
          <w:szCs w:val="24"/>
          <w:highlight w:val="none"/>
          <w:lang w:eastAsia="zh-CN"/>
        </w:rPr>
        <w:t>：</w:t>
      </w:r>
    </w:p>
    <w:p w14:paraId="2C3D9747">
      <w:pPr>
        <w:ind w:firstLine="480" w:firstLineChars="200"/>
        <w:rPr>
          <w:rFonts w:hint="eastAsia" w:cs="仿宋_GB2312"/>
          <w:color w:val="auto"/>
          <w:sz w:val="24"/>
          <w:szCs w:val="24"/>
          <w:highlight w:val="none"/>
        </w:rPr>
      </w:pPr>
      <w:r>
        <w:rPr>
          <w:rFonts w:hint="eastAsia" w:cs="仿宋_GB2312"/>
          <w:color w:val="auto"/>
          <w:sz w:val="24"/>
          <w:szCs w:val="24"/>
          <w:highlight w:val="none"/>
          <w:lang w:val="en-US" w:eastAsia="zh-CN"/>
        </w:rPr>
        <w:t xml:space="preserve">1.“招标文件技术要求条款”栏应详细列明招标文件中的要求。 </w:t>
      </w:r>
    </w:p>
    <w:p w14:paraId="67B3A4D5">
      <w:pPr>
        <w:ind w:firstLine="480" w:firstLineChars="200"/>
        <w:rPr>
          <w:rFonts w:hint="eastAsia" w:cs="仿宋_GB2312"/>
          <w:color w:val="auto"/>
          <w:sz w:val="24"/>
          <w:szCs w:val="24"/>
          <w:highlight w:val="none"/>
        </w:rPr>
      </w:pPr>
      <w:r>
        <w:rPr>
          <w:rFonts w:hint="eastAsia" w:cs="仿宋_GB2312"/>
          <w:color w:val="auto"/>
          <w:sz w:val="24"/>
          <w:szCs w:val="24"/>
          <w:highlight w:val="none"/>
          <w:lang w:val="en-US" w:eastAsia="zh-CN"/>
        </w:rPr>
        <w:t>2.“投标文件内容对应简述”栏填写投标人对招标文件提出的技术要求作出的明确响应，并列明具体响应数值或内容，只注明符合、满足等无具体内容表述的，将视为未实质性满足招标文件要求</w:t>
      </w:r>
      <w:r>
        <w:rPr>
          <w:rFonts w:hint="default" w:cs="仿宋_GB2312"/>
          <w:color w:val="auto"/>
          <w:sz w:val="24"/>
          <w:szCs w:val="24"/>
          <w:highlight w:val="none"/>
          <w:lang w:val="en-US" w:eastAsia="zh-CN"/>
        </w:rPr>
        <w:t>，</w:t>
      </w:r>
      <w:r>
        <w:rPr>
          <w:rFonts w:hint="eastAsia" w:cs="仿宋_GB2312"/>
          <w:b/>
          <w:bCs/>
          <w:color w:val="auto"/>
          <w:sz w:val="24"/>
          <w:szCs w:val="24"/>
          <w:highlight w:val="none"/>
          <w:lang w:val="en-US" w:eastAsia="zh-CN"/>
        </w:rPr>
        <w:t>投标</w:t>
      </w:r>
      <w:r>
        <w:rPr>
          <w:rFonts w:hint="default" w:cs="仿宋_GB2312"/>
          <w:b/>
          <w:bCs/>
          <w:color w:val="auto"/>
          <w:sz w:val="24"/>
          <w:szCs w:val="24"/>
          <w:highlight w:val="none"/>
          <w:lang w:val="en-US" w:eastAsia="zh-CN"/>
        </w:rPr>
        <w:t>无效</w:t>
      </w:r>
      <w:r>
        <w:rPr>
          <w:rFonts w:hint="eastAsia" w:cs="仿宋_GB2312"/>
          <w:color w:val="auto"/>
          <w:sz w:val="24"/>
          <w:szCs w:val="24"/>
          <w:highlight w:val="none"/>
          <w:lang w:val="en-US" w:eastAsia="zh-CN"/>
        </w:rPr>
        <w:t xml:space="preserve">。 </w:t>
      </w:r>
    </w:p>
    <w:p w14:paraId="1ADFBBD2">
      <w:pPr>
        <w:ind w:firstLine="480" w:firstLineChars="200"/>
        <w:rPr>
          <w:rFonts w:hint="eastAsia" w:cs="仿宋_GB2312"/>
          <w:color w:val="auto"/>
          <w:sz w:val="24"/>
          <w:szCs w:val="24"/>
          <w:highlight w:val="none"/>
        </w:rPr>
      </w:pPr>
      <w:r>
        <w:rPr>
          <w:rFonts w:hint="eastAsia" w:cs="仿宋_GB2312"/>
          <w:color w:val="auto"/>
          <w:sz w:val="24"/>
          <w:szCs w:val="24"/>
          <w:highlight w:val="none"/>
          <w:lang w:val="en-US" w:eastAsia="zh-CN"/>
        </w:rPr>
        <w:t xml:space="preserve">3.“响应情况”栏应据实填写“响应”、“正偏离”或“负偏离”。 </w:t>
      </w:r>
    </w:p>
    <w:p w14:paraId="5D0BE6F5">
      <w:pPr>
        <w:ind w:firstLine="480" w:firstLineChars="200"/>
        <w:rPr>
          <w:rFonts w:hint="eastAsia" w:cs="仿宋_GB2312"/>
          <w:color w:val="auto"/>
          <w:sz w:val="24"/>
          <w:szCs w:val="24"/>
          <w:highlight w:val="none"/>
        </w:rPr>
      </w:pPr>
      <w:r>
        <w:rPr>
          <w:rFonts w:hint="eastAsia" w:cs="仿宋_GB2312"/>
          <w:color w:val="auto"/>
          <w:sz w:val="24"/>
          <w:szCs w:val="24"/>
          <w:highlight w:val="none"/>
          <w:lang w:val="en-US" w:eastAsia="zh-CN"/>
        </w:rPr>
        <w:t>4.“证明资料及索引”栏可填写证明资料的具体内容及索引。</w:t>
      </w:r>
    </w:p>
    <w:p w14:paraId="2738FDA8">
      <w:pPr>
        <w:ind w:firstLine="480" w:firstLineChars="200"/>
        <w:rPr>
          <w:rFonts w:hint="eastAsia" w:cs="仿宋_GB2312"/>
          <w:color w:val="auto"/>
          <w:sz w:val="24"/>
          <w:szCs w:val="24"/>
          <w:highlight w:val="none"/>
          <w:lang w:val="en-US" w:eastAsia="zh-CN"/>
        </w:rPr>
      </w:pPr>
      <w:r>
        <w:rPr>
          <w:rFonts w:hint="eastAsia" w:cs="仿宋_GB2312"/>
          <w:color w:val="auto"/>
          <w:sz w:val="24"/>
          <w:szCs w:val="24"/>
          <w:highlight w:val="none"/>
          <w:lang w:val="en-US" w:eastAsia="zh-CN"/>
        </w:rPr>
        <w:t>5.对招标文件中的所有技术要求，除本表所列明的所有偏离外，均视作供应商</w:t>
      </w:r>
      <w:r>
        <w:rPr>
          <w:rFonts w:hint="default" w:cs="仿宋_GB2312"/>
          <w:color w:val="auto"/>
          <w:sz w:val="24"/>
          <w:szCs w:val="24"/>
          <w:highlight w:val="none"/>
          <w:lang w:val="en-US" w:eastAsia="zh-CN"/>
        </w:rPr>
        <w:t>已对之理解和响应。此表中若无任何文字说明，内容为空白的，</w:t>
      </w:r>
      <w:r>
        <w:rPr>
          <w:rFonts w:hint="default" w:cs="仿宋_GB2312"/>
          <w:b/>
          <w:bCs/>
          <w:color w:val="auto"/>
          <w:sz w:val="24"/>
          <w:szCs w:val="24"/>
          <w:highlight w:val="none"/>
          <w:lang w:val="en-US" w:eastAsia="zh-CN"/>
        </w:rPr>
        <w:t>投标无效</w:t>
      </w:r>
      <w:r>
        <w:rPr>
          <w:rFonts w:hint="default" w:cs="仿宋_GB2312"/>
          <w:color w:val="auto"/>
          <w:sz w:val="24"/>
          <w:szCs w:val="24"/>
          <w:highlight w:val="none"/>
          <w:lang w:val="en-US" w:eastAsia="zh-CN"/>
        </w:rPr>
        <w:t>。</w:t>
      </w:r>
    </w:p>
    <w:p w14:paraId="47044C1A">
      <w:pPr>
        <w:ind w:firstLine="420"/>
        <w:rPr>
          <w:rFonts w:hint="eastAsia" w:cs="仿宋_GB2312"/>
          <w:color w:val="auto"/>
          <w:sz w:val="21"/>
          <w:szCs w:val="21"/>
          <w:highlight w:val="none"/>
          <w:lang w:val="en-US" w:eastAsia="zh-CN"/>
        </w:rPr>
      </w:pPr>
    </w:p>
    <w:p w14:paraId="49372E23">
      <w:pPr>
        <w:ind w:firstLine="420"/>
        <w:rPr>
          <w:rFonts w:hint="eastAsia" w:cs="仿宋_GB2312"/>
          <w:color w:val="auto"/>
          <w:sz w:val="21"/>
          <w:szCs w:val="21"/>
          <w:highlight w:val="none"/>
          <w:lang w:val="en-US" w:eastAsia="zh-CN"/>
        </w:rPr>
      </w:pPr>
    </w:p>
    <w:p w14:paraId="30496E48">
      <w:pPr>
        <w:ind w:firstLine="420"/>
        <w:rPr>
          <w:rFonts w:hint="eastAsia" w:cs="仿宋_GB2312"/>
          <w:color w:val="auto"/>
          <w:sz w:val="21"/>
          <w:szCs w:val="21"/>
          <w:highlight w:val="none"/>
          <w:lang w:val="en-US" w:eastAsia="zh-CN"/>
        </w:rPr>
      </w:pPr>
    </w:p>
    <w:p w14:paraId="06C98EB9">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453" w:name="_Toc163492935"/>
      <w:bookmarkStart w:id="454" w:name="_Toc21698"/>
      <w:r>
        <w:rPr>
          <w:rFonts w:hint="eastAsia" w:cstheme="majorBidi"/>
          <w:b/>
          <w:bCs/>
          <w:color w:val="auto"/>
          <w:kern w:val="2"/>
          <w:sz w:val="32"/>
          <w:szCs w:val="32"/>
          <w:highlight w:val="none"/>
          <w:lang w:val="en-US" w:eastAsia="zh-CN" w:bidi="ar-SA"/>
        </w:rPr>
        <w:t>十</w:t>
      </w:r>
      <w:r>
        <w:rPr>
          <w:rFonts w:hint="eastAsia" w:eastAsia="宋体" w:asciiTheme="majorHAnsi" w:hAnsiTheme="majorHAnsi" w:cstheme="majorBidi"/>
          <w:b/>
          <w:bCs/>
          <w:color w:val="auto"/>
          <w:kern w:val="2"/>
          <w:sz w:val="32"/>
          <w:szCs w:val="32"/>
          <w:highlight w:val="none"/>
          <w:lang w:val="en-US" w:eastAsia="zh-CN" w:bidi="ar-SA"/>
        </w:rPr>
        <w:t>、技术方案</w:t>
      </w:r>
      <w:bookmarkEnd w:id="453"/>
      <w:bookmarkEnd w:id="454"/>
    </w:p>
    <w:p w14:paraId="3878D3F5">
      <w:pPr>
        <w:pStyle w:val="37"/>
        <w:rPr>
          <w:color w:val="auto"/>
          <w:sz w:val="24"/>
          <w:szCs w:val="24"/>
          <w:highlight w:val="none"/>
        </w:rPr>
      </w:pPr>
      <w:r>
        <w:rPr>
          <w:rFonts w:hint="eastAsia"/>
          <w:color w:val="auto"/>
          <w:sz w:val="24"/>
          <w:szCs w:val="24"/>
          <w:highlight w:val="none"/>
        </w:rPr>
        <w:t>投标人应按照招标文件的要求，提供详细的</w:t>
      </w:r>
      <w:r>
        <w:rPr>
          <w:rFonts w:hint="eastAsia"/>
          <w:color w:val="auto"/>
          <w:sz w:val="24"/>
          <w:szCs w:val="24"/>
          <w:highlight w:val="none"/>
          <w:lang w:val="en-US" w:eastAsia="zh-CN"/>
        </w:rPr>
        <w:t>供货及相关</w:t>
      </w:r>
      <w:r>
        <w:rPr>
          <w:rFonts w:hint="eastAsia"/>
          <w:color w:val="auto"/>
          <w:sz w:val="24"/>
          <w:szCs w:val="24"/>
          <w:highlight w:val="none"/>
        </w:rPr>
        <w:t>服务方案，包括文字描述或图表显示。格式自拟。</w:t>
      </w:r>
    </w:p>
    <w:p w14:paraId="7EE77353">
      <w:pPr>
        <w:pStyle w:val="37"/>
        <w:rPr>
          <w:color w:val="auto"/>
          <w:sz w:val="24"/>
          <w:szCs w:val="24"/>
          <w:highlight w:val="none"/>
        </w:rPr>
      </w:pPr>
      <w:r>
        <w:rPr>
          <w:color w:val="auto"/>
          <w:sz w:val="24"/>
          <w:szCs w:val="24"/>
          <w:highlight w:val="none"/>
        </w:rPr>
        <w:br w:type="page"/>
      </w:r>
    </w:p>
    <w:p w14:paraId="7AD86D6F">
      <w:pPr>
        <w:ind w:firstLine="420"/>
        <w:rPr>
          <w:rFonts w:hint="eastAsia" w:cs="仿宋_GB2312"/>
          <w:color w:val="auto"/>
          <w:sz w:val="21"/>
          <w:szCs w:val="21"/>
          <w:highlight w:val="none"/>
          <w:lang w:val="en-US" w:eastAsia="zh-CN"/>
        </w:rPr>
      </w:pPr>
      <w:bookmarkStart w:id="455" w:name="_Toc163492936"/>
    </w:p>
    <w:p w14:paraId="68D392B1">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456" w:name="_Toc16029"/>
      <w:r>
        <w:rPr>
          <w:rFonts w:hint="eastAsia" w:eastAsia="宋体" w:asciiTheme="majorHAnsi" w:hAnsiTheme="majorHAnsi" w:cstheme="majorBidi"/>
          <w:b/>
          <w:bCs/>
          <w:color w:val="auto"/>
          <w:kern w:val="2"/>
          <w:sz w:val="32"/>
          <w:szCs w:val="32"/>
          <w:highlight w:val="none"/>
          <w:lang w:val="en-US" w:eastAsia="zh-CN" w:bidi="ar-SA"/>
        </w:rPr>
        <w:t>十</w:t>
      </w:r>
      <w:r>
        <w:rPr>
          <w:rFonts w:hint="eastAsia" w:cstheme="majorBidi"/>
          <w:b/>
          <w:bCs/>
          <w:color w:val="auto"/>
          <w:kern w:val="2"/>
          <w:sz w:val="32"/>
          <w:szCs w:val="32"/>
          <w:highlight w:val="none"/>
          <w:lang w:val="en-US" w:eastAsia="zh-CN" w:bidi="ar-SA"/>
        </w:rPr>
        <w:t>一</w:t>
      </w:r>
      <w:r>
        <w:rPr>
          <w:rFonts w:hint="eastAsia" w:eastAsia="宋体" w:asciiTheme="majorHAnsi" w:hAnsiTheme="majorHAnsi" w:cstheme="majorBidi"/>
          <w:b/>
          <w:bCs/>
          <w:color w:val="auto"/>
          <w:kern w:val="2"/>
          <w:sz w:val="32"/>
          <w:szCs w:val="32"/>
          <w:highlight w:val="none"/>
          <w:lang w:val="en-US" w:eastAsia="zh-CN" w:bidi="ar-SA"/>
        </w:rPr>
        <w:t>、其他文件</w:t>
      </w:r>
      <w:bookmarkEnd w:id="455"/>
      <w:bookmarkEnd w:id="456"/>
    </w:p>
    <w:p w14:paraId="6EF40482">
      <w:pPr>
        <w:pStyle w:val="37"/>
        <w:ind w:left="0" w:leftChars="0" w:firstLine="0" w:firstLineChars="0"/>
        <w:rPr>
          <w:rFonts w:hint="eastAsia"/>
          <w:b/>
          <w:bCs/>
          <w:color w:val="auto"/>
          <w:sz w:val="24"/>
          <w:szCs w:val="24"/>
          <w:highlight w:val="none"/>
        </w:rPr>
      </w:pPr>
      <w:r>
        <w:rPr>
          <w:rFonts w:hint="eastAsia"/>
          <w:b/>
          <w:bCs/>
          <w:color w:val="auto"/>
          <w:sz w:val="24"/>
          <w:szCs w:val="24"/>
          <w:highlight w:val="none"/>
          <w:lang w:eastAsia="zh-CN"/>
        </w:rPr>
        <w:t>（</w:t>
      </w:r>
      <w:r>
        <w:rPr>
          <w:rFonts w:hint="eastAsia"/>
          <w:b/>
          <w:bCs/>
          <w:color w:val="auto"/>
          <w:sz w:val="24"/>
          <w:szCs w:val="24"/>
          <w:highlight w:val="none"/>
          <w:lang w:val="en-US" w:eastAsia="zh-CN"/>
        </w:rPr>
        <w:t>一）</w:t>
      </w:r>
      <w:r>
        <w:rPr>
          <w:rFonts w:hint="eastAsia"/>
          <w:b/>
          <w:bCs/>
          <w:color w:val="auto"/>
          <w:sz w:val="24"/>
          <w:szCs w:val="24"/>
          <w:highlight w:val="none"/>
        </w:rPr>
        <w:t>招标文件要求提供的其它商务</w:t>
      </w:r>
      <w:r>
        <w:rPr>
          <w:rFonts w:hint="eastAsia"/>
          <w:b/>
          <w:bCs/>
          <w:color w:val="auto"/>
          <w:sz w:val="24"/>
          <w:szCs w:val="24"/>
          <w:highlight w:val="none"/>
          <w:lang w:eastAsia="zh-CN"/>
        </w:rPr>
        <w:t>、</w:t>
      </w:r>
      <w:r>
        <w:rPr>
          <w:rFonts w:hint="eastAsia"/>
          <w:b/>
          <w:bCs/>
          <w:color w:val="auto"/>
          <w:sz w:val="24"/>
          <w:szCs w:val="24"/>
          <w:highlight w:val="none"/>
        </w:rPr>
        <w:t>技术资料和证明材料；</w:t>
      </w:r>
    </w:p>
    <w:p w14:paraId="1AB0431C">
      <w:pPr>
        <w:pStyle w:val="37"/>
        <w:rPr>
          <w:rFonts w:hint="eastAsia"/>
          <w:color w:val="auto"/>
          <w:sz w:val="24"/>
          <w:szCs w:val="24"/>
          <w:highlight w:val="none"/>
          <w:lang w:val="en-US" w:eastAsia="zh-CN"/>
        </w:rPr>
      </w:pPr>
      <w:r>
        <w:rPr>
          <w:rFonts w:hint="eastAsia"/>
          <w:color w:val="auto"/>
          <w:sz w:val="24"/>
          <w:szCs w:val="24"/>
          <w:highlight w:val="none"/>
          <w:lang w:val="en-US" w:eastAsia="zh-CN"/>
        </w:rPr>
        <w:t>1.1供应商信息采集表</w:t>
      </w:r>
    </w:p>
    <w:tbl>
      <w:tblPr>
        <w:tblStyle w:val="31"/>
        <w:tblW w:w="0" w:type="auto"/>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8"/>
        <w:gridCol w:w="2841"/>
        <w:gridCol w:w="2743"/>
      </w:tblGrid>
      <w:tr w14:paraId="321A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708" w:type="dxa"/>
            <w:vAlign w:val="center"/>
          </w:tcPr>
          <w:p w14:paraId="1508E63E">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供应商名称</w:t>
            </w:r>
          </w:p>
        </w:tc>
        <w:tc>
          <w:tcPr>
            <w:tcW w:w="2841" w:type="dxa"/>
            <w:vAlign w:val="center"/>
          </w:tcPr>
          <w:p w14:paraId="525F160D">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供应商实际控制人性别</w:t>
            </w:r>
          </w:p>
        </w:tc>
        <w:tc>
          <w:tcPr>
            <w:tcW w:w="2743" w:type="dxa"/>
            <w:vAlign w:val="center"/>
          </w:tcPr>
          <w:p w14:paraId="6288AB90">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外商投资类型</w:t>
            </w:r>
          </w:p>
        </w:tc>
      </w:tr>
      <w:tr w14:paraId="0694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5BC16E3C">
            <w:pPr>
              <w:pStyle w:val="37"/>
              <w:rPr>
                <w:rFonts w:hint="eastAsia" w:ascii="宋体" w:hAnsi="宋体" w:eastAsia="宋体" w:cs="宋体"/>
                <w:color w:val="auto"/>
                <w:sz w:val="24"/>
                <w:szCs w:val="24"/>
                <w:highlight w:val="none"/>
                <w:vertAlign w:val="baseline"/>
                <w:lang w:val="en-US" w:eastAsia="zh-CN"/>
              </w:rPr>
            </w:pPr>
          </w:p>
        </w:tc>
        <w:tc>
          <w:tcPr>
            <w:tcW w:w="2841" w:type="dxa"/>
          </w:tcPr>
          <w:p w14:paraId="471F983C">
            <w:pPr>
              <w:pStyle w:val="37"/>
              <w:rPr>
                <w:rFonts w:hint="eastAsia" w:ascii="宋体" w:hAnsi="宋体" w:eastAsia="宋体" w:cs="宋体"/>
                <w:color w:val="auto"/>
                <w:sz w:val="24"/>
                <w:szCs w:val="24"/>
                <w:highlight w:val="none"/>
                <w:vertAlign w:val="baseline"/>
                <w:lang w:val="en-US" w:eastAsia="zh-CN"/>
              </w:rPr>
            </w:pPr>
          </w:p>
        </w:tc>
        <w:tc>
          <w:tcPr>
            <w:tcW w:w="2743" w:type="dxa"/>
          </w:tcPr>
          <w:p w14:paraId="59E9D0CB">
            <w:pPr>
              <w:pStyle w:val="37"/>
              <w:rPr>
                <w:rFonts w:hint="eastAsia" w:ascii="宋体" w:hAnsi="宋体" w:eastAsia="宋体" w:cs="宋体"/>
                <w:color w:val="auto"/>
                <w:sz w:val="24"/>
                <w:szCs w:val="24"/>
                <w:highlight w:val="none"/>
                <w:vertAlign w:val="baseline"/>
                <w:lang w:val="en-US" w:eastAsia="zh-CN"/>
              </w:rPr>
            </w:pPr>
          </w:p>
        </w:tc>
      </w:tr>
      <w:tr w14:paraId="6D8F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3BE5BC20">
            <w:pPr>
              <w:pStyle w:val="37"/>
              <w:rPr>
                <w:rFonts w:hint="eastAsia" w:ascii="宋体" w:hAnsi="宋体" w:eastAsia="宋体" w:cs="宋体"/>
                <w:color w:val="auto"/>
                <w:sz w:val="24"/>
                <w:szCs w:val="24"/>
                <w:highlight w:val="none"/>
                <w:vertAlign w:val="baseline"/>
                <w:lang w:val="en-US" w:eastAsia="zh-CN"/>
              </w:rPr>
            </w:pPr>
          </w:p>
        </w:tc>
        <w:tc>
          <w:tcPr>
            <w:tcW w:w="2841" w:type="dxa"/>
          </w:tcPr>
          <w:p w14:paraId="65335BA2">
            <w:pPr>
              <w:pStyle w:val="37"/>
              <w:rPr>
                <w:rFonts w:hint="eastAsia" w:ascii="宋体" w:hAnsi="宋体" w:eastAsia="宋体" w:cs="宋体"/>
                <w:color w:val="auto"/>
                <w:sz w:val="24"/>
                <w:szCs w:val="24"/>
                <w:highlight w:val="none"/>
                <w:vertAlign w:val="baseline"/>
                <w:lang w:val="en-US" w:eastAsia="zh-CN"/>
              </w:rPr>
            </w:pPr>
          </w:p>
        </w:tc>
        <w:tc>
          <w:tcPr>
            <w:tcW w:w="2743" w:type="dxa"/>
          </w:tcPr>
          <w:p w14:paraId="331FBFA7">
            <w:pPr>
              <w:pStyle w:val="37"/>
              <w:rPr>
                <w:rFonts w:hint="eastAsia" w:ascii="宋体" w:hAnsi="宋体" w:eastAsia="宋体" w:cs="宋体"/>
                <w:color w:val="auto"/>
                <w:sz w:val="24"/>
                <w:szCs w:val="24"/>
                <w:highlight w:val="none"/>
                <w:vertAlign w:val="baseline"/>
                <w:lang w:val="en-US" w:eastAsia="zh-CN"/>
              </w:rPr>
            </w:pPr>
          </w:p>
        </w:tc>
      </w:tr>
      <w:tr w14:paraId="1A91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399AB141">
            <w:pPr>
              <w:pStyle w:val="37"/>
              <w:rPr>
                <w:rFonts w:hint="eastAsia" w:ascii="宋体" w:hAnsi="宋体" w:eastAsia="宋体" w:cs="宋体"/>
                <w:color w:val="auto"/>
                <w:sz w:val="24"/>
                <w:szCs w:val="24"/>
                <w:highlight w:val="none"/>
                <w:vertAlign w:val="baseline"/>
                <w:lang w:val="en-US" w:eastAsia="zh-CN"/>
              </w:rPr>
            </w:pPr>
          </w:p>
        </w:tc>
        <w:tc>
          <w:tcPr>
            <w:tcW w:w="2841" w:type="dxa"/>
          </w:tcPr>
          <w:p w14:paraId="00E4C5E8">
            <w:pPr>
              <w:pStyle w:val="37"/>
              <w:rPr>
                <w:rFonts w:hint="eastAsia" w:ascii="宋体" w:hAnsi="宋体" w:eastAsia="宋体" w:cs="宋体"/>
                <w:color w:val="auto"/>
                <w:sz w:val="24"/>
                <w:szCs w:val="24"/>
                <w:highlight w:val="none"/>
                <w:vertAlign w:val="baseline"/>
                <w:lang w:val="en-US" w:eastAsia="zh-CN"/>
              </w:rPr>
            </w:pPr>
          </w:p>
        </w:tc>
        <w:tc>
          <w:tcPr>
            <w:tcW w:w="2743" w:type="dxa"/>
          </w:tcPr>
          <w:p w14:paraId="42125693">
            <w:pPr>
              <w:pStyle w:val="37"/>
              <w:rPr>
                <w:rFonts w:hint="eastAsia" w:ascii="宋体" w:hAnsi="宋体" w:eastAsia="宋体" w:cs="宋体"/>
                <w:color w:val="auto"/>
                <w:sz w:val="24"/>
                <w:szCs w:val="24"/>
                <w:highlight w:val="none"/>
                <w:vertAlign w:val="baseline"/>
                <w:lang w:val="en-US" w:eastAsia="zh-CN"/>
              </w:rPr>
            </w:pPr>
          </w:p>
        </w:tc>
      </w:tr>
      <w:tr w14:paraId="24B4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2995954E">
            <w:pPr>
              <w:pStyle w:val="37"/>
              <w:rPr>
                <w:rFonts w:hint="eastAsia" w:ascii="宋体" w:hAnsi="宋体" w:eastAsia="宋体" w:cs="宋体"/>
                <w:color w:val="auto"/>
                <w:sz w:val="24"/>
                <w:szCs w:val="24"/>
                <w:highlight w:val="none"/>
                <w:vertAlign w:val="baseline"/>
                <w:lang w:val="en-US" w:eastAsia="zh-CN"/>
              </w:rPr>
            </w:pPr>
          </w:p>
        </w:tc>
        <w:tc>
          <w:tcPr>
            <w:tcW w:w="2841" w:type="dxa"/>
          </w:tcPr>
          <w:p w14:paraId="75889361">
            <w:pPr>
              <w:pStyle w:val="37"/>
              <w:rPr>
                <w:rFonts w:hint="eastAsia" w:ascii="宋体" w:hAnsi="宋体" w:eastAsia="宋体" w:cs="宋体"/>
                <w:color w:val="auto"/>
                <w:sz w:val="24"/>
                <w:szCs w:val="24"/>
                <w:highlight w:val="none"/>
                <w:vertAlign w:val="baseline"/>
                <w:lang w:val="en-US" w:eastAsia="zh-CN"/>
              </w:rPr>
            </w:pPr>
          </w:p>
        </w:tc>
        <w:tc>
          <w:tcPr>
            <w:tcW w:w="2743" w:type="dxa"/>
          </w:tcPr>
          <w:p w14:paraId="760C7D5C">
            <w:pPr>
              <w:pStyle w:val="37"/>
              <w:rPr>
                <w:rFonts w:hint="eastAsia" w:ascii="宋体" w:hAnsi="宋体" w:eastAsia="宋体" w:cs="宋体"/>
                <w:color w:val="auto"/>
                <w:sz w:val="24"/>
                <w:szCs w:val="24"/>
                <w:highlight w:val="none"/>
                <w:vertAlign w:val="baseline"/>
                <w:lang w:val="en-US" w:eastAsia="zh-CN"/>
              </w:rPr>
            </w:pPr>
          </w:p>
        </w:tc>
      </w:tr>
    </w:tbl>
    <w:p w14:paraId="799D1172">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注：1.供应商如为联合体，则应填写联合体各成员信息。 </w:t>
      </w:r>
    </w:p>
    <w:p w14:paraId="429C5533">
      <w:pPr>
        <w:keepNext w:val="0"/>
        <w:keepLines w:val="0"/>
        <w:widowControl/>
        <w:suppressLineNumbers w:val="0"/>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r>
        <w:rPr>
          <w:rFonts w:hint="eastAsia" w:cs="宋体"/>
          <w:color w:val="auto"/>
          <w:kern w:val="0"/>
          <w:sz w:val="24"/>
          <w:szCs w:val="24"/>
          <w:highlight w:val="none"/>
          <w:lang w:val="en-US" w:eastAsia="zh-CN" w:bidi="ar"/>
        </w:rPr>
        <w:t>“供应商实际控制人性别”</w:t>
      </w:r>
      <w:r>
        <w:rPr>
          <w:rFonts w:hint="eastAsia" w:ascii="宋体" w:hAnsi="宋体" w:eastAsia="宋体" w:cs="宋体"/>
          <w:color w:val="auto"/>
          <w:kern w:val="0"/>
          <w:sz w:val="24"/>
          <w:szCs w:val="24"/>
          <w:highlight w:val="none"/>
          <w:lang w:val="en-US" w:eastAsia="zh-CN" w:bidi="ar"/>
        </w:rPr>
        <w:t>按供应商实际控制人性别划分请填写“男”或“女”，指拥有供应商 51%以上绝对所有权的性</w:t>
      </w:r>
      <w:r>
        <w:rPr>
          <w:rFonts w:hint="eastAsia" w:cs="宋体"/>
          <w:color w:val="auto"/>
          <w:kern w:val="0"/>
          <w:sz w:val="24"/>
          <w:szCs w:val="24"/>
          <w:highlight w:val="none"/>
          <w:lang w:val="en-US" w:eastAsia="zh-CN" w:bidi="ar"/>
        </w:rPr>
        <w:t>别</w:t>
      </w:r>
      <w:r>
        <w:rPr>
          <w:rFonts w:hint="eastAsia" w:ascii="宋体" w:hAnsi="宋体" w:eastAsia="宋体" w:cs="宋体"/>
          <w:color w:val="auto"/>
          <w:kern w:val="0"/>
          <w:sz w:val="24"/>
          <w:szCs w:val="24"/>
          <w:highlight w:val="none"/>
          <w:lang w:val="en-US" w:eastAsia="zh-CN" w:bidi="ar"/>
        </w:rPr>
        <w:t>；绝对所有权拥有者可以是一个人，也可以是多人合计计算。</w:t>
      </w:r>
    </w:p>
    <w:p w14:paraId="6C85D95C">
      <w:pPr>
        <w:pStyle w:val="37"/>
        <w:ind w:left="0" w:leftChars="0" w:firstLine="480" w:firstLineChars="200"/>
        <w:rPr>
          <w:rFonts w:hint="eastAsia"/>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3.</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外商投资类型</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请填写“外商单独投资”、“外商部分投资”或“内资”。</w:t>
      </w:r>
    </w:p>
    <w:p w14:paraId="74B37C36">
      <w:pPr>
        <w:pStyle w:val="37"/>
        <w:rPr>
          <w:rFonts w:hint="eastAsia"/>
          <w:color w:val="auto"/>
          <w:sz w:val="24"/>
          <w:szCs w:val="24"/>
          <w:highlight w:val="none"/>
          <w:lang w:val="en-US" w:eastAsia="zh-CN"/>
        </w:rPr>
      </w:pPr>
    </w:p>
    <w:p w14:paraId="3F26FF37">
      <w:pPr>
        <w:pStyle w:val="37"/>
        <w:rPr>
          <w:rFonts w:hint="eastAsia"/>
          <w:color w:val="auto"/>
          <w:sz w:val="24"/>
          <w:szCs w:val="24"/>
          <w:highlight w:val="none"/>
          <w:lang w:val="en-US" w:eastAsia="zh-CN"/>
        </w:rPr>
      </w:pPr>
      <w:r>
        <w:rPr>
          <w:rFonts w:hint="eastAsia"/>
          <w:color w:val="auto"/>
          <w:sz w:val="24"/>
          <w:szCs w:val="24"/>
          <w:highlight w:val="none"/>
          <w:lang w:val="en-US" w:eastAsia="zh-CN"/>
        </w:rPr>
        <w:t>1.2其它商务、技术资料和证明材料</w:t>
      </w:r>
    </w:p>
    <w:p w14:paraId="110B54DA">
      <w:pPr>
        <w:pStyle w:val="37"/>
        <w:ind w:left="0" w:leftChars="0" w:firstLine="0" w:firstLineChars="0"/>
        <w:rPr>
          <w:rFonts w:hint="eastAsia"/>
          <w:b/>
          <w:bCs/>
          <w:color w:val="auto"/>
          <w:sz w:val="24"/>
          <w:szCs w:val="24"/>
          <w:highlight w:val="none"/>
          <w:lang w:eastAsia="zh-CN"/>
        </w:rPr>
      </w:pPr>
    </w:p>
    <w:p w14:paraId="7DF13FE9">
      <w:pPr>
        <w:pStyle w:val="37"/>
        <w:ind w:left="0" w:leftChars="0" w:firstLine="0" w:firstLineChars="0"/>
        <w:rPr>
          <w:rFonts w:hint="eastAsia"/>
          <w:b/>
          <w:bCs/>
          <w:color w:val="auto"/>
          <w:sz w:val="24"/>
          <w:szCs w:val="24"/>
          <w:highlight w:val="none"/>
        </w:rPr>
      </w:pPr>
      <w:r>
        <w:rPr>
          <w:rFonts w:hint="eastAsia"/>
          <w:b/>
          <w:bCs/>
          <w:color w:val="auto"/>
          <w:sz w:val="24"/>
          <w:szCs w:val="24"/>
          <w:highlight w:val="none"/>
          <w:lang w:eastAsia="zh-CN"/>
        </w:rPr>
        <w:t>（</w:t>
      </w:r>
      <w:r>
        <w:rPr>
          <w:rFonts w:hint="eastAsia"/>
          <w:b/>
          <w:bCs/>
          <w:color w:val="auto"/>
          <w:sz w:val="24"/>
          <w:szCs w:val="24"/>
          <w:highlight w:val="none"/>
          <w:lang w:val="en-US" w:eastAsia="zh-CN"/>
        </w:rPr>
        <w:t>二）</w:t>
      </w:r>
      <w:r>
        <w:rPr>
          <w:rFonts w:hint="eastAsia"/>
          <w:b/>
          <w:bCs/>
          <w:color w:val="auto"/>
          <w:sz w:val="24"/>
          <w:szCs w:val="24"/>
          <w:highlight w:val="none"/>
        </w:rPr>
        <w:t>投标人认为需要提供的其它商务</w:t>
      </w:r>
      <w:r>
        <w:rPr>
          <w:rFonts w:hint="eastAsia"/>
          <w:b/>
          <w:bCs/>
          <w:color w:val="auto"/>
          <w:sz w:val="24"/>
          <w:szCs w:val="24"/>
          <w:highlight w:val="none"/>
          <w:lang w:eastAsia="zh-CN"/>
        </w:rPr>
        <w:t>、</w:t>
      </w:r>
      <w:r>
        <w:rPr>
          <w:rFonts w:hint="eastAsia"/>
          <w:b/>
          <w:bCs/>
          <w:color w:val="auto"/>
          <w:sz w:val="24"/>
          <w:szCs w:val="24"/>
          <w:highlight w:val="none"/>
        </w:rPr>
        <w:t>技术资料和说明。</w:t>
      </w:r>
    </w:p>
    <w:p w14:paraId="3352B805">
      <w:pPr>
        <w:pStyle w:val="37"/>
        <w:rPr>
          <w:rFonts w:hint="eastAsia"/>
          <w:color w:val="auto"/>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5DD6E0B-7105-4AC1-9518-046D3ACADCE5}"/>
  </w:font>
  <w:font w:name="Arial">
    <w:panose1 w:val="020B0604020202020204"/>
    <w:charset w:val="01"/>
    <w:family w:val="swiss"/>
    <w:pitch w:val="default"/>
    <w:sig w:usb0="E0002EFF" w:usb1="C000785B" w:usb2="00000009" w:usb3="00000000" w:csb0="400001FF" w:csb1="FFFF0000"/>
    <w:embedRegular r:id="rId2" w:fontKey="{EE484F16-76D0-4781-B608-20835DDE5317}"/>
  </w:font>
  <w:font w:name="黑体">
    <w:panose1 w:val="02010609060101010101"/>
    <w:charset w:val="86"/>
    <w:family w:val="auto"/>
    <w:pitch w:val="default"/>
    <w:sig w:usb0="800002BF" w:usb1="38CF7CFA" w:usb2="00000016" w:usb3="00000000" w:csb0="00040001" w:csb1="00000000"/>
    <w:embedRegular r:id="rId3" w:fontKey="{56134E21-497A-4280-8532-BF71C0A84D45}"/>
  </w:font>
  <w:font w:name="Courier New">
    <w:panose1 w:val="02070309020205020404"/>
    <w:charset w:val="01"/>
    <w:family w:val="modern"/>
    <w:pitch w:val="default"/>
    <w:sig w:usb0="E0002EFF" w:usb1="C0007843" w:usb2="00000009" w:usb3="00000000" w:csb0="400001FF" w:csb1="FFFF0000"/>
    <w:embedRegular r:id="rId4" w:fontKey="{E69F879A-0FF1-47D0-893A-B7610002649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embedRegular r:id="rId5" w:fontKey="{0D892721-4C41-42A4-A0F8-EEBB794FAAC4}"/>
  </w:font>
  <w:font w:name="仿宋">
    <w:panose1 w:val="02010609060101010101"/>
    <w:charset w:val="86"/>
    <w:family w:val="auto"/>
    <w:pitch w:val="default"/>
    <w:sig w:usb0="800002BF" w:usb1="38CF7CFA" w:usb2="00000016" w:usb3="00000000" w:csb0="00040001" w:csb1="00000000"/>
    <w:embedRegular r:id="rId6" w:fontKey="{349C4157-F510-4B9F-B0CA-DEDFA1795088}"/>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7" w:fontKey="{5FD64384-5CDD-481C-AF17-9E008BD836B7}"/>
  </w:font>
  <w:font w:name="华文楷体">
    <w:altName w:val="宋体"/>
    <w:panose1 w:val="02010600040101010101"/>
    <w:charset w:val="86"/>
    <w:family w:val="auto"/>
    <w:pitch w:val="default"/>
    <w:sig w:usb0="00000000" w:usb1="00000000" w:usb2="00000000" w:usb3="00000000" w:csb0="0004009F" w:csb1="DFD70000"/>
  </w:font>
  <w:font w:name="FZShuSong-Z01">
    <w:altName w:val="Segoe Print"/>
    <w:panose1 w:val="00000000000000000000"/>
    <w:charset w:val="00"/>
    <w:family w:val="auto"/>
    <w:pitch w:val="default"/>
    <w:sig w:usb0="00000000" w:usb1="00000000" w:usb2="00000000" w:usb3="00000000" w:csb0="00000000" w:csb1="00000000"/>
    <w:embedRegular r:id="rId8" w:fontKey="{1CB7A633-6E3A-48B6-A4CF-DD28F3DDFFD3}"/>
  </w:font>
  <w:font w:name="Segoe Print">
    <w:panose1 w:val="02000600000000000000"/>
    <w:charset w:val="00"/>
    <w:family w:val="auto"/>
    <w:pitch w:val="default"/>
    <w:sig w:usb0="0000028F" w:usb1="00000000" w:usb2="00000000" w:usb3="00000000" w:csb0="2000009F" w:csb1="47010000"/>
  </w:font>
  <w:font w:name="方正小标宋_GBK">
    <w:panose1 w:val="02000000000000000000"/>
    <w:charset w:val="86"/>
    <w:family w:val="auto"/>
    <w:pitch w:val="default"/>
    <w:sig w:usb0="A00002BF" w:usb1="38CF7CFA" w:usb2="00082016" w:usb3="00000000" w:csb0="00040001" w:csb1="00000000"/>
    <w:embedRegular r:id="rId9" w:fontKey="{30B6B55F-0920-4310-A38F-F31AA6ABC14F}"/>
  </w:font>
  <w:font w:name="DejaVuSans">
    <w:altName w:val="Segoe Print"/>
    <w:panose1 w:val="00000000000000000000"/>
    <w:charset w:val="00"/>
    <w:family w:val="auto"/>
    <w:pitch w:val="default"/>
    <w:sig w:usb0="00000000" w:usb1="00000000" w:usb2="00000000" w:usb3="00000000" w:csb0="00000000" w:csb1="00000000"/>
    <w:embedRegular r:id="rId10" w:fontKey="{C5585EA7-1D41-42C1-A091-6815F23364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75237">
    <w:pPr>
      <w:pStyle w:val="2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4804"/>
                          </w:sdtPr>
                          <w:sdtContent>
                            <w:p w14:paraId="43E63C1D">
                              <w:pPr>
                                <w:pStyle w:val="20"/>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718A90B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54804"/>
                    </w:sdtPr>
                    <w:sdtContent>
                      <w:p w14:paraId="43E63C1D">
                        <w:pPr>
                          <w:pStyle w:val="20"/>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718A90BE"/>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43EDA">
    <w:pPr>
      <w:pStyle w:val="20"/>
      <w:ind w:firstLine="444"/>
      <w:jc w:val="center"/>
      <w:rPr>
        <w:rFonts w:cs="Times New Roman"/>
        <w:sz w:val="22"/>
        <w:szCs w:val="22"/>
      </w:rPr>
    </w:pPr>
    <w:r>
      <w:rPr>
        <w:rFonts w:cs="Times New Roman"/>
        <w:sz w:val="22"/>
        <w:szCs w:val="22"/>
      </w:rPr>
      <w:fldChar w:fldCharType="begin"/>
    </w:r>
    <w:r>
      <w:rPr>
        <w:rFonts w:cs="Times New Roman"/>
        <w:sz w:val="22"/>
        <w:szCs w:val="22"/>
      </w:rPr>
      <w:instrText xml:space="preserve">PAGE   \* MERGEFORMAT</w:instrText>
    </w:r>
    <w:r>
      <w:rPr>
        <w:rFonts w:cs="Times New Roman"/>
        <w:sz w:val="22"/>
        <w:szCs w:val="22"/>
      </w:rPr>
      <w:fldChar w:fldCharType="separate"/>
    </w:r>
    <w:r>
      <w:rPr>
        <w:rFonts w:cs="Times New Roman"/>
        <w:sz w:val="22"/>
        <w:szCs w:val="22"/>
        <w:lang w:val="zh-CN"/>
      </w:rPr>
      <w:t>24</w:t>
    </w:r>
    <w:r>
      <w:rPr>
        <w:rFonts w:cs="Times New Roman"/>
        <w:sz w:val="22"/>
        <w:szCs w:val="22"/>
      </w:rPr>
      <w:fldChar w:fldCharType="end"/>
    </w:r>
  </w:p>
  <w:p w14:paraId="1799A9DB">
    <w:pPr>
      <w:pStyle w:val="20"/>
      <w:ind w:firstLine="364"/>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A2D5C">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3757FD">
                          <w:pPr>
                            <w:pStyle w:val="2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13757FD">
                    <w:pPr>
                      <w:pStyle w:val="2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41052">
    <w:pPr>
      <w:pStyle w:val="2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428888"/>
                          </w:sdtPr>
                          <w:sdtContent>
                            <w:p w14:paraId="1087FA9B">
                              <w:pPr>
                                <w:pStyle w:val="20"/>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448A793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78428888"/>
                    </w:sdtPr>
                    <w:sdtContent>
                      <w:p w14:paraId="1087FA9B">
                        <w:pPr>
                          <w:pStyle w:val="20"/>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448A7938"/>
                </w:txbxContent>
              </v:textbox>
            </v:shape>
          </w:pict>
        </mc:Fallback>
      </mc:AlternateContent>
    </w:r>
  </w:p>
  <w:p w14:paraId="4005E617">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57AC4">
    <w:pPr>
      <w:pStyle w:val="21"/>
      <w:keepNext w:val="0"/>
      <w:keepLines w:val="0"/>
      <w:pageBreakBefore w:val="0"/>
      <w:widowControl w:val="0"/>
      <w:kinsoku/>
      <w:wordWrap/>
      <w:overflowPunct/>
      <w:topLinePunct w:val="0"/>
      <w:bidi w:val="0"/>
      <w:adjustRightInd/>
      <w:snapToGrid w:val="0"/>
      <w:jc w:val="right"/>
      <w:textAlignment w:val="auto"/>
      <w:rPr>
        <w:sz w:val="18"/>
        <w:szCs w:val="18"/>
      </w:rPr>
    </w:pPr>
    <w:r>
      <w:rPr>
        <w:rFonts w:hint="eastAsia" w:ascii="宋体" w:hAnsi="宋体" w:eastAsia="宋体" w:cs="宋体"/>
        <w:sz w:val="18"/>
        <w:szCs w:val="18"/>
        <w:lang w:val="en-US" w:eastAsia="zh-CN"/>
      </w:rPr>
      <w:t>兵团政府采购项目</w:t>
    </w:r>
    <w:r>
      <w:rPr>
        <w:rFonts w:hint="eastAsia" w:ascii="宋体" w:hAnsi="宋体" w:eastAsia="宋体" w:cs="宋体"/>
        <w:sz w:val="18"/>
        <w:szCs w:val="18"/>
      </w:rPr>
      <w:t>公开招标文件</w:t>
    </w:r>
    <w:r>
      <w:rPr>
        <w:rFonts w:hint="eastAsia" w:ascii="宋体" w:hAnsi="宋体" w:eastAsia="宋体" w:cs="宋体"/>
        <w:sz w:val="18"/>
        <w:szCs w:val="18"/>
        <w:lang w:val="en-US" w:eastAsia="zh-CN"/>
      </w:rPr>
      <w:t>示范文本（货物）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2D517">
    <w:pPr>
      <w:pStyle w:val="21"/>
      <w:ind w:firstLine="364"/>
      <w:rPr>
        <w:rFonts w:cs="Times New Roman"/>
      </w:rPr>
    </w:pPr>
  </w:p>
  <w:p w14:paraId="4B51760E">
    <w:pPr>
      <w:spacing w:line="360" w:lineRule="auto"/>
      <w:ind w:firstLine="646" w:firstLineChars="202"/>
      <w:rPr>
        <w:rFonts w:ascii="仿宋_GB2312" w:hAnsi="仿宋_GB2312" w:eastAsia="仿宋_GB2312" w:cs="Times New Roman"/>
        <w:sz w:val="32"/>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2F3D0">
    <w:pPr>
      <w:pStyle w:val="21"/>
    </w:pPr>
    <w:r>
      <w:rPr>
        <w:rFonts w:hint="eastAsia"/>
        <w:sz w:val="24"/>
        <w:szCs w:val="24"/>
        <w:lang w:val="en-US" w:eastAsia="zh-CN"/>
      </w:rPr>
      <w:t xml:space="preserve">                         </w:t>
    </w:r>
    <w:r>
      <w:rPr>
        <w:rFonts w:hint="eastAsia" w:ascii="宋体" w:hAnsi="宋体" w:eastAsia="宋体" w:cs="宋体"/>
        <w:sz w:val="18"/>
        <w:szCs w:val="18"/>
        <w:lang w:val="en-US" w:eastAsia="zh-CN"/>
      </w:rPr>
      <w:t>兵团政府采购项目</w:t>
    </w:r>
    <w:r>
      <w:rPr>
        <w:rFonts w:hint="eastAsia" w:ascii="宋体" w:hAnsi="宋体" w:eastAsia="宋体" w:cs="宋体"/>
        <w:sz w:val="18"/>
        <w:szCs w:val="18"/>
      </w:rPr>
      <w:t>公开招标文件</w:t>
    </w:r>
    <w:r>
      <w:rPr>
        <w:rFonts w:hint="eastAsia" w:ascii="宋体" w:hAnsi="宋体" w:eastAsia="宋体" w:cs="宋体"/>
        <w:sz w:val="18"/>
        <w:szCs w:val="18"/>
        <w:lang w:val="en-US" w:eastAsia="zh-CN"/>
      </w:rPr>
      <w:t>示范文本（货物）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44780"/>
    <w:multiLevelType w:val="singleLevel"/>
    <w:tmpl w:val="86244780"/>
    <w:lvl w:ilvl="0" w:tentative="0">
      <w:start w:val="1"/>
      <w:numFmt w:val="decimal"/>
      <w:lvlText w:val="(%1)"/>
      <w:lvlJc w:val="left"/>
      <w:pPr>
        <w:tabs>
          <w:tab w:val="left" w:pos="312"/>
        </w:tabs>
      </w:pPr>
    </w:lvl>
  </w:abstractNum>
  <w:abstractNum w:abstractNumId="1">
    <w:nsid w:val="9C070575"/>
    <w:multiLevelType w:val="singleLevel"/>
    <w:tmpl w:val="9C070575"/>
    <w:lvl w:ilvl="0" w:tentative="0">
      <w:start w:val="1"/>
      <w:numFmt w:val="decimal"/>
      <w:pStyle w:val="8"/>
      <w:lvlText w:val="%1."/>
      <w:lvlJc w:val="left"/>
      <w:pPr>
        <w:tabs>
          <w:tab w:val="left" w:pos="780"/>
        </w:tabs>
        <w:ind w:left="780" w:hanging="360"/>
      </w:pPr>
    </w:lvl>
  </w:abstractNum>
  <w:abstractNum w:abstractNumId="2">
    <w:nsid w:val="E000CDE7"/>
    <w:multiLevelType w:val="singleLevel"/>
    <w:tmpl w:val="E000CDE7"/>
    <w:lvl w:ilvl="0" w:tentative="0">
      <w:start w:val="2"/>
      <w:numFmt w:val="chineseCounting"/>
      <w:suff w:val="nothing"/>
      <w:lvlText w:val="%1、"/>
      <w:lvlJc w:val="left"/>
      <w:rPr>
        <w:rFonts w:hint="eastAsia"/>
      </w:rPr>
    </w:lvl>
  </w:abstractNum>
  <w:abstractNum w:abstractNumId="3">
    <w:nsid w:val="18FF40B2"/>
    <w:multiLevelType w:val="singleLevel"/>
    <w:tmpl w:val="18FF40B2"/>
    <w:lvl w:ilvl="0" w:tentative="0">
      <w:start w:val="1"/>
      <w:numFmt w:val="bullet"/>
      <w:suff w:val="nothing"/>
      <w:lvlText w:val=""/>
      <w:lvlJc w:val="left"/>
      <w:pPr>
        <w:ind w:left="420" w:hanging="420"/>
      </w:pPr>
      <w:rPr>
        <w:rFonts w:hint="default" w:ascii="Wingdings" w:hAnsi="Wingdings"/>
      </w:rPr>
    </w:lvl>
  </w:abstractNum>
  <w:abstractNum w:abstractNumId="4">
    <w:nsid w:val="1C761375"/>
    <w:multiLevelType w:val="multilevel"/>
    <w:tmpl w:val="1C76137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47B6378"/>
    <w:multiLevelType w:val="multilevel"/>
    <w:tmpl w:val="447B6378"/>
    <w:lvl w:ilvl="0" w:tentative="0">
      <w:start w:val="1"/>
      <w:numFmt w:val="decimal"/>
      <w:pStyle w:val="39"/>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5504026"/>
    <w:multiLevelType w:val="multilevel"/>
    <w:tmpl w:val="75504026"/>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3"/>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kNTg1OTJkZTA1ZDVhNGYzMmVkNzJiZGI5ZmNhNzAifQ=="/>
  </w:docVars>
  <w:rsids>
    <w:rsidRoot w:val="00172A27"/>
    <w:rsid w:val="0000366A"/>
    <w:rsid w:val="00006F7F"/>
    <w:rsid w:val="00007003"/>
    <w:rsid w:val="000075B7"/>
    <w:rsid w:val="000237EA"/>
    <w:rsid w:val="00027CD2"/>
    <w:rsid w:val="00031E0C"/>
    <w:rsid w:val="00040832"/>
    <w:rsid w:val="00040D23"/>
    <w:rsid w:val="000439DA"/>
    <w:rsid w:val="00063604"/>
    <w:rsid w:val="0006370A"/>
    <w:rsid w:val="00066832"/>
    <w:rsid w:val="00067934"/>
    <w:rsid w:val="000720BF"/>
    <w:rsid w:val="0008641D"/>
    <w:rsid w:val="000B39A0"/>
    <w:rsid w:val="000C3E03"/>
    <w:rsid w:val="000C488D"/>
    <w:rsid w:val="000C52EC"/>
    <w:rsid w:val="000D0230"/>
    <w:rsid w:val="000D0AD3"/>
    <w:rsid w:val="000E45BD"/>
    <w:rsid w:val="000E4E33"/>
    <w:rsid w:val="000E67CF"/>
    <w:rsid w:val="000F20FD"/>
    <w:rsid w:val="000F39B0"/>
    <w:rsid w:val="001008D8"/>
    <w:rsid w:val="001022A4"/>
    <w:rsid w:val="00115EF7"/>
    <w:rsid w:val="0013642D"/>
    <w:rsid w:val="00146410"/>
    <w:rsid w:val="00150D67"/>
    <w:rsid w:val="00150EAD"/>
    <w:rsid w:val="00156600"/>
    <w:rsid w:val="00160E9C"/>
    <w:rsid w:val="00172190"/>
    <w:rsid w:val="00173480"/>
    <w:rsid w:val="00181988"/>
    <w:rsid w:val="00182557"/>
    <w:rsid w:val="0018304A"/>
    <w:rsid w:val="001904E9"/>
    <w:rsid w:val="001A77DE"/>
    <w:rsid w:val="001B36EC"/>
    <w:rsid w:val="001D7B23"/>
    <w:rsid w:val="001E2F56"/>
    <w:rsid w:val="00204A2D"/>
    <w:rsid w:val="002062E6"/>
    <w:rsid w:val="00207131"/>
    <w:rsid w:val="0022214D"/>
    <w:rsid w:val="00223585"/>
    <w:rsid w:val="002257E4"/>
    <w:rsid w:val="002317DB"/>
    <w:rsid w:val="00232245"/>
    <w:rsid w:val="0023265E"/>
    <w:rsid w:val="00235B5A"/>
    <w:rsid w:val="00251060"/>
    <w:rsid w:val="002514A3"/>
    <w:rsid w:val="00256B32"/>
    <w:rsid w:val="00256D01"/>
    <w:rsid w:val="002706F2"/>
    <w:rsid w:val="00271135"/>
    <w:rsid w:val="00285E30"/>
    <w:rsid w:val="00292BAB"/>
    <w:rsid w:val="002A1AEC"/>
    <w:rsid w:val="002A1BCB"/>
    <w:rsid w:val="002A5262"/>
    <w:rsid w:val="002A6484"/>
    <w:rsid w:val="002A79C6"/>
    <w:rsid w:val="002C06B9"/>
    <w:rsid w:val="002C0FDD"/>
    <w:rsid w:val="002C5E37"/>
    <w:rsid w:val="002D11F7"/>
    <w:rsid w:val="002D48C5"/>
    <w:rsid w:val="002E0B52"/>
    <w:rsid w:val="002E1CF4"/>
    <w:rsid w:val="002E5FED"/>
    <w:rsid w:val="002F0DA9"/>
    <w:rsid w:val="003113C1"/>
    <w:rsid w:val="00312C3A"/>
    <w:rsid w:val="0031353D"/>
    <w:rsid w:val="0032200D"/>
    <w:rsid w:val="00333B37"/>
    <w:rsid w:val="0034487B"/>
    <w:rsid w:val="00347CC6"/>
    <w:rsid w:val="00347D88"/>
    <w:rsid w:val="00350BCD"/>
    <w:rsid w:val="0035643C"/>
    <w:rsid w:val="00366226"/>
    <w:rsid w:val="003746B0"/>
    <w:rsid w:val="00374A6B"/>
    <w:rsid w:val="00383E1C"/>
    <w:rsid w:val="00390D4A"/>
    <w:rsid w:val="0039222E"/>
    <w:rsid w:val="0039288A"/>
    <w:rsid w:val="00393395"/>
    <w:rsid w:val="0039372E"/>
    <w:rsid w:val="00394AF5"/>
    <w:rsid w:val="003A19A4"/>
    <w:rsid w:val="003A1A1B"/>
    <w:rsid w:val="003A4485"/>
    <w:rsid w:val="003A4878"/>
    <w:rsid w:val="003B4310"/>
    <w:rsid w:val="003B60A6"/>
    <w:rsid w:val="003C5883"/>
    <w:rsid w:val="003C7C49"/>
    <w:rsid w:val="003D3327"/>
    <w:rsid w:val="003D6656"/>
    <w:rsid w:val="003E057C"/>
    <w:rsid w:val="003E2B14"/>
    <w:rsid w:val="003E314B"/>
    <w:rsid w:val="003F5655"/>
    <w:rsid w:val="003F5BC6"/>
    <w:rsid w:val="004021C6"/>
    <w:rsid w:val="00406BEF"/>
    <w:rsid w:val="00410595"/>
    <w:rsid w:val="00420F7C"/>
    <w:rsid w:val="0043307A"/>
    <w:rsid w:val="00433514"/>
    <w:rsid w:val="00446BB3"/>
    <w:rsid w:val="0045353D"/>
    <w:rsid w:val="004771C7"/>
    <w:rsid w:val="00481283"/>
    <w:rsid w:val="00481C3A"/>
    <w:rsid w:val="004851CA"/>
    <w:rsid w:val="0048656E"/>
    <w:rsid w:val="00493221"/>
    <w:rsid w:val="004A302C"/>
    <w:rsid w:val="004B539D"/>
    <w:rsid w:val="004C1FA1"/>
    <w:rsid w:val="004C3DCC"/>
    <w:rsid w:val="004E0BF9"/>
    <w:rsid w:val="004E0CF9"/>
    <w:rsid w:val="004F3FDD"/>
    <w:rsid w:val="004F46AB"/>
    <w:rsid w:val="00501A4A"/>
    <w:rsid w:val="005032B9"/>
    <w:rsid w:val="005100F2"/>
    <w:rsid w:val="00510300"/>
    <w:rsid w:val="00511D7B"/>
    <w:rsid w:val="00513AD5"/>
    <w:rsid w:val="00523D37"/>
    <w:rsid w:val="00524831"/>
    <w:rsid w:val="0052616B"/>
    <w:rsid w:val="00532F25"/>
    <w:rsid w:val="00541D90"/>
    <w:rsid w:val="00542258"/>
    <w:rsid w:val="0054547C"/>
    <w:rsid w:val="0054632A"/>
    <w:rsid w:val="00551EDC"/>
    <w:rsid w:val="005544D1"/>
    <w:rsid w:val="00554509"/>
    <w:rsid w:val="00561523"/>
    <w:rsid w:val="00561527"/>
    <w:rsid w:val="005714C6"/>
    <w:rsid w:val="00594E7A"/>
    <w:rsid w:val="005A146E"/>
    <w:rsid w:val="005A7208"/>
    <w:rsid w:val="005A7987"/>
    <w:rsid w:val="005B5936"/>
    <w:rsid w:val="005C0D20"/>
    <w:rsid w:val="005D050C"/>
    <w:rsid w:val="005F7A46"/>
    <w:rsid w:val="00611383"/>
    <w:rsid w:val="00620B1C"/>
    <w:rsid w:val="00626E33"/>
    <w:rsid w:val="006407ED"/>
    <w:rsid w:val="0064251F"/>
    <w:rsid w:val="00643F74"/>
    <w:rsid w:val="006503AE"/>
    <w:rsid w:val="00651EE4"/>
    <w:rsid w:val="00654524"/>
    <w:rsid w:val="00654BCF"/>
    <w:rsid w:val="0066052B"/>
    <w:rsid w:val="006630EF"/>
    <w:rsid w:val="0066446E"/>
    <w:rsid w:val="0066601A"/>
    <w:rsid w:val="006662AB"/>
    <w:rsid w:val="00674212"/>
    <w:rsid w:val="0067621A"/>
    <w:rsid w:val="006815D1"/>
    <w:rsid w:val="00687DD5"/>
    <w:rsid w:val="006923C3"/>
    <w:rsid w:val="006937E9"/>
    <w:rsid w:val="00693EF9"/>
    <w:rsid w:val="006947A5"/>
    <w:rsid w:val="006A1A11"/>
    <w:rsid w:val="006A2C75"/>
    <w:rsid w:val="006A4105"/>
    <w:rsid w:val="006B0C84"/>
    <w:rsid w:val="006B543B"/>
    <w:rsid w:val="006B7E54"/>
    <w:rsid w:val="006C0BD1"/>
    <w:rsid w:val="006C30C8"/>
    <w:rsid w:val="006C5139"/>
    <w:rsid w:val="006C69FC"/>
    <w:rsid w:val="006D069F"/>
    <w:rsid w:val="006D2C95"/>
    <w:rsid w:val="006D5F8F"/>
    <w:rsid w:val="006D6CEA"/>
    <w:rsid w:val="006E3B5C"/>
    <w:rsid w:val="006E3EB8"/>
    <w:rsid w:val="00707B1D"/>
    <w:rsid w:val="00710909"/>
    <w:rsid w:val="00716369"/>
    <w:rsid w:val="00723649"/>
    <w:rsid w:val="007265C3"/>
    <w:rsid w:val="00735F23"/>
    <w:rsid w:val="00740CEF"/>
    <w:rsid w:val="00742261"/>
    <w:rsid w:val="00752C5E"/>
    <w:rsid w:val="007531F9"/>
    <w:rsid w:val="00764378"/>
    <w:rsid w:val="0076591F"/>
    <w:rsid w:val="00766F0F"/>
    <w:rsid w:val="00773B9A"/>
    <w:rsid w:val="0077582F"/>
    <w:rsid w:val="007862C9"/>
    <w:rsid w:val="0079007B"/>
    <w:rsid w:val="007A0F22"/>
    <w:rsid w:val="007B5C1A"/>
    <w:rsid w:val="007C03A0"/>
    <w:rsid w:val="007C2BEF"/>
    <w:rsid w:val="007D3D77"/>
    <w:rsid w:val="007E157B"/>
    <w:rsid w:val="007E2EF7"/>
    <w:rsid w:val="007E4818"/>
    <w:rsid w:val="007E6A7E"/>
    <w:rsid w:val="007F33F3"/>
    <w:rsid w:val="007F6124"/>
    <w:rsid w:val="00801BDF"/>
    <w:rsid w:val="00802B86"/>
    <w:rsid w:val="0082514B"/>
    <w:rsid w:val="00830599"/>
    <w:rsid w:val="008334B0"/>
    <w:rsid w:val="0083496F"/>
    <w:rsid w:val="0083530F"/>
    <w:rsid w:val="00836468"/>
    <w:rsid w:val="00843492"/>
    <w:rsid w:val="00845F16"/>
    <w:rsid w:val="00852AF3"/>
    <w:rsid w:val="00856D2D"/>
    <w:rsid w:val="00856F2E"/>
    <w:rsid w:val="00871560"/>
    <w:rsid w:val="00872D54"/>
    <w:rsid w:val="00872F2D"/>
    <w:rsid w:val="0087585D"/>
    <w:rsid w:val="00880E22"/>
    <w:rsid w:val="00882B6F"/>
    <w:rsid w:val="008834AE"/>
    <w:rsid w:val="00885F4D"/>
    <w:rsid w:val="008962E2"/>
    <w:rsid w:val="008A74EF"/>
    <w:rsid w:val="008B0539"/>
    <w:rsid w:val="008B1C98"/>
    <w:rsid w:val="008B5ADF"/>
    <w:rsid w:val="008D0B3B"/>
    <w:rsid w:val="008D1450"/>
    <w:rsid w:val="008D2E66"/>
    <w:rsid w:val="008D56A5"/>
    <w:rsid w:val="008E1546"/>
    <w:rsid w:val="008E189F"/>
    <w:rsid w:val="008E24ED"/>
    <w:rsid w:val="008E40FE"/>
    <w:rsid w:val="008E57AC"/>
    <w:rsid w:val="008E6D3B"/>
    <w:rsid w:val="00906396"/>
    <w:rsid w:val="0090770A"/>
    <w:rsid w:val="00916E4D"/>
    <w:rsid w:val="00917A63"/>
    <w:rsid w:val="00920750"/>
    <w:rsid w:val="00923C36"/>
    <w:rsid w:val="00924B8E"/>
    <w:rsid w:val="00930024"/>
    <w:rsid w:val="009344DE"/>
    <w:rsid w:val="009357E5"/>
    <w:rsid w:val="00936087"/>
    <w:rsid w:val="00945D17"/>
    <w:rsid w:val="00951FEE"/>
    <w:rsid w:val="00965FBF"/>
    <w:rsid w:val="00973941"/>
    <w:rsid w:val="0097751F"/>
    <w:rsid w:val="00980255"/>
    <w:rsid w:val="009804FA"/>
    <w:rsid w:val="00985B78"/>
    <w:rsid w:val="0098649F"/>
    <w:rsid w:val="00993AFA"/>
    <w:rsid w:val="0099686E"/>
    <w:rsid w:val="00996DF2"/>
    <w:rsid w:val="009A41B0"/>
    <w:rsid w:val="009A4756"/>
    <w:rsid w:val="009A4C46"/>
    <w:rsid w:val="009A4DBF"/>
    <w:rsid w:val="009B3513"/>
    <w:rsid w:val="009B39EA"/>
    <w:rsid w:val="009D3FC3"/>
    <w:rsid w:val="009D433D"/>
    <w:rsid w:val="009D4484"/>
    <w:rsid w:val="009D5889"/>
    <w:rsid w:val="009D7755"/>
    <w:rsid w:val="009F1D20"/>
    <w:rsid w:val="00A00548"/>
    <w:rsid w:val="00A00713"/>
    <w:rsid w:val="00A00731"/>
    <w:rsid w:val="00A11A5C"/>
    <w:rsid w:val="00A22235"/>
    <w:rsid w:val="00A22F7B"/>
    <w:rsid w:val="00A23801"/>
    <w:rsid w:val="00A2554C"/>
    <w:rsid w:val="00A3295D"/>
    <w:rsid w:val="00A33652"/>
    <w:rsid w:val="00A3798C"/>
    <w:rsid w:val="00A42866"/>
    <w:rsid w:val="00A461C1"/>
    <w:rsid w:val="00A46B5C"/>
    <w:rsid w:val="00A50D6E"/>
    <w:rsid w:val="00A51DD8"/>
    <w:rsid w:val="00A647EA"/>
    <w:rsid w:val="00A736C6"/>
    <w:rsid w:val="00A82472"/>
    <w:rsid w:val="00A83F1F"/>
    <w:rsid w:val="00A8416F"/>
    <w:rsid w:val="00AA0223"/>
    <w:rsid w:val="00AB28B8"/>
    <w:rsid w:val="00AB3B77"/>
    <w:rsid w:val="00AC57B7"/>
    <w:rsid w:val="00AC73C5"/>
    <w:rsid w:val="00AC755C"/>
    <w:rsid w:val="00AD0E13"/>
    <w:rsid w:val="00AD5ABF"/>
    <w:rsid w:val="00AF45C5"/>
    <w:rsid w:val="00AF5667"/>
    <w:rsid w:val="00B05DD5"/>
    <w:rsid w:val="00B12477"/>
    <w:rsid w:val="00B13343"/>
    <w:rsid w:val="00B1354B"/>
    <w:rsid w:val="00B220B2"/>
    <w:rsid w:val="00B23942"/>
    <w:rsid w:val="00B32474"/>
    <w:rsid w:val="00B4327E"/>
    <w:rsid w:val="00B467A4"/>
    <w:rsid w:val="00B5286D"/>
    <w:rsid w:val="00B545BC"/>
    <w:rsid w:val="00B61032"/>
    <w:rsid w:val="00B61D2E"/>
    <w:rsid w:val="00B71854"/>
    <w:rsid w:val="00B71DA4"/>
    <w:rsid w:val="00B7235B"/>
    <w:rsid w:val="00B76348"/>
    <w:rsid w:val="00B81261"/>
    <w:rsid w:val="00B82556"/>
    <w:rsid w:val="00B87655"/>
    <w:rsid w:val="00B87801"/>
    <w:rsid w:val="00B92871"/>
    <w:rsid w:val="00B928DA"/>
    <w:rsid w:val="00BA5AC3"/>
    <w:rsid w:val="00BA630D"/>
    <w:rsid w:val="00BB06B4"/>
    <w:rsid w:val="00BB2551"/>
    <w:rsid w:val="00BB4892"/>
    <w:rsid w:val="00BB5E9B"/>
    <w:rsid w:val="00BC1A44"/>
    <w:rsid w:val="00BC5C37"/>
    <w:rsid w:val="00BC757B"/>
    <w:rsid w:val="00BC7ED2"/>
    <w:rsid w:val="00BD0190"/>
    <w:rsid w:val="00BE212E"/>
    <w:rsid w:val="00BE4AAB"/>
    <w:rsid w:val="00BE5086"/>
    <w:rsid w:val="00BF4971"/>
    <w:rsid w:val="00C07F40"/>
    <w:rsid w:val="00C12E85"/>
    <w:rsid w:val="00C16A79"/>
    <w:rsid w:val="00C20278"/>
    <w:rsid w:val="00C22791"/>
    <w:rsid w:val="00C236DC"/>
    <w:rsid w:val="00C31B7F"/>
    <w:rsid w:val="00C32F79"/>
    <w:rsid w:val="00C33FD2"/>
    <w:rsid w:val="00C35271"/>
    <w:rsid w:val="00C4036A"/>
    <w:rsid w:val="00C50E28"/>
    <w:rsid w:val="00C62934"/>
    <w:rsid w:val="00C64428"/>
    <w:rsid w:val="00C74D6F"/>
    <w:rsid w:val="00C842DE"/>
    <w:rsid w:val="00C902FB"/>
    <w:rsid w:val="00C965AE"/>
    <w:rsid w:val="00CA0AED"/>
    <w:rsid w:val="00CA66E6"/>
    <w:rsid w:val="00CC29DE"/>
    <w:rsid w:val="00CC3B64"/>
    <w:rsid w:val="00CD37C6"/>
    <w:rsid w:val="00CD3BA4"/>
    <w:rsid w:val="00CD41AA"/>
    <w:rsid w:val="00CD6943"/>
    <w:rsid w:val="00CE6C2F"/>
    <w:rsid w:val="00CE73CC"/>
    <w:rsid w:val="00CE7E9C"/>
    <w:rsid w:val="00CF2EF3"/>
    <w:rsid w:val="00CF3298"/>
    <w:rsid w:val="00D02F3B"/>
    <w:rsid w:val="00D0657B"/>
    <w:rsid w:val="00D129CB"/>
    <w:rsid w:val="00D16A04"/>
    <w:rsid w:val="00D27C17"/>
    <w:rsid w:val="00D41B89"/>
    <w:rsid w:val="00D47F27"/>
    <w:rsid w:val="00D5541F"/>
    <w:rsid w:val="00D57923"/>
    <w:rsid w:val="00D66387"/>
    <w:rsid w:val="00D741B6"/>
    <w:rsid w:val="00D74BD0"/>
    <w:rsid w:val="00D74FED"/>
    <w:rsid w:val="00D75A81"/>
    <w:rsid w:val="00D7761F"/>
    <w:rsid w:val="00D86806"/>
    <w:rsid w:val="00D86C35"/>
    <w:rsid w:val="00DB04FB"/>
    <w:rsid w:val="00DB6DFF"/>
    <w:rsid w:val="00DC003F"/>
    <w:rsid w:val="00DE72B3"/>
    <w:rsid w:val="00DF4668"/>
    <w:rsid w:val="00E00172"/>
    <w:rsid w:val="00E0533A"/>
    <w:rsid w:val="00E0701A"/>
    <w:rsid w:val="00E131D1"/>
    <w:rsid w:val="00E17AA0"/>
    <w:rsid w:val="00E2655B"/>
    <w:rsid w:val="00E311AB"/>
    <w:rsid w:val="00E358BF"/>
    <w:rsid w:val="00E36EC8"/>
    <w:rsid w:val="00E51146"/>
    <w:rsid w:val="00E512A9"/>
    <w:rsid w:val="00E54AF9"/>
    <w:rsid w:val="00E5624E"/>
    <w:rsid w:val="00E601D4"/>
    <w:rsid w:val="00E64C88"/>
    <w:rsid w:val="00E7179D"/>
    <w:rsid w:val="00E72F28"/>
    <w:rsid w:val="00E74832"/>
    <w:rsid w:val="00E81B04"/>
    <w:rsid w:val="00E820C5"/>
    <w:rsid w:val="00E87550"/>
    <w:rsid w:val="00E9413F"/>
    <w:rsid w:val="00E973D2"/>
    <w:rsid w:val="00EA0745"/>
    <w:rsid w:val="00EC7C64"/>
    <w:rsid w:val="00ED00D6"/>
    <w:rsid w:val="00EE26DC"/>
    <w:rsid w:val="00EE3FF1"/>
    <w:rsid w:val="00EE5816"/>
    <w:rsid w:val="00EF16FF"/>
    <w:rsid w:val="00F03292"/>
    <w:rsid w:val="00F0565C"/>
    <w:rsid w:val="00F121AE"/>
    <w:rsid w:val="00F15852"/>
    <w:rsid w:val="00F23F4B"/>
    <w:rsid w:val="00F462F0"/>
    <w:rsid w:val="00F46C50"/>
    <w:rsid w:val="00F56CD7"/>
    <w:rsid w:val="00F60B61"/>
    <w:rsid w:val="00F66E89"/>
    <w:rsid w:val="00F67822"/>
    <w:rsid w:val="00F70621"/>
    <w:rsid w:val="00F74182"/>
    <w:rsid w:val="00F7607A"/>
    <w:rsid w:val="00F8517B"/>
    <w:rsid w:val="00F90250"/>
    <w:rsid w:val="00F91395"/>
    <w:rsid w:val="00F961D7"/>
    <w:rsid w:val="00F97A2B"/>
    <w:rsid w:val="00FA0CA3"/>
    <w:rsid w:val="00FA3BC5"/>
    <w:rsid w:val="00FA40FE"/>
    <w:rsid w:val="00FB08DC"/>
    <w:rsid w:val="00FB0D30"/>
    <w:rsid w:val="00FB1AE0"/>
    <w:rsid w:val="00FB34C2"/>
    <w:rsid w:val="00FB42F5"/>
    <w:rsid w:val="00FD76E1"/>
    <w:rsid w:val="00FE0970"/>
    <w:rsid w:val="00FF3F3A"/>
    <w:rsid w:val="00FF400F"/>
    <w:rsid w:val="01064C9A"/>
    <w:rsid w:val="01303AC5"/>
    <w:rsid w:val="013E61E2"/>
    <w:rsid w:val="014F4893"/>
    <w:rsid w:val="01554610"/>
    <w:rsid w:val="01781929"/>
    <w:rsid w:val="017C564F"/>
    <w:rsid w:val="01877B89"/>
    <w:rsid w:val="019E3125"/>
    <w:rsid w:val="01BA39DE"/>
    <w:rsid w:val="01C026A2"/>
    <w:rsid w:val="01CA216C"/>
    <w:rsid w:val="01D0068D"/>
    <w:rsid w:val="01D775B9"/>
    <w:rsid w:val="01DD3C4D"/>
    <w:rsid w:val="02026E30"/>
    <w:rsid w:val="02132174"/>
    <w:rsid w:val="02186A33"/>
    <w:rsid w:val="022278B2"/>
    <w:rsid w:val="023130F5"/>
    <w:rsid w:val="024737BC"/>
    <w:rsid w:val="024C2B81"/>
    <w:rsid w:val="026D3223"/>
    <w:rsid w:val="028604AE"/>
    <w:rsid w:val="028B75EF"/>
    <w:rsid w:val="028D5673"/>
    <w:rsid w:val="02922C89"/>
    <w:rsid w:val="029D33DC"/>
    <w:rsid w:val="02AD1871"/>
    <w:rsid w:val="02AD3196"/>
    <w:rsid w:val="02C44E0D"/>
    <w:rsid w:val="02C9326F"/>
    <w:rsid w:val="02DA63DE"/>
    <w:rsid w:val="02DF39F5"/>
    <w:rsid w:val="02EF5EA2"/>
    <w:rsid w:val="03200295"/>
    <w:rsid w:val="0361440A"/>
    <w:rsid w:val="036D7252"/>
    <w:rsid w:val="03747EC0"/>
    <w:rsid w:val="03922815"/>
    <w:rsid w:val="03990047"/>
    <w:rsid w:val="03AF1619"/>
    <w:rsid w:val="03B7227C"/>
    <w:rsid w:val="03C07382"/>
    <w:rsid w:val="03C350C4"/>
    <w:rsid w:val="03E07A24"/>
    <w:rsid w:val="03E2554B"/>
    <w:rsid w:val="03E30F7F"/>
    <w:rsid w:val="03EA08A3"/>
    <w:rsid w:val="03F62DA4"/>
    <w:rsid w:val="04001E75"/>
    <w:rsid w:val="040E4592"/>
    <w:rsid w:val="04293179"/>
    <w:rsid w:val="043833BC"/>
    <w:rsid w:val="04446205"/>
    <w:rsid w:val="044E2BE0"/>
    <w:rsid w:val="04506958"/>
    <w:rsid w:val="045126D0"/>
    <w:rsid w:val="045D72C7"/>
    <w:rsid w:val="045F303F"/>
    <w:rsid w:val="04820ADC"/>
    <w:rsid w:val="04893C18"/>
    <w:rsid w:val="04951C17"/>
    <w:rsid w:val="049F343C"/>
    <w:rsid w:val="04B14F1D"/>
    <w:rsid w:val="04F01EE9"/>
    <w:rsid w:val="04F574FF"/>
    <w:rsid w:val="05025778"/>
    <w:rsid w:val="05253B7D"/>
    <w:rsid w:val="052851DF"/>
    <w:rsid w:val="052E656D"/>
    <w:rsid w:val="053A4F12"/>
    <w:rsid w:val="053F247C"/>
    <w:rsid w:val="05595CE0"/>
    <w:rsid w:val="057C377D"/>
    <w:rsid w:val="057E74F5"/>
    <w:rsid w:val="05810D93"/>
    <w:rsid w:val="05812B41"/>
    <w:rsid w:val="05B362B9"/>
    <w:rsid w:val="05C2565F"/>
    <w:rsid w:val="05C72C4A"/>
    <w:rsid w:val="05CB2336"/>
    <w:rsid w:val="05D15877"/>
    <w:rsid w:val="05D215EF"/>
    <w:rsid w:val="05D2339D"/>
    <w:rsid w:val="05D37841"/>
    <w:rsid w:val="05E530D0"/>
    <w:rsid w:val="05EA4B8A"/>
    <w:rsid w:val="05F9301F"/>
    <w:rsid w:val="05FD48BE"/>
    <w:rsid w:val="06093262"/>
    <w:rsid w:val="06231E4A"/>
    <w:rsid w:val="06253E14"/>
    <w:rsid w:val="0633208D"/>
    <w:rsid w:val="063A16EC"/>
    <w:rsid w:val="063B53E6"/>
    <w:rsid w:val="065B7836"/>
    <w:rsid w:val="06856661"/>
    <w:rsid w:val="068576CE"/>
    <w:rsid w:val="069114AA"/>
    <w:rsid w:val="0698763E"/>
    <w:rsid w:val="06A66D03"/>
    <w:rsid w:val="06AE7966"/>
    <w:rsid w:val="06AF6DD1"/>
    <w:rsid w:val="06B07B82"/>
    <w:rsid w:val="06B64A6C"/>
    <w:rsid w:val="06DD649D"/>
    <w:rsid w:val="06E8731C"/>
    <w:rsid w:val="06F04422"/>
    <w:rsid w:val="07047ECE"/>
    <w:rsid w:val="071C5217"/>
    <w:rsid w:val="071D4AEC"/>
    <w:rsid w:val="07210A39"/>
    <w:rsid w:val="072242D3"/>
    <w:rsid w:val="072440CC"/>
    <w:rsid w:val="0737795B"/>
    <w:rsid w:val="073F4A62"/>
    <w:rsid w:val="07442078"/>
    <w:rsid w:val="07585B24"/>
    <w:rsid w:val="078A2181"/>
    <w:rsid w:val="07941252"/>
    <w:rsid w:val="07B54D24"/>
    <w:rsid w:val="07EA70C4"/>
    <w:rsid w:val="08061A81"/>
    <w:rsid w:val="081E0B1B"/>
    <w:rsid w:val="08534C69"/>
    <w:rsid w:val="085D7896"/>
    <w:rsid w:val="08687FE8"/>
    <w:rsid w:val="08800EFA"/>
    <w:rsid w:val="08935065"/>
    <w:rsid w:val="08997D8A"/>
    <w:rsid w:val="089A2898"/>
    <w:rsid w:val="08AD2074"/>
    <w:rsid w:val="08D306C7"/>
    <w:rsid w:val="08D538D0"/>
    <w:rsid w:val="08D77648"/>
    <w:rsid w:val="08E04023"/>
    <w:rsid w:val="08E9737B"/>
    <w:rsid w:val="08F2265D"/>
    <w:rsid w:val="09077801"/>
    <w:rsid w:val="091C32AD"/>
    <w:rsid w:val="09212671"/>
    <w:rsid w:val="0926010A"/>
    <w:rsid w:val="093D1475"/>
    <w:rsid w:val="093F343F"/>
    <w:rsid w:val="09412D13"/>
    <w:rsid w:val="09491BC8"/>
    <w:rsid w:val="095B3C9B"/>
    <w:rsid w:val="095E1B17"/>
    <w:rsid w:val="09664528"/>
    <w:rsid w:val="09704318"/>
    <w:rsid w:val="09AC1C5B"/>
    <w:rsid w:val="09B039F5"/>
    <w:rsid w:val="09BD105E"/>
    <w:rsid w:val="09CE174C"/>
    <w:rsid w:val="09EA6F07"/>
    <w:rsid w:val="09EB2C7F"/>
    <w:rsid w:val="09FE29B2"/>
    <w:rsid w:val="0A140428"/>
    <w:rsid w:val="0A1C108A"/>
    <w:rsid w:val="0A2148F3"/>
    <w:rsid w:val="0A2C5771"/>
    <w:rsid w:val="0A391C3C"/>
    <w:rsid w:val="0A3D172D"/>
    <w:rsid w:val="0A3E680D"/>
    <w:rsid w:val="0A6749FB"/>
    <w:rsid w:val="0A740EC6"/>
    <w:rsid w:val="0A7964DD"/>
    <w:rsid w:val="0A825391"/>
    <w:rsid w:val="0A9D29C6"/>
    <w:rsid w:val="0A9F4195"/>
    <w:rsid w:val="0AAB338B"/>
    <w:rsid w:val="0ACC485F"/>
    <w:rsid w:val="0AD574E7"/>
    <w:rsid w:val="0AD6392F"/>
    <w:rsid w:val="0AD83203"/>
    <w:rsid w:val="0AEF054D"/>
    <w:rsid w:val="0AF049F1"/>
    <w:rsid w:val="0AF45D7D"/>
    <w:rsid w:val="0B05734A"/>
    <w:rsid w:val="0B08583F"/>
    <w:rsid w:val="0B095AB3"/>
    <w:rsid w:val="0B0E131B"/>
    <w:rsid w:val="0B115FB9"/>
    <w:rsid w:val="0B1A381C"/>
    <w:rsid w:val="0B265A74"/>
    <w:rsid w:val="0B342114"/>
    <w:rsid w:val="0B352404"/>
    <w:rsid w:val="0B376893"/>
    <w:rsid w:val="0B381EF4"/>
    <w:rsid w:val="0B386398"/>
    <w:rsid w:val="0B3A0D5F"/>
    <w:rsid w:val="0B3A3EBE"/>
    <w:rsid w:val="0B460AB5"/>
    <w:rsid w:val="0B536D2E"/>
    <w:rsid w:val="0B5C2086"/>
    <w:rsid w:val="0B674587"/>
    <w:rsid w:val="0B6A776A"/>
    <w:rsid w:val="0B6E5916"/>
    <w:rsid w:val="0B8B64C8"/>
    <w:rsid w:val="0BB24C22"/>
    <w:rsid w:val="0BD87233"/>
    <w:rsid w:val="0BF0642E"/>
    <w:rsid w:val="0BF202F5"/>
    <w:rsid w:val="0BFE313E"/>
    <w:rsid w:val="0C02649C"/>
    <w:rsid w:val="0C0B25B3"/>
    <w:rsid w:val="0C104C1F"/>
    <w:rsid w:val="0C1E6205"/>
    <w:rsid w:val="0C236700"/>
    <w:rsid w:val="0C28640C"/>
    <w:rsid w:val="0C3C5A14"/>
    <w:rsid w:val="0C5A4DAC"/>
    <w:rsid w:val="0C5E47B4"/>
    <w:rsid w:val="0C676F35"/>
    <w:rsid w:val="0C8A677F"/>
    <w:rsid w:val="0CC04897"/>
    <w:rsid w:val="0CD12600"/>
    <w:rsid w:val="0CD520F0"/>
    <w:rsid w:val="0CD67C16"/>
    <w:rsid w:val="0CD81BE1"/>
    <w:rsid w:val="0CEB1914"/>
    <w:rsid w:val="0CF02857"/>
    <w:rsid w:val="0CFB142B"/>
    <w:rsid w:val="0D0C53E6"/>
    <w:rsid w:val="0D2210AE"/>
    <w:rsid w:val="0D436CDD"/>
    <w:rsid w:val="0D466B4A"/>
    <w:rsid w:val="0D5154EF"/>
    <w:rsid w:val="0D611BD6"/>
    <w:rsid w:val="0D865A79"/>
    <w:rsid w:val="0D95205B"/>
    <w:rsid w:val="0D957AD2"/>
    <w:rsid w:val="0D9D0734"/>
    <w:rsid w:val="0DA90E87"/>
    <w:rsid w:val="0DB74AC1"/>
    <w:rsid w:val="0DEF71E2"/>
    <w:rsid w:val="0E0D58BA"/>
    <w:rsid w:val="0E0F1632"/>
    <w:rsid w:val="0E19425F"/>
    <w:rsid w:val="0E237412"/>
    <w:rsid w:val="0E2449B2"/>
    <w:rsid w:val="0E342E47"/>
    <w:rsid w:val="0E460DCC"/>
    <w:rsid w:val="0E653000"/>
    <w:rsid w:val="0E6D45AA"/>
    <w:rsid w:val="0E72396F"/>
    <w:rsid w:val="0E796AAB"/>
    <w:rsid w:val="0E7B2A67"/>
    <w:rsid w:val="0E7C0027"/>
    <w:rsid w:val="0E7E0566"/>
    <w:rsid w:val="0E7F6315"/>
    <w:rsid w:val="0E8D07A9"/>
    <w:rsid w:val="0EB36461"/>
    <w:rsid w:val="0EB45D35"/>
    <w:rsid w:val="0EBD108E"/>
    <w:rsid w:val="0EBD75FE"/>
    <w:rsid w:val="0ECA5559"/>
    <w:rsid w:val="0ED87C76"/>
    <w:rsid w:val="0EF600FC"/>
    <w:rsid w:val="0F0A679B"/>
    <w:rsid w:val="0F1B5913"/>
    <w:rsid w:val="0F4C0664"/>
    <w:rsid w:val="0F5337A0"/>
    <w:rsid w:val="0F536035"/>
    <w:rsid w:val="0F711E78"/>
    <w:rsid w:val="0F7E3A23"/>
    <w:rsid w:val="0F917E25"/>
    <w:rsid w:val="0F96368D"/>
    <w:rsid w:val="0F9D4A1B"/>
    <w:rsid w:val="0FA062BA"/>
    <w:rsid w:val="0FA638D0"/>
    <w:rsid w:val="0FB35FED"/>
    <w:rsid w:val="0FD33C3D"/>
    <w:rsid w:val="0FE8213B"/>
    <w:rsid w:val="0FF52AA9"/>
    <w:rsid w:val="0FF860F6"/>
    <w:rsid w:val="0FF94348"/>
    <w:rsid w:val="0FFF1232"/>
    <w:rsid w:val="10047D52"/>
    <w:rsid w:val="10086339"/>
    <w:rsid w:val="10150A56"/>
    <w:rsid w:val="10240C99"/>
    <w:rsid w:val="102723E9"/>
    <w:rsid w:val="102B566C"/>
    <w:rsid w:val="104841C5"/>
    <w:rsid w:val="107439CE"/>
    <w:rsid w:val="10861954"/>
    <w:rsid w:val="1090632E"/>
    <w:rsid w:val="10A92DD3"/>
    <w:rsid w:val="10BD54A5"/>
    <w:rsid w:val="10C55FD8"/>
    <w:rsid w:val="10F845FF"/>
    <w:rsid w:val="1103023A"/>
    <w:rsid w:val="11036B00"/>
    <w:rsid w:val="11082369"/>
    <w:rsid w:val="11357D2A"/>
    <w:rsid w:val="113849FC"/>
    <w:rsid w:val="113A4C18"/>
    <w:rsid w:val="113C31C6"/>
    <w:rsid w:val="11421E5E"/>
    <w:rsid w:val="11422FE1"/>
    <w:rsid w:val="116E48C1"/>
    <w:rsid w:val="11845E93"/>
    <w:rsid w:val="11867E5D"/>
    <w:rsid w:val="11877731"/>
    <w:rsid w:val="11967974"/>
    <w:rsid w:val="11A2456B"/>
    <w:rsid w:val="11AE5258"/>
    <w:rsid w:val="11DF30C9"/>
    <w:rsid w:val="11FA6155"/>
    <w:rsid w:val="12130FC5"/>
    <w:rsid w:val="121C60CC"/>
    <w:rsid w:val="1222745A"/>
    <w:rsid w:val="12371157"/>
    <w:rsid w:val="127001C5"/>
    <w:rsid w:val="127759F8"/>
    <w:rsid w:val="127A0C92"/>
    <w:rsid w:val="127F48AC"/>
    <w:rsid w:val="128819B3"/>
    <w:rsid w:val="128F2D41"/>
    <w:rsid w:val="12942106"/>
    <w:rsid w:val="129E4D32"/>
    <w:rsid w:val="12A548F1"/>
    <w:rsid w:val="12B91B6C"/>
    <w:rsid w:val="12BA7692"/>
    <w:rsid w:val="12EF558E"/>
    <w:rsid w:val="12F9640D"/>
    <w:rsid w:val="13021765"/>
    <w:rsid w:val="13037AFF"/>
    <w:rsid w:val="132A4818"/>
    <w:rsid w:val="13456351"/>
    <w:rsid w:val="134C0C32"/>
    <w:rsid w:val="13541895"/>
    <w:rsid w:val="135D4BEE"/>
    <w:rsid w:val="137B79E1"/>
    <w:rsid w:val="13833F28"/>
    <w:rsid w:val="13D64F42"/>
    <w:rsid w:val="13E7095B"/>
    <w:rsid w:val="13E83E5F"/>
    <w:rsid w:val="14065285"/>
    <w:rsid w:val="144731A8"/>
    <w:rsid w:val="14717C9A"/>
    <w:rsid w:val="147F2942"/>
    <w:rsid w:val="14991C55"/>
    <w:rsid w:val="14AF7789"/>
    <w:rsid w:val="14D50D33"/>
    <w:rsid w:val="14DA401C"/>
    <w:rsid w:val="14EA0703"/>
    <w:rsid w:val="14EF1875"/>
    <w:rsid w:val="151E65FF"/>
    <w:rsid w:val="1537321C"/>
    <w:rsid w:val="154020D1"/>
    <w:rsid w:val="155C2B54"/>
    <w:rsid w:val="157B7F4A"/>
    <w:rsid w:val="1585042C"/>
    <w:rsid w:val="15A840F3"/>
    <w:rsid w:val="15AE1730"/>
    <w:rsid w:val="15B11221"/>
    <w:rsid w:val="15E37F2A"/>
    <w:rsid w:val="15FB249C"/>
    <w:rsid w:val="15FF3D3A"/>
    <w:rsid w:val="161A0B74"/>
    <w:rsid w:val="16383AE2"/>
    <w:rsid w:val="16565924"/>
    <w:rsid w:val="16571DC8"/>
    <w:rsid w:val="16646293"/>
    <w:rsid w:val="16685D83"/>
    <w:rsid w:val="167C182F"/>
    <w:rsid w:val="167C538B"/>
    <w:rsid w:val="167D1103"/>
    <w:rsid w:val="167D2FDD"/>
    <w:rsid w:val="1691150C"/>
    <w:rsid w:val="16AE5760"/>
    <w:rsid w:val="16AE750E"/>
    <w:rsid w:val="16AF2A39"/>
    <w:rsid w:val="16B40FC8"/>
    <w:rsid w:val="16BC1C2B"/>
    <w:rsid w:val="16BD0A63"/>
    <w:rsid w:val="16C46D32"/>
    <w:rsid w:val="16E3540A"/>
    <w:rsid w:val="16E442B3"/>
    <w:rsid w:val="1711641B"/>
    <w:rsid w:val="1719707D"/>
    <w:rsid w:val="17215F32"/>
    <w:rsid w:val="17263548"/>
    <w:rsid w:val="172872C1"/>
    <w:rsid w:val="17457E73"/>
    <w:rsid w:val="174F6F43"/>
    <w:rsid w:val="175814CF"/>
    <w:rsid w:val="176821F4"/>
    <w:rsid w:val="177E1C86"/>
    <w:rsid w:val="17944956"/>
    <w:rsid w:val="179B7A92"/>
    <w:rsid w:val="17AD77C6"/>
    <w:rsid w:val="17B62B1E"/>
    <w:rsid w:val="17CB7119"/>
    <w:rsid w:val="17DB67AF"/>
    <w:rsid w:val="18041ADC"/>
    <w:rsid w:val="18495740"/>
    <w:rsid w:val="185A794E"/>
    <w:rsid w:val="18891474"/>
    <w:rsid w:val="188E6B63"/>
    <w:rsid w:val="188F0B1E"/>
    <w:rsid w:val="18975ADC"/>
    <w:rsid w:val="18C272A1"/>
    <w:rsid w:val="18CE5B37"/>
    <w:rsid w:val="18D314AE"/>
    <w:rsid w:val="18DA283C"/>
    <w:rsid w:val="18F90F15"/>
    <w:rsid w:val="192D6E10"/>
    <w:rsid w:val="19373862"/>
    <w:rsid w:val="193D1CBA"/>
    <w:rsid w:val="19520625"/>
    <w:rsid w:val="19526877"/>
    <w:rsid w:val="196547FC"/>
    <w:rsid w:val="19856C4C"/>
    <w:rsid w:val="199665EC"/>
    <w:rsid w:val="199C7AF2"/>
    <w:rsid w:val="19CC03D7"/>
    <w:rsid w:val="19D2300F"/>
    <w:rsid w:val="19E80F89"/>
    <w:rsid w:val="19EC5173"/>
    <w:rsid w:val="19F872A0"/>
    <w:rsid w:val="1A352420"/>
    <w:rsid w:val="1A377809"/>
    <w:rsid w:val="1A452ACF"/>
    <w:rsid w:val="1A512FD2"/>
    <w:rsid w:val="1A5D54D3"/>
    <w:rsid w:val="1ADA2FC8"/>
    <w:rsid w:val="1AE259D8"/>
    <w:rsid w:val="1AE35507"/>
    <w:rsid w:val="1AEB2ADF"/>
    <w:rsid w:val="1AF04599"/>
    <w:rsid w:val="1AFC1190"/>
    <w:rsid w:val="1B2129A5"/>
    <w:rsid w:val="1B3B1964"/>
    <w:rsid w:val="1B3E3557"/>
    <w:rsid w:val="1B5E7755"/>
    <w:rsid w:val="1B636B19"/>
    <w:rsid w:val="1B6805D3"/>
    <w:rsid w:val="1B7E1468"/>
    <w:rsid w:val="1B825739"/>
    <w:rsid w:val="1B83540D"/>
    <w:rsid w:val="1BA62EAA"/>
    <w:rsid w:val="1BC17CE4"/>
    <w:rsid w:val="1BCC0B62"/>
    <w:rsid w:val="1BDD4B1E"/>
    <w:rsid w:val="1BE35EAC"/>
    <w:rsid w:val="1BE718C7"/>
    <w:rsid w:val="1BF43C15"/>
    <w:rsid w:val="1C146065"/>
    <w:rsid w:val="1C1B73F4"/>
    <w:rsid w:val="1C2F10F1"/>
    <w:rsid w:val="1C3B1844"/>
    <w:rsid w:val="1C406E5A"/>
    <w:rsid w:val="1C495921"/>
    <w:rsid w:val="1C542906"/>
    <w:rsid w:val="1C744D56"/>
    <w:rsid w:val="1C7A6810"/>
    <w:rsid w:val="1C7B7E93"/>
    <w:rsid w:val="1C7D1E5D"/>
    <w:rsid w:val="1C8036FB"/>
    <w:rsid w:val="1C9C6787"/>
    <w:rsid w:val="1C9D289F"/>
    <w:rsid w:val="1CD770EC"/>
    <w:rsid w:val="1CE43C8A"/>
    <w:rsid w:val="1D183933"/>
    <w:rsid w:val="1D210A3A"/>
    <w:rsid w:val="1D3764AF"/>
    <w:rsid w:val="1D4F5570"/>
    <w:rsid w:val="1D5E1C8E"/>
    <w:rsid w:val="1D61177E"/>
    <w:rsid w:val="1D7E7C3A"/>
    <w:rsid w:val="1D8D4321"/>
    <w:rsid w:val="1D9C27B6"/>
    <w:rsid w:val="1DA35CDF"/>
    <w:rsid w:val="1DAA4ED3"/>
    <w:rsid w:val="1DC615E1"/>
    <w:rsid w:val="1DC835AB"/>
    <w:rsid w:val="1DE202F1"/>
    <w:rsid w:val="1DFD14A7"/>
    <w:rsid w:val="1E037E3E"/>
    <w:rsid w:val="1E242D4E"/>
    <w:rsid w:val="1E2F7187"/>
    <w:rsid w:val="1E340C41"/>
    <w:rsid w:val="1E401394"/>
    <w:rsid w:val="1E403BB4"/>
    <w:rsid w:val="1E435EE1"/>
    <w:rsid w:val="1E4A2212"/>
    <w:rsid w:val="1E6908EA"/>
    <w:rsid w:val="1E6934D0"/>
    <w:rsid w:val="1E766B63"/>
    <w:rsid w:val="1E8A6AB3"/>
    <w:rsid w:val="1E8F7C25"/>
    <w:rsid w:val="1E9B2A6E"/>
    <w:rsid w:val="1EAF02C7"/>
    <w:rsid w:val="1EBA1146"/>
    <w:rsid w:val="1EC73863"/>
    <w:rsid w:val="1ED46823"/>
    <w:rsid w:val="1EDB24C3"/>
    <w:rsid w:val="1EDF295B"/>
    <w:rsid w:val="1F046865"/>
    <w:rsid w:val="1F1D16D5"/>
    <w:rsid w:val="1F204D21"/>
    <w:rsid w:val="1F2760B0"/>
    <w:rsid w:val="1F460C2C"/>
    <w:rsid w:val="1F525822"/>
    <w:rsid w:val="1F58270D"/>
    <w:rsid w:val="1F5F1CED"/>
    <w:rsid w:val="1F707A57"/>
    <w:rsid w:val="1F7237CF"/>
    <w:rsid w:val="1F770DE5"/>
    <w:rsid w:val="1F833C2E"/>
    <w:rsid w:val="1F890B18"/>
    <w:rsid w:val="1F8D0609"/>
    <w:rsid w:val="1FB82BC8"/>
    <w:rsid w:val="1FCA53B9"/>
    <w:rsid w:val="1FD47FE6"/>
    <w:rsid w:val="1FE31481"/>
    <w:rsid w:val="1FE917AE"/>
    <w:rsid w:val="1FF16DE9"/>
    <w:rsid w:val="1FF468DA"/>
    <w:rsid w:val="200F54C2"/>
    <w:rsid w:val="201B5C14"/>
    <w:rsid w:val="20254CE5"/>
    <w:rsid w:val="2039253E"/>
    <w:rsid w:val="204A02A8"/>
    <w:rsid w:val="2059498F"/>
    <w:rsid w:val="20690166"/>
    <w:rsid w:val="20803CC9"/>
    <w:rsid w:val="209239FD"/>
    <w:rsid w:val="20CC482F"/>
    <w:rsid w:val="20E97AC1"/>
    <w:rsid w:val="20EA2A65"/>
    <w:rsid w:val="20EF2BFD"/>
    <w:rsid w:val="210112AE"/>
    <w:rsid w:val="21354AB4"/>
    <w:rsid w:val="214E2A84"/>
    <w:rsid w:val="21556257"/>
    <w:rsid w:val="215F4227"/>
    <w:rsid w:val="217F6677"/>
    <w:rsid w:val="21817CF9"/>
    <w:rsid w:val="218501DD"/>
    <w:rsid w:val="21884BA0"/>
    <w:rsid w:val="219519F6"/>
    <w:rsid w:val="2197576F"/>
    <w:rsid w:val="219B1B95"/>
    <w:rsid w:val="21BA145D"/>
    <w:rsid w:val="21BF6A73"/>
    <w:rsid w:val="21C30312"/>
    <w:rsid w:val="21DE15EF"/>
    <w:rsid w:val="21ED1832"/>
    <w:rsid w:val="21ED5205"/>
    <w:rsid w:val="21F169D8"/>
    <w:rsid w:val="21F26E49"/>
    <w:rsid w:val="21F7445F"/>
    <w:rsid w:val="220151E4"/>
    <w:rsid w:val="22032E04"/>
    <w:rsid w:val="2217240B"/>
    <w:rsid w:val="22196184"/>
    <w:rsid w:val="222039B6"/>
    <w:rsid w:val="222B5EB7"/>
    <w:rsid w:val="2237485C"/>
    <w:rsid w:val="223E3E3C"/>
    <w:rsid w:val="224B716E"/>
    <w:rsid w:val="227635D6"/>
    <w:rsid w:val="22794E74"/>
    <w:rsid w:val="228D26CE"/>
    <w:rsid w:val="22BB723B"/>
    <w:rsid w:val="22C87E24"/>
    <w:rsid w:val="22C95DFC"/>
    <w:rsid w:val="22EC5F17"/>
    <w:rsid w:val="22EE06E2"/>
    <w:rsid w:val="22F015DA"/>
    <w:rsid w:val="22F8223D"/>
    <w:rsid w:val="22F84FC6"/>
    <w:rsid w:val="22FD3CF7"/>
    <w:rsid w:val="230230BC"/>
    <w:rsid w:val="230A01C2"/>
    <w:rsid w:val="23243032"/>
    <w:rsid w:val="235A0EEE"/>
    <w:rsid w:val="235C6C70"/>
    <w:rsid w:val="23614286"/>
    <w:rsid w:val="23712585"/>
    <w:rsid w:val="23C93BD9"/>
    <w:rsid w:val="242B03F0"/>
    <w:rsid w:val="243472A5"/>
    <w:rsid w:val="2440076D"/>
    <w:rsid w:val="24842A89"/>
    <w:rsid w:val="24935BBE"/>
    <w:rsid w:val="249E6E14"/>
    <w:rsid w:val="24A563F4"/>
    <w:rsid w:val="24B228BF"/>
    <w:rsid w:val="24C22B02"/>
    <w:rsid w:val="24D171E9"/>
    <w:rsid w:val="24EF141E"/>
    <w:rsid w:val="25034EC9"/>
    <w:rsid w:val="250C0222"/>
    <w:rsid w:val="25461985"/>
    <w:rsid w:val="25586D6C"/>
    <w:rsid w:val="256516E0"/>
    <w:rsid w:val="256B319A"/>
    <w:rsid w:val="25781413"/>
    <w:rsid w:val="257858B7"/>
    <w:rsid w:val="258B383C"/>
    <w:rsid w:val="259455FA"/>
    <w:rsid w:val="259F4BF2"/>
    <w:rsid w:val="25A246E2"/>
    <w:rsid w:val="25AD5EB4"/>
    <w:rsid w:val="25B662E5"/>
    <w:rsid w:val="25BF5294"/>
    <w:rsid w:val="25C2759F"/>
    <w:rsid w:val="25C63DCF"/>
    <w:rsid w:val="25C74149"/>
    <w:rsid w:val="25DE267C"/>
    <w:rsid w:val="25E46AA9"/>
    <w:rsid w:val="25E66CC5"/>
    <w:rsid w:val="25FA62CC"/>
    <w:rsid w:val="26143832"/>
    <w:rsid w:val="26207C3D"/>
    <w:rsid w:val="262275D1"/>
    <w:rsid w:val="26325A66"/>
    <w:rsid w:val="263712CE"/>
    <w:rsid w:val="26456C5F"/>
    <w:rsid w:val="264D6D44"/>
    <w:rsid w:val="26635DE5"/>
    <w:rsid w:val="26977FBF"/>
    <w:rsid w:val="26AF355A"/>
    <w:rsid w:val="26B50445"/>
    <w:rsid w:val="26B54405"/>
    <w:rsid w:val="26B835BD"/>
    <w:rsid w:val="26BC17D3"/>
    <w:rsid w:val="26DC11F6"/>
    <w:rsid w:val="26E256DE"/>
    <w:rsid w:val="26EC191F"/>
    <w:rsid w:val="26F251F5"/>
    <w:rsid w:val="270C62B7"/>
    <w:rsid w:val="274730B4"/>
    <w:rsid w:val="27473793"/>
    <w:rsid w:val="27677991"/>
    <w:rsid w:val="27802801"/>
    <w:rsid w:val="278A123C"/>
    <w:rsid w:val="27963D10"/>
    <w:rsid w:val="279F537D"/>
    <w:rsid w:val="27DF5779"/>
    <w:rsid w:val="27F53587"/>
    <w:rsid w:val="280451E0"/>
    <w:rsid w:val="280E7BD2"/>
    <w:rsid w:val="28177609"/>
    <w:rsid w:val="28186EDD"/>
    <w:rsid w:val="281C077C"/>
    <w:rsid w:val="28247630"/>
    <w:rsid w:val="282615FA"/>
    <w:rsid w:val="282910EA"/>
    <w:rsid w:val="28396E4B"/>
    <w:rsid w:val="283E4B96"/>
    <w:rsid w:val="28414686"/>
    <w:rsid w:val="28447CD2"/>
    <w:rsid w:val="284B2E0F"/>
    <w:rsid w:val="284D6B87"/>
    <w:rsid w:val="28550131"/>
    <w:rsid w:val="285A5748"/>
    <w:rsid w:val="28642123"/>
    <w:rsid w:val="28757E8C"/>
    <w:rsid w:val="287E4F92"/>
    <w:rsid w:val="28B07116"/>
    <w:rsid w:val="28B9421C"/>
    <w:rsid w:val="28CB21A2"/>
    <w:rsid w:val="28CC2935"/>
    <w:rsid w:val="28E62B38"/>
    <w:rsid w:val="28E868B0"/>
    <w:rsid w:val="28F25980"/>
    <w:rsid w:val="28F96D0F"/>
    <w:rsid w:val="290673F2"/>
    <w:rsid w:val="290B7A2E"/>
    <w:rsid w:val="2944442E"/>
    <w:rsid w:val="29493E9D"/>
    <w:rsid w:val="29606D8E"/>
    <w:rsid w:val="29622B06"/>
    <w:rsid w:val="2964062C"/>
    <w:rsid w:val="29787C34"/>
    <w:rsid w:val="298131E9"/>
    <w:rsid w:val="298760C9"/>
    <w:rsid w:val="29927747"/>
    <w:rsid w:val="29AE7AF9"/>
    <w:rsid w:val="29C54E43"/>
    <w:rsid w:val="29C9048F"/>
    <w:rsid w:val="29CB06AB"/>
    <w:rsid w:val="29DE4538"/>
    <w:rsid w:val="29F64FFC"/>
    <w:rsid w:val="29FA689B"/>
    <w:rsid w:val="2A007C29"/>
    <w:rsid w:val="2A0108B7"/>
    <w:rsid w:val="2A04596B"/>
    <w:rsid w:val="2A133E00"/>
    <w:rsid w:val="2A1536D4"/>
    <w:rsid w:val="2A1A0CEB"/>
    <w:rsid w:val="2A202079"/>
    <w:rsid w:val="2A2E4796"/>
    <w:rsid w:val="2A500BB0"/>
    <w:rsid w:val="2A506E02"/>
    <w:rsid w:val="2A5C57A7"/>
    <w:rsid w:val="2A6B3832"/>
    <w:rsid w:val="2A88659C"/>
    <w:rsid w:val="2A906CB5"/>
    <w:rsid w:val="2A954815"/>
    <w:rsid w:val="2ABE1FBE"/>
    <w:rsid w:val="2AD0584D"/>
    <w:rsid w:val="2AEE4B12"/>
    <w:rsid w:val="2AFE685E"/>
    <w:rsid w:val="2B057BED"/>
    <w:rsid w:val="2B060A50"/>
    <w:rsid w:val="2B0A5203"/>
    <w:rsid w:val="2B116592"/>
    <w:rsid w:val="2B193698"/>
    <w:rsid w:val="2B1C4F36"/>
    <w:rsid w:val="2B2160A9"/>
    <w:rsid w:val="2B400C25"/>
    <w:rsid w:val="2B4714A0"/>
    <w:rsid w:val="2B471FB3"/>
    <w:rsid w:val="2B606BD1"/>
    <w:rsid w:val="2B612949"/>
    <w:rsid w:val="2B6C5576"/>
    <w:rsid w:val="2B717030"/>
    <w:rsid w:val="2B74267D"/>
    <w:rsid w:val="2B762899"/>
    <w:rsid w:val="2B7663F5"/>
    <w:rsid w:val="2B7E52A9"/>
    <w:rsid w:val="2BA50A88"/>
    <w:rsid w:val="2BAA2542"/>
    <w:rsid w:val="2BB60EE7"/>
    <w:rsid w:val="2BCA4992"/>
    <w:rsid w:val="2BE035C8"/>
    <w:rsid w:val="2BF24188"/>
    <w:rsid w:val="2BF65788"/>
    <w:rsid w:val="2BFD08C4"/>
    <w:rsid w:val="2C235EB7"/>
    <w:rsid w:val="2C2B5431"/>
    <w:rsid w:val="2C610E53"/>
    <w:rsid w:val="2C6646BB"/>
    <w:rsid w:val="2C9C1E8B"/>
    <w:rsid w:val="2C9F3729"/>
    <w:rsid w:val="2CAF267A"/>
    <w:rsid w:val="2CBE197F"/>
    <w:rsid w:val="2CCB6C14"/>
    <w:rsid w:val="2CE51A84"/>
    <w:rsid w:val="2CE90E48"/>
    <w:rsid w:val="2CED0939"/>
    <w:rsid w:val="2CEF2903"/>
    <w:rsid w:val="2CF27CFD"/>
    <w:rsid w:val="2CF577ED"/>
    <w:rsid w:val="2CFA3055"/>
    <w:rsid w:val="2D012636"/>
    <w:rsid w:val="2D016C6B"/>
    <w:rsid w:val="2D0D2D89"/>
    <w:rsid w:val="2D2B1461"/>
    <w:rsid w:val="2D2D1B91"/>
    <w:rsid w:val="2D5B7F98"/>
    <w:rsid w:val="2D6A6CF3"/>
    <w:rsid w:val="2D746964"/>
    <w:rsid w:val="2D8D7A26"/>
    <w:rsid w:val="2DB9081B"/>
    <w:rsid w:val="2DCE2518"/>
    <w:rsid w:val="2DD218DC"/>
    <w:rsid w:val="2DDB69E3"/>
    <w:rsid w:val="2DE735DA"/>
    <w:rsid w:val="2DEF7457"/>
    <w:rsid w:val="2DFD104F"/>
    <w:rsid w:val="2E093AD9"/>
    <w:rsid w:val="2E0A0E72"/>
    <w:rsid w:val="2E112405"/>
    <w:rsid w:val="2E426A62"/>
    <w:rsid w:val="2E4637EF"/>
    <w:rsid w:val="2E4E18AB"/>
    <w:rsid w:val="2E6B420B"/>
    <w:rsid w:val="2E6C48D9"/>
    <w:rsid w:val="2E7035CF"/>
    <w:rsid w:val="2E7D3F3E"/>
    <w:rsid w:val="2E864BA1"/>
    <w:rsid w:val="2E8F4F19"/>
    <w:rsid w:val="2EA63495"/>
    <w:rsid w:val="2EB57234"/>
    <w:rsid w:val="2EC8340B"/>
    <w:rsid w:val="2ED303B5"/>
    <w:rsid w:val="2EF35FAE"/>
    <w:rsid w:val="2EF91817"/>
    <w:rsid w:val="2EFA6A37"/>
    <w:rsid w:val="2F167CA6"/>
    <w:rsid w:val="2F25260C"/>
    <w:rsid w:val="2F452CAE"/>
    <w:rsid w:val="2F4A3E20"/>
    <w:rsid w:val="2F5D70AC"/>
    <w:rsid w:val="2F6824F8"/>
    <w:rsid w:val="2F8A246F"/>
    <w:rsid w:val="2F8B61E7"/>
    <w:rsid w:val="2F904855"/>
    <w:rsid w:val="2F947791"/>
    <w:rsid w:val="2FA33530"/>
    <w:rsid w:val="2FA36C75"/>
    <w:rsid w:val="2FB83480"/>
    <w:rsid w:val="2FBE036A"/>
    <w:rsid w:val="2FFA41B9"/>
    <w:rsid w:val="301D6DE7"/>
    <w:rsid w:val="302428C3"/>
    <w:rsid w:val="30297EDA"/>
    <w:rsid w:val="303074BA"/>
    <w:rsid w:val="304E08DD"/>
    <w:rsid w:val="30601421"/>
    <w:rsid w:val="3062519A"/>
    <w:rsid w:val="306929CC"/>
    <w:rsid w:val="30696528"/>
    <w:rsid w:val="306B405E"/>
    <w:rsid w:val="30832D34"/>
    <w:rsid w:val="308C4B30"/>
    <w:rsid w:val="309612E7"/>
    <w:rsid w:val="30C714A1"/>
    <w:rsid w:val="30D53BBD"/>
    <w:rsid w:val="30EB33E1"/>
    <w:rsid w:val="30F5600E"/>
    <w:rsid w:val="30FC114A"/>
    <w:rsid w:val="31012C04"/>
    <w:rsid w:val="310E0E7D"/>
    <w:rsid w:val="31104BF6"/>
    <w:rsid w:val="314A68DF"/>
    <w:rsid w:val="317A6D88"/>
    <w:rsid w:val="317F1D7B"/>
    <w:rsid w:val="318B0720"/>
    <w:rsid w:val="319E66A5"/>
    <w:rsid w:val="31A737AC"/>
    <w:rsid w:val="31A87524"/>
    <w:rsid w:val="31B00187"/>
    <w:rsid w:val="31D200FD"/>
    <w:rsid w:val="31DB3455"/>
    <w:rsid w:val="31DE4CF4"/>
    <w:rsid w:val="31E56082"/>
    <w:rsid w:val="31E64732"/>
    <w:rsid w:val="31F84559"/>
    <w:rsid w:val="3207249C"/>
    <w:rsid w:val="320F4D4B"/>
    <w:rsid w:val="32140715"/>
    <w:rsid w:val="3223427F"/>
    <w:rsid w:val="3236068C"/>
    <w:rsid w:val="324059AE"/>
    <w:rsid w:val="326351F9"/>
    <w:rsid w:val="32766A06"/>
    <w:rsid w:val="327D078A"/>
    <w:rsid w:val="32933D30"/>
    <w:rsid w:val="32A7158A"/>
    <w:rsid w:val="32B31CDC"/>
    <w:rsid w:val="32C75788"/>
    <w:rsid w:val="32D82AB1"/>
    <w:rsid w:val="32E165BD"/>
    <w:rsid w:val="32FA3DAF"/>
    <w:rsid w:val="330469DC"/>
    <w:rsid w:val="33244988"/>
    <w:rsid w:val="33274478"/>
    <w:rsid w:val="332B3F69"/>
    <w:rsid w:val="334A3443"/>
    <w:rsid w:val="334F40FB"/>
    <w:rsid w:val="3353526D"/>
    <w:rsid w:val="33641229"/>
    <w:rsid w:val="338673F1"/>
    <w:rsid w:val="339D48A3"/>
    <w:rsid w:val="33AC3A1C"/>
    <w:rsid w:val="33C74846"/>
    <w:rsid w:val="33CF6FEA"/>
    <w:rsid w:val="33F64577"/>
    <w:rsid w:val="34056568"/>
    <w:rsid w:val="34296B28"/>
    <w:rsid w:val="343E7CCC"/>
    <w:rsid w:val="34525525"/>
    <w:rsid w:val="346040E6"/>
    <w:rsid w:val="34A0589E"/>
    <w:rsid w:val="34A67F96"/>
    <w:rsid w:val="34A9783B"/>
    <w:rsid w:val="34B0508B"/>
    <w:rsid w:val="34CE1050"/>
    <w:rsid w:val="34DF440A"/>
    <w:rsid w:val="350A581B"/>
    <w:rsid w:val="352E7D40"/>
    <w:rsid w:val="35426A60"/>
    <w:rsid w:val="35586B6B"/>
    <w:rsid w:val="355E7319"/>
    <w:rsid w:val="35690D78"/>
    <w:rsid w:val="358D36CE"/>
    <w:rsid w:val="3598340C"/>
    <w:rsid w:val="35A10512"/>
    <w:rsid w:val="35CE6E2D"/>
    <w:rsid w:val="35DB7EC8"/>
    <w:rsid w:val="35EE2046"/>
    <w:rsid w:val="35F41640"/>
    <w:rsid w:val="361A6E50"/>
    <w:rsid w:val="362A0508"/>
    <w:rsid w:val="363967AA"/>
    <w:rsid w:val="36415851"/>
    <w:rsid w:val="36460158"/>
    <w:rsid w:val="36603F29"/>
    <w:rsid w:val="36745C27"/>
    <w:rsid w:val="36851BE2"/>
    <w:rsid w:val="368A0116"/>
    <w:rsid w:val="368E4F3A"/>
    <w:rsid w:val="369116D0"/>
    <w:rsid w:val="36941E25"/>
    <w:rsid w:val="36965B9D"/>
    <w:rsid w:val="369F7E9A"/>
    <w:rsid w:val="36A4650C"/>
    <w:rsid w:val="36CC15BF"/>
    <w:rsid w:val="36EF34FF"/>
    <w:rsid w:val="370C4F32"/>
    <w:rsid w:val="370E607B"/>
    <w:rsid w:val="372907BF"/>
    <w:rsid w:val="37294C63"/>
    <w:rsid w:val="37353608"/>
    <w:rsid w:val="374D6BA3"/>
    <w:rsid w:val="37500442"/>
    <w:rsid w:val="375A6BCB"/>
    <w:rsid w:val="377A726D"/>
    <w:rsid w:val="377E4FAF"/>
    <w:rsid w:val="37971BCD"/>
    <w:rsid w:val="37A75B88"/>
    <w:rsid w:val="37BA3B0D"/>
    <w:rsid w:val="37D921E5"/>
    <w:rsid w:val="37DF5322"/>
    <w:rsid w:val="37F51788"/>
    <w:rsid w:val="37F92887"/>
    <w:rsid w:val="37FC2378"/>
    <w:rsid w:val="380C2A2C"/>
    <w:rsid w:val="384B3FA8"/>
    <w:rsid w:val="3854528C"/>
    <w:rsid w:val="38547ABE"/>
    <w:rsid w:val="38565141"/>
    <w:rsid w:val="38B41380"/>
    <w:rsid w:val="38B95B73"/>
    <w:rsid w:val="38C22C79"/>
    <w:rsid w:val="38C77A8E"/>
    <w:rsid w:val="38CF183A"/>
    <w:rsid w:val="38E30E42"/>
    <w:rsid w:val="38E57239"/>
    <w:rsid w:val="38EF5A38"/>
    <w:rsid w:val="38F31085"/>
    <w:rsid w:val="39036257"/>
    <w:rsid w:val="390F1199"/>
    <w:rsid w:val="39367F12"/>
    <w:rsid w:val="393D0552"/>
    <w:rsid w:val="394538AA"/>
    <w:rsid w:val="394D5E49"/>
    <w:rsid w:val="39553AED"/>
    <w:rsid w:val="398F2E12"/>
    <w:rsid w:val="399531A9"/>
    <w:rsid w:val="39993E51"/>
    <w:rsid w:val="39A10631"/>
    <w:rsid w:val="39AD02F7"/>
    <w:rsid w:val="39B5458C"/>
    <w:rsid w:val="39B60304"/>
    <w:rsid w:val="39DA2245"/>
    <w:rsid w:val="39DA3FF3"/>
    <w:rsid w:val="39DF3CFF"/>
    <w:rsid w:val="39E81075"/>
    <w:rsid w:val="39EB5714"/>
    <w:rsid w:val="39F71049"/>
    <w:rsid w:val="39F96B6F"/>
    <w:rsid w:val="3A013C75"/>
    <w:rsid w:val="3A0472C2"/>
    <w:rsid w:val="3A073743"/>
    <w:rsid w:val="3A12378C"/>
    <w:rsid w:val="3A2B6F44"/>
    <w:rsid w:val="3A361B71"/>
    <w:rsid w:val="3A456E52"/>
    <w:rsid w:val="3A5A5133"/>
    <w:rsid w:val="3A631110"/>
    <w:rsid w:val="3A830B2E"/>
    <w:rsid w:val="3ABA2F86"/>
    <w:rsid w:val="3AC70A1B"/>
    <w:rsid w:val="3AEA64B7"/>
    <w:rsid w:val="3AF92B9E"/>
    <w:rsid w:val="3AFA0DF0"/>
    <w:rsid w:val="3B097226"/>
    <w:rsid w:val="3B111C96"/>
    <w:rsid w:val="3B194FEF"/>
    <w:rsid w:val="3B236ECD"/>
    <w:rsid w:val="3B497682"/>
    <w:rsid w:val="3B5F6EA5"/>
    <w:rsid w:val="3B6E70E8"/>
    <w:rsid w:val="3B765F9D"/>
    <w:rsid w:val="3B7F30A4"/>
    <w:rsid w:val="3B8561E0"/>
    <w:rsid w:val="3B8B1A48"/>
    <w:rsid w:val="3BB07701"/>
    <w:rsid w:val="3BB2349B"/>
    <w:rsid w:val="3BB54D17"/>
    <w:rsid w:val="3BBF7944"/>
    <w:rsid w:val="3BC61B14"/>
    <w:rsid w:val="3BC82C9D"/>
    <w:rsid w:val="3BC9431F"/>
    <w:rsid w:val="3BE92C13"/>
    <w:rsid w:val="3BF375EE"/>
    <w:rsid w:val="3C0D4B53"/>
    <w:rsid w:val="3C0E2679"/>
    <w:rsid w:val="3C2105FF"/>
    <w:rsid w:val="3C2D2B00"/>
    <w:rsid w:val="3C372D23"/>
    <w:rsid w:val="3C447E49"/>
    <w:rsid w:val="3C494757"/>
    <w:rsid w:val="3C4B11D8"/>
    <w:rsid w:val="3C4B380F"/>
    <w:rsid w:val="3C4F6F1A"/>
    <w:rsid w:val="3C5A766D"/>
    <w:rsid w:val="3C720E5A"/>
    <w:rsid w:val="3C8B3CCA"/>
    <w:rsid w:val="3C963603"/>
    <w:rsid w:val="3CA408E8"/>
    <w:rsid w:val="3CA52FDE"/>
    <w:rsid w:val="3CB94393"/>
    <w:rsid w:val="3CC14C1F"/>
    <w:rsid w:val="3CD0758C"/>
    <w:rsid w:val="3CE358B4"/>
    <w:rsid w:val="3CE55188"/>
    <w:rsid w:val="3CF56BC9"/>
    <w:rsid w:val="3D0A4BEF"/>
    <w:rsid w:val="3D0E2E48"/>
    <w:rsid w:val="3D1D0DC6"/>
    <w:rsid w:val="3D1F37E4"/>
    <w:rsid w:val="3D211F38"/>
    <w:rsid w:val="3D235CB1"/>
    <w:rsid w:val="3D346110"/>
    <w:rsid w:val="3D37175C"/>
    <w:rsid w:val="3D491BBB"/>
    <w:rsid w:val="3D4F2F4A"/>
    <w:rsid w:val="3D762284"/>
    <w:rsid w:val="3D826E7B"/>
    <w:rsid w:val="3D864BBD"/>
    <w:rsid w:val="3DDB0CD9"/>
    <w:rsid w:val="3DDD67A7"/>
    <w:rsid w:val="3DE23DBE"/>
    <w:rsid w:val="3DE90CA8"/>
    <w:rsid w:val="3E157CEF"/>
    <w:rsid w:val="3E667746"/>
    <w:rsid w:val="3E815385"/>
    <w:rsid w:val="3E885B96"/>
    <w:rsid w:val="3E952BDE"/>
    <w:rsid w:val="3EB43064"/>
    <w:rsid w:val="3EB92D70"/>
    <w:rsid w:val="3EBC22FE"/>
    <w:rsid w:val="3ECD4126"/>
    <w:rsid w:val="3EF1250A"/>
    <w:rsid w:val="3EF773F5"/>
    <w:rsid w:val="3F163D1F"/>
    <w:rsid w:val="3F450160"/>
    <w:rsid w:val="3F473ED8"/>
    <w:rsid w:val="3F4C14EF"/>
    <w:rsid w:val="3F4D019D"/>
    <w:rsid w:val="3F5860E5"/>
    <w:rsid w:val="3F591E5E"/>
    <w:rsid w:val="3F760C61"/>
    <w:rsid w:val="3F8213B4"/>
    <w:rsid w:val="3F827606"/>
    <w:rsid w:val="3F870779"/>
    <w:rsid w:val="3F890995"/>
    <w:rsid w:val="3F8A2017"/>
    <w:rsid w:val="3F917849"/>
    <w:rsid w:val="3F9B0612"/>
    <w:rsid w:val="3F9D1D4A"/>
    <w:rsid w:val="3FA241A2"/>
    <w:rsid w:val="3FAA4467"/>
    <w:rsid w:val="3FAC01DF"/>
    <w:rsid w:val="3FD85478"/>
    <w:rsid w:val="3FE536F1"/>
    <w:rsid w:val="3FE77469"/>
    <w:rsid w:val="40215D3E"/>
    <w:rsid w:val="403A57EB"/>
    <w:rsid w:val="404843AC"/>
    <w:rsid w:val="404B3E9C"/>
    <w:rsid w:val="40592D23"/>
    <w:rsid w:val="4061546E"/>
    <w:rsid w:val="40664832"/>
    <w:rsid w:val="4079067E"/>
    <w:rsid w:val="4093139F"/>
    <w:rsid w:val="409343AF"/>
    <w:rsid w:val="409E3FCC"/>
    <w:rsid w:val="40D75730"/>
    <w:rsid w:val="40E63BC5"/>
    <w:rsid w:val="40EB4D37"/>
    <w:rsid w:val="40EC14AB"/>
    <w:rsid w:val="40FA4F7A"/>
    <w:rsid w:val="410D2F00"/>
    <w:rsid w:val="410D73A4"/>
    <w:rsid w:val="413C37E5"/>
    <w:rsid w:val="415648A7"/>
    <w:rsid w:val="415A71E1"/>
    <w:rsid w:val="41630D72"/>
    <w:rsid w:val="418807D8"/>
    <w:rsid w:val="418F600A"/>
    <w:rsid w:val="419B675D"/>
    <w:rsid w:val="41AA69A0"/>
    <w:rsid w:val="41AB73D5"/>
    <w:rsid w:val="41B15F81"/>
    <w:rsid w:val="41C31810"/>
    <w:rsid w:val="41C55588"/>
    <w:rsid w:val="41DC7318"/>
    <w:rsid w:val="41E225DE"/>
    <w:rsid w:val="41F8595E"/>
    <w:rsid w:val="42100EF9"/>
    <w:rsid w:val="4214206C"/>
    <w:rsid w:val="42454372"/>
    <w:rsid w:val="426179A2"/>
    <w:rsid w:val="427174BE"/>
    <w:rsid w:val="42786A9F"/>
    <w:rsid w:val="428B67D2"/>
    <w:rsid w:val="428E0070"/>
    <w:rsid w:val="4294310E"/>
    <w:rsid w:val="42943344"/>
    <w:rsid w:val="42975177"/>
    <w:rsid w:val="429A07C3"/>
    <w:rsid w:val="42C615B8"/>
    <w:rsid w:val="42D77C69"/>
    <w:rsid w:val="42DC0DDB"/>
    <w:rsid w:val="42DE0FF8"/>
    <w:rsid w:val="42E56A55"/>
    <w:rsid w:val="42FC322C"/>
    <w:rsid w:val="43193DDE"/>
    <w:rsid w:val="431C38CE"/>
    <w:rsid w:val="43372938"/>
    <w:rsid w:val="43484F88"/>
    <w:rsid w:val="434A1275"/>
    <w:rsid w:val="435C1F1C"/>
    <w:rsid w:val="4387343D"/>
    <w:rsid w:val="43972F54"/>
    <w:rsid w:val="439E42E3"/>
    <w:rsid w:val="43A124B3"/>
    <w:rsid w:val="43B65AD0"/>
    <w:rsid w:val="43BB4E95"/>
    <w:rsid w:val="43C55D14"/>
    <w:rsid w:val="43D85A47"/>
    <w:rsid w:val="43E837B0"/>
    <w:rsid w:val="43E97C54"/>
    <w:rsid w:val="43F11473"/>
    <w:rsid w:val="43F839F3"/>
    <w:rsid w:val="44022AC4"/>
    <w:rsid w:val="44024872"/>
    <w:rsid w:val="44044A8E"/>
    <w:rsid w:val="44184095"/>
    <w:rsid w:val="44236B1E"/>
    <w:rsid w:val="444158E6"/>
    <w:rsid w:val="44564BBE"/>
    <w:rsid w:val="44641089"/>
    <w:rsid w:val="446948F1"/>
    <w:rsid w:val="446F3961"/>
    <w:rsid w:val="44B95F17"/>
    <w:rsid w:val="44C11AA6"/>
    <w:rsid w:val="44C75831"/>
    <w:rsid w:val="44CD7477"/>
    <w:rsid w:val="44D04970"/>
    <w:rsid w:val="44D426B2"/>
    <w:rsid w:val="44DF4BB3"/>
    <w:rsid w:val="44E346A3"/>
    <w:rsid w:val="44F3240C"/>
    <w:rsid w:val="450048CC"/>
    <w:rsid w:val="45132B53"/>
    <w:rsid w:val="451A208F"/>
    <w:rsid w:val="452457E1"/>
    <w:rsid w:val="45350C77"/>
    <w:rsid w:val="453A628D"/>
    <w:rsid w:val="45415D40"/>
    <w:rsid w:val="45435142"/>
    <w:rsid w:val="45451DF1"/>
    <w:rsid w:val="454A4722"/>
    <w:rsid w:val="454B2248"/>
    <w:rsid w:val="45513D03"/>
    <w:rsid w:val="4554734F"/>
    <w:rsid w:val="45570447"/>
    <w:rsid w:val="45723C79"/>
    <w:rsid w:val="45967968"/>
    <w:rsid w:val="459B31D0"/>
    <w:rsid w:val="45B46417"/>
    <w:rsid w:val="45B86522"/>
    <w:rsid w:val="45DB537A"/>
    <w:rsid w:val="45DE4E6B"/>
    <w:rsid w:val="45EF52FA"/>
    <w:rsid w:val="45F43872"/>
    <w:rsid w:val="46113492"/>
    <w:rsid w:val="461B3AA5"/>
    <w:rsid w:val="462C5BD6"/>
    <w:rsid w:val="462E5DF2"/>
    <w:rsid w:val="464C0026"/>
    <w:rsid w:val="46655038"/>
    <w:rsid w:val="466C06C8"/>
    <w:rsid w:val="46843C64"/>
    <w:rsid w:val="46850285"/>
    <w:rsid w:val="46955E71"/>
    <w:rsid w:val="469F45FA"/>
    <w:rsid w:val="46A240EA"/>
    <w:rsid w:val="46A460B4"/>
    <w:rsid w:val="46AF05B5"/>
    <w:rsid w:val="46C94CDE"/>
    <w:rsid w:val="46D30747"/>
    <w:rsid w:val="46E14C12"/>
    <w:rsid w:val="4706474A"/>
    <w:rsid w:val="470703F1"/>
    <w:rsid w:val="470D3C59"/>
    <w:rsid w:val="471B28B4"/>
    <w:rsid w:val="473B0E1B"/>
    <w:rsid w:val="473F27FF"/>
    <w:rsid w:val="475E1C43"/>
    <w:rsid w:val="476017C6"/>
    <w:rsid w:val="47745A86"/>
    <w:rsid w:val="47811F51"/>
    <w:rsid w:val="47841A42"/>
    <w:rsid w:val="47863A0C"/>
    <w:rsid w:val="478E2D76"/>
    <w:rsid w:val="47916CB1"/>
    <w:rsid w:val="47A65E5C"/>
    <w:rsid w:val="47CA1B4A"/>
    <w:rsid w:val="47E67FE2"/>
    <w:rsid w:val="47F0014A"/>
    <w:rsid w:val="47F60B91"/>
    <w:rsid w:val="481903DC"/>
    <w:rsid w:val="486F26F2"/>
    <w:rsid w:val="48740AF8"/>
    <w:rsid w:val="487B247F"/>
    <w:rsid w:val="488E0DCA"/>
    <w:rsid w:val="48934632"/>
    <w:rsid w:val="489B1052"/>
    <w:rsid w:val="48B56357"/>
    <w:rsid w:val="48B955C2"/>
    <w:rsid w:val="48B9571B"/>
    <w:rsid w:val="48BA396D"/>
    <w:rsid w:val="48BB76E5"/>
    <w:rsid w:val="48C657AA"/>
    <w:rsid w:val="48F30C2D"/>
    <w:rsid w:val="490177EE"/>
    <w:rsid w:val="490D6193"/>
    <w:rsid w:val="491F7C74"/>
    <w:rsid w:val="492B090F"/>
    <w:rsid w:val="492D6240"/>
    <w:rsid w:val="49382AE4"/>
    <w:rsid w:val="49417BEA"/>
    <w:rsid w:val="494852C1"/>
    <w:rsid w:val="494E0559"/>
    <w:rsid w:val="49571734"/>
    <w:rsid w:val="4968786D"/>
    <w:rsid w:val="496A7A12"/>
    <w:rsid w:val="496F0BFB"/>
    <w:rsid w:val="49843F7B"/>
    <w:rsid w:val="498E0956"/>
    <w:rsid w:val="49911DC2"/>
    <w:rsid w:val="499659CF"/>
    <w:rsid w:val="499A718B"/>
    <w:rsid w:val="49B52386"/>
    <w:rsid w:val="49C202E7"/>
    <w:rsid w:val="49EC3FFA"/>
    <w:rsid w:val="49F72751"/>
    <w:rsid w:val="4A1E3C56"/>
    <w:rsid w:val="4A1E617D"/>
    <w:rsid w:val="4A2D016F"/>
    <w:rsid w:val="4A355A54"/>
    <w:rsid w:val="4A4200BE"/>
    <w:rsid w:val="4A421E6C"/>
    <w:rsid w:val="4A506A7B"/>
    <w:rsid w:val="4A704B0B"/>
    <w:rsid w:val="4A730023"/>
    <w:rsid w:val="4A744C91"/>
    <w:rsid w:val="4A876DA6"/>
    <w:rsid w:val="4A8833F8"/>
    <w:rsid w:val="4A8A619F"/>
    <w:rsid w:val="4AA2290B"/>
    <w:rsid w:val="4AC05487"/>
    <w:rsid w:val="4AD46AF0"/>
    <w:rsid w:val="4ADF61DE"/>
    <w:rsid w:val="4ADF76BB"/>
    <w:rsid w:val="4B0071C8"/>
    <w:rsid w:val="4B125FF6"/>
    <w:rsid w:val="4B1B110F"/>
    <w:rsid w:val="4B3F45FD"/>
    <w:rsid w:val="4B4614E8"/>
    <w:rsid w:val="4B6C4CC7"/>
    <w:rsid w:val="4B7D0C82"/>
    <w:rsid w:val="4B8244EA"/>
    <w:rsid w:val="4B8B339F"/>
    <w:rsid w:val="4B8F7333"/>
    <w:rsid w:val="4B92472D"/>
    <w:rsid w:val="4BA17066"/>
    <w:rsid w:val="4BDA7172"/>
    <w:rsid w:val="4C0575F5"/>
    <w:rsid w:val="4C2B503E"/>
    <w:rsid w:val="4C312198"/>
    <w:rsid w:val="4C3253A4"/>
    <w:rsid w:val="4C3677AE"/>
    <w:rsid w:val="4C40062D"/>
    <w:rsid w:val="4C481290"/>
    <w:rsid w:val="4C651E42"/>
    <w:rsid w:val="4C735D9E"/>
    <w:rsid w:val="4C765DFD"/>
    <w:rsid w:val="4C787DC7"/>
    <w:rsid w:val="4C8229F4"/>
    <w:rsid w:val="4C8C3872"/>
    <w:rsid w:val="4C987D10"/>
    <w:rsid w:val="4CA94424"/>
    <w:rsid w:val="4CAA3CF8"/>
    <w:rsid w:val="4CC052CA"/>
    <w:rsid w:val="4CD62D3F"/>
    <w:rsid w:val="4CE0771A"/>
    <w:rsid w:val="4D057181"/>
    <w:rsid w:val="4D331F40"/>
    <w:rsid w:val="4D3B0DF4"/>
    <w:rsid w:val="4D534390"/>
    <w:rsid w:val="4D64659D"/>
    <w:rsid w:val="4D7F6F33"/>
    <w:rsid w:val="4D9549A9"/>
    <w:rsid w:val="4D9D16E6"/>
    <w:rsid w:val="4DA76875"/>
    <w:rsid w:val="4DB017E2"/>
    <w:rsid w:val="4DB82445"/>
    <w:rsid w:val="4DC25072"/>
    <w:rsid w:val="4DC96400"/>
    <w:rsid w:val="4DD76D6F"/>
    <w:rsid w:val="4DDC4D2C"/>
    <w:rsid w:val="4DEB281B"/>
    <w:rsid w:val="4E0D453F"/>
    <w:rsid w:val="4E10402F"/>
    <w:rsid w:val="4E121B55"/>
    <w:rsid w:val="4E1E176D"/>
    <w:rsid w:val="4E2B2C17"/>
    <w:rsid w:val="4E2D698F"/>
    <w:rsid w:val="4E373005"/>
    <w:rsid w:val="4E505C68"/>
    <w:rsid w:val="4E573A0C"/>
    <w:rsid w:val="4E5C1022"/>
    <w:rsid w:val="4E613302"/>
    <w:rsid w:val="4E760336"/>
    <w:rsid w:val="4EAC01FC"/>
    <w:rsid w:val="4EB250E6"/>
    <w:rsid w:val="4EB33338"/>
    <w:rsid w:val="4EB946C7"/>
    <w:rsid w:val="4EBE1CDD"/>
    <w:rsid w:val="4EC05A55"/>
    <w:rsid w:val="4EC1342D"/>
    <w:rsid w:val="4ECA0682"/>
    <w:rsid w:val="4ECD0674"/>
    <w:rsid w:val="4ED60DD5"/>
    <w:rsid w:val="4EE74D90"/>
    <w:rsid w:val="4EEF633A"/>
    <w:rsid w:val="4F134939"/>
    <w:rsid w:val="4F1D6A04"/>
    <w:rsid w:val="4F2935FA"/>
    <w:rsid w:val="4F2A7373"/>
    <w:rsid w:val="4F437111"/>
    <w:rsid w:val="4F495A4B"/>
    <w:rsid w:val="4F587A3C"/>
    <w:rsid w:val="4F7A3E56"/>
    <w:rsid w:val="4F8C3B89"/>
    <w:rsid w:val="4F9547EC"/>
    <w:rsid w:val="4FCC21D8"/>
    <w:rsid w:val="4FE6773D"/>
    <w:rsid w:val="4FEB6B02"/>
    <w:rsid w:val="4FEE65F2"/>
    <w:rsid w:val="4FF27E90"/>
    <w:rsid w:val="50106568"/>
    <w:rsid w:val="501222E0"/>
    <w:rsid w:val="501F0559"/>
    <w:rsid w:val="5023629C"/>
    <w:rsid w:val="503A5393"/>
    <w:rsid w:val="5043249A"/>
    <w:rsid w:val="504D50C7"/>
    <w:rsid w:val="505521CD"/>
    <w:rsid w:val="5060304C"/>
    <w:rsid w:val="506A211C"/>
    <w:rsid w:val="507C3BFE"/>
    <w:rsid w:val="50827466"/>
    <w:rsid w:val="50AC49D2"/>
    <w:rsid w:val="50CC248F"/>
    <w:rsid w:val="50D21A70"/>
    <w:rsid w:val="50D457E8"/>
    <w:rsid w:val="50F6750C"/>
    <w:rsid w:val="50FB4B23"/>
    <w:rsid w:val="51160A34"/>
    <w:rsid w:val="51163F32"/>
    <w:rsid w:val="51183927"/>
    <w:rsid w:val="51226553"/>
    <w:rsid w:val="51453FF0"/>
    <w:rsid w:val="516C77CE"/>
    <w:rsid w:val="5170282E"/>
    <w:rsid w:val="519A433C"/>
    <w:rsid w:val="519B0C10"/>
    <w:rsid w:val="51AE366B"/>
    <w:rsid w:val="51D71830"/>
    <w:rsid w:val="51DF0427"/>
    <w:rsid w:val="51E23F34"/>
    <w:rsid w:val="51F83758"/>
    <w:rsid w:val="520B3E30"/>
    <w:rsid w:val="520E5B76"/>
    <w:rsid w:val="5246001F"/>
    <w:rsid w:val="528C10A0"/>
    <w:rsid w:val="52972F71"/>
    <w:rsid w:val="52B0193D"/>
    <w:rsid w:val="52BC29D7"/>
    <w:rsid w:val="52C8312A"/>
    <w:rsid w:val="52DD4E28"/>
    <w:rsid w:val="52FB52AE"/>
    <w:rsid w:val="52FB705C"/>
    <w:rsid w:val="52FC4B82"/>
    <w:rsid w:val="532E2213"/>
    <w:rsid w:val="533026AA"/>
    <w:rsid w:val="533E2F7F"/>
    <w:rsid w:val="534D3630"/>
    <w:rsid w:val="535C60FE"/>
    <w:rsid w:val="53807561"/>
    <w:rsid w:val="538708F0"/>
    <w:rsid w:val="538E7D0E"/>
    <w:rsid w:val="53A56FC8"/>
    <w:rsid w:val="53B4545D"/>
    <w:rsid w:val="53B8319F"/>
    <w:rsid w:val="53C03E02"/>
    <w:rsid w:val="53C658BC"/>
    <w:rsid w:val="53DF24DA"/>
    <w:rsid w:val="53F65A75"/>
    <w:rsid w:val="53FB308C"/>
    <w:rsid w:val="5402441A"/>
    <w:rsid w:val="542F214A"/>
    <w:rsid w:val="54302D35"/>
    <w:rsid w:val="54316AAD"/>
    <w:rsid w:val="543A3BB4"/>
    <w:rsid w:val="54640C31"/>
    <w:rsid w:val="547F3CBD"/>
    <w:rsid w:val="54994D7E"/>
    <w:rsid w:val="549E786E"/>
    <w:rsid w:val="54AB6860"/>
    <w:rsid w:val="54BB2F47"/>
    <w:rsid w:val="54BE216E"/>
    <w:rsid w:val="54BF40B9"/>
    <w:rsid w:val="54D15BFA"/>
    <w:rsid w:val="550F3292"/>
    <w:rsid w:val="5512615B"/>
    <w:rsid w:val="551B6940"/>
    <w:rsid w:val="552A3C28"/>
    <w:rsid w:val="552C7898"/>
    <w:rsid w:val="55563AD1"/>
    <w:rsid w:val="555F460E"/>
    <w:rsid w:val="556B5B8F"/>
    <w:rsid w:val="558722C8"/>
    <w:rsid w:val="558F536E"/>
    <w:rsid w:val="55950837"/>
    <w:rsid w:val="55C027DF"/>
    <w:rsid w:val="55C2628A"/>
    <w:rsid w:val="55CE2806"/>
    <w:rsid w:val="55D50038"/>
    <w:rsid w:val="55D63DB0"/>
    <w:rsid w:val="55DB3175"/>
    <w:rsid w:val="55E55DA1"/>
    <w:rsid w:val="55EE4C56"/>
    <w:rsid w:val="55F61D5C"/>
    <w:rsid w:val="56002BDB"/>
    <w:rsid w:val="560426CB"/>
    <w:rsid w:val="56222B52"/>
    <w:rsid w:val="562A1B91"/>
    <w:rsid w:val="562B5B9A"/>
    <w:rsid w:val="56331D5B"/>
    <w:rsid w:val="56356D29"/>
    <w:rsid w:val="5637484F"/>
    <w:rsid w:val="5640122A"/>
    <w:rsid w:val="56570A4D"/>
    <w:rsid w:val="5661367A"/>
    <w:rsid w:val="56902358"/>
    <w:rsid w:val="56904BDD"/>
    <w:rsid w:val="56AB6FEB"/>
    <w:rsid w:val="56AB7BA5"/>
    <w:rsid w:val="56AF3861"/>
    <w:rsid w:val="56B85264"/>
    <w:rsid w:val="56C46C9A"/>
    <w:rsid w:val="56CA56C3"/>
    <w:rsid w:val="56CF0F2B"/>
    <w:rsid w:val="56DC53F6"/>
    <w:rsid w:val="56F40992"/>
    <w:rsid w:val="5714693E"/>
    <w:rsid w:val="575C2093"/>
    <w:rsid w:val="57664784"/>
    <w:rsid w:val="5781726E"/>
    <w:rsid w:val="578D049F"/>
    <w:rsid w:val="57B91294"/>
    <w:rsid w:val="57BE4AFC"/>
    <w:rsid w:val="57C06AC6"/>
    <w:rsid w:val="57CE11E3"/>
    <w:rsid w:val="57CF2865"/>
    <w:rsid w:val="57E07028"/>
    <w:rsid w:val="57EC78BB"/>
    <w:rsid w:val="57F549C2"/>
    <w:rsid w:val="58010F61"/>
    <w:rsid w:val="58033583"/>
    <w:rsid w:val="581A7F84"/>
    <w:rsid w:val="58403763"/>
    <w:rsid w:val="58434227"/>
    <w:rsid w:val="584C2108"/>
    <w:rsid w:val="58550FBC"/>
    <w:rsid w:val="585D2567"/>
    <w:rsid w:val="586C6306"/>
    <w:rsid w:val="58737694"/>
    <w:rsid w:val="587F072F"/>
    <w:rsid w:val="58BA1767"/>
    <w:rsid w:val="58DC49CD"/>
    <w:rsid w:val="58DD31FA"/>
    <w:rsid w:val="59030A18"/>
    <w:rsid w:val="591A469F"/>
    <w:rsid w:val="59215342"/>
    <w:rsid w:val="59264A99"/>
    <w:rsid w:val="592941F7"/>
    <w:rsid w:val="592A3C50"/>
    <w:rsid w:val="593B46DD"/>
    <w:rsid w:val="594026BD"/>
    <w:rsid w:val="594159E5"/>
    <w:rsid w:val="59460076"/>
    <w:rsid w:val="595042A3"/>
    <w:rsid w:val="59515D8A"/>
    <w:rsid w:val="595C637A"/>
    <w:rsid w:val="5960477C"/>
    <w:rsid w:val="59682F71"/>
    <w:rsid w:val="596B66F6"/>
    <w:rsid w:val="596D2336"/>
    <w:rsid w:val="596F6178"/>
    <w:rsid w:val="59A5674B"/>
    <w:rsid w:val="59BD150F"/>
    <w:rsid w:val="59C53F20"/>
    <w:rsid w:val="59E83E97"/>
    <w:rsid w:val="59ED3476"/>
    <w:rsid w:val="5A151F73"/>
    <w:rsid w:val="5A492DA3"/>
    <w:rsid w:val="5A53777D"/>
    <w:rsid w:val="5A582FE6"/>
    <w:rsid w:val="5A601E9A"/>
    <w:rsid w:val="5AA77AC9"/>
    <w:rsid w:val="5AA91A93"/>
    <w:rsid w:val="5ABD109B"/>
    <w:rsid w:val="5ABE4B07"/>
    <w:rsid w:val="5AC266B1"/>
    <w:rsid w:val="5ACB37B8"/>
    <w:rsid w:val="5ACB7C5C"/>
    <w:rsid w:val="5AD77DB4"/>
    <w:rsid w:val="5AE44879"/>
    <w:rsid w:val="5AFA409D"/>
    <w:rsid w:val="5AFA5E4B"/>
    <w:rsid w:val="5B1769FD"/>
    <w:rsid w:val="5B2D6220"/>
    <w:rsid w:val="5B321A89"/>
    <w:rsid w:val="5B386973"/>
    <w:rsid w:val="5B4A6DD2"/>
    <w:rsid w:val="5B4E6197"/>
    <w:rsid w:val="5B657EA9"/>
    <w:rsid w:val="5B751975"/>
    <w:rsid w:val="5B775FD3"/>
    <w:rsid w:val="5B8147BE"/>
    <w:rsid w:val="5B920779"/>
    <w:rsid w:val="5B9401EF"/>
    <w:rsid w:val="5BA555B3"/>
    <w:rsid w:val="5BB47AC3"/>
    <w:rsid w:val="5BB74B2C"/>
    <w:rsid w:val="5BD41E6E"/>
    <w:rsid w:val="5BEA2363"/>
    <w:rsid w:val="5BEA5EBF"/>
    <w:rsid w:val="5BEF1728"/>
    <w:rsid w:val="5BF64864"/>
    <w:rsid w:val="5BFD3E45"/>
    <w:rsid w:val="5C2869E8"/>
    <w:rsid w:val="5C2C64D8"/>
    <w:rsid w:val="5C381321"/>
    <w:rsid w:val="5C3A6E47"/>
    <w:rsid w:val="5C3B1922"/>
    <w:rsid w:val="5C5069F0"/>
    <w:rsid w:val="5C537F09"/>
    <w:rsid w:val="5C5477DD"/>
    <w:rsid w:val="5C5E2B95"/>
    <w:rsid w:val="5C7A1E91"/>
    <w:rsid w:val="5C8C6F77"/>
    <w:rsid w:val="5CA40764"/>
    <w:rsid w:val="5CAB5170"/>
    <w:rsid w:val="5CBD5382"/>
    <w:rsid w:val="5CCA5724"/>
    <w:rsid w:val="5CE62B2B"/>
    <w:rsid w:val="5CE70651"/>
    <w:rsid w:val="5CEE5E83"/>
    <w:rsid w:val="5D290C69"/>
    <w:rsid w:val="5D292A17"/>
    <w:rsid w:val="5D6972B8"/>
    <w:rsid w:val="5D706822"/>
    <w:rsid w:val="5D7F6ADB"/>
    <w:rsid w:val="5D8B3C74"/>
    <w:rsid w:val="5DAD53F7"/>
    <w:rsid w:val="5DB42C29"/>
    <w:rsid w:val="5DB669A1"/>
    <w:rsid w:val="5DBD1FCA"/>
    <w:rsid w:val="5DC0337C"/>
    <w:rsid w:val="5E084D23"/>
    <w:rsid w:val="5E092890"/>
    <w:rsid w:val="5E192A8C"/>
    <w:rsid w:val="5E1C432A"/>
    <w:rsid w:val="5E257683"/>
    <w:rsid w:val="5E282CCF"/>
    <w:rsid w:val="5E3A2E3F"/>
    <w:rsid w:val="5E510478"/>
    <w:rsid w:val="5E524438"/>
    <w:rsid w:val="5E714676"/>
    <w:rsid w:val="5E8425FB"/>
    <w:rsid w:val="5E8C6F99"/>
    <w:rsid w:val="5EAA0273"/>
    <w:rsid w:val="5ECF75EF"/>
    <w:rsid w:val="5ED54C05"/>
    <w:rsid w:val="5EF2352E"/>
    <w:rsid w:val="5EF57055"/>
    <w:rsid w:val="5EF763C6"/>
    <w:rsid w:val="5EFD0600"/>
    <w:rsid w:val="5F08322C"/>
    <w:rsid w:val="5F4E6765"/>
    <w:rsid w:val="5F5D7160"/>
    <w:rsid w:val="5F714A4F"/>
    <w:rsid w:val="5F7408C2"/>
    <w:rsid w:val="5F887EC9"/>
    <w:rsid w:val="5F893C41"/>
    <w:rsid w:val="5F8B79B9"/>
    <w:rsid w:val="5F97010C"/>
    <w:rsid w:val="5FB23198"/>
    <w:rsid w:val="5FB46F10"/>
    <w:rsid w:val="5FB90FB7"/>
    <w:rsid w:val="5FC30058"/>
    <w:rsid w:val="5FDE21DF"/>
    <w:rsid w:val="5FE86BBA"/>
    <w:rsid w:val="5FF27A39"/>
    <w:rsid w:val="5FFB0081"/>
    <w:rsid w:val="5FFE1F39"/>
    <w:rsid w:val="60060FEE"/>
    <w:rsid w:val="600A2554"/>
    <w:rsid w:val="60462E90"/>
    <w:rsid w:val="60571E01"/>
    <w:rsid w:val="606F72DB"/>
    <w:rsid w:val="60786190"/>
    <w:rsid w:val="608368E3"/>
    <w:rsid w:val="60A07495"/>
    <w:rsid w:val="60A30D33"/>
    <w:rsid w:val="60A96349"/>
    <w:rsid w:val="60AE00AB"/>
    <w:rsid w:val="60B31391"/>
    <w:rsid w:val="60C2740B"/>
    <w:rsid w:val="60C82547"/>
    <w:rsid w:val="60D60EA4"/>
    <w:rsid w:val="60EB4BB4"/>
    <w:rsid w:val="60F34B93"/>
    <w:rsid w:val="612945BF"/>
    <w:rsid w:val="61530A39"/>
    <w:rsid w:val="6183303E"/>
    <w:rsid w:val="61923281"/>
    <w:rsid w:val="619F1863"/>
    <w:rsid w:val="61AC3CD1"/>
    <w:rsid w:val="61CB22EF"/>
    <w:rsid w:val="61D00691"/>
    <w:rsid w:val="61DF3FED"/>
    <w:rsid w:val="61F47A98"/>
    <w:rsid w:val="61FE695C"/>
    <w:rsid w:val="621912AD"/>
    <w:rsid w:val="62326812"/>
    <w:rsid w:val="62571DD5"/>
    <w:rsid w:val="625B7377"/>
    <w:rsid w:val="626562A0"/>
    <w:rsid w:val="6278019C"/>
    <w:rsid w:val="6283706E"/>
    <w:rsid w:val="628C1A7E"/>
    <w:rsid w:val="629B7F14"/>
    <w:rsid w:val="62A96AD4"/>
    <w:rsid w:val="62AE40EB"/>
    <w:rsid w:val="62B2525D"/>
    <w:rsid w:val="62C0797A"/>
    <w:rsid w:val="62E95123"/>
    <w:rsid w:val="62FB09B2"/>
    <w:rsid w:val="62FE04A2"/>
    <w:rsid w:val="63001694"/>
    <w:rsid w:val="63185A08"/>
    <w:rsid w:val="631D29EB"/>
    <w:rsid w:val="633C6169"/>
    <w:rsid w:val="637A3FCD"/>
    <w:rsid w:val="63822EAD"/>
    <w:rsid w:val="638C7755"/>
    <w:rsid w:val="63915F90"/>
    <w:rsid w:val="639B1A12"/>
    <w:rsid w:val="63B70D7D"/>
    <w:rsid w:val="63BC45E5"/>
    <w:rsid w:val="63D23E09"/>
    <w:rsid w:val="63F773CC"/>
    <w:rsid w:val="64055F8C"/>
    <w:rsid w:val="64300F47"/>
    <w:rsid w:val="64483336"/>
    <w:rsid w:val="644F0FB6"/>
    <w:rsid w:val="64562D15"/>
    <w:rsid w:val="646C600B"/>
    <w:rsid w:val="646F3406"/>
    <w:rsid w:val="647C2CAA"/>
    <w:rsid w:val="64942E6C"/>
    <w:rsid w:val="64AE53F9"/>
    <w:rsid w:val="64D63485"/>
    <w:rsid w:val="64E35BA2"/>
    <w:rsid w:val="64EC2CA8"/>
    <w:rsid w:val="65085608"/>
    <w:rsid w:val="65091AAC"/>
    <w:rsid w:val="650F7082"/>
    <w:rsid w:val="65110961"/>
    <w:rsid w:val="6518767F"/>
    <w:rsid w:val="65362175"/>
    <w:rsid w:val="65385EEE"/>
    <w:rsid w:val="656767D3"/>
    <w:rsid w:val="65712B94"/>
    <w:rsid w:val="657A02B4"/>
    <w:rsid w:val="65801643"/>
    <w:rsid w:val="65956E9C"/>
    <w:rsid w:val="659858FD"/>
    <w:rsid w:val="6598698C"/>
    <w:rsid w:val="65A13CC9"/>
    <w:rsid w:val="65AA25C1"/>
    <w:rsid w:val="65E120E1"/>
    <w:rsid w:val="65F91B21"/>
    <w:rsid w:val="660364FC"/>
    <w:rsid w:val="660D737A"/>
    <w:rsid w:val="661C580F"/>
    <w:rsid w:val="661E2CB4"/>
    <w:rsid w:val="661E3335"/>
    <w:rsid w:val="662621EA"/>
    <w:rsid w:val="662C6800"/>
    <w:rsid w:val="6632293D"/>
    <w:rsid w:val="664E603D"/>
    <w:rsid w:val="666F1DE3"/>
    <w:rsid w:val="667B2536"/>
    <w:rsid w:val="667D1E28"/>
    <w:rsid w:val="66A870A3"/>
    <w:rsid w:val="66AD46B9"/>
    <w:rsid w:val="66B141AA"/>
    <w:rsid w:val="66CD4D5B"/>
    <w:rsid w:val="66D32372"/>
    <w:rsid w:val="66DD6797"/>
    <w:rsid w:val="66ED4AB6"/>
    <w:rsid w:val="66F66060"/>
    <w:rsid w:val="66F67E0E"/>
    <w:rsid w:val="670818F0"/>
    <w:rsid w:val="671D183F"/>
    <w:rsid w:val="671F55B7"/>
    <w:rsid w:val="67293782"/>
    <w:rsid w:val="675114E9"/>
    <w:rsid w:val="675863D3"/>
    <w:rsid w:val="6759039D"/>
    <w:rsid w:val="675D3F22"/>
    <w:rsid w:val="67823035"/>
    <w:rsid w:val="679703E1"/>
    <w:rsid w:val="67984F00"/>
    <w:rsid w:val="67A965FC"/>
    <w:rsid w:val="68336E40"/>
    <w:rsid w:val="683926A8"/>
    <w:rsid w:val="68537CAF"/>
    <w:rsid w:val="685E210F"/>
    <w:rsid w:val="685F3791"/>
    <w:rsid w:val="68651F7B"/>
    <w:rsid w:val="68725BBA"/>
    <w:rsid w:val="68776D2D"/>
    <w:rsid w:val="687A4A6F"/>
    <w:rsid w:val="68B079A5"/>
    <w:rsid w:val="68BB30BE"/>
    <w:rsid w:val="68D45F2D"/>
    <w:rsid w:val="68DF62EE"/>
    <w:rsid w:val="68EA5751"/>
    <w:rsid w:val="68F570FB"/>
    <w:rsid w:val="6938137D"/>
    <w:rsid w:val="69456E2B"/>
    <w:rsid w:val="69531548"/>
    <w:rsid w:val="696F3EA8"/>
    <w:rsid w:val="69731BEA"/>
    <w:rsid w:val="69790883"/>
    <w:rsid w:val="697A2F79"/>
    <w:rsid w:val="698B7CF9"/>
    <w:rsid w:val="698C6808"/>
    <w:rsid w:val="699266B6"/>
    <w:rsid w:val="69A47FF6"/>
    <w:rsid w:val="6A102F95"/>
    <w:rsid w:val="6A242EE4"/>
    <w:rsid w:val="6A2922A9"/>
    <w:rsid w:val="6A4415E9"/>
    <w:rsid w:val="6A5D1F52"/>
    <w:rsid w:val="6A6D1720"/>
    <w:rsid w:val="6A7C062B"/>
    <w:rsid w:val="6A8D0A8A"/>
    <w:rsid w:val="6A9736B6"/>
    <w:rsid w:val="6AAB0F10"/>
    <w:rsid w:val="6ACC55B0"/>
    <w:rsid w:val="6ACD70D8"/>
    <w:rsid w:val="6AE12B83"/>
    <w:rsid w:val="6AEA7C8A"/>
    <w:rsid w:val="6AF12F2B"/>
    <w:rsid w:val="6B054AC4"/>
    <w:rsid w:val="6B1E7934"/>
    <w:rsid w:val="6B225676"/>
    <w:rsid w:val="6B3804DD"/>
    <w:rsid w:val="6B422808"/>
    <w:rsid w:val="6B476E8A"/>
    <w:rsid w:val="6B4B5217"/>
    <w:rsid w:val="6B680BAF"/>
    <w:rsid w:val="6B6A0DCB"/>
    <w:rsid w:val="6B6F1F3D"/>
    <w:rsid w:val="6B8A1717"/>
    <w:rsid w:val="6B8C6F93"/>
    <w:rsid w:val="6B99345E"/>
    <w:rsid w:val="6BAD273F"/>
    <w:rsid w:val="6BBB1626"/>
    <w:rsid w:val="6BC56001"/>
    <w:rsid w:val="6BCA186A"/>
    <w:rsid w:val="6BCC7390"/>
    <w:rsid w:val="6BCE3108"/>
    <w:rsid w:val="6BD36970"/>
    <w:rsid w:val="6BD526E8"/>
    <w:rsid w:val="6C0B435C"/>
    <w:rsid w:val="6C17069E"/>
    <w:rsid w:val="6C2225DD"/>
    <w:rsid w:val="6C301153"/>
    <w:rsid w:val="6C6B0957"/>
    <w:rsid w:val="6C832144"/>
    <w:rsid w:val="6C845EBC"/>
    <w:rsid w:val="6C89702F"/>
    <w:rsid w:val="6C9C4FB4"/>
    <w:rsid w:val="6C9D0D2C"/>
    <w:rsid w:val="6CA43D4D"/>
    <w:rsid w:val="6CAF333F"/>
    <w:rsid w:val="6CC265FC"/>
    <w:rsid w:val="6CD504C6"/>
    <w:rsid w:val="6CD52274"/>
    <w:rsid w:val="6CF92406"/>
    <w:rsid w:val="6CFC3CA5"/>
    <w:rsid w:val="6CFC5A53"/>
    <w:rsid w:val="6CFE5C6F"/>
    <w:rsid w:val="6D050DAB"/>
    <w:rsid w:val="6D147240"/>
    <w:rsid w:val="6D196605"/>
    <w:rsid w:val="6D21370B"/>
    <w:rsid w:val="6D3B18E0"/>
    <w:rsid w:val="6D413DAD"/>
    <w:rsid w:val="6D57537F"/>
    <w:rsid w:val="6D5B6C1D"/>
    <w:rsid w:val="6D6D4BA2"/>
    <w:rsid w:val="6D77332B"/>
    <w:rsid w:val="6D870514"/>
    <w:rsid w:val="6D8B5ABC"/>
    <w:rsid w:val="6D940381"/>
    <w:rsid w:val="6D9C3AFC"/>
    <w:rsid w:val="6DA22A9E"/>
    <w:rsid w:val="6DAC1227"/>
    <w:rsid w:val="6DAC5E65"/>
    <w:rsid w:val="6DBB76BC"/>
    <w:rsid w:val="6DD15131"/>
    <w:rsid w:val="6DD469CF"/>
    <w:rsid w:val="6DF66946"/>
    <w:rsid w:val="6E14209A"/>
    <w:rsid w:val="6E22773B"/>
    <w:rsid w:val="6E443B55"/>
    <w:rsid w:val="6E4E6782"/>
    <w:rsid w:val="6E5B2C4D"/>
    <w:rsid w:val="6E6164B5"/>
    <w:rsid w:val="6E9F4B86"/>
    <w:rsid w:val="6EA168B2"/>
    <w:rsid w:val="6EB02F99"/>
    <w:rsid w:val="6EB72460"/>
    <w:rsid w:val="6EB74327"/>
    <w:rsid w:val="6EB8556A"/>
    <w:rsid w:val="6EBC36EB"/>
    <w:rsid w:val="6ED547AD"/>
    <w:rsid w:val="6EEE586F"/>
    <w:rsid w:val="6EF72976"/>
    <w:rsid w:val="6F064E06"/>
    <w:rsid w:val="6F094457"/>
    <w:rsid w:val="6F176B74"/>
    <w:rsid w:val="6F35349E"/>
    <w:rsid w:val="6F360C58"/>
    <w:rsid w:val="6F370FC4"/>
    <w:rsid w:val="6F614293"/>
    <w:rsid w:val="6F636421"/>
    <w:rsid w:val="6F6B5112"/>
    <w:rsid w:val="6F6E6EC3"/>
    <w:rsid w:val="6F7264A0"/>
    <w:rsid w:val="6F765F90"/>
    <w:rsid w:val="6F9401C4"/>
    <w:rsid w:val="6FB915A7"/>
    <w:rsid w:val="6FC14D32"/>
    <w:rsid w:val="6FCD1928"/>
    <w:rsid w:val="6FD902CD"/>
    <w:rsid w:val="6FDD39BA"/>
    <w:rsid w:val="6FDE58E3"/>
    <w:rsid w:val="6FE61F3E"/>
    <w:rsid w:val="70161521"/>
    <w:rsid w:val="701914D7"/>
    <w:rsid w:val="701C6FC8"/>
    <w:rsid w:val="702F613F"/>
    <w:rsid w:val="703244E4"/>
    <w:rsid w:val="705636CC"/>
    <w:rsid w:val="70720586"/>
    <w:rsid w:val="70875F7B"/>
    <w:rsid w:val="70897150"/>
    <w:rsid w:val="70A64653"/>
    <w:rsid w:val="70C8281B"/>
    <w:rsid w:val="71094BE2"/>
    <w:rsid w:val="71656047"/>
    <w:rsid w:val="718F158B"/>
    <w:rsid w:val="71A242CB"/>
    <w:rsid w:val="71C8684B"/>
    <w:rsid w:val="71CF732E"/>
    <w:rsid w:val="71DC40A5"/>
    <w:rsid w:val="71DD22F7"/>
    <w:rsid w:val="71E116BB"/>
    <w:rsid w:val="71F4319C"/>
    <w:rsid w:val="71FC75D1"/>
    <w:rsid w:val="71FE04BF"/>
    <w:rsid w:val="720D49AF"/>
    <w:rsid w:val="720F7FD6"/>
    <w:rsid w:val="72121874"/>
    <w:rsid w:val="72181F15"/>
    <w:rsid w:val="721F290F"/>
    <w:rsid w:val="722021E3"/>
    <w:rsid w:val="7229553C"/>
    <w:rsid w:val="72323CC5"/>
    <w:rsid w:val="726F7FB0"/>
    <w:rsid w:val="72A46970"/>
    <w:rsid w:val="72AD3E9C"/>
    <w:rsid w:val="72B50B7E"/>
    <w:rsid w:val="72BB0EC2"/>
    <w:rsid w:val="72C62D8B"/>
    <w:rsid w:val="72EE22E1"/>
    <w:rsid w:val="72FD2525"/>
    <w:rsid w:val="732D2E0A"/>
    <w:rsid w:val="732E0930"/>
    <w:rsid w:val="73335F46"/>
    <w:rsid w:val="73373C88"/>
    <w:rsid w:val="735C7C30"/>
    <w:rsid w:val="73661E78"/>
    <w:rsid w:val="73697BBA"/>
    <w:rsid w:val="73775E2C"/>
    <w:rsid w:val="73A155A6"/>
    <w:rsid w:val="73A86934"/>
    <w:rsid w:val="73B250BD"/>
    <w:rsid w:val="73B40E35"/>
    <w:rsid w:val="73B61051"/>
    <w:rsid w:val="73B70925"/>
    <w:rsid w:val="73BB6668"/>
    <w:rsid w:val="73C365CB"/>
    <w:rsid w:val="73D414D7"/>
    <w:rsid w:val="73EA4857"/>
    <w:rsid w:val="73F6144E"/>
    <w:rsid w:val="742023C5"/>
    <w:rsid w:val="743D52CE"/>
    <w:rsid w:val="7443670B"/>
    <w:rsid w:val="74534AF2"/>
    <w:rsid w:val="745B7503"/>
    <w:rsid w:val="748D1686"/>
    <w:rsid w:val="74933140"/>
    <w:rsid w:val="74AE3AD6"/>
    <w:rsid w:val="74B80A8E"/>
    <w:rsid w:val="74DF00D5"/>
    <w:rsid w:val="74E7523A"/>
    <w:rsid w:val="751122B7"/>
    <w:rsid w:val="75157FF9"/>
    <w:rsid w:val="751759A6"/>
    <w:rsid w:val="75387844"/>
    <w:rsid w:val="75422471"/>
    <w:rsid w:val="75431C52"/>
    <w:rsid w:val="75644ADD"/>
    <w:rsid w:val="75674604"/>
    <w:rsid w:val="756920F3"/>
    <w:rsid w:val="756B5E6B"/>
    <w:rsid w:val="756C4E37"/>
    <w:rsid w:val="756D0E75"/>
    <w:rsid w:val="75755831"/>
    <w:rsid w:val="75866801"/>
    <w:rsid w:val="758807CB"/>
    <w:rsid w:val="75937E8D"/>
    <w:rsid w:val="75B06567"/>
    <w:rsid w:val="75CB06B8"/>
    <w:rsid w:val="75D51537"/>
    <w:rsid w:val="75DF5F11"/>
    <w:rsid w:val="75E35A02"/>
    <w:rsid w:val="75E654F2"/>
    <w:rsid w:val="762027B2"/>
    <w:rsid w:val="762108D3"/>
    <w:rsid w:val="76312C11"/>
    <w:rsid w:val="763224E5"/>
    <w:rsid w:val="76361FD5"/>
    <w:rsid w:val="764364A0"/>
    <w:rsid w:val="76505878"/>
    <w:rsid w:val="765406AD"/>
    <w:rsid w:val="76790114"/>
    <w:rsid w:val="76794AF8"/>
    <w:rsid w:val="76850C08"/>
    <w:rsid w:val="76B3524B"/>
    <w:rsid w:val="76BB24DB"/>
    <w:rsid w:val="76C84BF7"/>
    <w:rsid w:val="76D67314"/>
    <w:rsid w:val="76DF266D"/>
    <w:rsid w:val="770B3462"/>
    <w:rsid w:val="7711659E"/>
    <w:rsid w:val="771B11CB"/>
    <w:rsid w:val="7722255A"/>
    <w:rsid w:val="77274014"/>
    <w:rsid w:val="772E2227"/>
    <w:rsid w:val="77302EC9"/>
    <w:rsid w:val="7731279D"/>
    <w:rsid w:val="77533CC6"/>
    <w:rsid w:val="775748F9"/>
    <w:rsid w:val="775D4510"/>
    <w:rsid w:val="7760252B"/>
    <w:rsid w:val="776058DA"/>
    <w:rsid w:val="77626DFA"/>
    <w:rsid w:val="777032C5"/>
    <w:rsid w:val="777803CC"/>
    <w:rsid w:val="777D1E86"/>
    <w:rsid w:val="77905715"/>
    <w:rsid w:val="779276DF"/>
    <w:rsid w:val="77AE3DED"/>
    <w:rsid w:val="77F40160"/>
    <w:rsid w:val="781D568D"/>
    <w:rsid w:val="78236589"/>
    <w:rsid w:val="78342545"/>
    <w:rsid w:val="78362F6D"/>
    <w:rsid w:val="78412EB3"/>
    <w:rsid w:val="78627545"/>
    <w:rsid w:val="78632E2A"/>
    <w:rsid w:val="78654665"/>
    <w:rsid w:val="78654DF4"/>
    <w:rsid w:val="787B0173"/>
    <w:rsid w:val="789C661D"/>
    <w:rsid w:val="78BB0EB8"/>
    <w:rsid w:val="78E0447A"/>
    <w:rsid w:val="78EF46BD"/>
    <w:rsid w:val="78F63C9E"/>
    <w:rsid w:val="790740FD"/>
    <w:rsid w:val="791660EE"/>
    <w:rsid w:val="791D122B"/>
    <w:rsid w:val="791F31F5"/>
    <w:rsid w:val="793F5645"/>
    <w:rsid w:val="794E7636"/>
    <w:rsid w:val="795135CA"/>
    <w:rsid w:val="797F1EE5"/>
    <w:rsid w:val="79892D64"/>
    <w:rsid w:val="798B2638"/>
    <w:rsid w:val="798E037A"/>
    <w:rsid w:val="79960FDD"/>
    <w:rsid w:val="79997202"/>
    <w:rsid w:val="799E680F"/>
    <w:rsid w:val="79B0209F"/>
    <w:rsid w:val="79C45B4A"/>
    <w:rsid w:val="79E7658E"/>
    <w:rsid w:val="7A1B3962"/>
    <w:rsid w:val="7A2111EE"/>
    <w:rsid w:val="7A2A00A3"/>
    <w:rsid w:val="7A2F56B9"/>
    <w:rsid w:val="7A623463"/>
    <w:rsid w:val="7A6D48C0"/>
    <w:rsid w:val="7A6D7F90"/>
    <w:rsid w:val="7A765096"/>
    <w:rsid w:val="7A861051"/>
    <w:rsid w:val="7A974046"/>
    <w:rsid w:val="7A9A4854"/>
    <w:rsid w:val="7AB931D5"/>
    <w:rsid w:val="7ABA14EE"/>
    <w:rsid w:val="7AC53928"/>
    <w:rsid w:val="7AC878BC"/>
    <w:rsid w:val="7ACA3498"/>
    <w:rsid w:val="7ACA7190"/>
    <w:rsid w:val="7B007056"/>
    <w:rsid w:val="7B02692A"/>
    <w:rsid w:val="7B0F72C3"/>
    <w:rsid w:val="7B114DBF"/>
    <w:rsid w:val="7B2368A0"/>
    <w:rsid w:val="7B4E7DC1"/>
    <w:rsid w:val="7B5B428C"/>
    <w:rsid w:val="7B887EC5"/>
    <w:rsid w:val="7B914152"/>
    <w:rsid w:val="7B930C24"/>
    <w:rsid w:val="7BB17EFC"/>
    <w:rsid w:val="7BB5399C"/>
    <w:rsid w:val="7BB75966"/>
    <w:rsid w:val="7BC60184"/>
    <w:rsid w:val="7BD5403F"/>
    <w:rsid w:val="7BDD2EF3"/>
    <w:rsid w:val="7BE73A8B"/>
    <w:rsid w:val="7BF471EA"/>
    <w:rsid w:val="7C011556"/>
    <w:rsid w:val="7C18217D"/>
    <w:rsid w:val="7C346F6A"/>
    <w:rsid w:val="7C3C40BE"/>
    <w:rsid w:val="7C4C3220"/>
    <w:rsid w:val="7C4F37CE"/>
    <w:rsid w:val="7C507B69"/>
    <w:rsid w:val="7C596A1E"/>
    <w:rsid w:val="7C5E2286"/>
    <w:rsid w:val="7C701FB9"/>
    <w:rsid w:val="7C817D22"/>
    <w:rsid w:val="7C857813"/>
    <w:rsid w:val="7C99506C"/>
    <w:rsid w:val="7CD24A22"/>
    <w:rsid w:val="7CEA1D6C"/>
    <w:rsid w:val="7CF61768"/>
    <w:rsid w:val="7CF84488"/>
    <w:rsid w:val="7D0C7F34"/>
    <w:rsid w:val="7D0E5A5A"/>
    <w:rsid w:val="7D2C5EE0"/>
    <w:rsid w:val="7D360B0D"/>
    <w:rsid w:val="7D3A5278"/>
    <w:rsid w:val="7D406A1E"/>
    <w:rsid w:val="7D5A0C9F"/>
    <w:rsid w:val="7D637428"/>
    <w:rsid w:val="7D6E02A7"/>
    <w:rsid w:val="7D6F2271"/>
    <w:rsid w:val="7D741635"/>
    <w:rsid w:val="7D823D52"/>
    <w:rsid w:val="7D851A94"/>
    <w:rsid w:val="7D965A4F"/>
    <w:rsid w:val="7DA95783"/>
    <w:rsid w:val="7DB3326F"/>
    <w:rsid w:val="7DCB56F9"/>
    <w:rsid w:val="7DF34C50"/>
    <w:rsid w:val="7E0D00F2"/>
    <w:rsid w:val="7E1846B6"/>
    <w:rsid w:val="7E1A21DD"/>
    <w:rsid w:val="7E3037AE"/>
    <w:rsid w:val="7E3A287F"/>
    <w:rsid w:val="7E486D4A"/>
    <w:rsid w:val="7E5F22E5"/>
    <w:rsid w:val="7E6B4A0B"/>
    <w:rsid w:val="7E714CEC"/>
    <w:rsid w:val="7E786F03"/>
    <w:rsid w:val="7E7C7B82"/>
    <w:rsid w:val="7E8B4E88"/>
    <w:rsid w:val="7E960CC1"/>
    <w:rsid w:val="7EA36676"/>
    <w:rsid w:val="7EB702F4"/>
    <w:rsid w:val="7ECD724F"/>
    <w:rsid w:val="7ED405DD"/>
    <w:rsid w:val="7ED625A7"/>
    <w:rsid w:val="7EED715E"/>
    <w:rsid w:val="7EFD7F37"/>
    <w:rsid w:val="7F076C05"/>
    <w:rsid w:val="7F0A2251"/>
    <w:rsid w:val="7F0D3AEF"/>
    <w:rsid w:val="7F17671C"/>
    <w:rsid w:val="7F2271E4"/>
    <w:rsid w:val="7F2D7CEE"/>
    <w:rsid w:val="7F313C82"/>
    <w:rsid w:val="7F4A61E1"/>
    <w:rsid w:val="7F544D8E"/>
    <w:rsid w:val="7F596D35"/>
    <w:rsid w:val="7F5C68C8"/>
    <w:rsid w:val="7F645E05"/>
    <w:rsid w:val="7F743B6E"/>
    <w:rsid w:val="7F8C710A"/>
    <w:rsid w:val="7F962F62"/>
    <w:rsid w:val="7F967F89"/>
    <w:rsid w:val="7F9935D5"/>
    <w:rsid w:val="7FA51F7A"/>
    <w:rsid w:val="7FB328E9"/>
    <w:rsid w:val="7FC468A4"/>
    <w:rsid w:val="7FD30895"/>
    <w:rsid w:val="7FDD1714"/>
    <w:rsid w:val="7FDD5BB8"/>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3">
    <w:name w:val="heading 1"/>
    <w:basedOn w:val="1"/>
    <w:next w:val="1"/>
    <w:link w:val="38"/>
    <w:autoRedefine/>
    <w:qFormat/>
    <w:uiPriority w:val="9"/>
    <w:pPr>
      <w:keepNext/>
      <w:keepLines/>
      <w:spacing w:before="340" w:after="330" w:line="578" w:lineRule="auto"/>
      <w:jc w:val="center"/>
      <w:outlineLvl w:val="0"/>
    </w:pPr>
    <w:rPr>
      <w:rFonts w:eastAsia="黑体"/>
      <w:b/>
      <w:bCs/>
      <w:kern w:val="44"/>
      <w:sz w:val="44"/>
      <w:szCs w:val="44"/>
    </w:rPr>
  </w:style>
  <w:style w:type="paragraph" w:styleId="4">
    <w:name w:val="heading 2"/>
    <w:basedOn w:val="1"/>
    <w:next w:val="1"/>
    <w:link w:val="42"/>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5">
    <w:name w:val="heading 3"/>
    <w:basedOn w:val="1"/>
    <w:next w:val="1"/>
    <w:link w:val="45"/>
    <w:autoRedefine/>
    <w:unhideWhenUsed/>
    <w:qFormat/>
    <w:uiPriority w:val="9"/>
    <w:pPr>
      <w:keepNext/>
      <w:keepLines/>
      <w:spacing w:before="260" w:after="260" w:line="416" w:lineRule="auto"/>
      <w:outlineLvl w:val="2"/>
    </w:pPr>
    <w:rPr>
      <w:b/>
      <w:bCs/>
      <w:sz w:val="30"/>
      <w:szCs w:val="32"/>
    </w:rPr>
  </w:style>
  <w:style w:type="paragraph" w:styleId="6">
    <w:name w:val="heading 4"/>
    <w:basedOn w:val="1"/>
    <w:next w:val="1"/>
    <w:link w:val="46"/>
    <w:autoRedefine/>
    <w:unhideWhenUsed/>
    <w:qFormat/>
    <w:uiPriority w:val="9"/>
    <w:pPr>
      <w:keepNext/>
      <w:keepLines/>
      <w:spacing w:before="280" w:after="290" w:line="376" w:lineRule="auto"/>
      <w:outlineLvl w:val="3"/>
    </w:pPr>
    <w:rPr>
      <w:rFonts w:asciiTheme="majorHAnsi" w:hAnsiTheme="majorHAnsi" w:cstheme="majorBidi"/>
      <w:b/>
      <w:bCs/>
      <w:sz w:val="28"/>
      <w:szCs w:val="28"/>
    </w:rPr>
  </w:style>
  <w:style w:type="paragraph" w:styleId="7">
    <w:name w:val="heading 5"/>
    <w:basedOn w:val="8"/>
    <w:next w:val="1"/>
    <w:autoRedefine/>
    <w:qFormat/>
    <w:uiPriority w:val="1"/>
    <w:pPr>
      <w:tabs>
        <w:tab w:val="left" w:pos="780"/>
      </w:tabs>
      <w:ind w:left="638" w:firstLine="561"/>
      <w:outlineLvl w:val="4"/>
    </w:pPr>
    <w:rPr>
      <w:rFonts w:ascii="仿宋" w:hAnsi="仿宋" w:eastAsia="仿宋" w:cs="仿宋"/>
      <w:b/>
      <w:bCs/>
      <w:kern w:val="0"/>
      <w:sz w:val="28"/>
      <w:szCs w:val="28"/>
      <w:lang w:val="zh-CN" w:bidi="zh-CN"/>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widowControl/>
      <w:jc w:val="left"/>
    </w:pPr>
    <w:rPr>
      <w:kern w:val="0"/>
      <w:sz w:val="20"/>
      <w:szCs w:val="20"/>
      <w:lang w:val="de-DE"/>
    </w:rPr>
  </w:style>
  <w:style w:type="paragraph" w:styleId="8">
    <w:name w:val="List Number 2"/>
    <w:basedOn w:val="1"/>
    <w:autoRedefine/>
    <w:semiHidden/>
    <w:unhideWhenUsed/>
    <w:qFormat/>
    <w:uiPriority w:val="99"/>
    <w:pPr>
      <w:numPr>
        <w:ilvl w:val="0"/>
        <w:numId w:val="1"/>
      </w:numPr>
    </w:pPr>
  </w:style>
  <w:style w:type="paragraph" w:styleId="9">
    <w:name w:val="toc 7"/>
    <w:basedOn w:val="1"/>
    <w:next w:val="1"/>
    <w:autoRedefine/>
    <w:unhideWhenUsed/>
    <w:qFormat/>
    <w:uiPriority w:val="39"/>
    <w:pPr>
      <w:ind w:left="1440"/>
    </w:pPr>
    <w:rPr>
      <w:rFonts w:asciiTheme="minorHAnsi" w:eastAsiaTheme="minorHAnsi"/>
      <w:sz w:val="18"/>
      <w:szCs w:val="18"/>
    </w:rPr>
  </w:style>
  <w:style w:type="paragraph" w:styleId="10">
    <w:name w:val="Normal Indent"/>
    <w:basedOn w:val="1"/>
    <w:next w:val="1"/>
    <w:autoRedefine/>
    <w:unhideWhenUsed/>
    <w:qFormat/>
    <w:uiPriority w:val="0"/>
    <w:pPr>
      <w:ind w:firstLine="420" w:firstLineChars="200"/>
    </w:pPr>
    <w:rPr>
      <w:rFonts w:ascii="Calibri" w:hAnsi="Calibri"/>
      <w:szCs w:val="22"/>
    </w:rPr>
  </w:style>
  <w:style w:type="paragraph" w:styleId="11">
    <w:name w:val="List Bullet"/>
    <w:basedOn w:val="1"/>
    <w:autoRedefine/>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12">
    <w:name w:val="annotation text"/>
    <w:basedOn w:val="1"/>
    <w:link w:val="43"/>
    <w:autoRedefine/>
    <w:qFormat/>
    <w:uiPriority w:val="0"/>
    <w:pPr>
      <w:spacing w:line="240" w:lineRule="auto"/>
    </w:pPr>
    <w:rPr>
      <w:rFonts w:eastAsiaTheme="minorEastAsia"/>
      <w:sz w:val="21"/>
      <w:szCs w:val="24"/>
    </w:rPr>
  </w:style>
  <w:style w:type="paragraph" w:styleId="13">
    <w:name w:val="index 6"/>
    <w:basedOn w:val="1"/>
    <w:next w:val="1"/>
    <w:qFormat/>
    <w:uiPriority w:val="99"/>
    <w:pPr>
      <w:ind w:left="2100"/>
    </w:pPr>
  </w:style>
  <w:style w:type="paragraph" w:styleId="14">
    <w:name w:val="Body Text"/>
    <w:basedOn w:val="1"/>
    <w:next w:val="1"/>
    <w:link w:val="47"/>
    <w:autoRedefine/>
    <w:qFormat/>
    <w:uiPriority w:val="99"/>
    <w:pPr>
      <w:spacing w:after="120" w:line="240" w:lineRule="auto"/>
      <w:jc w:val="both"/>
    </w:pPr>
    <w:rPr>
      <w:rFonts w:eastAsiaTheme="minorEastAsia"/>
      <w:sz w:val="21"/>
      <w:szCs w:val="24"/>
    </w:rPr>
  </w:style>
  <w:style w:type="paragraph" w:styleId="15">
    <w:name w:val="Body Text Indent"/>
    <w:basedOn w:val="1"/>
    <w:autoRedefine/>
    <w:unhideWhenUsed/>
    <w:qFormat/>
    <w:uiPriority w:val="0"/>
    <w:pPr>
      <w:ind w:firstLine="630"/>
    </w:pPr>
    <w:rPr>
      <w:rFonts w:eastAsia="仿宋_GB2312"/>
      <w:kern w:val="0"/>
      <w:sz w:val="32"/>
      <w:szCs w:val="20"/>
    </w:rPr>
  </w:style>
  <w:style w:type="paragraph" w:styleId="16">
    <w:name w:val="toc 5"/>
    <w:basedOn w:val="1"/>
    <w:next w:val="1"/>
    <w:autoRedefine/>
    <w:unhideWhenUsed/>
    <w:qFormat/>
    <w:uiPriority w:val="39"/>
    <w:pPr>
      <w:ind w:left="960"/>
    </w:pPr>
    <w:rPr>
      <w:rFonts w:asciiTheme="minorHAnsi" w:eastAsiaTheme="minorHAnsi"/>
      <w:sz w:val="18"/>
      <w:szCs w:val="18"/>
    </w:rPr>
  </w:style>
  <w:style w:type="paragraph" w:styleId="17">
    <w:name w:val="toc 3"/>
    <w:basedOn w:val="1"/>
    <w:next w:val="1"/>
    <w:autoRedefine/>
    <w:unhideWhenUsed/>
    <w:qFormat/>
    <w:uiPriority w:val="39"/>
    <w:pPr>
      <w:ind w:left="480"/>
    </w:pPr>
    <w:rPr>
      <w:rFonts w:asciiTheme="minorHAnsi" w:eastAsiaTheme="minorHAnsi"/>
      <w:i/>
      <w:iCs/>
      <w:sz w:val="20"/>
      <w:szCs w:val="20"/>
    </w:rPr>
  </w:style>
  <w:style w:type="paragraph" w:styleId="18">
    <w:name w:val="Plain Text"/>
    <w:basedOn w:val="1"/>
    <w:autoRedefine/>
    <w:unhideWhenUsed/>
    <w:qFormat/>
    <w:uiPriority w:val="0"/>
    <w:rPr>
      <w:rFonts w:ascii="宋体" w:hAnsi="Courier New"/>
      <w:kern w:val="0"/>
      <w:sz w:val="20"/>
      <w:szCs w:val="20"/>
    </w:rPr>
  </w:style>
  <w:style w:type="paragraph" w:styleId="19">
    <w:name w:val="toc 8"/>
    <w:basedOn w:val="1"/>
    <w:next w:val="1"/>
    <w:autoRedefine/>
    <w:unhideWhenUsed/>
    <w:qFormat/>
    <w:uiPriority w:val="39"/>
    <w:pPr>
      <w:ind w:left="1680"/>
    </w:pPr>
    <w:rPr>
      <w:rFonts w:asciiTheme="minorHAnsi" w:eastAsiaTheme="minorHAnsi"/>
      <w:sz w:val="18"/>
      <w:szCs w:val="18"/>
    </w:rPr>
  </w:style>
  <w:style w:type="paragraph" w:styleId="20">
    <w:name w:val="footer"/>
    <w:basedOn w:val="1"/>
    <w:link w:val="41"/>
    <w:autoRedefine/>
    <w:unhideWhenUsed/>
    <w:qFormat/>
    <w:uiPriority w:val="99"/>
    <w:pPr>
      <w:tabs>
        <w:tab w:val="center" w:pos="4153"/>
        <w:tab w:val="right" w:pos="8306"/>
      </w:tabs>
      <w:snapToGrid w:val="0"/>
      <w:spacing w:line="240" w:lineRule="auto"/>
    </w:pPr>
    <w:rPr>
      <w:sz w:val="18"/>
      <w:szCs w:val="18"/>
    </w:rPr>
  </w:style>
  <w:style w:type="paragraph" w:styleId="21">
    <w:name w:val="header"/>
    <w:basedOn w:val="1"/>
    <w:link w:val="40"/>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2">
    <w:name w:val="toc 1"/>
    <w:basedOn w:val="1"/>
    <w:next w:val="1"/>
    <w:autoRedefine/>
    <w:unhideWhenUsed/>
    <w:qFormat/>
    <w:uiPriority w:val="39"/>
    <w:pPr>
      <w:spacing w:before="120" w:after="120"/>
    </w:pPr>
    <w:rPr>
      <w:rFonts w:asciiTheme="minorHAnsi" w:eastAsiaTheme="minorHAnsi"/>
      <w:b/>
      <w:bCs/>
      <w:caps/>
      <w:sz w:val="20"/>
      <w:szCs w:val="20"/>
    </w:rPr>
  </w:style>
  <w:style w:type="paragraph" w:styleId="23">
    <w:name w:val="toc 4"/>
    <w:basedOn w:val="1"/>
    <w:next w:val="1"/>
    <w:autoRedefine/>
    <w:unhideWhenUsed/>
    <w:qFormat/>
    <w:uiPriority w:val="39"/>
    <w:pPr>
      <w:ind w:left="720"/>
    </w:pPr>
    <w:rPr>
      <w:rFonts w:asciiTheme="minorHAnsi" w:eastAsiaTheme="minorHAnsi"/>
      <w:sz w:val="18"/>
      <w:szCs w:val="18"/>
    </w:rPr>
  </w:style>
  <w:style w:type="paragraph" w:styleId="24">
    <w:name w:val="toc 6"/>
    <w:basedOn w:val="1"/>
    <w:next w:val="1"/>
    <w:autoRedefine/>
    <w:unhideWhenUsed/>
    <w:qFormat/>
    <w:uiPriority w:val="39"/>
    <w:pPr>
      <w:ind w:left="1200"/>
    </w:pPr>
    <w:rPr>
      <w:rFonts w:asciiTheme="minorHAnsi" w:eastAsiaTheme="minorHAnsi"/>
      <w:sz w:val="18"/>
      <w:szCs w:val="18"/>
    </w:rPr>
  </w:style>
  <w:style w:type="paragraph" w:styleId="25">
    <w:name w:val="toc 2"/>
    <w:basedOn w:val="1"/>
    <w:next w:val="1"/>
    <w:autoRedefine/>
    <w:unhideWhenUsed/>
    <w:qFormat/>
    <w:uiPriority w:val="39"/>
    <w:pPr>
      <w:ind w:left="240"/>
    </w:pPr>
    <w:rPr>
      <w:rFonts w:asciiTheme="minorHAnsi" w:eastAsiaTheme="minorHAnsi"/>
      <w:smallCaps/>
      <w:sz w:val="20"/>
      <w:szCs w:val="20"/>
    </w:rPr>
  </w:style>
  <w:style w:type="paragraph" w:styleId="26">
    <w:name w:val="toc 9"/>
    <w:basedOn w:val="1"/>
    <w:next w:val="1"/>
    <w:autoRedefine/>
    <w:unhideWhenUsed/>
    <w:qFormat/>
    <w:uiPriority w:val="39"/>
    <w:pPr>
      <w:ind w:left="1920"/>
    </w:pPr>
    <w:rPr>
      <w:rFonts w:asciiTheme="minorHAnsi" w:eastAsiaTheme="minorHAnsi"/>
      <w:sz w:val="18"/>
      <w:szCs w:val="18"/>
    </w:rPr>
  </w:style>
  <w:style w:type="paragraph" w:styleId="27">
    <w:name w:val="Normal (Web)"/>
    <w:basedOn w:val="1"/>
    <w:autoRedefine/>
    <w:qFormat/>
    <w:uiPriority w:val="99"/>
    <w:pPr>
      <w:widowControl/>
      <w:spacing w:before="100" w:beforeAutospacing="1" w:after="100" w:afterAutospacing="1"/>
    </w:pPr>
    <w:rPr>
      <w:rFonts w:cs="宋体"/>
      <w:color w:val="000000"/>
      <w:kern w:val="0"/>
      <w:szCs w:val="24"/>
    </w:rPr>
  </w:style>
  <w:style w:type="paragraph" w:styleId="28">
    <w:name w:val="annotation subject"/>
    <w:basedOn w:val="12"/>
    <w:next w:val="12"/>
    <w:link w:val="51"/>
    <w:autoRedefine/>
    <w:semiHidden/>
    <w:unhideWhenUsed/>
    <w:qFormat/>
    <w:uiPriority w:val="99"/>
    <w:pPr>
      <w:spacing w:line="360" w:lineRule="auto"/>
    </w:pPr>
    <w:rPr>
      <w:rFonts w:eastAsia="宋体"/>
      <w:b/>
      <w:bCs/>
      <w:sz w:val="24"/>
      <w:szCs w:val="22"/>
    </w:rPr>
  </w:style>
  <w:style w:type="paragraph" w:styleId="29">
    <w:name w:val="Body Text First Indent 2"/>
    <w:basedOn w:val="15"/>
    <w:next w:val="1"/>
    <w:autoRedefine/>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autoRedefine/>
    <w:qFormat/>
    <w:uiPriority w:val="0"/>
    <w:rPr>
      <w:b/>
      <w:bCs/>
    </w:rPr>
  </w:style>
  <w:style w:type="character" w:styleId="34">
    <w:name w:val="Hyperlink"/>
    <w:basedOn w:val="32"/>
    <w:autoRedefine/>
    <w:unhideWhenUsed/>
    <w:qFormat/>
    <w:uiPriority w:val="99"/>
    <w:rPr>
      <w:color w:val="0563C1" w:themeColor="hyperlink"/>
      <w:u w:val="single"/>
      <w14:textFill>
        <w14:solidFill>
          <w14:schemeClr w14:val="hlink"/>
        </w14:solidFill>
      </w14:textFill>
    </w:rPr>
  </w:style>
  <w:style w:type="character" w:styleId="35">
    <w:name w:val="annotation reference"/>
    <w:basedOn w:val="32"/>
    <w:autoRedefine/>
    <w:qFormat/>
    <w:uiPriority w:val="0"/>
    <w:rPr>
      <w:sz w:val="21"/>
      <w:szCs w:val="21"/>
    </w:rPr>
  </w:style>
  <w:style w:type="paragraph" w:customStyle="1" w:styleId="36">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7">
    <w:name w:val="正文缩进2"/>
    <w:basedOn w:val="1"/>
    <w:autoRedefine/>
    <w:qFormat/>
    <w:uiPriority w:val="0"/>
    <w:pPr>
      <w:wordWrap w:val="0"/>
      <w:ind w:firstLine="480"/>
    </w:pPr>
    <w:rPr>
      <w:iCs/>
      <w:shd w:val="clear" w:color="auto" w:fill="FFFFFF" w:themeFill="background1"/>
      <w:lang w:val="zh-CN"/>
    </w:rPr>
  </w:style>
  <w:style w:type="character" w:customStyle="1" w:styleId="38">
    <w:name w:val="标题 1 字符"/>
    <w:basedOn w:val="32"/>
    <w:link w:val="3"/>
    <w:autoRedefine/>
    <w:qFormat/>
    <w:uiPriority w:val="9"/>
    <w:rPr>
      <w:rFonts w:eastAsia="黑体"/>
      <w:b/>
      <w:bCs/>
      <w:kern w:val="44"/>
      <w:sz w:val="44"/>
      <w:szCs w:val="44"/>
    </w:rPr>
  </w:style>
  <w:style w:type="paragraph" w:styleId="39">
    <w:name w:val="List Paragraph"/>
    <w:basedOn w:val="1"/>
    <w:autoRedefine/>
    <w:qFormat/>
    <w:uiPriority w:val="34"/>
    <w:pPr>
      <w:numPr>
        <w:ilvl w:val="0"/>
        <w:numId w:val="2"/>
      </w:numPr>
    </w:pPr>
  </w:style>
  <w:style w:type="character" w:customStyle="1" w:styleId="40">
    <w:name w:val="页眉 字符"/>
    <w:basedOn w:val="32"/>
    <w:link w:val="21"/>
    <w:autoRedefine/>
    <w:qFormat/>
    <w:uiPriority w:val="99"/>
    <w:rPr>
      <w:rFonts w:eastAsia="宋体"/>
      <w:sz w:val="18"/>
      <w:szCs w:val="18"/>
    </w:rPr>
  </w:style>
  <w:style w:type="character" w:customStyle="1" w:styleId="41">
    <w:name w:val="页脚 字符"/>
    <w:basedOn w:val="32"/>
    <w:link w:val="20"/>
    <w:autoRedefine/>
    <w:qFormat/>
    <w:uiPriority w:val="99"/>
    <w:rPr>
      <w:rFonts w:eastAsia="宋体"/>
      <w:sz w:val="18"/>
      <w:szCs w:val="18"/>
    </w:rPr>
  </w:style>
  <w:style w:type="character" w:customStyle="1" w:styleId="42">
    <w:name w:val="标题 2 字符"/>
    <w:basedOn w:val="32"/>
    <w:link w:val="4"/>
    <w:autoRedefine/>
    <w:qFormat/>
    <w:uiPriority w:val="0"/>
    <w:rPr>
      <w:rFonts w:eastAsia="宋体" w:asciiTheme="majorHAnsi" w:hAnsiTheme="majorHAnsi" w:cstheme="majorBidi"/>
      <w:b/>
      <w:bCs/>
      <w:sz w:val="32"/>
      <w:szCs w:val="32"/>
    </w:rPr>
  </w:style>
  <w:style w:type="character" w:customStyle="1" w:styleId="43">
    <w:name w:val="批注文字 字符"/>
    <w:basedOn w:val="32"/>
    <w:link w:val="12"/>
    <w:autoRedefine/>
    <w:qFormat/>
    <w:uiPriority w:val="0"/>
    <w:rPr>
      <w:szCs w:val="24"/>
    </w:rPr>
  </w:style>
  <w:style w:type="paragraph" w:customStyle="1" w:styleId="44">
    <w:name w:val="Char1 Char Char Char"/>
    <w:basedOn w:val="1"/>
    <w:autoRedefine/>
    <w:qFormat/>
    <w:uiPriority w:val="0"/>
    <w:pPr>
      <w:adjustRightInd w:val="0"/>
      <w:jc w:val="both"/>
    </w:pPr>
    <w:rPr>
      <w:rFonts w:ascii="Times New Roman" w:hAnsi="Times New Roman" w:cs="Times New Roman"/>
      <w:kern w:val="0"/>
      <w:szCs w:val="20"/>
    </w:rPr>
  </w:style>
  <w:style w:type="character" w:customStyle="1" w:styleId="45">
    <w:name w:val="标题 3 字符"/>
    <w:basedOn w:val="32"/>
    <w:link w:val="5"/>
    <w:autoRedefine/>
    <w:qFormat/>
    <w:uiPriority w:val="9"/>
    <w:rPr>
      <w:rFonts w:eastAsia="宋体"/>
      <w:b/>
      <w:bCs/>
      <w:sz w:val="30"/>
      <w:szCs w:val="32"/>
    </w:rPr>
  </w:style>
  <w:style w:type="character" w:customStyle="1" w:styleId="46">
    <w:name w:val="标题 4 字符"/>
    <w:basedOn w:val="32"/>
    <w:link w:val="6"/>
    <w:autoRedefine/>
    <w:qFormat/>
    <w:uiPriority w:val="9"/>
    <w:rPr>
      <w:rFonts w:eastAsia="宋体" w:asciiTheme="majorHAnsi" w:hAnsiTheme="majorHAnsi" w:cstheme="majorBidi"/>
      <w:b/>
      <w:bCs/>
      <w:sz w:val="28"/>
      <w:szCs w:val="28"/>
    </w:rPr>
  </w:style>
  <w:style w:type="character" w:customStyle="1" w:styleId="47">
    <w:name w:val="正文文本 字符"/>
    <w:basedOn w:val="32"/>
    <w:link w:val="14"/>
    <w:autoRedefine/>
    <w:qFormat/>
    <w:uiPriority w:val="99"/>
    <w:rPr>
      <w:szCs w:val="24"/>
    </w:rPr>
  </w:style>
  <w:style w:type="paragraph" w:customStyle="1" w:styleId="48">
    <w:name w:val="样式"/>
    <w:basedOn w:val="1"/>
    <w:autoRedefine/>
    <w:qFormat/>
    <w:uiPriority w:val="0"/>
    <w:pPr>
      <w:autoSpaceDE w:val="0"/>
      <w:autoSpaceDN w:val="0"/>
      <w:snapToGrid w:val="0"/>
      <w:spacing w:before="120" w:after="120"/>
      <w:jc w:val="both"/>
    </w:pPr>
    <w:rPr>
      <w:rFonts w:hAnsi="Times New Roman" w:cs="Times New Roman"/>
      <w:kern w:val="0"/>
      <w:szCs w:val="20"/>
    </w:rPr>
  </w:style>
  <w:style w:type="paragraph" w:styleId="49">
    <w:name w:val="No Spacing"/>
    <w:autoRedefine/>
    <w:qFormat/>
    <w:uiPriority w:val="1"/>
    <w:pPr>
      <w:widowControl w:val="0"/>
    </w:pPr>
    <w:rPr>
      <w:rFonts w:ascii="宋体" w:hAnsi="宋体" w:eastAsia="宋体" w:cstheme="minorBidi"/>
      <w:kern w:val="2"/>
      <w:sz w:val="24"/>
      <w:szCs w:val="22"/>
      <w:lang w:val="en-US" w:eastAsia="zh-CN" w:bidi="ar-SA"/>
    </w:rPr>
  </w:style>
  <w:style w:type="character" w:customStyle="1" w:styleId="50">
    <w:name w:val="未处理的提及1"/>
    <w:basedOn w:val="32"/>
    <w:autoRedefine/>
    <w:semiHidden/>
    <w:unhideWhenUsed/>
    <w:qFormat/>
    <w:uiPriority w:val="99"/>
    <w:rPr>
      <w:color w:val="605E5C"/>
      <w:shd w:val="clear" w:color="auto" w:fill="E1DFDD"/>
    </w:rPr>
  </w:style>
  <w:style w:type="character" w:customStyle="1" w:styleId="51">
    <w:name w:val="批注主题 字符"/>
    <w:basedOn w:val="43"/>
    <w:link w:val="28"/>
    <w:autoRedefine/>
    <w:semiHidden/>
    <w:qFormat/>
    <w:uiPriority w:val="99"/>
    <w:rPr>
      <w:rFonts w:ascii="宋体" w:hAnsi="宋体" w:cstheme="minorBidi"/>
      <w:b/>
      <w:bCs/>
      <w:kern w:val="2"/>
      <w:sz w:val="24"/>
      <w:szCs w:val="22"/>
    </w:rPr>
  </w:style>
  <w:style w:type="character" w:customStyle="1" w:styleId="52">
    <w:name w:val="未处理的提及2"/>
    <w:basedOn w:val="32"/>
    <w:autoRedefine/>
    <w:semiHidden/>
    <w:unhideWhenUsed/>
    <w:qFormat/>
    <w:uiPriority w:val="99"/>
    <w:rPr>
      <w:color w:val="605E5C"/>
      <w:shd w:val="clear" w:color="auto" w:fill="E1DFDD"/>
    </w:rPr>
  </w:style>
  <w:style w:type="paragraph" w:customStyle="1" w:styleId="53">
    <w:name w:val="正文_2"/>
    <w:autoRedefine/>
    <w:qFormat/>
    <w:uiPriority w:val="0"/>
    <w:pPr>
      <w:widowControl w:val="0"/>
      <w:jc w:val="both"/>
    </w:pPr>
    <w:rPr>
      <w:rFonts w:ascii="Calibri" w:hAnsi="Calibri" w:eastAsia="宋体" w:cs="Times New Roman"/>
      <w:lang w:val="en-US" w:eastAsia="zh-CN" w:bidi="ar-SA"/>
    </w:rPr>
  </w:style>
  <w:style w:type="paragraph" w:customStyle="1" w:styleId="54">
    <w:name w:val="Normal"/>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55">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2_0_0"/>
    <w:autoRedefine/>
    <w:qFormat/>
    <w:uiPriority w:val="99"/>
    <w:pPr>
      <w:widowControl w:val="0"/>
      <w:jc w:val="both"/>
    </w:pPr>
    <w:rPr>
      <w:rFonts w:ascii="Calibri" w:hAnsi="Calibri" w:eastAsia="宋体" w:cs="Times New Roman"/>
      <w:lang w:val="en-US" w:eastAsia="zh-CN" w:bidi="ar-SA"/>
    </w:rPr>
  </w:style>
  <w:style w:type="paragraph" w:customStyle="1" w:styleId="57">
    <w:name w:val="正文_1_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58">
    <w:name w:val="Normal Indent1"/>
    <w:basedOn w:val="1"/>
    <w:autoRedefine/>
    <w:qFormat/>
    <w:uiPriority w:val="0"/>
    <w:pPr>
      <w:ind w:firstLine="420" w:firstLineChars="200"/>
    </w:pPr>
  </w:style>
  <w:style w:type="paragraph" w:customStyle="1" w:styleId="59">
    <w:name w:val="LO-Normal"/>
    <w:autoRedefine/>
    <w:qFormat/>
    <w:uiPriority w:val="0"/>
    <w:pPr>
      <w:suppressAutoHyphens/>
    </w:pPr>
    <w:rPr>
      <w:rFonts w:ascii="Times New Roman" w:hAnsi="Times New Roman" w:eastAsia="宋体" w:cs="Times New Roman"/>
      <w:sz w:val="24"/>
      <w:szCs w:val="24"/>
      <w:lang w:val="en-US" w:eastAsia="zh-CN" w:bidi="ar-SA"/>
    </w:rPr>
  </w:style>
  <w:style w:type="paragraph" w:customStyle="1" w:styleId="60">
    <w:name w:val="Normal_22"/>
    <w:autoRedefine/>
    <w:qFormat/>
    <w:uiPriority w:val="0"/>
    <w:rPr>
      <w:rFonts w:ascii="Times New Roman" w:hAnsi="Times New Roman" w:eastAsia="Times New Roman" w:cs="Times New Roman"/>
      <w:sz w:val="24"/>
      <w:szCs w:val="24"/>
      <w:lang w:bidi="ar-SA"/>
    </w:rPr>
  </w:style>
  <w:style w:type="paragraph" w:customStyle="1" w:styleId="61">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2">
    <w:name w:val="正文_0_0_0 Char"/>
    <w:link w:val="63"/>
    <w:autoRedefine/>
    <w:qFormat/>
    <w:locked/>
    <w:uiPriority w:val="0"/>
    <w:rPr>
      <w:rFonts w:ascii="Calibri" w:hAnsi="Calibri" w:cs="Calibri"/>
      <w:kern w:val="2"/>
      <w:sz w:val="28"/>
      <w:szCs w:val="22"/>
      <w:lang w:val="en-US" w:eastAsia="zh-CN" w:bidi="ar-SA"/>
    </w:rPr>
  </w:style>
  <w:style w:type="paragraph" w:customStyle="1" w:styleId="63">
    <w:name w:val="正文_0_0_0_0_0"/>
    <w:link w:val="62"/>
    <w:autoRedefine/>
    <w:qFormat/>
    <w:uiPriority w:val="0"/>
    <w:pPr>
      <w:spacing w:before="120" w:after="120" w:line="360" w:lineRule="auto"/>
      <w:ind w:left="1072" w:hanging="1072"/>
      <w:jc w:val="both"/>
    </w:pPr>
    <w:rPr>
      <w:rFonts w:ascii="Calibri" w:hAnsi="Calibri" w:eastAsia="宋体" w:cs="Calibri"/>
      <w:kern w:val="2"/>
      <w:sz w:val="28"/>
      <w:szCs w:val="22"/>
      <w:lang w:val="en-US" w:eastAsia="zh-CN" w:bidi="ar-SA"/>
    </w:rPr>
  </w:style>
  <w:style w:type="paragraph" w:customStyle="1" w:styleId="64">
    <w:name w:val="正文文本_0_1"/>
    <w:basedOn w:val="65"/>
    <w:autoRedefine/>
    <w:qFormat/>
    <w:uiPriority w:val="99"/>
    <w:pPr>
      <w:spacing w:after="120"/>
    </w:pPr>
    <w:rPr>
      <w:rFonts w:ascii="Calibri" w:hAnsi="Calibri" w:eastAsia="宋体"/>
      <w:kern w:val="0"/>
      <w:sz w:val="24"/>
      <w:szCs w:val="20"/>
    </w:rPr>
  </w:style>
  <w:style w:type="paragraph" w:customStyle="1" w:styleId="65">
    <w:name w:val="正文_6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Table Paragraph_1"/>
    <w:basedOn w:val="65"/>
    <w:autoRedefine/>
    <w:qFormat/>
    <w:uiPriority w:val="0"/>
    <w:pPr>
      <w:jc w:val="left"/>
    </w:pPr>
    <w:rPr>
      <w:rFonts w:ascii="Calibri" w:hAnsi="Calibri" w:eastAsia="宋体"/>
      <w:kern w:val="0"/>
      <w:sz w:val="22"/>
      <w:lang w:eastAsia="en-US"/>
    </w:rPr>
  </w:style>
  <w:style w:type="paragraph" w:customStyle="1" w:styleId="67">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正文1"/>
    <w:autoRedefine/>
    <w:qFormat/>
    <w:uiPriority w:val="0"/>
    <w:pPr>
      <w:widowControl w:val="0"/>
      <w:jc w:val="both"/>
    </w:pPr>
    <w:rPr>
      <w:rFonts w:ascii="Calibri" w:hAnsi="Calibri" w:eastAsia="宋体" w:cs="Times New Roman"/>
      <w:lang w:val="en-US" w:eastAsia="zh-CN" w:bidi="ar-SA"/>
    </w:rPr>
  </w:style>
  <w:style w:type="paragraph" w:customStyle="1" w:styleId="69">
    <w:name w:val="列出段落1"/>
    <w:basedOn w:val="1"/>
    <w:autoRedefine/>
    <w:qFormat/>
    <w:uiPriority w:val="0"/>
    <w:pPr>
      <w:ind w:firstLine="420" w:firstLineChars="200"/>
    </w:pPr>
    <w:rPr>
      <w:szCs w:val="21"/>
    </w:rPr>
  </w:style>
  <w:style w:type="paragraph" w:customStyle="1" w:styleId="70">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71">
    <w:name w:val="正文2"/>
    <w:basedOn w:val="1"/>
    <w:qFormat/>
    <w:uiPriority w:val="0"/>
    <w:pPr>
      <w:spacing w:before="156" w:line="360" w:lineRule="auto"/>
      <w:ind w:firstLine="510" w:firstLineChars="200"/>
    </w:pPr>
    <w:rPr>
      <w:sz w:val="24"/>
      <w:szCs w:val="20"/>
    </w:rPr>
  </w:style>
  <w:style w:type="paragraph" w:customStyle="1" w:styleId="72">
    <w:name w:val="Char Char Char Char Char Char Char1 Char"/>
    <w:basedOn w:val="1"/>
    <w:autoRedefine/>
    <w:qFormat/>
    <w:uiPriority w:val="0"/>
    <w:rPr>
      <w:rFonts w:ascii="Arial" w:hAnsi="Arial" w:eastAsia="宋体" w:cs="Arial"/>
      <w:sz w:val="24"/>
    </w:rPr>
  </w:style>
  <w:style w:type="paragraph" w:customStyle="1" w:styleId="73">
    <w:name w:val="正文缩进2格"/>
    <w:basedOn w:val="1"/>
    <w:qFormat/>
    <w:uiPriority w:val="0"/>
    <w:pPr>
      <w:spacing w:line="600" w:lineRule="exact"/>
      <w:ind w:firstLine="639" w:firstLineChars="206"/>
    </w:pPr>
    <w:rPr>
      <w:rFonts w:ascii="仿宋_GB2312" w:hAnsi="宋体" w:eastAsia="仿宋_GB2312"/>
      <w:kern w:val="0"/>
      <w:sz w:val="3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12628</Words>
  <Characters>13800</Characters>
  <Lines>328</Lines>
  <Paragraphs>92</Paragraphs>
  <TotalTime>8</TotalTime>
  <ScaleCrop>false</ScaleCrop>
  <LinksUpToDate>false</LinksUpToDate>
  <CharactersWithSpaces>14751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2024-01-02T05:57:00Z</dcterms:created>
  <dc:creator>admin</dc:creator>
  <cp:lastModifiedBy>北鼻.here</cp:lastModifiedBy>
  <cp:lastPrinted>2024-12-28T09:33:00Z</cp:lastPrinted>
  <dcterms:modified xsi:type="dcterms:W3CDTF">2025-09-20T05:25:23Z</dcterms:modified>
  <cp:revision>425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DF3953291687445499E9D60EFD53B760_13</vt:lpwstr>
  </property>
  <property fmtid="{D5CDD505-2E9C-101B-9397-08002B2CF9AE}" pid="4" name="KSOTemplateDocerSaveRecord">
    <vt:lpwstr>eyJoZGlkIjoiNzRkNGM3NzQ5MDdjMDM1MDVkNGRlMGYyZWU0YjVkOTMiLCJ1c2VySWQiOiI5MzU2OTIyMzQifQ==</vt:lpwstr>
  </property>
</Properties>
</file>