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宋体" w:hAnsi="宋体" w:eastAsia="宋体" w:cs="Times New Roman"/>
          <w:b/>
          <w:sz w:val="52"/>
          <w:szCs w:val="21"/>
        </w:rPr>
      </w:pPr>
      <w:bookmarkStart w:id="165" w:name="_GoBack"/>
      <w:bookmarkEnd w:id="165"/>
      <w:r>
        <w:rPr>
          <w:rFonts w:hint="eastAsia" w:ascii="宋体" w:hAnsi="宋体" w:eastAsia="宋体" w:cs="Times New Roman"/>
          <w:b/>
          <w:sz w:val="52"/>
          <w:szCs w:val="21"/>
        </w:rPr>
        <w:t>南城县党风廉政教育中心项目办公家具采购项目</w:t>
      </w:r>
      <w:r>
        <w:rPr>
          <w:rFonts w:ascii="宋体" w:hAnsi="宋体" w:eastAsia="宋体" w:cs="Times New Roman"/>
          <w:b/>
          <w:sz w:val="52"/>
          <w:szCs w:val="21"/>
        </w:rPr>
        <w:t xml:space="preserve"> </w:t>
      </w:r>
    </w:p>
    <w:p>
      <w:pPr>
        <w:spacing w:line="480" w:lineRule="auto"/>
        <w:jc w:val="center"/>
        <w:rPr>
          <w:rFonts w:ascii="宋体" w:hAnsi="宋体" w:eastAsia="宋体" w:cs="Times New Roman"/>
          <w:b/>
          <w:sz w:val="52"/>
          <w:szCs w:val="21"/>
        </w:rPr>
      </w:pPr>
    </w:p>
    <w:p>
      <w:pPr>
        <w:spacing w:line="480" w:lineRule="auto"/>
        <w:jc w:val="center"/>
        <w:rPr>
          <w:rFonts w:ascii="宋体" w:hAnsi="宋体" w:eastAsia="宋体" w:cs="Times New Roman"/>
          <w:b/>
          <w:sz w:val="52"/>
          <w:szCs w:val="21"/>
        </w:rPr>
      </w:pPr>
      <w:r>
        <w:rPr>
          <w:rFonts w:hint="eastAsia" w:ascii="宋体" w:hAnsi="宋体" w:eastAsia="宋体" w:cs="Times New Roman"/>
          <w:b/>
          <w:sz w:val="52"/>
          <w:szCs w:val="21"/>
        </w:rPr>
        <w:t>公开招标文件</w:t>
      </w:r>
    </w:p>
    <w:p>
      <w:pPr>
        <w:spacing w:line="276" w:lineRule="auto"/>
        <w:ind w:firstLine="1280" w:firstLineChars="400"/>
        <w:rPr>
          <w:rFonts w:ascii="宋体" w:hAnsi="宋体" w:eastAsia="宋体" w:cs="仿宋"/>
          <w:b/>
          <w:bCs/>
          <w:sz w:val="32"/>
          <w:szCs w:val="20"/>
        </w:rPr>
      </w:pPr>
    </w:p>
    <w:p>
      <w:pPr>
        <w:autoSpaceDE w:val="0"/>
        <w:autoSpaceDN w:val="0"/>
        <w:adjustRightInd w:val="0"/>
        <w:jc w:val="center"/>
        <w:rPr>
          <w:rFonts w:ascii="Times New Roman" w:hAnsi="Times New Roman" w:eastAsia="宋体" w:cs="Times New Roman"/>
          <w:szCs w:val="24"/>
        </w:rPr>
      </w:pPr>
    </w:p>
    <w:p>
      <w:pPr>
        <w:ind w:left="5250" w:leftChars="2500"/>
        <w:rPr>
          <w:rFonts w:ascii="Times New Roman" w:hAnsi="Times New Roman" w:eastAsia="宋体" w:cs="Times New Roman"/>
          <w:szCs w:val="24"/>
        </w:rPr>
      </w:pPr>
    </w:p>
    <w:p>
      <w:pPr>
        <w:rPr>
          <w:rFonts w:ascii="Times New Roman" w:hAnsi="Times New Roman" w:eastAsia="宋体" w:cs="Times New Roman"/>
          <w:szCs w:val="20"/>
        </w:rPr>
      </w:pPr>
    </w:p>
    <w:p>
      <w:pPr>
        <w:spacing w:line="276" w:lineRule="auto"/>
        <w:ind w:firstLine="1280" w:firstLineChars="400"/>
        <w:jc w:val="center"/>
        <w:rPr>
          <w:rFonts w:ascii="宋体" w:hAnsi="宋体" w:eastAsia="宋体" w:cs="仿宋"/>
          <w:b/>
          <w:bCs/>
          <w:sz w:val="32"/>
          <w:szCs w:val="20"/>
        </w:rPr>
      </w:pPr>
      <w:r>
        <w:rPr>
          <w:rFonts w:hint="eastAsia" w:ascii="宋体" w:hAnsi="宋体" w:eastAsia="宋体" w:cs="仿宋"/>
          <w:b/>
          <w:bCs/>
          <w:sz w:val="32"/>
          <w:szCs w:val="20"/>
        </w:rPr>
        <w:t>项目编号：JXJC-NCCG-2024-003</w:t>
      </w:r>
    </w:p>
    <w:p>
      <w:pPr>
        <w:spacing w:line="276" w:lineRule="auto"/>
        <w:jc w:val="center"/>
        <w:rPr>
          <w:rFonts w:ascii="宋体" w:hAnsi="宋体" w:eastAsia="宋体" w:cs="仿宋"/>
          <w:sz w:val="48"/>
          <w:szCs w:val="20"/>
        </w:rPr>
      </w:pPr>
    </w:p>
    <w:p>
      <w:pPr>
        <w:spacing w:line="276" w:lineRule="auto"/>
        <w:jc w:val="center"/>
        <w:rPr>
          <w:rFonts w:ascii="宋体" w:hAnsi="宋体" w:eastAsia="宋体" w:cs="仿宋"/>
          <w:sz w:val="48"/>
          <w:szCs w:val="20"/>
        </w:rPr>
      </w:pPr>
    </w:p>
    <w:p>
      <w:pPr>
        <w:autoSpaceDE w:val="0"/>
        <w:autoSpaceDN w:val="0"/>
        <w:adjustRightInd w:val="0"/>
        <w:jc w:val="center"/>
        <w:rPr>
          <w:rFonts w:ascii="Times New Roman" w:hAnsi="Times New Roman" w:eastAsia="宋体" w:cs="Times New Roman"/>
          <w:szCs w:val="24"/>
        </w:rPr>
      </w:pPr>
    </w:p>
    <w:p>
      <w:pPr>
        <w:rPr>
          <w:rFonts w:ascii="Times New Roman" w:hAnsi="Times New Roman" w:eastAsia="宋体" w:cs="Times New Roman"/>
          <w:szCs w:val="20"/>
        </w:rPr>
      </w:pPr>
    </w:p>
    <w:p>
      <w:pPr>
        <w:autoSpaceDE w:val="0"/>
        <w:autoSpaceDN w:val="0"/>
        <w:adjustRightInd w:val="0"/>
        <w:jc w:val="center"/>
        <w:rPr>
          <w:rFonts w:ascii="Times New Roman" w:hAnsi="Times New Roman" w:eastAsia="宋体" w:cs="Times New Roman"/>
          <w:szCs w:val="24"/>
        </w:rPr>
      </w:pPr>
    </w:p>
    <w:p>
      <w:pPr>
        <w:spacing w:line="360" w:lineRule="auto"/>
        <w:ind w:firstLine="1280" w:firstLineChars="400"/>
        <w:jc w:val="left"/>
        <w:rPr>
          <w:rFonts w:ascii="宋体" w:hAnsi="宋体" w:eastAsia="宋体" w:cs="Times New Roman"/>
          <w:b/>
          <w:sz w:val="32"/>
          <w:szCs w:val="32"/>
        </w:rPr>
      </w:pPr>
      <w:r>
        <w:rPr>
          <w:rFonts w:hint="eastAsia" w:ascii="宋体" w:hAnsi="宋体" w:eastAsia="宋体" w:cs="Times New Roman"/>
          <w:b/>
          <w:sz w:val="32"/>
          <w:szCs w:val="32"/>
        </w:rPr>
        <w:t>招标单位：南城县城镇建设投资有限公司</w:t>
      </w:r>
    </w:p>
    <w:p>
      <w:pPr>
        <w:spacing w:line="360" w:lineRule="auto"/>
        <w:ind w:firstLine="1280" w:firstLineChars="400"/>
        <w:jc w:val="left"/>
        <w:rPr>
          <w:rFonts w:ascii="宋体" w:hAnsi="宋体" w:eastAsia="宋体" w:cs="Times New Roman"/>
          <w:b/>
          <w:sz w:val="32"/>
          <w:szCs w:val="32"/>
        </w:rPr>
      </w:pPr>
      <w:r>
        <w:rPr>
          <w:rFonts w:hint="eastAsia" w:ascii="宋体" w:hAnsi="宋体" w:eastAsia="宋体" w:cs="Times New Roman"/>
          <w:b/>
          <w:sz w:val="32"/>
          <w:szCs w:val="32"/>
        </w:rPr>
        <w:t>代理公司：江西俱承工程管理有限公司</w:t>
      </w:r>
    </w:p>
    <w:p>
      <w:pPr>
        <w:snapToGrid w:val="0"/>
        <w:spacing w:line="360" w:lineRule="auto"/>
        <w:jc w:val="center"/>
        <w:rPr>
          <w:rFonts w:ascii="宋体" w:hAnsi="宋体" w:eastAsia="宋体" w:cs="Times New Roman"/>
          <w:b/>
          <w:sz w:val="32"/>
          <w:szCs w:val="32"/>
        </w:rPr>
      </w:pPr>
    </w:p>
    <w:p>
      <w:pPr>
        <w:snapToGrid w:val="0"/>
        <w:spacing w:line="360" w:lineRule="auto"/>
        <w:jc w:val="center"/>
        <w:rPr>
          <w:rFonts w:ascii="宋体" w:hAnsi="宋体" w:eastAsia="宋体" w:cs="Times New Roman"/>
          <w:b/>
          <w:sz w:val="32"/>
          <w:szCs w:val="32"/>
        </w:rPr>
      </w:pPr>
    </w:p>
    <w:p>
      <w:pPr>
        <w:spacing w:line="276" w:lineRule="auto"/>
        <w:jc w:val="center"/>
        <w:rPr>
          <w:rFonts w:ascii="宋体" w:hAnsi="宋体" w:eastAsia="宋体" w:cs="仿宋"/>
          <w:b/>
          <w:sz w:val="36"/>
          <w:szCs w:val="20"/>
        </w:rPr>
      </w:pPr>
      <w:r>
        <w:rPr>
          <w:rFonts w:hint="eastAsia" w:ascii="宋体" w:hAnsi="宋体" w:eastAsia="宋体" w:cs="仿宋"/>
          <w:b/>
          <w:sz w:val="36"/>
          <w:szCs w:val="20"/>
        </w:rPr>
        <w:t>二〇二四年二月</w:t>
      </w:r>
      <w:r>
        <w:rPr>
          <w:rFonts w:hint="eastAsia" w:ascii="宋体" w:hAnsi="宋体" w:eastAsia="宋体" w:cs="仿宋"/>
          <w:b/>
          <w:sz w:val="36"/>
          <w:szCs w:val="20"/>
        </w:rPr>
        <w:br w:type="page"/>
      </w:r>
    </w:p>
    <w:p>
      <w:pPr>
        <w:snapToGrid w:val="0"/>
        <w:spacing w:line="360" w:lineRule="auto"/>
        <w:jc w:val="center"/>
        <w:rPr>
          <w:rFonts w:ascii="宋体" w:hAnsi="宋体" w:eastAsia="宋体" w:cs="Times New Roman"/>
          <w:b/>
          <w:sz w:val="32"/>
          <w:szCs w:val="32"/>
        </w:rPr>
      </w:pPr>
      <w:bookmarkStart w:id="0" w:name="_Hlt33182621"/>
      <w:bookmarkEnd w:id="0"/>
      <w:bookmarkStart w:id="1" w:name="_Hlt33182800"/>
      <w:bookmarkEnd w:id="1"/>
      <w:bookmarkStart w:id="2" w:name="_Hlt33182680"/>
      <w:bookmarkEnd w:id="2"/>
      <w:bookmarkStart w:id="3" w:name="_Toc140248639"/>
      <w:bookmarkStart w:id="4" w:name="_Toc467034200"/>
      <w:bookmarkStart w:id="5" w:name="_Toc464451505"/>
      <w:bookmarkStart w:id="6" w:name="_Toc463071786"/>
      <w:bookmarkStart w:id="7" w:name="_Toc33182556"/>
      <w:bookmarkStart w:id="8" w:name="_Toc33182700"/>
      <w:bookmarkStart w:id="9" w:name="_Toc462486138"/>
      <w:bookmarkStart w:id="10" w:name="_Toc462487364"/>
      <w:bookmarkStart w:id="11" w:name="_Toc478897901"/>
      <w:bookmarkStart w:id="12" w:name="_Toc464397400"/>
      <w:bookmarkStart w:id="13" w:name="_Toc14768792"/>
      <w:bookmarkStart w:id="14" w:name="_Toc463071333"/>
      <w:bookmarkStart w:id="15" w:name="_Toc20982"/>
      <w:bookmarkStart w:id="16" w:name="_Toc464457644"/>
      <w:bookmarkStart w:id="17" w:name="_Toc462487363"/>
      <w:bookmarkStart w:id="18" w:name="_Toc8219"/>
      <w:bookmarkStart w:id="19" w:name="_Toc466974279"/>
      <w:bookmarkStart w:id="20" w:name="_Toc29704077"/>
      <w:bookmarkStart w:id="21" w:name="_Toc33182699"/>
      <w:bookmarkStart w:id="22" w:name="_Toc199732720"/>
      <w:bookmarkStart w:id="23" w:name="_Toc22614657"/>
      <w:bookmarkStart w:id="24" w:name="_Toc10457330"/>
      <w:bookmarkStart w:id="25" w:name="_Toc464401353"/>
      <w:bookmarkStart w:id="26" w:name="_Toc463067503"/>
      <w:bookmarkStart w:id="27" w:name="_Toc478889383"/>
      <w:bookmarkStart w:id="28" w:name="_Toc462535886"/>
      <w:bookmarkStart w:id="29" w:name="_Toc462486139"/>
      <w:bookmarkStart w:id="30" w:name="_Toc535299942"/>
      <w:bookmarkStart w:id="31" w:name="_Toc9417273"/>
      <w:bookmarkStart w:id="32" w:name="_Toc464397399"/>
      <w:bookmarkStart w:id="33" w:name="_Toc5446842"/>
      <w:bookmarkStart w:id="34" w:name="_Toc463067502"/>
      <w:bookmarkStart w:id="35" w:name="_Toc535299943"/>
      <w:bookmarkStart w:id="36" w:name="_Toc464457645"/>
      <w:bookmarkStart w:id="37" w:name="_Toc375922114"/>
      <w:bookmarkStart w:id="38" w:name="_Toc33182555"/>
      <w:bookmarkStart w:id="39" w:name="_Toc464451506"/>
      <w:bookmarkStart w:id="40" w:name="_Toc466974278"/>
      <w:bookmarkStart w:id="41" w:name="_Toc467034201"/>
      <w:bookmarkStart w:id="42" w:name="_Toc464401352"/>
      <w:bookmarkStart w:id="43" w:name="_Toc279583689"/>
      <w:bookmarkStart w:id="44" w:name="_Toc463071334"/>
      <w:bookmarkStart w:id="45" w:name="_Toc463071787"/>
      <w:bookmarkStart w:id="46" w:name="_Toc29097539"/>
      <w:bookmarkStart w:id="47" w:name="_Toc375921745"/>
      <w:bookmarkStart w:id="48" w:name="_Toc3988"/>
      <w:r>
        <w:rPr>
          <w:rFonts w:hint="eastAsia" w:ascii="宋体" w:hAnsi="宋体" w:eastAsia="宋体" w:cs="Times New Roman"/>
          <w:b/>
          <w:sz w:val="32"/>
          <w:szCs w:val="32"/>
        </w:rPr>
        <w:t>目   录</w:t>
      </w:r>
    </w:p>
    <w:p>
      <w:pPr>
        <w:pStyle w:val="28"/>
        <w:tabs>
          <w:tab w:val="right" w:leader="dot" w:pos="8296"/>
        </w:tabs>
        <w:rPr>
          <w:rFonts w:asciiTheme="minorHAnsi" w:hAnsiTheme="minorHAnsi" w:eastAsiaTheme="minorEastAsia" w:cstheme="minorBidi"/>
          <w:szCs w:val="22"/>
        </w:rPr>
      </w:pPr>
      <w:r>
        <w:rPr>
          <w:rFonts w:ascii="宋体" w:hAnsi="宋体"/>
          <w:b/>
          <w:bCs/>
          <w:caps/>
          <w:sz w:val="24"/>
          <w:szCs w:val="24"/>
        </w:rPr>
        <w:fldChar w:fldCharType="begin"/>
      </w:r>
      <w:r>
        <w:rPr>
          <w:rFonts w:ascii="宋体" w:hAnsi="宋体"/>
          <w:b/>
          <w:bCs/>
          <w:caps/>
          <w:sz w:val="24"/>
          <w:szCs w:val="24"/>
        </w:rPr>
        <w:instrText xml:space="preserve"> TOC \o "1-3" \h \z \u </w:instrText>
      </w:r>
      <w:r>
        <w:rPr>
          <w:rFonts w:ascii="宋体" w:hAnsi="宋体"/>
          <w:b/>
          <w:bCs/>
          <w:caps/>
          <w:sz w:val="24"/>
          <w:szCs w:val="24"/>
        </w:rPr>
        <w:fldChar w:fldCharType="separate"/>
      </w:r>
      <w:r>
        <w:fldChar w:fldCharType="begin"/>
      </w:r>
      <w:r>
        <w:instrText xml:space="preserve"> HYPERLINK \l "_Toc155100525" </w:instrText>
      </w:r>
      <w:r>
        <w:fldChar w:fldCharType="separate"/>
      </w:r>
      <w:r>
        <w:rPr>
          <w:rStyle w:val="51"/>
          <w:rFonts w:hint="eastAsia" w:ascii="宋体" w:hAnsi="宋体" w:cs="Arial"/>
          <w:b/>
          <w:bCs/>
        </w:rPr>
        <w:t>第一章</w:t>
      </w:r>
      <w:r>
        <w:rPr>
          <w:rStyle w:val="51"/>
          <w:rFonts w:ascii="宋体" w:hAnsi="宋体" w:cs="Arial"/>
          <w:b/>
          <w:bCs/>
        </w:rPr>
        <w:t xml:space="preserve">  </w:t>
      </w:r>
      <w:r>
        <w:rPr>
          <w:rStyle w:val="51"/>
          <w:rFonts w:hint="eastAsia" w:ascii="宋体" w:hAnsi="宋体" w:cs="Arial"/>
          <w:b/>
          <w:bCs/>
        </w:rPr>
        <w:t>投标邀请</w:t>
      </w:r>
      <w:r>
        <w:tab/>
      </w:r>
      <w:r>
        <w:fldChar w:fldCharType="begin"/>
      </w:r>
      <w:r>
        <w:instrText xml:space="preserve"> PAGEREF _Toc155100525 \h </w:instrText>
      </w:r>
      <w:r>
        <w:fldChar w:fldCharType="separate"/>
      </w:r>
      <w:r>
        <w:t>3</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"_Toc155100526" </w:instrText>
      </w:r>
      <w:r>
        <w:fldChar w:fldCharType="separate"/>
      </w:r>
      <w:r>
        <w:rPr>
          <w:rStyle w:val="51"/>
          <w:rFonts w:hint="eastAsia" w:ascii="宋体" w:hAnsi="宋体" w:cs="宋体"/>
          <w:b/>
          <w:bCs/>
        </w:rPr>
        <w:t>一、项目基本情况</w:t>
      </w:r>
      <w:r>
        <w:tab/>
      </w:r>
      <w:r>
        <w:fldChar w:fldCharType="begin"/>
      </w:r>
      <w:r>
        <w:instrText xml:space="preserve"> PAGEREF _Toc155100526 \h </w:instrText>
      </w:r>
      <w:r>
        <w:fldChar w:fldCharType="separate"/>
      </w:r>
      <w:r>
        <w:t>3</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"_Toc155100527" </w:instrText>
      </w:r>
      <w:r>
        <w:fldChar w:fldCharType="separate"/>
      </w:r>
      <w:r>
        <w:rPr>
          <w:rStyle w:val="51"/>
          <w:rFonts w:hint="eastAsia" w:ascii="宋体" w:hAnsi="宋体" w:cs="宋体"/>
          <w:b/>
          <w:bCs/>
        </w:rPr>
        <w:t>二、申请人的资格要求：</w:t>
      </w:r>
      <w:r>
        <w:tab/>
      </w:r>
      <w:r>
        <w:fldChar w:fldCharType="begin"/>
      </w:r>
      <w:r>
        <w:instrText xml:space="preserve"> PAGEREF _Toc155100527 \h </w:instrText>
      </w:r>
      <w:r>
        <w:fldChar w:fldCharType="separate"/>
      </w:r>
      <w:r>
        <w:t>3</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"_Toc155100528" </w:instrText>
      </w:r>
      <w:r>
        <w:fldChar w:fldCharType="separate"/>
      </w:r>
      <w:r>
        <w:rPr>
          <w:rStyle w:val="51"/>
          <w:rFonts w:hint="eastAsia" w:ascii="宋体" w:hAnsi="宋体" w:cs="宋体"/>
          <w:b/>
          <w:bCs/>
        </w:rPr>
        <w:t>三、获取招标文件</w:t>
      </w:r>
      <w:r>
        <w:tab/>
      </w:r>
      <w:r>
        <w:fldChar w:fldCharType="begin"/>
      </w:r>
      <w:r>
        <w:instrText xml:space="preserve"> PAGEREF _Toc155100528 \h </w:instrText>
      </w:r>
      <w:r>
        <w:fldChar w:fldCharType="separate"/>
      </w:r>
      <w:r>
        <w:t>5</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"_Toc155100529" </w:instrText>
      </w:r>
      <w:r>
        <w:fldChar w:fldCharType="separate"/>
      </w:r>
      <w:r>
        <w:rPr>
          <w:rStyle w:val="51"/>
          <w:rFonts w:hint="eastAsia" w:ascii="宋体" w:hAnsi="宋体" w:cs="宋体"/>
          <w:b/>
          <w:bCs/>
        </w:rPr>
        <w:t>四、提交投标文件截止时间、开标时间和地点</w:t>
      </w:r>
      <w:r>
        <w:tab/>
      </w:r>
      <w:r>
        <w:fldChar w:fldCharType="begin"/>
      </w:r>
      <w:r>
        <w:instrText xml:space="preserve"> PAGEREF _Toc155100529 \h </w:instrText>
      </w:r>
      <w:r>
        <w:fldChar w:fldCharType="separate"/>
      </w:r>
      <w:r>
        <w:t>5</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"_Toc155100530" </w:instrText>
      </w:r>
      <w:r>
        <w:fldChar w:fldCharType="separate"/>
      </w:r>
      <w:r>
        <w:rPr>
          <w:rStyle w:val="51"/>
          <w:rFonts w:hint="eastAsia" w:ascii="宋体" w:hAnsi="宋体" w:cs="宋体"/>
          <w:b/>
          <w:bCs/>
        </w:rPr>
        <w:t>五、公告期限</w:t>
      </w:r>
      <w:r>
        <w:tab/>
      </w:r>
      <w:r>
        <w:fldChar w:fldCharType="begin"/>
      </w:r>
      <w:r>
        <w:instrText xml:space="preserve"> PAGEREF _Toc155100530 \h </w:instrText>
      </w:r>
      <w:r>
        <w:fldChar w:fldCharType="separate"/>
      </w:r>
      <w:r>
        <w:t>5</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"_Toc155100531" </w:instrText>
      </w:r>
      <w:r>
        <w:fldChar w:fldCharType="separate"/>
      </w:r>
      <w:r>
        <w:rPr>
          <w:rStyle w:val="51"/>
          <w:rFonts w:hint="eastAsia" w:ascii="宋体" w:hAnsi="宋体" w:cs="宋体"/>
          <w:b/>
          <w:bCs/>
        </w:rPr>
        <w:t>六、其他补充事宜</w:t>
      </w:r>
      <w:r>
        <w:tab/>
      </w:r>
      <w:r>
        <w:fldChar w:fldCharType="begin"/>
      </w:r>
      <w:r>
        <w:instrText xml:space="preserve"> PAGEREF _Toc155100531 \h </w:instrText>
      </w:r>
      <w:r>
        <w:fldChar w:fldCharType="separate"/>
      </w:r>
      <w:r>
        <w:t>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"_Toc155100532" </w:instrText>
      </w:r>
      <w:r>
        <w:fldChar w:fldCharType="separate"/>
      </w:r>
      <w:r>
        <w:rPr>
          <w:rStyle w:val="51"/>
          <w:rFonts w:hint="eastAsia" w:ascii="宋体" w:hAnsi="宋体" w:cs="宋体"/>
          <w:b/>
          <w:bCs/>
        </w:rPr>
        <w:t>七、对本次招标提出询问，请按以下方式联系。</w:t>
      </w:r>
      <w:r>
        <w:tab/>
      </w:r>
      <w:r>
        <w:fldChar w:fldCharType="begin"/>
      </w:r>
      <w:r>
        <w:instrText xml:space="preserve"> PAGEREF _Toc155100532 \h </w:instrText>
      </w:r>
      <w:r>
        <w:fldChar w:fldCharType="separate"/>
      </w:r>
      <w:r>
        <w:t>6</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"_Toc155100534" </w:instrText>
      </w:r>
      <w:r>
        <w:fldChar w:fldCharType="separate"/>
      </w:r>
      <w:r>
        <w:rPr>
          <w:rStyle w:val="51"/>
          <w:rFonts w:hint="eastAsia" w:ascii="宋体" w:hAnsi="宋体" w:cs="Arial"/>
          <w:b/>
          <w:bCs/>
        </w:rPr>
        <w:t>第二章</w:t>
      </w:r>
      <w:r>
        <w:rPr>
          <w:rStyle w:val="51"/>
          <w:rFonts w:ascii="宋体" w:hAnsi="宋体" w:cs="Arial"/>
          <w:b/>
          <w:bCs/>
        </w:rPr>
        <w:t xml:space="preserve">  </w:t>
      </w:r>
      <w:r>
        <w:rPr>
          <w:rStyle w:val="51"/>
          <w:rFonts w:hint="eastAsia" w:ascii="宋体" w:hAnsi="宋体" w:cs="Arial"/>
          <w:b/>
          <w:bCs/>
        </w:rPr>
        <w:t>项目需求一览表</w:t>
      </w:r>
      <w:r>
        <w:tab/>
      </w:r>
      <w:r>
        <w:fldChar w:fldCharType="begin"/>
      </w:r>
      <w:r>
        <w:instrText xml:space="preserve"> PAGEREF _Toc155100534 \h </w:instrText>
      </w:r>
      <w:r>
        <w:fldChar w:fldCharType="separate"/>
      </w:r>
      <w:r>
        <w:t>7</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"_Toc155100535" </w:instrText>
      </w:r>
      <w:r>
        <w:fldChar w:fldCharType="separate"/>
      </w:r>
      <w:r>
        <w:rPr>
          <w:rStyle w:val="51"/>
          <w:rFonts w:hint="eastAsia" w:ascii="宋体" w:hAnsi="宋体" w:cs="宋体"/>
          <w:b/>
        </w:rPr>
        <w:t>一、商务要求</w:t>
      </w:r>
      <w:r>
        <w:tab/>
      </w:r>
      <w:r>
        <w:fldChar w:fldCharType="begin"/>
      </w:r>
      <w:r>
        <w:instrText xml:space="preserve"> PAGEREF _Toc155100535 \h </w:instrText>
      </w:r>
      <w:r>
        <w:fldChar w:fldCharType="separate"/>
      </w:r>
      <w:r>
        <w:t>7</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"_Toc155100536" </w:instrText>
      </w:r>
      <w:r>
        <w:fldChar w:fldCharType="separate"/>
      </w:r>
      <w:r>
        <w:rPr>
          <w:rStyle w:val="51"/>
          <w:rFonts w:hint="eastAsia" w:ascii="宋体" w:hAnsi="宋体" w:cs="宋体"/>
          <w:b/>
        </w:rPr>
        <w:t>二、技术要求</w:t>
      </w:r>
      <w:r>
        <w:tab/>
      </w:r>
      <w:r>
        <w:fldChar w:fldCharType="begin"/>
      </w:r>
      <w:r>
        <w:instrText xml:space="preserve"> PAGEREF _Toc155100536 \h </w:instrText>
      </w:r>
      <w:r>
        <w:fldChar w:fldCharType="separate"/>
      </w:r>
      <w:r>
        <w:t>10</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"_Toc155100537" </w:instrText>
      </w:r>
      <w:r>
        <w:fldChar w:fldCharType="separate"/>
      </w:r>
      <w:r>
        <w:rPr>
          <w:rStyle w:val="51"/>
          <w:rFonts w:ascii="宋体" w:hAnsi="宋体" w:cs="宋体"/>
          <w:b/>
          <w:kern w:val="0"/>
        </w:rPr>
        <w:t>1</w:t>
      </w:r>
      <w:r>
        <w:rPr>
          <w:rStyle w:val="51"/>
          <w:rFonts w:hint="eastAsia" w:ascii="宋体" w:hAnsi="宋体" w:cs="宋体"/>
          <w:b/>
          <w:kern w:val="0"/>
        </w:rPr>
        <w:t>）采购需求</w:t>
      </w:r>
      <w:r>
        <w:tab/>
      </w:r>
      <w:r>
        <w:fldChar w:fldCharType="begin"/>
      </w:r>
      <w:r>
        <w:instrText xml:space="preserve"> PAGEREF _Toc155100537 \h </w:instrText>
      </w:r>
      <w:r>
        <w:fldChar w:fldCharType="separate"/>
      </w:r>
      <w:r>
        <w:t>10</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"_Toc155100538" </w:instrText>
      </w:r>
      <w:r>
        <w:fldChar w:fldCharType="separate"/>
      </w:r>
      <w:r>
        <w:rPr>
          <w:rStyle w:val="51"/>
          <w:rFonts w:ascii="宋体" w:hAnsi="宋体" w:cs="宋体"/>
          <w:b/>
          <w:kern w:val="0"/>
        </w:rPr>
        <w:t>2</w:t>
      </w:r>
      <w:r>
        <w:rPr>
          <w:rStyle w:val="51"/>
          <w:rFonts w:hint="eastAsia" w:ascii="宋体" w:hAnsi="宋体" w:cs="宋体"/>
          <w:b/>
          <w:kern w:val="0"/>
        </w:rPr>
        <w:t>）技术需求</w:t>
      </w:r>
      <w:r>
        <w:tab/>
      </w:r>
      <w:r>
        <w:fldChar w:fldCharType="begin"/>
      </w:r>
      <w:r>
        <w:instrText xml:space="preserve"> PAGEREF _Toc155100538 \h </w:instrText>
      </w:r>
      <w:r>
        <w:fldChar w:fldCharType="separate"/>
      </w:r>
      <w:r>
        <w:t>10</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"_Toc155100539" </w:instrText>
      </w:r>
      <w:r>
        <w:fldChar w:fldCharType="separate"/>
      </w:r>
      <w:r>
        <w:rPr>
          <w:rStyle w:val="51"/>
          <w:rFonts w:hint="eastAsia" w:ascii="宋体" w:hAnsi="宋体" w:cs="Arial"/>
          <w:b/>
          <w:bCs/>
        </w:rPr>
        <w:t>第三章</w:t>
      </w:r>
      <w:r>
        <w:rPr>
          <w:rStyle w:val="51"/>
          <w:rFonts w:ascii="宋体" w:hAnsi="宋体" w:cs="Arial"/>
          <w:b/>
          <w:bCs/>
        </w:rPr>
        <w:t xml:space="preserve">  </w:t>
      </w:r>
      <w:r>
        <w:rPr>
          <w:rStyle w:val="51"/>
          <w:rFonts w:hint="eastAsia" w:ascii="宋体" w:hAnsi="宋体" w:cs="Arial"/>
          <w:b/>
          <w:bCs/>
        </w:rPr>
        <w:t>投标人须知</w:t>
      </w:r>
      <w:r>
        <w:tab/>
      </w:r>
      <w:r>
        <w:fldChar w:fldCharType="begin"/>
      </w:r>
      <w:r>
        <w:instrText xml:space="preserve"> PAGEREF _Toc155100539 \h </w:instrText>
      </w:r>
      <w:r>
        <w:fldChar w:fldCharType="separate"/>
      </w:r>
      <w:r>
        <w:t>26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"_Toc155100540" </w:instrText>
      </w:r>
      <w:r>
        <w:fldChar w:fldCharType="separate"/>
      </w:r>
      <w:r>
        <w:rPr>
          <w:rStyle w:val="51"/>
          <w:rFonts w:hint="eastAsia" w:ascii="宋体" w:hAnsi="宋体" w:cs="宋体"/>
          <w:b/>
        </w:rPr>
        <w:t>一</w:t>
      </w:r>
      <w:r>
        <w:rPr>
          <w:rStyle w:val="51"/>
          <w:rFonts w:ascii="宋体" w:hAnsi="宋体" w:cs="宋体"/>
          <w:b/>
        </w:rPr>
        <w:t xml:space="preserve">  </w:t>
      </w:r>
      <w:r>
        <w:rPr>
          <w:rStyle w:val="51"/>
          <w:rFonts w:hint="eastAsia" w:ascii="宋体" w:hAnsi="宋体" w:cs="宋体"/>
          <w:b/>
        </w:rPr>
        <w:t>说明</w:t>
      </w:r>
      <w:r>
        <w:tab/>
      </w:r>
      <w:r>
        <w:fldChar w:fldCharType="begin"/>
      </w:r>
      <w:r>
        <w:instrText xml:space="preserve"> PAGEREF _Toc155100540 \h </w:instrText>
      </w:r>
      <w:r>
        <w:fldChar w:fldCharType="separate"/>
      </w:r>
      <w:r>
        <w:t>26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"_Toc155100541" </w:instrText>
      </w:r>
      <w:r>
        <w:fldChar w:fldCharType="separate"/>
      </w:r>
      <w:r>
        <w:rPr>
          <w:rStyle w:val="51"/>
          <w:rFonts w:hint="eastAsia" w:ascii="宋体" w:hAnsi="宋体" w:cs="宋体"/>
          <w:b/>
        </w:rPr>
        <w:t>二</w:t>
      </w:r>
      <w:r>
        <w:rPr>
          <w:rStyle w:val="51"/>
          <w:rFonts w:ascii="宋体" w:hAnsi="宋体" w:cs="宋体"/>
          <w:b/>
        </w:rPr>
        <w:t xml:space="preserve">  </w:t>
      </w:r>
      <w:r>
        <w:rPr>
          <w:rStyle w:val="51"/>
          <w:rFonts w:hint="eastAsia" w:ascii="宋体" w:hAnsi="宋体" w:cs="宋体"/>
          <w:b/>
        </w:rPr>
        <w:t>招标文件</w:t>
      </w:r>
      <w:r>
        <w:tab/>
      </w:r>
      <w:r>
        <w:fldChar w:fldCharType="begin"/>
      </w:r>
      <w:r>
        <w:instrText xml:space="preserve"> PAGEREF _Toc155100541 \h </w:instrText>
      </w:r>
      <w:r>
        <w:fldChar w:fldCharType="separate"/>
      </w:r>
      <w:r>
        <w:t>26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"_Toc155100542" </w:instrText>
      </w:r>
      <w:r>
        <w:fldChar w:fldCharType="separate"/>
      </w:r>
      <w:r>
        <w:rPr>
          <w:rStyle w:val="51"/>
          <w:rFonts w:hint="eastAsia" w:ascii="宋体" w:hAnsi="宋体" w:cs="宋体"/>
          <w:b/>
        </w:rPr>
        <w:t>三</w:t>
      </w:r>
      <w:r>
        <w:rPr>
          <w:rStyle w:val="51"/>
          <w:rFonts w:ascii="宋体" w:hAnsi="宋体" w:cs="宋体"/>
          <w:b/>
        </w:rPr>
        <w:t xml:space="preserve">  </w:t>
      </w:r>
      <w:r>
        <w:rPr>
          <w:rStyle w:val="51"/>
          <w:rFonts w:hint="eastAsia" w:ascii="宋体" w:hAnsi="宋体" w:cs="宋体"/>
          <w:b/>
        </w:rPr>
        <w:t>投标文件的编制</w:t>
      </w:r>
      <w:r>
        <w:tab/>
      </w:r>
      <w:r>
        <w:fldChar w:fldCharType="begin"/>
      </w:r>
      <w:r>
        <w:instrText xml:space="preserve"> PAGEREF _Toc155100542 \h </w:instrText>
      </w:r>
      <w:r>
        <w:fldChar w:fldCharType="separate"/>
      </w:r>
      <w:r>
        <w:t>29</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"_Toc155100543" </w:instrText>
      </w:r>
      <w:r>
        <w:fldChar w:fldCharType="separate"/>
      </w:r>
      <w:r>
        <w:rPr>
          <w:rStyle w:val="51"/>
          <w:rFonts w:hint="eastAsia" w:ascii="宋体" w:hAnsi="宋体" w:cs="宋体"/>
          <w:b/>
        </w:rPr>
        <w:t>四</w:t>
      </w:r>
      <w:r>
        <w:rPr>
          <w:rStyle w:val="51"/>
          <w:rFonts w:ascii="宋体" w:hAnsi="宋体" w:cs="宋体"/>
          <w:b/>
        </w:rPr>
        <w:t xml:space="preserve">  </w:t>
      </w:r>
      <w:r>
        <w:rPr>
          <w:rStyle w:val="51"/>
          <w:rFonts w:hint="eastAsia" w:ascii="宋体" w:hAnsi="宋体" w:cs="宋体"/>
          <w:b/>
        </w:rPr>
        <w:t>投标文件的递交</w:t>
      </w:r>
      <w:r>
        <w:tab/>
      </w:r>
      <w:r>
        <w:fldChar w:fldCharType="begin"/>
      </w:r>
      <w:r>
        <w:instrText xml:space="preserve"> PAGEREF _Toc155100543 \h </w:instrText>
      </w:r>
      <w:r>
        <w:fldChar w:fldCharType="separate"/>
      </w:r>
      <w:r>
        <w:t>32</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"_Toc155100544" </w:instrText>
      </w:r>
      <w:r>
        <w:fldChar w:fldCharType="separate"/>
      </w:r>
      <w:r>
        <w:rPr>
          <w:rStyle w:val="51"/>
          <w:rFonts w:hint="eastAsia" w:ascii="宋体" w:hAnsi="宋体" w:cs="宋体"/>
          <w:b/>
        </w:rPr>
        <w:t>五</w:t>
      </w:r>
      <w:r>
        <w:rPr>
          <w:rStyle w:val="51"/>
          <w:rFonts w:ascii="宋体" w:hAnsi="宋体" w:cs="宋体"/>
          <w:b/>
        </w:rPr>
        <w:t xml:space="preserve">  </w:t>
      </w:r>
      <w:r>
        <w:rPr>
          <w:rStyle w:val="51"/>
          <w:rFonts w:hint="eastAsia" w:ascii="宋体" w:hAnsi="宋体" w:cs="宋体"/>
          <w:b/>
        </w:rPr>
        <w:t>开标与评标</w:t>
      </w:r>
      <w:r>
        <w:tab/>
      </w:r>
      <w:r>
        <w:fldChar w:fldCharType="begin"/>
      </w:r>
      <w:r>
        <w:instrText xml:space="preserve"> PAGEREF _Toc155100544 \h </w:instrText>
      </w:r>
      <w:r>
        <w:fldChar w:fldCharType="separate"/>
      </w:r>
      <w:r>
        <w:t>33</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"_Toc155100545" </w:instrText>
      </w:r>
      <w:r>
        <w:fldChar w:fldCharType="separate"/>
      </w:r>
      <w:r>
        <w:rPr>
          <w:rStyle w:val="51"/>
          <w:rFonts w:hint="eastAsia" w:ascii="宋体" w:hAnsi="宋体" w:cs="宋体"/>
          <w:b/>
        </w:rPr>
        <w:t>评审标准</w:t>
      </w:r>
      <w:r>
        <w:tab/>
      </w:r>
      <w:r>
        <w:fldChar w:fldCharType="begin"/>
      </w:r>
      <w:r>
        <w:instrText xml:space="preserve"> PAGEREF _Toc155100545 \h </w:instrText>
      </w:r>
      <w:r>
        <w:fldChar w:fldCharType="separate"/>
      </w:r>
      <w:r>
        <w:t>40</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"_Toc155100546" </w:instrText>
      </w:r>
      <w:r>
        <w:fldChar w:fldCharType="separate"/>
      </w:r>
      <w:r>
        <w:rPr>
          <w:rStyle w:val="51"/>
          <w:rFonts w:hint="eastAsia" w:ascii="宋体" w:hAnsi="宋体" w:cs="宋体"/>
          <w:b/>
        </w:rPr>
        <w:t>六</w:t>
      </w:r>
      <w:r>
        <w:rPr>
          <w:rStyle w:val="51"/>
          <w:rFonts w:ascii="宋体" w:hAnsi="宋体" w:cs="宋体"/>
          <w:b/>
        </w:rPr>
        <w:t xml:space="preserve">  </w:t>
      </w:r>
      <w:r>
        <w:rPr>
          <w:rStyle w:val="51"/>
          <w:rFonts w:hint="eastAsia" w:ascii="宋体" w:hAnsi="宋体" w:cs="宋体"/>
          <w:b/>
        </w:rPr>
        <w:t>授予合同</w:t>
      </w:r>
      <w:r>
        <w:tab/>
      </w:r>
      <w:r>
        <w:fldChar w:fldCharType="begin"/>
      </w:r>
      <w:r>
        <w:instrText xml:space="preserve"> PAGEREF _Toc155100546 \h </w:instrText>
      </w:r>
      <w:r>
        <w:fldChar w:fldCharType="separate"/>
      </w:r>
      <w:r>
        <w:t>50</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"_Toc155100547" </w:instrText>
      </w:r>
      <w:r>
        <w:fldChar w:fldCharType="separate"/>
      </w:r>
      <w:r>
        <w:rPr>
          <w:rStyle w:val="51"/>
          <w:rFonts w:hint="eastAsia" w:ascii="宋体" w:hAnsi="宋体" w:cs="宋体"/>
          <w:b/>
          <w:bCs/>
        </w:rPr>
        <w:t>合</w:t>
      </w:r>
      <w:r>
        <w:rPr>
          <w:rStyle w:val="51"/>
          <w:rFonts w:ascii="宋体" w:hAnsi="宋体" w:cs="宋体"/>
          <w:b/>
          <w:bCs/>
        </w:rPr>
        <w:t xml:space="preserve"> </w:t>
      </w:r>
      <w:r>
        <w:rPr>
          <w:rStyle w:val="51"/>
          <w:rFonts w:hint="eastAsia" w:ascii="宋体" w:hAnsi="宋体" w:cs="宋体"/>
          <w:b/>
          <w:bCs/>
        </w:rPr>
        <w:t>同</w:t>
      </w:r>
      <w:r>
        <w:rPr>
          <w:rStyle w:val="51"/>
          <w:rFonts w:ascii="宋体" w:hAnsi="宋体" w:cs="宋体"/>
          <w:b/>
          <w:bCs/>
        </w:rPr>
        <w:t xml:space="preserve"> </w:t>
      </w:r>
      <w:r>
        <w:rPr>
          <w:rStyle w:val="51"/>
          <w:rFonts w:hint="eastAsia" w:ascii="宋体" w:hAnsi="宋体" w:cs="宋体"/>
          <w:b/>
          <w:bCs/>
        </w:rPr>
        <w:t>书</w:t>
      </w:r>
      <w:r>
        <w:tab/>
      </w:r>
      <w:r>
        <w:fldChar w:fldCharType="begin"/>
      </w:r>
      <w:r>
        <w:instrText xml:space="preserve"> PAGEREF _Toc155100547 \h </w:instrText>
      </w:r>
      <w:r>
        <w:fldChar w:fldCharType="separate"/>
      </w:r>
      <w:r>
        <w:t>52</w:t>
      </w:r>
      <w:r>
        <w:fldChar w:fldCharType="end"/>
      </w:r>
      <w:r>
        <w:fldChar w:fldCharType="end"/>
      </w:r>
    </w:p>
    <w:p>
      <w:pPr>
        <w:pStyle w:val="28"/>
        <w:tabs>
          <w:tab w:val="right" w:leader="dot" w:pos="8296"/>
        </w:tabs>
        <w:rPr>
          <w:rFonts w:asciiTheme="minorHAnsi" w:hAnsiTheme="minorHAnsi" w:eastAsiaTheme="minorEastAsia" w:cstheme="minorBidi"/>
          <w:szCs w:val="22"/>
        </w:rPr>
      </w:pPr>
      <w:r>
        <w:fldChar w:fldCharType="begin"/>
      </w:r>
      <w:r>
        <w:instrText xml:space="preserve"> HYPERLINK \l "_Toc155100548" </w:instrText>
      </w:r>
      <w:r>
        <w:fldChar w:fldCharType="separate"/>
      </w:r>
      <w:r>
        <w:rPr>
          <w:rStyle w:val="51"/>
          <w:rFonts w:hint="eastAsia" w:ascii="宋体" w:hAnsi="宋体" w:cs="宋体"/>
          <w:b/>
          <w:bCs/>
        </w:rPr>
        <w:t>第五章</w:t>
      </w:r>
      <w:r>
        <w:rPr>
          <w:rStyle w:val="51"/>
          <w:rFonts w:ascii="宋体" w:hAnsi="宋体" w:cs="宋体"/>
          <w:b/>
          <w:bCs/>
        </w:rPr>
        <w:t xml:space="preserve">  </w:t>
      </w:r>
      <w:r>
        <w:rPr>
          <w:rStyle w:val="51"/>
          <w:rFonts w:hint="eastAsia" w:ascii="宋体" w:hAnsi="宋体" w:cs="宋体"/>
          <w:b/>
          <w:bCs/>
        </w:rPr>
        <w:t>附件</w:t>
      </w:r>
      <w:r>
        <w:tab/>
      </w:r>
      <w:r>
        <w:fldChar w:fldCharType="begin"/>
      </w:r>
      <w:r>
        <w:instrText xml:space="preserve"> PAGEREF _Toc155100548 \h </w:instrText>
      </w:r>
      <w:r>
        <w:fldChar w:fldCharType="separate"/>
      </w:r>
      <w:r>
        <w:t>56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"_Toc155100549" </w:instrText>
      </w:r>
      <w:r>
        <w:fldChar w:fldCharType="separate"/>
      </w:r>
      <w:r>
        <w:rPr>
          <w:rStyle w:val="51"/>
          <w:rFonts w:ascii="宋体" w:hAnsi="宋体" w:cs="宋体"/>
          <w:b/>
        </w:rPr>
        <w:t>1.</w:t>
      </w:r>
      <w:r>
        <w:rPr>
          <w:rStyle w:val="51"/>
          <w:rFonts w:hint="eastAsia" w:ascii="宋体" w:hAnsi="宋体" w:cs="宋体"/>
          <w:b/>
        </w:rPr>
        <w:t>投标书</w:t>
      </w:r>
      <w:r>
        <w:tab/>
      </w:r>
      <w:r>
        <w:fldChar w:fldCharType="begin"/>
      </w:r>
      <w:r>
        <w:instrText xml:space="preserve"> PAGEREF _Toc155100549 \h </w:instrText>
      </w:r>
      <w:r>
        <w:fldChar w:fldCharType="separate"/>
      </w:r>
      <w:r>
        <w:t>56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"_Toc155100550" </w:instrText>
      </w:r>
      <w:r>
        <w:fldChar w:fldCharType="separate"/>
      </w:r>
      <w:r>
        <w:rPr>
          <w:rStyle w:val="51"/>
          <w:rFonts w:ascii="宋体" w:hAnsi="宋体"/>
          <w:b/>
        </w:rPr>
        <w:t>2.</w:t>
      </w:r>
      <w:r>
        <w:rPr>
          <w:rStyle w:val="51"/>
          <w:rFonts w:hint="eastAsia" w:ascii="宋体" w:hAnsi="宋体"/>
          <w:b/>
        </w:rPr>
        <w:t>报价一览表</w:t>
      </w:r>
      <w:r>
        <w:tab/>
      </w:r>
      <w:r>
        <w:fldChar w:fldCharType="begin"/>
      </w:r>
      <w:r>
        <w:instrText xml:space="preserve"> PAGEREF _Toc155100550 \h </w:instrText>
      </w:r>
      <w:r>
        <w:fldChar w:fldCharType="separate"/>
      </w:r>
      <w:r>
        <w:t>57</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"_Toc155100551" </w:instrText>
      </w:r>
      <w:r>
        <w:fldChar w:fldCharType="separate"/>
      </w:r>
      <w:r>
        <w:rPr>
          <w:rStyle w:val="51"/>
          <w:rFonts w:ascii="宋体" w:hAnsi="宋体" w:cs="宋体"/>
          <w:b/>
        </w:rPr>
        <w:t>3.</w:t>
      </w:r>
      <w:r>
        <w:rPr>
          <w:rStyle w:val="51"/>
          <w:rFonts w:hint="eastAsia" w:ascii="宋体" w:hAnsi="宋体" w:cs="宋体"/>
          <w:b/>
        </w:rPr>
        <w:t>开标一览明细表（分项报价明细）</w:t>
      </w:r>
      <w:r>
        <w:tab/>
      </w:r>
      <w:r>
        <w:fldChar w:fldCharType="begin"/>
      </w:r>
      <w:r>
        <w:instrText xml:space="preserve"> PAGEREF _Toc155100551 \h </w:instrText>
      </w:r>
      <w:r>
        <w:fldChar w:fldCharType="separate"/>
      </w:r>
      <w:r>
        <w:t>58</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"_Toc155100552" </w:instrText>
      </w:r>
      <w:r>
        <w:fldChar w:fldCharType="separate"/>
      </w:r>
      <w:r>
        <w:rPr>
          <w:rStyle w:val="51"/>
          <w:rFonts w:ascii="宋体" w:hAnsi="宋体" w:cs="宋体"/>
          <w:b/>
        </w:rPr>
        <w:t>4.</w:t>
      </w:r>
      <w:r>
        <w:rPr>
          <w:rStyle w:val="51"/>
          <w:rFonts w:hint="eastAsia" w:ascii="宋体" w:hAnsi="宋体" w:cs="宋体"/>
          <w:b/>
        </w:rPr>
        <w:t>技术响应、偏离说明表</w:t>
      </w:r>
      <w:r>
        <w:tab/>
      </w:r>
      <w:r>
        <w:fldChar w:fldCharType="begin"/>
      </w:r>
      <w:r>
        <w:instrText xml:space="preserve"> PAGEREF _Toc155100552 \h </w:instrText>
      </w:r>
      <w:r>
        <w:fldChar w:fldCharType="separate"/>
      </w:r>
      <w:r>
        <w:t>59</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"_Toc155100553" </w:instrText>
      </w:r>
      <w:r>
        <w:fldChar w:fldCharType="separate"/>
      </w:r>
      <w:r>
        <w:rPr>
          <w:rStyle w:val="51"/>
          <w:rFonts w:ascii="宋体" w:hAnsi="宋体" w:cs="宋体"/>
          <w:b/>
        </w:rPr>
        <w:t>5.</w:t>
      </w:r>
      <w:r>
        <w:rPr>
          <w:rStyle w:val="51"/>
          <w:rFonts w:hint="eastAsia" w:ascii="宋体" w:hAnsi="宋体" w:cs="宋体"/>
          <w:b/>
        </w:rPr>
        <w:t>商务响应、偏离说明表</w:t>
      </w:r>
      <w:r>
        <w:tab/>
      </w:r>
      <w:r>
        <w:fldChar w:fldCharType="begin"/>
      </w:r>
      <w:r>
        <w:instrText xml:space="preserve"> PAGEREF _Toc155100553 \h </w:instrText>
      </w:r>
      <w:r>
        <w:fldChar w:fldCharType="separate"/>
      </w:r>
      <w:r>
        <w:t>60</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"_Toc155100554" </w:instrText>
      </w:r>
      <w:r>
        <w:fldChar w:fldCharType="separate"/>
      </w:r>
      <w:r>
        <w:rPr>
          <w:rStyle w:val="51"/>
          <w:rFonts w:ascii="宋体" w:hAnsi="宋体" w:cs="宋体"/>
          <w:b/>
        </w:rPr>
        <w:t>6.</w:t>
      </w:r>
      <w:r>
        <w:rPr>
          <w:rStyle w:val="51"/>
          <w:rFonts w:hint="eastAsia" w:ascii="宋体" w:hAnsi="宋体" w:cs="宋体"/>
          <w:b/>
        </w:rPr>
        <w:t>技术文件</w:t>
      </w:r>
      <w:r>
        <w:tab/>
      </w:r>
      <w:r>
        <w:fldChar w:fldCharType="begin"/>
      </w:r>
      <w:r>
        <w:instrText xml:space="preserve"> PAGEREF _Toc155100554 \h </w:instrText>
      </w:r>
      <w:r>
        <w:fldChar w:fldCharType="separate"/>
      </w:r>
      <w:r>
        <w:t>61</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"_Toc155100555" </w:instrText>
      </w:r>
      <w:r>
        <w:fldChar w:fldCharType="separate"/>
      </w:r>
      <w:r>
        <w:rPr>
          <w:rStyle w:val="51"/>
          <w:rFonts w:ascii="宋体" w:hAnsi="宋体" w:cs="宋体"/>
          <w:b/>
        </w:rPr>
        <w:t>7.</w:t>
      </w:r>
      <w:r>
        <w:rPr>
          <w:rStyle w:val="51"/>
          <w:rFonts w:hint="eastAsia" w:ascii="宋体" w:hAnsi="宋体" w:cs="宋体"/>
          <w:b/>
        </w:rPr>
        <w:t>关于资格的声明函</w:t>
      </w:r>
      <w:r>
        <w:tab/>
      </w:r>
      <w:r>
        <w:fldChar w:fldCharType="begin"/>
      </w:r>
      <w:r>
        <w:instrText xml:space="preserve"> PAGEREF _Toc155100555 \h </w:instrText>
      </w:r>
      <w:r>
        <w:fldChar w:fldCharType="separate"/>
      </w:r>
      <w:r>
        <w:t>62</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"_Toc155100556" </w:instrText>
      </w:r>
      <w:r>
        <w:fldChar w:fldCharType="separate"/>
      </w:r>
      <w:r>
        <w:rPr>
          <w:rStyle w:val="51"/>
          <w:rFonts w:ascii="宋体" w:hAnsi="宋体" w:cs="宋体"/>
          <w:b/>
        </w:rPr>
        <w:t>8</w:t>
      </w:r>
      <w:r>
        <w:rPr>
          <w:rStyle w:val="51"/>
          <w:rFonts w:hint="eastAsia" w:ascii="宋体" w:hAnsi="宋体" w:cs="宋体"/>
          <w:b/>
        </w:rPr>
        <w:t>．法定代表人证明书</w:t>
      </w:r>
      <w:r>
        <w:tab/>
      </w:r>
      <w:r>
        <w:fldChar w:fldCharType="begin"/>
      </w:r>
      <w:r>
        <w:instrText xml:space="preserve"> PAGEREF _Toc155100556 \h </w:instrText>
      </w:r>
      <w:r>
        <w:fldChar w:fldCharType="separate"/>
      </w:r>
      <w:r>
        <w:t>63</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"_Toc155100557" </w:instrText>
      </w:r>
      <w:r>
        <w:fldChar w:fldCharType="separate"/>
      </w:r>
      <w:r>
        <w:rPr>
          <w:rStyle w:val="51"/>
          <w:rFonts w:ascii="宋体" w:hAnsi="宋体" w:cs="宋体"/>
          <w:b/>
        </w:rPr>
        <w:t>9.</w:t>
      </w:r>
      <w:r>
        <w:rPr>
          <w:rStyle w:val="51"/>
          <w:rFonts w:hint="eastAsia" w:ascii="宋体" w:hAnsi="宋体" w:cs="宋体"/>
          <w:b/>
        </w:rPr>
        <w:t>法人授权委托证明书</w:t>
      </w:r>
      <w:r>
        <w:tab/>
      </w:r>
      <w:r>
        <w:fldChar w:fldCharType="begin"/>
      </w:r>
      <w:r>
        <w:instrText xml:space="preserve"> PAGEREF _Toc155100557 \h </w:instrText>
      </w:r>
      <w:r>
        <w:fldChar w:fldCharType="separate"/>
      </w:r>
      <w:r>
        <w:t>64</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"_Toc155100558" </w:instrText>
      </w:r>
      <w:r>
        <w:fldChar w:fldCharType="separate"/>
      </w:r>
      <w:r>
        <w:rPr>
          <w:rStyle w:val="51"/>
          <w:rFonts w:ascii="宋体" w:hAnsi="宋体" w:cs="宋体"/>
          <w:b/>
        </w:rPr>
        <w:t>10.</w:t>
      </w:r>
      <w:r>
        <w:rPr>
          <w:rStyle w:val="51"/>
          <w:rFonts w:hint="eastAsia" w:ascii="宋体" w:hAnsi="宋体" w:cs="宋体"/>
          <w:b/>
        </w:rPr>
        <w:t>主要成功案例</w:t>
      </w:r>
      <w:r>
        <w:tab/>
      </w:r>
      <w:r>
        <w:fldChar w:fldCharType="begin"/>
      </w:r>
      <w:r>
        <w:instrText xml:space="preserve"> PAGEREF _Toc155100558 \h </w:instrText>
      </w:r>
      <w:r>
        <w:fldChar w:fldCharType="separate"/>
      </w:r>
      <w:r>
        <w:t>65</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"_Toc155100559" </w:instrText>
      </w:r>
      <w:r>
        <w:fldChar w:fldCharType="separate"/>
      </w:r>
      <w:r>
        <w:rPr>
          <w:rStyle w:val="51"/>
          <w:rFonts w:ascii="宋体" w:hAnsi="宋体" w:cs="宋体"/>
          <w:b/>
        </w:rPr>
        <w:t xml:space="preserve">11. </w:t>
      </w:r>
      <w:r>
        <w:rPr>
          <w:rStyle w:val="51"/>
          <w:rFonts w:hint="eastAsia" w:ascii="宋体" w:hAnsi="宋体" w:cs="宋体"/>
          <w:b/>
        </w:rPr>
        <w:t>资格证明文件</w:t>
      </w:r>
      <w:r>
        <w:tab/>
      </w:r>
      <w:r>
        <w:fldChar w:fldCharType="begin"/>
      </w:r>
      <w:r>
        <w:instrText xml:space="preserve"> PAGEREF _Toc155100559 \h </w:instrText>
      </w:r>
      <w:r>
        <w:fldChar w:fldCharType="separate"/>
      </w:r>
      <w:r>
        <w:t>66</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"_Toc155100560" </w:instrText>
      </w:r>
      <w:r>
        <w:fldChar w:fldCharType="separate"/>
      </w:r>
      <w:r>
        <w:rPr>
          <w:rStyle w:val="51"/>
          <w:rFonts w:ascii="宋体" w:hAnsi="宋体" w:cs="宋体"/>
          <w:b/>
        </w:rPr>
        <w:t>12</w:t>
      </w:r>
      <w:r>
        <w:rPr>
          <w:rStyle w:val="51"/>
          <w:rFonts w:hint="eastAsia" w:ascii="宋体" w:hAnsi="宋体" w:cs="宋体"/>
          <w:b/>
        </w:rPr>
        <w:t>、采购供应商资格信用承诺函</w:t>
      </w:r>
      <w:r>
        <w:tab/>
      </w:r>
      <w:r>
        <w:fldChar w:fldCharType="begin"/>
      </w:r>
      <w:r>
        <w:instrText xml:space="preserve"> PAGEREF _Toc155100560 \h </w:instrText>
      </w:r>
      <w:r>
        <w:fldChar w:fldCharType="separate"/>
      </w:r>
      <w:r>
        <w:t>68</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"_Toc155100561" </w:instrText>
      </w:r>
      <w:r>
        <w:fldChar w:fldCharType="separate"/>
      </w:r>
      <w:r>
        <w:rPr>
          <w:rStyle w:val="51"/>
          <w:rFonts w:ascii="宋体" w:hAnsi="宋体" w:cs="宋体"/>
          <w:b/>
        </w:rPr>
        <w:t>13.</w:t>
      </w:r>
      <w:r>
        <w:rPr>
          <w:rStyle w:val="51"/>
          <w:rFonts w:hint="eastAsia" w:ascii="宋体" w:hAnsi="宋体" w:cs="宋体"/>
          <w:b/>
        </w:rPr>
        <w:t>中小企业声明函（货物）</w:t>
      </w:r>
      <w:r>
        <w:tab/>
      </w:r>
      <w:r>
        <w:fldChar w:fldCharType="begin"/>
      </w:r>
      <w:r>
        <w:instrText xml:space="preserve"> PAGEREF _Toc155100561 \h </w:instrText>
      </w:r>
      <w:r>
        <w:fldChar w:fldCharType="separate"/>
      </w:r>
      <w:r>
        <w:t>69</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"_Toc155100562" </w:instrText>
      </w:r>
      <w:r>
        <w:fldChar w:fldCharType="separate"/>
      </w:r>
      <w:r>
        <w:rPr>
          <w:rStyle w:val="51"/>
          <w:rFonts w:ascii="宋体" w:hAnsi="宋体" w:cs="宋体"/>
          <w:b/>
        </w:rPr>
        <w:t>14.</w:t>
      </w:r>
      <w:r>
        <w:rPr>
          <w:rStyle w:val="51"/>
          <w:rFonts w:hint="eastAsia" w:ascii="宋体" w:hAnsi="宋体" w:cs="宋体"/>
          <w:b/>
        </w:rPr>
        <w:t>省级以上监狱管理局、戒毒管理局（含新疆生产建设兵团）出具的属于监狱企业</w:t>
      </w:r>
      <w:r>
        <w:rPr>
          <w:rStyle w:val="51"/>
          <w:rFonts w:ascii="宋体" w:hAnsi="宋体" w:cs="宋体"/>
          <w:b/>
        </w:rPr>
        <w:t xml:space="preserve"> </w:t>
      </w:r>
      <w:r>
        <w:rPr>
          <w:rStyle w:val="51"/>
          <w:rFonts w:hint="eastAsia" w:ascii="宋体" w:hAnsi="宋体" w:cs="宋体"/>
          <w:b/>
        </w:rPr>
        <w:t>证明文件</w:t>
      </w:r>
      <w:r>
        <w:tab/>
      </w:r>
      <w:r>
        <w:fldChar w:fldCharType="begin"/>
      </w:r>
      <w:r>
        <w:instrText xml:space="preserve"> PAGEREF _Toc155100562 \h </w:instrText>
      </w:r>
      <w:r>
        <w:fldChar w:fldCharType="separate"/>
      </w:r>
      <w:r>
        <w:t>70</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"_Toc155100563" </w:instrText>
      </w:r>
      <w:r>
        <w:fldChar w:fldCharType="separate"/>
      </w:r>
      <w:r>
        <w:rPr>
          <w:rStyle w:val="51"/>
          <w:rFonts w:ascii="宋体" w:hAnsi="宋体" w:cs="宋体"/>
          <w:b/>
        </w:rPr>
        <w:t>15.</w:t>
      </w:r>
      <w:r>
        <w:rPr>
          <w:rStyle w:val="51"/>
          <w:rFonts w:hint="eastAsia" w:ascii="宋体" w:hAnsi="宋体" w:cs="宋体"/>
          <w:b/>
        </w:rPr>
        <w:t>残疾人福利性单位声明函</w:t>
      </w:r>
      <w:r>
        <w:tab/>
      </w:r>
      <w:r>
        <w:fldChar w:fldCharType="begin"/>
      </w:r>
      <w:r>
        <w:instrText xml:space="preserve"> PAGEREF _Toc155100563 \h </w:instrText>
      </w:r>
      <w:r>
        <w:fldChar w:fldCharType="separate"/>
      </w:r>
      <w:r>
        <w:t>71</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"_Toc155100564" </w:instrText>
      </w:r>
      <w:r>
        <w:fldChar w:fldCharType="separate"/>
      </w:r>
      <w:r>
        <w:rPr>
          <w:rStyle w:val="51"/>
          <w:rFonts w:ascii="宋体" w:hAnsi="宋体" w:cs="宋体"/>
          <w:b/>
        </w:rPr>
        <w:t>16.</w:t>
      </w:r>
      <w:r>
        <w:rPr>
          <w:rStyle w:val="51"/>
          <w:rFonts w:hint="eastAsia" w:ascii="宋体" w:hAnsi="宋体" w:cs="宋体"/>
          <w:b/>
        </w:rPr>
        <w:t>投标人信用证明操作步骤</w:t>
      </w:r>
      <w:r>
        <w:tab/>
      </w:r>
      <w:r>
        <w:fldChar w:fldCharType="begin"/>
      </w:r>
      <w:r>
        <w:instrText xml:space="preserve"> PAGEREF _Toc155100564 \h </w:instrText>
      </w:r>
      <w:r>
        <w:fldChar w:fldCharType="separate"/>
      </w:r>
      <w:r>
        <w:t>72</w:t>
      </w:r>
      <w:r>
        <w:fldChar w:fldCharType="end"/>
      </w:r>
      <w:r>
        <w:fldChar w:fldCharType="end"/>
      </w:r>
    </w:p>
    <w:p>
      <w:pPr>
        <w:pStyle w:val="33"/>
        <w:tabs>
          <w:tab w:val="right" w:leader="dot" w:pos="8296"/>
        </w:tabs>
        <w:rPr>
          <w:rFonts w:asciiTheme="minorHAnsi" w:hAnsiTheme="minorHAnsi" w:eastAsiaTheme="minorEastAsia" w:cstheme="minorBidi"/>
          <w:szCs w:val="22"/>
        </w:rPr>
      </w:pPr>
      <w:r>
        <w:fldChar w:fldCharType="begin"/>
      </w:r>
      <w:r>
        <w:instrText xml:space="preserve"> HYPERLINK \l "_Toc155100569" </w:instrText>
      </w:r>
      <w:r>
        <w:fldChar w:fldCharType="separate"/>
      </w:r>
      <w:r>
        <w:rPr>
          <w:rStyle w:val="51"/>
          <w:rFonts w:ascii="宋体" w:hAnsi="宋体" w:cs="宋体"/>
          <w:b/>
        </w:rPr>
        <w:t>17.</w:t>
      </w:r>
      <w:r>
        <w:rPr>
          <w:rStyle w:val="51"/>
          <w:rFonts w:hint="eastAsia" w:ascii="宋体" w:hAnsi="宋体" w:cs="宋体"/>
          <w:b/>
        </w:rPr>
        <w:t>保证金汇款凭证</w:t>
      </w:r>
      <w:r>
        <w:tab/>
      </w:r>
      <w:r>
        <w:fldChar w:fldCharType="begin"/>
      </w:r>
      <w:r>
        <w:instrText xml:space="preserve"> PAGEREF _Toc155100569 \h </w:instrText>
      </w:r>
      <w:r>
        <w:fldChar w:fldCharType="separate"/>
      </w:r>
      <w:r>
        <w:t>73</w:t>
      </w:r>
      <w:r>
        <w:fldChar w:fldCharType="end"/>
      </w:r>
      <w:r>
        <w:fldChar w:fldCharType="end"/>
      </w:r>
    </w:p>
    <w:p>
      <w:pPr>
        <w:spacing w:line="360" w:lineRule="auto"/>
        <w:rPr>
          <w:rFonts w:ascii="宋体" w:hAnsi="宋体" w:eastAsia="宋体" w:cs="Times New Roman"/>
          <w:sz w:val="24"/>
          <w:szCs w:val="24"/>
        </w:rPr>
      </w:pPr>
      <w:r>
        <w:rPr>
          <w:rFonts w:ascii="宋体" w:hAnsi="宋体" w:eastAsia="宋体" w:cs="Times New Roman"/>
          <w:szCs w:val="24"/>
        </w:rPr>
        <w:fldChar w:fldCharType="end"/>
      </w:r>
    </w:p>
    <w:p>
      <w:pPr>
        <w:spacing w:line="440" w:lineRule="exact"/>
        <w:jc w:val="center"/>
        <w:outlineLvl w:val="0"/>
        <w:rPr>
          <w:rFonts w:ascii="宋体" w:hAnsi="宋体" w:eastAsia="宋体" w:cs="Arial"/>
          <w:b/>
          <w:bCs/>
          <w:sz w:val="44"/>
          <w:szCs w:val="44"/>
        </w:rPr>
      </w:pPr>
      <w:r>
        <w:rPr>
          <w:rFonts w:ascii="宋体" w:hAnsi="宋体" w:eastAsia="宋体" w:cs="Arial"/>
          <w:b/>
          <w:bCs/>
          <w:sz w:val="24"/>
          <w:szCs w:val="32"/>
        </w:rPr>
        <w:br w:type="page"/>
      </w:r>
      <w:r>
        <w:rPr>
          <w:rFonts w:hint="eastAsia" w:ascii="宋体" w:hAnsi="宋体" w:eastAsia="宋体" w:cs="Arial"/>
          <w:b/>
          <w:bCs/>
          <w:sz w:val="36"/>
          <w:szCs w:val="36"/>
        </w:rPr>
        <w:t xml:space="preserve"> </w:t>
      </w:r>
      <w:bookmarkStart w:id="49" w:name="_Toc155100525"/>
      <w:r>
        <w:rPr>
          <w:rFonts w:hint="eastAsia" w:ascii="宋体" w:hAnsi="宋体" w:eastAsia="宋体" w:cs="Arial"/>
          <w:b/>
          <w:bCs/>
          <w:sz w:val="36"/>
          <w:szCs w:val="36"/>
        </w:rPr>
        <w:t xml:space="preserve">第一章 </w:t>
      </w:r>
      <w:r>
        <w:rPr>
          <w:rFonts w:ascii="宋体" w:hAnsi="宋体" w:eastAsia="宋体" w:cs="Arial"/>
          <w:b/>
          <w:bCs/>
          <w:sz w:val="36"/>
          <w:szCs w:val="36"/>
        </w:rPr>
        <w:t xml:space="preserve"> </w:t>
      </w:r>
      <w:r>
        <w:rPr>
          <w:rFonts w:hint="eastAsia" w:ascii="宋体" w:hAnsi="宋体" w:eastAsia="宋体" w:cs="Arial"/>
          <w:b/>
          <w:bCs/>
          <w:sz w:val="36"/>
          <w:szCs w:val="36"/>
        </w:rPr>
        <w:t>投标邀请</w:t>
      </w:r>
      <w:bookmarkEnd w:id="49"/>
    </w:p>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Pr>
        <w:pBdr>
          <w:top w:val="single" w:color="auto" w:sz="4" w:space="1"/>
          <w:left w:val="single" w:color="auto" w:sz="4" w:space="4"/>
          <w:bottom w:val="single" w:color="auto" w:sz="4" w:space="1"/>
          <w:right w:val="single" w:color="auto" w:sz="4" w:space="4"/>
        </w:pBdr>
        <w:spacing w:line="360" w:lineRule="auto"/>
        <w:rPr>
          <w:rFonts w:ascii="宋体" w:hAnsi="宋体" w:eastAsia="宋体" w:cs="宋体"/>
          <w:sz w:val="24"/>
          <w:szCs w:val="24"/>
        </w:rPr>
      </w:pPr>
      <w:r>
        <w:rPr>
          <w:rFonts w:hint="eastAsia" w:ascii="宋体" w:hAnsi="宋体" w:eastAsia="宋体" w:cs="宋体"/>
          <w:sz w:val="24"/>
          <w:szCs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Times New Roman" w:hAnsi="Times New Roman" w:eastAsia="宋体" w:cs="Times New Roman"/>
          <w:sz w:val="28"/>
          <w:szCs w:val="28"/>
        </w:rPr>
      </w:pPr>
      <w:r>
        <w:rPr>
          <w:rFonts w:hint="eastAsia" w:ascii="宋体" w:hAnsi="宋体" w:eastAsia="宋体" w:cs="宋体"/>
          <w:sz w:val="24"/>
          <w:szCs w:val="24"/>
          <w:u w:val="single"/>
        </w:rPr>
        <w:t>(南城县党风廉政教育中心项目办公家具采购项目)</w:t>
      </w:r>
      <w:r>
        <w:rPr>
          <w:rFonts w:hint="eastAsia" w:ascii="宋体" w:hAnsi="宋体" w:eastAsia="宋体" w:cs="宋体"/>
          <w:sz w:val="24"/>
          <w:szCs w:val="24"/>
        </w:rPr>
        <w:t xml:space="preserve"> 招标项目的潜在投标人应在</w:t>
      </w:r>
      <w:r>
        <w:rPr>
          <w:rFonts w:hint="eastAsia" w:ascii="宋体" w:hAnsi="宋体" w:eastAsia="宋体" w:cs="宋体"/>
          <w:sz w:val="24"/>
          <w:szCs w:val="24"/>
          <w:u w:val="single"/>
        </w:rPr>
        <w:t>（中国政府采购网（http://www.ccgp.gov.cn/）及南城县公共资源交易网（http://ztb.jxfz.gov.cn/nc/） ）</w:t>
      </w:r>
      <w:r>
        <w:rPr>
          <w:rFonts w:hint="eastAsia" w:ascii="宋体" w:hAnsi="宋体" w:eastAsia="宋体" w:cs="宋体"/>
          <w:sz w:val="24"/>
          <w:szCs w:val="24"/>
        </w:rPr>
        <w:t>获取招标文件，并于</w:t>
      </w:r>
      <w:r>
        <w:rPr>
          <w:rFonts w:hint="eastAsia" w:ascii="宋体" w:hAnsi="宋体" w:eastAsia="宋体" w:cs="宋体"/>
          <w:sz w:val="24"/>
          <w:szCs w:val="24"/>
          <w:u w:val="single"/>
        </w:rPr>
        <w:t>2024</w:t>
      </w:r>
      <w:r>
        <w:rPr>
          <w:rFonts w:hint="eastAsia" w:ascii="宋体" w:hAnsi="宋体" w:eastAsia="宋体" w:cs="宋体"/>
          <w:bCs/>
          <w:sz w:val="24"/>
          <w:szCs w:val="24"/>
          <w:u w:val="single"/>
        </w:rPr>
        <w:t>年02月27日14点30分（</w:t>
      </w:r>
      <w:r>
        <w:rPr>
          <w:rFonts w:hint="eastAsia" w:ascii="宋体" w:hAnsi="宋体" w:eastAsia="宋体" w:cs="宋体"/>
          <w:bCs/>
          <w:sz w:val="24"/>
          <w:szCs w:val="24"/>
        </w:rPr>
        <w:t>北京时间）前递交投标文件</w:t>
      </w:r>
      <w:r>
        <w:rPr>
          <w:rFonts w:hint="eastAsia" w:ascii="宋体" w:hAnsi="宋体" w:eastAsia="宋体" w:cs="宋体"/>
          <w:sz w:val="24"/>
          <w:szCs w:val="24"/>
        </w:rPr>
        <w:t>。</w:t>
      </w:r>
    </w:p>
    <w:p>
      <w:pPr>
        <w:keepNext/>
        <w:keepLines/>
        <w:numPr>
          <w:ilvl w:val="1"/>
          <w:numId w:val="0"/>
        </w:numPr>
        <w:adjustRightInd w:val="0"/>
        <w:spacing w:before="260" w:after="260" w:line="360" w:lineRule="auto"/>
        <w:textAlignment w:val="baseline"/>
        <w:outlineLvl w:val="1"/>
        <w:rPr>
          <w:rFonts w:ascii="宋体" w:hAnsi="宋体" w:eastAsia="宋体" w:cs="宋体"/>
          <w:b/>
          <w:bCs/>
          <w:sz w:val="28"/>
          <w:szCs w:val="28"/>
        </w:rPr>
      </w:pPr>
      <w:bookmarkStart w:id="50" w:name="_Toc155100526"/>
      <w:r>
        <w:rPr>
          <w:rFonts w:hint="eastAsia" w:ascii="宋体" w:hAnsi="宋体" w:eastAsia="宋体" w:cs="宋体"/>
          <w:b/>
          <w:bCs/>
          <w:sz w:val="28"/>
          <w:szCs w:val="28"/>
        </w:rPr>
        <w:t>一、项目基本情况</w:t>
      </w:r>
      <w:bookmarkEnd w:id="50"/>
    </w:p>
    <w:p>
      <w:pPr>
        <w:spacing w:line="360" w:lineRule="auto"/>
        <w:ind w:firstLine="240" w:firstLineChars="100"/>
        <w:rPr>
          <w:rFonts w:ascii="宋体" w:hAnsi="宋体" w:eastAsia="宋体" w:cs="宋体"/>
          <w:sz w:val="24"/>
          <w:szCs w:val="24"/>
        </w:rPr>
      </w:pPr>
      <w:r>
        <w:rPr>
          <w:rFonts w:hint="eastAsia" w:ascii="宋体" w:hAnsi="宋体" w:eastAsia="宋体" w:cs="宋体"/>
          <w:b/>
          <w:bCs/>
          <w:sz w:val="24"/>
          <w:szCs w:val="24"/>
        </w:rPr>
        <w:t>项目编号</w:t>
      </w:r>
      <w:r>
        <w:rPr>
          <w:rFonts w:hint="eastAsia" w:ascii="宋体" w:hAnsi="宋体" w:eastAsia="宋体" w:cs="宋体"/>
          <w:sz w:val="24"/>
          <w:szCs w:val="24"/>
        </w:rPr>
        <w:t>：</w:t>
      </w:r>
      <w:r>
        <w:rPr>
          <w:rFonts w:ascii="宋体" w:hAnsi="宋体" w:eastAsia="宋体" w:cs="宋体"/>
          <w:sz w:val="24"/>
          <w:szCs w:val="24"/>
        </w:rPr>
        <w:t>JXJC-NCCG-202</w:t>
      </w:r>
      <w:r>
        <w:rPr>
          <w:rFonts w:hint="eastAsia" w:ascii="宋体" w:hAnsi="宋体" w:eastAsia="宋体" w:cs="宋体"/>
          <w:sz w:val="24"/>
          <w:szCs w:val="24"/>
        </w:rPr>
        <w:t>4</w:t>
      </w:r>
      <w:r>
        <w:rPr>
          <w:rFonts w:ascii="宋体" w:hAnsi="宋体" w:eastAsia="宋体" w:cs="宋体"/>
          <w:sz w:val="24"/>
          <w:szCs w:val="24"/>
        </w:rPr>
        <w:t>-00</w:t>
      </w:r>
      <w:r>
        <w:rPr>
          <w:rFonts w:hint="eastAsia" w:ascii="宋体" w:hAnsi="宋体" w:eastAsia="宋体" w:cs="宋体"/>
          <w:sz w:val="24"/>
          <w:szCs w:val="24"/>
        </w:rPr>
        <w:t>3</w:t>
      </w:r>
    </w:p>
    <w:p>
      <w:pPr>
        <w:spacing w:line="360" w:lineRule="auto"/>
        <w:ind w:left="1441" w:leftChars="115" w:hanging="1200" w:hangingChars="5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rPr>
        <w:t>：南城县党风廉政教育中心项目办公家具采购项目</w:t>
      </w:r>
    </w:p>
    <w:p>
      <w:pPr>
        <w:spacing w:line="360" w:lineRule="auto"/>
        <w:ind w:firstLine="240" w:firstLineChars="100"/>
        <w:rPr>
          <w:rFonts w:ascii="宋体" w:hAnsi="宋体" w:eastAsia="宋体" w:cs="宋体"/>
          <w:sz w:val="24"/>
          <w:szCs w:val="24"/>
        </w:rPr>
      </w:pPr>
      <w:r>
        <w:rPr>
          <w:rFonts w:hint="eastAsia" w:ascii="宋体" w:hAnsi="宋体" w:eastAsia="宋体" w:cs="宋体"/>
          <w:b/>
          <w:bCs/>
          <w:sz w:val="24"/>
          <w:szCs w:val="24"/>
        </w:rPr>
        <w:t>预算金额</w:t>
      </w:r>
      <w:r>
        <w:rPr>
          <w:rFonts w:hint="eastAsia" w:ascii="宋体" w:hAnsi="宋体" w:eastAsia="宋体" w:cs="宋体"/>
          <w:sz w:val="24"/>
          <w:szCs w:val="24"/>
        </w:rPr>
        <w:t>：2345613元人民币</w:t>
      </w:r>
    </w:p>
    <w:p>
      <w:pPr>
        <w:spacing w:line="360" w:lineRule="auto"/>
        <w:ind w:firstLine="240" w:firstLineChars="100"/>
        <w:rPr>
          <w:rFonts w:ascii="宋体" w:hAnsi="宋体" w:eastAsia="宋体" w:cs="宋体"/>
          <w:b/>
          <w:bCs/>
          <w:sz w:val="24"/>
          <w:szCs w:val="24"/>
        </w:rPr>
      </w:pPr>
      <w:r>
        <w:rPr>
          <w:rFonts w:hint="eastAsia" w:ascii="宋体" w:hAnsi="宋体" w:eastAsia="宋体" w:cs="宋体"/>
          <w:b/>
          <w:bCs/>
          <w:sz w:val="24"/>
          <w:szCs w:val="24"/>
        </w:rPr>
        <w:t>最高限价：</w:t>
      </w:r>
      <w:r>
        <w:rPr>
          <w:rFonts w:hint="eastAsia" w:ascii="宋体" w:hAnsi="宋体" w:eastAsia="宋体" w:cs="宋体"/>
          <w:sz w:val="24"/>
          <w:szCs w:val="24"/>
        </w:rPr>
        <w:t>2345613元人民币</w:t>
      </w:r>
    </w:p>
    <w:p>
      <w:pPr>
        <w:spacing w:line="360" w:lineRule="auto"/>
        <w:ind w:firstLine="240" w:firstLineChars="100"/>
        <w:rPr>
          <w:rFonts w:ascii="宋体" w:hAnsi="宋体" w:eastAsia="宋体" w:cs="宋体"/>
          <w:b/>
          <w:bCs/>
          <w:sz w:val="24"/>
          <w:szCs w:val="24"/>
        </w:rPr>
      </w:pPr>
      <w:r>
        <w:rPr>
          <w:rFonts w:hint="eastAsia" w:ascii="宋体" w:hAnsi="宋体" w:eastAsia="宋体" w:cs="宋体"/>
          <w:b/>
          <w:bCs/>
          <w:sz w:val="24"/>
          <w:szCs w:val="24"/>
        </w:rPr>
        <w:t>采购需求：</w:t>
      </w:r>
    </w:p>
    <w:tbl>
      <w:tblPr>
        <w:tblStyle w:val="40"/>
        <w:tblW w:w="58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0"/>
        <w:gridCol w:w="1276"/>
        <w:gridCol w:w="782"/>
        <w:gridCol w:w="1505"/>
        <w:gridCol w:w="1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jc w:val="center"/>
        </w:trPr>
        <w:tc>
          <w:tcPr>
            <w:tcW w:w="2287" w:type="pct"/>
            <w:vAlign w:val="center"/>
          </w:tcPr>
          <w:p>
            <w:pPr>
              <w:spacing w:line="360" w:lineRule="auto"/>
              <w:ind w:firstLine="240" w:firstLineChars="100"/>
              <w:jc w:val="center"/>
              <w:rPr>
                <w:rFonts w:ascii="宋体" w:hAnsi="宋体" w:eastAsia="宋体" w:cs="宋体"/>
                <w:sz w:val="24"/>
                <w:szCs w:val="24"/>
              </w:rPr>
            </w:pPr>
            <w:r>
              <w:rPr>
                <w:rFonts w:hint="eastAsia" w:ascii="宋体" w:hAnsi="宋体" w:eastAsia="宋体" w:cs="宋体"/>
                <w:sz w:val="24"/>
                <w:szCs w:val="24"/>
              </w:rPr>
              <w:t>采购条目名称</w:t>
            </w:r>
          </w:p>
        </w:tc>
        <w:tc>
          <w:tcPr>
            <w:tcW w:w="643" w:type="pct"/>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394" w:type="pct"/>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58" w:type="pct"/>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采购预算</w:t>
            </w:r>
          </w:p>
          <w:p>
            <w:pPr>
              <w:spacing w:line="360" w:lineRule="auto"/>
              <w:jc w:val="center"/>
              <w:rPr>
                <w:rFonts w:ascii="宋体" w:hAnsi="宋体" w:eastAsia="宋体" w:cs="宋体"/>
                <w:sz w:val="24"/>
                <w:szCs w:val="24"/>
              </w:rPr>
            </w:pPr>
            <w:r>
              <w:rPr>
                <w:rFonts w:hint="eastAsia" w:ascii="宋体" w:hAnsi="宋体" w:eastAsia="宋体" w:cs="宋体"/>
                <w:sz w:val="24"/>
                <w:szCs w:val="24"/>
              </w:rPr>
              <w:t>（人民币）</w:t>
            </w:r>
          </w:p>
        </w:tc>
        <w:tc>
          <w:tcPr>
            <w:tcW w:w="918" w:type="pct"/>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技术需求或服务要求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2287" w:type="pct"/>
            <w:vAlign w:val="center"/>
          </w:tcPr>
          <w:p>
            <w:pPr>
              <w:spacing w:line="360" w:lineRule="auto"/>
              <w:rPr>
                <w:rFonts w:ascii="宋体" w:hAnsi="宋体" w:eastAsia="宋体" w:cs="宋体"/>
                <w:sz w:val="24"/>
                <w:szCs w:val="24"/>
              </w:rPr>
            </w:pPr>
            <w:r>
              <w:rPr>
                <w:rFonts w:hint="eastAsia" w:ascii="宋体" w:hAnsi="宋体" w:eastAsia="宋体" w:cs="宋体"/>
                <w:sz w:val="24"/>
                <w:szCs w:val="24"/>
              </w:rPr>
              <w:t>南城县党风廉政教育中心项目办公家具采购项目</w:t>
            </w:r>
          </w:p>
        </w:tc>
        <w:tc>
          <w:tcPr>
            <w:tcW w:w="643" w:type="pct"/>
            <w:vAlign w:val="center"/>
          </w:tcPr>
          <w:p>
            <w:pPr>
              <w:spacing w:line="360" w:lineRule="auto"/>
              <w:ind w:firstLine="240" w:firstLineChars="100"/>
              <w:jc w:val="center"/>
              <w:rPr>
                <w:rFonts w:ascii="宋体" w:hAnsi="宋体" w:eastAsia="宋体" w:cs="宋体"/>
                <w:sz w:val="24"/>
                <w:szCs w:val="24"/>
              </w:rPr>
            </w:pPr>
            <w:r>
              <w:rPr>
                <w:rFonts w:hint="eastAsia" w:ascii="宋体" w:hAnsi="宋体" w:eastAsia="宋体" w:cs="宋体"/>
                <w:sz w:val="24"/>
                <w:szCs w:val="24"/>
              </w:rPr>
              <w:t>1</w:t>
            </w:r>
          </w:p>
        </w:tc>
        <w:tc>
          <w:tcPr>
            <w:tcW w:w="394" w:type="pct"/>
            <w:vAlign w:val="center"/>
          </w:tcPr>
          <w:p>
            <w:pPr>
              <w:spacing w:line="360" w:lineRule="auto"/>
              <w:ind w:firstLine="240" w:firstLineChars="100"/>
              <w:rPr>
                <w:rFonts w:ascii="宋体" w:hAnsi="宋体" w:eastAsia="宋体" w:cs="宋体"/>
                <w:sz w:val="24"/>
                <w:szCs w:val="24"/>
              </w:rPr>
            </w:pPr>
            <w:r>
              <w:rPr>
                <w:rFonts w:hint="eastAsia" w:ascii="宋体" w:hAnsi="宋体" w:eastAsia="宋体" w:cs="宋体"/>
                <w:sz w:val="24"/>
                <w:szCs w:val="24"/>
              </w:rPr>
              <w:t>批</w:t>
            </w:r>
          </w:p>
        </w:tc>
        <w:tc>
          <w:tcPr>
            <w:tcW w:w="758" w:type="pct"/>
            <w:vAlign w:val="center"/>
          </w:tcPr>
          <w:p>
            <w:pPr>
              <w:spacing w:line="360" w:lineRule="auto"/>
              <w:jc w:val="center"/>
              <w:rPr>
                <w:rFonts w:ascii="宋体" w:hAnsi="宋体" w:eastAsia="宋体" w:cs="宋体"/>
                <w:sz w:val="24"/>
                <w:szCs w:val="24"/>
              </w:rPr>
            </w:pPr>
            <w:r>
              <w:rPr>
                <w:rFonts w:hint="eastAsia" w:ascii="宋体" w:hAnsi="宋体" w:eastAsia="宋体" w:cs="宋体"/>
                <w:sz w:val="24"/>
                <w:szCs w:val="24"/>
              </w:rPr>
              <w:t>2345613元人民币</w:t>
            </w:r>
          </w:p>
        </w:tc>
        <w:tc>
          <w:tcPr>
            <w:tcW w:w="918" w:type="pct"/>
            <w:vAlign w:val="center"/>
          </w:tcPr>
          <w:p>
            <w:pPr>
              <w:spacing w:line="360" w:lineRule="auto"/>
              <w:jc w:val="left"/>
              <w:rPr>
                <w:rFonts w:ascii="宋体" w:hAnsi="宋体" w:eastAsia="宋体" w:cs="宋体"/>
                <w:sz w:val="24"/>
                <w:szCs w:val="24"/>
              </w:rPr>
            </w:pPr>
            <w:r>
              <w:rPr>
                <w:rFonts w:hint="eastAsia" w:ascii="宋体" w:hAnsi="宋体" w:eastAsia="宋体" w:cs="宋体"/>
                <w:sz w:val="24"/>
                <w:szCs w:val="24"/>
              </w:rPr>
              <w:t>详见第二章技术要求</w:t>
            </w:r>
          </w:p>
        </w:tc>
      </w:tr>
    </w:tbl>
    <w:p>
      <w:pPr>
        <w:spacing w:line="360" w:lineRule="auto"/>
        <w:rPr>
          <w:rFonts w:ascii="宋体" w:hAnsi="宋体" w:eastAsia="宋体" w:cs="宋体"/>
          <w:sz w:val="24"/>
          <w:szCs w:val="24"/>
        </w:rPr>
      </w:pPr>
      <w:r>
        <w:rPr>
          <w:rFonts w:hint="eastAsia" w:ascii="宋体" w:hAnsi="宋体" w:eastAsia="宋体" w:cs="宋体"/>
          <w:b/>
          <w:bCs/>
          <w:sz w:val="24"/>
          <w:szCs w:val="24"/>
        </w:rPr>
        <w:t>合同履行期限：</w:t>
      </w:r>
      <w:r>
        <w:rPr>
          <w:rFonts w:hint="eastAsia" w:ascii="宋体" w:hAnsi="宋体" w:eastAsia="宋体" w:cs="宋体"/>
          <w:sz w:val="24"/>
          <w:szCs w:val="24"/>
        </w:rPr>
        <w:t>合同签订之日起至60日内完成本项目安装调试，并通过最终验收合格。</w:t>
      </w:r>
    </w:p>
    <w:p>
      <w:pPr>
        <w:spacing w:line="360" w:lineRule="auto"/>
        <w:rPr>
          <w:rFonts w:ascii="宋体" w:hAnsi="宋体" w:eastAsia="宋体" w:cs="宋体"/>
          <w:b/>
          <w:bCs/>
          <w:sz w:val="24"/>
          <w:szCs w:val="24"/>
        </w:rPr>
      </w:pPr>
      <w:r>
        <w:rPr>
          <w:rFonts w:hint="eastAsia" w:ascii="宋体" w:hAnsi="宋体" w:eastAsia="宋体" w:cs="宋体"/>
          <w:b/>
          <w:bCs/>
          <w:sz w:val="24"/>
          <w:szCs w:val="24"/>
        </w:rPr>
        <w:t>本项目（不接受）联合体投标</w:t>
      </w:r>
    </w:p>
    <w:p>
      <w:pPr>
        <w:keepNext/>
        <w:keepLines/>
        <w:numPr>
          <w:ilvl w:val="0"/>
          <w:numId w:val="1"/>
        </w:numPr>
        <w:adjustRightInd w:val="0"/>
        <w:spacing w:before="260" w:after="260" w:line="360" w:lineRule="auto"/>
        <w:textAlignment w:val="baseline"/>
        <w:outlineLvl w:val="1"/>
        <w:rPr>
          <w:rFonts w:ascii="宋体" w:hAnsi="宋体" w:eastAsia="宋体" w:cs="宋体"/>
          <w:b/>
          <w:bCs/>
          <w:sz w:val="28"/>
          <w:szCs w:val="28"/>
        </w:rPr>
      </w:pPr>
      <w:bookmarkStart w:id="51" w:name="_Toc155100527"/>
      <w:r>
        <w:rPr>
          <w:rFonts w:hint="eastAsia" w:ascii="宋体" w:hAnsi="宋体" w:eastAsia="宋体" w:cs="宋体"/>
          <w:b/>
          <w:bCs/>
          <w:sz w:val="28"/>
          <w:szCs w:val="28"/>
        </w:rPr>
        <w:t>申请人的资格要求：</w:t>
      </w:r>
      <w:bookmarkEnd w:id="51"/>
    </w:p>
    <w:p>
      <w:pPr>
        <w:spacing w:line="360" w:lineRule="auto"/>
        <w:rPr>
          <w:rFonts w:ascii="宋体" w:hAnsi="宋体" w:eastAsia="宋体" w:cs="宋体"/>
          <w:b/>
          <w:bCs/>
          <w:kern w:val="0"/>
          <w:sz w:val="24"/>
          <w:szCs w:val="24"/>
        </w:rPr>
      </w:pPr>
      <w:r>
        <w:rPr>
          <w:rFonts w:hint="eastAsia" w:ascii="宋体" w:hAnsi="宋体" w:eastAsia="宋体" w:cs="宋体"/>
          <w:b/>
          <w:bCs/>
          <w:kern w:val="0"/>
          <w:sz w:val="24"/>
          <w:szCs w:val="24"/>
        </w:rPr>
        <w:t>1.满足《中华人民共和国政府采购法》第二十二条规定；</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a)</w:t>
      </w:r>
      <w:r>
        <w:rPr>
          <w:rFonts w:hint="eastAsia" w:ascii="宋体" w:hAnsi="宋体" w:eastAsia="宋体" w:cs="宋体"/>
          <w:sz w:val="24"/>
          <w:szCs w:val="24"/>
        </w:rPr>
        <w:tab/>
      </w:r>
      <w:r>
        <w:rPr>
          <w:rFonts w:hint="eastAsia" w:ascii="宋体" w:hAnsi="宋体" w:eastAsia="宋体" w:cs="宋体"/>
          <w:sz w:val="24"/>
          <w:szCs w:val="24"/>
        </w:rPr>
        <w:t>具有独立承担民事责任的能力；（①如投标人是企业的（包括合伙企业）应提供有效的“企业法人营业执照”或“营业执照”；如投标人是事业单位的应提供“事业单位法人证书”；如投标人是非企业专业服务机构的应提供执业许可证等证明文件；投标人是个体工商户的应提供有效的“个体工商户营业执照”、组织机构代码证证明文件（实行“统一社会信用代码”的不需单独提供组织机构代码证）；</w:t>
      </w:r>
      <w:r>
        <w:rPr>
          <w:rFonts w:hint="eastAsia" w:ascii="宋体" w:hAnsi="宋体" w:eastAsia="宋体" w:cs="宋体"/>
          <w:b/>
          <w:bCs/>
          <w:sz w:val="24"/>
          <w:szCs w:val="24"/>
        </w:rPr>
        <w:t>以上资料提供扫描件加盖投标人公章或提供加盖投标人公章的采购供应商资格信用承诺函。</w:t>
      </w:r>
      <w:r>
        <w:rPr>
          <w:rFonts w:hint="eastAsia" w:ascii="宋体" w:hAnsi="宋体" w:eastAsia="宋体" w:cs="宋体"/>
          <w:sz w:val="24"/>
          <w:szCs w:val="24"/>
        </w:rPr>
        <w:t xml:space="preserve"> ②如投标人是自然人的，应提供有效的自然人的身份证明(中国公民)；</w:t>
      </w:r>
      <w:r>
        <w:rPr>
          <w:rFonts w:hint="eastAsia" w:ascii="宋体" w:hAnsi="宋体" w:eastAsia="宋体" w:cs="宋体"/>
          <w:b/>
          <w:bCs/>
          <w:sz w:val="24"/>
          <w:szCs w:val="24"/>
        </w:rPr>
        <w:t>提供原件。</w:t>
      </w:r>
    </w:p>
    <w:p>
      <w:pPr>
        <w:spacing w:line="360" w:lineRule="auto"/>
        <w:ind w:firstLine="480" w:firstLineChars="200"/>
        <w:rPr>
          <w:rFonts w:ascii="宋体" w:hAnsi="宋体" w:eastAsia="宋体" w:cs="宋体"/>
          <w:b/>
          <w:bCs/>
          <w:sz w:val="24"/>
          <w:szCs w:val="24"/>
        </w:rPr>
      </w:pPr>
      <w:r>
        <w:rPr>
          <w:rFonts w:hint="eastAsia" w:ascii="宋体" w:hAnsi="宋体" w:eastAsia="宋体" w:cs="宋体"/>
          <w:sz w:val="24"/>
          <w:szCs w:val="24"/>
        </w:rPr>
        <w:t>b)</w:t>
      </w:r>
      <w:r>
        <w:rPr>
          <w:rFonts w:hint="eastAsia" w:ascii="宋体" w:hAnsi="宋体" w:eastAsia="宋体" w:cs="宋体"/>
          <w:sz w:val="24"/>
          <w:szCs w:val="24"/>
        </w:rPr>
        <w:tab/>
      </w:r>
      <w:r>
        <w:rPr>
          <w:rFonts w:hint="eastAsia" w:ascii="宋体" w:hAnsi="宋体" w:eastAsia="宋体" w:cs="宋体"/>
          <w:sz w:val="24"/>
          <w:szCs w:val="24"/>
        </w:rPr>
        <w:t>具有良好的商业信誉和健全的财务会计制度</w:t>
      </w:r>
      <w:r>
        <w:rPr>
          <w:rFonts w:hint="eastAsia" w:ascii="宋体" w:hAnsi="宋体" w:eastAsia="宋体" w:cs="宋体"/>
          <w:b/>
          <w:bCs/>
          <w:sz w:val="24"/>
          <w:szCs w:val="24"/>
        </w:rPr>
        <w:t>【提供截止开标时间前六个月内任意一个月财务报表扫描件加盖投标人公章或上一年度审计报告扫描件加盖投标人公章或提供加盖投标人公章的采购供应商资格信用承诺函】</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c)</w:t>
      </w:r>
      <w:r>
        <w:rPr>
          <w:rFonts w:hint="eastAsia" w:ascii="宋体" w:hAnsi="宋体" w:eastAsia="宋体" w:cs="宋体"/>
          <w:sz w:val="24"/>
          <w:szCs w:val="24"/>
        </w:rPr>
        <w:tab/>
      </w:r>
      <w:r>
        <w:rPr>
          <w:rFonts w:hint="eastAsia" w:ascii="宋体" w:hAnsi="宋体" w:eastAsia="宋体" w:cs="宋体"/>
          <w:sz w:val="24"/>
          <w:szCs w:val="24"/>
        </w:rPr>
        <w:t>具有履行合同所必需的设备和专业技术能力（</w:t>
      </w:r>
      <w:r>
        <w:rPr>
          <w:rFonts w:hint="eastAsia" w:ascii="宋体" w:hAnsi="宋体" w:eastAsia="宋体" w:cs="宋体"/>
          <w:b/>
          <w:bCs/>
          <w:sz w:val="24"/>
          <w:szCs w:val="24"/>
        </w:rPr>
        <w:t>提供加盖投标人公章的书面承诺函或提供加盖投标人公章的采购供应商资格信用承诺函</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d)</w:t>
      </w:r>
      <w:r>
        <w:rPr>
          <w:rFonts w:hint="eastAsia" w:ascii="宋体" w:hAnsi="宋体" w:eastAsia="宋体" w:cs="宋体"/>
          <w:sz w:val="24"/>
          <w:szCs w:val="24"/>
        </w:rPr>
        <w:tab/>
      </w:r>
      <w:r>
        <w:rPr>
          <w:rFonts w:hint="eastAsia" w:ascii="宋体" w:hAnsi="宋体" w:eastAsia="宋体" w:cs="宋体"/>
          <w:sz w:val="24"/>
          <w:szCs w:val="24"/>
        </w:rPr>
        <w:t>有依法缴纳税收和社会保障资金的良好记录（</w:t>
      </w:r>
      <w:r>
        <w:rPr>
          <w:rFonts w:hint="eastAsia" w:ascii="宋体" w:hAnsi="宋体" w:eastAsia="宋体" w:cs="宋体"/>
          <w:b/>
          <w:bCs/>
          <w:sz w:val="24"/>
          <w:szCs w:val="24"/>
        </w:rPr>
        <w:t>提供截止开标时间前六个月内任意一个月依法缴纳税收及社会保障资金的证明文件扫描件加盖投标人公章或提供加盖投标人公章的采购供应商资格信用承诺函</w:t>
      </w:r>
      <w:r>
        <w:rPr>
          <w:rFonts w:hint="eastAsia" w:ascii="宋体" w:hAnsi="宋体" w:eastAsia="宋体" w:cs="宋体"/>
          <w:sz w:val="24"/>
          <w:szCs w:val="24"/>
        </w:rPr>
        <w:t>）；</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e)</w:t>
      </w:r>
      <w:r>
        <w:rPr>
          <w:rFonts w:hint="eastAsia" w:ascii="宋体" w:hAnsi="宋体" w:eastAsia="宋体" w:cs="宋体"/>
          <w:sz w:val="24"/>
          <w:szCs w:val="24"/>
        </w:rPr>
        <w:tab/>
      </w:r>
      <w:r>
        <w:rPr>
          <w:rFonts w:hint="eastAsia" w:ascii="宋体" w:hAnsi="宋体" w:eastAsia="宋体" w:cs="宋体"/>
          <w:sz w:val="24"/>
          <w:szCs w:val="24"/>
        </w:rPr>
        <w:t>参加政府采购活动前三年内，在经营活动中没有重大违法记录（</w:t>
      </w:r>
      <w:r>
        <w:rPr>
          <w:rFonts w:hint="eastAsia" w:ascii="宋体" w:hAnsi="宋体" w:eastAsia="宋体" w:cs="宋体"/>
          <w:b/>
          <w:bCs/>
          <w:sz w:val="24"/>
          <w:szCs w:val="24"/>
        </w:rPr>
        <w:t>提供加盖投标人公章的书面承诺函或提供加盖投标人公章的采购供应商资格信用承诺函</w:t>
      </w:r>
      <w:r>
        <w:rPr>
          <w:rFonts w:hint="eastAsia" w:ascii="宋体" w:hAnsi="宋体" w:eastAsia="宋体" w:cs="宋体"/>
          <w:sz w:val="24"/>
          <w:szCs w:val="24"/>
        </w:rPr>
        <w:t>）；</w:t>
      </w:r>
    </w:p>
    <w:p>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f）法律、行政法规规定的其他条件：</w:t>
      </w:r>
    </w:p>
    <w:p>
      <w:pPr>
        <w:autoSpaceDE w:val="0"/>
        <w:autoSpaceDN w:val="0"/>
        <w:adjustRightInd w:val="0"/>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rPr>
        <w:t>1)法人身份证或法人委托他人的代理授权书及被授权人身份证</w:t>
      </w:r>
      <w:r>
        <w:rPr>
          <w:rFonts w:hint="eastAsia" w:ascii="宋体" w:hAnsi="宋体" w:eastAsia="宋体" w:cs="宋体"/>
          <w:b/>
          <w:bCs/>
          <w:kern w:val="0"/>
          <w:sz w:val="24"/>
          <w:szCs w:val="24"/>
        </w:rPr>
        <w:t>（开标现场提供原件）</w:t>
      </w:r>
    </w:p>
    <w:p>
      <w:pPr>
        <w:autoSpaceDE w:val="0"/>
        <w:autoSpaceDN w:val="0"/>
        <w:adjustRightInd w:val="0"/>
        <w:spacing w:line="360" w:lineRule="auto"/>
        <w:ind w:firstLine="480" w:firstLineChars="200"/>
        <w:jc w:val="left"/>
        <w:rPr>
          <w:rFonts w:ascii="宋体" w:hAnsi="宋体" w:eastAsia="宋体" w:cs="Times New Roman"/>
          <w:kern w:val="0"/>
          <w:sz w:val="24"/>
          <w:szCs w:val="24"/>
        </w:rPr>
      </w:pPr>
      <w:r>
        <w:rPr>
          <w:rFonts w:hint="eastAsia" w:ascii="宋体" w:hAnsi="宋体" w:eastAsia="宋体" w:cs="宋体"/>
          <w:kern w:val="0"/>
          <w:sz w:val="24"/>
          <w:szCs w:val="24"/>
        </w:rPr>
        <w:t>2）</w:t>
      </w:r>
      <w:r>
        <w:rPr>
          <w:rFonts w:ascii="宋体" w:hAnsi="宋体" w:eastAsia="宋体" w:cs="新宋体"/>
          <w:color w:val="000000"/>
          <w:kern w:val="0"/>
          <w:sz w:val="24"/>
          <w:szCs w:val="24"/>
          <w:lang w:bidi="ar"/>
        </w:rPr>
        <w:t>必 须 提 供 响 应 供 应 商 信 用 证 明 （</w:t>
      </w:r>
      <w:r>
        <w:rPr>
          <w:rFonts w:hint="eastAsia" w:ascii="宋体" w:hAnsi="宋体" w:eastAsia="宋体" w:cs="新宋体"/>
          <w:color w:val="000000"/>
          <w:kern w:val="0"/>
          <w:sz w:val="24"/>
          <w:szCs w:val="24"/>
          <w:lang w:bidi="ar"/>
        </w:rPr>
        <w:t>操 作 步 骤 ： ① 登 录 “ 信 用 中 国 http://www.creditchina.gov.cn/”首页，在“信用信息”一栏中输入公司全称搜索，然后将全部搜索结果截屏打印并加盖公章；②登录“中国政</w:t>
      </w:r>
      <w:r>
        <w:rPr>
          <w:rFonts w:hint="eastAsia" w:ascii="宋体" w:hAnsi="宋体" w:eastAsia="宋体" w:cs="新宋体"/>
          <w:kern w:val="0"/>
          <w:sz w:val="24"/>
          <w:szCs w:val="24"/>
          <w:lang w:bidi="ar"/>
        </w:rPr>
        <w:t xml:space="preserve">府采购网 </w:t>
      </w:r>
      <w:r>
        <w:fldChar w:fldCharType="begin"/>
      </w:r>
      <w:r>
        <w:instrText xml:space="preserve"> HYPERLINK "http://www.ccgp.gov.cn/" </w:instrText>
      </w:r>
      <w:r>
        <w:fldChar w:fldCharType="separate"/>
      </w:r>
      <w:r>
        <w:rPr>
          <w:rFonts w:hint="eastAsia" w:ascii="宋体" w:hAnsi="宋体" w:eastAsia="宋体" w:cs="新宋体"/>
          <w:color w:val="0000FF"/>
          <w:kern w:val="0"/>
          <w:sz w:val="24"/>
          <w:szCs w:val="24"/>
          <w:lang w:bidi="ar"/>
        </w:rPr>
        <w:t>http://www.ccgp.gov.cn/”首页，点击“政府采购严重违法失信行为记录名单”进入，输入公司全称搜索，然后将搜索结果截屏打印并加盖公章。）格式见第</w:t>
      </w:r>
      <w:r>
        <w:rPr>
          <w:rFonts w:ascii="宋体" w:hAnsi="宋体" w:eastAsia="宋体" w:cs="新宋体"/>
          <w:color w:val="0000FF"/>
          <w:kern w:val="0"/>
          <w:sz w:val="24"/>
          <w:szCs w:val="24"/>
          <w:lang w:bidi="ar"/>
        </w:rPr>
        <w:t>五</w:t>
      </w:r>
      <w:r>
        <w:rPr>
          <w:rFonts w:hint="eastAsia" w:ascii="宋体" w:hAnsi="宋体" w:eastAsia="宋体" w:cs="新宋体"/>
          <w:color w:val="0000FF"/>
          <w:kern w:val="0"/>
          <w:sz w:val="24"/>
          <w:szCs w:val="24"/>
          <w:lang w:bidi="ar"/>
        </w:rPr>
        <w:t>章</w:t>
      </w:r>
      <w:r>
        <w:rPr>
          <w:rFonts w:hint="eastAsia" w:ascii="宋体" w:hAnsi="宋体" w:eastAsia="宋体" w:cs="新宋体"/>
          <w:color w:val="0000FF"/>
          <w:kern w:val="0"/>
          <w:sz w:val="24"/>
          <w:szCs w:val="24"/>
          <w:lang w:bidi="ar"/>
        </w:rPr>
        <w:fldChar w:fldCharType="end"/>
      </w:r>
      <w:r>
        <w:rPr>
          <w:rFonts w:hint="eastAsia" w:ascii="宋体" w:hAnsi="宋体" w:eastAsia="宋体" w:cs="新宋体"/>
          <w:kern w:val="0"/>
          <w:sz w:val="24"/>
          <w:szCs w:val="24"/>
          <w:lang w:bidi="ar"/>
        </w:rPr>
        <w:t xml:space="preserve"> 附件</w:t>
      </w:r>
      <w:r>
        <w:rPr>
          <w:rFonts w:hint="eastAsia" w:ascii="宋体" w:hAnsi="宋体" w:eastAsia="宋体" w:cs="宋体"/>
          <w:kern w:val="0"/>
          <w:sz w:val="24"/>
          <w:szCs w:val="24"/>
        </w:rPr>
        <w:t>（</w:t>
      </w:r>
      <w:r>
        <w:rPr>
          <w:rFonts w:hint="eastAsia" w:ascii="宋体" w:hAnsi="宋体" w:eastAsia="宋体" w:cs="宋体"/>
          <w:b/>
          <w:bCs/>
          <w:kern w:val="0"/>
          <w:sz w:val="24"/>
          <w:szCs w:val="24"/>
        </w:rPr>
        <w:t>提供网站查询截图加盖投标人公章或提供加盖投标人公章的采购供应商资格信用承诺函</w:t>
      </w:r>
      <w:r>
        <w:rPr>
          <w:rFonts w:hint="eastAsia" w:ascii="宋体" w:hAnsi="宋体" w:eastAsia="宋体" w:cs="宋体"/>
          <w:kern w:val="0"/>
          <w:sz w:val="24"/>
          <w:szCs w:val="24"/>
        </w:rPr>
        <w:t>）</w:t>
      </w:r>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color w:val="000000"/>
          <w:kern w:val="0"/>
          <w:sz w:val="24"/>
          <w:szCs w:val="24"/>
          <w:lang w:bidi="ar"/>
        </w:rPr>
        <w:t xml:space="preserve">注：供应商被“信用中国”网站列入失信被执行人和重大税收违法案件当事人名单的、被“中国政府采购网”网站列入政府采购严重违法失信行为记录名单（处罚期限尚未届满的），不得参与本项目的政府采购活动。 </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3）本项目不接受联合体投标。</w:t>
      </w:r>
    </w:p>
    <w:p>
      <w:pPr>
        <w:spacing w:line="360" w:lineRule="auto"/>
        <w:rPr>
          <w:rFonts w:ascii="宋体" w:hAnsi="宋体" w:eastAsia="宋体" w:cs="宋体"/>
          <w:b/>
          <w:bCs/>
          <w:kern w:val="0"/>
          <w:sz w:val="24"/>
          <w:szCs w:val="24"/>
        </w:rPr>
      </w:pPr>
      <w:r>
        <w:rPr>
          <w:rFonts w:hint="eastAsia" w:ascii="宋体" w:hAnsi="宋体" w:eastAsia="宋体" w:cs="宋体"/>
          <w:b/>
          <w:bCs/>
          <w:kern w:val="0"/>
          <w:sz w:val="24"/>
          <w:szCs w:val="24"/>
        </w:rPr>
        <w:t>2.落实政府采购政策需满足的资格要求：</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1）本项目落实促进中小企业发展、监狱企业扶持、节约能源、环境保护、促进残疾人就业等政府采购政策，具体详见招标文件；</w:t>
      </w:r>
    </w:p>
    <w:p>
      <w:pPr>
        <w:autoSpaceDE w:val="0"/>
        <w:autoSpaceDN w:val="0"/>
        <w:adjustRightInd w:val="0"/>
        <w:spacing w:line="360" w:lineRule="auto"/>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2）本项目采购不专门面向中小企业。(本项目所属行业：工业)</w:t>
      </w:r>
    </w:p>
    <w:p>
      <w:pPr>
        <w:autoSpaceDE w:val="0"/>
        <w:autoSpaceDN w:val="0"/>
        <w:adjustRightInd w:val="0"/>
        <w:spacing w:line="360" w:lineRule="auto"/>
        <w:jc w:val="left"/>
        <w:rPr>
          <w:rFonts w:ascii="宋体" w:hAnsi="宋体" w:eastAsia="宋体" w:cs="宋体"/>
          <w:b/>
          <w:bCs/>
          <w:kern w:val="0"/>
          <w:sz w:val="24"/>
          <w:szCs w:val="24"/>
        </w:rPr>
      </w:pPr>
      <w:r>
        <w:rPr>
          <w:rFonts w:hint="eastAsia" w:ascii="宋体" w:hAnsi="宋体" w:eastAsia="宋体" w:cs="宋体"/>
          <w:b/>
          <w:bCs/>
          <w:kern w:val="0"/>
          <w:sz w:val="24"/>
          <w:szCs w:val="24"/>
        </w:rPr>
        <w:t>3.本项目的特定资格要求：无</w:t>
      </w:r>
    </w:p>
    <w:p>
      <w:pPr>
        <w:spacing w:line="276" w:lineRule="auto"/>
        <w:ind w:left="1446" w:hanging="1440" w:hangingChars="600"/>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特别提醒：1</w:t>
      </w:r>
      <w:r>
        <w:rPr>
          <w:rFonts w:ascii="宋体" w:hAnsi="宋体" w:eastAsia="宋体" w:cs="宋体"/>
          <w:b/>
          <w:bCs/>
          <w:color w:val="FF0000"/>
          <w:kern w:val="0"/>
          <w:sz w:val="24"/>
          <w:szCs w:val="24"/>
        </w:rPr>
        <w:t>.</w:t>
      </w:r>
      <w:r>
        <w:rPr>
          <w:rFonts w:hint="eastAsia" w:ascii="宋体" w:hAnsi="宋体" w:eastAsia="宋体" w:cs="宋体"/>
          <w:b/>
          <w:bCs/>
          <w:color w:val="FF0000"/>
          <w:kern w:val="0"/>
          <w:sz w:val="24"/>
          <w:szCs w:val="24"/>
        </w:rPr>
        <w:t>以上资料须在开标截止时间前递交，未提供或提供不全的视为无效投标。</w:t>
      </w:r>
    </w:p>
    <w:p>
      <w:pPr>
        <w:spacing w:line="276" w:lineRule="auto"/>
        <w:ind w:firstLine="1200" w:firstLineChars="500"/>
        <w:rPr>
          <w:rFonts w:ascii="宋体" w:hAnsi="宋体" w:eastAsia="宋体" w:cs="宋体"/>
          <w:b/>
          <w:bCs/>
          <w:color w:val="FF0000"/>
          <w:kern w:val="0"/>
          <w:sz w:val="24"/>
          <w:szCs w:val="24"/>
        </w:rPr>
      </w:pPr>
      <w:r>
        <w:rPr>
          <w:rFonts w:hint="eastAsia" w:ascii="宋体" w:hAnsi="宋体" w:eastAsia="宋体" w:cs="宋体"/>
          <w:b/>
          <w:bCs/>
          <w:color w:val="FF0000"/>
          <w:kern w:val="0"/>
          <w:sz w:val="24"/>
          <w:szCs w:val="24"/>
        </w:rPr>
        <w:t>2.采购供应商资格信用承诺函格式详见文件 第五章  附件1</w:t>
      </w:r>
      <w:r>
        <w:rPr>
          <w:rFonts w:ascii="宋体" w:hAnsi="宋体" w:eastAsia="宋体" w:cs="宋体"/>
          <w:b/>
          <w:bCs/>
          <w:color w:val="FF0000"/>
          <w:kern w:val="0"/>
          <w:sz w:val="24"/>
          <w:szCs w:val="24"/>
        </w:rPr>
        <w:t>2</w:t>
      </w:r>
    </w:p>
    <w:p>
      <w:pPr>
        <w:keepNext/>
        <w:keepLines/>
        <w:numPr>
          <w:ilvl w:val="0"/>
          <w:numId w:val="1"/>
        </w:numPr>
        <w:adjustRightInd w:val="0"/>
        <w:spacing w:before="260" w:after="260" w:line="360" w:lineRule="auto"/>
        <w:textAlignment w:val="baseline"/>
        <w:outlineLvl w:val="1"/>
        <w:rPr>
          <w:rFonts w:ascii="宋体" w:hAnsi="宋体" w:eastAsia="宋体" w:cs="宋体"/>
          <w:b/>
          <w:bCs/>
          <w:sz w:val="28"/>
          <w:szCs w:val="28"/>
        </w:rPr>
      </w:pPr>
      <w:bookmarkStart w:id="52" w:name="_Toc155100528"/>
      <w:r>
        <w:rPr>
          <w:rFonts w:hint="eastAsia" w:ascii="宋体" w:hAnsi="宋体" w:eastAsia="宋体" w:cs="宋体"/>
          <w:b/>
          <w:bCs/>
          <w:sz w:val="28"/>
          <w:szCs w:val="28"/>
        </w:rPr>
        <w:t>获取招标文件</w:t>
      </w:r>
      <w:bookmarkEnd w:id="52"/>
    </w:p>
    <w:p>
      <w:pPr>
        <w:spacing w:line="360" w:lineRule="auto"/>
        <w:ind w:left="1198" w:leftChars="228" w:hanging="720" w:hangingChars="300"/>
        <w:rPr>
          <w:rFonts w:ascii="宋体" w:hAnsi="宋体" w:eastAsia="宋体" w:cs="宋体"/>
          <w:kern w:val="0"/>
          <w:sz w:val="24"/>
          <w:szCs w:val="24"/>
        </w:rPr>
      </w:pPr>
      <w:r>
        <w:rPr>
          <w:rFonts w:hint="eastAsia" w:ascii="宋体" w:hAnsi="宋体" w:eastAsia="宋体" w:cs="宋体"/>
          <w:kern w:val="0"/>
          <w:sz w:val="24"/>
          <w:szCs w:val="24"/>
        </w:rPr>
        <w:t>时间：2024年02月05日至 2024年02月27日，每天上午00:00:00至12:00:00，下午12:00:00至23:59:59（北京时间）</w:t>
      </w:r>
    </w:p>
    <w:p>
      <w:pPr>
        <w:spacing w:line="360" w:lineRule="auto"/>
        <w:ind w:left="1198" w:leftChars="228" w:hanging="720" w:hangingChars="300"/>
        <w:rPr>
          <w:rFonts w:ascii="宋体" w:hAnsi="宋体" w:eastAsia="宋体" w:cs="宋体"/>
          <w:kern w:val="0"/>
          <w:sz w:val="24"/>
          <w:szCs w:val="24"/>
        </w:rPr>
      </w:pPr>
      <w:r>
        <w:rPr>
          <w:rFonts w:hint="eastAsia" w:ascii="宋体" w:hAnsi="宋体" w:eastAsia="宋体" w:cs="宋体"/>
          <w:kern w:val="0"/>
          <w:sz w:val="24"/>
          <w:szCs w:val="24"/>
        </w:rPr>
        <w:t>地点：中国政府采购网（http://www.ccgp.gov.cn/）及南城县公共资源交易网（http://ztb.jxfz.gov.cn/nc/）</w:t>
      </w:r>
      <w:r>
        <w:rPr>
          <w:rFonts w:hint="eastAsia" w:ascii="宋体" w:hAnsi="宋体" w:eastAsia="宋体" w:cs="宋体"/>
          <w:sz w:val="24"/>
          <w:szCs w:val="24"/>
        </w:rPr>
        <w:t>网页下载</w:t>
      </w:r>
    </w:p>
    <w:p>
      <w:pPr>
        <w:spacing w:line="360" w:lineRule="auto"/>
        <w:ind w:left="1198" w:leftChars="228" w:hanging="720" w:hangingChars="3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方式：</w:t>
      </w:r>
      <w:r>
        <w:rPr>
          <w:rFonts w:hint="eastAsia" w:ascii="宋体" w:hAnsi="宋体" w:eastAsia="宋体" w:cs="宋体"/>
          <w:sz w:val="24"/>
          <w:szCs w:val="24"/>
        </w:rPr>
        <w:t>自行下载</w:t>
      </w:r>
    </w:p>
    <w:p>
      <w:pPr>
        <w:spacing w:line="360" w:lineRule="auto"/>
        <w:ind w:firstLine="480" w:firstLineChars="200"/>
        <w:rPr>
          <w:rFonts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售价：0元</w:t>
      </w:r>
    </w:p>
    <w:p>
      <w:pPr>
        <w:keepNext/>
        <w:keepLines/>
        <w:numPr>
          <w:ilvl w:val="1"/>
          <w:numId w:val="0"/>
        </w:numPr>
        <w:adjustRightInd w:val="0"/>
        <w:spacing w:before="260" w:after="260" w:line="360" w:lineRule="auto"/>
        <w:textAlignment w:val="baseline"/>
        <w:outlineLvl w:val="1"/>
        <w:rPr>
          <w:rFonts w:ascii="宋体" w:hAnsi="宋体" w:eastAsia="宋体" w:cs="宋体"/>
          <w:b/>
          <w:bCs/>
          <w:sz w:val="28"/>
          <w:szCs w:val="28"/>
        </w:rPr>
      </w:pPr>
      <w:bookmarkStart w:id="53" w:name="_Toc155100529"/>
      <w:r>
        <w:rPr>
          <w:rFonts w:hint="eastAsia" w:ascii="宋体" w:hAnsi="宋体" w:eastAsia="宋体" w:cs="宋体"/>
          <w:b/>
          <w:bCs/>
          <w:sz w:val="28"/>
          <w:szCs w:val="28"/>
        </w:rPr>
        <w:t>四、提交投标文件截止时间、开标时间和地点</w:t>
      </w:r>
      <w:bookmarkEnd w:id="53"/>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提交投标文件截止时间：2024年02月27日14点30分（北京时间）</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开标时间：2024年02月27日14点30分（北京时间）</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地点：抚州市公共资源交易中心南城分中心（南城县万年西路新行政服务大楼四楼）</w:t>
      </w:r>
    </w:p>
    <w:p>
      <w:pPr>
        <w:keepNext/>
        <w:keepLines/>
        <w:numPr>
          <w:ilvl w:val="1"/>
          <w:numId w:val="0"/>
        </w:numPr>
        <w:adjustRightInd w:val="0"/>
        <w:spacing w:before="260" w:after="260" w:line="360" w:lineRule="auto"/>
        <w:textAlignment w:val="baseline"/>
        <w:outlineLvl w:val="1"/>
        <w:rPr>
          <w:rFonts w:ascii="宋体" w:hAnsi="宋体" w:eastAsia="宋体" w:cs="宋体"/>
          <w:b/>
          <w:bCs/>
          <w:sz w:val="28"/>
          <w:szCs w:val="28"/>
        </w:rPr>
      </w:pPr>
      <w:bookmarkStart w:id="54" w:name="_Toc155100530"/>
      <w:r>
        <w:rPr>
          <w:rFonts w:hint="eastAsia" w:ascii="宋体" w:hAnsi="宋体" w:eastAsia="宋体" w:cs="宋体"/>
          <w:b/>
          <w:bCs/>
          <w:sz w:val="28"/>
          <w:szCs w:val="28"/>
        </w:rPr>
        <w:t>五、公告期限</w:t>
      </w:r>
      <w:bookmarkEnd w:id="54"/>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自本公告发布之日起5日。</w:t>
      </w:r>
      <w:r>
        <w:rPr>
          <w:rFonts w:hint="eastAsia" w:ascii="宋体" w:hAnsi="宋体" w:eastAsia="宋体" w:cs="宋体"/>
          <w:b/>
          <w:bCs/>
          <w:kern w:val="0"/>
          <w:sz w:val="24"/>
          <w:szCs w:val="24"/>
        </w:rPr>
        <w:t>本项目招标公告在中国政府采购网（http://www.ccgp.gov.cn/）及南城县公共资源交易网（http://ztb.jxfz.gov.cn/nc/）发布。</w:t>
      </w:r>
    </w:p>
    <w:p>
      <w:pPr>
        <w:keepNext/>
        <w:keepLines/>
        <w:numPr>
          <w:ilvl w:val="1"/>
          <w:numId w:val="0"/>
        </w:numPr>
        <w:adjustRightInd w:val="0"/>
        <w:spacing w:before="260" w:after="260" w:line="360" w:lineRule="auto"/>
        <w:textAlignment w:val="baseline"/>
        <w:outlineLvl w:val="1"/>
        <w:rPr>
          <w:rFonts w:ascii="宋体" w:hAnsi="宋体" w:eastAsia="宋体" w:cs="宋体"/>
          <w:b/>
          <w:bCs/>
          <w:sz w:val="28"/>
          <w:szCs w:val="28"/>
        </w:rPr>
      </w:pPr>
      <w:bookmarkStart w:id="55" w:name="_Toc155100531"/>
      <w:r>
        <w:rPr>
          <w:rFonts w:hint="eastAsia" w:ascii="宋体" w:hAnsi="宋体" w:eastAsia="宋体" w:cs="宋体"/>
          <w:b/>
          <w:bCs/>
          <w:sz w:val="28"/>
          <w:szCs w:val="28"/>
        </w:rPr>
        <w:t>六、其他补充事宜</w:t>
      </w:r>
      <w:bookmarkEnd w:id="55"/>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必须在投标截止时间前将纸质投标文件递交至抚州市公共资源交易中心南城分中心开标厅（南城县万年西路新行政服务大楼四楼），逾期响应无效。届时请投标人的法人或经法人正式授权的代表携带符合招标文件要求的纸质投标文件</w:t>
      </w:r>
      <w:r>
        <w:rPr>
          <w:rFonts w:hint="eastAsia" w:ascii="宋体" w:hAnsi="宋体" w:eastAsia="宋体" w:cs="宋体"/>
          <w:b/>
          <w:bCs/>
          <w:sz w:val="24"/>
          <w:szCs w:val="24"/>
        </w:rPr>
        <w:t>（一正叁副）</w:t>
      </w:r>
      <w:r>
        <w:rPr>
          <w:rFonts w:hint="eastAsia" w:ascii="宋体" w:hAnsi="宋体" w:eastAsia="宋体" w:cs="宋体"/>
          <w:sz w:val="24"/>
          <w:szCs w:val="24"/>
        </w:rPr>
        <w:t>出席开标大会。</w:t>
      </w:r>
    </w:p>
    <w:p>
      <w:pPr>
        <w:keepNext/>
        <w:keepLines/>
        <w:numPr>
          <w:ilvl w:val="1"/>
          <w:numId w:val="0"/>
        </w:numPr>
        <w:adjustRightInd w:val="0"/>
        <w:spacing w:before="260" w:after="260" w:line="360" w:lineRule="auto"/>
        <w:textAlignment w:val="baseline"/>
        <w:outlineLvl w:val="1"/>
        <w:rPr>
          <w:rFonts w:ascii="宋体" w:hAnsi="宋体" w:eastAsia="宋体" w:cs="宋体"/>
          <w:b/>
          <w:bCs/>
          <w:sz w:val="28"/>
          <w:szCs w:val="28"/>
        </w:rPr>
      </w:pPr>
      <w:bookmarkStart w:id="56" w:name="_Toc155100532"/>
      <w:r>
        <w:rPr>
          <w:rFonts w:hint="eastAsia" w:ascii="宋体" w:hAnsi="宋体" w:eastAsia="宋体" w:cs="宋体"/>
          <w:b/>
          <w:bCs/>
          <w:sz w:val="28"/>
          <w:szCs w:val="28"/>
        </w:rPr>
        <w:t>七、对本次招标提出询问，请按以下方式联系。</w:t>
      </w:r>
      <w:bookmarkEnd w:id="56"/>
    </w:p>
    <w:p>
      <w:pPr>
        <w:widowControl/>
        <w:spacing w:line="360" w:lineRule="auto"/>
        <w:jc w:val="left"/>
        <w:rPr>
          <w:rFonts w:ascii="宋体" w:hAnsi="宋体" w:eastAsia="宋体" w:cs="宋体"/>
          <w:sz w:val="24"/>
          <w:szCs w:val="24"/>
        </w:rPr>
      </w:pPr>
      <w:r>
        <w:rPr>
          <w:rFonts w:hint="eastAsia" w:ascii="宋体" w:hAnsi="宋体" w:eastAsia="宋体" w:cs="仿宋"/>
          <w:sz w:val="24"/>
          <w:szCs w:val="24"/>
        </w:rPr>
        <w:t>　</w:t>
      </w:r>
      <w:r>
        <w:rPr>
          <w:rFonts w:hint="eastAsia" w:ascii="宋体" w:hAnsi="宋体" w:eastAsia="宋体" w:cs="宋体"/>
          <w:sz w:val="24"/>
          <w:szCs w:val="24"/>
        </w:rPr>
        <w:t>　　1.采购人信息</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名 称：南城县城镇建设投资有限公司           　</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地址：江西省抚州市南城县建昌镇城东路99号　　</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联系方式：吴先生</w:t>
      </w:r>
      <w:r>
        <w:rPr>
          <w:rFonts w:ascii="宋体" w:hAnsi="宋体" w:eastAsia="宋体" w:cs="宋体"/>
          <w:sz w:val="24"/>
          <w:szCs w:val="24"/>
        </w:rPr>
        <w:t>18879455769</w:t>
      </w:r>
      <w:r>
        <w:rPr>
          <w:rFonts w:hint="eastAsia" w:ascii="宋体" w:hAnsi="宋体" w:eastAsia="宋体" w:cs="宋体"/>
          <w:sz w:val="24"/>
          <w:szCs w:val="24"/>
        </w:rPr>
        <w:t xml:space="preserve">      　 </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2.采购代理机构信息</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 xml:space="preserve">名 称：江西俱承工程管理有限公司         　　 </w:t>
      </w:r>
    </w:p>
    <w:p>
      <w:pPr>
        <w:spacing w:line="360" w:lineRule="auto"/>
        <w:ind w:left="1799" w:leftChars="371" w:hanging="1020" w:hangingChars="425"/>
        <w:jc w:val="left"/>
        <w:rPr>
          <w:rFonts w:ascii="宋体" w:hAnsi="宋体" w:eastAsia="宋体" w:cs="宋体"/>
          <w:sz w:val="24"/>
          <w:szCs w:val="24"/>
        </w:rPr>
      </w:pPr>
      <w:r>
        <w:rPr>
          <w:rFonts w:hint="eastAsia" w:ascii="宋体" w:hAnsi="宋体" w:eastAsia="宋体" w:cs="宋体"/>
          <w:sz w:val="24"/>
          <w:szCs w:val="24"/>
        </w:rPr>
        <w:t>地　址：江西省南昌市南昌高新技术产业开发区火炬大街68号创业大厦附楼3楼西侧　</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联系方式：艾女士 13647041498</w:t>
      </w:r>
      <w:r>
        <w:rPr>
          <w:rFonts w:ascii="宋体" w:hAnsi="宋体" w:eastAsia="宋体" w:cs="宋体"/>
          <w:sz w:val="24"/>
          <w:szCs w:val="24"/>
        </w:rPr>
        <w:t xml:space="preserve"> </w:t>
      </w:r>
      <w:r>
        <w:rPr>
          <w:rFonts w:hint="eastAsia" w:ascii="宋体" w:hAnsi="宋体" w:eastAsia="宋体" w:cs="宋体"/>
          <w:sz w:val="24"/>
          <w:szCs w:val="24"/>
        </w:rPr>
        <w:t xml:space="preserve">          </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3.项目联系方式</w:t>
      </w:r>
    </w:p>
    <w:p>
      <w:pPr>
        <w:spacing w:line="360" w:lineRule="auto"/>
        <w:ind w:left="1079" w:leftChars="371" w:hanging="300" w:hangingChars="125"/>
        <w:jc w:val="left"/>
        <w:rPr>
          <w:rFonts w:ascii="宋体" w:hAnsi="宋体" w:eastAsia="宋体" w:cs="宋体"/>
          <w:sz w:val="24"/>
          <w:szCs w:val="24"/>
        </w:rPr>
      </w:pPr>
      <w:r>
        <w:rPr>
          <w:rFonts w:hint="eastAsia" w:ascii="宋体" w:hAnsi="宋体" w:eastAsia="宋体" w:cs="宋体"/>
          <w:sz w:val="24"/>
          <w:szCs w:val="24"/>
        </w:rPr>
        <w:t xml:space="preserve">项目联系人：艾女士  </w:t>
      </w:r>
      <w:r>
        <w:rPr>
          <w:rFonts w:ascii="宋体" w:hAnsi="宋体" w:eastAsia="宋体" w:cs="宋体"/>
          <w:sz w:val="24"/>
          <w:szCs w:val="24"/>
        </w:rPr>
        <w:t xml:space="preserve">  </w:t>
      </w:r>
      <w:r>
        <w:rPr>
          <w:rFonts w:hint="eastAsia" w:ascii="宋体" w:hAnsi="宋体" w:eastAsia="宋体" w:cs="宋体"/>
          <w:sz w:val="24"/>
          <w:szCs w:val="24"/>
        </w:rPr>
        <w:t xml:space="preserve">                                     </w:t>
      </w:r>
      <w:r>
        <w:rPr>
          <w:rFonts w:ascii="宋体" w:hAnsi="宋体" w:eastAsia="宋体" w:cs="宋体"/>
          <w:sz w:val="24"/>
          <w:szCs w:val="24"/>
        </w:rPr>
        <w:t xml:space="preserve"> </w:t>
      </w:r>
    </w:p>
    <w:p>
      <w:pPr>
        <w:widowControl/>
        <w:spacing w:line="360" w:lineRule="auto"/>
        <w:ind w:firstLine="720" w:firstLineChars="300"/>
        <w:outlineLvl w:val="0"/>
        <w:rPr>
          <w:rFonts w:ascii="宋体" w:hAnsi="宋体" w:eastAsia="宋体" w:cs="宋体"/>
          <w:sz w:val="24"/>
          <w:szCs w:val="24"/>
        </w:rPr>
      </w:pPr>
      <w:bookmarkStart w:id="57" w:name="_Toc155100470"/>
      <w:bookmarkStart w:id="58" w:name="_Toc155100533"/>
      <w:r>
        <w:rPr>
          <w:rFonts w:hint="eastAsia" w:ascii="宋体" w:hAnsi="宋体" w:eastAsia="宋体" w:cs="宋体"/>
          <w:sz w:val="24"/>
          <w:szCs w:val="24"/>
        </w:rPr>
        <w:t>电　话：13647041498</w:t>
      </w:r>
      <w:bookmarkEnd w:id="57"/>
      <w:bookmarkEnd w:id="58"/>
    </w:p>
    <w:p>
      <w:pPr>
        <w:spacing w:after="120" w:line="360" w:lineRule="auto"/>
        <w:ind w:left="420" w:leftChars="200" w:firstLine="420" w:firstLineChars="200"/>
        <w:rPr>
          <w:rFonts w:ascii="Times New Roman" w:hAnsi="Times New Roman" w:eastAsia="宋体" w:cs="Times New Roman"/>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widowControl/>
        <w:spacing w:line="360" w:lineRule="auto"/>
        <w:outlineLvl w:val="0"/>
        <w:rPr>
          <w:rFonts w:ascii="宋体" w:hAnsi="宋体" w:eastAsia="宋体" w:cs="仿宋"/>
          <w:sz w:val="24"/>
          <w:szCs w:val="24"/>
        </w:rPr>
      </w:pPr>
    </w:p>
    <w:p>
      <w:pPr>
        <w:spacing w:line="440" w:lineRule="exact"/>
        <w:jc w:val="center"/>
        <w:outlineLvl w:val="0"/>
        <w:rPr>
          <w:rFonts w:ascii="宋体" w:hAnsi="宋体" w:eastAsia="宋体" w:cs="Arial"/>
          <w:b/>
          <w:bCs/>
          <w:sz w:val="36"/>
          <w:szCs w:val="36"/>
        </w:rPr>
      </w:pPr>
      <w:bookmarkStart w:id="59" w:name="_Toc155100534"/>
      <w:bookmarkStart w:id="60" w:name="_Toc425498936"/>
      <w:bookmarkStart w:id="61" w:name="_Toc10163"/>
      <w:bookmarkStart w:id="62" w:name="_Toc21243"/>
      <w:bookmarkStart w:id="63" w:name="_Toc279583691"/>
      <w:bookmarkStart w:id="64" w:name="_Toc10308"/>
      <w:bookmarkStart w:id="65" w:name="_Toc375921747"/>
      <w:bookmarkStart w:id="66" w:name="_Toc375922116"/>
      <w:bookmarkStart w:id="67" w:name="_Toc140248663"/>
      <w:r>
        <w:rPr>
          <w:rFonts w:hint="eastAsia" w:ascii="宋体" w:hAnsi="宋体" w:eastAsia="宋体" w:cs="Arial"/>
          <w:b/>
          <w:bCs/>
          <w:sz w:val="36"/>
          <w:szCs w:val="36"/>
        </w:rPr>
        <w:t>第二章  项目需求一览表</w:t>
      </w:r>
      <w:bookmarkEnd w:id="59"/>
    </w:p>
    <w:p>
      <w:pPr>
        <w:widowControl/>
        <w:tabs>
          <w:tab w:val="left" w:pos="6090"/>
        </w:tabs>
        <w:spacing w:before="120" w:after="120"/>
        <w:outlineLvl w:val="1"/>
        <w:rPr>
          <w:rFonts w:ascii="宋体" w:hAnsi="宋体" w:eastAsia="宋体" w:cs="宋体"/>
          <w:b/>
          <w:sz w:val="28"/>
          <w:szCs w:val="28"/>
        </w:rPr>
      </w:pPr>
      <w:bookmarkStart w:id="68" w:name="_Toc155100535"/>
      <w:r>
        <w:rPr>
          <w:rFonts w:hint="eastAsia" w:ascii="宋体" w:hAnsi="宋体" w:eastAsia="宋体" w:cs="宋体"/>
          <w:b/>
          <w:sz w:val="28"/>
          <w:szCs w:val="28"/>
        </w:rPr>
        <w:t>一、商务要求</w:t>
      </w:r>
      <w:bookmarkEnd w:id="60"/>
      <w:bookmarkEnd w:id="61"/>
      <w:bookmarkEnd w:id="62"/>
      <w:bookmarkEnd w:id="63"/>
      <w:bookmarkEnd w:id="64"/>
      <w:bookmarkEnd w:id="65"/>
      <w:bookmarkEnd w:id="66"/>
      <w:bookmarkEnd w:id="67"/>
      <w:bookmarkEnd w:id="68"/>
    </w:p>
    <w:tbl>
      <w:tblPr>
        <w:tblStyle w:val="40"/>
        <w:tblW w:w="910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664"/>
        <w:gridCol w:w="1273"/>
        <w:gridCol w:w="7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38" w:hRule="atLeast"/>
          <w:tblHeader/>
          <w:tblCellSpacing w:w="0" w:type="dxa"/>
          <w:jc w:val="center"/>
        </w:trPr>
        <w:tc>
          <w:tcPr>
            <w:tcW w:w="664" w:type="dxa"/>
            <w:shd w:val="clear" w:color="auto" w:fill="B3B3B3"/>
            <w:vAlign w:val="center"/>
          </w:tcPr>
          <w:p>
            <w:pPr>
              <w:spacing w:line="360" w:lineRule="exact"/>
              <w:jc w:val="center"/>
              <w:rPr>
                <w:rFonts w:ascii="宋体" w:hAnsi="宋体" w:eastAsia="宋体" w:cs="宋体"/>
                <w:b/>
                <w:bCs/>
                <w:sz w:val="24"/>
                <w:szCs w:val="24"/>
              </w:rPr>
            </w:pPr>
            <w:r>
              <w:rPr>
                <w:rFonts w:hint="eastAsia" w:ascii="宋体" w:hAnsi="宋体" w:eastAsia="宋体" w:cs="宋体"/>
                <w:b/>
                <w:bCs/>
                <w:sz w:val="24"/>
                <w:szCs w:val="24"/>
              </w:rPr>
              <w:t>序号</w:t>
            </w:r>
          </w:p>
        </w:tc>
        <w:tc>
          <w:tcPr>
            <w:tcW w:w="1273" w:type="dxa"/>
            <w:shd w:val="clear" w:color="auto" w:fill="B3B3B3"/>
            <w:vAlign w:val="center"/>
          </w:tcPr>
          <w:p>
            <w:pPr>
              <w:spacing w:line="360" w:lineRule="exact"/>
              <w:jc w:val="center"/>
              <w:rPr>
                <w:rFonts w:ascii="宋体" w:hAnsi="宋体" w:eastAsia="宋体" w:cs="宋体"/>
                <w:b/>
                <w:bCs/>
                <w:sz w:val="24"/>
                <w:szCs w:val="24"/>
              </w:rPr>
            </w:pPr>
            <w:r>
              <w:rPr>
                <w:rFonts w:hint="eastAsia" w:ascii="宋体" w:hAnsi="宋体" w:eastAsia="宋体" w:cs="宋体"/>
                <w:b/>
                <w:bCs/>
                <w:sz w:val="24"/>
                <w:szCs w:val="24"/>
              </w:rPr>
              <w:t>需求名称</w:t>
            </w:r>
          </w:p>
        </w:tc>
        <w:tc>
          <w:tcPr>
            <w:tcW w:w="7163" w:type="dxa"/>
            <w:shd w:val="clear" w:color="auto" w:fill="B3B3B3"/>
            <w:vAlign w:val="center"/>
          </w:tcPr>
          <w:p>
            <w:pPr>
              <w:spacing w:line="360" w:lineRule="exact"/>
              <w:jc w:val="center"/>
              <w:rPr>
                <w:rFonts w:ascii="宋体" w:hAnsi="宋体" w:eastAsia="宋体" w:cs="宋体"/>
                <w:b/>
                <w:bCs/>
                <w:sz w:val="24"/>
                <w:szCs w:val="24"/>
              </w:rPr>
            </w:pPr>
            <w:r>
              <w:rPr>
                <w:rFonts w:hint="eastAsia" w:ascii="宋体" w:hAnsi="宋体" w:eastAsia="宋体" w:cs="宋体"/>
                <w:b/>
                <w:bCs/>
                <w:sz w:val="24"/>
                <w:szCs w:val="24"/>
              </w:rPr>
              <w:t>需求说明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交货（服务）地点</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所有货物（服务）在采购人指定地点交货并安装调试完毕。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466"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2</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交货期限</w:t>
            </w:r>
          </w:p>
        </w:tc>
        <w:tc>
          <w:tcPr>
            <w:tcW w:w="7163" w:type="dxa"/>
            <w:vAlign w:val="center"/>
          </w:tcPr>
          <w:p>
            <w:pPr>
              <w:widowControl/>
              <w:spacing w:line="360" w:lineRule="exact"/>
              <w:jc w:val="left"/>
              <w:rPr>
                <w:rFonts w:ascii="宋体" w:hAnsi="宋体" w:eastAsia="宋体" w:cs="宋体"/>
                <w:sz w:val="24"/>
                <w:szCs w:val="24"/>
              </w:rPr>
            </w:pPr>
            <w:bookmarkStart w:id="69" w:name="_Hlk139447404"/>
            <w:r>
              <w:rPr>
                <w:rFonts w:hint="eastAsia" w:ascii="宋体" w:hAnsi="宋体" w:eastAsia="宋体" w:cs="宋体"/>
                <w:sz w:val="24"/>
                <w:szCs w:val="24"/>
              </w:rPr>
              <w:t>2.1合同签订之日起至60日内完成本项目安装调试，并通过最终验收合格。</w:t>
            </w:r>
          </w:p>
          <w:p>
            <w:pPr>
              <w:widowControl/>
              <w:spacing w:line="360" w:lineRule="exact"/>
              <w:jc w:val="left"/>
              <w:rPr>
                <w:rFonts w:ascii="宋体" w:hAnsi="宋体" w:eastAsia="宋体" w:cs="宋体"/>
                <w:sz w:val="24"/>
                <w:szCs w:val="24"/>
              </w:rPr>
            </w:pPr>
            <w:r>
              <w:rPr>
                <w:rFonts w:hint="eastAsia" w:ascii="宋体" w:hAnsi="宋体" w:eastAsia="宋体" w:cs="宋体"/>
                <w:sz w:val="24"/>
                <w:szCs w:val="24"/>
              </w:rPr>
              <w:t>2.2供应商所提供货物的质量、性能不符合合同规定标准的，采购人有权拒收；由此产生的一切经济损失由成交供应商承担。</w:t>
            </w:r>
            <w:bookmarkEnd w:id="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04"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3</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付款方式</w:t>
            </w:r>
          </w:p>
        </w:tc>
        <w:tc>
          <w:tcPr>
            <w:tcW w:w="7163" w:type="dxa"/>
            <w:vAlign w:val="center"/>
          </w:tcPr>
          <w:p>
            <w:pPr>
              <w:widowControl/>
              <w:spacing w:line="360" w:lineRule="exact"/>
              <w:jc w:val="left"/>
              <w:rPr>
                <w:rFonts w:ascii="宋体" w:hAnsi="宋体" w:eastAsia="宋体" w:cs="宋体"/>
                <w:sz w:val="24"/>
                <w:szCs w:val="24"/>
              </w:rPr>
            </w:pPr>
            <w:r>
              <w:rPr>
                <w:rFonts w:hint="eastAsia" w:ascii="宋体" w:hAnsi="宋体" w:eastAsia="宋体" w:cs="宋体"/>
                <w:sz w:val="24"/>
                <w:szCs w:val="24"/>
              </w:rPr>
              <w:t>设备到现场支付至合同总价的70%，设备安装调试并通过验收支付至合同总价的95%，余款5%质保期满后无息结清。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79"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4</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报价方式</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以人民币报价，完成本项目所需的货款、税款、运输费、装卸费、保险费、关税、验收费、质保售后及技术服务等一切与本项目履约有关的费用均应列入总报价。采购人不另支付任何费用。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42"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5</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货物要求</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5.1货物必须是厂商原装的、全新的，指标符合或优于国家及招标文件提出的有关技术、质量、安全标准、要求的货物，在中国境内可依常规安全合法使用。</w:t>
            </w:r>
          </w:p>
          <w:p>
            <w:pPr>
              <w:spacing w:line="360" w:lineRule="exact"/>
              <w:rPr>
                <w:rFonts w:ascii="宋体" w:hAnsi="宋体" w:eastAsia="宋体" w:cs="宋体"/>
                <w:sz w:val="24"/>
                <w:szCs w:val="24"/>
              </w:rPr>
            </w:pPr>
            <w:r>
              <w:rPr>
                <w:rFonts w:hint="eastAsia" w:ascii="宋体" w:hAnsi="宋体" w:eastAsia="宋体" w:cs="宋体"/>
                <w:sz w:val="24"/>
                <w:szCs w:val="24"/>
              </w:rPr>
              <w:t>5.2 产品质量必须符合国家有关规范要求。</w:t>
            </w:r>
          </w:p>
          <w:p>
            <w:pPr>
              <w:spacing w:line="360" w:lineRule="exact"/>
              <w:rPr>
                <w:rFonts w:ascii="宋体" w:hAnsi="宋体" w:eastAsia="宋体" w:cs="宋体"/>
                <w:sz w:val="24"/>
                <w:szCs w:val="24"/>
              </w:rPr>
            </w:pPr>
            <w:r>
              <w:rPr>
                <w:rFonts w:hint="eastAsia" w:ascii="宋体" w:hAnsi="宋体" w:eastAsia="宋体" w:cs="宋体"/>
                <w:sz w:val="24"/>
                <w:szCs w:val="24"/>
              </w:rPr>
              <w:t>5.3供应商所投产品的制造商应具有该产品完全的知识产权，投标产品的任何版权、专利等知识产权纠纷及责任由成交供应商处理及承担，且不得损害采购人权益。</w:t>
            </w:r>
          </w:p>
          <w:p>
            <w:pPr>
              <w:spacing w:line="360" w:lineRule="exact"/>
              <w:rPr>
                <w:rFonts w:ascii="宋体" w:hAnsi="宋体" w:eastAsia="宋体" w:cs="宋体"/>
                <w:sz w:val="24"/>
                <w:szCs w:val="24"/>
              </w:rPr>
            </w:pPr>
            <w:r>
              <w:rPr>
                <w:rFonts w:hint="eastAsia" w:ascii="宋体" w:hAnsi="宋体" w:eastAsia="宋体" w:cs="宋体"/>
                <w:sz w:val="24"/>
                <w:szCs w:val="24"/>
              </w:rPr>
              <w:t>5.4供应商应保护招标人在使用该货物或其任何一部分时不受第三方提出侵犯专利权、商标权、著作权或其它知识产权起诉的指控。如果任何第三方提出侵权指控，供应商须与第三方交涉并承担可能发生的一切法律责任和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65"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6</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项目验收</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6.1.货物运抵采购人指定地点后，由采购人和成交供应商共同对到货货物的数量、型号、外观、包装质量等进行检查。</w:t>
            </w:r>
          </w:p>
          <w:p>
            <w:pPr>
              <w:spacing w:line="360" w:lineRule="exact"/>
              <w:rPr>
                <w:rFonts w:ascii="宋体" w:hAnsi="宋体" w:eastAsia="宋体" w:cs="宋体"/>
                <w:sz w:val="24"/>
                <w:szCs w:val="24"/>
              </w:rPr>
            </w:pPr>
            <w:r>
              <w:rPr>
                <w:rFonts w:hint="eastAsia" w:ascii="宋体" w:hAnsi="宋体" w:eastAsia="宋体" w:cs="宋体"/>
                <w:sz w:val="24"/>
                <w:szCs w:val="24"/>
              </w:rPr>
              <w:t>6.2.货物检查完成以后，如无质量问题，由采购单位组织相关人员在7个工作日内共同对货物进行验收（如需要可聘请专家验收），并提供验收报告；</w:t>
            </w:r>
          </w:p>
          <w:p>
            <w:pPr>
              <w:spacing w:line="360" w:lineRule="exact"/>
              <w:rPr>
                <w:rFonts w:ascii="宋体" w:hAnsi="宋体" w:eastAsia="宋体" w:cs="宋体"/>
                <w:sz w:val="24"/>
                <w:szCs w:val="24"/>
              </w:rPr>
            </w:pPr>
            <w:r>
              <w:rPr>
                <w:rFonts w:hint="eastAsia" w:ascii="宋体" w:hAnsi="宋体" w:eastAsia="宋体" w:cs="宋体"/>
                <w:sz w:val="24"/>
                <w:szCs w:val="24"/>
              </w:rPr>
              <w:t>6.3.交付验收标准：依次序对照适用标准为：①符合中华人民共和国国家安全质量标准、环保标准或行业标准；②符合招标承诺中采购人认可的合理最佳配置、参数及各项要求；③货物来源国家官方标准。上述标准必须是有关官方机构发布的最新版本的标准。</w:t>
            </w:r>
          </w:p>
          <w:p>
            <w:pPr>
              <w:spacing w:line="360" w:lineRule="exact"/>
              <w:rPr>
                <w:rFonts w:ascii="宋体" w:hAnsi="宋体" w:eastAsia="宋体" w:cs="宋体"/>
                <w:sz w:val="24"/>
                <w:szCs w:val="24"/>
              </w:rPr>
            </w:pPr>
            <w:r>
              <w:rPr>
                <w:rFonts w:hint="eastAsia" w:ascii="宋体" w:hAnsi="宋体" w:eastAsia="宋体" w:cs="宋体"/>
                <w:sz w:val="24"/>
                <w:szCs w:val="24"/>
              </w:rPr>
              <w:t>6.4.卖方须为验收提供必需的设备、工具及其他便利条件。</w:t>
            </w:r>
          </w:p>
          <w:p>
            <w:pPr>
              <w:spacing w:line="360" w:lineRule="exact"/>
              <w:rPr>
                <w:rFonts w:ascii="宋体" w:hAnsi="宋体" w:eastAsia="宋体" w:cs="宋体"/>
                <w:sz w:val="24"/>
                <w:szCs w:val="24"/>
              </w:rPr>
            </w:pPr>
            <w:r>
              <w:rPr>
                <w:rFonts w:hint="eastAsia" w:ascii="宋体" w:hAnsi="宋体" w:eastAsia="宋体" w:cs="宋体"/>
                <w:sz w:val="24"/>
                <w:szCs w:val="24"/>
              </w:rPr>
              <w:t>6.5.在验收过程中发现数量不足或有质量等问题，卖方应负责按照采购人的要求采取补足、更换或退货等措施妥善处理，由此造成的一切损失由卖方自行承担。</w:t>
            </w:r>
          </w:p>
          <w:p>
            <w:pPr>
              <w:spacing w:line="360" w:lineRule="exact"/>
              <w:rPr>
                <w:rFonts w:ascii="宋体" w:hAnsi="宋体" w:eastAsia="宋体" w:cs="宋体"/>
                <w:sz w:val="24"/>
                <w:szCs w:val="24"/>
              </w:rPr>
            </w:pPr>
            <w:r>
              <w:rPr>
                <w:rFonts w:hint="eastAsia" w:ascii="宋体" w:hAnsi="宋体" w:eastAsia="宋体" w:cs="宋体"/>
                <w:sz w:val="24"/>
                <w:szCs w:val="24"/>
              </w:rPr>
              <w:t>6.6.对于不合格的货物，卖方必须在5个日历日内及时完成更换，并保证验收合格。5天内不能更换的或更换的验收不合格，按逾期交货处理。由此产生的费用由卖方自行承担。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7</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质保期及售后服务要求</w:t>
            </w:r>
          </w:p>
        </w:tc>
        <w:tc>
          <w:tcPr>
            <w:tcW w:w="7163" w:type="dxa"/>
            <w:vAlign w:val="center"/>
          </w:tcPr>
          <w:p>
            <w:pPr>
              <w:widowControl/>
              <w:spacing w:line="360" w:lineRule="exact"/>
              <w:jc w:val="left"/>
              <w:rPr>
                <w:rFonts w:ascii="宋体" w:hAnsi="宋体" w:eastAsia="宋体" w:cs="宋体"/>
                <w:sz w:val="24"/>
                <w:szCs w:val="24"/>
              </w:rPr>
            </w:pPr>
            <w:r>
              <w:rPr>
                <w:rFonts w:hint="eastAsia" w:ascii="宋体" w:hAnsi="宋体" w:eastAsia="宋体" w:cs="宋体"/>
                <w:sz w:val="24"/>
                <w:szCs w:val="24"/>
              </w:rPr>
              <w:t>7.1设备整体免费质保维保一年，自验收合格之日起计算。（如某些产品的质保期国家标准超过一年，则以国家标准执行）</w:t>
            </w:r>
          </w:p>
          <w:p>
            <w:pPr>
              <w:spacing w:line="360" w:lineRule="exact"/>
              <w:rPr>
                <w:rFonts w:ascii="宋体" w:hAnsi="宋体" w:eastAsia="宋体" w:cs="宋体"/>
                <w:sz w:val="24"/>
                <w:szCs w:val="24"/>
              </w:rPr>
            </w:pPr>
            <w:r>
              <w:rPr>
                <w:rFonts w:hint="eastAsia" w:ascii="宋体" w:hAnsi="宋体" w:eastAsia="宋体" w:cs="宋体"/>
                <w:sz w:val="24"/>
                <w:szCs w:val="24"/>
              </w:rPr>
              <w:t>7.2质保期内，成交供应商负责对其提供的货物及安装整体进行更换，不再收取任何费用，但人为因素，自然因素（如火灾、地震等）造成的故障除外。质保期外，提供终生维修，上门免费，更换零部件费用按成本价收取。</w:t>
            </w:r>
          </w:p>
          <w:p>
            <w:pPr>
              <w:spacing w:line="360" w:lineRule="exact"/>
              <w:rPr>
                <w:rFonts w:ascii="宋体" w:hAnsi="宋体" w:eastAsia="宋体" w:cs="宋体"/>
                <w:sz w:val="24"/>
                <w:szCs w:val="24"/>
              </w:rPr>
            </w:pPr>
            <w:r>
              <w:rPr>
                <w:rFonts w:hint="eastAsia" w:ascii="宋体" w:hAnsi="宋体" w:eastAsia="宋体" w:cs="宋体"/>
                <w:sz w:val="24"/>
                <w:szCs w:val="24"/>
              </w:rPr>
              <w:t>7.3本项目服务方式均为成交供应商上门服务，即成交供应商派人员到采购人指定现场培训（安装调试后进行培训），由此产生的一切费用均由成交供应商承担。</w:t>
            </w:r>
          </w:p>
          <w:p>
            <w:pPr>
              <w:spacing w:line="360" w:lineRule="exact"/>
              <w:rPr>
                <w:rFonts w:ascii="宋体" w:hAnsi="宋体" w:eastAsia="宋体" w:cs="宋体"/>
                <w:sz w:val="24"/>
                <w:szCs w:val="24"/>
              </w:rPr>
            </w:pPr>
            <w:r>
              <w:rPr>
                <w:rFonts w:hint="eastAsia" w:ascii="宋体" w:hAnsi="宋体" w:eastAsia="宋体" w:cs="宋体"/>
                <w:sz w:val="24"/>
                <w:szCs w:val="24"/>
              </w:rPr>
              <w:t>7.4质量保证期内服务要求</w:t>
            </w:r>
          </w:p>
          <w:p>
            <w:pPr>
              <w:spacing w:line="360" w:lineRule="exact"/>
              <w:rPr>
                <w:rFonts w:ascii="宋体" w:hAnsi="宋体" w:eastAsia="宋体" w:cs="宋体"/>
                <w:sz w:val="24"/>
                <w:szCs w:val="24"/>
              </w:rPr>
            </w:pPr>
            <w:r>
              <w:rPr>
                <w:rFonts w:hint="eastAsia" w:ascii="宋体" w:hAnsi="宋体" w:eastAsia="宋体" w:cs="宋体"/>
                <w:sz w:val="24"/>
                <w:szCs w:val="24"/>
              </w:rPr>
              <w:t>质量保证期内提供24小时应急服务，接用户单位维修通知（含电话）后到场时间不超过24小时。</w:t>
            </w:r>
          </w:p>
          <w:p>
            <w:pPr>
              <w:spacing w:line="360" w:lineRule="exact"/>
              <w:rPr>
                <w:rFonts w:ascii="宋体" w:hAnsi="宋体" w:eastAsia="宋体" w:cs="宋体"/>
                <w:sz w:val="24"/>
                <w:szCs w:val="24"/>
              </w:rPr>
            </w:pPr>
            <w:r>
              <w:rPr>
                <w:rFonts w:hint="eastAsia" w:ascii="宋体" w:hAnsi="宋体" w:eastAsia="宋体" w:cs="宋体"/>
                <w:sz w:val="24"/>
                <w:szCs w:val="24"/>
              </w:rPr>
              <w:t>7.5保修期间，供应商应提供部分该项目中易损易耗的备品备件存放于采购人处，用于紧急售后服务所用，具体数量及品类由采购人确定，供应商须配合。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8</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包装要求</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成交供应商提供的全部货物均应按标准保护措施进行包装，这类包装应适应于远距离运输、防湿、防潮、防锈、防雨、防腐、防碰撞和防野蛮装卸，以确保货物安全无损运抵指定现场。凡由于包装不良造成的损失和由此产生的费用均由成交供应商承担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17"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9</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运输及保管、保险</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9.1.成交供应商负责根据各品目不同的交货地点，将货物材料送到现场过程中的全部运输；包括装卸车、货物现场的搬运等；</w:t>
            </w:r>
          </w:p>
          <w:p>
            <w:pPr>
              <w:spacing w:line="360" w:lineRule="exact"/>
              <w:rPr>
                <w:rFonts w:ascii="宋体" w:hAnsi="宋体" w:eastAsia="宋体" w:cs="宋体"/>
                <w:sz w:val="24"/>
                <w:szCs w:val="24"/>
              </w:rPr>
            </w:pPr>
            <w:r>
              <w:rPr>
                <w:rFonts w:hint="eastAsia" w:ascii="宋体" w:hAnsi="宋体" w:eastAsia="宋体" w:cs="宋体"/>
                <w:sz w:val="24"/>
                <w:szCs w:val="24"/>
              </w:rPr>
              <w:t>9.2.各种货物，必须提供装箱清单，按装箱清单验收货物；</w:t>
            </w:r>
          </w:p>
          <w:p>
            <w:pPr>
              <w:spacing w:line="360" w:lineRule="exact"/>
              <w:rPr>
                <w:rFonts w:ascii="宋体" w:hAnsi="宋体" w:eastAsia="宋体" w:cs="宋体"/>
                <w:sz w:val="24"/>
                <w:szCs w:val="24"/>
              </w:rPr>
            </w:pPr>
            <w:r>
              <w:rPr>
                <w:rFonts w:hint="eastAsia" w:ascii="宋体" w:hAnsi="宋体" w:eastAsia="宋体" w:cs="宋体"/>
                <w:sz w:val="24"/>
                <w:szCs w:val="24"/>
              </w:rPr>
              <w:t>9.3.货物在现场的保管由成交供应商负责，直至项目验收完毕；</w:t>
            </w:r>
          </w:p>
          <w:p>
            <w:pPr>
              <w:spacing w:line="360" w:lineRule="exact"/>
              <w:rPr>
                <w:rFonts w:ascii="宋体" w:hAnsi="宋体" w:eastAsia="宋体" w:cs="宋体"/>
                <w:sz w:val="24"/>
                <w:szCs w:val="24"/>
              </w:rPr>
            </w:pPr>
            <w:r>
              <w:rPr>
                <w:rFonts w:hint="eastAsia" w:ascii="宋体" w:hAnsi="宋体" w:eastAsia="宋体" w:cs="宋体"/>
                <w:sz w:val="24"/>
                <w:szCs w:val="24"/>
              </w:rPr>
              <w:t>9.4.货物在验收合格前的保险由成交供应商负责，成交供应商负责其派出的现场服务人员人身意外保险。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86"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10</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误期赔偿费</w:t>
            </w:r>
          </w:p>
        </w:tc>
        <w:tc>
          <w:tcPr>
            <w:tcW w:w="716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除不可抗力情况外，如果成交供应商没有按照合同规定的时间交货和提供服务，采购方应在不影响合同项下的其他补救措施的情况下，从合同价中扣除误期赔偿费。每延误一天的赔偿费按迟交货物交货价或未提供服务的服务费用的0.5%计收，直至交货或提供服务为止。误期赔偿费的最高限额为合同价格的5%。一旦达到误期赔偿费的最高限额，采购方可考虑终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25" w:hRule="atLeast"/>
          <w:tblCellSpacing w:w="0" w:type="dxa"/>
          <w:jc w:val="center"/>
        </w:trPr>
        <w:tc>
          <w:tcPr>
            <w:tcW w:w="664" w:type="dxa"/>
            <w:vAlign w:val="center"/>
          </w:tcPr>
          <w:p>
            <w:pPr>
              <w:spacing w:line="360" w:lineRule="exact"/>
              <w:jc w:val="center"/>
              <w:rPr>
                <w:rFonts w:ascii="宋体" w:hAnsi="宋体" w:eastAsia="宋体" w:cs="宋体"/>
                <w:sz w:val="24"/>
                <w:szCs w:val="24"/>
              </w:rPr>
            </w:pPr>
            <w:r>
              <w:rPr>
                <w:rFonts w:hint="eastAsia" w:ascii="宋体" w:hAnsi="宋体" w:eastAsia="宋体" w:cs="宋体"/>
                <w:sz w:val="24"/>
                <w:szCs w:val="24"/>
              </w:rPr>
              <w:t>11</w:t>
            </w:r>
          </w:p>
        </w:tc>
        <w:tc>
          <w:tcPr>
            <w:tcW w:w="1273" w:type="dxa"/>
            <w:vAlign w:val="center"/>
          </w:tcPr>
          <w:p>
            <w:pPr>
              <w:spacing w:line="360" w:lineRule="exact"/>
              <w:rPr>
                <w:rFonts w:ascii="宋体" w:hAnsi="宋体" w:eastAsia="宋体" w:cs="宋体"/>
                <w:sz w:val="24"/>
                <w:szCs w:val="24"/>
              </w:rPr>
            </w:pPr>
            <w:r>
              <w:rPr>
                <w:rFonts w:hint="eastAsia" w:ascii="宋体" w:hAnsi="宋体" w:eastAsia="宋体" w:cs="宋体"/>
                <w:sz w:val="24"/>
                <w:szCs w:val="24"/>
              </w:rPr>
              <w:t>履约保证金</w:t>
            </w:r>
          </w:p>
        </w:tc>
        <w:tc>
          <w:tcPr>
            <w:tcW w:w="7163" w:type="dxa"/>
            <w:vAlign w:val="center"/>
          </w:tcPr>
          <w:p>
            <w:pPr>
              <w:spacing w:line="360" w:lineRule="exact"/>
              <w:rPr>
                <w:rFonts w:ascii="宋体" w:hAnsi="宋体" w:eastAsia="宋体" w:cs="宋体"/>
                <w:sz w:val="24"/>
                <w:szCs w:val="24"/>
              </w:rPr>
            </w:pPr>
            <w:r>
              <w:rPr>
                <w:rFonts w:ascii="宋体" w:hAnsi="宋体" w:eastAsia="宋体" w:cs="宋体"/>
                <w:sz w:val="24"/>
                <w:szCs w:val="24"/>
              </w:rPr>
              <w:t>11.</w:t>
            </w:r>
            <w:r>
              <w:rPr>
                <w:rFonts w:hint="eastAsia" w:ascii="宋体" w:hAnsi="宋体" w:eastAsia="宋体" w:cs="宋体"/>
                <w:sz w:val="24"/>
                <w:szCs w:val="24"/>
              </w:rPr>
              <w:t>1</w:t>
            </w:r>
            <w:r>
              <w:rPr>
                <w:rFonts w:ascii="宋体" w:hAnsi="宋体" w:eastAsia="宋体" w:cs="宋体"/>
                <w:sz w:val="24"/>
                <w:szCs w:val="24"/>
              </w:rPr>
              <w:t>.</w:t>
            </w:r>
            <w:r>
              <w:rPr>
                <w:rFonts w:hint="eastAsia" w:ascii="宋体" w:hAnsi="宋体" w:eastAsia="宋体" w:cs="宋体"/>
                <w:sz w:val="24"/>
                <w:szCs w:val="24"/>
              </w:rPr>
              <w:t>合同签订后，成交供应商需向采购人缴纳成交金额</w:t>
            </w:r>
            <w:r>
              <w:rPr>
                <w:rFonts w:ascii="宋体" w:hAnsi="宋体" w:eastAsia="宋体" w:cs="宋体"/>
                <w:sz w:val="24"/>
                <w:szCs w:val="24"/>
              </w:rPr>
              <w:t>5</w:t>
            </w:r>
            <w:r>
              <w:rPr>
                <w:rFonts w:hint="eastAsia" w:ascii="宋体" w:hAnsi="宋体" w:eastAsia="宋体" w:cs="宋体"/>
                <w:sz w:val="24"/>
                <w:szCs w:val="24"/>
              </w:rPr>
              <w:t>%的履约保证金。（缴纳方式：支票、汇票、本票、保函等非现金形式缴纳）。</w:t>
            </w:r>
          </w:p>
          <w:p>
            <w:pPr>
              <w:spacing w:line="360" w:lineRule="exact"/>
              <w:rPr>
                <w:rFonts w:ascii="宋体" w:hAnsi="宋体" w:eastAsia="宋体" w:cs="宋体"/>
                <w:sz w:val="24"/>
                <w:szCs w:val="24"/>
              </w:rPr>
            </w:pPr>
            <w:r>
              <w:rPr>
                <w:rFonts w:ascii="宋体" w:hAnsi="宋体" w:eastAsia="宋体" w:cs="宋体"/>
                <w:sz w:val="24"/>
                <w:szCs w:val="24"/>
              </w:rPr>
              <w:t>11.2.</w:t>
            </w:r>
            <w:r>
              <w:rPr>
                <w:rFonts w:hint="eastAsia" w:ascii="宋体" w:hAnsi="宋体" w:eastAsia="宋体" w:cs="宋体"/>
                <w:sz w:val="24"/>
                <w:szCs w:val="24"/>
              </w:rPr>
              <w:t>履约保证金由采购人收取，采购项目最终验收合格后并合同履行结束后无息退还。中标人凭成交通知书、供货合同、有关部门验收报告及有关凭证无息退回。</w:t>
            </w:r>
          </w:p>
          <w:p>
            <w:pPr>
              <w:spacing w:line="360" w:lineRule="exact"/>
              <w:rPr>
                <w:rFonts w:ascii="宋体" w:hAnsi="宋体" w:eastAsia="宋体" w:cs="宋体"/>
                <w:sz w:val="24"/>
                <w:szCs w:val="24"/>
              </w:rPr>
            </w:pPr>
            <w:r>
              <w:rPr>
                <w:rFonts w:ascii="宋体" w:hAnsi="宋体" w:eastAsia="宋体" w:cs="宋体"/>
                <w:sz w:val="24"/>
                <w:szCs w:val="24"/>
              </w:rPr>
              <w:t>11.3.</w:t>
            </w:r>
            <w:r>
              <w:rPr>
                <w:rFonts w:hint="eastAsia" w:ascii="宋体" w:hAnsi="宋体" w:eastAsia="宋体" w:cs="宋体"/>
                <w:sz w:val="24"/>
                <w:szCs w:val="24"/>
              </w:rPr>
              <w:t>履约保证金的有效期为缴纳履约保证金之日起至合同履行结束后。</w:t>
            </w:r>
          </w:p>
          <w:p>
            <w:pPr>
              <w:spacing w:line="360" w:lineRule="exact"/>
              <w:rPr>
                <w:rFonts w:ascii="宋体" w:hAnsi="宋体" w:eastAsia="宋体" w:cs="宋体"/>
                <w:sz w:val="24"/>
                <w:szCs w:val="24"/>
              </w:rPr>
            </w:pPr>
            <w:r>
              <w:rPr>
                <w:rFonts w:ascii="宋体" w:hAnsi="宋体" w:eastAsia="宋体" w:cs="宋体"/>
                <w:sz w:val="24"/>
                <w:szCs w:val="24"/>
              </w:rPr>
              <w:t>11.4.</w:t>
            </w:r>
            <w:r>
              <w:rPr>
                <w:rFonts w:hint="eastAsia" w:ascii="宋体" w:hAnsi="宋体" w:eastAsia="宋体" w:cs="宋体"/>
                <w:sz w:val="24"/>
                <w:szCs w:val="24"/>
              </w:rPr>
              <w:t>履约保证金用于补偿采购人因中标人不能完成其合同义务而蒙受的损失。如果中标供应商未能履行其协议规定的任何义务，采购人有权从履约保证金中扣除相应金额作为补偿。</w:t>
            </w:r>
          </w:p>
        </w:tc>
      </w:tr>
    </w:tbl>
    <w:p>
      <w:pPr>
        <w:autoSpaceDE w:val="0"/>
        <w:autoSpaceDN w:val="0"/>
        <w:adjustRightInd w:val="0"/>
        <w:rPr>
          <w:rFonts w:ascii="Times New Roman" w:hAnsi="Times New Roman" w:eastAsia="宋体" w:cs="Times New Roman"/>
          <w:szCs w:val="24"/>
        </w:rPr>
      </w:pPr>
    </w:p>
    <w:p>
      <w:pPr>
        <w:adjustRightInd w:val="0"/>
        <w:snapToGrid w:val="0"/>
        <w:spacing w:line="360" w:lineRule="exact"/>
        <w:rPr>
          <w:rFonts w:ascii="宋体" w:hAnsi="宋体" w:eastAsia="宋体" w:cs="宋体"/>
          <w:b/>
          <w:sz w:val="24"/>
          <w:szCs w:val="24"/>
        </w:rPr>
      </w:pPr>
      <w:r>
        <w:rPr>
          <w:rFonts w:hint="eastAsia" w:ascii="宋体" w:hAnsi="宋体" w:eastAsia="宋体" w:cs="宋体"/>
          <w:b/>
          <w:sz w:val="24"/>
          <w:szCs w:val="24"/>
        </w:rPr>
        <w:t>注：1、以上所有商务条款均为重要条款，供应商必须完全满足，否则作无效响应文件处理。</w:t>
      </w:r>
    </w:p>
    <w:p>
      <w:pPr>
        <w:spacing w:line="360" w:lineRule="exact"/>
        <w:ind w:firstLine="480" w:firstLineChars="200"/>
        <w:rPr>
          <w:rFonts w:ascii="宋体" w:hAnsi="宋体" w:eastAsia="宋体" w:cs="宋体"/>
          <w:sz w:val="28"/>
          <w:szCs w:val="28"/>
        </w:rPr>
      </w:pPr>
      <w:r>
        <w:rPr>
          <w:rFonts w:hint="eastAsia" w:ascii="宋体" w:hAnsi="宋体" w:eastAsia="宋体" w:cs="宋体"/>
          <w:b/>
          <w:sz w:val="24"/>
          <w:szCs w:val="24"/>
        </w:rPr>
        <w:t>2、若无特殊说明，本</w:t>
      </w:r>
      <w:r>
        <w:rPr>
          <w:rFonts w:ascii="宋体" w:hAnsi="宋体" w:eastAsia="宋体" w:cs="宋体"/>
          <w:b/>
          <w:sz w:val="24"/>
          <w:szCs w:val="24"/>
        </w:rPr>
        <w:t>竞争性磋商文件</w:t>
      </w:r>
      <w:r>
        <w:rPr>
          <w:rFonts w:hint="eastAsia" w:ascii="宋体" w:hAnsi="宋体" w:eastAsia="宋体" w:cs="宋体"/>
          <w:b/>
          <w:sz w:val="24"/>
          <w:szCs w:val="24"/>
        </w:rPr>
        <w:t>中所述及的“日”和“天”均指“日历日”。</w:t>
      </w:r>
      <w:bookmarkStart w:id="70" w:name="_Toc8955"/>
      <w:bookmarkStart w:id="71" w:name="_Toc425498937"/>
    </w:p>
    <w:bookmarkEnd w:id="70"/>
    <w:bookmarkEnd w:id="71"/>
    <w:p>
      <w:pPr>
        <w:widowControl/>
        <w:ind w:right="-482" w:rightChars="-230"/>
        <w:jc w:val="left"/>
        <w:outlineLvl w:val="1"/>
        <w:rPr>
          <w:rFonts w:ascii="宋体" w:hAnsi="宋体" w:eastAsia="宋体" w:cs="宋体"/>
          <w:b/>
          <w:kern w:val="0"/>
          <w:sz w:val="28"/>
          <w:szCs w:val="28"/>
        </w:rPr>
        <w:sectPr>
          <w:footerReference r:id="rId4" w:type="first"/>
          <w:footerReference r:id="rId3" w:type="default"/>
          <w:pgSz w:w="11906" w:h="16838"/>
          <w:pgMar w:top="1440" w:right="1800" w:bottom="1440" w:left="1800" w:header="851" w:footer="617" w:gutter="0"/>
          <w:cols w:space="720" w:num="1"/>
          <w:docGrid w:type="linesAndChars" w:linePitch="312" w:charSpace="0"/>
        </w:sectPr>
      </w:pPr>
    </w:p>
    <w:p>
      <w:pPr>
        <w:widowControl/>
        <w:tabs>
          <w:tab w:val="left" w:pos="6090"/>
        </w:tabs>
        <w:spacing w:line="360" w:lineRule="auto"/>
        <w:outlineLvl w:val="1"/>
        <w:rPr>
          <w:rFonts w:ascii="宋体" w:hAnsi="宋体" w:eastAsia="宋体" w:cs="宋体"/>
          <w:b/>
          <w:sz w:val="28"/>
          <w:szCs w:val="28"/>
        </w:rPr>
      </w:pPr>
      <w:bookmarkStart w:id="72" w:name="_Toc155100536"/>
      <w:bookmarkStart w:id="73" w:name="_Toc140248664"/>
      <w:r>
        <w:rPr>
          <w:rFonts w:hint="eastAsia" w:ascii="宋体" w:hAnsi="宋体" w:eastAsia="宋体" w:cs="宋体"/>
          <w:b/>
          <w:sz w:val="28"/>
          <w:szCs w:val="28"/>
        </w:rPr>
        <w:t>二、技术要求</w:t>
      </w:r>
      <w:bookmarkEnd w:id="72"/>
      <w:bookmarkEnd w:id="73"/>
    </w:p>
    <w:p>
      <w:pPr>
        <w:widowControl/>
        <w:ind w:right="-482" w:rightChars="-230"/>
        <w:jc w:val="left"/>
        <w:outlineLvl w:val="1"/>
        <w:rPr>
          <w:rFonts w:ascii="宋体" w:hAnsi="宋体" w:eastAsia="宋体" w:cs="宋体"/>
          <w:b/>
          <w:kern w:val="0"/>
          <w:sz w:val="28"/>
          <w:szCs w:val="28"/>
        </w:rPr>
      </w:pPr>
      <w:bookmarkStart w:id="74" w:name="_Toc155100537"/>
      <w:bookmarkStart w:id="75" w:name="_Toc140247001"/>
      <w:bookmarkStart w:id="76" w:name="_Toc505952515"/>
      <w:bookmarkStart w:id="77" w:name="_Toc129787460"/>
      <w:r>
        <w:rPr>
          <w:rFonts w:hint="eastAsia" w:ascii="宋体" w:hAnsi="宋体" w:eastAsia="宋体" w:cs="宋体"/>
          <w:b/>
          <w:kern w:val="0"/>
          <w:sz w:val="28"/>
          <w:szCs w:val="28"/>
        </w:rPr>
        <w:t>1）采购需求</w:t>
      </w:r>
      <w:bookmarkEnd w:id="74"/>
      <w:bookmarkEnd w:id="75"/>
      <w:bookmarkEnd w:id="76"/>
      <w:bookmarkEnd w:id="77"/>
    </w:p>
    <w:tbl>
      <w:tblPr>
        <w:tblStyle w:val="40"/>
        <w:tblW w:w="10921" w:type="dxa"/>
        <w:tblCellSpacing w:w="0" w:type="dxa"/>
        <w:tblInd w:w="-11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977"/>
        <w:gridCol w:w="3686"/>
        <w:gridCol w:w="1701"/>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7" w:hRule="atLeast"/>
          <w:tblCellSpacing w:w="0" w:type="dxa"/>
        </w:trPr>
        <w:tc>
          <w:tcPr>
            <w:tcW w:w="2977" w:type="dxa"/>
            <w:tcBorders>
              <w:top w:val="single" w:color="auto" w:sz="4" w:space="0"/>
              <w:left w:val="single" w:color="auto" w:sz="4" w:space="0"/>
              <w:bottom w:val="single" w:color="auto" w:sz="4" w:space="0"/>
              <w:right w:val="single" w:color="auto" w:sz="4" w:space="0"/>
            </w:tcBorders>
            <w:vAlign w:val="center"/>
          </w:tcPr>
          <w:p>
            <w:pPr>
              <w:widowControl/>
              <w:ind w:left="370" w:leftChars="100" w:right="105" w:rightChars="50" w:hanging="160" w:hangingChars="67"/>
              <w:jc w:val="center"/>
              <w:rPr>
                <w:rFonts w:ascii="宋体" w:hAnsi="宋体" w:eastAsia="宋体" w:cs="宋体"/>
                <w:b/>
                <w:kern w:val="0"/>
                <w:sz w:val="24"/>
                <w:szCs w:val="24"/>
              </w:rPr>
            </w:pPr>
            <w:r>
              <w:rPr>
                <w:rFonts w:hint="eastAsia" w:ascii="宋体" w:hAnsi="宋体" w:eastAsia="宋体" w:cs="宋体"/>
                <w:b/>
                <w:bCs/>
                <w:kern w:val="0"/>
                <w:sz w:val="24"/>
                <w:szCs w:val="24"/>
              </w:rPr>
              <w:t>项目编号</w:t>
            </w:r>
          </w:p>
        </w:tc>
        <w:tc>
          <w:tcPr>
            <w:tcW w:w="3686" w:type="dxa"/>
            <w:tcBorders>
              <w:top w:val="single" w:color="auto" w:sz="4" w:space="0"/>
              <w:left w:val="single" w:color="auto" w:sz="4" w:space="0"/>
              <w:bottom w:val="single" w:color="auto" w:sz="4" w:space="0"/>
              <w:right w:val="single" w:color="auto" w:sz="4" w:space="0"/>
            </w:tcBorders>
            <w:vAlign w:val="center"/>
          </w:tcPr>
          <w:p>
            <w:pPr>
              <w:widowControl/>
              <w:ind w:right="105" w:rightChars="50" w:firstLine="960" w:firstLineChars="400"/>
              <w:rPr>
                <w:rFonts w:ascii="宋体" w:hAnsi="宋体" w:eastAsia="宋体" w:cs="宋体"/>
                <w:b/>
                <w:kern w:val="0"/>
                <w:sz w:val="24"/>
                <w:szCs w:val="24"/>
              </w:rPr>
            </w:pPr>
            <w:r>
              <w:rPr>
                <w:rFonts w:hint="eastAsia" w:ascii="宋体" w:hAnsi="宋体" w:eastAsia="宋体" w:cs="宋体"/>
                <w:b/>
                <w:bCs/>
                <w:kern w:val="0"/>
                <w:sz w:val="24"/>
                <w:szCs w:val="24"/>
              </w:rPr>
              <w:t>项目名称</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tabs>
                <w:tab w:val="left" w:pos="841"/>
              </w:tabs>
              <w:ind w:right="-8" w:rightChars="-4"/>
              <w:jc w:val="center"/>
              <w:rPr>
                <w:rFonts w:ascii="宋体" w:hAnsi="宋体" w:eastAsia="宋体" w:cs="宋体"/>
                <w:b/>
                <w:kern w:val="0"/>
                <w:sz w:val="24"/>
                <w:szCs w:val="24"/>
              </w:rPr>
            </w:pPr>
            <w:r>
              <w:rPr>
                <w:rFonts w:hint="eastAsia" w:ascii="宋体" w:hAnsi="宋体" w:eastAsia="宋体" w:cs="宋体"/>
                <w:b/>
                <w:kern w:val="0"/>
                <w:sz w:val="24"/>
                <w:szCs w:val="24"/>
              </w:rPr>
              <w:t>数量</w:t>
            </w:r>
          </w:p>
        </w:tc>
        <w:tc>
          <w:tcPr>
            <w:tcW w:w="2557" w:type="dxa"/>
            <w:tcBorders>
              <w:top w:val="single" w:color="auto" w:sz="4" w:space="0"/>
              <w:left w:val="single" w:color="auto" w:sz="4" w:space="0"/>
              <w:bottom w:val="single" w:color="auto" w:sz="4" w:space="0"/>
              <w:right w:val="single" w:color="auto" w:sz="4" w:space="0"/>
            </w:tcBorders>
            <w:vAlign w:val="center"/>
          </w:tcPr>
          <w:p>
            <w:pPr>
              <w:widowControl/>
              <w:ind w:right="105" w:rightChars="50" w:firstLine="360" w:firstLineChars="150"/>
              <w:rPr>
                <w:rFonts w:ascii="宋体" w:hAnsi="宋体" w:eastAsia="宋体" w:cs="宋体"/>
                <w:b/>
                <w:kern w:val="0"/>
                <w:sz w:val="24"/>
                <w:szCs w:val="24"/>
              </w:rPr>
            </w:pPr>
            <w:r>
              <w:rPr>
                <w:rFonts w:hint="eastAsia" w:ascii="宋体" w:hAnsi="宋体" w:eastAsia="宋体" w:cs="宋体"/>
                <w:b/>
                <w:kern w:val="0"/>
                <w:sz w:val="24"/>
                <w:szCs w:val="24"/>
              </w:rPr>
              <w:t>预算金额</w:t>
            </w:r>
          </w:p>
          <w:p>
            <w:pPr>
              <w:tabs>
                <w:tab w:val="left" w:pos="841"/>
              </w:tabs>
              <w:ind w:left="172" w:right="140" w:rightChars="67"/>
              <w:rPr>
                <w:rFonts w:ascii="宋体" w:hAnsi="宋体" w:eastAsia="宋体" w:cs="宋体"/>
                <w:b/>
                <w:kern w:val="0"/>
                <w:sz w:val="24"/>
                <w:szCs w:val="24"/>
              </w:rPr>
            </w:pPr>
            <w:r>
              <w:rPr>
                <w:rFonts w:hint="eastAsia" w:ascii="宋体" w:hAnsi="宋体" w:eastAsia="宋体" w:cs="宋体"/>
                <w:b/>
                <w:kern w:val="0"/>
                <w:sz w:val="24"/>
                <w:szCs w:val="24"/>
              </w:rPr>
              <w:t>(人民币:元)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3" w:hRule="atLeast"/>
          <w:tblCellSpacing w:w="0" w:type="dxa"/>
        </w:trPr>
        <w:tc>
          <w:tcPr>
            <w:tcW w:w="2977"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eastAsia="宋体" w:cs="Times New Roman"/>
                <w:b/>
                <w:sz w:val="24"/>
                <w:szCs w:val="24"/>
              </w:rPr>
            </w:pPr>
            <w:r>
              <w:rPr>
                <w:rFonts w:ascii="宋体" w:hAnsi="宋体" w:eastAsia="宋体" w:cs="宋体"/>
                <w:kern w:val="0"/>
                <w:sz w:val="24"/>
                <w:szCs w:val="24"/>
              </w:rPr>
              <w:t>JXJC-NCCG-202</w:t>
            </w:r>
            <w:r>
              <w:rPr>
                <w:rFonts w:hint="eastAsia" w:ascii="宋体" w:hAnsi="宋体" w:eastAsia="宋体" w:cs="宋体"/>
                <w:kern w:val="0"/>
                <w:sz w:val="24"/>
                <w:szCs w:val="24"/>
              </w:rPr>
              <w:t>4</w:t>
            </w:r>
            <w:r>
              <w:rPr>
                <w:rFonts w:ascii="宋体" w:hAnsi="宋体" w:eastAsia="宋体" w:cs="宋体"/>
                <w:kern w:val="0"/>
                <w:sz w:val="24"/>
                <w:szCs w:val="24"/>
              </w:rPr>
              <w:t>-00</w:t>
            </w:r>
            <w:r>
              <w:rPr>
                <w:rFonts w:hint="eastAsia" w:ascii="宋体" w:hAnsi="宋体" w:eastAsia="宋体" w:cs="宋体"/>
                <w:kern w:val="0"/>
                <w:sz w:val="24"/>
                <w:szCs w:val="24"/>
              </w:rPr>
              <w:t>3</w:t>
            </w:r>
          </w:p>
        </w:tc>
        <w:tc>
          <w:tcPr>
            <w:tcW w:w="3686" w:type="dxa"/>
            <w:tcBorders>
              <w:top w:val="single" w:color="auto" w:sz="4" w:space="0"/>
              <w:left w:val="single" w:color="auto" w:sz="4" w:space="0"/>
              <w:bottom w:val="single" w:color="auto" w:sz="4" w:space="0"/>
              <w:right w:val="single" w:color="auto" w:sz="4" w:space="0"/>
            </w:tcBorders>
            <w:vAlign w:val="center"/>
          </w:tcPr>
          <w:p>
            <w:pPr>
              <w:widowControl/>
              <w:tabs>
                <w:tab w:val="left" w:pos="841"/>
              </w:tabs>
              <w:jc w:val="center"/>
              <w:rPr>
                <w:rFonts w:ascii="宋体" w:hAnsi="宋体" w:eastAsia="宋体" w:cs="宋体"/>
                <w:kern w:val="0"/>
                <w:sz w:val="24"/>
                <w:szCs w:val="24"/>
              </w:rPr>
            </w:pPr>
            <w:r>
              <w:rPr>
                <w:rFonts w:hint="eastAsia" w:ascii="宋体" w:hAnsi="宋体" w:eastAsia="宋体" w:cs="宋体"/>
                <w:kern w:val="0"/>
                <w:sz w:val="24"/>
                <w:szCs w:val="24"/>
              </w:rPr>
              <w:t>南城县党风廉政教育中心项目办公家具采购项目</w:t>
            </w:r>
          </w:p>
        </w:tc>
        <w:tc>
          <w:tcPr>
            <w:tcW w:w="1701" w:type="dxa"/>
            <w:tcBorders>
              <w:top w:val="single" w:color="auto" w:sz="4" w:space="0"/>
              <w:left w:val="single" w:color="auto" w:sz="4" w:space="0"/>
              <w:bottom w:val="single" w:color="auto" w:sz="4" w:space="0"/>
              <w:right w:val="single" w:color="auto" w:sz="4" w:space="0"/>
            </w:tcBorders>
            <w:vAlign w:val="center"/>
          </w:tcPr>
          <w:p>
            <w:pPr>
              <w:widowControl/>
              <w:tabs>
                <w:tab w:val="left" w:pos="841"/>
              </w:tabs>
              <w:jc w:val="center"/>
              <w:rPr>
                <w:rFonts w:ascii="宋体" w:hAnsi="宋体" w:eastAsia="宋体" w:cs="宋体"/>
                <w:kern w:val="0"/>
                <w:sz w:val="24"/>
                <w:szCs w:val="24"/>
              </w:rPr>
            </w:pPr>
            <w:r>
              <w:rPr>
                <w:rFonts w:hint="eastAsia" w:ascii="宋体" w:hAnsi="宋体" w:eastAsia="宋体" w:cs="宋体"/>
                <w:kern w:val="0"/>
                <w:sz w:val="24"/>
                <w:szCs w:val="24"/>
              </w:rPr>
              <w:t>1批</w:t>
            </w:r>
          </w:p>
        </w:tc>
        <w:tc>
          <w:tcPr>
            <w:tcW w:w="2557" w:type="dxa"/>
            <w:tcBorders>
              <w:top w:val="single" w:color="auto" w:sz="4" w:space="0"/>
              <w:left w:val="single" w:color="auto" w:sz="4" w:space="0"/>
              <w:bottom w:val="single" w:color="auto" w:sz="4" w:space="0"/>
              <w:right w:val="single" w:color="auto" w:sz="4" w:space="0"/>
            </w:tcBorders>
            <w:vAlign w:val="center"/>
          </w:tcPr>
          <w:p>
            <w:pPr>
              <w:widowControl/>
              <w:tabs>
                <w:tab w:val="left" w:pos="841"/>
              </w:tabs>
              <w:jc w:val="center"/>
              <w:rPr>
                <w:rFonts w:ascii="宋体" w:hAnsi="宋体" w:eastAsia="宋体" w:cs="宋体"/>
                <w:bCs/>
                <w:kern w:val="0"/>
                <w:sz w:val="24"/>
                <w:szCs w:val="24"/>
              </w:rPr>
            </w:pPr>
            <w:r>
              <w:rPr>
                <w:rFonts w:hint="eastAsia" w:ascii="宋体" w:hAnsi="宋体" w:eastAsia="宋体" w:cs="宋体"/>
                <w:kern w:val="0"/>
                <w:sz w:val="24"/>
                <w:szCs w:val="24"/>
              </w:rPr>
              <w:t>2345613元</w:t>
            </w:r>
          </w:p>
        </w:tc>
      </w:tr>
    </w:tbl>
    <w:p>
      <w:pPr>
        <w:widowControl/>
        <w:ind w:right="-482" w:rightChars="-230"/>
        <w:jc w:val="left"/>
        <w:outlineLvl w:val="1"/>
        <w:rPr>
          <w:rFonts w:cs="宋体" w:asciiTheme="majorEastAsia" w:hAnsiTheme="majorEastAsia" w:eastAsiaTheme="majorEastAsia"/>
          <w:b/>
          <w:kern w:val="0"/>
          <w:sz w:val="24"/>
          <w:szCs w:val="24"/>
        </w:rPr>
      </w:pPr>
      <w:bookmarkStart w:id="78" w:name="_Toc140247002"/>
      <w:bookmarkStart w:id="79" w:name="_Toc155100538"/>
      <w:r>
        <w:rPr>
          <w:rFonts w:hint="eastAsia" w:ascii="宋体" w:hAnsi="宋体" w:eastAsia="宋体" w:cs="宋体"/>
          <w:b/>
          <w:kern w:val="0"/>
          <w:sz w:val="28"/>
          <w:szCs w:val="28"/>
        </w:rPr>
        <w:t>2）</w:t>
      </w:r>
      <w:bookmarkEnd w:id="78"/>
      <w:bookmarkStart w:id="80" w:name="_Toc140247003"/>
      <w:r>
        <w:rPr>
          <w:rFonts w:hint="eastAsia" w:ascii="宋体" w:hAnsi="宋体" w:eastAsia="宋体" w:cs="宋体"/>
          <w:b/>
          <w:kern w:val="0"/>
          <w:sz w:val="28"/>
          <w:szCs w:val="28"/>
        </w:rPr>
        <w:t>技术</w:t>
      </w:r>
      <w:bookmarkEnd w:id="80"/>
      <w:r>
        <w:rPr>
          <w:rFonts w:hint="eastAsia" w:ascii="宋体" w:hAnsi="宋体" w:eastAsia="宋体" w:cs="宋体"/>
          <w:b/>
          <w:kern w:val="0"/>
          <w:sz w:val="28"/>
          <w:szCs w:val="28"/>
        </w:rPr>
        <w:t>需求</w:t>
      </w:r>
      <w:bookmarkEnd w:id="79"/>
    </w:p>
    <w:tbl>
      <w:tblPr>
        <w:tblStyle w:val="41"/>
        <w:tblW w:w="11199" w:type="dxa"/>
        <w:tblInd w:w="-11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993"/>
        <w:gridCol w:w="4111"/>
        <w:gridCol w:w="709"/>
        <w:gridCol w:w="708"/>
        <w:gridCol w:w="993"/>
        <w:gridCol w:w="993"/>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widowControl/>
              <w:ind w:right="105" w:rightChars="50"/>
              <w:jc w:val="center"/>
              <w:rPr>
                <w:rFonts w:cs="Times New Roman" w:asciiTheme="majorEastAsia" w:hAnsiTheme="majorEastAsia" w:eastAsiaTheme="majorEastAsia"/>
                <w:kern w:val="0"/>
                <w:sz w:val="24"/>
                <w:szCs w:val="24"/>
              </w:rPr>
            </w:pPr>
            <w:r>
              <w:rPr>
                <w:rFonts w:cs="宋体" w:asciiTheme="majorEastAsia" w:hAnsiTheme="majorEastAsia" w:eastAsiaTheme="majorEastAsia"/>
                <w:b/>
                <w:bCs/>
                <w:kern w:val="0"/>
                <w:sz w:val="24"/>
                <w:szCs w:val="24"/>
              </w:rPr>
              <w:t>序号</w:t>
            </w:r>
          </w:p>
        </w:tc>
        <w:tc>
          <w:tcPr>
            <w:tcW w:w="993" w:type="dxa"/>
          </w:tcPr>
          <w:p>
            <w:pPr>
              <w:widowControl/>
              <w:ind w:right="105" w:rightChars="50"/>
              <w:jc w:val="center"/>
              <w:rPr>
                <w:rFonts w:cs="宋体" w:asciiTheme="majorEastAsia" w:hAnsiTheme="majorEastAsia" w:eastAsiaTheme="majorEastAsia"/>
                <w:b/>
                <w:bCs/>
                <w:kern w:val="0"/>
                <w:sz w:val="24"/>
                <w:szCs w:val="24"/>
              </w:rPr>
            </w:pPr>
            <w:r>
              <w:rPr>
                <w:rFonts w:cs="宋体" w:asciiTheme="majorEastAsia" w:hAnsiTheme="majorEastAsia" w:eastAsiaTheme="majorEastAsia"/>
                <w:b/>
                <w:bCs/>
                <w:kern w:val="0"/>
                <w:sz w:val="24"/>
                <w:szCs w:val="24"/>
              </w:rPr>
              <w:t>名称</w:t>
            </w:r>
          </w:p>
        </w:tc>
        <w:tc>
          <w:tcPr>
            <w:tcW w:w="4111" w:type="dxa"/>
          </w:tcPr>
          <w:p>
            <w:pPr>
              <w:widowControl/>
              <w:ind w:right="105" w:rightChars="50"/>
              <w:jc w:val="center"/>
              <w:rPr>
                <w:rFonts w:cs="宋体" w:asciiTheme="majorEastAsia" w:hAnsiTheme="majorEastAsia" w:eastAsiaTheme="majorEastAsia"/>
                <w:b/>
                <w:bCs/>
                <w:kern w:val="0"/>
                <w:sz w:val="24"/>
                <w:szCs w:val="24"/>
              </w:rPr>
            </w:pPr>
            <w:r>
              <w:rPr>
                <w:rFonts w:cs="宋体" w:asciiTheme="majorEastAsia" w:hAnsiTheme="majorEastAsia" w:eastAsiaTheme="majorEastAsia"/>
                <w:b/>
                <w:bCs/>
                <w:kern w:val="0"/>
                <w:sz w:val="24"/>
                <w:szCs w:val="24"/>
              </w:rPr>
              <w:t>参数</w:t>
            </w:r>
          </w:p>
        </w:tc>
        <w:tc>
          <w:tcPr>
            <w:tcW w:w="709" w:type="dxa"/>
          </w:tcPr>
          <w:p>
            <w:pPr>
              <w:widowControl/>
              <w:ind w:right="105" w:rightChars="50"/>
              <w:jc w:val="center"/>
              <w:rPr>
                <w:rFonts w:cs="宋体" w:asciiTheme="majorEastAsia" w:hAnsiTheme="majorEastAsia" w:eastAsiaTheme="majorEastAsia"/>
                <w:b/>
                <w:bCs/>
                <w:kern w:val="0"/>
                <w:sz w:val="24"/>
                <w:szCs w:val="24"/>
              </w:rPr>
            </w:pPr>
            <w:r>
              <w:rPr>
                <w:rFonts w:cs="宋体" w:asciiTheme="majorEastAsia" w:hAnsiTheme="majorEastAsia" w:eastAsiaTheme="majorEastAsia"/>
                <w:b/>
                <w:bCs/>
                <w:kern w:val="0"/>
                <w:sz w:val="24"/>
                <w:szCs w:val="24"/>
              </w:rPr>
              <w:t>单位</w:t>
            </w:r>
          </w:p>
        </w:tc>
        <w:tc>
          <w:tcPr>
            <w:tcW w:w="708" w:type="dxa"/>
          </w:tcPr>
          <w:p>
            <w:pPr>
              <w:widowControl/>
              <w:ind w:right="105" w:rightChars="50"/>
              <w:jc w:val="center"/>
              <w:rPr>
                <w:rFonts w:cs="宋体" w:asciiTheme="majorEastAsia" w:hAnsiTheme="majorEastAsia" w:eastAsiaTheme="majorEastAsia"/>
                <w:b/>
                <w:bCs/>
                <w:kern w:val="0"/>
                <w:sz w:val="24"/>
                <w:szCs w:val="24"/>
              </w:rPr>
            </w:pPr>
            <w:r>
              <w:rPr>
                <w:rFonts w:cs="宋体" w:asciiTheme="majorEastAsia" w:hAnsiTheme="majorEastAsia" w:eastAsiaTheme="majorEastAsia"/>
                <w:b/>
                <w:bCs/>
                <w:kern w:val="0"/>
                <w:sz w:val="24"/>
                <w:szCs w:val="24"/>
              </w:rPr>
              <w:t>数量</w:t>
            </w:r>
          </w:p>
        </w:tc>
        <w:tc>
          <w:tcPr>
            <w:tcW w:w="993" w:type="dxa"/>
          </w:tcPr>
          <w:p>
            <w:pPr>
              <w:widowControl/>
              <w:ind w:right="105" w:rightChars="50"/>
              <w:jc w:val="center"/>
              <w:rPr>
                <w:rFonts w:cs="宋体" w:asciiTheme="majorEastAsia" w:hAnsiTheme="majorEastAsia" w:eastAsiaTheme="majorEastAsia"/>
                <w:b/>
                <w:bCs/>
                <w:kern w:val="0"/>
                <w:sz w:val="24"/>
                <w:szCs w:val="24"/>
              </w:rPr>
            </w:pPr>
            <w:r>
              <w:rPr>
                <w:rFonts w:cs="宋体" w:asciiTheme="majorEastAsia" w:hAnsiTheme="majorEastAsia" w:eastAsiaTheme="majorEastAsia"/>
                <w:b/>
                <w:bCs/>
                <w:kern w:val="0"/>
                <w:sz w:val="24"/>
                <w:szCs w:val="24"/>
              </w:rPr>
              <w:t>控制单价（元）</w:t>
            </w:r>
          </w:p>
        </w:tc>
        <w:tc>
          <w:tcPr>
            <w:tcW w:w="993" w:type="dxa"/>
          </w:tcPr>
          <w:p>
            <w:pPr>
              <w:widowControl/>
              <w:ind w:right="105" w:rightChars="50"/>
              <w:jc w:val="center"/>
              <w:rPr>
                <w:rFonts w:cs="宋体" w:asciiTheme="majorEastAsia" w:hAnsiTheme="majorEastAsia" w:eastAsiaTheme="majorEastAsia"/>
                <w:b/>
                <w:bCs/>
                <w:kern w:val="0"/>
                <w:sz w:val="24"/>
                <w:szCs w:val="24"/>
              </w:rPr>
            </w:pPr>
            <w:r>
              <w:rPr>
                <w:rFonts w:hint="eastAsia" w:cs="宋体" w:asciiTheme="majorEastAsia" w:hAnsiTheme="majorEastAsia" w:eastAsiaTheme="majorEastAsia"/>
                <w:b/>
                <w:bCs/>
                <w:kern w:val="0"/>
                <w:sz w:val="24"/>
                <w:szCs w:val="24"/>
              </w:rPr>
              <w:t>控制总价（元）</w:t>
            </w:r>
          </w:p>
        </w:tc>
        <w:tc>
          <w:tcPr>
            <w:tcW w:w="2268" w:type="dxa"/>
          </w:tcPr>
          <w:p>
            <w:pPr>
              <w:widowControl/>
              <w:ind w:right="105" w:rightChars="50"/>
              <w:jc w:val="center"/>
              <w:rPr>
                <w:rFonts w:cs="宋体" w:asciiTheme="majorEastAsia" w:hAnsiTheme="majorEastAsia" w:eastAsiaTheme="majorEastAsia"/>
                <w:b/>
                <w:bCs/>
                <w:kern w:val="0"/>
                <w:sz w:val="24"/>
                <w:szCs w:val="24"/>
              </w:rPr>
            </w:pPr>
            <w:r>
              <w:rPr>
                <w:rFonts w:hint="eastAsia" w:cs="宋体" w:asciiTheme="majorEastAsia" w:hAnsiTheme="majorEastAsia" w:eastAsiaTheme="majorEastAsia"/>
                <w:b/>
                <w:bCs/>
                <w:kern w:val="0"/>
                <w:sz w:val="24"/>
                <w:szCs w:val="24"/>
              </w:rPr>
              <w:t>图片（仅供参考）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单人床1</w:t>
            </w:r>
          </w:p>
        </w:tc>
        <w:tc>
          <w:tcPr>
            <w:tcW w:w="4111" w:type="dxa"/>
            <w:vAlign w:val="center"/>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规格：2000*1200*450mm</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1、材质：床靠、床尾：泰国橡胶木实木板、天然木皮贴面；床的四个脚：泰国橡胶木原木；床边框：泰国橡胶木实木直拼板，不得使用指接板；床横档：杉木原木；  床板：杉木实木板；</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 xml:space="preserve">2、床靠采用弧形溜背设计，床靠无软包，角度略带弧形。床尾高出床边的部分低于床垫厚度；床角带有一定弧度曲面，防止磕碰。床横档（5根）：50mm*60mm  </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床靠背厚：50mm  床腿厚：60mm   床边框厚：40mm   床板厚：15mm</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3、五金：优质五金件材质 ，配件厚度≥1mm</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4、油漆：符合国家标准的水性环保漆，耐高温、防刮痕、防脱落、无甲醛。</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196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1718</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336728</w:t>
            </w:r>
          </w:p>
        </w:tc>
        <w:tc>
          <w:tcPr>
            <w:tcW w:w="2268" w:type="dxa"/>
          </w:tcPr>
          <w:p>
            <w:pPr>
              <w:widowControl/>
              <w:spacing w:line="360" w:lineRule="auto"/>
              <w:jc w:val="left"/>
              <w:rPr>
                <w:rFonts w:cs="仿宋_GB2312" w:asciiTheme="majorEastAsia" w:hAnsiTheme="majorEastAsia" w:eastAsiaTheme="majorEastAsia"/>
                <w:kern w:val="0"/>
                <w:sz w:val="18"/>
                <w:szCs w:val="18"/>
              </w:rPr>
            </w:pPr>
            <w:r>
              <w:rPr>
                <w:rFonts w:cs="仿宋_GB2312" w:asciiTheme="majorEastAsia" w:hAnsiTheme="majorEastAsia" w:eastAsiaTheme="majorEastAsia"/>
                <w:kern w:val="0"/>
                <w:sz w:val="18"/>
                <w:szCs w:val="18"/>
              </w:rPr>
              <w:drawing>
                <wp:inline distT="0" distB="0" distL="0" distR="0">
                  <wp:extent cx="1293495" cy="1790700"/>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293720" cy="1790905"/>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棕垫1</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kern w:val="0"/>
                <w:sz w:val="18"/>
                <w:szCs w:val="18"/>
              </w:rPr>
              <w:t>规格：2000*1200mm</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1、床垫面料：优质涤棉  海绵：高密海绵</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 xml:space="preserve">   主体椰棕：天然高级山棕料 </w:t>
            </w:r>
            <w:r>
              <w:rPr>
                <w:rFonts w:hint="eastAsia" w:cs="Times New Roman" w:asciiTheme="majorEastAsia" w:hAnsiTheme="majorEastAsia" w:eastAsiaTheme="majorEastAsia"/>
                <w:kern w:val="0"/>
                <w:sz w:val="18"/>
                <w:szCs w:val="18"/>
              </w:rPr>
              <w:br w:type="textWrapping"/>
            </w:r>
            <w:r>
              <w:rPr>
                <w:rFonts w:hint="eastAsia" w:cs="Times New Roman" w:asciiTheme="majorEastAsia" w:hAnsiTheme="majorEastAsia" w:eastAsiaTheme="majorEastAsia"/>
                <w:kern w:val="0"/>
                <w:sz w:val="18"/>
                <w:szCs w:val="18"/>
              </w:rPr>
              <w:t>2、总体厚度：100mm  海绵（双面）：40mm  椰棕：60mm</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196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1100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215600</w:t>
            </w:r>
          </w:p>
        </w:tc>
        <w:tc>
          <w:tcPr>
            <w:tcW w:w="2268" w:type="dxa"/>
          </w:tcPr>
          <w:p>
            <w:pPr>
              <w:widowControl/>
              <w:spacing w:line="360" w:lineRule="auto"/>
              <w:ind w:firstLine="360" w:firstLineChars="200"/>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95680" cy="853440"/>
                  <wp:effectExtent l="0" t="0" r="0" b="3810"/>
                  <wp:docPr id="20"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8.png"/>
                          <pic:cNvPicPr>
                            <a:picLocks noChangeAspect="1"/>
                          </pic:cNvPicPr>
                        </pic:nvPicPr>
                        <pic:blipFill>
                          <a:blip r:embed="rId9" cstate="print"/>
                          <a:stretch>
                            <a:fillRect/>
                          </a:stretch>
                        </pic:blipFill>
                        <pic:spPr>
                          <a:xfrm>
                            <a:off x="0" y="0"/>
                            <a:ext cx="995680" cy="853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床头柜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规格：500*500*450mm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1、柜体：全部采用≥17mm厚泰国橡胶木，质地坚硬，不易变形，经高温、高压、防蛀处理，确保坚固可靠；</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油漆：木质部分底漆采用环保油漆，面漆采用环保聚脂漆，经过五底三面油漆工序；表面细小颗粒每平方米不超过二个点，表面硬度达H级，木纹纹理清晰，无发白、流挂及明显划伤，色泽均匀、光滑耐用，达到国际E1级环保标准。与床、衣柜配套</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117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446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52182</w:t>
            </w:r>
          </w:p>
        </w:tc>
        <w:tc>
          <w:tcPr>
            <w:tcW w:w="2268" w:type="dxa"/>
          </w:tcPr>
          <w:p>
            <w:pPr>
              <w:widowControl/>
              <w:spacing w:line="360" w:lineRule="auto"/>
              <w:ind w:firstLine="360" w:firstLineChars="200"/>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37260" cy="1249680"/>
                  <wp:effectExtent l="0" t="0" r="0" b="762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10"/>
                          <a:stretch>
                            <a:fillRect/>
                          </a:stretch>
                        </pic:blipFill>
                        <pic:spPr>
                          <a:xfrm>
                            <a:off x="0" y="0"/>
                            <a:ext cx="939707" cy="1252942"/>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电视柜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规格：1500*500*500mm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1.主材质选用泰国橡胶木，木材经过干燥、防虫害处理，强度高、刚性好、不变形；木材含水率8%-15%。</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2.家具主材：台面、抽屉面采用≥17mm厚泰国橡胶木。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3.实木结构工艺：榫卯结构工艺即整装家具实木链接部分采用出隼、打眼工艺组装。木滑轨。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4.油漆：采用国内知名品牌的优质环保水性漆，无刺激性气味。</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5.油漆工艺，三底一面，成品油漆表面漆膜硬度达到3H级，涂层亮度均匀不褪色，色泽柔和，手感良好。</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6.外表倒棱角、日常可见及可触摸部位圆角处理</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29</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1835</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53215</w:t>
            </w:r>
          </w:p>
        </w:tc>
        <w:tc>
          <w:tcPr>
            <w:tcW w:w="2268" w:type="dxa"/>
          </w:tcPr>
          <w:p>
            <w:pPr>
              <w:widowControl/>
              <w:spacing w:line="360" w:lineRule="auto"/>
              <w:ind w:firstLine="360" w:firstLineChars="200"/>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58850" cy="472440"/>
                  <wp:effectExtent l="0" t="0" r="0" b="381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1"/>
                          <a:stretch>
                            <a:fillRect/>
                          </a:stretch>
                        </pic:blipFill>
                        <pic:spPr>
                          <a:xfrm flipV="1">
                            <a:off x="0" y="0"/>
                            <a:ext cx="957923" cy="471939"/>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5</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储物柜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规格：1200*400*750mm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材质：采用≥17mm厚泰国橡胶木，质地坚硬，不易变形，经高温、高压、防蛀处理，确保坚固可靠；油漆：木质部分底漆采用环保油漆，面漆采用环保聚脂漆，经过五底三面油漆工序；表面细小颗粒每平方米不超过二个点，表面硬度达H级，木纹纹理清晰，无发白、流挂及明显划伤，色泽均匀、光滑耐用，达到国际E1级环保标准。</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64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1473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94272</w:t>
            </w:r>
          </w:p>
        </w:tc>
        <w:tc>
          <w:tcPr>
            <w:tcW w:w="2268" w:type="dxa"/>
          </w:tcPr>
          <w:p>
            <w:pPr>
              <w:widowControl/>
              <w:spacing w:line="360" w:lineRule="auto"/>
              <w:ind w:firstLine="360" w:firstLineChars="200"/>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72185" cy="777240"/>
                  <wp:effectExtent l="0" t="0" r="0" b="381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2"/>
                          <a:stretch>
                            <a:fillRect/>
                          </a:stretch>
                        </pic:blipFill>
                        <pic:spPr>
                          <a:xfrm>
                            <a:off x="0" y="0"/>
                            <a:ext cx="979943" cy="78296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6</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书桌</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规格：1400*600*750mm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1、材质：桌面板：泰国橡胶木实木板；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桌四周围板：泰国橡胶木实木板；</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桌脚：泰国橡胶木原木；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抽屉面板：泰国橡胶木实木板、天然木皮贴面；</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抽屉侧板、底板:EO级桦木多层实木板、天然木皮贴面；外表倒棱角、日常可见及可触摸部位圆角处理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2、桌面板厚：25mm ；四周围板厚：18mm  桌脚厚：60mm*60mm ，  抽屉面板、侧板厚：20mm；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3、五金：不锈钢材质 铰链厚度≥2mm 其它配件厚度≥1mm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4、油漆：符合国家标准的水性环保漆，耐高温、防刮痕、防脱落、无甲醛。</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（需设计两个抽屉）</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29</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1141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33089</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64920" cy="101346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3"/>
                          <a:stretch>
                            <a:fillRect/>
                          </a:stretch>
                        </pic:blipFill>
                        <pic:spPr>
                          <a:xfrm>
                            <a:off x="0" y="0"/>
                            <a:ext cx="1271597" cy="1018639"/>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7</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书桌（定制）</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规格：1000*600*750mm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1、材质：桌面板：泰国橡胶木实木板；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桌四周围板：泰国橡胶木实木板；</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桌脚：泰国橡胶木原木；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抽屉面板：泰国橡胶木实木板、天然木皮贴面；</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抽屉侧板、底板:EO级桦木多层实木板、天然木皮贴面；外表倒棱角、日常可见及可触摸部位圆角处理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2、桌面板厚：25mm ；四周围板厚：18mm  桌脚厚：60mm*60mm ，  抽屉面板、侧板厚：20mm；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3、五金：不锈钢材质 铰链厚度≥2mm 其它配件厚度≥1mm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4、油漆：符合国家标准的水性环保漆，耐高温、防刮痕、防脱落、无甲醛。</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 （需设计两个抽屉）</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64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810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51840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26820" cy="982980"/>
                  <wp:effectExtent l="0" t="0" r="0" b="7620"/>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pic:cNvPicPr>
                            <a:picLocks noChangeAspect="1"/>
                          </pic:cNvPicPr>
                        </pic:nvPicPr>
                        <pic:blipFill>
                          <a:blip r:embed="rId13"/>
                          <a:stretch>
                            <a:fillRect/>
                          </a:stretch>
                        </pic:blipFill>
                        <pic:spPr>
                          <a:xfrm>
                            <a:off x="0" y="0"/>
                            <a:ext cx="1233353" cy="988003"/>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8</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书桌椅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1、面料：座包和靠背面料采用优质麻布饰面 ，厚度≥1.2mm。表面光泽度均匀，透气性好、回位伸缩性强。海绵：采用优质品牌高回弹海绵，密度≥30kg/m³；回弹率≥40%；75%压缩永久变形≤20%；具有硬度适中，不变形等特点;</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2、框架：采用优质橡胶木实木，木材经过经防潮、防腐、防虫等化学处理，含水率≤10%。脚底部配有水平调节脚，木材经防腐、防虫化学处理；座背垫依据人体工学原理设计，坐感舒适，海绵软硬适中。     </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93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427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39711</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030605" cy="1414780"/>
                  <wp:effectExtent l="0" t="0" r="0" b="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4"/>
                          <a:stretch>
                            <a:fillRect/>
                          </a:stretch>
                        </pic:blipFill>
                        <pic:spPr>
                          <a:xfrm>
                            <a:off x="0" y="0"/>
                            <a:ext cx="1030605" cy="141478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9</w:t>
            </w:r>
          </w:p>
        </w:tc>
        <w:tc>
          <w:tcPr>
            <w:tcW w:w="993"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衣帽架</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常规</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93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390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36270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418465" cy="906145"/>
                  <wp:effectExtent l="0" t="0" r="635" b="825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5"/>
                          <a:stretch>
                            <a:fillRect/>
                          </a:stretch>
                        </pic:blipFill>
                        <pic:spPr>
                          <a:xfrm>
                            <a:off x="0" y="0"/>
                            <a:ext cx="418465" cy="90614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10</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组合衣柜1</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规格：2000*2400*580mm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1、材质：采用≥15mm厚EO级桦木多层实木板、天然木皮贴面；</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2、外表倒棱角、日常可见及可触摸部位圆角处理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3、封边用材：2mm 厚 PVC 胶边，热熔胶。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4、五金：优质三合一、二合一连接五金配件，门板与柜体链接采用不锈钢（厚度 ≥1.0mm）阻尼铰链。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5、所有板材符合国际 E0 级环保标准，板面平整光滑，安装严密、平整、端正、牢固，结合处无崩茬或松动，不得有少件、漏钉、透钉；各种配件启闭灵活顺畅，底脚落地平稳</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29</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6639</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192531</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03960" cy="1407795"/>
                  <wp:effectExtent l="0" t="0" r="0" b="1905"/>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stretch>
                            <a:fillRect/>
                          </a:stretch>
                        </pic:blipFill>
                        <pic:spPr>
                          <a:xfrm>
                            <a:off x="0" y="0"/>
                            <a:ext cx="1204679" cy="140910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11</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组合衣柜2</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规格：2150*2400*580mm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1、材质：采用≥15mm厚EO级桦木多层实木板、天然木皮贴面；外表倒棱角、日常可见及可触摸部位圆角处理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2、封边用材：2mm 厚 PVC 胶边，热熔胶。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3、五金：优质三合一、二合一连接五金配件，门板与柜体链接采用不锈钢（厚度 ≥1.0mm）阻尼铰链。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4、所有板材符合国际 E0 级环保标准，板面平整光滑，安装严密、平整、端正、牢固，结合处无崩茬或松动，不得有少件、漏钉、透钉；各种配件启闭灵活顺畅，底脚落地平稳</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64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7981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510784</w:t>
            </w:r>
          </w:p>
        </w:tc>
        <w:tc>
          <w:tcPr>
            <w:tcW w:w="2268" w:type="dxa"/>
          </w:tcPr>
          <w:p>
            <w:pPr>
              <w:widowControl/>
              <w:spacing w:line="360" w:lineRule="auto"/>
              <w:ind w:firstLine="360" w:firstLineChars="200"/>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003300" cy="826770"/>
                  <wp:effectExtent l="0" t="0" r="6350" b="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7"/>
                          <a:stretch>
                            <a:fillRect/>
                          </a:stretch>
                        </pic:blipFill>
                        <pic:spPr>
                          <a:xfrm>
                            <a:off x="0" y="0"/>
                            <a:ext cx="1002878" cy="826159"/>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12</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单人床2</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规格：2000*1800*450mm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1、材质：床靠、床尾：泰国橡胶木实木板、天然木皮贴面；</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床的四个脚：泰国橡胶木原木；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床边框：泰国橡胶木实木直拼板，不得使用指接板；</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床横档：杉木原木；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床板：杉木实木板；</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2、床靠采用弧形溜背设计，床靠无软包，角度略带弧形。床尾高出床边的部分低于床垫厚度；床角带有一定弧度曲面，防止磕碰。</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床横档（5根）：50mm*60mm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床靠背厚：50mm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床腿厚：60mm   床边框厚：40mm   床板厚：15mm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3、五金：优质五金件材质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 配件厚度≥1mm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4、油漆：符合国家标准的水性环保漆，耐高温、防刮痕、防脱落、无甲醛。</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2014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8056</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127760" cy="1127760"/>
                  <wp:effectExtent l="0" t="0" r="0" b="0"/>
                  <wp:docPr id="37" name="图片 12" descr="637d4e32596e80f3dc8e5b406d023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637d4e32596e80f3dc8e5b406d023f5"/>
                          <pic:cNvPicPr>
                            <a:picLocks noChangeAspect="1"/>
                          </pic:cNvPicPr>
                        </pic:nvPicPr>
                        <pic:blipFill>
                          <a:blip r:embed="rId18"/>
                          <a:stretch>
                            <a:fillRect/>
                          </a:stretch>
                        </pic:blipFill>
                        <pic:spPr>
                          <a:xfrm>
                            <a:off x="0" y="0"/>
                            <a:ext cx="1128732" cy="112840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13</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单人床3</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规格床：1800*2000mm 床头柜：480*420*500mm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1.主材质均为北美进口白蜡木，木材经过干燥、防虫害处理，强度高、刚性好、不变形；木材含水率8%-15%。</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2.主材：床头、床尾等均采用≥22毫米厚优质白蜡木；床板采用优质松木（辅材）板条厚度≥14mm松木,板条间距小于40毫米；边角做倒角处理，美观、安全；床边厚度≥22毫米，中间2个松木地脚。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3.3.油漆：采用国内知名品牌的优质环保水性漆，无刺激性气味。</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4.油漆工艺，三底一面，成品油漆表面漆膜硬度达到3H级，涂层亮度均匀不褪色，色泽柔和，手感良好。</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5.实木结构工艺：榫卯结构工艺即整装家具实木链接部分采用出隼、打眼工艺组装。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6.软包要求：其面料外观、缝纫、缝边、芯料外观、芯料物理性能、安全卫生检验合格。</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20000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40000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58570" cy="716280"/>
                  <wp:effectExtent l="0" t="0" r="0" b="762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19"/>
                          <a:stretch>
                            <a:fillRect/>
                          </a:stretch>
                        </pic:blipFill>
                        <pic:spPr>
                          <a:xfrm>
                            <a:off x="0" y="0"/>
                            <a:ext cx="1264987" cy="71968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14</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棕垫2</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规格：2000*1800mm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1、床垫面料：优质涤棉  海绵：高密海绵</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   主体椰棕：天然高级山棕料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2、总体厚度：100mm  海绵（双面）：40mm  椰棕：60mm</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1500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9000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95680" cy="853440"/>
                  <wp:effectExtent l="0" t="0" r="0" b="3810"/>
                  <wp:docPr id="1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pic:cNvPicPr>
                            <a:picLocks noChangeAspect="1"/>
                          </pic:cNvPicPr>
                        </pic:nvPicPr>
                        <pic:blipFill>
                          <a:blip r:embed="rId9" cstate="print"/>
                          <a:stretch>
                            <a:fillRect/>
                          </a:stretch>
                        </pic:blipFill>
                        <pic:spPr>
                          <a:xfrm>
                            <a:off x="0" y="0"/>
                            <a:ext cx="995680" cy="8534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15</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圆茶几</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规格：600*600*600mm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框架：采用优质实木，木材经过经防潮、防腐、防虫等化学处理，含水率 10%。脚底部配有水平调节脚，木材经防腐、防虫化学处理，面喷优质环保油漆；座背垫依据人体 工学原理设计，坐垫软包下为实木多层板，坐感舒适，海绵软硬适中。</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388</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1552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61390" cy="1318260"/>
                  <wp:effectExtent l="0" t="0" r="0" b="0"/>
                  <wp:docPr id="4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0"/>
                          <pic:cNvPicPr>
                            <a:picLocks noChangeAspect="1"/>
                          </pic:cNvPicPr>
                        </pic:nvPicPr>
                        <pic:blipFill>
                          <a:blip r:embed="rId20"/>
                          <a:stretch>
                            <a:fillRect/>
                          </a:stretch>
                        </pic:blipFill>
                        <pic:spPr>
                          <a:xfrm>
                            <a:off x="0" y="0"/>
                            <a:ext cx="961390" cy="131826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16</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会客椅</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面料：座包和靠枕面料采用优质 麻布饰面 ，厚度1.0mm。表面光泽 度均匀，透气性好、回位伸缩性强；海绵：采用优质品牌高回弹海绵密度 40kg/m³；</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回弹率 40%；75%压缩 永久变形 20%；具有硬度适中，不变 形等特点；框架：采用优质实木，木材经过经防潮、防腐、防虫等化学处理，含水率 10%。</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脚底部配有水平调节脚，木材经防腐、防虫化学处理，面喷优质环保油漆；座背垫依据人体 工学原理设计，坐垫软包下为实木多层板，坐感舒适，海绵</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软硬适中。</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把</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335</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670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886460" cy="978535"/>
                  <wp:effectExtent l="0" t="0" r="8890" b="0"/>
                  <wp:docPr id="4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1"/>
                          <pic:cNvPicPr>
                            <a:picLocks noChangeAspect="1"/>
                          </pic:cNvPicPr>
                        </pic:nvPicPr>
                        <pic:blipFill>
                          <a:blip r:embed="rId21"/>
                          <a:stretch>
                            <a:fillRect/>
                          </a:stretch>
                        </pic:blipFill>
                        <pic:spPr>
                          <a:xfrm>
                            <a:off x="0" y="0"/>
                            <a:ext cx="886460" cy="97853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17</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定制布草柜</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按现场实际尺寸</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1、柜体材质：E0级桦木多层实木板、天然木皮贴面；</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2、柜体厚度：侧板、层板、中竖板、厚:15mm；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3、五金：采用优质五金件。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4、油漆：符合国家标准的水性环保漆，耐高温、防刮痕、防脱落、无甲醛。</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（柜体为“7”字开放型柜，具体尺寸根据现场定制）</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套</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12000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24000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03960" cy="782320"/>
                  <wp:effectExtent l="0" t="0" r="0" b="0"/>
                  <wp:docPr id="46" name="图片 24" descr="1699062446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4" descr="1699062446173"/>
                          <pic:cNvPicPr>
                            <a:picLocks noChangeAspect="1"/>
                          </pic:cNvPicPr>
                        </pic:nvPicPr>
                        <pic:blipFill>
                          <a:blip r:embed="rId22"/>
                          <a:stretch>
                            <a:fillRect/>
                          </a:stretch>
                        </pic:blipFill>
                        <pic:spPr>
                          <a:xfrm>
                            <a:off x="0" y="0"/>
                            <a:ext cx="1205484" cy="783518"/>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18</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主席台</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规格：6600×400×750mm；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1、基材：采用E1级优质环保中密度纤维板,密度≥840kg/m3,游离甲醛量≤9.1mg/100mg，含水率≤7.4%，板材经防潮、防腐、防虫的化学处理；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2、面材：表面贴≥0.6mm厚AAA级胡桃木皮，所有截面均用≥8mm厚橡胶木封边，橡胶木经防潮、防腐、防虫化学处理，含水率为8-11%。台面成型厚度为80mm厚；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3、油漆：所有板才均采用PU透明底漆作全封闭处理，“PU”5分消透明面漆饰面，经三底二面工艺工序处理，表面纹理清晰无颗粒、无气泡、无渣点，颜色均匀，硬度高，漆膜厚度≥1.2mm，苯＜0.001%。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4457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4457</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97305" cy="723900"/>
                  <wp:effectExtent l="0" t="0" r="0" b="0"/>
                  <wp:docPr id="3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pic:cNvPicPr>
                            <a:picLocks noChangeAspect="1"/>
                          </pic:cNvPicPr>
                        </pic:nvPicPr>
                        <pic:blipFill>
                          <a:blip r:embed="rId23"/>
                          <a:stretch>
                            <a:fillRect/>
                          </a:stretch>
                        </pic:blipFill>
                        <pic:spPr>
                          <a:xfrm>
                            <a:off x="0" y="0"/>
                            <a:ext cx="1300504" cy="72543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19</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主席台</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规格：3600×400×750mm；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1、基材：采用E1级优质环保中密度纤维板,密度≥840kg/m3,游离甲醛量≤9.1mg/100mg，含水率≤7.4%，板材经防潮、防腐、防虫的化学处理；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2、面材：表面贴≥0.6mm厚AAA级胡桃木皮，所有截面均用≥8mm厚橡胶木封边，橡胶木经防潮、防腐、防虫化学处理，含水率为8-11%。台面成型厚度为80mm厚；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3、油漆：所有板才均采用PU透明底漆作全封闭处理，“PU”5分消透明面漆饰面，经三底二面工艺工序处理，表面纹理清晰无颗粒、无气泡、无渣点，颜色均匀，硬度高，漆膜厚度≥1.2mm，苯＜0.001%。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2323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2323</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340485" cy="747395"/>
                  <wp:effectExtent l="0" t="0" r="0" b="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3"/>
                          <a:stretch>
                            <a:fillRect/>
                          </a:stretch>
                        </pic:blipFill>
                        <pic:spPr>
                          <a:xfrm>
                            <a:off x="0" y="0"/>
                            <a:ext cx="1341675" cy="74839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20</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主席椅</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1、面料：优质西皮，外观色泽均匀、自然、皮纹细腻、手感柔软、透气性佳，厚度≥1.5mm，撕裂强求度＞35N/mm，断裂伸长率＜80%，颜色摩擦牢度＞4.5级，扪皮平整，倒角、脚线、钉角均匀。</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2、海绵：坐垫及靠背：采用PU发泡阻燃海绵海绵，软硬适中，密度55KG/立方米，回弹力为52%。</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3、坐靠曲木板材依据人体工程学原理设计采用1.5MM夹板八层垫压成型，成型板材约12MM厚，板材承受压力不得低于310kg；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4、椅架：椅架采用橡胶木制作，带扶手，经防潮、防腐、防虫化学处理，含水率为8-11%。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把</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15</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477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7155</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72185" cy="1144270"/>
                  <wp:effectExtent l="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4"/>
                          <pic:cNvPicPr>
                            <a:picLocks noChangeAspect="1"/>
                          </pic:cNvPicPr>
                        </pic:nvPicPr>
                        <pic:blipFill>
                          <a:blip r:embed="rId24"/>
                          <a:stretch>
                            <a:fillRect/>
                          </a:stretch>
                        </pic:blipFill>
                        <pic:spPr>
                          <a:xfrm>
                            <a:off x="0" y="0"/>
                            <a:ext cx="972185" cy="11442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21</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会议条桌</w:t>
            </w:r>
          </w:p>
        </w:tc>
        <w:tc>
          <w:tcPr>
            <w:tcW w:w="4111" w:type="dxa"/>
            <w:vAlign w:val="center"/>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规格：1200×400×750mm；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1、基材：采用E1级优质环保中密度纤维板,密度≥840kg/m3,游离甲醛量≤9.1mg/100mg，含水率≤7.4%，板材经防潮、防腐、防虫的化学处理；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2、面材：表面贴≥0.6mm厚AAA级胡桃木皮，所有截面均用≥8mm厚橡胶木封边，橡胶木经防潮、防腐、防虫化学处理，含水率为8-11%。台面成型厚度为80mm厚；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3、油漆：所有板才均采用PU透明底漆作全封闭处理，“PU”5分消透明面漆饰面，经三底二面工艺工序处理，表面纹理清晰无颗粒、无气泡、无渣点，颜色均匀，硬度高，漆膜厚度≥1.2mm，苯＜0.001%。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72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409</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29448</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58570" cy="1028700"/>
                  <wp:effectExtent l="0" t="0" r="0" b="0"/>
                  <wp:docPr id="3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pic:cNvPicPr>
                            <a:picLocks noChangeAspect="1"/>
                          </pic:cNvPicPr>
                        </pic:nvPicPr>
                        <pic:blipFill>
                          <a:blip r:embed="rId25"/>
                          <a:stretch>
                            <a:fillRect/>
                          </a:stretch>
                        </pic:blipFill>
                        <pic:spPr>
                          <a:xfrm>
                            <a:off x="0" y="0"/>
                            <a:ext cx="1259048" cy="10287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22</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会议椅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2、面料：优质西皮，外观色泽均匀、自然、皮纹细腻、手感柔软、透气性佳，厚度≥1.5mm，撕裂强求度＞35N/mm，断裂伸长率＜80%，颜色摩擦牢度＞4.5级，扪皮平整，倒角、脚线、钉角均匀。</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3、海绵：坐垫及靠背：采用PU发泡阻燃海绵海绵，软硬适中，密度55KG/立方米，回弹力为52%。</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4、坐靠曲木板材依据人体工程学原理设计采用1.5MM夹板八层垫压成型，成型板材约12MM厚，板材承受压力不得低于310kg；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5、椅架：椅架采用橡胶木制作，经防潮、防腐、防虫化学处理，含水率为8-11%。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把</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144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226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32544</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29360" cy="1235075"/>
                  <wp:effectExtent l="0" t="0" r="8890" b="3175"/>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6"/>
                          <a:stretch>
                            <a:fillRect/>
                          </a:stretch>
                        </pic:blipFill>
                        <pic:spPr>
                          <a:xfrm>
                            <a:off x="0" y="0"/>
                            <a:ext cx="1229360" cy="12350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23</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会议桌椅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会议桌规格：4200×1600×760mm；会议椅14把：常规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1、基材：采用E1级优质环保中密度纤维板,密度≥840kg/m3,游离甲醛量≤9.1mg/100mg，含水率≤7.4%，板材经防潮、防腐、防虫的化学处理；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2、面材：表面贴≥0.6mm厚AAA级胡桃木皮，所有截面均用≥8mm厚封边，经防潮、防腐、防虫化学处理，含水率为8-11%；</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3、油漆：所有板才均采用PU透明底漆作全封闭处理，“PU”5分消透明面漆饰面，经三底二面工艺工序处理，表面纹理清晰无颗粒、无气泡、无渣点，颜色均匀，硬度高，漆膜厚度≥1.2mm，苯＜0.001%。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套</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11000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11000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87780" cy="1036320"/>
                  <wp:effectExtent l="0" t="0" r="7620" b="0"/>
                  <wp:docPr id="22" name="图片 21" descr="菏泽长方形会议桌-山东拓辰实验设备有限公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descr="菏泽长方形会议桌-山东拓辰实验设备有限公司"/>
                          <pic:cNvPicPr>
                            <a:picLocks noChangeAspect="1"/>
                          </pic:cNvPicPr>
                        </pic:nvPicPr>
                        <pic:blipFill>
                          <a:blip r:embed="rId27" r:link="rId28"/>
                          <a:stretch>
                            <a:fillRect/>
                          </a:stretch>
                        </pic:blipFill>
                        <pic:spPr>
                          <a:xfrm>
                            <a:off x="0" y="0"/>
                            <a:ext cx="1289221" cy="1037498"/>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24</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圆形会议桌椅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会议桌规格：4500×4500×760mm；会议椅20把：常规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1、基材：采用E1级优质环保中密度纤维板,密度≥840kg/m3,游离甲醛量≤9.1mg/100mg，含水率≤7.4%，板材经防潮、防腐、防虫的化学处理；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2、面材：表面贴≥0.6mm厚AAA级胡桃木皮，所有截面均用≥8mm厚封边，经防潮、防腐、防虫化学处理，含水率为8-11%；</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3、油漆：所有板才均采用PU透明底漆作全封闭处理，“PU”5分消透明面漆饰面，经三底二面工艺工序处理，表面纹理清晰无颗粒、无气泡、无渣点，颜色均匀，硬度高，漆膜厚度≥1.2mm，苯＜0.001%。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套</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12826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12826</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87780" cy="880110"/>
                  <wp:effectExtent l="0" t="0" r="7620" b="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9"/>
                          <a:stretch>
                            <a:fillRect/>
                          </a:stretch>
                        </pic:blipFill>
                        <pic:spPr>
                          <a:xfrm>
                            <a:off x="0" y="0"/>
                            <a:ext cx="1291874" cy="88334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25</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实木上下铺</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规格：2000*1000*1800mm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1、床体均采用原木樟子松和榫卯结构，床厅采用连接螺杆加强固定。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2、床立柱采用樟子松 70mm*70mm 床脚必须外套 pp 材质一次注塑成型的塑料防潮脚 套，PP 脚套厚 2mm、高 80mm 并下端成八字形，并带直径 32mm 的调节脚垫(注：3D 打印硬塑料无效) 、床沿 120mm*30mm，床头上料 50mm*30mm 及 25*45mm。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3、侧梯：立柱采用 50mm*35mm 樟子松实木，踏板规格 45mm*30mm 樟子松实木，踏板内镶一根规格 335mm*宽 25mm*厚 10mm±2mm 的夜光垫，发光条采用全新 PU 发光材料 一次注塑成型，起到安全的作用发光条，踏步总数 3 步，优质环保水性清漆，表面纹理清晰无颗粒，无气泡，无渣点，颜色均匀。整体经过防潮，防腐，防虫，脱脂等化学处理，所有拐角处圆弧处理。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4、床板厚度 15mm，采用杉木满铺原木板，双面刨光。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5、铺板横档采用 5 根 40mm*30mm 实木料。其中甲醛释放量＜0.1mg/L，木材含水率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≤15.0。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6、油漆及表面处理：采用环保聚酯亚光清水漆喷涂，四底三面，全部满刮透明腻子，表面纹理清晰无颗粒，无气泡，无渣点，颜色均匀。整体经过防潮，防腐，防虫，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脱脂等化学处理，所有拐角处圆弧处理，无尖锐菱角。腻子、水性底漆、水性面漆均应符合国家标准 GB24410-2009《室内装饰装修材料 水性木器涂料中有害物质限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量》产品通过可溶性重金属含量(可溶性铅≤5mg/kg、可溶性镉≤5mg/kg、可溶性铬≤5mg/kg、可溶性汞≤5mg/kg) 。</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25</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1004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25100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88415" cy="1219200"/>
                  <wp:effectExtent l="0" t="0" r="6985" b="0"/>
                  <wp:docPr id="47" name="图片 6" descr="54d565da8de00b09d9312939d6c24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6" descr="54d565da8de00b09d9312939d6c24c3"/>
                          <pic:cNvPicPr>
                            <a:picLocks noChangeAspect="1"/>
                          </pic:cNvPicPr>
                        </pic:nvPicPr>
                        <pic:blipFill>
                          <a:blip r:embed="rId30"/>
                          <a:stretch>
                            <a:fillRect/>
                          </a:stretch>
                        </pic:blipFill>
                        <pic:spPr>
                          <a:xfrm>
                            <a:off x="0" y="0"/>
                            <a:ext cx="1288473" cy="1219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26</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棕垫3</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规格：2000*1000mm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1、床垫面料：优质涤棉，主体椰棕：天然高级山棕料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2、总体厚度：60mm  椰棕：40mm</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50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50000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95680" cy="1074420"/>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8.png"/>
                          <pic:cNvPicPr>
                            <a:picLocks noChangeAspect="1"/>
                          </pic:cNvPicPr>
                        </pic:nvPicPr>
                        <pic:blipFill>
                          <a:blip r:embed="rId9" cstate="print"/>
                          <a:stretch>
                            <a:fillRect/>
                          </a:stretch>
                        </pic:blipFill>
                        <pic:spPr>
                          <a:xfrm>
                            <a:off x="0" y="0"/>
                            <a:ext cx="995680" cy="10744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27</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四门衣柜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规格：900*600*1800mm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1、材质：采用≥17mm厚EO级桦木多层实木板、天然木皮贴面；</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2、封边用材：2mm 厚 PVC 胶边，热熔胶。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4、五金：优质三合一、二合一连接五金配件，门板与柜体链接采用不锈钢（厚度 ≥1.0mm）阻尼铰链。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5、所有板材符合国际 E0 级环保标准，板面平整光滑，安装严密、平整、端正、牢固，结合处无崩茬或松动，不得有少件、漏钉、透钉；各种配件启闭灵活顺畅，底脚落地平稳</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2386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28632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188085" cy="179070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1"/>
                          <a:stretch>
                            <a:fillRect/>
                          </a:stretch>
                        </pic:blipFill>
                        <pic:spPr>
                          <a:xfrm>
                            <a:off x="0" y="0"/>
                            <a:ext cx="1187535" cy="1789561"/>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28</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保安室衣柜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规格：1600×600×2400mm，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基材：≥17mm厚EO级桦木多层实木板、天然木皮贴面；所有板材均经防虫防腐处理，表面握钉力及静曲强度均达到国际标准，木材干燥更低于9%的含水率。优质五金配件，门板采用阻尼合页。带挂衣杆设计，储物区多功能使用；不带锁。所有板材符合国际环保标准，油漆工艺：采用环保聚酯亚光清水漆喷涂，四底三面，全部满刮透明腻子，表面纹理清晰无颗粒，无气泡，无渣点，颜色均匀。</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3603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3603</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03960" cy="1394460"/>
                  <wp:effectExtent l="0" t="0" r="0" b="0"/>
                  <wp:docPr id="3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pic:cNvPicPr>
                            <a:picLocks noChangeAspect="1"/>
                          </pic:cNvPicPr>
                        </pic:nvPicPr>
                        <pic:blipFill>
                          <a:blip r:embed="rId32"/>
                          <a:stretch>
                            <a:fillRect/>
                          </a:stretch>
                        </pic:blipFill>
                        <pic:spPr>
                          <a:xfrm>
                            <a:off x="0" y="0"/>
                            <a:ext cx="1205994" cy="1396203"/>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29</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办公桌</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规格：1400×700×760mm。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2、材质要求：</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①基材采用E1级优质环保25mm厚中密度纤维板，密度为760kg/m3，游离甲醛≤9.0mg/100mg，含水率8-11%，板材经防潮、防腐、防虫的化学处理；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②面材：表面贴≥0.6mm厚AAA级胡桃木皮，所有截面均用≥8mm厚西南桦及同类材质封边，西南桦及同类材质经防潮、防腐、防虫化学处理，含水率≤11%，台面成型厚度为60mm厚。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3、后处理：所有板材采用PU透明底漆作全封闭处理。PU透明面漆饰面，经三底二面工艺工序处理，表面纹理清晰，无颗粒、无气泡、无渣点，颜色均匀。</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917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24759</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26820" cy="937260"/>
                  <wp:effectExtent l="0" t="0" r="0"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33"/>
                          <a:stretch>
                            <a:fillRect/>
                          </a:stretch>
                        </pic:blipFill>
                        <pic:spPr>
                          <a:xfrm>
                            <a:off x="0" y="0"/>
                            <a:ext cx="1230186" cy="939769"/>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30</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办公椅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2、面料：优质西皮，外观色泽均匀、自然、皮纹细腻、手感柔软、透气性佳，厚度≥1.5mm，撕裂强求度＞35N/mm，断裂伸长率＜80%，颜色摩擦牢度＞4.5级，扪皮平整，倒角、脚线、钉角均匀。</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3、海绵：坐垫及靠背：采用PU发泡阻燃海绵海绵，软硬适中，密度55KG/立方米，回弹力为52%。</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4、坐靠曲木板材依据人体工程学原理设计采用1.5MM夹板八层垫压成型，成型板材约12MM厚，板材承受压力不得低于310kg；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5、椅架：椅架采用橡胶木制作，经防潮、防腐、防虫化学处理，含水率为8-11%。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把</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226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6102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29360" cy="1235075"/>
                  <wp:effectExtent l="0" t="0" r="8890"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6"/>
                          <a:stretch>
                            <a:fillRect/>
                          </a:stretch>
                        </pic:blipFill>
                        <pic:spPr>
                          <a:xfrm>
                            <a:off x="0" y="0"/>
                            <a:ext cx="1229360" cy="12350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31</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茶水柜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 xml:space="preserve">规格：800*400*800mm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1、材质要求：基材采用优质环保25mm/18mm厚中密度纤维板，密度为760kg/m3，游离甲醛≤9.0mg/100mg，含水率8-11%，板材经防潮、防腐、防虫的化学处理；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2、面材：表面贴≥0.6mm厚AAA级胡桃木皮，所有截面均用≥8mm厚同类材质封边，同类材质经防潮、防腐、防虫化学处理，含水率≤11%。</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3、后处理：所有板材均采用PU透明底漆作全封闭处理，“PU”透明面漆饰面，经三底二面工艺工序处理，表面纹理清晰，无颗粒、无气泡、无渣点，颜色均匀，硬度高，漆膜厚度≥1.2mm，苯＜0.001%。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586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5860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17295" cy="1318260"/>
                  <wp:effectExtent l="0" t="0" r="1905" b="0"/>
                  <wp:docPr id="2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jpeg"/>
                          <pic:cNvPicPr>
                            <a:picLocks noChangeAspect="1"/>
                          </pic:cNvPicPr>
                        </pic:nvPicPr>
                        <pic:blipFill>
                          <a:blip r:embed="rId34" cstate="print"/>
                          <a:stretch>
                            <a:fillRect/>
                          </a:stretch>
                        </pic:blipFill>
                        <pic:spPr>
                          <a:xfrm>
                            <a:off x="0" y="0"/>
                            <a:ext cx="1219453" cy="132016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32</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二门文件柜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规格：800*400*2000mm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实木框玻璃柜门；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1、基材：采用E1级优质环保中纤维板,含水率≤7.4%甲醛释放量≤1.5mg/L板材经防潮、防腐、防虫的化学处理；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2、面材：表面贴≥0.6mm厚AAA级胡桃木皮，所有截面均用≥8mm厚橡胶木封边，橡胶木经防潮、防腐、防虫化学处理，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3、油漆：所有板才均采用PU透明底漆作全封闭处理。需符合GB 18581-2009《室内装饰装修材料溶剂型木器涂料中有害物质限量》挥发性有机化合物 (VOC )≤350g/L；苯含量≤0.01%；甲苯、二甲苯 、乙苯含量总和≤0.05%；游离二异氰酸酯(TDI 、HDI)含量总和≤0.01%；卤代烃含量≤0.01%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19</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760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14440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078865" cy="1232535"/>
                  <wp:effectExtent l="0" t="0" r="6985" b="571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35"/>
                          <a:stretch>
                            <a:fillRect/>
                          </a:stretch>
                        </pic:blipFill>
                        <pic:spPr>
                          <a:xfrm>
                            <a:off x="0" y="0"/>
                            <a:ext cx="1079064" cy="1232342"/>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33</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三人沙发</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规格：2260mm*860mm*900mm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1、面料：采用优质西皮，扪皮平整，倒角、脚线、钉角均匀。要求禁用偶氮染料和游离甲醛为未检出，挥发性有机物为≤20mg/kg，可萃取的铅和镉均≤1mg/kg。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2、海棉：选用优质海绵，弹性好，不易变形，软硬适中，座垫的密度≥40kg/m3 ,靠背的密度≥30kg/m3，回弹力≥50%。</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3、椅架：采用优质橡胶木框架，无腐朽虫蛀，经除油、防虫、烘烤、蒸压煮、烘干、杀菌、杀虫处理，含水率12%，接合牢固无松动，配实木五星脚架。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4、油漆采用优质品牌环保净味水性漆，木纹纹理清晰，色泽均匀、光滑耐用；GB 18581-2022《木器涂料中有害物质限量》，1.甲醛2.挥发性有机化合物（VOC）≤119g/L③苯、甲苯、二甲苯、乙苯，苯、甲苯、乙苯、二甲苯总和等检测内容均合格</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8</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2800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22400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165860" cy="511175"/>
                  <wp:effectExtent l="0" t="0" r="0" b="3175"/>
                  <wp:docPr id="3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pic:cNvPicPr>
                            <a:picLocks noChangeAspect="1"/>
                          </pic:cNvPicPr>
                        </pic:nvPicPr>
                        <pic:blipFill>
                          <a:blip r:embed="rId36"/>
                          <a:stretch>
                            <a:fillRect/>
                          </a:stretch>
                        </pic:blipFill>
                        <pic:spPr>
                          <a:xfrm>
                            <a:off x="0" y="0"/>
                            <a:ext cx="1170231" cy="5131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34</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单人沙发</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规格：1260mm*860mm*900mm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1、面料：采用优质西皮，扪皮平整，倒角、脚线、钉角均匀。要求禁用偶氮染料和游离甲醛为未检出，挥发性有机物为≤20mg/kg，可萃取的铅和镉均≤1mg/kg。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2、海棉：选用优质海绵，弹性好，不易变形，软硬适中，座垫的密度≥40kg/m3 ,靠背的密度≥30kg/m3，回弹力≥50%。</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3、椅架：采用优质橡胶木框架，无腐朽虫蛀，经除油、防虫、烘烤、蒸压煮、烘干、杀菌、杀虫处理，含水率12%，接合牢固无松动，配实木五星脚架。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4、油漆采用优质品牌环保净味水性漆，木纹纹理清晰，色泽均匀、光滑耐用；GB 18581-2022《木器涂料中有害物质限量》，1.甲醛2.挥发性有机化合物（VOC）≤119g/L③苯、甲苯、二甲苯、乙苯，苯、甲苯、乙苯、二甲苯总和等检测内容均合格</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12000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967740" cy="887095"/>
                  <wp:effectExtent l="0" t="0" r="3810" b="8255"/>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37">
                            <a:lum/>
                          </a:blip>
                          <a:stretch>
                            <a:fillRect/>
                          </a:stretch>
                        </pic:blipFill>
                        <pic:spPr>
                          <a:xfrm>
                            <a:off x="0" y="0"/>
                            <a:ext cx="968956" cy="888716"/>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35</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前台</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规格：3570*800*1100/800（现场定制）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1、柜体：选用E1级优质生态板，带隔断板作为储物设计，柜身及层板板材厚≥17mm。桌面、挡板均采用岩板设计，颜色搭配合理。</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13850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13850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34440" cy="717550"/>
                  <wp:effectExtent l="0" t="0" r="3810" b="6350"/>
                  <wp:docPr id="48"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pic:cNvPicPr>
                            <a:picLocks noChangeAspect="1"/>
                          </pic:cNvPicPr>
                        </pic:nvPicPr>
                        <pic:blipFill>
                          <a:blip r:embed="rId38"/>
                          <a:stretch>
                            <a:fillRect/>
                          </a:stretch>
                        </pic:blipFill>
                        <pic:spPr>
                          <a:xfrm>
                            <a:off x="0" y="0"/>
                            <a:ext cx="1234756" cy="718078"/>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36</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大厅前台</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根据现场定制，台面、四周均采用优质人造大理石，内部基材采用优质环保级实木生态板，带隔断板作为储物设计，柜身及层板板材厚≥17mm。</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58000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58000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11580" cy="861060"/>
                  <wp:effectExtent l="0" t="0" r="7620" b="0"/>
                  <wp:docPr id="28" name="图片 48" descr="46fa6d9242b09c428eac98a4e98c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8" descr="46fa6d9242b09c428eac98a4e98cea7"/>
                          <pic:cNvPicPr>
                            <a:picLocks noChangeAspect="1"/>
                          </pic:cNvPicPr>
                        </pic:nvPicPr>
                        <pic:blipFill>
                          <a:blip r:embed="rId39"/>
                          <a:stretch>
                            <a:fillRect/>
                          </a:stretch>
                        </pic:blipFill>
                        <pic:spPr>
                          <a:xfrm>
                            <a:off x="0" y="0"/>
                            <a:ext cx="1207741" cy="85839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37</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壁柜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规格：20355*240/500*2210（现场定制）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1、柜体：选用E1级优质生态板，带隔断板作为储物设计，柜身及层板板材厚≥17mm。柜门高度600mm，组合柜下端带有柜门储物设计，便于放置物品。</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2、五金：采用优质环保五金件。各种五金件均通过抗盐雾试验符合GB/T 3325-2017标准要求。</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48000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48000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123315" cy="754380"/>
                  <wp:effectExtent l="0" t="0" r="635" b="7620"/>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40"/>
                          <a:stretch>
                            <a:fillRect/>
                          </a:stretch>
                        </pic:blipFill>
                        <pic:spPr>
                          <a:xfrm flipV="1">
                            <a:off x="0" y="0"/>
                            <a:ext cx="1123507" cy="754467"/>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38</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四人位阅览桌</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规格：1500*1200*760</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1、材质：桌体为全橡胶木材质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2、颜色：待定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3、主要构件：桌面、桌腿、挡板、灯具等。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（1）基材。整体厚度为≥40mm 优质橡胶木板，不得采用四周围边工艺。所有拐角处圆弧处理，无尖锐棱角。正面色差小；正面色差小;双面无任何 3mm 结疤、无腐朽、无虫眼;双面 180 目以上抛光;两面无死疤，无腐，无虫孔，无开裂，无补灰，砂光平整。经高温烘干、防蛀防裂特殊处理。桌腿采用全实木材质带造型设计，桌腿底部采用 35mm*45mm 与桌面采用榫卯结构并采用优质五金件隐藏式连接稳固，整体经过防潮，防腐，防虫，脱脂、防霉变等化学处理，结构稳定，设计合理， 美观大方， 经久耐用，所有拐角处圆弧处理，无尖锐棱角，桌脚采用静音脚垫。符合 GB/T3324-2017《木家具通用技术条件》、GB 18584-2001《室内装饰装修材料 木家具中有害物质限量》要求，含水率≤8%，甲醛释放量符合 E0 级环保标准≤0.05mg/m³，重金属含量符合标准要求。</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（2）胶粘剂：采用优质原胶，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（3）油漆：采用环保油漆水性清漆喷涂（或 UV 漆喷涂），全部满刮透明腻子， 表面纹理清晰无颗粒，无气泡，无渣点，颜色均匀。</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4、挡板及灯具：桌面中间设有可拆卸式挡板及灯具组合。可拆卸式挡板：内部镶嵌于灯架下方，2 块哑光亚克力材质可拆卸式挡板。具体规格：长 600mm*厚 10mm*高 400mm。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一体化支架灯：</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（1）灯架：采用优质钢制作，灯架立柱和梁为整体规格长 1500mm*厚 100mm*高 500mm（±3mm）矩形管，经激光切割，焊接而成，经表面处理后，喷涂均匀光滑，符合环保要求，颜色待定。灯架内两侧安装插座（二三孔强电、电源开关）；</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（2）护眼 LED 灯：色温控制在 2800K-4000K，面罩为防眩光棱晶面罩；</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（3）线路：插座电线采用国标全铜三芯 1.5 平方标准电线；LED灯线采用国标全铜 1.0 平方标准电线，电线外部要有护套管，二线相接连接好后要有护套。</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1317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7902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34440" cy="1233805"/>
                  <wp:effectExtent l="0" t="0" r="3810" b="4445"/>
                  <wp:docPr id="5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0"/>
                          <pic:cNvPicPr>
                            <a:picLocks noChangeAspect="1"/>
                          </pic:cNvPicPr>
                        </pic:nvPicPr>
                        <pic:blipFill>
                          <a:blip r:embed="rId41"/>
                          <a:stretch>
                            <a:fillRect/>
                          </a:stretch>
                        </pic:blipFill>
                        <pic:spPr>
                          <a:xfrm>
                            <a:off x="0" y="0"/>
                            <a:ext cx="1232704" cy="12322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39</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实木阅览椅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规格：540*450*760mm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1、材质：全橡胶木材质，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2、颜色：需与阅览桌配套</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3、主要构件：椅面板、椅腿、靠背、扶手等</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（1）基材：采用优质橡胶木板，正面色差小;双面无任何 3mm 结疤、无腐朽、无虫眼;双面 180 目以上抛光;两面无死疤，无腐，无虫孔，无开裂，无补灰，砂光平整。经高温烘干、防蛀防裂特殊处理。采用全木榫结构，扶手和靠背上脑弧度圆润，坐感舒适，符合人体工效学。椅面采用≥20mm 厚橡胶木板，椅面需挖造型，增加舒适性，椅面下拉料 25mm*55mm，扶手规格:30*60mm，靠背规格:30*120mm 椅子脚采用中间 40mm 圆底部 25mm 圆，采用优质五金件，具有耐腐蚀性，成品无毛刺，无裂纹，接缝自然，无明显缺口和缝隙。椅面转角过渡自然，所有边角采用圆角设计。椅脚</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须安装专用耐磨防滑静音垫。所有拐角处圆弧处理，无尖锐棱角。椅子承重≥150kg，须采用榫卯结构连接各组件以保证稳固性，并兼顾人体工程学舒适度要求。整体经过防潮，防腐，防虫，脱</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脂、防霉变等化学处理，结构稳定，设计合理， 美观大方， 经久耐用，无尖锐棱角，椅子承重≥150kg。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（2）胶粘剂：采用优质原胶。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（3）油漆：采用环保油漆水性清漆喷涂（或 UV 漆喷涂），全部满刮透明腻子， 表面纹理清晰无颗粒，无气泡，无渣点，颜色均匀。</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把</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333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7992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136015" cy="1576070"/>
                  <wp:effectExtent l="0" t="0" r="6985" b="5080"/>
                  <wp:docPr id="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pic:cNvPicPr>
                            <a:picLocks noChangeAspect="1"/>
                          </pic:cNvPicPr>
                        </pic:nvPicPr>
                        <pic:blipFill>
                          <a:blip r:embed="rId42"/>
                          <a:stretch>
                            <a:fillRect/>
                          </a:stretch>
                        </pic:blipFill>
                        <pic:spPr>
                          <a:xfrm>
                            <a:off x="0" y="0"/>
                            <a:ext cx="1136015" cy="15760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40</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调查指挥台</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指挥台桌；根据现场尺寸定制：常规</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1、基材：采用E1级优质环保中密度纤维板,密度≥840kg/m3,游离甲醛量≤9.1mg/100mg，含水率≤7.4%，板材经防潮、防腐、防虫的化学处理；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2、面材：表面贴≥0.6mm厚AAA级胡桃木皮，所有截面均用≥8mm厚封边，经防潮、防腐、防虫化学处理，含水率为8-11%；</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3、油漆：所有板才均采用PU透明底漆作全封闭处理，“PU”5分消透明面漆饰面，经三底二面工艺工序处理，表面纹理清晰无颗粒、无气泡、无渣点，颜色均匀，硬度高，漆膜厚度≥1.2mm，苯＜0.001%。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套</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5</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4800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24000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55395" cy="1676400"/>
                  <wp:effectExtent l="0" t="0" r="1905" b="0"/>
                  <wp:docPr id="4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3"/>
                          <pic:cNvPicPr>
                            <a:picLocks noChangeAspect="1"/>
                          </pic:cNvPicPr>
                        </pic:nvPicPr>
                        <pic:blipFill>
                          <a:blip r:embed="rId43"/>
                          <a:stretch>
                            <a:fillRect/>
                          </a:stretch>
                        </pic:blipFill>
                        <pic:spPr>
                          <a:xfrm>
                            <a:off x="0" y="0"/>
                            <a:ext cx="1255064" cy="1675282"/>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41</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指挥台椅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规格：宽450mm*深580mm*高900mm；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2、面料：优质牛皮，外观色泽均匀、自然、皮纹细腻、手感柔软、透气性佳，厚度≥1.5mm，撕裂强求度＞35N/mm，断裂伸长率＜80%，颜色摩擦牢度＞4.5级，扪皮平整，倒角、脚线、钉角均匀。</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3、海绵：坐垫及靠背：采用PU发泡阻燃海绵海绵，软硬适中，密度55KG/立方米，回弹力为52%。</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4、坐靠橡木板材依据人体工程学原理设计采用1.5MM夹板八层垫压成型，成型板材约12MM厚，板材承受压力不得低于310kg；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5、椅架：椅架采用橡胶木制作，经防潮、防腐、防虫化学处理，含水率为8-11%。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50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406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20300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42060" cy="1552575"/>
                  <wp:effectExtent l="0" t="0" r="0" b="9525"/>
                  <wp:docPr id="29" name="图片 1" descr="142d901377985730ae5b491cce4a0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descr="142d901377985730ae5b491cce4a0c5"/>
                          <pic:cNvPicPr>
                            <a:picLocks noChangeAspect="1"/>
                          </pic:cNvPicPr>
                        </pic:nvPicPr>
                        <pic:blipFill>
                          <a:blip r:embed="rId44"/>
                          <a:srcRect l="11876" t="7605" r="7524" b="16828"/>
                          <a:stretch>
                            <a:fillRect/>
                          </a:stretch>
                        </pic:blipFill>
                        <pic:spPr>
                          <a:xfrm>
                            <a:off x="0" y="0"/>
                            <a:ext cx="1240424" cy="1550914"/>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42</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六人位餐桌</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规格：1800*800*760mm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1、材质：桌体为全橡胶木材质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2、主要构件：桌面、桌腿等。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（1）基材整体厚度为25mm 优质橡胶木板，不得采用四周围边工艺。所有拐角处圆弧处理，无尖锐棱角。正面色差小；正面色差小;双面无任何 3mm 结疤、无腐朽、无虫眼;双面 180 目以上抛光;两面无死疤，无腐，无虫孔，无开裂，无补灰，砂光平整。经高温烘干、防蛀防裂特殊处理。桌腿采用全实木材质带造型设计，桌腿底部采用 50mm*50mm 与桌面采用榫卯结构并采用优质五金件隐藏式连接稳固，整体经过防潮，防腐，防虫，脱脂、防霉变等化学处理，结构稳定，设计合理， 美观大方， 经久耐用，所有拐角处圆弧处理，无尖锐棱角。符合 GB/T3324-2017《木家具通用技术条件》、GB 18584-2001《室内装饰装修材料 木家具中有害物质限量》要求，含水率≤8%，甲醛释放量符合环保标准≤0.05mg/m³，重金属含量符合标准要求。</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（2）胶粘剂：采用优质原胶，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（3）油漆：采用环保油漆水性清漆喷涂（或 UV 漆喷涂），全部满刮透明腻子， 表面纹理清晰无颗粒，无气泡，无渣点，颜色均匀。</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24000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42060" cy="1236345"/>
                  <wp:effectExtent l="0" t="0" r="0" b="1905"/>
                  <wp:docPr id="33"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2"/>
                          <pic:cNvPicPr>
                            <a:picLocks noChangeAspect="1"/>
                          </pic:cNvPicPr>
                        </pic:nvPicPr>
                        <pic:blipFill>
                          <a:blip r:embed="rId45"/>
                          <a:stretch>
                            <a:fillRect/>
                          </a:stretch>
                        </pic:blipFill>
                        <pic:spPr>
                          <a:xfrm>
                            <a:off x="0" y="0"/>
                            <a:ext cx="1244310" cy="1238933"/>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43</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四人位餐桌</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规格：1200*800*760mm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1、材质：桌体为全橡胶木材质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2、主要构件：桌面、桌腿等。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（1）基材整体厚度为25mm 优质橡胶木板，不得采用四周围边工艺。所有拐角处圆弧处理，无尖锐棱角。正面色差小；正面色差小;双面无任何 3mm 结疤、无腐朽、无虫眼;双面 180 目以上抛光;两面无死疤，无腐，无虫孔，无开裂，无补灰，砂光平整。经高温烘干、防蛀防裂特殊处理。桌腿采用全实木材质带造型设计，桌腿底部采用 50mm*50mm 与桌面采用榫卯结构并采用优质五金件隐藏式连接稳固，整体经过防潮，防腐，防虫，脱脂、防霉变等化学处理，结构稳定，设计合理， 美观大方， 经久耐用，所有拐角处圆弧处理，无尖锐棱角。符合 GB/T3324-2017《木家具通用技术条件》、GB 18584-2001《室内装饰装修材料 木家具中有害物质限量》要求，含水率≤8%，甲醛释放量符合环保标准≤0.05mg/m³，重金属含量符合标准要求。</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（2）胶粘剂：采用优质原胶，</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（3）油漆：采用环保油漆水性清漆喷涂（或 UV 漆喷涂），全部满刮透明腻子， 表面纹理清晰无颗粒，无气泡，无渣点，颜色均匀。</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1262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32812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11580" cy="1205865"/>
                  <wp:effectExtent l="0" t="0" r="7620" b="0"/>
                  <wp:docPr id="38"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3"/>
                          <pic:cNvPicPr>
                            <a:picLocks noChangeAspect="1"/>
                          </pic:cNvPicPr>
                        </pic:nvPicPr>
                        <pic:blipFill>
                          <a:blip r:embed="rId45"/>
                          <a:stretch>
                            <a:fillRect/>
                          </a:stretch>
                        </pic:blipFill>
                        <pic:spPr>
                          <a:xfrm>
                            <a:off x="0" y="0"/>
                            <a:ext cx="1215476" cy="121022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44</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实木餐椅</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规格：390*400*750mm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1、材质：全橡胶木材质，</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2、颜色：需与阅览桌配套</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3、主要构件：椅面板、椅腿、靠背等</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（1）基材：采用优质橡胶木板，正面色差小;双面无任何 3mm 结疤、无腐朽、无虫眼;双面 180 目以上抛光;两面无死疤，无腐，无虫孔，无开裂，无补灰，砂光平整。经高温烘干、防蛀防裂特殊处理。采用全木榫结构，扶手和靠背上脑弧度圆润，坐感舒适，符合人体工效学。椅面采用≥18mm 厚橡胶木板，椅面需挖造型，增加舒适性，所有拐角处圆弧处理，无尖锐棱角。椅子承重≥150kg，须采用榫卯结构连接各组件以保证稳固性，并兼顾人体工程学舒适度要求。整体经过防潮，防腐，防虫，脱</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脂、防霉变等化学处理，结构稳定，设计合理， 美观大方， 经久耐用，无尖锐棱角，椅子承重≥150kg。</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（2）胶粘剂：采用优质原胶。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（3）油漆：采用环保油漆水性清漆喷涂（或 UV 漆喷涂），全部满刮透明腻子， 表面纹理清晰无颗粒，无气泡，无渣点，颜色均匀。</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把</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176</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207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36432</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11580" cy="1457960"/>
                  <wp:effectExtent l="0" t="0" r="7620" b="8890"/>
                  <wp:docPr id="4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pic:cNvPicPr>
                            <a:picLocks noChangeAspect="1"/>
                          </pic:cNvPicPr>
                        </pic:nvPicPr>
                        <pic:blipFill>
                          <a:blip r:embed="rId46"/>
                          <a:stretch>
                            <a:fillRect/>
                          </a:stretch>
                        </pic:blipFill>
                        <pic:spPr>
                          <a:xfrm>
                            <a:off x="0" y="0"/>
                            <a:ext cx="1214309" cy="1461537"/>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45</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等候椅</w:t>
            </w:r>
          </w:p>
        </w:tc>
        <w:tc>
          <w:tcPr>
            <w:tcW w:w="4111" w:type="dxa"/>
            <w:vAlign w:val="center"/>
          </w:tcPr>
          <w:p>
            <w:pPr>
              <w:jc w:val="left"/>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规格：1750*700*820mm，坐高42mm，扶手高61mm；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材质：铸钢框架，加厚钢材，超强承重；工艺：表面经过酸洗、磷化、静电喷塑、高温固化处理；⑷外观：多色可选，有防滑脚设计。</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张</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1522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4566</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150620" cy="793750"/>
                  <wp:effectExtent l="0" t="0" r="0" b="6350"/>
                  <wp:docPr id="43" name="图片框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框 1055"/>
                          <pic:cNvPicPr>
                            <a:picLocks noChangeAspect="1"/>
                          </pic:cNvPicPr>
                        </pic:nvPicPr>
                        <pic:blipFill>
                          <a:blip r:embed="rId47">
                            <a:lum/>
                          </a:blip>
                          <a:stretch>
                            <a:fillRect/>
                          </a:stretch>
                        </pic:blipFill>
                        <pic:spPr>
                          <a:xfrm>
                            <a:off x="0" y="0"/>
                            <a:ext cx="1153648" cy="795846"/>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46</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文件柜</w:t>
            </w:r>
          </w:p>
        </w:tc>
        <w:tc>
          <w:tcPr>
            <w:tcW w:w="4111" w:type="dxa"/>
            <w:vAlign w:val="center"/>
          </w:tcPr>
          <w:p>
            <w:pPr>
              <w:jc w:val="left"/>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1800*850*400（±10mm）（每层两门，每两门配活页锁、拉手、不锈钢名号牌。材料：冷轧钢板，厚度0.8mm，表面经磷化处理，热固性粉末喷涂（优质环保型塑粉，不褪色，不氧化。要求：每层（两扇门）承重达到60kg，预计可容纳100份常规资料</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722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2888</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029335" cy="2086610"/>
                  <wp:effectExtent l="0" t="0" r="0" b="8890"/>
                  <wp:docPr id="4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7"/>
                          <pic:cNvPicPr>
                            <a:picLocks noChangeAspect="1"/>
                          </pic:cNvPicPr>
                        </pic:nvPicPr>
                        <pic:blipFill>
                          <a:blip r:embed="rId48"/>
                          <a:stretch>
                            <a:fillRect/>
                          </a:stretch>
                        </pic:blipFill>
                        <pic:spPr>
                          <a:xfrm>
                            <a:off x="0" y="0"/>
                            <a:ext cx="1029335" cy="20866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47</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储物柜</w:t>
            </w:r>
          </w:p>
        </w:tc>
        <w:tc>
          <w:tcPr>
            <w:tcW w:w="4111" w:type="dxa"/>
            <w:vAlign w:val="center"/>
          </w:tcPr>
          <w:p>
            <w:pPr>
              <w:jc w:val="left"/>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规格：1400*450*400（±10mm）采用厚度0.8mm优质冷轧钢板，表面经磷化处理，热固性粉末喷涂（优质环保型塑粉，不褪色，不氧化。要求：每层承重达到60kg。</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5</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557</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2785</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26820" cy="1371600"/>
                  <wp:effectExtent l="0" t="0" r="0" b="0"/>
                  <wp:docPr id="5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2"/>
                          <pic:cNvPicPr>
                            <a:picLocks noChangeAspect="1"/>
                          </pic:cNvPicPr>
                        </pic:nvPicPr>
                        <pic:blipFill>
                          <a:blip r:embed="rId49"/>
                          <a:stretch>
                            <a:fillRect/>
                          </a:stretch>
                        </pic:blipFill>
                        <pic:spPr>
                          <a:xfrm>
                            <a:off x="0" y="0"/>
                            <a:ext cx="1228857" cy="1373377"/>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48</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物品存放柜</w:t>
            </w:r>
          </w:p>
        </w:tc>
        <w:tc>
          <w:tcPr>
            <w:tcW w:w="4111" w:type="dxa"/>
            <w:vAlign w:val="center"/>
          </w:tcPr>
          <w:p>
            <w:pPr>
              <w:jc w:val="left"/>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规格：1800*2550*450（±10mm）采用厚度0.6mm优质冷轧钢板，表面经磷化处理，热固性粉末喷涂，智能密码锁，存放私人物品。</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4293</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4293</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48410" cy="920750"/>
                  <wp:effectExtent l="0" t="0" r="8890" b="0"/>
                  <wp:docPr id="5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7"/>
                          <pic:cNvPicPr>
                            <a:picLocks noChangeAspect="1"/>
                          </pic:cNvPicPr>
                        </pic:nvPicPr>
                        <pic:blipFill>
                          <a:blip r:embed="rId50"/>
                          <a:stretch>
                            <a:fillRect/>
                          </a:stretch>
                        </pic:blipFill>
                        <pic:spPr>
                          <a:xfrm>
                            <a:off x="0" y="0"/>
                            <a:ext cx="1248959" cy="921434"/>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49</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定制茶水柜</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规格：2800*400*800mm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1、材质要求：基材采用优质环保25mm/18mm厚中密度纤维板，密度为760kg/m3，游离甲醛≤9.0mg/100mg，含水率8-11%，板材经防潮、防腐、防虫的化学处理；</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2、面材：表面贴≥0.6mm厚AAA级胡桃木皮，所有截面均用≥8mm厚同类材质封边，同类材质经防潮、防腐、防虫化学处理，含水率≤11%。</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3、后处理：所有板材均采用PU透明底漆作全封闭处理，“PU”透明面漆饰面，经三底二面工艺工序处理，表面纹理清晰，无颗粒、无气泡、无渣点，颜色均匀，硬度高，漆膜厚度≥1.2mm，苯＜0.001%。</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个</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1600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6400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50950" cy="584835"/>
                  <wp:effectExtent l="0" t="0" r="6350" b="5715"/>
                  <wp:docPr id="5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2"/>
                          <pic:cNvPicPr>
                            <a:picLocks noChangeAspect="1"/>
                          </pic:cNvPicPr>
                        </pic:nvPicPr>
                        <pic:blipFill>
                          <a:blip r:embed="rId51"/>
                          <a:stretch>
                            <a:fillRect/>
                          </a:stretch>
                        </pic:blipFill>
                        <pic:spPr>
                          <a:xfrm>
                            <a:off x="0" y="0"/>
                            <a:ext cx="1256544" cy="587476"/>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50</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组合沙发</w:t>
            </w:r>
          </w:p>
        </w:tc>
        <w:tc>
          <w:tcPr>
            <w:tcW w:w="4111" w:type="dxa"/>
            <w:vAlign w:val="center"/>
          </w:tcPr>
          <w:p>
            <w:pPr>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规格尺寸：沙发尺寸：1800*800*950mm 1030*800*950mm  1400*830*450mm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2.海绵：采用优质环保高回弹海棉，坐垫密度≥40kg/m³，回弹力≥35%、75%永久压缩变形≤8%，反复坐压不变形、不塌陷；海绵坐垫厚度≥12cm。</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3.主材：1.主材质均为北美进口白蜡木，木材经过干燥、防虫害处理，强度高、刚性好、不变形；木材含水率8%-15%。</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3.油漆：采用国内知名品牌的优质环保水性漆，无刺激性气味。</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4.油漆工艺，三底一面，成品油漆表面漆膜硬度达到3H级，涂层亮度均匀不褪色，色泽柔和，手感良好。</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 xml:space="preserve">5.实木结构工艺：榫卯结构工艺即整装家具实木链接部分采用出隼、打眼工艺组装。   </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6.软包要求：其面料外观、缝纫、缝边、芯料外观、芯料物理性能、安全卫生检验合格。</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7.底面采用防火无纺布遮挡，不允许框架裸露。</w:t>
            </w:r>
            <w:r>
              <w:rPr>
                <w:rFonts w:hint="eastAsia" w:cs="Times New Roman" w:asciiTheme="majorEastAsia" w:hAnsiTheme="majorEastAsia" w:eastAsiaTheme="majorEastAsia"/>
                <w:color w:val="000000"/>
                <w:kern w:val="0"/>
                <w:sz w:val="18"/>
                <w:szCs w:val="18"/>
              </w:rPr>
              <w:br w:type="textWrapping"/>
            </w:r>
            <w:r>
              <w:rPr>
                <w:rFonts w:hint="eastAsia" w:cs="Times New Roman" w:asciiTheme="majorEastAsia" w:hAnsiTheme="majorEastAsia" w:eastAsiaTheme="majorEastAsia"/>
                <w:color w:val="000000"/>
                <w:kern w:val="0"/>
                <w:sz w:val="18"/>
                <w:szCs w:val="18"/>
              </w:rPr>
              <w:t>8.表面平整，厚度均匀，外表倒棱角、日常可见及可触摸部位圆角处理。</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套</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2</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28000</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56000</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97305" cy="1318260"/>
                  <wp:effectExtent l="0" t="0" r="0" b="0"/>
                  <wp:docPr id="5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4"/>
                          <pic:cNvPicPr>
                            <a:picLocks noChangeAspect="1"/>
                          </pic:cNvPicPr>
                        </pic:nvPicPr>
                        <pic:blipFill>
                          <a:blip r:embed="rId52"/>
                          <a:stretch>
                            <a:fillRect/>
                          </a:stretch>
                        </pic:blipFill>
                        <pic:spPr>
                          <a:xfrm>
                            <a:off x="0" y="0"/>
                            <a:ext cx="1299995" cy="1320631"/>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424" w:type="dxa"/>
          </w:tcPr>
          <w:p>
            <w:pPr>
              <w:rPr>
                <w:rFonts w:cs="Times New Roman"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51</w:t>
            </w:r>
          </w:p>
        </w:tc>
        <w:tc>
          <w:tcPr>
            <w:tcW w:w="993"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地台</w:t>
            </w:r>
          </w:p>
        </w:tc>
        <w:tc>
          <w:tcPr>
            <w:tcW w:w="4111" w:type="dxa"/>
            <w:vAlign w:val="center"/>
          </w:tcPr>
          <w:p>
            <w:pPr>
              <w:jc w:val="left"/>
              <w:rPr>
                <w:rFonts w:cs="宋体" w:asciiTheme="majorEastAsia" w:hAnsiTheme="majorEastAsia" w:eastAsiaTheme="majorEastAsia"/>
                <w:color w:val="000000"/>
                <w:kern w:val="0"/>
                <w:sz w:val="18"/>
                <w:szCs w:val="18"/>
              </w:rPr>
            </w:pPr>
            <w:r>
              <w:rPr>
                <w:rFonts w:hint="eastAsia" w:cs="Times New Roman" w:asciiTheme="majorEastAsia" w:hAnsiTheme="majorEastAsia" w:eastAsiaTheme="majorEastAsia"/>
                <w:color w:val="000000"/>
                <w:kern w:val="0"/>
                <w:sz w:val="18"/>
                <w:szCs w:val="18"/>
              </w:rPr>
              <w:t>规格：7200*1600*180mm材质：板材采用板规格15mm厚优质E1级多层板制作，选材、工艺及制作要求：所有板材无裂缝、木材含水率为8-12% ，外观色泽统一，色差基本一致。</w:t>
            </w:r>
          </w:p>
        </w:tc>
        <w:tc>
          <w:tcPr>
            <w:tcW w:w="709" w:type="dxa"/>
          </w:tcPr>
          <w:p>
            <w:pPr>
              <w:rPr>
                <w:rFonts w:cs="Times New Roman" w:asciiTheme="majorEastAsia" w:hAnsiTheme="majorEastAsia" w:eastAsiaTheme="majorEastAsia"/>
                <w:kern w:val="0"/>
                <w:sz w:val="18"/>
                <w:szCs w:val="18"/>
              </w:rPr>
            </w:pPr>
            <w:r>
              <w:rPr>
                <w:rFonts w:hint="eastAsia" w:cs="Times New Roman" w:asciiTheme="majorEastAsia" w:hAnsiTheme="majorEastAsia" w:eastAsiaTheme="majorEastAsia"/>
                <w:kern w:val="0"/>
                <w:sz w:val="18"/>
                <w:szCs w:val="18"/>
              </w:rPr>
              <w:t>套</w:t>
            </w:r>
          </w:p>
        </w:tc>
        <w:tc>
          <w:tcPr>
            <w:tcW w:w="708" w:type="dxa"/>
          </w:tcPr>
          <w:p>
            <w:pPr>
              <w:rPr>
                <w:rFonts w:cs="Times New Roman"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t>1</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3244</w:t>
            </w:r>
          </w:p>
        </w:tc>
        <w:tc>
          <w:tcPr>
            <w:tcW w:w="993" w:type="dxa"/>
          </w:tcPr>
          <w:p>
            <w:pPr>
              <w:widowControl/>
              <w:spacing w:line="360" w:lineRule="auto"/>
              <w:jc w:val="center"/>
              <w:rPr>
                <w:rFonts w:cs="仿宋_GB2312" w:asciiTheme="majorEastAsia" w:hAnsiTheme="majorEastAsia" w:eastAsiaTheme="majorEastAsia"/>
                <w:kern w:val="0"/>
                <w:sz w:val="18"/>
                <w:szCs w:val="18"/>
              </w:rPr>
            </w:pPr>
            <w:r>
              <w:rPr>
                <w:rFonts w:hint="eastAsia" w:cs="仿宋_GB2312" w:asciiTheme="majorEastAsia" w:hAnsiTheme="majorEastAsia" w:eastAsiaTheme="majorEastAsia"/>
                <w:kern w:val="0"/>
                <w:sz w:val="18"/>
                <w:szCs w:val="18"/>
              </w:rPr>
              <w:t>3244</w:t>
            </w:r>
          </w:p>
        </w:tc>
        <w:tc>
          <w:tcPr>
            <w:tcW w:w="2268" w:type="dxa"/>
          </w:tcPr>
          <w:p>
            <w:pPr>
              <w:widowControl/>
              <w:spacing w:line="360" w:lineRule="auto"/>
              <w:jc w:val="left"/>
              <w:rPr>
                <w:rFonts w:cs="宋体" w:asciiTheme="majorEastAsia" w:hAnsiTheme="majorEastAsia" w:eastAsiaTheme="majorEastAsia"/>
                <w:kern w:val="0"/>
                <w:sz w:val="18"/>
                <w:szCs w:val="18"/>
              </w:rPr>
            </w:pPr>
            <w:r>
              <w:rPr>
                <w:rFonts w:cs="Times New Roman" w:asciiTheme="majorEastAsia" w:hAnsiTheme="majorEastAsia" w:eastAsiaTheme="majorEastAsia"/>
                <w:kern w:val="0"/>
                <w:sz w:val="18"/>
                <w:szCs w:val="18"/>
              </w:rPr>
              <w:drawing>
                <wp:inline distT="0" distB="0" distL="0" distR="0">
                  <wp:extent cx="1257300" cy="656590"/>
                  <wp:effectExtent l="0" t="0" r="0" b="0"/>
                  <wp:docPr id="56"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2"/>
                          <pic:cNvPicPr>
                            <a:picLocks noChangeAspect="1"/>
                          </pic:cNvPicPr>
                        </pic:nvPicPr>
                        <pic:blipFill>
                          <a:blip r:embed="rId53"/>
                          <a:stretch>
                            <a:fillRect/>
                          </a:stretch>
                        </pic:blipFill>
                        <pic:spPr>
                          <a:xfrm flipH="1">
                            <a:off x="0" y="0"/>
                            <a:ext cx="1254175" cy="655036"/>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trPr>
        <w:tc>
          <w:tcPr>
            <w:tcW w:w="7938" w:type="dxa"/>
            <w:gridSpan w:val="6"/>
          </w:tcPr>
          <w:p>
            <w:pPr>
              <w:widowControl/>
              <w:spacing w:line="360" w:lineRule="auto"/>
              <w:jc w:val="center"/>
              <w:rPr>
                <w:rFonts w:cs="仿宋_GB2312" w:asciiTheme="majorEastAsia" w:hAnsiTheme="majorEastAsia" w:eastAsiaTheme="majorEastAsia"/>
                <w:b/>
                <w:kern w:val="0"/>
                <w:sz w:val="18"/>
                <w:szCs w:val="18"/>
              </w:rPr>
            </w:pPr>
            <w:r>
              <w:rPr>
                <w:rFonts w:cs="仿宋_GB2312" w:asciiTheme="majorEastAsia" w:hAnsiTheme="majorEastAsia" w:eastAsiaTheme="majorEastAsia"/>
                <w:b/>
                <w:kern w:val="0"/>
                <w:sz w:val="18"/>
                <w:szCs w:val="18"/>
              </w:rPr>
              <w:t>合计</w:t>
            </w:r>
          </w:p>
        </w:tc>
        <w:tc>
          <w:tcPr>
            <w:tcW w:w="993" w:type="dxa"/>
          </w:tcPr>
          <w:p>
            <w:pPr>
              <w:widowControl/>
              <w:spacing w:line="360" w:lineRule="auto"/>
              <w:jc w:val="center"/>
              <w:rPr>
                <w:rFonts w:cs="仿宋_GB2312" w:asciiTheme="majorEastAsia" w:hAnsiTheme="majorEastAsia" w:eastAsiaTheme="majorEastAsia"/>
                <w:b/>
                <w:kern w:val="0"/>
                <w:sz w:val="18"/>
                <w:szCs w:val="18"/>
              </w:rPr>
            </w:pPr>
            <w:r>
              <w:rPr>
                <w:rFonts w:hint="eastAsia" w:cs="仿宋_GB2312" w:asciiTheme="majorEastAsia" w:hAnsiTheme="majorEastAsia" w:eastAsiaTheme="majorEastAsia"/>
                <w:b/>
                <w:kern w:val="0"/>
                <w:sz w:val="18"/>
                <w:szCs w:val="18"/>
              </w:rPr>
              <w:t>2345613</w:t>
            </w:r>
          </w:p>
        </w:tc>
        <w:tc>
          <w:tcPr>
            <w:tcW w:w="2268" w:type="dxa"/>
          </w:tcPr>
          <w:p>
            <w:pPr>
              <w:widowControl/>
              <w:spacing w:line="360" w:lineRule="auto"/>
              <w:ind w:firstLine="360" w:firstLineChars="200"/>
              <w:jc w:val="left"/>
              <w:rPr>
                <w:rFonts w:cs="宋体" w:asciiTheme="majorEastAsia" w:hAnsiTheme="majorEastAsia" w:eastAsiaTheme="majorEastAsia"/>
                <w:b/>
                <w:kern w:val="0"/>
                <w:sz w:val="18"/>
                <w:szCs w:val="18"/>
              </w:rPr>
            </w:pPr>
          </w:p>
        </w:tc>
      </w:tr>
    </w:tbl>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r>
        <w:rPr>
          <w:rFonts w:hint="eastAsia" w:ascii="黑体" w:hAnsi="宋体" w:eastAsia="黑体" w:cs="Times New Roman"/>
          <w:b/>
          <w:bCs/>
          <w:kern w:val="0"/>
          <w:position w:val="10"/>
          <w:sz w:val="24"/>
          <w:szCs w:val="24"/>
        </w:rPr>
        <w:t>注：以上技术要求投标人必须完全响应，否则作无效投标处理。</w:t>
      </w: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widowControl/>
        <w:spacing w:line="380" w:lineRule="exact"/>
        <w:jc w:val="left"/>
        <w:rPr>
          <w:rFonts w:ascii="黑体" w:hAnsi="宋体" w:eastAsia="黑体" w:cs="Times New Roman"/>
          <w:b/>
          <w:bCs/>
          <w:kern w:val="0"/>
          <w:position w:val="10"/>
          <w:sz w:val="24"/>
          <w:szCs w:val="24"/>
        </w:rPr>
      </w:pPr>
    </w:p>
    <w:p>
      <w:pPr>
        <w:keepNext/>
        <w:keepLines/>
        <w:adjustRightInd w:val="0"/>
        <w:snapToGrid w:val="0"/>
        <w:ind w:firstLine="3200" w:firstLineChars="800"/>
        <w:outlineLvl w:val="0"/>
        <w:rPr>
          <w:rFonts w:ascii="宋体" w:hAnsi="宋体" w:eastAsia="宋体" w:cs="Arial"/>
          <w:b/>
          <w:bCs/>
          <w:sz w:val="40"/>
          <w:szCs w:val="40"/>
        </w:rPr>
      </w:pPr>
      <w:bookmarkStart w:id="81" w:name="_Toc155100539"/>
      <w:bookmarkStart w:id="82" w:name="_Toc140248668"/>
      <w:r>
        <w:rPr>
          <w:rFonts w:hint="eastAsia" w:ascii="宋体" w:hAnsi="宋体" w:eastAsia="宋体" w:cs="Arial"/>
          <w:b/>
          <w:bCs/>
          <w:sz w:val="40"/>
          <w:szCs w:val="40"/>
        </w:rPr>
        <w:t>第三章  投标人须知</w:t>
      </w:r>
      <w:bookmarkEnd w:id="81"/>
    </w:p>
    <w:p>
      <w:pPr>
        <w:spacing w:line="400" w:lineRule="exact"/>
        <w:jc w:val="center"/>
        <w:outlineLvl w:val="1"/>
        <w:rPr>
          <w:rFonts w:ascii="宋体" w:hAnsi="宋体" w:eastAsia="宋体" w:cs="宋体"/>
          <w:b/>
          <w:sz w:val="24"/>
          <w:szCs w:val="24"/>
        </w:rPr>
      </w:pPr>
      <w:bookmarkStart w:id="83" w:name="_Toc155100540"/>
      <w:r>
        <w:rPr>
          <w:rFonts w:hint="eastAsia" w:ascii="宋体" w:hAnsi="宋体" w:eastAsia="宋体" w:cs="宋体"/>
          <w:b/>
          <w:sz w:val="24"/>
          <w:szCs w:val="24"/>
        </w:rPr>
        <w:t>一  说明</w:t>
      </w:r>
      <w:bookmarkEnd w:id="83"/>
    </w:p>
    <w:p>
      <w:pPr>
        <w:spacing w:line="400" w:lineRule="exact"/>
        <w:rPr>
          <w:rFonts w:ascii="宋体" w:hAnsi="宋体" w:eastAsia="宋体" w:cs="宋体"/>
          <w:b/>
          <w:bCs/>
          <w:sz w:val="24"/>
          <w:szCs w:val="24"/>
        </w:rPr>
      </w:pPr>
      <w:r>
        <w:rPr>
          <w:rFonts w:hint="eastAsia" w:ascii="宋体" w:hAnsi="宋体" w:eastAsia="宋体" w:cs="宋体"/>
          <w:b/>
          <w:bCs/>
          <w:sz w:val="24"/>
          <w:szCs w:val="24"/>
        </w:rPr>
        <w:t>1  适用范围与资金来源</w:t>
      </w:r>
    </w:p>
    <w:p>
      <w:pPr>
        <w:spacing w:line="400" w:lineRule="exact"/>
        <w:rPr>
          <w:rFonts w:ascii="宋体" w:hAnsi="宋体" w:eastAsia="宋体" w:cs="宋体"/>
          <w:b/>
          <w:bCs/>
          <w:sz w:val="24"/>
          <w:szCs w:val="24"/>
        </w:rPr>
      </w:pPr>
      <w:r>
        <w:rPr>
          <w:rFonts w:hint="eastAsia" w:ascii="宋体" w:hAnsi="宋体" w:eastAsia="宋体" w:cs="宋体"/>
          <w:sz w:val="24"/>
          <w:szCs w:val="24"/>
        </w:rPr>
        <w:t>1.1  本采购仅适用于本次公开招标采购邀请函中所叙述项目的采购；</w:t>
      </w:r>
    </w:p>
    <w:p>
      <w:pPr>
        <w:autoSpaceDE w:val="0"/>
        <w:autoSpaceDN w:val="0"/>
        <w:adjustRightInd w:val="0"/>
        <w:spacing w:line="400" w:lineRule="exact"/>
        <w:rPr>
          <w:rFonts w:ascii="宋体" w:hAnsi="宋体" w:eastAsia="宋体" w:cs="宋体"/>
          <w:b/>
          <w:kern w:val="0"/>
          <w:sz w:val="24"/>
          <w:szCs w:val="24"/>
        </w:rPr>
      </w:pPr>
      <w:r>
        <w:rPr>
          <w:rFonts w:hint="eastAsia" w:ascii="宋体" w:hAnsi="宋体" w:eastAsia="宋体" w:cs="宋体"/>
          <w:b/>
          <w:kern w:val="0"/>
          <w:sz w:val="24"/>
          <w:szCs w:val="24"/>
        </w:rPr>
        <w:t>2  采购人</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2.1  采购人是指获得资金的国家机关、事业单位或者其他社会组织。本招标文件的采购人特指“</w:t>
      </w:r>
      <w:r>
        <w:rPr>
          <w:rFonts w:hint="eastAsia" w:ascii="宋体" w:hAnsi="宋体" w:eastAsia="宋体" w:cs="宋体"/>
          <w:b/>
          <w:kern w:val="0"/>
          <w:sz w:val="24"/>
          <w:szCs w:val="24"/>
          <w:u w:color="FF0000"/>
        </w:rPr>
        <w:t>南城县城镇建设投资有限公司</w:t>
      </w:r>
      <w:r>
        <w:rPr>
          <w:rFonts w:hint="eastAsia" w:ascii="宋体" w:hAnsi="宋体" w:eastAsia="宋体" w:cs="宋体"/>
          <w:kern w:val="0"/>
          <w:sz w:val="24"/>
          <w:szCs w:val="24"/>
        </w:rPr>
        <w:t>”。</w:t>
      </w:r>
    </w:p>
    <w:p>
      <w:pPr>
        <w:autoSpaceDE w:val="0"/>
        <w:autoSpaceDN w:val="0"/>
        <w:adjustRightInd w:val="0"/>
        <w:spacing w:line="400" w:lineRule="exact"/>
        <w:rPr>
          <w:rFonts w:ascii="宋体" w:hAnsi="宋体" w:eastAsia="宋体" w:cs="宋体"/>
          <w:b/>
          <w:kern w:val="0"/>
          <w:sz w:val="24"/>
          <w:szCs w:val="24"/>
        </w:rPr>
      </w:pPr>
      <w:r>
        <w:rPr>
          <w:rFonts w:hint="eastAsia" w:ascii="宋体" w:hAnsi="宋体" w:eastAsia="宋体" w:cs="宋体"/>
          <w:b/>
          <w:kern w:val="0"/>
          <w:sz w:val="24"/>
          <w:szCs w:val="24"/>
        </w:rPr>
        <w:t xml:space="preserve">3  招标代理机构 </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3.1  招标代理机构是指依法取得招标资格、从事招标代理业务并提供相关服务的专门机构。本招标文件的招标代理机构特指</w:t>
      </w:r>
      <w:r>
        <w:rPr>
          <w:rFonts w:hint="eastAsia" w:ascii="宋体" w:hAnsi="宋体" w:eastAsia="宋体" w:cs="宋体"/>
          <w:b/>
          <w:kern w:val="0"/>
          <w:sz w:val="24"/>
          <w:szCs w:val="24"/>
        </w:rPr>
        <w:t>“江西俱承工程管理有限公司”</w:t>
      </w:r>
      <w:r>
        <w:rPr>
          <w:rFonts w:hint="eastAsia" w:ascii="宋体" w:hAnsi="宋体" w:eastAsia="宋体" w:cs="宋体"/>
          <w:kern w:val="0"/>
          <w:sz w:val="24"/>
          <w:szCs w:val="24"/>
        </w:rPr>
        <w:t>，简称</w:t>
      </w:r>
      <w:r>
        <w:rPr>
          <w:rFonts w:hint="eastAsia" w:ascii="宋体" w:hAnsi="宋体" w:eastAsia="宋体" w:cs="宋体"/>
          <w:b/>
          <w:kern w:val="0"/>
          <w:sz w:val="24"/>
          <w:szCs w:val="24"/>
        </w:rPr>
        <w:t>招标代理机构</w:t>
      </w:r>
      <w:r>
        <w:rPr>
          <w:rFonts w:hint="eastAsia" w:ascii="宋体" w:hAnsi="宋体" w:eastAsia="宋体" w:cs="宋体"/>
          <w:kern w:val="0"/>
          <w:sz w:val="24"/>
          <w:szCs w:val="24"/>
        </w:rPr>
        <w:t>。</w:t>
      </w:r>
    </w:p>
    <w:p>
      <w:pPr>
        <w:spacing w:line="400" w:lineRule="exact"/>
        <w:rPr>
          <w:rFonts w:ascii="宋体" w:hAnsi="宋体" w:eastAsia="宋体" w:cs="宋体"/>
          <w:b/>
          <w:sz w:val="24"/>
          <w:szCs w:val="24"/>
        </w:rPr>
      </w:pPr>
      <w:r>
        <w:rPr>
          <w:rFonts w:hint="eastAsia" w:ascii="宋体" w:hAnsi="宋体" w:eastAsia="宋体" w:cs="宋体"/>
          <w:b/>
          <w:sz w:val="24"/>
          <w:szCs w:val="24"/>
        </w:rPr>
        <w:t>4  合格的投标人</w:t>
      </w:r>
    </w:p>
    <w:p>
      <w:pPr>
        <w:spacing w:line="400" w:lineRule="exact"/>
        <w:rPr>
          <w:rFonts w:ascii="宋体" w:hAnsi="宋体" w:eastAsia="宋体" w:cs="宋体"/>
          <w:sz w:val="24"/>
          <w:szCs w:val="24"/>
        </w:rPr>
      </w:pPr>
      <w:r>
        <w:rPr>
          <w:rFonts w:hint="eastAsia" w:ascii="宋体" w:hAnsi="宋体" w:eastAsia="宋体" w:cs="宋体"/>
          <w:sz w:val="24"/>
          <w:szCs w:val="24"/>
        </w:rPr>
        <w:t>4.1 凡有能力提供本招标文件所述货物/服务的，符合本招标文件规定资格要求的国内货物/服务商可能成为合格的投标人。</w:t>
      </w:r>
    </w:p>
    <w:p>
      <w:pPr>
        <w:spacing w:line="400" w:lineRule="exact"/>
        <w:rPr>
          <w:rFonts w:ascii="宋体" w:hAnsi="宋体" w:eastAsia="宋体" w:cs="宋体"/>
          <w:sz w:val="24"/>
          <w:szCs w:val="24"/>
        </w:rPr>
      </w:pPr>
      <w:r>
        <w:rPr>
          <w:rFonts w:hint="eastAsia" w:ascii="宋体" w:hAnsi="宋体" w:eastAsia="宋体" w:cs="宋体"/>
          <w:sz w:val="24"/>
          <w:szCs w:val="24"/>
        </w:rPr>
        <w:t>4.2 投标人应遵守中国的有关法律、法规和规章的规定。</w:t>
      </w:r>
    </w:p>
    <w:p>
      <w:pPr>
        <w:spacing w:line="400" w:lineRule="exact"/>
        <w:rPr>
          <w:rFonts w:ascii="宋体" w:hAnsi="宋体" w:eastAsia="宋体" w:cs="宋体"/>
          <w:sz w:val="24"/>
          <w:szCs w:val="24"/>
        </w:rPr>
      </w:pPr>
      <w:r>
        <w:rPr>
          <w:rFonts w:hint="eastAsia" w:ascii="宋体" w:hAnsi="宋体" w:eastAsia="宋体" w:cs="宋体"/>
          <w:sz w:val="24"/>
          <w:szCs w:val="24"/>
        </w:rPr>
        <w:t>4.3单位负责人为同一人或者存在直接控股、管理关系的不同投标人，不得参加同一合同项下的采购活动；</w:t>
      </w:r>
    </w:p>
    <w:p>
      <w:pPr>
        <w:spacing w:line="400" w:lineRule="exact"/>
        <w:rPr>
          <w:rFonts w:ascii="宋体" w:hAnsi="宋体" w:eastAsia="宋体" w:cs="宋体"/>
          <w:sz w:val="24"/>
          <w:szCs w:val="24"/>
        </w:rPr>
      </w:pPr>
      <w:r>
        <w:rPr>
          <w:rFonts w:hint="eastAsia" w:ascii="宋体" w:hAnsi="宋体" w:eastAsia="宋体" w:cs="宋体"/>
          <w:sz w:val="24"/>
          <w:szCs w:val="24"/>
        </w:rPr>
        <w:t>4.4 为本采购项目提供整体设计、规范编制或者项目管理、监理、检测等服务的供应商不得参加本项目。</w:t>
      </w:r>
    </w:p>
    <w:p>
      <w:pPr>
        <w:spacing w:line="400" w:lineRule="exact"/>
        <w:rPr>
          <w:rFonts w:ascii="宋体" w:hAnsi="宋体" w:eastAsia="宋体" w:cs="宋体"/>
          <w:sz w:val="24"/>
          <w:szCs w:val="24"/>
        </w:rPr>
      </w:pPr>
      <w:r>
        <w:rPr>
          <w:rFonts w:hint="eastAsia" w:ascii="宋体" w:hAnsi="宋体" w:eastAsia="宋体" w:cs="宋体"/>
          <w:sz w:val="24"/>
          <w:szCs w:val="24"/>
        </w:rPr>
        <w:t>4.5 投标代理人在同一个项目只能接受一个投标人的委托参加投标。</w:t>
      </w:r>
    </w:p>
    <w:p>
      <w:pPr>
        <w:spacing w:line="400" w:lineRule="exact"/>
        <w:rPr>
          <w:rFonts w:ascii="宋体" w:hAnsi="宋体" w:eastAsia="宋体" w:cs="宋体"/>
          <w:sz w:val="24"/>
          <w:szCs w:val="24"/>
        </w:rPr>
      </w:pPr>
      <w:r>
        <w:rPr>
          <w:rFonts w:hint="eastAsia" w:ascii="宋体" w:hAnsi="宋体" w:eastAsia="宋体" w:cs="宋体"/>
          <w:sz w:val="24"/>
          <w:szCs w:val="24"/>
        </w:rPr>
        <w:t>4.6 政府采购代理机构及其分支机构不为本项目的投标人参加本项目提供投标咨询。</w:t>
      </w:r>
    </w:p>
    <w:p>
      <w:pPr>
        <w:spacing w:line="400" w:lineRule="exact"/>
        <w:rPr>
          <w:rFonts w:ascii="宋体" w:hAnsi="宋体" w:eastAsia="宋体" w:cs="宋体"/>
          <w:b/>
          <w:sz w:val="24"/>
          <w:szCs w:val="24"/>
        </w:rPr>
      </w:pPr>
      <w:r>
        <w:rPr>
          <w:rFonts w:hint="eastAsia" w:ascii="宋体" w:hAnsi="宋体" w:eastAsia="宋体" w:cs="宋体"/>
          <w:b/>
          <w:sz w:val="24"/>
          <w:szCs w:val="24"/>
        </w:rPr>
        <w:t>5  合格的相关服务</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5.1  本招标项目为相关货物/服务招标，提供的货物/服务必须符合国家标准或行业标准。</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5.2  投标人应保证，采购人在中华人民共和国使用该服务的任何一部分时，免受第三方提出的侵犯其专利权、商标权或工业设计权的起诉。</w:t>
      </w:r>
    </w:p>
    <w:p>
      <w:pPr>
        <w:spacing w:line="400" w:lineRule="exact"/>
        <w:rPr>
          <w:rFonts w:ascii="宋体" w:hAnsi="宋体" w:eastAsia="宋体" w:cs="宋体"/>
          <w:b/>
          <w:sz w:val="24"/>
          <w:szCs w:val="24"/>
        </w:rPr>
      </w:pPr>
      <w:r>
        <w:rPr>
          <w:rFonts w:hint="eastAsia" w:ascii="宋体" w:hAnsi="宋体" w:eastAsia="宋体" w:cs="宋体"/>
          <w:b/>
          <w:sz w:val="24"/>
          <w:szCs w:val="24"/>
        </w:rPr>
        <w:t>6  投标费用</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6.1  投标人应承担所有与准备和参加投标有关的费用。不论投标的结果如何，招标代理机构和采购人均无义务和责任承担这些费用。</w:t>
      </w:r>
    </w:p>
    <w:p>
      <w:pPr>
        <w:spacing w:line="400" w:lineRule="exact"/>
        <w:jc w:val="center"/>
        <w:outlineLvl w:val="1"/>
        <w:rPr>
          <w:rFonts w:ascii="宋体" w:hAnsi="宋体" w:eastAsia="宋体" w:cs="宋体"/>
          <w:b/>
          <w:sz w:val="24"/>
          <w:szCs w:val="24"/>
        </w:rPr>
      </w:pPr>
      <w:bookmarkStart w:id="84" w:name="_Toc155100541"/>
      <w:r>
        <w:rPr>
          <w:rFonts w:hint="eastAsia" w:ascii="宋体" w:hAnsi="宋体" w:eastAsia="宋体" w:cs="宋体"/>
          <w:b/>
          <w:sz w:val="24"/>
          <w:szCs w:val="24"/>
        </w:rPr>
        <w:t>二  招标文件</w:t>
      </w:r>
      <w:bookmarkEnd w:id="84"/>
    </w:p>
    <w:p>
      <w:pPr>
        <w:spacing w:line="400" w:lineRule="exact"/>
        <w:rPr>
          <w:rFonts w:ascii="宋体" w:hAnsi="宋体" w:eastAsia="宋体" w:cs="宋体"/>
          <w:b/>
          <w:sz w:val="24"/>
          <w:szCs w:val="24"/>
        </w:rPr>
      </w:pPr>
      <w:r>
        <w:rPr>
          <w:rFonts w:hint="eastAsia" w:ascii="宋体" w:hAnsi="宋体" w:eastAsia="宋体" w:cs="宋体"/>
          <w:b/>
          <w:sz w:val="24"/>
          <w:szCs w:val="24"/>
        </w:rPr>
        <w:t>7  招标文件构成</w:t>
      </w:r>
    </w:p>
    <w:p>
      <w:pPr>
        <w:spacing w:line="400" w:lineRule="exact"/>
        <w:rPr>
          <w:rFonts w:ascii="宋体" w:hAnsi="宋体" w:eastAsia="宋体" w:cs="宋体"/>
          <w:sz w:val="24"/>
          <w:szCs w:val="24"/>
        </w:rPr>
      </w:pPr>
      <w:r>
        <w:rPr>
          <w:rFonts w:hint="eastAsia" w:ascii="宋体" w:hAnsi="宋体" w:eastAsia="宋体" w:cs="宋体"/>
          <w:sz w:val="24"/>
          <w:szCs w:val="24"/>
        </w:rPr>
        <w:t>7.1  要求提供的货物、招标过程和合同条件在招标文件中均有说明。</w:t>
      </w:r>
    </w:p>
    <w:p>
      <w:pPr>
        <w:spacing w:line="400" w:lineRule="exact"/>
        <w:rPr>
          <w:rFonts w:ascii="宋体" w:hAnsi="宋体" w:eastAsia="宋体" w:cs="宋体"/>
          <w:sz w:val="24"/>
          <w:szCs w:val="24"/>
        </w:rPr>
      </w:pPr>
      <w:r>
        <w:rPr>
          <w:rFonts w:hint="eastAsia" w:ascii="宋体" w:hAnsi="宋体" w:eastAsia="宋体" w:cs="宋体"/>
          <w:sz w:val="24"/>
          <w:szCs w:val="24"/>
        </w:rPr>
        <w:t xml:space="preserve">招标文件包括： </w:t>
      </w:r>
    </w:p>
    <w:p>
      <w:pPr>
        <w:spacing w:line="400" w:lineRule="exact"/>
        <w:ind w:left="851"/>
        <w:rPr>
          <w:rFonts w:ascii="宋体" w:hAnsi="宋体" w:eastAsia="宋体" w:cs="宋体"/>
          <w:sz w:val="24"/>
          <w:szCs w:val="24"/>
        </w:rPr>
      </w:pPr>
      <w:r>
        <w:rPr>
          <w:rFonts w:hint="eastAsia" w:ascii="宋体" w:hAnsi="宋体" w:eastAsia="宋体" w:cs="宋体"/>
          <w:sz w:val="24"/>
          <w:szCs w:val="24"/>
        </w:rPr>
        <w:t>（1）投标邀请函</w:t>
      </w:r>
    </w:p>
    <w:p>
      <w:pPr>
        <w:spacing w:line="400" w:lineRule="exact"/>
        <w:ind w:left="851"/>
        <w:rPr>
          <w:rFonts w:ascii="宋体" w:hAnsi="宋体" w:eastAsia="宋体" w:cs="宋体"/>
          <w:sz w:val="24"/>
          <w:szCs w:val="24"/>
        </w:rPr>
      </w:pPr>
      <w:r>
        <w:rPr>
          <w:rFonts w:hint="eastAsia" w:ascii="宋体" w:hAnsi="宋体" w:eastAsia="宋体" w:cs="宋体"/>
          <w:sz w:val="24"/>
          <w:szCs w:val="24"/>
        </w:rPr>
        <w:t>（2）项目需求一览表</w:t>
      </w:r>
    </w:p>
    <w:p>
      <w:pPr>
        <w:spacing w:line="400" w:lineRule="exact"/>
        <w:ind w:left="851"/>
        <w:rPr>
          <w:rFonts w:ascii="宋体" w:hAnsi="宋体" w:eastAsia="宋体" w:cs="宋体"/>
          <w:sz w:val="24"/>
          <w:szCs w:val="24"/>
        </w:rPr>
      </w:pPr>
      <w:r>
        <w:rPr>
          <w:rFonts w:hint="eastAsia" w:ascii="宋体" w:hAnsi="宋体" w:eastAsia="宋体" w:cs="宋体"/>
          <w:sz w:val="24"/>
          <w:szCs w:val="24"/>
        </w:rPr>
        <w:t>（3）投标人须知</w:t>
      </w:r>
    </w:p>
    <w:p>
      <w:pPr>
        <w:spacing w:line="400" w:lineRule="exact"/>
        <w:ind w:left="851"/>
        <w:rPr>
          <w:rFonts w:ascii="宋体" w:hAnsi="宋体" w:eastAsia="宋体" w:cs="宋体"/>
          <w:sz w:val="24"/>
          <w:szCs w:val="24"/>
        </w:rPr>
      </w:pPr>
      <w:r>
        <w:rPr>
          <w:rFonts w:hint="eastAsia" w:ascii="宋体" w:hAnsi="宋体" w:eastAsia="宋体" w:cs="宋体"/>
          <w:sz w:val="24"/>
          <w:szCs w:val="24"/>
        </w:rPr>
        <w:t>（4）合同格式</w:t>
      </w:r>
    </w:p>
    <w:p>
      <w:pPr>
        <w:spacing w:line="400" w:lineRule="exact"/>
        <w:ind w:left="851"/>
        <w:rPr>
          <w:rFonts w:ascii="宋体" w:hAnsi="宋体" w:eastAsia="宋体" w:cs="宋体"/>
          <w:sz w:val="24"/>
          <w:szCs w:val="24"/>
        </w:rPr>
      </w:pPr>
      <w:r>
        <w:rPr>
          <w:rFonts w:hint="eastAsia" w:ascii="宋体" w:hAnsi="宋体" w:eastAsia="宋体" w:cs="宋体"/>
          <w:sz w:val="24"/>
          <w:szCs w:val="24"/>
        </w:rPr>
        <w:t>（5）附件 投标文件格式</w:t>
      </w:r>
    </w:p>
    <w:p>
      <w:pPr>
        <w:spacing w:line="400" w:lineRule="exact"/>
        <w:ind w:left="851"/>
        <w:rPr>
          <w:rFonts w:ascii="宋体" w:hAnsi="宋体" w:eastAsia="宋体" w:cs="宋体"/>
          <w:sz w:val="24"/>
          <w:szCs w:val="24"/>
          <w:lang w:val="zh-CN"/>
        </w:rPr>
      </w:pPr>
      <w:r>
        <w:rPr>
          <w:rFonts w:hint="eastAsia" w:ascii="宋体" w:hAnsi="宋体" w:eastAsia="宋体" w:cs="宋体"/>
          <w:sz w:val="24"/>
          <w:szCs w:val="24"/>
        </w:rPr>
        <w:t>（6）</w:t>
      </w:r>
      <w:r>
        <w:rPr>
          <w:rFonts w:hint="eastAsia" w:ascii="宋体" w:hAnsi="宋体" w:eastAsia="宋体" w:cs="宋体"/>
          <w:sz w:val="24"/>
          <w:szCs w:val="24"/>
          <w:lang w:val="zh-CN"/>
        </w:rPr>
        <w:t>采购过程中发生的澄清、变更和补充文件</w:t>
      </w:r>
    </w:p>
    <w:p>
      <w:pPr>
        <w:spacing w:line="400" w:lineRule="exact"/>
        <w:rPr>
          <w:rFonts w:ascii="宋体" w:hAnsi="宋体" w:eastAsia="宋体" w:cs="宋体"/>
          <w:sz w:val="24"/>
          <w:szCs w:val="24"/>
        </w:rPr>
      </w:pPr>
      <w:r>
        <w:rPr>
          <w:rFonts w:hint="eastAsia" w:ascii="宋体" w:hAnsi="宋体" w:eastAsia="宋体" w:cs="宋体"/>
          <w:sz w:val="24"/>
          <w:szCs w:val="24"/>
        </w:rPr>
        <w:t>7.2  投标人应认真阅读招标文件中所有的事项、格式、条款和技术规范等。投标人没有按照招标文件要求提交全部资料，或者投标没有对招标文件在各方面都做出实质性响应是投标人的风险，并可能导致其投标被拒绝。</w:t>
      </w:r>
    </w:p>
    <w:p>
      <w:pPr>
        <w:spacing w:line="400" w:lineRule="exact"/>
        <w:rPr>
          <w:rFonts w:ascii="宋体" w:hAnsi="宋体" w:eastAsia="宋体" w:cs="宋体"/>
          <w:b/>
          <w:sz w:val="24"/>
          <w:szCs w:val="24"/>
        </w:rPr>
      </w:pPr>
      <w:r>
        <w:rPr>
          <w:rFonts w:hint="eastAsia" w:ascii="宋体" w:hAnsi="宋体" w:eastAsia="宋体" w:cs="宋体"/>
          <w:b/>
          <w:sz w:val="24"/>
          <w:szCs w:val="24"/>
        </w:rPr>
        <w:t>8  招标文件的澄清</w:t>
      </w:r>
    </w:p>
    <w:p>
      <w:pPr>
        <w:spacing w:line="400" w:lineRule="exact"/>
        <w:rPr>
          <w:rFonts w:ascii="宋体" w:hAnsi="宋体" w:eastAsia="宋体" w:cs="宋体"/>
          <w:sz w:val="24"/>
          <w:szCs w:val="24"/>
        </w:rPr>
      </w:pPr>
      <w:r>
        <w:rPr>
          <w:rFonts w:hint="eastAsia" w:ascii="宋体" w:hAnsi="宋体" w:eastAsia="宋体" w:cs="宋体"/>
          <w:sz w:val="24"/>
          <w:szCs w:val="24"/>
        </w:rPr>
        <w:t>8.1采购人或者采购代理机构可以对已发出的招标文件进行必要的澄清或者修改，但不得改变采购标的资格条件。澄清或者修改应当在原公告发布媒体上发布澄清公告。澄清或者修改的内容为招标文件的组成部分。</w:t>
      </w:r>
    </w:p>
    <w:p>
      <w:pPr>
        <w:spacing w:line="400" w:lineRule="exact"/>
        <w:rPr>
          <w:rFonts w:ascii="宋体" w:hAnsi="宋体" w:eastAsia="宋体" w:cs="宋体"/>
          <w:sz w:val="24"/>
          <w:szCs w:val="24"/>
        </w:rPr>
      </w:pPr>
      <w:r>
        <w:rPr>
          <w:rFonts w:hint="eastAsia" w:ascii="宋体" w:hAnsi="宋体" w:eastAsia="宋体" w:cs="宋体"/>
          <w:sz w:val="24"/>
          <w:szCs w:val="24"/>
        </w:rPr>
        <w:t>8.2澄清或者修改的内容可能影响投标文件编制的，采购人或者采购代理机构应当在投标截止时间至少15日前，在中国政府采购网（http://www.ccgp.gov.cn/）发布更正公告；不足15日的，采购人或者采购代理机构应当顺延提交投标文件的截止时间。</w:t>
      </w:r>
    </w:p>
    <w:p>
      <w:pPr>
        <w:spacing w:line="400" w:lineRule="exact"/>
        <w:rPr>
          <w:rFonts w:ascii="宋体" w:hAnsi="宋体" w:eastAsia="宋体" w:cs="宋体"/>
          <w:b/>
          <w:sz w:val="24"/>
          <w:szCs w:val="24"/>
        </w:rPr>
      </w:pPr>
      <w:r>
        <w:rPr>
          <w:rFonts w:hint="eastAsia" w:ascii="宋体" w:hAnsi="宋体" w:eastAsia="宋体" w:cs="宋体"/>
          <w:b/>
          <w:sz w:val="24"/>
          <w:szCs w:val="24"/>
        </w:rPr>
        <w:t>9  招标文件的澄清或修改发布</w:t>
      </w:r>
    </w:p>
    <w:p>
      <w:pPr>
        <w:spacing w:line="400" w:lineRule="exact"/>
        <w:rPr>
          <w:rFonts w:ascii="宋体" w:hAnsi="宋体" w:eastAsia="宋体" w:cs="宋体"/>
          <w:sz w:val="24"/>
          <w:szCs w:val="24"/>
        </w:rPr>
      </w:pPr>
      <w:r>
        <w:rPr>
          <w:rFonts w:hint="eastAsia" w:ascii="宋体" w:hAnsi="宋体" w:eastAsia="宋体" w:cs="宋体"/>
          <w:sz w:val="24"/>
          <w:szCs w:val="24"/>
        </w:rPr>
        <w:t>9.1  投标人对招标文件有疑点要求澄清,或认为有必要与采购人进行技术交流时,必须以书面形式通知采购人或代理机构（邮箱：172162825@qq.com），采购人将予以答复，招标文件的修改对其具有约束力，是招标文件的一部分。投标截止时间三天前，开标时间如有变更，经采购人同意，将变更时间在中国政府采购网（http://www.ccgp.gov.cn/）上公告。</w:t>
      </w:r>
    </w:p>
    <w:p>
      <w:pPr>
        <w:spacing w:line="400" w:lineRule="exact"/>
        <w:rPr>
          <w:rFonts w:ascii="宋体" w:hAnsi="宋体" w:eastAsia="宋体" w:cs="宋体"/>
          <w:b/>
          <w:sz w:val="24"/>
          <w:szCs w:val="24"/>
        </w:rPr>
      </w:pPr>
      <w:r>
        <w:rPr>
          <w:rFonts w:hint="eastAsia" w:ascii="宋体" w:hAnsi="宋体" w:eastAsia="宋体" w:cs="宋体"/>
          <w:b/>
          <w:sz w:val="24"/>
          <w:szCs w:val="24"/>
        </w:rPr>
        <w:t>10. 询问、质疑 和投诉</w:t>
      </w:r>
    </w:p>
    <w:p>
      <w:pPr>
        <w:spacing w:line="400" w:lineRule="exact"/>
        <w:rPr>
          <w:rFonts w:ascii="宋体" w:hAnsi="宋体" w:eastAsia="宋体" w:cs="宋体"/>
          <w:sz w:val="24"/>
          <w:szCs w:val="24"/>
        </w:rPr>
      </w:pPr>
      <w:r>
        <w:rPr>
          <w:rFonts w:hint="eastAsia" w:ascii="宋体" w:hAnsi="宋体" w:eastAsia="宋体" w:cs="宋体"/>
          <w:sz w:val="24"/>
          <w:szCs w:val="24"/>
        </w:rPr>
        <w:t>10.1</w:t>
      </w:r>
      <w:r>
        <w:rPr>
          <w:rFonts w:hint="eastAsia" w:ascii="宋体" w:hAnsi="宋体" w:eastAsia="宋体" w:cs="宋体"/>
          <w:b/>
          <w:sz w:val="24"/>
          <w:szCs w:val="24"/>
        </w:rPr>
        <w:t>询问：</w:t>
      </w:r>
      <w:r>
        <w:rPr>
          <w:rFonts w:hint="eastAsia" w:ascii="宋体" w:hAnsi="宋体" w:eastAsia="宋体" w:cs="宋体"/>
          <w:sz w:val="24"/>
          <w:szCs w:val="24"/>
        </w:rPr>
        <w:t>投标人对政府采购活动事项有疑问的，可以向采购人或者采购代理机构提出询问，采购代理机构应当在 3 个工作日内对投标人依法提出询问作出答复。</w:t>
      </w:r>
    </w:p>
    <w:p>
      <w:pPr>
        <w:spacing w:line="400" w:lineRule="exact"/>
        <w:rPr>
          <w:rFonts w:ascii="宋体" w:hAnsi="宋体" w:eastAsia="宋体" w:cs="宋体"/>
          <w:sz w:val="24"/>
          <w:szCs w:val="24"/>
        </w:rPr>
      </w:pPr>
      <w:r>
        <w:rPr>
          <w:rFonts w:hint="eastAsia" w:ascii="宋体" w:hAnsi="宋体" w:eastAsia="宋体" w:cs="宋体"/>
          <w:sz w:val="24"/>
          <w:szCs w:val="24"/>
        </w:rPr>
        <w:t>10.2</w:t>
      </w:r>
      <w:r>
        <w:rPr>
          <w:rFonts w:hint="eastAsia" w:ascii="宋体" w:hAnsi="宋体" w:eastAsia="宋体" w:cs="宋体"/>
          <w:b/>
          <w:sz w:val="24"/>
          <w:szCs w:val="24"/>
        </w:rPr>
        <w:t>质疑：</w:t>
      </w:r>
    </w:p>
    <w:p>
      <w:pPr>
        <w:spacing w:line="360" w:lineRule="auto"/>
        <w:rPr>
          <w:rFonts w:ascii="宋体" w:hAnsi="宋体" w:eastAsia="宋体" w:cs="宋体"/>
          <w:bCs/>
          <w:sz w:val="24"/>
          <w:szCs w:val="24"/>
        </w:rPr>
      </w:pPr>
      <w:r>
        <w:rPr>
          <w:rFonts w:hint="eastAsia" w:ascii="宋体" w:hAnsi="宋体" w:eastAsia="宋体" w:cs="宋体"/>
          <w:bCs/>
          <w:sz w:val="24"/>
          <w:szCs w:val="24"/>
        </w:rPr>
        <w:t>10.2.1 投标人认为招标文件、招标过程、中标结果使自己的权益受到损害的，可以在知道或者应知其权益受到损害之日起7个工作日内，以书面形式向采购人、采购代理机构提出质疑。</w:t>
      </w:r>
    </w:p>
    <w:p>
      <w:pPr>
        <w:spacing w:line="360" w:lineRule="auto"/>
        <w:ind w:left="147" w:leftChars="70"/>
        <w:rPr>
          <w:rFonts w:ascii="宋体" w:hAnsi="宋体" w:eastAsia="宋体" w:cs="宋体"/>
          <w:bCs/>
          <w:sz w:val="24"/>
          <w:szCs w:val="24"/>
        </w:rPr>
      </w:pPr>
      <w:r>
        <w:rPr>
          <w:rFonts w:hint="eastAsia" w:ascii="宋体" w:hAnsi="宋体" w:eastAsia="宋体" w:cs="宋体"/>
          <w:bCs/>
          <w:sz w:val="24"/>
          <w:szCs w:val="24"/>
        </w:rPr>
        <w:t>1）对可以质疑的招标文件提出质疑的，为收到招标文件之日或者招标文件公告期限届满之日起7个工作日内；</w:t>
      </w:r>
    </w:p>
    <w:p>
      <w:pPr>
        <w:spacing w:line="360" w:lineRule="auto"/>
        <w:ind w:firstLine="120" w:firstLineChars="50"/>
        <w:rPr>
          <w:rFonts w:ascii="宋体" w:hAnsi="宋体" w:eastAsia="宋体" w:cs="宋体"/>
          <w:bCs/>
          <w:sz w:val="24"/>
          <w:szCs w:val="24"/>
        </w:rPr>
      </w:pPr>
      <w:r>
        <w:rPr>
          <w:rFonts w:hint="eastAsia" w:ascii="宋体" w:hAnsi="宋体" w:eastAsia="宋体" w:cs="宋体"/>
          <w:bCs/>
          <w:sz w:val="24"/>
          <w:szCs w:val="24"/>
        </w:rPr>
        <w:t>2）对招标过程提出质疑的，为各招标程序环节结束之日起7个工作日内；</w:t>
      </w:r>
    </w:p>
    <w:p>
      <w:pPr>
        <w:spacing w:line="360" w:lineRule="auto"/>
        <w:ind w:firstLine="120" w:firstLineChars="50"/>
        <w:rPr>
          <w:rFonts w:ascii="宋体" w:hAnsi="宋体" w:eastAsia="宋体" w:cs="宋体"/>
          <w:bCs/>
          <w:sz w:val="24"/>
          <w:szCs w:val="24"/>
        </w:rPr>
      </w:pPr>
      <w:r>
        <w:rPr>
          <w:rFonts w:hint="eastAsia" w:ascii="宋体" w:hAnsi="宋体" w:eastAsia="宋体" w:cs="宋体"/>
          <w:bCs/>
          <w:sz w:val="24"/>
          <w:szCs w:val="24"/>
        </w:rPr>
        <w:t>3）对中标结果提出质疑的，为中标结果公告期限届满之日起7个工作日内。</w:t>
      </w:r>
    </w:p>
    <w:p>
      <w:pPr>
        <w:spacing w:line="360" w:lineRule="auto"/>
        <w:rPr>
          <w:rFonts w:ascii="宋体" w:hAnsi="宋体" w:eastAsia="宋体" w:cs="宋体"/>
          <w:bCs/>
          <w:sz w:val="24"/>
          <w:szCs w:val="24"/>
        </w:rPr>
      </w:pPr>
      <w:r>
        <w:rPr>
          <w:rFonts w:hint="eastAsia" w:ascii="宋体" w:hAnsi="宋体" w:eastAsia="宋体" w:cs="宋体"/>
          <w:bCs/>
          <w:sz w:val="24"/>
          <w:szCs w:val="24"/>
        </w:rPr>
        <w:t>10.2.2 投标人应在法定质疑期内一次性提出针对同一采购程序环节的质疑。</w:t>
      </w:r>
    </w:p>
    <w:p>
      <w:pPr>
        <w:spacing w:line="360" w:lineRule="auto"/>
        <w:rPr>
          <w:rFonts w:ascii="宋体" w:hAnsi="宋体" w:eastAsia="宋体" w:cs="宋体"/>
          <w:bCs/>
          <w:sz w:val="24"/>
          <w:szCs w:val="24"/>
        </w:rPr>
      </w:pPr>
      <w:r>
        <w:rPr>
          <w:rFonts w:hint="eastAsia" w:ascii="宋体" w:hAnsi="宋体" w:eastAsia="宋体" w:cs="宋体"/>
          <w:bCs/>
          <w:sz w:val="24"/>
          <w:szCs w:val="24"/>
        </w:rPr>
        <w:t>10.2.3 提出质疑的投标人应当是参与所质疑项目采购活动的投标人。</w:t>
      </w:r>
    </w:p>
    <w:p>
      <w:pPr>
        <w:spacing w:line="360" w:lineRule="auto"/>
        <w:ind w:left="600" w:hanging="600" w:hangingChars="250"/>
        <w:rPr>
          <w:rFonts w:ascii="宋体" w:hAnsi="宋体" w:eastAsia="宋体" w:cs="宋体"/>
          <w:bCs/>
          <w:sz w:val="24"/>
          <w:szCs w:val="24"/>
        </w:rPr>
      </w:pPr>
      <w:r>
        <w:rPr>
          <w:rFonts w:hint="eastAsia" w:ascii="宋体" w:hAnsi="宋体" w:eastAsia="宋体" w:cs="宋体"/>
          <w:bCs/>
          <w:sz w:val="24"/>
          <w:szCs w:val="24"/>
        </w:rPr>
        <w:t>10.2.4潜在投标人已依法获取其可质疑的招标文件的，可以对该文件提出质疑。</w:t>
      </w:r>
    </w:p>
    <w:p>
      <w:pPr>
        <w:spacing w:line="360" w:lineRule="auto"/>
        <w:rPr>
          <w:rFonts w:ascii="宋体" w:hAnsi="宋体" w:eastAsia="宋体" w:cs="宋体"/>
          <w:bCs/>
          <w:sz w:val="24"/>
          <w:szCs w:val="24"/>
        </w:rPr>
      </w:pPr>
      <w:r>
        <w:rPr>
          <w:rFonts w:hint="eastAsia" w:ascii="宋体" w:hAnsi="宋体" w:eastAsia="宋体" w:cs="宋体"/>
          <w:bCs/>
          <w:sz w:val="24"/>
          <w:szCs w:val="24"/>
        </w:rPr>
        <w:t>10.2.5投标人提出质疑应当提交质疑函和必要的证明材料。质疑函应当包括下列内容（格式使用中国政府采购网</w:t>
      </w:r>
      <w:r>
        <w:fldChar w:fldCharType="begin"/>
      </w:r>
      <w:r>
        <w:instrText xml:space="preserve"> HYPERLINK "http://www.ccgp.gov.cn/" </w:instrText>
      </w:r>
      <w:r>
        <w:fldChar w:fldCharType="separate"/>
      </w:r>
      <w:r>
        <w:rPr>
          <w:rFonts w:hint="eastAsia" w:ascii="宋体" w:hAnsi="宋体" w:eastAsia="宋体" w:cs="宋体"/>
          <w:sz w:val="24"/>
          <w:szCs w:val="24"/>
        </w:rPr>
        <w:t>http://www.ccgp.gov.cn/</w:t>
      </w:r>
      <w:r>
        <w:rPr>
          <w:rFonts w:hint="eastAsia" w:ascii="宋体" w:hAnsi="宋体" w:eastAsia="宋体" w:cs="宋体"/>
          <w:sz w:val="24"/>
          <w:szCs w:val="24"/>
        </w:rPr>
        <w:fldChar w:fldCharType="end"/>
      </w:r>
      <w:r>
        <w:rPr>
          <w:rFonts w:hint="eastAsia" w:ascii="宋体" w:hAnsi="宋体" w:eastAsia="宋体" w:cs="宋体"/>
          <w:sz w:val="24"/>
          <w:szCs w:val="24"/>
        </w:rPr>
        <w:t>下载专区的《政</w:t>
      </w:r>
      <w:r>
        <w:rPr>
          <w:rFonts w:hint="eastAsia" w:ascii="宋体" w:hAnsi="宋体" w:eastAsia="宋体" w:cs="宋体"/>
          <w:bCs/>
          <w:sz w:val="24"/>
          <w:szCs w:val="24"/>
        </w:rPr>
        <w:t>府采购供应商质疑函范本》）。</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（一）投标人的姓名或者名称、地址、邮编、联系人及联系电话；</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（二）质疑项目的名称、编号；</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（三）具体、明确的质疑事项和与质疑事项相关的请求；</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（四）事实依据；</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（五）必要的法律依据；</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（六）提出质疑的日期。</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10.2.6质疑函应当署名。投标人为自然人的，应当由本人签字；投标人为法人或者其他组织的，应当由法定代表人或者主要负责人签字盖章并加盖公章。对不是采购代理机构购买的招标文件质疑的，须同时提供下载招标文件的凭证、法人证或法人授权书、营业执照复印件。</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10.2.6.1质疑书不符合要求的，采购人/采购代理机构可要求其补充完整，拒不补充或不能在规定时间内补充完整的，采购人/采购代理机构就已获取信息回复。</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10.2.6.2供应商须在法定质疑期内一次性提出针对本项目采购程序环节的质疑，采购人、采购代理机构将不予接受同一采购程序环节的多次质疑。</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xml:space="preserve">10.2.6.3投标人未在法律规定期限内以书面形式提交《质疑函》至采购人或采购代理机构的，将视同同意本采购文件、采购过程及结果公示的全部内容。 </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10.2.6.4采购代理机构在收到供应商的有效书面质疑后七个工作日内做出答复，但答复的内容不涉及商业机密，质疑供应商对采购人、采购代理机构的质疑答复不满意，或采购人、采购代理机构未在规定期限内做出答复的，可以在答复期满后十五个工作日内向同级政府采购监督管理部门提出投诉（格式使用中国政府采购网</w:t>
      </w:r>
      <w:r>
        <w:fldChar w:fldCharType="begin"/>
      </w:r>
      <w:r>
        <w:instrText xml:space="preserve"> HYPERLINK "http://www.ccgp.gov.cn/" </w:instrText>
      </w:r>
      <w:r>
        <w:fldChar w:fldCharType="separate"/>
      </w:r>
      <w:r>
        <w:rPr>
          <w:rFonts w:hint="eastAsia" w:ascii="宋体" w:hAnsi="宋体" w:eastAsia="宋体" w:cs="宋体"/>
          <w:sz w:val="24"/>
          <w:szCs w:val="24"/>
        </w:rPr>
        <w:t>http://www.ccgp.gov.cn/</w:t>
      </w:r>
      <w:r>
        <w:rPr>
          <w:rFonts w:hint="eastAsia" w:ascii="宋体" w:hAnsi="宋体" w:eastAsia="宋体" w:cs="宋体"/>
          <w:sz w:val="24"/>
          <w:szCs w:val="24"/>
        </w:rPr>
        <w:fldChar w:fldCharType="end"/>
      </w:r>
      <w:r>
        <w:rPr>
          <w:rFonts w:hint="eastAsia" w:ascii="宋体" w:hAnsi="宋体" w:eastAsia="宋体" w:cs="宋体"/>
          <w:bCs/>
          <w:sz w:val="24"/>
          <w:szCs w:val="24"/>
        </w:rPr>
        <w:t>下载专区的《政府采购供应商投诉书范本》）。</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10.2.7质疑函接收方式</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10.2.7.1对招标文件、招标过程、中标结果质疑</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xml:space="preserve">      接收部门：江西俱承工程管理有限公司</w:t>
      </w:r>
    </w:p>
    <w:p>
      <w:pPr>
        <w:widowControl/>
        <w:spacing w:line="360" w:lineRule="auto"/>
        <w:jc w:val="left"/>
        <w:rPr>
          <w:rFonts w:ascii="宋体" w:hAnsi="宋体" w:eastAsia="宋体" w:cs="宋体"/>
          <w:bCs/>
          <w:sz w:val="24"/>
          <w:szCs w:val="24"/>
        </w:rPr>
      </w:pPr>
      <w:r>
        <w:rPr>
          <w:rFonts w:hint="eastAsia" w:ascii="宋体" w:hAnsi="宋体" w:eastAsia="宋体" w:cs="宋体"/>
          <w:bCs/>
          <w:sz w:val="24"/>
          <w:szCs w:val="24"/>
        </w:rPr>
        <w:t xml:space="preserve">      联系电话：</w:t>
      </w:r>
      <w:r>
        <w:rPr>
          <w:rFonts w:ascii="宋体" w:hAnsi="宋体" w:eastAsia="宋体" w:cs="宋体"/>
          <w:bCs/>
          <w:sz w:val="24"/>
          <w:szCs w:val="24"/>
        </w:rPr>
        <w:t>13647041498</w:t>
      </w:r>
      <w:r>
        <w:rPr>
          <w:rFonts w:hint="eastAsia" w:ascii="宋体" w:hAnsi="宋体" w:eastAsia="宋体" w:cs="宋体"/>
          <w:bCs/>
          <w:sz w:val="24"/>
          <w:szCs w:val="24"/>
        </w:rPr>
        <w:t xml:space="preserve">     </w:t>
      </w:r>
    </w:p>
    <w:p>
      <w:pPr>
        <w:widowControl/>
        <w:spacing w:line="360" w:lineRule="auto"/>
        <w:ind w:firstLine="720" w:firstLineChars="300"/>
        <w:jc w:val="left"/>
        <w:rPr>
          <w:rFonts w:ascii="宋体" w:hAnsi="宋体" w:eastAsia="宋体" w:cs="宋体"/>
          <w:bCs/>
          <w:sz w:val="24"/>
          <w:szCs w:val="24"/>
        </w:rPr>
      </w:pPr>
      <w:r>
        <w:rPr>
          <w:rFonts w:hint="eastAsia" w:ascii="宋体" w:hAnsi="宋体" w:eastAsia="宋体" w:cs="宋体"/>
          <w:bCs/>
          <w:sz w:val="24"/>
          <w:szCs w:val="24"/>
        </w:rPr>
        <w:t xml:space="preserve">通讯地址：江西省南昌市南昌高新技术产业开发区火炬大街68号创业大厦附楼3楼西侧      </w:t>
      </w:r>
    </w:p>
    <w:p>
      <w:pPr>
        <w:widowControl/>
        <w:spacing w:line="360" w:lineRule="auto"/>
        <w:ind w:firstLine="720" w:firstLineChars="300"/>
        <w:jc w:val="left"/>
        <w:rPr>
          <w:rFonts w:ascii="宋体" w:hAnsi="宋体" w:eastAsia="宋体" w:cs="宋体"/>
          <w:bCs/>
          <w:sz w:val="24"/>
          <w:szCs w:val="24"/>
        </w:rPr>
      </w:pPr>
      <w:r>
        <w:rPr>
          <w:rFonts w:hint="eastAsia" w:ascii="宋体" w:hAnsi="宋体" w:eastAsia="宋体" w:cs="宋体"/>
          <w:bCs/>
          <w:sz w:val="24"/>
          <w:szCs w:val="24"/>
        </w:rPr>
        <w:t>邮箱：</w:t>
      </w:r>
      <w:r>
        <w:fldChar w:fldCharType="begin"/>
      </w:r>
      <w:r>
        <w:instrText xml:space="preserve"> HYPERLINK "mailto:172162825@qq.com" </w:instrText>
      </w:r>
      <w:r>
        <w:fldChar w:fldCharType="separate"/>
      </w:r>
      <w:r>
        <w:rPr>
          <w:rFonts w:ascii="宋体" w:hAnsi="宋体" w:eastAsia="宋体" w:cs="宋体"/>
          <w:bCs/>
          <w:sz w:val="24"/>
          <w:szCs w:val="24"/>
        </w:rPr>
        <w:t>172162825</w:t>
      </w:r>
      <w:r>
        <w:rPr>
          <w:rFonts w:hint="eastAsia" w:ascii="宋体" w:hAnsi="宋体" w:eastAsia="宋体" w:cs="宋体"/>
          <w:bCs/>
          <w:sz w:val="24"/>
          <w:szCs w:val="24"/>
        </w:rPr>
        <w:t>@qq.com</w:t>
      </w:r>
      <w:r>
        <w:rPr>
          <w:rFonts w:hint="eastAsia" w:ascii="宋体" w:hAnsi="宋体" w:eastAsia="宋体" w:cs="宋体"/>
          <w:bCs/>
          <w:sz w:val="24"/>
          <w:szCs w:val="24"/>
        </w:rPr>
        <w:fldChar w:fldCharType="end"/>
      </w:r>
    </w:p>
    <w:p>
      <w:pPr>
        <w:spacing w:line="400" w:lineRule="exact"/>
        <w:jc w:val="center"/>
        <w:outlineLvl w:val="1"/>
        <w:rPr>
          <w:rFonts w:ascii="宋体" w:hAnsi="宋体" w:eastAsia="宋体" w:cs="宋体"/>
          <w:b/>
          <w:sz w:val="24"/>
          <w:szCs w:val="24"/>
        </w:rPr>
      </w:pPr>
      <w:bookmarkStart w:id="85" w:name="_Toc155100542"/>
      <w:r>
        <w:rPr>
          <w:rFonts w:hint="eastAsia" w:ascii="宋体" w:hAnsi="宋体" w:eastAsia="宋体" w:cs="宋体"/>
          <w:b/>
          <w:sz w:val="24"/>
          <w:szCs w:val="24"/>
        </w:rPr>
        <w:t>三  投标文件的编制</w:t>
      </w:r>
      <w:bookmarkEnd w:id="85"/>
    </w:p>
    <w:p>
      <w:pPr>
        <w:spacing w:line="400" w:lineRule="exact"/>
        <w:rPr>
          <w:rFonts w:ascii="宋体" w:hAnsi="宋体" w:eastAsia="宋体" w:cs="宋体"/>
          <w:b/>
          <w:sz w:val="24"/>
          <w:szCs w:val="24"/>
        </w:rPr>
      </w:pPr>
      <w:r>
        <w:rPr>
          <w:rFonts w:hint="eastAsia" w:ascii="宋体" w:hAnsi="宋体" w:eastAsia="宋体" w:cs="宋体"/>
          <w:b/>
          <w:sz w:val="24"/>
          <w:szCs w:val="24"/>
        </w:rPr>
        <w:t>11  投标的语言</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11.1  投标人提交的投标文件以及投标人与招标代理机构和采购人就有关投标的所有来往函电均应使用中文书写。对于任何非中文的资料，都应提供中文翻译本，在解释时以翻译本为准。</w:t>
      </w:r>
    </w:p>
    <w:p>
      <w:pPr>
        <w:spacing w:line="400" w:lineRule="exact"/>
        <w:rPr>
          <w:rFonts w:ascii="宋体" w:hAnsi="宋体" w:eastAsia="宋体" w:cs="宋体"/>
          <w:b/>
          <w:sz w:val="24"/>
          <w:szCs w:val="24"/>
        </w:rPr>
      </w:pPr>
      <w:r>
        <w:rPr>
          <w:rFonts w:hint="eastAsia" w:ascii="宋体" w:hAnsi="宋体" w:eastAsia="宋体" w:cs="宋体"/>
          <w:b/>
          <w:sz w:val="24"/>
          <w:szCs w:val="24"/>
        </w:rPr>
        <w:t>12  投标文件构成</w:t>
      </w:r>
    </w:p>
    <w:p>
      <w:pPr>
        <w:spacing w:line="400" w:lineRule="exact"/>
        <w:rPr>
          <w:rFonts w:ascii="宋体" w:hAnsi="宋体" w:eastAsia="宋体" w:cs="宋体"/>
          <w:sz w:val="24"/>
          <w:szCs w:val="24"/>
        </w:rPr>
      </w:pPr>
      <w:r>
        <w:rPr>
          <w:rFonts w:hint="eastAsia" w:ascii="宋体" w:hAnsi="宋体" w:eastAsia="宋体" w:cs="宋体"/>
          <w:sz w:val="24"/>
          <w:szCs w:val="24"/>
        </w:rPr>
        <w:t>12.1  投标人编写的投标文件应包括（但不限于）下列部分，否则将可能导致其投标被拒绝：</w:t>
      </w:r>
    </w:p>
    <w:p>
      <w:pPr>
        <w:spacing w:line="400" w:lineRule="exact"/>
        <w:rPr>
          <w:rFonts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rPr>
        <w:tab/>
      </w:r>
      <w:r>
        <w:rPr>
          <w:rFonts w:hint="eastAsia" w:ascii="宋体" w:hAnsi="宋体" w:eastAsia="宋体" w:cs="宋体"/>
          <w:sz w:val="24"/>
          <w:szCs w:val="24"/>
        </w:rPr>
        <w:t>投标书</w:t>
      </w:r>
    </w:p>
    <w:p>
      <w:pPr>
        <w:spacing w:line="400" w:lineRule="exact"/>
        <w:rPr>
          <w:rFonts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rPr>
        <w:tab/>
      </w:r>
      <w:r>
        <w:rPr>
          <w:rFonts w:hint="eastAsia" w:ascii="宋体" w:hAnsi="宋体" w:eastAsia="宋体" w:cs="宋体"/>
          <w:sz w:val="24"/>
          <w:szCs w:val="24"/>
        </w:rPr>
        <w:t>报价一览表</w:t>
      </w:r>
    </w:p>
    <w:p>
      <w:pPr>
        <w:spacing w:line="400" w:lineRule="exact"/>
        <w:rPr>
          <w:rFonts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rPr>
        <w:tab/>
      </w:r>
      <w:r>
        <w:rPr>
          <w:rFonts w:hint="eastAsia" w:ascii="宋体" w:hAnsi="宋体" w:eastAsia="宋体" w:cs="宋体"/>
          <w:sz w:val="24"/>
          <w:szCs w:val="24"/>
        </w:rPr>
        <w:t>开标一览明细表（分项报价明细）</w:t>
      </w:r>
    </w:p>
    <w:p>
      <w:pPr>
        <w:spacing w:line="400" w:lineRule="exact"/>
        <w:rPr>
          <w:rFonts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rPr>
        <w:tab/>
      </w:r>
      <w:r>
        <w:rPr>
          <w:rFonts w:hint="eastAsia" w:ascii="宋体" w:hAnsi="宋体" w:eastAsia="宋体" w:cs="宋体"/>
          <w:sz w:val="24"/>
          <w:szCs w:val="24"/>
        </w:rPr>
        <w:t>技术响应、偏离说明表</w:t>
      </w:r>
    </w:p>
    <w:p>
      <w:pPr>
        <w:spacing w:line="400" w:lineRule="exact"/>
        <w:rPr>
          <w:rFonts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rPr>
        <w:tab/>
      </w:r>
      <w:r>
        <w:rPr>
          <w:rFonts w:hint="eastAsia" w:ascii="宋体" w:hAnsi="宋体" w:eastAsia="宋体" w:cs="宋体"/>
          <w:sz w:val="24"/>
          <w:szCs w:val="24"/>
        </w:rPr>
        <w:t>商务响应、偏离说明表</w:t>
      </w:r>
    </w:p>
    <w:p>
      <w:pPr>
        <w:spacing w:line="400" w:lineRule="exact"/>
        <w:rPr>
          <w:rFonts w:ascii="宋体" w:hAnsi="宋体" w:eastAsia="宋体" w:cs="宋体"/>
          <w:sz w:val="24"/>
          <w:szCs w:val="24"/>
        </w:rPr>
      </w:pPr>
      <w:r>
        <w:rPr>
          <w:rFonts w:hint="eastAsia" w:ascii="宋体" w:hAnsi="宋体" w:eastAsia="宋体" w:cs="宋体"/>
          <w:sz w:val="24"/>
          <w:szCs w:val="24"/>
        </w:rPr>
        <w:t>6）</w:t>
      </w:r>
      <w:r>
        <w:rPr>
          <w:rFonts w:hint="eastAsia" w:ascii="宋体" w:hAnsi="宋体" w:eastAsia="宋体" w:cs="宋体"/>
          <w:sz w:val="24"/>
          <w:szCs w:val="24"/>
        </w:rPr>
        <w:tab/>
      </w:r>
      <w:r>
        <w:rPr>
          <w:rFonts w:hint="eastAsia" w:ascii="宋体" w:hAnsi="宋体" w:eastAsia="宋体" w:cs="宋体"/>
          <w:sz w:val="24"/>
          <w:szCs w:val="24"/>
        </w:rPr>
        <w:t>技术文件</w:t>
      </w:r>
    </w:p>
    <w:p>
      <w:pPr>
        <w:spacing w:line="400" w:lineRule="exact"/>
        <w:rPr>
          <w:rFonts w:ascii="宋体" w:hAnsi="宋体" w:eastAsia="宋体" w:cs="宋体"/>
          <w:sz w:val="24"/>
          <w:szCs w:val="24"/>
        </w:rPr>
      </w:pPr>
      <w:r>
        <w:rPr>
          <w:rFonts w:hint="eastAsia" w:ascii="宋体" w:hAnsi="宋体" w:eastAsia="宋体" w:cs="宋体"/>
          <w:sz w:val="24"/>
          <w:szCs w:val="24"/>
        </w:rPr>
        <w:t>7）</w:t>
      </w:r>
      <w:r>
        <w:rPr>
          <w:rFonts w:hint="eastAsia" w:ascii="宋体" w:hAnsi="宋体" w:eastAsia="宋体" w:cs="宋体"/>
          <w:sz w:val="24"/>
          <w:szCs w:val="24"/>
        </w:rPr>
        <w:tab/>
      </w:r>
      <w:r>
        <w:rPr>
          <w:rFonts w:hint="eastAsia" w:ascii="宋体" w:hAnsi="宋体" w:eastAsia="宋体" w:cs="宋体"/>
          <w:sz w:val="24"/>
          <w:szCs w:val="24"/>
        </w:rPr>
        <w:t>关于资格的声明函</w:t>
      </w:r>
    </w:p>
    <w:p>
      <w:pPr>
        <w:spacing w:line="400" w:lineRule="exact"/>
        <w:rPr>
          <w:rFonts w:ascii="宋体" w:hAnsi="宋体" w:eastAsia="宋体" w:cs="宋体"/>
          <w:sz w:val="24"/>
          <w:szCs w:val="24"/>
        </w:rPr>
      </w:pPr>
      <w:r>
        <w:rPr>
          <w:rFonts w:hint="eastAsia" w:ascii="宋体" w:hAnsi="宋体" w:eastAsia="宋体" w:cs="宋体"/>
          <w:sz w:val="24"/>
          <w:szCs w:val="24"/>
        </w:rPr>
        <w:t>8）</w:t>
      </w:r>
      <w:r>
        <w:rPr>
          <w:rFonts w:hint="eastAsia" w:ascii="宋体" w:hAnsi="宋体" w:eastAsia="宋体" w:cs="宋体"/>
          <w:sz w:val="24"/>
          <w:szCs w:val="24"/>
        </w:rPr>
        <w:tab/>
      </w:r>
      <w:r>
        <w:rPr>
          <w:rFonts w:hint="eastAsia" w:ascii="宋体" w:hAnsi="宋体" w:eastAsia="宋体" w:cs="宋体"/>
          <w:sz w:val="24"/>
          <w:szCs w:val="24"/>
        </w:rPr>
        <w:t>法定代表人证明书</w:t>
      </w:r>
    </w:p>
    <w:p>
      <w:pPr>
        <w:spacing w:line="400" w:lineRule="exact"/>
        <w:rPr>
          <w:rFonts w:ascii="宋体" w:hAnsi="宋体" w:eastAsia="宋体" w:cs="宋体"/>
          <w:sz w:val="24"/>
          <w:szCs w:val="24"/>
        </w:rPr>
      </w:pPr>
      <w:r>
        <w:rPr>
          <w:rFonts w:hint="eastAsia" w:ascii="宋体" w:hAnsi="宋体" w:eastAsia="宋体" w:cs="宋体"/>
          <w:sz w:val="24"/>
          <w:szCs w:val="24"/>
        </w:rPr>
        <w:t>9）法人授权委托证明书</w:t>
      </w:r>
    </w:p>
    <w:p>
      <w:pPr>
        <w:spacing w:line="400" w:lineRule="exact"/>
        <w:rPr>
          <w:rFonts w:ascii="宋体" w:hAnsi="宋体" w:eastAsia="宋体" w:cs="宋体"/>
          <w:sz w:val="24"/>
          <w:szCs w:val="24"/>
        </w:rPr>
      </w:pPr>
      <w:r>
        <w:rPr>
          <w:rFonts w:hint="eastAsia" w:ascii="宋体" w:hAnsi="宋体" w:eastAsia="宋体" w:cs="宋体"/>
          <w:sz w:val="24"/>
          <w:szCs w:val="24"/>
        </w:rPr>
        <w:t>10）主要成功案例（如有）</w:t>
      </w:r>
    </w:p>
    <w:p>
      <w:pPr>
        <w:spacing w:line="400" w:lineRule="exact"/>
        <w:rPr>
          <w:rFonts w:ascii="宋体" w:hAnsi="宋体" w:eastAsia="宋体" w:cs="宋体"/>
          <w:sz w:val="24"/>
          <w:szCs w:val="24"/>
        </w:rPr>
      </w:pPr>
      <w:r>
        <w:rPr>
          <w:rFonts w:hint="eastAsia" w:ascii="宋体" w:hAnsi="宋体" w:eastAsia="宋体" w:cs="宋体"/>
          <w:sz w:val="24"/>
          <w:szCs w:val="24"/>
        </w:rPr>
        <w:t>11）资格证明文件</w:t>
      </w:r>
    </w:p>
    <w:p>
      <w:pPr>
        <w:spacing w:line="400" w:lineRule="exact"/>
        <w:jc w:val="left"/>
        <w:rPr>
          <w:rFonts w:ascii="宋体" w:hAnsi="宋体" w:eastAsia="宋体" w:cs="宋体"/>
          <w:sz w:val="24"/>
          <w:szCs w:val="24"/>
        </w:rPr>
      </w:pPr>
      <w:r>
        <w:rPr>
          <w:rFonts w:hint="eastAsia" w:ascii="宋体" w:hAnsi="宋体" w:eastAsia="宋体" w:cs="宋体"/>
          <w:sz w:val="24"/>
          <w:szCs w:val="24"/>
        </w:rPr>
        <w:t>12) 资格承诺函</w:t>
      </w:r>
    </w:p>
    <w:p>
      <w:pPr>
        <w:spacing w:line="400" w:lineRule="exact"/>
        <w:rPr>
          <w:rFonts w:ascii="宋体" w:hAnsi="宋体" w:eastAsia="宋体" w:cs="宋体"/>
          <w:sz w:val="24"/>
          <w:szCs w:val="24"/>
        </w:rPr>
      </w:pPr>
      <w:r>
        <w:rPr>
          <w:rFonts w:hint="eastAsia" w:ascii="宋体" w:hAnsi="宋体" w:eastAsia="宋体" w:cs="宋体"/>
          <w:sz w:val="24"/>
          <w:szCs w:val="24"/>
        </w:rPr>
        <w:t>13）中小企业声明函（货物）（如有）</w:t>
      </w:r>
    </w:p>
    <w:p>
      <w:pPr>
        <w:spacing w:line="400" w:lineRule="exact"/>
        <w:rPr>
          <w:rFonts w:ascii="宋体" w:hAnsi="宋体" w:eastAsia="宋体" w:cs="宋体"/>
          <w:sz w:val="24"/>
          <w:szCs w:val="24"/>
        </w:rPr>
      </w:pPr>
      <w:r>
        <w:rPr>
          <w:rFonts w:hint="eastAsia" w:ascii="宋体" w:hAnsi="宋体" w:eastAsia="宋体" w:cs="宋体"/>
          <w:sz w:val="24"/>
          <w:szCs w:val="24"/>
        </w:rPr>
        <w:t>14）省级以上监狱管理局、戒毒管理局（含新疆生产建设兵团）出具的属于监狱企业 证明文件 （如有）</w:t>
      </w:r>
    </w:p>
    <w:p>
      <w:pPr>
        <w:spacing w:line="400" w:lineRule="exact"/>
        <w:rPr>
          <w:rFonts w:ascii="宋体" w:hAnsi="宋体" w:eastAsia="宋体" w:cs="宋体"/>
          <w:sz w:val="24"/>
          <w:szCs w:val="24"/>
        </w:rPr>
      </w:pPr>
      <w:r>
        <w:rPr>
          <w:rFonts w:hint="eastAsia" w:ascii="宋体" w:hAnsi="宋体" w:eastAsia="宋体" w:cs="宋体"/>
          <w:sz w:val="24"/>
          <w:szCs w:val="24"/>
        </w:rPr>
        <w:t>15）残疾人福利性单位声明函（如有）</w:t>
      </w:r>
    </w:p>
    <w:p>
      <w:pPr>
        <w:spacing w:line="400" w:lineRule="exact"/>
        <w:rPr>
          <w:rFonts w:ascii="宋体" w:hAnsi="宋体" w:eastAsia="宋体" w:cs="宋体"/>
          <w:sz w:val="24"/>
          <w:szCs w:val="24"/>
        </w:rPr>
      </w:pPr>
      <w:r>
        <w:rPr>
          <w:rFonts w:hint="eastAsia" w:ascii="宋体" w:hAnsi="宋体" w:eastAsia="宋体" w:cs="宋体"/>
          <w:sz w:val="24"/>
          <w:szCs w:val="24"/>
        </w:rPr>
        <w:t>16）投标人信用证明操作步骤</w:t>
      </w:r>
    </w:p>
    <w:p>
      <w:pPr>
        <w:spacing w:line="400" w:lineRule="exact"/>
        <w:rPr>
          <w:rFonts w:ascii="宋体" w:hAnsi="宋体" w:eastAsia="宋体" w:cs="宋体"/>
          <w:sz w:val="24"/>
          <w:szCs w:val="24"/>
        </w:rPr>
      </w:pPr>
      <w:r>
        <w:rPr>
          <w:rFonts w:hint="eastAsia" w:ascii="宋体" w:hAnsi="宋体" w:eastAsia="宋体" w:cs="宋体"/>
          <w:sz w:val="24"/>
          <w:szCs w:val="24"/>
        </w:rPr>
        <w:t>17) 保证金汇款凭证</w:t>
      </w:r>
    </w:p>
    <w:p>
      <w:pPr>
        <w:spacing w:line="400" w:lineRule="exact"/>
        <w:rPr>
          <w:rFonts w:ascii="宋体" w:hAnsi="宋体" w:eastAsia="宋体" w:cs="宋体"/>
          <w:sz w:val="24"/>
          <w:szCs w:val="24"/>
        </w:rPr>
      </w:pPr>
      <w:r>
        <w:rPr>
          <w:rFonts w:hint="eastAsia" w:ascii="宋体" w:hAnsi="宋体" w:eastAsia="宋体" w:cs="宋体"/>
          <w:sz w:val="24"/>
          <w:szCs w:val="24"/>
        </w:rPr>
        <w:t xml:space="preserve">    投标方应将“投标文件”装订胶装成册。</w:t>
      </w:r>
    </w:p>
    <w:p>
      <w:pPr>
        <w:spacing w:line="400" w:lineRule="exact"/>
        <w:rPr>
          <w:rFonts w:ascii="宋体" w:hAnsi="宋体" w:eastAsia="宋体" w:cs="宋体"/>
          <w:b/>
          <w:sz w:val="24"/>
          <w:szCs w:val="24"/>
        </w:rPr>
      </w:pPr>
      <w:r>
        <w:rPr>
          <w:rFonts w:hint="eastAsia" w:ascii="宋体" w:hAnsi="宋体" w:eastAsia="宋体" w:cs="宋体"/>
          <w:b/>
          <w:sz w:val="24"/>
          <w:szCs w:val="24"/>
        </w:rPr>
        <w:t>13  投标文件格式</w:t>
      </w:r>
    </w:p>
    <w:p>
      <w:pPr>
        <w:spacing w:line="400" w:lineRule="exact"/>
        <w:rPr>
          <w:rFonts w:ascii="宋体" w:hAnsi="宋体" w:eastAsia="宋体" w:cs="宋体"/>
          <w:sz w:val="24"/>
          <w:szCs w:val="24"/>
        </w:rPr>
      </w:pPr>
      <w:r>
        <w:rPr>
          <w:rFonts w:hint="eastAsia" w:ascii="宋体" w:hAnsi="宋体" w:eastAsia="宋体" w:cs="宋体"/>
          <w:sz w:val="24"/>
          <w:szCs w:val="24"/>
        </w:rPr>
        <w:t>13.1  投标人应按招标文件附件中提供的“投标文件格式”填写“投标书”、“报价一览表”等。</w:t>
      </w:r>
    </w:p>
    <w:p>
      <w:pPr>
        <w:spacing w:line="400" w:lineRule="exact"/>
        <w:rPr>
          <w:rFonts w:ascii="宋体" w:hAnsi="宋体" w:eastAsia="宋体" w:cs="宋体"/>
          <w:sz w:val="24"/>
          <w:szCs w:val="24"/>
        </w:rPr>
      </w:pPr>
      <w:r>
        <w:rPr>
          <w:rFonts w:hint="eastAsia" w:ascii="宋体" w:hAnsi="宋体" w:eastAsia="宋体" w:cs="宋体"/>
          <w:sz w:val="24"/>
          <w:szCs w:val="24"/>
        </w:rPr>
        <w:t>13.2  投标人不得将同一设备包中的内容拆开投标，否则将导致其投标被拒绝。</w:t>
      </w:r>
    </w:p>
    <w:p>
      <w:pPr>
        <w:spacing w:line="400" w:lineRule="exact"/>
        <w:rPr>
          <w:rFonts w:ascii="宋体" w:hAnsi="宋体" w:eastAsia="宋体" w:cs="宋体"/>
          <w:b/>
          <w:sz w:val="24"/>
          <w:szCs w:val="24"/>
        </w:rPr>
      </w:pPr>
      <w:r>
        <w:rPr>
          <w:rFonts w:hint="eastAsia" w:ascii="宋体" w:hAnsi="宋体" w:eastAsia="宋体" w:cs="宋体"/>
          <w:b/>
          <w:sz w:val="24"/>
          <w:szCs w:val="24"/>
        </w:rPr>
        <w:t>14  投标报价和货币</w:t>
      </w:r>
    </w:p>
    <w:p>
      <w:pPr>
        <w:spacing w:line="400" w:lineRule="exact"/>
        <w:rPr>
          <w:rFonts w:ascii="宋体" w:hAnsi="宋体" w:eastAsia="宋体" w:cs="宋体"/>
          <w:b/>
          <w:sz w:val="24"/>
          <w:szCs w:val="24"/>
        </w:rPr>
      </w:pPr>
      <w:r>
        <w:rPr>
          <w:rFonts w:hint="eastAsia" w:ascii="宋体" w:hAnsi="宋体" w:eastAsia="宋体" w:cs="宋体"/>
          <w:sz w:val="24"/>
          <w:szCs w:val="24"/>
        </w:rPr>
        <w:t>14.1  投标人应按招标文件第二章中规定的报价方式报价。所报价格不得超过第一章中的最高限价，否则其投标将被拒绝（作为废标）。</w:t>
      </w:r>
    </w:p>
    <w:p>
      <w:pPr>
        <w:autoSpaceDE w:val="0"/>
        <w:autoSpaceDN w:val="0"/>
        <w:adjustRightInd w:val="0"/>
        <w:spacing w:line="400" w:lineRule="exact"/>
        <w:jc w:val="left"/>
        <w:rPr>
          <w:rFonts w:ascii="宋体" w:hAnsi="宋体" w:eastAsia="宋体" w:cs="宋体"/>
          <w:kern w:val="0"/>
          <w:sz w:val="24"/>
          <w:szCs w:val="24"/>
        </w:rPr>
      </w:pPr>
      <w:r>
        <w:rPr>
          <w:rFonts w:hint="eastAsia" w:ascii="宋体" w:hAnsi="宋体" w:eastAsia="宋体" w:cs="宋体"/>
          <w:kern w:val="0"/>
          <w:sz w:val="24"/>
          <w:szCs w:val="24"/>
        </w:rPr>
        <w:t>14.2  国产的货物及其有关服务的报价应包括要向中华人民共和国政府缴纳的增值税和其他税。</w:t>
      </w:r>
    </w:p>
    <w:p>
      <w:pPr>
        <w:autoSpaceDE w:val="0"/>
        <w:autoSpaceDN w:val="0"/>
        <w:adjustRightInd w:val="0"/>
        <w:spacing w:line="400" w:lineRule="exact"/>
        <w:jc w:val="left"/>
        <w:rPr>
          <w:rFonts w:ascii="宋体" w:hAnsi="宋体" w:eastAsia="宋体" w:cs="宋体"/>
          <w:kern w:val="0"/>
          <w:sz w:val="24"/>
          <w:szCs w:val="24"/>
        </w:rPr>
      </w:pPr>
      <w:r>
        <w:rPr>
          <w:rFonts w:hint="eastAsia" w:ascii="宋体" w:hAnsi="宋体" w:eastAsia="宋体" w:cs="宋体"/>
          <w:kern w:val="0"/>
          <w:sz w:val="24"/>
          <w:szCs w:val="24"/>
        </w:rPr>
        <w:t>14.3  在中华人民共和国境内提供的进口货物及其有关服务的报价应包括要向中华人民共和国政府缴纳的关税、增值税和其他税。</w:t>
      </w:r>
    </w:p>
    <w:p>
      <w:pPr>
        <w:spacing w:line="400" w:lineRule="exact"/>
        <w:rPr>
          <w:rFonts w:ascii="宋体" w:hAnsi="宋体" w:eastAsia="宋体" w:cs="宋体"/>
          <w:b/>
          <w:sz w:val="24"/>
          <w:szCs w:val="24"/>
        </w:rPr>
      </w:pPr>
      <w:r>
        <w:rPr>
          <w:rFonts w:hint="eastAsia" w:ascii="宋体" w:hAnsi="宋体" w:eastAsia="宋体" w:cs="宋体"/>
          <w:b/>
          <w:sz w:val="24"/>
          <w:szCs w:val="24"/>
        </w:rPr>
        <w:t>15  投标人资格的证明文件</w:t>
      </w:r>
    </w:p>
    <w:p>
      <w:pPr>
        <w:spacing w:line="400" w:lineRule="exact"/>
        <w:rPr>
          <w:rFonts w:ascii="宋体" w:hAnsi="宋体" w:eastAsia="宋体" w:cs="宋体"/>
          <w:sz w:val="24"/>
          <w:szCs w:val="24"/>
        </w:rPr>
      </w:pPr>
      <w:r>
        <w:rPr>
          <w:rFonts w:hint="eastAsia" w:ascii="宋体" w:hAnsi="宋体" w:eastAsia="宋体" w:cs="宋体"/>
          <w:sz w:val="24"/>
          <w:szCs w:val="24"/>
        </w:rPr>
        <w:t>15.1  投标人应提交证明其有资格参加投标和中标后有能力履行合同的文件，并作为其投标文件的一部分。</w:t>
      </w:r>
    </w:p>
    <w:p>
      <w:pPr>
        <w:spacing w:line="400" w:lineRule="exact"/>
        <w:rPr>
          <w:rFonts w:ascii="宋体" w:hAnsi="宋体" w:eastAsia="宋体" w:cs="宋体"/>
          <w:b/>
          <w:sz w:val="24"/>
          <w:szCs w:val="24"/>
        </w:rPr>
      </w:pPr>
      <w:r>
        <w:rPr>
          <w:rFonts w:hint="eastAsia" w:ascii="宋体" w:hAnsi="宋体" w:eastAsia="宋体" w:cs="宋体"/>
          <w:sz w:val="24"/>
          <w:szCs w:val="24"/>
        </w:rPr>
        <w:t>15.2  投标人应符合招标文件中规定的资格标准。</w:t>
      </w:r>
    </w:p>
    <w:p>
      <w:pPr>
        <w:spacing w:line="400" w:lineRule="exact"/>
        <w:rPr>
          <w:rFonts w:ascii="宋体" w:hAnsi="宋体" w:eastAsia="宋体" w:cs="宋体"/>
          <w:b/>
          <w:sz w:val="24"/>
          <w:szCs w:val="24"/>
        </w:rPr>
      </w:pPr>
      <w:r>
        <w:rPr>
          <w:rFonts w:hint="eastAsia" w:ascii="宋体" w:hAnsi="宋体" w:eastAsia="宋体" w:cs="宋体"/>
          <w:b/>
          <w:sz w:val="24"/>
          <w:szCs w:val="24"/>
        </w:rPr>
        <w:t>16  证明货物的合格性和符合招标文件规定的文件</w:t>
      </w:r>
    </w:p>
    <w:p>
      <w:pPr>
        <w:spacing w:line="400" w:lineRule="exact"/>
        <w:rPr>
          <w:rFonts w:ascii="宋体" w:hAnsi="宋体" w:eastAsia="宋体" w:cs="宋体"/>
          <w:sz w:val="24"/>
          <w:szCs w:val="24"/>
        </w:rPr>
      </w:pPr>
      <w:r>
        <w:rPr>
          <w:rFonts w:hint="eastAsia" w:ascii="宋体" w:hAnsi="宋体" w:eastAsia="宋体" w:cs="宋体"/>
          <w:sz w:val="24"/>
          <w:szCs w:val="24"/>
        </w:rPr>
        <w:t>16.1  投标人应提交证明文件证明其拟供的合同项下的货物和服务的合格性符合招标文件规定。该证明文件作为投标文件的一部分。</w:t>
      </w:r>
    </w:p>
    <w:p>
      <w:pPr>
        <w:spacing w:line="400" w:lineRule="exact"/>
        <w:rPr>
          <w:rFonts w:ascii="宋体" w:hAnsi="宋体" w:eastAsia="宋体" w:cs="宋体"/>
          <w:b/>
          <w:sz w:val="24"/>
          <w:szCs w:val="24"/>
        </w:rPr>
      </w:pPr>
      <w:r>
        <w:rPr>
          <w:rFonts w:hint="eastAsia" w:ascii="宋体" w:hAnsi="宋体" w:eastAsia="宋体" w:cs="宋体"/>
          <w:b/>
          <w:sz w:val="24"/>
          <w:szCs w:val="24"/>
        </w:rPr>
        <w:t>17  投标保证金</w:t>
      </w:r>
    </w:p>
    <w:p>
      <w:pPr>
        <w:spacing w:line="400" w:lineRule="exact"/>
        <w:rPr>
          <w:rFonts w:ascii="宋体" w:hAnsi="宋体" w:eastAsia="宋体" w:cs="宋体"/>
          <w:sz w:val="24"/>
          <w:szCs w:val="24"/>
        </w:rPr>
      </w:pPr>
      <w:r>
        <w:rPr>
          <w:rFonts w:hint="eastAsia" w:ascii="宋体" w:hAnsi="宋体" w:eastAsia="宋体" w:cs="宋体"/>
          <w:sz w:val="24"/>
          <w:szCs w:val="24"/>
        </w:rPr>
        <w:t>17.1投标保证金的形式：银行转账，不能提交现金，投标保证金必须从投标企业法人营业执照注册所在地本单位基本账户（不含企业的分公司或办事处的账号）通过银行转账缴纳方式转入</w:t>
      </w:r>
      <w:r>
        <w:rPr>
          <w:rFonts w:hint="eastAsia" w:ascii="宋体" w:hAnsi="宋体" w:eastAsia="宋体" w:cs="宋体"/>
          <w:b/>
          <w:bCs/>
          <w:sz w:val="24"/>
          <w:szCs w:val="24"/>
        </w:rPr>
        <w:t>（须于投标响应文件提交截止时间前一个工作日足额转账至采购人以下任一账户）</w:t>
      </w:r>
      <w:r>
        <w:rPr>
          <w:rFonts w:hint="eastAsia" w:ascii="宋体" w:hAnsi="宋体" w:eastAsia="宋体" w:cs="宋体"/>
          <w:sz w:val="24"/>
          <w:szCs w:val="24"/>
        </w:rPr>
        <w:t>，交费人名称应与参加投标单位名称一致，否则视为无效投标，</w:t>
      </w:r>
      <w:r>
        <w:rPr>
          <w:rFonts w:hint="eastAsia" w:ascii="宋体" w:hAnsi="宋体" w:eastAsia="宋体" w:cs="宋体"/>
          <w:b/>
          <w:bCs/>
          <w:sz w:val="24"/>
          <w:szCs w:val="24"/>
        </w:rPr>
        <w:t>（友情提示：汇款时注明项目名称或采购编号）</w:t>
      </w:r>
      <w:r>
        <w:rPr>
          <w:rFonts w:hint="eastAsia" w:ascii="宋体" w:hAnsi="宋体" w:eastAsia="宋体" w:cs="宋体"/>
          <w:sz w:val="24"/>
          <w:szCs w:val="24"/>
        </w:rPr>
        <w:t>，成功转入的为有效保证金。取得投标保证金交款凭证加盖投标人公章，作为其投标文件的一部分。</w:t>
      </w:r>
    </w:p>
    <w:p>
      <w:pPr>
        <w:tabs>
          <w:tab w:val="right" w:pos="9638"/>
        </w:tabs>
        <w:snapToGrid w:val="0"/>
        <w:spacing w:line="288" w:lineRule="auto"/>
        <w:ind w:firstLine="960" w:firstLineChars="400"/>
        <w:rPr>
          <w:rFonts w:ascii="宋体" w:hAnsi="宋体" w:eastAsia="宋体" w:cs="宋体"/>
          <w:b/>
          <w:bCs/>
          <w:color w:val="FF0000"/>
          <w:sz w:val="24"/>
          <w:szCs w:val="20"/>
        </w:rPr>
      </w:pPr>
      <w:r>
        <w:rPr>
          <w:rFonts w:hint="eastAsia" w:ascii="宋体" w:hAnsi="宋体" w:eastAsia="宋体" w:cs="宋体"/>
          <w:b/>
          <w:bCs/>
          <w:color w:val="FF0000"/>
          <w:sz w:val="24"/>
          <w:szCs w:val="20"/>
        </w:rPr>
        <w:t>帐户:公司名称：南城县城镇建设投资有限公司</w:t>
      </w:r>
    </w:p>
    <w:p>
      <w:pPr>
        <w:tabs>
          <w:tab w:val="right" w:pos="9638"/>
        </w:tabs>
        <w:snapToGrid w:val="0"/>
        <w:spacing w:line="288" w:lineRule="auto"/>
        <w:ind w:firstLine="960" w:firstLineChars="400"/>
        <w:rPr>
          <w:rFonts w:ascii="宋体" w:hAnsi="宋体" w:eastAsia="宋体" w:cs="宋体"/>
          <w:b/>
          <w:bCs/>
          <w:color w:val="FF0000"/>
          <w:sz w:val="24"/>
          <w:szCs w:val="20"/>
        </w:rPr>
      </w:pPr>
      <w:r>
        <w:rPr>
          <w:rFonts w:hint="eastAsia" w:ascii="宋体" w:hAnsi="宋体" w:eastAsia="宋体" w:cs="宋体"/>
          <w:b/>
          <w:bCs/>
          <w:color w:val="FF0000"/>
          <w:sz w:val="24"/>
          <w:szCs w:val="20"/>
        </w:rPr>
        <w:t>银行账号：</w:t>
      </w:r>
      <w:r>
        <w:rPr>
          <w:rFonts w:ascii="宋体" w:hAnsi="宋体" w:eastAsia="宋体" w:cs="宋体"/>
          <w:b/>
          <w:bCs/>
          <w:color w:val="FF0000"/>
          <w:sz w:val="24"/>
          <w:szCs w:val="20"/>
        </w:rPr>
        <w:t>20336102100100000090031</w:t>
      </w:r>
    </w:p>
    <w:p>
      <w:pPr>
        <w:tabs>
          <w:tab w:val="right" w:pos="9638"/>
        </w:tabs>
        <w:snapToGrid w:val="0"/>
        <w:spacing w:line="288" w:lineRule="auto"/>
        <w:ind w:firstLine="960" w:firstLineChars="400"/>
        <w:rPr>
          <w:rFonts w:ascii="宋体" w:hAnsi="宋体" w:eastAsia="宋体" w:cs="宋体"/>
          <w:b/>
          <w:bCs/>
          <w:color w:val="FF0000"/>
          <w:sz w:val="24"/>
          <w:szCs w:val="20"/>
        </w:rPr>
      </w:pPr>
      <w:r>
        <w:rPr>
          <w:rFonts w:hint="eastAsia" w:ascii="宋体" w:hAnsi="宋体" w:eastAsia="宋体" w:cs="宋体"/>
          <w:b/>
          <w:bCs/>
          <w:color w:val="FF0000"/>
          <w:sz w:val="24"/>
          <w:szCs w:val="20"/>
        </w:rPr>
        <w:t>开户行：中国农业发展银行南城县支行</w:t>
      </w:r>
    </w:p>
    <w:p>
      <w:pPr>
        <w:widowControl/>
        <w:spacing w:line="400" w:lineRule="exact"/>
        <w:ind w:firstLine="480" w:firstLineChars="200"/>
        <w:rPr>
          <w:rFonts w:ascii="宋体" w:hAnsi="宋体" w:eastAsia="宋体" w:cs="宋体"/>
          <w:b/>
          <w:color w:val="FF0000"/>
          <w:kern w:val="0"/>
          <w:sz w:val="24"/>
          <w:szCs w:val="24"/>
        </w:rPr>
      </w:pPr>
      <w:r>
        <w:rPr>
          <w:rFonts w:hint="eastAsia" w:ascii="宋体" w:hAnsi="宋体" w:eastAsia="宋体" w:cs="宋体"/>
          <w:b/>
          <w:color w:val="FF0000"/>
          <w:kern w:val="0"/>
          <w:sz w:val="24"/>
          <w:szCs w:val="24"/>
        </w:rPr>
        <w:t>投标保证金金额：</w:t>
      </w:r>
      <w:r>
        <w:rPr>
          <w:rFonts w:hint="eastAsia" w:ascii="宋体" w:hAnsi="宋体" w:eastAsia="宋体" w:cs="宋体"/>
          <w:b/>
          <w:color w:val="FF0000"/>
          <w:kern w:val="0"/>
          <w:sz w:val="24"/>
          <w:szCs w:val="24"/>
          <w:u w:val="single"/>
        </w:rPr>
        <w:t>贰万叁仟元整</w:t>
      </w:r>
      <w:r>
        <w:rPr>
          <w:rFonts w:hint="eastAsia" w:ascii="宋体" w:hAnsi="宋体" w:eastAsia="宋体" w:cs="宋体"/>
          <w:b/>
          <w:color w:val="FF0000"/>
          <w:kern w:val="0"/>
          <w:sz w:val="24"/>
          <w:szCs w:val="24"/>
        </w:rPr>
        <w:t>人民币</w:t>
      </w:r>
    </w:p>
    <w:p>
      <w:pPr>
        <w:spacing w:line="400" w:lineRule="exact"/>
        <w:rPr>
          <w:rFonts w:ascii="宋体" w:hAnsi="宋体" w:eastAsia="宋体" w:cs="宋体"/>
          <w:sz w:val="24"/>
          <w:szCs w:val="24"/>
        </w:rPr>
      </w:pPr>
      <w:r>
        <w:rPr>
          <w:rFonts w:hint="eastAsia" w:ascii="宋体" w:hAnsi="宋体" w:eastAsia="宋体" w:cs="宋体"/>
          <w:sz w:val="24"/>
          <w:szCs w:val="24"/>
        </w:rPr>
        <w:t>17.2 投标保证金是为了保护采购人免遭因投标人的行为而蒙受损失。采购人在因投标人的行为受到损害时可根据本须知第17.7条的规定不予退还投标人的投标保证金。</w:t>
      </w:r>
    </w:p>
    <w:p>
      <w:pPr>
        <w:spacing w:line="400" w:lineRule="exact"/>
        <w:rPr>
          <w:rFonts w:ascii="宋体" w:hAnsi="宋体" w:eastAsia="宋体" w:cs="宋体"/>
          <w:sz w:val="24"/>
          <w:szCs w:val="24"/>
        </w:rPr>
      </w:pPr>
      <w:r>
        <w:rPr>
          <w:rFonts w:hint="eastAsia" w:ascii="宋体" w:hAnsi="宋体" w:eastAsia="宋体" w:cs="宋体"/>
          <w:sz w:val="24"/>
          <w:szCs w:val="24"/>
        </w:rPr>
        <w:t>17.3 在开标时，对于未按要求提交投标保证金的投标，代理机构将视其为非响应性投标应予以拒绝。</w:t>
      </w:r>
    </w:p>
    <w:p>
      <w:pPr>
        <w:spacing w:line="400" w:lineRule="exact"/>
        <w:rPr>
          <w:rFonts w:ascii="宋体" w:hAnsi="宋体" w:eastAsia="宋体" w:cs="宋体"/>
          <w:sz w:val="24"/>
          <w:szCs w:val="24"/>
        </w:rPr>
      </w:pPr>
      <w:r>
        <w:rPr>
          <w:rFonts w:hint="eastAsia" w:ascii="宋体" w:hAnsi="宋体" w:eastAsia="宋体" w:cs="宋体"/>
          <w:sz w:val="24"/>
          <w:szCs w:val="24"/>
        </w:rPr>
        <w:t>17.4 凡没有根据本须知第17.1和17.3条的规定随附有效的投标保证金的投标，视为非响应性投标予以拒绝。</w:t>
      </w:r>
    </w:p>
    <w:p>
      <w:pPr>
        <w:spacing w:line="400" w:lineRule="exact"/>
        <w:rPr>
          <w:rFonts w:ascii="宋体" w:hAnsi="宋体" w:eastAsia="宋体" w:cs="宋体"/>
          <w:sz w:val="24"/>
          <w:szCs w:val="24"/>
        </w:rPr>
      </w:pPr>
      <w:r>
        <w:rPr>
          <w:rFonts w:hint="eastAsia" w:ascii="宋体" w:hAnsi="宋体" w:eastAsia="宋体" w:cs="宋体"/>
          <w:sz w:val="24"/>
          <w:szCs w:val="24"/>
        </w:rPr>
        <w:t>17.5  未中标的投标人的投标保证金，在发出中标通知书后5个工作日内原额不计息退还投标人。</w:t>
      </w:r>
    </w:p>
    <w:p>
      <w:pPr>
        <w:spacing w:line="400" w:lineRule="exact"/>
        <w:rPr>
          <w:rFonts w:ascii="宋体" w:hAnsi="宋体" w:eastAsia="宋体" w:cs="宋体"/>
          <w:sz w:val="24"/>
          <w:szCs w:val="24"/>
        </w:rPr>
      </w:pPr>
      <w:r>
        <w:rPr>
          <w:rFonts w:hint="eastAsia" w:ascii="宋体" w:hAnsi="宋体" w:eastAsia="宋体" w:cs="宋体"/>
          <w:sz w:val="24"/>
          <w:szCs w:val="24"/>
        </w:rPr>
        <w:t>17.6  中标人的投标保证金,在采购合同签订后五个工作日内凭中标通知书、合同按来款渠道直接无息退还。</w:t>
      </w:r>
    </w:p>
    <w:p>
      <w:pPr>
        <w:spacing w:line="400" w:lineRule="exact"/>
        <w:rPr>
          <w:rFonts w:ascii="宋体" w:hAnsi="宋体" w:eastAsia="宋体" w:cs="宋体"/>
          <w:sz w:val="24"/>
          <w:szCs w:val="24"/>
        </w:rPr>
      </w:pPr>
      <w:r>
        <w:rPr>
          <w:rFonts w:hint="eastAsia" w:ascii="宋体" w:hAnsi="宋体" w:eastAsia="宋体" w:cs="宋体"/>
          <w:sz w:val="24"/>
          <w:szCs w:val="24"/>
        </w:rPr>
        <w:t>17.7  下列任何情况发生时，投标保证金将被不予退还：</w:t>
      </w:r>
    </w:p>
    <w:p>
      <w:pPr>
        <w:spacing w:line="400" w:lineRule="exact"/>
        <w:rPr>
          <w:rFonts w:ascii="宋体" w:hAnsi="宋体" w:eastAsia="宋体" w:cs="宋体"/>
          <w:sz w:val="24"/>
          <w:szCs w:val="24"/>
        </w:rPr>
      </w:pPr>
      <w:r>
        <w:rPr>
          <w:rFonts w:hint="eastAsia" w:ascii="宋体" w:hAnsi="宋体" w:eastAsia="宋体" w:cs="宋体"/>
          <w:sz w:val="24"/>
          <w:szCs w:val="24"/>
        </w:rPr>
        <w:t>（1)投标人在投标有效期内撤回其投标；</w:t>
      </w:r>
    </w:p>
    <w:p>
      <w:pPr>
        <w:spacing w:line="400" w:lineRule="exact"/>
        <w:rPr>
          <w:rFonts w:ascii="宋体" w:hAnsi="宋体" w:eastAsia="宋体" w:cs="宋体"/>
          <w:sz w:val="24"/>
          <w:szCs w:val="24"/>
        </w:rPr>
      </w:pPr>
      <w:r>
        <w:rPr>
          <w:rFonts w:hint="eastAsia" w:ascii="宋体" w:hAnsi="宋体" w:eastAsia="宋体" w:cs="宋体"/>
          <w:sz w:val="24"/>
          <w:szCs w:val="24"/>
        </w:rPr>
        <w:t>（2)中标人未按招标文件所述规定签订合同；</w:t>
      </w:r>
    </w:p>
    <w:p>
      <w:pPr>
        <w:spacing w:line="400" w:lineRule="exact"/>
        <w:rPr>
          <w:rFonts w:ascii="宋体" w:hAnsi="宋体" w:eastAsia="宋体" w:cs="宋体"/>
          <w:sz w:val="24"/>
          <w:szCs w:val="24"/>
        </w:rPr>
      </w:pPr>
      <w:r>
        <w:rPr>
          <w:rFonts w:hint="eastAsia" w:ascii="宋体" w:hAnsi="宋体" w:eastAsia="宋体" w:cs="宋体"/>
          <w:sz w:val="24"/>
          <w:szCs w:val="24"/>
        </w:rPr>
        <w:t>（3)中标人未按规定缴付采购代理服务费；</w:t>
      </w:r>
    </w:p>
    <w:p>
      <w:pPr>
        <w:spacing w:line="400" w:lineRule="exact"/>
        <w:rPr>
          <w:rFonts w:ascii="宋体" w:hAnsi="宋体" w:eastAsia="宋体" w:cs="宋体"/>
          <w:sz w:val="24"/>
          <w:szCs w:val="24"/>
        </w:rPr>
      </w:pPr>
      <w:r>
        <w:rPr>
          <w:rFonts w:hint="eastAsia" w:ascii="宋体" w:hAnsi="宋体" w:eastAsia="宋体" w:cs="宋体"/>
          <w:sz w:val="24"/>
          <w:szCs w:val="24"/>
        </w:rPr>
        <w:t>（4)中标人未按规定提交履约保证金；</w:t>
      </w:r>
    </w:p>
    <w:p>
      <w:pPr>
        <w:spacing w:line="400" w:lineRule="exact"/>
        <w:rPr>
          <w:rFonts w:ascii="宋体" w:hAnsi="宋体" w:eastAsia="宋体" w:cs="宋体"/>
          <w:sz w:val="24"/>
          <w:szCs w:val="24"/>
        </w:rPr>
      </w:pPr>
      <w:r>
        <w:rPr>
          <w:rFonts w:hint="eastAsia" w:ascii="宋体" w:hAnsi="宋体" w:eastAsia="宋体" w:cs="宋体"/>
          <w:sz w:val="24"/>
          <w:szCs w:val="24"/>
        </w:rPr>
        <w:t>（5)中标人提供虚假材料和文件意图骗取中标；</w:t>
      </w:r>
    </w:p>
    <w:p>
      <w:pPr>
        <w:spacing w:line="400" w:lineRule="exact"/>
        <w:jc w:val="left"/>
        <w:rPr>
          <w:rFonts w:ascii="宋体" w:hAnsi="宋体" w:eastAsia="宋体" w:cs="宋体"/>
          <w:sz w:val="24"/>
          <w:szCs w:val="24"/>
        </w:rPr>
      </w:pPr>
      <w:r>
        <w:rPr>
          <w:rFonts w:hint="eastAsia" w:ascii="宋体" w:hAnsi="宋体" w:eastAsia="宋体" w:cs="宋体"/>
          <w:sz w:val="24"/>
          <w:szCs w:val="24"/>
        </w:rPr>
        <w:t>（6）中标人无正当理由放弃中标的；</w:t>
      </w:r>
    </w:p>
    <w:p>
      <w:pPr>
        <w:spacing w:line="400" w:lineRule="exact"/>
        <w:rPr>
          <w:rFonts w:ascii="宋体" w:hAnsi="宋体" w:eastAsia="宋体" w:cs="宋体"/>
          <w:b/>
          <w:sz w:val="24"/>
          <w:szCs w:val="24"/>
        </w:rPr>
      </w:pPr>
      <w:r>
        <w:rPr>
          <w:rFonts w:hint="eastAsia" w:ascii="宋体" w:hAnsi="宋体" w:eastAsia="宋体" w:cs="宋体"/>
          <w:sz w:val="24"/>
          <w:szCs w:val="24"/>
        </w:rPr>
        <w:t>（7）其他被认定不予退还情形的。</w:t>
      </w:r>
      <w:r>
        <w:rPr>
          <w:rFonts w:hint="eastAsia" w:ascii="宋体" w:hAnsi="宋体" w:eastAsia="宋体" w:cs="宋体"/>
          <w:b/>
          <w:sz w:val="24"/>
          <w:szCs w:val="24"/>
        </w:rPr>
        <w:t xml:space="preserve"> </w:t>
      </w:r>
    </w:p>
    <w:p>
      <w:pPr>
        <w:spacing w:line="400" w:lineRule="exact"/>
        <w:rPr>
          <w:rFonts w:ascii="宋体" w:hAnsi="宋体" w:eastAsia="宋体" w:cs="宋体"/>
          <w:b/>
          <w:sz w:val="24"/>
          <w:szCs w:val="24"/>
        </w:rPr>
      </w:pPr>
      <w:r>
        <w:rPr>
          <w:rFonts w:hint="eastAsia" w:ascii="宋体" w:hAnsi="宋体" w:eastAsia="宋体" w:cs="宋体"/>
          <w:b/>
          <w:sz w:val="24"/>
          <w:szCs w:val="24"/>
        </w:rPr>
        <w:t>18  投标有效期</w:t>
      </w:r>
    </w:p>
    <w:p>
      <w:pPr>
        <w:spacing w:line="400" w:lineRule="exact"/>
        <w:rPr>
          <w:rFonts w:ascii="宋体" w:hAnsi="宋体" w:eastAsia="宋体" w:cs="宋体"/>
          <w:sz w:val="24"/>
          <w:szCs w:val="24"/>
        </w:rPr>
      </w:pPr>
      <w:r>
        <w:rPr>
          <w:rFonts w:hint="eastAsia" w:ascii="宋体" w:hAnsi="宋体" w:eastAsia="宋体" w:cs="宋体"/>
          <w:sz w:val="24"/>
          <w:szCs w:val="24"/>
        </w:rPr>
        <w:t>18.1  根据本须知第21条规定，投标应在规定的开标日后的90个日历日内保持有效。</w:t>
      </w:r>
    </w:p>
    <w:p>
      <w:pPr>
        <w:spacing w:line="400" w:lineRule="exact"/>
        <w:rPr>
          <w:rFonts w:ascii="宋体" w:hAnsi="宋体" w:eastAsia="宋体" w:cs="宋体"/>
          <w:sz w:val="24"/>
          <w:szCs w:val="24"/>
        </w:rPr>
      </w:pPr>
      <w:r>
        <w:rPr>
          <w:rFonts w:hint="eastAsia" w:ascii="宋体" w:hAnsi="宋体" w:eastAsia="宋体" w:cs="宋体"/>
          <w:sz w:val="24"/>
          <w:szCs w:val="24"/>
        </w:rPr>
        <w:t>18.2  特殊情况下，在原投标有效期截止之前，招标代理机构可要求投标人同意延长投标有效期。这种要求与答复均应以书面形式提交。投标人可拒绝招标代理机构的这种要求，其投标保证金将不会被不予退还。接受延长投标有效期的投标人将不会被要求和允许修正其投标，而只会被要求相应地延长其投标保证金的有效期。在这种情况下，本须知第17条有关投标保证金的退还和不予退还的规定将在延长了的有效期内继续有效。</w:t>
      </w:r>
    </w:p>
    <w:p>
      <w:pPr>
        <w:spacing w:line="400" w:lineRule="exact"/>
        <w:rPr>
          <w:rFonts w:ascii="宋体" w:hAnsi="宋体" w:eastAsia="宋体" w:cs="宋体"/>
          <w:b/>
          <w:bCs/>
          <w:sz w:val="24"/>
          <w:szCs w:val="24"/>
        </w:rPr>
      </w:pPr>
      <w:r>
        <w:rPr>
          <w:rFonts w:hint="eastAsia" w:ascii="宋体" w:hAnsi="宋体" w:eastAsia="宋体" w:cs="宋体"/>
          <w:b/>
          <w:bCs/>
          <w:sz w:val="24"/>
          <w:szCs w:val="24"/>
        </w:rPr>
        <w:t>19  投标文件的式样和签署</w:t>
      </w:r>
    </w:p>
    <w:p>
      <w:pPr>
        <w:spacing w:line="400" w:lineRule="exact"/>
        <w:rPr>
          <w:rFonts w:ascii="宋体" w:hAnsi="宋体" w:eastAsia="宋体" w:cs="宋体"/>
          <w:sz w:val="24"/>
          <w:szCs w:val="24"/>
        </w:rPr>
      </w:pPr>
      <w:r>
        <w:rPr>
          <w:rFonts w:hint="eastAsia" w:ascii="宋体" w:hAnsi="宋体" w:eastAsia="宋体" w:cs="宋体"/>
          <w:sz w:val="24"/>
          <w:szCs w:val="24"/>
        </w:rPr>
        <w:t>纸质投标文件</w:t>
      </w:r>
    </w:p>
    <w:p>
      <w:pPr>
        <w:spacing w:line="400" w:lineRule="exact"/>
        <w:rPr>
          <w:rFonts w:ascii="宋体" w:hAnsi="宋体" w:eastAsia="宋体" w:cs="宋体"/>
          <w:sz w:val="24"/>
          <w:szCs w:val="24"/>
        </w:rPr>
      </w:pPr>
      <w:r>
        <w:rPr>
          <w:rFonts w:hint="eastAsia" w:ascii="宋体" w:hAnsi="宋体" w:eastAsia="宋体" w:cs="宋体"/>
          <w:sz w:val="24"/>
          <w:szCs w:val="24"/>
        </w:rPr>
        <w:t>19.1纸质投标文件正本须打印，在投标文件中每页加盖投标人公司公章，按要求签法人章或签被授权人章或字。授权代表须将以书面形式出具的“法人授权委托证明书”附在投标文件中。投标文件的副本可采用正本的复印件并加盖骑缝章。</w:t>
      </w:r>
    </w:p>
    <w:p>
      <w:pPr>
        <w:spacing w:line="400" w:lineRule="exact"/>
        <w:rPr>
          <w:rFonts w:ascii="宋体" w:hAnsi="宋体" w:eastAsia="宋体" w:cs="宋体"/>
          <w:sz w:val="24"/>
          <w:szCs w:val="24"/>
        </w:rPr>
      </w:pPr>
      <w:r>
        <w:rPr>
          <w:rFonts w:hint="eastAsia" w:ascii="宋体" w:hAnsi="宋体" w:eastAsia="宋体" w:cs="宋体"/>
          <w:sz w:val="24"/>
          <w:szCs w:val="24"/>
        </w:rPr>
        <w:t>19.2每套投标文件须清楚地标明“正本”或“副本”。若正本内容和副本内容不符，以正本内容为准。</w:t>
      </w:r>
    </w:p>
    <w:p>
      <w:pPr>
        <w:spacing w:line="400" w:lineRule="exact"/>
        <w:rPr>
          <w:rFonts w:ascii="宋体" w:hAnsi="宋体" w:eastAsia="宋体" w:cs="宋体"/>
          <w:sz w:val="24"/>
          <w:szCs w:val="24"/>
        </w:rPr>
      </w:pPr>
      <w:r>
        <w:rPr>
          <w:rFonts w:hint="eastAsia" w:ascii="宋体" w:hAnsi="宋体" w:eastAsia="宋体" w:cs="宋体"/>
          <w:sz w:val="24"/>
          <w:szCs w:val="24"/>
        </w:rPr>
        <w:t>19.3任何行间插字、涂改和增删，必须加盖投标人公司印章才有效。</w:t>
      </w:r>
    </w:p>
    <w:p>
      <w:pPr>
        <w:spacing w:line="400" w:lineRule="exact"/>
        <w:rPr>
          <w:rFonts w:ascii="宋体" w:hAnsi="宋体" w:eastAsia="宋体" w:cs="宋体"/>
          <w:sz w:val="24"/>
          <w:szCs w:val="24"/>
        </w:rPr>
      </w:pPr>
      <w:r>
        <w:rPr>
          <w:rFonts w:hint="eastAsia" w:ascii="宋体" w:hAnsi="宋体" w:eastAsia="宋体" w:cs="宋体"/>
          <w:sz w:val="24"/>
          <w:szCs w:val="24"/>
        </w:rPr>
        <w:t>19.4纸质投标文件正、副本密封袋均应：</w:t>
      </w:r>
    </w:p>
    <w:p>
      <w:pPr>
        <w:spacing w:line="400" w:lineRule="exact"/>
        <w:rPr>
          <w:rFonts w:ascii="宋体" w:hAnsi="宋体" w:eastAsia="宋体" w:cs="宋体"/>
          <w:sz w:val="24"/>
          <w:szCs w:val="24"/>
        </w:rPr>
      </w:pPr>
      <w:r>
        <w:rPr>
          <w:rFonts w:hint="eastAsia" w:ascii="宋体" w:hAnsi="宋体" w:eastAsia="宋体" w:cs="宋体"/>
          <w:sz w:val="24"/>
          <w:szCs w:val="24"/>
        </w:rPr>
        <w:t>1)清楚标明递交至：抚州市公共资源交易中心南城分中心开标厅。</w:t>
      </w:r>
    </w:p>
    <w:p>
      <w:pPr>
        <w:spacing w:line="400" w:lineRule="exact"/>
        <w:rPr>
          <w:rFonts w:ascii="宋体" w:hAnsi="宋体" w:eastAsia="宋体" w:cs="宋体"/>
          <w:sz w:val="24"/>
          <w:szCs w:val="24"/>
        </w:rPr>
      </w:pPr>
      <w:r>
        <w:rPr>
          <w:rFonts w:hint="eastAsia" w:ascii="宋体" w:hAnsi="宋体" w:eastAsia="宋体" w:cs="宋体"/>
          <w:sz w:val="24"/>
          <w:szCs w:val="24"/>
        </w:rPr>
        <w:t>2)注明招标编号、项目名称和开标时间前不得启封的字样。</w:t>
      </w:r>
    </w:p>
    <w:p>
      <w:pPr>
        <w:spacing w:line="400" w:lineRule="exact"/>
        <w:rPr>
          <w:rFonts w:ascii="宋体" w:hAnsi="宋体" w:eastAsia="宋体" w:cs="宋体"/>
          <w:sz w:val="24"/>
          <w:szCs w:val="24"/>
        </w:rPr>
      </w:pPr>
      <w:r>
        <w:rPr>
          <w:rFonts w:hint="eastAsia" w:ascii="宋体" w:hAnsi="宋体" w:eastAsia="宋体" w:cs="宋体"/>
          <w:sz w:val="24"/>
          <w:szCs w:val="24"/>
        </w:rPr>
        <w:t>3）密封袋应写明投标人名称和地址。</w:t>
      </w:r>
    </w:p>
    <w:p>
      <w:pPr>
        <w:spacing w:line="400" w:lineRule="exact"/>
        <w:rPr>
          <w:rFonts w:ascii="宋体" w:hAnsi="宋体" w:eastAsia="宋体" w:cs="宋体"/>
          <w:sz w:val="24"/>
          <w:szCs w:val="24"/>
        </w:rPr>
      </w:pPr>
      <w:r>
        <w:rPr>
          <w:rFonts w:hint="eastAsia" w:ascii="宋体" w:hAnsi="宋体" w:eastAsia="宋体" w:cs="宋体"/>
          <w:sz w:val="24"/>
          <w:szCs w:val="24"/>
        </w:rPr>
        <w:t>如果密封袋未按本须知要求加写标记和密封，招标代理机构对误投或过早启封概不负责。</w:t>
      </w:r>
    </w:p>
    <w:p>
      <w:pPr>
        <w:spacing w:line="400" w:lineRule="exact"/>
        <w:jc w:val="center"/>
        <w:outlineLvl w:val="1"/>
        <w:rPr>
          <w:rFonts w:ascii="宋体" w:hAnsi="宋体" w:eastAsia="宋体" w:cs="宋体"/>
          <w:b/>
          <w:sz w:val="24"/>
          <w:szCs w:val="24"/>
        </w:rPr>
      </w:pPr>
      <w:bookmarkStart w:id="86" w:name="_Toc155100543"/>
      <w:r>
        <w:rPr>
          <w:rFonts w:hint="eastAsia" w:ascii="宋体" w:hAnsi="宋体" w:eastAsia="宋体" w:cs="宋体"/>
          <w:b/>
          <w:sz w:val="24"/>
          <w:szCs w:val="24"/>
        </w:rPr>
        <w:t>四  投标文件的递交</w:t>
      </w:r>
      <w:bookmarkEnd w:id="86"/>
    </w:p>
    <w:p>
      <w:pPr>
        <w:spacing w:line="400" w:lineRule="exact"/>
        <w:rPr>
          <w:rFonts w:ascii="宋体" w:hAnsi="宋体" w:eastAsia="宋体" w:cs="宋体"/>
          <w:b/>
          <w:bCs/>
          <w:sz w:val="24"/>
          <w:szCs w:val="24"/>
        </w:rPr>
      </w:pPr>
      <w:r>
        <w:rPr>
          <w:rFonts w:hint="eastAsia" w:ascii="宋体" w:hAnsi="宋体" w:eastAsia="宋体" w:cs="宋体"/>
          <w:b/>
          <w:bCs/>
          <w:sz w:val="24"/>
          <w:szCs w:val="24"/>
        </w:rPr>
        <w:t>20. 投标文件的递交</w:t>
      </w:r>
    </w:p>
    <w:p>
      <w:pPr>
        <w:spacing w:line="400" w:lineRule="exact"/>
        <w:rPr>
          <w:rFonts w:ascii="宋体" w:hAnsi="宋体" w:eastAsia="宋体" w:cs="宋体"/>
          <w:sz w:val="24"/>
          <w:szCs w:val="24"/>
        </w:rPr>
      </w:pPr>
      <w:r>
        <w:rPr>
          <w:rFonts w:hint="eastAsia" w:ascii="宋体" w:hAnsi="宋体" w:eastAsia="宋体" w:cs="宋体"/>
          <w:sz w:val="24"/>
          <w:szCs w:val="24"/>
        </w:rPr>
        <w:t>20.1纸质投标的递交：纸质投标文件应于投标截止时间前递交至开标地点。</w:t>
      </w:r>
    </w:p>
    <w:p>
      <w:pPr>
        <w:spacing w:line="400" w:lineRule="exact"/>
        <w:rPr>
          <w:rFonts w:ascii="宋体" w:hAnsi="宋体" w:eastAsia="宋体" w:cs="宋体"/>
          <w:sz w:val="24"/>
          <w:szCs w:val="24"/>
        </w:rPr>
      </w:pPr>
      <w:r>
        <w:rPr>
          <w:rFonts w:hint="eastAsia" w:ascii="宋体" w:hAnsi="宋体" w:eastAsia="宋体" w:cs="宋体"/>
          <w:sz w:val="24"/>
          <w:szCs w:val="24"/>
        </w:rPr>
        <w:t>20.2投标人未在投标截止时间之前递交纸质投标文件，按自动弃权处理，该投标人不得参加开标会。</w:t>
      </w:r>
    </w:p>
    <w:p>
      <w:pPr>
        <w:spacing w:line="400" w:lineRule="exact"/>
        <w:rPr>
          <w:rFonts w:ascii="宋体" w:hAnsi="宋体" w:eastAsia="宋体" w:cs="宋体"/>
          <w:b/>
          <w:sz w:val="24"/>
          <w:szCs w:val="24"/>
        </w:rPr>
      </w:pPr>
      <w:r>
        <w:rPr>
          <w:rFonts w:hint="eastAsia" w:ascii="宋体" w:hAnsi="宋体" w:eastAsia="宋体" w:cs="宋体"/>
          <w:b/>
          <w:sz w:val="24"/>
          <w:szCs w:val="24"/>
        </w:rPr>
        <w:t>21  投标截止期</w:t>
      </w:r>
    </w:p>
    <w:p>
      <w:pPr>
        <w:spacing w:line="400" w:lineRule="exact"/>
        <w:rPr>
          <w:rFonts w:ascii="宋体" w:hAnsi="宋体" w:eastAsia="宋体" w:cs="宋体"/>
          <w:sz w:val="24"/>
          <w:szCs w:val="24"/>
        </w:rPr>
      </w:pPr>
      <w:r>
        <w:rPr>
          <w:rFonts w:hint="eastAsia" w:ascii="宋体" w:hAnsi="宋体" w:eastAsia="宋体" w:cs="宋体"/>
          <w:sz w:val="24"/>
          <w:szCs w:val="24"/>
        </w:rPr>
        <w:t>21.1  招标代理机构在本须知规定的地址收到投标的时间不迟于投标截止时间。</w:t>
      </w:r>
    </w:p>
    <w:p>
      <w:pPr>
        <w:spacing w:line="400" w:lineRule="exact"/>
        <w:rPr>
          <w:rFonts w:ascii="宋体" w:hAnsi="宋体" w:eastAsia="宋体" w:cs="宋体"/>
          <w:sz w:val="24"/>
          <w:szCs w:val="24"/>
        </w:rPr>
      </w:pPr>
      <w:r>
        <w:rPr>
          <w:rFonts w:hint="eastAsia" w:ascii="宋体" w:hAnsi="宋体" w:eastAsia="宋体" w:cs="宋体"/>
          <w:sz w:val="24"/>
          <w:szCs w:val="24"/>
        </w:rPr>
        <w:t>21.2  招标代理机构可以按本须知规定，通过修改招标文件自行决定酌情延长投标截止期。在此情况下，招标代理机构、采购人和投标人受投标截止期制约的所有权利和义务均应延长至新的截止期。</w:t>
      </w:r>
    </w:p>
    <w:p>
      <w:pPr>
        <w:spacing w:line="400" w:lineRule="exact"/>
        <w:rPr>
          <w:rFonts w:ascii="宋体" w:hAnsi="宋体" w:eastAsia="宋体" w:cs="宋体"/>
          <w:b/>
          <w:sz w:val="24"/>
          <w:szCs w:val="24"/>
        </w:rPr>
      </w:pPr>
      <w:r>
        <w:rPr>
          <w:rFonts w:hint="eastAsia" w:ascii="宋体" w:hAnsi="宋体" w:eastAsia="宋体" w:cs="宋体"/>
          <w:b/>
          <w:sz w:val="24"/>
          <w:szCs w:val="24"/>
        </w:rPr>
        <w:t>22  迟交的投标文件</w:t>
      </w:r>
    </w:p>
    <w:p>
      <w:pPr>
        <w:spacing w:line="400" w:lineRule="exact"/>
        <w:rPr>
          <w:rFonts w:ascii="宋体" w:hAnsi="宋体" w:eastAsia="宋体" w:cs="宋体"/>
          <w:sz w:val="24"/>
          <w:szCs w:val="24"/>
        </w:rPr>
      </w:pPr>
      <w:r>
        <w:rPr>
          <w:rFonts w:hint="eastAsia" w:ascii="宋体" w:hAnsi="宋体" w:eastAsia="宋体" w:cs="宋体"/>
          <w:sz w:val="24"/>
          <w:szCs w:val="24"/>
        </w:rPr>
        <w:t>22.1  招标代理机构将拒绝并原封退回在本须知规定的截止期后收到的任何投标文件。</w:t>
      </w:r>
    </w:p>
    <w:p>
      <w:pPr>
        <w:spacing w:line="400" w:lineRule="exact"/>
        <w:rPr>
          <w:rFonts w:ascii="宋体" w:hAnsi="宋体" w:eastAsia="宋体" w:cs="Times New Roman"/>
          <w:b/>
          <w:sz w:val="24"/>
          <w:szCs w:val="24"/>
        </w:rPr>
      </w:pPr>
      <w:r>
        <w:rPr>
          <w:rFonts w:ascii="宋体" w:hAnsi="宋体" w:eastAsia="宋体" w:cs="Times New Roman"/>
          <w:b/>
          <w:sz w:val="24"/>
          <w:szCs w:val="24"/>
        </w:rPr>
        <w:t xml:space="preserve">23  </w:t>
      </w:r>
      <w:r>
        <w:rPr>
          <w:rFonts w:hint="eastAsia" w:ascii="宋体" w:hAnsi="宋体" w:eastAsia="宋体" w:cs="Times New Roman"/>
          <w:b/>
          <w:sz w:val="24"/>
          <w:szCs w:val="24"/>
        </w:rPr>
        <w:t>投标文件的修改与撤回</w:t>
      </w:r>
    </w:p>
    <w:p>
      <w:pPr>
        <w:spacing w:line="400" w:lineRule="exact"/>
        <w:rPr>
          <w:rFonts w:ascii="宋体" w:hAnsi="宋体" w:eastAsia="宋体" w:cs="Times New Roman"/>
          <w:sz w:val="24"/>
          <w:szCs w:val="24"/>
        </w:rPr>
      </w:pPr>
      <w:r>
        <w:rPr>
          <w:rFonts w:ascii="宋体" w:hAnsi="宋体" w:eastAsia="宋体" w:cs="Times New Roman"/>
          <w:sz w:val="24"/>
          <w:szCs w:val="24"/>
        </w:rPr>
        <w:t xml:space="preserve">23.1  </w:t>
      </w:r>
      <w:r>
        <w:rPr>
          <w:rFonts w:hint="eastAsia" w:ascii="宋体" w:hAnsi="宋体" w:eastAsia="宋体" w:cs="Times New Roman"/>
          <w:sz w:val="24"/>
          <w:szCs w:val="24"/>
        </w:rPr>
        <w:t>投标人在递交投标文件后，可以修改或撤回其投标，但招标代理机构必须在投标截止期之前，收到修改或撤回的书面通知。</w:t>
      </w:r>
    </w:p>
    <w:p>
      <w:pPr>
        <w:spacing w:line="400" w:lineRule="exact"/>
        <w:rPr>
          <w:rFonts w:ascii="宋体" w:hAnsi="宋体" w:eastAsia="宋体" w:cs="Times New Roman"/>
          <w:sz w:val="24"/>
          <w:szCs w:val="24"/>
        </w:rPr>
      </w:pPr>
      <w:r>
        <w:rPr>
          <w:rFonts w:ascii="宋体" w:hAnsi="宋体" w:eastAsia="宋体" w:cs="Times New Roman"/>
          <w:sz w:val="24"/>
          <w:szCs w:val="24"/>
        </w:rPr>
        <w:t xml:space="preserve">23.2  </w:t>
      </w:r>
      <w:r>
        <w:rPr>
          <w:rFonts w:hint="eastAsia" w:ascii="宋体" w:hAnsi="宋体" w:eastAsia="宋体" w:cs="Times New Roman"/>
          <w:sz w:val="24"/>
          <w:szCs w:val="24"/>
        </w:rPr>
        <w:t>投标人的修改或撤回通知应按本须知规定编制、密封、标记和发送。</w:t>
      </w:r>
    </w:p>
    <w:p>
      <w:pPr>
        <w:spacing w:line="400" w:lineRule="exact"/>
        <w:rPr>
          <w:rFonts w:ascii="宋体" w:hAnsi="宋体" w:eastAsia="宋体" w:cs="Times New Roman"/>
          <w:sz w:val="24"/>
          <w:szCs w:val="24"/>
        </w:rPr>
      </w:pPr>
      <w:r>
        <w:rPr>
          <w:rFonts w:ascii="宋体" w:hAnsi="宋体" w:eastAsia="宋体" w:cs="Times New Roman"/>
          <w:sz w:val="24"/>
          <w:szCs w:val="24"/>
        </w:rPr>
        <w:t xml:space="preserve">23.3  </w:t>
      </w:r>
      <w:r>
        <w:rPr>
          <w:rFonts w:hint="eastAsia" w:ascii="宋体" w:hAnsi="宋体" w:eastAsia="宋体" w:cs="Times New Roman"/>
          <w:sz w:val="24"/>
          <w:szCs w:val="24"/>
        </w:rPr>
        <w:t>在投标截止期之后，投标人不得对其投标做任何修改。</w:t>
      </w:r>
    </w:p>
    <w:p>
      <w:pPr>
        <w:spacing w:line="400" w:lineRule="exact"/>
        <w:rPr>
          <w:rFonts w:ascii="宋体" w:hAnsi="宋体" w:eastAsia="宋体" w:cs="Times New Roman"/>
          <w:sz w:val="24"/>
          <w:szCs w:val="24"/>
        </w:rPr>
      </w:pPr>
      <w:r>
        <w:rPr>
          <w:rFonts w:ascii="宋体" w:hAnsi="宋体" w:eastAsia="宋体" w:cs="Times New Roman"/>
          <w:sz w:val="24"/>
          <w:szCs w:val="24"/>
        </w:rPr>
        <w:t xml:space="preserve">23.4  </w:t>
      </w:r>
      <w:r>
        <w:rPr>
          <w:rFonts w:hint="eastAsia" w:ascii="宋体" w:hAnsi="宋体" w:eastAsia="宋体" w:cs="宋体"/>
          <w:sz w:val="24"/>
          <w:szCs w:val="24"/>
        </w:rPr>
        <w:t>从投标截止期至投标人在投标书格式中确定的投标有效期之间的这段时间内，投标人不得撤回其投标，否则其投标保证金将按照本须知第17.7条的规定被不予退还。</w:t>
      </w:r>
    </w:p>
    <w:p>
      <w:pPr>
        <w:autoSpaceDE w:val="0"/>
        <w:autoSpaceDN w:val="0"/>
        <w:adjustRightInd w:val="0"/>
        <w:spacing w:line="400" w:lineRule="exact"/>
        <w:rPr>
          <w:rFonts w:ascii="宋体" w:hAnsi="宋体" w:eastAsia="宋体" w:cs="宋体"/>
          <w:b/>
          <w:kern w:val="0"/>
          <w:sz w:val="24"/>
          <w:szCs w:val="24"/>
        </w:rPr>
      </w:pPr>
      <w:r>
        <w:rPr>
          <w:rFonts w:hint="eastAsia" w:ascii="宋体" w:hAnsi="宋体" w:eastAsia="宋体" w:cs="宋体"/>
          <w:b/>
          <w:sz w:val="24"/>
          <w:szCs w:val="24"/>
        </w:rPr>
        <w:t xml:space="preserve">24 </w:t>
      </w:r>
      <w:r>
        <w:rPr>
          <w:rFonts w:hint="eastAsia" w:ascii="宋体" w:hAnsi="宋体" w:eastAsia="宋体" w:cs="宋体"/>
          <w:b/>
          <w:kern w:val="0"/>
          <w:sz w:val="24"/>
          <w:szCs w:val="24"/>
        </w:rPr>
        <w:t>相同品牌参与投标</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24.1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24.2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pPr>
        <w:autoSpaceDE w:val="0"/>
        <w:autoSpaceDN w:val="0"/>
        <w:adjustRightInd w:val="0"/>
        <w:spacing w:line="400" w:lineRule="exact"/>
        <w:rPr>
          <w:rFonts w:ascii="宋体" w:hAnsi="宋体" w:eastAsia="宋体" w:cs="宋体"/>
          <w:kern w:val="0"/>
          <w:sz w:val="24"/>
          <w:szCs w:val="24"/>
        </w:rPr>
      </w:pPr>
      <w:r>
        <w:rPr>
          <w:rFonts w:hint="eastAsia" w:ascii="宋体" w:hAnsi="宋体" w:eastAsia="宋体" w:cs="宋体"/>
          <w:kern w:val="0"/>
          <w:sz w:val="24"/>
          <w:szCs w:val="24"/>
        </w:rPr>
        <w:t>24.3 非单一产品采购项目，采购人应当根据采购项目技术构成、产品价格比重等合理确定核心产品，并在招标文件中载明。多家投标人提供的核心产品品牌相同的，按前两款规定处理。（本项目采购的产品均为核心产品）</w:t>
      </w:r>
    </w:p>
    <w:p>
      <w:pPr>
        <w:spacing w:line="400" w:lineRule="exact"/>
        <w:rPr>
          <w:rFonts w:ascii="宋体" w:hAnsi="宋体" w:eastAsia="宋体" w:cs="宋体"/>
          <w:b/>
          <w:sz w:val="24"/>
          <w:szCs w:val="24"/>
        </w:rPr>
      </w:pPr>
      <w:r>
        <w:rPr>
          <w:rFonts w:hint="eastAsia" w:ascii="宋体" w:hAnsi="宋体" w:eastAsia="宋体" w:cs="宋体"/>
          <w:b/>
          <w:sz w:val="24"/>
          <w:szCs w:val="24"/>
        </w:rPr>
        <w:t>25 恶意串通等行为的处理及串通投标情形的认定及处罚</w:t>
      </w:r>
    </w:p>
    <w:p>
      <w:pPr>
        <w:spacing w:line="400" w:lineRule="exact"/>
        <w:rPr>
          <w:rFonts w:ascii="宋体" w:hAnsi="宋体" w:eastAsia="宋体" w:cs="宋体"/>
          <w:sz w:val="24"/>
          <w:szCs w:val="24"/>
        </w:rPr>
      </w:pPr>
      <w:r>
        <w:rPr>
          <w:rFonts w:hint="eastAsia" w:ascii="宋体" w:hAnsi="宋体" w:eastAsia="宋体" w:cs="宋体"/>
          <w:sz w:val="24"/>
          <w:szCs w:val="24"/>
        </w:rPr>
        <w:t>25.1 投标人应当遵循公平竞争的原则，不得恶意串通，不得妨碍其他投标人的竞争行为，</w:t>
      </w:r>
    </w:p>
    <w:p>
      <w:pPr>
        <w:spacing w:line="400" w:lineRule="exact"/>
        <w:rPr>
          <w:rFonts w:ascii="宋体" w:hAnsi="宋体" w:eastAsia="宋体" w:cs="宋体"/>
          <w:sz w:val="24"/>
          <w:szCs w:val="24"/>
        </w:rPr>
      </w:pPr>
      <w:r>
        <w:rPr>
          <w:rFonts w:hint="eastAsia" w:ascii="宋体" w:hAnsi="宋体" w:eastAsia="宋体" w:cs="宋体"/>
          <w:sz w:val="24"/>
          <w:szCs w:val="24"/>
        </w:rPr>
        <w:t>不得损害采购人或者其他投标人的合法权益。</w:t>
      </w:r>
    </w:p>
    <w:p>
      <w:pPr>
        <w:spacing w:line="400" w:lineRule="exact"/>
        <w:rPr>
          <w:rFonts w:ascii="宋体" w:hAnsi="宋体" w:eastAsia="宋体" w:cs="宋体"/>
          <w:sz w:val="24"/>
          <w:szCs w:val="24"/>
        </w:rPr>
      </w:pPr>
      <w:r>
        <w:rPr>
          <w:rFonts w:hint="eastAsia" w:ascii="宋体" w:hAnsi="宋体" w:eastAsia="宋体" w:cs="宋体"/>
          <w:sz w:val="24"/>
          <w:szCs w:val="24"/>
        </w:rPr>
        <w:t>在评标过程中发现投标人有上述情形的，评标委员会应当认定其投标无效，并书面报告相关部门。</w:t>
      </w:r>
    </w:p>
    <w:p>
      <w:pPr>
        <w:spacing w:line="400" w:lineRule="exact"/>
        <w:rPr>
          <w:rFonts w:ascii="宋体" w:hAnsi="宋体" w:eastAsia="宋体" w:cs="宋体"/>
          <w:sz w:val="24"/>
          <w:szCs w:val="24"/>
        </w:rPr>
      </w:pPr>
      <w:r>
        <w:rPr>
          <w:rFonts w:hint="eastAsia" w:ascii="宋体" w:hAnsi="宋体" w:eastAsia="宋体" w:cs="宋体"/>
          <w:sz w:val="24"/>
          <w:szCs w:val="24"/>
        </w:rPr>
        <w:t>25.2 有下列情形之一的，视为投标人串通投标，其投标无效：</w:t>
      </w:r>
    </w:p>
    <w:p>
      <w:pPr>
        <w:spacing w:line="400" w:lineRule="exact"/>
        <w:rPr>
          <w:rFonts w:ascii="宋体" w:hAnsi="宋体" w:eastAsia="宋体" w:cs="宋体"/>
          <w:sz w:val="24"/>
          <w:szCs w:val="24"/>
        </w:rPr>
      </w:pPr>
      <w:r>
        <w:rPr>
          <w:rFonts w:hint="eastAsia" w:ascii="宋体" w:hAnsi="宋体" w:eastAsia="宋体" w:cs="宋体"/>
          <w:sz w:val="24"/>
          <w:szCs w:val="24"/>
        </w:rPr>
        <w:t>（1）不同投标人的投标文件由同一单位或者个人编制；</w:t>
      </w:r>
    </w:p>
    <w:p>
      <w:pPr>
        <w:spacing w:line="400" w:lineRule="exact"/>
        <w:rPr>
          <w:rFonts w:ascii="宋体" w:hAnsi="宋体" w:eastAsia="宋体" w:cs="宋体"/>
          <w:sz w:val="24"/>
          <w:szCs w:val="24"/>
        </w:rPr>
      </w:pPr>
      <w:r>
        <w:rPr>
          <w:rFonts w:hint="eastAsia" w:ascii="宋体" w:hAnsi="宋体" w:eastAsia="宋体" w:cs="宋体"/>
          <w:sz w:val="24"/>
          <w:szCs w:val="24"/>
        </w:rPr>
        <w:t>（2）不同投标人委托同一单位或者个人办理投标事宜；</w:t>
      </w:r>
    </w:p>
    <w:p>
      <w:pPr>
        <w:spacing w:line="400" w:lineRule="exact"/>
        <w:rPr>
          <w:rFonts w:ascii="宋体" w:hAnsi="宋体" w:eastAsia="宋体" w:cs="宋体"/>
          <w:sz w:val="24"/>
          <w:szCs w:val="24"/>
        </w:rPr>
      </w:pPr>
      <w:r>
        <w:rPr>
          <w:rFonts w:hint="eastAsia" w:ascii="宋体" w:hAnsi="宋体" w:eastAsia="宋体" w:cs="宋体"/>
          <w:sz w:val="24"/>
          <w:szCs w:val="24"/>
        </w:rPr>
        <w:t>（3）不同投标人的投标文件载明的项目管理成员或者联系人员为同一人；</w:t>
      </w:r>
    </w:p>
    <w:p>
      <w:pPr>
        <w:spacing w:line="400" w:lineRule="exact"/>
        <w:rPr>
          <w:rFonts w:ascii="宋体" w:hAnsi="宋体" w:eastAsia="宋体" w:cs="宋体"/>
          <w:sz w:val="24"/>
          <w:szCs w:val="24"/>
        </w:rPr>
      </w:pPr>
      <w:r>
        <w:rPr>
          <w:rFonts w:hint="eastAsia" w:ascii="宋体" w:hAnsi="宋体" w:eastAsia="宋体" w:cs="宋体"/>
          <w:sz w:val="24"/>
          <w:szCs w:val="24"/>
        </w:rPr>
        <w:t>（4）不同投标人的投标文件异常一致或者投标报价呈规律性差异；</w:t>
      </w:r>
    </w:p>
    <w:p>
      <w:pPr>
        <w:spacing w:line="400" w:lineRule="exact"/>
        <w:rPr>
          <w:rFonts w:ascii="宋体" w:hAnsi="宋体" w:eastAsia="宋体" w:cs="宋体"/>
          <w:sz w:val="24"/>
          <w:szCs w:val="24"/>
        </w:rPr>
      </w:pPr>
      <w:r>
        <w:rPr>
          <w:rFonts w:hint="eastAsia" w:ascii="宋体" w:hAnsi="宋体" w:eastAsia="宋体" w:cs="宋体"/>
          <w:sz w:val="24"/>
          <w:szCs w:val="24"/>
        </w:rPr>
        <w:t>（5）不同投标人的投标文件相互混装；</w:t>
      </w:r>
    </w:p>
    <w:p>
      <w:pPr>
        <w:spacing w:line="400" w:lineRule="exact"/>
        <w:rPr>
          <w:rFonts w:ascii="宋体" w:hAnsi="宋体" w:eastAsia="宋体" w:cs="宋体"/>
          <w:sz w:val="24"/>
          <w:szCs w:val="24"/>
        </w:rPr>
      </w:pPr>
      <w:r>
        <w:rPr>
          <w:rFonts w:hint="eastAsia" w:ascii="宋体" w:hAnsi="宋体" w:eastAsia="宋体" w:cs="宋体"/>
          <w:sz w:val="24"/>
          <w:szCs w:val="24"/>
        </w:rPr>
        <w:t>（6）不同投标人的投标保证金从同一单位或者个人的账户转出。</w:t>
      </w:r>
    </w:p>
    <w:p>
      <w:pPr>
        <w:spacing w:line="400" w:lineRule="exact"/>
        <w:rPr>
          <w:rFonts w:ascii="宋体" w:hAnsi="宋体" w:eastAsia="宋体" w:cs="宋体"/>
          <w:sz w:val="24"/>
          <w:szCs w:val="24"/>
        </w:rPr>
      </w:pPr>
      <w:r>
        <w:rPr>
          <w:rFonts w:hint="eastAsia" w:ascii="宋体" w:hAnsi="宋体" w:eastAsia="宋体" w:cs="宋体"/>
          <w:sz w:val="24"/>
          <w:szCs w:val="24"/>
        </w:rPr>
        <w:t>25.3 供应商有以上情形之一按《政府采购法》第七十七条规定处理。</w:t>
      </w:r>
    </w:p>
    <w:p>
      <w:pPr>
        <w:spacing w:line="400" w:lineRule="exact"/>
        <w:rPr>
          <w:rFonts w:ascii="宋体" w:hAnsi="宋体" w:eastAsia="宋体" w:cs="宋体"/>
          <w:b/>
          <w:bCs/>
          <w:sz w:val="24"/>
          <w:szCs w:val="24"/>
        </w:rPr>
      </w:pPr>
      <w:r>
        <w:rPr>
          <w:rFonts w:hint="eastAsia" w:ascii="宋体" w:hAnsi="宋体" w:eastAsia="宋体" w:cs="宋体"/>
          <w:b/>
          <w:bCs/>
          <w:sz w:val="24"/>
          <w:szCs w:val="24"/>
        </w:rPr>
        <w:t>26  评标委员会</w:t>
      </w:r>
    </w:p>
    <w:p>
      <w:pPr>
        <w:spacing w:line="400" w:lineRule="exact"/>
        <w:rPr>
          <w:rFonts w:ascii="宋体" w:hAnsi="宋体" w:eastAsia="宋体" w:cs="宋体"/>
          <w:sz w:val="24"/>
          <w:szCs w:val="24"/>
        </w:rPr>
      </w:pPr>
      <w:r>
        <w:rPr>
          <w:rFonts w:hint="eastAsia" w:ascii="宋体" w:hAnsi="宋体" w:eastAsia="宋体" w:cs="宋体"/>
          <w:sz w:val="24"/>
          <w:szCs w:val="24"/>
        </w:rPr>
        <w:t>26.1依法组成评标委员会，评标委员会应在当天开标抽取，特殊情况下可在开标前一天，评审专家的抽取由采购人委派的工作人员、采购人委派的监督人员、公共资源交易中心工作人员共同完成。抽取渠道。采购组织机构在组织政府采购项目评审工作时，通过“ 江西省公共资源交易公共服务平台专家抽取系统”随机抽取评审专家。依法组建评标委员会，成员人数为不少于</w:t>
      </w:r>
      <w:r>
        <w:rPr>
          <w:rFonts w:ascii="宋体" w:hAnsi="宋体" w:eastAsia="宋体" w:cs="宋体"/>
          <w:sz w:val="24"/>
          <w:szCs w:val="24"/>
        </w:rPr>
        <w:t>5</w:t>
      </w:r>
      <w:r>
        <w:rPr>
          <w:rFonts w:hint="eastAsia" w:ascii="宋体" w:hAnsi="宋体" w:eastAsia="宋体" w:cs="宋体"/>
          <w:sz w:val="24"/>
          <w:szCs w:val="24"/>
        </w:rPr>
        <w:t>人以上单数，其中技术、经济方面的专家不少于成员总数的三分之二。政府采购评审专家库不能满足需求时，经相关部门同意，可以采取选择性方式确定评标专家。</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参与招标文件论证或征询过意见的专家不得参加该项目的评标。采购人不得以专家身份参与本部门或本单位采购项目的评标。采购代理机构工作人员不得参加本机构代理的政府采购项目的评标。</w:t>
      </w:r>
    </w:p>
    <w:p>
      <w:pPr>
        <w:spacing w:line="400" w:lineRule="exact"/>
        <w:jc w:val="center"/>
        <w:outlineLvl w:val="1"/>
        <w:rPr>
          <w:rFonts w:ascii="宋体" w:hAnsi="宋体" w:eastAsia="宋体" w:cs="宋体"/>
          <w:sz w:val="24"/>
          <w:szCs w:val="24"/>
        </w:rPr>
      </w:pPr>
      <w:bookmarkStart w:id="87" w:name="_Toc155100544"/>
      <w:r>
        <w:rPr>
          <w:rFonts w:hint="eastAsia" w:ascii="宋体" w:hAnsi="宋体" w:eastAsia="宋体" w:cs="宋体"/>
          <w:b/>
          <w:sz w:val="24"/>
          <w:szCs w:val="24"/>
        </w:rPr>
        <w:t>五  开标与评标</w:t>
      </w:r>
      <w:bookmarkEnd w:id="87"/>
    </w:p>
    <w:p>
      <w:pPr>
        <w:spacing w:line="400" w:lineRule="exact"/>
        <w:rPr>
          <w:rFonts w:ascii="宋体" w:hAnsi="宋体" w:eastAsia="宋体" w:cs="宋体"/>
          <w:b/>
          <w:sz w:val="24"/>
          <w:szCs w:val="24"/>
        </w:rPr>
      </w:pPr>
      <w:r>
        <w:rPr>
          <w:rFonts w:hint="eastAsia" w:ascii="宋体" w:hAnsi="宋体" w:eastAsia="宋体" w:cs="宋体"/>
          <w:b/>
          <w:sz w:val="24"/>
          <w:szCs w:val="24"/>
        </w:rPr>
        <w:t>27  开标</w:t>
      </w:r>
    </w:p>
    <w:p>
      <w:pPr>
        <w:spacing w:line="400" w:lineRule="exact"/>
        <w:jc w:val="left"/>
        <w:rPr>
          <w:rFonts w:ascii="宋体" w:hAnsi="宋体" w:eastAsia="宋体" w:cs="宋体"/>
          <w:b/>
          <w:sz w:val="24"/>
          <w:szCs w:val="24"/>
        </w:rPr>
      </w:pPr>
      <w:r>
        <w:rPr>
          <w:rFonts w:hint="eastAsia" w:ascii="宋体" w:hAnsi="宋体" w:eastAsia="宋体" w:cs="宋体"/>
          <w:sz w:val="24"/>
          <w:szCs w:val="24"/>
        </w:rPr>
        <w:t>27.1  采购人和招标代理机构在开标时间于开标地点组织公开开标。投标人的法人或法人授权代表应持有法人代表身份证或法人代表授权书及授权代表身份证进入唱标现场，否则不得进入唱标现场。参加开标的代表应签名报到以证明其出席。</w:t>
      </w:r>
    </w:p>
    <w:p>
      <w:pPr>
        <w:spacing w:line="400" w:lineRule="exact"/>
        <w:rPr>
          <w:rFonts w:ascii="宋体" w:hAnsi="宋体" w:eastAsia="宋体" w:cs="宋体"/>
          <w:sz w:val="24"/>
          <w:szCs w:val="24"/>
        </w:rPr>
      </w:pPr>
      <w:r>
        <w:rPr>
          <w:rFonts w:hint="eastAsia" w:ascii="宋体" w:hAnsi="宋体" w:eastAsia="宋体" w:cs="宋体"/>
          <w:sz w:val="24"/>
          <w:szCs w:val="24"/>
        </w:rPr>
        <w:t>27.2  开标时，招标代理机构当众宣读投标人名称、修改和撤回投标的通知、投标价格、是否提交了投标保证金，以及招标代理机构认为合适的其他内容。除了按照本须知第21条的规定原封退回迟到的投标之外，开标时将不得拒绝任何投标。</w:t>
      </w:r>
    </w:p>
    <w:p>
      <w:pPr>
        <w:spacing w:line="400" w:lineRule="exact"/>
        <w:rPr>
          <w:rFonts w:ascii="宋体" w:hAnsi="宋体" w:eastAsia="宋体" w:cs="宋体"/>
          <w:sz w:val="24"/>
          <w:szCs w:val="24"/>
        </w:rPr>
      </w:pPr>
      <w:r>
        <w:rPr>
          <w:rFonts w:hint="eastAsia" w:ascii="宋体" w:hAnsi="宋体" w:eastAsia="宋体" w:cs="宋体"/>
          <w:sz w:val="24"/>
          <w:szCs w:val="24"/>
        </w:rPr>
        <w:t>27.3  在开标时没有启封和读出的投标文件（包括按照本须知递交的修改书），在评标时将不予考虑。</w:t>
      </w:r>
    </w:p>
    <w:p>
      <w:pPr>
        <w:spacing w:line="400" w:lineRule="exact"/>
        <w:rPr>
          <w:rFonts w:ascii="宋体" w:hAnsi="宋体" w:eastAsia="宋体" w:cs="宋体"/>
          <w:sz w:val="24"/>
          <w:szCs w:val="24"/>
        </w:rPr>
      </w:pPr>
      <w:r>
        <w:rPr>
          <w:rFonts w:hint="eastAsia" w:ascii="宋体" w:hAnsi="宋体" w:eastAsia="宋体" w:cs="宋体"/>
          <w:sz w:val="24"/>
          <w:szCs w:val="24"/>
        </w:rPr>
        <w:t>27.4  招标代理机构将做开标记录。</w:t>
      </w:r>
    </w:p>
    <w:p>
      <w:pPr>
        <w:spacing w:line="400" w:lineRule="exact"/>
        <w:rPr>
          <w:rFonts w:ascii="宋体" w:hAnsi="宋体" w:eastAsia="宋体" w:cs="宋体"/>
          <w:b/>
          <w:sz w:val="24"/>
          <w:szCs w:val="24"/>
        </w:rPr>
      </w:pPr>
      <w:r>
        <w:rPr>
          <w:rFonts w:hint="eastAsia" w:ascii="宋体" w:hAnsi="宋体" w:eastAsia="宋体" w:cs="宋体"/>
          <w:b/>
          <w:sz w:val="24"/>
          <w:szCs w:val="24"/>
        </w:rPr>
        <w:t>28  投标文件的澄清</w:t>
      </w:r>
    </w:p>
    <w:p>
      <w:pPr>
        <w:spacing w:line="400" w:lineRule="exact"/>
        <w:rPr>
          <w:rFonts w:ascii="宋体" w:hAnsi="宋体" w:eastAsia="宋体" w:cs="宋体"/>
          <w:sz w:val="24"/>
          <w:szCs w:val="24"/>
        </w:rPr>
      </w:pPr>
      <w:r>
        <w:rPr>
          <w:rFonts w:hint="eastAsia" w:ascii="宋体" w:hAnsi="宋体" w:eastAsia="宋体" w:cs="宋体"/>
          <w:sz w:val="24"/>
          <w:szCs w:val="24"/>
        </w:rPr>
        <w:t>28.1  在评标期间，评标委员会可要求投标人对其投标文件进行澄清，但不得寻求、提供或允许对投标价格等实质性内容做任何更改。有关澄清的要求和答复均应以书面形式提交。</w:t>
      </w:r>
    </w:p>
    <w:p>
      <w:pPr>
        <w:spacing w:line="400" w:lineRule="exact"/>
        <w:rPr>
          <w:rFonts w:ascii="宋体" w:hAnsi="宋体" w:eastAsia="宋体" w:cs="宋体"/>
          <w:b/>
          <w:sz w:val="24"/>
          <w:szCs w:val="24"/>
        </w:rPr>
      </w:pPr>
      <w:r>
        <w:rPr>
          <w:rFonts w:hint="eastAsia" w:ascii="宋体" w:hAnsi="宋体" w:eastAsia="宋体" w:cs="宋体"/>
          <w:b/>
          <w:sz w:val="24"/>
          <w:szCs w:val="24"/>
        </w:rPr>
        <w:t>29  投标文件的初审</w:t>
      </w:r>
    </w:p>
    <w:p>
      <w:pPr>
        <w:spacing w:line="400" w:lineRule="exact"/>
        <w:rPr>
          <w:rFonts w:ascii="宋体" w:hAnsi="宋体" w:eastAsia="宋体" w:cs="宋体"/>
          <w:sz w:val="24"/>
          <w:szCs w:val="24"/>
        </w:rPr>
      </w:pPr>
      <w:r>
        <w:rPr>
          <w:rFonts w:hint="eastAsia" w:ascii="宋体" w:hAnsi="宋体" w:eastAsia="宋体" w:cs="宋体"/>
          <w:sz w:val="24"/>
          <w:szCs w:val="24"/>
        </w:rPr>
        <w:t>29.1  评标委员会将审查投标文件是否完整、总体编排是否有序、文件签署是否合格、投标人是否提交了投标保证金、有无计算上的错误等。</w:t>
      </w:r>
    </w:p>
    <w:p>
      <w:pPr>
        <w:spacing w:line="400" w:lineRule="exact"/>
        <w:rPr>
          <w:rFonts w:ascii="宋体" w:hAnsi="宋体" w:eastAsia="宋体" w:cs="宋体"/>
          <w:sz w:val="24"/>
          <w:szCs w:val="24"/>
        </w:rPr>
      </w:pPr>
      <w:r>
        <w:rPr>
          <w:rFonts w:hint="eastAsia" w:ascii="宋体" w:hAnsi="宋体" w:eastAsia="宋体" w:cs="宋体"/>
          <w:sz w:val="24"/>
          <w:szCs w:val="24"/>
        </w:rPr>
        <w:t>29.2  算术错误将按以下方法更正（次序排先者优先）：</w:t>
      </w:r>
    </w:p>
    <w:p>
      <w:pPr>
        <w:spacing w:line="400" w:lineRule="exact"/>
        <w:rPr>
          <w:rFonts w:ascii="宋体" w:hAnsi="宋体" w:eastAsia="宋体" w:cs="宋体"/>
          <w:sz w:val="24"/>
          <w:szCs w:val="24"/>
        </w:rPr>
      </w:pPr>
      <w:r>
        <w:rPr>
          <w:rFonts w:hint="eastAsia" w:ascii="宋体" w:hAnsi="宋体" w:eastAsia="宋体" w:cs="宋体"/>
          <w:sz w:val="24"/>
          <w:szCs w:val="24"/>
        </w:rPr>
        <w:t>算术错误将按以下方法更正：开标时，投标文件中开标一览表内容与投标文件中明细表内容不一致的，以开标一览表为准。投标文件的大写金额和小写金额不一致的，以大写金额为准；总价金额与按单价汇总金额不一致的，以单价金额计算结果为准；单价金额小数点有明显错位的，应以总价为准，并修改单价；对不同文字文本投标文件的解释发生异议的，以中文文本为准。如果投标人不接受以上对其错误的更正，其投标将被拒绝。</w:t>
      </w:r>
    </w:p>
    <w:p>
      <w:pPr>
        <w:spacing w:line="400" w:lineRule="exact"/>
        <w:rPr>
          <w:rFonts w:ascii="宋体" w:hAnsi="宋体" w:eastAsia="宋体" w:cs="宋体"/>
          <w:sz w:val="24"/>
          <w:szCs w:val="24"/>
        </w:rPr>
      </w:pPr>
      <w:r>
        <w:rPr>
          <w:rFonts w:hint="eastAsia" w:ascii="宋体" w:hAnsi="宋体" w:eastAsia="宋体" w:cs="宋体"/>
          <w:sz w:val="24"/>
          <w:szCs w:val="24"/>
        </w:rPr>
        <w:t>29.3  对于投标文件中不构成实质性偏差的不正规、不一致或不规则，评标委员会可以接受，但这种接受不能损害或影响任何投标人的相对排序。</w:t>
      </w:r>
    </w:p>
    <w:p>
      <w:pPr>
        <w:spacing w:line="400" w:lineRule="exact"/>
        <w:rPr>
          <w:rFonts w:ascii="宋体" w:hAnsi="宋体" w:eastAsia="宋体" w:cs="宋体"/>
          <w:sz w:val="24"/>
          <w:szCs w:val="24"/>
        </w:rPr>
      </w:pPr>
      <w:r>
        <w:rPr>
          <w:rFonts w:hint="eastAsia" w:ascii="宋体" w:hAnsi="宋体" w:eastAsia="宋体" w:cs="宋体"/>
          <w:sz w:val="24"/>
          <w:szCs w:val="24"/>
        </w:rPr>
        <w:t>29.4  评标委员会将要审查每份投标文件是否实质上响应了招标文件的要求。实质上响应的投标应该是与招标文件要求的全部条款、条件和规格相符，没有重大偏离的投标。对关键条文的偏离、保留或反对，例如关于适用法律、税等内容的偏离将被认为是实质上的偏离。评标委员会决定投标的响应性只根据投标本身的内容，而不寻求外部的证据。</w:t>
      </w:r>
    </w:p>
    <w:p>
      <w:pPr>
        <w:spacing w:line="400" w:lineRule="exact"/>
        <w:rPr>
          <w:rFonts w:ascii="宋体" w:hAnsi="宋体" w:eastAsia="宋体" w:cs="宋体"/>
          <w:b/>
          <w:sz w:val="24"/>
          <w:szCs w:val="24"/>
        </w:rPr>
      </w:pPr>
      <w:r>
        <w:rPr>
          <w:rFonts w:hint="eastAsia" w:ascii="宋体" w:hAnsi="宋体" w:eastAsia="宋体" w:cs="宋体"/>
          <w:b/>
          <w:sz w:val="24"/>
          <w:szCs w:val="24"/>
        </w:rPr>
        <w:t>30 ：为落实政府采购政策，采购标的需满足的要求，以及投标人须提供的证明材料</w:t>
      </w:r>
    </w:p>
    <w:p>
      <w:pPr>
        <w:widowControl/>
        <w:spacing w:line="400" w:lineRule="exact"/>
        <w:jc w:val="left"/>
        <w:rPr>
          <w:rFonts w:ascii="宋体" w:hAnsi="宋体" w:eastAsia="宋体" w:cs="宋体"/>
          <w:sz w:val="24"/>
          <w:szCs w:val="24"/>
        </w:rPr>
      </w:pPr>
      <w:r>
        <w:rPr>
          <w:rFonts w:hint="eastAsia" w:ascii="宋体" w:hAnsi="宋体" w:eastAsia="宋体" w:cs="宋体"/>
          <w:b/>
          <w:bCs/>
          <w:kern w:val="0"/>
          <w:sz w:val="24"/>
          <w:szCs w:val="24"/>
          <w:lang w:bidi="ar"/>
        </w:rPr>
        <w:t xml:space="preserve">30.1 中小企业参加投标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30.1.1 中小企业（含中型、小型、微型企业，下同）参加投标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（1）符合国务院批准的中小企业划分标准（依据国务院批准的中小企业划分标准确定的 中型企业、小型企业和微型企业，但与大企业的负责人为同一人，或者与大企业存在直接 控股、管理关系的除外），符合中小企业划分标准的个体工商户，在政府采购活动中视同中小企业。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（2）货物由中小企业制造，即货物由中小企业生产且使用该中小企业商号或者注册商标；本项所称货物不包括使用大型企业注册商标的货物；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（3）小型、微型企业提供中型企业制造的货物的，视同为中型企业。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（4）在货物采购项目中，供应商提供的货物既有中小企业制造货物，也有大型企业制造货物的，不享受中小企业扶持政策。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（5）在工程采购项目中，工程由中小企业承建，即工程施工单位为中小企业。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（6）在服务采购项目中，服务由中小企业承接，即提供服务的人员为中小企业依照《中华人民共和国劳动合同法》订立劳动合同的从业人员。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（7）以联合体形式参加政府采购活动，联合体各方均为中小企业的，联合体视同中小企业。其中，联合体各方均为小微企业的，联合体视同小微企业。（适用于联合体投标）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（8）组成联合体或者接受分包合同的中小企业与联合体内其他企业、分包企业之间不得存在直接控股、管理关系。</w:t>
      </w:r>
      <w:r>
        <w:rPr>
          <w:rFonts w:hint="eastAsia" w:ascii="宋体" w:hAnsi="宋体" w:eastAsia="宋体" w:cs="宋体"/>
          <w:b/>
          <w:bCs/>
          <w:kern w:val="0"/>
          <w:sz w:val="24"/>
          <w:szCs w:val="24"/>
          <w:lang w:bidi="ar"/>
        </w:rPr>
        <w:t xml:space="preserve">(适用于涉及中小企业的联合体投标或者允许合同分包的采购项目)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30.1.2 供应商提供的货物为中小企业制造的, 投标时必须提供制造商的《中小企业声明函》。（格式详见  第五章  附件 ） </w:t>
      </w:r>
    </w:p>
    <w:p>
      <w:pPr>
        <w:widowControl/>
        <w:spacing w:line="400" w:lineRule="exact"/>
        <w:jc w:val="left"/>
        <w:rPr>
          <w:rFonts w:ascii="宋体" w:hAnsi="宋体" w:eastAsia="宋体" w:cs="宋体"/>
          <w:sz w:val="24"/>
          <w:szCs w:val="24"/>
        </w:rPr>
      </w:pPr>
      <w:r>
        <w:rPr>
          <w:rFonts w:hint="eastAsia" w:ascii="宋体" w:hAnsi="宋体" w:eastAsia="宋体" w:cs="宋体"/>
          <w:b/>
          <w:bCs/>
          <w:kern w:val="0"/>
          <w:sz w:val="24"/>
          <w:szCs w:val="24"/>
          <w:lang w:bidi="ar"/>
        </w:rPr>
        <w:t xml:space="preserve">30.2 监狱企业参加投标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30.2.1 监狱企业应当符合以下条件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pPr>
        <w:widowControl/>
        <w:spacing w:line="400" w:lineRule="exact"/>
        <w:jc w:val="left"/>
        <w:rPr>
          <w:rFonts w:ascii="宋体" w:hAnsi="宋体" w:eastAsia="宋体" w:cs="宋体"/>
          <w:b/>
          <w:bCs/>
          <w:sz w:val="24"/>
          <w:szCs w:val="24"/>
        </w:rPr>
      </w:pPr>
      <w:r>
        <w:rPr>
          <w:rFonts w:hint="eastAsia" w:ascii="宋体" w:hAnsi="宋体" w:eastAsia="宋体" w:cs="宋体"/>
          <w:b/>
          <w:bCs/>
          <w:kern w:val="0"/>
          <w:sz w:val="24"/>
          <w:szCs w:val="24"/>
          <w:lang w:bidi="ar"/>
        </w:rPr>
        <w:t xml:space="preserve">30.2.2 监狱企业参加投标须提供的证明材料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监狱企业参加政府采购活动时，应当提供由省级以上监狱管理局、戒毒管理局（含新疆生产建设兵团）出具的属于监狱企业的证明文件。（格式详见 第五章  附件  ） </w:t>
      </w:r>
    </w:p>
    <w:p>
      <w:pPr>
        <w:widowControl/>
        <w:spacing w:line="400" w:lineRule="exact"/>
        <w:jc w:val="left"/>
        <w:rPr>
          <w:rFonts w:ascii="宋体" w:hAnsi="宋体" w:eastAsia="宋体" w:cs="宋体"/>
          <w:sz w:val="24"/>
          <w:szCs w:val="24"/>
        </w:rPr>
      </w:pPr>
      <w:r>
        <w:rPr>
          <w:rFonts w:hint="eastAsia" w:ascii="宋体" w:hAnsi="宋体" w:eastAsia="宋体" w:cs="宋体"/>
          <w:b/>
          <w:bCs/>
          <w:kern w:val="0"/>
          <w:sz w:val="24"/>
          <w:szCs w:val="24"/>
          <w:lang w:bidi="ar"/>
        </w:rPr>
        <w:t xml:space="preserve">30.3 残疾人福利性单位参加投标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30.3.1 享受政府采购支持政策的残疾人福利性单位应当同时满足以下条件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（1）安置的残疾人占本单位在职职工人数的比例不低于 25%（含 25%），并且安置的残疾人人数不少于 10 人（含 10 人）；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（2）依法与安置的每位残疾人签订了一年以上（含一年）的劳动合同或服务协议；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（3）为安置的每位残疾人按月足额缴纳了基本养老保险、基本医疗保险、失业保险、工伤保险和生育保险等社会保险费；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（4）通过银行等金融机构向安置的每位残疾人，按月支付了不低于单位所在区县适用的经省级人民政府批准的月最低工资标准的工资；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（5）提供本单位制造的货物、承担的工程或者服务（以下简称产品），或者提供其他残疾人福利性单位制造的货物（不包括使用非残疾人福利性单位注册商标的货物）。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30.3.2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30.3.3 残疾人福利性单位参加投标须提供的证明材料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（1）符合条件的残疾人福利性单位在参加政府采购活动时，应当提供《残疾人福利性单位声明函》（格式详见  第五章  附件），并对声明函的真实性负责。</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（2）投标人提供的《残疾人福利性单位声明函》与事实不符的，依照《政府采购法》第七十七条第一款的规定追究法律责任。 </w:t>
      </w:r>
    </w:p>
    <w:p>
      <w:pPr>
        <w:widowControl/>
        <w:spacing w:line="400" w:lineRule="exact"/>
        <w:jc w:val="left"/>
        <w:rPr>
          <w:rFonts w:ascii="宋体" w:hAnsi="宋体" w:eastAsia="宋体" w:cs="宋体"/>
          <w:sz w:val="24"/>
          <w:szCs w:val="24"/>
        </w:rPr>
      </w:pPr>
      <w:r>
        <w:rPr>
          <w:rFonts w:hint="eastAsia" w:ascii="宋体" w:hAnsi="宋体" w:eastAsia="宋体" w:cs="宋体"/>
          <w:b/>
          <w:bCs/>
          <w:kern w:val="0"/>
          <w:sz w:val="24"/>
          <w:szCs w:val="24"/>
          <w:lang w:bidi="ar"/>
        </w:rPr>
        <w:t xml:space="preserve">30.4 节能产品、环境标志产品参加投标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30.4.1 节能产品是指财政部、发展改革委、生态环境部等部门发布的《节能产品政府采购品目清单》中的产品；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30.4.2 环境标志产品是指财政部、发展改革委、生态环境部等部门发布的《环境标志产品政府采购品目清单》中的产品；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30.4.3《节能产品政府采购品目清单》、《环境标志产品政府采购品目清单》以《中国政府采购网》(http://www.ccgp.gov.cn/zcfg/mof/)发布的最新一期为准。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30.4.4 对属于《节能产品政府采购品目清单》、《环境标志产品政府采购品目清单》范围的给予优先或强制采购。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30.4.5 如属节能产品、环境标志产品需在投标文件中提供所在清单页的扫描件或网页截图，并提供证书扫描件。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30.4.6 对于同时列入《节能产品政府采购品目清单》、《环境标志产品政府采购品目清单》的产品，应当优先于只列入其中一个清单的产品。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30.4.7 招标文件对节能产品、环境标志产品另有规定的从其规定。</w:t>
      </w:r>
    </w:p>
    <w:p>
      <w:pPr>
        <w:widowControl/>
        <w:spacing w:line="400" w:lineRule="exact"/>
        <w:jc w:val="left"/>
        <w:rPr>
          <w:rFonts w:ascii="宋体" w:hAnsi="宋体" w:eastAsia="宋体" w:cs="宋体"/>
          <w:sz w:val="24"/>
          <w:szCs w:val="24"/>
        </w:rPr>
      </w:pPr>
      <w:r>
        <w:rPr>
          <w:rFonts w:hint="eastAsia" w:ascii="宋体" w:hAnsi="宋体" w:eastAsia="宋体" w:cs="宋体"/>
          <w:b/>
          <w:bCs/>
          <w:kern w:val="0"/>
          <w:sz w:val="24"/>
          <w:szCs w:val="24"/>
          <w:lang w:bidi="ar"/>
        </w:rPr>
        <w:t xml:space="preserve">30.5对小型和微型企业、监狱企业、残疾人福利性单位产品参加投标享受的政策 </w:t>
      </w:r>
    </w:p>
    <w:p>
      <w:pPr>
        <w:widowControl/>
        <w:spacing w:line="400" w:lineRule="exact"/>
        <w:jc w:val="left"/>
        <w:rPr>
          <w:rFonts w:ascii="宋体" w:hAnsi="宋体" w:eastAsia="宋体" w:cs="宋体"/>
          <w:kern w:val="0"/>
          <w:sz w:val="24"/>
          <w:szCs w:val="24"/>
          <w:lang w:bidi="ar"/>
        </w:rPr>
      </w:pPr>
      <w:r>
        <w:rPr>
          <w:rFonts w:hint="eastAsia" w:ascii="宋体" w:hAnsi="宋体" w:eastAsia="宋体" w:cs="宋体"/>
          <w:kern w:val="0"/>
          <w:sz w:val="24"/>
          <w:szCs w:val="24"/>
          <w:lang w:bidi="ar"/>
        </w:rPr>
        <w:t>1 .根据《政府采购促进中小企业发展管理办法》的要求，对于非专门面向中小企业的项目，对小型和微型企业提供的产品（货物）、服务价格给予 10%的扣除，工程给予6%的扣除用扣除后的价格参与评审。</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 xml:space="preserve">2 .监狱企业视同小型、微型企业，享受评审中价格扣除等政府促进中小企业发展的政府采购政策。 </w:t>
      </w:r>
    </w:p>
    <w:p>
      <w:pPr>
        <w:widowControl/>
        <w:spacing w:line="400" w:lineRule="exact"/>
        <w:jc w:val="left"/>
        <w:rPr>
          <w:rFonts w:ascii="宋体" w:hAnsi="宋体" w:eastAsia="宋体" w:cs="宋体"/>
          <w:sz w:val="24"/>
          <w:szCs w:val="24"/>
        </w:rPr>
      </w:pPr>
      <w:r>
        <w:rPr>
          <w:rFonts w:hint="eastAsia" w:ascii="宋体" w:hAnsi="宋体" w:eastAsia="宋体" w:cs="宋体"/>
          <w:kern w:val="0"/>
          <w:sz w:val="24"/>
          <w:szCs w:val="24"/>
          <w:lang w:bidi="ar"/>
        </w:rPr>
        <w:t>3 .残疾人福利性单位视同小型、微型企业，享受评审中价格扣除等政府促进中小企业发展的政府采购政策。福利性单位属于小型、微型企业的，不重复享受政策。</w:t>
      </w:r>
    </w:p>
    <w:p>
      <w:pPr>
        <w:spacing w:line="400" w:lineRule="exact"/>
        <w:rPr>
          <w:rFonts w:ascii="宋体" w:hAnsi="宋体" w:eastAsia="宋体" w:cs="宋体"/>
          <w:b/>
          <w:bCs/>
          <w:sz w:val="24"/>
          <w:szCs w:val="24"/>
        </w:rPr>
      </w:pPr>
      <w:r>
        <w:rPr>
          <w:rFonts w:hint="eastAsia" w:ascii="宋体" w:hAnsi="宋体" w:eastAsia="宋体" w:cs="宋体"/>
          <w:sz w:val="24"/>
          <w:szCs w:val="24"/>
        </w:rPr>
        <w:t>注：中小微企业在全省范围内参加政府采购项目公开招标、邀请招标、竞争性谈判、询价或竞争性磋商采购时，提供其他中小企业制造货物的，应当同时提供货物制造企业的《中小企业声明函》，无须提供《中小企业声明函》之外的中小企业身份证明文件。</w:t>
      </w:r>
      <w:r>
        <w:rPr>
          <w:rFonts w:hint="eastAsia" w:ascii="宋体" w:hAnsi="宋体" w:eastAsia="宋体" w:cs="宋体"/>
          <w:b/>
          <w:bCs/>
          <w:sz w:val="24"/>
          <w:szCs w:val="24"/>
        </w:rPr>
        <w:t>供应商提供《中小企业声明函》内容不实的，属于“提供虚假材料谋求中标、成交的”情形，依照《政府采购法》的有关规定追究相应责任。</w:t>
      </w:r>
    </w:p>
    <w:p>
      <w:pPr>
        <w:spacing w:line="400" w:lineRule="exact"/>
        <w:rPr>
          <w:rFonts w:ascii="宋体" w:hAnsi="宋体" w:eastAsia="宋体" w:cs="宋体"/>
          <w:b/>
          <w:sz w:val="24"/>
          <w:szCs w:val="24"/>
        </w:rPr>
      </w:pPr>
      <w:r>
        <w:rPr>
          <w:rFonts w:hint="eastAsia" w:ascii="宋体" w:hAnsi="宋体" w:eastAsia="宋体" w:cs="宋体"/>
          <w:b/>
          <w:sz w:val="24"/>
          <w:szCs w:val="24"/>
        </w:rPr>
        <w:t>31  评标的方法和定标的原则</w:t>
      </w:r>
    </w:p>
    <w:p>
      <w:pPr>
        <w:spacing w:line="400" w:lineRule="exact"/>
        <w:ind w:left="552"/>
        <w:rPr>
          <w:rFonts w:ascii="宋体" w:hAnsi="宋体" w:eastAsia="宋体" w:cs="宋体"/>
          <w:b/>
          <w:sz w:val="24"/>
          <w:szCs w:val="24"/>
        </w:rPr>
      </w:pPr>
      <w:r>
        <w:rPr>
          <w:rFonts w:hint="eastAsia" w:ascii="宋体" w:hAnsi="宋体" w:eastAsia="宋体" w:cs="宋体"/>
          <w:b/>
          <w:sz w:val="24"/>
          <w:szCs w:val="24"/>
        </w:rPr>
        <w:t>本项目的评标办法见以下规定：</w:t>
      </w:r>
    </w:p>
    <w:p>
      <w:pPr>
        <w:spacing w:line="400" w:lineRule="exact"/>
        <w:rPr>
          <w:rFonts w:ascii="宋体" w:hAnsi="宋体" w:eastAsia="宋体" w:cs="宋体"/>
          <w:b/>
          <w:sz w:val="24"/>
          <w:szCs w:val="24"/>
        </w:rPr>
      </w:pPr>
      <w:r>
        <w:rPr>
          <w:rFonts w:hint="eastAsia" w:ascii="宋体" w:hAnsi="宋体" w:eastAsia="宋体" w:cs="宋体"/>
          <w:b/>
          <w:sz w:val="24"/>
          <w:szCs w:val="24"/>
        </w:rPr>
        <w:t>31.1. 评标办法和评标标准</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本次招标采用综合评分法，在满足招标文件全部实质性要求前提下，按照招标文件中规定的各项因素进行综合评审后，以评标总得分最高的投标人作为中标候选供应商的评标方法。评标时，评标委员会各成员独立对每个投标人的投标文件进行评价，并汇总每个投标人的得分。投标人总得分为价格、商务、技术等评定因素分别按照相应权重值计算分项得分后相加为满分。</w:t>
      </w:r>
    </w:p>
    <w:p>
      <w:pPr>
        <w:spacing w:line="400" w:lineRule="exact"/>
        <w:rPr>
          <w:rFonts w:ascii="宋体" w:hAnsi="宋体" w:eastAsia="宋体" w:cs="宋体"/>
          <w:b/>
          <w:sz w:val="24"/>
          <w:szCs w:val="24"/>
        </w:rPr>
      </w:pPr>
      <w:r>
        <w:rPr>
          <w:rFonts w:hint="eastAsia" w:ascii="宋体" w:hAnsi="宋体" w:eastAsia="宋体" w:cs="宋体"/>
          <w:b/>
          <w:sz w:val="24"/>
          <w:szCs w:val="24"/>
        </w:rPr>
        <w:t>31.1.1  符合性检查</w:t>
      </w:r>
    </w:p>
    <w:p>
      <w:pPr>
        <w:autoSpaceDE w:val="0"/>
        <w:autoSpaceDN w:val="0"/>
        <w:adjustRightInd w:val="0"/>
        <w:spacing w:line="400" w:lineRule="exact"/>
        <w:jc w:val="left"/>
        <w:rPr>
          <w:rFonts w:ascii="宋体" w:hAnsi="宋体" w:eastAsia="宋体" w:cs="宋体"/>
          <w:kern w:val="0"/>
          <w:sz w:val="24"/>
          <w:szCs w:val="24"/>
        </w:rPr>
      </w:pPr>
      <w:r>
        <w:rPr>
          <w:rFonts w:hint="eastAsia" w:ascii="宋体" w:hAnsi="宋体" w:eastAsia="宋体" w:cs="宋体"/>
          <w:sz w:val="24"/>
          <w:szCs w:val="24"/>
        </w:rPr>
        <w:t>31.</w:t>
      </w:r>
      <w:r>
        <w:rPr>
          <w:rFonts w:hint="eastAsia" w:ascii="宋体" w:hAnsi="宋体" w:eastAsia="宋体" w:cs="宋体"/>
          <w:kern w:val="0"/>
          <w:sz w:val="24"/>
          <w:szCs w:val="24"/>
        </w:rPr>
        <w:t>1.1.1 评委会根据招标文件符合性检查的内容和标准，对所有投标进行符合性检查。</w:t>
      </w:r>
    </w:p>
    <w:p>
      <w:pPr>
        <w:spacing w:line="400" w:lineRule="exact"/>
        <w:rPr>
          <w:rFonts w:ascii="宋体" w:hAnsi="宋体" w:eastAsia="宋体" w:cs="宋体"/>
          <w:sz w:val="24"/>
          <w:szCs w:val="24"/>
        </w:rPr>
      </w:pPr>
      <w:r>
        <w:rPr>
          <w:rFonts w:hint="eastAsia" w:ascii="宋体" w:hAnsi="宋体" w:eastAsia="宋体" w:cs="宋体"/>
          <w:sz w:val="24"/>
          <w:szCs w:val="24"/>
        </w:rPr>
        <w:t>31.1.1.2 符合性检查的对象是投标人提交的投标文件，评委会只就投标文件中所载明的情况进行评审。</w:t>
      </w:r>
    </w:p>
    <w:p>
      <w:pPr>
        <w:spacing w:line="400" w:lineRule="exact"/>
        <w:rPr>
          <w:rFonts w:ascii="宋体" w:hAnsi="宋体" w:eastAsia="宋体" w:cs="宋体"/>
          <w:sz w:val="24"/>
          <w:szCs w:val="24"/>
        </w:rPr>
      </w:pPr>
      <w:r>
        <w:rPr>
          <w:rFonts w:hint="eastAsia" w:ascii="宋体" w:hAnsi="宋体" w:eastAsia="宋体" w:cs="宋体"/>
          <w:sz w:val="24"/>
          <w:szCs w:val="24"/>
        </w:rPr>
        <w:t>31.1.1.3 符合性检查的结果是“通过”或“不通过”，只有逐条通过各项检查的投标方能进入下一阶段的评标，否则将导致其投标被废标。</w:t>
      </w:r>
    </w:p>
    <w:p>
      <w:pPr>
        <w:spacing w:line="400" w:lineRule="exact"/>
        <w:rPr>
          <w:rFonts w:ascii="宋体" w:hAnsi="宋体" w:eastAsia="宋体" w:cs="宋体"/>
          <w:b/>
          <w:sz w:val="24"/>
          <w:szCs w:val="24"/>
        </w:rPr>
      </w:pPr>
      <w:r>
        <w:rPr>
          <w:rFonts w:hint="eastAsia" w:ascii="宋体" w:hAnsi="宋体" w:eastAsia="宋体" w:cs="宋体"/>
          <w:b/>
          <w:sz w:val="24"/>
          <w:szCs w:val="24"/>
        </w:rPr>
        <w:t>31.1.2  商务评议</w:t>
      </w:r>
    </w:p>
    <w:p>
      <w:pPr>
        <w:spacing w:line="400" w:lineRule="exact"/>
        <w:rPr>
          <w:rFonts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bCs/>
          <w:sz w:val="24"/>
          <w:szCs w:val="24"/>
        </w:rPr>
        <w:t>.1.2.1</w:t>
      </w:r>
      <w:r>
        <w:rPr>
          <w:rFonts w:hint="eastAsia" w:ascii="宋体" w:hAnsi="宋体" w:eastAsia="宋体" w:cs="宋体"/>
          <w:sz w:val="24"/>
          <w:szCs w:val="24"/>
        </w:rPr>
        <w:t>评委会根据招标文件商务评议的内容和标准，对通过符合性检查的投标进行商务评议。</w:t>
      </w:r>
    </w:p>
    <w:p>
      <w:pPr>
        <w:spacing w:line="400" w:lineRule="exact"/>
        <w:rPr>
          <w:rFonts w:ascii="宋体" w:hAnsi="宋体" w:eastAsia="宋体" w:cs="宋体"/>
          <w:sz w:val="24"/>
          <w:szCs w:val="24"/>
        </w:rPr>
      </w:pPr>
      <w:r>
        <w:rPr>
          <w:rFonts w:hint="eastAsia" w:ascii="宋体" w:hAnsi="宋体" w:eastAsia="宋体" w:cs="宋体"/>
          <w:sz w:val="24"/>
          <w:szCs w:val="24"/>
        </w:rPr>
        <w:t>31.1.2.2 评委会将对照招标文件中的商务需求条款和投标文件中的商务条款响应进行评议。</w:t>
      </w:r>
      <w:r>
        <w:rPr>
          <w:rFonts w:hint="eastAsia" w:ascii="宋体" w:hAnsi="宋体" w:eastAsia="宋体" w:cs="宋体"/>
          <w:bCs/>
          <w:sz w:val="24"/>
          <w:szCs w:val="24"/>
        </w:rPr>
        <w:t>凡规定为不可负偏离的条款，遇有偏离将导致其投标被废标；其</w:t>
      </w:r>
      <w:r>
        <w:rPr>
          <w:rFonts w:hint="eastAsia" w:ascii="宋体" w:hAnsi="宋体" w:eastAsia="宋体" w:cs="宋体"/>
          <w:sz w:val="24"/>
          <w:szCs w:val="24"/>
        </w:rPr>
        <w:t>它可偏离条款，在招标文件中规定的该条款允许偏离范围内的，对该条款的偏离按照招标文件规定的方法评定出评标价格调整比例；凡超过招标文件中规定的该条款允许偏离范围的，将导致其投标被废标。</w:t>
      </w:r>
    </w:p>
    <w:p>
      <w:pPr>
        <w:spacing w:line="400" w:lineRule="exact"/>
        <w:rPr>
          <w:rFonts w:ascii="宋体" w:hAnsi="宋体" w:eastAsia="宋体" w:cs="宋体"/>
          <w:b/>
          <w:sz w:val="24"/>
          <w:szCs w:val="24"/>
        </w:rPr>
      </w:pPr>
      <w:r>
        <w:rPr>
          <w:rFonts w:hint="eastAsia" w:ascii="宋体" w:hAnsi="宋体" w:eastAsia="宋体" w:cs="宋体"/>
          <w:sz w:val="24"/>
          <w:szCs w:val="24"/>
        </w:rPr>
        <w:t>31.1.2.3每个评委对各投标人的商务评分的算术平均值即为该投标人的商务得分。</w:t>
      </w:r>
    </w:p>
    <w:p>
      <w:pPr>
        <w:spacing w:line="400" w:lineRule="exact"/>
        <w:rPr>
          <w:rFonts w:ascii="宋体" w:hAnsi="宋体" w:eastAsia="宋体" w:cs="宋体"/>
          <w:b/>
          <w:sz w:val="24"/>
          <w:szCs w:val="24"/>
        </w:rPr>
      </w:pPr>
      <w:r>
        <w:rPr>
          <w:rFonts w:hint="eastAsia" w:ascii="宋体" w:hAnsi="宋体" w:eastAsia="宋体" w:cs="宋体"/>
          <w:b/>
          <w:sz w:val="24"/>
          <w:szCs w:val="24"/>
        </w:rPr>
        <w:t>31.1.3  技术评议</w:t>
      </w:r>
    </w:p>
    <w:p>
      <w:pPr>
        <w:spacing w:line="400" w:lineRule="exact"/>
        <w:rPr>
          <w:rFonts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bCs/>
          <w:sz w:val="24"/>
          <w:szCs w:val="24"/>
        </w:rPr>
        <w:t>.1.3.1</w:t>
      </w:r>
      <w:r>
        <w:rPr>
          <w:rFonts w:hint="eastAsia" w:ascii="宋体" w:hAnsi="宋体" w:eastAsia="宋体" w:cs="宋体"/>
          <w:sz w:val="24"/>
          <w:szCs w:val="24"/>
        </w:rPr>
        <w:t>评委会根据招标文件技术评议的内容和标准，对通过商务评议的投标进行技术评议。</w:t>
      </w:r>
    </w:p>
    <w:p>
      <w:pPr>
        <w:spacing w:line="400" w:lineRule="exact"/>
        <w:rPr>
          <w:rFonts w:ascii="宋体" w:hAnsi="宋体" w:eastAsia="宋体" w:cs="宋体"/>
          <w:sz w:val="24"/>
          <w:szCs w:val="24"/>
        </w:rPr>
      </w:pPr>
      <w:r>
        <w:rPr>
          <w:rFonts w:hint="eastAsia" w:ascii="宋体" w:hAnsi="宋体" w:eastAsia="宋体" w:cs="宋体"/>
          <w:sz w:val="24"/>
          <w:szCs w:val="24"/>
        </w:rPr>
        <w:t>31.1.3.2 评委会将对照招标文件中的技术需求条款和投标文件中的技术条款响应进行评议。</w:t>
      </w:r>
      <w:r>
        <w:rPr>
          <w:rFonts w:hint="eastAsia" w:ascii="宋体" w:hAnsi="宋体" w:eastAsia="宋体" w:cs="宋体"/>
          <w:bCs/>
          <w:sz w:val="24"/>
          <w:szCs w:val="24"/>
        </w:rPr>
        <w:t>凡规定为不可负偏离的条款，遇有偏离将导致其投标被废标；其它可偏离条款，</w:t>
      </w:r>
      <w:r>
        <w:rPr>
          <w:rFonts w:hint="eastAsia" w:ascii="宋体" w:hAnsi="宋体" w:eastAsia="宋体" w:cs="宋体"/>
          <w:sz w:val="24"/>
          <w:szCs w:val="24"/>
        </w:rPr>
        <w:t>在招标文件中规定的该条款允许偏离范围内的，对该条款的偏离按照招标文件规定的方法评定出评标价格调整比例；凡超过招标文件中规定的该条款允许偏离范围的，将导致其投标被废标。</w:t>
      </w:r>
    </w:p>
    <w:p>
      <w:pPr>
        <w:spacing w:line="400" w:lineRule="exact"/>
        <w:rPr>
          <w:rFonts w:ascii="宋体" w:hAnsi="宋体" w:eastAsia="宋体" w:cs="宋体"/>
          <w:sz w:val="24"/>
          <w:szCs w:val="24"/>
        </w:rPr>
      </w:pPr>
      <w:r>
        <w:rPr>
          <w:rFonts w:hint="eastAsia" w:ascii="宋体" w:hAnsi="宋体" w:eastAsia="宋体" w:cs="宋体"/>
          <w:sz w:val="24"/>
          <w:szCs w:val="24"/>
        </w:rPr>
        <w:t>31.1.3.3每个评委对各投标人的技术评分的算术平均值即为该投标人的技术得分。</w:t>
      </w:r>
    </w:p>
    <w:p>
      <w:pPr>
        <w:spacing w:after="60" w:line="400" w:lineRule="exact"/>
        <w:ind w:left="808" w:leftChars="2" w:hanging="804" w:hangingChars="335"/>
        <w:rPr>
          <w:rFonts w:ascii="宋体" w:hAnsi="宋体" w:eastAsia="宋体" w:cs="宋体"/>
          <w:sz w:val="24"/>
          <w:szCs w:val="24"/>
        </w:rPr>
      </w:pPr>
      <w:r>
        <w:rPr>
          <w:rFonts w:hint="eastAsia" w:ascii="宋体" w:hAnsi="宋体" w:eastAsia="宋体" w:cs="宋体"/>
          <w:sz w:val="24"/>
          <w:szCs w:val="24"/>
        </w:rPr>
        <w:t>31</w:t>
      </w:r>
      <w:r>
        <w:rPr>
          <w:rFonts w:hint="eastAsia" w:ascii="宋体" w:hAnsi="宋体" w:eastAsia="宋体" w:cs="宋体"/>
          <w:bCs/>
          <w:sz w:val="24"/>
          <w:szCs w:val="24"/>
        </w:rPr>
        <w:t>.1.4 投标人的最终评标得分＝商务得分＋技术得分+价格得分。</w:t>
      </w:r>
    </w:p>
    <w:p>
      <w:pPr>
        <w:spacing w:line="400" w:lineRule="exact"/>
        <w:rPr>
          <w:rFonts w:ascii="宋体" w:hAnsi="宋体" w:eastAsia="宋体" w:cs="宋体"/>
          <w:sz w:val="24"/>
          <w:szCs w:val="24"/>
        </w:rPr>
      </w:pPr>
      <w:r>
        <w:rPr>
          <w:rFonts w:hint="eastAsia" w:ascii="宋体" w:hAnsi="宋体" w:eastAsia="宋体" w:cs="宋体"/>
          <w:sz w:val="24"/>
          <w:szCs w:val="24"/>
        </w:rPr>
        <w:t>31.1.5 评标委员会按照最终评标综合得分由高到低的顺序推荐中标候选人，最终综合评标得分最高的投标人为中标候选人。评标总得分相同的，按投标报价由低到高顺序排列；评标总得分且投标报价相同的，按技术得分优劣顺序排列；评标总得分、报价、技术得分均相同的，由评标委员会采用随机抽取的方式确定。</w:t>
      </w:r>
    </w:p>
    <w:p>
      <w:pPr>
        <w:spacing w:after="120" w:line="400" w:lineRule="exact"/>
        <w:rPr>
          <w:rFonts w:ascii="宋体" w:hAnsi="宋体" w:eastAsia="宋体" w:cs="宋体"/>
          <w:sz w:val="24"/>
          <w:szCs w:val="24"/>
        </w:rPr>
      </w:pPr>
      <w:r>
        <w:rPr>
          <w:rFonts w:hint="eastAsia" w:ascii="宋体" w:hAnsi="宋体" w:eastAsia="宋体" w:cs="宋体"/>
          <w:sz w:val="24"/>
          <w:szCs w:val="24"/>
        </w:rPr>
        <w:t>31.2 评比因素</w:t>
      </w:r>
    </w:p>
    <w:p>
      <w:pPr>
        <w:spacing w:after="120"/>
        <w:jc w:val="center"/>
        <w:rPr>
          <w:rFonts w:ascii="宋体" w:hAnsi="宋体" w:eastAsia="宋体" w:cs="宋体"/>
          <w:sz w:val="24"/>
          <w:szCs w:val="24"/>
        </w:rPr>
      </w:pPr>
      <w:r>
        <w:rPr>
          <w:rFonts w:hint="eastAsia" w:ascii="宋体" w:hAnsi="宋体" w:eastAsia="宋体" w:cs="宋体"/>
          <w:b/>
          <w:bCs/>
          <w:sz w:val="24"/>
          <w:szCs w:val="24"/>
        </w:rPr>
        <w:t>项目信息</w:t>
      </w:r>
    </w:p>
    <w:tbl>
      <w:tblPr>
        <w:tblStyle w:val="40"/>
        <w:tblW w:w="9527" w:type="dxa"/>
        <w:tblCellSpacing w:w="0" w:type="dxa"/>
        <w:tblInd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2622"/>
        <w:gridCol w:w="6905"/>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957" w:hRule="atLeast"/>
          <w:tblCellSpacing w:w="0" w:type="dxa"/>
        </w:trPr>
        <w:tc>
          <w:tcPr>
            <w:tcW w:w="2622" w:type="dxa"/>
            <w:tcBorders>
              <w:top w:val="outset" w:color="DDDDDD" w:sz="6" w:space="0"/>
              <w:left w:val="outset" w:color="DDDDDD" w:sz="6" w:space="0"/>
              <w:bottom w:val="outset" w:color="DDDDDD" w:sz="6" w:space="0"/>
              <w:right w:val="outset" w:color="DDDDDD" w:sz="6"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项目编号</w:t>
            </w:r>
          </w:p>
        </w:tc>
        <w:tc>
          <w:tcPr>
            <w:tcW w:w="6905" w:type="dxa"/>
            <w:tcBorders>
              <w:top w:val="outset" w:color="DDDDDD" w:sz="6" w:space="0"/>
              <w:left w:val="outset" w:color="DDDDDD" w:sz="6" w:space="0"/>
              <w:bottom w:val="outset" w:color="DDDDDD" w:sz="6" w:space="0"/>
              <w:right w:val="outset" w:color="DDDDDD" w:sz="6" w:space="0"/>
            </w:tcBorders>
            <w:vAlign w:val="center"/>
          </w:tcPr>
          <w:p>
            <w:pPr>
              <w:rPr>
                <w:rFonts w:ascii="宋体" w:hAnsi="宋体" w:eastAsia="宋体" w:cs="宋体"/>
                <w:b/>
                <w:sz w:val="24"/>
                <w:szCs w:val="24"/>
              </w:rPr>
            </w:pPr>
            <w:r>
              <w:rPr>
                <w:rFonts w:ascii="宋体" w:hAnsi="宋体" w:eastAsia="宋体" w:cs="宋体"/>
                <w:b/>
                <w:sz w:val="24"/>
                <w:szCs w:val="24"/>
              </w:rPr>
              <w:t>JXJC-NCCG-202</w:t>
            </w:r>
            <w:r>
              <w:rPr>
                <w:rFonts w:hint="eastAsia" w:ascii="宋体" w:hAnsi="宋体" w:eastAsia="宋体" w:cs="宋体"/>
                <w:b/>
                <w:sz w:val="24"/>
                <w:szCs w:val="24"/>
              </w:rPr>
              <w:t>4</w:t>
            </w:r>
            <w:r>
              <w:rPr>
                <w:rFonts w:ascii="宋体" w:hAnsi="宋体" w:eastAsia="宋体" w:cs="宋体"/>
                <w:b/>
                <w:sz w:val="24"/>
                <w:szCs w:val="24"/>
              </w:rPr>
              <w:t>-00</w:t>
            </w:r>
            <w:r>
              <w:rPr>
                <w:rFonts w:hint="eastAsia" w:ascii="宋体" w:hAnsi="宋体" w:eastAsia="宋体" w:cs="宋体"/>
                <w:b/>
                <w:sz w:val="24"/>
                <w:szCs w:val="24"/>
              </w:rPr>
              <w:t>3</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957" w:hRule="atLeast"/>
          <w:tblCellSpacing w:w="0" w:type="dxa"/>
        </w:trPr>
        <w:tc>
          <w:tcPr>
            <w:tcW w:w="2622" w:type="dxa"/>
            <w:tcBorders>
              <w:top w:val="outset" w:color="DDDDDD" w:sz="6" w:space="0"/>
              <w:left w:val="outset" w:color="DDDDDD" w:sz="6" w:space="0"/>
              <w:bottom w:val="outset" w:color="DDDDDD" w:sz="6" w:space="0"/>
              <w:right w:val="outset" w:color="DDDDDD" w:sz="6"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项目名称</w:t>
            </w:r>
          </w:p>
        </w:tc>
        <w:tc>
          <w:tcPr>
            <w:tcW w:w="6905" w:type="dxa"/>
            <w:tcBorders>
              <w:top w:val="outset" w:color="DDDDDD" w:sz="6" w:space="0"/>
              <w:left w:val="outset" w:color="DDDDDD" w:sz="6" w:space="0"/>
              <w:bottom w:val="outset" w:color="DDDDDD" w:sz="6" w:space="0"/>
              <w:right w:val="outset" w:color="DDDDDD" w:sz="6" w:space="0"/>
            </w:tcBorders>
            <w:vAlign w:val="center"/>
          </w:tcPr>
          <w:p>
            <w:pPr>
              <w:rPr>
                <w:rFonts w:ascii="宋体" w:hAnsi="宋体" w:eastAsia="宋体" w:cs="宋体"/>
                <w:sz w:val="24"/>
                <w:szCs w:val="24"/>
              </w:rPr>
            </w:pPr>
            <w:r>
              <w:rPr>
                <w:rFonts w:hint="eastAsia" w:ascii="宋体" w:hAnsi="宋体" w:eastAsia="宋体" w:cs="宋体"/>
                <w:sz w:val="24"/>
                <w:szCs w:val="24"/>
              </w:rPr>
              <w:t>南城县党风廉政教育中心项目办公家具采购项目</w:t>
            </w:r>
          </w:p>
        </w:tc>
      </w:tr>
    </w:tbl>
    <w:p>
      <w:pPr>
        <w:spacing w:line="360" w:lineRule="auto"/>
        <w:jc w:val="center"/>
        <w:rPr>
          <w:rFonts w:ascii="宋体" w:hAnsi="宋体" w:eastAsia="宋体" w:cs="宋体"/>
          <w:b/>
          <w:bCs/>
          <w:sz w:val="24"/>
          <w:szCs w:val="24"/>
        </w:rPr>
      </w:pPr>
    </w:p>
    <w:p>
      <w:pPr>
        <w:spacing w:line="360" w:lineRule="auto"/>
        <w:jc w:val="center"/>
        <w:rPr>
          <w:rFonts w:ascii="宋体" w:hAnsi="宋体" w:eastAsia="宋体" w:cs="宋体"/>
          <w:b/>
          <w:bCs/>
          <w:sz w:val="24"/>
          <w:szCs w:val="24"/>
        </w:rPr>
      </w:pPr>
    </w:p>
    <w:p>
      <w:pPr>
        <w:spacing w:line="360" w:lineRule="auto"/>
        <w:jc w:val="center"/>
        <w:rPr>
          <w:rFonts w:ascii="宋体" w:hAnsi="宋体" w:eastAsia="宋体" w:cs="宋体"/>
          <w:b/>
          <w:bCs/>
          <w:sz w:val="24"/>
          <w:szCs w:val="24"/>
        </w:rPr>
      </w:pPr>
      <w:r>
        <w:rPr>
          <w:rFonts w:hint="eastAsia" w:ascii="宋体" w:hAnsi="宋体" w:eastAsia="宋体" w:cs="宋体"/>
          <w:b/>
          <w:bCs/>
          <w:sz w:val="24"/>
          <w:szCs w:val="24"/>
        </w:rPr>
        <w:t>符合性检查</w:t>
      </w:r>
    </w:p>
    <w:tbl>
      <w:tblPr>
        <w:tblStyle w:val="40"/>
        <w:tblW w:w="9342" w:type="dxa"/>
        <w:tblCellSpacing w:w="0" w:type="dxa"/>
        <w:tblInd w:w="0" w:type="dxa"/>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Layout w:type="fixed"/>
        <w:tblCellMar>
          <w:top w:w="15" w:type="dxa"/>
          <w:left w:w="15" w:type="dxa"/>
          <w:bottom w:w="15" w:type="dxa"/>
          <w:right w:w="15" w:type="dxa"/>
        </w:tblCellMar>
      </w:tblPr>
      <w:tblGrid>
        <w:gridCol w:w="4948"/>
        <w:gridCol w:w="4394"/>
      </w:tblGrid>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539" w:hRule="atLeast"/>
          <w:tblCellSpacing w:w="0" w:type="dxa"/>
        </w:trPr>
        <w:tc>
          <w:tcPr>
            <w:tcW w:w="4948"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540" w:lineRule="exact"/>
              <w:rPr>
                <w:rFonts w:ascii="宋体" w:hAnsi="宋体" w:eastAsia="宋体" w:cs="宋体"/>
                <w:sz w:val="24"/>
                <w:szCs w:val="24"/>
              </w:rPr>
            </w:pPr>
            <w:r>
              <w:rPr>
                <w:rFonts w:hint="eastAsia" w:ascii="宋体" w:hAnsi="宋体" w:eastAsia="宋体" w:cs="宋体"/>
                <w:sz w:val="24"/>
                <w:szCs w:val="24"/>
              </w:rPr>
              <w:t>评议项目</w:t>
            </w:r>
          </w:p>
        </w:tc>
        <w:tc>
          <w:tcPr>
            <w:tcW w:w="4394" w:type="dxa"/>
            <w:tcBorders>
              <w:top w:val="outset" w:color="DDDDDD" w:sz="6" w:space="0"/>
              <w:left w:val="outset" w:color="DDDDDD" w:sz="6" w:space="0"/>
              <w:bottom w:val="outset" w:color="DDDDDD" w:sz="6" w:space="0"/>
              <w:right w:val="outset" w:color="DDDDDD" w:sz="6" w:space="0"/>
            </w:tcBorders>
            <w:shd w:val="clear" w:color="auto" w:fill="EEEEEE"/>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评议标准</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539" w:hRule="atLeast"/>
          <w:tblCellSpacing w:w="0" w:type="dxa"/>
        </w:trPr>
        <w:tc>
          <w:tcPr>
            <w:tcW w:w="4948" w:type="dxa"/>
            <w:tcBorders>
              <w:top w:val="outset" w:color="DDDDDD" w:sz="6" w:space="0"/>
              <w:left w:val="outset" w:color="DDDDDD" w:sz="6" w:space="0"/>
              <w:bottom w:val="outset" w:color="DDDDDD" w:sz="6" w:space="0"/>
              <w:right w:val="outset" w:color="DDDDDD" w:sz="6" w:space="0"/>
            </w:tcBorders>
            <w:vAlign w:val="center"/>
          </w:tcPr>
          <w:p>
            <w:pPr>
              <w:spacing w:line="540" w:lineRule="exact"/>
              <w:rPr>
                <w:rFonts w:ascii="宋体" w:hAnsi="宋体" w:eastAsia="宋体" w:cs="宋体"/>
                <w:sz w:val="24"/>
                <w:szCs w:val="24"/>
              </w:rPr>
            </w:pPr>
            <w:r>
              <w:rPr>
                <w:rFonts w:hint="eastAsia" w:ascii="宋体" w:hAnsi="宋体" w:eastAsia="宋体" w:cs="宋体"/>
                <w:sz w:val="24"/>
                <w:szCs w:val="24"/>
              </w:rPr>
              <w:t>投标书</w:t>
            </w:r>
          </w:p>
        </w:tc>
        <w:tc>
          <w:tcPr>
            <w:tcW w:w="4394" w:type="dxa"/>
            <w:tcBorders>
              <w:top w:val="outset" w:color="DDDDDD" w:sz="6" w:space="0"/>
              <w:left w:val="outset" w:color="DDDDDD" w:sz="6" w:space="0"/>
              <w:bottom w:val="outset" w:color="DDDDDD" w:sz="6" w:space="0"/>
              <w:right w:val="outset" w:color="DDDDDD" w:sz="6" w:space="0"/>
            </w:tcBorders>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有/无</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539" w:hRule="atLeast"/>
          <w:tblCellSpacing w:w="0" w:type="dxa"/>
        </w:trPr>
        <w:tc>
          <w:tcPr>
            <w:tcW w:w="4948" w:type="dxa"/>
            <w:tcBorders>
              <w:top w:val="outset" w:color="DDDDDD" w:sz="6" w:space="0"/>
              <w:left w:val="outset" w:color="DDDDDD" w:sz="6" w:space="0"/>
              <w:bottom w:val="outset" w:color="DDDDDD" w:sz="6" w:space="0"/>
              <w:right w:val="outset" w:color="DDDDDD" w:sz="6" w:space="0"/>
            </w:tcBorders>
            <w:vAlign w:val="center"/>
          </w:tcPr>
          <w:p>
            <w:pPr>
              <w:spacing w:line="540" w:lineRule="exact"/>
              <w:rPr>
                <w:rFonts w:ascii="宋体" w:hAnsi="宋体" w:eastAsia="宋体" w:cs="宋体"/>
                <w:sz w:val="24"/>
                <w:szCs w:val="24"/>
              </w:rPr>
            </w:pPr>
            <w:r>
              <w:rPr>
                <w:rFonts w:hint="eastAsia" w:ascii="宋体" w:hAnsi="宋体" w:eastAsia="宋体" w:cs="宋体"/>
                <w:sz w:val="24"/>
                <w:szCs w:val="24"/>
              </w:rPr>
              <w:t>投标保证金</w:t>
            </w:r>
          </w:p>
        </w:tc>
        <w:tc>
          <w:tcPr>
            <w:tcW w:w="4394" w:type="dxa"/>
            <w:tcBorders>
              <w:top w:val="outset" w:color="DDDDDD" w:sz="6" w:space="0"/>
              <w:left w:val="outset" w:color="DDDDDD" w:sz="6" w:space="0"/>
              <w:bottom w:val="outset" w:color="DDDDDD" w:sz="6" w:space="0"/>
              <w:right w:val="outset" w:color="DDDDDD" w:sz="6" w:space="0"/>
            </w:tcBorders>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有/无</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79" w:hRule="atLeast"/>
          <w:tblCellSpacing w:w="0" w:type="dxa"/>
        </w:trPr>
        <w:tc>
          <w:tcPr>
            <w:tcW w:w="4948" w:type="dxa"/>
            <w:tcBorders>
              <w:top w:val="outset" w:color="DDDDDD" w:sz="6" w:space="0"/>
              <w:left w:val="outset" w:color="DDDDDD" w:sz="6" w:space="0"/>
              <w:bottom w:val="outset" w:color="DDDDDD" w:sz="6" w:space="0"/>
              <w:right w:val="outset" w:color="DDDDDD" w:sz="6" w:space="0"/>
            </w:tcBorders>
            <w:vAlign w:val="center"/>
          </w:tcPr>
          <w:p>
            <w:pPr>
              <w:spacing w:line="540" w:lineRule="exact"/>
              <w:rPr>
                <w:rFonts w:ascii="宋体" w:hAnsi="宋体" w:eastAsia="宋体" w:cs="宋体"/>
                <w:sz w:val="24"/>
                <w:szCs w:val="24"/>
              </w:rPr>
            </w:pPr>
            <w:r>
              <w:rPr>
                <w:rFonts w:hint="eastAsia" w:ascii="宋体" w:hAnsi="宋体" w:eastAsia="宋体" w:cs="宋体"/>
                <w:sz w:val="24"/>
                <w:szCs w:val="24"/>
              </w:rPr>
              <w:t>法人代表证明书或法人授权委托书</w:t>
            </w:r>
          </w:p>
        </w:tc>
        <w:tc>
          <w:tcPr>
            <w:tcW w:w="4394" w:type="dxa"/>
            <w:tcBorders>
              <w:top w:val="outset" w:color="DDDDDD" w:sz="6" w:space="0"/>
              <w:left w:val="outset" w:color="DDDDDD" w:sz="6" w:space="0"/>
              <w:bottom w:val="outset" w:color="DDDDDD" w:sz="6" w:space="0"/>
              <w:right w:val="outset" w:color="DDDDDD" w:sz="6" w:space="0"/>
            </w:tcBorders>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有/无</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79" w:hRule="atLeast"/>
          <w:tblCellSpacing w:w="0" w:type="dxa"/>
        </w:trPr>
        <w:tc>
          <w:tcPr>
            <w:tcW w:w="4948" w:type="dxa"/>
            <w:tcBorders>
              <w:top w:val="outset" w:color="DDDDDD" w:sz="6" w:space="0"/>
              <w:left w:val="outset" w:color="DDDDDD" w:sz="6" w:space="0"/>
              <w:bottom w:val="outset" w:color="DDDDDD" w:sz="6" w:space="0"/>
              <w:right w:val="outset" w:color="DDDDDD" w:sz="6" w:space="0"/>
            </w:tcBorders>
            <w:vAlign w:val="center"/>
          </w:tcPr>
          <w:p>
            <w:pPr>
              <w:spacing w:line="540" w:lineRule="exact"/>
              <w:rPr>
                <w:rFonts w:ascii="宋体" w:hAnsi="宋体" w:eastAsia="宋体" w:cs="宋体"/>
                <w:sz w:val="24"/>
                <w:szCs w:val="24"/>
              </w:rPr>
            </w:pPr>
            <w:r>
              <w:rPr>
                <w:rFonts w:hint="eastAsia" w:ascii="宋体" w:hAnsi="宋体" w:eastAsia="宋体" w:cs="宋体"/>
                <w:sz w:val="24"/>
                <w:szCs w:val="24"/>
              </w:rPr>
              <w:t>资格证明文件</w:t>
            </w:r>
          </w:p>
        </w:tc>
        <w:tc>
          <w:tcPr>
            <w:tcW w:w="4394" w:type="dxa"/>
            <w:tcBorders>
              <w:top w:val="outset" w:color="DDDDDD" w:sz="6" w:space="0"/>
              <w:left w:val="outset" w:color="DDDDDD" w:sz="6" w:space="0"/>
              <w:bottom w:val="outset" w:color="DDDDDD" w:sz="6" w:space="0"/>
              <w:right w:val="outset" w:color="DDDDDD" w:sz="6" w:space="0"/>
            </w:tcBorders>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有/无</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79" w:hRule="atLeast"/>
          <w:tblCellSpacing w:w="0" w:type="dxa"/>
        </w:trPr>
        <w:tc>
          <w:tcPr>
            <w:tcW w:w="4948" w:type="dxa"/>
            <w:tcBorders>
              <w:top w:val="outset" w:color="DDDDDD" w:sz="6" w:space="0"/>
              <w:left w:val="outset" w:color="DDDDDD" w:sz="6" w:space="0"/>
              <w:bottom w:val="outset" w:color="DDDDDD" w:sz="6" w:space="0"/>
              <w:right w:val="outset" w:color="DDDDDD" w:sz="6" w:space="0"/>
            </w:tcBorders>
            <w:vAlign w:val="center"/>
          </w:tcPr>
          <w:p>
            <w:pPr>
              <w:spacing w:line="540" w:lineRule="exact"/>
              <w:rPr>
                <w:rFonts w:ascii="宋体" w:hAnsi="宋体" w:eastAsia="宋体" w:cs="宋体"/>
                <w:sz w:val="24"/>
                <w:szCs w:val="24"/>
              </w:rPr>
            </w:pPr>
            <w:r>
              <w:rPr>
                <w:rFonts w:hint="eastAsia" w:ascii="宋体" w:hAnsi="宋体" w:eastAsia="宋体" w:cs="宋体"/>
                <w:sz w:val="24"/>
                <w:szCs w:val="24"/>
              </w:rPr>
              <w:t>技术文件</w:t>
            </w:r>
          </w:p>
        </w:tc>
        <w:tc>
          <w:tcPr>
            <w:tcW w:w="4394" w:type="dxa"/>
            <w:tcBorders>
              <w:top w:val="outset" w:color="DDDDDD" w:sz="6" w:space="0"/>
              <w:left w:val="outset" w:color="DDDDDD" w:sz="6" w:space="0"/>
              <w:bottom w:val="outset" w:color="DDDDDD" w:sz="6" w:space="0"/>
              <w:right w:val="outset" w:color="DDDDDD" w:sz="6" w:space="0"/>
            </w:tcBorders>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有/无</w:t>
            </w:r>
          </w:p>
        </w:tc>
      </w:tr>
      <w:tr>
        <w:tblPrEx>
          <w:tblBorders>
            <w:top w:val="outset" w:color="DDDDDD" w:sz="6" w:space="0"/>
            <w:left w:val="outset" w:color="DDDDDD" w:sz="6" w:space="0"/>
            <w:bottom w:val="outset" w:color="DDDDDD" w:sz="6" w:space="0"/>
            <w:right w:val="outset" w:color="DDDDDD" w:sz="6" w:space="0"/>
            <w:insideH w:val="none" w:color="auto" w:sz="0" w:space="0"/>
            <w:insideV w:val="none" w:color="auto" w:sz="0" w:space="0"/>
          </w:tblBorders>
          <w:tblCellMar>
            <w:top w:w="15" w:type="dxa"/>
            <w:left w:w="15" w:type="dxa"/>
            <w:bottom w:w="15" w:type="dxa"/>
            <w:right w:w="15" w:type="dxa"/>
          </w:tblCellMar>
        </w:tblPrEx>
        <w:trPr>
          <w:trHeight w:val="479" w:hRule="atLeast"/>
          <w:tblCellSpacing w:w="0" w:type="dxa"/>
        </w:trPr>
        <w:tc>
          <w:tcPr>
            <w:tcW w:w="4948" w:type="dxa"/>
            <w:tcBorders>
              <w:top w:val="outset" w:color="DDDDDD" w:sz="6" w:space="0"/>
              <w:left w:val="outset" w:color="DDDDDD" w:sz="6" w:space="0"/>
              <w:bottom w:val="outset" w:color="DDDDDD" w:sz="6" w:space="0"/>
              <w:right w:val="outset" w:color="DDDDDD" w:sz="6" w:space="0"/>
            </w:tcBorders>
            <w:vAlign w:val="center"/>
          </w:tcPr>
          <w:p>
            <w:pPr>
              <w:spacing w:line="540" w:lineRule="exact"/>
              <w:rPr>
                <w:rFonts w:ascii="宋体" w:hAnsi="宋体" w:eastAsia="宋体" w:cs="宋体"/>
                <w:sz w:val="24"/>
                <w:szCs w:val="24"/>
              </w:rPr>
            </w:pPr>
            <w:r>
              <w:rPr>
                <w:rFonts w:hint="eastAsia" w:ascii="宋体" w:hAnsi="宋体" w:eastAsia="宋体" w:cs="宋体"/>
                <w:sz w:val="24"/>
                <w:szCs w:val="24"/>
              </w:rPr>
              <w:t>投标分项报价表</w:t>
            </w:r>
          </w:p>
        </w:tc>
        <w:tc>
          <w:tcPr>
            <w:tcW w:w="4394" w:type="dxa"/>
            <w:tcBorders>
              <w:top w:val="outset" w:color="DDDDDD" w:sz="6" w:space="0"/>
              <w:left w:val="outset" w:color="DDDDDD" w:sz="6" w:space="0"/>
              <w:bottom w:val="outset" w:color="DDDDDD" w:sz="6" w:space="0"/>
              <w:right w:val="outset" w:color="DDDDDD" w:sz="6" w:space="0"/>
            </w:tcBorders>
            <w:vAlign w:val="center"/>
          </w:tcPr>
          <w:p>
            <w:pPr>
              <w:spacing w:line="540" w:lineRule="exact"/>
              <w:jc w:val="center"/>
              <w:rPr>
                <w:rFonts w:ascii="宋体" w:hAnsi="宋体" w:eastAsia="宋体" w:cs="宋体"/>
                <w:sz w:val="24"/>
                <w:szCs w:val="24"/>
              </w:rPr>
            </w:pPr>
            <w:r>
              <w:rPr>
                <w:rFonts w:hint="eastAsia" w:ascii="宋体" w:hAnsi="宋体" w:eastAsia="宋体" w:cs="宋体"/>
                <w:sz w:val="24"/>
                <w:szCs w:val="24"/>
              </w:rPr>
              <w:t>有/无</w:t>
            </w:r>
          </w:p>
        </w:tc>
      </w:tr>
    </w:tbl>
    <w:p>
      <w:pPr>
        <w:widowControl/>
        <w:spacing w:line="360" w:lineRule="auto"/>
        <w:jc w:val="center"/>
        <w:outlineLvl w:val="0"/>
        <w:rPr>
          <w:rFonts w:ascii="宋体" w:hAnsi="宋体" w:eastAsia="宋体" w:cs="宋体"/>
          <w:b/>
          <w:bCs/>
          <w:sz w:val="30"/>
          <w:szCs w:val="30"/>
        </w:rPr>
      </w:pPr>
    </w:p>
    <w:bookmarkEnd w:id="82"/>
    <w:p>
      <w:pPr>
        <w:spacing w:line="360" w:lineRule="auto"/>
        <w:jc w:val="center"/>
        <w:outlineLvl w:val="1"/>
        <w:rPr>
          <w:rFonts w:ascii="宋体" w:hAnsi="宋体" w:eastAsia="宋体" w:cs="宋体"/>
          <w:b/>
          <w:sz w:val="28"/>
          <w:szCs w:val="28"/>
        </w:rPr>
        <w:sectPr>
          <w:pgSz w:w="11906" w:h="16838"/>
          <w:pgMar w:top="1440" w:right="1800" w:bottom="1440" w:left="1800" w:header="851" w:footer="617" w:gutter="0"/>
          <w:cols w:space="720" w:num="1"/>
          <w:docGrid w:type="linesAndChars" w:linePitch="312" w:charSpace="0"/>
        </w:sectPr>
      </w:pPr>
      <w:bookmarkStart w:id="88" w:name="_Toc6976882"/>
      <w:bookmarkStart w:id="89" w:name="_Toc535299989"/>
    </w:p>
    <w:p>
      <w:pPr>
        <w:spacing w:line="360" w:lineRule="auto"/>
        <w:jc w:val="center"/>
        <w:outlineLvl w:val="1"/>
        <w:rPr>
          <w:rFonts w:ascii="宋体" w:hAnsi="宋体" w:eastAsia="宋体" w:cs="宋体"/>
          <w:b/>
          <w:sz w:val="28"/>
          <w:szCs w:val="28"/>
        </w:rPr>
      </w:pPr>
      <w:bookmarkStart w:id="90" w:name="_Toc435171557"/>
      <w:bookmarkStart w:id="91" w:name="_Toc140248681"/>
      <w:bookmarkStart w:id="92" w:name="_Toc155100545"/>
      <w:r>
        <w:rPr>
          <w:rFonts w:hint="eastAsia" w:ascii="宋体" w:hAnsi="宋体" w:eastAsia="宋体" w:cs="宋体"/>
          <w:b/>
          <w:sz w:val="28"/>
          <w:szCs w:val="28"/>
        </w:rPr>
        <w:t>评审标准</w:t>
      </w:r>
      <w:bookmarkEnd w:id="90"/>
      <w:bookmarkEnd w:id="91"/>
      <w:bookmarkEnd w:id="92"/>
    </w:p>
    <w:tbl>
      <w:tblPr>
        <w:tblStyle w:val="40"/>
        <w:tblW w:w="10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18"/>
        <w:gridCol w:w="1701"/>
        <w:gridCol w:w="72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1418" w:type="dxa"/>
            <w:tcBorders>
              <w:bottom w:val="single" w:color="auto" w:sz="4" w:space="0"/>
              <w:right w:val="single" w:color="auto" w:sz="4" w:space="0"/>
            </w:tcBorders>
            <w:vAlign w:val="center"/>
          </w:tcPr>
          <w:p>
            <w:pPr>
              <w:widowControl/>
              <w:spacing w:before="100" w:beforeAutospacing="1" w:after="100" w:afterAutospacing="1" w:line="360" w:lineRule="auto"/>
              <w:jc w:val="center"/>
              <w:rPr>
                <w:rFonts w:hAnsi="宋体" w:cs="宋体"/>
                <w:sz w:val="24"/>
                <w:szCs w:val="24"/>
              </w:rPr>
            </w:pPr>
            <w:r>
              <w:rPr>
                <w:rFonts w:hint="eastAsia" w:hAnsi="宋体" w:cs="宋体"/>
                <w:sz w:val="24"/>
                <w:szCs w:val="24"/>
              </w:rPr>
              <w:t>评审因素</w:t>
            </w:r>
          </w:p>
        </w:tc>
        <w:tc>
          <w:tcPr>
            <w:tcW w:w="8940" w:type="dxa"/>
            <w:gridSpan w:val="2"/>
            <w:tcBorders>
              <w:left w:val="single" w:color="auto" w:sz="4" w:space="0"/>
              <w:bottom w:val="single" w:color="auto" w:sz="4" w:space="0"/>
            </w:tcBorders>
            <w:vAlign w:val="center"/>
          </w:tcPr>
          <w:p>
            <w:pPr>
              <w:widowControl/>
              <w:spacing w:before="100" w:beforeAutospacing="1" w:after="100" w:afterAutospacing="1" w:line="360" w:lineRule="auto"/>
              <w:ind w:firstLine="3360" w:firstLineChars="1400"/>
              <w:rPr>
                <w:rFonts w:hAnsi="宋体" w:cs="宋体"/>
                <w:sz w:val="24"/>
                <w:szCs w:val="24"/>
              </w:rPr>
            </w:pPr>
            <w:r>
              <w:rPr>
                <w:rFonts w:hint="eastAsia" w:hAnsi="宋体" w:cs="宋体"/>
                <w:sz w:val="24"/>
                <w:szCs w:val="24"/>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18" w:type="dxa"/>
            <w:tcBorders>
              <w:top w:val="single" w:color="auto" w:sz="4" w:space="0"/>
              <w:bottom w:val="single" w:color="auto" w:sz="4" w:space="0"/>
              <w:right w:val="single" w:color="auto" w:sz="4" w:space="0"/>
            </w:tcBorders>
            <w:vAlign w:val="center"/>
          </w:tcPr>
          <w:p>
            <w:pPr>
              <w:autoSpaceDE w:val="0"/>
              <w:autoSpaceDN w:val="0"/>
              <w:adjustRightInd w:val="0"/>
              <w:spacing w:before="28" w:line="360" w:lineRule="auto"/>
              <w:ind w:right="34"/>
              <w:jc w:val="center"/>
              <w:rPr>
                <w:rFonts w:hAnsi="宋体" w:cs="宋体"/>
                <w:sz w:val="24"/>
                <w:szCs w:val="24"/>
              </w:rPr>
            </w:pPr>
            <w:r>
              <w:rPr>
                <w:rFonts w:hint="eastAsia" w:hAnsi="宋体" w:cs="宋体"/>
                <w:sz w:val="24"/>
                <w:szCs w:val="24"/>
              </w:rPr>
              <w:t>价格分</w:t>
            </w:r>
          </w:p>
          <w:p>
            <w:pPr>
              <w:autoSpaceDE w:val="0"/>
              <w:autoSpaceDN w:val="0"/>
              <w:adjustRightInd w:val="0"/>
              <w:spacing w:before="28" w:line="360" w:lineRule="auto"/>
              <w:ind w:right="34"/>
              <w:jc w:val="center"/>
              <w:rPr>
                <w:rFonts w:hAnsi="宋体" w:cs="宋体"/>
                <w:sz w:val="24"/>
                <w:szCs w:val="24"/>
              </w:rPr>
            </w:pPr>
            <w:r>
              <w:rPr>
                <w:rFonts w:hint="eastAsia" w:hAnsi="宋体" w:cs="宋体"/>
                <w:sz w:val="24"/>
                <w:szCs w:val="24"/>
              </w:rPr>
              <w:t>（30分）</w:t>
            </w:r>
          </w:p>
        </w:tc>
        <w:tc>
          <w:tcPr>
            <w:tcW w:w="8940" w:type="dxa"/>
            <w:gridSpan w:val="2"/>
            <w:tcBorders>
              <w:top w:val="single" w:color="auto" w:sz="4" w:space="0"/>
              <w:left w:val="single" w:color="auto" w:sz="4" w:space="0"/>
              <w:bottom w:val="single" w:color="auto" w:sz="4" w:space="0"/>
            </w:tcBorders>
            <w:vAlign w:val="center"/>
          </w:tcPr>
          <w:p>
            <w:pPr>
              <w:widowControl/>
              <w:spacing w:line="360" w:lineRule="auto"/>
              <w:jc w:val="left"/>
              <w:rPr>
                <w:rFonts w:hAnsi="宋体" w:cs="宋体"/>
                <w:sz w:val="24"/>
                <w:szCs w:val="24"/>
              </w:rPr>
            </w:pPr>
            <w:r>
              <w:rPr>
                <w:rFonts w:hint="eastAsia" w:hAnsi="宋体" w:cs="宋体"/>
                <w:sz w:val="24"/>
                <w:szCs w:val="24"/>
              </w:rPr>
              <w:t>价格分采用低价优先法计算，即满足招标文件要求且投标价格最低的投标报价为评标基准价，其价格分为满分。其他投标人的价格分统一按下列公式计算：投标报价得分=（评标基准价/投标报价）×30分；计算结果保留至小数点后两位。</w:t>
            </w:r>
          </w:p>
          <w:p>
            <w:pPr>
              <w:widowControl/>
              <w:spacing w:line="360" w:lineRule="auto"/>
              <w:jc w:val="left"/>
              <w:rPr>
                <w:rFonts w:hAnsi="宋体" w:cs="宋体"/>
                <w:b/>
                <w:bCs/>
                <w:sz w:val="24"/>
                <w:szCs w:val="24"/>
              </w:rPr>
            </w:pPr>
            <w:r>
              <w:rPr>
                <w:rFonts w:hint="eastAsia" w:hAnsi="宋体" w:cs="宋体"/>
                <w:b/>
                <w:bCs/>
                <w:sz w:val="24"/>
                <w:szCs w:val="24"/>
              </w:rPr>
              <w:t>注：①对小型和微型企业提供的产品（货物）、服务价格给予 10%的扣除，用扣除后的价格参与评审。(需提供中小企业声明函）供应商提供《中小企业声明函》内容不实的，属于“提供虚假材料谋求中标、成交的”情形，依照《政府采购法》的有关规定追究相应责任。</w:t>
            </w:r>
          </w:p>
          <w:p>
            <w:pPr>
              <w:widowControl/>
              <w:spacing w:line="360" w:lineRule="auto"/>
              <w:jc w:val="left"/>
              <w:rPr>
                <w:rFonts w:hAnsi="宋体" w:cs="宋体"/>
                <w:sz w:val="24"/>
                <w:szCs w:val="24"/>
              </w:rPr>
            </w:pPr>
            <w:r>
              <w:rPr>
                <w:rFonts w:hint="eastAsia" w:hAnsi="宋体" w:cs="宋体"/>
                <w:b/>
                <w:bCs/>
                <w:sz w:val="24"/>
                <w:szCs w:val="24"/>
              </w:rPr>
              <w:t>②如某个投标人的投标报价明显低于其它投标人的投标报价且有可能低于成本价的，评标委员会可要求该投标人在规定的时间内做出澄清，如不能做出合理解释，评标委员会可认定其为恶意低价竞争，从而否决其投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9" w:hRule="atLeast"/>
          <w:jc w:val="center"/>
        </w:trPr>
        <w:tc>
          <w:tcPr>
            <w:tcW w:w="1418"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hAnsi="宋体" w:cs="宋体"/>
                <w:sz w:val="24"/>
                <w:szCs w:val="24"/>
              </w:rPr>
            </w:pPr>
            <w:r>
              <w:rPr>
                <w:rFonts w:hint="eastAsia" w:hAnsi="宋体" w:cs="宋体"/>
                <w:sz w:val="24"/>
                <w:szCs w:val="24"/>
              </w:rPr>
              <w:t>技术分</w:t>
            </w:r>
          </w:p>
          <w:p>
            <w:pPr>
              <w:widowControl/>
              <w:spacing w:line="360" w:lineRule="auto"/>
              <w:jc w:val="center"/>
              <w:rPr>
                <w:rFonts w:hAnsi="宋体" w:cs="宋体"/>
                <w:sz w:val="24"/>
                <w:szCs w:val="24"/>
              </w:rPr>
            </w:pPr>
            <w:r>
              <w:rPr>
                <w:rFonts w:hint="eastAsia" w:hAnsi="宋体" w:cs="宋体"/>
                <w:sz w:val="24"/>
                <w:szCs w:val="24"/>
              </w:rPr>
              <w:t>（44分）</w:t>
            </w:r>
          </w:p>
        </w:tc>
        <w:tc>
          <w:tcPr>
            <w:tcW w:w="1701" w:type="dxa"/>
            <w:tcBorders>
              <w:top w:val="single" w:color="auto" w:sz="4" w:space="0"/>
              <w:left w:val="single" w:color="auto" w:sz="4" w:space="0"/>
              <w:right w:val="single" w:color="auto" w:sz="4" w:space="0"/>
            </w:tcBorders>
            <w:vAlign w:val="center"/>
          </w:tcPr>
          <w:p>
            <w:pPr>
              <w:autoSpaceDE w:val="0"/>
              <w:autoSpaceDN w:val="0"/>
              <w:adjustRightInd w:val="0"/>
              <w:spacing w:before="28" w:line="360" w:lineRule="auto"/>
              <w:ind w:right="34"/>
              <w:jc w:val="center"/>
              <w:rPr>
                <w:rFonts w:hAnsi="宋体" w:cs="宋体"/>
                <w:sz w:val="24"/>
                <w:szCs w:val="24"/>
              </w:rPr>
            </w:pPr>
            <w:r>
              <w:rPr>
                <w:rFonts w:hint="eastAsia" w:hAnsi="宋体" w:cs="宋体"/>
                <w:sz w:val="24"/>
                <w:szCs w:val="24"/>
              </w:rPr>
              <w:t>技术参数基本项(符合性)</w:t>
            </w:r>
          </w:p>
        </w:tc>
        <w:tc>
          <w:tcPr>
            <w:tcW w:w="7239" w:type="dxa"/>
            <w:tcBorders>
              <w:top w:val="single" w:color="auto" w:sz="4" w:space="0"/>
              <w:left w:val="single" w:color="auto" w:sz="4" w:space="0"/>
            </w:tcBorders>
          </w:tcPr>
          <w:p>
            <w:pPr>
              <w:widowControl/>
              <w:spacing w:line="360" w:lineRule="auto"/>
              <w:jc w:val="left"/>
              <w:rPr>
                <w:rFonts w:hAnsi="宋体" w:cs="宋体"/>
                <w:bCs/>
                <w:sz w:val="24"/>
                <w:szCs w:val="24"/>
              </w:rPr>
            </w:pPr>
            <w:r>
              <w:rPr>
                <w:rFonts w:hint="eastAsia" w:hAnsi="宋体" w:cs="宋体"/>
                <w:bCs/>
                <w:sz w:val="24"/>
                <w:szCs w:val="24"/>
              </w:rPr>
              <w:t>必须全部满足招标文件采购技术参数要求，否则作无效投标处理。</w:t>
            </w:r>
          </w:p>
          <w:p>
            <w:pPr>
              <w:widowControl/>
              <w:spacing w:line="360" w:lineRule="auto"/>
              <w:jc w:val="left"/>
              <w:rPr>
                <w:rFonts w:hAnsi="宋体" w:cs="宋体"/>
                <w:sz w:val="24"/>
                <w:szCs w:val="24"/>
              </w:rPr>
            </w:pPr>
            <w:r>
              <w:rPr>
                <w:rFonts w:hint="eastAsia" w:hAnsi="宋体" w:cs="宋体"/>
                <w:b/>
                <w:bCs/>
                <w:sz w:val="24"/>
                <w:szCs w:val="24"/>
              </w:rPr>
              <w:t>评审依据：投标文件中提供的技术规格响应/偏离表。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8" w:hRule="atLeast"/>
          <w:jc w:val="center"/>
        </w:trPr>
        <w:tc>
          <w:tcPr>
            <w:tcW w:w="1418" w:type="dxa"/>
            <w:vMerge w:val="continue"/>
            <w:tcBorders>
              <w:left w:val="single" w:color="auto" w:sz="4" w:space="0"/>
              <w:right w:val="single" w:color="auto" w:sz="4" w:space="0"/>
            </w:tcBorders>
            <w:vAlign w:val="center"/>
          </w:tcPr>
          <w:p>
            <w:pPr>
              <w:autoSpaceDE w:val="0"/>
              <w:autoSpaceDN w:val="0"/>
              <w:adjustRightInd w:val="0"/>
              <w:spacing w:before="28" w:line="360" w:lineRule="auto"/>
              <w:ind w:right="34"/>
              <w:jc w:val="left"/>
              <w:rPr>
                <w:rFonts w:hAnsi="宋体" w:cs="宋体"/>
                <w:sz w:val="24"/>
                <w:szCs w:val="24"/>
              </w:rPr>
            </w:pPr>
          </w:p>
        </w:tc>
        <w:tc>
          <w:tcPr>
            <w:tcW w:w="1701"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hAnsi="宋体" w:cs="宋体"/>
                <w:sz w:val="24"/>
                <w:szCs w:val="24"/>
              </w:rPr>
            </w:pPr>
            <w:r>
              <w:rPr>
                <w:rFonts w:hint="eastAsia" w:hAnsi="宋体" w:cs="宋体"/>
                <w:sz w:val="24"/>
                <w:szCs w:val="24"/>
              </w:rPr>
              <w:t>成品质量</w:t>
            </w:r>
          </w:p>
          <w:p>
            <w:pPr>
              <w:widowControl/>
              <w:spacing w:line="360" w:lineRule="auto"/>
              <w:jc w:val="center"/>
              <w:rPr>
                <w:rFonts w:hAnsi="宋体" w:cs="宋体"/>
                <w:sz w:val="24"/>
                <w:szCs w:val="24"/>
              </w:rPr>
            </w:pPr>
            <w:r>
              <w:rPr>
                <w:rFonts w:hint="eastAsia" w:hAnsi="宋体" w:cs="宋体"/>
                <w:sz w:val="24"/>
                <w:szCs w:val="24"/>
              </w:rPr>
              <w:t>（14分）</w:t>
            </w:r>
          </w:p>
        </w:tc>
        <w:tc>
          <w:tcPr>
            <w:tcW w:w="7239" w:type="dxa"/>
            <w:tcBorders>
              <w:top w:val="single" w:color="auto" w:sz="4" w:space="0"/>
              <w:left w:val="single" w:color="auto" w:sz="4" w:space="0"/>
            </w:tcBorders>
          </w:tcPr>
          <w:p>
            <w:pPr>
              <w:widowControl/>
              <w:spacing w:line="360" w:lineRule="auto"/>
              <w:rPr>
                <w:rFonts w:hAnsi="宋体" w:cs="宋体"/>
                <w:bCs/>
                <w:color w:val="FF0000"/>
                <w:sz w:val="24"/>
                <w:szCs w:val="24"/>
              </w:rPr>
            </w:pPr>
            <w:r>
              <w:rPr>
                <w:rFonts w:hint="eastAsia" w:hAnsi="宋体" w:cs="宋体"/>
                <w:bCs/>
                <w:sz w:val="24"/>
                <w:szCs w:val="24"/>
              </w:rPr>
              <w:t>1.</w:t>
            </w:r>
            <w:r>
              <w:rPr>
                <w:rFonts w:hint="eastAsia" w:hAnsi="宋体" w:cs="宋体"/>
                <w:b/>
                <w:sz w:val="24"/>
                <w:szCs w:val="24"/>
              </w:rPr>
              <w:t>办公桌</w:t>
            </w:r>
            <w:r>
              <w:rPr>
                <w:rFonts w:hint="eastAsia" w:hAnsi="宋体" w:cs="宋体"/>
                <w:bCs/>
                <w:sz w:val="24"/>
                <w:szCs w:val="24"/>
              </w:rPr>
              <w:t>：符合GB/T 3324-2017、GB18584-2001、QB/T 4371-2012、GB/T1741-2020标准检测：甲醛释放量≤0.1mg/L，金属拉手耐腐蚀性（试验时间：≥800h），漆膜耐液性（试验时间：≥500h），不低于1级，漆膜抗冲击（冲击高度：≥80mm），不低于1级，重金属含量（可溶性铅、镉、铬、汞）≤5mg/kg，桌类强度和耐久性、桌面持续垂直静载荷、桌面垂直冲击、水平静载荷试验、桌腿跌落，桌面水平耐久性（试验时间：≥15万次）。耐霉菌等级（多主枝孢（蜡叶芽枝霉）、土曲霉、黑曲霉、桔青霉、链格孢、光孢短柄帚霉、球毛壳）达到1级。抗菌性能（金黄色葡萄球菌、大肠杆菌）≥99%。</w:t>
            </w:r>
          </w:p>
          <w:p>
            <w:pPr>
              <w:widowControl/>
              <w:spacing w:line="360" w:lineRule="auto"/>
              <w:jc w:val="left"/>
              <w:rPr>
                <w:rFonts w:hAnsi="宋体" w:cs="宋体"/>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418" w:type="dxa"/>
            <w:vMerge w:val="continue"/>
            <w:tcBorders>
              <w:left w:val="single" w:color="auto" w:sz="4" w:space="0"/>
              <w:right w:val="single" w:color="auto" w:sz="4" w:space="0"/>
            </w:tcBorders>
            <w:vAlign w:val="center"/>
          </w:tcPr>
          <w:p>
            <w:pPr>
              <w:autoSpaceDE w:val="0"/>
              <w:autoSpaceDN w:val="0"/>
              <w:adjustRightInd w:val="0"/>
              <w:spacing w:before="28" w:line="360" w:lineRule="auto"/>
              <w:ind w:right="34"/>
              <w:jc w:val="left"/>
              <w:rPr>
                <w:rFonts w:hAnsi="宋体" w:cs="宋体"/>
                <w:sz w:val="24"/>
                <w:szCs w:val="24"/>
              </w:rPr>
            </w:pPr>
          </w:p>
        </w:tc>
        <w:tc>
          <w:tcPr>
            <w:tcW w:w="1701" w:type="dxa"/>
            <w:vMerge w:val="continue"/>
            <w:tcBorders>
              <w:left w:val="single" w:color="auto" w:sz="4" w:space="0"/>
              <w:right w:val="single" w:color="auto" w:sz="4" w:space="0"/>
            </w:tcBorders>
          </w:tcPr>
          <w:p>
            <w:pPr>
              <w:widowControl/>
              <w:spacing w:line="360" w:lineRule="auto"/>
              <w:jc w:val="center"/>
              <w:rPr>
                <w:rFonts w:hAnsi="宋体" w:cs="宋体"/>
                <w:sz w:val="24"/>
                <w:szCs w:val="24"/>
              </w:rPr>
            </w:pPr>
          </w:p>
        </w:tc>
        <w:tc>
          <w:tcPr>
            <w:tcW w:w="7239" w:type="dxa"/>
            <w:tcBorders>
              <w:top w:val="single" w:color="auto" w:sz="4" w:space="0"/>
              <w:left w:val="single" w:color="auto" w:sz="4" w:space="0"/>
            </w:tcBorders>
          </w:tcPr>
          <w:p>
            <w:pPr>
              <w:widowControl/>
              <w:spacing w:line="360" w:lineRule="auto"/>
              <w:jc w:val="left"/>
              <w:rPr>
                <w:rFonts w:hAnsi="宋体" w:cs="宋体"/>
                <w:bCs/>
                <w:sz w:val="24"/>
                <w:szCs w:val="24"/>
              </w:rPr>
            </w:pPr>
            <w:r>
              <w:rPr>
                <w:rFonts w:hint="eastAsia" w:hAnsi="宋体" w:cs="宋体"/>
                <w:bCs/>
                <w:sz w:val="24"/>
                <w:szCs w:val="24"/>
              </w:rPr>
              <w:t>2.办公椅：符合GB/T 3324-2017、GB18584-2001、GB/T 1741-2020、QB/T 4371-2012、标准检测：座面、椅背耐久性(≥20万次)，甲醛释放量≤0.1mg/L。耐霉菌等级（多主枝孢（蜡叶芽枝霉）、土曲霉、黑曲霉、桔青霉、链格孢、光孢短柄帚霉、球毛壳、绳状青霉，宛氏拟青霉）达到1级，抗菌性能（金黄色葡萄球菌、大肠杆菌）≥99%。</w:t>
            </w:r>
          </w:p>
          <w:p>
            <w:pPr>
              <w:widowControl/>
              <w:spacing w:line="360" w:lineRule="auto"/>
              <w:jc w:val="left"/>
              <w:rPr>
                <w:rFonts w:hAnsi="宋体" w:cs="宋体"/>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0"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3.</w:t>
            </w:r>
            <w:r>
              <w:rPr>
                <w:rFonts w:hint="eastAsia" w:hAnsi="宋体" w:cs="宋体"/>
                <w:b/>
                <w:sz w:val="24"/>
                <w:szCs w:val="24"/>
              </w:rPr>
              <w:t>会议桌</w:t>
            </w:r>
            <w:r>
              <w:rPr>
                <w:rFonts w:hint="eastAsia" w:hAnsi="宋体" w:cs="宋体"/>
                <w:bCs/>
                <w:sz w:val="24"/>
                <w:szCs w:val="24"/>
              </w:rPr>
              <w:t>：符合 GB 18584-2001、GB/T 3324-2017、标准检测：平整度 面板、正视面板件≤0.10mm，漆膜耐液性(试验时间：≥200h），不低于1级，重金属含量（可溶性铅、镉、铬、汞）≤5mg/kg，</w:t>
            </w:r>
          </w:p>
          <w:p>
            <w:pPr>
              <w:widowControl/>
              <w:spacing w:line="360" w:lineRule="auto"/>
              <w:rPr>
                <w:rFonts w:hAnsi="宋体" w:cs="宋体"/>
                <w:bCs/>
                <w:sz w:val="24"/>
                <w:szCs w:val="24"/>
              </w:rPr>
            </w:pPr>
            <w:r>
              <w:rPr>
                <w:rFonts w:hint="eastAsia" w:hAnsi="宋体" w:cs="宋体"/>
                <w:bCs/>
                <w:sz w:val="24"/>
                <w:szCs w:val="24"/>
              </w:rPr>
              <w:t>桌面水平耐久性（试验次数：≥12万次)，甲醛释放量≤0.1mg/L。</w:t>
            </w:r>
          </w:p>
          <w:p>
            <w:pPr>
              <w:widowControl/>
              <w:spacing w:line="360" w:lineRule="auto"/>
              <w:jc w:val="left"/>
              <w:rPr>
                <w:rFonts w:hAnsi="宋体" w:cs="宋体"/>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68"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tcPr>
          <w:p>
            <w:pPr>
              <w:widowControl/>
              <w:spacing w:line="360" w:lineRule="auto"/>
              <w:rPr>
                <w:rFonts w:hAnsi="宋体" w:cs="宋体"/>
                <w:sz w:val="24"/>
                <w:szCs w:val="24"/>
                <w:highlight w:val="red"/>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4.</w:t>
            </w:r>
            <w:r>
              <w:rPr>
                <w:rFonts w:hint="eastAsia" w:hAnsi="宋体" w:cs="宋体"/>
                <w:b/>
                <w:sz w:val="24"/>
                <w:szCs w:val="24"/>
              </w:rPr>
              <w:t>会议椅</w:t>
            </w:r>
            <w:r>
              <w:rPr>
                <w:rFonts w:hint="eastAsia" w:hAnsi="宋体" w:cs="宋体"/>
                <w:bCs/>
                <w:sz w:val="24"/>
                <w:szCs w:val="24"/>
              </w:rPr>
              <w:t>：符合QB/T 2280-2016、GB/T 1741-2020、QB/T 4371-2012、标准检测：座面、椅背耐久性 ≥20万次，软质聚氨酯泡沫塑料密度座面≥40kg/m3，甲醛释放量≤0.03mg/ m²h。耐霉菌等级（绳状青霉，宛氏拟青霉，桔青霉）达到1级，抗菌性能（金黄色葡萄球菌、大肠杆菌）≥99%。</w:t>
            </w:r>
          </w:p>
          <w:p>
            <w:pPr>
              <w:widowControl/>
              <w:spacing w:line="360" w:lineRule="auto"/>
              <w:jc w:val="left"/>
              <w:rPr>
                <w:rFonts w:hAnsi="宋体" w:cs="宋体"/>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jc w:val="left"/>
              <w:rPr>
                <w:rFonts w:hAnsi="宋体" w:cs="宋体"/>
                <w:bCs/>
                <w:sz w:val="24"/>
                <w:szCs w:val="24"/>
              </w:rPr>
            </w:pPr>
            <w:r>
              <w:rPr>
                <w:rFonts w:hint="eastAsia" w:hAnsi="宋体" w:cs="宋体"/>
                <w:bCs/>
                <w:sz w:val="24"/>
                <w:szCs w:val="24"/>
              </w:rPr>
              <w:t>5.</w:t>
            </w:r>
            <w:r>
              <w:rPr>
                <w:rFonts w:hint="eastAsia" w:hAnsi="宋体" w:cs="宋体"/>
                <w:b/>
                <w:sz w:val="24"/>
                <w:szCs w:val="24"/>
              </w:rPr>
              <w:t>条形桌</w:t>
            </w:r>
            <w:r>
              <w:rPr>
                <w:rFonts w:hint="eastAsia" w:hAnsi="宋体" w:cs="宋体"/>
                <w:bCs/>
                <w:sz w:val="24"/>
                <w:szCs w:val="24"/>
              </w:rPr>
              <w:t>：符合  GB 18584-2001、GB/T 3324-2017、QB/T 4371-2012、GB/T1741-2020、标准检测：平整度，面板、正视面板件≤0.10mm，底脚平稳性≤0.5mm，漆膜耐液性(试验时间：≥200h），不低于1级，桌面水平耐久性（试验次数：≥12万次)，甲醛释放量≤0.1mg/L，</w:t>
            </w:r>
          </w:p>
          <w:p>
            <w:pPr>
              <w:widowControl/>
              <w:spacing w:line="360" w:lineRule="auto"/>
              <w:jc w:val="left"/>
              <w:rPr>
                <w:rFonts w:hAnsi="宋体" w:cs="宋体"/>
                <w:bCs/>
                <w:sz w:val="24"/>
                <w:szCs w:val="24"/>
              </w:rPr>
            </w:pPr>
            <w:r>
              <w:rPr>
                <w:rFonts w:hint="eastAsia" w:hAnsi="宋体" w:cs="宋体"/>
                <w:bCs/>
                <w:sz w:val="24"/>
                <w:szCs w:val="24"/>
              </w:rPr>
              <w:t>,耐霉菌等级（黑曲霉，土曲霉，黄曲霉、长枝木霉、白色链霉、赭曲霉、光孢短柄帚霉）达到1级，抗菌性能（金黄色葡萄球菌、大肠杆菌）≥99%。</w:t>
            </w:r>
          </w:p>
          <w:p>
            <w:pPr>
              <w:widowControl/>
              <w:spacing w:line="360" w:lineRule="auto"/>
              <w:jc w:val="left"/>
              <w:rPr>
                <w:rFonts w:hAnsi="宋体" w:cs="宋体"/>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jc w:val="left"/>
              <w:rPr>
                <w:rFonts w:hAnsi="宋体" w:cs="宋体"/>
                <w:bCs/>
                <w:sz w:val="24"/>
                <w:szCs w:val="24"/>
              </w:rPr>
            </w:pPr>
            <w:r>
              <w:rPr>
                <w:rFonts w:hint="eastAsia" w:hAnsi="宋体" w:cs="宋体"/>
                <w:bCs/>
                <w:sz w:val="24"/>
                <w:szCs w:val="24"/>
              </w:rPr>
              <w:t>6.</w:t>
            </w:r>
            <w:r>
              <w:rPr>
                <w:rFonts w:hint="eastAsia" w:hAnsi="宋体" w:cs="宋体"/>
                <w:b/>
                <w:sz w:val="24"/>
                <w:szCs w:val="24"/>
              </w:rPr>
              <w:t>四人位阅览桌：</w:t>
            </w:r>
            <w:r>
              <w:rPr>
                <w:rFonts w:hint="eastAsia" w:hAnsi="宋体" w:cs="宋体"/>
                <w:bCs/>
                <w:sz w:val="24"/>
                <w:szCs w:val="24"/>
              </w:rPr>
              <w:t xml:space="preserve">符合GB/T 3324-2017《木家具通用技术条件》、GB/T 35607-2017《绿色产品评价家具》、GB18580-2017《室内装饰装修材料人造板及其制品中甲醛释放限量》、QB/T4371-2012《家具抗菌性能评价》标准检测：①外观要求：木制件外观、五金件外观、塑料件外观均符合要求②漆膜表面理化性能：耐液性≥1级、耐湿热≥1级、 耐干热≥1级、附着力≥0级、耐磨性≥1级、抗冲击≥2级③家具涂层可迁移元素：铅≤0.5mg/kg、镉≤0.03mg/kg、铬≤0.03mg/kg、汞≤0.2mg/kg、 锑≤0.4mg/kg、 钡≤0.6mg/kg、硒≤1.6mg/kg、砷≤1.5mg/kg④甲醛释放量≤0.011mg/m³⑤苯、甲苯、二甲苯均合格 ⑥总挥发性有机物≤0.05mg/m³，抗菌性能（大肠杆菌、金黄色葡萄球菌）抑菌率≥99%。 </w:t>
            </w:r>
          </w:p>
          <w:p>
            <w:pPr>
              <w:widowControl/>
              <w:spacing w:line="360" w:lineRule="auto"/>
              <w:jc w:val="left"/>
              <w:rPr>
                <w:rFonts w:hAnsi="宋体" w:cs="宋体"/>
                <w:b/>
                <w:bCs/>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jc w:val="left"/>
              <w:rPr>
                <w:rFonts w:hAnsi="宋体" w:cs="宋体"/>
                <w:bCs/>
                <w:sz w:val="24"/>
                <w:szCs w:val="24"/>
              </w:rPr>
            </w:pPr>
            <w:r>
              <w:rPr>
                <w:rFonts w:hint="eastAsia" w:hAnsi="宋体" w:cs="宋体"/>
                <w:bCs/>
                <w:sz w:val="24"/>
                <w:szCs w:val="24"/>
              </w:rPr>
              <w:t>7.</w:t>
            </w:r>
            <w:r>
              <w:rPr>
                <w:rFonts w:hint="eastAsia" w:hAnsi="宋体" w:cs="宋体"/>
                <w:b/>
                <w:sz w:val="24"/>
                <w:szCs w:val="24"/>
              </w:rPr>
              <w:t>实木阅览椅：</w:t>
            </w:r>
            <w:r>
              <w:rPr>
                <w:rFonts w:hint="eastAsia" w:hAnsi="宋体" w:cs="宋体"/>
                <w:bCs/>
                <w:sz w:val="24"/>
                <w:szCs w:val="24"/>
              </w:rPr>
              <w:t xml:space="preserve">符合GB/T 3324-2017《木家具通用技术条件》、GB/T 35607-2017《绿色产品评价家具》、GB18580-2017《室内装饰装修材料人造板及其制品中甲醛释放限量》、QB/T4371-2012《家具抗菌性能评价》《技术要求》标准检测：①外观要求：木制件外观符合要求②漆膜表面理化性能：耐液性≥1级、耐湿热≥1级、 耐干热≥1级、附着力≥0级、耐磨性≥1级、抗冲击≥2级③家具涂层可迁移元素：铅≤0.5mg/kg、镉≤0.03mg/kg、铬≤0.08mg/kg、汞≤0.3mg/kg、 锑≤0.4mg/kg、 钡≤2mg/kg、硒≤1.6mg/kg、砷≤1.5mg/kg④甲醛释放量≤0.01mg/m³⑤苯、甲苯、二甲苯均合格 ⑥总挥发性有机物≤0.05mg/m³，抗菌性能（大肠杆菌、金黄色葡萄球菌）抑菌率≥99%。 </w:t>
            </w:r>
          </w:p>
          <w:p>
            <w:pPr>
              <w:widowControl/>
              <w:spacing w:line="360" w:lineRule="auto"/>
              <w:jc w:val="left"/>
              <w:rPr>
                <w:rFonts w:hAnsi="宋体" w:cs="宋体"/>
                <w:b/>
                <w:bCs/>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。同时满足以上要求得2分，不满足或提供不全不得分。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8" w:hRule="atLeast"/>
          <w:jc w:val="center"/>
        </w:trPr>
        <w:tc>
          <w:tcPr>
            <w:tcW w:w="1418" w:type="dxa"/>
            <w:tcBorders>
              <w:left w:val="single" w:color="auto" w:sz="4" w:space="0"/>
              <w:bottom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tcBorders>
              <w:top w:val="single" w:color="auto" w:sz="4" w:space="0"/>
              <w:left w:val="single" w:color="auto" w:sz="4" w:space="0"/>
              <w:right w:val="single" w:color="auto" w:sz="4" w:space="0"/>
            </w:tcBorders>
            <w:vAlign w:val="center"/>
          </w:tcPr>
          <w:p>
            <w:pPr>
              <w:widowControl/>
              <w:spacing w:line="360" w:lineRule="auto"/>
              <w:jc w:val="center"/>
              <w:rPr>
                <w:rFonts w:hAnsi="宋体" w:cs="宋体"/>
                <w:sz w:val="24"/>
                <w:szCs w:val="24"/>
              </w:rPr>
            </w:pPr>
            <w:r>
              <w:rPr>
                <w:rFonts w:hint="eastAsia" w:hAnsi="宋体" w:cs="宋体"/>
                <w:sz w:val="24"/>
                <w:szCs w:val="24"/>
              </w:rPr>
              <w:t>产品原材料及配件（30分）</w:t>
            </w: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 xml:space="preserve">1. </w:t>
            </w:r>
            <w:r>
              <w:rPr>
                <w:rFonts w:hint="eastAsia" w:hAnsi="宋体" w:cs="宋体"/>
                <w:b/>
                <w:sz w:val="24"/>
                <w:szCs w:val="24"/>
              </w:rPr>
              <w:t>橡胶木板</w:t>
            </w:r>
            <w:r>
              <w:rPr>
                <w:rFonts w:hint="eastAsia" w:hAnsi="宋体" w:cs="宋体"/>
                <w:bCs/>
                <w:sz w:val="24"/>
                <w:szCs w:val="24"/>
              </w:rPr>
              <w:t>：符合GB/T 39600-2021、JC/T 2039-2010产品通过其中甲醛释放量≤0.010mg/m³,耐霉菌等级（黑曲霉，土曲霉，黄曲霉、腊叶芽霉、宛氏拟青霉、桔青霉、绿色木霉、出芽短梗霉）达到1级。同时满足以上检测项目得2分，缺少或不满足不得分。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2.</w:t>
            </w:r>
            <w:r>
              <w:rPr>
                <w:rFonts w:hint="eastAsia" w:hAnsi="宋体" w:cs="宋体"/>
                <w:b/>
                <w:sz w:val="24"/>
                <w:szCs w:val="24"/>
              </w:rPr>
              <w:t>生态板</w:t>
            </w:r>
            <w:r>
              <w:rPr>
                <w:rFonts w:hint="eastAsia" w:hAnsi="宋体" w:cs="宋体"/>
                <w:bCs/>
                <w:sz w:val="24"/>
                <w:szCs w:val="24"/>
              </w:rPr>
              <w:t>：符合GB/T 39600-2021《人造板及其制品甲醛释放量分级》、JC/T 2039-2010《抗菌防霉木质装饰板》产品通过其中①甲醛释放量≤0.011mg/m³②抗菌防霉性能(防霉菌等级)(黑曲霉、黄曲霉、腊叶芽霉、宛氏拟青霉、桔青霉、绿色木霉、土曲霉、出芽短梗霉)≥0级。 同时满足以上检测项目得2分，缺少或不满足不得分。</w:t>
            </w:r>
          </w:p>
          <w:p>
            <w:pPr>
              <w:widowControl/>
              <w:spacing w:line="360" w:lineRule="auto"/>
              <w:rPr>
                <w:rFonts w:hAnsi="宋体" w:cs="宋体"/>
                <w:bCs/>
                <w:sz w:val="24"/>
                <w:szCs w:val="24"/>
                <w:highlight w:val="yellow"/>
              </w:rPr>
            </w:pPr>
            <w:r>
              <w:rPr>
                <w:rFonts w:hint="eastAsia" w:hAnsi="宋体" w:cs="宋体"/>
                <w:bCs/>
                <w:sz w:val="24"/>
                <w:szCs w:val="24"/>
              </w:rPr>
              <w:t>3.</w:t>
            </w:r>
            <w:r>
              <w:rPr>
                <w:rFonts w:hint="eastAsia" w:hAnsi="宋体" w:cs="宋体"/>
                <w:b/>
                <w:sz w:val="24"/>
                <w:szCs w:val="24"/>
              </w:rPr>
              <w:t>多层板</w:t>
            </w:r>
            <w:r>
              <w:rPr>
                <w:rFonts w:hint="eastAsia" w:hAnsi="宋体" w:cs="宋体"/>
                <w:bCs/>
                <w:sz w:val="24"/>
                <w:szCs w:val="24"/>
              </w:rPr>
              <w:t>：符合GB/T 39600-2021《人造板及其制品甲醛释放量分级》、JC/T 2039-2010《抗菌防霉木质装饰板》产品通过其中①甲醛释放量≤0.018mg/m³②抗菌防霉性能(防霉菌等级)(黑曲霉、黄曲霉、腊叶芽霉、宛氏拟青霉、桔青霉、绿色木霉、土曲霉、出芽短梗霉)≥0级。 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4.</w:t>
            </w:r>
            <w:r>
              <w:rPr>
                <w:rFonts w:hint="eastAsia" w:hAnsi="宋体" w:cs="宋体"/>
                <w:b/>
                <w:sz w:val="24"/>
                <w:szCs w:val="24"/>
              </w:rPr>
              <w:t>实木床链接螺杆及螺母</w:t>
            </w:r>
            <w:r>
              <w:rPr>
                <w:rFonts w:hint="eastAsia" w:hAnsi="宋体" w:cs="宋体"/>
                <w:bCs/>
                <w:sz w:val="24"/>
                <w:szCs w:val="24"/>
              </w:rPr>
              <w:t>：符合GB/T 3325-2017《金属家具通用技术条件》QB/T 3832-1999《轻工产品金属镀层腐蚀试验结果的评价》QB/T 3827-1999《轻工产品金属镀层和化学处理层的耐腐蚀试验方法 乙酸盐雾试验（ASS）法》产品通过：乙酸盐雾连续喷雾≥600小时，涂层本身的耐腐蚀等级≥10级，涂层对基体的保护等级≥10级。同时满足以上检测项目得2分，缺少或不满足不得分。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5、</w:t>
            </w:r>
            <w:r>
              <w:rPr>
                <w:rFonts w:hint="eastAsia" w:hAnsi="宋体" w:cs="宋体"/>
                <w:b/>
                <w:sz w:val="24"/>
                <w:szCs w:val="24"/>
              </w:rPr>
              <w:t>三合一连接件</w:t>
            </w:r>
            <w:r>
              <w:rPr>
                <w:rFonts w:hint="eastAsia" w:hAnsi="宋体" w:cs="宋体"/>
                <w:bCs/>
                <w:sz w:val="24"/>
                <w:szCs w:val="24"/>
              </w:rPr>
              <w:t>：符合QB/T 3827-1999《轻工产品金属镀层和化学处理层的耐腐蚀试验方法乙酸盐雾试验（ASS）法》 QB/T3832-1999《轻工产品金属镀层腐蚀试验结果的评价》  GB/T3325-2017《金属家具通用技术条件》，产品通过：金属表面耐腐蚀：乙酸盐雾连续喷雾≥500小时，镀层本身的耐腐蚀等级≥9级，镀层对基体的保护等级≥9级。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6、</w:t>
            </w:r>
            <w:r>
              <w:rPr>
                <w:rFonts w:hint="eastAsia" w:hAnsi="宋体" w:cs="宋体"/>
                <w:b/>
                <w:sz w:val="24"/>
                <w:szCs w:val="24"/>
              </w:rPr>
              <w:t>五金件铰链</w:t>
            </w:r>
            <w:r>
              <w:rPr>
                <w:rFonts w:hint="eastAsia" w:hAnsi="宋体" w:cs="宋体"/>
                <w:bCs/>
                <w:sz w:val="24"/>
                <w:szCs w:val="24"/>
              </w:rPr>
              <w:t>：符合GB/T3325-2017《金属家具通用技术条件》、QB/T 3827-1999《轻工产品金属镀层和化学处理层的耐腐蚀试验方法 乙酸盐雾试验（ASS）法》、QB/T 3832-1999《轻工产品金属镀层腐蚀试验结果的评价》产品通过①金属件外观性能要求：冲压件应无脱层、裂缝；喷涂层涂层应无漏喷、锈蚀，应光滑均匀，色泽一致，应无流挂、疙瘩、皱皮、飞漆等缺陷，②金属表面耐腐蚀：乙酸盐雾连续喷雾≥200小时，镀层本身的耐腐蚀等级≥8级。镀层对基体的保护等级≥8级。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7、</w:t>
            </w:r>
            <w:r>
              <w:rPr>
                <w:rFonts w:hint="eastAsia" w:hAnsi="宋体" w:cs="宋体"/>
                <w:b/>
                <w:sz w:val="24"/>
                <w:szCs w:val="24"/>
              </w:rPr>
              <w:t>导轨</w:t>
            </w:r>
            <w:r>
              <w:rPr>
                <w:rFonts w:hint="eastAsia" w:hAnsi="宋体" w:cs="宋体"/>
                <w:bCs/>
                <w:sz w:val="24"/>
                <w:szCs w:val="24"/>
              </w:rPr>
              <w:t>：符合QB/T2454-2013 《家具五金 抽屉导轨》 QB/T 3832-1999《轻工产品金属镀层腐蚀试验结果的评价》QB/T 3827-1999《轻工产品金属镀层和化学处理层的耐腐蚀试验方法 乙酸盐雾试验（ASS）法》产品通过①操作力≤22N②垂直静载荷、水平静载荷、耐久性、下沉量≥2.7mm③耐腐蚀18h，直径1.5mm以下锈点≤20点/dm，其中≥1.0mm锈点不超过5点(距离边缘棱角2mm以内的不计)④乙酸盐雾连续喷雾≥100小时，耐腐蚀等级≥10级。同时满足以上检测项目得3分，缺少或不满足不得分。</w:t>
            </w:r>
          </w:p>
          <w:p>
            <w:pPr>
              <w:widowControl/>
              <w:spacing w:line="360" w:lineRule="auto"/>
              <w:rPr>
                <w:rFonts w:hAnsi="宋体" w:cs="宋体"/>
                <w:bCs/>
                <w:sz w:val="24"/>
                <w:szCs w:val="24"/>
              </w:rPr>
            </w:pPr>
            <w:r>
              <w:rPr>
                <w:rFonts w:hint="eastAsia" w:hAnsi="宋体" w:cs="宋体"/>
                <w:bCs/>
                <w:sz w:val="24"/>
                <w:szCs w:val="24"/>
              </w:rPr>
              <w:t>8、</w:t>
            </w:r>
            <w:r>
              <w:rPr>
                <w:rFonts w:hint="eastAsia" w:hAnsi="宋体" w:cs="宋体"/>
                <w:b/>
                <w:sz w:val="24"/>
                <w:szCs w:val="24"/>
              </w:rPr>
              <w:t>锁具</w:t>
            </w:r>
            <w:r>
              <w:rPr>
                <w:rFonts w:hint="eastAsia" w:hAnsi="宋体" w:cs="宋体"/>
                <w:bCs/>
                <w:sz w:val="24"/>
                <w:szCs w:val="24"/>
              </w:rPr>
              <w:t>：符合GB/T3325-2017《金属家具通用技术条件》产品通过①金属件外观性能要求：电镀层表面应无剥落、返绣、毛刺、表面应无烧焦、起泡、针孔、裂纹、花斑（不包括镀彩锌）和划痕；②产品表面涂饰层/覆面材料理化性能：金属电镀层理化性能。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9、</w:t>
            </w:r>
            <w:r>
              <w:rPr>
                <w:rFonts w:hint="eastAsia" w:hAnsi="宋体" w:cs="宋体"/>
                <w:b/>
                <w:sz w:val="24"/>
                <w:szCs w:val="24"/>
              </w:rPr>
              <w:t>水性木器面漆</w:t>
            </w:r>
            <w:r>
              <w:rPr>
                <w:rFonts w:hint="eastAsia" w:hAnsi="宋体" w:cs="宋体"/>
                <w:bCs/>
                <w:sz w:val="24"/>
                <w:szCs w:val="24"/>
              </w:rPr>
              <w:t>：符合GB 24410-2009《室内装饰装修材料 水性木器涂料中有害物质限量》产品通过可溶性重金属含量：铅≤5mg/kg、镉≤5mg/kg、铬≤5mg/kg、汞≤5mg/kg。同时满足以上检测项目得2分，缺少或不满足不得分。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10、</w:t>
            </w:r>
            <w:r>
              <w:rPr>
                <w:rFonts w:hint="eastAsia" w:hAnsi="宋体" w:cs="宋体"/>
                <w:b/>
                <w:sz w:val="24"/>
                <w:szCs w:val="24"/>
              </w:rPr>
              <w:t>水性木器底漆</w:t>
            </w:r>
            <w:r>
              <w:rPr>
                <w:rFonts w:hint="eastAsia" w:hAnsi="宋体" w:cs="宋体"/>
                <w:bCs/>
                <w:sz w:val="24"/>
                <w:szCs w:val="24"/>
              </w:rPr>
              <w:t>：符合GB24410-2009《室内装饰装修材料 水性木器涂料中有害物质限量》产品通过①游离甲醛含量≤18mg/kg；②挥发性有机化合物含量（涂料）≤2g/L；③可溶性重金属含量：铅Pb≤5mg/kg、镉Cd≤5mg/kg、铬Cr≤5mg/kg、汞Hg≤5mg/kg；④苯系物含量（苯、甲苯、乙苯和二甲苯总和）≤50mg/kg ⑤乙二醇醚及其酯类含量（乙二醇甲醚、乙二醇甲醚醋酸酯、乙二醇乙醚、乙二醋酸酯、二乙二醇丁醚醋酸酯总和）≤50mg/kg。 同时满足以上检测项目得3分，缺少或不满足不得分。</w:t>
            </w:r>
          </w:p>
          <w:p>
            <w:pPr>
              <w:widowControl/>
              <w:spacing w:line="360" w:lineRule="auto"/>
              <w:rPr>
                <w:rFonts w:hAnsi="宋体" w:cs="宋体"/>
                <w:bCs/>
                <w:sz w:val="24"/>
                <w:szCs w:val="24"/>
              </w:rPr>
            </w:pPr>
            <w:r>
              <w:rPr>
                <w:rFonts w:hint="eastAsia" w:hAnsi="宋体" w:cs="宋体"/>
                <w:bCs/>
                <w:sz w:val="24"/>
                <w:szCs w:val="24"/>
              </w:rPr>
              <w:t>11、</w:t>
            </w:r>
            <w:r>
              <w:rPr>
                <w:rFonts w:hint="eastAsia" w:hAnsi="宋体" w:cs="宋体"/>
                <w:b/>
                <w:sz w:val="24"/>
                <w:szCs w:val="24"/>
              </w:rPr>
              <w:t>辊涂腻子</w:t>
            </w:r>
            <w:r>
              <w:rPr>
                <w:rFonts w:hint="eastAsia" w:hAnsi="宋体" w:cs="宋体"/>
                <w:bCs/>
                <w:sz w:val="24"/>
                <w:szCs w:val="24"/>
              </w:rPr>
              <w:t>：符合GB 18581-2020《木器涂料中有害物质限量》，产品通过：VOC含量不饱和聚酯类溶剂型腻子≤259g/L。同时满足以上检测项目得2分，缺少或不满足不得分。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12、</w:t>
            </w:r>
            <w:r>
              <w:rPr>
                <w:rFonts w:hint="eastAsia" w:hAnsi="宋体" w:cs="宋体"/>
                <w:b/>
                <w:sz w:val="24"/>
                <w:szCs w:val="24"/>
              </w:rPr>
              <w:t>热熔胶</w:t>
            </w:r>
            <w:r>
              <w:rPr>
                <w:rFonts w:hint="eastAsia" w:hAnsi="宋体" w:cs="宋体"/>
                <w:bCs/>
                <w:sz w:val="24"/>
                <w:szCs w:val="24"/>
              </w:rPr>
              <w:t>：符合GB18583-2008《室内装饰装修材料胶粘剂中有害物质限量》产品通过游离甲醛（溶剂型）≤0.05g/kg。同时满足以上检测项目得2分，缺少或不满足不得分。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13、</w:t>
            </w:r>
            <w:r>
              <w:rPr>
                <w:rFonts w:hint="eastAsia" w:hAnsi="宋体" w:cs="宋体"/>
                <w:b/>
                <w:sz w:val="24"/>
                <w:szCs w:val="24"/>
              </w:rPr>
              <w:t>PVC封边条</w:t>
            </w:r>
            <w:r>
              <w:rPr>
                <w:rFonts w:hint="eastAsia" w:hAnsi="宋体" w:cs="宋体"/>
                <w:bCs/>
                <w:sz w:val="24"/>
                <w:szCs w:val="24"/>
              </w:rPr>
              <w:t>：符合QB/T 4463-2013《家具用封边条技术要求》产品通过塑料封边条有害物质限量①甲醛释放量≤0.1mg/L，②铅≤31mg/kg、镉＜5mg/kg、铬＜5mg/kg、汞＜5mg/kg、砷＜5mg/kg、钡＜5mg/kg、锑＜5mg/kg、硒＜5mg/kg。同时满足以上检测项目得2分，缺少或不满足不得分。</w:t>
            </w:r>
          </w:p>
          <w:p>
            <w:pPr>
              <w:widowControl/>
              <w:spacing w:line="360" w:lineRule="auto"/>
              <w:rPr>
                <w:rFonts w:hAnsi="宋体" w:cs="宋体"/>
                <w:bCs/>
                <w:sz w:val="24"/>
                <w:szCs w:val="24"/>
              </w:rPr>
            </w:pPr>
            <w:r>
              <w:rPr>
                <w:rFonts w:hint="eastAsia" w:hAnsi="宋体" w:cs="宋体"/>
                <w:bCs/>
                <w:sz w:val="24"/>
                <w:szCs w:val="24"/>
              </w:rPr>
              <w:t>14、</w:t>
            </w:r>
            <w:r>
              <w:rPr>
                <w:rFonts w:hint="eastAsia" w:hAnsi="宋体" w:cs="宋体"/>
                <w:b/>
                <w:sz w:val="24"/>
                <w:szCs w:val="24"/>
              </w:rPr>
              <w:t>脚套</w:t>
            </w:r>
            <w:r>
              <w:rPr>
                <w:rFonts w:hint="eastAsia" w:hAnsi="宋体" w:cs="宋体"/>
                <w:bCs/>
                <w:sz w:val="24"/>
                <w:szCs w:val="24"/>
              </w:rPr>
              <w:t>：符合GB 28481-2012《塑料家具中有害物质限量》产品通过①重金属：可溶性铅≤5mg/kg、可溶性汞≤5mg/kg、可溶性铬≤5mg/kg、可溶性镉≤5mg/kg）；②多环芳烃：苯并[a]芘≤0.1mg/kg、16种多环芳烃（PAH）总量≤0.1mg/kg，③邻苯二甲酸酯：邻苯二甲酸二丁酯（DBP）≤0.001%、邻苯二甲酸二异癸酯（DIDP）≤0.005%、邻苯二甲酸二异壬酯DINP≤0.005%、邻苯二甲酸二正辛酯DNOP≤0.001%、邻苯二甲酸二丁酯苄酯BBP≤0.001%、邻苯二甲酸-2-乙基已基酯DEHP≤0.001%）。同时满足以上检测项目得2分，缺少或不满足不得分。</w:t>
            </w:r>
          </w:p>
          <w:p>
            <w:pPr>
              <w:widowControl/>
              <w:spacing w:line="360" w:lineRule="auto"/>
              <w:rPr>
                <w:rFonts w:hAnsi="宋体" w:cs="宋体"/>
                <w:sz w:val="24"/>
                <w:szCs w:val="24"/>
              </w:rPr>
            </w:pPr>
            <w:r>
              <w:rPr>
                <w:rFonts w:hint="eastAsia" w:hAnsi="宋体" w:cs="宋体"/>
                <w:b/>
                <w:bCs/>
                <w:sz w:val="24"/>
                <w:szCs w:val="24"/>
              </w:rPr>
              <w:t>评审依据：提供国家认可的第三方检测机构出具的具有CMA</w:t>
            </w:r>
            <w:r>
              <w:rPr>
                <w:rFonts w:hint="eastAsia" w:hAnsi="宋体" w:cs="宋体"/>
                <w:b/>
                <w:sz w:val="24"/>
                <w:szCs w:val="24"/>
              </w:rPr>
              <w:t>或</w:t>
            </w:r>
            <w:r>
              <w:rPr>
                <w:rFonts w:hint="eastAsia" w:hAnsi="宋体" w:cs="宋体"/>
                <w:b/>
                <w:bCs/>
                <w:sz w:val="24"/>
                <w:szCs w:val="24"/>
              </w:rPr>
              <w:t>CNAS标识的检测报告复印件以及检测报告官方查询截图、国家认监委编号官网查询对应网页截图，检测报告受检单位或委托单位</w:t>
            </w:r>
            <w:r>
              <w:rPr>
                <w:rFonts w:hint="eastAsia" w:hAnsi="宋体" w:cs="宋体"/>
                <w:b/>
                <w:sz w:val="24"/>
                <w:szCs w:val="24"/>
              </w:rPr>
              <w:t>必须跟投标单位名称一致</w:t>
            </w:r>
            <w:r>
              <w:rPr>
                <w:rFonts w:hint="eastAsia" w:hAnsi="宋体" w:cs="宋体"/>
                <w:b/>
                <w:bCs/>
                <w:sz w:val="24"/>
                <w:szCs w:val="24"/>
              </w:rPr>
              <w:t>。不满足或提供不全不得分。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 w:hRule="atLeast"/>
          <w:jc w:val="center"/>
        </w:trPr>
        <w:tc>
          <w:tcPr>
            <w:tcW w:w="1418" w:type="dxa"/>
            <w:vMerge w:val="restart"/>
            <w:tcBorders>
              <w:top w:val="single" w:color="auto" w:sz="4" w:space="0"/>
              <w:left w:val="single" w:color="auto" w:sz="4" w:space="0"/>
              <w:right w:val="single" w:color="auto" w:sz="4" w:space="0"/>
            </w:tcBorders>
            <w:vAlign w:val="center"/>
          </w:tcPr>
          <w:p>
            <w:pPr>
              <w:spacing w:line="360" w:lineRule="auto"/>
              <w:jc w:val="left"/>
              <w:rPr>
                <w:rFonts w:hAnsi="宋体" w:cs="宋体"/>
                <w:sz w:val="24"/>
                <w:szCs w:val="24"/>
              </w:rPr>
            </w:pPr>
            <w:r>
              <w:rPr>
                <w:rFonts w:hint="eastAsia" w:hAnsi="宋体" w:cs="宋体"/>
                <w:sz w:val="24"/>
                <w:szCs w:val="24"/>
              </w:rPr>
              <w:t>商务分</w:t>
            </w:r>
          </w:p>
          <w:p>
            <w:pPr>
              <w:spacing w:line="360" w:lineRule="auto"/>
              <w:jc w:val="left"/>
              <w:rPr>
                <w:rFonts w:hAnsi="宋体" w:cs="宋体"/>
                <w:sz w:val="24"/>
                <w:szCs w:val="24"/>
              </w:rPr>
            </w:pPr>
            <w:r>
              <w:rPr>
                <w:rFonts w:hint="eastAsia" w:hAnsi="宋体" w:cs="宋体"/>
                <w:sz w:val="24"/>
                <w:szCs w:val="24"/>
              </w:rPr>
              <w:t>（26分）</w:t>
            </w:r>
          </w:p>
        </w:tc>
        <w:tc>
          <w:tcPr>
            <w:tcW w:w="1701" w:type="dxa"/>
            <w:tcBorders>
              <w:top w:val="single" w:color="auto" w:sz="4" w:space="0"/>
              <w:left w:val="single" w:color="auto" w:sz="4" w:space="0"/>
              <w:right w:val="single" w:color="auto" w:sz="4" w:space="0"/>
            </w:tcBorders>
          </w:tcPr>
          <w:p>
            <w:pPr>
              <w:spacing w:line="360" w:lineRule="auto"/>
            </w:pPr>
            <w:r>
              <w:rPr>
                <w:rFonts w:hint="eastAsia" w:hAnsi="宋体" w:cs="宋体"/>
                <w:sz w:val="24"/>
                <w:szCs w:val="24"/>
              </w:rPr>
              <w:t>商务要求基本项（符合性）</w:t>
            </w:r>
          </w:p>
        </w:tc>
        <w:tc>
          <w:tcPr>
            <w:tcW w:w="7239" w:type="dxa"/>
            <w:tcBorders>
              <w:top w:val="single" w:color="auto" w:sz="4" w:space="0"/>
              <w:left w:val="single" w:color="auto" w:sz="4" w:space="0"/>
            </w:tcBorders>
          </w:tcPr>
          <w:p>
            <w:pPr>
              <w:spacing w:line="360" w:lineRule="auto"/>
              <w:rPr>
                <w:rFonts w:hAnsi="宋体" w:cs="宋体"/>
                <w:bCs/>
                <w:sz w:val="24"/>
                <w:szCs w:val="24"/>
              </w:rPr>
            </w:pPr>
            <w:r>
              <w:rPr>
                <w:rFonts w:hint="eastAsia" w:hAnsi="宋体" w:cs="宋体"/>
                <w:bCs/>
                <w:sz w:val="24"/>
                <w:szCs w:val="24"/>
              </w:rPr>
              <w:t>必须全部满足招标文件商务要求条款，否则作无效投标处理。</w:t>
            </w:r>
          </w:p>
          <w:p>
            <w:pPr>
              <w:spacing w:line="360" w:lineRule="auto"/>
              <w:rPr>
                <w:rFonts w:hAnsi="宋体" w:cs="宋体"/>
                <w:bCs/>
                <w:sz w:val="24"/>
                <w:szCs w:val="24"/>
              </w:rPr>
            </w:pPr>
            <w:r>
              <w:rPr>
                <w:rFonts w:hint="eastAsia" w:hAnsi="宋体" w:cs="宋体"/>
                <w:b/>
                <w:bCs/>
                <w:sz w:val="24"/>
                <w:szCs w:val="24"/>
              </w:rPr>
              <w:t>评审依据：投标文件中提供的商务条款响应/偏离表。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restart"/>
            <w:tcBorders>
              <w:top w:val="single" w:color="auto" w:sz="4" w:space="0"/>
              <w:left w:val="single" w:color="auto" w:sz="4" w:space="0"/>
              <w:right w:val="single" w:color="auto" w:sz="4" w:space="0"/>
            </w:tcBorders>
            <w:vAlign w:val="center"/>
          </w:tcPr>
          <w:p>
            <w:pPr>
              <w:widowControl/>
              <w:spacing w:line="360" w:lineRule="auto"/>
              <w:jc w:val="center"/>
              <w:rPr>
                <w:rFonts w:hAnsi="宋体" w:cs="宋体"/>
                <w:sz w:val="24"/>
                <w:szCs w:val="24"/>
              </w:rPr>
            </w:pPr>
            <w:r>
              <w:rPr>
                <w:rFonts w:hint="eastAsia" w:hAnsi="宋体" w:cs="宋体"/>
                <w:sz w:val="24"/>
                <w:szCs w:val="24"/>
              </w:rPr>
              <w:t>企业实力</w:t>
            </w:r>
          </w:p>
          <w:p>
            <w:pPr>
              <w:widowControl/>
              <w:spacing w:line="360" w:lineRule="auto"/>
              <w:jc w:val="center"/>
              <w:rPr>
                <w:rFonts w:hAnsi="宋体" w:cs="宋体"/>
                <w:sz w:val="24"/>
                <w:szCs w:val="24"/>
              </w:rPr>
            </w:pPr>
            <w:r>
              <w:rPr>
                <w:rFonts w:hint="eastAsia" w:hAnsi="宋体" w:cs="宋体"/>
                <w:sz w:val="24"/>
                <w:szCs w:val="24"/>
              </w:rPr>
              <w:t>（14分）</w:t>
            </w: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本企业具有ISO9001:2015质量管理体系认证证书、ISO14001:2015环境管理体系认证证书、ISO45001:2018职业健康安全管理体系认证证书，认证范围必须包括：教师办公桌椅、家具，会议桌椅、实木床、实木床板、实木阅览桌；</w:t>
            </w:r>
          </w:p>
          <w:p>
            <w:pPr>
              <w:widowControl/>
              <w:spacing w:line="360" w:lineRule="auto"/>
              <w:rPr>
                <w:rFonts w:hAnsi="宋体" w:cs="宋体"/>
                <w:bCs/>
                <w:sz w:val="24"/>
                <w:szCs w:val="24"/>
              </w:rPr>
            </w:pPr>
            <w:r>
              <w:rPr>
                <w:rFonts w:hint="eastAsia" w:hAnsi="宋体" w:cs="宋体"/>
                <w:b/>
                <w:bCs/>
                <w:sz w:val="24"/>
                <w:szCs w:val="24"/>
              </w:rPr>
              <w:t>评审依据：提供相应证书的复印件、以及中国国家认证认可监督管理委员会网站（www.cnca.gov.cn)查询结果截图佐证，</w:t>
            </w:r>
            <w:r>
              <w:rPr>
                <w:rFonts w:hint="eastAsia" w:hAnsi="宋体" w:cs="宋体"/>
                <w:b/>
                <w:sz w:val="24"/>
                <w:szCs w:val="24"/>
              </w:rPr>
              <w:t>证书上认证企业名称必须跟投标单位名称一致，</w:t>
            </w:r>
            <w:r>
              <w:rPr>
                <w:rFonts w:hint="eastAsia" w:hAnsi="宋体" w:cs="宋体"/>
                <w:b/>
                <w:bCs/>
                <w:sz w:val="24"/>
                <w:szCs w:val="24"/>
              </w:rPr>
              <w:t>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vAlign w:val="center"/>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本企业具有中国环保产品认证证书（CQC），认证范围必须包括：木制公寓家具：单人实木床、学生上下铺实木床、储物柜、衣柜；木制办公家具：办公桌、阅览桌、会议桌、主席台、茶几、茶水柜、条桌、书桌、班台、书柜、文件柜；</w:t>
            </w:r>
          </w:p>
          <w:p>
            <w:pPr>
              <w:widowControl/>
              <w:spacing w:line="360" w:lineRule="auto"/>
              <w:rPr>
                <w:rFonts w:hAnsi="宋体" w:cs="宋体"/>
                <w:bCs/>
                <w:sz w:val="24"/>
                <w:szCs w:val="24"/>
              </w:rPr>
            </w:pPr>
            <w:r>
              <w:rPr>
                <w:rFonts w:hint="eastAsia" w:hAnsi="宋体" w:cs="宋体"/>
                <w:b/>
                <w:bCs/>
                <w:sz w:val="24"/>
                <w:szCs w:val="24"/>
              </w:rPr>
              <w:t>评审依据：提供相应证书的复印件、以及中国国家认证认可监督管理委员会网站（www.cnca.gov.cn)查询结果截图佐证，证书上生产企业名称必须跟投标单位名称一致，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97"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vAlign w:val="center"/>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投标人本企业具有符合GB/T 35607-2017绿色产品评价家具（甲醛）的家具中有害物质限量认证证书，认证范围必须包括：木制家具：写字桌、办公桌、会议桌、阅览桌、办公椅、阅览椅、双层床、单人床、储物柜、衣柜、文件柜；</w:t>
            </w:r>
          </w:p>
          <w:p>
            <w:pPr>
              <w:widowControl/>
              <w:spacing w:line="360" w:lineRule="auto"/>
              <w:rPr>
                <w:rFonts w:hAnsi="宋体" w:cs="宋体"/>
                <w:bCs/>
                <w:sz w:val="24"/>
                <w:szCs w:val="24"/>
              </w:rPr>
            </w:pPr>
            <w:r>
              <w:rPr>
                <w:rFonts w:hint="eastAsia" w:hAnsi="宋体" w:cs="宋体"/>
                <w:b/>
                <w:bCs/>
                <w:sz w:val="24"/>
                <w:szCs w:val="24"/>
              </w:rPr>
              <w:t>评审依据：提供相应证书的复印件、以及中国国家认证认可监督管理委员会网站（www.cnca.gov.cn)查询结果截图佐证，证书上生产企业名称必须跟投标单位名称一致，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vAlign w:val="center"/>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jc w:val="left"/>
              <w:rPr>
                <w:rFonts w:hAnsi="宋体" w:cs="宋体"/>
                <w:bCs/>
                <w:sz w:val="24"/>
                <w:szCs w:val="24"/>
              </w:rPr>
            </w:pPr>
            <w:r>
              <w:rPr>
                <w:rFonts w:hint="eastAsia" w:hAnsi="宋体" w:cs="宋体"/>
                <w:bCs/>
                <w:sz w:val="24"/>
                <w:szCs w:val="24"/>
              </w:rPr>
              <w:t>投标人本企业具有家具防腐蚀产品认证证书，认证范围必须包括：木家具：写字桌、办公桌、会议桌、阅览桌、办公椅、储物柜、衣柜、文件柜、单人实木床；软体家具：会议室软椅、主席椅、办公椅、三人位沙发、单人位沙发、床垫；</w:t>
            </w:r>
          </w:p>
          <w:p>
            <w:pPr>
              <w:widowControl/>
              <w:spacing w:line="360" w:lineRule="auto"/>
              <w:jc w:val="left"/>
              <w:rPr>
                <w:rFonts w:hAnsi="宋体" w:cs="宋体"/>
                <w:bCs/>
                <w:sz w:val="24"/>
                <w:szCs w:val="24"/>
              </w:rPr>
            </w:pPr>
            <w:r>
              <w:rPr>
                <w:rFonts w:hint="eastAsia" w:hAnsi="宋体" w:cs="宋体"/>
                <w:b/>
                <w:bCs/>
                <w:sz w:val="24"/>
                <w:szCs w:val="24"/>
              </w:rPr>
              <w:t>评审依据：提供相应证书的复印件、以及中国国家认证认可监督管理委员会网站（www.cnca.gov.cn)查询结果截图佐证，</w:t>
            </w:r>
            <w:r>
              <w:rPr>
                <w:rFonts w:hint="eastAsia" w:hAnsi="宋体" w:cs="宋体"/>
                <w:b/>
                <w:sz w:val="24"/>
                <w:szCs w:val="24"/>
              </w:rPr>
              <w:t>证书上生产企业名称必须跟投标单位名称一致，</w:t>
            </w:r>
            <w:r>
              <w:rPr>
                <w:rFonts w:hint="eastAsia" w:hAnsi="宋体" w:cs="宋体"/>
                <w:b/>
                <w:bCs/>
                <w:sz w:val="24"/>
                <w:szCs w:val="24"/>
              </w:rPr>
              <w:t>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vAlign w:val="center"/>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本企业具有家具防霉产品认证证书，认证范围必须包括：木家具：写字桌、办公桌、会议桌、阅览桌、办公椅、储物柜、衣柜、文件柜、单人实木床；软体家具：会议室软椅、主席椅、办公椅、三人位沙发、单人位沙发、床垫；</w:t>
            </w:r>
          </w:p>
          <w:p>
            <w:pPr>
              <w:widowControl/>
              <w:spacing w:line="360" w:lineRule="auto"/>
              <w:rPr>
                <w:rFonts w:hAnsi="宋体" w:cs="宋体"/>
                <w:bCs/>
                <w:sz w:val="24"/>
                <w:szCs w:val="24"/>
              </w:rPr>
            </w:pPr>
            <w:r>
              <w:rPr>
                <w:rFonts w:hint="eastAsia" w:hAnsi="宋体" w:cs="宋体"/>
                <w:b/>
                <w:bCs/>
                <w:sz w:val="24"/>
                <w:szCs w:val="24"/>
              </w:rPr>
              <w:t>评审依据：提供相应证书的复印件、以及中国国家认证认可监督管理委员会网站（www.cnca.gov.cn)查询结果截图佐证，</w:t>
            </w:r>
            <w:r>
              <w:rPr>
                <w:rFonts w:hint="eastAsia" w:hAnsi="宋体" w:cs="宋体"/>
                <w:b/>
                <w:sz w:val="24"/>
                <w:szCs w:val="24"/>
              </w:rPr>
              <w:t>证书上生产企业名称必须跟投标单位名称一致，</w:t>
            </w:r>
            <w:r>
              <w:rPr>
                <w:rFonts w:hint="eastAsia" w:hAnsi="宋体" w:cs="宋体"/>
                <w:b/>
                <w:bCs/>
                <w:sz w:val="24"/>
                <w:szCs w:val="24"/>
              </w:rPr>
              <w:t>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right w:val="single" w:color="auto" w:sz="4" w:space="0"/>
            </w:tcBorders>
            <w:vAlign w:val="center"/>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本企业具有家具抗菌产品认证证书，认证范围必须包括：木家具：写字桌、办公桌、会议桌、阅览桌、办公椅、储物柜、衣柜、文件柜、单人实木床；软体家具：会议室软椅、主席椅、办公椅、三人位沙发、单人位沙发、床垫；</w:t>
            </w:r>
          </w:p>
          <w:p>
            <w:pPr>
              <w:widowControl/>
              <w:spacing w:line="360" w:lineRule="auto"/>
              <w:jc w:val="left"/>
              <w:rPr>
                <w:rFonts w:hAnsi="宋体" w:cs="宋体"/>
                <w:b/>
                <w:bCs/>
                <w:sz w:val="24"/>
                <w:szCs w:val="24"/>
              </w:rPr>
            </w:pPr>
            <w:r>
              <w:rPr>
                <w:rFonts w:hint="eastAsia" w:hAnsi="宋体" w:cs="宋体"/>
                <w:b/>
                <w:bCs/>
                <w:sz w:val="24"/>
                <w:szCs w:val="24"/>
              </w:rPr>
              <w:t>评审依据：提供相应证书的复印件、以及中国国家认证认可监督管理委员会网站（www.cnca.gov.cn)查询结果截图佐证，</w:t>
            </w:r>
            <w:r>
              <w:rPr>
                <w:rFonts w:hint="eastAsia" w:hAnsi="宋体" w:cs="宋体"/>
                <w:b/>
                <w:sz w:val="24"/>
                <w:szCs w:val="24"/>
              </w:rPr>
              <w:t>证书上生产企业名称必须跟投标单位名称一致，</w:t>
            </w:r>
            <w:r>
              <w:rPr>
                <w:rFonts w:hint="eastAsia" w:hAnsi="宋体" w:cs="宋体"/>
                <w:b/>
                <w:bCs/>
                <w:sz w:val="24"/>
                <w:szCs w:val="24"/>
              </w:rPr>
              <w:t>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vMerge w:val="continue"/>
            <w:tcBorders>
              <w:left w:val="single" w:color="auto" w:sz="4" w:space="0"/>
              <w:bottom w:val="single" w:color="auto" w:sz="4" w:space="0"/>
              <w:right w:val="single" w:color="auto" w:sz="4" w:space="0"/>
            </w:tcBorders>
            <w:vAlign w:val="center"/>
          </w:tcPr>
          <w:p>
            <w:pPr>
              <w:widowControl/>
              <w:spacing w:line="360" w:lineRule="auto"/>
              <w:rPr>
                <w:rFonts w:hAnsi="宋体" w:cs="宋体"/>
                <w:sz w:val="24"/>
                <w:szCs w:val="24"/>
              </w:rPr>
            </w:pPr>
          </w:p>
        </w:tc>
        <w:tc>
          <w:tcPr>
            <w:tcW w:w="7239" w:type="dxa"/>
            <w:tcBorders>
              <w:top w:val="single" w:color="auto" w:sz="4" w:space="0"/>
              <w:left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投标人本企业具有绿色之星产品认证证书，认证范围必须包括：木质家具：实木办公桌、实木阅览桌、实木阅览椅、实术主席台、实木上下铺床、实木班台、实木条桌、实木会议桌、实木会议椅、衣柜、储物柜。</w:t>
            </w:r>
          </w:p>
          <w:p>
            <w:pPr>
              <w:widowControl/>
              <w:spacing w:line="360" w:lineRule="auto"/>
              <w:jc w:val="left"/>
              <w:rPr>
                <w:rFonts w:hAnsi="宋体" w:cs="宋体"/>
                <w:b/>
                <w:bCs/>
                <w:sz w:val="24"/>
                <w:szCs w:val="24"/>
              </w:rPr>
            </w:pPr>
            <w:r>
              <w:rPr>
                <w:rFonts w:hint="eastAsia" w:hAnsi="宋体" w:cs="宋体"/>
                <w:b/>
                <w:bCs/>
                <w:sz w:val="24"/>
                <w:szCs w:val="24"/>
              </w:rPr>
              <w:t>评审依据：提供相应证书的复印件、以及中国国家认证认可监督管理委员会网站（www.cnca.gov.cn)查询结果截图佐证，另需提供相应证书原件备查，完全满足得2分，不满足或提供不全不得分，未提供原件不计分。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8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hAnsi="宋体" w:cs="宋体"/>
                <w:sz w:val="24"/>
                <w:szCs w:val="24"/>
              </w:rPr>
            </w:pPr>
            <w:r>
              <w:rPr>
                <w:rFonts w:hint="eastAsia" w:cs="宋体"/>
                <w:sz w:val="24"/>
              </w:rPr>
              <w:t>业绩（3分）</w:t>
            </w:r>
          </w:p>
        </w:tc>
        <w:tc>
          <w:tcPr>
            <w:tcW w:w="7239" w:type="dxa"/>
            <w:tcBorders>
              <w:top w:val="single" w:color="auto" w:sz="4" w:space="0"/>
              <w:left w:val="single" w:color="auto" w:sz="4" w:space="0"/>
              <w:bottom w:val="single" w:color="auto" w:sz="4" w:space="0"/>
            </w:tcBorders>
          </w:tcPr>
          <w:p>
            <w:pPr>
              <w:widowControl/>
              <w:spacing w:line="360" w:lineRule="auto"/>
              <w:rPr>
                <w:rFonts w:hAnsi="宋体" w:cs="宋体"/>
                <w:bCs/>
                <w:sz w:val="24"/>
                <w:szCs w:val="24"/>
              </w:rPr>
            </w:pPr>
            <w:r>
              <w:rPr>
                <w:rFonts w:hint="eastAsia" w:hAnsi="宋体" w:cs="宋体"/>
                <w:bCs/>
                <w:sz w:val="24"/>
                <w:szCs w:val="24"/>
              </w:rPr>
              <w:t>投标人自开标日前近五年以来（以合同签订生效日期为准）具有类似项目业绩的，每提供一份得1分，最高得3分。</w:t>
            </w:r>
          </w:p>
          <w:p>
            <w:pPr>
              <w:widowControl/>
              <w:spacing w:line="360" w:lineRule="auto"/>
              <w:jc w:val="left"/>
              <w:rPr>
                <w:rFonts w:hAnsi="宋体" w:cs="宋体"/>
                <w:b/>
                <w:bCs/>
                <w:sz w:val="24"/>
                <w:szCs w:val="24"/>
              </w:rPr>
            </w:pPr>
            <w:r>
              <w:rPr>
                <w:rFonts w:hint="eastAsia" w:cs="宋体"/>
                <w:b/>
                <w:bCs/>
                <w:sz w:val="24"/>
              </w:rPr>
              <w:t>评审依据：</w:t>
            </w:r>
            <w:r>
              <w:rPr>
                <w:rFonts w:hint="eastAsia" w:hAnsi="宋体" w:cs="宋体"/>
                <w:b/>
                <w:sz w:val="24"/>
                <w:szCs w:val="24"/>
              </w:rPr>
              <w:t>提供合同及中标通知书原件佐证，否则不得分。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95"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 w:val="24"/>
              </w:rPr>
            </w:pPr>
            <w:r>
              <w:rPr>
                <w:rFonts w:hint="eastAsia" w:hAnsi="宋体" w:cs="宋体"/>
                <w:bCs/>
                <w:sz w:val="24"/>
                <w:szCs w:val="24"/>
              </w:rPr>
              <w:t>质量保证方案</w:t>
            </w:r>
            <w:r>
              <w:rPr>
                <w:rFonts w:hint="eastAsia" w:cs="宋体"/>
                <w:sz w:val="24"/>
              </w:rPr>
              <w:t>（3分）</w:t>
            </w:r>
          </w:p>
        </w:tc>
        <w:tc>
          <w:tcPr>
            <w:tcW w:w="7239" w:type="dxa"/>
            <w:tcBorders>
              <w:top w:val="single" w:color="auto" w:sz="4" w:space="0"/>
              <w:left w:val="single" w:color="auto" w:sz="4" w:space="0"/>
              <w:bottom w:val="single" w:color="auto" w:sz="4" w:space="0"/>
            </w:tcBorders>
          </w:tcPr>
          <w:p>
            <w:pPr>
              <w:widowControl/>
              <w:spacing w:line="360" w:lineRule="auto"/>
              <w:rPr>
                <w:rFonts w:hAnsi="宋体" w:cs="宋体"/>
                <w:bCs/>
                <w:sz w:val="24"/>
                <w:szCs w:val="24"/>
              </w:rPr>
            </w:pPr>
            <w:r>
              <w:rPr>
                <w:rFonts w:hint="eastAsia" w:hAnsi="宋体" w:cs="宋体"/>
                <w:bCs/>
                <w:sz w:val="24"/>
                <w:szCs w:val="24"/>
              </w:rPr>
              <w:t xml:space="preserve">投提供针对本项目所制定的质量保证方案包括但不限于成品保护措施可行的得1分，成品保护制度合理的得1分，生产过程质量控制合理的得1分。本项最高得3分。 </w:t>
            </w:r>
          </w:p>
          <w:p>
            <w:pPr>
              <w:widowControl/>
              <w:spacing w:line="360" w:lineRule="auto"/>
              <w:jc w:val="left"/>
              <w:rPr>
                <w:rFonts w:cs="宋体"/>
                <w:b/>
                <w:bCs/>
                <w:sz w:val="24"/>
              </w:rPr>
            </w:pPr>
            <w:r>
              <w:rPr>
                <w:rFonts w:hint="eastAsia" w:cs="宋体"/>
                <w:b/>
                <w:bCs/>
                <w:sz w:val="24"/>
              </w:rPr>
              <w:t>评审依据：评标委员会根据投标人在投标文件中提供的质量保证方案加盖投标人公章进行评分，未提供或提供的方案不符合本项目要求的不得分。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cs="宋体"/>
                <w:sz w:val="24"/>
              </w:rPr>
            </w:pPr>
            <w:r>
              <w:rPr>
                <w:rFonts w:hint="eastAsia" w:hAnsi="宋体"/>
                <w:bCs/>
                <w:sz w:val="24"/>
                <w:szCs w:val="24"/>
              </w:rPr>
              <w:t>项目实施方案</w:t>
            </w:r>
            <w:r>
              <w:rPr>
                <w:rFonts w:hint="eastAsia" w:cs="宋体"/>
                <w:sz w:val="24"/>
              </w:rPr>
              <w:t>（3分）</w:t>
            </w:r>
          </w:p>
        </w:tc>
        <w:tc>
          <w:tcPr>
            <w:tcW w:w="7239" w:type="dxa"/>
            <w:tcBorders>
              <w:top w:val="single" w:color="auto" w:sz="4" w:space="0"/>
              <w:left w:val="single" w:color="auto" w:sz="4" w:space="0"/>
              <w:bottom w:val="single" w:color="auto" w:sz="4" w:space="0"/>
            </w:tcBorders>
          </w:tcPr>
          <w:p>
            <w:pPr>
              <w:widowControl/>
              <w:spacing w:line="360" w:lineRule="auto"/>
              <w:rPr>
                <w:rFonts w:hAnsi="宋体" w:cs="宋体"/>
                <w:bCs/>
                <w:sz w:val="24"/>
                <w:szCs w:val="24"/>
              </w:rPr>
            </w:pPr>
            <w:r>
              <w:rPr>
                <w:rFonts w:hint="eastAsia" w:hAnsi="宋体" w:cs="宋体"/>
                <w:bCs/>
                <w:sz w:val="24"/>
                <w:szCs w:val="24"/>
              </w:rPr>
              <w:t>提供针对本项目所制定的项目实施方案包括但不限于项目实施流程合理的得1分，项目管理方案可行的得1分，项目进度安排及控制措施、人员安排、应急方案合理的得1分。本项最高得3分。</w:t>
            </w:r>
          </w:p>
          <w:p>
            <w:pPr>
              <w:widowControl/>
              <w:spacing w:line="360" w:lineRule="auto"/>
            </w:pPr>
            <w:r>
              <w:rPr>
                <w:rFonts w:hint="eastAsia" w:hAnsi="宋体" w:cs="宋体"/>
                <w:b/>
                <w:sz w:val="24"/>
                <w:szCs w:val="24"/>
              </w:rPr>
              <w:t>评审依据：评标委员会根据投标人在投标文件中提供的项目实施方案加盖投标人公章进行评分，未提供或提供的方案不符合本项目要求的不得分。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21" w:hRule="atLeast"/>
          <w:jc w:val="center"/>
        </w:trPr>
        <w:tc>
          <w:tcPr>
            <w:tcW w:w="1418" w:type="dxa"/>
            <w:vMerge w:val="continue"/>
            <w:tcBorders>
              <w:left w:val="single" w:color="auto" w:sz="4" w:space="0"/>
              <w:right w:val="single" w:color="auto" w:sz="4" w:space="0"/>
            </w:tcBorders>
            <w:vAlign w:val="center"/>
          </w:tcPr>
          <w:p>
            <w:pPr>
              <w:widowControl/>
              <w:spacing w:line="360" w:lineRule="auto"/>
              <w:jc w:val="left"/>
              <w:rPr>
                <w:rFonts w:hAnsi="宋体" w:cs="宋体"/>
                <w:sz w:val="24"/>
                <w:szCs w:val="24"/>
              </w:rPr>
            </w:pPr>
          </w:p>
        </w:tc>
        <w:tc>
          <w:tcPr>
            <w:tcW w:w="1701"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sz w:val="24"/>
              </w:rPr>
            </w:pPr>
            <w:r>
              <w:rPr>
                <w:rFonts w:hint="eastAsia" w:cs="宋体"/>
                <w:sz w:val="24"/>
              </w:rPr>
              <w:t>售后服务方案</w:t>
            </w:r>
          </w:p>
          <w:p>
            <w:pPr>
              <w:widowControl/>
              <w:spacing w:line="360" w:lineRule="auto"/>
              <w:jc w:val="center"/>
              <w:rPr>
                <w:rFonts w:cs="宋体"/>
                <w:sz w:val="24"/>
              </w:rPr>
            </w:pPr>
            <w:r>
              <w:rPr>
                <w:rFonts w:hint="eastAsia" w:cs="宋体"/>
                <w:sz w:val="24"/>
              </w:rPr>
              <w:t>（3分）</w:t>
            </w:r>
          </w:p>
        </w:tc>
        <w:tc>
          <w:tcPr>
            <w:tcW w:w="7239" w:type="dxa"/>
            <w:tcBorders>
              <w:top w:val="single" w:color="auto" w:sz="4" w:space="0"/>
              <w:left w:val="single" w:color="auto" w:sz="4" w:space="0"/>
              <w:bottom w:val="single" w:color="auto" w:sz="4" w:space="0"/>
            </w:tcBorders>
          </w:tcPr>
          <w:p>
            <w:pPr>
              <w:widowControl/>
              <w:spacing w:line="360" w:lineRule="auto"/>
              <w:rPr>
                <w:rFonts w:hAnsi="宋体" w:cs="宋体"/>
                <w:bCs/>
                <w:sz w:val="24"/>
                <w:szCs w:val="24"/>
              </w:rPr>
            </w:pPr>
            <w:r>
              <w:rPr>
                <w:rFonts w:hint="eastAsia" w:hAnsi="宋体" w:cs="宋体"/>
                <w:bCs/>
                <w:sz w:val="24"/>
                <w:szCs w:val="24"/>
              </w:rPr>
              <w:t>提供针对本项目所制定的售后服务方案包括售后服务体系完善（不限于售后响应时间、售后服务方案）的得1分；售后服务保证措施得力（不限于质保期内外售后服务承诺以及本地化售后服务）的得1分；售后服务人员明细完美（不限于专业技术人员保障）的得1分。本项最高得3分。</w:t>
            </w:r>
          </w:p>
          <w:p>
            <w:pPr>
              <w:widowControl/>
              <w:spacing w:line="360" w:lineRule="auto"/>
            </w:pPr>
            <w:r>
              <w:rPr>
                <w:rFonts w:hint="eastAsia" w:hAnsi="宋体" w:cs="宋体"/>
                <w:b/>
                <w:sz w:val="24"/>
                <w:szCs w:val="24"/>
              </w:rPr>
              <w:t>评审依据：评标委员会根据投标人在投标文件中提供的售后服务方案加盖投标人公章进行评分，未提供或提供的方案不符合本项目要求的不得分。</w:t>
            </w:r>
          </w:p>
        </w:tc>
      </w:tr>
      <w:bookmarkEnd w:id="88"/>
      <w:bookmarkEnd w:id="89"/>
    </w:tbl>
    <w:p>
      <w:pPr>
        <w:spacing w:line="380" w:lineRule="exact"/>
        <w:rPr>
          <w:rFonts w:ascii="宋体" w:hAnsi="宋体" w:eastAsia="宋体" w:cs="宋体"/>
          <w:bCs/>
          <w:sz w:val="24"/>
          <w:szCs w:val="24"/>
        </w:rPr>
      </w:pPr>
      <w:r>
        <w:rPr>
          <w:rFonts w:hint="eastAsia" w:ascii="宋体" w:hAnsi="宋体" w:eastAsia="宋体" w:cs="宋体"/>
          <w:bCs/>
          <w:sz w:val="24"/>
          <w:szCs w:val="24"/>
        </w:rPr>
        <w:t>备注：1.本表与招标文件中相关评标条款内容不一致的，以本表内容为准。</w:t>
      </w:r>
    </w:p>
    <w:p>
      <w:pPr>
        <w:spacing w:line="380" w:lineRule="exact"/>
        <w:ind w:firstLine="720" w:firstLineChars="300"/>
        <w:rPr>
          <w:rFonts w:ascii="宋体" w:hAnsi="宋体" w:eastAsia="宋体" w:cs="宋体"/>
          <w:bCs/>
          <w:sz w:val="24"/>
          <w:szCs w:val="24"/>
        </w:rPr>
      </w:pPr>
      <w:r>
        <w:rPr>
          <w:rFonts w:hint="eastAsia" w:ascii="宋体" w:hAnsi="宋体" w:eastAsia="宋体" w:cs="宋体"/>
          <w:bCs/>
          <w:sz w:val="24"/>
          <w:szCs w:val="24"/>
        </w:rPr>
        <w:t>2.各评委按规定的范围内进行量化打分，并统计总分。</w:t>
      </w:r>
    </w:p>
    <w:p>
      <w:pPr>
        <w:spacing w:line="380" w:lineRule="exact"/>
        <w:ind w:firstLine="720" w:firstLineChars="300"/>
        <w:rPr>
          <w:rFonts w:ascii="宋体" w:hAnsi="宋体" w:eastAsia="宋体" w:cs="宋体"/>
          <w:bCs/>
          <w:sz w:val="24"/>
          <w:szCs w:val="24"/>
        </w:rPr>
      </w:pPr>
      <w:r>
        <w:rPr>
          <w:rFonts w:hint="eastAsia" w:ascii="宋体" w:hAnsi="宋体" w:eastAsia="宋体" w:cs="宋体"/>
          <w:bCs/>
          <w:sz w:val="24"/>
          <w:szCs w:val="24"/>
        </w:rPr>
        <w:t>3.投标人提供的计分材料，需提供相关证明进行审查。</w:t>
      </w:r>
    </w:p>
    <w:p>
      <w:pPr>
        <w:spacing w:line="400" w:lineRule="exact"/>
        <w:ind w:firstLine="723" w:firstLineChars="300"/>
        <w:rPr>
          <w:rFonts w:ascii="宋体" w:hAnsi="宋体" w:eastAsia="宋体" w:cs="宋体"/>
          <w:b/>
          <w:bCs/>
          <w:sz w:val="24"/>
          <w:szCs w:val="24"/>
        </w:rPr>
      </w:pPr>
      <w:r>
        <w:rPr>
          <w:rFonts w:hint="eastAsia" w:ascii="宋体" w:hAnsi="宋体" w:eastAsia="宋体" w:cs="宋体"/>
          <w:b/>
          <w:bCs/>
          <w:sz w:val="24"/>
          <w:szCs w:val="24"/>
        </w:rPr>
        <w:t>4.以上评审依据投标人必须将佐证材料扫描编制到纸质投标文件中。采购人有权查验预成交供应商提供的所有佐证资料原件，投标人的佐证资料应合法合规取得，如有虚假材料按《政府采购法》第七十七条严肃处理。</w:t>
      </w:r>
    </w:p>
    <w:p>
      <w:pPr>
        <w:spacing w:line="360" w:lineRule="exact"/>
        <w:rPr>
          <w:rFonts w:ascii="宋体" w:hAnsi="宋体" w:eastAsia="宋体" w:cs="宋体"/>
          <w:b/>
          <w:sz w:val="24"/>
          <w:szCs w:val="24"/>
        </w:rPr>
      </w:pPr>
      <w:r>
        <w:rPr>
          <w:rFonts w:hint="eastAsia" w:ascii="宋体" w:hAnsi="宋体" w:eastAsia="宋体" w:cs="宋体"/>
          <w:b/>
          <w:sz w:val="24"/>
          <w:szCs w:val="24"/>
        </w:rPr>
        <w:t>32 评标过程的保密性</w:t>
      </w:r>
    </w:p>
    <w:p>
      <w:pPr>
        <w:spacing w:line="480" w:lineRule="exact"/>
        <w:rPr>
          <w:rFonts w:ascii="宋体" w:hAnsi="宋体" w:eastAsia="宋体" w:cs="宋体"/>
          <w:bCs/>
          <w:sz w:val="24"/>
          <w:szCs w:val="24"/>
        </w:rPr>
      </w:pPr>
      <w:r>
        <w:rPr>
          <w:rFonts w:hint="eastAsia" w:ascii="宋体" w:hAnsi="宋体" w:eastAsia="宋体" w:cs="宋体"/>
          <w:bCs/>
          <w:sz w:val="24"/>
          <w:szCs w:val="24"/>
        </w:rPr>
        <w:t>32.1 评标工作在评标委员会内独立进行，评标委员会将遵照评标原则，公正、公平对待所有投标人。</w:t>
      </w:r>
    </w:p>
    <w:p>
      <w:pPr>
        <w:spacing w:line="480" w:lineRule="exact"/>
        <w:rPr>
          <w:rFonts w:ascii="宋体" w:hAnsi="宋体" w:eastAsia="宋体" w:cs="宋体"/>
          <w:bCs/>
          <w:sz w:val="24"/>
          <w:szCs w:val="24"/>
        </w:rPr>
      </w:pPr>
      <w:r>
        <w:rPr>
          <w:rFonts w:hint="eastAsia" w:ascii="宋体" w:hAnsi="宋体" w:eastAsia="宋体" w:cs="宋体"/>
          <w:bCs/>
          <w:sz w:val="24"/>
          <w:szCs w:val="24"/>
        </w:rPr>
        <w:t>32.2 开标之后，直到授予投标人合同止，其间所进行的程序及内容均予保密，评标小组等相关人员均不得向任何人透露评标信息。</w:t>
      </w:r>
    </w:p>
    <w:p>
      <w:pPr>
        <w:spacing w:line="480" w:lineRule="exact"/>
        <w:rPr>
          <w:rFonts w:ascii="宋体" w:hAnsi="宋体" w:eastAsia="宋体" w:cs="宋体"/>
          <w:bCs/>
          <w:sz w:val="24"/>
          <w:szCs w:val="24"/>
        </w:rPr>
      </w:pPr>
      <w:r>
        <w:rPr>
          <w:rFonts w:hint="eastAsia" w:ascii="宋体" w:hAnsi="宋体" w:eastAsia="宋体" w:cs="宋体"/>
          <w:bCs/>
          <w:sz w:val="24"/>
          <w:szCs w:val="24"/>
        </w:rPr>
        <w:t>32.3 评标期间，投标人企图影响招标人的任何活动都将导致投标被拒绝，由此产生的一切责任与后果由投标人自行承担。</w:t>
      </w:r>
    </w:p>
    <w:p>
      <w:pPr>
        <w:spacing w:line="480" w:lineRule="exact"/>
        <w:rPr>
          <w:rFonts w:ascii="宋体" w:hAnsi="宋体" w:eastAsia="宋体" w:cs="宋体"/>
          <w:bCs/>
          <w:sz w:val="24"/>
          <w:szCs w:val="24"/>
        </w:rPr>
      </w:pPr>
      <w:r>
        <w:rPr>
          <w:rFonts w:hint="eastAsia" w:ascii="宋体" w:hAnsi="宋体" w:eastAsia="宋体" w:cs="宋体"/>
          <w:bCs/>
          <w:sz w:val="24"/>
          <w:szCs w:val="24"/>
        </w:rPr>
        <w:t>32.4 招标人不向落标人解释落标原因，不退还投标文件。</w:t>
      </w:r>
    </w:p>
    <w:p>
      <w:pPr>
        <w:spacing w:line="360" w:lineRule="exact"/>
        <w:rPr>
          <w:rFonts w:ascii="宋体" w:hAnsi="宋体" w:eastAsia="宋体" w:cs="宋体"/>
          <w:b/>
          <w:sz w:val="24"/>
          <w:szCs w:val="24"/>
        </w:rPr>
      </w:pPr>
      <w:r>
        <w:rPr>
          <w:rFonts w:hint="eastAsia" w:ascii="宋体" w:hAnsi="宋体" w:eastAsia="宋体" w:cs="宋体"/>
          <w:b/>
          <w:sz w:val="24"/>
          <w:szCs w:val="24"/>
        </w:rPr>
        <w:t>33废标情况</w:t>
      </w:r>
    </w:p>
    <w:p>
      <w:pPr>
        <w:spacing w:line="480" w:lineRule="exact"/>
        <w:rPr>
          <w:rFonts w:ascii="宋体" w:hAnsi="宋体" w:eastAsia="宋体" w:cs="宋体"/>
          <w:b/>
          <w:bCs/>
          <w:sz w:val="24"/>
          <w:szCs w:val="24"/>
        </w:rPr>
      </w:pPr>
      <w:r>
        <w:rPr>
          <w:rFonts w:hint="eastAsia" w:ascii="宋体" w:hAnsi="宋体" w:eastAsia="宋体" w:cs="宋体"/>
          <w:b/>
          <w:bCs/>
          <w:sz w:val="24"/>
          <w:szCs w:val="24"/>
        </w:rPr>
        <w:t>33.1投标人有下列情形之一的，属于实质上没有响应招标文件要求的投标，其投标将被视为无效投标：</w:t>
      </w:r>
    </w:p>
    <w:p>
      <w:pPr>
        <w:spacing w:line="480" w:lineRule="exact"/>
        <w:rPr>
          <w:rFonts w:ascii="宋体" w:hAnsi="宋体" w:eastAsia="宋体" w:cs="宋体"/>
          <w:bCs/>
          <w:sz w:val="24"/>
          <w:szCs w:val="24"/>
        </w:rPr>
      </w:pPr>
      <w:r>
        <w:rPr>
          <w:rFonts w:hint="eastAsia" w:ascii="宋体" w:hAnsi="宋体" w:eastAsia="宋体" w:cs="宋体"/>
          <w:bCs/>
          <w:sz w:val="24"/>
          <w:szCs w:val="24"/>
        </w:rPr>
        <w:t>33.1.1 投标总金额超过本项目最高限价；</w:t>
      </w:r>
    </w:p>
    <w:p>
      <w:pPr>
        <w:spacing w:line="480" w:lineRule="exact"/>
        <w:rPr>
          <w:rFonts w:ascii="宋体" w:hAnsi="宋体" w:eastAsia="宋体" w:cs="宋体"/>
          <w:bCs/>
          <w:sz w:val="24"/>
          <w:szCs w:val="24"/>
        </w:rPr>
      </w:pPr>
      <w:r>
        <w:rPr>
          <w:rFonts w:hint="eastAsia" w:ascii="宋体" w:hAnsi="宋体" w:eastAsia="宋体" w:cs="宋体"/>
          <w:bCs/>
          <w:sz w:val="24"/>
          <w:szCs w:val="24"/>
        </w:rPr>
        <w:t>33.1.2 经评标委员会确定技术参数不符合招标文件要求的；</w:t>
      </w:r>
    </w:p>
    <w:p>
      <w:pPr>
        <w:spacing w:line="480" w:lineRule="exact"/>
        <w:rPr>
          <w:rFonts w:ascii="宋体" w:hAnsi="宋体" w:eastAsia="宋体" w:cs="宋体"/>
          <w:bCs/>
          <w:sz w:val="24"/>
          <w:szCs w:val="24"/>
        </w:rPr>
      </w:pPr>
      <w:r>
        <w:rPr>
          <w:rFonts w:hint="eastAsia" w:ascii="宋体" w:hAnsi="宋体" w:eastAsia="宋体" w:cs="宋体"/>
          <w:bCs/>
          <w:sz w:val="24"/>
          <w:szCs w:val="24"/>
        </w:rPr>
        <w:t>33.1.3 服务期不能满足要求的或服务质量不能满足的；</w:t>
      </w:r>
    </w:p>
    <w:p>
      <w:pPr>
        <w:spacing w:line="480" w:lineRule="exact"/>
        <w:rPr>
          <w:rFonts w:ascii="宋体" w:hAnsi="宋体" w:eastAsia="宋体" w:cs="宋体"/>
          <w:bCs/>
          <w:sz w:val="24"/>
          <w:szCs w:val="24"/>
        </w:rPr>
      </w:pPr>
      <w:r>
        <w:rPr>
          <w:rFonts w:hint="eastAsia" w:ascii="宋体" w:hAnsi="宋体" w:eastAsia="宋体" w:cs="宋体"/>
          <w:bCs/>
          <w:sz w:val="24"/>
          <w:szCs w:val="24"/>
        </w:rPr>
        <w:t>33.1.4 投标人的投标文件或资格证明文件未提供或不符合招标文件要求的；</w:t>
      </w:r>
    </w:p>
    <w:p>
      <w:pPr>
        <w:spacing w:line="480" w:lineRule="exact"/>
        <w:rPr>
          <w:rFonts w:ascii="宋体" w:hAnsi="宋体" w:eastAsia="宋体" w:cs="宋体"/>
          <w:bCs/>
          <w:sz w:val="24"/>
          <w:szCs w:val="24"/>
        </w:rPr>
      </w:pPr>
      <w:r>
        <w:rPr>
          <w:rFonts w:hint="eastAsia" w:ascii="宋体" w:hAnsi="宋体" w:eastAsia="宋体" w:cs="宋体"/>
          <w:bCs/>
          <w:sz w:val="24"/>
          <w:szCs w:val="24"/>
        </w:rPr>
        <w:t>33.1.5 投标文件无法定代表人签字的；</w:t>
      </w:r>
    </w:p>
    <w:p>
      <w:pPr>
        <w:spacing w:line="480" w:lineRule="exact"/>
        <w:rPr>
          <w:rFonts w:ascii="宋体" w:hAnsi="宋体" w:eastAsia="宋体" w:cs="宋体"/>
          <w:bCs/>
          <w:sz w:val="24"/>
          <w:szCs w:val="24"/>
        </w:rPr>
      </w:pPr>
      <w:r>
        <w:rPr>
          <w:rFonts w:hint="eastAsia" w:ascii="宋体" w:hAnsi="宋体" w:eastAsia="宋体" w:cs="宋体"/>
          <w:bCs/>
          <w:sz w:val="24"/>
          <w:szCs w:val="24"/>
        </w:rPr>
        <w:t>33.1.6 投标文件出现多个投标方案的；</w:t>
      </w:r>
    </w:p>
    <w:p>
      <w:pPr>
        <w:spacing w:line="480" w:lineRule="exact"/>
        <w:rPr>
          <w:rFonts w:ascii="宋体" w:hAnsi="宋体" w:eastAsia="宋体" w:cs="宋体"/>
          <w:bCs/>
          <w:sz w:val="24"/>
          <w:szCs w:val="24"/>
        </w:rPr>
      </w:pPr>
      <w:r>
        <w:rPr>
          <w:rFonts w:hint="eastAsia" w:ascii="宋体" w:hAnsi="宋体" w:eastAsia="宋体" w:cs="宋体"/>
          <w:bCs/>
          <w:sz w:val="24"/>
          <w:szCs w:val="24"/>
        </w:rPr>
        <w:t>33.1.7 投标文件含有违反国家法律、法规的内容，或附有采购人不能接受的条件的；</w:t>
      </w:r>
    </w:p>
    <w:p>
      <w:pPr>
        <w:spacing w:line="480" w:lineRule="exact"/>
        <w:rPr>
          <w:rFonts w:ascii="宋体" w:hAnsi="宋体" w:eastAsia="宋体" w:cs="宋体"/>
          <w:bCs/>
          <w:sz w:val="24"/>
          <w:szCs w:val="24"/>
        </w:rPr>
      </w:pPr>
      <w:r>
        <w:rPr>
          <w:rFonts w:hint="eastAsia" w:ascii="宋体" w:hAnsi="宋体" w:eastAsia="宋体" w:cs="宋体"/>
          <w:bCs/>
          <w:sz w:val="24"/>
          <w:szCs w:val="24"/>
        </w:rPr>
        <w:t>33.1.8投标人未通过资格性检查或投标文件未通过符合性检查的；</w:t>
      </w:r>
    </w:p>
    <w:p>
      <w:pPr>
        <w:spacing w:line="480" w:lineRule="exact"/>
        <w:rPr>
          <w:rFonts w:ascii="宋体" w:hAnsi="宋体" w:eastAsia="宋体" w:cs="宋体"/>
          <w:bCs/>
          <w:sz w:val="24"/>
          <w:szCs w:val="24"/>
        </w:rPr>
      </w:pPr>
      <w:r>
        <w:rPr>
          <w:rFonts w:hint="eastAsia" w:ascii="宋体" w:hAnsi="宋体" w:eastAsia="宋体" w:cs="宋体"/>
          <w:bCs/>
          <w:sz w:val="24"/>
          <w:szCs w:val="24"/>
        </w:rPr>
        <w:t>33.1.9 投标有效期不足的；</w:t>
      </w:r>
    </w:p>
    <w:p>
      <w:pPr>
        <w:spacing w:line="480" w:lineRule="exact"/>
        <w:rPr>
          <w:rFonts w:ascii="宋体" w:hAnsi="宋体" w:eastAsia="宋体" w:cs="宋体"/>
          <w:bCs/>
          <w:sz w:val="24"/>
          <w:szCs w:val="24"/>
        </w:rPr>
      </w:pPr>
      <w:r>
        <w:rPr>
          <w:rFonts w:hint="eastAsia" w:ascii="宋体" w:hAnsi="宋体" w:eastAsia="宋体" w:cs="宋体"/>
          <w:bCs/>
          <w:sz w:val="24"/>
          <w:szCs w:val="24"/>
        </w:rPr>
        <w:t>33.1.10 投标文件技术规格中的响应与事实不符或虚假投标的；</w:t>
      </w:r>
    </w:p>
    <w:p>
      <w:pPr>
        <w:spacing w:line="480" w:lineRule="exact"/>
        <w:rPr>
          <w:rFonts w:ascii="宋体" w:hAnsi="宋体" w:eastAsia="宋体" w:cs="宋体"/>
          <w:bCs/>
          <w:sz w:val="24"/>
          <w:szCs w:val="24"/>
        </w:rPr>
      </w:pPr>
      <w:r>
        <w:rPr>
          <w:rFonts w:hint="eastAsia" w:ascii="宋体" w:hAnsi="宋体" w:eastAsia="宋体" w:cs="宋体"/>
          <w:bCs/>
          <w:sz w:val="24"/>
          <w:szCs w:val="24"/>
        </w:rPr>
        <w:t>33.1.11字迹或内容模糊，辨认不清的；</w:t>
      </w:r>
    </w:p>
    <w:p>
      <w:pPr>
        <w:spacing w:line="480" w:lineRule="exact"/>
        <w:rPr>
          <w:rFonts w:ascii="宋体" w:hAnsi="宋体" w:eastAsia="宋体" w:cs="宋体"/>
          <w:bCs/>
          <w:sz w:val="24"/>
          <w:szCs w:val="24"/>
        </w:rPr>
      </w:pPr>
      <w:r>
        <w:rPr>
          <w:rFonts w:hint="eastAsia" w:ascii="宋体" w:hAnsi="宋体" w:eastAsia="宋体" w:cs="宋体"/>
          <w:bCs/>
          <w:sz w:val="24"/>
          <w:szCs w:val="24"/>
        </w:rPr>
        <w:t>33.1.12 法定代表人为同一人的两个及两个以上投标人的；</w:t>
      </w:r>
    </w:p>
    <w:p>
      <w:pPr>
        <w:spacing w:line="480" w:lineRule="exact"/>
        <w:rPr>
          <w:rFonts w:ascii="宋体" w:hAnsi="宋体" w:eastAsia="宋体" w:cs="宋体"/>
          <w:bCs/>
          <w:sz w:val="24"/>
          <w:szCs w:val="24"/>
        </w:rPr>
      </w:pPr>
      <w:r>
        <w:rPr>
          <w:rFonts w:hint="eastAsia" w:ascii="宋体" w:hAnsi="宋体" w:eastAsia="宋体" w:cs="宋体"/>
          <w:bCs/>
          <w:sz w:val="24"/>
          <w:szCs w:val="24"/>
        </w:rPr>
        <w:t>33.1.13 投标人相互之间存在直接控股、管理关系的；</w:t>
      </w:r>
    </w:p>
    <w:p>
      <w:pPr>
        <w:spacing w:line="480" w:lineRule="exact"/>
        <w:rPr>
          <w:rFonts w:ascii="宋体" w:hAnsi="宋体" w:eastAsia="宋体" w:cs="宋体"/>
          <w:bCs/>
          <w:sz w:val="24"/>
          <w:szCs w:val="24"/>
        </w:rPr>
      </w:pPr>
      <w:r>
        <w:rPr>
          <w:rFonts w:hint="eastAsia" w:ascii="宋体" w:hAnsi="宋体" w:eastAsia="宋体" w:cs="宋体"/>
          <w:bCs/>
          <w:sz w:val="24"/>
          <w:szCs w:val="24"/>
        </w:rPr>
        <w:t>33.1.14 投标人为本采购项目提供整体设计、规范编制或者项目管理、监理、检测等服务的供应商；</w:t>
      </w:r>
    </w:p>
    <w:p>
      <w:pPr>
        <w:spacing w:line="480" w:lineRule="exact"/>
        <w:rPr>
          <w:rFonts w:ascii="宋体" w:hAnsi="宋体" w:eastAsia="宋体" w:cs="宋体"/>
          <w:bCs/>
          <w:sz w:val="24"/>
          <w:szCs w:val="24"/>
        </w:rPr>
      </w:pPr>
      <w:r>
        <w:rPr>
          <w:rFonts w:hint="eastAsia" w:ascii="宋体" w:hAnsi="宋体" w:eastAsia="宋体" w:cs="宋体"/>
          <w:bCs/>
          <w:sz w:val="24"/>
          <w:szCs w:val="24"/>
        </w:rPr>
        <w:t>33.1.15 现场签到的投标代表与投标文件中投标代表不一致的；</w:t>
      </w:r>
    </w:p>
    <w:p>
      <w:pPr>
        <w:spacing w:line="480" w:lineRule="exact"/>
        <w:rPr>
          <w:rFonts w:ascii="宋体" w:hAnsi="宋体" w:eastAsia="宋体" w:cs="宋体"/>
          <w:sz w:val="24"/>
          <w:szCs w:val="24"/>
        </w:rPr>
      </w:pPr>
      <w:r>
        <w:rPr>
          <w:rFonts w:hint="eastAsia" w:ascii="宋体" w:hAnsi="宋体" w:eastAsia="宋体" w:cs="宋体"/>
          <w:bCs/>
          <w:sz w:val="24"/>
          <w:szCs w:val="24"/>
        </w:rPr>
        <w:t>33.1.16</w:t>
      </w:r>
      <w:r>
        <w:rPr>
          <w:rFonts w:hint="eastAsia" w:ascii="宋体" w:hAnsi="宋体" w:eastAsia="宋体" w:cs="宋体"/>
          <w:sz w:val="24"/>
          <w:szCs w:val="24"/>
        </w:rPr>
        <w:t>超出经营范围的；</w:t>
      </w:r>
    </w:p>
    <w:p>
      <w:pPr>
        <w:spacing w:line="480" w:lineRule="exact"/>
        <w:rPr>
          <w:rFonts w:ascii="宋体" w:hAnsi="宋体" w:eastAsia="宋体" w:cs="宋体"/>
          <w:bCs/>
          <w:sz w:val="24"/>
          <w:szCs w:val="24"/>
        </w:rPr>
      </w:pPr>
      <w:r>
        <w:rPr>
          <w:rFonts w:hint="eastAsia" w:ascii="宋体" w:hAnsi="宋体" w:eastAsia="宋体" w:cs="宋体"/>
          <w:bCs/>
          <w:sz w:val="24"/>
          <w:szCs w:val="24"/>
        </w:rPr>
        <w:t>33.1.17投标人未提交投标保证金或金额不足、投标保证金提交形式不符合招标文件要求的；</w:t>
      </w:r>
    </w:p>
    <w:p>
      <w:pPr>
        <w:spacing w:line="480" w:lineRule="exact"/>
        <w:rPr>
          <w:rFonts w:ascii="宋体" w:hAnsi="宋体" w:eastAsia="宋体" w:cs="宋体"/>
          <w:bCs/>
          <w:sz w:val="24"/>
          <w:szCs w:val="24"/>
        </w:rPr>
      </w:pPr>
      <w:r>
        <w:rPr>
          <w:rFonts w:hint="eastAsia" w:ascii="宋体" w:hAnsi="宋体" w:eastAsia="宋体" w:cs="宋体"/>
          <w:bCs/>
          <w:sz w:val="24"/>
          <w:szCs w:val="24"/>
        </w:rPr>
        <w:t>33.1.18</w:t>
      </w:r>
      <w:r>
        <w:rPr>
          <w:rFonts w:hint="eastAsia" w:ascii="宋体" w:hAnsi="宋体" w:eastAsia="宋体" w:cs="宋体"/>
          <w:sz w:val="24"/>
          <w:szCs w:val="24"/>
        </w:rPr>
        <w:t>其他被评标委员会认定无效的情况或招标文件当中已列明的其他导致废标的因素</w:t>
      </w:r>
      <w:r>
        <w:rPr>
          <w:rFonts w:hint="eastAsia" w:ascii="宋体" w:hAnsi="宋体" w:eastAsia="宋体" w:cs="宋体"/>
          <w:bCs/>
          <w:sz w:val="24"/>
          <w:szCs w:val="24"/>
        </w:rPr>
        <w:t>。</w:t>
      </w:r>
    </w:p>
    <w:p>
      <w:pPr>
        <w:spacing w:line="480" w:lineRule="exact"/>
        <w:rPr>
          <w:rFonts w:ascii="宋体" w:hAnsi="宋体" w:eastAsia="宋体" w:cs="宋体"/>
          <w:b/>
          <w:bCs/>
          <w:sz w:val="24"/>
          <w:szCs w:val="24"/>
        </w:rPr>
      </w:pPr>
      <w:r>
        <w:rPr>
          <w:rFonts w:hint="eastAsia" w:ascii="宋体" w:hAnsi="宋体" w:eastAsia="宋体" w:cs="宋体"/>
          <w:b/>
          <w:bCs/>
          <w:sz w:val="24"/>
          <w:szCs w:val="24"/>
        </w:rPr>
        <w:t>33.2在招标采购中，出现下列情形之一的，应予废标：</w:t>
      </w:r>
    </w:p>
    <w:p>
      <w:pPr>
        <w:spacing w:line="480" w:lineRule="exact"/>
        <w:rPr>
          <w:rFonts w:ascii="宋体" w:hAnsi="宋体" w:eastAsia="宋体" w:cs="宋体"/>
          <w:bCs/>
          <w:sz w:val="24"/>
          <w:szCs w:val="24"/>
        </w:rPr>
      </w:pPr>
      <w:r>
        <w:rPr>
          <w:rFonts w:hint="eastAsia" w:ascii="宋体" w:hAnsi="宋体" w:eastAsia="宋体" w:cs="宋体"/>
          <w:bCs/>
          <w:sz w:val="24"/>
          <w:szCs w:val="24"/>
        </w:rPr>
        <w:t>33.2.1 符合专业条件的供应商或对招标文件实质性响应不足三家的；</w:t>
      </w:r>
    </w:p>
    <w:p>
      <w:pPr>
        <w:spacing w:line="480" w:lineRule="exact"/>
        <w:rPr>
          <w:rFonts w:ascii="宋体" w:hAnsi="宋体" w:eastAsia="宋体" w:cs="宋体"/>
          <w:bCs/>
          <w:sz w:val="24"/>
          <w:szCs w:val="24"/>
        </w:rPr>
      </w:pPr>
      <w:r>
        <w:rPr>
          <w:rFonts w:hint="eastAsia" w:ascii="宋体" w:hAnsi="宋体" w:eastAsia="宋体" w:cs="宋体"/>
          <w:bCs/>
          <w:sz w:val="24"/>
          <w:szCs w:val="24"/>
        </w:rPr>
        <w:t>33.2.2 出现影响采购公正的违法、违规行为的；</w:t>
      </w:r>
    </w:p>
    <w:p>
      <w:pPr>
        <w:spacing w:line="480" w:lineRule="exact"/>
        <w:rPr>
          <w:rFonts w:ascii="宋体" w:hAnsi="宋体" w:eastAsia="宋体" w:cs="宋体"/>
          <w:bCs/>
          <w:sz w:val="24"/>
          <w:szCs w:val="24"/>
        </w:rPr>
      </w:pPr>
      <w:r>
        <w:rPr>
          <w:rFonts w:hint="eastAsia" w:ascii="宋体" w:hAnsi="宋体" w:eastAsia="宋体" w:cs="宋体"/>
          <w:bCs/>
          <w:sz w:val="24"/>
          <w:szCs w:val="24"/>
        </w:rPr>
        <w:t>33.2.3 投标人的报价均超过最高限价，采购人不能支付的；</w:t>
      </w:r>
    </w:p>
    <w:p>
      <w:pPr>
        <w:spacing w:line="480" w:lineRule="exact"/>
        <w:rPr>
          <w:rFonts w:ascii="宋体" w:hAnsi="宋体" w:eastAsia="宋体" w:cs="宋体"/>
          <w:bCs/>
          <w:sz w:val="24"/>
          <w:szCs w:val="24"/>
        </w:rPr>
      </w:pPr>
      <w:r>
        <w:rPr>
          <w:rFonts w:hint="eastAsia" w:ascii="宋体" w:hAnsi="宋体" w:eastAsia="宋体" w:cs="宋体"/>
          <w:bCs/>
          <w:sz w:val="24"/>
          <w:szCs w:val="24"/>
        </w:rPr>
        <w:t>33.2.4 因重大变故，采购任务取消的；</w:t>
      </w:r>
    </w:p>
    <w:p>
      <w:pPr>
        <w:spacing w:line="480" w:lineRule="exact"/>
        <w:rPr>
          <w:rFonts w:ascii="宋体" w:hAnsi="宋体" w:eastAsia="宋体" w:cs="宋体"/>
          <w:bCs/>
          <w:sz w:val="24"/>
          <w:szCs w:val="24"/>
        </w:rPr>
      </w:pPr>
      <w:r>
        <w:rPr>
          <w:rFonts w:hint="eastAsia" w:ascii="宋体" w:hAnsi="宋体" w:eastAsia="宋体" w:cs="宋体"/>
          <w:bCs/>
          <w:sz w:val="24"/>
          <w:szCs w:val="24"/>
        </w:rPr>
        <w:t>33.2.5 法律、法规规定其他满足废标情况的。</w:t>
      </w:r>
    </w:p>
    <w:p>
      <w:pPr>
        <w:spacing w:line="480" w:lineRule="exact"/>
        <w:rPr>
          <w:rFonts w:ascii="宋体" w:hAnsi="宋体" w:eastAsia="宋体" w:cs="宋体"/>
          <w:b/>
          <w:bCs/>
          <w:sz w:val="24"/>
          <w:szCs w:val="24"/>
        </w:rPr>
      </w:pPr>
      <w:r>
        <w:rPr>
          <w:rFonts w:hint="eastAsia" w:ascii="宋体" w:hAnsi="宋体" w:eastAsia="宋体" w:cs="宋体"/>
          <w:b/>
          <w:bCs/>
          <w:sz w:val="24"/>
          <w:szCs w:val="24"/>
        </w:rPr>
        <w:t>34   评标结果确认</w:t>
      </w:r>
    </w:p>
    <w:p>
      <w:pPr>
        <w:spacing w:line="480" w:lineRule="exact"/>
        <w:rPr>
          <w:rFonts w:ascii="宋体" w:hAnsi="宋体" w:eastAsia="宋体" w:cs="宋体"/>
          <w:sz w:val="24"/>
          <w:szCs w:val="24"/>
        </w:rPr>
      </w:pPr>
      <w:r>
        <w:rPr>
          <w:rFonts w:hint="eastAsia" w:ascii="宋体" w:hAnsi="宋体" w:eastAsia="宋体" w:cs="宋体"/>
          <w:sz w:val="24"/>
          <w:szCs w:val="24"/>
        </w:rPr>
        <w:t>采购人应当自收到评标报告之日起５个工作日内，在评标报告确定的中标候选人名单中按顺序确定中标人。</w:t>
      </w:r>
    </w:p>
    <w:p>
      <w:pPr>
        <w:spacing w:line="480" w:lineRule="exact"/>
        <w:rPr>
          <w:rFonts w:ascii="宋体" w:hAnsi="宋体" w:eastAsia="宋体" w:cs="宋体"/>
          <w:b/>
          <w:sz w:val="24"/>
          <w:szCs w:val="24"/>
        </w:rPr>
      </w:pPr>
      <w:r>
        <w:rPr>
          <w:rFonts w:hint="eastAsia" w:ascii="宋体" w:hAnsi="宋体" w:eastAsia="宋体" w:cs="宋体"/>
          <w:b/>
          <w:sz w:val="24"/>
          <w:szCs w:val="24"/>
        </w:rPr>
        <w:t>35  评标结果公示</w:t>
      </w:r>
    </w:p>
    <w:p>
      <w:pPr>
        <w:spacing w:line="480" w:lineRule="exact"/>
        <w:rPr>
          <w:rFonts w:ascii="宋体" w:hAnsi="宋体" w:eastAsia="宋体" w:cs="宋体"/>
          <w:sz w:val="24"/>
          <w:szCs w:val="24"/>
        </w:rPr>
      </w:pPr>
      <w:r>
        <w:rPr>
          <w:rFonts w:hint="eastAsia" w:ascii="宋体" w:hAnsi="宋体" w:eastAsia="宋体" w:cs="宋体"/>
          <w:sz w:val="24"/>
          <w:szCs w:val="24"/>
        </w:rPr>
        <w:t>评标结束后，招标代理机构和采购人将在中国政府采购网（http://www.ccgp.gov.cn/）及南城县公共资源交易网（http://ztb.jxfz.gov.cn/nc/）公示评标结果，公示期为</w:t>
      </w:r>
      <w:r>
        <w:rPr>
          <w:rFonts w:hint="eastAsia" w:ascii="宋体" w:hAnsi="宋体" w:eastAsia="宋体" w:cs="宋体"/>
          <w:b/>
          <w:sz w:val="24"/>
          <w:szCs w:val="24"/>
        </w:rPr>
        <w:t>1</w:t>
      </w:r>
      <w:r>
        <w:rPr>
          <w:rFonts w:hint="eastAsia" w:ascii="宋体" w:hAnsi="宋体" w:eastAsia="宋体" w:cs="宋体"/>
          <w:sz w:val="24"/>
          <w:szCs w:val="24"/>
        </w:rPr>
        <w:t>个工作日。若投标人对评标结果有异议，可在结果公示发布之日起七个工作日内以投标人的名义向江西俱承工程管理有限公司提出书面质疑。</w:t>
      </w:r>
    </w:p>
    <w:p>
      <w:pPr>
        <w:spacing w:line="480" w:lineRule="exact"/>
        <w:jc w:val="center"/>
        <w:outlineLvl w:val="1"/>
        <w:rPr>
          <w:rFonts w:ascii="宋体" w:hAnsi="宋体" w:eastAsia="宋体" w:cs="宋体"/>
          <w:b/>
          <w:sz w:val="24"/>
          <w:szCs w:val="24"/>
        </w:rPr>
      </w:pPr>
      <w:bookmarkStart w:id="93" w:name="_Toc155100546"/>
      <w:r>
        <w:rPr>
          <w:rFonts w:hint="eastAsia" w:ascii="宋体" w:hAnsi="宋体" w:eastAsia="宋体" w:cs="宋体"/>
          <w:b/>
          <w:sz w:val="24"/>
          <w:szCs w:val="24"/>
        </w:rPr>
        <w:t>六  授予合同</w:t>
      </w:r>
      <w:bookmarkEnd w:id="93"/>
    </w:p>
    <w:p>
      <w:pPr>
        <w:spacing w:line="480" w:lineRule="exact"/>
        <w:rPr>
          <w:rFonts w:ascii="宋体" w:hAnsi="宋体" w:eastAsia="宋体" w:cs="宋体"/>
          <w:b/>
          <w:sz w:val="24"/>
          <w:szCs w:val="24"/>
        </w:rPr>
      </w:pPr>
      <w:r>
        <w:rPr>
          <w:rFonts w:hint="eastAsia" w:ascii="宋体" w:hAnsi="宋体" w:eastAsia="宋体" w:cs="宋体"/>
          <w:b/>
          <w:sz w:val="24"/>
          <w:szCs w:val="24"/>
        </w:rPr>
        <w:t>36  授标时更改采购货物数量的权力</w:t>
      </w:r>
    </w:p>
    <w:p>
      <w:pPr>
        <w:spacing w:line="480" w:lineRule="exact"/>
        <w:rPr>
          <w:rFonts w:ascii="宋体" w:hAnsi="宋体" w:eastAsia="宋体" w:cs="宋体"/>
          <w:sz w:val="24"/>
          <w:szCs w:val="24"/>
        </w:rPr>
      </w:pPr>
      <w:r>
        <w:rPr>
          <w:rFonts w:hint="eastAsia" w:ascii="宋体" w:hAnsi="宋体" w:eastAsia="宋体" w:cs="宋体"/>
          <w:sz w:val="24"/>
          <w:szCs w:val="24"/>
        </w:rPr>
        <w:t>36.1  招标代理机构和采购人在授予合同时有权在</w:t>
      </w:r>
      <w:r>
        <w:rPr>
          <w:rFonts w:hint="eastAsia" w:ascii="宋体" w:hAnsi="宋体" w:eastAsia="宋体" w:cs="宋体"/>
          <w:b/>
          <w:sz w:val="24"/>
          <w:szCs w:val="24"/>
        </w:rPr>
        <w:t>（数量增减变更：投标报价的±10%）</w:t>
      </w:r>
      <w:r>
        <w:rPr>
          <w:rFonts w:hint="eastAsia" w:ascii="宋体" w:hAnsi="宋体" w:eastAsia="宋体" w:cs="宋体"/>
          <w:sz w:val="24"/>
          <w:szCs w:val="24"/>
        </w:rPr>
        <w:t>幅度内对“技术需求”中规定的货物数量和服务予以增加或减少，但不得对单价或其它的条款和条件做任何改变。</w:t>
      </w:r>
    </w:p>
    <w:p>
      <w:pPr>
        <w:spacing w:line="480" w:lineRule="exact"/>
        <w:rPr>
          <w:rFonts w:ascii="宋体" w:hAnsi="宋体" w:eastAsia="宋体" w:cs="宋体"/>
          <w:b/>
          <w:sz w:val="24"/>
          <w:szCs w:val="24"/>
        </w:rPr>
      </w:pPr>
      <w:r>
        <w:rPr>
          <w:rFonts w:hint="eastAsia" w:ascii="宋体" w:hAnsi="宋体" w:eastAsia="宋体" w:cs="宋体"/>
          <w:b/>
          <w:sz w:val="24"/>
          <w:szCs w:val="24"/>
        </w:rPr>
        <w:t>37  中标通知书</w:t>
      </w:r>
    </w:p>
    <w:p>
      <w:pPr>
        <w:spacing w:line="480" w:lineRule="exact"/>
        <w:rPr>
          <w:rFonts w:ascii="宋体" w:hAnsi="宋体" w:eastAsia="宋体" w:cs="宋体"/>
          <w:sz w:val="24"/>
          <w:szCs w:val="24"/>
        </w:rPr>
      </w:pPr>
      <w:r>
        <w:rPr>
          <w:rFonts w:hint="eastAsia" w:ascii="宋体" w:hAnsi="宋体" w:eastAsia="宋体" w:cs="宋体"/>
          <w:sz w:val="24"/>
          <w:szCs w:val="24"/>
        </w:rPr>
        <w:t>37.1发布中标公示的同时，招标代理机构将向中标人发出成交通知书，成交通知书将作为签订合同的重要依据，</w:t>
      </w:r>
    </w:p>
    <w:p>
      <w:pPr>
        <w:spacing w:line="480" w:lineRule="exact"/>
        <w:rPr>
          <w:rFonts w:ascii="宋体" w:hAnsi="宋体" w:eastAsia="宋体" w:cs="宋体"/>
          <w:sz w:val="24"/>
          <w:szCs w:val="24"/>
        </w:rPr>
      </w:pPr>
      <w:r>
        <w:rPr>
          <w:rFonts w:hint="eastAsia" w:ascii="宋体" w:hAnsi="宋体" w:eastAsia="宋体" w:cs="宋体"/>
          <w:sz w:val="24"/>
          <w:szCs w:val="24"/>
        </w:rPr>
        <w:t>37.2 成交通知书是合同的一个组成部分。</w:t>
      </w:r>
    </w:p>
    <w:p>
      <w:pPr>
        <w:spacing w:line="480" w:lineRule="exact"/>
        <w:rPr>
          <w:rFonts w:ascii="宋体" w:hAnsi="宋体" w:eastAsia="宋体" w:cs="宋体"/>
          <w:b/>
          <w:sz w:val="24"/>
          <w:szCs w:val="24"/>
        </w:rPr>
      </w:pPr>
      <w:r>
        <w:rPr>
          <w:rFonts w:hint="eastAsia" w:ascii="宋体" w:hAnsi="宋体" w:eastAsia="宋体" w:cs="宋体"/>
          <w:b/>
          <w:sz w:val="24"/>
          <w:szCs w:val="24"/>
        </w:rPr>
        <w:t>38  签订合同</w:t>
      </w:r>
    </w:p>
    <w:p>
      <w:pPr>
        <w:spacing w:line="480" w:lineRule="exact"/>
        <w:rPr>
          <w:rFonts w:ascii="宋体" w:hAnsi="宋体" w:eastAsia="宋体" w:cs="宋体"/>
          <w:sz w:val="24"/>
          <w:szCs w:val="24"/>
        </w:rPr>
      </w:pPr>
      <w:r>
        <w:rPr>
          <w:rFonts w:hint="eastAsia" w:ascii="宋体" w:hAnsi="宋体" w:eastAsia="宋体" w:cs="宋体"/>
          <w:sz w:val="24"/>
          <w:szCs w:val="24"/>
        </w:rPr>
        <w:t>38.1  中标方应按《成交通知书》规定的时间内与采购人签订合同。</w:t>
      </w:r>
    </w:p>
    <w:p>
      <w:pPr>
        <w:spacing w:line="480" w:lineRule="exact"/>
        <w:rPr>
          <w:rFonts w:ascii="宋体" w:hAnsi="宋体" w:eastAsia="宋体" w:cs="宋体"/>
          <w:sz w:val="24"/>
          <w:szCs w:val="24"/>
        </w:rPr>
      </w:pPr>
      <w:r>
        <w:rPr>
          <w:rFonts w:hint="eastAsia" w:ascii="宋体" w:hAnsi="宋体" w:eastAsia="宋体" w:cs="宋体"/>
          <w:sz w:val="24"/>
          <w:szCs w:val="24"/>
        </w:rPr>
        <w:t>38.2 “招标文件”、中标方的“投标文件”及其澄清文件等，均为签订经济合同的依据。</w:t>
      </w:r>
    </w:p>
    <w:p>
      <w:pPr>
        <w:spacing w:line="480" w:lineRule="exact"/>
        <w:rPr>
          <w:rFonts w:ascii="宋体" w:hAnsi="宋体" w:eastAsia="宋体" w:cs="宋体"/>
          <w:b/>
          <w:sz w:val="24"/>
          <w:szCs w:val="24"/>
        </w:rPr>
      </w:pPr>
      <w:r>
        <w:rPr>
          <w:rFonts w:hint="eastAsia" w:ascii="宋体" w:hAnsi="宋体" w:eastAsia="宋体" w:cs="宋体"/>
          <w:b/>
          <w:sz w:val="24"/>
          <w:szCs w:val="24"/>
        </w:rPr>
        <w:t>39  中标服务费</w:t>
      </w:r>
    </w:p>
    <w:p>
      <w:pPr>
        <w:spacing w:line="480" w:lineRule="exact"/>
        <w:rPr>
          <w:rFonts w:ascii="宋体" w:hAnsi="宋体" w:eastAsia="宋体" w:cs="宋体"/>
          <w:sz w:val="24"/>
          <w:szCs w:val="24"/>
        </w:rPr>
      </w:pPr>
      <w:r>
        <w:rPr>
          <w:rFonts w:hint="eastAsia" w:ascii="宋体" w:hAnsi="宋体" w:eastAsia="宋体" w:cs="宋体"/>
          <w:sz w:val="24"/>
          <w:szCs w:val="24"/>
        </w:rPr>
        <w:t>39.1中标方应按规定的计费方式在收到中标通知书之日向招标代理机构交纳中标服务费。39.2采购代理服务费：按以下差额定率累进法表格计算的收取：</w:t>
      </w:r>
    </w:p>
    <w:tbl>
      <w:tblPr>
        <w:tblStyle w:val="40"/>
        <w:tblW w:w="5000" w:type="pct"/>
        <w:jc w:val="center"/>
        <w:tblCellSpacing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4309"/>
        <w:gridCol w:w="1959"/>
        <w:gridCol w:w="1649"/>
        <w:gridCol w:w="177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01" w:hRule="atLeast"/>
          <w:tblCellSpacing w:w="0" w:type="dxa"/>
          <w:jc w:val="center"/>
        </w:trPr>
        <w:tc>
          <w:tcPr>
            <w:tcW w:w="4199" w:type="dxa"/>
            <w:vAlign w:val="center"/>
          </w:tcPr>
          <w:p>
            <w:pPr>
              <w:widowControl/>
              <w:rPr>
                <w:rFonts w:ascii="宋体" w:hAnsi="宋体" w:eastAsia="宋体" w:cs="宋体"/>
                <w:sz w:val="24"/>
                <w:szCs w:val="24"/>
              </w:rPr>
            </w:pPr>
            <w:r>
              <w:rPr>
                <w:rFonts w:hint="eastAsia" w:ascii="宋体" w:hAnsi="宋体" w:eastAsia="宋体" w:cs="宋体"/>
                <w:b/>
                <w:kern w:val="0"/>
                <w:sz w:val="24"/>
                <w:szCs w:val="24"/>
              </w:rPr>
              <w:t>服务类型  中标金额（万元）</w:t>
            </w:r>
          </w:p>
        </w:tc>
        <w:tc>
          <w:tcPr>
            <w:tcW w:w="1909" w:type="dxa"/>
            <w:vAlign w:val="center"/>
          </w:tcPr>
          <w:p>
            <w:pPr>
              <w:widowControl/>
              <w:spacing w:beforeAutospacing="1" w:afterAutospacing="1"/>
              <w:jc w:val="center"/>
              <w:rPr>
                <w:rFonts w:ascii="宋体" w:hAnsi="宋体" w:eastAsia="宋体" w:cs="宋体"/>
                <w:kern w:val="0"/>
                <w:sz w:val="24"/>
                <w:szCs w:val="24"/>
              </w:rPr>
            </w:pPr>
            <w:r>
              <w:rPr>
                <w:rFonts w:hint="eastAsia" w:ascii="宋体" w:hAnsi="宋体" w:eastAsia="宋体" w:cs="宋体"/>
                <w:b/>
                <w:kern w:val="0"/>
                <w:sz w:val="24"/>
                <w:szCs w:val="24"/>
              </w:rPr>
              <w:t>货物招标</w:t>
            </w:r>
          </w:p>
        </w:tc>
        <w:tc>
          <w:tcPr>
            <w:tcW w:w="1607" w:type="dxa"/>
            <w:vAlign w:val="center"/>
          </w:tcPr>
          <w:p>
            <w:pPr>
              <w:widowControl/>
              <w:jc w:val="center"/>
              <w:rPr>
                <w:rFonts w:ascii="宋体" w:hAnsi="宋体" w:eastAsia="宋体" w:cs="宋体"/>
                <w:sz w:val="24"/>
                <w:szCs w:val="24"/>
              </w:rPr>
            </w:pPr>
            <w:r>
              <w:rPr>
                <w:rFonts w:hint="eastAsia" w:ascii="宋体" w:hAnsi="宋体" w:eastAsia="宋体" w:cs="宋体"/>
                <w:b/>
                <w:kern w:val="0"/>
                <w:sz w:val="24"/>
                <w:szCs w:val="24"/>
              </w:rPr>
              <w:t>服务招标</w:t>
            </w:r>
          </w:p>
        </w:tc>
        <w:tc>
          <w:tcPr>
            <w:tcW w:w="1728" w:type="dxa"/>
            <w:vAlign w:val="center"/>
          </w:tcPr>
          <w:p>
            <w:pPr>
              <w:widowControl/>
              <w:jc w:val="center"/>
              <w:rPr>
                <w:rFonts w:ascii="宋体" w:hAnsi="宋体" w:eastAsia="宋体" w:cs="宋体"/>
                <w:sz w:val="24"/>
                <w:szCs w:val="24"/>
              </w:rPr>
            </w:pPr>
            <w:r>
              <w:rPr>
                <w:rFonts w:hint="eastAsia" w:ascii="宋体" w:hAnsi="宋体" w:eastAsia="宋体" w:cs="宋体"/>
                <w:b/>
                <w:kern w:val="0"/>
                <w:sz w:val="24"/>
                <w:szCs w:val="24"/>
              </w:rPr>
              <w:t>工程招标</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4199" w:type="dxa"/>
            <w:vAlign w:val="center"/>
          </w:tcPr>
          <w:p>
            <w:pPr>
              <w:widowControl/>
              <w:jc w:val="left"/>
              <w:rPr>
                <w:rFonts w:ascii="宋体" w:hAnsi="宋体" w:eastAsia="宋体" w:cs="宋体"/>
                <w:sz w:val="24"/>
                <w:szCs w:val="24"/>
              </w:rPr>
            </w:pPr>
            <w:r>
              <w:rPr>
                <w:rFonts w:hint="eastAsia" w:ascii="宋体" w:hAnsi="宋体" w:eastAsia="宋体" w:cs="宋体"/>
                <w:kern w:val="0"/>
                <w:sz w:val="24"/>
                <w:szCs w:val="24"/>
              </w:rPr>
              <w:t>100以下</w:t>
            </w:r>
          </w:p>
        </w:tc>
        <w:tc>
          <w:tcPr>
            <w:tcW w:w="1909"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1.5％</w:t>
            </w:r>
          </w:p>
        </w:tc>
        <w:tc>
          <w:tcPr>
            <w:tcW w:w="1607"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1.5％</w:t>
            </w:r>
          </w:p>
        </w:tc>
        <w:tc>
          <w:tcPr>
            <w:tcW w:w="1728"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1.0％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4199" w:type="dxa"/>
            <w:vAlign w:val="center"/>
          </w:tcPr>
          <w:p>
            <w:pPr>
              <w:widowControl/>
              <w:jc w:val="left"/>
              <w:rPr>
                <w:rFonts w:ascii="宋体" w:hAnsi="宋体" w:eastAsia="宋体" w:cs="宋体"/>
                <w:sz w:val="24"/>
                <w:szCs w:val="24"/>
              </w:rPr>
            </w:pPr>
            <w:r>
              <w:rPr>
                <w:rFonts w:hint="eastAsia" w:ascii="宋体" w:hAnsi="宋体" w:eastAsia="宋体" w:cs="宋体"/>
                <w:kern w:val="0"/>
                <w:sz w:val="24"/>
                <w:szCs w:val="24"/>
              </w:rPr>
              <w:t>100—500</w:t>
            </w:r>
          </w:p>
        </w:tc>
        <w:tc>
          <w:tcPr>
            <w:tcW w:w="1909"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1.1％</w:t>
            </w:r>
          </w:p>
        </w:tc>
        <w:tc>
          <w:tcPr>
            <w:tcW w:w="1607"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0.8％</w:t>
            </w:r>
          </w:p>
        </w:tc>
        <w:tc>
          <w:tcPr>
            <w:tcW w:w="1728"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11" w:hRule="atLeast"/>
          <w:tblCellSpacing w:w="0" w:type="dxa"/>
          <w:jc w:val="center"/>
        </w:trPr>
        <w:tc>
          <w:tcPr>
            <w:tcW w:w="4199" w:type="dxa"/>
            <w:vAlign w:val="center"/>
          </w:tcPr>
          <w:p>
            <w:pPr>
              <w:widowControl/>
              <w:jc w:val="left"/>
              <w:rPr>
                <w:rFonts w:ascii="宋体" w:hAnsi="宋体" w:eastAsia="宋体" w:cs="宋体"/>
                <w:sz w:val="24"/>
                <w:szCs w:val="24"/>
              </w:rPr>
            </w:pPr>
            <w:r>
              <w:rPr>
                <w:rFonts w:hint="eastAsia" w:ascii="宋体" w:hAnsi="宋体" w:eastAsia="宋体" w:cs="宋体"/>
                <w:kern w:val="0"/>
                <w:sz w:val="24"/>
                <w:szCs w:val="24"/>
              </w:rPr>
              <w:t>500—1000</w:t>
            </w:r>
          </w:p>
        </w:tc>
        <w:tc>
          <w:tcPr>
            <w:tcW w:w="1909"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0.8％</w:t>
            </w:r>
          </w:p>
        </w:tc>
        <w:tc>
          <w:tcPr>
            <w:tcW w:w="1607"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0.45％</w:t>
            </w:r>
          </w:p>
        </w:tc>
        <w:tc>
          <w:tcPr>
            <w:tcW w:w="1728" w:type="dxa"/>
            <w:vAlign w:val="center"/>
          </w:tcPr>
          <w:p>
            <w:pPr>
              <w:widowControl/>
              <w:jc w:val="center"/>
              <w:rPr>
                <w:rFonts w:ascii="宋体" w:hAnsi="宋体" w:eastAsia="宋体" w:cs="宋体"/>
                <w:sz w:val="24"/>
                <w:szCs w:val="24"/>
              </w:rPr>
            </w:pPr>
            <w:r>
              <w:rPr>
                <w:rFonts w:hint="eastAsia" w:ascii="宋体" w:hAnsi="宋体" w:eastAsia="宋体" w:cs="宋体"/>
                <w:kern w:val="0"/>
                <w:sz w:val="24"/>
                <w:szCs w:val="24"/>
              </w:rPr>
              <w:t>0.55％</w:t>
            </w:r>
          </w:p>
        </w:tc>
      </w:tr>
    </w:tbl>
    <w:p>
      <w:pPr>
        <w:spacing w:line="400" w:lineRule="exact"/>
        <w:rPr>
          <w:rFonts w:ascii="宋体" w:hAnsi="宋体" w:eastAsia="宋体" w:cs="宋体"/>
          <w:b/>
          <w:sz w:val="24"/>
          <w:szCs w:val="24"/>
        </w:rPr>
      </w:pPr>
      <w:r>
        <w:rPr>
          <w:rFonts w:hint="eastAsia" w:ascii="宋体" w:hAnsi="宋体" w:eastAsia="宋体" w:cs="宋体"/>
          <w:b/>
          <w:sz w:val="24"/>
          <w:szCs w:val="24"/>
        </w:rPr>
        <w:t>40.履约保证金</w:t>
      </w:r>
    </w:p>
    <w:p>
      <w:pPr>
        <w:spacing w:line="400" w:lineRule="exact"/>
        <w:rPr>
          <w:rFonts w:ascii="宋体" w:hAnsi="宋体" w:eastAsia="宋体" w:cs="宋体"/>
          <w:sz w:val="24"/>
          <w:szCs w:val="24"/>
        </w:rPr>
      </w:pPr>
      <w:r>
        <w:rPr>
          <w:rFonts w:hint="eastAsia" w:ascii="宋体" w:hAnsi="宋体" w:eastAsia="宋体" w:cs="宋体"/>
          <w:sz w:val="24"/>
          <w:szCs w:val="24"/>
        </w:rPr>
        <w:t>40.1 合同签订后，成交供应商需向采购人缴纳成交金额</w:t>
      </w:r>
      <w:r>
        <w:rPr>
          <w:rFonts w:ascii="宋体" w:hAnsi="宋体" w:eastAsia="宋体" w:cs="宋体"/>
          <w:sz w:val="24"/>
          <w:szCs w:val="24"/>
        </w:rPr>
        <w:t>5</w:t>
      </w:r>
      <w:r>
        <w:rPr>
          <w:rFonts w:hint="eastAsia" w:ascii="宋体" w:hAnsi="宋体" w:eastAsia="宋体" w:cs="宋体"/>
          <w:sz w:val="24"/>
          <w:szCs w:val="24"/>
        </w:rPr>
        <w:t>%的履约保证金。</w:t>
      </w:r>
      <w:r>
        <w:rPr>
          <w:rFonts w:hint="eastAsia" w:ascii="宋体" w:hAnsi="宋体" w:eastAsia="宋体" w:cs="宋体"/>
          <w:b/>
          <w:bCs/>
          <w:sz w:val="24"/>
          <w:szCs w:val="24"/>
        </w:rPr>
        <w:t>（缴纳方式：支票、汇票、本票、保函等非现金形式缴纳）</w:t>
      </w:r>
    </w:p>
    <w:p>
      <w:pPr>
        <w:spacing w:line="480" w:lineRule="exact"/>
        <w:rPr>
          <w:rFonts w:ascii="宋体" w:hAnsi="宋体" w:eastAsia="宋体" w:cs="宋体"/>
          <w:sz w:val="24"/>
          <w:szCs w:val="24"/>
        </w:rPr>
      </w:pPr>
      <w:r>
        <w:rPr>
          <w:rFonts w:hint="eastAsia" w:ascii="宋体" w:hAnsi="宋体" w:eastAsia="宋体" w:cs="宋体"/>
          <w:sz w:val="24"/>
          <w:szCs w:val="24"/>
        </w:rPr>
        <w:t>40.2 履约保证金由采购人收取，采购项目最终验收合格后并合同履行结束后无息退还。中标人凭成交通知书、供货合同、有关部门验收报告及有关凭证无息退回。</w:t>
      </w:r>
    </w:p>
    <w:p>
      <w:pPr>
        <w:spacing w:line="480" w:lineRule="exact"/>
        <w:rPr>
          <w:rFonts w:ascii="宋体" w:hAnsi="宋体" w:eastAsia="宋体" w:cs="宋体"/>
          <w:sz w:val="24"/>
          <w:szCs w:val="24"/>
        </w:rPr>
      </w:pPr>
      <w:r>
        <w:rPr>
          <w:rFonts w:hint="eastAsia" w:ascii="宋体" w:hAnsi="宋体" w:eastAsia="宋体" w:cs="宋体"/>
          <w:sz w:val="24"/>
          <w:szCs w:val="24"/>
        </w:rPr>
        <w:t>40.3 履约保证金的有效期为缴纳履约保证金之日起至合同履行结束后</w:t>
      </w:r>
    </w:p>
    <w:p>
      <w:pPr>
        <w:spacing w:line="480" w:lineRule="exact"/>
        <w:rPr>
          <w:rFonts w:ascii="宋体" w:hAnsi="宋体" w:eastAsia="宋体" w:cs="Times New Roman"/>
          <w:b/>
          <w:sz w:val="48"/>
        </w:rPr>
      </w:pPr>
      <w:r>
        <w:rPr>
          <w:rFonts w:hint="eastAsia" w:ascii="宋体" w:hAnsi="宋体" w:eastAsia="宋体" w:cs="宋体"/>
          <w:sz w:val="24"/>
          <w:szCs w:val="24"/>
        </w:rPr>
        <w:t>40.4 履约保证金用于补偿采购人因中标人不能完成其合同义务而蒙受的损失。如果中标供应商未能履行其协议规定的任何义务，采购人有权从履约保证金中扣除相应金额作为补偿。</w:t>
      </w:r>
      <w:r>
        <w:rPr>
          <w:rFonts w:hint="eastAsia" w:ascii="宋体" w:hAnsi="宋体" w:eastAsia="宋体" w:cs="宋体"/>
          <w:b/>
          <w:sz w:val="24"/>
          <w:szCs w:val="24"/>
        </w:rPr>
        <w:br w:type="page"/>
      </w:r>
      <w:bookmarkStart w:id="94" w:name="_Toc379801094"/>
      <w:bookmarkStart w:id="95" w:name="_Toc484076724"/>
      <w:bookmarkStart w:id="96" w:name="_Toc379800588"/>
      <w:bookmarkStart w:id="97" w:name="_Toc369679534"/>
      <w:bookmarkStart w:id="98" w:name="_Toc379730587"/>
      <w:bookmarkStart w:id="99" w:name="_Toc379800655"/>
      <w:bookmarkStart w:id="100" w:name="_Toc379801452"/>
      <w:bookmarkStart w:id="101" w:name="_Toc367788293"/>
      <w:r>
        <w:rPr>
          <w:rFonts w:hint="eastAsia" w:ascii="宋体" w:hAnsi="宋体" w:eastAsia="宋体" w:cs="Times New Roman"/>
          <w:b/>
          <w:sz w:val="52"/>
          <w:szCs w:val="24"/>
        </w:rPr>
        <w:t xml:space="preserve">          </w:t>
      </w:r>
      <w:r>
        <w:rPr>
          <w:rFonts w:hint="eastAsia" w:ascii="宋体" w:hAnsi="宋体" w:eastAsia="宋体" w:cs="Times New Roman"/>
          <w:b/>
          <w:sz w:val="48"/>
        </w:rPr>
        <w:t>第四章  合同格式</w:t>
      </w:r>
      <w:bookmarkEnd w:id="94"/>
      <w:bookmarkEnd w:id="95"/>
      <w:bookmarkEnd w:id="96"/>
      <w:bookmarkEnd w:id="97"/>
      <w:bookmarkEnd w:id="98"/>
      <w:bookmarkEnd w:id="99"/>
      <w:bookmarkEnd w:id="100"/>
      <w:bookmarkEnd w:id="101"/>
    </w:p>
    <w:p>
      <w:pPr>
        <w:jc w:val="left"/>
        <w:rPr>
          <w:rFonts w:ascii="宋体" w:hAnsi="宋体" w:eastAsia="宋体" w:cs="Times New Roman"/>
          <w:b/>
          <w:bCs/>
          <w:caps/>
          <w:sz w:val="48"/>
        </w:rPr>
      </w:pPr>
    </w:p>
    <w:p>
      <w:pPr>
        <w:rPr>
          <w:rFonts w:ascii="宋体" w:hAnsi="宋体" w:eastAsia="宋体" w:cs="Times New Roman"/>
          <w:b/>
          <w:sz w:val="48"/>
        </w:rPr>
      </w:pPr>
    </w:p>
    <w:p>
      <w:pPr>
        <w:jc w:val="left"/>
        <w:rPr>
          <w:rFonts w:ascii="宋体" w:hAnsi="宋体" w:eastAsia="宋体" w:cs="Times New Roman"/>
          <w:b/>
          <w:bCs/>
          <w:caps/>
          <w:sz w:val="48"/>
        </w:rPr>
      </w:pPr>
    </w:p>
    <w:p>
      <w:pPr>
        <w:rPr>
          <w:rFonts w:ascii="Times New Roman" w:hAnsi="Times New Roman" w:eastAsia="宋体" w:cs="Times New Roman"/>
          <w:szCs w:val="24"/>
        </w:rPr>
      </w:pPr>
    </w:p>
    <w:p>
      <w:pPr>
        <w:spacing w:line="480" w:lineRule="auto"/>
        <w:jc w:val="center"/>
        <w:rPr>
          <w:rFonts w:ascii="宋体" w:hAnsi="宋体" w:eastAsia="宋体" w:cs="宋体"/>
          <w:sz w:val="24"/>
          <w:szCs w:val="24"/>
        </w:rPr>
      </w:pPr>
      <w:r>
        <w:rPr>
          <w:rFonts w:hint="eastAsia" w:ascii="宋体" w:hAnsi="宋体" w:eastAsia="宋体" w:cs="宋体"/>
          <w:sz w:val="24"/>
          <w:szCs w:val="24"/>
        </w:rPr>
        <w:t>（在不违背各方认可的文件内容前提下，对个别非实质性条款可由双方商议调整，合同基本条款依据中标单位投标文件中的商务及技术响应表签订）</w:t>
      </w:r>
    </w:p>
    <w:p>
      <w:pPr>
        <w:tabs>
          <w:tab w:val="left" w:pos="720"/>
        </w:tabs>
        <w:spacing w:line="460" w:lineRule="exact"/>
        <w:jc w:val="center"/>
        <w:rPr>
          <w:rFonts w:ascii="宋体" w:hAnsi="宋体" w:eastAsia="宋体" w:cs="宋体"/>
          <w:b/>
          <w:bCs/>
          <w:sz w:val="24"/>
          <w:szCs w:val="24"/>
        </w:rPr>
      </w:pPr>
    </w:p>
    <w:p>
      <w:pPr>
        <w:tabs>
          <w:tab w:val="left" w:pos="720"/>
        </w:tabs>
        <w:spacing w:line="460" w:lineRule="exact"/>
        <w:jc w:val="center"/>
        <w:rPr>
          <w:rFonts w:ascii="宋体" w:hAnsi="宋体" w:eastAsia="宋体" w:cs="宋体"/>
          <w:b/>
          <w:bCs/>
          <w:sz w:val="24"/>
          <w:szCs w:val="24"/>
        </w:rPr>
      </w:pPr>
    </w:p>
    <w:p>
      <w:pPr>
        <w:tabs>
          <w:tab w:val="left" w:pos="720"/>
        </w:tabs>
        <w:spacing w:line="460" w:lineRule="exact"/>
        <w:jc w:val="center"/>
        <w:rPr>
          <w:rFonts w:ascii="宋体" w:hAnsi="宋体" w:eastAsia="宋体" w:cs="宋体"/>
          <w:b/>
          <w:bCs/>
          <w:sz w:val="24"/>
          <w:szCs w:val="24"/>
        </w:rPr>
      </w:pPr>
    </w:p>
    <w:p>
      <w:pPr>
        <w:tabs>
          <w:tab w:val="left" w:pos="720"/>
        </w:tabs>
        <w:spacing w:line="460" w:lineRule="exact"/>
        <w:jc w:val="center"/>
        <w:rPr>
          <w:rFonts w:ascii="宋体" w:hAnsi="宋体" w:eastAsia="宋体" w:cs="宋体"/>
          <w:b/>
          <w:bCs/>
          <w:sz w:val="24"/>
          <w:szCs w:val="24"/>
        </w:rPr>
      </w:pPr>
    </w:p>
    <w:p>
      <w:pPr>
        <w:tabs>
          <w:tab w:val="left" w:pos="720"/>
        </w:tabs>
        <w:spacing w:line="460" w:lineRule="exact"/>
        <w:jc w:val="center"/>
        <w:rPr>
          <w:rFonts w:ascii="宋体" w:hAnsi="宋体" w:eastAsia="宋体" w:cs="宋体"/>
          <w:b/>
          <w:bCs/>
          <w:sz w:val="24"/>
          <w:szCs w:val="24"/>
        </w:rPr>
      </w:pPr>
    </w:p>
    <w:p>
      <w:pPr>
        <w:tabs>
          <w:tab w:val="left" w:pos="720"/>
        </w:tabs>
        <w:spacing w:line="480" w:lineRule="auto"/>
        <w:jc w:val="center"/>
        <w:outlineLvl w:val="1"/>
        <w:rPr>
          <w:rFonts w:ascii="宋体" w:hAnsi="宋体" w:eastAsia="宋体" w:cs="宋体"/>
          <w:sz w:val="24"/>
          <w:szCs w:val="24"/>
        </w:rPr>
      </w:pPr>
      <w:bookmarkStart w:id="102" w:name="_Toc379800656"/>
      <w:bookmarkStart w:id="103" w:name="_Toc379801095"/>
      <w:bookmarkStart w:id="104" w:name="_Toc379801453"/>
      <w:bookmarkStart w:id="105" w:name="_Toc369679535"/>
      <w:bookmarkStart w:id="106" w:name="_Toc379730588"/>
      <w:bookmarkStart w:id="107" w:name="_Toc484076725"/>
      <w:bookmarkStart w:id="108" w:name="_Toc367788294"/>
      <w:bookmarkStart w:id="109" w:name="_Toc379800589"/>
      <w:bookmarkStart w:id="110" w:name="_Toc155100547"/>
      <w:r>
        <w:rPr>
          <w:rFonts w:hint="eastAsia" w:ascii="宋体" w:hAnsi="宋体" w:eastAsia="宋体" w:cs="宋体"/>
          <w:b/>
          <w:bCs/>
          <w:sz w:val="24"/>
          <w:szCs w:val="24"/>
        </w:rPr>
        <w:t>合 同 书</w:t>
      </w:r>
      <w:bookmarkEnd w:id="102"/>
      <w:bookmarkEnd w:id="103"/>
      <w:bookmarkEnd w:id="104"/>
      <w:bookmarkEnd w:id="105"/>
      <w:bookmarkEnd w:id="106"/>
      <w:bookmarkEnd w:id="107"/>
      <w:bookmarkEnd w:id="108"/>
      <w:bookmarkEnd w:id="109"/>
      <w:bookmarkEnd w:id="110"/>
    </w:p>
    <w:tbl>
      <w:tblPr>
        <w:tblStyle w:val="40"/>
        <w:tblW w:w="6810" w:type="dxa"/>
        <w:jc w:val="center"/>
        <w:tblLayout w:type="fixed"/>
        <w:tblCellMar>
          <w:top w:w="0" w:type="dxa"/>
          <w:left w:w="108" w:type="dxa"/>
          <w:bottom w:w="0" w:type="dxa"/>
          <w:right w:w="108" w:type="dxa"/>
        </w:tblCellMar>
      </w:tblPr>
      <w:tblGrid>
        <w:gridCol w:w="6810"/>
      </w:tblGrid>
      <w:tr>
        <w:tblPrEx>
          <w:tblCellMar>
            <w:top w:w="0" w:type="dxa"/>
            <w:left w:w="108" w:type="dxa"/>
            <w:bottom w:w="0" w:type="dxa"/>
            <w:right w:w="108" w:type="dxa"/>
          </w:tblCellMar>
        </w:tblPrEx>
        <w:trPr>
          <w:trHeight w:val="446" w:hRule="atLeast"/>
          <w:jc w:val="center"/>
        </w:trPr>
        <w:tc>
          <w:tcPr>
            <w:tcW w:w="6810" w:type="dxa"/>
          </w:tcPr>
          <w:p>
            <w:pPr>
              <w:tabs>
                <w:tab w:val="left" w:pos="720"/>
              </w:tabs>
              <w:spacing w:line="480" w:lineRule="auto"/>
              <w:rPr>
                <w:rFonts w:ascii="宋体" w:hAnsi="宋体" w:eastAsia="宋体" w:cs="宋体"/>
                <w:b/>
                <w:bCs/>
                <w:sz w:val="24"/>
                <w:szCs w:val="24"/>
              </w:rPr>
            </w:pPr>
          </w:p>
          <w:p>
            <w:pPr>
              <w:tabs>
                <w:tab w:val="left" w:pos="720"/>
              </w:tabs>
              <w:spacing w:line="480" w:lineRule="auto"/>
              <w:rPr>
                <w:rFonts w:ascii="宋体" w:hAnsi="宋体" w:eastAsia="宋体" w:cs="宋体"/>
                <w:b/>
                <w:bCs/>
                <w:sz w:val="24"/>
                <w:szCs w:val="24"/>
              </w:rPr>
            </w:pPr>
          </w:p>
          <w:p>
            <w:pPr>
              <w:tabs>
                <w:tab w:val="left" w:pos="720"/>
              </w:tabs>
              <w:spacing w:line="480" w:lineRule="auto"/>
              <w:rPr>
                <w:rFonts w:ascii="宋体" w:hAnsi="宋体" w:eastAsia="宋体" w:cs="宋体"/>
                <w:b/>
                <w:bCs/>
                <w:sz w:val="24"/>
                <w:szCs w:val="24"/>
              </w:rPr>
            </w:pPr>
          </w:p>
          <w:p>
            <w:pPr>
              <w:tabs>
                <w:tab w:val="left" w:pos="720"/>
              </w:tabs>
              <w:spacing w:line="480" w:lineRule="auto"/>
              <w:rPr>
                <w:rFonts w:ascii="宋体" w:hAnsi="宋体" w:eastAsia="宋体" w:cs="宋体"/>
                <w:b/>
                <w:bCs/>
                <w:sz w:val="24"/>
                <w:szCs w:val="24"/>
                <w:u w:val="single"/>
              </w:rPr>
            </w:pPr>
            <w:r>
              <w:rPr>
                <w:rFonts w:hint="eastAsia" w:ascii="宋体" w:hAnsi="宋体" w:eastAsia="宋体" w:cs="宋体"/>
                <w:b/>
                <w:bCs/>
                <w:sz w:val="24"/>
                <w:szCs w:val="24"/>
              </w:rPr>
              <w:t>合同编号：</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 xml:space="preserve">           </w:t>
            </w:r>
          </w:p>
        </w:tc>
      </w:tr>
      <w:tr>
        <w:tblPrEx>
          <w:tblCellMar>
            <w:top w:w="0" w:type="dxa"/>
            <w:left w:w="108" w:type="dxa"/>
            <w:bottom w:w="0" w:type="dxa"/>
            <w:right w:w="108" w:type="dxa"/>
          </w:tblCellMar>
        </w:tblPrEx>
        <w:trPr>
          <w:trHeight w:val="446" w:hRule="atLeast"/>
          <w:jc w:val="center"/>
        </w:trPr>
        <w:tc>
          <w:tcPr>
            <w:tcW w:w="6810" w:type="dxa"/>
          </w:tcPr>
          <w:p>
            <w:pPr>
              <w:tabs>
                <w:tab w:val="left" w:pos="720"/>
              </w:tabs>
              <w:spacing w:line="480" w:lineRule="auto"/>
              <w:rPr>
                <w:rFonts w:ascii="宋体" w:hAnsi="宋体" w:eastAsia="宋体" w:cs="宋体"/>
                <w:b/>
                <w:bCs/>
                <w:sz w:val="24"/>
                <w:szCs w:val="24"/>
                <w:u w:val="single"/>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 xml:space="preserve">                                     </w:t>
            </w:r>
          </w:p>
        </w:tc>
      </w:tr>
      <w:tr>
        <w:tblPrEx>
          <w:tblCellMar>
            <w:top w:w="0" w:type="dxa"/>
            <w:left w:w="108" w:type="dxa"/>
            <w:bottom w:w="0" w:type="dxa"/>
            <w:right w:w="108" w:type="dxa"/>
          </w:tblCellMar>
        </w:tblPrEx>
        <w:trPr>
          <w:trHeight w:val="446" w:hRule="atLeast"/>
          <w:jc w:val="center"/>
        </w:trPr>
        <w:tc>
          <w:tcPr>
            <w:tcW w:w="6810" w:type="dxa"/>
          </w:tcPr>
          <w:p>
            <w:pPr>
              <w:tabs>
                <w:tab w:val="left" w:pos="720"/>
              </w:tabs>
              <w:spacing w:line="480" w:lineRule="auto"/>
              <w:rPr>
                <w:rFonts w:ascii="宋体" w:hAnsi="宋体" w:eastAsia="宋体" w:cs="宋体"/>
                <w:b/>
                <w:bCs/>
                <w:sz w:val="24"/>
                <w:szCs w:val="24"/>
              </w:rPr>
            </w:pPr>
            <w:r>
              <w:rPr>
                <w:rFonts w:hint="eastAsia" w:ascii="宋体" w:hAnsi="宋体" w:eastAsia="宋体" w:cs="宋体"/>
                <w:b/>
                <w:bCs/>
                <w:sz w:val="24"/>
                <w:szCs w:val="24"/>
              </w:rPr>
              <w:t>项目编号：</w:t>
            </w:r>
            <w:r>
              <w:rPr>
                <w:rFonts w:hint="eastAsia" w:ascii="宋体" w:hAnsi="宋体" w:eastAsia="宋体" w:cs="宋体"/>
                <w:b/>
                <w:bCs/>
                <w:sz w:val="24"/>
                <w:szCs w:val="24"/>
                <w:u w:val="single"/>
              </w:rPr>
              <w:t xml:space="preserve">                                     </w:t>
            </w:r>
            <w:r>
              <w:rPr>
                <w:rFonts w:hint="eastAsia" w:ascii="宋体" w:hAnsi="宋体" w:eastAsia="宋体" w:cs="宋体"/>
                <w:b/>
                <w:bCs/>
                <w:sz w:val="24"/>
                <w:szCs w:val="24"/>
              </w:rPr>
              <w:t xml:space="preserve">                                    </w:t>
            </w:r>
          </w:p>
        </w:tc>
      </w:tr>
      <w:tr>
        <w:tblPrEx>
          <w:tblCellMar>
            <w:top w:w="0" w:type="dxa"/>
            <w:left w:w="108" w:type="dxa"/>
            <w:bottom w:w="0" w:type="dxa"/>
            <w:right w:w="108" w:type="dxa"/>
          </w:tblCellMar>
        </w:tblPrEx>
        <w:trPr>
          <w:trHeight w:val="460" w:hRule="atLeast"/>
          <w:jc w:val="center"/>
        </w:trPr>
        <w:tc>
          <w:tcPr>
            <w:tcW w:w="6810" w:type="dxa"/>
          </w:tcPr>
          <w:p>
            <w:pPr>
              <w:tabs>
                <w:tab w:val="left" w:pos="720"/>
              </w:tabs>
              <w:spacing w:line="480" w:lineRule="auto"/>
              <w:rPr>
                <w:rFonts w:ascii="宋体" w:hAnsi="宋体" w:eastAsia="宋体" w:cs="宋体"/>
                <w:b/>
                <w:bCs/>
                <w:sz w:val="24"/>
                <w:szCs w:val="24"/>
              </w:rPr>
            </w:pPr>
          </w:p>
        </w:tc>
      </w:tr>
    </w:tbl>
    <w:p>
      <w:pPr>
        <w:tabs>
          <w:tab w:val="left" w:pos="720"/>
        </w:tabs>
        <w:spacing w:line="460" w:lineRule="exact"/>
        <w:rPr>
          <w:rFonts w:ascii="宋体" w:hAnsi="宋体" w:eastAsia="宋体" w:cs="宋体"/>
          <w:b/>
          <w:sz w:val="24"/>
          <w:szCs w:val="24"/>
        </w:rPr>
      </w:pPr>
    </w:p>
    <w:p>
      <w:pPr>
        <w:tabs>
          <w:tab w:val="left" w:pos="720"/>
        </w:tabs>
        <w:spacing w:line="360" w:lineRule="auto"/>
        <w:rPr>
          <w:rFonts w:ascii="宋体" w:hAnsi="宋体" w:eastAsia="宋体" w:cs="宋体"/>
          <w:b/>
          <w:sz w:val="24"/>
          <w:szCs w:val="24"/>
        </w:rPr>
      </w:pPr>
      <w:r>
        <w:rPr>
          <w:rFonts w:hint="eastAsia" w:ascii="宋体" w:hAnsi="宋体" w:eastAsia="宋体" w:cs="宋体"/>
          <w:b/>
          <w:sz w:val="24"/>
          <w:szCs w:val="24"/>
        </w:rPr>
        <w:br w:type="page"/>
      </w:r>
    </w:p>
    <w:p>
      <w:pPr>
        <w:spacing w:line="580" w:lineRule="exact"/>
        <w:rPr>
          <w:rFonts w:ascii="宋体" w:hAnsi="宋体" w:eastAsia="宋体" w:cs="宋体"/>
          <w:kern w:val="0"/>
          <w:sz w:val="24"/>
          <w:szCs w:val="24"/>
        </w:rPr>
      </w:pPr>
      <w:r>
        <w:rPr>
          <w:rFonts w:hint="eastAsia" w:ascii="宋体" w:hAnsi="宋体" w:eastAsia="宋体" w:cs="宋体"/>
          <w:kern w:val="0"/>
          <w:sz w:val="24"/>
          <w:szCs w:val="24"/>
        </w:rPr>
        <w:t>甲方（采购单位）：________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乙方（供货单位）：________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签订时间：________年____月____日</w:t>
      </w:r>
      <w:r>
        <w:rPr>
          <w:rFonts w:hint="eastAsia" w:ascii="宋体" w:hAnsi="宋体" w:eastAsia="宋体" w:cs="宋体"/>
          <w:kern w:val="0"/>
          <w:sz w:val="24"/>
          <w:szCs w:val="24"/>
        </w:rPr>
        <w:br w:type="textWrapping"/>
      </w:r>
      <w:r>
        <w:rPr>
          <w:rFonts w:hint="eastAsia" w:ascii="宋体" w:hAnsi="宋体" w:eastAsia="宋体" w:cs="宋体"/>
          <w:kern w:val="0"/>
          <w:sz w:val="24"/>
          <w:szCs w:val="24"/>
        </w:rPr>
        <w:t>签订地点：</w:t>
      </w:r>
      <w:r>
        <w:rPr>
          <w:rFonts w:hint="eastAsia" w:ascii="宋体" w:hAnsi="宋体" w:eastAsia="宋体" w:cs="宋体"/>
          <w:kern w:val="0"/>
          <w:sz w:val="24"/>
          <w:szCs w:val="24"/>
        </w:rPr>
        <w:br w:type="textWrapping"/>
      </w:r>
    </w:p>
    <w:p>
      <w:pPr>
        <w:spacing w:line="400" w:lineRule="exact"/>
        <w:ind w:firstLine="630"/>
        <w:jc w:val="left"/>
        <w:rPr>
          <w:rFonts w:ascii="宋体" w:hAnsi="宋体" w:eastAsia="宋体" w:cs="宋体"/>
          <w:kern w:val="0"/>
          <w:sz w:val="24"/>
          <w:szCs w:val="24"/>
        </w:rPr>
      </w:pPr>
      <w:r>
        <w:rPr>
          <w:rFonts w:hint="eastAsia" w:ascii="宋体" w:hAnsi="宋体" w:eastAsia="宋体" w:cs="宋体"/>
          <w:kern w:val="0"/>
          <w:sz w:val="24"/>
          <w:szCs w:val="24"/>
        </w:rPr>
        <w:t>根据《中华人民共和国民法典》及________年____月____日（招标代理机构名称）关于________项目的中标结果和招标文件（项目编号：________）的要求，经双方协商一致，签订本合同。详细价格、技术说明及其他有关合同货物的特定信息由合同附件予以说明，所有附件及本项目的招投标文件、会议纪要、协议等均为本合同不可分割之一部分。</w:t>
      </w:r>
      <w:r>
        <w:rPr>
          <w:rFonts w:hint="eastAsia" w:ascii="宋体" w:hAnsi="宋体" w:eastAsia="宋体" w:cs="宋体"/>
          <w:kern w:val="0"/>
          <w:sz w:val="24"/>
          <w:szCs w:val="24"/>
        </w:rPr>
        <w:br w:type="textWrapping"/>
      </w:r>
      <w:r>
        <w:rPr>
          <w:rFonts w:hint="eastAsia" w:ascii="宋体" w:hAnsi="宋体" w:eastAsia="宋体" w:cs="宋体"/>
          <w:b/>
          <w:bCs/>
          <w:kern w:val="0"/>
          <w:sz w:val="24"/>
          <w:szCs w:val="24"/>
        </w:rPr>
        <w:t>第一条　合同货物</w:t>
      </w:r>
      <w:r>
        <w:rPr>
          <w:rFonts w:hint="eastAsia" w:ascii="宋体" w:hAnsi="宋体" w:eastAsia="宋体" w:cs="宋体"/>
          <w:kern w:val="0"/>
          <w:sz w:val="24"/>
          <w:szCs w:val="24"/>
        </w:rPr>
        <w:br w:type="textWrapping"/>
      </w:r>
      <w:r>
        <w:rPr>
          <w:rFonts w:hint="eastAsia" w:ascii="宋体" w:hAnsi="宋体" w:eastAsia="宋体" w:cs="宋体"/>
          <w:b/>
          <w:bCs/>
          <w:kern w:val="0"/>
          <w:sz w:val="24"/>
          <w:szCs w:val="24"/>
        </w:rPr>
        <w:t>第二条　合同总价</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总价为人民币（大写）：________ ，即RMB________。该合同总价是货物设计、制造、包装、仓储、运输、安装及验收合格之前及保修期内备品备件发生的所有含税费用。本合同执行期间合同总价不变。</w:t>
      </w:r>
    </w:p>
    <w:p>
      <w:pPr>
        <w:spacing w:line="400" w:lineRule="exact"/>
        <w:rPr>
          <w:rFonts w:ascii="宋体" w:hAnsi="宋体" w:eastAsia="宋体" w:cs="宋体"/>
          <w:b/>
          <w:bCs/>
          <w:kern w:val="0"/>
          <w:sz w:val="24"/>
          <w:szCs w:val="24"/>
        </w:rPr>
      </w:pPr>
      <w:r>
        <w:rPr>
          <w:rFonts w:hint="eastAsia" w:ascii="宋体" w:hAnsi="宋体" w:eastAsia="宋体" w:cs="宋体"/>
          <w:b/>
          <w:bCs/>
          <w:kern w:val="0"/>
          <w:sz w:val="24"/>
          <w:szCs w:val="24"/>
        </w:rPr>
        <w:t>第三条　专利权</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kern w:val="0"/>
          <w:sz w:val="24"/>
          <w:szCs w:val="24"/>
        </w:rPr>
        <w:t>乙方应保护甲方在使用该货物或其任何一部分时不受第三方提出侵犯专利权、商标权、著作权或其它知识产权起诉的指控。如果任何第三方提出侵权指控，乙方须与第三方交涉并承担可能发生的一切法律责任和费用。</w:t>
      </w:r>
    </w:p>
    <w:p>
      <w:pPr>
        <w:numPr>
          <w:ilvl w:val="0"/>
          <w:numId w:val="2"/>
        </w:numPr>
        <w:spacing w:line="400" w:lineRule="exact"/>
        <w:rPr>
          <w:rFonts w:ascii="宋体" w:hAnsi="宋体" w:eastAsia="宋体" w:cs="宋体"/>
          <w:b/>
          <w:bCs/>
          <w:kern w:val="0"/>
          <w:sz w:val="24"/>
          <w:szCs w:val="24"/>
        </w:rPr>
      </w:pPr>
      <w:r>
        <w:rPr>
          <w:rFonts w:hint="eastAsia" w:ascii="宋体" w:hAnsi="宋体" w:eastAsia="宋体" w:cs="宋体"/>
          <w:b/>
          <w:bCs/>
          <w:kern w:val="0"/>
          <w:sz w:val="24"/>
          <w:szCs w:val="24"/>
        </w:rPr>
        <w:t>包装要求</w:t>
      </w:r>
    </w:p>
    <w:p>
      <w:pPr>
        <w:spacing w:line="400" w:lineRule="exact"/>
        <w:ind w:firstLine="480" w:firstLineChars="200"/>
        <w:rPr>
          <w:rFonts w:ascii="宋体" w:hAnsi="宋体" w:eastAsia="宋体" w:cs="宋体"/>
          <w:b/>
          <w:bCs/>
          <w:kern w:val="0"/>
          <w:sz w:val="24"/>
          <w:szCs w:val="24"/>
        </w:rPr>
      </w:pPr>
      <w:r>
        <w:rPr>
          <w:rFonts w:hint="eastAsia" w:ascii="宋体" w:hAnsi="宋体" w:eastAsia="宋体" w:cs="宋体"/>
          <w:sz w:val="24"/>
          <w:szCs w:val="24"/>
        </w:rPr>
        <w:t>成交供应商提供的全部货物均应按标准保护措施进行包装，这类包装应适应于远距离运输、防湿、防潮、防锈、防雨、防腐、防碰撞和防野蛮装卸，以确保货物安全无损运抵指定现场。凡由于包装不良造成的损失和由此产生的费用均由成交供应商承担负责。</w:t>
      </w:r>
    </w:p>
    <w:p>
      <w:pPr>
        <w:numPr>
          <w:ilvl w:val="0"/>
          <w:numId w:val="3"/>
        </w:numPr>
        <w:spacing w:line="400" w:lineRule="exact"/>
        <w:ind w:left="482" w:hanging="482" w:hangingChars="200"/>
        <w:rPr>
          <w:rFonts w:ascii="宋体" w:hAnsi="宋体" w:eastAsia="宋体" w:cs="宋体"/>
          <w:b/>
          <w:bCs/>
          <w:kern w:val="0"/>
          <w:sz w:val="24"/>
          <w:szCs w:val="24"/>
        </w:rPr>
      </w:pPr>
      <w:r>
        <w:rPr>
          <w:rFonts w:hint="eastAsia" w:ascii="宋体" w:hAnsi="宋体" w:eastAsia="宋体" w:cs="宋体"/>
          <w:b/>
          <w:bCs/>
          <w:kern w:val="0"/>
          <w:sz w:val="24"/>
          <w:szCs w:val="24"/>
        </w:rPr>
        <w:t>质保期及售后服务要求</w:t>
      </w:r>
    </w:p>
    <w:p>
      <w:pPr>
        <w:widowControl/>
        <w:spacing w:line="40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1.设备整体免费质保维保一年，自验收合格之日起计算。（如某些产品的质保期国家标准超过一年，则以国家标准执行）</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2.质保期内，成交供应商负责对其提供的货物及安装整体进行更换，不再收取任何费用，但人为因素，自然因素（如火灾、地震等）造成的故障除外。质保期外，提供终生维修，上门免费，更换零部件费用按成本价收取。</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3.本项目服务方式均为成交供应商上门服务，即成交供应商派人员到采购人指定现场培训（安装调试后进行培训），由此产生的一切费用均由成交供应商承担。</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4.质量保证期内服务要求</w:t>
      </w:r>
    </w:p>
    <w:p>
      <w:pPr>
        <w:spacing w:line="400" w:lineRule="exact"/>
        <w:rPr>
          <w:rFonts w:ascii="宋体" w:hAnsi="宋体" w:eastAsia="宋体" w:cs="宋体"/>
          <w:sz w:val="24"/>
          <w:szCs w:val="24"/>
        </w:rPr>
      </w:pPr>
      <w:r>
        <w:rPr>
          <w:rFonts w:hint="eastAsia" w:ascii="宋体" w:hAnsi="宋体" w:eastAsia="宋体" w:cs="宋体"/>
          <w:sz w:val="24"/>
          <w:szCs w:val="24"/>
        </w:rPr>
        <w:t>质量保证期内提供24小时应急服务，接用户单位维修通知（含电话）后到场时间不超过24小时。</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5.保修期间，供应商应提供部分该项目中易损易耗的备品备件存放于采购人处，用于紧急售后服务所用，具体数量及品类由采购人确定，供应商须配合。</w:t>
      </w:r>
    </w:p>
    <w:p>
      <w:pPr>
        <w:spacing w:line="360" w:lineRule="exact"/>
        <w:ind w:left="482" w:hanging="482" w:hangingChars="200"/>
        <w:rPr>
          <w:rFonts w:ascii="宋体" w:hAnsi="宋体" w:eastAsia="宋体" w:cs="宋体"/>
          <w:sz w:val="24"/>
          <w:szCs w:val="24"/>
        </w:rPr>
      </w:pPr>
      <w:r>
        <w:rPr>
          <w:rFonts w:hint="eastAsia" w:ascii="宋体" w:hAnsi="宋体" w:eastAsia="宋体" w:cs="宋体"/>
          <w:b/>
          <w:bCs/>
          <w:kern w:val="0"/>
          <w:sz w:val="24"/>
          <w:szCs w:val="24"/>
        </w:rPr>
        <w:t>第六条　项目验收</w:t>
      </w:r>
      <w:r>
        <w:rPr>
          <w:rFonts w:hint="eastAsia" w:ascii="宋体" w:hAnsi="宋体" w:eastAsia="宋体" w:cs="宋体"/>
          <w:kern w:val="0"/>
          <w:sz w:val="24"/>
          <w:szCs w:val="24"/>
        </w:rPr>
        <w:br w:type="textWrapping"/>
      </w:r>
      <w:r>
        <w:rPr>
          <w:rFonts w:hint="eastAsia" w:ascii="宋体" w:hAnsi="宋体" w:eastAsia="宋体" w:cs="宋体"/>
          <w:sz w:val="24"/>
          <w:szCs w:val="24"/>
        </w:rPr>
        <w:t>1.货物运抵采购人指定地点后，由采购人和成交供应商共同对到货货物的数量、型号、外观、包装质量等进行检查。</w:t>
      </w:r>
    </w:p>
    <w:p>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2.货物检查完成以后，如无质量问题，由采购单位组织相关人员在7个工作日内共同对货物进行验收（如需要可聘请专家验收），并提供验收报告；</w:t>
      </w:r>
    </w:p>
    <w:p>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3.交付验收标准：依次序对照适用标准为：①符合中华人民共和国国家安全质量标准、环保标准或行业标准；②符合招标承诺中采购人认可的合理最佳配置、参数及各项要求；③货物来源国家官方标准。上述标准必须是有关官方机构发布的最新版本的标准。</w:t>
      </w:r>
    </w:p>
    <w:p>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4.卖方须为验收提供必需的设备、工具及其他便利条件。</w:t>
      </w:r>
    </w:p>
    <w:p>
      <w:pPr>
        <w:spacing w:line="360" w:lineRule="exact"/>
        <w:ind w:firstLine="480" w:firstLineChars="200"/>
        <w:rPr>
          <w:rFonts w:ascii="宋体" w:hAnsi="宋体" w:eastAsia="宋体" w:cs="宋体"/>
          <w:sz w:val="24"/>
          <w:szCs w:val="24"/>
        </w:rPr>
      </w:pPr>
      <w:r>
        <w:rPr>
          <w:rFonts w:hint="eastAsia" w:ascii="宋体" w:hAnsi="宋体" w:eastAsia="宋体" w:cs="宋体"/>
          <w:sz w:val="24"/>
          <w:szCs w:val="24"/>
        </w:rPr>
        <w:t>5.在验收过程中发现数量不足或有质量等问题，卖方应负责按照采购人的要求采取补足、更换或退货等措施妥善处理，由此造成的一切损失由卖方自行承担。</w:t>
      </w:r>
    </w:p>
    <w:p>
      <w:pPr>
        <w:spacing w:line="400" w:lineRule="exact"/>
        <w:ind w:firstLine="480" w:firstLineChars="200"/>
        <w:rPr>
          <w:rFonts w:ascii="宋体" w:hAnsi="宋体" w:eastAsia="宋体" w:cs="宋体"/>
          <w:kern w:val="0"/>
          <w:sz w:val="24"/>
          <w:szCs w:val="24"/>
        </w:rPr>
      </w:pPr>
      <w:r>
        <w:rPr>
          <w:rFonts w:hint="eastAsia" w:ascii="宋体" w:hAnsi="宋体" w:eastAsia="宋体" w:cs="宋体"/>
          <w:sz w:val="24"/>
          <w:szCs w:val="24"/>
        </w:rPr>
        <w:t>6.对于不合格的货物，卖方必须在5个日历日内及时完成更换，并保证验收合格。5天内不能更换的或更换的验收不合格，按逾期交货处理。由此产生的费用由卖方自行承担。</w:t>
      </w:r>
    </w:p>
    <w:p>
      <w:pPr>
        <w:spacing w:line="400" w:lineRule="exact"/>
        <w:rPr>
          <w:rFonts w:ascii="宋体" w:hAnsi="宋体" w:eastAsia="宋体" w:cs="宋体"/>
          <w:b/>
          <w:bCs/>
          <w:kern w:val="0"/>
          <w:sz w:val="24"/>
          <w:szCs w:val="24"/>
        </w:rPr>
      </w:pPr>
      <w:r>
        <w:rPr>
          <w:rFonts w:hint="eastAsia" w:ascii="宋体" w:hAnsi="宋体" w:eastAsia="宋体" w:cs="宋体"/>
          <w:b/>
          <w:bCs/>
          <w:kern w:val="0"/>
          <w:sz w:val="24"/>
          <w:szCs w:val="24"/>
        </w:rPr>
        <w:t>第七条　付款方式</w:t>
      </w:r>
    </w:p>
    <w:p>
      <w:pPr>
        <w:spacing w:line="360" w:lineRule="exact"/>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Times New Roman" w:hAnsi="Times New Roman" w:eastAsia="宋体" w:cs="Times New Roman"/>
          <w:szCs w:val="20"/>
        </w:rPr>
        <w:t xml:space="preserve"> </w:t>
      </w:r>
      <w:r>
        <w:rPr>
          <w:rFonts w:hint="eastAsia" w:ascii="宋体" w:hAnsi="宋体" w:eastAsia="宋体" w:cs="宋体"/>
          <w:sz w:val="24"/>
          <w:szCs w:val="24"/>
        </w:rPr>
        <w:t>设备到现场支付至合同总价的70%，设备安装调试并通过验收支付至合同总价的95%，余款5%质保期满后无息结清。</w:t>
      </w:r>
    </w:p>
    <w:p>
      <w:pPr>
        <w:numPr>
          <w:ilvl w:val="0"/>
          <w:numId w:val="4"/>
        </w:numPr>
        <w:spacing w:line="400" w:lineRule="exact"/>
        <w:rPr>
          <w:rFonts w:ascii="宋体" w:hAnsi="宋体" w:eastAsia="宋体" w:cs="宋体"/>
          <w:b/>
          <w:bCs/>
          <w:sz w:val="24"/>
          <w:szCs w:val="24"/>
        </w:rPr>
      </w:pPr>
      <w:r>
        <w:rPr>
          <w:rFonts w:hint="eastAsia" w:ascii="宋体" w:hAnsi="宋体" w:eastAsia="宋体" w:cs="宋体"/>
          <w:b/>
          <w:bCs/>
          <w:sz w:val="24"/>
          <w:szCs w:val="24"/>
        </w:rPr>
        <w:t xml:space="preserve">交货期限 </w:t>
      </w:r>
    </w:p>
    <w:p>
      <w:pPr>
        <w:spacing w:line="360" w:lineRule="auto"/>
        <w:ind w:firstLine="480" w:firstLineChars="200"/>
        <w:rPr>
          <w:rFonts w:ascii="宋体" w:hAnsi="宋体" w:eastAsia="宋体" w:cs="Times New Roman"/>
          <w:kern w:val="0"/>
          <w:sz w:val="24"/>
          <w:szCs w:val="20"/>
        </w:rPr>
      </w:pPr>
      <w:r>
        <w:rPr>
          <w:rFonts w:hint="eastAsia" w:ascii="宋体" w:hAnsi="宋体" w:eastAsia="宋体" w:cs="Times New Roman"/>
          <w:kern w:val="0"/>
          <w:sz w:val="24"/>
          <w:szCs w:val="20"/>
        </w:rPr>
        <w:t>1</w:t>
      </w:r>
      <w:r>
        <w:rPr>
          <w:rFonts w:ascii="宋体" w:hAnsi="宋体" w:eastAsia="宋体" w:cs="Times New Roman"/>
          <w:kern w:val="0"/>
          <w:sz w:val="24"/>
          <w:szCs w:val="20"/>
        </w:rPr>
        <w:t>.</w:t>
      </w:r>
      <w:r>
        <w:rPr>
          <w:rFonts w:hint="eastAsia" w:ascii="Times New Roman" w:hAnsi="Times New Roman" w:eastAsia="宋体" w:cs="Times New Roman"/>
          <w:szCs w:val="20"/>
        </w:rPr>
        <w:t xml:space="preserve"> </w:t>
      </w:r>
      <w:r>
        <w:rPr>
          <w:rFonts w:hint="eastAsia" w:ascii="宋体" w:hAnsi="宋体" w:eastAsia="宋体" w:cs="Times New Roman"/>
          <w:kern w:val="0"/>
          <w:sz w:val="24"/>
          <w:szCs w:val="20"/>
        </w:rPr>
        <w:t>合同签订之日起至60日内完成本项目安装调试，并通过最终验收合格。</w:t>
      </w:r>
    </w:p>
    <w:p>
      <w:pPr>
        <w:spacing w:line="360" w:lineRule="auto"/>
        <w:ind w:firstLine="480" w:firstLineChars="200"/>
        <w:rPr>
          <w:rFonts w:ascii="宋体" w:hAnsi="宋体" w:eastAsia="宋体" w:cs="Times New Roman"/>
          <w:kern w:val="0"/>
          <w:sz w:val="24"/>
          <w:szCs w:val="20"/>
        </w:rPr>
      </w:pPr>
      <w:r>
        <w:rPr>
          <w:rFonts w:hint="eastAsia" w:ascii="宋体" w:hAnsi="宋体" w:eastAsia="宋体" w:cs="Times New Roman"/>
          <w:kern w:val="0"/>
          <w:sz w:val="24"/>
          <w:szCs w:val="20"/>
        </w:rPr>
        <w:t>2.供应商所提供货物的质量、性能不符合合同规定标准的，采购人有权拒收；由此产生的一切经济损失由成交供应商承担。</w:t>
      </w:r>
    </w:p>
    <w:p>
      <w:pPr>
        <w:numPr>
          <w:ilvl w:val="0"/>
          <w:numId w:val="4"/>
        </w:numPr>
        <w:spacing w:line="400" w:lineRule="exact"/>
        <w:rPr>
          <w:rFonts w:ascii="宋体" w:hAnsi="宋体" w:eastAsia="宋体" w:cs="宋体"/>
          <w:b/>
          <w:bCs/>
          <w:sz w:val="24"/>
          <w:szCs w:val="24"/>
        </w:rPr>
      </w:pPr>
      <w:r>
        <w:rPr>
          <w:rFonts w:hint="eastAsia" w:ascii="宋体" w:hAnsi="宋体" w:eastAsia="宋体" w:cs="宋体"/>
          <w:b/>
          <w:bCs/>
          <w:sz w:val="24"/>
          <w:szCs w:val="24"/>
        </w:rPr>
        <w:t>误期赔偿费　</w:t>
      </w:r>
    </w:p>
    <w:p>
      <w:pPr>
        <w:spacing w:line="400" w:lineRule="exact"/>
        <w:ind w:firstLine="480" w:firstLineChars="200"/>
        <w:rPr>
          <w:rFonts w:ascii="宋体" w:hAnsi="宋体" w:eastAsia="宋体" w:cs="宋体"/>
          <w:sz w:val="24"/>
          <w:szCs w:val="24"/>
        </w:rPr>
      </w:pPr>
      <w:r>
        <w:rPr>
          <w:rFonts w:hint="eastAsia" w:ascii="宋体" w:hAnsi="宋体" w:eastAsia="宋体" w:cs="宋体"/>
          <w:sz w:val="24"/>
          <w:szCs w:val="24"/>
        </w:rPr>
        <w:t>除不可抗力情况外，如果成交供应商没有按照合同规定的时间交货和提供服务，采购方应在不影响合同项下的其他补救措施的情况下，从合同价中扣除误期赔偿费。每延误一天的赔偿费按迟交货物交货价或未提供服务的服务费用的0.5%计收，直至交货或提供服务为止。误期赔偿费的最高限额为合同价格的5%。一旦达到误期赔偿费的最高限额，采购方可考虑终止合同。</w:t>
      </w:r>
    </w:p>
    <w:p>
      <w:pPr>
        <w:spacing w:line="400" w:lineRule="exact"/>
        <w:rPr>
          <w:rFonts w:ascii="宋体" w:hAnsi="宋体" w:eastAsia="宋体" w:cs="宋体"/>
          <w:sz w:val="24"/>
          <w:szCs w:val="24"/>
        </w:rPr>
      </w:pPr>
      <w:r>
        <w:rPr>
          <w:rFonts w:hint="eastAsia" w:ascii="宋体" w:hAnsi="宋体" w:eastAsia="宋体" w:cs="宋体"/>
          <w:b/>
          <w:bCs/>
          <w:kern w:val="0"/>
          <w:sz w:val="24"/>
          <w:szCs w:val="24"/>
        </w:rPr>
        <w:t>第十条　争议及仲裁</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1. 因货物的质量问题发生争议，由质量监督部门或其指定的质量鉴定单位进行质量鉴定。货物符合标准的，鉴定费由甲方承担；货物不符合质量标准的，鉴定费由乙方承担。</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2. 因本合同引起的争议，甲、乙双方应首先通过友好协商解决，如果协商或调解不能解决争议，则</w:t>
      </w:r>
      <w:r>
        <w:rPr>
          <w:rFonts w:hint="eastAsia" w:ascii="宋体" w:hAnsi="宋体" w:eastAsia="宋体" w:cs="宋体"/>
          <w:sz w:val="24"/>
          <w:szCs w:val="24"/>
        </w:rPr>
        <w:t>提请仲裁委员会按照其仲裁规则进行仲裁。</w:t>
      </w:r>
      <w:r>
        <w:rPr>
          <w:rFonts w:hint="eastAsia" w:ascii="宋体" w:hAnsi="宋体" w:eastAsia="宋体" w:cs="宋体"/>
          <w:kern w:val="0"/>
          <w:sz w:val="24"/>
          <w:szCs w:val="24"/>
        </w:rPr>
        <w:br w:type="textWrapping"/>
      </w:r>
      <w:r>
        <w:rPr>
          <w:rFonts w:hint="eastAsia" w:ascii="宋体" w:hAnsi="宋体" w:eastAsia="宋体" w:cs="宋体"/>
          <w:b/>
          <w:bCs/>
          <w:kern w:val="0"/>
          <w:sz w:val="24"/>
          <w:szCs w:val="24"/>
        </w:rPr>
        <w:t>第十一条　其他</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1. 本合同正本5份，具有同等法律效力，甲、乙双方各执2份，招标代理机构1份。合同自签字之日起即时生效。</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2. 本合同未尽事宜，由双方协商处理。</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甲方（盖章）：________　　　乙方（盖章）：________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签约代表（签字）：________　签约代表（签字）：________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地址：________　　　　　　　地址：________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电话：________　　　　　　　电话：________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传真：________　　　　　　　传真：________</w:t>
      </w:r>
      <w:r>
        <w:rPr>
          <w:rFonts w:hint="eastAsia" w:ascii="宋体" w:hAnsi="宋体" w:eastAsia="宋体" w:cs="宋体"/>
          <w:kern w:val="0"/>
          <w:sz w:val="24"/>
          <w:szCs w:val="24"/>
        </w:rPr>
        <w:br w:type="textWrapping"/>
      </w:r>
      <w:r>
        <w:rPr>
          <w:rFonts w:hint="eastAsia" w:ascii="宋体" w:hAnsi="宋体" w:eastAsia="宋体" w:cs="宋体"/>
          <w:kern w:val="0"/>
          <w:sz w:val="24"/>
          <w:szCs w:val="24"/>
        </w:rPr>
        <w:t>　　________年____月____日　　　________年____月____日</w:t>
      </w:r>
    </w:p>
    <w:p>
      <w:pPr>
        <w:spacing w:line="460" w:lineRule="exact"/>
        <w:rPr>
          <w:rFonts w:ascii="Times New Roman" w:hAnsi="Times New Roman" w:eastAsia="宋体" w:cs="Times New Roman"/>
          <w:szCs w:val="24"/>
        </w:rPr>
      </w:pPr>
    </w:p>
    <w:p>
      <w:pPr>
        <w:spacing w:line="460" w:lineRule="exact"/>
        <w:jc w:val="center"/>
        <w:rPr>
          <w:rFonts w:ascii="宋体" w:hAnsi="宋体" w:eastAsia="宋体" w:cs="宋体"/>
          <w:b/>
          <w:spacing w:val="40"/>
          <w:sz w:val="24"/>
          <w:szCs w:val="24"/>
        </w:rPr>
      </w:pPr>
    </w:p>
    <w:p>
      <w:pPr>
        <w:spacing w:line="460" w:lineRule="exact"/>
        <w:jc w:val="center"/>
        <w:rPr>
          <w:rFonts w:ascii="宋体" w:hAnsi="宋体" w:eastAsia="宋体" w:cs="宋体"/>
          <w:b/>
          <w:spacing w:val="40"/>
          <w:sz w:val="24"/>
          <w:szCs w:val="24"/>
        </w:rPr>
      </w:pPr>
    </w:p>
    <w:p>
      <w:pPr>
        <w:spacing w:line="460" w:lineRule="exact"/>
        <w:jc w:val="center"/>
        <w:rPr>
          <w:rFonts w:ascii="宋体" w:hAnsi="宋体" w:eastAsia="宋体" w:cs="宋体"/>
          <w:b/>
          <w:spacing w:val="40"/>
          <w:sz w:val="24"/>
          <w:szCs w:val="24"/>
        </w:rPr>
      </w:pPr>
    </w:p>
    <w:p>
      <w:pPr>
        <w:spacing w:line="460" w:lineRule="exact"/>
        <w:jc w:val="center"/>
        <w:rPr>
          <w:rFonts w:ascii="宋体" w:hAnsi="宋体" w:eastAsia="宋体" w:cs="宋体"/>
          <w:b/>
          <w:spacing w:val="40"/>
          <w:sz w:val="24"/>
          <w:szCs w:val="24"/>
        </w:rPr>
      </w:pPr>
      <w:r>
        <w:rPr>
          <w:rFonts w:hint="eastAsia" w:ascii="宋体" w:hAnsi="宋体" w:eastAsia="宋体" w:cs="宋体"/>
          <w:b/>
          <w:spacing w:val="40"/>
          <w:sz w:val="24"/>
          <w:szCs w:val="24"/>
        </w:rPr>
        <w:t>合同附件清单</w:t>
      </w:r>
    </w:p>
    <w:p>
      <w:pPr>
        <w:spacing w:line="460" w:lineRule="exact"/>
        <w:ind w:left="945" w:hanging="945"/>
        <w:rPr>
          <w:rFonts w:ascii="宋体" w:hAnsi="宋体" w:eastAsia="宋体" w:cs="宋体"/>
          <w:sz w:val="24"/>
          <w:szCs w:val="24"/>
        </w:rPr>
      </w:pPr>
      <w:r>
        <w:rPr>
          <w:rFonts w:hint="eastAsia" w:ascii="宋体" w:hAnsi="宋体" w:eastAsia="宋体" w:cs="宋体"/>
          <w:sz w:val="24"/>
          <w:szCs w:val="24"/>
        </w:rPr>
        <w:t>（附后）</w:t>
      </w:r>
    </w:p>
    <w:p>
      <w:pPr>
        <w:spacing w:line="460" w:lineRule="exact"/>
        <w:ind w:left="945" w:hanging="945"/>
        <w:rPr>
          <w:rFonts w:ascii="宋体" w:hAnsi="宋体" w:eastAsia="宋体" w:cs="宋体"/>
          <w:sz w:val="24"/>
          <w:szCs w:val="24"/>
        </w:rPr>
      </w:pPr>
    </w:p>
    <w:p>
      <w:pPr>
        <w:spacing w:line="460" w:lineRule="exact"/>
        <w:rPr>
          <w:rFonts w:ascii="宋体" w:hAnsi="宋体" w:eastAsia="宋体" w:cs="宋体"/>
          <w:sz w:val="24"/>
          <w:szCs w:val="24"/>
        </w:rPr>
      </w:pPr>
      <w:r>
        <w:rPr>
          <w:rFonts w:hint="eastAsia" w:ascii="宋体" w:hAnsi="宋体" w:eastAsia="宋体" w:cs="宋体"/>
          <w:sz w:val="24"/>
          <w:szCs w:val="24"/>
        </w:rPr>
        <w:t>附注：</w:t>
      </w:r>
    </w:p>
    <w:p>
      <w:pPr>
        <w:numPr>
          <w:ilvl w:val="0"/>
          <w:numId w:val="5"/>
        </w:numPr>
        <w:spacing w:line="460" w:lineRule="exact"/>
        <w:rPr>
          <w:rFonts w:ascii="宋体" w:hAnsi="宋体" w:eastAsia="宋体" w:cs="宋体"/>
          <w:sz w:val="24"/>
          <w:szCs w:val="24"/>
        </w:rPr>
      </w:pPr>
      <w:r>
        <w:rPr>
          <w:rFonts w:hint="eastAsia" w:ascii="宋体" w:hAnsi="宋体" w:eastAsia="宋体" w:cs="宋体"/>
          <w:sz w:val="24"/>
          <w:szCs w:val="24"/>
        </w:rPr>
        <w:t>本合同所有附件均在签订合同时编制，确立依据为招标文件和乙方的投标文件及相关确认文件；</w:t>
      </w:r>
    </w:p>
    <w:p>
      <w:pPr>
        <w:numPr>
          <w:ilvl w:val="0"/>
          <w:numId w:val="5"/>
        </w:numPr>
        <w:spacing w:line="460" w:lineRule="exact"/>
        <w:rPr>
          <w:rFonts w:ascii="宋体" w:hAnsi="宋体" w:eastAsia="宋体" w:cs="宋体"/>
          <w:sz w:val="24"/>
          <w:szCs w:val="24"/>
          <w:lang w:val="en-GB"/>
        </w:rPr>
      </w:pPr>
      <w:r>
        <w:rPr>
          <w:rFonts w:hint="eastAsia" w:ascii="宋体" w:hAnsi="宋体" w:eastAsia="宋体" w:cs="宋体"/>
          <w:bCs/>
          <w:sz w:val="24"/>
          <w:szCs w:val="24"/>
        </w:rPr>
        <w:t>项目重要内容（如：双方权利义务、功能要求说明等）可作为附件</w:t>
      </w:r>
      <w:r>
        <w:rPr>
          <w:rFonts w:hint="eastAsia" w:ascii="宋体" w:hAnsi="宋体" w:eastAsia="宋体" w:cs="宋体"/>
          <w:sz w:val="24"/>
          <w:szCs w:val="24"/>
        </w:rPr>
        <w:t>；</w:t>
      </w:r>
    </w:p>
    <w:p>
      <w:pPr>
        <w:jc w:val="center"/>
        <w:outlineLvl w:val="0"/>
        <w:rPr>
          <w:rFonts w:ascii="宋体" w:hAnsi="宋体" w:eastAsia="宋体" w:cs="宋体"/>
          <w:b/>
          <w:bCs/>
          <w:sz w:val="24"/>
          <w:szCs w:val="24"/>
        </w:rPr>
      </w:pPr>
      <w:r>
        <w:rPr>
          <w:rFonts w:hint="eastAsia" w:ascii="宋体" w:hAnsi="宋体" w:eastAsia="宋体" w:cs="宋体"/>
          <w:bCs/>
          <w:sz w:val="24"/>
          <w:szCs w:val="24"/>
        </w:rPr>
        <w:br w:type="page"/>
      </w:r>
      <w:bookmarkStart w:id="111" w:name="_Toc155100548"/>
      <w:r>
        <w:rPr>
          <w:rFonts w:hint="eastAsia" w:ascii="宋体" w:hAnsi="宋体" w:eastAsia="宋体" w:cs="宋体"/>
          <w:b/>
          <w:bCs/>
          <w:sz w:val="40"/>
          <w:szCs w:val="40"/>
        </w:rPr>
        <w:t>第五章  附件</w:t>
      </w:r>
      <w:bookmarkEnd w:id="111"/>
    </w:p>
    <w:p>
      <w:pPr>
        <w:spacing w:line="360" w:lineRule="auto"/>
        <w:jc w:val="center"/>
        <w:outlineLvl w:val="1"/>
        <w:rPr>
          <w:rFonts w:ascii="宋体" w:hAnsi="宋体" w:eastAsia="宋体" w:cs="宋体"/>
          <w:b/>
          <w:sz w:val="24"/>
          <w:szCs w:val="24"/>
        </w:rPr>
      </w:pPr>
    </w:p>
    <w:p>
      <w:pPr>
        <w:spacing w:line="360" w:lineRule="auto"/>
        <w:jc w:val="center"/>
        <w:outlineLvl w:val="1"/>
        <w:rPr>
          <w:rFonts w:ascii="宋体" w:hAnsi="宋体" w:eastAsia="宋体" w:cs="宋体"/>
          <w:b/>
          <w:sz w:val="28"/>
          <w:szCs w:val="28"/>
        </w:rPr>
      </w:pPr>
      <w:bookmarkStart w:id="112" w:name="_Toc155100549"/>
      <w:r>
        <w:rPr>
          <w:rFonts w:hint="eastAsia" w:ascii="宋体" w:hAnsi="宋体" w:eastAsia="宋体" w:cs="宋体"/>
          <w:b/>
          <w:sz w:val="28"/>
          <w:szCs w:val="28"/>
        </w:rPr>
        <w:t>1.投标书</w:t>
      </w:r>
      <w:bookmarkEnd w:id="112"/>
    </w:p>
    <w:p>
      <w:pPr>
        <w:spacing w:line="400" w:lineRule="exact"/>
        <w:rPr>
          <w:rFonts w:ascii="宋体" w:hAnsi="宋体" w:eastAsia="宋体" w:cs="宋体"/>
          <w:b/>
          <w:sz w:val="24"/>
          <w:szCs w:val="24"/>
          <w:u w:val="single"/>
        </w:rPr>
      </w:pPr>
      <w:r>
        <w:rPr>
          <w:rFonts w:hint="eastAsia" w:ascii="宋体" w:hAnsi="宋体" w:eastAsia="宋体" w:cs="宋体"/>
          <w:sz w:val="24"/>
          <w:szCs w:val="24"/>
        </w:rPr>
        <w:t>致：</w:t>
      </w:r>
      <w:r>
        <w:rPr>
          <w:rFonts w:hint="eastAsia" w:ascii="宋体" w:hAnsi="宋体" w:eastAsia="宋体" w:cs="宋体"/>
          <w:b/>
          <w:sz w:val="24"/>
          <w:szCs w:val="24"/>
          <w:u w:val="single"/>
        </w:rPr>
        <w:t>江西俱承工程管理有限公司</w:t>
      </w:r>
    </w:p>
    <w:p>
      <w:pPr>
        <w:spacing w:line="400" w:lineRule="exact"/>
        <w:rPr>
          <w:rFonts w:ascii="宋体" w:hAnsi="宋体" w:eastAsia="宋体" w:cs="宋体"/>
          <w:sz w:val="24"/>
          <w:szCs w:val="24"/>
          <w:u w:val="single"/>
        </w:rPr>
      </w:pPr>
    </w:p>
    <w:p>
      <w:pPr>
        <w:spacing w:line="360" w:lineRule="auto"/>
        <w:ind w:firstLine="540"/>
        <w:rPr>
          <w:rFonts w:ascii="宋体" w:hAnsi="宋体" w:eastAsia="宋体" w:cs="宋体"/>
          <w:sz w:val="24"/>
          <w:szCs w:val="24"/>
        </w:rPr>
      </w:pPr>
      <w:r>
        <w:rPr>
          <w:rFonts w:hint="eastAsia" w:ascii="宋体" w:hAnsi="宋体" w:eastAsia="宋体" w:cs="宋体"/>
          <w:sz w:val="24"/>
          <w:szCs w:val="24"/>
        </w:rPr>
        <w:t xml:space="preserve">根据贵方“ </w:t>
      </w:r>
      <w:r>
        <w:rPr>
          <w:rFonts w:hint="eastAsia" w:ascii="宋体" w:hAnsi="宋体" w:eastAsia="宋体" w:cs="宋体"/>
          <w:sz w:val="24"/>
          <w:szCs w:val="24"/>
          <w:u w:val="single"/>
        </w:rPr>
        <w:t xml:space="preserve">          </w:t>
      </w:r>
      <w:r>
        <w:rPr>
          <w:rFonts w:hint="eastAsia" w:ascii="宋体" w:hAnsi="宋体" w:eastAsia="宋体" w:cs="宋体"/>
          <w:sz w:val="24"/>
          <w:szCs w:val="24"/>
        </w:rPr>
        <w:t>采购项目”</w:t>
      </w:r>
      <w:r>
        <w:rPr>
          <w:rFonts w:hint="eastAsia" w:ascii="宋体" w:hAnsi="宋体" w:eastAsia="宋体" w:cs="宋体"/>
          <w:sz w:val="24"/>
          <w:szCs w:val="24"/>
          <w:u w:val="single"/>
        </w:rPr>
        <w:t xml:space="preserve"> 　　　　</w:t>
      </w:r>
      <w:r>
        <w:rPr>
          <w:rFonts w:hint="eastAsia" w:ascii="宋体" w:hAnsi="宋体" w:eastAsia="宋体" w:cs="宋体"/>
          <w:sz w:val="24"/>
          <w:szCs w:val="24"/>
        </w:rPr>
        <w:t>（采购编号）投标邀请或招标公告，正式授权下述签字人</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（姓名）代表投标人 </w:t>
      </w:r>
      <w:r>
        <w:rPr>
          <w:rFonts w:hint="eastAsia" w:ascii="宋体" w:hAnsi="宋体" w:eastAsia="宋体" w:cs="宋体"/>
          <w:sz w:val="24"/>
          <w:szCs w:val="24"/>
          <w:u w:val="single"/>
        </w:rPr>
        <w:t xml:space="preserve">       　   </w:t>
      </w:r>
      <w:r>
        <w:rPr>
          <w:rFonts w:hint="eastAsia" w:ascii="宋体" w:hAnsi="宋体" w:eastAsia="宋体" w:cs="宋体"/>
          <w:sz w:val="24"/>
          <w:szCs w:val="24"/>
        </w:rPr>
        <w:t>（投标人全称），提交投标文件。</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据此函，签字人兹宣布同意如下：</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（1）按招标文件规定提供交付的货物/服务（包括安装调试等工作）投标总价为</w:t>
      </w:r>
      <w:r>
        <w:rPr>
          <w:rFonts w:hint="eastAsia" w:ascii="宋体" w:hAnsi="宋体" w:eastAsia="宋体" w:cs="宋体"/>
          <w:sz w:val="24"/>
          <w:szCs w:val="24"/>
          <w:u w:val="single"/>
        </w:rPr>
        <w:t xml:space="preserve"> </w:t>
      </w:r>
      <w:r>
        <w:rPr>
          <w:rFonts w:hint="eastAsia" w:ascii="宋体" w:hAnsi="宋体" w:eastAsia="宋体" w:cs="宋体"/>
          <w:b/>
          <w:bCs/>
          <w:sz w:val="24"/>
          <w:szCs w:val="24"/>
          <w:u w:val="single"/>
        </w:rPr>
        <w:t xml:space="preserve">（大写） </w:t>
      </w:r>
      <w:r>
        <w:rPr>
          <w:rFonts w:hint="eastAsia" w:ascii="宋体" w:hAnsi="宋体" w:eastAsia="宋体" w:cs="宋体"/>
          <w:b/>
          <w:sz w:val="24"/>
          <w:szCs w:val="24"/>
          <w:u w:val="single"/>
        </w:rPr>
        <w:t xml:space="preserve">               </w:t>
      </w:r>
      <w:r>
        <w:rPr>
          <w:rFonts w:hint="eastAsia" w:ascii="宋体" w:hAnsi="宋体" w:eastAsia="宋体" w:cs="宋体"/>
          <w:sz w:val="24"/>
          <w:szCs w:val="24"/>
        </w:rPr>
        <w:t>元人民币。</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（2）我们已详细审核全部招标文件，包括招标文件修改书（如果有的话），参考资料及有关附件，我们知道必须放弃提出含糊不清或误解的问题的权利。</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（3）我们同意从投标人须知规定的开标日期起遵循本投标文件，并在投标人须知规定的投标有效期之前均具有约束力。</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（4）我方表明已经完全理解并认可招标文件所有条款，并承诺投标后不论任何结果，均无条件放弃针对招标文件所有条款进行的任何质疑或投诉。</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（5）如在开标后规定的投标有效期内撤回投标或有其它违约行为，我们同意被贵方不退还全部投标保证金。</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（6）同意向贵方提供贵方可能另外要求的与其投标有关的任何证据或资料。</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（7）我们完全理解贵方不一定接受最低报价的投标。</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（8）我们根据招标文件的规定，严格履行合同的责任和义务,并保证于甲方要求的日期内完成货物调试，并交付甲方验收、使用。</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（9）我方严格遵守《中华人民共和国政府采购法》第七十七条规定。</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（10）与本投标有关的信息请寄：</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投标人名称：</w:t>
      </w:r>
      <w:r>
        <w:rPr>
          <w:rFonts w:hint="eastAsia" w:ascii="宋体" w:hAnsi="宋体" w:eastAsia="宋体" w:cs="宋体"/>
          <w:sz w:val="24"/>
          <w:szCs w:val="24"/>
          <w:u w:val="single"/>
        </w:rPr>
        <w:t xml:space="preserve">           </w:t>
      </w:r>
      <w:r>
        <w:rPr>
          <w:rFonts w:hint="eastAsia" w:ascii="宋体" w:hAnsi="宋体" w:eastAsia="宋体" w:cs="宋体"/>
          <w:sz w:val="24"/>
          <w:szCs w:val="24"/>
        </w:rPr>
        <w:t>（公章）</w:t>
      </w:r>
    </w:p>
    <w:p>
      <w:pPr>
        <w:spacing w:line="360" w:lineRule="auto"/>
        <w:ind w:firstLine="600" w:firstLineChars="250"/>
        <w:rPr>
          <w:rFonts w:ascii="宋体" w:hAnsi="宋体" w:eastAsia="宋体" w:cs="宋体"/>
          <w:sz w:val="24"/>
          <w:szCs w:val="24"/>
        </w:rPr>
      </w:pPr>
      <w:r>
        <w:rPr>
          <w:rFonts w:hint="eastAsia" w:ascii="宋体" w:hAnsi="宋体" w:eastAsia="宋体" w:cs="宋体"/>
          <w:sz w:val="24"/>
          <w:szCs w:val="24"/>
        </w:rPr>
        <w:t xml:space="preserve">地址：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360" w:lineRule="auto"/>
        <w:ind w:firstLine="540"/>
        <w:rPr>
          <w:rFonts w:ascii="宋体" w:hAnsi="宋体" w:eastAsia="宋体" w:cs="宋体"/>
          <w:sz w:val="24"/>
          <w:szCs w:val="24"/>
        </w:rPr>
      </w:pPr>
      <w:r>
        <w:rPr>
          <w:rFonts w:hint="eastAsia" w:ascii="宋体" w:hAnsi="宋体" w:eastAsia="宋体" w:cs="宋体"/>
          <w:sz w:val="24"/>
          <w:szCs w:val="24"/>
        </w:rPr>
        <w:t>电    话：</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传    真：</w:t>
      </w:r>
      <w:r>
        <w:rPr>
          <w:rFonts w:hint="eastAsia" w:ascii="宋体" w:hAnsi="宋体" w:eastAsia="宋体" w:cs="宋体"/>
          <w:sz w:val="24"/>
          <w:szCs w:val="24"/>
          <w:u w:val="single"/>
        </w:rPr>
        <w:t xml:space="preserve">                 </w:t>
      </w:r>
    </w:p>
    <w:p>
      <w:pPr>
        <w:spacing w:line="360" w:lineRule="auto"/>
        <w:ind w:firstLine="540"/>
        <w:rPr>
          <w:rFonts w:ascii="Times New Roman" w:hAnsi="Times New Roman" w:eastAsia="宋体" w:cs="Times New Roman"/>
          <w:szCs w:val="24"/>
        </w:rPr>
      </w:pPr>
      <w:r>
        <w:rPr>
          <w:rFonts w:hint="eastAsia" w:ascii="宋体" w:hAnsi="宋体" w:eastAsia="宋体" w:cs="宋体"/>
          <w:sz w:val="24"/>
          <w:szCs w:val="24"/>
        </w:rPr>
        <w:t>授权代表（签字）：</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日    期：</w:t>
      </w:r>
      <w:r>
        <w:rPr>
          <w:rFonts w:hint="eastAsia" w:ascii="宋体" w:hAnsi="宋体" w:eastAsia="宋体" w:cs="宋体"/>
          <w:sz w:val="24"/>
          <w:szCs w:val="24"/>
          <w:u w:val="single"/>
        </w:rPr>
        <w:t xml:space="preserve">                 </w:t>
      </w:r>
    </w:p>
    <w:p>
      <w:pPr>
        <w:jc w:val="left"/>
        <w:rPr>
          <w:rFonts w:ascii="Times New Roman" w:hAnsi="Times New Roman" w:eastAsia="宋体" w:cs="Times New Roman"/>
          <w:b/>
          <w:bCs/>
          <w:caps/>
          <w:sz w:val="20"/>
          <w:szCs w:val="20"/>
        </w:rPr>
      </w:pPr>
    </w:p>
    <w:p>
      <w:pPr>
        <w:spacing w:before="240" w:beforeLines="100" w:line="460" w:lineRule="exact"/>
        <w:jc w:val="center"/>
        <w:outlineLvl w:val="1"/>
        <w:rPr>
          <w:rFonts w:ascii="宋体" w:hAnsi="宋体" w:eastAsia="宋体" w:cs="Times New Roman"/>
          <w:b/>
          <w:sz w:val="28"/>
        </w:rPr>
      </w:pPr>
      <w:bookmarkStart w:id="113" w:name="_Toc12483"/>
      <w:bookmarkStart w:id="114" w:name="_Toc155100550"/>
      <w:r>
        <w:rPr>
          <w:rFonts w:hint="eastAsia" w:ascii="宋体" w:hAnsi="宋体" w:eastAsia="宋体" w:cs="Times New Roman"/>
          <w:b/>
          <w:sz w:val="28"/>
        </w:rPr>
        <w:t>2.报价一览表</w:t>
      </w:r>
      <w:bookmarkEnd w:id="113"/>
      <w:bookmarkEnd w:id="114"/>
    </w:p>
    <w:p>
      <w:pPr>
        <w:autoSpaceDE w:val="0"/>
        <w:autoSpaceDN w:val="0"/>
        <w:adjustRightInd w:val="0"/>
        <w:jc w:val="left"/>
        <w:rPr>
          <w:rFonts w:ascii="宋体" w:hAnsi="Times New Roman" w:eastAsia="宋体" w:cs="Times New Roman"/>
          <w:kern w:val="0"/>
          <w:sz w:val="28"/>
          <w:szCs w:val="20"/>
        </w:rPr>
      </w:pPr>
    </w:p>
    <w:p>
      <w:pPr>
        <w:autoSpaceDE w:val="0"/>
        <w:autoSpaceDN w:val="0"/>
        <w:adjustRightInd w:val="0"/>
        <w:jc w:val="left"/>
        <w:rPr>
          <w:rFonts w:ascii="宋体" w:hAnsi="Times New Roman" w:eastAsia="宋体" w:cs="Times New Roman"/>
          <w:kern w:val="0"/>
          <w:sz w:val="28"/>
          <w:szCs w:val="20"/>
        </w:rPr>
      </w:pPr>
    </w:p>
    <w:p>
      <w:pPr>
        <w:spacing w:line="480" w:lineRule="auto"/>
        <w:ind w:firstLine="240" w:firstLineChars="100"/>
        <w:rPr>
          <w:rFonts w:ascii="宋体" w:hAnsi="宋体" w:eastAsia="宋体" w:cs="宋体"/>
          <w:b/>
          <w:sz w:val="24"/>
          <w:szCs w:val="24"/>
        </w:rPr>
      </w:pPr>
      <w:r>
        <w:rPr>
          <w:rFonts w:hint="eastAsia" w:ascii="宋体" w:hAnsi="宋体" w:eastAsia="宋体" w:cs="宋体"/>
          <w:sz w:val="24"/>
          <w:szCs w:val="24"/>
        </w:rPr>
        <w:t>投标人名称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项目编号</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7"/>
        <w:gridCol w:w="2538"/>
        <w:gridCol w:w="2187"/>
        <w:gridCol w:w="1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 w:hRule="atLeast"/>
          <w:jc w:val="center"/>
        </w:trPr>
        <w:tc>
          <w:tcPr>
            <w:tcW w:w="2607"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项目名称</w:t>
            </w:r>
          </w:p>
        </w:tc>
        <w:tc>
          <w:tcPr>
            <w:tcW w:w="2538"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投标总价</w:t>
            </w:r>
          </w:p>
          <w:p>
            <w:pPr>
              <w:jc w:val="center"/>
              <w:rPr>
                <w:rFonts w:ascii="宋体" w:hAnsi="宋体" w:eastAsia="宋体" w:cs="宋体"/>
                <w:b/>
                <w:bCs/>
                <w:sz w:val="24"/>
                <w:szCs w:val="24"/>
              </w:rPr>
            </w:pPr>
            <w:r>
              <w:rPr>
                <w:rFonts w:hint="eastAsia" w:ascii="宋体" w:hAnsi="宋体" w:eastAsia="宋体" w:cs="宋体"/>
                <w:b/>
                <w:sz w:val="24"/>
                <w:szCs w:val="24"/>
              </w:rPr>
              <w:t>（人民币）</w:t>
            </w:r>
          </w:p>
        </w:tc>
        <w:tc>
          <w:tcPr>
            <w:tcW w:w="2187"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交货期限</w:t>
            </w:r>
          </w:p>
          <w:p>
            <w:pPr>
              <w:jc w:val="center"/>
              <w:rPr>
                <w:rFonts w:ascii="宋体" w:hAnsi="宋体" w:eastAsia="宋体" w:cs="宋体"/>
                <w:b/>
                <w:bCs/>
                <w:sz w:val="24"/>
                <w:szCs w:val="24"/>
              </w:rPr>
            </w:pPr>
            <w:r>
              <w:rPr>
                <w:rFonts w:hint="eastAsia" w:ascii="宋体" w:hAnsi="宋体" w:eastAsia="宋体" w:cs="宋体"/>
                <w:b/>
                <w:bCs/>
                <w:sz w:val="24"/>
                <w:szCs w:val="24"/>
              </w:rPr>
              <w:t>（日历日）</w:t>
            </w:r>
          </w:p>
        </w:tc>
        <w:tc>
          <w:tcPr>
            <w:tcW w:w="1680" w:type="dxa"/>
            <w:vAlign w:val="center"/>
          </w:tcPr>
          <w:p>
            <w:pPr>
              <w:jc w:val="center"/>
              <w:rPr>
                <w:rFonts w:ascii="宋体" w:hAnsi="宋体" w:eastAsia="宋体" w:cs="宋体"/>
                <w:b/>
                <w:bCs/>
                <w:sz w:val="24"/>
                <w:szCs w:val="24"/>
              </w:rPr>
            </w:pPr>
            <w:r>
              <w:rPr>
                <w:rFonts w:hint="eastAsia" w:ascii="宋体" w:hAnsi="宋体" w:eastAsia="宋体"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26" w:hRule="atLeast"/>
          <w:jc w:val="center"/>
        </w:trPr>
        <w:tc>
          <w:tcPr>
            <w:tcW w:w="2607" w:type="dxa"/>
          </w:tcPr>
          <w:p>
            <w:pPr>
              <w:spacing w:line="360" w:lineRule="auto"/>
              <w:jc w:val="center"/>
              <w:rPr>
                <w:rFonts w:ascii="宋体" w:hAnsi="宋体" w:eastAsia="宋体" w:cs="宋体"/>
                <w:sz w:val="24"/>
                <w:szCs w:val="24"/>
              </w:rPr>
            </w:pPr>
          </w:p>
        </w:tc>
        <w:tc>
          <w:tcPr>
            <w:tcW w:w="2538" w:type="dxa"/>
            <w:vAlign w:val="center"/>
          </w:tcPr>
          <w:p>
            <w:pPr>
              <w:spacing w:line="360" w:lineRule="auto"/>
              <w:jc w:val="center"/>
              <w:rPr>
                <w:rFonts w:ascii="宋体" w:hAnsi="宋体" w:eastAsia="宋体" w:cs="宋体"/>
                <w:sz w:val="24"/>
                <w:szCs w:val="24"/>
              </w:rPr>
            </w:pPr>
          </w:p>
        </w:tc>
        <w:tc>
          <w:tcPr>
            <w:tcW w:w="2187" w:type="dxa"/>
            <w:vAlign w:val="center"/>
          </w:tcPr>
          <w:p>
            <w:pPr>
              <w:spacing w:line="360" w:lineRule="auto"/>
              <w:jc w:val="center"/>
              <w:rPr>
                <w:rFonts w:ascii="宋体" w:hAnsi="宋体" w:eastAsia="宋体" w:cs="宋体"/>
                <w:sz w:val="24"/>
                <w:szCs w:val="24"/>
              </w:rPr>
            </w:pPr>
          </w:p>
        </w:tc>
        <w:tc>
          <w:tcPr>
            <w:tcW w:w="1680" w:type="dxa"/>
            <w:vAlign w:val="center"/>
          </w:tcPr>
          <w:p>
            <w:pPr>
              <w:spacing w:line="360" w:lineRule="auto"/>
              <w:jc w:val="center"/>
              <w:rPr>
                <w:rFonts w:ascii="宋体" w:hAnsi="宋体" w:eastAsia="宋体" w:cs="宋体"/>
                <w:sz w:val="24"/>
                <w:szCs w:val="24"/>
              </w:rPr>
            </w:pPr>
          </w:p>
        </w:tc>
      </w:tr>
    </w:tbl>
    <w:p>
      <w:pPr>
        <w:spacing w:line="360" w:lineRule="auto"/>
        <w:rPr>
          <w:rFonts w:ascii="宋体" w:hAnsi="宋体" w:eastAsia="宋体" w:cs="宋体"/>
          <w:sz w:val="24"/>
          <w:szCs w:val="24"/>
        </w:rPr>
      </w:pPr>
    </w:p>
    <w:p>
      <w:pPr>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供应商代表签字（公章）：</w:t>
      </w:r>
      <w:r>
        <w:rPr>
          <w:rFonts w:hint="eastAsia" w:ascii="宋体" w:hAnsi="宋体" w:eastAsia="宋体" w:cs="宋体"/>
          <w:sz w:val="24"/>
          <w:szCs w:val="24"/>
          <w:u w:val="single"/>
        </w:rPr>
        <w:t xml:space="preserve">                         </w:t>
      </w:r>
    </w:p>
    <w:p>
      <w:pPr>
        <w:spacing w:line="360" w:lineRule="auto"/>
        <w:rPr>
          <w:rFonts w:ascii="宋体" w:hAnsi="宋体" w:eastAsia="宋体" w:cs="宋体"/>
          <w:sz w:val="24"/>
          <w:szCs w:val="24"/>
        </w:rPr>
      </w:pPr>
    </w:p>
    <w:p>
      <w:pPr>
        <w:spacing w:line="500" w:lineRule="exact"/>
        <w:rPr>
          <w:rFonts w:ascii="宋体" w:hAnsi="宋体" w:eastAsia="宋体" w:cs="宋体"/>
          <w:sz w:val="24"/>
          <w:szCs w:val="24"/>
        </w:rPr>
      </w:pPr>
      <w:r>
        <w:rPr>
          <w:rFonts w:hint="eastAsia" w:ascii="宋体" w:hAnsi="宋体" w:eastAsia="宋体" w:cs="宋体"/>
          <w:sz w:val="24"/>
          <w:szCs w:val="24"/>
        </w:rPr>
        <w:t>注：</w:t>
      </w:r>
    </w:p>
    <w:p>
      <w:pPr>
        <w:numPr>
          <w:ilvl w:val="0"/>
          <w:numId w:val="6"/>
        </w:numPr>
        <w:tabs>
          <w:tab w:val="left" w:pos="845"/>
        </w:tabs>
        <w:spacing w:line="500" w:lineRule="exact"/>
        <w:rPr>
          <w:rFonts w:ascii="宋体" w:hAnsi="宋体" w:eastAsia="宋体" w:cs="宋体"/>
          <w:sz w:val="24"/>
          <w:szCs w:val="24"/>
        </w:rPr>
      </w:pPr>
      <w:r>
        <w:rPr>
          <w:rFonts w:hint="eastAsia" w:ascii="宋体" w:hAnsi="宋体" w:eastAsia="宋体" w:cs="宋体"/>
          <w:sz w:val="24"/>
          <w:szCs w:val="24"/>
        </w:rPr>
        <w:t>报价表中的内容必须填写完整并应简明扼要。</w:t>
      </w:r>
    </w:p>
    <w:p>
      <w:pPr>
        <w:numPr>
          <w:ilvl w:val="0"/>
          <w:numId w:val="6"/>
        </w:numPr>
        <w:tabs>
          <w:tab w:val="left" w:pos="845"/>
        </w:tabs>
        <w:spacing w:line="500" w:lineRule="exact"/>
        <w:rPr>
          <w:rFonts w:ascii="Times New Roman" w:hAnsi="Times New Roman" w:eastAsia="宋体" w:cs="Times New Roman"/>
          <w:szCs w:val="24"/>
        </w:rPr>
      </w:pPr>
      <w:r>
        <w:rPr>
          <w:rFonts w:hint="eastAsia" w:ascii="宋体" w:hAnsi="宋体" w:eastAsia="宋体" w:cs="宋体"/>
          <w:sz w:val="24"/>
          <w:szCs w:val="24"/>
        </w:rPr>
        <w:t>供应商认为应当说明而本表中无相应栏目的，请在“备注”一栏中说明。</w:t>
      </w:r>
    </w:p>
    <w:p>
      <w:pPr>
        <w:numPr>
          <w:ilvl w:val="0"/>
          <w:numId w:val="6"/>
        </w:numPr>
        <w:adjustRightInd w:val="0"/>
        <w:snapToGrid w:val="0"/>
        <w:spacing w:line="500" w:lineRule="exact"/>
        <w:rPr>
          <w:rFonts w:ascii="宋体" w:hAnsi="宋体" w:eastAsia="宋体" w:cs="Times New Roman"/>
          <w:b/>
          <w:bCs/>
          <w:snapToGrid w:val="0"/>
          <w:kern w:val="0"/>
          <w:sz w:val="24"/>
          <w:szCs w:val="24"/>
        </w:rPr>
      </w:pPr>
      <w:r>
        <w:rPr>
          <w:rFonts w:hint="eastAsia" w:ascii="宋体" w:hAnsi="宋体" w:eastAsia="宋体" w:cs="Times New Roman"/>
          <w:b/>
          <w:bCs/>
          <w:snapToGrid w:val="0"/>
          <w:kern w:val="0"/>
          <w:sz w:val="24"/>
          <w:szCs w:val="24"/>
        </w:rPr>
        <w:t>此表应单独打印一份，并按要求签字和加盖公章，报价一览表需单独密封并在开标截止时间前随投标文件以及其他资料一起递交至开标地点，如未单独提供报价一览表，将被拒绝投标</w:t>
      </w:r>
    </w:p>
    <w:p>
      <w:pPr>
        <w:adjustRightInd w:val="0"/>
        <w:snapToGrid w:val="0"/>
        <w:spacing w:line="500" w:lineRule="exact"/>
        <w:ind w:firstLine="482" w:firstLineChars="200"/>
        <w:rPr>
          <w:rFonts w:ascii="宋体" w:hAnsi="宋体" w:eastAsia="宋体" w:cs="Times New Roman"/>
          <w:b/>
          <w:bCs/>
          <w:snapToGrid w:val="0"/>
          <w:kern w:val="0"/>
          <w:sz w:val="24"/>
          <w:szCs w:val="24"/>
        </w:rPr>
      </w:pPr>
      <w:r>
        <w:rPr>
          <w:rFonts w:hint="eastAsia" w:ascii="宋体" w:hAnsi="宋体" w:eastAsia="宋体" w:cs="Times New Roman"/>
          <w:b/>
          <w:bCs/>
          <w:snapToGrid w:val="0"/>
          <w:kern w:val="0"/>
          <w:sz w:val="24"/>
          <w:szCs w:val="24"/>
        </w:rPr>
        <w:t>密封满足以下条件</w:t>
      </w:r>
    </w:p>
    <w:p>
      <w:pPr>
        <w:spacing w:line="500" w:lineRule="exact"/>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1)清楚标明递交至：抚州市公共资源交易中心南城分中心开标厅。</w:t>
      </w:r>
    </w:p>
    <w:p>
      <w:pPr>
        <w:spacing w:line="500" w:lineRule="exact"/>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2)注明招标编号、项目名称和开标时间前不得启封的字样。</w:t>
      </w:r>
    </w:p>
    <w:p>
      <w:pPr>
        <w:spacing w:line="500" w:lineRule="exact"/>
        <w:ind w:firstLine="482" w:firstLineChars="200"/>
        <w:rPr>
          <w:rFonts w:ascii="宋体" w:hAnsi="宋体" w:eastAsia="宋体" w:cs="Times New Roman"/>
          <w:b/>
          <w:bCs/>
          <w:sz w:val="24"/>
          <w:szCs w:val="24"/>
        </w:rPr>
      </w:pPr>
      <w:r>
        <w:rPr>
          <w:rFonts w:hint="eastAsia" w:ascii="宋体" w:hAnsi="宋体" w:eastAsia="宋体" w:cs="Times New Roman"/>
          <w:b/>
          <w:bCs/>
          <w:sz w:val="24"/>
          <w:szCs w:val="24"/>
        </w:rPr>
        <w:t>3）密封袋应写明投标人名称和地址。</w:t>
      </w:r>
    </w:p>
    <w:p>
      <w:pPr>
        <w:spacing w:line="400" w:lineRule="exact"/>
        <w:rPr>
          <w:rFonts w:ascii="宋体" w:hAnsi="宋体" w:eastAsia="宋体" w:cs="宋体"/>
          <w:b/>
          <w:sz w:val="24"/>
          <w:szCs w:val="24"/>
        </w:rPr>
      </w:pPr>
    </w:p>
    <w:p>
      <w:pPr>
        <w:spacing w:line="400" w:lineRule="exact"/>
        <w:rPr>
          <w:rFonts w:ascii="宋体" w:hAnsi="宋体" w:eastAsia="宋体" w:cs="宋体"/>
          <w:b/>
          <w:sz w:val="24"/>
          <w:szCs w:val="24"/>
        </w:rPr>
      </w:pPr>
    </w:p>
    <w:p>
      <w:pPr>
        <w:spacing w:before="240" w:beforeLines="100" w:line="460" w:lineRule="exact"/>
        <w:jc w:val="center"/>
        <w:outlineLvl w:val="1"/>
        <w:rPr>
          <w:rFonts w:ascii="宋体" w:hAnsi="宋体" w:eastAsia="宋体" w:cs="宋体"/>
          <w:b/>
          <w:sz w:val="28"/>
          <w:szCs w:val="28"/>
        </w:rPr>
      </w:pPr>
      <w:bookmarkStart w:id="115" w:name="_Toc524073780"/>
    </w:p>
    <w:p>
      <w:pPr>
        <w:keepNext/>
        <w:keepLines/>
        <w:numPr>
          <w:ilvl w:val="6"/>
          <w:numId w:val="0"/>
        </w:numPr>
        <w:spacing w:line="319" w:lineRule="auto"/>
        <w:outlineLvl w:val="6"/>
        <w:rPr>
          <w:rFonts w:ascii="Times New Roman" w:hAnsi="Times New Roman" w:eastAsia="宋体" w:cs="Times New Roman"/>
          <w:b/>
          <w:sz w:val="24"/>
          <w:szCs w:val="20"/>
        </w:rPr>
      </w:pPr>
    </w:p>
    <w:p>
      <w:pPr>
        <w:rPr>
          <w:rFonts w:ascii="Times New Roman" w:hAnsi="Times New Roman" w:eastAsia="宋体" w:cs="Times New Roman"/>
          <w:szCs w:val="24"/>
        </w:rPr>
      </w:pPr>
    </w:p>
    <w:p>
      <w:pPr>
        <w:keepNext/>
        <w:keepLines/>
        <w:numPr>
          <w:ilvl w:val="6"/>
          <w:numId w:val="0"/>
        </w:numPr>
        <w:spacing w:line="319" w:lineRule="auto"/>
        <w:outlineLvl w:val="6"/>
        <w:rPr>
          <w:rFonts w:ascii="Times New Roman" w:hAnsi="Times New Roman" w:eastAsia="宋体" w:cs="Times New Roman"/>
          <w:b/>
          <w:sz w:val="24"/>
          <w:szCs w:val="20"/>
        </w:rPr>
      </w:pPr>
    </w:p>
    <w:p>
      <w:pPr>
        <w:rPr>
          <w:rFonts w:ascii="Times New Roman" w:hAnsi="Times New Roman" w:eastAsia="宋体" w:cs="Times New Roman"/>
          <w:szCs w:val="24"/>
        </w:rPr>
      </w:pPr>
    </w:p>
    <w:p>
      <w:pPr>
        <w:jc w:val="left"/>
        <w:rPr>
          <w:rFonts w:ascii="Times New Roman" w:hAnsi="Times New Roman" w:eastAsia="宋体" w:cs="Times New Roman"/>
          <w:b/>
          <w:bCs/>
          <w:caps/>
          <w:sz w:val="20"/>
          <w:szCs w:val="20"/>
        </w:rPr>
      </w:pPr>
    </w:p>
    <w:p>
      <w:pPr>
        <w:rPr>
          <w:rFonts w:ascii="Times New Roman" w:hAnsi="Times New Roman" w:eastAsia="宋体" w:cs="Times New Roman"/>
          <w:szCs w:val="24"/>
        </w:rPr>
      </w:pPr>
    </w:p>
    <w:p>
      <w:pPr>
        <w:jc w:val="left"/>
        <w:rPr>
          <w:rFonts w:ascii="Times New Roman" w:hAnsi="Times New Roman" w:eastAsia="宋体" w:cs="Times New Roman"/>
          <w:b/>
          <w:bCs/>
          <w:caps/>
          <w:sz w:val="20"/>
          <w:szCs w:val="20"/>
        </w:rPr>
      </w:pPr>
    </w:p>
    <w:p>
      <w:pPr>
        <w:rPr>
          <w:rFonts w:ascii="Times New Roman" w:hAnsi="Times New Roman" w:eastAsia="宋体" w:cs="Times New Roman"/>
          <w:szCs w:val="24"/>
        </w:rPr>
      </w:pPr>
    </w:p>
    <w:p>
      <w:pPr>
        <w:spacing w:before="240" w:beforeLines="100" w:line="460" w:lineRule="exact"/>
        <w:jc w:val="center"/>
        <w:outlineLvl w:val="1"/>
        <w:rPr>
          <w:rFonts w:ascii="宋体" w:hAnsi="宋体" w:eastAsia="宋体" w:cs="宋体"/>
          <w:b/>
          <w:sz w:val="28"/>
          <w:szCs w:val="28"/>
        </w:rPr>
      </w:pPr>
      <w:r>
        <w:rPr>
          <w:rFonts w:hint="eastAsia" w:ascii="宋体" w:hAnsi="宋体" w:eastAsia="宋体" w:cs="宋体"/>
          <w:b/>
          <w:sz w:val="28"/>
          <w:szCs w:val="28"/>
        </w:rPr>
        <w:t xml:space="preserve"> </w:t>
      </w:r>
      <w:bookmarkStart w:id="116" w:name="_Toc155100551"/>
      <w:r>
        <w:rPr>
          <w:rFonts w:hint="eastAsia" w:ascii="宋体" w:hAnsi="宋体" w:eastAsia="宋体" w:cs="宋体"/>
          <w:b/>
          <w:sz w:val="28"/>
          <w:szCs w:val="28"/>
        </w:rPr>
        <w:t>3.</w:t>
      </w:r>
      <w:bookmarkEnd w:id="115"/>
      <w:r>
        <w:rPr>
          <w:rFonts w:hint="eastAsia" w:ascii="宋体" w:hAnsi="宋体" w:eastAsia="宋体" w:cs="宋体"/>
          <w:b/>
          <w:sz w:val="28"/>
          <w:szCs w:val="28"/>
        </w:rPr>
        <w:t>开标一览明细表（分项报价明细）</w:t>
      </w:r>
      <w:bookmarkEnd w:id="116"/>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投标人名称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项目编号</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w:t>
      </w:r>
    </w:p>
    <w:p>
      <w:pPr>
        <w:rPr>
          <w:rFonts w:ascii="宋体" w:hAnsi="宋体" w:eastAsia="宋体" w:cs="宋体"/>
          <w:sz w:val="24"/>
          <w:szCs w:val="24"/>
        </w:rPr>
      </w:pPr>
    </w:p>
    <w:tbl>
      <w:tblPr>
        <w:tblStyle w:val="40"/>
        <w:tblW w:w="1023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77"/>
        <w:gridCol w:w="777"/>
        <w:gridCol w:w="737"/>
        <w:gridCol w:w="681"/>
        <w:gridCol w:w="696"/>
        <w:gridCol w:w="913"/>
        <w:gridCol w:w="696"/>
        <w:gridCol w:w="750"/>
        <w:gridCol w:w="954"/>
        <w:gridCol w:w="969"/>
        <w:gridCol w:w="1156"/>
        <w:gridCol w:w="765"/>
        <w:gridCol w:w="7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777" w:type="dxa"/>
            <w:vAlign w:val="center"/>
          </w:tcPr>
          <w:p>
            <w:pPr>
              <w:jc w:val="center"/>
              <w:rPr>
                <w:rFonts w:ascii="宋体" w:hAnsi="宋体" w:eastAsia="宋体" w:cs="宋体"/>
                <w:sz w:val="24"/>
                <w:szCs w:val="24"/>
              </w:rPr>
            </w:pPr>
            <w:r>
              <w:rPr>
                <w:rFonts w:hint="eastAsia" w:ascii="宋体" w:hAnsi="宋体" w:eastAsia="宋体" w:cs="宋体"/>
                <w:sz w:val="24"/>
                <w:szCs w:val="24"/>
              </w:rPr>
              <w:t>名称</w:t>
            </w:r>
          </w:p>
        </w:tc>
        <w:tc>
          <w:tcPr>
            <w:tcW w:w="737" w:type="dxa"/>
            <w:vAlign w:val="center"/>
          </w:tcPr>
          <w:p>
            <w:pPr>
              <w:jc w:val="center"/>
              <w:rPr>
                <w:rFonts w:ascii="宋体" w:hAnsi="宋体" w:eastAsia="宋体" w:cs="宋体"/>
                <w:sz w:val="24"/>
                <w:szCs w:val="24"/>
              </w:rPr>
            </w:pPr>
            <w:r>
              <w:rPr>
                <w:rFonts w:hint="eastAsia" w:ascii="宋体" w:hAnsi="宋体" w:eastAsia="宋体" w:cs="宋体"/>
                <w:sz w:val="24"/>
                <w:szCs w:val="24"/>
              </w:rPr>
              <w:t>单位</w:t>
            </w:r>
          </w:p>
        </w:tc>
        <w:tc>
          <w:tcPr>
            <w:tcW w:w="681" w:type="dxa"/>
            <w:vAlign w:val="center"/>
          </w:tcPr>
          <w:p>
            <w:pPr>
              <w:jc w:val="center"/>
              <w:rPr>
                <w:rFonts w:ascii="宋体" w:hAnsi="宋体" w:eastAsia="宋体" w:cs="宋体"/>
                <w:sz w:val="24"/>
                <w:szCs w:val="24"/>
              </w:rPr>
            </w:pPr>
            <w:r>
              <w:rPr>
                <w:rFonts w:hint="eastAsia" w:ascii="宋体" w:hAnsi="宋体" w:eastAsia="宋体" w:cs="宋体"/>
                <w:sz w:val="24"/>
                <w:szCs w:val="24"/>
              </w:rPr>
              <w:t>数量</w:t>
            </w:r>
          </w:p>
        </w:tc>
        <w:tc>
          <w:tcPr>
            <w:tcW w:w="696" w:type="dxa"/>
            <w:vAlign w:val="center"/>
          </w:tcPr>
          <w:p>
            <w:pPr>
              <w:jc w:val="center"/>
              <w:rPr>
                <w:rFonts w:ascii="宋体" w:hAnsi="宋体" w:eastAsia="宋体" w:cs="宋体"/>
                <w:sz w:val="24"/>
                <w:szCs w:val="24"/>
              </w:rPr>
            </w:pPr>
            <w:r>
              <w:rPr>
                <w:rFonts w:hint="eastAsia" w:ascii="宋体" w:hAnsi="宋体" w:eastAsia="宋体" w:cs="宋体"/>
                <w:sz w:val="24"/>
                <w:szCs w:val="24"/>
              </w:rPr>
              <w:t>单价（元）</w:t>
            </w:r>
          </w:p>
        </w:tc>
        <w:tc>
          <w:tcPr>
            <w:tcW w:w="913" w:type="dxa"/>
            <w:vAlign w:val="center"/>
          </w:tcPr>
          <w:p>
            <w:pPr>
              <w:jc w:val="center"/>
              <w:rPr>
                <w:rFonts w:ascii="宋体" w:hAnsi="宋体" w:eastAsia="宋体" w:cs="宋体"/>
                <w:sz w:val="24"/>
                <w:szCs w:val="24"/>
              </w:rPr>
            </w:pPr>
            <w:r>
              <w:rPr>
                <w:rFonts w:hint="eastAsia" w:ascii="宋体" w:hAnsi="宋体" w:eastAsia="宋体" w:cs="宋体"/>
                <w:sz w:val="24"/>
                <w:szCs w:val="24"/>
              </w:rPr>
              <w:t>合价（元）</w:t>
            </w:r>
          </w:p>
        </w:tc>
        <w:tc>
          <w:tcPr>
            <w:tcW w:w="696" w:type="dxa"/>
            <w:vAlign w:val="center"/>
          </w:tcPr>
          <w:p>
            <w:pPr>
              <w:jc w:val="center"/>
              <w:rPr>
                <w:rFonts w:ascii="宋体" w:hAnsi="宋体" w:eastAsia="宋体" w:cs="宋体"/>
                <w:sz w:val="24"/>
                <w:szCs w:val="24"/>
              </w:rPr>
            </w:pPr>
            <w:r>
              <w:rPr>
                <w:rFonts w:hint="eastAsia" w:ascii="宋体" w:hAnsi="宋体" w:eastAsia="宋体" w:cs="宋体"/>
                <w:sz w:val="24"/>
                <w:szCs w:val="24"/>
              </w:rPr>
              <w:t>制造商</w:t>
            </w:r>
          </w:p>
        </w:tc>
        <w:tc>
          <w:tcPr>
            <w:tcW w:w="750" w:type="dxa"/>
            <w:vAlign w:val="center"/>
          </w:tcPr>
          <w:p>
            <w:pPr>
              <w:jc w:val="center"/>
              <w:rPr>
                <w:rFonts w:ascii="宋体" w:hAnsi="宋体" w:eastAsia="宋体" w:cs="宋体"/>
                <w:sz w:val="24"/>
                <w:szCs w:val="24"/>
              </w:rPr>
            </w:pPr>
            <w:r>
              <w:rPr>
                <w:rFonts w:hint="eastAsia" w:ascii="宋体" w:hAnsi="宋体" w:eastAsia="宋体" w:cs="宋体"/>
                <w:sz w:val="24"/>
                <w:szCs w:val="24"/>
              </w:rPr>
              <w:t>品牌</w:t>
            </w:r>
          </w:p>
        </w:tc>
        <w:tc>
          <w:tcPr>
            <w:tcW w:w="954" w:type="dxa"/>
            <w:vAlign w:val="center"/>
          </w:tcPr>
          <w:p>
            <w:pPr>
              <w:jc w:val="center"/>
              <w:rPr>
                <w:rFonts w:ascii="宋体" w:hAnsi="宋体" w:eastAsia="宋体" w:cs="宋体"/>
                <w:sz w:val="24"/>
                <w:szCs w:val="24"/>
              </w:rPr>
            </w:pPr>
            <w:r>
              <w:rPr>
                <w:rFonts w:hint="eastAsia" w:ascii="宋体" w:hAnsi="宋体" w:eastAsia="宋体" w:cs="宋体"/>
                <w:sz w:val="24"/>
                <w:szCs w:val="24"/>
              </w:rPr>
              <w:t>规格型号</w:t>
            </w:r>
          </w:p>
        </w:tc>
        <w:tc>
          <w:tcPr>
            <w:tcW w:w="969" w:type="dxa"/>
            <w:vAlign w:val="center"/>
          </w:tcPr>
          <w:p>
            <w:pPr>
              <w:jc w:val="center"/>
              <w:rPr>
                <w:rFonts w:ascii="宋体" w:hAnsi="宋体" w:eastAsia="宋体" w:cs="宋体"/>
                <w:sz w:val="24"/>
                <w:szCs w:val="24"/>
              </w:rPr>
            </w:pPr>
            <w:r>
              <w:rPr>
                <w:rFonts w:hint="eastAsia" w:ascii="宋体" w:hAnsi="宋体" w:eastAsia="宋体" w:cs="宋体"/>
                <w:sz w:val="24"/>
                <w:szCs w:val="24"/>
              </w:rPr>
              <w:t>是否属于小、微企业产品</w:t>
            </w:r>
          </w:p>
        </w:tc>
        <w:tc>
          <w:tcPr>
            <w:tcW w:w="1156" w:type="dxa"/>
            <w:vAlign w:val="center"/>
          </w:tcPr>
          <w:p>
            <w:pPr>
              <w:jc w:val="center"/>
              <w:rPr>
                <w:rFonts w:ascii="宋体" w:hAnsi="宋体" w:eastAsia="宋体" w:cs="宋体"/>
                <w:sz w:val="24"/>
                <w:szCs w:val="24"/>
              </w:rPr>
            </w:pPr>
            <w:r>
              <w:rPr>
                <w:rFonts w:hint="eastAsia" w:ascii="宋体" w:hAnsi="宋体" w:eastAsia="宋体" w:cs="宋体"/>
                <w:sz w:val="24"/>
                <w:szCs w:val="24"/>
              </w:rPr>
              <w:t>是否属于监狱或残疾人福利性单位产品</w:t>
            </w:r>
          </w:p>
        </w:tc>
        <w:tc>
          <w:tcPr>
            <w:tcW w:w="765" w:type="dxa"/>
            <w:vAlign w:val="center"/>
          </w:tcPr>
          <w:p>
            <w:pPr>
              <w:jc w:val="center"/>
              <w:rPr>
                <w:rFonts w:ascii="宋体" w:hAnsi="宋体" w:eastAsia="宋体" w:cs="宋体"/>
                <w:sz w:val="24"/>
                <w:szCs w:val="24"/>
              </w:rPr>
            </w:pPr>
            <w:r>
              <w:rPr>
                <w:rFonts w:hint="eastAsia" w:ascii="宋体" w:hAnsi="宋体" w:eastAsia="宋体" w:cs="宋体"/>
                <w:sz w:val="24"/>
                <w:szCs w:val="24"/>
              </w:rPr>
              <w:t>是否属于节能、环保产品</w:t>
            </w:r>
          </w:p>
        </w:tc>
        <w:tc>
          <w:tcPr>
            <w:tcW w:w="759" w:type="dxa"/>
            <w:vAlign w:val="center"/>
          </w:tcPr>
          <w:p>
            <w:pPr>
              <w:jc w:val="center"/>
              <w:rPr>
                <w:rFonts w:ascii="宋体" w:hAnsi="宋体" w:eastAsia="宋体" w:cs="宋体"/>
                <w:sz w:val="24"/>
                <w:szCs w:val="24"/>
              </w:rPr>
            </w:pPr>
            <w:r>
              <w:rPr>
                <w:rFonts w:hint="eastAsia" w:ascii="宋体" w:hAnsi="宋体" w:eastAsia="宋体" w:cs="宋体"/>
                <w:sz w:val="24"/>
                <w:szCs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1</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2</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3</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4</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5</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6</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377" w:type="dxa"/>
          </w:tcPr>
          <w:p>
            <w:pPr>
              <w:spacing w:line="460" w:lineRule="exact"/>
              <w:jc w:val="center"/>
              <w:rPr>
                <w:rFonts w:ascii="宋体" w:hAnsi="宋体" w:eastAsia="宋体" w:cs="宋体"/>
                <w:sz w:val="24"/>
                <w:szCs w:val="24"/>
              </w:rPr>
            </w:pPr>
            <w:r>
              <w:rPr>
                <w:rFonts w:hint="eastAsia" w:ascii="宋体" w:hAnsi="宋体" w:eastAsia="宋体" w:cs="宋体"/>
                <w:sz w:val="24"/>
                <w:szCs w:val="24"/>
              </w:rPr>
              <w:t>…</w:t>
            </w:r>
          </w:p>
        </w:tc>
        <w:tc>
          <w:tcPr>
            <w:tcW w:w="777" w:type="dxa"/>
          </w:tcPr>
          <w:p>
            <w:pPr>
              <w:spacing w:line="460" w:lineRule="exact"/>
              <w:rPr>
                <w:rFonts w:ascii="宋体" w:hAnsi="宋体" w:eastAsia="宋体" w:cs="宋体"/>
                <w:sz w:val="24"/>
                <w:szCs w:val="24"/>
              </w:rPr>
            </w:pPr>
          </w:p>
        </w:tc>
        <w:tc>
          <w:tcPr>
            <w:tcW w:w="737" w:type="dxa"/>
          </w:tcPr>
          <w:p>
            <w:pPr>
              <w:spacing w:line="460" w:lineRule="exact"/>
              <w:rPr>
                <w:rFonts w:ascii="宋体" w:hAnsi="宋体" w:eastAsia="宋体" w:cs="宋体"/>
                <w:sz w:val="24"/>
                <w:szCs w:val="24"/>
              </w:rPr>
            </w:pPr>
          </w:p>
        </w:tc>
        <w:tc>
          <w:tcPr>
            <w:tcW w:w="681"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913" w:type="dxa"/>
          </w:tcPr>
          <w:p>
            <w:pPr>
              <w:spacing w:line="460" w:lineRule="exact"/>
              <w:rPr>
                <w:rFonts w:ascii="宋体" w:hAnsi="宋体" w:eastAsia="宋体" w:cs="宋体"/>
                <w:sz w:val="24"/>
                <w:szCs w:val="24"/>
              </w:rPr>
            </w:pPr>
          </w:p>
        </w:tc>
        <w:tc>
          <w:tcPr>
            <w:tcW w:w="696" w:type="dxa"/>
          </w:tcPr>
          <w:p>
            <w:pPr>
              <w:spacing w:line="460" w:lineRule="exact"/>
              <w:rPr>
                <w:rFonts w:ascii="宋体" w:hAnsi="宋体" w:eastAsia="宋体" w:cs="宋体"/>
                <w:sz w:val="24"/>
                <w:szCs w:val="24"/>
              </w:rPr>
            </w:pPr>
          </w:p>
        </w:tc>
        <w:tc>
          <w:tcPr>
            <w:tcW w:w="750" w:type="dxa"/>
          </w:tcPr>
          <w:p>
            <w:pPr>
              <w:spacing w:line="460" w:lineRule="exact"/>
              <w:rPr>
                <w:rFonts w:ascii="宋体" w:hAnsi="宋体" w:eastAsia="宋体" w:cs="宋体"/>
                <w:sz w:val="24"/>
                <w:szCs w:val="24"/>
              </w:rPr>
            </w:pPr>
          </w:p>
        </w:tc>
        <w:tc>
          <w:tcPr>
            <w:tcW w:w="954" w:type="dxa"/>
          </w:tcPr>
          <w:p>
            <w:pPr>
              <w:spacing w:line="460" w:lineRule="exact"/>
              <w:rPr>
                <w:rFonts w:ascii="宋体" w:hAnsi="宋体" w:eastAsia="宋体" w:cs="宋体"/>
                <w:sz w:val="24"/>
                <w:szCs w:val="24"/>
              </w:rPr>
            </w:pPr>
          </w:p>
        </w:tc>
        <w:tc>
          <w:tcPr>
            <w:tcW w:w="969" w:type="dxa"/>
          </w:tcPr>
          <w:p>
            <w:pPr>
              <w:spacing w:line="460" w:lineRule="exact"/>
              <w:rPr>
                <w:rFonts w:ascii="宋体" w:hAnsi="宋体" w:eastAsia="宋体" w:cs="宋体"/>
                <w:sz w:val="24"/>
                <w:szCs w:val="24"/>
              </w:rPr>
            </w:pPr>
          </w:p>
        </w:tc>
        <w:tc>
          <w:tcPr>
            <w:tcW w:w="1156" w:type="dxa"/>
          </w:tcPr>
          <w:p>
            <w:pPr>
              <w:spacing w:line="460" w:lineRule="exact"/>
              <w:rPr>
                <w:rFonts w:ascii="宋体" w:hAnsi="宋体" w:eastAsia="宋体" w:cs="宋体"/>
                <w:sz w:val="24"/>
                <w:szCs w:val="24"/>
              </w:rPr>
            </w:pPr>
          </w:p>
        </w:tc>
        <w:tc>
          <w:tcPr>
            <w:tcW w:w="765" w:type="dxa"/>
          </w:tcPr>
          <w:p>
            <w:pPr>
              <w:spacing w:line="460" w:lineRule="exact"/>
              <w:rPr>
                <w:rFonts w:ascii="宋体" w:hAnsi="宋体" w:eastAsia="宋体" w:cs="宋体"/>
                <w:sz w:val="24"/>
                <w:szCs w:val="24"/>
              </w:rPr>
            </w:pPr>
          </w:p>
        </w:tc>
        <w:tc>
          <w:tcPr>
            <w:tcW w:w="759" w:type="dxa"/>
          </w:tcPr>
          <w:p>
            <w:pPr>
              <w:spacing w:line="460" w:lineRule="exact"/>
              <w:rPr>
                <w:rFonts w:ascii="宋体" w:hAnsi="宋体" w:eastAsia="宋体" w:cs="宋体"/>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877" w:type="dxa"/>
            <w:gridSpan w:val="7"/>
          </w:tcPr>
          <w:p>
            <w:pPr>
              <w:spacing w:line="460" w:lineRule="exact"/>
              <w:rPr>
                <w:rFonts w:ascii="宋体" w:hAnsi="宋体" w:eastAsia="宋体" w:cs="宋体"/>
                <w:sz w:val="24"/>
                <w:szCs w:val="24"/>
              </w:rPr>
            </w:pPr>
            <w:r>
              <w:rPr>
                <w:rFonts w:hint="eastAsia" w:ascii="宋体" w:hAnsi="宋体" w:eastAsia="宋体" w:cs="宋体"/>
                <w:sz w:val="24"/>
                <w:szCs w:val="24"/>
              </w:rPr>
              <w:t>总价（人民币元）：</w:t>
            </w:r>
            <w:r>
              <w:rPr>
                <w:rFonts w:hint="eastAsia" w:ascii="宋体" w:hAnsi="宋体" w:eastAsia="宋体" w:cs="宋体"/>
                <w:i/>
                <w:iCs/>
                <w:sz w:val="24"/>
                <w:szCs w:val="24"/>
                <w:u w:val="single"/>
              </w:rPr>
              <w:t>（大写）</w:t>
            </w:r>
          </w:p>
        </w:tc>
        <w:tc>
          <w:tcPr>
            <w:tcW w:w="5353" w:type="dxa"/>
            <w:gridSpan w:val="6"/>
          </w:tcPr>
          <w:p>
            <w:pPr>
              <w:spacing w:line="460" w:lineRule="exact"/>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i/>
                <w:iCs/>
                <w:sz w:val="24"/>
                <w:szCs w:val="24"/>
                <w:u w:val="single"/>
              </w:rPr>
              <w:t>（小写）</w:t>
            </w:r>
          </w:p>
        </w:tc>
      </w:tr>
    </w:tbl>
    <w:p>
      <w:pPr>
        <w:rPr>
          <w:rFonts w:ascii="宋体" w:hAnsi="宋体" w:eastAsia="宋体" w:cs="宋体"/>
          <w:sz w:val="24"/>
          <w:szCs w:val="24"/>
        </w:rPr>
      </w:pPr>
      <w:r>
        <w:rPr>
          <w:rFonts w:hint="eastAsia" w:ascii="宋体" w:hAnsi="宋体" w:eastAsia="宋体" w:cs="宋体"/>
          <w:sz w:val="24"/>
          <w:szCs w:val="24"/>
        </w:rPr>
        <w:t>注：1、小、微企业产品、监狱或残疾人福利性单位产品须在明细表中注明，并在投标文件中提供相应证明材料，否则产生的一切后果由投标人承担。</w:t>
      </w:r>
    </w:p>
    <w:p>
      <w:pPr>
        <w:rPr>
          <w:rFonts w:ascii="宋体" w:hAnsi="宋体" w:eastAsia="宋体" w:cs="宋体"/>
          <w:sz w:val="24"/>
          <w:szCs w:val="24"/>
        </w:rPr>
      </w:pPr>
      <w:r>
        <w:rPr>
          <w:rFonts w:hint="eastAsia" w:ascii="宋体" w:hAnsi="宋体" w:eastAsia="宋体" w:cs="宋体"/>
          <w:sz w:val="24"/>
          <w:szCs w:val="24"/>
        </w:rPr>
        <w:t>2、节能、环保产品需备注注明，属于《节能产品政府采购品目清单》、《环境标志产品政府采购品目清单》的产品，供应商需提供所在清单页的扫描件或网页截图，并提供证书扫描件（供货时随货提供）。（文件另有规定的从其规定）（不属于节能、环保产品的不需提供）</w:t>
      </w:r>
    </w:p>
    <w:p>
      <w:pPr>
        <w:rPr>
          <w:rFonts w:ascii="宋体" w:hAnsi="宋体" w:eastAsia="宋体" w:cs="宋体"/>
          <w:sz w:val="24"/>
          <w:szCs w:val="24"/>
        </w:rPr>
      </w:pPr>
      <w:r>
        <w:rPr>
          <w:rFonts w:hint="eastAsia" w:ascii="宋体" w:hAnsi="宋体" w:eastAsia="宋体" w:cs="宋体"/>
          <w:sz w:val="24"/>
          <w:szCs w:val="24"/>
        </w:rPr>
        <w:t>3、招标文件对节能、环保产品另有规定的从其规定。</w:t>
      </w: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投标人代表签字:</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tabs>
          <w:tab w:val="left" w:pos="654"/>
          <w:tab w:val="left" w:pos="1734"/>
          <w:tab w:val="left" w:pos="2814"/>
          <w:tab w:val="left" w:pos="3894"/>
          <w:tab w:val="left" w:pos="5334"/>
          <w:tab w:val="left" w:pos="6414"/>
          <w:tab w:val="left" w:pos="7254"/>
          <w:tab w:val="left" w:pos="8574"/>
          <w:tab w:val="left" w:pos="9654"/>
        </w:tabs>
        <w:spacing w:line="360" w:lineRule="auto"/>
        <w:rPr>
          <w:rFonts w:ascii="宋体" w:hAnsi="宋体" w:eastAsia="宋体" w:cs="宋体"/>
          <w:sz w:val="24"/>
          <w:szCs w:val="24"/>
        </w:rPr>
      </w:pPr>
    </w:p>
    <w:p>
      <w:pPr>
        <w:spacing w:line="360" w:lineRule="auto"/>
        <w:rPr>
          <w:rFonts w:ascii="宋体" w:hAnsi="宋体" w:eastAsia="宋体" w:cs="宋体"/>
          <w:sz w:val="24"/>
          <w:szCs w:val="24"/>
          <w:u w:val="single"/>
        </w:rPr>
      </w:pPr>
      <w:r>
        <w:rPr>
          <w:rFonts w:hint="eastAsia" w:ascii="宋体" w:hAnsi="宋体" w:eastAsia="宋体" w:cs="宋体"/>
          <w:sz w:val="24"/>
          <w:szCs w:val="24"/>
        </w:rPr>
        <w:t>单位盖章：</w:t>
      </w:r>
      <w:r>
        <w:rPr>
          <w:rFonts w:hint="eastAsia" w:ascii="宋体" w:hAnsi="宋体" w:eastAsia="宋体" w:cs="宋体"/>
          <w:sz w:val="24"/>
          <w:szCs w:val="24"/>
          <w:u w:val="single"/>
        </w:rPr>
        <w:t xml:space="preserve">                             </w:t>
      </w:r>
    </w:p>
    <w:p>
      <w:pPr>
        <w:spacing w:line="360" w:lineRule="auto"/>
        <w:jc w:val="center"/>
        <w:outlineLvl w:val="1"/>
        <w:rPr>
          <w:rFonts w:ascii="宋体" w:hAnsi="宋体" w:eastAsia="宋体" w:cs="宋体"/>
          <w:b/>
          <w:sz w:val="24"/>
          <w:szCs w:val="24"/>
        </w:rPr>
      </w:pPr>
    </w:p>
    <w:p>
      <w:pPr>
        <w:spacing w:line="360" w:lineRule="auto"/>
        <w:jc w:val="center"/>
        <w:outlineLvl w:val="1"/>
        <w:rPr>
          <w:rFonts w:ascii="宋体" w:hAnsi="宋体" w:eastAsia="宋体" w:cs="宋体"/>
          <w:b/>
          <w:sz w:val="24"/>
          <w:szCs w:val="24"/>
        </w:rPr>
      </w:pPr>
    </w:p>
    <w:p>
      <w:pPr>
        <w:spacing w:line="360" w:lineRule="auto"/>
        <w:jc w:val="center"/>
        <w:outlineLvl w:val="1"/>
        <w:rPr>
          <w:rFonts w:ascii="宋体" w:hAnsi="宋体" w:eastAsia="宋体" w:cs="宋体"/>
          <w:b/>
          <w:sz w:val="24"/>
          <w:szCs w:val="24"/>
        </w:rPr>
      </w:pPr>
    </w:p>
    <w:p>
      <w:pPr>
        <w:spacing w:line="360" w:lineRule="auto"/>
        <w:jc w:val="center"/>
        <w:outlineLvl w:val="1"/>
        <w:rPr>
          <w:rFonts w:ascii="宋体" w:hAnsi="宋体" w:eastAsia="宋体" w:cs="宋体"/>
          <w:b/>
          <w:sz w:val="24"/>
          <w:szCs w:val="24"/>
        </w:rPr>
      </w:pPr>
    </w:p>
    <w:p>
      <w:pPr>
        <w:rPr>
          <w:rFonts w:ascii="宋体" w:hAnsi="宋体" w:eastAsia="宋体" w:cs="宋体"/>
          <w:b/>
          <w:sz w:val="24"/>
          <w:szCs w:val="21"/>
        </w:rPr>
      </w:pPr>
    </w:p>
    <w:p>
      <w:pPr>
        <w:rPr>
          <w:rFonts w:ascii="宋体" w:hAnsi="宋体" w:eastAsia="宋体" w:cs="宋体"/>
          <w:b/>
          <w:sz w:val="24"/>
          <w:szCs w:val="21"/>
        </w:rPr>
      </w:pPr>
    </w:p>
    <w:p>
      <w:pPr>
        <w:rPr>
          <w:rFonts w:ascii="宋体" w:hAnsi="宋体" w:eastAsia="宋体" w:cs="宋体"/>
          <w:b/>
          <w:sz w:val="24"/>
          <w:szCs w:val="21"/>
        </w:rPr>
      </w:pPr>
    </w:p>
    <w:p>
      <w:pPr>
        <w:autoSpaceDE w:val="0"/>
        <w:autoSpaceDN w:val="0"/>
        <w:adjustRightInd w:val="0"/>
        <w:jc w:val="left"/>
        <w:rPr>
          <w:rFonts w:ascii="宋体" w:hAnsi="Times New Roman" w:eastAsia="宋体" w:cs="Times New Roman"/>
          <w:kern w:val="0"/>
          <w:sz w:val="28"/>
          <w:szCs w:val="20"/>
        </w:rPr>
      </w:pPr>
    </w:p>
    <w:p>
      <w:pPr>
        <w:spacing w:line="360" w:lineRule="auto"/>
        <w:jc w:val="center"/>
        <w:outlineLvl w:val="1"/>
        <w:rPr>
          <w:rFonts w:ascii="宋体" w:hAnsi="宋体" w:eastAsia="宋体" w:cs="宋体"/>
          <w:b/>
          <w:sz w:val="28"/>
          <w:szCs w:val="28"/>
        </w:rPr>
      </w:pPr>
      <w:bookmarkStart w:id="117" w:name="_Toc155100552"/>
      <w:r>
        <w:rPr>
          <w:rFonts w:hint="eastAsia" w:ascii="宋体" w:hAnsi="宋体" w:eastAsia="宋体" w:cs="宋体"/>
          <w:b/>
          <w:sz w:val="28"/>
          <w:szCs w:val="28"/>
        </w:rPr>
        <w:t>4.技术响应、偏离说明表</w:t>
      </w:r>
      <w:bookmarkEnd w:id="117"/>
    </w:p>
    <w:p>
      <w:pPr>
        <w:spacing w:line="360" w:lineRule="auto"/>
        <w:ind w:firstLine="720" w:firstLineChars="300"/>
        <w:rPr>
          <w:rFonts w:ascii="宋体" w:hAnsi="宋体" w:eastAsia="宋体" w:cs="宋体"/>
          <w:sz w:val="24"/>
          <w:szCs w:val="24"/>
        </w:rPr>
      </w:pPr>
    </w:p>
    <w:p>
      <w:pPr>
        <w:spacing w:line="360" w:lineRule="auto"/>
        <w:rPr>
          <w:rFonts w:ascii="宋体" w:hAnsi="宋体" w:eastAsia="宋体" w:cs="宋体"/>
          <w:sz w:val="24"/>
          <w:szCs w:val="24"/>
          <w:u w:val="single"/>
        </w:rPr>
      </w:pPr>
      <w:r>
        <w:rPr>
          <w:rFonts w:hint="eastAsia" w:ascii="宋体" w:hAnsi="宋体" w:eastAsia="宋体" w:cs="宋体"/>
          <w:sz w:val="24"/>
          <w:szCs w:val="24"/>
        </w:rPr>
        <w:t>投标人名称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项目编号</w:t>
      </w:r>
      <w:r>
        <w:rPr>
          <w:rFonts w:hint="eastAsia" w:ascii="宋体" w:hAnsi="宋体" w:eastAsia="宋体" w:cs="宋体"/>
          <w:b/>
          <w:sz w:val="24"/>
          <w:szCs w:val="24"/>
          <w:u w:val="single"/>
        </w:rPr>
        <w:t xml:space="preserve">            </w:t>
      </w:r>
    </w:p>
    <w:tbl>
      <w:tblPr>
        <w:tblStyle w:val="40"/>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750"/>
        <w:gridCol w:w="2127"/>
        <w:gridCol w:w="2125"/>
        <w:gridCol w:w="1421"/>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907"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1750" w:type="dxa"/>
            <w:vAlign w:val="center"/>
          </w:tcPr>
          <w:p>
            <w:pPr>
              <w:jc w:val="center"/>
              <w:rPr>
                <w:rFonts w:ascii="宋体" w:hAnsi="宋体" w:eastAsia="宋体" w:cs="宋体"/>
                <w:sz w:val="24"/>
                <w:szCs w:val="24"/>
              </w:rPr>
            </w:pPr>
            <w:r>
              <w:rPr>
                <w:rFonts w:hint="eastAsia" w:ascii="宋体" w:hAnsi="宋体" w:eastAsia="宋体" w:cs="宋体"/>
                <w:sz w:val="24"/>
                <w:szCs w:val="24"/>
              </w:rPr>
              <w:t>招标文件条目号</w:t>
            </w:r>
          </w:p>
        </w:tc>
        <w:tc>
          <w:tcPr>
            <w:tcW w:w="2127" w:type="dxa"/>
            <w:vAlign w:val="center"/>
          </w:tcPr>
          <w:p>
            <w:pPr>
              <w:jc w:val="center"/>
              <w:rPr>
                <w:rFonts w:ascii="宋体" w:hAnsi="宋体" w:eastAsia="宋体" w:cs="宋体"/>
                <w:sz w:val="24"/>
                <w:szCs w:val="24"/>
              </w:rPr>
            </w:pPr>
            <w:r>
              <w:rPr>
                <w:rFonts w:hint="eastAsia" w:ascii="宋体" w:hAnsi="宋体" w:eastAsia="宋体" w:cs="宋体"/>
                <w:sz w:val="24"/>
                <w:szCs w:val="24"/>
              </w:rPr>
              <w:t>招标文件的技术规格</w:t>
            </w:r>
          </w:p>
        </w:tc>
        <w:tc>
          <w:tcPr>
            <w:tcW w:w="2125" w:type="dxa"/>
            <w:vAlign w:val="center"/>
          </w:tcPr>
          <w:p>
            <w:pPr>
              <w:jc w:val="center"/>
              <w:rPr>
                <w:rFonts w:ascii="宋体" w:hAnsi="宋体" w:eastAsia="宋体" w:cs="宋体"/>
                <w:sz w:val="24"/>
                <w:szCs w:val="24"/>
              </w:rPr>
            </w:pPr>
            <w:r>
              <w:rPr>
                <w:rFonts w:hint="eastAsia" w:ascii="宋体" w:hAnsi="宋体" w:eastAsia="宋体" w:cs="宋体"/>
                <w:sz w:val="24"/>
                <w:szCs w:val="24"/>
              </w:rPr>
              <w:t>投标文件的技术规格</w:t>
            </w:r>
          </w:p>
        </w:tc>
        <w:tc>
          <w:tcPr>
            <w:tcW w:w="1421" w:type="dxa"/>
            <w:vAlign w:val="center"/>
          </w:tcPr>
          <w:p>
            <w:pPr>
              <w:jc w:val="center"/>
              <w:rPr>
                <w:rFonts w:ascii="宋体" w:hAnsi="宋体" w:eastAsia="宋体" w:cs="宋体"/>
                <w:sz w:val="24"/>
                <w:szCs w:val="24"/>
              </w:rPr>
            </w:pPr>
            <w:r>
              <w:rPr>
                <w:rFonts w:hint="eastAsia" w:ascii="宋体" w:hAnsi="宋体" w:eastAsia="宋体" w:cs="宋体"/>
                <w:sz w:val="24"/>
                <w:szCs w:val="24"/>
              </w:rPr>
              <w:t>响应/偏离</w:t>
            </w:r>
          </w:p>
        </w:tc>
        <w:tc>
          <w:tcPr>
            <w:tcW w:w="957" w:type="dxa"/>
            <w:vAlign w:val="center"/>
          </w:tcPr>
          <w:p>
            <w:pPr>
              <w:jc w:val="center"/>
              <w:rPr>
                <w:rFonts w:ascii="宋体" w:hAnsi="宋体" w:eastAsia="宋体" w:cs="宋体"/>
                <w:sz w:val="24"/>
                <w:szCs w:val="24"/>
              </w:rPr>
            </w:pPr>
            <w:r>
              <w:rPr>
                <w:rFonts w:hint="eastAsia" w:ascii="宋体" w:hAnsi="宋体" w:eastAsia="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bl>
    <w:p>
      <w:pPr>
        <w:spacing w:line="360" w:lineRule="auto"/>
        <w:rPr>
          <w:rFonts w:ascii="宋体" w:hAnsi="宋体" w:eastAsia="宋体" w:cs="宋体"/>
          <w:b/>
          <w:bCs/>
          <w:sz w:val="24"/>
          <w:szCs w:val="24"/>
        </w:rPr>
      </w:pPr>
      <w:r>
        <w:rPr>
          <w:rFonts w:hint="eastAsia" w:ascii="宋体" w:hAnsi="宋体" w:eastAsia="宋体" w:cs="宋体"/>
          <w:b/>
          <w:bCs/>
          <w:sz w:val="24"/>
          <w:szCs w:val="24"/>
        </w:rPr>
        <w:t>注：1、招标文件技术要求见第二章“技术要求”；</w:t>
      </w:r>
    </w:p>
    <w:p>
      <w:pPr>
        <w:spacing w:line="360" w:lineRule="auto"/>
        <w:rPr>
          <w:rFonts w:ascii="宋体" w:hAnsi="宋体" w:eastAsia="宋体" w:cs="宋体"/>
          <w:b/>
          <w:bCs/>
          <w:sz w:val="24"/>
          <w:szCs w:val="24"/>
        </w:rPr>
      </w:pPr>
      <w:r>
        <w:rPr>
          <w:rFonts w:hint="eastAsia" w:ascii="宋体" w:hAnsi="宋体" w:eastAsia="宋体" w:cs="宋体"/>
          <w:b/>
          <w:bCs/>
          <w:sz w:val="24"/>
          <w:szCs w:val="24"/>
        </w:rPr>
        <w:t>2、供应商应对照招标文件技术要求，必须逐条说明所提供产品已对招标文件的技术要求做出了响应或偏离。</w:t>
      </w:r>
    </w:p>
    <w:p>
      <w:pPr>
        <w:spacing w:line="360" w:lineRule="auto"/>
        <w:rPr>
          <w:rFonts w:ascii="宋体" w:hAnsi="宋体" w:eastAsia="宋体" w:cs="宋体"/>
          <w:b/>
          <w:bCs/>
          <w:sz w:val="24"/>
          <w:szCs w:val="24"/>
        </w:rPr>
      </w:pPr>
      <w:r>
        <w:rPr>
          <w:rFonts w:hint="eastAsia" w:ascii="宋体" w:hAnsi="宋体" w:eastAsia="宋体" w:cs="宋体"/>
          <w:b/>
          <w:bCs/>
          <w:sz w:val="24"/>
          <w:szCs w:val="24"/>
        </w:rPr>
        <w:t>3、供应商所投产品如与招标文件技术要求的规格及配置不一致，则需在上表说明栏中注明。</w:t>
      </w:r>
    </w:p>
    <w:p>
      <w:pPr>
        <w:spacing w:line="360" w:lineRule="auto"/>
        <w:rPr>
          <w:rFonts w:ascii="宋体" w:hAnsi="宋体" w:eastAsia="宋体" w:cs="宋体"/>
          <w:b/>
          <w:bCs/>
          <w:sz w:val="24"/>
          <w:szCs w:val="24"/>
        </w:rPr>
      </w:pPr>
      <w:r>
        <w:rPr>
          <w:rFonts w:hint="eastAsia" w:ascii="宋体" w:hAnsi="宋体" w:eastAsia="宋体" w:cs="宋体"/>
          <w:b/>
          <w:bCs/>
          <w:sz w:val="24"/>
          <w:szCs w:val="24"/>
        </w:rPr>
        <w:t>4、栏数不够可增加，如不按要求填写，可能导致投标无效，由此产生的一切后果由供应商负责。</w:t>
      </w:r>
    </w:p>
    <w:p>
      <w:pPr>
        <w:spacing w:line="360" w:lineRule="auto"/>
        <w:rPr>
          <w:rFonts w:ascii="宋体" w:hAnsi="宋体" w:eastAsia="宋体" w:cs="宋体"/>
          <w:sz w:val="24"/>
          <w:szCs w:val="24"/>
          <w:u w:val="single"/>
        </w:rPr>
      </w:pPr>
      <w:r>
        <w:rPr>
          <w:rFonts w:hint="eastAsia" w:ascii="宋体" w:hAnsi="宋体" w:eastAsia="宋体" w:cs="宋体"/>
          <w:sz w:val="24"/>
          <w:szCs w:val="24"/>
        </w:rPr>
        <w:t>投标人代表签字:</w:t>
      </w:r>
      <w:r>
        <w:rPr>
          <w:rFonts w:hint="eastAsia" w:ascii="宋体" w:hAnsi="宋体" w:eastAsia="宋体" w:cs="宋体"/>
          <w:sz w:val="24"/>
          <w:szCs w:val="24"/>
          <w:u w:val="single"/>
        </w:rPr>
        <w:t xml:space="preserve">                        </w:t>
      </w:r>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sectPr>
          <w:pgSz w:w="11907" w:h="16840"/>
          <w:pgMar w:top="1417" w:right="1000" w:bottom="1417" w:left="1247" w:header="851" w:footer="992" w:gutter="0"/>
          <w:cols w:space="0" w:num="1"/>
          <w:titlePg/>
          <w:docGrid w:linePitch="462" w:charSpace="0"/>
        </w:sectPr>
      </w:pPr>
      <w:r>
        <w:rPr>
          <w:rFonts w:hint="eastAsia" w:ascii="宋体" w:hAnsi="宋体" w:eastAsia="宋体" w:cs="宋体"/>
          <w:sz w:val="24"/>
          <w:szCs w:val="24"/>
        </w:rPr>
        <w:t>单位盖章：</w:t>
      </w:r>
      <w:r>
        <w:rPr>
          <w:rFonts w:hint="eastAsia" w:ascii="宋体" w:hAnsi="宋体" w:eastAsia="宋体" w:cs="宋体"/>
          <w:sz w:val="24"/>
          <w:szCs w:val="24"/>
          <w:u w:val="single"/>
        </w:rPr>
        <w:t xml:space="preserve">                </w:t>
      </w:r>
    </w:p>
    <w:p>
      <w:pPr>
        <w:spacing w:line="360" w:lineRule="auto"/>
        <w:jc w:val="center"/>
        <w:outlineLvl w:val="1"/>
        <w:rPr>
          <w:rFonts w:ascii="宋体" w:hAnsi="宋体" w:eastAsia="宋体" w:cs="宋体"/>
          <w:b/>
          <w:sz w:val="28"/>
          <w:szCs w:val="28"/>
        </w:rPr>
      </w:pPr>
      <w:bookmarkStart w:id="118" w:name="_Toc155100553"/>
      <w:r>
        <w:rPr>
          <w:rFonts w:hint="eastAsia" w:ascii="宋体" w:hAnsi="宋体" w:eastAsia="宋体" w:cs="宋体"/>
          <w:b/>
          <w:sz w:val="28"/>
          <w:szCs w:val="28"/>
        </w:rPr>
        <w:t>5.商务响应、偏离说明表</w:t>
      </w:r>
      <w:bookmarkEnd w:id="118"/>
    </w:p>
    <w:p>
      <w:pPr>
        <w:spacing w:line="360" w:lineRule="auto"/>
        <w:jc w:val="center"/>
        <w:outlineLvl w:val="1"/>
        <w:rPr>
          <w:rFonts w:ascii="宋体" w:hAnsi="宋体" w:eastAsia="宋体" w:cs="宋体"/>
          <w:b/>
          <w:sz w:val="24"/>
          <w:szCs w:val="24"/>
        </w:rPr>
      </w:pPr>
    </w:p>
    <w:p>
      <w:pPr>
        <w:spacing w:line="480" w:lineRule="auto"/>
        <w:rPr>
          <w:rFonts w:ascii="宋体" w:hAnsi="宋体" w:eastAsia="宋体" w:cs="宋体"/>
          <w:sz w:val="24"/>
          <w:szCs w:val="24"/>
          <w:u w:val="single"/>
        </w:rPr>
      </w:pPr>
      <w:r>
        <w:rPr>
          <w:rFonts w:hint="eastAsia" w:ascii="宋体" w:hAnsi="宋体" w:eastAsia="宋体" w:cs="宋体"/>
          <w:sz w:val="24"/>
          <w:szCs w:val="24"/>
        </w:rPr>
        <w:t>投标人名称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项目编号</w:t>
      </w:r>
      <w:r>
        <w:rPr>
          <w:rFonts w:hint="eastAsia" w:ascii="宋体" w:hAnsi="宋体" w:eastAsia="宋体" w:cs="宋体"/>
          <w:b/>
          <w:sz w:val="24"/>
          <w:szCs w:val="24"/>
          <w:u w:val="single"/>
        </w:rPr>
        <w:t xml:space="preserve">           </w:t>
      </w:r>
      <w:r>
        <w:rPr>
          <w:rFonts w:hint="eastAsia" w:ascii="宋体" w:hAnsi="宋体" w:eastAsia="宋体" w:cs="宋体"/>
          <w:b/>
          <w:sz w:val="24"/>
          <w:szCs w:val="24"/>
        </w:rPr>
        <w:t xml:space="preserve">   </w:t>
      </w:r>
    </w:p>
    <w:tbl>
      <w:tblPr>
        <w:tblStyle w:val="40"/>
        <w:tblW w:w="928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750"/>
        <w:gridCol w:w="2127"/>
        <w:gridCol w:w="2125"/>
        <w:gridCol w:w="1421"/>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5" w:hRule="atLeast"/>
          <w:jc w:val="center"/>
        </w:trPr>
        <w:tc>
          <w:tcPr>
            <w:tcW w:w="907" w:type="dxa"/>
            <w:vAlign w:val="center"/>
          </w:tcPr>
          <w:p>
            <w:pPr>
              <w:jc w:val="center"/>
              <w:rPr>
                <w:rFonts w:ascii="宋体" w:hAnsi="宋体" w:eastAsia="宋体" w:cs="宋体"/>
                <w:sz w:val="24"/>
                <w:szCs w:val="24"/>
              </w:rPr>
            </w:pPr>
            <w:r>
              <w:rPr>
                <w:rFonts w:hint="eastAsia" w:ascii="宋体" w:hAnsi="宋体" w:eastAsia="宋体" w:cs="宋体"/>
                <w:sz w:val="24"/>
                <w:szCs w:val="24"/>
              </w:rPr>
              <w:t>序号</w:t>
            </w:r>
          </w:p>
        </w:tc>
        <w:tc>
          <w:tcPr>
            <w:tcW w:w="1750" w:type="dxa"/>
            <w:vAlign w:val="center"/>
          </w:tcPr>
          <w:p>
            <w:pPr>
              <w:jc w:val="center"/>
              <w:rPr>
                <w:rFonts w:ascii="宋体" w:hAnsi="宋体" w:eastAsia="宋体" w:cs="宋体"/>
                <w:sz w:val="24"/>
                <w:szCs w:val="24"/>
              </w:rPr>
            </w:pPr>
            <w:r>
              <w:rPr>
                <w:rFonts w:hint="eastAsia" w:ascii="宋体" w:hAnsi="宋体" w:eastAsia="宋体" w:cs="宋体"/>
                <w:sz w:val="24"/>
                <w:szCs w:val="24"/>
              </w:rPr>
              <w:t>招标文件条目号</w:t>
            </w:r>
          </w:p>
        </w:tc>
        <w:tc>
          <w:tcPr>
            <w:tcW w:w="2127" w:type="dxa"/>
            <w:vAlign w:val="center"/>
          </w:tcPr>
          <w:p>
            <w:pPr>
              <w:jc w:val="center"/>
              <w:rPr>
                <w:rFonts w:ascii="宋体" w:hAnsi="宋体" w:eastAsia="宋体" w:cs="宋体"/>
                <w:sz w:val="24"/>
                <w:szCs w:val="24"/>
              </w:rPr>
            </w:pPr>
            <w:r>
              <w:rPr>
                <w:rFonts w:hint="eastAsia" w:ascii="宋体" w:hAnsi="宋体" w:eastAsia="宋体" w:cs="宋体"/>
                <w:sz w:val="24"/>
                <w:szCs w:val="24"/>
              </w:rPr>
              <w:t>招标文件的商务条款</w:t>
            </w:r>
          </w:p>
        </w:tc>
        <w:tc>
          <w:tcPr>
            <w:tcW w:w="2125" w:type="dxa"/>
            <w:vAlign w:val="center"/>
          </w:tcPr>
          <w:p>
            <w:pPr>
              <w:jc w:val="center"/>
              <w:rPr>
                <w:rFonts w:ascii="宋体" w:hAnsi="宋体" w:eastAsia="宋体" w:cs="宋体"/>
                <w:sz w:val="24"/>
                <w:szCs w:val="24"/>
              </w:rPr>
            </w:pPr>
            <w:r>
              <w:rPr>
                <w:rFonts w:hint="eastAsia" w:ascii="宋体" w:hAnsi="宋体" w:eastAsia="宋体" w:cs="宋体"/>
                <w:sz w:val="24"/>
                <w:szCs w:val="24"/>
              </w:rPr>
              <w:t>投标文件的商务条款</w:t>
            </w:r>
          </w:p>
        </w:tc>
        <w:tc>
          <w:tcPr>
            <w:tcW w:w="1421" w:type="dxa"/>
            <w:vAlign w:val="center"/>
          </w:tcPr>
          <w:p>
            <w:pPr>
              <w:jc w:val="center"/>
              <w:rPr>
                <w:rFonts w:ascii="宋体" w:hAnsi="宋体" w:eastAsia="宋体" w:cs="宋体"/>
                <w:sz w:val="24"/>
                <w:szCs w:val="24"/>
              </w:rPr>
            </w:pPr>
            <w:r>
              <w:rPr>
                <w:rFonts w:hint="eastAsia" w:ascii="宋体" w:hAnsi="宋体" w:eastAsia="宋体" w:cs="宋体"/>
                <w:sz w:val="24"/>
                <w:szCs w:val="24"/>
              </w:rPr>
              <w:t>响应/偏离</w:t>
            </w:r>
          </w:p>
        </w:tc>
        <w:tc>
          <w:tcPr>
            <w:tcW w:w="957" w:type="dxa"/>
            <w:vAlign w:val="center"/>
          </w:tcPr>
          <w:p>
            <w:pPr>
              <w:jc w:val="center"/>
              <w:rPr>
                <w:rFonts w:ascii="宋体" w:hAnsi="宋体" w:eastAsia="宋体" w:cs="宋体"/>
                <w:sz w:val="24"/>
                <w:szCs w:val="24"/>
              </w:rPr>
            </w:pPr>
            <w:r>
              <w:rPr>
                <w:rFonts w:hint="eastAsia" w:ascii="宋体" w:hAnsi="宋体" w:eastAsia="宋体" w:cs="宋体"/>
                <w:sz w:val="24"/>
                <w:szCs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907" w:type="dxa"/>
            <w:vAlign w:val="center"/>
          </w:tcPr>
          <w:p>
            <w:pPr>
              <w:spacing w:line="500" w:lineRule="exact"/>
              <w:jc w:val="center"/>
              <w:rPr>
                <w:rFonts w:ascii="宋体" w:hAnsi="宋体" w:eastAsia="宋体" w:cs="宋体"/>
                <w:sz w:val="24"/>
                <w:szCs w:val="24"/>
              </w:rPr>
            </w:pPr>
          </w:p>
        </w:tc>
        <w:tc>
          <w:tcPr>
            <w:tcW w:w="1750" w:type="dxa"/>
            <w:vAlign w:val="center"/>
          </w:tcPr>
          <w:p>
            <w:pPr>
              <w:spacing w:line="500" w:lineRule="exact"/>
              <w:jc w:val="center"/>
              <w:rPr>
                <w:rFonts w:ascii="宋体" w:hAnsi="宋体" w:eastAsia="宋体" w:cs="宋体"/>
                <w:sz w:val="24"/>
                <w:szCs w:val="24"/>
              </w:rPr>
            </w:pPr>
          </w:p>
        </w:tc>
        <w:tc>
          <w:tcPr>
            <w:tcW w:w="2127" w:type="dxa"/>
            <w:vAlign w:val="center"/>
          </w:tcPr>
          <w:p>
            <w:pPr>
              <w:spacing w:line="500" w:lineRule="exact"/>
              <w:jc w:val="center"/>
              <w:rPr>
                <w:rFonts w:ascii="宋体" w:hAnsi="宋体" w:eastAsia="宋体" w:cs="宋体"/>
                <w:sz w:val="24"/>
                <w:szCs w:val="24"/>
              </w:rPr>
            </w:pPr>
          </w:p>
        </w:tc>
        <w:tc>
          <w:tcPr>
            <w:tcW w:w="2125" w:type="dxa"/>
            <w:vAlign w:val="center"/>
          </w:tcPr>
          <w:p>
            <w:pPr>
              <w:spacing w:line="500" w:lineRule="exact"/>
              <w:jc w:val="center"/>
              <w:rPr>
                <w:rFonts w:ascii="宋体" w:hAnsi="宋体" w:eastAsia="宋体" w:cs="宋体"/>
                <w:sz w:val="24"/>
                <w:szCs w:val="24"/>
              </w:rPr>
            </w:pPr>
          </w:p>
        </w:tc>
        <w:tc>
          <w:tcPr>
            <w:tcW w:w="1421" w:type="dxa"/>
            <w:vAlign w:val="center"/>
          </w:tcPr>
          <w:p>
            <w:pPr>
              <w:spacing w:line="500" w:lineRule="exact"/>
              <w:jc w:val="center"/>
              <w:rPr>
                <w:rFonts w:ascii="宋体" w:hAnsi="宋体" w:eastAsia="宋体" w:cs="宋体"/>
                <w:sz w:val="24"/>
                <w:szCs w:val="24"/>
              </w:rPr>
            </w:pPr>
          </w:p>
        </w:tc>
        <w:tc>
          <w:tcPr>
            <w:tcW w:w="957" w:type="dxa"/>
            <w:vAlign w:val="center"/>
          </w:tcPr>
          <w:p>
            <w:pPr>
              <w:spacing w:line="500" w:lineRule="exact"/>
              <w:jc w:val="center"/>
              <w:rPr>
                <w:rFonts w:ascii="宋体" w:hAnsi="宋体" w:eastAsia="宋体" w:cs="宋体"/>
                <w:sz w:val="24"/>
                <w:szCs w:val="24"/>
              </w:rPr>
            </w:pPr>
          </w:p>
        </w:tc>
      </w:tr>
    </w:tbl>
    <w:p>
      <w:pPr>
        <w:spacing w:line="360" w:lineRule="auto"/>
        <w:rPr>
          <w:rFonts w:ascii="宋体" w:hAnsi="宋体" w:eastAsia="宋体" w:cs="宋体"/>
          <w:b/>
          <w:sz w:val="24"/>
          <w:szCs w:val="24"/>
        </w:rPr>
      </w:pPr>
      <w:r>
        <w:rPr>
          <w:rFonts w:hint="eastAsia" w:ascii="宋体" w:hAnsi="宋体" w:eastAsia="宋体" w:cs="宋体"/>
          <w:b/>
          <w:sz w:val="24"/>
          <w:szCs w:val="24"/>
        </w:rPr>
        <w:t>注：1.招标文件商务要求详见第二章“商务要求”；</w:t>
      </w:r>
    </w:p>
    <w:p>
      <w:pPr>
        <w:spacing w:line="360" w:lineRule="auto"/>
        <w:rPr>
          <w:rFonts w:ascii="宋体" w:hAnsi="宋体" w:eastAsia="宋体" w:cs="宋体"/>
          <w:b/>
          <w:sz w:val="24"/>
          <w:szCs w:val="24"/>
        </w:rPr>
      </w:pPr>
      <w:r>
        <w:rPr>
          <w:rFonts w:hint="eastAsia" w:ascii="宋体" w:hAnsi="宋体" w:eastAsia="宋体" w:cs="宋体"/>
          <w:b/>
          <w:sz w:val="24"/>
          <w:szCs w:val="24"/>
        </w:rPr>
        <w:t>2、供应商应对照招标文件要求的商务条款内容，必须逐条说明已对招标文件要求的商务条款作出了响应或偏离；</w:t>
      </w:r>
    </w:p>
    <w:p>
      <w:pPr>
        <w:spacing w:line="360" w:lineRule="auto"/>
        <w:rPr>
          <w:rFonts w:ascii="宋体" w:hAnsi="宋体" w:eastAsia="宋体" w:cs="宋体"/>
          <w:b/>
          <w:sz w:val="24"/>
          <w:szCs w:val="24"/>
        </w:rPr>
      </w:pPr>
      <w:r>
        <w:rPr>
          <w:rFonts w:hint="eastAsia" w:ascii="宋体" w:hAnsi="宋体" w:eastAsia="宋体" w:cs="宋体"/>
          <w:b/>
          <w:sz w:val="24"/>
          <w:szCs w:val="24"/>
        </w:rPr>
        <w:t>3、供应商的商务条款与招标文件要求的商务条款不一致，则需在上表说明栏中注明；</w:t>
      </w:r>
    </w:p>
    <w:p>
      <w:pPr>
        <w:spacing w:line="360" w:lineRule="auto"/>
        <w:rPr>
          <w:rFonts w:ascii="宋体" w:hAnsi="宋体" w:eastAsia="宋体" w:cs="宋体"/>
          <w:b/>
          <w:sz w:val="24"/>
          <w:szCs w:val="24"/>
        </w:rPr>
      </w:pPr>
      <w:r>
        <w:rPr>
          <w:rFonts w:hint="eastAsia" w:ascii="宋体" w:hAnsi="宋体" w:eastAsia="宋体" w:cs="宋体"/>
          <w:b/>
          <w:sz w:val="24"/>
          <w:szCs w:val="24"/>
        </w:rPr>
        <w:t>4、栏数不够可增加，如不按要求填写，可能导致投标无效，由此产生的一切后果由供应商负责。</w:t>
      </w:r>
    </w:p>
    <w:p>
      <w:pPr>
        <w:spacing w:line="400" w:lineRule="exact"/>
        <w:rPr>
          <w:rFonts w:ascii="宋体" w:hAnsi="宋体" w:eastAsia="宋体" w:cs="宋体"/>
          <w:sz w:val="24"/>
          <w:szCs w:val="24"/>
        </w:rPr>
      </w:pPr>
    </w:p>
    <w:p>
      <w:pPr>
        <w:spacing w:line="400" w:lineRule="exact"/>
        <w:rPr>
          <w:rFonts w:ascii="宋体" w:hAnsi="宋体" w:eastAsia="宋体" w:cs="宋体"/>
          <w:sz w:val="24"/>
          <w:szCs w:val="24"/>
        </w:rPr>
      </w:pPr>
    </w:p>
    <w:p>
      <w:pPr>
        <w:spacing w:line="400" w:lineRule="exact"/>
        <w:rPr>
          <w:rFonts w:ascii="宋体" w:hAnsi="宋体" w:eastAsia="宋体" w:cs="宋体"/>
          <w:sz w:val="24"/>
          <w:szCs w:val="24"/>
          <w:u w:val="single"/>
        </w:rPr>
      </w:pPr>
      <w:r>
        <w:rPr>
          <w:rFonts w:hint="eastAsia" w:ascii="宋体" w:hAnsi="宋体" w:eastAsia="宋体" w:cs="宋体"/>
          <w:sz w:val="24"/>
          <w:szCs w:val="24"/>
        </w:rPr>
        <w:t>投标人代表签字:</w:t>
      </w:r>
      <w:r>
        <w:rPr>
          <w:rFonts w:hint="eastAsia" w:ascii="宋体" w:hAnsi="宋体" w:eastAsia="宋体" w:cs="宋体"/>
          <w:sz w:val="24"/>
          <w:szCs w:val="24"/>
          <w:u w:val="single"/>
        </w:rPr>
        <w:t xml:space="preserve">                </w:t>
      </w:r>
    </w:p>
    <w:p>
      <w:pPr>
        <w:spacing w:line="400" w:lineRule="exact"/>
        <w:rPr>
          <w:rFonts w:ascii="宋体" w:hAnsi="宋体" w:eastAsia="宋体" w:cs="宋体"/>
          <w:sz w:val="24"/>
          <w:szCs w:val="24"/>
        </w:rPr>
      </w:pPr>
    </w:p>
    <w:p>
      <w:pPr>
        <w:spacing w:line="400" w:lineRule="exact"/>
        <w:rPr>
          <w:rFonts w:ascii="宋体" w:hAnsi="宋体" w:eastAsia="宋体" w:cs="宋体"/>
          <w:sz w:val="24"/>
          <w:szCs w:val="24"/>
        </w:rPr>
      </w:pPr>
    </w:p>
    <w:p>
      <w:pPr>
        <w:spacing w:line="360" w:lineRule="auto"/>
        <w:rPr>
          <w:rFonts w:ascii="宋体" w:hAnsi="宋体" w:eastAsia="宋体" w:cs="宋体"/>
          <w:sz w:val="24"/>
          <w:szCs w:val="24"/>
          <w:u w:val="single"/>
        </w:rPr>
      </w:pPr>
      <w:r>
        <w:rPr>
          <w:rFonts w:hint="eastAsia" w:ascii="宋体" w:hAnsi="宋体" w:eastAsia="宋体" w:cs="宋体"/>
          <w:sz w:val="24"/>
          <w:szCs w:val="24"/>
        </w:rPr>
        <w:t>单位盖章：</w:t>
      </w:r>
      <w:r>
        <w:rPr>
          <w:rFonts w:hint="eastAsia" w:ascii="宋体" w:hAnsi="宋体" w:eastAsia="宋体" w:cs="宋体"/>
          <w:sz w:val="24"/>
          <w:szCs w:val="24"/>
          <w:u w:val="single"/>
        </w:rPr>
        <w:t xml:space="preserve">                </w:t>
      </w:r>
    </w:p>
    <w:p>
      <w:pPr>
        <w:spacing w:line="360" w:lineRule="auto"/>
        <w:jc w:val="center"/>
        <w:outlineLvl w:val="1"/>
        <w:rPr>
          <w:rFonts w:ascii="宋体" w:hAnsi="宋体" w:eastAsia="宋体" w:cs="宋体"/>
          <w:b/>
          <w:sz w:val="24"/>
          <w:szCs w:val="24"/>
        </w:rPr>
      </w:pPr>
      <w:r>
        <w:rPr>
          <w:rFonts w:hint="eastAsia" w:ascii="宋体" w:hAnsi="宋体" w:eastAsia="宋体" w:cs="宋体"/>
          <w:sz w:val="24"/>
          <w:szCs w:val="24"/>
          <w:u w:val="single"/>
        </w:rPr>
        <w:br w:type="page"/>
      </w:r>
      <w:bookmarkStart w:id="119" w:name="_Toc155100554"/>
      <w:r>
        <w:rPr>
          <w:rFonts w:hint="eastAsia" w:ascii="宋体" w:hAnsi="宋体" w:eastAsia="宋体" w:cs="宋体"/>
          <w:b/>
          <w:sz w:val="28"/>
          <w:szCs w:val="28"/>
        </w:rPr>
        <w:t>6.技术文件</w:t>
      </w:r>
      <w:bookmarkEnd w:id="119"/>
    </w:p>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投标供应商认为需要说明的内容（投标供应商视需要自行编写）</w:t>
      </w:r>
    </w:p>
    <w:p>
      <w:pPr>
        <w:spacing w:line="360" w:lineRule="auto"/>
        <w:rPr>
          <w:rFonts w:ascii="宋体" w:hAnsi="宋体" w:eastAsia="宋体" w:cs="宋体"/>
          <w:sz w:val="24"/>
          <w:szCs w:val="24"/>
        </w:rPr>
      </w:pPr>
    </w:p>
    <w:p>
      <w:pPr>
        <w:spacing w:line="480" w:lineRule="auto"/>
        <w:jc w:val="center"/>
        <w:rPr>
          <w:rFonts w:ascii="宋体" w:hAnsi="宋体" w:eastAsia="宋体" w:cs="宋体"/>
          <w:sz w:val="24"/>
          <w:szCs w:val="24"/>
        </w:rPr>
      </w:pPr>
      <w:r>
        <w:rPr>
          <w:rFonts w:hint="eastAsia" w:ascii="宋体" w:hAnsi="宋体" w:eastAsia="宋体" w:cs="宋体"/>
          <w:sz w:val="24"/>
          <w:szCs w:val="24"/>
        </w:rPr>
        <w:br w:type="page"/>
      </w:r>
    </w:p>
    <w:p>
      <w:pPr>
        <w:spacing w:line="360" w:lineRule="auto"/>
        <w:jc w:val="center"/>
        <w:outlineLvl w:val="1"/>
        <w:rPr>
          <w:rFonts w:ascii="宋体" w:hAnsi="宋体" w:eastAsia="宋体" w:cs="宋体"/>
          <w:b/>
          <w:sz w:val="28"/>
          <w:szCs w:val="28"/>
        </w:rPr>
      </w:pPr>
      <w:bookmarkStart w:id="120" w:name="_Toc155100555"/>
      <w:r>
        <w:rPr>
          <w:rFonts w:hint="eastAsia" w:ascii="宋体" w:hAnsi="宋体" w:eastAsia="宋体" w:cs="宋体"/>
          <w:b/>
          <w:sz w:val="28"/>
          <w:szCs w:val="28"/>
        </w:rPr>
        <w:t>7.关于资格的声明函</w:t>
      </w:r>
      <w:bookmarkEnd w:id="120"/>
    </w:p>
    <w:p>
      <w:pPr>
        <w:spacing w:line="360" w:lineRule="auto"/>
        <w:jc w:val="center"/>
        <w:rPr>
          <w:rFonts w:ascii="宋体" w:hAnsi="宋体" w:eastAsia="宋体" w:cs="宋体"/>
          <w:b/>
          <w:sz w:val="24"/>
          <w:szCs w:val="24"/>
        </w:rPr>
      </w:pPr>
    </w:p>
    <w:p>
      <w:pPr>
        <w:spacing w:line="480" w:lineRule="auto"/>
        <w:rPr>
          <w:rFonts w:ascii="宋体" w:hAnsi="宋体" w:eastAsia="宋体" w:cs="宋体"/>
          <w:sz w:val="24"/>
          <w:szCs w:val="24"/>
        </w:rPr>
      </w:pPr>
      <w:r>
        <w:rPr>
          <w:rFonts w:hint="eastAsia" w:ascii="宋体" w:hAnsi="宋体" w:eastAsia="宋体" w:cs="宋体"/>
          <w:sz w:val="24"/>
          <w:szCs w:val="24"/>
        </w:rPr>
        <w:t>致：</w:t>
      </w:r>
      <w:r>
        <w:rPr>
          <w:rFonts w:hint="eastAsia" w:ascii="宋体" w:hAnsi="宋体" w:eastAsia="宋体" w:cs="宋体"/>
          <w:sz w:val="24"/>
          <w:szCs w:val="24"/>
          <w:u w:val="single"/>
        </w:rPr>
        <w:t>江西俱承工程管理有限公司</w:t>
      </w:r>
    </w:p>
    <w:p>
      <w:pPr>
        <w:spacing w:line="480" w:lineRule="auto"/>
        <w:ind w:firstLine="420"/>
        <w:rPr>
          <w:rFonts w:ascii="宋体" w:hAnsi="宋体" w:eastAsia="宋体" w:cs="宋体"/>
          <w:sz w:val="24"/>
          <w:szCs w:val="24"/>
        </w:rPr>
      </w:pPr>
      <w:r>
        <w:rPr>
          <w:rFonts w:hint="eastAsia" w:ascii="宋体" w:hAnsi="宋体" w:eastAsia="宋体" w:cs="宋体"/>
          <w:sz w:val="24"/>
          <w:szCs w:val="24"/>
        </w:rPr>
        <w:t>关于贵方     年　　月　　日（投标邀请函的时间）第</w:t>
      </w:r>
      <w:r>
        <w:rPr>
          <w:rFonts w:hint="eastAsia" w:ascii="宋体" w:hAnsi="宋体" w:eastAsia="宋体" w:cs="宋体"/>
          <w:sz w:val="24"/>
          <w:szCs w:val="24"/>
          <w:u w:val="single"/>
        </w:rPr>
        <w:t xml:space="preserve">            </w:t>
      </w:r>
      <w:r>
        <w:rPr>
          <w:rFonts w:hint="eastAsia" w:ascii="宋体" w:hAnsi="宋体" w:eastAsia="宋体" w:cs="宋体"/>
          <w:sz w:val="24"/>
          <w:szCs w:val="24"/>
        </w:rPr>
        <w:t>（项目编号）投标邀请，本签字人愿意参加投标，提供招标文件中规定的货物和服务，并声明提交的一切文件和资料都是准确的和真实的。</w:t>
      </w:r>
    </w:p>
    <w:p>
      <w:pPr>
        <w:spacing w:line="380" w:lineRule="exact"/>
        <w:ind w:firstLine="470" w:firstLineChars="195"/>
        <w:rPr>
          <w:rFonts w:ascii="宋体" w:hAnsi="宋体" w:eastAsia="宋体" w:cs="宋体"/>
          <w:b/>
          <w:sz w:val="24"/>
          <w:szCs w:val="24"/>
        </w:rPr>
      </w:pPr>
    </w:p>
    <w:p>
      <w:pPr>
        <w:tabs>
          <w:tab w:val="left" w:pos="1980"/>
        </w:tabs>
        <w:spacing w:line="400" w:lineRule="exact"/>
        <w:ind w:left="525" w:leftChars="250" w:firstLine="120" w:firstLineChars="50"/>
        <w:rPr>
          <w:rFonts w:ascii="宋体" w:hAnsi="宋体" w:eastAsia="宋体" w:cs="宋体"/>
          <w:sz w:val="24"/>
          <w:szCs w:val="24"/>
        </w:rPr>
      </w:pPr>
    </w:p>
    <w:p>
      <w:pPr>
        <w:tabs>
          <w:tab w:val="left" w:pos="1980"/>
        </w:tabs>
        <w:spacing w:line="400" w:lineRule="exact"/>
        <w:ind w:left="525" w:leftChars="250"/>
        <w:rPr>
          <w:rFonts w:ascii="宋体" w:hAnsi="宋体" w:eastAsia="宋体" w:cs="宋体"/>
          <w:sz w:val="24"/>
          <w:szCs w:val="24"/>
        </w:rPr>
      </w:pPr>
      <w:r>
        <w:rPr>
          <w:rFonts w:hint="eastAsia" w:ascii="宋体" w:hAnsi="宋体" w:eastAsia="宋体" w:cs="宋体"/>
          <w:sz w:val="24"/>
          <w:szCs w:val="24"/>
        </w:rPr>
        <w:t xml:space="preserve"> </w:t>
      </w:r>
    </w:p>
    <w:p>
      <w:pPr>
        <w:spacing w:line="400" w:lineRule="exact"/>
        <w:rPr>
          <w:rFonts w:ascii="宋体" w:hAnsi="宋体" w:eastAsia="宋体" w:cs="宋体"/>
          <w:sz w:val="24"/>
          <w:szCs w:val="24"/>
        </w:rPr>
      </w:pPr>
    </w:p>
    <w:p>
      <w:pPr>
        <w:spacing w:before="240" w:line="400" w:lineRule="exact"/>
        <w:rPr>
          <w:rFonts w:ascii="宋体" w:hAnsi="宋体" w:eastAsia="宋体" w:cs="宋体"/>
          <w:sz w:val="24"/>
          <w:szCs w:val="24"/>
        </w:rPr>
      </w:pPr>
    </w:p>
    <w:p>
      <w:pPr>
        <w:spacing w:before="240" w:line="400" w:lineRule="exact"/>
        <w:rPr>
          <w:rFonts w:ascii="宋体" w:hAnsi="宋体" w:eastAsia="宋体" w:cs="宋体"/>
          <w:sz w:val="24"/>
          <w:szCs w:val="24"/>
        </w:rPr>
      </w:pPr>
    </w:p>
    <w:p>
      <w:pPr>
        <w:spacing w:before="240" w:line="400" w:lineRule="exact"/>
        <w:rPr>
          <w:rFonts w:ascii="宋体" w:hAnsi="宋体" w:eastAsia="宋体" w:cs="宋体"/>
          <w:sz w:val="24"/>
          <w:szCs w:val="24"/>
        </w:rPr>
      </w:pPr>
    </w:p>
    <w:p>
      <w:pPr>
        <w:spacing w:before="240" w:line="400" w:lineRule="exact"/>
        <w:rPr>
          <w:rFonts w:ascii="宋体" w:hAnsi="宋体" w:eastAsia="宋体" w:cs="宋体"/>
          <w:sz w:val="24"/>
          <w:szCs w:val="24"/>
        </w:rPr>
      </w:pPr>
      <w:r>
        <w:rPr>
          <w:rFonts w:hint="eastAsia" w:ascii="宋体" w:hAnsi="宋体" w:eastAsia="宋体" w:cs="宋体"/>
          <w:sz w:val="24"/>
          <w:szCs w:val="24"/>
        </w:rPr>
        <w:t>单位的名称和地址：                    授权签署本资格文件人：</w:t>
      </w:r>
    </w:p>
    <w:p>
      <w:pPr>
        <w:spacing w:line="400" w:lineRule="exact"/>
        <w:rPr>
          <w:rFonts w:ascii="宋体" w:hAnsi="宋体" w:eastAsia="宋体" w:cs="宋体"/>
          <w:sz w:val="24"/>
          <w:szCs w:val="24"/>
        </w:rPr>
      </w:pPr>
      <w:r>
        <w:rPr>
          <w:rFonts w:hint="eastAsia" w:ascii="宋体" w:hAnsi="宋体" w:eastAsia="宋体" w:cs="宋体"/>
          <w:sz w:val="24"/>
          <w:szCs w:val="24"/>
        </w:rPr>
        <w:t>名称：</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w:t>
      </w:r>
      <w:r>
        <w:rPr>
          <w:rFonts w:hint="eastAsia" w:ascii="宋体" w:hAnsi="宋体" w:eastAsia="宋体" w:cs="宋体"/>
          <w:sz w:val="24"/>
          <w:szCs w:val="24"/>
          <w:u w:val="single"/>
        </w:rPr>
        <w:t xml:space="preserve">                 </w:t>
      </w:r>
    </w:p>
    <w:p>
      <w:pPr>
        <w:spacing w:line="400" w:lineRule="exact"/>
        <w:rPr>
          <w:rFonts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签字人姓名、职务</w:t>
      </w:r>
    </w:p>
    <w:p>
      <w:pPr>
        <w:spacing w:line="400" w:lineRule="exact"/>
        <w:rPr>
          <w:rFonts w:ascii="宋体" w:hAnsi="宋体" w:eastAsia="宋体" w:cs="宋体"/>
          <w:sz w:val="24"/>
          <w:szCs w:val="24"/>
          <w:u w:val="single"/>
        </w:rPr>
      </w:pPr>
      <w:r>
        <w:rPr>
          <w:rFonts w:hint="eastAsia" w:ascii="宋体" w:hAnsi="宋体" w:eastAsia="宋体" w:cs="宋体"/>
          <w:sz w:val="24"/>
          <w:szCs w:val="24"/>
        </w:rPr>
        <w:t xml:space="preserve">传真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p>
    <w:p>
      <w:pPr>
        <w:spacing w:line="400" w:lineRule="exact"/>
        <w:rPr>
          <w:rFonts w:ascii="宋体" w:hAnsi="宋体" w:eastAsia="宋体" w:cs="宋体"/>
          <w:sz w:val="24"/>
          <w:szCs w:val="24"/>
          <w:u w:val="single"/>
        </w:rPr>
      </w:pPr>
      <w:r>
        <w:rPr>
          <w:rFonts w:hint="eastAsia" w:ascii="宋体" w:hAnsi="宋体" w:eastAsia="宋体" w:cs="宋体"/>
          <w:sz w:val="24"/>
          <w:szCs w:val="24"/>
        </w:rPr>
        <w:t>邮编：</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电话：</w:t>
      </w:r>
      <w:r>
        <w:rPr>
          <w:rFonts w:hint="eastAsia" w:ascii="宋体" w:hAnsi="宋体" w:eastAsia="宋体" w:cs="宋体"/>
          <w:sz w:val="24"/>
          <w:szCs w:val="24"/>
          <w:u w:val="single"/>
        </w:rPr>
        <w:t xml:space="preserve">                  </w:t>
      </w:r>
    </w:p>
    <w:p>
      <w:pPr>
        <w:spacing w:line="400" w:lineRule="exact"/>
        <w:rPr>
          <w:rFonts w:ascii="宋体" w:hAnsi="宋体" w:eastAsia="宋体" w:cs="宋体"/>
          <w:sz w:val="24"/>
          <w:szCs w:val="24"/>
        </w:rPr>
      </w:pPr>
      <w:r>
        <w:rPr>
          <w:rFonts w:hint="eastAsia" w:ascii="宋体" w:hAnsi="宋体" w:eastAsia="宋体" w:cs="宋体"/>
          <w:sz w:val="24"/>
          <w:szCs w:val="24"/>
        </w:rPr>
        <w:t>单位盖章：</w:t>
      </w:r>
      <w:r>
        <w:rPr>
          <w:rFonts w:hint="eastAsia" w:ascii="宋体" w:hAnsi="宋体" w:eastAsia="宋体" w:cs="宋体"/>
          <w:sz w:val="24"/>
          <w:szCs w:val="24"/>
          <w:u w:val="single"/>
        </w:rPr>
        <w:t xml:space="preserve">                   </w:t>
      </w:r>
    </w:p>
    <w:p>
      <w:pPr>
        <w:spacing w:line="400" w:lineRule="exact"/>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b/>
          <w:sz w:val="24"/>
          <w:szCs w:val="24"/>
        </w:rPr>
      </w:pPr>
      <w:r>
        <w:rPr>
          <w:rFonts w:hint="eastAsia" w:ascii="宋体" w:hAnsi="宋体" w:eastAsia="宋体" w:cs="宋体"/>
          <w:b/>
          <w:sz w:val="24"/>
          <w:szCs w:val="24"/>
        </w:rPr>
        <w:br w:type="page"/>
      </w:r>
    </w:p>
    <w:p>
      <w:pPr>
        <w:spacing w:line="360" w:lineRule="auto"/>
        <w:jc w:val="center"/>
        <w:outlineLvl w:val="1"/>
        <w:rPr>
          <w:rFonts w:ascii="宋体" w:hAnsi="宋体" w:eastAsia="宋体" w:cs="宋体"/>
          <w:b/>
          <w:sz w:val="28"/>
          <w:szCs w:val="28"/>
        </w:rPr>
      </w:pPr>
      <w:bookmarkStart w:id="121" w:name="_Toc155100556"/>
      <w:r>
        <w:rPr>
          <w:rFonts w:hint="eastAsia" w:ascii="宋体" w:hAnsi="宋体" w:eastAsia="宋体" w:cs="宋体"/>
          <w:b/>
          <w:sz w:val="28"/>
          <w:szCs w:val="28"/>
        </w:rPr>
        <w:t>8．法定代表人证明书</w:t>
      </w:r>
      <w:bookmarkEnd w:id="121"/>
    </w:p>
    <w:p>
      <w:pPr>
        <w:rPr>
          <w:rFonts w:ascii="宋体" w:hAnsi="宋体" w:eastAsia="宋体" w:cs="宋体"/>
          <w:b/>
          <w:sz w:val="24"/>
          <w:szCs w:val="24"/>
        </w:rPr>
      </w:pPr>
      <w:r>
        <w:rPr>
          <w:rFonts w:hint="eastAsia" w:ascii="宋体" w:hAnsi="宋体" w:eastAsia="宋体" w:cs="宋体"/>
          <w:b/>
          <w:sz w:val="24"/>
          <w:szCs w:val="24"/>
        </w:rPr>
        <w:t xml:space="preserve"> </w:t>
      </w:r>
    </w:p>
    <w:p>
      <w:pPr>
        <w:jc w:val="cente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jc w:val="center"/>
        <w:rPr>
          <w:rFonts w:ascii="宋体" w:hAnsi="宋体" w:eastAsia="宋体" w:cs="宋体"/>
          <w:b/>
          <w:sz w:val="24"/>
          <w:szCs w:val="24"/>
        </w:rPr>
      </w:pPr>
      <w:r>
        <w:rPr>
          <w:rFonts w:hint="eastAsia" w:ascii="宋体" w:hAnsi="宋体" w:eastAsia="宋体" w:cs="宋体"/>
          <w:b/>
          <w:sz w:val="24"/>
          <w:szCs w:val="24"/>
        </w:rPr>
        <w:t>法 定 代 表 人 证 明 书</w:t>
      </w:r>
    </w:p>
    <w:p>
      <w:pPr>
        <w:rPr>
          <w:rFonts w:ascii="宋体" w:hAnsi="宋体" w:eastAsia="宋体" w:cs="宋体"/>
          <w:sz w:val="24"/>
          <w:szCs w:val="24"/>
          <w:u w:val="single"/>
        </w:rPr>
      </w:pPr>
      <w:r>
        <w:rPr>
          <w:rFonts w:hint="eastAsia" w:ascii="宋体" w:hAnsi="宋体" w:eastAsia="宋体" w:cs="宋体"/>
          <w:b/>
          <w:sz w:val="24"/>
          <w:szCs w:val="24"/>
          <w:u w:val="single"/>
        </w:rPr>
        <w:t xml:space="preserve">                                                                             </w:t>
      </w:r>
    </w:p>
    <w:p>
      <w:pPr>
        <w:rPr>
          <w:rFonts w:ascii="宋体" w:hAnsi="宋体" w:eastAsia="宋体" w:cs="宋体"/>
          <w:sz w:val="24"/>
          <w:szCs w:val="24"/>
        </w:rPr>
      </w:pPr>
    </w:p>
    <w:p>
      <w:pPr>
        <w:spacing w:line="360" w:lineRule="auto"/>
        <w:ind w:firstLine="720" w:firstLineChars="300"/>
        <w:rPr>
          <w:rFonts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同志，现任我单位</w:t>
      </w:r>
      <w:r>
        <w:rPr>
          <w:rFonts w:hint="eastAsia" w:ascii="宋体" w:hAnsi="宋体" w:eastAsia="宋体" w:cs="宋体"/>
          <w:sz w:val="24"/>
          <w:szCs w:val="24"/>
          <w:u w:val="single"/>
        </w:rPr>
        <w:t xml:space="preserve">          </w:t>
      </w:r>
      <w:r>
        <w:rPr>
          <w:rFonts w:hint="eastAsia" w:ascii="宋体" w:hAnsi="宋体" w:eastAsia="宋体" w:cs="宋体"/>
          <w:sz w:val="24"/>
          <w:szCs w:val="24"/>
        </w:rPr>
        <w:t>职务，为法定代表人，特此证明。</w:t>
      </w:r>
    </w:p>
    <w:p>
      <w:pPr>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有效日期：</w:t>
      </w:r>
      <w:r>
        <w:rPr>
          <w:rFonts w:hint="eastAsia" w:ascii="宋体" w:hAnsi="宋体" w:eastAsia="宋体" w:cs="宋体"/>
          <w:sz w:val="24"/>
          <w:szCs w:val="24"/>
          <w:u w:val="single"/>
        </w:rPr>
        <w:t xml:space="preserve">              </w:t>
      </w:r>
      <w:r>
        <w:rPr>
          <w:rFonts w:hint="eastAsia" w:ascii="宋体" w:hAnsi="宋体" w:eastAsia="宋体" w:cs="宋体"/>
          <w:sz w:val="24"/>
          <w:szCs w:val="24"/>
        </w:rPr>
        <w:t>签发日期：</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单位：  </w:t>
      </w:r>
      <w:r>
        <w:rPr>
          <w:rFonts w:hint="eastAsia" w:ascii="宋体" w:hAnsi="宋体" w:eastAsia="宋体" w:cs="宋体"/>
          <w:sz w:val="24"/>
          <w:szCs w:val="24"/>
          <w:u w:val="single"/>
        </w:rPr>
        <w:t xml:space="preserve">         （盖章）</w:t>
      </w:r>
    </w:p>
    <w:p>
      <w:pPr>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附：代表人性别：</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年龄：</w:t>
      </w:r>
      <w:r>
        <w:rPr>
          <w:rFonts w:hint="eastAsia" w:ascii="宋体" w:hAnsi="宋体" w:eastAsia="宋体" w:cs="宋体"/>
          <w:sz w:val="24"/>
          <w:szCs w:val="24"/>
          <w:u w:val="single"/>
        </w:rPr>
        <w:t xml:space="preserve">           </w:t>
      </w:r>
      <w:r>
        <w:rPr>
          <w:rFonts w:hint="eastAsia" w:ascii="宋体" w:hAnsi="宋体" w:eastAsia="宋体" w:cs="宋体"/>
          <w:sz w:val="24"/>
          <w:szCs w:val="24"/>
        </w:rPr>
        <w:t>身份证号码：</w:t>
      </w:r>
      <w:r>
        <w:rPr>
          <w:rFonts w:hint="eastAsia" w:ascii="宋体" w:hAnsi="宋体" w:eastAsia="宋体" w:cs="宋体"/>
          <w:sz w:val="24"/>
          <w:szCs w:val="24"/>
          <w:u w:val="single"/>
        </w:rPr>
        <w:t xml:space="preserve">                     </w:t>
      </w:r>
    </w:p>
    <w:p>
      <w:pPr>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营业执照号码：</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经济性质：</w:t>
      </w:r>
      <w:r>
        <w:rPr>
          <w:rFonts w:hint="eastAsia" w:ascii="宋体" w:hAnsi="宋体" w:eastAsia="宋体" w:cs="宋体"/>
          <w:sz w:val="24"/>
          <w:szCs w:val="24"/>
          <w:u w:val="single"/>
        </w:rPr>
        <w:t xml:space="preserve">                             </w:t>
      </w:r>
    </w:p>
    <w:p>
      <w:pPr>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主营（产）：</w:t>
      </w:r>
      <w:r>
        <w:rPr>
          <w:rFonts w:hint="eastAsia" w:ascii="宋体" w:hAnsi="宋体" w:eastAsia="宋体" w:cs="宋体"/>
          <w:sz w:val="24"/>
          <w:szCs w:val="24"/>
          <w:u w:val="single"/>
        </w:rPr>
        <w:t xml:space="preserve">                                    </w:t>
      </w:r>
    </w:p>
    <w:p>
      <w:pPr>
        <w:spacing w:line="360" w:lineRule="auto"/>
        <w:ind w:firstLine="240" w:firstLineChars="100"/>
        <w:rPr>
          <w:rFonts w:ascii="宋体" w:hAnsi="宋体" w:eastAsia="宋体" w:cs="宋体"/>
          <w:sz w:val="24"/>
          <w:szCs w:val="24"/>
          <w:u w:val="single"/>
        </w:rPr>
      </w:pPr>
      <w:r>
        <w:rPr>
          <w:rFonts w:hint="eastAsia" w:ascii="宋体" w:hAnsi="宋体" w:eastAsia="宋体" w:cs="宋体"/>
          <w:sz w:val="24"/>
          <w:szCs w:val="24"/>
        </w:rPr>
        <w:t>兼营（产）：</w:t>
      </w:r>
      <w:r>
        <w:rPr>
          <w:rFonts w:hint="eastAsia" w:ascii="宋体" w:hAnsi="宋体" w:eastAsia="宋体" w:cs="宋体"/>
          <w:sz w:val="24"/>
          <w:szCs w:val="24"/>
          <w:u w:val="single"/>
        </w:rPr>
        <w:t xml:space="preserve">                                    </w:t>
      </w:r>
    </w:p>
    <w:p>
      <w:pPr>
        <w:spacing w:line="360" w:lineRule="auto"/>
        <w:ind w:firstLine="240" w:firstLineChars="100"/>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说明：1、法定代表人为企业事业单位、国家机关、社会团体的主要行政负责人。</w:t>
      </w:r>
    </w:p>
    <w:p>
      <w:pPr>
        <w:spacing w:line="360" w:lineRule="auto"/>
        <w:rPr>
          <w:rFonts w:ascii="宋体" w:hAnsi="宋体" w:eastAsia="宋体" w:cs="宋体"/>
          <w:sz w:val="24"/>
          <w:szCs w:val="24"/>
        </w:rPr>
      </w:pPr>
      <w:r>
        <w:rPr>
          <w:rFonts w:hint="eastAsia" w:ascii="宋体" w:hAnsi="宋体" w:eastAsia="宋体" w:cs="宋体"/>
          <w:sz w:val="24"/>
          <w:szCs w:val="24"/>
        </w:rPr>
        <w:t xml:space="preserve">      2、内容必须填写真实、清楚、涂改无效，不得转让、买卖。</w:t>
      </w:r>
    </w:p>
    <w:p>
      <w:pPr>
        <w:spacing w:line="360" w:lineRule="auto"/>
        <w:rPr>
          <w:rFonts w:ascii="宋体" w:hAnsi="宋体" w:eastAsia="宋体" w:cs="宋体"/>
          <w:sz w:val="24"/>
          <w:szCs w:val="24"/>
        </w:rPr>
      </w:pPr>
      <w:r>
        <w:rPr>
          <w:rFonts w:hint="eastAsia" w:ascii="宋体" w:hAnsi="宋体" w:eastAsia="宋体" w:cs="宋体"/>
          <w:sz w:val="24"/>
          <w:szCs w:val="24"/>
        </w:rPr>
        <w:t xml:space="preserve">      3、将此证明书提交对方作为合同附件。</w: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u w:val="single"/>
        </w:rPr>
      </w:pPr>
      <w:r>
        <w:rPr>
          <w:rFonts w:hint="eastAsia" w:ascii="宋体" w:hAnsi="宋体" w:eastAsia="宋体" w:cs="宋体"/>
          <w:sz w:val="24"/>
          <w:szCs w:val="24"/>
        </w:rPr>
        <w:t>法人代表签名（或盖章）：</w:t>
      </w:r>
      <w:r>
        <w:rPr>
          <w:rFonts w:hint="eastAsia" w:ascii="宋体" w:hAnsi="宋体" w:eastAsia="宋体" w:cs="宋体"/>
          <w:sz w:val="24"/>
          <w:szCs w:val="24"/>
          <w:u w:val="single"/>
        </w:rPr>
        <w:t xml:space="preserve">                      </w:t>
      </w: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sz w:val="24"/>
          <w:szCs w:val="24"/>
        </w:rPr>
      </w:pPr>
    </w:p>
    <w:p>
      <w:pPr>
        <w:rPr>
          <w:rFonts w:ascii="宋体" w:hAnsi="宋体" w:eastAsia="宋体" w:cs="宋体"/>
          <w:b/>
          <w:sz w:val="24"/>
          <w:szCs w:val="24"/>
        </w:rPr>
      </w:pPr>
      <w:r>
        <w:rPr>
          <w:rFonts w:hint="eastAsia" w:ascii="宋体" w:hAnsi="宋体" w:eastAsia="宋体" w:cs="宋体"/>
          <w:sz w:val="24"/>
          <w:szCs w:val="24"/>
        </w:rPr>
        <w:t xml:space="preserve"> </w:t>
      </w:r>
      <w:r>
        <w:rPr>
          <w:rFonts w:hint="eastAsia" w:ascii="宋体" w:hAnsi="宋体" w:eastAsia="宋体" w:cs="宋体"/>
          <w:b/>
          <w:sz w:val="24"/>
          <w:szCs w:val="24"/>
        </w:rPr>
        <w:t xml:space="preserve"> (为避免废标，请投标人务必提供本附件)</w:t>
      </w:r>
    </w:p>
    <w:p>
      <w:pPr>
        <w:jc w:val="center"/>
        <w:rPr>
          <w:rFonts w:ascii="宋体" w:hAnsi="宋体" w:eastAsia="宋体" w:cs="宋体"/>
          <w:b/>
          <w:sz w:val="24"/>
          <w:szCs w:val="24"/>
        </w:rPr>
      </w:pPr>
    </w:p>
    <w:p>
      <w:pPr>
        <w:rPr>
          <w:rFonts w:ascii="宋体" w:hAnsi="宋体" w:eastAsia="宋体" w:cs="宋体"/>
          <w:sz w:val="24"/>
          <w:szCs w:val="24"/>
        </w:rPr>
      </w:pPr>
      <w:r>
        <w:rPr>
          <w:rFonts w:hint="eastAsia" w:ascii="宋体" w:hAnsi="宋体" w:eastAsia="宋体" w:cs="宋体"/>
          <w:sz w:val="24"/>
          <w:szCs w:val="24"/>
        </w:rPr>
        <w:t xml:space="preserve">                                                    </w:t>
      </w:r>
    </w:p>
    <w:p>
      <w:pPr>
        <w:rPr>
          <w:rFonts w:ascii="宋体" w:hAnsi="宋体" w:eastAsia="宋体" w:cs="宋体"/>
          <w:sz w:val="24"/>
          <w:szCs w:val="24"/>
        </w:rPr>
      </w:pPr>
    </w:p>
    <w:p>
      <w:pPr>
        <w:spacing w:line="400" w:lineRule="exact"/>
        <w:jc w:val="center"/>
        <w:rPr>
          <w:rFonts w:ascii="宋体" w:hAnsi="宋体" w:eastAsia="宋体" w:cs="宋体"/>
          <w:b/>
          <w:sz w:val="24"/>
          <w:szCs w:val="24"/>
        </w:rPr>
      </w:pPr>
    </w:p>
    <w:p>
      <w:pPr>
        <w:spacing w:line="400" w:lineRule="exact"/>
        <w:rPr>
          <w:rFonts w:ascii="宋体" w:hAnsi="宋体" w:eastAsia="宋体" w:cs="宋体"/>
          <w:b/>
          <w:sz w:val="24"/>
          <w:szCs w:val="24"/>
        </w:rPr>
      </w:pPr>
      <w:r>
        <w:rPr>
          <w:rFonts w:hint="eastAsia" w:ascii="宋体" w:hAnsi="宋体" w:eastAsia="宋体" w:cs="宋体"/>
          <w:b/>
          <w:sz w:val="24"/>
          <w:szCs w:val="24"/>
        </w:rPr>
        <w:br w:type="page"/>
      </w:r>
    </w:p>
    <w:p>
      <w:pPr>
        <w:spacing w:line="360" w:lineRule="auto"/>
        <w:jc w:val="center"/>
        <w:outlineLvl w:val="1"/>
        <w:rPr>
          <w:rFonts w:ascii="宋体" w:hAnsi="宋体" w:eastAsia="宋体" w:cs="宋体"/>
          <w:b/>
          <w:sz w:val="28"/>
          <w:szCs w:val="28"/>
        </w:rPr>
      </w:pPr>
      <w:bookmarkStart w:id="122" w:name="_Toc155100557"/>
      <w:r>
        <w:rPr>
          <w:rFonts w:hint="eastAsia" w:ascii="宋体" w:hAnsi="宋体" w:eastAsia="宋体" w:cs="宋体"/>
          <w:b/>
          <w:sz w:val="28"/>
          <w:szCs w:val="28"/>
        </w:rPr>
        <w:t>9.法人授权委托证明书</w:t>
      </w:r>
      <w:bookmarkEnd w:id="122"/>
    </w:p>
    <w:p>
      <w:pPr>
        <w:spacing w:line="400" w:lineRule="exact"/>
        <w:ind w:left="1260"/>
        <w:rPr>
          <w:rFonts w:ascii="宋体" w:hAnsi="宋体" w:eastAsia="宋体" w:cs="宋体"/>
          <w:b/>
          <w:sz w:val="24"/>
          <w:szCs w:val="24"/>
        </w:rPr>
      </w:pPr>
    </w:p>
    <w:p>
      <w:pPr>
        <w:spacing w:line="360" w:lineRule="auto"/>
        <w:rPr>
          <w:rFonts w:ascii="宋体" w:hAnsi="宋体" w:eastAsia="宋体" w:cs="宋体"/>
          <w:kern w:val="0"/>
          <w:sz w:val="24"/>
          <w:szCs w:val="24"/>
        </w:rPr>
      </w:pPr>
      <w:r>
        <w:rPr>
          <w:rFonts w:hint="eastAsia" w:ascii="宋体" w:hAnsi="宋体" w:eastAsia="宋体" w:cs="宋体"/>
          <w:kern w:val="0"/>
          <w:sz w:val="24"/>
          <w:szCs w:val="24"/>
        </w:rPr>
        <w:t>致：江西俱承工程管理有限公司</w:t>
      </w:r>
    </w:p>
    <w:p>
      <w:pPr>
        <w:spacing w:line="360" w:lineRule="auto"/>
        <w:ind w:firstLine="480" w:firstLineChars="200"/>
        <w:rPr>
          <w:rFonts w:ascii="宋体" w:hAnsi="宋体" w:eastAsia="宋体" w:cs="宋体"/>
          <w:kern w:val="0"/>
          <w:sz w:val="24"/>
          <w:szCs w:val="24"/>
        </w:rPr>
      </w:pPr>
      <w:r>
        <w:rPr>
          <w:rFonts w:hint="eastAsia" w:ascii="宋体" w:hAnsi="宋体" w:eastAsia="宋体" w:cs="宋体"/>
          <w:kern w:val="0"/>
          <w:sz w:val="24"/>
          <w:szCs w:val="24"/>
        </w:rPr>
        <w:t>我</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（姓名）系</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（投标人名称）的法定代表人，现授权委托本单位在职职工</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（姓名）以我方的名义参加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项目（项目编号：</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）的招标活动，并代表我方全权办理针对上述项目的投标、开标、评标、签约等具体事务和签署相关文件。</w:t>
      </w:r>
    </w:p>
    <w:p>
      <w:pPr>
        <w:spacing w:line="360" w:lineRule="auto"/>
        <w:ind w:firstLine="420"/>
        <w:rPr>
          <w:rFonts w:ascii="宋体" w:hAnsi="宋体" w:eastAsia="宋体" w:cs="宋体"/>
          <w:kern w:val="0"/>
          <w:sz w:val="24"/>
          <w:szCs w:val="24"/>
        </w:rPr>
      </w:pPr>
      <w:r>
        <w:rPr>
          <w:rFonts w:hint="eastAsia" w:ascii="宋体" w:hAnsi="宋体" w:eastAsia="宋体" w:cs="宋体"/>
          <w:kern w:val="0"/>
          <w:sz w:val="24"/>
          <w:szCs w:val="24"/>
        </w:rPr>
        <w:t>我方对被授权人的签名负全部责任。</w:t>
      </w:r>
    </w:p>
    <w:p>
      <w:pPr>
        <w:spacing w:line="360" w:lineRule="auto"/>
        <w:ind w:firstLine="420"/>
        <w:rPr>
          <w:rFonts w:ascii="宋体" w:hAnsi="宋体" w:eastAsia="宋体" w:cs="宋体"/>
          <w:kern w:val="0"/>
          <w:sz w:val="24"/>
          <w:szCs w:val="24"/>
        </w:rPr>
      </w:pPr>
      <w:r>
        <w:rPr>
          <w:rFonts w:hint="eastAsia" w:ascii="宋体" w:hAnsi="宋体" w:eastAsia="宋体" w:cs="宋体"/>
          <w:kern w:val="0"/>
          <w:sz w:val="24"/>
          <w:szCs w:val="24"/>
        </w:rPr>
        <w:t>代理期限从</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日起至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年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日止。 </w:t>
      </w:r>
    </w:p>
    <w:p>
      <w:pPr>
        <w:spacing w:line="360" w:lineRule="auto"/>
        <w:ind w:firstLine="420"/>
        <w:rPr>
          <w:rFonts w:ascii="宋体" w:hAnsi="宋体" w:eastAsia="宋体" w:cs="宋体"/>
          <w:kern w:val="0"/>
          <w:sz w:val="24"/>
          <w:szCs w:val="24"/>
        </w:rPr>
      </w:pPr>
      <w:r>
        <w:rPr>
          <w:rFonts w:hint="eastAsia" w:ascii="宋体" w:hAnsi="宋体" w:eastAsia="宋体" w:cs="宋体"/>
          <w:kern w:val="0"/>
          <w:sz w:val="24"/>
          <w:szCs w:val="24"/>
        </w:rPr>
        <w:t>被授权人在授权书有效期内签署的所有文件不因授权的撤销而失效。</w:t>
      </w:r>
    </w:p>
    <w:p>
      <w:pPr>
        <w:spacing w:line="360" w:lineRule="auto"/>
        <w:ind w:firstLine="420"/>
        <w:rPr>
          <w:rFonts w:ascii="宋体" w:hAnsi="宋体" w:eastAsia="宋体" w:cs="宋体"/>
          <w:kern w:val="0"/>
          <w:sz w:val="24"/>
          <w:szCs w:val="24"/>
        </w:rPr>
      </w:pPr>
      <w:r>
        <w:rPr>
          <w:rFonts w:hint="eastAsia" w:ascii="宋体" w:hAnsi="宋体" w:eastAsia="宋体" w:cs="宋体"/>
          <w:kern w:val="0"/>
          <w:sz w:val="24"/>
          <w:szCs w:val="24"/>
        </w:rPr>
        <w:t>被授权人无转委托权，特此委托。</w:t>
      </w:r>
    </w:p>
    <w:p>
      <w:pPr>
        <w:spacing w:line="360" w:lineRule="auto"/>
        <w:rPr>
          <w:rFonts w:ascii="宋体" w:hAnsi="宋体" w:eastAsia="宋体" w:cs="宋体"/>
          <w:bCs/>
          <w:sz w:val="24"/>
          <w:szCs w:val="24"/>
        </w:rPr>
      </w:pPr>
    </w:p>
    <w:p>
      <w:pPr>
        <w:spacing w:line="360" w:lineRule="auto"/>
        <w:ind w:firstLine="420"/>
        <w:rPr>
          <w:rFonts w:ascii="宋体" w:hAnsi="宋体" w:eastAsia="宋体" w:cs="宋体"/>
          <w:bCs/>
          <w:sz w:val="24"/>
          <w:szCs w:val="24"/>
        </w:rPr>
      </w:pPr>
      <w:r>
        <w:rPr>
          <w:rFonts w:hint="eastAsia" w:ascii="宋体" w:hAnsi="宋体" w:eastAsia="宋体" w:cs="宋体"/>
          <w:bCs/>
          <w:sz w:val="24"/>
          <w:szCs w:val="24"/>
        </w:rPr>
        <w:t xml:space="preserve">被授权人签名：                           </w:t>
      </w:r>
      <w:r>
        <w:rPr>
          <w:rFonts w:hint="eastAsia" w:ascii="宋体" w:hAnsi="宋体" w:eastAsia="宋体" w:cs="宋体"/>
          <w:kern w:val="0"/>
          <w:sz w:val="24"/>
          <w:szCs w:val="24"/>
        </w:rPr>
        <w:t>法定代表人签名：</w:t>
      </w:r>
    </w:p>
    <w:p>
      <w:pPr>
        <w:spacing w:line="360" w:lineRule="auto"/>
        <w:ind w:firstLine="465"/>
        <w:rPr>
          <w:rFonts w:ascii="宋体" w:hAnsi="宋体" w:eastAsia="宋体" w:cs="宋体"/>
          <w:bCs/>
          <w:sz w:val="24"/>
          <w:szCs w:val="24"/>
        </w:rPr>
      </w:pPr>
      <w:r>
        <w:rPr>
          <w:rFonts w:hint="eastAsia" w:ascii="宋体" w:hAnsi="宋体" w:eastAsia="宋体" w:cs="宋体"/>
          <w:bCs/>
          <w:sz w:val="24"/>
          <w:szCs w:val="24"/>
        </w:rPr>
        <w:t xml:space="preserve">职务：                                   </w:t>
      </w:r>
      <w:r>
        <w:rPr>
          <w:rFonts w:hint="eastAsia" w:ascii="宋体" w:hAnsi="宋体" w:eastAsia="宋体" w:cs="宋体"/>
          <w:kern w:val="0"/>
          <w:sz w:val="24"/>
          <w:szCs w:val="24"/>
        </w:rPr>
        <w:t>职务：</w:t>
      </w:r>
    </w:p>
    <w:p>
      <w:pPr>
        <w:widowControl/>
        <w:spacing w:line="360" w:lineRule="auto"/>
        <w:ind w:firstLine="480" w:firstLineChars="200"/>
        <w:jc w:val="left"/>
        <w:rPr>
          <w:rFonts w:ascii="宋体" w:hAnsi="宋体" w:eastAsia="宋体" w:cs="宋体"/>
          <w:kern w:val="0"/>
          <w:sz w:val="24"/>
          <w:szCs w:val="24"/>
        </w:rPr>
      </w:pPr>
      <w:r>
        <w:rPr>
          <w:rFonts w:hint="eastAsia" w:ascii="宋体" w:hAnsi="宋体" w:eastAsia="宋体" w:cs="宋体"/>
          <w:bCs/>
          <w:sz w:val="24"/>
          <w:szCs w:val="24"/>
        </w:rPr>
        <w:t xml:space="preserve">联系电话：                               </w:t>
      </w:r>
      <w:r>
        <w:rPr>
          <w:rFonts w:hint="eastAsia" w:ascii="宋体" w:hAnsi="宋体" w:eastAsia="宋体" w:cs="宋体"/>
          <w:kern w:val="0"/>
          <w:sz w:val="24"/>
          <w:szCs w:val="24"/>
        </w:rPr>
        <w:t>联系电话：</w:t>
      </w:r>
    </w:p>
    <w:p>
      <w:pPr>
        <w:widowControl/>
        <w:spacing w:line="360" w:lineRule="auto"/>
        <w:ind w:right="-483" w:rightChars="-230"/>
        <w:jc w:val="left"/>
        <w:rPr>
          <w:rFonts w:ascii="宋体" w:hAnsi="宋体" w:eastAsia="宋体" w:cs="宋体"/>
          <w:kern w:val="0"/>
          <w:sz w:val="24"/>
          <w:szCs w:val="24"/>
        </w:rPr>
      </w:pPr>
      <w:r>
        <w:rPr>
          <w:rFonts w:hint="eastAsia" w:ascii="宋体" w:hAnsi="宋体" w:eastAsia="宋体" w:cs="宋体"/>
          <w:kern w:val="0"/>
          <w:sz w:val="24"/>
          <w:szCs w:val="24"/>
        </w:rPr>
        <w:t xml:space="preserve">                                          </w:t>
      </w:r>
      <w:r>
        <w:rPr>
          <w:rFonts w:hint="eastAsia" w:ascii="宋体" w:hAnsi="宋体" w:eastAsia="宋体" w:cs="宋体"/>
          <w:sz w:val="24"/>
          <w:szCs w:val="24"/>
        </w:rPr>
        <w:t xml:space="preserve">   </w:t>
      </w:r>
      <w:r>
        <w:rPr>
          <w:rFonts w:hint="eastAsia" w:ascii="宋体" w:hAnsi="宋体" w:eastAsia="宋体" w:cs="宋体"/>
          <w:kern w:val="0"/>
          <w:sz w:val="24"/>
          <w:szCs w:val="24"/>
        </w:rPr>
        <w:t>投标单位名称（加盖公章）</w:t>
      </w:r>
    </w:p>
    <w:p>
      <w:pPr>
        <w:widowControl/>
        <w:spacing w:line="360" w:lineRule="auto"/>
        <w:jc w:val="left"/>
        <w:rPr>
          <w:rFonts w:ascii="宋体" w:hAnsi="宋体" w:eastAsia="宋体" w:cs="宋体"/>
          <w:sz w:val="24"/>
          <w:szCs w:val="24"/>
        </w:rPr>
      </w:pPr>
      <w:r>
        <w:rPr>
          <w:rFonts w:hint="eastAsia" w:ascii="宋体" w:hAnsi="宋体" w:eastAsia="宋体" w:cs="宋体"/>
          <w:sz w:val="24"/>
          <w:szCs w:val="24"/>
        </w:rPr>
        <w:t xml:space="preserve">                                             地址：</w:t>
      </w:r>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sz w:val="24"/>
          <w:szCs w:val="24"/>
        </w:rPr>
        <w:t xml:space="preserve">                                         日期： 　  年   月   日</w:t>
      </w:r>
    </w:p>
    <w:p>
      <w:pPr>
        <w:widowControl/>
        <w:spacing w:line="360" w:lineRule="auto"/>
        <w:jc w:val="left"/>
        <w:rPr>
          <w:rFonts w:ascii="宋体" w:hAnsi="宋体" w:eastAsia="宋体" w:cs="宋体"/>
          <w:sz w:val="24"/>
          <w:szCs w:val="24"/>
        </w:rPr>
      </w:pPr>
    </w:p>
    <w:p>
      <w:pPr>
        <w:widowControl/>
        <w:spacing w:line="360" w:lineRule="auto"/>
        <w:jc w:val="left"/>
        <w:rPr>
          <w:rFonts w:ascii="宋体" w:hAnsi="宋体" w:eastAsia="宋体" w:cs="宋体"/>
          <w:sz w:val="24"/>
          <w:szCs w:val="24"/>
        </w:rPr>
      </w:pPr>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rPr>
        <w:t>附件：</w:t>
      </w:r>
      <w:r>
        <w:rPr>
          <w:rFonts w:hint="eastAsia" w:ascii="宋体" w:hAnsi="宋体" w:eastAsia="宋体" w:cs="宋体"/>
          <w:sz w:val="24"/>
          <w:szCs w:val="24"/>
        </w:rPr>
        <w:t>法定代表人身份证、被授权人身份证</w:t>
      </w:r>
    </w:p>
    <w:p>
      <w:pPr>
        <w:spacing w:line="400" w:lineRule="exact"/>
        <w:jc w:val="center"/>
        <w:rPr>
          <w:rFonts w:ascii="宋体" w:hAnsi="宋体" w:eastAsia="宋体" w:cs="宋体"/>
          <w:b/>
          <w:sz w:val="24"/>
          <w:szCs w:val="24"/>
        </w:rPr>
      </w:pPr>
    </w:p>
    <w:p>
      <w:pPr>
        <w:spacing w:line="400" w:lineRule="exact"/>
        <w:rPr>
          <w:rFonts w:ascii="宋体" w:hAnsi="宋体" w:eastAsia="宋体" w:cs="宋体"/>
          <w:b/>
          <w:sz w:val="24"/>
          <w:szCs w:val="24"/>
        </w:rPr>
      </w:pPr>
    </w:p>
    <w:p>
      <w:pPr>
        <w:rPr>
          <w:rFonts w:ascii="宋体" w:hAnsi="宋体" w:eastAsia="宋体" w:cs="宋体"/>
          <w:sz w:val="24"/>
          <w:szCs w:val="24"/>
        </w:rPr>
      </w:pPr>
      <w:r>
        <w:rPr>
          <w:rFonts w:hint="eastAsia" w:ascii="宋体" w:hAnsi="宋体" w:eastAsia="宋体" w:cs="宋体"/>
          <w:sz w:val="24"/>
          <w:szCs w:val="24"/>
        </w:rPr>
        <w:br w:type="page"/>
      </w:r>
    </w:p>
    <w:p>
      <w:pPr>
        <w:spacing w:line="320" w:lineRule="exact"/>
        <w:jc w:val="center"/>
        <w:outlineLvl w:val="1"/>
        <w:rPr>
          <w:rFonts w:ascii="宋体" w:hAnsi="宋体" w:eastAsia="宋体" w:cs="宋体"/>
          <w:b/>
          <w:sz w:val="28"/>
          <w:szCs w:val="28"/>
        </w:rPr>
      </w:pPr>
      <w:bookmarkStart w:id="123" w:name="_Toc109791482"/>
      <w:bookmarkStart w:id="124" w:name="_Toc90713379"/>
      <w:bookmarkStart w:id="125" w:name="_Toc90712560"/>
      <w:bookmarkStart w:id="126" w:name="_Toc87621080"/>
      <w:bookmarkStart w:id="127" w:name="_Toc155100558"/>
      <w:r>
        <w:rPr>
          <w:rFonts w:hint="eastAsia" w:ascii="宋体" w:hAnsi="宋体" w:eastAsia="宋体" w:cs="宋体"/>
          <w:b/>
          <w:sz w:val="28"/>
          <w:szCs w:val="28"/>
        </w:rPr>
        <w:t>10.</w:t>
      </w:r>
      <w:bookmarkEnd w:id="123"/>
      <w:bookmarkEnd w:id="124"/>
      <w:bookmarkEnd w:id="125"/>
      <w:bookmarkEnd w:id="126"/>
      <w:r>
        <w:rPr>
          <w:rFonts w:hint="eastAsia" w:ascii="宋体" w:hAnsi="宋体" w:eastAsia="宋体" w:cs="宋体"/>
          <w:b/>
          <w:sz w:val="28"/>
          <w:szCs w:val="28"/>
        </w:rPr>
        <w:t>主要成功案例</w:t>
      </w:r>
      <w:bookmarkEnd w:id="127"/>
    </w:p>
    <w:p>
      <w:pPr>
        <w:spacing w:line="320" w:lineRule="exact"/>
        <w:jc w:val="center"/>
        <w:rPr>
          <w:rFonts w:ascii="宋体" w:hAnsi="宋体" w:eastAsia="宋体" w:cs="宋体"/>
          <w:sz w:val="24"/>
          <w:szCs w:val="24"/>
        </w:rPr>
      </w:pPr>
      <w:r>
        <w:rPr>
          <w:rFonts w:hint="eastAsia" w:ascii="宋体" w:hAnsi="宋体" w:eastAsia="宋体" w:cs="宋体"/>
          <w:sz w:val="24"/>
          <w:szCs w:val="24"/>
        </w:rPr>
        <w:t>（格式仅供参考）</w:t>
      </w:r>
    </w:p>
    <w:p>
      <w:pPr>
        <w:spacing w:line="320" w:lineRule="exact"/>
        <w:jc w:val="center"/>
        <w:rPr>
          <w:rFonts w:ascii="宋体" w:hAnsi="宋体" w:eastAsia="宋体" w:cs="宋体"/>
          <w:sz w:val="24"/>
          <w:szCs w:val="24"/>
        </w:rPr>
      </w:pPr>
    </w:p>
    <w:tbl>
      <w:tblPr>
        <w:tblStyle w:val="40"/>
        <w:tblW w:w="93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1"/>
        <w:gridCol w:w="823"/>
        <w:gridCol w:w="1599"/>
        <w:gridCol w:w="1574"/>
        <w:gridCol w:w="1574"/>
        <w:gridCol w:w="2018"/>
        <w:gridCol w:w="1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11" w:type="dxa"/>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序号</w:t>
            </w:r>
          </w:p>
        </w:tc>
        <w:tc>
          <w:tcPr>
            <w:tcW w:w="823" w:type="dxa"/>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年份</w:t>
            </w:r>
          </w:p>
        </w:tc>
        <w:tc>
          <w:tcPr>
            <w:tcW w:w="1599" w:type="dxa"/>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项目名称</w:t>
            </w:r>
          </w:p>
        </w:tc>
        <w:tc>
          <w:tcPr>
            <w:tcW w:w="1574" w:type="dxa"/>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数量</w:t>
            </w:r>
          </w:p>
        </w:tc>
        <w:tc>
          <w:tcPr>
            <w:tcW w:w="1574" w:type="dxa"/>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合同总金额</w:t>
            </w:r>
          </w:p>
          <w:p>
            <w:pPr>
              <w:spacing w:line="320" w:lineRule="exact"/>
              <w:jc w:val="center"/>
              <w:rPr>
                <w:rFonts w:ascii="宋体" w:hAnsi="宋体" w:eastAsia="宋体" w:cs="宋体"/>
                <w:bCs/>
                <w:sz w:val="24"/>
                <w:szCs w:val="24"/>
              </w:rPr>
            </w:pPr>
            <w:r>
              <w:rPr>
                <w:rFonts w:hint="eastAsia" w:ascii="宋体" w:hAnsi="宋体" w:eastAsia="宋体" w:cs="宋体"/>
                <w:bCs/>
                <w:sz w:val="24"/>
                <w:szCs w:val="24"/>
              </w:rPr>
              <w:t>（万元）</w:t>
            </w:r>
          </w:p>
        </w:tc>
        <w:tc>
          <w:tcPr>
            <w:tcW w:w="2018" w:type="dxa"/>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委托方的单位名称、联系人及电话</w:t>
            </w:r>
          </w:p>
        </w:tc>
        <w:tc>
          <w:tcPr>
            <w:tcW w:w="1150" w:type="dxa"/>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restart"/>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1</w:t>
            </w:r>
          </w:p>
        </w:tc>
        <w:tc>
          <w:tcPr>
            <w:tcW w:w="823" w:type="dxa"/>
            <w:vMerge w:val="restart"/>
            <w:vAlign w:val="center"/>
          </w:tcPr>
          <w:p>
            <w:pPr>
              <w:spacing w:line="320" w:lineRule="exact"/>
              <w:jc w:val="center"/>
              <w:rPr>
                <w:rFonts w:ascii="宋体" w:hAnsi="宋体" w:eastAsia="宋体" w:cs="宋体"/>
                <w:bCs/>
                <w:sz w:val="24"/>
                <w:szCs w:val="24"/>
              </w:rPr>
            </w:pPr>
          </w:p>
        </w:tc>
        <w:tc>
          <w:tcPr>
            <w:tcW w:w="1599" w:type="dxa"/>
            <w:vAlign w:val="center"/>
          </w:tcPr>
          <w:p>
            <w:pPr>
              <w:spacing w:line="320" w:lineRule="exact"/>
              <w:jc w:val="left"/>
              <w:rPr>
                <w:rFonts w:ascii="宋体" w:hAnsi="宋体" w:eastAsia="宋体" w:cs="宋体"/>
                <w:bCs/>
                <w:sz w:val="24"/>
                <w:szCs w:val="24"/>
              </w:rPr>
            </w:pPr>
          </w:p>
        </w:tc>
        <w:tc>
          <w:tcPr>
            <w:tcW w:w="1574" w:type="dxa"/>
          </w:tcPr>
          <w:p>
            <w:pPr>
              <w:spacing w:line="320" w:lineRule="exact"/>
              <w:jc w:val="left"/>
              <w:rPr>
                <w:rFonts w:ascii="宋体" w:hAnsi="宋体" w:eastAsia="宋体" w:cs="宋体"/>
                <w:bCs/>
                <w:sz w:val="24"/>
                <w:szCs w:val="24"/>
              </w:rPr>
            </w:pPr>
          </w:p>
        </w:tc>
        <w:tc>
          <w:tcPr>
            <w:tcW w:w="1574" w:type="dxa"/>
            <w:vAlign w:val="center"/>
          </w:tcPr>
          <w:p>
            <w:pPr>
              <w:spacing w:line="320" w:lineRule="exact"/>
              <w:jc w:val="left"/>
              <w:rPr>
                <w:rFonts w:ascii="宋体" w:hAnsi="宋体" w:eastAsia="宋体" w:cs="宋体"/>
                <w:bCs/>
                <w:sz w:val="24"/>
                <w:szCs w:val="24"/>
              </w:rPr>
            </w:pPr>
          </w:p>
        </w:tc>
        <w:tc>
          <w:tcPr>
            <w:tcW w:w="2018" w:type="dxa"/>
          </w:tcPr>
          <w:p>
            <w:pPr>
              <w:spacing w:line="320" w:lineRule="exact"/>
              <w:jc w:val="left"/>
              <w:rPr>
                <w:rFonts w:ascii="宋体" w:hAnsi="宋体" w:eastAsia="宋体" w:cs="宋体"/>
                <w:bCs/>
                <w:sz w:val="24"/>
                <w:szCs w:val="24"/>
              </w:rPr>
            </w:pPr>
          </w:p>
        </w:tc>
        <w:tc>
          <w:tcPr>
            <w:tcW w:w="1150" w:type="dxa"/>
            <w:vAlign w:val="center"/>
          </w:tcPr>
          <w:p>
            <w:pPr>
              <w:spacing w:line="320" w:lineRule="exact"/>
              <w:jc w:val="left"/>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continue"/>
            <w:vAlign w:val="center"/>
          </w:tcPr>
          <w:p>
            <w:pPr>
              <w:spacing w:line="320" w:lineRule="exact"/>
              <w:jc w:val="center"/>
              <w:rPr>
                <w:rFonts w:ascii="宋体" w:hAnsi="宋体" w:eastAsia="宋体" w:cs="宋体"/>
                <w:bCs/>
                <w:sz w:val="24"/>
                <w:szCs w:val="24"/>
              </w:rPr>
            </w:pPr>
          </w:p>
        </w:tc>
        <w:tc>
          <w:tcPr>
            <w:tcW w:w="823" w:type="dxa"/>
            <w:vMerge w:val="continue"/>
            <w:vAlign w:val="center"/>
          </w:tcPr>
          <w:p>
            <w:pPr>
              <w:spacing w:line="320" w:lineRule="exact"/>
              <w:jc w:val="center"/>
              <w:rPr>
                <w:rFonts w:ascii="宋体" w:hAnsi="宋体" w:eastAsia="宋体" w:cs="宋体"/>
                <w:bCs/>
                <w:sz w:val="24"/>
                <w:szCs w:val="24"/>
              </w:rPr>
            </w:pPr>
          </w:p>
        </w:tc>
        <w:tc>
          <w:tcPr>
            <w:tcW w:w="1599" w:type="dxa"/>
            <w:vAlign w:val="center"/>
          </w:tcPr>
          <w:p>
            <w:pPr>
              <w:spacing w:line="320" w:lineRule="exact"/>
              <w:jc w:val="left"/>
              <w:rPr>
                <w:rFonts w:ascii="宋体" w:hAnsi="宋体" w:eastAsia="宋体" w:cs="宋体"/>
                <w:bCs/>
                <w:sz w:val="24"/>
                <w:szCs w:val="24"/>
              </w:rPr>
            </w:pPr>
          </w:p>
        </w:tc>
        <w:tc>
          <w:tcPr>
            <w:tcW w:w="1574" w:type="dxa"/>
          </w:tcPr>
          <w:p>
            <w:pPr>
              <w:spacing w:line="320" w:lineRule="exact"/>
              <w:jc w:val="left"/>
              <w:rPr>
                <w:rFonts w:ascii="宋体" w:hAnsi="宋体" w:eastAsia="宋体" w:cs="宋体"/>
                <w:bCs/>
                <w:sz w:val="24"/>
                <w:szCs w:val="24"/>
              </w:rPr>
            </w:pPr>
          </w:p>
        </w:tc>
        <w:tc>
          <w:tcPr>
            <w:tcW w:w="1574" w:type="dxa"/>
            <w:vAlign w:val="center"/>
          </w:tcPr>
          <w:p>
            <w:pPr>
              <w:spacing w:line="320" w:lineRule="exact"/>
              <w:jc w:val="left"/>
              <w:rPr>
                <w:rFonts w:ascii="宋体" w:hAnsi="宋体" w:eastAsia="宋体" w:cs="宋体"/>
                <w:bCs/>
                <w:sz w:val="24"/>
                <w:szCs w:val="24"/>
              </w:rPr>
            </w:pPr>
          </w:p>
        </w:tc>
        <w:tc>
          <w:tcPr>
            <w:tcW w:w="2018" w:type="dxa"/>
          </w:tcPr>
          <w:p>
            <w:pPr>
              <w:spacing w:line="320" w:lineRule="exact"/>
              <w:jc w:val="left"/>
              <w:rPr>
                <w:rFonts w:ascii="宋体" w:hAnsi="宋体" w:eastAsia="宋体" w:cs="宋体"/>
                <w:bCs/>
                <w:sz w:val="24"/>
                <w:szCs w:val="24"/>
              </w:rPr>
            </w:pPr>
          </w:p>
        </w:tc>
        <w:tc>
          <w:tcPr>
            <w:tcW w:w="1150" w:type="dxa"/>
            <w:vAlign w:val="center"/>
          </w:tcPr>
          <w:p>
            <w:pPr>
              <w:spacing w:line="320" w:lineRule="exact"/>
              <w:jc w:val="left"/>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continue"/>
            <w:vAlign w:val="center"/>
          </w:tcPr>
          <w:p>
            <w:pPr>
              <w:spacing w:line="320" w:lineRule="exact"/>
              <w:jc w:val="center"/>
              <w:rPr>
                <w:rFonts w:ascii="宋体" w:hAnsi="宋体" w:eastAsia="宋体" w:cs="宋体"/>
                <w:bCs/>
                <w:sz w:val="24"/>
                <w:szCs w:val="24"/>
              </w:rPr>
            </w:pPr>
          </w:p>
        </w:tc>
        <w:tc>
          <w:tcPr>
            <w:tcW w:w="823" w:type="dxa"/>
            <w:vMerge w:val="continue"/>
            <w:vAlign w:val="center"/>
          </w:tcPr>
          <w:p>
            <w:pPr>
              <w:spacing w:line="320" w:lineRule="exact"/>
              <w:jc w:val="center"/>
              <w:rPr>
                <w:rFonts w:ascii="宋体" w:hAnsi="宋体" w:eastAsia="宋体" w:cs="宋体"/>
                <w:bCs/>
                <w:sz w:val="24"/>
                <w:szCs w:val="24"/>
              </w:rPr>
            </w:pPr>
          </w:p>
        </w:tc>
        <w:tc>
          <w:tcPr>
            <w:tcW w:w="1599" w:type="dxa"/>
            <w:vAlign w:val="center"/>
          </w:tcPr>
          <w:p>
            <w:pPr>
              <w:spacing w:line="320" w:lineRule="exact"/>
              <w:jc w:val="left"/>
              <w:rPr>
                <w:rFonts w:ascii="宋体" w:hAnsi="宋体" w:eastAsia="宋体" w:cs="宋体"/>
                <w:bCs/>
                <w:sz w:val="24"/>
                <w:szCs w:val="24"/>
              </w:rPr>
            </w:pPr>
            <w:r>
              <w:rPr>
                <w:rFonts w:hint="eastAsia" w:ascii="宋体" w:hAnsi="宋体" w:eastAsia="宋体" w:cs="宋体"/>
                <w:bCs/>
                <w:sz w:val="24"/>
                <w:szCs w:val="24"/>
              </w:rPr>
              <w:t>┆</w:t>
            </w:r>
          </w:p>
        </w:tc>
        <w:tc>
          <w:tcPr>
            <w:tcW w:w="1574" w:type="dxa"/>
          </w:tcPr>
          <w:p>
            <w:pPr>
              <w:spacing w:line="320" w:lineRule="exact"/>
              <w:jc w:val="left"/>
              <w:rPr>
                <w:rFonts w:ascii="宋体" w:hAnsi="宋体" w:eastAsia="宋体" w:cs="宋体"/>
                <w:bCs/>
                <w:sz w:val="24"/>
                <w:szCs w:val="24"/>
              </w:rPr>
            </w:pPr>
          </w:p>
        </w:tc>
        <w:tc>
          <w:tcPr>
            <w:tcW w:w="1574" w:type="dxa"/>
            <w:vAlign w:val="center"/>
          </w:tcPr>
          <w:p>
            <w:pPr>
              <w:spacing w:line="320" w:lineRule="exact"/>
              <w:jc w:val="left"/>
              <w:rPr>
                <w:rFonts w:ascii="宋体" w:hAnsi="宋体" w:eastAsia="宋体" w:cs="宋体"/>
                <w:bCs/>
                <w:sz w:val="24"/>
                <w:szCs w:val="24"/>
              </w:rPr>
            </w:pPr>
          </w:p>
        </w:tc>
        <w:tc>
          <w:tcPr>
            <w:tcW w:w="2018" w:type="dxa"/>
          </w:tcPr>
          <w:p>
            <w:pPr>
              <w:spacing w:line="320" w:lineRule="exact"/>
              <w:jc w:val="left"/>
              <w:rPr>
                <w:rFonts w:ascii="宋体" w:hAnsi="宋体" w:eastAsia="宋体" w:cs="宋体"/>
                <w:bCs/>
                <w:sz w:val="24"/>
                <w:szCs w:val="24"/>
              </w:rPr>
            </w:pPr>
          </w:p>
        </w:tc>
        <w:tc>
          <w:tcPr>
            <w:tcW w:w="1150" w:type="dxa"/>
            <w:vAlign w:val="center"/>
          </w:tcPr>
          <w:p>
            <w:pPr>
              <w:spacing w:line="320" w:lineRule="exact"/>
              <w:jc w:val="left"/>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restart"/>
            <w:vAlign w:val="center"/>
          </w:tcPr>
          <w:p>
            <w:pPr>
              <w:spacing w:line="320" w:lineRule="exact"/>
              <w:jc w:val="center"/>
              <w:rPr>
                <w:rFonts w:ascii="宋体" w:hAnsi="宋体" w:eastAsia="宋体" w:cs="宋体"/>
                <w:bCs/>
                <w:sz w:val="24"/>
                <w:szCs w:val="24"/>
              </w:rPr>
            </w:pPr>
            <w:r>
              <w:rPr>
                <w:rFonts w:hint="eastAsia" w:ascii="宋体" w:hAnsi="宋体" w:eastAsia="宋体" w:cs="宋体"/>
                <w:bCs/>
                <w:sz w:val="24"/>
                <w:szCs w:val="24"/>
              </w:rPr>
              <w:t>2</w:t>
            </w:r>
          </w:p>
        </w:tc>
        <w:tc>
          <w:tcPr>
            <w:tcW w:w="823" w:type="dxa"/>
            <w:vMerge w:val="restart"/>
            <w:vAlign w:val="center"/>
          </w:tcPr>
          <w:p>
            <w:pPr>
              <w:spacing w:line="320" w:lineRule="exact"/>
              <w:jc w:val="center"/>
              <w:rPr>
                <w:rFonts w:ascii="宋体" w:hAnsi="宋体" w:eastAsia="宋体" w:cs="宋体"/>
                <w:bCs/>
                <w:sz w:val="24"/>
                <w:szCs w:val="24"/>
              </w:rPr>
            </w:pPr>
          </w:p>
        </w:tc>
        <w:tc>
          <w:tcPr>
            <w:tcW w:w="1599" w:type="dxa"/>
            <w:vAlign w:val="center"/>
          </w:tcPr>
          <w:p>
            <w:pPr>
              <w:spacing w:line="320" w:lineRule="exact"/>
              <w:jc w:val="left"/>
              <w:rPr>
                <w:rFonts w:ascii="宋体" w:hAnsi="宋体" w:eastAsia="宋体" w:cs="宋体"/>
                <w:bCs/>
                <w:sz w:val="24"/>
                <w:szCs w:val="24"/>
              </w:rPr>
            </w:pPr>
          </w:p>
        </w:tc>
        <w:tc>
          <w:tcPr>
            <w:tcW w:w="1574" w:type="dxa"/>
          </w:tcPr>
          <w:p>
            <w:pPr>
              <w:spacing w:line="320" w:lineRule="exact"/>
              <w:jc w:val="left"/>
              <w:rPr>
                <w:rFonts w:ascii="宋体" w:hAnsi="宋体" w:eastAsia="宋体" w:cs="宋体"/>
                <w:bCs/>
                <w:sz w:val="24"/>
                <w:szCs w:val="24"/>
              </w:rPr>
            </w:pPr>
          </w:p>
        </w:tc>
        <w:tc>
          <w:tcPr>
            <w:tcW w:w="1574" w:type="dxa"/>
            <w:vAlign w:val="center"/>
          </w:tcPr>
          <w:p>
            <w:pPr>
              <w:spacing w:line="320" w:lineRule="exact"/>
              <w:jc w:val="left"/>
              <w:rPr>
                <w:rFonts w:ascii="宋体" w:hAnsi="宋体" w:eastAsia="宋体" w:cs="宋体"/>
                <w:bCs/>
                <w:sz w:val="24"/>
                <w:szCs w:val="24"/>
              </w:rPr>
            </w:pPr>
          </w:p>
        </w:tc>
        <w:tc>
          <w:tcPr>
            <w:tcW w:w="2018" w:type="dxa"/>
          </w:tcPr>
          <w:p>
            <w:pPr>
              <w:spacing w:line="320" w:lineRule="exact"/>
              <w:jc w:val="left"/>
              <w:rPr>
                <w:rFonts w:ascii="宋体" w:hAnsi="宋体" w:eastAsia="宋体" w:cs="宋体"/>
                <w:bCs/>
                <w:sz w:val="24"/>
                <w:szCs w:val="24"/>
              </w:rPr>
            </w:pPr>
          </w:p>
        </w:tc>
        <w:tc>
          <w:tcPr>
            <w:tcW w:w="1150" w:type="dxa"/>
            <w:vAlign w:val="center"/>
          </w:tcPr>
          <w:p>
            <w:pPr>
              <w:spacing w:line="320" w:lineRule="exact"/>
              <w:jc w:val="left"/>
              <w:rPr>
                <w:rFonts w:ascii="宋体" w:hAnsi="宋体" w:eastAsia="宋体" w:cs="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continue"/>
            <w:vAlign w:val="center"/>
          </w:tcPr>
          <w:p>
            <w:pPr>
              <w:spacing w:line="320" w:lineRule="exact"/>
              <w:jc w:val="center"/>
              <w:rPr>
                <w:rFonts w:ascii="宋体" w:hAnsi="宋体" w:eastAsia="宋体" w:cs="宋体"/>
                <w:sz w:val="24"/>
                <w:szCs w:val="24"/>
              </w:rPr>
            </w:pPr>
          </w:p>
        </w:tc>
        <w:tc>
          <w:tcPr>
            <w:tcW w:w="823" w:type="dxa"/>
            <w:vMerge w:val="continue"/>
            <w:vAlign w:val="center"/>
          </w:tcPr>
          <w:p>
            <w:pPr>
              <w:spacing w:line="320" w:lineRule="exact"/>
              <w:jc w:val="center"/>
              <w:rPr>
                <w:rFonts w:ascii="宋体" w:hAnsi="宋体" w:eastAsia="宋体" w:cs="宋体"/>
                <w:sz w:val="24"/>
                <w:szCs w:val="24"/>
              </w:rPr>
            </w:pPr>
          </w:p>
        </w:tc>
        <w:tc>
          <w:tcPr>
            <w:tcW w:w="1599" w:type="dxa"/>
            <w:vAlign w:val="center"/>
          </w:tcPr>
          <w:p>
            <w:pPr>
              <w:spacing w:line="320" w:lineRule="exact"/>
              <w:jc w:val="left"/>
              <w:rPr>
                <w:rFonts w:ascii="宋体" w:hAnsi="宋体" w:eastAsia="宋体" w:cs="宋体"/>
                <w:sz w:val="24"/>
                <w:szCs w:val="24"/>
              </w:rPr>
            </w:pPr>
          </w:p>
        </w:tc>
        <w:tc>
          <w:tcPr>
            <w:tcW w:w="1574" w:type="dxa"/>
          </w:tcPr>
          <w:p>
            <w:pPr>
              <w:spacing w:line="320" w:lineRule="exact"/>
              <w:jc w:val="left"/>
              <w:rPr>
                <w:rFonts w:ascii="宋体" w:hAnsi="宋体" w:eastAsia="宋体" w:cs="宋体"/>
                <w:sz w:val="24"/>
                <w:szCs w:val="24"/>
              </w:rPr>
            </w:pPr>
          </w:p>
        </w:tc>
        <w:tc>
          <w:tcPr>
            <w:tcW w:w="1574" w:type="dxa"/>
            <w:vAlign w:val="center"/>
          </w:tcPr>
          <w:p>
            <w:pPr>
              <w:spacing w:line="320" w:lineRule="exact"/>
              <w:jc w:val="left"/>
              <w:rPr>
                <w:rFonts w:ascii="宋体" w:hAnsi="宋体" w:eastAsia="宋体" w:cs="宋体"/>
                <w:sz w:val="24"/>
                <w:szCs w:val="24"/>
              </w:rPr>
            </w:pPr>
          </w:p>
        </w:tc>
        <w:tc>
          <w:tcPr>
            <w:tcW w:w="2018" w:type="dxa"/>
          </w:tcPr>
          <w:p>
            <w:pPr>
              <w:spacing w:line="320" w:lineRule="exact"/>
              <w:jc w:val="left"/>
              <w:rPr>
                <w:rFonts w:ascii="宋体" w:hAnsi="宋体" w:eastAsia="宋体" w:cs="宋体"/>
                <w:sz w:val="24"/>
                <w:szCs w:val="24"/>
              </w:rPr>
            </w:pPr>
          </w:p>
        </w:tc>
        <w:tc>
          <w:tcPr>
            <w:tcW w:w="1150" w:type="dxa"/>
            <w:vAlign w:val="center"/>
          </w:tcPr>
          <w:p>
            <w:pPr>
              <w:spacing w:line="320" w:lineRule="exact"/>
              <w:jc w:val="lef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continue"/>
            <w:vAlign w:val="center"/>
          </w:tcPr>
          <w:p>
            <w:pPr>
              <w:spacing w:line="320" w:lineRule="exact"/>
              <w:jc w:val="center"/>
              <w:rPr>
                <w:rFonts w:ascii="宋体" w:hAnsi="宋体" w:eastAsia="宋体" w:cs="宋体"/>
                <w:sz w:val="24"/>
                <w:szCs w:val="24"/>
              </w:rPr>
            </w:pPr>
          </w:p>
        </w:tc>
        <w:tc>
          <w:tcPr>
            <w:tcW w:w="823" w:type="dxa"/>
            <w:vMerge w:val="continue"/>
            <w:vAlign w:val="center"/>
          </w:tcPr>
          <w:p>
            <w:pPr>
              <w:spacing w:line="320" w:lineRule="exact"/>
              <w:jc w:val="center"/>
              <w:rPr>
                <w:rFonts w:ascii="宋体" w:hAnsi="宋体" w:eastAsia="宋体" w:cs="宋体"/>
                <w:sz w:val="24"/>
                <w:szCs w:val="24"/>
              </w:rPr>
            </w:pPr>
          </w:p>
        </w:tc>
        <w:tc>
          <w:tcPr>
            <w:tcW w:w="1599" w:type="dxa"/>
            <w:vAlign w:val="center"/>
          </w:tcPr>
          <w:p>
            <w:pPr>
              <w:spacing w:line="320" w:lineRule="exact"/>
              <w:jc w:val="left"/>
              <w:rPr>
                <w:rFonts w:ascii="宋体" w:hAnsi="宋体" w:eastAsia="宋体" w:cs="宋体"/>
                <w:sz w:val="24"/>
                <w:szCs w:val="24"/>
              </w:rPr>
            </w:pPr>
            <w:r>
              <w:rPr>
                <w:rFonts w:hint="eastAsia" w:ascii="宋体" w:hAnsi="宋体" w:eastAsia="宋体" w:cs="宋体"/>
                <w:sz w:val="24"/>
                <w:szCs w:val="24"/>
              </w:rPr>
              <w:t>┆</w:t>
            </w:r>
          </w:p>
        </w:tc>
        <w:tc>
          <w:tcPr>
            <w:tcW w:w="1574" w:type="dxa"/>
          </w:tcPr>
          <w:p>
            <w:pPr>
              <w:spacing w:line="320" w:lineRule="exact"/>
              <w:jc w:val="left"/>
              <w:rPr>
                <w:rFonts w:ascii="宋体" w:hAnsi="宋体" w:eastAsia="宋体" w:cs="宋体"/>
                <w:sz w:val="24"/>
                <w:szCs w:val="24"/>
              </w:rPr>
            </w:pPr>
          </w:p>
        </w:tc>
        <w:tc>
          <w:tcPr>
            <w:tcW w:w="1574" w:type="dxa"/>
            <w:vAlign w:val="center"/>
          </w:tcPr>
          <w:p>
            <w:pPr>
              <w:spacing w:line="320" w:lineRule="exact"/>
              <w:jc w:val="left"/>
              <w:rPr>
                <w:rFonts w:ascii="宋体" w:hAnsi="宋体" w:eastAsia="宋体" w:cs="宋体"/>
                <w:sz w:val="24"/>
                <w:szCs w:val="24"/>
              </w:rPr>
            </w:pPr>
          </w:p>
        </w:tc>
        <w:tc>
          <w:tcPr>
            <w:tcW w:w="2018" w:type="dxa"/>
          </w:tcPr>
          <w:p>
            <w:pPr>
              <w:spacing w:line="320" w:lineRule="exact"/>
              <w:jc w:val="left"/>
              <w:rPr>
                <w:rFonts w:ascii="宋体" w:hAnsi="宋体" w:eastAsia="宋体" w:cs="宋体"/>
                <w:sz w:val="24"/>
                <w:szCs w:val="24"/>
              </w:rPr>
            </w:pPr>
          </w:p>
        </w:tc>
        <w:tc>
          <w:tcPr>
            <w:tcW w:w="1150" w:type="dxa"/>
            <w:vAlign w:val="center"/>
          </w:tcPr>
          <w:p>
            <w:pPr>
              <w:spacing w:line="320" w:lineRule="exact"/>
              <w:jc w:val="lef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restart"/>
            <w:vAlign w:val="center"/>
          </w:tcPr>
          <w:p>
            <w:pPr>
              <w:spacing w:line="320" w:lineRule="exact"/>
              <w:jc w:val="center"/>
              <w:rPr>
                <w:rFonts w:ascii="宋体" w:hAnsi="宋体" w:eastAsia="宋体" w:cs="宋体"/>
                <w:sz w:val="24"/>
                <w:szCs w:val="24"/>
              </w:rPr>
            </w:pPr>
            <w:r>
              <w:rPr>
                <w:rFonts w:hint="eastAsia" w:ascii="宋体" w:hAnsi="宋体" w:eastAsia="宋体" w:cs="宋体"/>
                <w:sz w:val="24"/>
                <w:szCs w:val="24"/>
              </w:rPr>
              <w:t>3</w:t>
            </w:r>
          </w:p>
        </w:tc>
        <w:tc>
          <w:tcPr>
            <w:tcW w:w="823" w:type="dxa"/>
            <w:vMerge w:val="restart"/>
            <w:vAlign w:val="center"/>
          </w:tcPr>
          <w:p>
            <w:pPr>
              <w:spacing w:line="320" w:lineRule="exact"/>
              <w:jc w:val="center"/>
              <w:rPr>
                <w:rFonts w:ascii="宋体" w:hAnsi="宋体" w:eastAsia="宋体" w:cs="宋体"/>
                <w:sz w:val="24"/>
                <w:szCs w:val="24"/>
              </w:rPr>
            </w:pPr>
          </w:p>
        </w:tc>
        <w:tc>
          <w:tcPr>
            <w:tcW w:w="1599" w:type="dxa"/>
            <w:vAlign w:val="center"/>
          </w:tcPr>
          <w:p>
            <w:pPr>
              <w:spacing w:line="320" w:lineRule="exact"/>
              <w:jc w:val="left"/>
              <w:rPr>
                <w:rFonts w:ascii="宋体" w:hAnsi="宋体" w:eastAsia="宋体" w:cs="宋体"/>
                <w:sz w:val="24"/>
                <w:szCs w:val="24"/>
              </w:rPr>
            </w:pPr>
          </w:p>
        </w:tc>
        <w:tc>
          <w:tcPr>
            <w:tcW w:w="1574" w:type="dxa"/>
          </w:tcPr>
          <w:p>
            <w:pPr>
              <w:spacing w:line="320" w:lineRule="exact"/>
              <w:jc w:val="left"/>
              <w:rPr>
                <w:rFonts w:ascii="宋体" w:hAnsi="宋体" w:eastAsia="宋体" w:cs="宋体"/>
                <w:sz w:val="24"/>
                <w:szCs w:val="24"/>
              </w:rPr>
            </w:pPr>
          </w:p>
        </w:tc>
        <w:tc>
          <w:tcPr>
            <w:tcW w:w="1574" w:type="dxa"/>
            <w:vAlign w:val="center"/>
          </w:tcPr>
          <w:p>
            <w:pPr>
              <w:spacing w:line="320" w:lineRule="exact"/>
              <w:jc w:val="left"/>
              <w:rPr>
                <w:rFonts w:ascii="宋体" w:hAnsi="宋体" w:eastAsia="宋体" w:cs="宋体"/>
                <w:sz w:val="24"/>
                <w:szCs w:val="24"/>
              </w:rPr>
            </w:pPr>
          </w:p>
        </w:tc>
        <w:tc>
          <w:tcPr>
            <w:tcW w:w="2018" w:type="dxa"/>
          </w:tcPr>
          <w:p>
            <w:pPr>
              <w:spacing w:line="320" w:lineRule="exact"/>
              <w:jc w:val="left"/>
              <w:rPr>
                <w:rFonts w:ascii="宋体" w:hAnsi="宋体" w:eastAsia="宋体" w:cs="宋体"/>
                <w:sz w:val="24"/>
                <w:szCs w:val="24"/>
              </w:rPr>
            </w:pPr>
          </w:p>
        </w:tc>
        <w:tc>
          <w:tcPr>
            <w:tcW w:w="1150" w:type="dxa"/>
            <w:vAlign w:val="center"/>
          </w:tcPr>
          <w:p>
            <w:pPr>
              <w:spacing w:line="320" w:lineRule="exact"/>
              <w:jc w:val="lef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continue"/>
            <w:vAlign w:val="center"/>
          </w:tcPr>
          <w:p>
            <w:pPr>
              <w:spacing w:line="320" w:lineRule="exact"/>
              <w:jc w:val="center"/>
              <w:rPr>
                <w:rFonts w:ascii="宋体" w:hAnsi="宋体" w:eastAsia="宋体" w:cs="宋体"/>
                <w:sz w:val="24"/>
                <w:szCs w:val="24"/>
              </w:rPr>
            </w:pPr>
          </w:p>
        </w:tc>
        <w:tc>
          <w:tcPr>
            <w:tcW w:w="823" w:type="dxa"/>
            <w:vMerge w:val="continue"/>
            <w:vAlign w:val="center"/>
          </w:tcPr>
          <w:p>
            <w:pPr>
              <w:spacing w:line="320" w:lineRule="exact"/>
              <w:jc w:val="center"/>
              <w:rPr>
                <w:rFonts w:ascii="宋体" w:hAnsi="宋体" w:eastAsia="宋体" w:cs="宋体"/>
                <w:sz w:val="24"/>
                <w:szCs w:val="24"/>
              </w:rPr>
            </w:pPr>
          </w:p>
        </w:tc>
        <w:tc>
          <w:tcPr>
            <w:tcW w:w="1599" w:type="dxa"/>
            <w:vAlign w:val="center"/>
          </w:tcPr>
          <w:p>
            <w:pPr>
              <w:spacing w:line="320" w:lineRule="exact"/>
              <w:jc w:val="left"/>
              <w:rPr>
                <w:rFonts w:ascii="宋体" w:hAnsi="宋体" w:eastAsia="宋体" w:cs="宋体"/>
                <w:sz w:val="24"/>
                <w:szCs w:val="24"/>
              </w:rPr>
            </w:pPr>
          </w:p>
        </w:tc>
        <w:tc>
          <w:tcPr>
            <w:tcW w:w="1574" w:type="dxa"/>
          </w:tcPr>
          <w:p>
            <w:pPr>
              <w:spacing w:line="320" w:lineRule="exact"/>
              <w:jc w:val="left"/>
              <w:rPr>
                <w:rFonts w:ascii="宋体" w:hAnsi="宋体" w:eastAsia="宋体" w:cs="宋体"/>
                <w:sz w:val="24"/>
                <w:szCs w:val="24"/>
              </w:rPr>
            </w:pPr>
          </w:p>
        </w:tc>
        <w:tc>
          <w:tcPr>
            <w:tcW w:w="1574" w:type="dxa"/>
            <w:vAlign w:val="center"/>
          </w:tcPr>
          <w:p>
            <w:pPr>
              <w:spacing w:line="320" w:lineRule="exact"/>
              <w:jc w:val="left"/>
              <w:rPr>
                <w:rFonts w:ascii="宋体" w:hAnsi="宋体" w:eastAsia="宋体" w:cs="宋体"/>
                <w:sz w:val="24"/>
                <w:szCs w:val="24"/>
              </w:rPr>
            </w:pPr>
          </w:p>
        </w:tc>
        <w:tc>
          <w:tcPr>
            <w:tcW w:w="2018" w:type="dxa"/>
          </w:tcPr>
          <w:p>
            <w:pPr>
              <w:spacing w:line="320" w:lineRule="exact"/>
              <w:jc w:val="left"/>
              <w:rPr>
                <w:rFonts w:ascii="宋体" w:hAnsi="宋体" w:eastAsia="宋体" w:cs="宋体"/>
                <w:sz w:val="24"/>
                <w:szCs w:val="24"/>
              </w:rPr>
            </w:pPr>
          </w:p>
        </w:tc>
        <w:tc>
          <w:tcPr>
            <w:tcW w:w="1150" w:type="dxa"/>
            <w:vAlign w:val="center"/>
          </w:tcPr>
          <w:p>
            <w:pPr>
              <w:spacing w:line="320" w:lineRule="exact"/>
              <w:jc w:val="left"/>
              <w:rPr>
                <w:rFonts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611" w:type="dxa"/>
            <w:vMerge w:val="continue"/>
            <w:vAlign w:val="center"/>
          </w:tcPr>
          <w:p>
            <w:pPr>
              <w:spacing w:line="320" w:lineRule="exact"/>
              <w:jc w:val="center"/>
              <w:rPr>
                <w:rFonts w:ascii="宋体" w:hAnsi="宋体" w:eastAsia="宋体" w:cs="宋体"/>
                <w:sz w:val="24"/>
                <w:szCs w:val="24"/>
              </w:rPr>
            </w:pPr>
          </w:p>
        </w:tc>
        <w:tc>
          <w:tcPr>
            <w:tcW w:w="823" w:type="dxa"/>
            <w:vMerge w:val="continue"/>
            <w:vAlign w:val="center"/>
          </w:tcPr>
          <w:p>
            <w:pPr>
              <w:spacing w:line="320" w:lineRule="exact"/>
              <w:jc w:val="center"/>
              <w:rPr>
                <w:rFonts w:ascii="宋体" w:hAnsi="宋体" w:eastAsia="宋体" w:cs="宋体"/>
                <w:sz w:val="24"/>
                <w:szCs w:val="24"/>
              </w:rPr>
            </w:pPr>
          </w:p>
        </w:tc>
        <w:tc>
          <w:tcPr>
            <w:tcW w:w="1599" w:type="dxa"/>
            <w:vAlign w:val="center"/>
          </w:tcPr>
          <w:p>
            <w:pPr>
              <w:spacing w:line="320" w:lineRule="exact"/>
              <w:jc w:val="left"/>
              <w:rPr>
                <w:rFonts w:ascii="宋体" w:hAnsi="宋体" w:eastAsia="宋体" w:cs="宋体"/>
                <w:sz w:val="24"/>
                <w:szCs w:val="24"/>
              </w:rPr>
            </w:pPr>
            <w:r>
              <w:rPr>
                <w:rFonts w:hint="eastAsia" w:ascii="宋体" w:hAnsi="宋体" w:eastAsia="宋体" w:cs="宋体"/>
                <w:sz w:val="24"/>
                <w:szCs w:val="24"/>
              </w:rPr>
              <w:t>┆</w:t>
            </w:r>
          </w:p>
        </w:tc>
        <w:tc>
          <w:tcPr>
            <w:tcW w:w="1574" w:type="dxa"/>
          </w:tcPr>
          <w:p>
            <w:pPr>
              <w:spacing w:line="320" w:lineRule="exact"/>
              <w:jc w:val="left"/>
              <w:rPr>
                <w:rFonts w:ascii="宋体" w:hAnsi="宋体" w:eastAsia="宋体" w:cs="宋体"/>
                <w:sz w:val="24"/>
                <w:szCs w:val="24"/>
              </w:rPr>
            </w:pPr>
          </w:p>
        </w:tc>
        <w:tc>
          <w:tcPr>
            <w:tcW w:w="1574" w:type="dxa"/>
            <w:vAlign w:val="center"/>
          </w:tcPr>
          <w:p>
            <w:pPr>
              <w:spacing w:line="320" w:lineRule="exact"/>
              <w:jc w:val="left"/>
              <w:rPr>
                <w:rFonts w:ascii="宋体" w:hAnsi="宋体" w:eastAsia="宋体" w:cs="宋体"/>
                <w:sz w:val="24"/>
                <w:szCs w:val="24"/>
              </w:rPr>
            </w:pPr>
          </w:p>
        </w:tc>
        <w:tc>
          <w:tcPr>
            <w:tcW w:w="2018" w:type="dxa"/>
          </w:tcPr>
          <w:p>
            <w:pPr>
              <w:spacing w:line="320" w:lineRule="exact"/>
              <w:jc w:val="left"/>
              <w:rPr>
                <w:rFonts w:ascii="宋体" w:hAnsi="宋体" w:eastAsia="宋体" w:cs="宋体"/>
                <w:sz w:val="24"/>
                <w:szCs w:val="24"/>
              </w:rPr>
            </w:pPr>
          </w:p>
        </w:tc>
        <w:tc>
          <w:tcPr>
            <w:tcW w:w="1150" w:type="dxa"/>
            <w:vAlign w:val="center"/>
          </w:tcPr>
          <w:p>
            <w:pPr>
              <w:spacing w:line="320" w:lineRule="exact"/>
              <w:jc w:val="left"/>
              <w:rPr>
                <w:rFonts w:ascii="宋体" w:hAnsi="宋体" w:eastAsia="宋体" w:cs="宋体"/>
                <w:sz w:val="24"/>
                <w:szCs w:val="24"/>
              </w:rPr>
            </w:pPr>
          </w:p>
        </w:tc>
      </w:tr>
    </w:tbl>
    <w:p>
      <w:pPr>
        <w:spacing w:line="360" w:lineRule="auto"/>
        <w:rPr>
          <w:rFonts w:ascii="宋体" w:hAnsi="宋体" w:eastAsia="宋体" w:cs="宋体"/>
          <w:sz w:val="24"/>
          <w:szCs w:val="24"/>
        </w:rPr>
      </w:pPr>
    </w:p>
    <w:p>
      <w:pPr>
        <w:spacing w:line="360" w:lineRule="auto"/>
        <w:rPr>
          <w:rFonts w:ascii="宋体" w:hAnsi="宋体" w:eastAsia="宋体" w:cs="宋体"/>
          <w:sz w:val="24"/>
          <w:szCs w:val="24"/>
        </w:rPr>
      </w:pPr>
      <w:r>
        <w:rPr>
          <w:rFonts w:hint="eastAsia" w:ascii="宋体" w:hAnsi="宋体" w:eastAsia="宋体" w:cs="宋体"/>
          <w:sz w:val="24"/>
          <w:szCs w:val="24"/>
        </w:rPr>
        <w:t>注：如本表格式内容不能满足需要，投标人可根据本表格格式自行划表填写，但必须体现以上内容。</w:t>
      </w:r>
      <w:r>
        <w:rPr>
          <w:rFonts w:hint="eastAsia" w:ascii="宋体" w:hAnsi="宋体" w:eastAsia="宋体" w:cs="宋体"/>
          <w:b/>
          <w:bCs/>
          <w:sz w:val="24"/>
          <w:szCs w:val="24"/>
        </w:rPr>
        <w:t>(招标文件未要求提供的可不提供）</w:t>
      </w:r>
    </w:p>
    <w:p>
      <w:pPr>
        <w:spacing w:line="360" w:lineRule="auto"/>
        <w:ind w:firstLine="720"/>
        <w:rPr>
          <w:rFonts w:ascii="宋体" w:hAnsi="宋体" w:eastAsia="宋体" w:cs="宋体"/>
          <w:sz w:val="24"/>
          <w:szCs w:val="24"/>
        </w:rPr>
      </w:pPr>
    </w:p>
    <w:p>
      <w:pPr>
        <w:spacing w:line="360" w:lineRule="auto"/>
        <w:ind w:firstLine="720"/>
        <w:rPr>
          <w:rFonts w:ascii="宋体" w:hAnsi="宋体" w:eastAsia="宋体" w:cs="宋体"/>
          <w:sz w:val="24"/>
          <w:szCs w:val="24"/>
        </w:rPr>
      </w:pPr>
    </w:p>
    <w:p>
      <w:pPr>
        <w:spacing w:line="360" w:lineRule="auto"/>
        <w:rPr>
          <w:rFonts w:ascii="宋体" w:hAnsi="宋体" w:eastAsia="宋体" w:cs="宋体"/>
          <w:sz w:val="24"/>
          <w:szCs w:val="24"/>
          <w:u w:val="single"/>
        </w:rPr>
      </w:pPr>
      <w:r>
        <w:rPr>
          <w:rFonts w:hint="eastAsia" w:ascii="宋体" w:hAnsi="宋体" w:eastAsia="宋体" w:cs="宋体"/>
          <w:sz w:val="24"/>
          <w:szCs w:val="24"/>
        </w:rPr>
        <w:t>投标人代表签字:</w:t>
      </w:r>
      <w:r>
        <w:rPr>
          <w:rFonts w:hint="eastAsia" w:ascii="宋体" w:hAnsi="宋体" w:eastAsia="宋体" w:cs="宋体"/>
          <w:sz w:val="24"/>
          <w:szCs w:val="24"/>
          <w:u w:val="single"/>
        </w:rPr>
        <w:t xml:space="preserve">                        </w:t>
      </w:r>
    </w:p>
    <w:p>
      <w:pPr>
        <w:spacing w:line="360" w:lineRule="auto"/>
        <w:rPr>
          <w:rFonts w:ascii="宋体" w:hAnsi="宋体" w:eastAsia="宋体" w:cs="宋体"/>
          <w:sz w:val="24"/>
          <w:szCs w:val="24"/>
          <w:u w:val="single"/>
        </w:rPr>
      </w:pPr>
    </w:p>
    <w:p>
      <w:pPr>
        <w:spacing w:line="360" w:lineRule="auto"/>
        <w:rPr>
          <w:rFonts w:ascii="宋体" w:hAnsi="宋体" w:eastAsia="宋体" w:cs="宋体"/>
          <w:sz w:val="24"/>
          <w:szCs w:val="24"/>
        </w:rPr>
      </w:pPr>
      <w:r>
        <w:rPr>
          <w:rFonts w:hint="eastAsia" w:ascii="宋体" w:hAnsi="宋体" w:eastAsia="宋体" w:cs="宋体"/>
          <w:sz w:val="24"/>
          <w:szCs w:val="24"/>
        </w:rPr>
        <w:t>单位盖章：</w:t>
      </w:r>
      <w:r>
        <w:rPr>
          <w:rFonts w:hint="eastAsia" w:ascii="宋体" w:hAnsi="宋体" w:eastAsia="宋体" w:cs="宋体"/>
          <w:sz w:val="24"/>
          <w:szCs w:val="24"/>
          <w:u w:val="single"/>
        </w:rPr>
        <w:t xml:space="preserve">                </w:t>
      </w:r>
    </w:p>
    <w:p>
      <w:pPr>
        <w:rPr>
          <w:rFonts w:ascii="宋体" w:hAnsi="宋体" w:eastAsia="宋体" w:cs="宋体"/>
          <w:b/>
          <w:sz w:val="24"/>
          <w:szCs w:val="24"/>
        </w:rPr>
      </w:pPr>
    </w:p>
    <w:p>
      <w:pPr>
        <w:spacing w:line="360" w:lineRule="auto"/>
        <w:jc w:val="center"/>
        <w:outlineLvl w:val="1"/>
        <w:rPr>
          <w:rFonts w:ascii="宋体" w:hAnsi="宋体" w:eastAsia="宋体" w:cs="宋体"/>
          <w:b/>
          <w:sz w:val="24"/>
          <w:szCs w:val="24"/>
        </w:rPr>
      </w:pPr>
      <w:bookmarkStart w:id="128" w:name="_Toc90713381"/>
      <w:bookmarkStart w:id="129" w:name="_Toc87621083"/>
      <w:bookmarkStart w:id="130" w:name="_Toc109791484"/>
      <w:bookmarkStart w:id="131" w:name="_Toc90712562"/>
      <w:r>
        <w:rPr>
          <w:rFonts w:hint="eastAsia" w:ascii="宋体" w:hAnsi="宋体" w:eastAsia="宋体" w:cs="宋体"/>
          <w:sz w:val="24"/>
          <w:szCs w:val="24"/>
        </w:rPr>
        <w:br w:type="page"/>
      </w:r>
      <w:bookmarkStart w:id="132" w:name="_Toc155100559"/>
      <w:r>
        <w:rPr>
          <w:rFonts w:hint="eastAsia" w:ascii="宋体" w:hAnsi="宋体" w:eastAsia="宋体" w:cs="宋体"/>
          <w:b/>
          <w:sz w:val="28"/>
          <w:szCs w:val="28"/>
        </w:rPr>
        <w:t xml:space="preserve">11. </w:t>
      </w:r>
      <w:bookmarkEnd w:id="128"/>
      <w:bookmarkEnd w:id="129"/>
      <w:bookmarkEnd w:id="130"/>
      <w:bookmarkEnd w:id="131"/>
      <w:r>
        <w:rPr>
          <w:rFonts w:hint="eastAsia" w:ascii="宋体" w:hAnsi="宋体" w:eastAsia="宋体" w:cs="宋体"/>
          <w:b/>
          <w:sz w:val="28"/>
          <w:szCs w:val="28"/>
        </w:rPr>
        <w:t>资格证明文件</w:t>
      </w:r>
      <w:bookmarkEnd w:id="132"/>
    </w:p>
    <w:p>
      <w:pPr>
        <w:rPr>
          <w:rFonts w:ascii="宋体" w:hAnsi="宋体" w:eastAsia="宋体" w:cs="宋体"/>
          <w:sz w:val="24"/>
          <w:szCs w:val="24"/>
        </w:rPr>
      </w:pPr>
      <w:r>
        <w:rPr>
          <w:rFonts w:hint="eastAsia" w:ascii="宋体" w:hAnsi="宋体" w:eastAsia="宋体" w:cs="宋体"/>
          <w:sz w:val="24"/>
          <w:szCs w:val="24"/>
        </w:rPr>
        <w:t>填写须知</w:t>
      </w:r>
    </w:p>
    <w:p>
      <w:pPr>
        <w:rPr>
          <w:rFonts w:ascii="宋体" w:hAnsi="宋体" w:eastAsia="宋体" w:cs="宋体"/>
          <w:sz w:val="24"/>
          <w:szCs w:val="24"/>
        </w:rPr>
      </w:pPr>
      <w:r>
        <w:rPr>
          <w:rFonts w:hint="eastAsia" w:ascii="宋体" w:hAnsi="宋体" w:eastAsia="宋体" w:cs="宋体"/>
          <w:sz w:val="24"/>
          <w:szCs w:val="24"/>
        </w:rPr>
        <w:t>（1）所附格式中要求填写的全部内容都必须如实填写。</w:t>
      </w:r>
    </w:p>
    <w:p>
      <w:pPr>
        <w:rPr>
          <w:rFonts w:ascii="宋体" w:hAnsi="宋体" w:eastAsia="宋体" w:cs="宋体"/>
          <w:sz w:val="24"/>
          <w:szCs w:val="24"/>
        </w:rPr>
      </w:pPr>
      <w:r>
        <w:rPr>
          <w:rFonts w:hint="eastAsia" w:ascii="宋体" w:hAnsi="宋体" w:eastAsia="宋体" w:cs="宋体"/>
          <w:sz w:val="24"/>
          <w:szCs w:val="24"/>
        </w:rPr>
        <w:t>（2）本资格声明的签字人应保证全部声明和填写的内容是真实的和正确的。</w:t>
      </w:r>
    </w:p>
    <w:p>
      <w:pPr>
        <w:rPr>
          <w:rFonts w:ascii="宋体" w:hAnsi="宋体" w:eastAsia="宋体" w:cs="宋体"/>
          <w:sz w:val="24"/>
          <w:szCs w:val="24"/>
        </w:rPr>
      </w:pPr>
      <w:r>
        <w:rPr>
          <w:rFonts w:hint="eastAsia" w:ascii="宋体" w:hAnsi="宋体" w:eastAsia="宋体" w:cs="宋体"/>
          <w:sz w:val="24"/>
          <w:szCs w:val="24"/>
        </w:rPr>
        <w:t>（3）评标委员会将应用投标供应商提交的资料，根据自己的判断和考虑决定投标供应商履行合同的合格性及能力。</w:t>
      </w:r>
    </w:p>
    <w:p>
      <w:pPr>
        <w:rPr>
          <w:rFonts w:ascii="宋体" w:hAnsi="宋体" w:eastAsia="宋体" w:cs="宋体"/>
          <w:sz w:val="24"/>
          <w:szCs w:val="24"/>
        </w:rPr>
      </w:pP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-1.具有独立承担民事责任的能力的资格证明文件（或提供加盖投标人公章的采购供应商资格信用承诺函）</w:t>
      </w:r>
    </w:p>
    <w:p>
      <w:pPr>
        <w:rPr>
          <w:rFonts w:ascii="宋体" w:hAnsi="宋体" w:eastAsia="宋体" w:cs="宋体"/>
          <w:sz w:val="24"/>
          <w:szCs w:val="24"/>
        </w:rPr>
      </w:pPr>
      <w:r>
        <w:rPr>
          <w:rFonts w:hint="eastAsia" w:ascii="宋体" w:hAnsi="宋体" w:eastAsia="宋体" w:cs="宋体"/>
          <w:sz w:val="24"/>
          <w:szCs w:val="24"/>
        </w:rPr>
        <w:t>说明：1、如投标人是企业的（包括合伙企业）应提供有效的“企业法人营业执照”或“营业执照”；</w:t>
      </w:r>
    </w:p>
    <w:p>
      <w:pPr>
        <w:rPr>
          <w:rFonts w:ascii="宋体" w:hAnsi="宋体" w:eastAsia="宋体" w:cs="宋体"/>
          <w:sz w:val="24"/>
          <w:szCs w:val="24"/>
        </w:rPr>
      </w:pPr>
      <w:r>
        <w:rPr>
          <w:rFonts w:hint="eastAsia" w:ascii="宋体" w:hAnsi="宋体" w:eastAsia="宋体" w:cs="宋体"/>
          <w:sz w:val="24"/>
          <w:szCs w:val="24"/>
        </w:rPr>
        <w:t>2、如投标人是事业单位的应提供“事业单位法人证书”；</w:t>
      </w:r>
    </w:p>
    <w:p>
      <w:pPr>
        <w:rPr>
          <w:rFonts w:ascii="宋体" w:hAnsi="宋体" w:eastAsia="宋体" w:cs="宋体"/>
          <w:sz w:val="24"/>
          <w:szCs w:val="24"/>
        </w:rPr>
      </w:pPr>
      <w:r>
        <w:rPr>
          <w:rFonts w:hint="eastAsia" w:ascii="宋体" w:hAnsi="宋体" w:eastAsia="宋体" w:cs="宋体"/>
          <w:sz w:val="24"/>
          <w:szCs w:val="24"/>
        </w:rPr>
        <w:t>3、如投标人是非企业专业服务机构的应提供执业许可证等证明文件；</w:t>
      </w:r>
    </w:p>
    <w:p>
      <w:pPr>
        <w:rPr>
          <w:rFonts w:ascii="宋体" w:hAnsi="宋体" w:eastAsia="宋体" w:cs="宋体"/>
          <w:sz w:val="24"/>
          <w:szCs w:val="24"/>
        </w:rPr>
      </w:pPr>
      <w:r>
        <w:rPr>
          <w:rFonts w:hint="eastAsia" w:ascii="宋体" w:hAnsi="宋体" w:eastAsia="宋体" w:cs="宋体"/>
          <w:sz w:val="24"/>
          <w:szCs w:val="24"/>
        </w:rPr>
        <w:t>4、如投标人是个体工商户的应提供有效的“个体工商户营业执照”、组织机构代码</w:t>
      </w:r>
    </w:p>
    <w:p>
      <w:pPr>
        <w:rPr>
          <w:rFonts w:ascii="宋体" w:hAnsi="宋体" w:eastAsia="宋体" w:cs="宋体"/>
          <w:sz w:val="24"/>
          <w:szCs w:val="24"/>
        </w:rPr>
      </w:pPr>
      <w:r>
        <w:rPr>
          <w:rFonts w:hint="eastAsia" w:ascii="宋体" w:hAnsi="宋体" w:eastAsia="宋体" w:cs="宋体"/>
          <w:sz w:val="24"/>
          <w:szCs w:val="24"/>
        </w:rPr>
        <w:t>证证明文件（实行“统一社会信用代码”的不需单独提供组织机构代码证）；</w:t>
      </w:r>
    </w:p>
    <w:p>
      <w:pPr>
        <w:rPr>
          <w:rFonts w:ascii="宋体" w:hAnsi="宋体" w:eastAsia="宋体" w:cs="宋体"/>
          <w:sz w:val="24"/>
          <w:szCs w:val="24"/>
        </w:rPr>
      </w:pPr>
      <w:r>
        <w:rPr>
          <w:rFonts w:hint="eastAsia" w:ascii="宋体" w:hAnsi="宋体" w:eastAsia="宋体" w:cs="宋体"/>
          <w:sz w:val="24"/>
          <w:szCs w:val="24"/>
        </w:rPr>
        <w:t>5、如投标人是自然人的，应提供有效的自然人的身份证明(中国公民)；</w:t>
      </w:r>
    </w:p>
    <w:p>
      <w:pPr>
        <w:rPr>
          <w:rFonts w:ascii="宋体" w:hAnsi="宋体" w:eastAsia="宋体" w:cs="宋体"/>
          <w:sz w:val="24"/>
          <w:szCs w:val="24"/>
        </w:rPr>
      </w:pPr>
      <w:r>
        <w:rPr>
          <w:rFonts w:hint="eastAsia" w:ascii="宋体" w:hAnsi="宋体" w:eastAsia="宋体" w:cs="宋体"/>
          <w:sz w:val="24"/>
          <w:szCs w:val="24"/>
        </w:rPr>
        <w:t>6、必须在有效期内；</w:t>
      </w:r>
    </w:p>
    <w:p>
      <w:pPr>
        <w:rPr>
          <w:rFonts w:ascii="宋体" w:hAnsi="宋体" w:eastAsia="宋体" w:cs="宋体"/>
          <w:sz w:val="24"/>
          <w:szCs w:val="24"/>
        </w:rPr>
      </w:pP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-2.具有良好的商业信誉和健全的财务会计制度的证明文件</w:t>
      </w:r>
    </w:p>
    <w:p>
      <w:pPr>
        <w:ind w:firstLine="480" w:firstLineChars="200"/>
        <w:rPr>
          <w:rFonts w:ascii="宋体" w:hAnsi="宋体" w:eastAsia="宋体" w:cs="宋体"/>
          <w:b/>
          <w:sz w:val="24"/>
          <w:szCs w:val="24"/>
        </w:rPr>
      </w:pPr>
      <w:r>
        <w:rPr>
          <w:rFonts w:hint="eastAsia" w:ascii="宋体" w:hAnsi="宋体" w:eastAsia="宋体" w:cs="宋体"/>
          <w:sz w:val="24"/>
          <w:szCs w:val="24"/>
        </w:rPr>
        <w:t>提供开标前截止前六个月内任意一个月财务报表扫描件加盖投标人公章或上一年度审计报告扫描件加盖投标人公章或提供加盖投标人公章的采购供应商资格信用承诺函</w:t>
      </w: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-3.有依法缴纳税收的良好记录的证明文件</w:t>
      </w:r>
    </w:p>
    <w:p>
      <w:pPr>
        <w:ind w:firstLine="480" w:firstLineChars="200"/>
        <w:rPr>
          <w:rFonts w:ascii="宋体" w:hAnsi="宋体" w:eastAsia="宋体" w:cs="宋体"/>
          <w:sz w:val="24"/>
          <w:szCs w:val="24"/>
        </w:rPr>
      </w:pPr>
      <w:r>
        <w:rPr>
          <w:rFonts w:hint="eastAsia" w:ascii="宋体" w:hAnsi="宋体" w:eastAsia="宋体" w:cs="宋体"/>
          <w:sz w:val="24"/>
          <w:szCs w:val="24"/>
        </w:rPr>
        <w:t>提供开标前截止前六个月内任意一个月依法缴纳税收的证明文件扫描件加盖投标人公章或提供加盖投标人公章的采购供应商资格信用承诺函</w:t>
      </w:r>
    </w:p>
    <w:p>
      <w:pPr>
        <w:rPr>
          <w:rFonts w:ascii="宋体" w:hAnsi="宋体" w:eastAsia="宋体" w:cs="宋体"/>
          <w:b/>
          <w:sz w:val="24"/>
          <w:szCs w:val="24"/>
        </w:rPr>
      </w:pP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-4.有依法缴纳社会保障资金的良好记录的证明文件</w:t>
      </w:r>
    </w:p>
    <w:p>
      <w:pPr>
        <w:ind w:firstLine="480" w:firstLineChars="200"/>
        <w:rPr>
          <w:rFonts w:ascii="宋体" w:hAnsi="宋体" w:eastAsia="宋体" w:cs="宋体"/>
          <w:sz w:val="24"/>
          <w:szCs w:val="24"/>
        </w:rPr>
      </w:pPr>
      <w:r>
        <w:rPr>
          <w:rFonts w:hint="eastAsia" w:ascii="宋体" w:hAnsi="宋体" w:eastAsia="宋体" w:cs="宋体"/>
          <w:sz w:val="24"/>
          <w:szCs w:val="24"/>
        </w:rPr>
        <w:t>提供开标前截止前六个月内任意一个月依法缴纳社会保障资金的证明文件扫描件加盖投标人公章或提供加盖投标人公章的采购供应商资格信用承诺函</w:t>
      </w:r>
    </w:p>
    <w:p>
      <w:pPr>
        <w:rPr>
          <w:rFonts w:ascii="宋体" w:hAnsi="宋体" w:eastAsia="宋体" w:cs="宋体"/>
          <w:b/>
          <w:sz w:val="24"/>
          <w:szCs w:val="24"/>
        </w:rPr>
      </w:pP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-5.投标人关于具有履行合同所必需的设备和专业技术能力（或提供加盖投标人公章的采购供应商资格信用承诺函）</w:t>
      </w:r>
    </w:p>
    <w:p>
      <w:pPr>
        <w:widowControl/>
        <w:snapToGrid w:val="0"/>
        <w:jc w:val="left"/>
        <w:textAlignment w:val="baseline"/>
        <w:rPr>
          <w:rFonts w:ascii="宋体" w:hAnsi="宋体" w:eastAsia="宋体" w:cs="宋体"/>
          <w:kern w:val="0"/>
          <w:sz w:val="24"/>
          <w:szCs w:val="24"/>
        </w:rPr>
      </w:pPr>
      <w:r>
        <w:rPr>
          <w:rFonts w:ascii="宋体" w:hAnsi="宋体" w:eastAsia="宋体" w:cs="宋体"/>
          <w:kern w:val="0"/>
          <w:sz w:val="24"/>
          <w:szCs w:val="24"/>
        </w:rPr>
        <w:t>致</w:t>
      </w:r>
      <w:r>
        <w:rPr>
          <w:rFonts w:hint="eastAsia" w:ascii="宋体" w:hAnsi="宋体" w:eastAsia="宋体" w:cs="宋体"/>
          <w:kern w:val="0"/>
          <w:sz w:val="24"/>
          <w:szCs w:val="24"/>
        </w:rPr>
        <w:t>（采购代理机构）：</w:t>
      </w:r>
    </w:p>
    <w:p>
      <w:pPr>
        <w:widowControl/>
        <w:snapToGrid w:val="0"/>
        <w:ind w:firstLine="560"/>
        <w:jc w:val="left"/>
        <w:textAlignment w:val="baseline"/>
        <w:rPr>
          <w:rFonts w:ascii="宋体" w:hAnsi="宋体" w:eastAsia="宋体" w:cs="宋体"/>
          <w:kern w:val="0"/>
          <w:sz w:val="24"/>
          <w:szCs w:val="24"/>
        </w:rPr>
      </w:pPr>
      <w:r>
        <w:rPr>
          <w:rFonts w:ascii="宋体" w:hAnsi="宋体" w:eastAsia="宋体" w:cs="宋体"/>
          <w:kern w:val="0"/>
          <w:sz w:val="24"/>
          <w:szCs w:val="24"/>
        </w:rPr>
        <w:t>我方具备履行合同所必需的设备和专业技术能力，否则产生不利后果由我方承担责任。</w:t>
      </w:r>
    </w:p>
    <w:p>
      <w:pPr>
        <w:widowControl/>
        <w:snapToGrid w:val="0"/>
        <w:ind w:firstLine="560"/>
        <w:jc w:val="left"/>
        <w:textAlignment w:val="baseline"/>
        <w:rPr>
          <w:rFonts w:ascii="宋体" w:hAnsi="宋体" w:eastAsia="宋体" w:cs="宋体"/>
          <w:kern w:val="0"/>
          <w:sz w:val="24"/>
          <w:szCs w:val="24"/>
        </w:rPr>
      </w:pPr>
      <w:r>
        <w:rPr>
          <w:rFonts w:ascii="宋体" w:hAnsi="宋体" w:eastAsia="宋体" w:cs="宋体"/>
          <w:kern w:val="0"/>
          <w:sz w:val="24"/>
          <w:szCs w:val="24"/>
        </w:rPr>
        <w:t>特此声明。</w:t>
      </w:r>
    </w:p>
    <w:p>
      <w:pPr>
        <w:widowControl/>
        <w:ind w:firstLine="482"/>
        <w:jc w:val="left"/>
        <w:rPr>
          <w:rFonts w:ascii="宋体" w:hAnsi="宋体" w:eastAsia="宋体" w:cs="宋体"/>
          <w:kern w:val="0"/>
          <w:sz w:val="24"/>
          <w:szCs w:val="24"/>
        </w:rPr>
      </w:pPr>
      <w:r>
        <w:rPr>
          <w:rFonts w:hint="eastAsia" w:ascii="宋体" w:hAnsi="宋体" w:eastAsia="宋体" w:cs="宋体"/>
          <w:kern w:val="0"/>
          <w:sz w:val="24"/>
          <w:szCs w:val="24"/>
        </w:rPr>
        <w:t>投标人名称（公章：）</w:t>
      </w:r>
    </w:p>
    <w:p>
      <w:pPr>
        <w:widowControl/>
        <w:ind w:firstLine="482"/>
        <w:jc w:val="left"/>
        <w:rPr>
          <w:rFonts w:ascii="宋体" w:hAnsi="宋体" w:eastAsia="宋体" w:cs="宋体"/>
          <w:kern w:val="0"/>
          <w:sz w:val="24"/>
          <w:szCs w:val="24"/>
        </w:rPr>
      </w:pPr>
      <w:r>
        <w:rPr>
          <w:rFonts w:hint="eastAsia" w:ascii="宋体" w:hAnsi="宋体" w:eastAsia="宋体" w:cs="宋体"/>
          <w:kern w:val="0"/>
          <w:sz w:val="24"/>
          <w:szCs w:val="24"/>
        </w:rPr>
        <w:t>法定代表或其授权人：（签字）</w:t>
      </w:r>
    </w:p>
    <w:p>
      <w:pPr>
        <w:widowControl/>
        <w:ind w:firstLine="482"/>
        <w:jc w:val="left"/>
        <w:rPr>
          <w:rFonts w:ascii="宋体" w:hAnsi="宋体" w:eastAsia="宋体" w:cs="宋体"/>
          <w:kern w:val="0"/>
          <w:sz w:val="24"/>
          <w:szCs w:val="24"/>
        </w:rPr>
      </w:pPr>
      <w:r>
        <w:rPr>
          <w:rFonts w:hint="eastAsia" w:ascii="宋体" w:hAnsi="宋体" w:eastAsia="宋体" w:cs="宋体"/>
          <w:kern w:val="0"/>
          <w:sz w:val="24"/>
          <w:szCs w:val="24"/>
        </w:rPr>
        <w:t>日期</w:t>
      </w:r>
    </w:p>
    <w:p>
      <w:pPr>
        <w:rPr>
          <w:rFonts w:ascii="宋体" w:hAnsi="宋体" w:eastAsia="宋体" w:cs="宋体"/>
          <w:b/>
          <w:sz w:val="24"/>
          <w:szCs w:val="24"/>
        </w:rPr>
      </w:pP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-6.投标人关于无重大违法记录的声明函（格式）（或提供加盖投标人公章的采购供应商资格信用承诺函）</w:t>
      </w:r>
    </w:p>
    <w:p>
      <w:pPr>
        <w:widowControl/>
        <w:spacing w:line="280" w:lineRule="atLeast"/>
        <w:jc w:val="left"/>
        <w:rPr>
          <w:rFonts w:ascii="宋体" w:hAnsi="宋体" w:eastAsia="宋体" w:cs="宋体"/>
          <w:kern w:val="0"/>
          <w:sz w:val="24"/>
          <w:szCs w:val="24"/>
        </w:rPr>
      </w:pPr>
      <w:r>
        <w:rPr>
          <w:rFonts w:hint="eastAsia" w:ascii="宋体" w:hAnsi="宋体" w:eastAsia="宋体" w:cs="宋体"/>
          <w:kern w:val="0"/>
          <w:sz w:val="24"/>
          <w:szCs w:val="24"/>
        </w:rPr>
        <w:t>致（采购代理机构）：</w:t>
      </w:r>
    </w:p>
    <w:p>
      <w:pPr>
        <w:widowControl/>
        <w:spacing w:line="280" w:lineRule="atLeast"/>
        <w:ind w:firstLine="482"/>
        <w:jc w:val="left"/>
        <w:rPr>
          <w:rFonts w:ascii="宋体" w:hAnsi="宋体" w:eastAsia="宋体" w:cs="宋体"/>
          <w:kern w:val="0"/>
          <w:sz w:val="24"/>
          <w:szCs w:val="24"/>
        </w:rPr>
      </w:pPr>
      <w:r>
        <w:rPr>
          <w:rFonts w:hint="eastAsia" w:ascii="宋体" w:hAnsi="宋体" w:eastAsia="宋体" w:cs="宋体"/>
          <w:kern w:val="0"/>
          <w:sz w:val="24"/>
          <w:szCs w:val="24"/>
        </w:rPr>
        <w:t>我单位近三年内在经营活动中没有重大违法记录，特此声明。</w:t>
      </w:r>
    </w:p>
    <w:p>
      <w:pPr>
        <w:widowControl/>
        <w:spacing w:line="280" w:lineRule="atLeast"/>
        <w:ind w:firstLine="482"/>
        <w:jc w:val="left"/>
        <w:rPr>
          <w:rFonts w:ascii="宋体" w:hAnsi="宋体" w:eastAsia="宋体" w:cs="宋体"/>
          <w:kern w:val="0"/>
          <w:sz w:val="24"/>
          <w:szCs w:val="24"/>
        </w:rPr>
      </w:pPr>
      <w:r>
        <w:rPr>
          <w:rFonts w:hint="eastAsia" w:ascii="宋体" w:hAnsi="宋体" w:eastAsia="宋体" w:cs="宋体"/>
          <w:kern w:val="0"/>
          <w:sz w:val="24"/>
          <w:szCs w:val="24"/>
        </w:rPr>
        <w:t>若招标采购单位在本项目采购过程中发现我单位近三年内在经营活动中有重大违法记录，我单位将无条件退出本项目的投标，并承担因此引起的一切后果。</w:t>
      </w:r>
    </w:p>
    <w:p>
      <w:pPr>
        <w:widowControl/>
        <w:spacing w:line="280" w:lineRule="atLeast"/>
        <w:ind w:firstLine="482"/>
        <w:jc w:val="left"/>
        <w:rPr>
          <w:rFonts w:ascii="宋体" w:hAnsi="宋体" w:eastAsia="宋体" w:cs="宋体"/>
          <w:kern w:val="0"/>
          <w:sz w:val="24"/>
          <w:szCs w:val="24"/>
        </w:rPr>
      </w:pPr>
      <w:r>
        <w:rPr>
          <w:rFonts w:hint="eastAsia" w:ascii="宋体" w:hAnsi="宋体" w:eastAsia="宋体" w:cs="宋体"/>
          <w:kern w:val="0"/>
          <w:sz w:val="24"/>
          <w:szCs w:val="24"/>
        </w:rPr>
        <w:t>投标申请人名称（公章：）</w:t>
      </w:r>
    </w:p>
    <w:p>
      <w:pPr>
        <w:widowControl/>
        <w:spacing w:line="280" w:lineRule="atLeast"/>
        <w:ind w:firstLine="482"/>
        <w:jc w:val="left"/>
        <w:rPr>
          <w:rFonts w:ascii="宋体" w:hAnsi="宋体" w:eastAsia="宋体" w:cs="宋体"/>
          <w:kern w:val="0"/>
          <w:sz w:val="24"/>
          <w:szCs w:val="24"/>
        </w:rPr>
      </w:pPr>
      <w:r>
        <w:rPr>
          <w:rFonts w:hint="eastAsia" w:ascii="宋体" w:hAnsi="宋体" w:eastAsia="宋体" w:cs="宋体"/>
          <w:kern w:val="0"/>
          <w:sz w:val="24"/>
          <w:szCs w:val="24"/>
        </w:rPr>
        <w:t>法定代表或其授权人：（签字）</w:t>
      </w:r>
    </w:p>
    <w:p>
      <w:pPr>
        <w:widowControl/>
        <w:spacing w:line="280" w:lineRule="atLeast"/>
        <w:ind w:firstLine="482"/>
        <w:jc w:val="left"/>
        <w:rPr>
          <w:rFonts w:ascii="宋体" w:hAnsi="宋体" w:eastAsia="宋体" w:cs="宋体"/>
          <w:kern w:val="0"/>
          <w:sz w:val="24"/>
          <w:szCs w:val="24"/>
        </w:rPr>
      </w:pPr>
      <w:r>
        <w:rPr>
          <w:rFonts w:hint="eastAsia" w:ascii="宋体" w:hAnsi="宋体" w:eastAsia="宋体" w:cs="宋体"/>
          <w:kern w:val="0"/>
          <w:sz w:val="24"/>
          <w:szCs w:val="24"/>
        </w:rPr>
        <w:t>日期</w:t>
      </w:r>
    </w:p>
    <w:p>
      <w:pPr>
        <w:rPr>
          <w:rFonts w:ascii="宋体" w:hAnsi="宋体" w:eastAsia="宋体" w:cs="宋体"/>
          <w:b/>
          <w:sz w:val="24"/>
          <w:szCs w:val="24"/>
        </w:rPr>
      </w:pPr>
    </w:p>
    <w:p>
      <w:pPr>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-7.法定代表人授权书（见格式）（若法定代表人参与投标需提供法定代表人资格证明）</w:t>
      </w:r>
    </w:p>
    <w:p>
      <w:pPr>
        <w:rPr>
          <w:rFonts w:ascii="宋体" w:hAnsi="宋体" w:eastAsia="宋体" w:cs="宋体"/>
          <w:b/>
          <w:sz w:val="24"/>
          <w:szCs w:val="24"/>
        </w:rPr>
      </w:pPr>
    </w:p>
    <w:p>
      <w:pPr>
        <w:rPr>
          <w:rFonts w:ascii="宋体" w:hAnsi="宋体" w:eastAsia="宋体" w:cs="宋体"/>
          <w:b/>
          <w:sz w:val="24"/>
          <w:szCs w:val="24"/>
        </w:rPr>
      </w:pPr>
      <w:r>
        <w:rPr>
          <w:rFonts w:hint="eastAsia" w:ascii="宋体" w:hAnsi="宋体" w:eastAsia="宋体" w:cs="宋体"/>
          <w:b/>
          <w:sz w:val="24"/>
          <w:szCs w:val="24"/>
        </w:rPr>
        <w:t>格式1</w:t>
      </w:r>
      <w:r>
        <w:rPr>
          <w:rFonts w:ascii="宋体" w:hAnsi="宋体" w:eastAsia="宋体" w:cs="宋体"/>
          <w:b/>
          <w:sz w:val="24"/>
          <w:szCs w:val="24"/>
        </w:rPr>
        <w:t>1</w:t>
      </w:r>
      <w:r>
        <w:rPr>
          <w:rFonts w:hint="eastAsia" w:ascii="宋体" w:hAnsi="宋体" w:eastAsia="宋体" w:cs="宋体"/>
          <w:b/>
          <w:sz w:val="24"/>
          <w:szCs w:val="24"/>
        </w:rPr>
        <w:t>-8.投标人的资格声明（见格式）</w:t>
      </w:r>
    </w:p>
    <w:p>
      <w:pPr>
        <w:rPr>
          <w:rFonts w:ascii="宋体" w:hAnsi="宋体" w:eastAsia="宋体" w:cs="宋体"/>
          <w:b/>
          <w:sz w:val="24"/>
          <w:szCs w:val="24"/>
        </w:rPr>
      </w:pPr>
    </w:p>
    <w:p>
      <w:pPr>
        <w:rPr>
          <w:rFonts w:ascii="宋体" w:hAnsi="宋体" w:eastAsia="宋体" w:cs="宋体"/>
          <w:b/>
          <w:sz w:val="24"/>
          <w:szCs w:val="24"/>
        </w:rPr>
      </w:pPr>
    </w:p>
    <w:p>
      <w:pPr>
        <w:spacing w:line="600" w:lineRule="auto"/>
        <w:rPr>
          <w:rFonts w:ascii="Times New Roman" w:hAnsi="Times New Roman" w:eastAsia="宋体" w:cs="Times New Roman"/>
          <w:szCs w:val="24"/>
        </w:rPr>
      </w:pPr>
      <w:r>
        <w:rPr>
          <w:rFonts w:hint="eastAsia" w:ascii="宋体" w:hAnsi="宋体" w:eastAsia="宋体" w:cs="宋体"/>
          <w:b/>
          <w:sz w:val="24"/>
          <w:szCs w:val="24"/>
        </w:rPr>
        <w:t>格式1</w:t>
      </w:r>
      <w:r>
        <w:rPr>
          <w:rFonts w:ascii="宋体" w:hAnsi="宋体" w:eastAsia="宋体" w:cs="宋体"/>
          <w:b/>
          <w:sz w:val="24"/>
          <w:szCs w:val="24"/>
        </w:rPr>
        <w:t>1</w:t>
      </w:r>
      <w:r>
        <w:rPr>
          <w:rFonts w:hint="eastAsia" w:ascii="宋体" w:hAnsi="宋体" w:eastAsia="宋体" w:cs="宋体"/>
          <w:b/>
          <w:sz w:val="24"/>
          <w:szCs w:val="24"/>
        </w:rPr>
        <w:t>-9.投标人信用证明（见格式）（或提供提供加盖投标人公章的采购供应商资格信用承诺函）</w:t>
      </w:r>
    </w:p>
    <w:p>
      <w:pPr>
        <w:spacing w:line="600" w:lineRule="auto"/>
        <w:rPr>
          <w:rFonts w:ascii="宋体" w:hAnsi="宋体" w:eastAsia="宋体" w:cs="宋体"/>
          <w:b/>
          <w:sz w:val="24"/>
          <w:szCs w:val="24"/>
        </w:rPr>
      </w:pPr>
      <w:r>
        <w:rPr>
          <w:rFonts w:hint="eastAsia" w:ascii="宋体" w:hAnsi="宋体" w:eastAsia="宋体" w:cs="宋体"/>
          <w:b/>
          <w:sz w:val="24"/>
          <w:szCs w:val="24"/>
        </w:rPr>
        <w:t>格式1</w:t>
      </w:r>
      <w:r>
        <w:rPr>
          <w:rFonts w:ascii="宋体" w:hAnsi="宋体" w:eastAsia="宋体" w:cs="宋体"/>
          <w:b/>
          <w:sz w:val="24"/>
          <w:szCs w:val="24"/>
        </w:rPr>
        <w:t>1</w:t>
      </w:r>
      <w:r>
        <w:rPr>
          <w:rFonts w:hint="eastAsia" w:ascii="宋体" w:hAnsi="宋体" w:eastAsia="宋体" w:cs="宋体"/>
          <w:b/>
          <w:sz w:val="24"/>
          <w:szCs w:val="24"/>
        </w:rPr>
        <w:t xml:space="preserve">-10.交纳投标保证金的银行凭证 </w:t>
      </w:r>
    </w:p>
    <w:p>
      <w:pPr>
        <w:spacing w:line="600" w:lineRule="auto"/>
        <w:rPr>
          <w:rFonts w:ascii="宋体" w:hAnsi="宋体" w:eastAsia="宋体" w:cs="宋体"/>
          <w:b/>
          <w:sz w:val="24"/>
          <w:szCs w:val="24"/>
        </w:rPr>
      </w:pPr>
      <w:r>
        <w:rPr>
          <w:rFonts w:hint="eastAsia" w:ascii="宋体" w:hAnsi="宋体" w:eastAsia="宋体" w:cs="宋体"/>
          <w:b/>
          <w:sz w:val="24"/>
          <w:szCs w:val="24"/>
        </w:rPr>
        <w:t>格式</w:t>
      </w:r>
      <w:r>
        <w:rPr>
          <w:rFonts w:ascii="宋体" w:hAnsi="宋体" w:eastAsia="宋体" w:cs="宋体"/>
          <w:b/>
          <w:sz w:val="24"/>
          <w:szCs w:val="24"/>
        </w:rPr>
        <w:t>11</w:t>
      </w:r>
      <w:r>
        <w:rPr>
          <w:rFonts w:hint="eastAsia" w:ascii="宋体" w:hAnsi="宋体" w:eastAsia="宋体" w:cs="宋体"/>
          <w:b/>
          <w:sz w:val="24"/>
          <w:szCs w:val="24"/>
        </w:rPr>
        <w:t>-11.招标文件要求的其它资格证明文件</w:t>
      </w:r>
    </w:p>
    <w:p>
      <w:pPr>
        <w:autoSpaceDE w:val="0"/>
        <w:autoSpaceDN w:val="0"/>
        <w:adjustRightInd w:val="0"/>
        <w:jc w:val="left"/>
        <w:rPr>
          <w:rFonts w:ascii="宋体" w:hAnsi="宋体" w:eastAsia="宋体" w:cs="宋体"/>
          <w:b/>
          <w:kern w:val="0"/>
          <w:sz w:val="24"/>
          <w:szCs w:val="20"/>
        </w:rPr>
      </w:pPr>
    </w:p>
    <w:p>
      <w:pPr>
        <w:rPr>
          <w:rFonts w:ascii="Times New Roman" w:hAnsi="Times New Roman" w:eastAsia="宋体" w:cs="Times New Roman"/>
          <w:szCs w:val="24"/>
        </w:rPr>
      </w:pPr>
    </w:p>
    <w:p>
      <w:pPr>
        <w:spacing w:line="360" w:lineRule="auto"/>
        <w:rPr>
          <w:rFonts w:ascii="宋体" w:hAnsi="宋体" w:eastAsia="宋体" w:cs="宋体"/>
          <w:b/>
          <w:bCs/>
          <w:color w:val="FF0000"/>
          <w:sz w:val="24"/>
          <w:szCs w:val="24"/>
        </w:rPr>
      </w:pPr>
      <w:r>
        <w:rPr>
          <w:rFonts w:hint="eastAsia" w:ascii="宋体" w:hAnsi="宋体" w:eastAsia="宋体" w:cs="宋体"/>
          <w:b/>
          <w:bCs/>
          <w:color w:val="FF0000"/>
          <w:sz w:val="24"/>
          <w:szCs w:val="24"/>
        </w:rPr>
        <w:t>特别提醒：</w:t>
      </w:r>
      <w:r>
        <w:rPr>
          <w:rFonts w:hint="eastAsia" w:ascii="宋体" w:hAnsi="宋体" w:eastAsia="宋体" w:cs="宋体"/>
          <w:b/>
          <w:color w:val="FF0000"/>
          <w:kern w:val="0"/>
          <w:sz w:val="24"/>
          <w:szCs w:val="24"/>
        </w:rPr>
        <w:t>采购供应商资格信用承诺函格式详见文件 第五章  附件1</w:t>
      </w:r>
      <w:r>
        <w:rPr>
          <w:rFonts w:ascii="宋体" w:hAnsi="宋体" w:eastAsia="宋体" w:cs="宋体"/>
          <w:b/>
          <w:color w:val="FF0000"/>
          <w:kern w:val="0"/>
          <w:sz w:val="24"/>
          <w:szCs w:val="24"/>
        </w:rPr>
        <w:t>2</w:t>
      </w:r>
    </w:p>
    <w:p>
      <w:pPr>
        <w:spacing w:line="360" w:lineRule="auto"/>
        <w:ind w:firstLine="482" w:firstLineChars="200"/>
        <w:rPr>
          <w:rFonts w:ascii="宋体" w:hAnsi="宋体" w:eastAsia="宋体" w:cs="宋体"/>
          <w:b/>
          <w:bCs/>
          <w:sz w:val="24"/>
          <w:szCs w:val="24"/>
        </w:rPr>
      </w:pPr>
    </w:p>
    <w:p>
      <w:pPr>
        <w:widowControl/>
        <w:spacing w:line="480" w:lineRule="auto"/>
        <w:jc w:val="center"/>
        <w:rPr>
          <w:rFonts w:ascii="宋体" w:hAnsi="宋体" w:eastAsia="宋体" w:cs="宋体"/>
          <w:szCs w:val="24"/>
        </w:rPr>
      </w:pPr>
      <w:r>
        <w:rPr>
          <w:rFonts w:hint="eastAsia" w:ascii="宋体" w:hAnsi="宋体" w:eastAsia="宋体" w:cs="宋体"/>
          <w:b/>
          <w:kern w:val="0"/>
          <w:sz w:val="24"/>
          <w:szCs w:val="24"/>
        </w:rPr>
        <w:br w:type="page"/>
      </w:r>
    </w:p>
    <w:p>
      <w:pPr>
        <w:spacing w:line="360" w:lineRule="auto"/>
        <w:jc w:val="center"/>
        <w:outlineLvl w:val="1"/>
        <w:rPr>
          <w:rFonts w:ascii="宋体" w:hAnsi="宋体" w:eastAsia="宋体" w:cs="宋体"/>
          <w:b/>
          <w:sz w:val="28"/>
          <w:szCs w:val="28"/>
        </w:rPr>
      </w:pPr>
      <w:bookmarkStart w:id="133" w:name="_Toc155100560"/>
      <w:bookmarkStart w:id="134" w:name="_Toc24245"/>
      <w:r>
        <w:rPr>
          <w:rFonts w:hint="eastAsia" w:ascii="宋体" w:hAnsi="宋体" w:eastAsia="宋体" w:cs="宋体"/>
          <w:b/>
          <w:sz w:val="28"/>
          <w:szCs w:val="28"/>
        </w:rPr>
        <w:t>12、</w:t>
      </w:r>
      <w:bookmarkStart w:id="135" w:name="_Hlk144192363"/>
      <w:r>
        <w:rPr>
          <w:rFonts w:hint="eastAsia" w:ascii="宋体" w:hAnsi="宋体" w:eastAsia="宋体" w:cs="宋体"/>
          <w:b/>
          <w:sz w:val="28"/>
          <w:szCs w:val="28"/>
        </w:rPr>
        <w:t>采购供应商资格信用承诺函</w:t>
      </w:r>
      <w:bookmarkEnd w:id="133"/>
    </w:p>
    <w:bookmarkEnd w:id="135"/>
    <w:p>
      <w:pPr>
        <w:jc w:val="center"/>
        <w:rPr>
          <w:rFonts w:ascii="宋体" w:hAnsi="宋体" w:eastAsia="宋体" w:cs="宋体"/>
          <w:b/>
          <w:bCs/>
          <w:sz w:val="24"/>
          <w:szCs w:val="24"/>
        </w:rPr>
      </w:pPr>
    </w:p>
    <w:p>
      <w:pPr>
        <w:autoSpaceDE w:val="0"/>
        <w:autoSpaceDN w:val="0"/>
        <w:spacing w:line="276" w:lineRule="auto"/>
        <w:rPr>
          <w:rFonts w:ascii="宋体" w:hAnsi="宋体" w:eastAsia="宋体" w:cs="宋体"/>
          <w:sz w:val="24"/>
          <w:szCs w:val="24"/>
        </w:rPr>
      </w:pPr>
      <w:r>
        <w:rPr>
          <w:rFonts w:hint="eastAsia" w:ascii="宋体" w:hAnsi="宋体" w:eastAsia="宋体" w:cs="宋体"/>
          <w:sz w:val="24"/>
          <w:szCs w:val="24"/>
        </w:rPr>
        <w:t>致</w:t>
      </w:r>
      <w:r>
        <w:rPr>
          <w:rFonts w:ascii="宋体" w:hAnsi="宋体" w:eastAsia="宋体" w:cs="宋体"/>
          <w:sz w:val="24"/>
          <w:szCs w:val="24"/>
        </w:rPr>
        <w:t>(采购人或政府采购代理机构):</w:t>
      </w:r>
    </w:p>
    <w:p>
      <w:pPr>
        <w:autoSpaceDE w:val="0"/>
        <w:autoSpaceDN w:val="0"/>
        <w:spacing w:line="276" w:lineRule="auto"/>
        <w:ind w:firstLine="480" w:firstLineChars="200"/>
        <w:rPr>
          <w:rFonts w:ascii="宋体" w:hAnsi="宋体" w:eastAsia="宋体" w:cs="宋体"/>
          <w:sz w:val="24"/>
          <w:szCs w:val="24"/>
        </w:rPr>
      </w:pPr>
      <w:r>
        <w:rPr>
          <w:rFonts w:hint="eastAsia" w:ascii="宋体" w:hAnsi="宋体" w:eastAsia="宋体" w:cs="宋体"/>
          <w:sz w:val="24"/>
          <w:szCs w:val="24"/>
        </w:rPr>
        <w:t>单位名称</w:t>
      </w:r>
      <w:r>
        <w:rPr>
          <w:rFonts w:ascii="宋体" w:hAnsi="宋体" w:eastAsia="宋体" w:cs="宋体"/>
          <w:sz w:val="24"/>
          <w:szCs w:val="24"/>
        </w:rPr>
        <w:t>(自然人姓名):</w:t>
      </w:r>
    </w:p>
    <w:p>
      <w:pPr>
        <w:autoSpaceDE w:val="0"/>
        <w:autoSpaceDN w:val="0"/>
        <w:spacing w:line="276" w:lineRule="auto"/>
        <w:ind w:firstLine="480" w:firstLineChars="200"/>
        <w:rPr>
          <w:rFonts w:ascii="宋体" w:hAnsi="宋体" w:eastAsia="宋体" w:cs="宋体"/>
          <w:sz w:val="24"/>
          <w:szCs w:val="24"/>
        </w:rPr>
      </w:pPr>
      <w:r>
        <w:rPr>
          <w:rFonts w:hint="eastAsia" w:ascii="宋体" w:hAnsi="宋体" w:eastAsia="宋体" w:cs="宋体"/>
          <w:sz w:val="24"/>
          <w:szCs w:val="24"/>
        </w:rPr>
        <w:t>统一社会信用代码</w:t>
      </w:r>
      <w:r>
        <w:rPr>
          <w:rFonts w:ascii="宋体" w:hAnsi="宋体" w:eastAsia="宋体" w:cs="宋体"/>
          <w:sz w:val="24"/>
          <w:szCs w:val="24"/>
        </w:rPr>
        <w:t>(身份证号码):</w:t>
      </w:r>
    </w:p>
    <w:p>
      <w:pPr>
        <w:autoSpaceDE w:val="0"/>
        <w:autoSpaceDN w:val="0"/>
        <w:spacing w:line="276" w:lineRule="auto"/>
        <w:ind w:firstLine="480" w:firstLineChars="200"/>
        <w:rPr>
          <w:rFonts w:ascii="宋体" w:hAnsi="宋体" w:eastAsia="宋体" w:cs="宋体"/>
          <w:sz w:val="24"/>
          <w:szCs w:val="24"/>
        </w:rPr>
      </w:pPr>
      <w:r>
        <w:rPr>
          <w:rFonts w:hint="eastAsia" w:ascii="宋体" w:hAnsi="宋体" w:eastAsia="宋体" w:cs="宋体"/>
          <w:sz w:val="24"/>
          <w:szCs w:val="24"/>
        </w:rPr>
        <w:t>法定代表人</w:t>
      </w:r>
      <w:r>
        <w:rPr>
          <w:rFonts w:ascii="宋体" w:hAnsi="宋体" w:eastAsia="宋体" w:cs="宋体"/>
          <w:sz w:val="24"/>
          <w:szCs w:val="24"/>
        </w:rPr>
        <w:t>(负责人):</w:t>
      </w:r>
    </w:p>
    <w:p>
      <w:pPr>
        <w:autoSpaceDE w:val="0"/>
        <w:autoSpaceDN w:val="0"/>
        <w:spacing w:line="276" w:lineRule="auto"/>
        <w:ind w:firstLine="480" w:firstLineChars="200"/>
        <w:rPr>
          <w:rFonts w:ascii="宋体" w:hAnsi="宋体" w:eastAsia="宋体" w:cs="宋体"/>
          <w:sz w:val="24"/>
          <w:szCs w:val="24"/>
        </w:rPr>
      </w:pPr>
      <w:r>
        <w:rPr>
          <w:rFonts w:hint="eastAsia" w:ascii="宋体" w:hAnsi="宋体" w:eastAsia="宋体" w:cs="宋体"/>
          <w:sz w:val="24"/>
          <w:szCs w:val="24"/>
        </w:rPr>
        <w:t>联系地址和电话</w:t>
      </w:r>
      <w:r>
        <w:rPr>
          <w:rFonts w:ascii="宋体" w:hAnsi="宋体" w:eastAsia="宋体" w:cs="宋体"/>
          <w:sz w:val="24"/>
          <w:szCs w:val="24"/>
        </w:rPr>
        <w:t>:</w:t>
      </w:r>
    </w:p>
    <w:p>
      <w:pPr>
        <w:autoSpaceDE w:val="0"/>
        <w:autoSpaceDN w:val="0"/>
        <w:spacing w:line="276" w:lineRule="auto"/>
        <w:ind w:firstLine="480" w:firstLineChars="200"/>
        <w:rPr>
          <w:rFonts w:ascii="宋体" w:hAnsi="宋体" w:eastAsia="宋体" w:cs="宋体"/>
          <w:sz w:val="24"/>
          <w:szCs w:val="24"/>
        </w:rPr>
      </w:pPr>
      <w:r>
        <w:rPr>
          <w:rFonts w:hint="eastAsia" w:ascii="宋体" w:hAnsi="宋体" w:eastAsia="宋体" w:cs="宋体"/>
          <w:sz w:val="24"/>
          <w:szCs w:val="24"/>
        </w:rPr>
        <w:t>我单位</w:t>
      </w:r>
      <w:r>
        <w:rPr>
          <w:rFonts w:ascii="宋体" w:hAnsi="宋体" w:eastAsia="宋体" w:cs="宋体"/>
          <w:sz w:val="24"/>
          <w:szCs w:val="24"/>
        </w:rPr>
        <w:t>(本人)自愿参加本次政府采购活动，严格遵守《中华人民共和国政府采购法》及相关法律法规，坚守公开、公平、  公正和诚实信用等原则，依法诚信经营，并郑重承诺:</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(一)我单位(本人)符合采购文件要求以及《中华人民共和国政府采购法》第二十二条规定的条件:</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1.具有独立承担民事责任的能力;</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2.具有良好的商业信誉和健全的财务会计制度;</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3.具有履行合同所必需的设备和专业技术能力;</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4.有依法缴纳税收和社会保障资金的良好记录;</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5.参加政府采购活动前三年内，在经营活动中没有重大违法记录;</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6.符合法律、行政法规规定的其他条件。</w:t>
      </w:r>
    </w:p>
    <w:p>
      <w:pPr>
        <w:autoSpaceDE w:val="0"/>
        <w:autoSpaceDN w:val="0"/>
        <w:spacing w:line="276" w:lineRule="auto"/>
        <w:ind w:firstLine="480" w:firstLineChars="200"/>
        <w:rPr>
          <w:rFonts w:ascii="宋体" w:hAnsi="宋体" w:eastAsia="宋体" w:cs="宋体"/>
          <w:sz w:val="24"/>
          <w:szCs w:val="24"/>
        </w:rPr>
      </w:pPr>
      <w:r>
        <w:rPr>
          <w:rFonts w:ascii="宋体" w:hAnsi="宋体" w:eastAsia="宋体" w:cs="宋体"/>
          <w:sz w:val="24"/>
          <w:szCs w:val="24"/>
        </w:rPr>
        <w:t>(二)我单位(本人)未被列入严重失信主体名单、失信被执行人、税收违法黑名单、政府采购严重违法失信行为记录名单。</w:t>
      </w:r>
    </w:p>
    <w:p>
      <w:pPr>
        <w:autoSpaceDE w:val="0"/>
        <w:autoSpaceDN w:val="0"/>
        <w:spacing w:line="276" w:lineRule="auto"/>
        <w:ind w:firstLine="480" w:firstLineChars="200"/>
        <w:rPr>
          <w:rFonts w:ascii="宋体" w:hAnsi="宋体" w:eastAsia="宋体" w:cs="宋体"/>
          <w:sz w:val="24"/>
          <w:szCs w:val="24"/>
        </w:rPr>
      </w:pPr>
      <w:r>
        <w:rPr>
          <w:rFonts w:hint="eastAsia" w:ascii="宋体" w:hAnsi="宋体" w:eastAsia="宋体" w:cs="宋体"/>
          <w:sz w:val="24"/>
          <w:szCs w:val="24"/>
        </w:rPr>
        <w:t>我单位</w:t>
      </w:r>
      <w:r>
        <w:rPr>
          <w:rFonts w:ascii="宋体" w:hAnsi="宋体" w:eastAsia="宋体" w:cs="宋体"/>
          <w:sz w:val="24"/>
          <w:szCs w:val="24"/>
        </w:rPr>
        <w:t>(本人)对本承诺函及所承诺事项的真实性、合法性及有效性负责，并已知晓如所作信用承诺不实，可能涉嫌《中  华人民共和国政府采购法》第七十七条第一款第(一)项规定的“提供虚假材料谋取中标、成交”违法情形。经调查属实的，自觉接受政府采购行政监管部门按照《中华人民共和国政府采购法》第七十七条:“处以采购金额千分之五以上千分之十以下的罚款，列入不良行为记录名单，在一至三年内禁止参加政府采购活动，有违法所得的，并处没收违法所得，情节严重的，由市场监管部门吊销营业执照;构成犯罪的，依法追</w:t>
      </w:r>
      <w:r>
        <w:rPr>
          <w:rFonts w:hint="eastAsia" w:ascii="宋体" w:hAnsi="宋体" w:eastAsia="宋体" w:cs="宋体"/>
          <w:sz w:val="24"/>
          <w:szCs w:val="24"/>
        </w:rPr>
        <w:t>究刑事责</w:t>
      </w:r>
      <w:r>
        <w:rPr>
          <w:rFonts w:ascii="宋体" w:hAnsi="宋体" w:eastAsia="宋体" w:cs="宋体"/>
          <w:sz w:val="24"/>
          <w:szCs w:val="24"/>
        </w:rPr>
        <w:t xml:space="preserve">  任</w:t>
      </w:r>
      <w:r>
        <w:rPr>
          <w:rFonts w:hint="eastAsia" w:ascii="宋体" w:hAnsi="宋体" w:eastAsia="宋体" w:cs="宋体"/>
          <w:sz w:val="24"/>
          <w:szCs w:val="24"/>
        </w:rPr>
        <w:t>。</w:t>
      </w:r>
      <w:r>
        <w:rPr>
          <w:rFonts w:ascii="宋体" w:hAnsi="宋体" w:eastAsia="宋体" w:cs="宋体"/>
          <w:sz w:val="24"/>
          <w:szCs w:val="24"/>
        </w:rPr>
        <w:t>”处理。</w:t>
      </w:r>
    </w:p>
    <w:p>
      <w:pPr>
        <w:autoSpaceDE w:val="0"/>
        <w:autoSpaceDN w:val="0"/>
        <w:spacing w:line="276" w:lineRule="auto"/>
        <w:ind w:firstLine="4080" w:firstLineChars="1700"/>
        <w:rPr>
          <w:rFonts w:ascii="宋体" w:hAnsi="宋体" w:eastAsia="宋体" w:cs="宋体"/>
          <w:sz w:val="24"/>
          <w:szCs w:val="24"/>
        </w:rPr>
      </w:pPr>
      <w:r>
        <w:rPr>
          <w:rFonts w:hint="eastAsia" w:ascii="宋体" w:hAnsi="宋体" w:eastAsia="宋体" w:cs="宋体"/>
          <w:sz w:val="24"/>
          <w:szCs w:val="24"/>
        </w:rPr>
        <w:t>供应商名称</w:t>
      </w:r>
      <w:r>
        <w:rPr>
          <w:rFonts w:ascii="宋体" w:hAnsi="宋体" w:eastAsia="宋体" w:cs="宋体"/>
          <w:sz w:val="24"/>
          <w:szCs w:val="24"/>
        </w:rPr>
        <w:t>(单位公章):</w:t>
      </w:r>
    </w:p>
    <w:p>
      <w:pPr>
        <w:autoSpaceDE w:val="0"/>
        <w:autoSpaceDN w:val="0"/>
        <w:spacing w:line="276" w:lineRule="auto"/>
        <w:ind w:firstLine="4080" w:firstLineChars="1700"/>
        <w:rPr>
          <w:rFonts w:ascii="宋体" w:hAnsi="宋体" w:eastAsia="宋体" w:cs="宋体"/>
          <w:sz w:val="24"/>
          <w:szCs w:val="24"/>
        </w:rPr>
      </w:pPr>
      <w:r>
        <w:rPr>
          <w:rFonts w:hint="eastAsia" w:ascii="宋体" w:hAnsi="宋体" w:eastAsia="宋体" w:cs="宋体"/>
          <w:sz w:val="24"/>
          <w:szCs w:val="24"/>
        </w:rPr>
        <w:t>或自然人</w:t>
      </w:r>
      <w:r>
        <w:rPr>
          <w:rFonts w:ascii="宋体" w:hAnsi="宋体" w:eastAsia="宋体" w:cs="宋体"/>
          <w:sz w:val="24"/>
          <w:szCs w:val="24"/>
        </w:rPr>
        <w:t>(签字):</w:t>
      </w:r>
    </w:p>
    <w:p>
      <w:pPr>
        <w:autoSpaceDE w:val="0"/>
        <w:autoSpaceDN w:val="0"/>
        <w:spacing w:line="276" w:lineRule="auto"/>
        <w:ind w:firstLine="4800" w:firstLineChars="2000"/>
        <w:rPr>
          <w:rFonts w:ascii="宋体" w:hAnsi="宋体" w:eastAsia="宋体" w:cs="宋体"/>
          <w:sz w:val="24"/>
          <w:szCs w:val="24"/>
        </w:rPr>
      </w:pPr>
      <w:r>
        <w:rPr>
          <w:rFonts w:hint="eastAsia" w:ascii="宋体" w:hAnsi="宋体" w:eastAsia="宋体" w:cs="宋体"/>
          <w:sz w:val="24"/>
          <w:szCs w:val="24"/>
        </w:rPr>
        <w:t xml:space="preserve">年 </w:t>
      </w:r>
      <w:r>
        <w:rPr>
          <w:rFonts w:ascii="宋体" w:hAnsi="宋体" w:eastAsia="宋体" w:cs="宋体"/>
          <w:sz w:val="24"/>
          <w:szCs w:val="24"/>
        </w:rPr>
        <w:t xml:space="preserve"> </w:t>
      </w:r>
      <w:r>
        <w:rPr>
          <w:rFonts w:hint="eastAsia" w:ascii="宋体" w:hAnsi="宋体" w:eastAsia="宋体" w:cs="宋体"/>
          <w:sz w:val="24"/>
          <w:szCs w:val="24"/>
        </w:rPr>
        <w:t xml:space="preserve">月 </w:t>
      </w:r>
      <w:r>
        <w:rPr>
          <w:rFonts w:ascii="宋体" w:hAnsi="宋体" w:eastAsia="宋体" w:cs="宋体"/>
          <w:sz w:val="24"/>
          <w:szCs w:val="24"/>
        </w:rPr>
        <w:t xml:space="preserve">  </w:t>
      </w:r>
      <w:r>
        <w:rPr>
          <w:rFonts w:hint="eastAsia" w:ascii="宋体" w:hAnsi="宋体" w:eastAsia="宋体" w:cs="宋体"/>
          <w:sz w:val="24"/>
          <w:szCs w:val="24"/>
        </w:rPr>
        <w:t>日</w:t>
      </w:r>
    </w:p>
    <w:p>
      <w:pPr>
        <w:autoSpaceDE w:val="0"/>
        <w:autoSpaceDN w:val="0"/>
        <w:spacing w:line="276" w:lineRule="auto"/>
        <w:rPr>
          <w:rFonts w:ascii="宋体" w:hAnsi="宋体" w:eastAsia="宋体" w:cs="宋体"/>
          <w:b/>
          <w:bCs/>
          <w:sz w:val="24"/>
          <w:szCs w:val="24"/>
        </w:rPr>
      </w:pPr>
    </w:p>
    <w:p>
      <w:pPr>
        <w:autoSpaceDE w:val="0"/>
        <w:autoSpaceDN w:val="0"/>
        <w:spacing w:line="276" w:lineRule="auto"/>
        <w:rPr>
          <w:rFonts w:ascii="宋体" w:hAnsi="宋体" w:eastAsia="宋体" w:cs="宋体"/>
          <w:b/>
          <w:bCs/>
          <w:sz w:val="24"/>
          <w:szCs w:val="24"/>
        </w:rPr>
      </w:pPr>
      <w:r>
        <w:rPr>
          <w:rFonts w:hint="eastAsia" w:ascii="宋体" w:hAnsi="宋体" w:eastAsia="宋体" w:cs="宋体"/>
          <w:b/>
          <w:bCs/>
          <w:sz w:val="24"/>
          <w:szCs w:val="24"/>
        </w:rPr>
        <w:t>注</w:t>
      </w:r>
      <w:r>
        <w:rPr>
          <w:rFonts w:ascii="宋体" w:hAnsi="宋体" w:eastAsia="宋体" w:cs="宋体"/>
          <w:b/>
          <w:bCs/>
          <w:sz w:val="24"/>
          <w:szCs w:val="24"/>
        </w:rPr>
        <w:t>:1.我单位(本人)专指参加政府采购活动的供应商(含自然人)</w:t>
      </w:r>
    </w:p>
    <w:p>
      <w:pPr>
        <w:autoSpaceDE w:val="0"/>
        <w:autoSpaceDN w:val="0"/>
        <w:spacing w:line="276" w:lineRule="auto"/>
        <w:ind w:firstLine="482" w:firstLineChars="200"/>
        <w:rPr>
          <w:rFonts w:ascii="宋体" w:hAnsi="宋体" w:eastAsia="宋体" w:cs="宋体"/>
          <w:b/>
          <w:bCs/>
          <w:sz w:val="24"/>
          <w:szCs w:val="24"/>
        </w:rPr>
      </w:pPr>
      <w:r>
        <w:rPr>
          <w:rFonts w:ascii="宋体" w:hAnsi="宋体" w:eastAsia="宋体" w:cs="宋体"/>
          <w:b/>
          <w:bCs/>
          <w:sz w:val="24"/>
          <w:szCs w:val="24"/>
        </w:rPr>
        <w:t>2.供应商须在投标(响应)文件中按此模板提供承诺函，既未提供</w:t>
      </w:r>
      <w:r>
        <w:rPr>
          <w:rFonts w:hint="eastAsia" w:ascii="宋体" w:hAnsi="宋体" w:eastAsia="宋体" w:cs="宋体"/>
          <w:b/>
          <w:bCs/>
          <w:sz w:val="24"/>
          <w:szCs w:val="24"/>
        </w:rPr>
        <w:t>前述承诺函又未提供对应事项证明材料的，视为未实质响应招标文件要</w:t>
      </w:r>
      <w:r>
        <w:rPr>
          <w:rFonts w:ascii="宋体" w:hAnsi="宋体" w:eastAsia="宋体" w:cs="宋体"/>
          <w:b/>
          <w:bCs/>
          <w:sz w:val="24"/>
          <w:szCs w:val="24"/>
        </w:rPr>
        <w:t>求，按无效投标(响应)处理。</w:t>
      </w:r>
    </w:p>
    <w:p>
      <w:pPr>
        <w:outlineLvl w:val="1"/>
        <w:rPr>
          <w:rFonts w:ascii="宋体" w:hAnsi="宋体" w:eastAsia="宋体" w:cs="宋体"/>
          <w:b/>
          <w:sz w:val="28"/>
          <w:szCs w:val="28"/>
        </w:rPr>
      </w:pPr>
    </w:p>
    <w:p>
      <w:pPr>
        <w:jc w:val="center"/>
        <w:outlineLvl w:val="1"/>
        <w:rPr>
          <w:rFonts w:ascii="宋体" w:hAnsi="宋体" w:eastAsia="宋体" w:cs="宋体"/>
          <w:b/>
          <w:sz w:val="28"/>
          <w:szCs w:val="28"/>
        </w:rPr>
      </w:pPr>
    </w:p>
    <w:p>
      <w:pPr>
        <w:jc w:val="center"/>
        <w:outlineLvl w:val="1"/>
        <w:rPr>
          <w:rFonts w:ascii="宋体" w:hAnsi="宋体" w:eastAsia="宋体" w:cs="宋体"/>
          <w:b/>
          <w:sz w:val="28"/>
          <w:szCs w:val="24"/>
        </w:rPr>
      </w:pPr>
      <w:bookmarkStart w:id="136" w:name="_Toc155100561"/>
      <w:r>
        <w:rPr>
          <w:rFonts w:hint="eastAsia" w:ascii="宋体" w:hAnsi="宋体" w:eastAsia="宋体" w:cs="宋体"/>
          <w:b/>
          <w:sz w:val="28"/>
          <w:szCs w:val="28"/>
        </w:rPr>
        <w:t>13.</w:t>
      </w:r>
      <w:r>
        <w:rPr>
          <w:rFonts w:hint="eastAsia" w:ascii="宋体" w:hAnsi="宋体" w:eastAsia="宋体" w:cs="宋体"/>
          <w:b/>
          <w:sz w:val="28"/>
          <w:szCs w:val="24"/>
        </w:rPr>
        <w:t>中小企业声明函（货物）</w:t>
      </w:r>
      <w:bookmarkEnd w:id="134"/>
      <w:bookmarkEnd w:id="136"/>
    </w:p>
    <w:p>
      <w:pPr>
        <w:widowControl/>
        <w:autoSpaceDE w:val="0"/>
        <w:autoSpaceDN w:val="0"/>
        <w:adjustRightInd w:val="0"/>
        <w:snapToGrid w:val="0"/>
        <w:spacing w:line="360" w:lineRule="auto"/>
        <w:ind w:firstLine="480" w:firstLineChars="200"/>
        <w:rPr>
          <w:rFonts w:ascii="宋体" w:hAnsi="Times New Roman" w:eastAsia="宋体" w:cs="Times New Roman"/>
          <w:kern w:val="0"/>
          <w:sz w:val="24"/>
        </w:rPr>
      </w:pPr>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lang w:bidi="ar"/>
        </w:rPr>
        <w:t>本公司（联合体）郑重声明，根据《政府采购促进中小企业发展管理办法》（财库﹝2020﹞46 号）的规定，本公司（联合体）参加</w:t>
      </w:r>
      <w:r>
        <w:rPr>
          <w:rFonts w:hint="eastAsia" w:ascii="宋体" w:hAnsi="宋体" w:eastAsia="宋体" w:cs="宋体"/>
          <w:kern w:val="0"/>
          <w:sz w:val="24"/>
          <w:szCs w:val="24"/>
          <w:u w:val="single"/>
          <w:lang w:bidi="ar"/>
        </w:rPr>
        <w:t>（单位名称）</w:t>
      </w:r>
      <w:r>
        <w:rPr>
          <w:rFonts w:hint="eastAsia" w:ascii="宋体" w:hAnsi="宋体" w:eastAsia="宋体" w:cs="宋体"/>
          <w:kern w:val="0"/>
          <w:sz w:val="24"/>
          <w:szCs w:val="24"/>
          <w:lang w:bidi="ar"/>
        </w:rPr>
        <w:t>的</w:t>
      </w:r>
      <w:r>
        <w:rPr>
          <w:rFonts w:hint="eastAsia" w:ascii="宋体" w:hAnsi="宋体" w:eastAsia="宋体" w:cs="宋体"/>
          <w:kern w:val="0"/>
          <w:sz w:val="24"/>
          <w:szCs w:val="24"/>
          <w:u w:val="single"/>
          <w:lang w:bidi="ar"/>
        </w:rPr>
        <w:t>（项目名称）</w:t>
      </w:r>
      <w:r>
        <w:rPr>
          <w:rFonts w:hint="eastAsia" w:ascii="宋体" w:hAnsi="宋体" w:eastAsia="宋体" w:cs="宋体"/>
          <w:kern w:val="0"/>
          <w:sz w:val="24"/>
          <w:szCs w:val="24"/>
          <w:lang w:bidi="ar"/>
        </w:rPr>
        <w:t xml:space="preserve">采购活动，提供的货物全部由符合政策要求的中小企业制造。相关企业（含联合体中的中小企业、签订分包意向协议的中小企业）的具体情况如下： </w:t>
      </w:r>
    </w:p>
    <w:p>
      <w:pPr>
        <w:widowControl/>
        <w:spacing w:line="360" w:lineRule="auto"/>
        <w:jc w:val="left"/>
        <w:rPr>
          <w:rFonts w:ascii="宋体" w:hAnsi="宋体" w:eastAsia="宋体" w:cs="宋体"/>
          <w:sz w:val="24"/>
          <w:szCs w:val="24"/>
        </w:rPr>
      </w:pPr>
      <w:r>
        <w:rPr>
          <w:rFonts w:hint="eastAsia" w:ascii="宋体" w:hAnsi="宋体" w:eastAsia="宋体" w:cs="宋体"/>
          <w:kern w:val="0"/>
          <w:sz w:val="24"/>
          <w:szCs w:val="24"/>
          <w:lang w:bidi="ar"/>
        </w:rPr>
        <w:t xml:space="preserve">1. </w:t>
      </w:r>
      <w:r>
        <w:rPr>
          <w:rFonts w:hint="eastAsia" w:ascii="宋体" w:hAnsi="宋体" w:eastAsia="宋体" w:cs="宋体"/>
          <w:kern w:val="0"/>
          <w:sz w:val="24"/>
          <w:szCs w:val="24"/>
          <w:u w:val="single"/>
          <w:lang w:bidi="ar"/>
        </w:rPr>
        <w:t>（标的名称）</w:t>
      </w:r>
      <w:r>
        <w:rPr>
          <w:rFonts w:hint="eastAsia" w:ascii="宋体" w:hAnsi="宋体" w:eastAsia="宋体" w:cs="宋体"/>
          <w:kern w:val="0"/>
          <w:sz w:val="24"/>
          <w:szCs w:val="24"/>
          <w:lang w:bidi="ar"/>
        </w:rPr>
        <w:t xml:space="preserve"> ，属于</w:t>
      </w:r>
      <w:r>
        <w:rPr>
          <w:rFonts w:hint="eastAsia" w:ascii="宋体" w:hAnsi="宋体" w:eastAsia="宋体" w:cs="宋体"/>
          <w:kern w:val="0"/>
          <w:sz w:val="24"/>
          <w:szCs w:val="24"/>
          <w:u w:val="single"/>
          <w:lang w:bidi="ar"/>
        </w:rPr>
        <w:t>（  ）</w:t>
      </w:r>
      <w:r>
        <w:rPr>
          <w:rFonts w:hint="eastAsia" w:ascii="宋体" w:hAnsi="宋体" w:eastAsia="宋体" w:cs="宋体"/>
          <w:kern w:val="0"/>
          <w:sz w:val="24"/>
          <w:szCs w:val="24"/>
          <w:lang w:bidi="ar"/>
        </w:rPr>
        <w:t>行业；制造商为</w:t>
      </w:r>
      <w:r>
        <w:rPr>
          <w:rFonts w:hint="eastAsia" w:ascii="宋体" w:hAnsi="宋体" w:eastAsia="宋体" w:cs="宋体"/>
          <w:kern w:val="0"/>
          <w:sz w:val="24"/>
          <w:szCs w:val="24"/>
          <w:u w:val="single"/>
          <w:lang w:bidi="ar"/>
        </w:rPr>
        <w:t>（企业名称）</w:t>
      </w:r>
      <w:r>
        <w:rPr>
          <w:rFonts w:hint="eastAsia" w:ascii="宋体" w:hAnsi="宋体" w:eastAsia="宋体" w:cs="宋体"/>
          <w:kern w:val="0"/>
          <w:sz w:val="24"/>
          <w:szCs w:val="24"/>
          <w:lang w:bidi="ar"/>
        </w:rPr>
        <w:t>，从业人员</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人，营业收入</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 xml:space="preserve">为万元，资产总额为 </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万元，属于</w:t>
      </w:r>
      <w:r>
        <w:rPr>
          <w:rFonts w:hint="eastAsia" w:ascii="宋体" w:hAnsi="宋体" w:eastAsia="宋体" w:cs="宋体"/>
          <w:kern w:val="0"/>
          <w:sz w:val="24"/>
          <w:szCs w:val="24"/>
          <w:u w:val="single"/>
          <w:lang w:bidi="ar"/>
        </w:rPr>
        <w:t>（中型企业、小型企业、微型企业）</w:t>
      </w:r>
      <w:r>
        <w:rPr>
          <w:rFonts w:hint="eastAsia" w:ascii="宋体" w:hAnsi="宋体" w:eastAsia="宋体" w:cs="宋体"/>
          <w:kern w:val="0"/>
          <w:sz w:val="24"/>
          <w:szCs w:val="24"/>
          <w:lang w:bidi="ar"/>
        </w:rPr>
        <w:t xml:space="preserve">； </w:t>
      </w:r>
    </w:p>
    <w:p>
      <w:pPr>
        <w:widowControl/>
        <w:spacing w:line="360" w:lineRule="auto"/>
        <w:jc w:val="left"/>
        <w:rPr>
          <w:rFonts w:ascii="宋体" w:hAnsi="宋体" w:eastAsia="宋体" w:cs="宋体"/>
          <w:sz w:val="24"/>
          <w:szCs w:val="24"/>
        </w:rPr>
      </w:pPr>
      <w:r>
        <w:rPr>
          <w:rFonts w:hint="eastAsia" w:ascii="宋体" w:hAnsi="宋体" w:eastAsia="宋体" w:cs="宋体"/>
          <w:kern w:val="0"/>
          <w:sz w:val="24"/>
          <w:szCs w:val="24"/>
          <w:lang w:bidi="ar"/>
        </w:rPr>
        <w:t xml:space="preserve">2. </w:t>
      </w:r>
      <w:r>
        <w:rPr>
          <w:rFonts w:hint="eastAsia" w:ascii="宋体" w:hAnsi="宋体" w:eastAsia="宋体" w:cs="宋体"/>
          <w:kern w:val="0"/>
          <w:sz w:val="24"/>
          <w:szCs w:val="24"/>
          <w:u w:val="single"/>
          <w:lang w:bidi="ar"/>
        </w:rPr>
        <w:t>（标的名称）</w:t>
      </w:r>
      <w:r>
        <w:rPr>
          <w:rFonts w:hint="eastAsia" w:ascii="宋体" w:hAnsi="宋体" w:eastAsia="宋体" w:cs="宋体"/>
          <w:kern w:val="0"/>
          <w:sz w:val="24"/>
          <w:szCs w:val="24"/>
          <w:lang w:bidi="ar"/>
        </w:rPr>
        <w:t xml:space="preserve"> ，属于</w:t>
      </w:r>
      <w:r>
        <w:rPr>
          <w:rFonts w:hint="eastAsia" w:ascii="宋体" w:hAnsi="宋体" w:eastAsia="宋体" w:cs="宋体"/>
          <w:kern w:val="0"/>
          <w:sz w:val="24"/>
          <w:szCs w:val="24"/>
          <w:u w:val="single"/>
          <w:lang w:bidi="ar"/>
        </w:rPr>
        <w:t>（   ）</w:t>
      </w:r>
      <w:r>
        <w:rPr>
          <w:rFonts w:hint="eastAsia" w:ascii="宋体" w:hAnsi="宋体" w:eastAsia="宋体" w:cs="宋体"/>
          <w:kern w:val="0"/>
          <w:sz w:val="24"/>
          <w:szCs w:val="24"/>
          <w:lang w:bidi="ar"/>
        </w:rPr>
        <w:t>行业；制造商为</w:t>
      </w:r>
      <w:r>
        <w:rPr>
          <w:rFonts w:hint="eastAsia" w:ascii="宋体" w:hAnsi="宋体" w:eastAsia="宋体" w:cs="宋体"/>
          <w:kern w:val="0"/>
          <w:sz w:val="24"/>
          <w:szCs w:val="24"/>
          <w:u w:val="single"/>
          <w:lang w:bidi="ar"/>
        </w:rPr>
        <w:t>（企业名称）</w:t>
      </w:r>
      <w:r>
        <w:rPr>
          <w:rFonts w:hint="eastAsia" w:ascii="宋体" w:hAnsi="宋体" w:eastAsia="宋体" w:cs="宋体"/>
          <w:kern w:val="0"/>
          <w:sz w:val="24"/>
          <w:szCs w:val="24"/>
          <w:lang w:bidi="ar"/>
        </w:rPr>
        <w:t>，从业人员</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人，营业收入</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 xml:space="preserve">为万元，资产总额为 </w:t>
      </w:r>
      <w:r>
        <w:rPr>
          <w:rFonts w:hint="eastAsia" w:ascii="宋体" w:hAnsi="宋体" w:eastAsia="宋体" w:cs="宋体"/>
          <w:kern w:val="0"/>
          <w:sz w:val="24"/>
          <w:szCs w:val="24"/>
          <w:u w:val="single"/>
          <w:lang w:bidi="ar"/>
        </w:rPr>
        <w:t xml:space="preserve">     </w:t>
      </w:r>
      <w:r>
        <w:rPr>
          <w:rFonts w:hint="eastAsia" w:ascii="宋体" w:hAnsi="宋体" w:eastAsia="宋体" w:cs="宋体"/>
          <w:kern w:val="0"/>
          <w:sz w:val="24"/>
          <w:szCs w:val="24"/>
          <w:lang w:bidi="ar"/>
        </w:rPr>
        <w:t>万元，属于</w:t>
      </w:r>
      <w:r>
        <w:rPr>
          <w:rFonts w:hint="eastAsia" w:ascii="宋体" w:hAnsi="宋体" w:eastAsia="宋体" w:cs="宋体"/>
          <w:kern w:val="0"/>
          <w:sz w:val="24"/>
          <w:szCs w:val="24"/>
          <w:u w:val="single"/>
          <w:lang w:bidi="ar"/>
        </w:rPr>
        <w:t>（中型企业、小型企业、微型企业）</w:t>
      </w:r>
      <w:r>
        <w:rPr>
          <w:rFonts w:hint="eastAsia" w:ascii="宋体" w:hAnsi="宋体" w:eastAsia="宋体" w:cs="宋体"/>
          <w:kern w:val="0"/>
          <w:sz w:val="24"/>
          <w:szCs w:val="24"/>
          <w:lang w:bidi="ar"/>
        </w:rPr>
        <w:t xml:space="preserve">； </w:t>
      </w:r>
    </w:p>
    <w:p>
      <w:pPr>
        <w:widowControl/>
        <w:spacing w:line="360" w:lineRule="auto"/>
        <w:ind w:firstLine="480" w:firstLineChars="200"/>
        <w:jc w:val="left"/>
        <w:rPr>
          <w:rFonts w:ascii="宋体" w:hAnsi="宋体" w:eastAsia="宋体" w:cs="宋体"/>
          <w:sz w:val="24"/>
          <w:szCs w:val="24"/>
        </w:rPr>
      </w:pPr>
      <w:r>
        <w:rPr>
          <w:rFonts w:hint="eastAsia" w:ascii="宋体" w:hAnsi="宋体" w:eastAsia="宋体" w:cs="宋体"/>
          <w:kern w:val="0"/>
          <w:sz w:val="24"/>
          <w:szCs w:val="24"/>
          <w:lang w:bidi="ar"/>
        </w:rPr>
        <w:t>……</w:t>
      </w:r>
    </w:p>
    <w:p>
      <w:pPr>
        <w:widowControl/>
        <w:ind w:firstLine="480" w:firstLineChars="200"/>
        <w:jc w:val="left"/>
        <w:rPr>
          <w:rFonts w:ascii="宋体" w:hAnsi="宋体" w:eastAsia="宋体" w:cs="宋体"/>
          <w:sz w:val="24"/>
          <w:szCs w:val="24"/>
        </w:rPr>
      </w:pPr>
      <w:r>
        <w:rPr>
          <w:rFonts w:hint="eastAsia" w:ascii="宋体" w:hAnsi="宋体" w:eastAsia="宋体" w:cs="宋体"/>
          <w:kern w:val="0"/>
          <w:sz w:val="24"/>
          <w:szCs w:val="24"/>
          <w:lang w:bidi="ar"/>
        </w:rPr>
        <w:t>以上企业，不属于大企业的分支机构，不存在控股股东为大企业的情形，也不存在与大企业的负责人为同一人的情形。</w:t>
      </w:r>
    </w:p>
    <w:p>
      <w:pPr>
        <w:widowControl/>
        <w:ind w:firstLine="480" w:firstLineChars="200"/>
        <w:jc w:val="left"/>
        <w:rPr>
          <w:rFonts w:ascii="宋体" w:hAnsi="宋体" w:eastAsia="宋体" w:cs="宋体"/>
          <w:sz w:val="24"/>
          <w:szCs w:val="24"/>
        </w:rPr>
      </w:pPr>
      <w:r>
        <w:rPr>
          <w:rFonts w:hint="eastAsia" w:ascii="宋体" w:hAnsi="宋体" w:eastAsia="宋体" w:cs="宋体"/>
          <w:kern w:val="0"/>
          <w:sz w:val="24"/>
          <w:szCs w:val="24"/>
          <w:lang w:bidi="ar"/>
        </w:rPr>
        <w:t xml:space="preserve">本企业对上述声明内容的真实性负责。如有虚假，将依法承担相应责任。 </w:t>
      </w:r>
    </w:p>
    <w:p>
      <w:pPr>
        <w:widowControl/>
        <w:spacing w:line="480" w:lineRule="auto"/>
        <w:jc w:val="center"/>
        <w:rPr>
          <w:rFonts w:ascii="宋体" w:hAnsi="宋体" w:eastAsia="宋体" w:cs="宋体"/>
          <w:kern w:val="0"/>
          <w:sz w:val="24"/>
          <w:szCs w:val="24"/>
          <w:lang w:bidi="ar"/>
        </w:rPr>
      </w:pPr>
    </w:p>
    <w:p>
      <w:pPr>
        <w:widowControl/>
        <w:spacing w:line="480" w:lineRule="auto"/>
        <w:jc w:val="center"/>
        <w:rPr>
          <w:rFonts w:ascii="宋体" w:hAnsi="宋体" w:eastAsia="宋体" w:cs="宋体"/>
          <w:kern w:val="0"/>
          <w:sz w:val="24"/>
          <w:szCs w:val="24"/>
          <w:lang w:bidi="ar"/>
        </w:rPr>
      </w:pPr>
      <w:r>
        <w:rPr>
          <w:rFonts w:hint="eastAsia" w:ascii="宋体" w:hAnsi="宋体" w:eastAsia="宋体" w:cs="宋体"/>
          <w:kern w:val="0"/>
          <w:sz w:val="24"/>
          <w:szCs w:val="24"/>
          <w:lang w:bidi="ar"/>
        </w:rPr>
        <w:t xml:space="preserve">                             </w:t>
      </w:r>
    </w:p>
    <w:p>
      <w:pPr>
        <w:widowControl/>
        <w:spacing w:line="480" w:lineRule="auto"/>
        <w:jc w:val="center"/>
        <w:rPr>
          <w:rFonts w:ascii="宋体" w:hAnsi="宋体" w:eastAsia="宋体" w:cs="宋体"/>
          <w:kern w:val="0"/>
          <w:sz w:val="24"/>
          <w:szCs w:val="24"/>
          <w:lang w:bidi="ar"/>
        </w:rPr>
      </w:pPr>
    </w:p>
    <w:p>
      <w:pPr>
        <w:widowControl/>
        <w:spacing w:line="480" w:lineRule="auto"/>
        <w:jc w:val="center"/>
        <w:rPr>
          <w:rFonts w:ascii="宋体" w:hAnsi="宋体" w:eastAsia="宋体" w:cs="宋体"/>
          <w:sz w:val="24"/>
          <w:szCs w:val="24"/>
        </w:rPr>
      </w:pPr>
      <w:r>
        <w:rPr>
          <w:rFonts w:hint="eastAsia" w:ascii="宋体" w:hAnsi="宋体" w:eastAsia="宋体" w:cs="宋体"/>
          <w:kern w:val="0"/>
          <w:sz w:val="24"/>
          <w:szCs w:val="24"/>
          <w:lang w:bidi="ar"/>
        </w:rPr>
        <w:t xml:space="preserve">                          企业名称（盖章）：</w:t>
      </w:r>
    </w:p>
    <w:p>
      <w:pPr>
        <w:widowControl/>
        <w:spacing w:line="480" w:lineRule="auto"/>
        <w:jc w:val="center"/>
        <w:rPr>
          <w:rFonts w:ascii="Times New Roman" w:hAnsi="Times New Roman" w:eastAsia="宋体" w:cs="Times New Roman"/>
          <w:szCs w:val="24"/>
        </w:rPr>
      </w:pPr>
      <w:r>
        <w:rPr>
          <w:rFonts w:hint="eastAsia" w:ascii="宋体" w:hAnsi="宋体" w:eastAsia="宋体" w:cs="宋体"/>
          <w:kern w:val="0"/>
          <w:sz w:val="24"/>
          <w:szCs w:val="24"/>
          <w:lang w:bidi="ar"/>
        </w:rPr>
        <w:t xml:space="preserve">                                       日 期：</w:t>
      </w:r>
    </w:p>
    <w:p>
      <w:pPr>
        <w:rPr>
          <w:rFonts w:ascii="宋体" w:hAnsi="宋体" w:eastAsia="宋体" w:cs="宋体"/>
          <w:szCs w:val="24"/>
        </w:rPr>
      </w:pPr>
    </w:p>
    <w:p>
      <w:pPr>
        <w:rPr>
          <w:rFonts w:ascii="宋体" w:hAnsi="宋体" w:eastAsia="宋体" w:cs="宋体"/>
          <w:szCs w:val="24"/>
        </w:rPr>
      </w:pPr>
    </w:p>
    <w:p>
      <w:pPr>
        <w:widowControl/>
        <w:jc w:val="left"/>
        <w:rPr>
          <w:rFonts w:ascii="宋体" w:hAnsi="宋体" w:eastAsia="宋体" w:cs="宋体"/>
          <w:sz w:val="24"/>
          <w:szCs w:val="24"/>
        </w:rPr>
      </w:pPr>
      <w:r>
        <w:rPr>
          <w:rFonts w:hint="eastAsia" w:ascii="宋体" w:hAnsi="宋体" w:eastAsia="宋体" w:cs="宋体"/>
          <w:kern w:val="0"/>
          <w:sz w:val="24"/>
          <w:szCs w:val="24"/>
          <w:lang w:bidi="ar"/>
        </w:rPr>
        <w:t xml:space="preserve">注：1、从业人员、营业收入、资产总额填报上一年度数据，无上一年度数据的新成立企业可不填报。 </w:t>
      </w:r>
    </w:p>
    <w:p>
      <w:pPr>
        <w:widowControl/>
        <w:jc w:val="left"/>
        <w:rPr>
          <w:rFonts w:ascii="宋体" w:hAnsi="宋体" w:eastAsia="宋体" w:cs="宋体"/>
          <w:sz w:val="24"/>
          <w:szCs w:val="24"/>
        </w:rPr>
      </w:pPr>
      <w:r>
        <w:rPr>
          <w:rFonts w:hint="eastAsia" w:ascii="宋体" w:hAnsi="宋体" w:eastAsia="宋体" w:cs="宋体"/>
          <w:kern w:val="0"/>
          <w:sz w:val="24"/>
          <w:szCs w:val="24"/>
          <w:lang w:bidi="ar"/>
        </w:rPr>
        <w:t>2、不符合小型、微型企业条件的不需提供。</w:t>
      </w:r>
    </w:p>
    <w:p>
      <w:pPr>
        <w:rPr>
          <w:rFonts w:ascii="宋体" w:hAnsi="宋体" w:eastAsia="宋体" w:cs="宋体"/>
          <w:b/>
          <w:sz w:val="24"/>
          <w:szCs w:val="24"/>
        </w:rPr>
      </w:pPr>
    </w:p>
    <w:p>
      <w:pPr>
        <w:spacing w:line="360" w:lineRule="auto"/>
        <w:outlineLvl w:val="1"/>
        <w:rPr>
          <w:rFonts w:ascii="宋体" w:hAnsi="宋体" w:eastAsia="宋体" w:cs="宋体"/>
          <w:b/>
          <w:sz w:val="24"/>
          <w:szCs w:val="24"/>
        </w:rPr>
      </w:pPr>
    </w:p>
    <w:p>
      <w:pPr>
        <w:spacing w:line="360" w:lineRule="auto"/>
        <w:jc w:val="center"/>
        <w:outlineLvl w:val="1"/>
        <w:rPr>
          <w:rFonts w:ascii="宋体" w:hAnsi="宋体" w:eastAsia="宋体" w:cs="宋体"/>
          <w:sz w:val="24"/>
          <w:szCs w:val="24"/>
        </w:rPr>
      </w:pPr>
      <w:r>
        <w:rPr>
          <w:rFonts w:hint="eastAsia" w:ascii="宋体" w:hAnsi="宋体" w:eastAsia="宋体" w:cs="宋体"/>
          <w:sz w:val="24"/>
          <w:szCs w:val="24"/>
        </w:rPr>
        <w:br w:type="page"/>
      </w:r>
      <w:bookmarkStart w:id="137" w:name="OLE_LINK14"/>
      <w:bookmarkStart w:id="138" w:name="OLE_LINK13"/>
    </w:p>
    <w:p>
      <w:pPr>
        <w:spacing w:line="360" w:lineRule="auto"/>
        <w:jc w:val="center"/>
        <w:outlineLvl w:val="1"/>
        <w:rPr>
          <w:rFonts w:ascii="宋体" w:hAnsi="宋体" w:eastAsia="宋体" w:cs="宋体"/>
          <w:b/>
          <w:sz w:val="28"/>
          <w:szCs w:val="28"/>
        </w:rPr>
      </w:pPr>
      <w:bookmarkStart w:id="139" w:name="_Toc155100562"/>
      <w:r>
        <w:rPr>
          <w:rFonts w:hint="eastAsia" w:ascii="宋体" w:hAnsi="宋体" w:eastAsia="宋体" w:cs="宋体"/>
          <w:b/>
          <w:sz w:val="28"/>
          <w:szCs w:val="28"/>
        </w:rPr>
        <w:t>14.省级以上监狱管理局、戒毒管理局（含新疆生产建设兵团）出具的属于监狱企业 证明文件</w:t>
      </w:r>
      <w:bookmarkEnd w:id="139"/>
      <w:r>
        <w:rPr>
          <w:rFonts w:hint="eastAsia" w:ascii="宋体" w:hAnsi="宋体" w:eastAsia="宋体" w:cs="宋体"/>
          <w:b/>
          <w:sz w:val="28"/>
          <w:szCs w:val="28"/>
        </w:rPr>
        <w:t xml:space="preserve"> </w:t>
      </w:r>
    </w:p>
    <w:p>
      <w:pPr>
        <w:widowControl/>
        <w:jc w:val="left"/>
        <w:rPr>
          <w:rFonts w:ascii="仿宋" w:hAnsi="仿宋" w:eastAsia="仿宋" w:cs="仿宋"/>
          <w:b/>
          <w:bCs/>
          <w:kern w:val="0"/>
          <w:sz w:val="24"/>
          <w:szCs w:val="24"/>
          <w:lang w:bidi="ar"/>
        </w:rPr>
      </w:pPr>
    </w:p>
    <w:p>
      <w:pPr>
        <w:widowControl/>
        <w:jc w:val="left"/>
        <w:rPr>
          <w:rFonts w:ascii="仿宋" w:hAnsi="仿宋" w:eastAsia="仿宋" w:cs="仿宋"/>
          <w:b/>
          <w:bCs/>
          <w:kern w:val="0"/>
          <w:sz w:val="24"/>
          <w:szCs w:val="24"/>
          <w:lang w:bidi="ar"/>
        </w:rPr>
      </w:pPr>
    </w:p>
    <w:p>
      <w:pPr>
        <w:widowControl/>
        <w:jc w:val="left"/>
        <w:rPr>
          <w:rFonts w:ascii="仿宋" w:hAnsi="仿宋" w:eastAsia="仿宋" w:cs="仿宋"/>
          <w:b/>
          <w:bCs/>
          <w:kern w:val="0"/>
          <w:sz w:val="24"/>
          <w:szCs w:val="24"/>
          <w:lang w:bidi="ar"/>
        </w:rPr>
      </w:pPr>
    </w:p>
    <w:p>
      <w:pPr>
        <w:widowControl/>
        <w:jc w:val="left"/>
        <w:rPr>
          <w:rFonts w:ascii="仿宋" w:hAnsi="仿宋" w:eastAsia="仿宋" w:cs="仿宋"/>
          <w:b/>
          <w:bCs/>
          <w:kern w:val="0"/>
          <w:sz w:val="24"/>
          <w:szCs w:val="24"/>
          <w:lang w:bidi="ar"/>
        </w:rPr>
      </w:pPr>
    </w:p>
    <w:p>
      <w:pPr>
        <w:widowControl/>
        <w:jc w:val="left"/>
        <w:rPr>
          <w:rFonts w:ascii="宋体" w:hAnsi="宋体" w:eastAsia="宋体" w:cs="宋体"/>
          <w:sz w:val="24"/>
          <w:szCs w:val="24"/>
        </w:rPr>
      </w:pPr>
      <w:r>
        <w:rPr>
          <w:rFonts w:hint="eastAsia" w:ascii="宋体" w:hAnsi="宋体" w:eastAsia="宋体" w:cs="宋体"/>
          <w:kern w:val="0"/>
          <w:sz w:val="24"/>
          <w:szCs w:val="24"/>
          <w:lang w:bidi="ar"/>
        </w:rPr>
        <w:t xml:space="preserve">注：1、省级以上监狱管理局、戒毒管理局（含新疆生产建设兵团）出具的属于监狱企业 </w:t>
      </w:r>
    </w:p>
    <w:p>
      <w:pPr>
        <w:widowControl/>
        <w:jc w:val="left"/>
        <w:rPr>
          <w:rFonts w:ascii="宋体" w:hAnsi="宋体" w:eastAsia="宋体" w:cs="宋体"/>
          <w:sz w:val="24"/>
          <w:szCs w:val="24"/>
        </w:rPr>
      </w:pPr>
      <w:r>
        <w:rPr>
          <w:rFonts w:hint="eastAsia" w:ascii="宋体" w:hAnsi="宋体" w:eastAsia="宋体" w:cs="宋体"/>
          <w:kern w:val="0"/>
          <w:sz w:val="24"/>
          <w:szCs w:val="24"/>
          <w:lang w:bidi="ar"/>
        </w:rPr>
        <w:t xml:space="preserve">证明文件格式由出具单位提供； </w:t>
      </w:r>
    </w:p>
    <w:p>
      <w:pPr>
        <w:widowControl/>
        <w:jc w:val="left"/>
        <w:rPr>
          <w:rFonts w:ascii="宋体" w:hAnsi="宋体" w:eastAsia="宋体" w:cs="宋体"/>
          <w:sz w:val="24"/>
          <w:szCs w:val="24"/>
        </w:rPr>
      </w:pPr>
      <w:r>
        <w:rPr>
          <w:rFonts w:hint="eastAsia" w:ascii="宋体" w:hAnsi="宋体" w:eastAsia="宋体" w:cs="宋体"/>
          <w:kern w:val="0"/>
          <w:sz w:val="24"/>
          <w:szCs w:val="24"/>
          <w:lang w:bidi="ar"/>
        </w:rPr>
        <w:t xml:space="preserve">2、不属于监狱企业的不需提供。 </w:t>
      </w: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widowControl/>
        <w:autoSpaceDE w:val="0"/>
        <w:autoSpaceDN w:val="0"/>
        <w:adjustRightInd w:val="0"/>
        <w:snapToGrid w:val="0"/>
        <w:spacing w:line="360" w:lineRule="auto"/>
        <w:ind w:firstLine="480" w:firstLineChars="200"/>
        <w:rPr>
          <w:rFonts w:ascii="宋体" w:hAnsi="宋体" w:eastAsia="宋体" w:cs="宋体"/>
          <w:kern w:val="0"/>
          <w:sz w:val="24"/>
        </w:rPr>
      </w:pPr>
    </w:p>
    <w:p>
      <w:pPr>
        <w:rPr>
          <w:rFonts w:ascii="宋体" w:hAnsi="宋体" w:eastAsia="宋体" w:cs="宋体"/>
          <w:sz w:val="24"/>
          <w:szCs w:val="24"/>
        </w:rPr>
      </w:pPr>
    </w:p>
    <w:p>
      <w:pPr>
        <w:spacing w:line="360" w:lineRule="auto"/>
        <w:outlineLvl w:val="1"/>
        <w:rPr>
          <w:rFonts w:ascii="宋体" w:hAnsi="宋体" w:eastAsia="宋体" w:cs="宋体"/>
          <w:sz w:val="24"/>
          <w:szCs w:val="24"/>
        </w:rPr>
      </w:pPr>
    </w:p>
    <w:p>
      <w:pPr>
        <w:keepNext/>
        <w:keepLines/>
        <w:numPr>
          <w:ilvl w:val="1"/>
          <w:numId w:val="0"/>
        </w:numPr>
        <w:adjustRightInd w:val="0"/>
        <w:spacing w:before="260" w:after="260" w:line="360" w:lineRule="auto"/>
        <w:ind w:left="142"/>
        <w:jc w:val="center"/>
        <w:textAlignment w:val="baseline"/>
        <w:outlineLvl w:val="1"/>
        <w:rPr>
          <w:rFonts w:ascii="宋体" w:hAnsi="宋体" w:eastAsia="宋体" w:cs="宋体"/>
          <w:b/>
          <w:sz w:val="24"/>
          <w:szCs w:val="24"/>
        </w:rPr>
      </w:pPr>
      <w:bookmarkStart w:id="140" w:name="_Toc155100563"/>
      <w:r>
        <w:rPr>
          <w:rFonts w:hint="eastAsia" w:ascii="宋体" w:hAnsi="宋体" w:eastAsia="宋体" w:cs="宋体"/>
          <w:b/>
          <w:sz w:val="28"/>
          <w:szCs w:val="28"/>
        </w:rPr>
        <w:t>15.</w:t>
      </w:r>
      <w:bookmarkEnd w:id="137"/>
      <w:bookmarkEnd w:id="138"/>
      <w:r>
        <w:rPr>
          <w:rFonts w:hint="eastAsia" w:ascii="宋体" w:hAnsi="宋体" w:eastAsia="宋体" w:cs="宋体"/>
          <w:b/>
          <w:sz w:val="28"/>
          <w:szCs w:val="24"/>
        </w:rPr>
        <w:t>残疾人福利性单位声明函</w:t>
      </w:r>
      <w:bookmarkEnd w:id="140"/>
    </w:p>
    <w:p>
      <w:pPr>
        <w:spacing w:line="588" w:lineRule="exact"/>
        <w:ind w:firstLine="504" w:firstLineChars="200"/>
        <w:rPr>
          <w:rFonts w:ascii="宋体" w:hAnsi="宋体" w:eastAsia="宋体" w:cs="宋体"/>
          <w:spacing w:val="6"/>
          <w:sz w:val="24"/>
          <w:szCs w:val="24"/>
        </w:rPr>
      </w:pPr>
      <w:r>
        <w:rPr>
          <w:rFonts w:hint="eastAsia" w:ascii="宋体" w:hAnsi="宋体" w:eastAsia="宋体" w:cs="宋体"/>
          <w:spacing w:val="6"/>
          <w:sz w:val="24"/>
          <w:szCs w:val="24"/>
        </w:rPr>
        <w:t>本单位郑重声明，根据《财政部 民政部 中国残疾人联合会关于促进残疾人就业政府采购政策的通知》（财库</w:t>
      </w:r>
      <w:r>
        <w:rPr>
          <w:rFonts w:hint="eastAsia" w:ascii="宋体" w:hAnsi="宋体" w:eastAsia="宋体" w:cs="宋体"/>
          <w:sz w:val="24"/>
          <w:szCs w:val="24"/>
        </w:rPr>
        <w:t>〔2017〕 141</w:t>
      </w:r>
      <w:r>
        <w:rPr>
          <w:rFonts w:hint="eastAsia" w:ascii="宋体" w:hAnsi="宋体" w:eastAsia="宋体" w:cs="宋体"/>
          <w:spacing w:val="6"/>
          <w:sz w:val="24"/>
          <w:szCs w:val="24"/>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宋体" w:hAnsi="宋体" w:eastAsia="宋体" w:cs="宋体"/>
          <w:spacing w:val="6"/>
          <w:sz w:val="24"/>
          <w:szCs w:val="24"/>
        </w:rPr>
      </w:pPr>
      <w:r>
        <w:rPr>
          <w:rFonts w:hint="eastAsia" w:ascii="宋体" w:hAnsi="宋体" w:eastAsia="宋体" w:cs="宋体"/>
          <w:spacing w:val="6"/>
          <w:sz w:val="24"/>
          <w:szCs w:val="24"/>
        </w:rPr>
        <w:t>本单位对上述声明的真实性负责。如有虚假，将依法承担相应责任。</w:t>
      </w:r>
    </w:p>
    <w:p>
      <w:pPr>
        <w:spacing w:line="588" w:lineRule="exact"/>
        <w:ind w:firstLine="504" w:firstLineChars="200"/>
        <w:rPr>
          <w:rFonts w:ascii="宋体" w:hAnsi="宋体" w:eastAsia="宋体" w:cs="宋体"/>
          <w:spacing w:val="6"/>
          <w:sz w:val="24"/>
          <w:szCs w:val="24"/>
        </w:rPr>
      </w:pPr>
    </w:p>
    <w:p>
      <w:pPr>
        <w:spacing w:line="588" w:lineRule="exact"/>
        <w:ind w:firstLine="504" w:firstLineChars="200"/>
        <w:rPr>
          <w:rFonts w:ascii="宋体" w:hAnsi="宋体" w:eastAsia="宋体" w:cs="宋体"/>
          <w:spacing w:val="6"/>
          <w:sz w:val="24"/>
          <w:szCs w:val="24"/>
        </w:rPr>
      </w:pPr>
    </w:p>
    <w:p>
      <w:pPr>
        <w:tabs>
          <w:tab w:val="left" w:pos="4860"/>
        </w:tabs>
        <w:spacing w:line="588" w:lineRule="exact"/>
        <w:ind w:right="1560" w:firstLine="504" w:firstLineChars="200"/>
        <w:jc w:val="center"/>
        <w:rPr>
          <w:rFonts w:ascii="宋体" w:hAnsi="宋体" w:eastAsia="宋体" w:cs="宋体"/>
          <w:spacing w:val="6"/>
          <w:sz w:val="24"/>
          <w:szCs w:val="24"/>
        </w:rPr>
      </w:pPr>
      <w:r>
        <w:rPr>
          <w:rFonts w:hint="eastAsia" w:ascii="宋体" w:hAnsi="宋体" w:eastAsia="宋体" w:cs="宋体"/>
          <w:spacing w:val="6"/>
          <w:sz w:val="24"/>
          <w:szCs w:val="24"/>
        </w:rPr>
        <w:t>单位名称（盖章）：</w:t>
      </w:r>
    </w:p>
    <w:p>
      <w:pPr>
        <w:tabs>
          <w:tab w:val="left" w:pos="4860"/>
        </w:tabs>
        <w:spacing w:line="588" w:lineRule="exact"/>
        <w:ind w:right="1560" w:firstLine="504" w:firstLineChars="200"/>
        <w:jc w:val="center"/>
        <w:rPr>
          <w:rFonts w:ascii="宋体" w:hAnsi="宋体" w:eastAsia="宋体" w:cs="宋体"/>
          <w:spacing w:val="6"/>
          <w:sz w:val="24"/>
          <w:szCs w:val="24"/>
        </w:rPr>
      </w:pPr>
      <w:r>
        <w:rPr>
          <w:rFonts w:hint="eastAsia" w:ascii="宋体" w:hAnsi="宋体" w:eastAsia="宋体" w:cs="宋体"/>
          <w:spacing w:val="6"/>
          <w:sz w:val="24"/>
          <w:szCs w:val="24"/>
        </w:rPr>
        <w:t>日  期：</w:t>
      </w:r>
    </w:p>
    <w:p>
      <w:pPr>
        <w:tabs>
          <w:tab w:val="left" w:pos="4860"/>
        </w:tabs>
        <w:spacing w:line="588" w:lineRule="exact"/>
        <w:ind w:right="1560" w:firstLine="504" w:firstLineChars="200"/>
        <w:jc w:val="center"/>
        <w:rPr>
          <w:rFonts w:ascii="宋体" w:hAnsi="宋体" w:eastAsia="宋体" w:cs="宋体"/>
          <w:spacing w:val="6"/>
          <w:sz w:val="24"/>
          <w:szCs w:val="24"/>
        </w:rPr>
      </w:pPr>
    </w:p>
    <w:p>
      <w:pPr>
        <w:spacing w:line="340" w:lineRule="exact"/>
        <w:rPr>
          <w:rFonts w:ascii="宋体" w:hAnsi="宋体" w:eastAsia="宋体" w:cs="宋体"/>
          <w:sz w:val="24"/>
          <w:szCs w:val="24"/>
        </w:rPr>
      </w:pPr>
      <w:r>
        <w:rPr>
          <w:rFonts w:hint="eastAsia" w:ascii="宋体" w:hAnsi="宋体" w:eastAsia="宋体" w:cs="宋体"/>
          <w:sz w:val="24"/>
          <w:szCs w:val="24"/>
        </w:rPr>
        <w:t>注：不符合残疾人福利性单位条件的不需提供</w:t>
      </w:r>
    </w:p>
    <w:p>
      <w:pPr>
        <w:rPr>
          <w:rFonts w:ascii="宋体" w:hAnsi="宋体" w:eastAsia="宋体" w:cs="宋体"/>
          <w:b/>
          <w:sz w:val="24"/>
          <w:szCs w:val="24"/>
        </w:rPr>
      </w:pPr>
    </w:p>
    <w:p>
      <w:pPr>
        <w:rPr>
          <w:rFonts w:ascii="宋体" w:hAnsi="宋体" w:eastAsia="宋体" w:cs="宋体"/>
          <w:b/>
          <w:sz w:val="24"/>
          <w:szCs w:val="24"/>
        </w:rPr>
      </w:pPr>
    </w:p>
    <w:p>
      <w:pPr>
        <w:rPr>
          <w:rFonts w:ascii="宋体" w:hAnsi="宋体" w:eastAsia="宋体" w:cs="宋体"/>
          <w:b/>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p>
    <w:p>
      <w:pPr>
        <w:spacing w:line="360" w:lineRule="auto"/>
        <w:outlineLvl w:val="1"/>
        <w:rPr>
          <w:rFonts w:ascii="宋体" w:hAnsi="宋体" w:eastAsia="宋体" w:cs="宋体"/>
          <w:sz w:val="24"/>
          <w:szCs w:val="24"/>
        </w:rPr>
      </w:pPr>
    </w:p>
    <w:p>
      <w:pPr>
        <w:spacing w:line="360" w:lineRule="auto"/>
        <w:jc w:val="center"/>
        <w:outlineLvl w:val="1"/>
        <w:rPr>
          <w:rFonts w:ascii="宋体" w:hAnsi="宋体" w:eastAsia="宋体" w:cs="宋体"/>
          <w:sz w:val="24"/>
          <w:szCs w:val="24"/>
        </w:rPr>
      </w:pPr>
      <w:r>
        <w:rPr>
          <w:rFonts w:hint="eastAsia" w:ascii="宋体" w:hAnsi="宋体" w:eastAsia="宋体" w:cs="宋体"/>
          <w:sz w:val="24"/>
          <w:szCs w:val="24"/>
        </w:rPr>
        <w:br w:type="page"/>
      </w:r>
      <w:bookmarkStart w:id="141" w:name="_Toc155100564"/>
      <w:r>
        <w:rPr>
          <w:rFonts w:hint="eastAsia" w:ascii="宋体" w:hAnsi="宋体" w:eastAsia="宋体" w:cs="宋体"/>
          <w:b/>
          <w:sz w:val="28"/>
          <w:szCs w:val="28"/>
        </w:rPr>
        <w:t>16.投标人信用证明操作步骤</w:t>
      </w:r>
      <w:bookmarkEnd w:id="141"/>
    </w:p>
    <w:p>
      <w:pPr>
        <w:spacing w:line="340" w:lineRule="exact"/>
        <w:jc w:val="center"/>
        <w:rPr>
          <w:rFonts w:ascii="宋体" w:hAnsi="宋体" w:eastAsia="宋体" w:cs="宋体"/>
          <w:sz w:val="24"/>
          <w:szCs w:val="24"/>
        </w:rPr>
      </w:pPr>
    </w:p>
    <w:p>
      <w:pPr>
        <w:rPr>
          <w:rFonts w:ascii="宋体" w:hAnsi="宋体" w:eastAsia="宋体" w:cs="宋体"/>
          <w:sz w:val="24"/>
          <w:szCs w:val="24"/>
        </w:rPr>
      </w:pPr>
      <w:r>
        <w:rPr>
          <w:rFonts w:hint="eastAsia" w:ascii="宋体" w:hAnsi="宋体" w:eastAsia="宋体" w:cs="宋体"/>
          <w:sz w:val="24"/>
          <w:szCs w:val="24"/>
        </w:rPr>
        <w:t>1.必须提供投标人在“信用中国”得信用证明（操作步骤：登录“信用中国http://www.creditchina.gov.cn/”首页，在“信用信息”一栏中输入公司全称搜索，然后按下图要求截屏打印并加盖公章）。</w:t>
      </w:r>
    </w:p>
    <w:p>
      <w:pPr>
        <w:rPr>
          <w:rFonts w:ascii="宋体" w:hAnsi="宋体" w:eastAsia="宋体" w:cs="宋体"/>
          <w:sz w:val="24"/>
          <w:szCs w:val="24"/>
        </w:rPr>
      </w:pPr>
      <w:r>
        <w:rPr>
          <w:rFonts w:hint="eastAsia" w:ascii="宋体" w:hAnsi="宋体" w:eastAsia="宋体" w:cs="宋体"/>
          <w:sz w:val="24"/>
          <w:szCs w:val="24"/>
        </w:rPr>
        <w:drawing>
          <wp:inline distT="0" distB="0" distL="114300" distR="114300">
            <wp:extent cx="5972175" cy="3223260"/>
            <wp:effectExtent l="0" t="0" r="9525" b="0"/>
            <wp:docPr id="7" name="图片 7" descr="微信图片_2019110810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191108104532"/>
                    <pic:cNvPicPr>
                      <a:picLocks noChangeAspect="1"/>
                    </pic:cNvPicPr>
                  </pic:nvPicPr>
                  <pic:blipFill>
                    <a:blip r:embed="rId54" cstate="print"/>
                    <a:stretch>
                      <a:fillRect/>
                    </a:stretch>
                  </pic:blipFill>
                  <pic:spPr>
                    <a:xfrm>
                      <a:off x="0" y="0"/>
                      <a:ext cx="5972175" cy="3223260"/>
                    </a:xfrm>
                    <a:prstGeom prst="rect">
                      <a:avLst/>
                    </a:prstGeom>
                  </pic:spPr>
                </pic:pic>
              </a:graphicData>
            </a:graphic>
          </wp:inline>
        </w:drawing>
      </w:r>
    </w:p>
    <w:p>
      <w:pPr>
        <w:rPr>
          <w:rFonts w:ascii="Times New Roman" w:hAnsi="Times New Roman" w:eastAsia="宋体" w:cs="Times New Roman"/>
          <w:szCs w:val="24"/>
        </w:rPr>
      </w:pPr>
    </w:p>
    <w:p>
      <w:pPr>
        <w:spacing w:line="400" w:lineRule="exact"/>
        <w:rPr>
          <w:rFonts w:ascii="宋体" w:hAnsi="宋体" w:eastAsia="宋体" w:cs="宋体"/>
          <w:sz w:val="24"/>
          <w:szCs w:val="24"/>
        </w:rPr>
      </w:pPr>
      <w:r>
        <w:rPr>
          <w:rFonts w:hint="eastAsia" w:ascii="宋体" w:hAnsi="宋体" w:eastAsia="宋体" w:cs="宋体"/>
          <w:sz w:val="24"/>
          <w:szCs w:val="24"/>
        </w:rPr>
        <w:t>2.必须提供投标人在“中国政府采购网”的信用证明（操作步骤：登录“中国政府采购网http://www.ccgp.gov.cn/”首页，点击“政府采购严重违法失信行为记录名单”然后按下图要求操作截屏打印并加盖公章）。</w:t>
      </w:r>
      <w:bookmarkStart w:id="142" w:name="_Toc32690"/>
    </w:p>
    <w:p>
      <w:pPr>
        <w:spacing w:line="360" w:lineRule="auto"/>
        <w:jc w:val="center"/>
        <w:outlineLvl w:val="1"/>
        <w:rPr>
          <w:rFonts w:ascii="Times New Roman" w:hAnsi="Times New Roman" w:eastAsia="宋体" w:cs="Times New Roman"/>
          <w:szCs w:val="24"/>
        </w:rPr>
      </w:pPr>
      <w:bookmarkStart w:id="143" w:name="_Toc144152512"/>
      <w:bookmarkStart w:id="144" w:name="_Toc144192693"/>
      <w:bookmarkStart w:id="145" w:name="_Toc155100565"/>
      <w:r>
        <w:rPr>
          <w:rFonts w:hint="eastAsia"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635</wp:posOffset>
            </wp:positionH>
            <wp:positionV relativeFrom="paragraph">
              <wp:posOffset>1905</wp:posOffset>
            </wp:positionV>
            <wp:extent cx="5734050" cy="3429000"/>
            <wp:effectExtent l="0" t="0" r="0" b="0"/>
            <wp:wrapNone/>
            <wp:docPr id="8" name="图片 22" descr="中国政府采购网查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中国政府采购网查询"/>
                    <pic:cNvPicPr>
                      <a:picLocks noChangeAspect="1"/>
                    </pic:cNvPicPr>
                  </pic:nvPicPr>
                  <pic:blipFill>
                    <a:blip r:embed="rId55" cstate="print"/>
                    <a:stretch>
                      <a:fillRect/>
                    </a:stretch>
                  </pic:blipFill>
                  <pic:spPr>
                    <a:xfrm>
                      <a:off x="0" y="0"/>
                      <a:ext cx="5734050" cy="3429000"/>
                    </a:xfrm>
                    <a:prstGeom prst="rect">
                      <a:avLst/>
                    </a:prstGeom>
                    <a:noFill/>
                    <a:ln>
                      <a:noFill/>
                    </a:ln>
                  </pic:spPr>
                </pic:pic>
              </a:graphicData>
            </a:graphic>
          </wp:anchor>
        </w:drawing>
      </w:r>
      <w:bookmarkEnd w:id="143"/>
      <w:bookmarkEnd w:id="144"/>
      <w:bookmarkEnd w:id="145"/>
    </w:p>
    <w:bookmarkEnd w:id="142"/>
    <w:p>
      <w:pPr>
        <w:spacing w:line="360" w:lineRule="auto"/>
        <w:jc w:val="center"/>
        <w:outlineLvl w:val="1"/>
        <w:rPr>
          <w:rFonts w:ascii="Times New Roman" w:hAnsi="Times New Roman" w:eastAsia="宋体" w:cs="Times New Roman"/>
          <w:szCs w:val="24"/>
        </w:rPr>
      </w:pPr>
    </w:p>
    <w:p>
      <w:pPr>
        <w:keepNext/>
        <w:keepLines/>
        <w:numPr>
          <w:ilvl w:val="1"/>
          <w:numId w:val="0"/>
        </w:numPr>
        <w:adjustRightInd w:val="0"/>
        <w:spacing w:before="260" w:after="260" w:line="416" w:lineRule="atLeast"/>
        <w:ind w:left="142"/>
        <w:textAlignment w:val="baseline"/>
        <w:outlineLvl w:val="1"/>
        <w:rPr>
          <w:rFonts w:ascii="Arial" w:hAnsi="Arial" w:eastAsia="黑体" w:cs="Times New Roman"/>
          <w:b/>
          <w:sz w:val="32"/>
          <w:szCs w:val="24"/>
        </w:rPr>
      </w:pPr>
      <w:bookmarkStart w:id="146" w:name="_Toc742"/>
      <w:bookmarkEnd w:id="146"/>
      <w:bookmarkStart w:id="147" w:name="_Toc28463"/>
      <w:bookmarkEnd w:id="147"/>
      <w:bookmarkStart w:id="148" w:name="_Toc4399"/>
      <w:bookmarkEnd w:id="148"/>
      <w:bookmarkStart w:id="149" w:name="_Toc144152513"/>
      <w:bookmarkStart w:id="150" w:name="_Toc144192694"/>
      <w:bookmarkStart w:id="151" w:name="_Toc155100566"/>
      <w:r>
        <w:rPr>
          <w:rFonts w:ascii="宋体" w:hAnsi="宋体" w:eastAsia="宋体" w:cs="Times New Roman"/>
          <w:sz w:val="24"/>
          <w:szCs w:val="24"/>
        </w:rPr>
        <w:t>10.</w:t>
      </w:r>
      <w:bookmarkEnd w:id="149"/>
      <w:bookmarkEnd w:id="150"/>
      <w:bookmarkEnd w:id="151"/>
      <w:r>
        <w:rPr>
          <w:rFonts w:ascii="宋体" w:hAnsi="宋体" w:eastAsia="宋体" w:cs="Times New Roman"/>
          <w:sz w:val="24"/>
          <w:szCs w:val="24"/>
        </w:rPr>
        <w:t xml:space="preserve"> </w:t>
      </w:r>
    </w:p>
    <w:p>
      <w:pPr>
        <w:rPr>
          <w:rFonts w:ascii="Times New Roman" w:hAnsi="Times New Roman" w:eastAsia="宋体" w:cs="Times New Roman"/>
          <w:szCs w:val="24"/>
        </w:rPr>
      </w:pPr>
    </w:p>
    <w:p>
      <w:pPr>
        <w:keepNext/>
        <w:keepLines/>
        <w:numPr>
          <w:ilvl w:val="1"/>
          <w:numId w:val="0"/>
        </w:numPr>
        <w:adjustRightInd w:val="0"/>
        <w:spacing w:before="260" w:after="260" w:line="416" w:lineRule="atLeast"/>
        <w:ind w:left="142"/>
        <w:textAlignment w:val="baseline"/>
        <w:outlineLvl w:val="1"/>
        <w:rPr>
          <w:rFonts w:ascii="Arial" w:hAnsi="Arial" w:eastAsia="黑体" w:cs="Times New Roman"/>
          <w:b/>
          <w:sz w:val="32"/>
          <w:szCs w:val="24"/>
        </w:rPr>
      </w:pPr>
      <w:bookmarkStart w:id="152" w:name="_Toc6949"/>
      <w:bookmarkEnd w:id="152"/>
      <w:bookmarkStart w:id="153" w:name="_Toc19610"/>
      <w:bookmarkEnd w:id="153"/>
      <w:bookmarkStart w:id="154" w:name="_Toc16748"/>
      <w:bookmarkEnd w:id="154"/>
      <w:bookmarkStart w:id="155" w:name="_Toc144152514"/>
      <w:bookmarkStart w:id="156" w:name="_Toc144192695"/>
      <w:bookmarkStart w:id="157" w:name="_Toc155100567"/>
      <w:r>
        <w:rPr>
          <w:rFonts w:ascii="宋体" w:hAnsi="宋体" w:eastAsia="宋体" w:cs="Times New Roman"/>
          <w:sz w:val="24"/>
          <w:szCs w:val="24"/>
        </w:rPr>
        <w:t>11.</w:t>
      </w:r>
      <w:bookmarkEnd w:id="155"/>
      <w:bookmarkEnd w:id="156"/>
      <w:bookmarkEnd w:id="157"/>
      <w:r>
        <w:rPr>
          <w:rFonts w:ascii="宋体" w:hAnsi="宋体" w:eastAsia="宋体" w:cs="Times New Roman"/>
          <w:sz w:val="24"/>
          <w:szCs w:val="24"/>
        </w:rPr>
        <w:t xml:space="preserve"> </w:t>
      </w:r>
    </w:p>
    <w:p>
      <w:pPr>
        <w:rPr>
          <w:rFonts w:ascii="Times New Roman" w:hAnsi="Times New Roman" w:eastAsia="宋体" w:cs="Times New Roman"/>
          <w:szCs w:val="24"/>
        </w:rPr>
      </w:pPr>
    </w:p>
    <w:p>
      <w:pPr>
        <w:keepNext/>
        <w:keepLines/>
        <w:numPr>
          <w:ilvl w:val="1"/>
          <w:numId w:val="0"/>
        </w:numPr>
        <w:adjustRightInd w:val="0"/>
        <w:spacing w:before="260" w:after="260" w:line="416" w:lineRule="atLeast"/>
        <w:ind w:left="142"/>
        <w:textAlignment w:val="baseline"/>
        <w:outlineLvl w:val="1"/>
        <w:rPr>
          <w:rFonts w:ascii="Arial" w:hAnsi="Arial" w:eastAsia="黑体" w:cs="Times New Roman"/>
          <w:b/>
          <w:sz w:val="32"/>
          <w:szCs w:val="24"/>
        </w:rPr>
      </w:pPr>
      <w:bookmarkStart w:id="158" w:name="_Toc16657"/>
      <w:bookmarkEnd w:id="158"/>
      <w:bookmarkStart w:id="159" w:name="_Toc28627"/>
      <w:bookmarkEnd w:id="159"/>
      <w:bookmarkStart w:id="160" w:name="_Toc10998"/>
      <w:bookmarkEnd w:id="160"/>
      <w:bookmarkStart w:id="161" w:name="_Toc144152515"/>
      <w:bookmarkStart w:id="162" w:name="_Toc144192696"/>
      <w:bookmarkStart w:id="163" w:name="_Toc155100568"/>
      <w:r>
        <w:rPr>
          <w:rFonts w:ascii="宋体" w:hAnsi="宋体" w:eastAsia="宋体" w:cs="Times New Roman"/>
          <w:sz w:val="24"/>
          <w:szCs w:val="24"/>
        </w:rPr>
        <w:t>12.</w:t>
      </w:r>
      <w:bookmarkEnd w:id="161"/>
      <w:bookmarkEnd w:id="162"/>
      <w:bookmarkEnd w:id="163"/>
      <w:r>
        <w:rPr>
          <w:rFonts w:ascii="宋体" w:hAnsi="宋体" w:eastAsia="宋体" w:cs="Times New Roman"/>
          <w:sz w:val="24"/>
          <w:szCs w:val="24"/>
        </w:rPr>
        <w:t xml:space="preserve"> </w:t>
      </w:r>
    </w:p>
    <w:p>
      <w:pPr>
        <w:rPr>
          <w:rFonts w:ascii="Times New Roman" w:hAnsi="Times New Roman" w:eastAsia="宋体" w:cs="Times New Roman"/>
          <w:szCs w:val="24"/>
        </w:rPr>
      </w:pPr>
    </w:p>
    <w:p>
      <w:pPr>
        <w:rPr>
          <w:rFonts w:ascii="Arial" w:hAnsi="Arial" w:eastAsia="黑体" w:cs="Times New Roman"/>
          <w:b/>
          <w:sz w:val="32"/>
          <w:szCs w:val="24"/>
        </w:rPr>
      </w:pPr>
    </w:p>
    <w:p>
      <w:pPr>
        <w:spacing w:line="360" w:lineRule="auto"/>
        <w:jc w:val="center"/>
        <w:outlineLvl w:val="1"/>
        <w:rPr>
          <w:rFonts w:ascii="宋体" w:hAnsi="宋体" w:cs="宋体"/>
          <w:b/>
          <w:sz w:val="28"/>
          <w:szCs w:val="28"/>
        </w:rPr>
      </w:pPr>
      <w:bookmarkStart w:id="164" w:name="_Toc155100569"/>
      <w:r>
        <w:rPr>
          <w:rFonts w:hint="eastAsia" w:ascii="宋体" w:hAnsi="宋体" w:cs="宋体"/>
          <w:b/>
          <w:sz w:val="28"/>
          <w:szCs w:val="28"/>
        </w:rPr>
        <w:t>17.保证金汇款凭证</w:t>
      </w:r>
      <w:bookmarkEnd w:id="164"/>
    </w:p>
    <w:p>
      <w:pPr>
        <w:tabs>
          <w:tab w:val="left" w:pos="1170"/>
        </w:tabs>
        <w:jc w:val="center"/>
        <w:rPr>
          <w:rFonts w:ascii="宋体" w:hAnsi="宋体" w:cs="宋体"/>
          <w:b/>
          <w:sz w:val="24"/>
          <w:szCs w:val="24"/>
        </w:rPr>
      </w:pPr>
    </w:p>
    <w:p>
      <w:pPr>
        <w:tabs>
          <w:tab w:val="left" w:pos="1170"/>
        </w:tabs>
        <w:jc w:val="center"/>
        <w:rPr>
          <w:rFonts w:ascii="宋体" w:hAnsi="宋体" w:cs="宋体"/>
          <w:b/>
          <w:sz w:val="24"/>
          <w:szCs w:val="24"/>
        </w:rPr>
      </w:pPr>
    </w:p>
    <w:p>
      <w:pPr>
        <w:tabs>
          <w:tab w:val="left" w:pos="1170"/>
        </w:tabs>
        <w:jc w:val="center"/>
        <w:rPr>
          <w:rFonts w:ascii="宋体" w:hAnsi="宋体" w:cs="宋体"/>
          <w:b/>
          <w:sz w:val="24"/>
          <w:szCs w:val="24"/>
        </w:rPr>
      </w:pPr>
    </w:p>
    <w:p>
      <w:pPr>
        <w:rPr>
          <w:rFonts w:ascii="宋体" w:hAnsi="宋体" w:cs="宋体"/>
          <w:sz w:val="24"/>
          <w:szCs w:val="24"/>
        </w:rPr>
      </w:pPr>
      <w:r>
        <w:rPr>
          <w:rFonts w:hint="eastAsia" w:ascii="宋体" w:hAnsi="宋体" w:cs="宋体"/>
          <w:sz w:val="24"/>
          <w:szCs w:val="24"/>
        </w:rPr>
        <w:t>附：汇款凭证（清晰复印件加盖公章）</w:t>
      </w:r>
    </w:p>
    <w:p>
      <w:pPr>
        <w:spacing w:line="480" w:lineRule="auto"/>
        <w:ind w:firstLine="480" w:firstLineChars="200"/>
        <w:rPr>
          <w:rFonts w:ascii="宋体" w:hAnsi="宋体" w:cs="宋体"/>
          <w:sz w:val="24"/>
          <w:szCs w:val="24"/>
          <w:u w:val="single"/>
        </w:rPr>
      </w:pPr>
    </w:p>
    <w:p>
      <w:pPr>
        <w:spacing w:line="480" w:lineRule="auto"/>
        <w:ind w:firstLine="480" w:firstLineChars="200"/>
        <w:rPr>
          <w:rFonts w:ascii="宋体" w:hAnsi="宋体" w:cs="宋体"/>
          <w:sz w:val="24"/>
          <w:szCs w:val="24"/>
          <w:u w:val="single"/>
        </w:rPr>
      </w:pPr>
      <w:r>
        <w:rPr>
          <w:rFonts w:hint="eastAsia" w:ascii="宋体" w:hAnsi="宋体" w:cs="宋体"/>
          <w:sz w:val="24"/>
          <w:szCs w:val="24"/>
        </w:rPr>
        <w:t>账户户名：</w:t>
      </w:r>
      <w:r>
        <w:rPr>
          <w:rFonts w:hint="eastAsia" w:ascii="宋体" w:hAnsi="宋体" w:cs="宋体"/>
          <w:sz w:val="24"/>
          <w:szCs w:val="24"/>
          <w:u w:val="single"/>
        </w:rPr>
        <w:t>                            </w:t>
      </w:r>
    </w:p>
    <w:p>
      <w:pPr>
        <w:spacing w:line="480" w:lineRule="auto"/>
        <w:ind w:firstLine="480" w:firstLineChars="200"/>
        <w:rPr>
          <w:rFonts w:ascii="宋体" w:hAnsi="宋体" w:cs="宋体"/>
          <w:sz w:val="24"/>
          <w:szCs w:val="24"/>
          <w:u w:val="single"/>
        </w:rPr>
      </w:pPr>
      <w:r>
        <w:rPr>
          <w:rFonts w:hint="eastAsia" w:ascii="宋体" w:hAnsi="宋体" w:cs="宋体"/>
          <w:sz w:val="24"/>
          <w:szCs w:val="24"/>
        </w:rPr>
        <w:t>账    号：</w:t>
      </w:r>
      <w:r>
        <w:rPr>
          <w:rFonts w:hint="eastAsia" w:ascii="宋体" w:hAnsi="宋体" w:cs="宋体"/>
          <w:sz w:val="24"/>
          <w:szCs w:val="24"/>
          <w:u w:val="single"/>
        </w:rPr>
        <w:t>                            </w:t>
      </w:r>
    </w:p>
    <w:p>
      <w:pPr>
        <w:ind w:firstLine="480" w:firstLineChars="200"/>
        <w:rPr>
          <w:rFonts w:ascii="宋体" w:hAnsi="宋体" w:cs="宋体"/>
          <w:sz w:val="24"/>
          <w:szCs w:val="24"/>
          <w:u w:val="single"/>
        </w:rPr>
      </w:pPr>
      <w:r>
        <w:rPr>
          <w:rFonts w:hint="eastAsia" w:ascii="宋体" w:hAnsi="宋体" w:cs="宋体"/>
          <w:sz w:val="24"/>
          <w:szCs w:val="24"/>
        </w:rPr>
        <w:t>开户银行：</w:t>
      </w:r>
      <w:r>
        <w:rPr>
          <w:rFonts w:hint="eastAsia" w:ascii="宋体" w:hAnsi="宋体" w:cs="宋体"/>
          <w:sz w:val="24"/>
          <w:szCs w:val="24"/>
          <w:u w:val="single"/>
        </w:rPr>
        <w:t xml:space="preserve">                                           </w:t>
      </w:r>
    </w:p>
    <w:p>
      <w:pPr>
        <w:rPr>
          <w:rFonts w:ascii="宋体" w:hAnsi="宋体" w:cs="宋体"/>
          <w:b/>
          <w:sz w:val="24"/>
          <w:szCs w:val="24"/>
        </w:rPr>
      </w:pPr>
    </w:p>
    <w:p>
      <w:pPr>
        <w:rPr>
          <w:rFonts w:ascii="宋体" w:hAnsi="宋体" w:cs="宋体"/>
          <w:b/>
          <w:sz w:val="24"/>
          <w:szCs w:val="24"/>
        </w:rPr>
      </w:pPr>
      <w:r>
        <w:rPr>
          <w:rFonts w:hint="eastAsia" w:ascii="宋体" w:hAnsi="宋体" w:cs="宋体"/>
          <w:b/>
          <w:sz w:val="24"/>
          <w:szCs w:val="24"/>
        </w:rPr>
        <w:t>注：响应供应商须提供交纳响应保证金汇缴账户的账号、收款单位及开户行名称以便于保证金的退还。</w:t>
      </w:r>
    </w:p>
    <w:sectPr>
      <w:footerReference r:id="rId6" w:type="first"/>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00"/>
    <w:family w:val="roman"/>
    <w:pitch w:val="default"/>
    <w:sig w:usb0="00000000" w:usb1="00000000" w:usb2="00000000" w:usb3="00000000" w:csb0="00000000"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monospace">
    <w:altName w:val="Segoe Print"/>
    <w:panose1 w:val="00000000000000000000"/>
    <w:charset w:val="00"/>
    <w:family w:val="auto"/>
    <w:pitch w:val="default"/>
    <w:sig w:usb0="00000000" w:usb1="00000000" w:usb2="00000000" w:usb3="00000000" w:csb0="00000001" w:csb1="00000000"/>
  </w:font>
  <w:font w:name="MingLiU">
    <w:altName w:val="Microsoft JhengHei"/>
    <w:panose1 w:val="02010609000101010101"/>
    <w:charset w:val="88"/>
    <w:family w:val="modern"/>
    <w:pitch w:val="default"/>
    <w:sig w:usb0="00000000" w:usb1="00000000" w:usb2="00000010" w:usb3="00000000" w:csb0="00100000" w:csb1="00000000"/>
  </w:font>
  <w:font w:name="Tahoma">
    <w:panose1 w:val="020B0604030504040204"/>
    <w:charset w:val="00"/>
    <w:family w:val="swiss"/>
    <w:pitch w:val="default"/>
    <w:sig w:usb0="E1002EFF" w:usb1="C000605B" w:usb2="00000029" w:usb3="00000000" w:csb0="200101FF" w:csb1="20280000"/>
  </w:font>
  <w:font w:name="等线">
    <w:altName w:val="微软雅黑"/>
    <w:panose1 w:val="02010600030101010101"/>
    <w:charset w:val="86"/>
    <w:family w:val="auto"/>
    <w:pitch w:val="default"/>
    <w:sig w:usb0="00000000" w:usb1="00000000" w:usb2="00000016" w:usb3="00000000" w:csb0="0004000F"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b/>
        <w:bCs/>
        <w:sz w:val="24"/>
        <w:szCs w:val="24"/>
      </w:rPr>
      <w:fldChar w:fldCharType="begin"/>
    </w:r>
    <w:r>
      <w:rPr>
        <w:b/>
        <w:bCs/>
      </w:rPr>
      <w:instrText xml:space="preserve">PAGE</w:instrText>
    </w:r>
    <w:r>
      <w:rPr>
        <w:b/>
        <w:bCs/>
        <w:sz w:val="24"/>
        <w:szCs w:val="24"/>
      </w:rPr>
      <w:fldChar w:fldCharType="separate"/>
    </w:r>
    <w:r>
      <w:rPr>
        <w:b/>
        <w:bCs/>
      </w:rPr>
      <w:t>5</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73</w:t>
    </w:r>
    <w:r>
      <w:rPr>
        <w:b/>
        <w:bCs/>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lang w:val="en-US"/>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AlqHIzFAQAAqQMAAA4AAAAAAAAAAQAgAAAAHgEAAGRycy9lMm9Eb2MueG1s&#10;UEsFBgAAAAAGAAYAWQEAAFUFA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40</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w:rPr>
        <w:b/>
        <w:bCs/>
        <w:sz w:val="24"/>
        <w:szCs w:val="24"/>
      </w:rPr>
      <w:fldChar w:fldCharType="begin"/>
    </w:r>
    <w:r>
      <w:rPr>
        <w:b/>
        <w:bCs/>
      </w:rPr>
      <w:instrText xml:space="preserve">PAGE</w:instrText>
    </w:r>
    <w:r>
      <w:rPr>
        <w:b/>
        <w:bCs/>
        <w:sz w:val="24"/>
        <w:szCs w:val="24"/>
      </w:rPr>
      <w:fldChar w:fldCharType="separate"/>
    </w:r>
    <w:r>
      <w:rPr>
        <w:b/>
        <w:bCs/>
      </w:rPr>
      <w:t>73</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73</w:t>
    </w:r>
    <w:r>
      <w:rPr>
        <w:b/>
        <w:bCs/>
        <w:sz w:val="24"/>
        <w:szCs w:val="24"/>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DCYHZAxgEAAKkDAAAOAAAAAAAAAAEAIAAAAB4BAABkcnMvZTJvRG9jLnht&#10;bFBLBQYAAAAABgAGAFkBAABWBQ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26</w:t>
                    </w:r>
                    <w:r>
                      <w:rPr>
                        <w:rFonts w:hint="eastAsia"/>
                        <w:sz w:val="1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2DB093"/>
    <w:multiLevelType w:val="singleLevel"/>
    <w:tmpl w:val="892DB093"/>
    <w:lvl w:ilvl="0" w:tentative="0">
      <w:start w:val="4"/>
      <w:numFmt w:val="chineseCounting"/>
      <w:suff w:val="space"/>
      <w:lvlText w:val="第%1条"/>
      <w:lvlJc w:val="left"/>
      <w:rPr>
        <w:rFonts w:hint="eastAsia"/>
      </w:rPr>
    </w:lvl>
  </w:abstractNum>
  <w:abstractNum w:abstractNumId="1">
    <w:nsid w:val="CE8DF455"/>
    <w:multiLevelType w:val="singleLevel"/>
    <w:tmpl w:val="CE8DF455"/>
    <w:lvl w:ilvl="0" w:tentative="0">
      <w:start w:val="5"/>
      <w:numFmt w:val="chineseCounting"/>
      <w:suff w:val="nothing"/>
      <w:lvlText w:val="第%1条　"/>
      <w:lvlJc w:val="left"/>
      <w:rPr>
        <w:rFonts w:hint="eastAsia"/>
      </w:rPr>
    </w:lvl>
  </w:abstractNum>
  <w:abstractNum w:abstractNumId="2">
    <w:nsid w:val="F4483F92"/>
    <w:multiLevelType w:val="singleLevel"/>
    <w:tmpl w:val="F4483F92"/>
    <w:lvl w:ilvl="0" w:tentative="0">
      <w:start w:val="8"/>
      <w:numFmt w:val="chineseCounting"/>
      <w:suff w:val="space"/>
      <w:lvlText w:val="第%1条"/>
      <w:lvlJc w:val="left"/>
      <w:rPr>
        <w:rFonts w:hint="eastAsia"/>
      </w:rPr>
    </w:lvl>
  </w:abstractNum>
  <w:abstractNum w:abstractNumId="3">
    <w:nsid w:val="00000015"/>
    <w:multiLevelType w:val="singleLevel"/>
    <w:tmpl w:val="00000015"/>
    <w:lvl w:ilvl="0" w:tentative="0">
      <w:start w:val="1"/>
      <w:numFmt w:val="decimal"/>
      <w:lvlText w:val="%1."/>
      <w:lvlJc w:val="left"/>
      <w:pPr>
        <w:tabs>
          <w:tab w:val="left" w:pos="425"/>
        </w:tabs>
        <w:ind w:left="425" w:hanging="425"/>
      </w:pPr>
      <w:rPr>
        <w:rFonts w:hint="eastAsia"/>
      </w:rPr>
    </w:lvl>
  </w:abstractNum>
  <w:abstractNum w:abstractNumId="4">
    <w:nsid w:val="0E905960"/>
    <w:multiLevelType w:val="multilevel"/>
    <w:tmpl w:val="0E905960"/>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F0000AC"/>
    <w:multiLevelType w:val="multilevel"/>
    <w:tmpl w:val="1F0000AC"/>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0"/>
  </w:num>
  <w:num w:numId="3">
    <w:abstractNumId w:val="1"/>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4563"/>
    <w:rsid w:val="0000021E"/>
    <w:rsid w:val="0000335E"/>
    <w:rsid w:val="00037C77"/>
    <w:rsid w:val="00062CA2"/>
    <w:rsid w:val="000712F7"/>
    <w:rsid w:val="00074BA5"/>
    <w:rsid w:val="00077F81"/>
    <w:rsid w:val="0008281A"/>
    <w:rsid w:val="000845C9"/>
    <w:rsid w:val="000870D4"/>
    <w:rsid w:val="000A4D8F"/>
    <w:rsid w:val="000B5136"/>
    <w:rsid w:val="000B5FAB"/>
    <w:rsid w:val="000C0029"/>
    <w:rsid w:val="000C0DF3"/>
    <w:rsid w:val="000C6B7D"/>
    <w:rsid w:val="000D002C"/>
    <w:rsid w:val="000F7A1A"/>
    <w:rsid w:val="001074E4"/>
    <w:rsid w:val="00144B83"/>
    <w:rsid w:val="001A04B6"/>
    <w:rsid w:val="001B4D8D"/>
    <w:rsid w:val="001C089B"/>
    <w:rsid w:val="00203FDC"/>
    <w:rsid w:val="00205355"/>
    <w:rsid w:val="00217BFD"/>
    <w:rsid w:val="002466A1"/>
    <w:rsid w:val="002713BA"/>
    <w:rsid w:val="00284E8D"/>
    <w:rsid w:val="0028654F"/>
    <w:rsid w:val="002A5282"/>
    <w:rsid w:val="002B30D7"/>
    <w:rsid w:val="00312916"/>
    <w:rsid w:val="0032208B"/>
    <w:rsid w:val="00335917"/>
    <w:rsid w:val="00390E7A"/>
    <w:rsid w:val="003D20EF"/>
    <w:rsid w:val="003E1FF5"/>
    <w:rsid w:val="003E278A"/>
    <w:rsid w:val="003F29A9"/>
    <w:rsid w:val="003F596E"/>
    <w:rsid w:val="004021A5"/>
    <w:rsid w:val="00402F41"/>
    <w:rsid w:val="0042262A"/>
    <w:rsid w:val="00422767"/>
    <w:rsid w:val="004265C9"/>
    <w:rsid w:val="004304A5"/>
    <w:rsid w:val="00432C56"/>
    <w:rsid w:val="00440CC3"/>
    <w:rsid w:val="00475014"/>
    <w:rsid w:val="00477F39"/>
    <w:rsid w:val="004C4817"/>
    <w:rsid w:val="00525752"/>
    <w:rsid w:val="0053706C"/>
    <w:rsid w:val="0053768B"/>
    <w:rsid w:val="00537834"/>
    <w:rsid w:val="00553093"/>
    <w:rsid w:val="00563C1B"/>
    <w:rsid w:val="005701C0"/>
    <w:rsid w:val="00592D2A"/>
    <w:rsid w:val="005F372A"/>
    <w:rsid w:val="0060230F"/>
    <w:rsid w:val="00637784"/>
    <w:rsid w:val="00681881"/>
    <w:rsid w:val="00696E5F"/>
    <w:rsid w:val="00710FAD"/>
    <w:rsid w:val="00711E64"/>
    <w:rsid w:val="00733D6A"/>
    <w:rsid w:val="0077395D"/>
    <w:rsid w:val="0079287D"/>
    <w:rsid w:val="007A613D"/>
    <w:rsid w:val="007B123C"/>
    <w:rsid w:val="007B431D"/>
    <w:rsid w:val="007F623D"/>
    <w:rsid w:val="00800226"/>
    <w:rsid w:val="00821C3A"/>
    <w:rsid w:val="008563F4"/>
    <w:rsid w:val="0086025A"/>
    <w:rsid w:val="00863D4C"/>
    <w:rsid w:val="00871E55"/>
    <w:rsid w:val="008A7A36"/>
    <w:rsid w:val="008C2A1C"/>
    <w:rsid w:val="008C5354"/>
    <w:rsid w:val="008D1D60"/>
    <w:rsid w:val="0091022C"/>
    <w:rsid w:val="0092229F"/>
    <w:rsid w:val="00937208"/>
    <w:rsid w:val="0095199E"/>
    <w:rsid w:val="00952D95"/>
    <w:rsid w:val="00973BF2"/>
    <w:rsid w:val="00974CCB"/>
    <w:rsid w:val="009E39B1"/>
    <w:rsid w:val="009F5A45"/>
    <w:rsid w:val="00A04AEF"/>
    <w:rsid w:val="00A655B9"/>
    <w:rsid w:val="00A918B1"/>
    <w:rsid w:val="00AC078C"/>
    <w:rsid w:val="00AD293F"/>
    <w:rsid w:val="00AF40F0"/>
    <w:rsid w:val="00AF5D11"/>
    <w:rsid w:val="00B44B45"/>
    <w:rsid w:val="00B7040A"/>
    <w:rsid w:val="00B811BC"/>
    <w:rsid w:val="00BA053E"/>
    <w:rsid w:val="00BB7A04"/>
    <w:rsid w:val="00BD5B30"/>
    <w:rsid w:val="00C06F18"/>
    <w:rsid w:val="00C45F13"/>
    <w:rsid w:val="00CA2896"/>
    <w:rsid w:val="00CB1720"/>
    <w:rsid w:val="00CB71D3"/>
    <w:rsid w:val="00CC1EA9"/>
    <w:rsid w:val="00CE0B29"/>
    <w:rsid w:val="00CF2283"/>
    <w:rsid w:val="00D273C0"/>
    <w:rsid w:val="00D3014F"/>
    <w:rsid w:val="00D47BE2"/>
    <w:rsid w:val="00D54822"/>
    <w:rsid w:val="00D640A5"/>
    <w:rsid w:val="00D82B05"/>
    <w:rsid w:val="00DA26EB"/>
    <w:rsid w:val="00DC5F40"/>
    <w:rsid w:val="00DF2604"/>
    <w:rsid w:val="00DF35F2"/>
    <w:rsid w:val="00DF7CCB"/>
    <w:rsid w:val="00EA03CD"/>
    <w:rsid w:val="00EC2257"/>
    <w:rsid w:val="00EE4B11"/>
    <w:rsid w:val="00F44563"/>
    <w:rsid w:val="00F859F5"/>
    <w:rsid w:val="00F9640A"/>
    <w:rsid w:val="00FC0425"/>
    <w:rsid w:val="00FC74EA"/>
    <w:rsid w:val="00FF3381"/>
    <w:rsid w:val="629B2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iPriority="0" w:semiHidden="0"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qFormat="1" w:unhideWhenUsed="0" w:uiPriority="0" w:semiHidden="0"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keepNext/>
      <w:keepLines/>
      <w:spacing w:before="340" w:after="330" w:line="576" w:lineRule="auto"/>
      <w:outlineLvl w:val="0"/>
    </w:pPr>
    <w:rPr>
      <w:rFonts w:ascii="Times New Roman" w:hAnsi="Times New Roman" w:eastAsia="宋体" w:cs="Times New Roman"/>
      <w:b/>
      <w:kern w:val="44"/>
      <w:sz w:val="44"/>
      <w:szCs w:val="20"/>
      <w:lang w:val="zh-CN"/>
    </w:rPr>
  </w:style>
  <w:style w:type="paragraph" w:styleId="3">
    <w:name w:val="heading 2"/>
    <w:basedOn w:val="1"/>
    <w:next w:val="1"/>
    <w:link w:val="101"/>
    <w:autoRedefine/>
    <w:qFormat/>
    <w:uiPriority w:val="9"/>
    <w:pPr>
      <w:keepNext/>
      <w:keepLines/>
      <w:spacing w:before="260" w:after="260" w:line="500" w:lineRule="exact"/>
      <w:jc w:val="center"/>
      <w:outlineLvl w:val="1"/>
    </w:pPr>
    <w:rPr>
      <w:rFonts w:ascii="仿宋_GB2312" w:hAnsi="Arial" w:eastAsia="仿宋_GB2312" w:cs="Times New Roman"/>
      <w:b/>
      <w:kern w:val="0"/>
      <w:sz w:val="36"/>
      <w:szCs w:val="20"/>
      <w:lang w:val="zh-CN"/>
    </w:rPr>
  </w:style>
  <w:style w:type="paragraph" w:styleId="4">
    <w:name w:val="heading 3"/>
    <w:basedOn w:val="1"/>
    <w:next w:val="1"/>
    <w:link w:val="60"/>
    <w:autoRedefine/>
    <w:qFormat/>
    <w:uiPriority w:val="0"/>
    <w:pPr>
      <w:keepNext/>
      <w:keepLines/>
      <w:autoSpaceDE w:val="0"/>
      <w:autoSpaceDN w:val="0"/>
      <w:adjustRightInd w:val="0"/>
      <w:spacing w:before="260" w:after="260" w:line="412" w:lineRule="auto"/>
      <w:jc w:val="left"/>
      <w:outlineLvl w:val="2"/>
    </w:pPr>
    <w:rPr>
      <w:rFonts w:hint="eastAsia" w:ascii="宋体" w:hAnsi="宋体" w:eastAsia="宋体" w:cs="Times New Roman"/>
      <w:b/>
      <w:kern w:val="0"/>
      <w:sz w:val="32"/>
      <w:szCs w:val="20"/>
      <w:lang w:val="zh-CN"/>
    </w:rPr>
  </w:style>
  <w:style w:type="paragraph" w:styleId="5">
    <w:name w:val="heading 4"/>
    <w:basedOn w:val="1"/>
    <w:next w:val="1"/>
    <w:link w:val="61"/>
    <w:autoRedefine/>
    <w:qFormat/>
    <w:uiPriority w:val="0"/>
    <w:pPr>
      <w:keepNext/>
      <w:keepLines/>
      <w:spacing w:before="280" w:after="290" w:line="372" w:lineRule="auto"/>
      <w:outlineLvl w:val="3"/>
    </w:pPr>
    <w:rPr>
      <w:rFonts w:hint="eastAsia" w:ascii="宋体" w:hAnsi="宋体" w:eastAsia="宋体" w:cs="Times New Roman"/>
      <w:b/>
      <w:kern w:val="0"/>
      <w:sz w:val="28"/>
      <w:szCs w:val="24"/>
      <w:lang w:val="zh-CN"/>
    </w:rPr>
  </w:style>
  <w:style w:type="paragraph" w:styleId="6">
    <w:name w:val="heading 5"/>
    <w:basedOn w:val="1"/>
    <w:next w:val="1"/>
    <w:link w:val="62"/>
    <w:autoRedefine/>
    <w:qFormat/>
    <w:uiPriority w:val="0"/>
    <w:pPr>
      <w:keepNext/>
      <w:keepLines/>
      <w:spacing w:before="280" w:after="290" w:line="372" w:lineRule="auto"/>
      <w:outlineLvl w:val="4"/>
    </w:pPr>
    <w:rPr>
      <w:rFonts w:hint="eastAsia" w:ascii="宋体" w:hAnsi="宋体" w:eastAsia="宋体" w:cs="Times New Roman"/>
      <w:b/>
      <w:color w:val="000000"/>
      <w:kern w:val="0"/>
      <w:sz w:val="20"/>
      <w:szCs w:val="24"/>
      <w:lang w:val="zh-CN"/>
    </w:rPr>
  </w:style>
  <w:style w:type="paragraph" w:styleId="7">
    <w:name w:val="heading 6"/>
    <w:basedOn w:val="1"/>
    <w:next w:val="1"/>
    <w:link w:val="63"/>
    <w:autoRedefine/>
    <w:qFormat/>
    <w:uiPriority w:val="0"/>
    <w:pPr>
      <w:keepNext/>
      <w:keepLines/>
      <w:spacing w:before="240" w:after="64" w:line="317" w:lineRule="auto"/>
      <w:outlineLvl w:val="5"/>
    </w:pPr>
    <w:rPr>
      <w:rFonts w:ascii="Arial" w:hAnsi="Arial" w:eastAsia="黑体" w:cs="Times New Roman"/>
      <w:b/>
      <w:kern w:val="0"/>
      <w:sz w:val="24"/>
      <w:szCs w:val="20"/>
      <w:lang w:val="zh-CN"/>
    </w:rPr>
  </w:style>
  <w:style w:type="paragraph" w:styleId="8">
    <w:name w:val="heading 7"/>
    <w:basedOn w:val="1"/>
    <w:next w:val="1"/>
    <w:link w:val="64"/>
    <w:autoRedefine/>
    <w:qFormat/>
    <w:uiPriority w:val="0"/>
    <w:pPr>
      <w:keepNext/>
      <w:keepLines/>
      <w:spacing w:before="240" w:after="64" w:line="317" w:lineRule="auto"/>
      <w:outlineLvl w:val="6"/>
    </w:pPr>
    <w:rPr>
      <w:rFonts w:ascii="Times New Roman" w:hAnsi="Times New Roman" w:eastAsia="宋体" w:cs="Times New Roman"/>
      <w:b/>
      <w:kern w:val="0"/>
      <w:sz w:val="24"/>
      <w:szCs w:val="20"/>
      <w:lang w:val="zh-CN"/>
    </w:rPr>
  </w:style>
  <w:style w:type="paragraph" w:styleId="9">
    <w:name w:val="heading 8"/>
    <w:basedOn w:val="1"/>
    <w:next w:val="1"/>
    <w:link w:val="65"/>
    <w:autoRedefine/>
    <w:qFormat/>
    <w:uiPriority w:val="0"/>
    <w:pPr>
      <w:keepNext/>
      <w:keepLines/>
      <w:spacing w:before="240" w:after="64" w:line="317" w:lineRule="auto"/>
      <w:outlineLvl w:val="7"/>
    </w:pPr>
    <w:rPr>
      <w:rFonts w:ascii="Arial" w:hAnsi="Arial" w:eastAsia="黑体" w:cs="Times New Roman"/>
      <w:kern w:val="0"/>
      <w:sz w:val="24"/>
      <w:szCs w:val="20"/>
      <w:lang w:val="zh-CN"/>
    </w:rPr>
  </w:style>
  <w:style w:type="paragraph" w:styleId="10">
    <w:name w:val="heading 9"/>
    <w:basedOn w:val="1"/>
    <w:next w:val="1"/>
    <w:link w:val="66"/>
    <w:autoRedefine/>
    <w:qFormat/>
    <w:uiPriority w:val="0"/>
    <w:pPr>
      <w:keepNext/>
      <w:keepLines/>
      <w:spacing w:before="240" w:after="64" w:line="317" w:lineRule="auto"/>
      <w:outlineLvl w:val="8"/>
    </w:pPr>
    <w:rPr>
      <w:rFonts w:ascii="Arial" w:hAnsi="Arial" w:eastAsia="黑体" w:cs="Times New Roman"/>
      <w:kern w:val="0"/>
      <w:sz w:val="20"/>
      <w:szCs w:val="20"/>
      <w:lang w:val="zh-CN"/>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39"/>
    <w:pPr>
      <w:ind w:left="2520" w:leftChars="1200"/>
    </w:pPr>
    <w:rPr>
      <w:rFonts w:ascii="Times New Roman" w:hAnsi="Times New Roman" w:eastAsia="宋体" w:cs="Times New Roman"/>
      <w:szCs w:val="20"/>
    </w:rPr>
  </w:style>
  <w:style w:type="paragraph" w:styleId="12">
    <w:name w:val="Normal Indent"/>
    <w:basedOn w:val="1"/>
    <w:autoRedefine/>
    <w:qFormat/>
    <w:uiPriority w:val="0"/>
    <w:pPr>
      <w:widowControl/>
      <w:ind w:firstLine="420"/>
      <w:jc w:val="left"/>
    </w:pPr>
    <w:rPr>
      <w:rFonts w:ascii="Times New Roman" w:hAnsi="Times New Roman" w:eastAsia="宋体" w:cs="Times New Roman"/>
      <w:kern w:val="0"/>
      <w:sz w:val="20"/>
      <w:szCs w:val="20"/>
    </w:rPr>
  </w:style>
  <w:style w:type="paragraph" w:styleId="13">
    <w:name w:val="Document Map"/>
    <w:basedOn w:val="1"/>
    <w:link w:val="109"/>
    <w:autoRedefine/>
    <w:qFormat/>
    <w:uiPriority w:val="0"/>
    <w:pPr>
      <w:shd w:val="clear" w:color="auto" w:fill="000080"/>
    </w:pPr>
    <w:rPr>
      <w:rFonts w:ascii="宋体" w:hAnsi="宋体" w:eastAsia="宋体" w:cs="Times New Roman"/>
      <w:sz w:val="18"/>
      <w:szCs w:val="18"/>
      <w:lang w:val="zh-CN"/>
    </w:rPr>
  </w:style>
  <w:style w:type="paragraph" w:styleId="14">
    <w:name w:val="annotation text"/>
    <w:basedOn w:val="1"/>
    <w:link w:val="91"/>
    <w:autoRedefine/>
    <w:qFormat/>
    <w:uiPriority w:val="0"/>
    <w:pPr>
      <w:jc w:val="left"/>
    </w:pPr>
    <w:rPr>
      <w:rFonts w:ascii="Times New Roman" w:hAnsi="Times New Roman" w:eastAsia="宋体" w:cs="Times New Roman"/>
      <w:szCs w:val="24"/>
      <w:lang w:val="zh-CN"/>
    </w:rPr>
  </w:style>
  <w:style w:type="paragraph" w:styleId="15">
    <w:name w:val="Body Text 3"/>
    <w:basedOn w:val="1"/>
    <w:link w:val="97"/>
    <w:autoRedefine/>
    <w:qFormat/>
    <w:uiPriority w:val="0"/>
    <w:pPr>
      <w:spacing w:after="120"/>
    </w:pPr>
    <w:rPr>
      <w:rFonts w:ascii="Times New Roman" w:hAnsi="Times New Roman" w:eastAsia="宋体" w:cs="Times New Roman"/>
      <w:sz w:val="16"/>
      <w:szCs w:val="16"/>
      <w:lang w:val="zh-CN"/>
    </w:rPr>
  </w:style>
  <w:style w:type="paragraph" w:styleId="16">
    <w:name w:val="Body Text"/>
    <w:basedOn w:val="1"/>
    <w:next w:val="17"/>
    <w:link w:val="106"/>
    <w:autoRedefine/>
    <w:qFormat/>
    <w:uiPriority w:val="99"/>
    <w:pPr>
      <w:autoSpaceDE w:val="0"/>
      <w:autoSpaceDN w:val="0"/>
      <w:adjustRightInd w:val="0"/>
      <w:jc w:val="center"/>
    </w:pPr>
    <w:rPr>
      <w:rFonts w:ascii="Times New Roman" w:hAnsi="Times New Roman" w:eastAsia="宋体" w:cs="Times New Roman"/>
      <w:szCs w:val="24"/>
      <w:lang w:val="zh-CN"/>
    </w:rPr>
  </w:style>
  <w:style w:type="paragraph" w:styleId="17">
    <w:name w:val="Date"/>
    <w:basedOn w:val="1"/>
    <w:next w:val="1"/>
    <w:link w:val="92"/>
    <w:autoRedefine/>
    <w:qFormat/>
    <w:uiPriority w:val="0"/>
    <w:pPr>
      <w:ind w:left="100" w:leftChars="2500"/>
    </w:pPr>
    <w:rPr>
      <w:rFonts w:ascii="Times New Roman" w:hAnsi="Times New Roman" w:eastAsia="宋体" w:cs="Times New Roman"/>
      <w:szCs w:val="24"/>
      <w:lang w:val="zh-CN"/>
    </w:rPr>
  </w:style>
  <w:style w:type="paragraph" w:styleId="18">
    <w:name w:val="Body Text Indent"/>
    <w:basedOn w:val="1"/>
    <w:link w:val="110"/>
    <w:autoRedefine/>
    <w:qFormat/>
    <w:uiPriority w:val="0"/>
    <w:pPr>
      <w:spacing w:after="120"/>
      <w:ind w:left="420" w:leftChars="200"/>
    </w:pPr>
    <w:rPr>
      <w:rFonts w:ascii="Times New Roman" w:hAnsi="Times New Roman" w:eastAsia="宋体" w:cs="Times New Roman"/>
      <w:szCs w:val="24"/>
      <w:lang w:val="zh-CN"/>
    </w:rPr>
  </w:style>
  <w:style w:type="paragraph" w:styleId="19">
    <w:name w:val="toc 5"/>
    <w:basedOn w:val="1"/>
    <w:next w:val="1"/>
    <w:autoRedefine/>
    <w:qFormat/>
    <w:uiPriority w:val="39"/>
    <w:pPr>
      <w:ind w:left="1680" w:leftChars="800"/>
    </w:pPr>
    <w:rPr>
      <w:rFonts w:ascii="Times New Roman" w:hAnsi="Times New Roman" w:eastAsia="宋体" w:cs="Times New Roman"/>
      <w:szCs w:val="20"/>
    </w:rPr>
  </w:style>
  <w:style w:type="paragraph" w:styleId="20">
    <w:name w:val="toc 3"/>
    <w:basedOn w:val="1"/>
    <w:next w:val="1"/>
    <w:autoRedefine/>
    <w:qFormat/>
    <w:uiPriority w:val="39"/>
    <w:pPr>
      <w:ind w:left="840" w:leftChars="400"/>
    </w:pPr>
    <w:rPr>
      <w:rFonts w:ascii="Times New Roman" w:hAnsi="Times New Roman" w:eastAsia="宋体" w:cs="Times New Roman"/>
      <w:szCs w:val="20"/>
    </w:rPr>
  </w:style>
  <w:style w:type="paragraph" w:styleId="21">
    <w:name w:val="Plain Text"/>
    <w:basedOn w:val="1"/>
    <w:link w:val="73"/>
    <w:autoRedefine/>
    <w:qFormat/>
    <w:uiPriority w:val="99"/>
    <w:rPr>
      <w:rFonts w:hint="eastAsia" w:ascii="宋体" w:hAnsi="Courier New" w:eastAsia="宋体" w:cs="Times New Roman"/>
      <w:kern w:val="0"/>
      <w:sz w:val="20"/>
      <w:szCs w:val="20"/>
      <w:lang w:val="zh-CN"/>
    </w:rPr>
  </w:style>
  <w:style w:type="paragraph" w:styleId="22">
    <w:name w:val="toc 8"/>
    <w:basedOn w:val="1"/>
    <w:next w:val="1"/>
    <w:autoRedefine/>
    <w:qFormat/>
    <w:uiPriority w:val="39"/>
    <w:pPr>
      <w:ind w:left="2940" w:leftChars="1400"/>
    </w:pPr>
    <w:rPr>
      <w:rFonts w:ascii="Times New Roman" w:hAnsi="Times New Roman" w:eastAsia="宋体" w:cs="Times New Roman"/>
      <w:szCs w:val="20"/>
    </w:rPr>
  </w:style>
  <w:style w:type="paragraph" w:styleId="23">
    <w:name w:val="Body Text Indent 2"/>
    <w:basedOn w:val="1"/>
    <w:link w:val="74"/>
    <w:autoRedefine/>
    <w:qFormat/>
    <w:uiPriority w:val="0"/>
    <w:pPr>
      <w:widowControl/>
      <w:spacing w:line="360" w:lineRule="auto"/>
      <w:ind w:firstLine="555"/>
      <w:jc w:val="left"/>
    </w:pPr>
    <w:rPr>
      <w:rFonts w:hint="eastAsia" w:ascii="仿宋_GB2312" w:hAnsi="Times New Roman" w:eastAsia="仿宋_GB2312" w:cs="Times New Roman"/>
      <w:kern w:val="0"/>
      <w:sz w:val="28"/>
      <w:szCs w:val="20"/>
      <w:lang w:val="zh-CN"/>
    </w:rPr>
  </w:style>
  <w:style w:type="paragraph" w:styleId="24">
    <w:name w:val="endnote text"/>
    <w:basedOn w:val="1"/>
    <w:link w:val="112"/>
    <w:autoRedefine/>
    <w:qFormat/>
    <w:uiPriority w:val="0"/>
    <w:pPr>
      <w:snapToGrid w:val="0"/>
      <w:jc w:val="left"/>
    </w:pPr>
    <w:rPr>
      <w:rFonts w:ascii="Times New Roman" w:hAnsi="Times New Roman" w:eastAsia="宋体" w:cs="Times New Roman"/>
      <w:szCs w:val="24"/>
      <w:lang w:val="zh-CN"/>
    </w:rPr>
  </w:style>
  <w:style w:type="paragraph" w:styleId="25">
    <w:name w:val="Balloon Text"/>
    <w:basedOn w:val="1"/>
    <w:link w:val="100"/>
    <w:autoRedefine/>
    <w:qFormat/>
    <w:uiPriority w:val="0"/>
    <w:rPr>
      <w:rFonts w:ascii="Times New Roman" w:hAnsi="Times New Roman" w:eastAsia="宋体" w:cs="Times New Roman"/>
      <w:sz w:val="18"/>
      <w:szCs w:val="18"/>
      <w:lang w:val="zh-CN"/>
    </w:rPr>
  </w:style>
  <w:style w:type="paragraph" w:styleId="26">
    <w:name w:val="footer"/>
    <w:basedOn w:val="1"/>
    <w:link w:val="95"/>
    <w:autoRedefine/>
    <w:qFormat/>
    <w:uiPriority w:val="0"/>
    <w:pPr>
      <w:tabs>
        <w:tab w:val="center" w:pos="4153"/>
        <w:tab w:val="right" w:pos="8306"/>
      </w:tabs>
      <w:snapToGrid w:val="0"/>
      <w:jc w:val="left"/>
    </w:pPr>
    <w:rPr>
      <w:rFonts w:ascii="Times New Roman" w:hAnsi="Times New Roman" w:eastAsia="宋体" w:cs="Times New Roman"/>
      <w:sz w:val="18"/>
      <w:szCs w:val="18"/>
      <w:lang w:val="zh-CN"/>
    </w:rPr>
  </w:style>
  <w:style w:type="paragraph" w:styleId="27">
    <w:name w:val="header"/>
    <w:basedOn w:val="1"/>
    <w:link w:val="98"/>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eastAsia="宋体" w:cs="Times New Roman"/>
      <w:sz w:val="18"/>
      <w:szCs w:val="18"/>
      <w:lang w:val="zh-CN"/>
    </w:rPr>
  </w:style>
  <w:style w:type="paragraph" w:styleId="28">
    <w:name w:val="toc 1"/>
    <w:basedOn w:val="1"/>
    <w:next w:val="1"/>
    <w:autoRedefine/>
    <w:qFormat/>
    <w:uiPriority w:val="39"/>
    <w:rPr>
      <w:rFonts w:ascii="Times New Roman" w:hAnsi="Times New Roman" w:eastAsia="宋体" w:cs="Times New Roman"/>
      <w:szCs w:val="20"/>
    </w:rPr>
  </w:style>
  <w:style w:type="paragraph" w:styleId="29">
    <w:name w:val="toc 4"/>
    <w:basedOn w:val="1"/>
    <w:next w:val="1"/>
    <w:autoRedefine/>
    <w:qFormat/>
    <w:uiPriority w:val="39"/>
    <w:pPr>
      <w:ind w:left="1260" w:leftChars="600"/>
    </w:pPr>
    <w:rPr>
      <w:rFonts w:ascii="Times New Roman" w:hAnsi="Times New Roman" w:eastAsia="宋体" w:cs="Times New Roman"/>
      <w:szCs w:val="20"/>
    </w:rPr>
  </w:style>
  <w:style w:type="paragraph" w:styleId="30">
    <w:name w:val="footnote text"/>
    <w:basedOn w:val="1"/>
    <w:link w:val="79"/>
    <w:autoRedefine/>
    <w:semiHidden/>
    <w:unhideWhenUsed/>
    <w:qFormat/>
    <w:uiPriority w:val="99"/>
    <w:pPr>
      <w:snapToGrid w:val="0"/>
      <w:jc w:val="left"/>
    </w:pPr>
    <w:rPr>
      <w:rFonts w:ascii="Times New Roman" w:hAnsi="Times New Roman" w:eastAsia="宋体" w:cs="Times New Roman"/>
      <w:sz w:val="18"/>
      <w:szCs w:val="20"/>
    </w:rPr>
  </w:style>
  <w:style w:type="paragraph" w:styleId="31">
    <w:name w:val="toc 6"/>
    <w:basedOn w:val="1"/>
    <w:next w:val="1"/>
    <w:autoRedefine/>
    <w:qFormat/>
    <w:uiPriority w:val="39"/>
    <w:pPr>
      <w:ind w:left="2100" w:leftChars="1000"/>
    </w:pPr>
    <w:rPr>
      <w:rFonts w:ascii="Times New Roman" w:hAnsi="Times New Roman" w:eastAsia="宋体" w:cs="Times New Roman"/>
      <w:szCs w:val="20"/>
    </w:rPr>
  </w:style>
  <w:style w:type="paragraph" w:styleId="32">
    <w:name w:val="Body Text Indent 3"/>
    <w:basedOn w:val="1"/>
    <w:link w:val="89"/>
    <w:autoRedefine/>
    <w:qFormat/>
    <w:uiPriority w:val="0"/>
    <w:pPr>
      <w:spacing w:after="120"/>
      <w:ind w:left="420" w:leftChars="200"/>
    </w:pPr>
    <w:rPr>
      <w:rFonts w:ascii="Times New Roman" w:hAnsi="Times New Roman" w:eastAsia="宋体" w:cs="Times New Roman"/>
      <w:sz w:val="16"/>
      <w:szCs w:val="16"/>
      <w:lang w:val="zh-CN"/>
    </w:rPr>
  </w:style>
  <w:style w:type="paragraph" w:styleId="33">
    <w:name w:val="toc 2"/>
    <w:basedOn w:val="1"/>
    <w:next w:val="1"/>
    <w:autoRedefine/>
    <w:qFormat/>
    <w:uiPriority w:val="39"/>
    <w:pPr>
      <w:ind w:left="420" w:leftChars="200"/>
    </w:pPr>
    <w:rPr>
      <w:rFonts w:ascii="Times New Roman" w:hAnsi="Times New Roman" w:eastAsia="宋体" w:cs="Times New Roman"/>
      <w:szCs w:val="20"/>
    </w:rPr>
  </w:style>
  <w:style w:type="paragraph" w:styleId="34">
    <w:name w:val="toc 9"/>
    <w:basedOn w:val="1"/>
    <w:next w:val="1"/>
    <w:autoRedefine/>
    <w:qFormat/>
    <w:uiPriority w:val="39"/>
    <w:pPr>
      <w:ind w:left="3360" w:leftChars="1600"/>
    </w:pPr>
    <w:rPr>
      <w:rFonts w:ascii="Times New Roman" w:hAnsi="Times New Roman" w:eastAsia="宋体" w:cs="Times New Roman"/>
      <w:szCs w:val="20"/>
    </w:rPr>
  </w:style>
  <w:style w:type="paragraph" w:styleId="35">
    <w:name w:val="Body Text 2"/>
    <w:basedOn w:val="1"/>
    <w:link w:val="102"/>
    <w:autoRedefine/>
    <w:qFormat/>
    <w:uiPriority w:val="0"/>
    <w:pPr>
      <w:spacing w:after="120" w:line="480" w:lineRule="auto"/>
    </w:pPr>
    <w:rPr>
      <w:rFonts w:ascii="Times New Roman" w:hAnsi="Times New Roman" w:eastAsia="宋体" w:cs="Times New Roman"/>
      <w:szCs w:val="24"/>
      <w:lang w:val="zh-CN"/>
    </w:rPr>
  </w:style>
  <w:style w:type="paragraph" w:styleId="36">
    <w:name w:val="HTML Preformatted"/>
    <w:basedOn w:val="1"/>
    <w:link w:val="82"/>
    <w:autoRedefine/>
    <w:qFormat/>
    <w:uiPriority w:val="0"/>
    <w:rPr>
      <w:rFonts w:hint="eastAsia" w:ascii="宋体" w:hAnsi="宋体" w:eastAsia="宋体" w:cs="Times New Roman"/>
      <w:kern w:val="0"/>
      <w:sz w:val="24"/>
      <w:szCs w:val="24"/>
      <w:lang w:val="zh-CN"/>
    </w:rPr>
  </w:style>
  <w:style w:type="paragraph" w:styleId="37">
    <w:name w:val="Normal (Web)"/>
    <w:basedOn w:val="1"/>
    <w:autoRedefine/>
    <w:qFormat/>
    <w:uiPriority w:val="99"/>
    <w:pPr>
      <w:widowControl/>
      <w:spacing w:before="100" w:beforeAutospacing="1" w:after="100" w:afterAutospacing="1"/>
      <w:jc w:val="left"/>
    </w:pPr>
    <w:rPr>
      <w:rFonts w:ascii="Arial" w:hAnsi="Arial" w:eastAsia="宋体" w:cs="Arial"/>
      <w:color w:val="000000"/>
      <w:kern w:val="0"/>
      <w:sz w:val="22"/>
    </w:rPr>
  </w:style>
  <w:style w:type="paragraph" w:styleId="38">
    <w:name w:val="annotation subject"/>
    <w:basedOn w:val="14"/>
    <w:next w:val="14"/>
    <w:link w:val="111"/>
    <w:autoRedefine/>
    <w:qFormat/>
    <w:uiPriority w:val="0"/>
    <w:rPr>
      <w:b/>
    </w:rPr>
  </w:style>
  <w:style w:type="paragraph" w:styleId="39">
    <w:name w:val="Body Text First Indent"/>
    <w:basedOn w:val="16"/>
    <w:link w:val="84"/>
    <w:autoRedefine/>
    <w:unhideWhenUsed/>
    <w:qFormat/>
    <w:uiPriority w:val="0"/>
    <w:pPr>
      <w:autoSpaceDE/>
      <w:autoSpaceDN/>
      <w:adjustRightInd/>
      <w:spacing w:after="120" w:line="300" w:lineRule="auto"/>
      <w:ind w:firstLine="200" w:firstLineChars="200"/>
      <w:jc w:val="both"/>
    </w:pPr>
    <w:rPr>
      <w:sz w:val="24"/>
      <w:lang w:val="en-US"/>
    </w:rPr>
  </w:style>
  <w:style w:type="table" w:styleId="41">
    <w:name w:val="Table Grid"/>
    <w:basedOn w:val="40"/>
    <w:autoRedefine/>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3">
    <w:name w:val="Strong"/>
    <w:basedOn w:val="42"/>
    <w:autoRedefine/>
    <w:qFormat/>
    <w:uiPriority w:val="0"/>
    <w:rPr>
      <w:b/>
    </w:rPr>
  </w:style>
  <w:style w:type="character" w:styleId="44">
    <w:name w:val="page number"/>
    <w:basedOn w:val="42"/>
    <w:autoRedefine/>
    <w:qFormat/>
    <w:uiPriority w:val="0"/>
  </w:style>
  <w:style w:type="character" w:styleId="45">
    <w:name w:val="FollowedHyperlink"/>
    <w:basedOn w:val="42"/>
    <w:autoRedefine/>
    <w:qFormat/>
    <w:uiPriority w:val="99"/>
    <w:rPr>
      <w:color w:val="800080"/>
      <w:u w:val="none"/>
    </w:rPr>
  </w:style>
  <w:style w:type="character" w:styleId="46">
    <w:name w:val="Emphasis"/>
    <w:basedOn w:val="42"/>
    <w:autoRedefine/>
    <w:qFormat/>
    <w:uiPriority w:val="0"/>
    <w:rPr>
      <w:b/>
    </w:rPr>
  </w:style>
  <w:style w:type="character" w:styleId="47">
    <w:name w:val="HTML Definition"/>
    <w:basedOn w:val="42"/>
    <w:autoRedefine/>
    <w:unhideWhenUsed/>
    <w:qFormat/>
    <w:uiPriority w:val="0"/>
  </w:style>
  <w:style w:type="character" w:styleId="48">
    <w:name w:val="HTML Typewriter"/>
    <w:basedOn w:val="42"/>
    <w:autoRedefine/>
    <w:unhideWhenUsed/>
    <w:qFormat/>
    <w:uiPriority w:val="0"/>
    <w:rPr>
      <w:rFonts w:ascii="monospace" w:hAnsi="monospace" w:eastAsia="monospace" w:cs="monospace"/>
      <w:sz w:val="20"/>
    </w:rPr>
  </w:style>
  <w:style w:type="character" w:styleId="49">
    <w:name w:val="HTML Acronym"/>
    <w:basedOn w:val="42"/>
    <w:autoRedefine/>
    <w:unhideWhenUsed/>
    <w:qFormat/>
    <w:uiPriority w:val="0"/>
  </w:style>
  <w:style w:type="character" w:styleId="50">
    <w:name w:val="HTML Variable"/>
    <w:basedOn w:val="42"/>
    <w:autoRedefine/>
    <w:unhideWhenUsed/>
    <w:qFormat/>
    <w:uiPriority w:val="0"/>
  </w:style>
  <w:style w:type="character" w:styleId="51">
    <w:name w:val="Hyperlink"/>
    <w:basedOn w:val="42"/>
    <w:autoRedefine/>
    <w:qFormat/>
    <w:uiPriority w:val="99"/>
    <w:rPr>
      <w:color w:val="0000FF"/>
      <w:u w:val="none"/>
    </w:rPr>
  </w:style>
  <w:style w:type="character" w:styleId="52">
    <w:name w:val="HTML Code"/>
    <w:basedOn w:val="42"/>
    <w:autoRedefine/>
    <w:unhideWhenUsed/>
    <w:qFormat/>
    <w:uiPriority w:val="0"/>
    <w:rPr>
      <w:rFonts w:hint="default" w:ascii="monospace" w:hAnsi="monospace" w:eastAsia="monospace" w:cs="monospace"/>
      <w:sz w:val="20"/>
    </w:rPr>
  </w:style>
  <w:style w:type="character" w:styleId="53">
    <w:name w:val="annotation reference"/>
    <w:autoRedefine/>
    <w:qFormat/>
    <w:uiPriority w:val="0"/>
    <w:rPr>
      <w:sz w:val="21"/>
      <w:szCs w:val="21"/>
    </w:rPr>
  </w:style>
  <w:style w:type="character" w:styleId="54">
    <w:name w:val="HTML Cite"/>
    <w:basedOn w:val="42"/>
    <w:autoRedefine/>
    <w:unhideWhenUsed/>
    <w:qFormat/>
    <w:uiPriority w:val="0"/>
  </w:style>
  <w:style w:type="character" w:styleId="55">
    <w:name w:val="footnote reference"/>
    <w:basedOn w:val="42"/>
    <w:autoRedefine/>
    <w:semiHidden/>
    <w:unhideWhenUsed/>
    <w:qFormat/>
    <w:uiPriority w:val="99"/>
    <w:rPr>
      <w:vertAlign w:val="superscript"/>
    </w:rPr>
  </w:style>
  <w:style w:type="character" w:styleId="56">
    <w:name w:val="HTML Keyboard"/>
    <w:basedOn w:val="42"/>
    <w:autoRedefine/>
    <w:unhideWhenUsed/>
    <w:qFormat/>
    <w:uiPriority w:val="0"/>
    <w:rPr>
      <w:rFonts w:hint="default" w:ascii="monospace" w:hAnsi="monospace" w:eastAsia="monospace" w:cs="monospace"/>
      <w:sz w:val="20"/>
    </w:rPr>
  </w:style>
  <w:style w:type="character" w:styleId="57">
    <w:name w:val="HTML Sample"/>
    <w:basedOn w:val="42"/>
    <w:autoRedefine/>
    <w:unhideWhenUsed/>
    <w:qFormat/>
    <w:uiPriority w:val="0"/>
    <w:rPr>
      <w:rFonts w:hint="default" w:ascii="monospace" w:hAnsi="monospace" w:eastAsia="monospace" w:cs="monospace"/>
    </w:rPr>
  </w:style>
  <w:style w:type="character" w:customStyle="1" w:styleId="58">
    <w:name w:val="标题 1 Char"/>
    <w:basedOn w:val="42"/>
    <w:link w:val="2"/>
    <w:autoRedefine/>
    <w:qFormat/>
    <w:uiPriority w:val="0"/>
    <w:rPr>
      <w:rFonts w:ascii="Times New Roman" w:hAnsi="Times New Roman" w:eastAsia="宋体" w:cs="Times New Roman"/>
      <w:b/>
      <w:kern w:val="44"/>
      <w:sz w:val="44"/>
      <w:szCs w:val="20"/>
      <w:lang w:val="zh-CN"/>
    </w:rPr>
  </w:style>
  <w:style w:type="character" w:customStyle="1" w:styleId="59">
    <w:name w:val="标题 2 Char"/>
    <w:basedOn w:val="42"/>
    <w:autoRedefine/>
    <w:qFormat/>
    <w:uiPriority w:val="0"/>
    <w:rPr>
      <w:rFonts w:asciiTheme="majorHAnsi" w:hAnsiTheme="majorHAnsi" w:eastAsiaTheme="majorEastAsia" w:cstheme="majorBidi"/>
      <w:b/>
      <w:bCs/>
      <w:sz w:val="32"/>
      <w:szCs w:val="32"/>
    </w:rPr>
  </w:style>
  <w:style w:type="character" w:customStyle="1" w:styleId="60">
    <w:name w:val="标题 3 Char"/>
    <w:basedOn w:val="42"/>
    <w:link w:val="4"/>
    <w:autoRedefine/>
    <w:qFormat/>
    <w:uiPriority w:val="0"/>
    <w:rPr>
      <w:rFonts w:ascii="宋体" w:hAnsi="宋体" w:eastAsia="宋体" w:cs="Times New Roman"/>
      <w:b/>
      <w:kern w:val="0"/>
      <w:sz w:val="32"/>
      <w:szCs w:val="20"/>
      <w:lang w:val="zh-CN"/>
    </w:rPr>
  </w:style>
  <w:style w:type="character" w:customStyle="1" w:styleId="61">
    <w:name w:val="标题 4 Char"/>
    <w:basedOn w:val="42"/>
    <w:link w:val="5"/>
    <w:autoRedefine/>
    <w:qFormat/>
    <w:uiPriority w:val="0"/>
    <w:rPr>
      <w:rFonts w:ascii="宋体" w:hAnsi="宋体" w:eastAsia="宋体" w:cs="Times New Roman"/>
      <w:b/>
      <w:kern w:val="0"/>
      <w:sz w:val="28"/>
      <w:szCs w:val="24"/>
      <w:lang w:val="zh-CN"/>
    </w:rPr>
  </w:style>
  <w:style w:type="character" w:customStyle="1" w:styleId="62">
    <w:name w:val="标题 5 Char"/>
    <w:basedOn w:val="42"/>
    <w:link w:val="6"/>
    <w:autoRedefine/>
    <w:qFormat/>
    <w:uiPriority w:val="0"/>
    <w:rPr>
      <w:rFonts w:ascii="宋体" w:hAnsi="宋体" w:eastAsia="宋体" w:cs="Times New Roman"/>
      <w:b/>
      <w:color w:val="000000"/>
      <w:kern w:val="0"/>
      <w:sz w:val="20"/>
      <w:szCs w:val="24"/>
      <w:lang w:val="zh-CN"/>
    </w:rPr>
  </w:style>
  <w:style w:type="character" w:customStyle="1" w:styleId="63">
    <w:name w:val="标题 6 Char"/>
    <w:basedOn w:val="42"/>
    <w:link w:val="7"/>
    <w:autoRedefine/>
    <w:qFormat/>
    <w:uiPriority w:val="0"/>
    <w:rPr>
      <w:rFonts w:ascii="Arial" w:hAnsi="Arial" w:eastAsia="黑体" w:cs="Times New Roman"/>
      <w:b/>
      <w:kern w:val="0"/>
      <w:sz w:val="24"/>
      <w:szCs w:val="20"/>
      <w:lang w:val="zh-CN"/>
    </w:rPr>
  </w:style>
  <w:style w:type="character" w:customStyle="1" w:styleId="64">
    <w:name w:val="标题 7 Char"/>
    <w:basedOn w:val="42"/>
    <w:link w:val="8"/>
    <w:autoRedefine/>
    <w:qFormat/>
    <w:uiPriority w:val="0"/>
    <w:rPr>
      <w:rFonts w:ascii="Times New Roman" w:hAnsi="Times New Roman" w:eastAsia="宋体" w:cs="Times New Roman"/>
      <w:b/>
      <w:kern w:val="0"/>
      <w:sz w:val="24"/>
      <w:szCs w:val="20"/>
      <w:lang w:val="zh-CN"/>
    </w:rPr>
  </w:style>
  <w:style w:type="character" w:customStyle="1" w:styleId="65">
    <w:name w:val="标题 8 Char"/>
    <w:basedOn w:val="42"/>
    <w:link w:val="9"/>
    <w:autoRedefine/>
    <w:qFormat/>
    <w:uiPriority w:val="0"/>
    <w:rPr>
      <w:rFonts w:ascii="Arial" w:hAnsi="Arial" w:eastAsia="黑体" w:cs="Times New Roman"/>
      <w:kern w:val="0"/>
      <w:sz w:val="24"/>
      <w:szCs w:val="20"/>
      <w:lang w:val="zh-CN"/>
    </w:rPr>
  </w:style>
  <w:style w:type="character" w:customStyle="1" w:styleId="66">
    <w:name w:val="标题 9 Char"/>
    <w:basedOn w:val="42"/>
    <w:link w:val="10"/>
    <w:autoRedefine/>
    <w:qFormat/>
    <w:uiPriority w:val="0"/>
    <w:rPr>
      <w:rFonts w:ascii="Arial" w:hAnsi="Arial" w:eastAsia="黑体" w:cs="Times New Roman"/>
      <w:kern w:val="0"/>
      <w:sz w:val="20"/>
      <w:szCs w:val="20"/>
      <w:lang w:val="zh-CN"/>
    </w:rPr>
  </w:style>
  <w:style w:type="character" w:customStyle="1" w:styleId="67">
    <w:name w:val="正文文本 Char"/>
    <w:basedOn w:val="42"/>
    <w:autoRedefine/>
    <w:qFormat/>
    <w:uiPriority w:val="99"/>
  </w:style>
  <w:style w:type="character" w:customStyle="1" w:styleId="68">
    <w:name w:val="日期 Char"/>
    <w:basedOn w:val="42"/>
    <w:autoRedefine/>
    <w:qFormat/>
    <w:uiPriority w:val="0"/>
  </w:style>
  <w:style w:type="character" w:customStyle="1" w:styleId="69">
    <w:name w:val="文档结构图 Char"/>
    <w:basedOn w:val="42"/>
    <w:autoRedefine/>
    <w:qFormat/>
    <w:uiPriority w:val="0"/>
    <w:rPr>
      <w:rFonts w:ascii="宋体" w:eastAsia="宋体"/>
      <w:sz w:val="18"/>
      <w:szCs w:val="18"/>
    </w:rPr>
  </w:style>
  <w:style w:type="character" w:customStyle="1" w:styleId="70">
    <w:name w:val="批注文字 Char"/>
    <w:basedOn w:val="42"/>
    <w:autoRedefine/>
    <w:qFormat/>
    <w:uiPriority w:val="99"/>
  </w:style>
  <w:style w:type="character" w:customStyle="1" w:styleId="71">
    <w:name w:val="正文文本 3 Char"/>
    <w:basedOn w:val="42"/>
    <w:autoRedefine/>
    <w:qFormat/>
    <w:uiPriority w:val="0"/>
    <w:rPr>
      <w:sz w:val="16"/>
      <w:szCs w:val="16"/>
    </w:rPr>
  </w:style>
  <w:style w:type="character" w:customStyle="1" w:styleId="72">
    <w:name w:val="正文文本缩进 Char"/>
    <w:basedOn w:val="42"/>
    <w:autoRedefine/>
    <w:qFormat/>
    <w:uiPriority w:val="0"/>
  </w:style>
  <w:style w:type="character" w:customStyle="1" w:styleId="73">
    <w:name w:val="纯文本 Char"/>
    <w:basedOn w:val="42"/>
    <w:link w:val="21"/>
    <w:autoRedefine/>
    <w:qFormat/>
    <w:uiPriority w:val="99"/>
    <w:rPr>
      <w:rFonts w:ascii="宋体" w:hAnsi="Courier New" w:eastAsia="宋体" w:cs="Times New Roman"/>
      <w:kern w:val="0"/>
      <w:sz w:val="20"/>
      <w:szCs w:val="20"/>
      <w:lang w:val="zh-CN"/>
    </w:rPr>
  </w:style>
  <w:style w:type="character" w:customStyle="1" w:styleId="74">
    <w:name w:val="正文文本缩进 2 Char"/>
    <w:basedOn w:val="42"/>
    <w:link w:val="23"/>
    <w:autoRedefine/>
    <w:qFormat/>
    <w:uiPriority w:val="0"/>
    <w:rPr>
      <w:rFonts w:ascii="仿宋_GB2312" w:hAnsi="Times New Roman" w:eastAsia="仿宋_GB2312" w:cs="Times New Roman"/>
      <w:kern w:val="0"/>
      <w:sz w:val="28"/>
      <w:szCs w:val="20"/>
      <w:lang w:val="zh-CN"/>
    </w:rPr>
  </w:style>
  <w:style w:type="character" w:customStyle="1" w:styleId="75">
    <w:name w:val="尾注文本 Char"/>
    <w:basedOn w:val="42"/>
    <w:autoRedefine/>
    <w:qFormat/>
    <w:uiPriority w:val="0"/>
  </w:style>
  <w:style w:type="character" w:customStyle="1" w:styleId="76">
    <w:name w:val="批注框文本 Char"/>
    <w:basedOn w:val="42"/>
    <w:autoRedefine/>
    <w:qFormat/>
    <w:uiPriority w:val="0"/>
    <w:rPr>
      <w:sz w:val="18"/>
      <w:szCs w:val="18"/>
    </w:rPr>
  </w:style>
  <w:style w:type="character" w:customStyle="1" w:styleId="77">
    <w:name w:val="页脚 Char"/>
    <w:basedOn w:val="42"/>
    <w:autoRedefine/>
    <w:qFormat/>
    <w:uiPriority w:val="99"/>
    <w:rPr>
      <w:sz w:val="18"/>
      <w:szCs w:val="18"/>
    </w:rPr>
  </w:style>
  <w:style w:type="character" w:customStyle="1" w:styleId="78">
    <w:name w:val="页眉 Char"/>
    <w:basedOn w:val="42"/>
    <w:autoRedefine/>
    <w:qFormat/>
    <w:uiPriority w:val="99"/>
    <w:rPr>
      <w:sz w:val="18"/>
      <w:szCs w:val="18"/>
    </w:rPr>
  </w:style>
  <w:style w:type="character" w:customStyle="1" w:styleId="79">
    <w:name w:val="脚注文本 Char"/>
    <w:basedOn w:val="42"/>
    <w:link w:val="30"/>
    <w:autoRedefine/>
    <w:semiHidden/>
    <w:qFormat/>
    <w:uiPriority w:val="99"/>
    <w:rPr>
      <w:rFonts w:ascii="Times New Roman" w:hAnsi="Times New Roman" w:eastAsia="宋体" w:cs="Times New Roman"/>
      <w:sz w:val="18"/>
      <w:szCs w:val="20"/>
    </w:rPr>
  </w:style>
  <w:style w:type="character" w:customStyle="1" w:styleId="80">
    <w:name w:val="正文文本缩进 3 Char"/>
    <w:basedOn w:val="42"/>
    <w:autoRedefine/>
    <w:qFormat/>
    <w:uiPriority w:val="0"/>
    <w:rPr>
      <w:sz w:val="16"/>
      <w:szCs w:val="16"/>
    </w:rPr>
  </w:style>
  <w:style w:type="character" w:customStyle="1" w:styleId="81">
    <w:name w:val="正文文本 2 Char"/>
    <w:basedOn w:val="42"/>
    <w:autoRedefine/>
    <w:qFormat/>
    <w:uiPriority w:val="0"/>
  </w:style>
  <w:style w:type="character" w:customStyle="1" w:styleId="82">
    <w:name w:val="HTML 预设格式 Char"/>
    <w:basedOn w:val="42"/>
    <w:link w:val="36"/>
    <w:autoRedefine/>
    <w:qFormat/>
    <w:uiPriority w:val="0"/>
    <w:rPr>
      <w:rFonts w:ascii="宋体" w:hAnsi="宋体" w:eastAsia="宋体" w:cs="Times New Roman"/>
      <w:kern w:val="0"/>
      <w:sz w:val="24"/>
      <w:szCs w:val="24"/>
      <w:lang w:val="zh-CN"/>
    </w:rPr>
  </w:style>
  <w:style w:type="character" w:customStyle="1" w:styleId="83">
    <w:name w:val="批注主题 Char"/>
    <w:basedOn w:val="70"/>
    <w:autoRedefine/>
    <w:qFormat/>
    <w:uiPriority w:val="0"/>
    <w:rPr>
      <w:b/>
      <w:bCs/>
    </w:rPr>
  </w:style>
  <w:style w:type="character" w:customStyle="1" w:styleId="84">
    <w:name w:val="正文首行缩进 Char"/>
    <w:basedOn w:val="67"/>
    <w:link w:val="39"/>
    <w:autoRedefine/>
    <w:qFormat/>
    <w:uiPriority w:val="0"/>
    <w:rPr>
      <w:rFonts w:ascii="Times New Roman" w:hAnsi="Times New Roman" w:eastAsia="宋体" w:cs="Times New Roman"/>
      <w:sz w:val="24"/>
      <w:szCs w:val="24"/>
    </w:rPr>
  </w:style>
  <w:style w:type="paragraph" w:customStyle="1" w:styleId="85">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86">
    <w:name w:val="BodyText1I2"/>
    <w:basedOn w:val="87"/>
    <w:autoRedefine/>
    <w:qFormat/>
    <w:uiPriority w:val="0"/>
    <w:pPr>
      <w:spacing w:after="120" w:line="240" w:lineRule="auto"/>
      <w:ind w:left="420" w:leftChars="200" w:firstLine="420" w:firstLineChars="200"/>
    </w:pPr>
    <w:rPr>
      <w:rFonts w:ascii="Times New Roman"/>
      <w:sz w:val="21"/>
    </w:rPr>
  </w:style>
  <w:style w:type="paragraph" w:customStyle="1" w:styleId="87">
    <w:name w:val="BodyTextIndent"/>
    <w:basedOn w:val="1"/>
    <w:next w:val="86"/>
    <w:autoRedefine/>
    <w:qFormat/>
    <w:uiPriority w:val="0"/>
    <w:pPr>
      <w:spacing w:line="360" w:lineRule="auto"/>
      <w:ind w:firstLine="480"/>
      <w:jc w:val="left"/>
      <w:textAlignment w:val="baseline"/>
    </w:pPr>
    <w:rPr>
      <w:rFonts w:ascii="宋体" w:hAnsi="宋体" w:eastAsia="仿宋_GB2312" w:cs="Times New Roman"/>
      <w:b/>
      <w:spacing w:val="4"/>
      <w:kern w:val="0"/>
      <w:sz w:val="24"/>
      <w:szCs w:val="28"/>
    </w:rPr>
  </w:style>
  <w:style w:type="character" w:customStyle="1" w:styleId="88">
    <w:name w:val="正文文本 (4)_"/>
    <w:autoRedefine/>
    <w:qFormat/>
    <w:uiPriority w:val="0"/>
    <w:rPr>
      <w:rFonts w:hint="eastAsia" w:ascii="MingLiU" w:hAnsi="MingLiU" w:eastAsia="MingLiU" w:cs="MingLiU"/>
      <w:sz w:val="19"/>
      <w:szCs w:val="19"/>
      <w:shd w:val="clear" w:color="auto" w:fill="FFFFFF"/>
    </w:rPr>
  </w:style>
  <w:style w:type="character" w:customStyle="1" w:styleId="89">
    <w:name w:val="正文文本缩进 3 Char1"/>
    <w:link w:val="32"/>
    <w:autoRedefine/>
    <w:qFormat/>
    <w:uiPriority w:val="0"/>
    <w:rPr>
      <w:rFonts w:ascii="Times New Roman" w:hAnsi="Times New Roman" w:eastAsia="宋体" w:cs="Times New Roman"/>
      <w:sz w:val="16"/>
      <w:szCs w:val="16"/>
      <w:lang w:val="zh-CN"/>
    </w:rPr>
  </w:style>
  <w:style w:type="character" w:customStyle="1" w:styleId="90">
    <w:name w:val="font61"/>
    <w:autoRedefine/>
    <w:qFormat/>
    <w:uiPriority w:val="0"/>
    <w:rPr>
      <w:rFonts w:hint="eastAsia" w:ascii="宋体" w:hAnsi="宋体" w:eastAsia="宋体" w:cs="宋体"/>
      <w:color w:val="000000"/>
      <w:sz w:val="28"/>
      <w:szCs w:val="28"/>
    </w:rPr>
  </w:style>
  <w:style w:type="character" w:customStyle="1" w:styleId="91">
    <w:name w:val="批注文字 Char1"/>
    <w:link w:val="14"/>
    <w:autoRedefine/>
    <w:qFormat/>
    <w:uiPriority w:val="0"/>
    <w:rPr>
      <w:rFonts w:ascii="Times New Roman" w:hAnsi="Times New Roman" w:eastAsia="宋体" w:cs="Times New Roman"/>
      <w:szCs w:val="24"/>
      <w:lang w:val="zh-CN"/>
    </w:rPr>
  </w:style>
  <w:style w:type="character" w:customStyle="1" w:styleId="92">
    <w:name w:val="日期 Char1"/>
    <w:link w:val="17"/>
    <w:autoRedefine/>
    <w:qFormat/>
    <w:uiPriority w:val="0"/>
    <w:rPr>
      <w:rFonts w:ascii="Times New Roman" w:hAnsi="Times New Roman" w:eastAsia="宋体" w:cs="Times New Roman"/>
      <w:szCs w:val="24"/>
      <w:lang w:val="zh-CN"/>
    </w:rPr>
  </w:style>
  <w:style w:type="character" w:customStyle="1" w:styleId="93">
    <w:name w:val="p141"/>
    <w:autoRedefine/>
    <w:qFormat/>
    <w:uiPriority w:val="0"/>
    <w:rPr>
      <w:sz w:val="21"/>
      <w:szCs w:val="21"/>
    </w:rPr>
  </w:style>
  <w:style w:type="character" w:customStyle="1" w:styleId="94">
    <w:name w:val="HTML 预设格式 Char1"/>
    <w:autoRedefine/>
    <w:qFormat/>
    <w:uiPriority w:val="0"/>
    <w:rPr>
      <w:rFonts w:ascii="Courier New" w:hAnsi="Courier New" w:cs="Courier New"/>
      <w:kern w:val="2"/>
    </w:rPr>
  </w:style>
  <w:style w:type="character" w:customStyle="1" w:styleId="95">
    <w:name w:val="页脚 Char1"/>
    <w:link w:val="26"/>
    <w:autoRedefine/>
    <w:qFormat/>
    <w:uiPriority w:val="0"/>
    <w:rPr>
      <w:rFonts w:ascii="Times New Roman" w:hAnsi="Times New Roman" w:eastAsia="宋体" w:cs="Times New Roman"/>
      <w:sz w:val="18"/>
      <w:szCs w:val="18"/>
      <w:lang w:val="zh-CN"/>
    </w:rPr>
  </w:style>
  <w:style w:type="character" w:customStyle="1" w:styleId="96">
    <w:name w:val="style43"/>
    <w:autoRedefine/>
    <w:qFormat/>
    <w:uiPriority w:val="0"/>
    <w:rPr>
      <w:b/>
      <w:sz w:val="18"/>
      <w:szCs w:val="18"/>
    </w:rPr>
  </w:style>
  <w:style w:type="character" w:customStyle="1" w:styleId="97">
    <w:name w:val="正文文本 3 Char1"/>
    <w:link w:val="15"/>
    <w:autoRedefine/>
    <w:qFormat/>
    <w:uiPriority w:val="0"/>
    <w:rPr>
      <w:rFonts w:ascii="Times New Roman" w:hAnsi="Times New Roman" w:eastAsia="宋体" w:cs="Times New Roman"/>
      <w:sz w:val="16"/>
      <w:szCs w:val="16"/>
      <w:lang w:val="zh-CN"/>
    </w:rPr>
  </w:style>
  <w:style w:type="character" w:customStyle="1" w:styleId="98">
    <w:name w:val="页眉 Char1"/>
    <w:link w:val="27"/>
    <w:autoRedefine/>
    <w:qFormat/>
    <w:uiPriority w:val="0"/>
    <w:rPr>
      <w:rFonts w:ascii="Times New Roman" w:hAnsi="Times New Roman" w:eastAsia="宋体" w:cs="Times New Roman"/>
      <w:sz w:val="18"/>
      <w:szCs w:val="18"/>
      <w:lang w:val="zh-CN"/>
    </w:rPr>
  </w:style>
  <w:style w:type="character" w:customStyle="1" w:styleId="99">
    <w:name w:val="正文文本缩进 2 Char1"/>
    <w:autoRedefine/>
    <w:qFormat/>
    <w:uiPriority w:val="0"/>
    <w:rPr>
      <w:kern w:val="2"/>
      <w:sz w:val="21"/>
      <w:szCs w:val="24"/>
    </w:rPr>
  </w:style>
  <w:style w:type="character" w:customStyle="1" w:styleId="100">
    <w:name w:val="批注框文本 Char1"/>
    <w:link w:val="25"/>
    <w:autoRedefine/>
    <w:qFormat/>
    <w:uiPriority w:val="0"/>
    <w:rPr>
      <w:rFonts w:ascii="Times New Roman" w:hAnsi="Times New Roman" w:eastAsia="宋体" w:cs="Times New Roman"/>
      <w:sz w:val="18"/>
      <w:szCs w:val="18"/>
      <w:lang w:val="zh-CN"/>
    </w:rPr>
  </w:style>
  <w:style w:type="character" w:customStyle="1" w:styleId="101">
    <w:name w:val="标题 2 Char1"/>
    <w:link w:val="3"/>
    <w:autoRedefine/>
    <w:qFormat/>
    <w:uiPriority w:val="9"/>
    <w:rPr>
      <w:rFonts w:ascii="仿宋_GB2312" w:hAnsi="Arial" w:eastAsia="仿宋_GB2312" w:cs="Times New Roman"/>
      <w:b/>
      <w:kern w:val="0"/>
      <w:sz w:val="36"/>
      <w:szCs w:val="20"/>
      <w:lang w:val="zh-CN"/>
    </w:rPr>
  </w:style>
  <w:style w:type="character" w:customStyle="1" w:styleId="102">
    <w:name w:val="正文文本 2 Char1"/>
    <w:link w:val="35"/>
    <w:autoRedefine/>
    <w:qFormat/>
    <w:uiPriority w:val="0"/>
    <w:rPr>
      <w:rFonts w:ascii="Times New Roman" w:hAnsi="Times New Roman" w:eastAsia="宋体" w:cs="Times New Roman"/>
      <w:szCs w:val="24"/>
      <w:lang w:val="zh-CN"/>
    </w:rPr>
  </w:style>
  <w:style w:type="character" w:customStyle="1" w:styleId="103">
    <w:name w:val="unnamed21"/>
    <w:basedOn w:val="42"/>
    <w:autoRedefine/>
    <w:qFormat/>
    <w:uiPriority w:val="0"/>
  </w:style>
  <w:style w:type="character" w:customStyle="1" w:styleId="104">
    <w:name w:val="普通文字 Char1"/>
    <w:autoRedefine/>
    <w:qFormat/>
    <w:uiPriority w:val="0"/>
    <w:rPr>
      <w:rFonts w:hint="eastAsia" w:ascii="宋体" w:hAnsi="Courier New" w:eastAsia="宋体" w:cs="宋体"/>
      <w:kern w:val="2"/>
      <w:sz w:val="21"/>
      <w:lang w:val="en-US" w:eastAsia="zh-CN" w:bidi="ar-SA"/>
    </w:rPr>
  </w:style>
  <w:style w:type="character" w:customStyle="1" w:styleId="105">
    <w:name w:val="apple-converted-space"/>
    <w:basedOn w:val="42"/>
    <w:autoRedefine/>
    <w:qFormat/>
    <w:uiPriority w:val="0"/>
  </w:style>
  <w:style w:type="character" w:customStyle="1" w:styleId="106">
    <w:name w:val="正文文本 Char1"/>
    <w:link w:val="16"/>
    <w:autoRedefine/>
    <w:qFormat/>
    <w:uiPriority w:val="99"/>
    <w:rPr>
      <w:rFonts w:ascii="Times New Roman" w:hAnsi="Times New Roman" w:eastAsia="宋体" w:cs="Times New Roman"/>
      <w:szCs w:val="24"/>
      <w:lang w:val="zh-CN"/>
    </w:rPr>
  </w:style>
  <w:style w:type="character" w:customStyle="1" w:styleId="107">
    <w:name w:val="纯文本 Char2"/>
    <w:autoRedefine/>
    <w:qFormat/>
    <w:uiPriority w:val="0"/>
    <w:rPr>
      <w:rFonts w:hint="eastAsia" w:ascii="宋体" w:hAnsi="Courier New" w:eastAsia="宋体" w:cs="Courier New"/>
      <w:kern w:val="2"/>
      <w:sz w:val="21"/>
      <w:szCs w:val="21"/>
    </w:rPr>
  </w:style>
  <w:style w:type="character" w:customStyle="1" w:styleId="108">
    <w:name w:val="纯文本 Char1"/>
    <w:autoRedefine/>
    <w:qFormat/>
    <w:uiPriority w:val="0"/>
    <w:rPr>
      <w:rFonts w:hint="eastAsia" w:ascii="宋体" w:hAnsi="Courier New" w:eastAsia="宋体" w:cs="Courier New"/>
      <w:szCs w:val="21"/>
    </w:rPr>
  </w:style>
  <w:style w:type="character" w:customStyle="1" w:styleId="109">
    <w:name w:val="文档结构图 Char1"/>
    <w:link w:val="13"/>
    <w:autoRedefine/>
    <w:qFormat/>
    <w:uiPriority w:val="0"/>
    <w:rPr>
      <w:rFonts w:ascii="宋体" w:hAnsi="宋体" w:eastAsia="宋体" w:cs="Times New Roman"/>
      <w:sz w:val="18"/>
      <w:szCs w:val="18"/>
      <w:shd w:val="clear" w:color="auto" w:fill="000080"/>
      <w:lang w:val="zh-CN"/>
    </w:rPr>
  </w:style>
  <w:style w:type="character" w:customStyle="1" w:styleId="110">
    <w:name w:val="正文文本缩进 Char1"/>
    <w:link w:val="18"/>
    <w:autoRedefine/>
    <w:qFormat/>
    <w:uiPriority w:val="0"/>
    <w:rPr>
      <w:rFonts w:ascii="Times New Roman" w:hAnsi="Times New Roman" w:eastAsia="宋体" w:cs="Times New Roman"/>
      <w:szCs w:val="24"/>
      <w:lang w:val="zh-CN"/>
    </w:rPr>
  </w:style>
  <w:style w:type="character" w:customStyle="1" w:styleId="111">
    <w:name w:val="批注主题 Char1"/>
    <w:link w:val="38"/>
    <w:autoRedefine/>
    <w:qFormat/>
    <w:uiPriority w:val="0"/>
    <w:rPr>
      <w:rFonts w:ascii="Times New Roman" w:hAnsi="Times New Roman" w:eastAsia="宋体" w:cs="Times New Roman"/>
      <w:b/>
      <w:szCs w:val="24"/>
      <w:lang w:val="zh-CN"/>
    </w:rPr>
  </w:style>
  <w:style w:type="character" w:customStyle="1" w:styleId="112">
    <w:name w:val="尾注文本 Char1"/>
    <w:link w:val="24"/>
    <w:autoRedefine/>
    <w:qFormat/>
    <w:uiPriority w:val="0"/>
    <w:rPr>
      <w:rFonts w:ascii="Times New Roman" w:hAnsi="Times New Roman" w:eastAsia="宋体" w:cs="Times New Roman"/>
      <w:szCs w:val="24"/>
      <w:lang w:val="zh-CN"/>
    </w:rPr>
  </w:style>
  <w:style w:type="paragraph" w:customStyle="1" w:styleId="113">
    <w:name w:val="列出段落1"/>
    <w:basedOn w:val="1"/>
    <w:autoRedefine/>
    <w:qFormat/>
    <w:uiPriority w:val="99"/>
    <w:pPr>
      <w:ind w:firstLine="420" w:firstLineChars="200"/>
    </w:pPr>
    <w:rPr>
      <w:rFonts w:ascii="Times New Roman" w:hAnsi="Times New Roman" w:eastAsia="宋体" w:cs="Times New Roman"/>
      <w:szCs w:val="20"/>
    </w:rPr>
  </w:style>
  <w:style w:type="paragraph" w:customStyle="1" w:styleId="114">
    <w:name w:val="列出段落2"/>
    <w:basedOn w:val="1"/>
    <w:autoRedefine/>
    <w:qFormat/>
    <w:uiPriority w:val="99"/>
    <w:pPr>
      <w:ind w:firstLine="420" w:firstLineChars="200"/>
    </w:pPr>
    <w:rPr>
      <w:rFonts w:ascii="Times New Roman" w:hAnsi="Times New Roman" w:eastAsia="宋体" w:cs="Times New Roman"/>
      <w:szCs w:val="24"/>
    </w:rPr>
  </w:style>
  <w:style w:type="paragraph" w:customStyle="1" w:styleId="115">
    <w:name w:val="！正文文字缩进--WRY"/>
    <w:basedOn w:val="1"/>
    <w:autoRedefine/>
    <w:qFormat/>
    <w:uiPriority w:val="99"/>
    <w:pPr>
      <w:spacing w:line="360" w:lineRule="auto"/>
      <w:ind w:firstLine="480" w:firstLineChars="200"/>
    </w:pPr>
    <w:rPr>
      <w:rFonts w:ascii="Times New Roman" w:hAnsi="Times New Roman" w:eastAsia="宋体" w:cs="Times New Roman"/>
      <w:sz w:val="24"/>
      <w:szCs w:val="20"/>
    </w:rPr>
  </w:style>
  <w:style w:type="paragraph" w:customStyle="1" w:styleId="116">
    <w:name w:val="Table Paragraph"/>
    <w:basedOn w:val="1"/>
    <w:autoRedefine/>
    <w:qFormat/>
    <w:uiPriority w:val="99"/>
    <w:pPr>
      <w:autoSpaceDE w:val="0"/>
      <w:autoSpaceDN w:val="0"/>
      <w:adjustRightInd w:val="0"/>
      <w:jc w:val="left"/>
    </w:pPr>
    <w:rPr>
      <w:rFonts w:ascii="Times New Roman" w:hAnsi="Times New Roman" w:eastAsia="宋体" w:cs="Times New Roman"/>
      <w:kern w:val="0"/>
      <w:sz w:val="24"/>
      <w:szCs w:val="24"/>
    </w:rPr>
  </w:style>
  <w:style w:type="character" w:customStyle="1" w:styleId="117">
    <w:name w:val="font01"/>
    <w:basedOn w:val="42"/>
    <w:autoRedefine/>
    <w:qFormat/>
    <w:uiPriority w:val="0"/>
    <w:rPr>
      <w:rFonts w:hint="eastAsia" w:ascii="宋体" w:hAnsi="宋体" w:eastAsia="宋体" w:cs="宋体"/>
      <w:color w:val="000000"/>
      <w:sz w:val="21"/>
      <w:szCs w:val="21"/>
      <w:u w:val="none"/>
    </w:rPr>
  </w:style>
  <w:style w:type="character" w:customStyle="1" w:styleId="118">
    <w:name w:val="font21"/>
    <w:basedOn w:val="42"/>
    <w:autoRedefine/>
    <w:qFormat/>
    <w:uiPriority w:val="0"/>
    <w:rPr>
      <w:rFonts w:ascii="Calibri" w:hAnsi="Calibri" w:cs="Calibri"/>
      <w:color w:val="000000"/>
      <w:sz w:val="21"/>
      <w:szCs w:val="21"/>
      <w:u w:val="none"/>
    </w:rPr>
  </w:style>
  <w:style w:type="paragraph" w:customStyle="1" w:styleId="119">
    <w:name w:val="正文0"/>
    <w:basedOn w:val="1"/>
    <w:autoRedefine/>
    <w:qFormat/>
    <w:uiPriority w:val="0"/>
    <w:pPr>
      <w:autoSpaceDE w:val="0"/>
      <w:autoSpaceDN w:val="0"/>
      <w:adjustRightInd w:val="0"/>
      <w:spacing w:before="240" w:after="60" w:line="360" w:lineRule="atLeast"/>
    </w:pPr>
    <w:rPr>
      <w:rFonts w:ascii="Times New Roman" w:hAnsi="Times New Roman" w:eastAsia="宋体" w:cs="Times New Roman"/>
      <w:b/>
      <w:kern w:val="0"/>
      <w:sz w:val="24"/>
      <w:szCs w:val="20"/>
    </w:rPr>
  </w:style>
  <w:style w:type="paragraph" w:customStyle="1" w:styleId="120">
    <w:name w:val="Char Char1"/>
    <w:basedOn w:val="1"/>
    <w:autoRedefine/>
    <w:qFormat/>
    <w:uiPriority w:val="0"/>
    <w:pPr>
      <w:tabs>
        <w:tab w:val="left" w:pos="432"/>
      </w:tabs>
      <w:ind w:left="432" w:hanging="432"/>
    </w:pPr>
    <w:rPr>
      <w:rFonts w:ascii="Times New Roman" w:hAnsi="Times New Roman" w:eastAsia="宋体" w:cs="Times New Roman"/>
      <w:szCs w:val="24"/>
    </w:rPr>
  </w:style>
  <w:style w:type="paragraph" w:customStyle="1" w:styleId="121">
    <w:name w:val="Char Char Char Char Char Char Char"/>
    <w:basedOn w:val="1"/>
    <w:autoRedefine/>
    <w:qFormat/>
    <w:uiPriority w:val="0"/>
    <w:pPr>
      <w:tabs>
        <w:tab w:val="left" w:pos="432"/>
      </w:tabs>
      <w:ind w:left="432" w:hanging="432"/>
    </w:pPr>
    <w:rPr>
      <w:rFonts w:ascii="Tahoma" w:hAnsi="Tahoma" w:eastAsia="宋体" w:cs="Times New Roman"/>
      <w:sz w:val="24"/>
      <w:szCs w:val="20"/>
    </w:rPr>
  </w:style>
  <w:style w:type="paragraph" w:customStyle="1" w:styleId="122">
    <w:name w:val="列出段落3"/>
    <w:basedOn w:val="1"/>
    <w:autoRedefine/>
    <w:unhideWhenUsed/>
    <w:qFormat/>
    <w:uiPriority w:val="99"/>
    <w:pPr>
      <w:ind w:firstLine="420" w:firstLineChars="200"/>
    </w:pPr>
    <w:rPr>
      <w:rFonts w:ascii="Times New Roman" w:hAnsi="Times New Roman" w:eastAsia="宋体" w:cs="Times New Roman"/>
      <w:szCs w:val="20"/>
    </w:rPr>
  </w:style>
  <w:style w:type="character" w:customStyle="1" w:styleId="123">
    <w:name w:val="标题 3 Char1"/>
    <w:autoRedefine/>
    <w:qFormat/>
    <w:uiPriority w:val="0"/>
    <w:rPr>
      <w:rFonts w:hint="eastAsia" w:ascii="宋体" w:hAnsi="宋体" w:eastAsia="宋体" w:cs="宋体"/>
      <w:b/>
      <w:sz w:val="32"/>
    </w:rPr>
  </w:style>
  <w:style w:type="paragraph" w:customStyle="1" w:styleId="124">
    <w:name w:val="纯文本1"/>
    <w:basedOn w:val="1"/>
    <w:autoRedefine/>
    <w:qFormat/>
    <w:uiPriority w:val="0"/>
    <w:rPr>
      <w:rFonts w:ascii="Times New Roman" w:hAnsi="Courier New" w:eastAsia="宋体" w:cs="Times New Roman"/>
      <w:szCs w:val="20"/>
    </w:rPr>
  </w:style>
  <w:style w:type="paragraph" w:styleId="125">
    <w:name w:val="List Paragraph"/>
    <w:basedOn w:val="1"/>
    <w:autoRedefine/>
    <w:unhideWhenUsed/>
    <w:qFormat/>
    <w:uiPriority w:val="99"/>
    <w:pPr>
      <w:ind w:firstLine="420" w:firstLineChars="200"/>
    </w:pPr>
    <w:rPr>
      <w:rFonts w:ascii="Times New Roman" w:hAnsi="Times New Roman" w:eastAsia="宋体" w:cs="Times New Roman"/>
      <w:szCs w:val="20"/>
    </w:rPr>
  </w:style>
  <w:style w:type="character" w:customStyle="1" w:styleId="126">
    <w:name w:val="mini-outputtext1"/>
    <w:basedOn w:val="42"/>
    <w:autoRedefine/>
    <w:qFormat/>
    <w:uiPriority w:val="0"/>
  </w:style>
  <w:style w:type="paragraph" w:customStyle="1" w:styleId="127">
    <w:name w:val="正文1"/>
    <w:basedOn w:val="1"/>
    <w:next w:val="1"/>
    <w:autoRedefine/>
    <w:qFormat/>
    <w:uiPriority w:val="0"/>
    <w:pPr>
      <w:widowControl/>
    </w:pPr>
    <w:rPr>
      <w:rFonts w:ascii="Times New Roman" w:hAnsi="Times New Roman" w:eastAsia="宋体" w:cs="Times New Roman"/>
      <w:szCs w:val="20"/>
    </w:rPr>
  </w:style>
  <w:style w:type="character" w:customStyle="1" w:styleId="128">
    <w:name w:val="font31"/>
    <w:basedOn w:val="42"/>
    <w:autoRedefine/>
    <w:qFormat/>
    <w:uiPriority w:val="0"/>
    <w:rPr>
      <w:rFonts w:ascii="宋体" w:hAnsi="宋体" w:eastAsia="宋体" w:cs="宋体"/>
      <w:color w:val="000000"/>
      <w:sz w:val="20"/>
      <w:szCs w:val="20"/>
      <w:u w:val="none"/>
    </w:rPr>
  </w:style>
  <w:style w:type="paragraph" w:customStyle="1" w:styleId="129">
    <w:name w:val="*正文"/>
    <w:basedOn w:val="1"/>
    <w:autoRedefine/>
    <w:qFormat/>
    <w:uiPriority w:val="0"/>
    <w:pPr>
      <w:widowControl/>
      <w:spacing w:line="360" w:lineRule="auto"/>
      <w:ind w:firstLine="200" w:firstLineChars="200"/>
      <w:jc w:val="left"/>
    </w:pPr>
    <w:rPr>
      <w:rFonts w:ascii="仿宋_GB2312" w:hAnsi="Times New Roman" w:eastAsia="仿宋_GB2312" w:cs="仿宋_GB2312"/>
      <w:sz w:val="24"/>
      <w:szCs w:val="24"/>
    </w:rPr>
  </w:style>
  <w:style w:type="paragraph" w:customStyle="1" w:styleId="130">
    <w:name w:val="NormalIndent"/>
    <w:basedOn w:val="1"/>
    <w:autoRedefine/>
    <w:qFormat/>
    <w:uiPriority w:val="0"/>
    <w:pPr>
      <w:widowControl/>
      <w:spacing w:line="312" w:lineRule="atLeast"/>
      <w:ind w:firstLine="420"/>
      <w:jc w:val="left"/>
      <w:textAlignment w:val="baseline"/>
    </w:pPr>
    <w:rPr>
      <w:rFonts w:ascii="Times New Roman" w:hAnsi="Times New Roman" w:eastAsia="宋体" w:cs="Times New Roman"/>
      <w:kern w:val="0"/>
      <w:sz w:val="24"/>
      <w:szCs w:val="20"/>
    </w:rPr>
  </w:style>
  <w:style w:type="paragraph" w:customStyle="1" w:styleId="131">
    <w:name w:val="表格文字"/>
    <w:basedOn w:val="1"/>
    <w:next w:val="16"/>
    <w:autoRedefine/>
    <w:qFormat/>
    <w:uiPriority w:val="0"/>
    <w:pPr>
      <w:autoSpaceDE w:val="0"/>
      <w:autoSpaceDN w:val="0"/>
      <w:adjustRightInd w:val="0"/>
      <w:spacing w:before="100" w:beforeAutospacing="1" w:after="100" w:afterAutospacing="1" w:line="360" w:lineRule="auto"/>
      <w:jc w:val="center"/>
      <w:textAlignment w:val="baseline"/>
    </w:pPr>
    <w:rPr>
      <w:rFonts w:ascii="等线" w:hAnsi="等线" w:eastAsia="楷体_GB2312" w:cs="Times New Roman"/>
      <w:color w:val="000000"/>
      <w:kern w:val="0"/>
      <w:sz w:val="24"/>
      <w:szCs w:val="20"/>
    </w:rPr>
  </w:style>
  <w:style w:type="paragraph" w:customStyle="1" w:styleId="132">
    <w:name w:val="Body text|1"/>
    <w:basedOn w:val="1"/>
    <w:autoRedefine/>
    <w:qFormat/>
    <w:uiPriority w:val="0"/>
    <w:pPr>
      <w:spacing w:line="346" w:lineRule="auto"/>
      <w:ind w:firstLine="400"/>
    </w:pPr>
    <w:rPr>
      <w:rFonts w:ascii="宋体" w:hAnsi="宋体" w:eastAsia="宋体" w:cs="宋体"/>
      <w:sz w:val="26"/>
      <w:szCs w:val="26"/>
      <w:lang w:val="zh-TW" w:eastAsia="zh-TW" w:bidi="zh-TW"/>
    </w:rPr>
  </w:style>
  <w:style w:type="paragraph" w:customStyle="1" w:styleId="133">
    <w:name w:val="Body text|2"/>
    <w:basedOn w:val="1"/>
    <w:autoRedefine/>
    <w:qFormat/>
    <w:uiPriority w:val="0"/>
    <w:pPr>
      <w:ind w:hanging="1260"/>
    </w:pPr>
    <w:rPr>
      <w:rFonts w:ascii="宋体" w:hAnsi="宋体" w:eastAsia="宋体" w:cs="宋体"/>
      <w:color w:val="A1A8B1"/>
      <w:sz w:val="14"/>
      <w:szCs w:val="14"/>
      <w:lang w:val="zh-TW" w:eastAsia="zh-TW" w:bidi="zh-TW"/>
    </w:rPr>
  </w:style>
  <w:style w:type="paragraph" w:customStyle="1" w:styleId="134">
    <w:name w:val="列表段落1"/>
    <w:basedOn w:val="1"/>
    <w:autoRedefine/>
    <w:unhideWhenUsed/>
    <w:qFormat/>
    <w:uiPriority w:val="99"/>
    <w:pPr>
      <w:ind w:firstLine="420" w:firstLineChars="200"/>
    </w:pPr>
    <w:rPr>
      <w:rFonts w:ascii="Times New Roman" w:hAnsi="Times New Roman" w:eastAsia="宋体" w:cs="Times New Roman"/>
      <w:szCs w:val="20"/>
    </w:rPr>
  </w:style>
  <w:style w:type="table" w:customStyle="1" w:styleId="135">
    <w:name w:val="网格型1"/>
    <w:basedOn w:val="40"/>
    <w:autoRedefine/>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36">
    <w:name w:val="Char2"/>
    <w:basedOn w:val="1"/>
    <w:autoRedefine/>
    <w:qFormat/>
    <w:uiPriority w:val="0"/>
    <w:pPr>
      <w:ind w:left="432" w:hanging="432"/>
    </w:pPr>
    <w:rPr>
      <w:rFonts w:ascii="Times New Roman" w:hAnsi="Times New Roman" w:eastAsia="宋体" w:cs="Times New Roman"/>
      <w:sz w:val="24"/>
      <w:szCs w:val="24"/>
    </w:rPr>
  </w:style>
  <w:style w:type="paragraph" w:customStyle="1" w:styleId="137">
    <w:name w:val="样式3"/>
    <w:basedOn w:val="21"/>
    <w:autoRedefine/>
    <w:qFormat/>
    <w:uiPriority w:val="0"/>
    <w:pPr>
      <w:spacing w:line="0" w:lineRule="atLeast"/>
      <w:outlineLvl w:val="0"/>
    </w:pPr>
    <w:rPr>
      <w:rFonts w:hint="default"/>
      <w:kern w:val="2"/>
      <w:sz w:val="28"/>
      <w:lang w:val="en-US"/>
    </w:rPr>
  </w:style>
  <w:style w:type="paragraph" w:customStyle="1" w:styleId="138">
    <w:name w:val="其他"/>
    <w:basedOn w:val="1"/>
    <w:autoRedefine/>
    <w:qFormat/>
    <w:uiPriority w:val="0"/>
    <w:pPr>
      <w:spacing w:line="269" w:lineRule="exact"/>
    </w:pPr>
    <w:rPr>
      <w:rFonts w:ascii="宋体" w:hAnsi="宋体" w:eastAsia="宋体" w:cs="宋体"/>
      <w:sz w:val="20"/>
      <w:szCs w:val="20"/>
    </w:rPr>
  </w:style>
  <w:style w:type="paragraph" w:customStyle="1" w:styleId="139">
    <w:name w:val="其他 (2)"/>
    <w:basedOn w:val="1"/>
    <w:autoRedefine/>
    <w:qFormat/>
    <w:uiPriority w:val="0"/>
    <w:pPr>
      <w:jc w:val="center"/>
    </w:pPr>
    <w:rPr>
      <w:rFonts w:ascii="宋体" w:hAnsi="宋体" w:eastAsia="宋体" w:cs="宋体"/>
      <w:sz w:val="20"/>
      <w:szCs w:val="20"/>
    </w:rPr>
  </w:style>
  <w:style w:type="character" w:customStyle="1" w:styleId="140">
    <w:name w:val="未处理的提及1"/>
    <w:basedOn w:val="42"/>
    <w:autoRedefine/>
    <w:semiHidden/>
    <w:unhideWhenUsed/>
    <w:qFormat/>
    <w:uiPriority w:val="99"/>
    <w:rPr>
      <w:color w:val="605E5C"/>
      <w:shd w:val="clear" w:color="auto" w:fill="E1DFDD"/>
    </w:rPr>
  </w:style>
  <w:style w:type="paragraph" w:customStyle="1" w:styleId="141">
    <w:name w:val="msonormal"/>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42">
    <w:name w:val="xl65"/>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43">
    <w:name w:val="xl6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144">
    <w:name w:val="xl6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5">
    <w:name w:val="xl6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46">
    <w:name w:val="xl69"/>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7">
    <w:name w:val="xl7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48">
    <w:name w:val="xl7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textAlignment w:val="center"/>
    </w:pPr>
    <w:rPr>
      <w:rFonts w:ascii="宋体" w:hAnsi="宋体" w:eastAsia="宋体" w:cs="宋体"/>
      <w:kern w:val="0"/>
      <w:sz w:val="20"/>
      <w:szCs w:val="20"/>
    </w:rPr>
  </w:style>
  <w:style w:type="paragraph" w:customStyle="1" w:styleId="149">
    <w:name w:val="xl7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kern w:val="0"/>
      <w:sz w:val="20"/>
      <w:szCs w:val="20"/>
    </w:rPr>
  </w:style>
  <w:style w:type="paragraph" w:customStyle="1" w:styleId="150">
    <w:name w:val="xl7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eastAsia="宋体" w:cs="宋体"/>
      <w:b/>
      <w:bCs/>
      <w:kern w:val="0"/>
      <w:sz w:val="20"/>
      <w:szCs w:val="20"/>
    </w:rPr>
  </w:style>
  <w:style w:type="table" w:customStyle="1" w:styleId="151">
    <w:name w:val="网格型2"/>
    <w:basedOn w:val="4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2">
    <w:name w:val="网格型3"/>
    <w:basedOn w:val="4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3">
    <w:name w:val="网格型4"/>
    <w:basedOn w:val="4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54">
    <w:name w:val="网格型5"/>
    <w:basedOn w:val="4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5">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56">
    <w:name w:val="xl75"/>
    <w:basedOn w:val="1"/>
    <w:autoRedefine/>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157">
    <w:name w:val="xl76"/>
    <w:basedOn w:val="1"/>
    <w:autoRedefine/>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158">
    <w:name w:val="xl7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59">
    <w:name w:val="xl7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60">
    <w:name w:val="xl79"/>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61">
    <w:name w:val="xl80"/>
    <w:basedOn w:val="1"/>
    <w:autoRedefine/>
    <w:qFormat/>
    <w:uiPriority w:val="0"/>
    <w:pPr>
      <w:widowControl/>
      <w:pBdr>
        <w:left w:val="single" w:color="auto" w:sz="4" w:space="0"/>
        <w:bottom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62">
    <w:name w:val="xl81"/>
    <w:basedOn w:val="1"/>
    <w:autoRedefine/>
    <w:qFormat/>
    <w:uiPriority w:val="0"/>
    <w:pPr>
      <w:widowControl/>
      <w:pBdr>
        <w:bottom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63">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64">
    <w:name w:val="xl8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65">
    <w:name w:val="xl8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66">
    <w:name w:val="xl85"/>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67">
    <w:name w:val="xl86"/>
    <w:basedOn w:val="1"/>
    <w:autoRedefine/>
    <w:qFormat/>
    <w:uiPriority w:val="0"/>
    <w:pPr>
      <w:widowControl/>
      <w:spacing w:before="100" w:beforeAutospacing="1" w:after="100" w:afterAutospacing="1"/>
      <w:jc w:val="center"/>
    </w:pPr>
    <w:rPr>
      <w:rFonts w:ascii="宋体" w:hAnsi="宋体" w:eastAsia="宋体" w:cs="宋体"/>
      <w:b/>
      <w:bCs/>
      <w:kern w:val="0"/>
      <w:sz w:val="24"/>
      <w:szCs w:val="24"/>
    </w:rPr>
  </w:style>
  <w:style w:type="paragraph" w:customStyle="1" w:styleId="168">
    <w:name w:val="xl87"/>
    <w:basedOn w:val="1"/>
    <w:autoRedefine/>
    <w:qFormat/>
    <w:uiPriority w:val="0"/>
    <w:pPr>
      <w:widowControl/>
      <w:spacing w:before="100" w:beforeAutospacing="1" w:after="100" w:afterAutospacing="1"/>
      <w:jc w:val="left"/>
    </w:pPr>
    <w:rPr>
      <w:rFonts w:ascii="宋体" w:hAnsi="宋体" w:eastAsia="宋体" w:cs="宋体"/>
      <w:b/>
      <w:bCs/>
      <w:kern w:val="0"/>
      <w:sz w:val="24"/>
      <w:szCs w:val="24"/>
    </w:rPr>
  </w:style>
  <w:style w:type="paragraph" w:customStyle="1" w:styleId="169">
    <w:name w:val="xl88"/>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70">
    <w:name w:val="xl89"/>
    <w:basedOn w:val="1"/>
    <w:autoRedefine/>
    <w:qFormat/>
    <w:uiPriority w:val="0"/>
    <w:pPr>
      <w:widowControl/>
      <w:pBdr>
        <w:top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71">
    <w:name w:val="xl90"/>
    <w:basedOn w:val="1"/>
    <w:autoRedefine/>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72">
    <w:name w:val="xl91"/>
    <w:basedOn w:val="1"/>
    <w:autoRedefine/>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73">
    <w:name w:val="xl92"/>
    <w:basedOn w:val="1"/>
    <w:autoRedefine/>
    <w:qFormat/>
    <w:uiPriority w:val="0"/>
    <w:pPr>
      <w:widowControl/>
      <w:pBdr>
        <w:top w:val="single" w:color="auto" w:sz="4" w:space="0"/>
        <w:lef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74">
    <w:name w:val="xl93"/>
    <w:basedOn w:val="1"/>
    <w:autoRedefine/>
    <w:qFormat/>
    <w:uiPriority w:val="0"/>
    <w:pPr>
      <w:widowControl/>
      <w:pBdr>
        <w:top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75">
    <w:name w:val="xl94"/>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76">
    <w:name w:val="xl95"/>
    <w:basedOn w:val="1"/>
    <w:autoRedefine/>
    <w:qFormat/>
    <w:uiPriority w:val="0"/>
    <w:pPr>
      <w:widowControl/>
      <w:pBdr>
        <w:top w:val="single" w:color="auto" w:sz="4" w:space="0"/>
        <w:bottom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77">
    <w:name w:val="xl96"/>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78">
    <w:name w:val="xl97"/>
    <w:basedOn w:val="1"/>
    <w:autoRedefine/>
    <w:qFormat/>
    <w:uiPriority w:val="0"/>
    <w:pPr>
      <w:widowControl/>
      <w:pBdr>
        <w:bottom w:val="single" w:color="auto" w:sz="4" w:space="0"/>
        <w:right w:val="single" w:color="auto" w:sz="4" w:space="0"/>
      </w:pBdr>
      <w:spacing w:before="100" w:beforeAutospacing="1" w:after="100" w:afterAutospacing="1"/>
      <w:jc w:val="left"/>
    </w:pPr>
    <w:rPr>
      <w:rFonts w:ascii="宋体" w:hAnsi="宋体" w:eastAsia="宋体" w:cs="宋体"/>
      <w:b/>
      <w:bCs/>
      <w:kern w:val="0"/>
      <w:sz w:val="24"/>
      <w:szCs w:val="24"/>
    </w:rPr>
  </w:style>
  <w:style w:type="paragraph" w:customStyle="1" w:styleId="179">
    <w:name w:val="xl98"/>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80">
    <w:name w:val="xl9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81">
    <w:name w:val="xl100"/>
    <w:basedOn w:val="1"/>
    <w:autoRedefine/>
    <w:qFormat/>
    <w:uiPriority w:val="0"/>
    <w:pPr>
      <w:widowControl/>
      <w:pBdr>
        <w:left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82">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pPr>
    <w:rPr>
      <w:rFonts w:ascii="宋体" w:hAnsi="宋体" w:eastAsia="宋体" w:cs="宋体"/>
      <w:kern w:val="0"/>
      <w:sz w:val="24"/>
      <w:szCs w:val="24"/>
    </w:rPr>
  </w:style>
  <w:style w:type="paragraph" w:customStyle="1" w:styleId="183">
    <w:name w:val="xl102"/>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84">
    <w:name w:val="xl103"/>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paragraph" w:customStyle="1" w:styleId="185">
    <w:name w:val="xl104"/>
    <w:basedOn w:val="1"/>
    <w:autoRedefine/>
    <w:qFormat/>
    <w:uiPriority w:val="0"/>
    <w:pPr>
      <w:widowControl/>
      <w:pBdr>
        <w:left w:val="single" w:color="auto" w:sz="4" w:space="0"/>
        <w:bottom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86">
    <w:name w:val="xl105"/>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eastAsia="宋体" w:cs="宋体"/>
      <w:b/>
      <w:bCs/>
      <w:kern w:val="0"/>
      <w:sz w:val="24"/>
      <w:szCs w:val="24"/>
    </w:rPr>
  </w:style>
  <w:style w:type="paragraph" w:customStyle="1" w:styleId="187">
    <w:name w:val="font5"/>
    <w:basedOn w:val="1"/>
    <w:autoRedefine/>
    <w:qFormat/>
    <w:uiPriority w:val="0"/>
    <w:pPr>
      <w:widowControl/>
      <w:spacing w:before="100" w:beforeAutospacing="1" w:after="100" w:afterAutospacing="1"/>
      <w:jc w:val="left"/>
    </w:pPr>
    <w:rPr>
      <w:rFonts w:ascii="宋体" w:hAnsi="宋体" w:eastAsia="宋体" w:cs="宋体"/>
      <w:b/>
      <w:bCs/>
      <w:kern w:val="0"/>
      <w:sz w:val="18"/>
      <w:szCs w:val="18"/>
    </w:rPr>
  </w:style>
  <w:style w:type="paragraph" w:customStyle="1" w:styleId="188">
    <w:name w:val="font6"/>
    <w:basedOn w:val="1"/>
    <w:autoRedefine/>
    <w:qFormat/>
    <w:uiPriority w:val="0"/>
    <w:pPr>
      <w:widowControl/>
      <w:spacing w:before="100" w:beforeAutospacing="1" w:after="100" w:afterAutospacing="1"/>
      <w:jc w:val="left"/>
    </w:pPr>
    <w:rPr>
      <w:rFonts w:ascii="宋体" w:hAnsi="宋体" w:eastAsia="宋体" w:cs="宋体"/>
      <w:kern w:val="0"/>
      <w:sz w:val="18"/>
      <w:szCs w:val="18"/>
    </w:rPr>
  </w:style>
  <w:style w:type="character" w:customStyle="1" w:styleId="189">
    <w:name w:val="Unresolved Mention"/>
    <w:basedOn w:val="42"/>
    <w:autoRedefine/>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47.jpe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jpe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jpe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NULL" TargetMode="External"/><Relationship Id="rId27" Type="http://schemas.openxmlformats.org/officeDocument/2006/relationships/image" Target="media/image20.jpe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BD2FEE-07AA-4D43-9F04-F4AE93008521}">
  <ds:schemaRefs/>
</ds:datastoreItem>
</file>

<file path=docProps/app.xml><?xml version="1.0" encoding="utf-8"?>
<Properties xmlns="http://schemas.openxmlformats.org/officeDocument/2006/extended-properties" xmlns:vt="http://schemas.openxmlformats.org/officeDocument/2006/docPropsVTypes">
  <Template>Normal.dotm</Template>
  <Pages>73</Pages>
  <Words>8204</Words>
  <Characters>46769</Characters>
  <Lines>389</Lines>
  <Paragraphs>109</Paragraphs>
  <TotalTime>188</TotalTime>
  <ScaleCrop>false</ScaleCrop>
  <LinksUpToDate>false</LinksUpToDate>
  <CharactersWithSpaces>54864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2024-01-02T03:56:00Z</dcterms:created>
  <dc:creator>APPLE</dc:creator>
  <cp:lastModifiedBy>Administrator</cp:lastModifiedBy>
  <cp:lastPrinted>2024-02-02T08:30:00Z</cp:lastPrinted>
  <dcterms:modified xsi:type="dcterms:W3CDTF">2024-02-05T07:03:55Z</dcterms:modified>
  <cp:revision>139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3FFDD65F5F1A4C6F987F3623AB7C98C2_12</vt:lpwstr>
  </property>
</Properties>
</file>